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091" w:rsidRPr="00647752" w:rsidRDefault="00FB6759" w:rsidP="008B0010">
      <w:pPr>
        <w:spacing w:after="0" w:line="240" w:lineRule="auto"/>
        <w:jc w:val="right"/>
        <w:rPr>
          <w:b/>
          <w:bCs/>
          <w:sz w:val="24"/>
          <w:szCs w:val="24"/>
          <w:lang w:val="en-GB"/>
        </w:rPr>
      </w:pPr>
      <w:r w:rsidRPr="00647752">
        <w:rPr>
          <w:b/>
          <w:bCs/>
          <w:noProof/>
          <w:sz w:val="24"/>
          <w:szCs w:val="24"/>
        </w:rPr>
        <w:drawing>
          <wp:inline distT="0" distB="0" distL="0" distR="0">
            <wp:extent cx="1400175" cy="1981127"/>
            <wp:effectExtent l="19050" t="0" r="9525" b="0"/>
            <wp:docPr id="7" name="irc_mi" descr="http://en.dat-see.com/wp-content/uploads/2012/08/New-undp-logo.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n.dat-see.com/wp-content/uploads/2012/08/New-undp-logo.jpg">
                      <a:hlinkClick r:id="rId10"/>
                    </pic:cNvPr>
                    <pic:cNvPicPr>
                      <a:picLocks noChangeAspect="1" noChangeArrowheads="1"/>
                    </pic:cNvPicPr>
                  </pic:nvPicPr>
                  <pic:blipFill>
                    <a:blip r:embed="rId11" cstate="print">
                      <a:lum bright="-1000" contrast="10000"/>
                    </a:blip>
                    <a:srcRect/>
                    <a:stretch>
                      <a:fillRect/>
                    </a:stretch>
                  </pic:blipFill>
                  <pic:spPr bwMode="auto">
                    <a:xfrm>
                      <a:off x="0" y="0"/>
                      <a:ext cx="1400175" cy="1981127"/>
                    </a:xfrm>
                    <a:prstGeom prst="rect">
                      <a:avLst/>
                    </a:prstGeom>
                    <a:noFill/>
                    <a:ln w="9525">
                      <a:noFill/>
                      <a:miter lim="800000"/>
                      <a:headEnd/>
                      <a:tailEnd/>
                    </a:ln>
                  </pic:spPr>
                </pic:pic>
              </a:graphicData>
            </a:graphic>
          </wp:inline>
        </w:drawing>
      </w:r>
    </w:p>
    <w:p w:rsidR="00215A42" w:rsidRPr="00647752" w:rsidRDefault="00215A42" w:rsidP="00FB6759">
      <w:pPr>
        <w:spacing w:after="0" w:line="240" w:lineRule="auto"/>
        <w:rPr>
          <w:b/>
          <w:sz w:val="28"/>
          <w:szCs w:val="28"/>
          <w:lang w:val="en-GB"/>
        </w:rPr>
      </w:pPr>
    </w:p>
    <w:p w:rsidR="00FB6759" w:rsidRPr="00647752" w:rsidRDefault="00FB6759" w:rsidP="00FB6759">
      <w:pPr>
        <w:spacing w:after="0" w:line="240" w:lineRule="auto"/>
        <w:rPr>
          <w:b/>
          <w:sz w:val="28"/>
          <w:szCs w:val="28"/>
          <w:lang w:val="en-GB"/>
        </w:rPr>
      </w:pPr>
    </w:p>
    <w:p w:rsidR="00FB6759" w:rsidRPr="00647752" w:rsidRDefault="00FB6759" w:rsidP="00FB6759">
      <w:pPr>
        <w:spacing w:after="0" w:line="240" w:lineRule="auto"/>
        <w:rPr>
          <w:b/>
          <w:sz w:val="28"/>
          <w:szCs w:val="28"/>
          <w:lang w:val="en-GB"/>
        </w:rPr>
      </w:pPr>
    </w:p>
    <w:p w:rsidR="00FB6759" w:rsidRPr="00647752" w:rsidRDefault="00CC2E88" w:rsidP="00FB6759">
      <w:pPr>
        <w:spacing w:after="0" w:line="240" w:lineRule="auto"/>
        <w:jc w:val="center"/>
        <w:rPr>
          <w:rFonts w:ascii="Times New Roman" w:hAnsi="Times New Roman" w:cs="Times New Roman"/>
          <w:b/>
          <w:sz w:val="22"/>
          <w:szCs w:val="22"/>
          <w:lang w:val="en-GB"/>
        </w:rPr>
      </w:pPr>
      <w:r w:rsidRPr="00647752">
        <w:rPr>
          <w:rFonts w:ascii="Times New Roman" w:hAnsi="Times New Roman" w:cs="Times New Roman"/>
          <w:b/>
          <w:sz w:val="22"/>
          <w:szCs w:val="22"/>
          <w:lang w:val="en-GB"/>
        </w:rPr>
        <w:t>In</w:t>
      </w:r>
      <w:r w:rsidR="00FB6759" w:rsidRPr="00647752">
        <w:rPr>
          <w:rFonts w:ascii="Times New Roman" w:hAnsi="Times New Roman" w:cs="Times New Roman"/>
          <w:b/>
          <w:sz w:val="22"/>
          <w:szCs w:val="22"/>
          <w:lang w:val="en-GB"/>
        </w:rPr>
        <w:t>dependent Outcome Evaluation</w:t>
      </w:r>
    </w:p>
    <w:p w:rsidR="00FB6759" w:rsidRPr="00647752" w:rsidRDefault="00FB6759" w:rsidP="00FB6759">
      <w:pPr>
        <w:spacing w:after="0" w:line="240" w:lineRule="auto"/>
        <w:jc w:val="center"/>
        <w:rPr>
          <w:rFonts w:ascii="Times New Roman" w:hAnsi="Times New Roman" w:cs="Times New Roman"/>
          <w:b/>
          <w:sz w:val="22"/>
          <w:szCs w:val="22"/>
          <w:lang w:val="en-GB"/>
        </w:rPr>
      </w:pPr>
    </w:p>
    <w:p w:rsidR="00E01091" w:rsidRPr="00647752" w:rsidRDefault="00CC2E88" w:rsidP="00FB6759">
      <w:pPr>
        <w:spacing w:after="0" w:line="240" w:lineRule="auto"/>
        <w:jc w:val="center"/>
        <w:rPr>
          <w:rFonts w:ascii="Times New Roman" w:hAnsi="Times New Roman" w:cs="Times New Roman"/>
          <w:b/>
          <w:sz w:val="22"/>
          <w:szCs w:val="22"/>
          <w:lang w:val="en-GB"/>
        </w:rPr>
      </w:pPr>
      <w:r w:rsidRPr="00647752">
        <w:rPr>
          <w:rFonts w:ascii="Times New Roman" w:hAnsi="Times New Roman" w:cs="Times New Roman"/>
          <w:b/>
          <w:sz w:val="22"/>
          <w:szCs w:val="22"/>
          <w:lang w:val="en-GB"/>
        </w:rPr>
        <w:t xml:space="preserve">UNDP </w:t>
      </w:r>
      <w:r w:rsidR="00E01091" w:rsidRPr="00647752">
        <w:rPr>
          <w:rFonts w:ascii="Times New Roman" w:hAnsi="Times New Roman" w:cs="Times New Roman"/>
          <w:b/>
          <w:sz w:val="22"/>
          <w:szCs w:val="22"/>
          <w:lang w:val="en-GB"/>
        </w:rPr>
        <w:t>Rule of Law &amp; Access to Justice Programme in the oPt</w:t>
      </w:r>
    </w:p>
    <w:p w:rsidR="000A1610" w:rsidRPr="00647752" w:rsidRDefault="000A1610" w:rsidP="00FB6759">
      <w:pPr>
        <w:spacing w:after="0" w:line="240" w:lineRule="auto"/>
        <w:jc w:val="center"/>
        <w:rPr>
          <w:rFonts w:ascii="Times New Roman" w:hAnsi="Times New Roman" w:cs="Times New Roman"/>
          <w:b/>
          <w:sz w:val="22"/>
          <w:szCs w:val="22"/>
          <w:lang w:val="en-GB"/>
        </w:rPr>
      </w:pPr>
    </w:p>
    <w:p w:rsidR="000A1610" w:rsidRPr="00647752" w:rsidRDefault="000A1610" w:rsidP="00FB6759">
      <w:pPr>
        <w:spacing w:after="0" w:line="240" w:lineRule="auto"/>
        <w:jc w:val="center"/>
        <w:rPr>
          <w:rFonts w:ascii="Times New Roman" w:hAnsi="Times New Roman" w:cs="Times New Roman"/>
          <w:b/>
          <w:sz w:val="22"/>
          <w:szCs w:val="22"/>
          <w:lang w:val="en-GB"/>
        </w:rPr>
      </w:pPr>
    </w:p>
    <w:p w:rsidR="00E01091" w:rsidRPr="00647752" w:rsidRDefault="00E01091" w:rsidP="00FB6759">
      <w:pPr>
        <w:spacing w:after="0" w:line="240" w:lineRule="auto"/>
        <w:jc w:val="center"/>
        <w:rPr>
          <w:rFonts w:ascii="Times New Roman" w:hAnsi="Times New Roman" w:cs="Times New Roman"/>
          <w:b/>
          <w:sz w:val="22"/>
          <w:szCs w:val="22"/>
          <w:lang w:val="en-GB"/>
        </w:rPr>
      </w:pPr>
    </w:p>
    <w:p w:rsidR="003D3E5B" w:rsidRPr="00647752" w:rsidRDefault="003D3E5B" w:rsidP="00FB6759">
      <w:pPr>
        <w:spacing w:after="0" w:line="240" w:lineRule="auto"/>
        <w:jc w:val="center"/>
        <w:rPr>
          <w:rFonts w:ascii="Times New Roman" w:hAnsi="Times New Roman" w:cs="Times New Roman"/>
          <w:b/>
          <w:sz w:val="22"/>
          <w:szCs w:val="22"/>
          <w:lang w:val="en-GB"/>
        </w:rPr>
      </w:pPr>
    </w:p>
    <w:p w:rsidR="00CC2E88" w:rsidRPr="00647752" w:rsidRDefault="00CC2E88" w:rsidP="00FB6759">
      <w:pPr>
        <w:spacing w:after="0" w:line="240" w:lineRule="auto"/>
        <w:jc w:val="center"/>
        <w:rPr>
          <w:b/>
          <w:sz w:val="28"/>
          <w:szCs w:val="28"/>
          <w:lang w:val="en-GB"/>
        </w:rPr>
      </w:pPr>
    </w:p>
    <w:p w:rsidR="00CC2E88" w:rsidRPr="00647752" w:rsidRDefault="00CC2E88" w:rsidP="00FB6759">
      <w:pPr>
        <w:spacing w:after="0" w:line="240" w:lineRule="auto"/>
        <w:jc w:val="center"/>
        <w:rPr>
          <w:b/>
          <w:sz w:val="28"/>
          <w:szCs w:val="28"/>
          <w:lang w:val="en-GB"/>
        </w:rPr>
      </w:pPr>
    </w:p>
    <w:p w:rsidR="00CC2E88" w:rsidRPr="00647752" w:rsidRDefault="00CC2E88" w:rsidP="00FB6759">
      <w:pPr>
        <w:spacing w:after="0" w:line="240" w:lineRule="auto"/>
        <w:jc w:val="center"/>
        <w:rPr>
          <w:b/>
          <w:sz w:val="28"/>
          <w:szCs w:val="28"/>
          <w:lang w:val="en-GB"/>
        </w:rPr>
      </w:pPr>
    </w:p>
    <w:p w:rsidR="00E01091" w:rsidRPr="00647752" w:rsidRDefault="00E01091" w:rsidP="00FB6759">
      <w:pPr>
        <w:spacing w:after="0" w:line="240" w:lineRule="auto"/>
        <w:jc w:val="center"/>
        <w:rPr>
          <w:rFonts w:ascii="Times New Roman" w:hAnsi="Times New Roman" w:cs="Times New Roman"/>
          <w:b/>
          <w:sz w:val="24"/>
          <w:szCs w:val="24"/>
          <w:lang w:val="en-GB"/>
        </w:rPr>
      </w:pPr>
    </w:p>
    <w:p w:rsidR="003D3E5B" w:rsidRPr="00647752" w:rsidRDefault="003D3E5B" w:rsidP="00FB6759">
      <w:pPr>
        <w:spacing w:after="0" w:line="240" w:lineRule="auto"/>
        <w:jc w:val="center"/>
        <w:rPr>
          <w:rFonts w:ascii="Times New Roman" w:hAnsi="Times New Roman" w:cs="Times New Roman"/>
          <w:b/>
          <w:sz w:val="24"/>
          <w:szCs w:val="24"/>
          <w:lang w:val="en-GB"/>
        </w:rPr>
      </w:pPr>
    </w:p>
    <w:p w:rsidR="003D3E5B" w:rsidRPr="00647752" w:rsidRDefault="003D3E5B" w:rsidP="00FB6759">
      <w:pPr>
        <w:spacing w:after="0" w:line="240" w:lineRule="auto"/>
        <w:jc w:val="center"/>
        <w:rPr>
          <w:rFonts w:ascii="Times New Roman" w:hAnsi="Times New Roman" w:cs="Times New Roman"/>
          <w:b/>
          <w:sz w:val="24"/>
          <w:szCs w:val="24"/>
          <w:lang w:val="en-GB"/>
        </w:rPr>
      </w:pPr>
    </w:p>
    <w:p w:rsidR="003D3E5B" w:rsidRPr="00647752" w:rsidRDefault="003D3E5B" w:rsidP="00FB6759">
      <w:pPr>
        <w:spacing w:after="0" w:line="240" w:lineRule="auto"/>
        <w:jc w:val="center"/>
        <w:rPr>
          <w:rFonts w:ascii="Times New Roman" w:hAnsi="Times New Roman" w:cs="Times New Roman"/>
          <w:b/>
          <w:sz w:val="24"/>
          <w:szCs w:val="24"/>
          <w:lang w:val="en-GB"/>
        </w:rPr>
      </w:pPr>
    </w:p>
    <w:p w:rsidR="003D3E5B" w:rsidRPr="00647752" w:rsidRDefault="003D3E5B" w:rsidP="00FB6759">
      <w:pPr>
        <w:spacing w:after="0" w:line="240" w:lineRule="auto"/>
        <w:jc w:val="center"/>
        <w:rPr>
          <w:rFonts w:ascii="Times New Roman" w:hAnsi="Times New Roman" w:cs="Times New Roman"/>
          <w:b/>
          <w:sz w:val="24"/>
          <w:szCs w:val="24"/>
          <w:lang w:val="en-GB"/>
        </w:rPr>
      </w:pPr>
    </w:p>
    <w:p w:rsidR="00E01091" w:rsidRPr="00647752" w:rsidRDefault="00E01091" w:rsidP="00FB6759">
      <w:pPr>
        <w:spacing w:after="0" w:line="240" w:lineRule="auto"/>
        <w:jc w:val="center"/>
        <w:rPr>
          <w:rFonts w:ascii="Times New Roman" w:hAnsi="Times New Roman" w:cs="Times New Roman"/>
          <w:b/>
          <w:sz w:val="24"/>
          <w:szCs w:val="24"/>
          <w:lang w:val="en-GB"/>
        </w:rPr>
      </w:pPr>
    </w:p>
    <w:p w:rsidR="00E01091" w:rsidRPr="00647752" w:rsidRDefault="00E01091" w:rsidP="00FB6759">
      <w:pPr>
        <w:spacing w:after="0" w:line="240" w:lineRule="auto"/>
        <w:jc w:val="right"/>
        <w:rPr>
          <w:rFonts w:ascii="Times New Roman" w:hAnsi="Times New Roman" w:cs="Times New Roman"/>
          <w:b/>
          <w:sz w:val="24"/>
          <w:szCs w:val="24"/>
          <w:lang w:val="en-GB"/>
        </w:rPr>
      </w:pPr>
    </w:p>
    <w:p w:rsidR="001D122A" w:rsidRPr="00647752" w:rsidRDefault="001D122A" w:rsidP="00FB6759">
      <w:pPr>
        <w:spacing w:after="0" w:line="240" w:lineRule="auto"/>
        <w:jc w:val="right"/>
        <w:rPr>
          <w:rFonts w:ascii="Times New Roman" w:hAnsi="Times New Roman" w:cs="Times New Roman"/>
          <w:b/>
          <w:sz w:val="24"/>
          <w:szCs w:val="24"/>
          <w:lang w:val="en-GB"/>
        </w:rPr>
      </w:pPr>
    </w:p>
    <w:p w:rsidR="00E01091" w:rsidRPr="00647752" w:rsidRDefault="00E01091" w:rsidP="00FB6759">
      <w:pPr>
        <w:spacing w:after="0" w:line="240" w:lineRule="auto"/>
        <w:jc w:val="right"/>
        <w:rPr>
          <w:rFonts w:ascii="Times New Roman" w:hAnsi="Times New Roman" w:cs="Times New Roman"/>
          <w:b/>
          <w:sz w:val="24"/>
          <w:szCs w:val="24"/>
          <w:lang w:val="en-GB"/>
        </w:rPr>
      </w:pPr>
    </w:p>
    <w:p w:rsidR="00E01091" w:rsidRPr="00647752" w:rsidRDefault="00E01091" w:rsidP="00FB6759">
      <w:pPr>
        <w:spacing w:after="0" w:line="240" w:lineRule="auto"/>
        <w:jc w:val="right"/>
        <w:rPr>
          <w:rFonts w:ascii="Times New Roman" w:hAnsi="Times New Roman" w:cs="Times New Roman"/>
          <w:b/>
          <w:sz w:val="24"/>
          <w:szCs w:val="24"/>
          <w:lang w:val="en-GB"/>
        </w:rPr>
      </w:pPr>
    </w:p>
    <w:p w:rsidR="00FB6759" w:rsidRPr="00647752" w:rsidRDefault="00FB6759" w:rsidP="00FB6759">
      <w:pPr>
        <w:spacing w:after="0" w:line="240" w:lineRule="auto"/>
        <w:jc w:val="right"/>
        <w:rPr>
          <w:rFonts w:ascii="Times New Roman" w:hAnsi="Times New Roman" w:cs="Times New Roman"/>
          <w:b/>
          <w:sz w:val="24"/>
          <w:szCs w:val="24"/>
          <w:lang w:val="en-GB"/>
        </w:rPr>
      </w:pPr>
    </w:p>
    <w:p w:rsidR="00FB6759" w:rsidRPr="00647752" w:rsidRDefault="00FB6759" w:rsidP="00FB6759">
      <w:pPr>
        <w:spacing w:after="0" w:line="240" w:lineRule="auto"/>
        <w:jc w:val="right"/>
        <w:rPr>
          <w:rFonts w:ascii="Times New Roman" w:hAnsi="Times New Roman" w:cs="Times New Roman"/>
          <w:b/>
          <w:sz w:val="24"/>
          <w:szCs w:val="24"/>
          <w:lang w:val="en-GB"/>
        </w:rPr>
      </w:pPr>
    </w:p>
    <w:p w:rsidR="00FB6759" w:rsidRPr="00647752" w:rsidRDefault="00FB6759" w:rsidP="00FB6759">
      <w:pPr>
        <w:spacing w:after="0" w:line="240" w:lineRule="auto"/>
        <w:jc w:val="right"/>
        <w:rPr>
          <w:rFonts w:ascii="Times New Roman" w:hAnsi="Times New Roman" w:cs="Times New Roman"/>
          <w:b/>
          <w:sz w:val="24"/>
          <w:szCs w:val="24"/>
          <w:lang w:val="en-GB"/>
        </w:rPr>
      </w:pPr>
    </w:p>
    <w:p w:rsidR="00FB6759" w:rsidRPr="00647752" w:rsidRDefault="00FB6759" w:rsidP="00FB6759">
      <w:pPr>
        <w:spacing w:after="0" w:line="240" w:lineRule="auto"/>
        <w:jc w:val="right"/>
        <w:rPr>
          <w:rFonts w:ascii="Times New Roman" w:hAnsi="Times New Roman" w:cs="Times New Roman"/>
          <w:b/>
          <w:sz w:val="24"/>
          <w:szCs w:val="24"/>
          <w:lang w:val="en-GB"/>
        </w:rPr>
      </w:pPr>
    </w:p>
    <w:p w:rsidR="00FB6759" w:rsidRPr="00647752" w:rsidRDefault="00FB6759" w:rsidP="00FB6759">
      <w:pPr>
        <w:spacing w:after="0" w:line="240" w:lineRule="auto"/>
        <w:jc w:val="right"/>
        <w:rPr>
          <w:rFonts w:ascii="Times New Roman" w:hAnsi="Times New Roman" w:cs="Times New Roman"/>
          <w:b/>
          <w:sz w:val="24"/>
          <w:szCs w:val="24"/>
          <w:lang w:val="en-GB"/>
        </w:rPr>
      </w:pPr>
    </w:p>
    <w:p w:rsidR="00FB6759" w:rsidRPr="00647752" w:rsidRDefault="00FB6759" w:rsidP="008B0010">
      <w:pPr>
        <w:spacing w:after="0" w:line="240" w:lineRule="auto"/>
        <w:rPr>
          <w:rFonts w:ascii="Times New Roman" w:hAnsi="Times New Roman" w:cs="Times New Roman"/>
          <w:b/>
          <w:sz w:val="24"/>
          <w:szCs w:val="24"/>
          <w:lang w:val="en-GB"/>
        </w:rPr>
      </w:pPr>
    </w:p>
    <w:p w:rsidR="00576919" w:rsidRPr="008B0010" w:rsidRDefault="00FB6759" w:rsidP="00FB6759">
      <w:pPr>
        <w:spacing w:after="0" w:line="240" w:lineRule="auto"/>
        <w:jc w:val="right"/>
        <w:rPr>
          <w:rFonts w:ascii="Times New Roman" w:hAnsi="Times New Roman" w:cs="Times New Roman"/>
          <w:b/>
          <w:sz w:val="22"/>
          <w:szCs w:val="22"/>
          <w:lang w:val="en-GB"/>
        </w:rPr>
      </w:pPr>
      <w:r w:rsidRPr="008B0010">
        <w:rPr>
          <w:rFonts w:ascii="Times New Roman" w:hAnsi="Times New Roman" w:cs="Times New Roman"/>
          <w:b/>
          <w:sz w:val="22"/>
          <w:szCs w:val="22"/>
          <w:lang w:val="en-GB"/>
        </w:rPr>
        <w:t>May 2013</w:t>
      </w:r>
    </w:p>
    <w:p w:rsidR="008B0010" w:rsidRDefault="008B0010" w:rsidP="00FB6759">
      <w:pPr>
        <w:pStyle w:val="Heading1"/>
        <w:spacing w:after="0" w:line="240" w:lineRule="auto"/>
        <w:jc w:val="center"/>
        <w:rPr>
          <w:rFonts w:ascii="Times New Roman" w:hAnsi="Times New Roman" w:cs="Times New Roman"/>
          <w:sz w:val="22"/>
          <w:szCs w:val="22"/>
          <w:lang w:val="en-GB"/>
        </w:rPr>
      </w:pPr>
      <w:bookmarkStart w:id="0" w:name="_Toc231801784"/>
    </w:p>
    <w:p w:rsidR="008B0010" w:rsidRDefault="008B0010" w:rsidP="008B0010">
      <w:pPr>
        <w:rPr>
          <w:lang w:val="en-GB"/>
        </w:rPr>
      </w:pPr>
    </w:p>
    <w:p w:rsidR="008B0010" w:rsidRPr="008B0010" w:rsidRDefault="008B0010" w:rsidP="008B0010">
      <w:pPr>
        <w:rPr>
          <w:lang w:val="en-GB"/>
        </w:rPr>
      </w:pPr>
    </w:p>
    <w:p w:rsidR="009433D0" w:rsidRDefault="009433D0">
      <w:pPr>
        <w:rPr>
          <w:rFonts w:ascii="Times New Roman" w:hAnsi="Times New Roman" w:cs="Times New Roman"/>
          <w:b/>
          <w:sz w:val="22"/>
          <w:szCs w:val="22"/>
          <w:lang w:val="en-GB"/>
        </w:rPr>
      </w:pPr>
      <w:r>
        <w:rPr>
          <w:rFonts w:ascii="Times New Roman" w:hAnsi="Times New Roman" w:cs="Times New Roman"/>
          <w:b/>
          <w:sz w:val="22"/>
          <w:szCs w:val="22"/>
          <w:lang w:val="en-GB"/>
        </w:rPr>
        <w:br w:type="page"/>
      </w:r>
    </w:p>
    <w:p w:rsidR="009433D0" w:rsidRPr="00647752" w:rsidRDefault="009433D0" w:rsidP="009433D0">
      <w:pPr>
        <w:spacing w:after="0" w:line="240" w:lineRule="auto"/>
        <w:jc w:val="center"/>
        <w:rPr>
          <w:rFonts w:ascii="Times New Roman" w:eastAsiaTheme="majorEastAsia" w:hAnsi="Times New Roman" w:cs="Times New Roman"/>
          <w:b/>
          <w:bCs/>
          <w:sz w:val="22"/>
          <w:szCs w:val="22"/>
          <w:lang w:val="en-GB"/>
        </w:rPr>
      </w:pPr>
      <w:r w:rsidRPr="00647752">
        <w:rPr>
          <w:rFonts w:ascii="Times New Roman" w:hAnsi="Times New Roman" w:cs="Times New Roman"/>
          <w:b/>
          <w:sz w:val="22"/>
          <w:szCs w:val="22"/>
          <w:lang w:val="en-GB"/>
        </w:rPr>
        <w:lastRenderedPageBreak/>
        <w:t>Acronyms</w:t>
      </w:r>
    </w:p>
    <w:p w:rsidR="009433D0" w:rsidRPr="00647752" w:rsidRDefault="009433D0" w:rsidP="009433D0">
      <w:pPr>
        <w:spacing w:after="0" w:line="240" w:lineRule="auto"/>
        <w:rPr>
          <w:rFonts w:ascii="Times New Roman" w:hAnsi="Times New Roman" w:cs="Times New Roman"/>
          <w:b/>
          <w:sz w:val="22"/>
          <w:szCs w:val="22"/>
          <w:lang w:val="en-GB"/>
        </w:rPr>
      </w:pPr>
    </w:p>
    <w:p w:rsidR="009433D0" w:rsidRPr="00647752" w:rsidRDefault="009433D0" w:rsidP="009433D0">
      <w:pPr>
        <w:spacing w:after="0" w:line="240" w:lineRule="auto"/>
        <w:rPr>
          <w:rFonts w:ascii="Times New Roman" w:hAnsi="Times New Roman" w:cs="Times New Roman"/>
          <w:b/>
          <w:sz w:val="22"/>
          <w:szCs w:val="22"/>
          <w:lang w:val="en-GB"/>
        </w:rPr>
      </w:pPr>
    </w:p>
    <w:p w:rsidR="009433D0" w:rsidRPr="00647752" w:rsidRDefault="009433D0" w:rsidP="009433D0">
      <w:pPr>
        <w:spacing w:after="0" w:line="240" w:lineRule="auto"/>
        <w:rPr>
          <w:rFonts w:ascii="Times New Roman" w:hAnsi="Times New Roman" w:cs="Times New Roman"/>
          <w:sz w:val="22"/>
          <w:szCs w:val="22"/>
          <w:lang w:val="en-GB"/>
        </w:rPr>
      </w:pPr>
      <w:r w:rsidRPr="00647752">
        <w:rPr>
          <w:rFonts w:ascii="Times New Roman" w:hAnsi="Times New Roman" w:cs="Times New Roman"/>
          <w:sz w:val="22"/>
          <w:szCs w:val="22"/>
          <w:lang w:val="en-GB"/>
        </w:rPr>
        <w:t>AGO</w:t>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t>Attorney General’s Office</w:t>
      </w:r>
    </w:p>
    <w:p w:rsidR="009433D0" w:rsidRPr="00647752" w:rsidRDefault="009433D0" w:rsidP="009433D0">
      <w:pPr>
        <w:spacing w:after="0" w:line="240" w:lineRule="auto"/>
        <w:rPr>
          <w:rFonts w:ascii="Times New Roman" w:hAnsi="Times New Roman" w:cs="Times New Roman"/>
          <w:sz w:val="22"/>
          <w:szCs w:val="22"/>
          <w:lang w:val="en-GB"/>
        </w:rPr>
      </w:pPr>
      <w:r w:rsidRPr="00647752">
        <w:rPr>
          <w:rFonts w:ascii="Times New Roman" w:hAnsi="Times New Roman" w:cs="Times New Roman"/>
          <w:sz w:val="22"/>
          <w:szCs w:val="22"/>
          <w:lang w:val="en-GB"/>
        </w:rPr>
        <w:t>AWP</w:t>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t>Annual Work Plan</w:t>
      </w:r>
    </w:p>
    <w:p w:rsidR="009433D0" w:rsidRPr="00647752" w:rsidRDefault="009433D0" w:rsidP="009433D0">
      <w:pPr>
        <w:spacing w:after="0" w:line="240" w:lineRule="auto"/>
        <w:rPr>
          <w:rFonts w:ascii="Times New Roman" w:hAnsi="Times New Roman" w:cs="Times New Roman"/>
          <w:sz w:val="22"/>
          <w:szCs w:val="22"/>
          <w:lang w:val="en-GB"/>
        </w:rPr>
      </w:pPr>
      <w:r w:rsidRPr="00647752">
        <w:rPr>
          <w:rFonts w:ascii="Times New Roman" w:hAnsi="Times New Roman" w:cs="Times New Roman"/>
          <w:sz w:val="22"/>
          <w:szCs w:val="22"/>
          <w:lang w:val="en-GB"/>
        </w:rPr>
        <w:t>BCPR</w:t>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t>Bureau for Crisis Prevention and Recovery (UNDP)</w:t>
      </w:r>
    </w:p>
    <w:p w:rsidR="009433D0" w:rsidRDefault="009433D0" w:rsidP="009433D0">
      <w:pPr>
        <w:spacing w:after="0" w:line="240" w:lineRule="auto"/>
        <w:rPr>
          <w:rFonts w:ascii="Times New Roman" w:hAnsi="Times New Roman" w:cs="Times New Roman"/>
          <w:sz w:val="22"/>
          <w:szCs w:val="22"/>
          <w:lang w:val="en-GB"/>
        </w:rPr>
      </w:pPr>
      <w:r>
        <w:rPr>
          <w:rFonts w:ascii="Times New Roman" w:hAnsi="Times New Roman" w:cs="Times New Roman"/>
          <w:sz w:val="22"/>
          <w:szCs w:val="22"/>
          <w:lang w:val="en-GB"/>
        </w:rPr>
        <w:t>BGHR</w:t>
      </w:r>
      <w:r>
        <w:rPr>
          <w:rFonts w:ascii="Times New Roman" w:hAnsi="Times New Roman" w:cs="Times New Roman"/>
          <w:sz w:val="22"/>
          <w:szCs w:val="22"/>
          <w:lang w:val="en-GB"/>
        </w:rPr>
        <w:tab/>
      </w:r>
      <w:r>
        <w:rPr>
          <w:rFonts w:ascii="Times New Roman" w:hAnsi="Times New Roman" w:cs="Times New Roman"/>
          <w:sz w:val="22"/>
          <w:szCs w:val="22"/>
          <w:lang w:val="en-GB"/>
        </w:rPr>
        <w:tab/>
      </w:r>
      <w:r>
        <w:rPr>
          <w:rFonts w:ascii="Times New Roman" w:hAnsi="Times New Roman" w:cs="Times New Roman"/>
          <w:sz w:val="22"/>
          <w:szCs w:val="22"/>
          <w:lang w:val="en-GB"/>
        </w:rPr>
        <w:tab/>
        <w:t>Bureau for Grievances and Human Rights (PCP)</w:t>
      </w:r>
    </w:p>
    <w:p w:rsidR="009433D0" w:rsidRPr="00647752" w:rsidRDefault="009433D0" w:rsidP="009433D0">
      <w:pPr>
        <w:spacing w:after="0" w:line="240" w:lineRule="auto"/>
        <w:rPr>
          <w:rFonts w:ascii="Times New Roman" w:hAnsi="Times New Roman" w:cs="Times New Roman"/>
          <w:sz w:val="22"/>
          <w:szCs w:val="22"/>
          <w:lang w:val="en-GB"/>
        </w:rPr>
      </w:pPr>
      <w:r w:rsidRPr="00647752">
        <w:rPr>
          <w:rFonts w:ascii="Times New Roman" w:hAnsi="Times New Roman" w:cs="Times New Roman"/>
          <w:sz w:val="22"/>
          <w:szCs w:val="22"/>
          <w:lang w:val="en-GB"/>
        </w:rPr>
        <w:t>CEDAW</w:t>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t>Convention on the Elimination of All Forms of Discrimination Against Women</w:t>
      </w:r>
    </w:p>
    <w:p w:rsidR="009433D0" w:rsidRPr="00647752" w:rsidRDefault="009433D0" w:rsidP="009433D0">
      <w:pPr>
        <w:spacing w:after="0" w:line="240" w:lineRule="auto"/>
        <w:rPr>
          <w:rFonts w:ascii="Times New Roman" w:hAnsi="Times New Roman" w:cs="Times New Roman"/>
          <w:sz w:val="22"/>
          <w:szCs w:val="22"/>
          <w:lang w:val="en-GB"/>
        </w:rPr>
      </w:pPr>
      <w:r w:rsidRPr="00647752">
        <w:rPr>
          <w:rFonts w:ascii="Times New Roman" w:hAnsi="Times New Roman" w:cs="Times New Roman"/>
          <w:sz w:val="22"/>
          <w:szCs w:val="22"/>
          <w:lang w:val="en-GB"/>
        </w:rPr>
        <w:t>CFTA</w:t>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t>Culture and Free Thought Association</w:t>
      </w:r>
    </w:p>
    <w:p w:rsidR="009433D0" w:rsidRPr="00647752" w:rsidRDefault="009433D0" w:rsidP="009433D0">
      <w:pPr>
        <w:spacing w:after="0" w:line="240" w:lineRule="auto"/>
        <w:rPr>
          <w:rFonts w:ascii="Times New Roman" w:hAnsi="Times New Roman" w:cs="Times New Roman"/>
          <w:sz w:val="22"/>
          <w:szCs w:val="22"/>
          <w:lang w:val="en-GB"/>
        </w:rPr>
      </w:pPr>
      <w:r w:rsidRPr="00647752">
        <w:rPr>
          <w:rFonts w:ascii="Times New Roman" w:hAnsi="Times New Roman" w:cs="Times New Roman"/>
          <w:sz w:val="22"/>
          <w:szCs w:val="22"/>
          <w:lang w:val="en-GB"/>
        </w:rPr>
        <w:t>CIDA</w:t>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t>Canadian International Development Agency</w:t>
      </w:r>
    </w:p>
    <w:p w:rsidR="009433D0" w:rsidRPr="00647752" w:rsidRDefault="009433D0" w:rsidP="009433D0">
      <w:pPr>
        <w:spacing w:after="0" w:line="240" w:lineRule="auto"/>
        <w:rPr>
          <w:rFonts w:ascii="Times New Roman" w:hAnsi="Times New Roman" w:cs="Times New Roman"/>
          <w:sz w:val="22"/>
          <w:szCs w:val="22"/>
          <w:lang w:val="en-GB"/>
        </w:rPr>
      </w:pPr>
      <w:r w:rsidRPr="00647752">
        <w:rPr>
          <w:rFonts w:ascii="Times New Roman" w:hAnsi="Times New Roman" w:cs="Times New Roman"/>
          <w:sz w:val="22"/>
          <w:szCs w:val="22"/>
          <w:lang w:val="en-GB"/>
        </w:rPr>
        <w:t>CSI</w:t>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t>Civil Society Initiative (UNDP)</w:t>
      </w:r>
    </w:p>
    <w:p w:rsidR="009433D0" w:rsidRPr="00647752" w:rsidRDefault="009433D0" w:rsidP="009433D0">
      <w:pPr>
        <w:tabs>
          <w:tab w:val="left" w:pos="1440"/>
        </w:tabs>
        <w:spacing w:after="0" w:line="240" w:lineRule="auto"/>
        <w:rPr>
          <w:rFonts w:ascii="Times New Roman" w:hAnsi="Times New Roman" w:cs="Times New Roman"/>
          <w:sz w:val="22"/>
          <w:szCs w:val="22"/>
          <w:lang w:val="en-GB"/>
        </w:rPr>
      </w:pPr>
      <w:r w:rsidRPr="00647752">
        <w:rPr>
          <w:rFonts w:ascii="Times New Roman" w:hAnsi="Times New Roman" w:cs="Times New Roman"/>
          <w:sz w:val="22"/>
          <w:szCs w:val="22"/>
          <w:lang w:val="en-GB"/>
        </w:rPr>
        <w:t>CSO</w:t>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t>Civil Society Organization</w:t>
      </w:r>
    </w:p>
    <w:p w:rsidR="009433D0" w:rsidRPr="00647752" w:rsidRDefault="009433D0" w:rsidP="009433D0">
      <w:pPr>
        <w:tabs>
          <w:tab w:val="left" w:pos="1440"/>
          <w:tab w:val="left" w:pos="1620"/>
        </w:tabs>
        <w:spacing w:after="0" w:line="240" w:lineRule="auto"/>
        <w:rPr>
          <w:rFonts w:ascii="Times New Roman" w:hAnsi="Times New Roman" w:cs="Times New Roman"/>
          <w:sz w:val="22"/>
          <w:szCs w:val="22"/>
          <w:lang w:val="en-GB"/>
        </w:rPr>
      </w:pPr>
      <w:r w:rsidRPr="00647752">
        <w:rPr>
          <w:rFonts w:ascii="Times New Roman" w:hAnsi="Times New Roman" w:cs="Times New Roman"/>
          <w:sz w:val="22"/>
          <w:szCs w:val="22"/>
          <w:lang w:val="en-GB"/>
        </w:rPr>
        <w:t>CWLRC</w:t>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t>Centre for Women’s Legal Research and Consulting</w:t>
      </w:r>
    </w:p>
    <w:p w:rsidR="009433D0" w:rsidRPr="00647752" w:rsidRDefault="009433D0" w:rsidP="009433D0">
      <w:pPr>
        <w:spacing w:after="0" w:line="240" w:lineRule="auto"/>
        <w:rPr>
          <w:rFonts w:ascii="Times New Roman" w:hAnsi="Times New Roman" w:cs="Times New Roman"/>
          <w:sz w:val="22"/>
          <w:szCs w:val="22"/>
          <w:lang w:val="en-GB"/>
        </w:rPr>
      </w:pPr>
      <w:r w:rsidRPr="00647752">
        <w:rPr>
          <w:rFonts w:ascii="Times New Roman" w:hAnsi="Times New Roman" w:cs="Times New Roman"/>
          <w:sz w:val="22"/>
          <w:szCs w:val="22"/>
          <w:lang w:val="en-GB"/>
        </w:rPr>
        <w:t>EU</w:t>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t>European Union</w:t>
      </w:r>
    </w:p>
    <w:p w:rsidR="009433D0" w:rsidRPr="00647752" w:rsidRDefault="009433D0" w:rsidP="009433D0">
      <w:pPr>
        <w:spacing w:after="0" w:line="240" w:lineRule="auto"/>
        <w:rPr>
          <w:rFonts w:ascii="Times New Roman" w:hAnsi="Times New Roman" w:cs="Times New Roman"/>
          <w:sz w:val="22"/>
          <w:szCs w:val="22"/>
          <w:lang w:val="en-GB"/>
        </w:rPr>
      </w:pPr>
      <w:r w:rsidRPr="00647752">
        <w:rPr>
          <w:rFonts w:ascii="Times New Roman" w:hAnsi="Times New Roman" w:cs="Times New Roman"/>
          <w:sz w:val="22"/>
          <w:szCs w:val="22"/>
          <w:lang w:val="en-GB"/>
        </w:rPr>
        <w:t xml:space="preserve">EUPOL COPPS    </w:t>
      </w:r>
      <w:r w:rsidRPr="00647752">
        <w:rPr>
          <w:rFonts w:ascii="Times New Roman" w:hAnsi="Times New Roman" w:cs="Times New Roman"/>
          <w:sz w:val="22"/>
          <w:szCs w:val="22"/>
          <w:lang w:val="en-GB"/>
        </w:rPr>
        <w:tab/>
        <w:t>European Union Coordinating Office for Palestinian Police Support</w:t>
      </w:r>
    </w:p>
    <w:p w:rsidR="009433D0" w:rsidRDefault="009433D0" w:rsidP="009433D0">
      <w:pPr>
        <w:spacing w:after="0" w:line="240" w:lineRule="auto"/>
        <w:rPr>
          <w:rFonts w:ascii="Times New Roman" w:hAnsi="Times New Roman" w:cs="Times New Roman"/>
          <w:sz w:val="22"/>
          <w:szCs w:val="22"/>
          <w:lang w:val="en-GB"/>
        </w:rPr>
      </w:pPr>
      <w:r>
        <w:rPr>
          <w:rFonts w:ascii="Times New Roman" w:hAnsi="Times New Roman" w:cs="Times New Roman"/>
          <w:sz w:val="22"/>
          <w:szCs w:val="22"/>
          <w:lang w:val="en-GB"/>
        </w:rPr>
        <w:t>GOI</w:t>
      </w:r>
      <w:r>
        <w:rPr>
          <w:rFonts w:ascii="Times New Roman" w:hAnsi="Times New Roman" w:cs="Times New Roman"/>
          <w:sz w:val="22"/>
          <w:szCs w:val="22"/>
          <w:lang w:val="en-GB"/>
        </w:rPr>
        <w:tab/>
      </w:r>
      <w:r>
        <w:rPr>
          <w:rFonts w:ascii="Times New Roman" w:hAnsi="Times New Roman" w:cs="Times New Roman"/>
          <w:sz w:val="22"/>
          <w:szCs w:val="22"/>
          <w:lang w:val="en-GB"/>
        </w:rPr>
        <w:tab/>
      </w:r>
      <w:r>
        <w:rPr>
          <w:rFonts w:ascii="Times New Roman" w:hAnsi="Times New Roman" w:cs="Times New Roman"/>
          <w:sz w:val="22"/>
          <w:szCs w:val="22"/>
          <w:lang w:val="en-GB"/>
        </w:rPr>
        <w:tab/>
        <w:t>Government of Israel</w:t>
      </w:r>
    </w:p>
    <w:p w:rsidR="009433D0" w:rsidRDefault="009433D0" w:rsidP="009433D0">
      <w:pPr>
        <w:spacing w:after="0" w:line="240" w:lineRule="auto"/>
        <w:rPr>
          <w:rFonts w:ascii="Times New Roman" w:hAnsi="Times New Roman" w:cs="Times New Roman"/>
          <w:sz w:val="22"/>
          <w:szCs w:val="22"/>
          <w:lang w:val="en-GB"/>
        </w:rPr>
      </w:pPr>
      <w:r w:rsidRPr="00647752">
        <w:rPr>
          <w:rFonts w:ascii="Times New Roman" w:hAnsi="Times New Roman" w:cs="Times New Roman"/>
          <w:sz w:val="22"/>
          <w:szCs w:val="22"/>
          <w:lang w:val="en-GB"/>
        </w:rPr>
        <w:t>HJC</w:t>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t>High Judicial Council</w:t>
      </w:r>
    </w:p>
    <w:p w:rsidR="009433D0" w:rsidRDefault="009433D0" w:rsidP="009433D0">
      <w:pPr>
        <w:spacing w:after="0" w:line="240" w:lineRule="auto"/>
        <w:rPr>
          <w:rFonts w:ascii="Times New Roman" w:hAnsi="Times New Roman" w:cs="Times New Roman"/>
          <w:sz w:val="22"/>
          <w:szCs w:val="22"/>
          <w:lang w:val="en-GB"/>
        </w:rPr>
      </w:pPr>
      <w:r>
        <w:rPr>
          <w:rFonts w:ascii="Times New Roman" w:hAnsi="Times New Roman" w:cs="Times New Roman"/>
          <w:sz w:val="22"/>
          <w:szCs w:val="22"/>
          <w:lang w:val="en-GB"/>
        </w:rPr>
        <w:t>ICHR</w:t>
      </w:r>
      <w:r>
        <w:rPr>
          <w:rFonts w:ascii="Times New Roman" w:hAnsi="Times New Roman" w:cs="Times New Roman"/>
          <w:sz w:val="22"/>
          <w:szCs w:val="22"/>
          <w:lang w:val="en-GB"/>
        </w:rPr>
        <w:tab/>
      </w:r>
      <w:r>
        <w:rPr>
          <w:rFonts w:ascii="Times New Roman" w:hAnsi="Times New Roman" w:cs="Times New Roman"/>
          <w:sz w:val="22"/>
          <w:szCs w:val="22"/>
          <w:lang w:val="en-GB"/>
        </w:rPr>
        <w:tab/>
      </w:r>
      <w:r>
        <w:rPr>
          <w:rFonts w:ascii="Times New Roman" w:hAnsi="Times New Roman" w:cs="Times New Roman"/>
          <w:sz w:val="22"/>
          <w:szCs w:val="22"/>
          <w:lang w:val="en-GB"/>
        </w:rPr>
        <w:tab/>
        <w:t>Independent Commission for Human Rights</w:t>
      </w:r>
    </w:p>
    <w:p w:rsidR="009433D0" w:rsidRDefault="009433D0" w:rsidP="009433D0">
      <w:pPr>
        <w:spacing w:after="0" w:line="240" w:lineRule="auto"/>
        <w:rPr>
          <w:rFonts w:ascii="Times New Roman" w:hAnsi="Times New Roman" w:cs="Times New Roman"/>
          <w:sz w:val="22"/>
          <w:szCs w:val="22"/>
          <w:lang w:val="en-GB"/>
        </w:rPr>
      </w:pPr>
      <w:r>
        <w:rPr>
          <w:rFonts w:ascii="Times New Roman" w:hAnsi="Times New Roman" w:cs="Times New Roman"/>
          <w:sz w:val="22"/>
          <w:szCs w:val="22"/>
          <w:lang w:val="en-GB"/>
        </w:rPr>
        <w:t>ICC</w:t>
      </w:r>
      <w:r>
        <w:rPr>
          <w:rFonts w:ascii="Times New Roman" w:hAnsi="Times New Roman" w:cs="Times New Roman"/>
          <w:sz w:val="22"/>
          <w:szCs w:val="22"/>
          <w:lang w:val="en-GB"/>
        </w:rPr>
        <w:tab/>
      </w:r>
      <w:r>
        <w:rPr>
          <w:rFonts w:ascii="Times New Roman" w:hAnsi="Times New Roman" w:cs="Times New Roman"/>
          <w:sz w:val="22"/>
          <w:szCs w:val="22"/>
          <w:lang w:val="en-GB"/>
        </w:rPr>
        <w:tab/>
      </w:r>
      <w:r>
        <w:rPr>
          <w:rFonts w:ascii="Times New Roman" w:hAnsi="Times New Roman" w:cs="Times New Roman"/>
          <w:sz w:val="22"/>
          <w:szCs w:val="22"/>
          <w:lang w:val="en-GB"/>
        </w:rPr>
        <w:tab/>
        <w:t>International Criminal Court</w:t>
      </w:r>
    </w:p>
    <w:p w:rsidR="009433D0" w:rsidRDefault="009433D0" w:rsidP="009433D0">
      <w:pPr>
        <w:spacing w:after="0" w:line="240" w:lineRule="auto"/>
        <w:rPr>
          <w:rFonts w:ascii="Times New Roman" w:hAnsi="Times New Roman" w:cs="Times New Roman"/>
          <w:sz w:val="22"/>
          <w:szCs w:val="22"/>
          <w:lang w:val="en-GB"/>
        </w:rPr>
      </w:pPr>
      <w:r>
        <w:rPr>
          <w:rFonts w:ascii="Times New Roman" w:hAnsi="Times New Roman" w:cs="Times New Roman"/>
          <w:sz w:val="22"/>
          <w:szCs w:val="22"/>
          <w:lang w:val="en-GB"/>
        </w:rPr>
        <w:t>ICRC</w:t>
      </w:r>
      <w:r>
        <w:rPr>
          <w:rFonts w:ascii="Times New Roman" w:hAnsi="Times New Roman" w:cs="Times New Roman"/>
          <w:sz w:val="22"/>
          <w:szCs w:val="22"/>
          <w:lang w:val="en-GB"/>
        </w:rPr>
        <w:tab/>
      </w:r>
      <w:r>
        <w:rPr>
          <w:rFonts w:ascii="Times New Roman" w:hAnsi="Times New Roman" w:cs="Times New Roman"/>
          <w:sz w:val="22"/>
          <w:szCs w:val="22"/>
          <w:lang w:val="en-GB"/>
        </w:rPr>
        <w:tab/>
      </w:r>
      <w:r>
        <w:rPr>
          <w:rFonts w:ascii="Times New Roman" w:hAnsi="Times New Roman" w:cs="Times New Roman"/>
          <w:sz w:val="22"/>
          <w:szCs w:val="22"/>
          <w:lang w:val="en-GB"/>
        </w:rPr>
        <w:tab/>
        <w:t>International Committee of the Red Cross</w:t>
      </w:r>
    </w:p>
    <w:p w:rsidR="009433D0" w:rsidRDefault="009433D0" w:rsidP="009433D0">
      <w:pPr>
        <w:spacing w:after="0" w:line="240" w:lineRule="auto"/>
        <w:rPr>
          <w:rFonts w:ascii="Times New Roman" w:hAnsi="Times New Roman" w:cs="Times New Roman"/>
          <w:sz w:val="22"/>
          <w:szCs w:val="22"/>
          <w:lang w:val="en-GB"/>
        </w:rPr>
      </w:pPr>
      <w:r>
        <w:rPr>
          <w:rFonts w:ascii="Times New Roman" w:hAnsi="Times New Roman" w:cs="Times New Roman"/>
          <w:sz w:val="22"/>
          <w:szCs w:val="22"/>
          <w:lang w:val="en-GB"/>
        </w:rPr>
        <w:t>IWS</w:t>
      </w:r>
      <w:r>
        <w:rPr>
          <w:rFonts w:ascii="Times New Roman" w:hAnsi="Times New Roman" w:cs="Times New Roman"/>
          <w:sz w:val="22"/>
          <w:szCs w:val="22"/>
          <w:lang w:val="en-GB"/>
        </w:rPr>
        <w:tab/>
      </w:r>
      <w:r>
        <w:rPr>
          <w:rFonts w:ascii="Times New Roman" w:hAnsi="Times New Roman" w:cs="Times New Roman"/>
          <w:sz w:val="22"/>
          <w:szCs w:val="22"/>
          <w:lang w:val="en-GB"/>
        </w:rPr>
        <w:tab/>
      </w:r>
      <w:r>
        <w:rPr>
          <w:rFonts w:ascii="Times New Roman" w:hAnsi="Times New Roman" w:cs="Times New Roman"/>
          <w:sz w:val="22"/>
          <w:szCs w:val="22"/>
          <w:lang w:val="en-GB"/>
        </w:rPr>
        <w:tab/>
        <w:t>Institute of Women’s Studies (Birzeit University)</w:t>
      </w:r>
    </w:p>
    <w:p w:rsidR="009433D0" w:rsidRPr="00647752" w:rsidRDefault="009433D0" w:rsidP="009433D0">
      <w:pPr>
        <w:spacing w:after="0" w:line="240" w:lineRule="auto"/>
        <w:rPr>
          <w:rFonts w:ascii="Times New Roman" w:hAnsi="Times New Roman" w:cs="Times New Roman"/>
          <w:sz w:val="22"/>
          <w:szCs w:val="22"/>
          <w:lang w:val="en-GB"/>
        </w:rPr>
      </w:pPr>
      <w:r w:rsidRPr="00647752">
        <w:rPr>
          <w:rFonts w:ascii="Times New Roman" w:hAnsi="Times New Roman" w:cs="Times New Roman"/>
          <w:sz w:val="22"/>
          <w:szCs w:val="22"/>
          <w:lang w:val="en-GB"/>
        </w:rPr>
        <w:t>JCW</w:t>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t>Jerusalem Centre for Women</w:t>
      </w:r>
    </w:p>
    <w:p w:rsidR="009433D0" w:rsidRDefault="009433D0" w:rsidP="009433D0">
      <w:pPr>
        <w:spacing w:after="0" w:line="240" w:lineRule="auto"/>
        <w:rPr>
          <w:rFonts w:ascii="Times New Roman" w:hAnsi="Times New Roman" w:cs="Times New Roman"/>
          <w:sz w:val="22"/>
          <w:szCs w:val="22"/>
          <w:lang w:val="en-GB"/>
        </w:rPr>
      </w:pPr>
      <w:r>
        <w:rPr>
          <w:rFonts w:ascii="Times New Roman" w:hAnsi="Times New Roman" w:cs="Times New Roman"/>
          <w:sz w:val="22"/>
          <w:szCs w:val="22"/>
          <w:lang w:val="en-GB"/>
        </w:rPr>
        <w:t>JFF</w:t>
      </w:r>
      <w:r>
        <w:rPr>
          <w:rFonts w:ascii="Times New Roman" w:hAnsi="Times New Roman" w:cs="Times New Roman"/>
          <w:sz w:val="22"/>
          <w:szCs w:val="22"/>
          <w:lang w:val="en-GB"/>
        </w:rPr>
        <w:tab/>
      </w:r>
      <w:r>
        <w:rPr>
          <w:rFonts w:ascii="Times New Roman" w:hAnsi="Times New Roman" w:cs="Times New Roman"/>
          <w:sz w:val="22"/>
          <w:szCs w:val="22"/>
          <w:lang w:val="en-GB"/>
        </w:rPr>
        <w:tab/>
      </w:r>
      <w:r>
        <w:rPr>
          <w:rFonts w:ascii="Times New Roman" w:hAnsi="Times New Roman" w:cs="Times New Roman"/>
          <w:sz w:val="22"/>
          <w:szCs w:val="22"/>
          <w:lang w:val="en-GB"/>
        </w:rPr>
        <w:tab/>
        <w:t>Justice for the Future (MOJ)</w:t>
      </w:r>
    </w:p>
    <w:p w:rsidR="009433D0" w:rsidRPr="00647752" w:rsidRDefault="009433D0" w:rsidP="009433D0">
      <w:pPr>
        <w:spacing w:after="0" w:line="240" w:lineRule="auto"/>
        <w:rPr>
          <w:rFonts w:ascii="Times New Roman" w:hAnsi="Times New Roman" w:cs="Times New Roman"/>
          <w:sz w:val="22"/>
          <w:szCs w:val="22"/>
          <w:lang w:val="en-GB"/>
        </w:rPr>
      </w:pPr>
      <w:r w:rsidRPr="00647752">
        <w:rPr>
          <w:rFonts w:ascii="Times New Roman" w:hAnsi="Times New Roman" w:cs="Times New Roman"/>
          <w:sz w:val="22"/>
          <w:szCs w:val="22"/>
          <w:lang w:val="en-GB"/>
        </w:rPr>
        <w:t>LTF</w:t>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t>Legal Task Force</w:t>
      </w:r>
    </w:p>
    <w:p w:rsidR="009433D0" w:rsidRDefault="009433D0" w:rsidP="009433D0">
      <w:pPr>
        <w:spacing w:after="0" w:line="240" w:lineRule="auto"/>
        <w:rPr>
          <w:rFonts w:ascii="Times New Roman" w:hAnsi="Times New Roman" w:cs="Times New Roman"/>
          <w:sz w:val="22"/>
          <w:szCs w:val="22"/>
          <w:lang w:val="en-GB"/>
        </w:rPr>
      </w:pPr>
      <w:r>
        <w:rPr>
          <w:rFonts w:ascii="Times New Roman" w:hAnsi="Times New Roman" w:cs="Times New Roman"/>
          <w:sz w:val="22"/>
          <w:szCs w:val="22"/>
          <w:lang w:val="en-GB"/>
        </w:rPr>
        <w:t>MOI</w:t>
      </w:r>
      <w:r>
        <w:rPr>
          <w:rFonts w:ascii="Times New Roman" w:hAnsi="Times New Roman" w:cs="Times New Roman"/>
          <w:sz w:val="22"/>
          <w:szCs w:val="22"/>
          <w:lang w:val="en-GB"/>
        </w:rPr>
        <w:tab/>
      </w:r>
      <w:r>
        <w:rPr>
          <w:rFonts w:ascii="Times New Roman" w:hAnsi="Times New Roman" w:cs="Times New Roman"/>
          <w:sz w:val="22"/>
          <w:szCs w:val="22"/>
          <w:lang w:val="en-GB"/>
        </w:rPr>
        <w:tab/>
      </w:r>
      <w:r>
        <w:rPr>
          <w:rFonts w:ascii="Times New Roman" w:hAnsi="Times New Roman" w:cs="Times New Roman"/>
          <w:sz w:val="22"/>
          <w:szCs w:val="22"/>
          <w:lang w:val="en-GB"/>
        </w:rPr>
        <w:tab/>
        <w:t>Ministry of Interior</w:t>
      </w:r>
    </w:p>
    <w:p w:rsidR="009433D0" w:rsidRPr="00647752" w:rsidRDefault="009433D0" w:rsidP="009433D0">
      <w:pPr>
        <w:spacing w:after="0" w:line="240" w:lineRule="auto"/>
        <w:rPr>
          <w:rFonts w:ascii="Times New Roman" w:hAnsi="Times New Roman" w:cs="Times New Roman"/>
          <w:sz w:val="22"/>
          <w:szCs w:val="22"/>
          <w:lang w:val="en-GB"/>
        </w:rPr>
      </w:pPr>
      <w:r w:rsidRPr="00647752">
        <w:rPr>
          <w:rFonts w:ascii="Times New Roman" w:hAnsi="Times New Roman" w:cs="Times New Roman"/>
          <w:sz w:val="22"/>
          <w:szCs w:val="22"/>
          <w:lang w:val="en-GB"/>
        </w:rPr>
        <w:t>MOJ</w:t>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t>Ministry of Justice</w:t>
      </w:r>
    </w:p>
    <w:p w:rsidR="009433D0" w:rsidRPr="00647752" w:rsidRDefault="009433D0" w:rsidP="009433D0">
      <w:pPr>
        <w:spacing w:after="0" w:line="240" w:lineRule="auto"/>
        <w:rPr>
          <w:rFonts w:ascii="Times New Roman" w:hAnsi="Times New Roman" w:cs="Times New Roman"/>
          <w:sz w:val="22"/>
          <w:szCs w:val="22"/>
          <w:lang w:val="en-GB"/>
        </w:rPr>
      </w:pPr>
      <w:r w:rsidRPr="00647752">
        <w:rPr>
          <w:rFonts w:ascii="Times New Roman" w:hAnsi="Times New Roman" w:cs="Times New Roman"/>
          <w:sz w:val="22"/>
          <w:szCs w:val="22"/>
          <w:lang w:val="en-GB"/>
        </w:rPr>
        <w:t>MOSA</w:t>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t>Ministry of Social Affairs</w:t>
      </w:r>
    </w:p>
    <w:p w:rsidR="009433D0" w:rsidRPr="00647752" w:rsidRDefault="009433D0" w:rsidP="009433D0">
      <w:pPr>
        <w:spacing w:after="0" w:line="240" w:lineRule="auto"/>
        <w:rPr>
          <w:rFonts w:ascii="Times New Roman" w:hAnsi="Times New Roman" w:cs="Times New Roman"/>
          <w:sz w:val="22"/>
          <w:szCs w:val="22"/>
          <w:lang w:val="en-GB"/>
        </w:rPr>
      </w:pPr>
      <w:r w:rsidRPr="00647752">
        <w:rPr>
          <w:rFonts w:ascii="Times New Roman" w:hAnsi="Times New Roman" w:cs="Times New Roman"/>
          <w:sz w:val="22"/>
          <w:szCs w:val="22"/>
          <w:lang w:val="en-GB"/>
        </w:rPr>
        <w:t>MOU</w:t>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t>Memorandum of Understanding</w:t>
      </w:r>
    </w:p>
    <w:p w:rsidR="009433D0" w:rsidRDefault="009433D0" w:rsidP="009433D0">
      <w:pPr>
        <w:spacing w:after="0" w:line="240" w:lineRule="auto"/>
        <w:rPr>
          <w:rFonts w:ascii="Times New Roman" w:hAnsi="Times New Roman" w:cs="Times New Roman"/>
          <w:sz w:val="22"/>
          <w:szCs w:val="22"/>
          <w:lang w:val="en-GB"/>
        </w:rPr>
      </w:pPr>
      <w:r>
        <w:rPr>
          <w:rFonts w:ascii="Times New Roman" w:hAnsi="Times New Roman" w:cs="Times New Roman"/>
          <w:sz w:val="22"/>
          <w:szCs w:val="22"/>
          <w:lang w:val="en-GB"/>
        </w:rPr>
        <w:t>MOWA</w:t>
      </w:r>
      <w:r>
        <w:rPr>
          <w:rFonts w:ascii="Times New Roman" w:hAnsi="Times New Roman" w:cs="Times New Roman"/>
          <w:sz w:val="22"/>
          <w:szCs w:val="22"/>
          <w:lang w:val="en-GB"/>
        </w:rPr>
        <w:tab/>
      </w:r>
      <w:r>
        <w:rPr>
          <w:rFonts w:ascii="Times New Roman" w:hAnsi="Times New Roman" w:cs="Times New Roman"/>
          <w:sz w:val="22"/>
          <w:szCs w:val="22"/>
          <w:lang w:val="en-GB"/>
        </w:rPr>
        <w:tab/>
        <w:t>Ministry of Women’s Affairs</w:t>
      </w:r>
    </w:p>
    <w:p w:rsidR="009433D0" w:rsidRPr="00647752" w:rsidRDefault="009433D0" w:rsidP="009433D0">
      <w:pPr>
        <w:spacing w:after="0" w:line="240" w:lineRule="auto"/>
        <w:rPr>
          <w:rFonts w:ascii="Times New Roman" w:hAnsi="Times New Roman" w:cs="Times New Roman"/>
          <w:sz w:val="22"/>
          <w:szCs w:val="22"/>
          <w:lang w:val="en-GB"/>
        </w:rPr>
      </w:pPr>
      <w:r w:rsidRPr="00647752">
        <w:rPr>
          <w:rFonts w:ascii="Times New Roman" w:hAnsi="Times New Roman" w:cs="Times New Roman"/>
          <w:sz w:val="22"/>
          <w:szCs w:val="22"/>
          <w:lang w:val="en-GB"/>
        </w:rPr>
        <w:t>M&amp;E</w:t>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t>Monitoring and Evaluation</w:t>
      </w:r>
    </w:p>
    <w:p w:rsidR="009433D0" w:rsidRPr="00647752" w:rsidRDefault="009433D0" w:rsidP="009433D0">
      <w:pPr>
        <w:spacing w:after="0" w:line="240" w:lineRule="auto"/>
        <w:rPr>
          <w:rFonts w:ascii="Times New Roman" w:hAnsi="Times New Roman" w:cs="Times New Roman"/>
          <w:sz w:val="22"/>
          <w:szCs w:val="22"/>
          <w:lang w:val="en-GB"/>
        </w:rPr>
      </w:pPr>
      <w:r w:rsidRPr="00647752">
        <w:rPr>
          <w:rFonts w:ascii="Times New Roman" w:hAnsi="Times New Roman" w:cs="Times New Roman"/>
          <w:sz w:val="22"/>
          <w:szCs w:val="22"/>
          <w:lang w:val="en-GB"/>
        </w:rPr>
        <w:t>NDC</w:t>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r>
      <w:r>
        <w:rPr>
          <w:rFonts w:ascii="Times New Roman" w:hAnsi="Times New Roman" w:cs="Times New Roman"/>
          <w:sz w:val="22"/>
          <w:szCs w:val="22"/>
          <w:lang w:val="en-GB"/>
        </w:rPr>
        <w:t>NGO Development Centre</w:t>
      </w:r>
    </w:p>
    <w:p w:rsidR="009433D0" w:rsidRDefault="009433D0" w:rsidP="009433D0">
      <w:pPr>
        <w:spacing w:after="0" w:line="240" w:lineRule="auto"/>
        <w:rPr>
          <w:rFonts w:ascii="Times New Roman" w:hAnsi="Times New Roman" w:cs="Times New Roman"/>
          <w:sz w:val="22"/>
          <w:szCs w:val="22"/>
          <w:lang w:val="en-GB"/>
        </w:rPr>
      </w:pPr>
      <w:r>
        <w:rPr>
          <w:rFonts w:ascii="Times New Roman" w:hAnsi="Times New Roman" w:cs="Times New Roman"/>
          <w:sz w:val="22"/>
          <w:szCs w:val="22"/>
          <w:lang w:val="en-GB"/>
        </w:rPr>
        <w:t>NCJJ</w:t>
      </w:r>
      <w:r>
        <w:rPr>
          <w:rFonts w:ascii="Times New Roman" w:hAnsi="Times New Roman" w:cs="Times New Roman"/>
          <w:sz w:val="22"/>
          <w:szCs w:val="22"/>
          <w:lang w:val="en-GB"/>
        </w:rPr>
        <w:tab/>
      </w:r>
      <w:r>
        <w:rPr>
          <w:rFonts w:ascii="Times New Roman" w:hAnsi="Times New Roman" w:cs="Times New Roman"/>
          <w:sz w:val="22"/>
          <w:szCs w:val="22"/>
          <w:lang w:val="en-GB"/>
        </w:rPr>
        <w:tab/>
      </w:r>
      <w:r>
        <w:rPr>
          <w:rFonts w:ascii="Times New Roman" w:hAnsi="Times New Roman" w:cs="Times New Roman"/>
          <w:sz w:val="22"/>
          <w:szCs w:val="22"/>
          <w:lang w:val="en-GB"/>
        </w:rPr>
        <w:tab/>
        <w:t>National Committee on Juvenile Justice (MOSA)</w:t>
      </w:r>
    </w:p>
    <w:p w:rsidR="009433D0" w:rsidRPr="00647752" w:rsidRDefault="009433D0" w:rsidP="009433D0">
      <w:pPr>
        <w:spacing w:after="0" w:line="240" w:lineRule="auto"/>
        <w:rPr>
          <w:rFonts w:ascii="Times New Roman" w:hAnsi="Times New Roman" w:cs="Times New Roman"/>
          <w:sz w:val="22"/>
          <w:szCs w:val="22"/>
          <w:lang w:val="en-GB"/>
        </w:rPr>
      </w:pPr>
      <w:r w:rsidRPr="00647752">
        <w:rPr>
          <w:rFonts w:ascii="Times New Roman" w:hAnsi="Times New Roman" w:cs="Times New Roman"/>
          <w:sz w:val="22"/>
          <w:szCs w:val="22"/>
          <w:lang w:val="en-GB"/>
        </w:rPr>
        <w:t>NRC</w:t>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t>Norwegian Refugee Council</w:t>
      </w:r>
    </w:p>
    <w:p w:rsidR="009433D0" w:rsidRPr="00647752" w:rsidRDefault="009433D0" w:rsidP="009433D0">
      <w:pPr>
        <w:spacing w:after="0" w:line="240" w:lineRule="auto"/>
        <w:rPr>
          <w:rFonts w:ascii="Times New Roman" w:hAnsi="Times New Roman" w:cs="Times New Roman"/>
          <w:sz w:val="22"/>
          <w:szCs w:val="22"/>
          <w:lang w:val="en-GB"/>
        </w:rPr>
      </w:pPr>
      <w:r w:rsidRPr="00647752">
        <w:rPr>
          <w:rFonts w:ascii="Times New Roman" w:hAnsi="Times New Roman" w:cs="Times New Roman"/>
          <w:sz w:val="22"/>
          <w:szCs w:val="22"/>
          <w:lang w:val="en-GB"/>
        </w:rPr>
        <w:t>NRO</w:t>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t>Netherlands Representative Office (Ramallah)</w:t>
      </w:r>
    </w:p>
    <w:p w:rsidR="009433D0" w:rsidRPr="00647752" w:rsidRDefault="009433D0" w:rsidP="009433D0">
      <w:pPr>
        <w:spacing w:after="0" w:line="240" w:lineRule="auto"/>
        <w:rPr>
          <w:rFonts w:ascii="Times New Roman" w:hAnsi="Times New Roman" w:cs="Times New Roman"/>
          <w:sz w:val="22"/>
          <w:szCs w:val="22"/>
          <w:lang w:val="en-GB"/>
        </w:rPr>
      </w:pPr>
      <w:r w:rsidRPr="00647752">
        <w:rPr>
          <w:rFonts w:ascii="Times New Roman" w:hAnsi="Times New Roman" w:cs="Times New Roman"/>
          <w:sz w:val="22"/>
          <w:szCs w:val="22"/>
          <w:lang w:val="en-GB"/>
        </w:rPr>
        <w:t>OCHA</w:t>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t>Office for the Coordination of Humanitarian Affairs</w:t>
      </w:r>
    </w:p>
    <w:p w:rsidR="009433D0" w:rsidRPr="00647752" w:rsidRDefault="009433D0" w:rsidP="009433D0">
      <w:pPr>
        <w:spacing w:after="0" w:line="240" w:lineRule="auto"/>
        <w:rPr>
          <w:rFonts w:ascii="Times New Roman" w:hAnsi="Times New Roman" w:cs="Times New Roman"/>
          <w:sz w:val="22"/>
          <w:szCs w:val="22"/>
          <w:lang w:val="en-GB"/>
        </w:rPr>
      </w:pPr>
      <w:r w:rsidRPr="00647752">
        <w:rPr>
          <w:rFonts w:ascii="Times New Roman" w:hAnsi="Times New Roman" w:cs="Times New Roman"/>
          <w:sz w:val="22"/>
          <w:szCs w:val="22"/>
          <w:lang w:val="en-GB"/>
        </w:rPr>
        <w:t>OHCHR</w:t>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t>Office of the High Commissioner of Human Rights</w:t>
      </w:r>
    </w:p>
    <w:p w:rsidR="009433D0" w:rsidRPr="00647752" w:rsidRDefault="009433D0" w:rsidP="009433D0">
      <w:pPr>
        <w:spacing w:after="0" w:line="240" w:lineRule="auto"/>
        <w:rPr>
          <w:rFonts w:ascii="Times New Roman" w:hAnsi="Times New Roman" w:cs="Times New Roman"/>
          <w:sz w:val="22"/>
          <w:szCs w:val="22"/>
          <w:lang w:val="en-GB"/>
        </w:rPr>
      </w:pPr>
      <w:r w:rsidRPr="00647752">
        <w:rPr>
          <w:rFonts w:ascii="Times New Roman" w:hAnsi="Times New Roman" w:cs="Times New Roman"/>
          <w:sz w:val="22"/>
          <w:szCs w:val="22"/>
          <w:lang w:val="en-GB"/>
        </w:rPr>
        <w:t>oPt</w:t>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t>occupied Palestinian territory</w:t>
      </w:r>
    </w:p>
    <w:p w:rsidR="009433D0" w:rsidRPr="00647752" w:rsidRDefault="009433D0" w:rsidP="009433D0">
      <w:pPr>
        <w:spacing w:after="0" w:line="240" w:lineRule="auto"/>
        <w:rPr>
          <w:rFonts w:ascii="Times New Roman" w:hAnsi="Times New Roman" w:cs="Times New Roman"/>
          <w:sz w:val="22"/>
          <w:szCs w:val="22"/>
          <w:lang w:val="en-GB"/>
        </w:rPr>
      </w:pPr>
      <w:r w:rsidRPr="00647752">
        <w:rPr>
          <w:rFonts w:ascii="Times New Roman" w:hAnsi="Times New Roman" w:cs="Times New Roman"/>
          <w:sz w:val="22"/>
          <w:szCs w:val="22"/>
          <w:lang w:val="en-GB"/>
        </w:rPr>
        <w:t>PAPP</w:t>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t>Programme of Assistance to the Palestinian People (UNDP)</w:t>
      </w:r>
    </w:p>
    <w:p w:rsidR="009433D0" w:rsidRPr="00647752" w:rsidRDefault="009433D0" w:rsidP="009433D0">
      <w:pPr>
        <w:spacing w:after="0" w:line="240" w:lineRule="auto"/>
        <w:rPr>
          <w:rFonts w:ascii="Times New Roman" w:hAnsi="Times New Roman" w:cs="Times New Roman"/>
          <w:sz w:val="22"/>
          <w:szCs w:val="22"/>
          <w:lang w:val="en-GB"/>
        </w:rPr>
      </w:pPr>
      <w:r w:rsidRPr="00647752">
        <w:rPr>
          <w:rFonts w:ascii="Times New Roman" w:hAnsi="Times New Roman" w:cs="Times New Roman"/>
          <w:sz w:val="22"/>
          <w:szCs w:val="22"/>
          <w:lang w:val="en-GB"/>
        </w:rPr>
        <w:t>PBA</w:t>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t>Palestinian Bar Association</w:t>
      </w:r>
    </w:p>
    <w:p w:rsidR="009433D0" w:rsidRPr="00647752" w:rsidRDefault="009433D0" w:rsidP="009433D0">
      <w:pPr>
        <w:spacing w:after="0" w:line="240" w:lineRule="auto"/>
        <w:rPr>
          <w:rFonts w:ascii="Times New Roman" w:hAnsi="Times New Roman" w:cs="Times New Roman"/>
          <w:sz w:val="22"/>
          <w:szCs w:val="22"/>
          <w:lang w:val="en-GB"/>
        </w:rPr>
      </w:pPr>
      <w:r w:rsidRPr="00647752">
        <w:rPr>
          <w:rFonts w:ascii="Times New Roman" w:hAnsi="Times New Roman" w:cs="Times New Roman"/>
          <w:sz w:val="22"/>
          <w:szCs w:val="22"/>
          <w:lang w:val="en-GB"/>
        </w:rPr>
        <w:t>PCDCR</w:t>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t>Palestinian Centre for Democracy and Conflict Resolution</w:t>
      </w:r>
    </w:p>
    <w:p w:rsidR="009433D0" w:rsidRDefault="009433D0" w:rsidP="009433D0">
      <w:pPr>
        <w:spacing w:after="0" w:line="240" w:lineRule="auto"/>
        <w:rPr>
          <w:rFonts w:ascii="Times New Roman" w:hAnsi="Times New Roman" w:cs="Times New Roman"/>
          <w:sz w:val="22"/>
          <w:szCs w:val="22"/>
          <w:lang w:val="en-GB"/>
        </w:rPr>
      </w:pPr>
      <w:r>
        <w:rPr>
          <w:rFonts w:ascii="Times New Roman" w:hAnsi="Times New Roman" w:cs="Times New Roman"/>
          <w:sz w:val="22"/>
          <w:szCs w:val="22"/>
          <w:lang w:val="en-GB"/>
        </w:rPr>
        <w:t>PCP</w:t>
      </w:r>
      <w:r>
        <w:rPr>
          <w:rFonts w:ascii="Times New Roman" w:hAnsi="Times New Roman" w:cs="Times New Roman"/>
          <w:sz w:val="22"/>
          <w:szCs w:val="22"/>
          <w:lang w:val="en-GB"/>
        </w:rPr>
        <w:tab/>
      </w:r>
      <w:r>
        <w:rPr>
          <w:rFonts w:ascii="Times New Roman" w:hAnsi="Times New Roman" w:cs="Times New Roman"/>
          <w:sz w:val="22"/>
          <w:szCs w:val="22"/>
          <w:lang w:val="en-GB"/>
        </w:rPr>
        <w:tab/>
      </w:r>
      <w:r>
        <w:rPr>
          <w:rFonts w:ascii="Times New Roman" w:hAnsi="Times New Roman" w:cs="Times New Roman"/>
          <w:sz w:val="22"/>
          <w:szCs w:val="22"/>
          <w:lang w:val="en-GB"/>
        </w:rPr>
        <w:tab/>
        <w:t>Palestinian Civil Police</w:t>
      </w:r>
    </w:p>
    <w:p w:rsidR="009433D0" w:rsidRDefault="009433D0" w:rsidP="009433D0">
      <w:pPr>
        <w:spacing w:after="0" w:line="240" w:lineRule="auto"/>
        <w:rPr>
          <w:rFonts w:ascii="Times New Roman" w:hAnsi="Times New Roman" w:cs="Times New Roman"/>
          <w:sz w:val="22"/>
          <w:szCs w:val="22"/>
          <w:lang w:val="en-GB"/>
        </w:rPr>
      </w:pPr>
      <w:r>
        <w:rPr>
          <w:rFonts w:ascii="Times New Roman" w:hAnsi="Times New Roman" w:cs="Times New Roman"/>
          <w:sz w:val="22"/>
          <w:szCs w:val="22"/>
          <w:lang w:val="en-GB"/>
        </w:rPr>
        <w:t>PJI</w:t>
      </w:r>
      <w:r>
        <w:rPr>
          <w:rFonts w:ascii="Times New Roman" w:hAnsi="Times New Roman" w:cs="Times New Roman"/>
          <w:sz w:val="22"/>
          <w:szCs w:val="22"/>
          <w:lang w:val="en-GB"/>
        </w:rPr>
        <w:tab/>
      </w:r>
      <w:r>
        <w:rPr>
          <w:rFonts w:ascii="Times New Roman" w:hAnsi="Times New Roman" w:cs="Times New Roman"/>
          <w:sz w:val="22"/>
          <w:szCs w:val="22"/>
          <w:lang w:val="en-GB"/>
        </w:rPr>
        <w:tab/>
      </w:r>
      <w:r>
        <w:rPr>
          <w:rFonts w:ascii="Times New Roman" w:hAnsi="Times New Roman" w:cs="Times New Roman"/>
          <w:sz w:val="22"/>
          <w:szCs w:val="22"/>
          <w:lang w:val="en-GB"/>
        </w:rPr>
        <w:tab/>
        <w:t>Palestinian Judicial Institute</w:t>
      </w:r>
    </w:p>
    <w:p w:rsidR="009433D0" w:rsidRPr="00647752" w:rsidRDefault="009433D0" w:rsidP="009433D0">
      <w:pPr>
        <w:spacing w:after="0" w:line="240" w:lineRule="auto"/>
        <w:rPr>
          <w:rFonts w:ascii="Times New Roman" w:hAnsi="Times New Roman" w:cs="Times New Roman"/>
          <w:sz w:val="22"/>
          <w:szCs w:val="22"/>
          <w:lang w:val="en-GB"/>
        </w:rPr>
      </w:pPr>
      <w:r w:rsidRPr="00647752">
        <w:rPr>
          <w:rFonts w:ascii="Times New Roman" w:hAnsi="Times New Roman" w:cs="Times New Roman"/>
          <w:sz w:val="22"/>
          <w:szCs w:val="22"/>
          <w:lang w:val="en-GB"/>
        </w:rPr>
        <w:t>PLC</w:t>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t>Palestinian Legislative Council</w:t>
      </w:r>
    </w:p>
    <w:p w:rsidR="009433D0" w:rsidRPr="00647752" w:rsidRDefault="009433D0" w:rsidP="009433D0">
      <w:pPr>
        <w:spacing w:after="0" w:line="240" w:lineRule="auto"/>
        <w:rPr>
          <w:rFonts w:ascii="Times New Roman" w:hAnsi="Times New Roman" w:cs="Times New Roman"/>
          <w:sz w:val="22"/>
          <w:szCs w:val="22"/>
          <w:lang w:val="en-GB"/>
        </w:rPr>
      </w:pPr>
      <w:r w:rsidRPr="00647752">
        <w:rPr>
          <w:rFonts w:ascii="Times New Roman" w:hAnsi="Times New Roman" w:cs="Times New Roman"/>
          <w:sz w:val="22"/>
          <w:szCs w:val="22"/>
          <w:lang w:val="en-GB"/>
        </w:rPr>
        <w:t>PMF</w:t>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t>Palestinian Maintenance Fund</w:t>
      </w:r>
    </w:p>
    <w:p w:rsidR="009433D0" w:rsidRPr="00647752" w:rsidRDefault="009433D0" w:rsidP="009433D0">
      <w:pPr>
        <w:spacing w:after="0" w:line="240" w:lineRule="auto"/>
        <w:rPr>
          <w:rFonts w:ascii="Times New Roman" w:hAnsi="Times New Roman" w:cs="Times New Roman"/>
          <w:sz w:val="22"/>
          <w:szCs w:val="22"/>
          <w:lang w:val="en-GB"/>
        </w:rPr>
      </w:pPr>
      <w:r w:rsidRPr="00647752">
        <w:rPr>
          <w:rFonts w:ascii="Times New Roman" w:hAnsi="Times New Roman" w:cs="Times New Roman"/>
          <w:sz w:val="22"/>
          <w:szCs w:val="22"/>
          <w:lang w:val="en-GB"/>
        </w:rPr>
        <w:t>PNA</w:t>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t>Palestinian National Authority</w:t>
      </w:r>
    </w:p>
    <w:p w:rsidR="009433D0" w:rsidRPr="00647752" w:rsidRDefault="009433D0" w:rsidP="009433D0">
      <w:pPr>
        <w:spacing w:after="0" w:line="240" w:lineRule="auto"/>
        <w:rPr>
          <w:rFonts w:ascii="Times New Roman" w:hAnsi="Times New Roman" w:cs="Times New Roman"/>
          <w:sz w:val="22"/>
          <w:szCs w:val="22"/>
          <w:lang w:val="en-GB"/>
        </w:rPr>
      </w:pPr>
      <w:r w:rsidRPr="00647752">
        <w:rPr>
          <w:rFonts w:ascii="Times New Roman" w:hAnsi="Times New Roman" w:cs="Times New Roman"/>
          <w:sz w:val="22"/>
          <w:szCs w:val="22"/>
          <w:lang w:val="en-GB"/>
        </w:rPr>
        <w:t>PPMU</w:t>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t>Planning and Project Management Unit (AGO/HJC)</w:t>
      </w:r>
    </w:p>
    <w:p w:rsidR="009433D0" w:rsidRPr="00647752" w:rsidRDefault="009433D0" w:rsidP="009433D0">
      <w:pPr>
        <w:spacing w:after="0" w:line="240" w:lineRule="auto"/>
        <w:rPr>
          <w:rFonts w:ascii="Times New Roman" w:hAnsi="Times New Roman" w:cs="Times New Roman"/>
          <w:sz w:val="22"/>
          <w:szCs w:val="22"/>
          <w:lang w:val="en-GB"/>
        </w:rPr>
      </w:pPr>
      <w:r w:rsidRPr="00647752">
        <w:rPr>
          <w:rFonts w:ascii="Times New Roman" w:hAnsi="Times New Roman" w:cs="Times New Roman"/>
          <w:sz w:val="22"/>
          <w:szCs w:val="22"/>
          <w:lang w:val="en-GB"/>
        </w:rPr>
        <w:t>Sida</w:t>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t>Swedish International Development Cooperation Agency</w:t>
      </w:r>
    </w:p>
    <w:p w:rsidR="009433D0" w:rsidRPr="00647752" w:rsidRDefault="009433D0" w:rsidP="009433D0">
      <w:pPr>
        <w:spacing w:after="0" w:line="240" w:lineRule="auto"/>
        <w:rPr>
          <w:rFonts w:ascii="Times New Roman" w:hAnsi="Times New Roman" w:cs="Times New Roman"/>
          <w:sz w:val="22"/>
          <w:szCs w:val="22"/>
          <w:lang w:val="en-GB"/>
        </w:rPr>
      </w:pPr>
      <w:r w:rsidRPr="00647752">
        <w:rPr>
          <w:rFonts w:ascii="Times New Roman" w:hAnsi="Times New Roman" w:cs="Times New Roman"/>
          <w:sz w:val="22"/>
          <w:szCs w:val="22"/>
          <w:lang w:val="en-GB"/>
        </w:rPr>
        <w:t>TAU</w:t>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t>Technical Advisory Unit (MOJ)</w:t>
      </w:r>
    </w:p>
    <w:p w:rsidR="009433D0" w:rsidRPr="00647752" w:rsidRDefault="009433D0" w:rsidP="009433D0">
      <w:pPr>
        <w:spacing w:after="0" w:line="240" w:lineRule="auto"/>
        <w:rPr>
          <w:rFonts w:ascii="Times New Roman" w:hAnsi="Times New Roman" w:cs="Times New Roman"/>
          <w:sz w:val="22"/>
          <w:szCs w:val="22"/>
          <w:lang w:val="en-GB"/>
        </w:rPr>
      </w:pPr>
      <w:r w:rsidRPr="00647752">
        <w:rPr>
          <w:rFonts w:ascii="Times New Roman" w:hAnsi="Times New Roman" w:cs="Times New Roman"/>
          <w:sz w:val="22"/>
          <w:szCs w:val="22"/>
          <w:lang w:val="en-GB"/>
        </w:rPr>
        <w:t>UNDP</w:t>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t>United Nations Development Programme</w:t>
      </w:r>
    </w:p>
    <w:p w:rsidR="009433D0" w:rsidRDefault="009433D0" w:rsidP="009433D0">
      <w:pPr>
        <w:spacing w:after="0" w:line="240" w:lineRule="auto"/>
        <w:rPr>
          <w:rFonts w:ascii="Times New Roman" w:hAnsi="Times New Roman" w:cs="Times New Roman"/>
          <w:sz w:val="22"/>
          <w:szCs w:val="22"/>
          <w:lang w:val="en-GB"/>
        </w:rPr>
      </w:pPr>
      <w:r>
        <w:rPr>
          <w:rFonts w:ascii="Times New Roman" w:hAnsi="Times New Roman" w:cs="Times New Roman"/>
          <w:sz w:val="22"/>
          <w:szCs w:val="22"/>
          <w:lang w:val="en-GB"/>
        </w:rPr>
        <w:t>UNRWA</w:t>
      </w:r>
      <w:r>
        <w:rPr>
          <w:rFonts w:ascii="Times New Roman" w:hAnsi="Times New Roman" w:cs="Times New Roman"/>
          <w:sz w:val="22"/>
          <w:szCs w:val="22"/>
          <w:lang w:val="en-GB"/>
        </w:rPr>
        <w:tab/>
      </w:r>
      <w:r>
        <w:rPr>
          <w:rFonts w:ascii="Times New Roman" w:hAnsi="Times New Roman" w:cs="Times New Roman"/>
          <w:sz w:val="22"/>
          <w:szCs w:val="22"/>
          <w:lang w:val="en-GB"/>
        </w:rPr>
        <w:tab/>
        <w:t>United Nations Relief and Works Agency</w:t>
      </w:r>
    </w:p>
    <w:p w:rsidR="009433D0" w:rsidRPr="00647752" w:rsidRDefault="009433D0" w:rsidP="009433D0">
      <w:pPr>
        <w:spacing w:after="0" w:line="240" w:lineRule="auto"/>
        <w:rPr>
          <w:rFonts w:ascii="Times New Roman" w:hAnsi="Times New Roman" w:cs="Times New Roman"/>
          <w:sz w:val="22"/>
          <w:szCs w:val="22"/>
          <w:lang w:val="en-GB"/>
        </w:rPr>
      </w:pPr>
      <w:r w:rsidRPr="00647752">
        <w:rPr>
          <w:rFonts w:ascii="Times New Roman" w:hAnsi="Times New Roman" w:cs="Times New Roman"/>
          <w:sz w:val="22"/>
          <w:szCs w:val="22"/>
          <w:lang w:val="en-GB"/>
        </w:rPr>
        <w:t>WCLAC</w:t>
      </w:r>
      <w:r w:rsidRPr="00647752">
        <w:rPr>
          <w:rFonts w:ascii="Times New Roman" w:hAnsi="Times New Roman" w:cs="Times New Roman"/>
          <w:sz w:val="22"/>
          <w:szCs w:val="22"/>
          <w:lang w:val="en-GB"/>
        </w:rPr>
        <w:tab/>
      </w:r>
      <w:r w:rsidRPr="00647752">
        <w:rPr>
          <w:rFonts w:ascii="Times New Roman" w:hAnsi="Times New Roman" w:cs="Times New Roman"/>
          <w:sz w:val="22"/>
          <w:szCs w:val="22"/>
          <w:lang w:val="en-GB"/>
        </w:rPr>
        <w:tab/>
        <w:t>Women’s Centre for Legal Aid and Counsel</w:t>
      </w:r>
      <w:r>
        <w:rPr>
          <w:rFonts w:ascii="Times New Roman" w:hAnsi="Times New Roman" w:cs="Times New Roman"/>
          <w:sz w:val="22"/>
          <w:szCs w:val="22"/>
          <w:lang w:val="en-GB"/>
        </w:rPr>
        <w:t>l</w:t>
      </w:r>
      <w:r w:rsidRPr="00647752">
        <w:rPr>
          <w:rFonts w:ascii="Times New Roman" w:hAnsi="Times New Roman" w:cs="Times New Roman"/>
          <w:sz w:val="22"/>
          <w:szCs w:val="22"/>
          <w:lang w:val="en-GB"/>
        </w:rPr>
        <w:t>ing  </w:t>
      </w:r>
    </w:p>
    <w:p w:rsidR="00687BF0" w:rsidRPr="00647752" w:rsidRDefault="00687BF0" w:rsidP="00FB6759">
      <w:pPr>
        <w:pStyle w:val="Heading1"/>
        <w:spacing w:after="0" w:line="240" w:lineRule="auto"/>
        <w:jc w:val="center"/>
        <w:rPr>
          <w:rFonts w:ascii="Times New Roman" w:hAnsi="Times New Roman" w:cs="Times New Roman"/>
          <w:sz w:val="22"/>
          <w:szCs w:val="22"/>
          <w:lang w:val="en-GB"/>
        </w:rPr>
      </w:pPr>
      <w:r w:rsidRPr="00647752">
        <w:rPr>
          <w:rFonts w:ascii="Times New Roman" w:hAnsi="Times New Roman" w:cs="Times New Roman"/>
          <w:sz w:val="22"/>
          <w:szCs w:val="22"/>
          <w:lang w:val="en-GB"/>
        </w:rPr>
        <w:lastRenderedPageBreak/>
        <w:t>Table of Contents</w:t>
      </w:r>
      <w:bookmarkEnd w:id="0"/>
    </w:p>
    <w:p w:rsidR="00FB6759" w:rsidRPr="009433D0" w:rsidRDefault="00FB6759" w:rsidP="009433D0">
      <w:pPr>
        <w:spacing w:after="0" w:line="240" w:lineRule="auto"/>
        <w:rPr>
          <w:rFonts w:ascii="Times New Roman" w:hAnsi="Times New Roman" w:cs="Times New Roman"/>
          <w:sz w:val="22"/>
          <w:szCs w:val="22"/>
          <w:lang w:val="en-GB"/>
        </w:rPr>
      </w:pPr>
    </w:p>
    <w:p w:rsidR="009433D0" w:rsidRPr="009433D0" w:rsidRDefault="009433D0" w:rsidP="009433D0">
      <w:pPr>
        <w:pStyle w:val="unknownstyle"/>
        <w:spacing w:line="240" w:lineRule="auto"/>
        <w:jc w:val="center"/>
        <w:rPr>
          <w:rFonts w:ascii="Times New Roman" w:hAnsi="Times New Roman" w:cs="Times New Roman"/>
          <w:b/>
          <w:bCs/>
          <w:color w:val="auto"/>
          <w:sz w:val="22"/>
          <w:szCs w:val="22"/>
          <w:lang w:val="en-GB"/>
        </w:rPr>
      </w:pPr>
      <w:bookmarkStart w:id="1" w:name="_Toc231801785"/>
    </w:p>
    <w:p w:rsidR="009433D0" w:rsidRDefault="00823DE9" w:rsidP="004F767E">
      <w:pPr>
        <w:pStyle w:val="BodyText"/>
        <w:tabs>
          <w:tab w:val="right" w:leader="dot" w:pos="8325"/>
        </w:tabs>
        <w:spacing w:after="0" w:line="288" w:lineRule="auto"/>
        <w:jc w:val="both"/>
        <w:rPr>
          <w:rFonts w:ascii="Times New Roman" w:hAnsi="Times New Roman" w:cs="Times New Roman"/>
          <w:color w:val="auto"/>
          <w:lang w:val="en-GB"/>
        </w:rPr>
      </w:pPr>
      <w:r>
        <w:rPr>
          <w:rFonts w:ascii="Times New Roman" w:hAnsi="Times New Roman" w:cs="Times New Roman"/>
          <w:color w:val="auto"/>
          <w:lang w:val="en-GB"/>
        </w:rPr>
        <w:t>Executive Summary</w:t>
      </w:r>
      <w:r>
        <w:rPr>
          <w:rFonts w:ascii="Times New Roman" w:hAnsi="Times New Roman" w:cs="Times New Roman"/>
          <w:color w:val="auto"/>
          <w:lang w:val="en-GB"/>
        </w:rPr>
        <w:tab/>
        <w:t>iv</w:t>
      </w:r>
    </w:p>
    <w:p w:rsidR="009433D0" w:rsidRPr="009433D0" w:rsidRDefault="00823DE9" w:rsidP="004F767E">
      <w:pPr>
        <w:pStyle w:val="BodyText"/>
        <w:tabs>
          <w:tab w:val="right" w:leader="dot" w:pos="8325"/>
        </w:tabs>
        <w:spacing w:after="0" w:line="288" w:lineRule="auto"/>
        <w:jc w:val="both"/>
        <w:rPr>
          <w:rFonts w:ascii="Times New Roman" w:hAnsi="Times New Roman" w:cs="Times New Roman"/>
          <w:b/>
          <w:bCs/>
          <w:color w:val="auto"/>
          <w:lang w:val="en-GB"/>
        </w:rPr>
      </w:pPr>
      <w:r>
        <w:rPr>
          <w:rFonts w:ascii="Times New Roman" w:hAnsi="Times New Roman" w:cs="Times New Roman"/>
          <w:color w:val="auto"/>
          <w:lang w:val="en-GB"/>
        </w:rPr>
        <w:t>Map of the West Bank</w:t>
      </w:r>
      <w:r w:rsidR="009433D0" w:rsidRPr="009433D0">
        <w:rPr>
          <w:rFonts w:ascii="Times New Roman" w:hAnsi="Times New Roman" w:cs="Times New Roman"/>
          <w:color w:val="auto"/>
          <w:lang w:val="en-GB"/>
        </w:rPr>
        <w:tab/>
      </w:r>
      <w:r>
        <w:rPr>
          <w:rFonts w:ascii="Times New Roman" w:hAnsi="Times New Roman" w:cs="Times New Roman"/>
          <w:color w:val="auto"/>
          <w:lang w:val="en-GB"/>
        </w:rPr>
        <w:t>xv</w:t>
      </w:r>
    </w:p>
    <w:p w:rsidR="009433D0" w:rsidRPr="009433D0" w:rsidRDefault="00823DE9" w:rsidP="004F767E">
      <w:pPr>
        <w:pStyle w:val="BodyText"/>
        <w:tabs>
          <w:tab w:val="right" w:leader="dot" w:pos="8325"/>
        </w:tabs>
        <w:spacing w:after="0" w:line="288" w:lineRule="auto"/>
        <w:jc w:val="both"/>
        <w:rPr>
          <w:rFonts w:ascii="Times New Roman" w:hAnsi="Times New Roman" w:cs="Times New Roman"/>
          <w:color w:val="auto"/>
          <w:lang w:val="en-GB"/>
        </w:rPr>
      </w:pPr>
      <w:r>
        <w:rPr>
          <w:rFonts w:ascii="Times New Roman" w:hAnsi="Times New Roman" w:cs="Times New Roman"/>
          <w:color w:val="auto"/>
          <w:lang w:val="en-GB"/>
        </w:rPr>
        <w:t>Map of the Gaza Strip</w:t>
      </w:r>
      <w:r w:rsidR="009433D0" w:rsidRPr="009433D0">
        <w:rPr>
          <w:rFonts w:ascii="Times New Roman" w:hAnsi="Times New Roman" w:cs="Times New Roman"/>
          <w:color w:val="auto"/>
          <w:lang w:val="en-GB"/>
        </w:rPr>
        <w:tab/>
      </w:r>
      <w:r>
        <w:rPr>
          <w:rFonts w:ascii="Times New Roman" w:hAnsi="Times New Roman" w:cs="Times New Roman"/>
          <w:color w:val="auto"/>
          <w:lang w:val="en-GB"/>
        </w:rPr>
        <w:t>xvi</w:t>
      </w:r>
    </w:p>
    <w:p w:rsidR="009433D0" w:rsidRPr="009433D0" w:rsidRDefault="00D80277" w:rsidP="004F767E">
      <w:pPr>
        <w:pStyle w:val="BodyText"/>
        <w:tabs>
          <w:tab w:val="right" w:leader="dot" w:pos="8325"/>
        </w:tabs>
        <w:spacing w:after="0" w:line="288" w:lineRule="auto"/>
        <w:jc w:val="both"/>
        <w:rPr>
          <w:rFonts w:ascii="Times New Roman" w:hAnsi="Times New Roman" w:cs="Times New Roman"/>
          <w:color w:val="auto"/>
          <w:lang w:val="en-GB"/>
        </w:rPr>
      </w:pPr>
      <w:r>
        <w:rPr>
          <w:rFonts w:ascii="Times New Roman" w:hAnsi="Times New Roman" w:cs="Times New Roman"/>
          <w:color w:val="auto"/>
          <w:lang w:val="en-GB"/>
        </w:rPr>
        <w:t>Introduction</w:t>
      </w:r>
      <w:r w:rsidR="00823DE9">
        <w:rPr>
          <w:rFonts w:ascii="Times New Roman" w:hAnsi="Times New Roman" w:cs="Times New Roman"/>
          <w:color w:val="auto"/>
          <w:lang w:val="en-GB"/>
        </w:rPr>
        <w:tab/>
        <w:t>1</w:t>
      </w:r>
    </w:p>
    <w:p w:rsidR="009433D0" w:rsidRPr="009433D0" w:rsidRDefault="00D80277" w:rsidP="004F767E">
      <w:pPr>
        <w:pStyle w:val="BodyText"/>
        <w:tabs>
          <w:tab w:val="right" w:leader="dot" w:pos="8325"/>
        </w:tabs>
        <w:spacing w:after="0" w:line="288" w:lineRule="auto"/>
        <w:jc w:val="both"/>
        <w:rPr>
          <w:rFonts w:ascii="Times New Roman" w:hAnsi="Times New Roman" w:cs="Times New Roman"/>
          <w:color w:val="auto"/>
          <w:lang w:val="en-GB"/>
        </w:rPr>
      </w:pPr>
      <w:r>
        <w:rPr>
          <w:rFonts w:ascii="Times New Roman" w:hAnsi="Times New Roman" w:cs="Times New Roman"/>
          <w:color w:val="auto"/>
          <w:lang w:val="en-GB"/>
        </w:rPr>
        <w:t>Background and Context</w:t>
      </w:r>
      <w:r>
        <w:rPr>
          <w:rFonts w:ascii="Times New Roman" w:hAnsi="Times New Roman" w:cs="Times New Roman"/>
          <w:color w:val="auto"/>
          <w:lang w:val="en-GB"/>
        </w:rPr>
        <w:tab/>
        <w:t>4</w:t>
      </w:r>
    </w:p>
    <w:p w:rsidR="009433D0" w:rsidRPr="009433D0" w:rsidRDefault="00D80277" w:rsidP="004F767E">
      <w:pPr>
        <w:pStyle w:val="BodyText"/>
        <w:tabs>
          <w:tab w:val="right" w:leader="dot" w:pos="8325"/>
        </w:tabs>
        <w:spacing w:after="0" w:line="288" w:lineRule="auto"/>
        <w:jc w:val="both"/>
        <w:rPr>
          <w:rFonts w:ascii="Times New Roman" w:hAnsi="Times New Roman" w:cs="Times New Roman"/>
          <w:color w:val="auto"/>
          <w:lang w:val="en-GB"/>
        </w:rPr>
      </w:pPr>
      <w:r>
        <w:rPr>
          <w:rFonts w:ascii="Times New Roman" w:hAnsi="Times New Roman" w:cs="Times New Roman"/>
          <w:color w:val="auto"/>
          <w:lang w:val="en-GB"/>
        </w:rPr>
        <w:t>Overview UNDP Rule of Law &amp; Access to Justice Programme in the oPt</w:t>
      </w:r>
      <w:r>
        <w:rPr>
          <w:rFonts w:ascii="Times New Roman" w:hAnsi="Times New Roman" w:cs="Times New Roman"/>
          <w:color w:val="auto"/>
          <w:lang w:val="en-GB"/>
        </w:rPr>
        <w:tab/>
        <w:t>10</w:t>
      </w:r>
    </w:p>
    <w:p w:rsidR="009433D0" w:rsidRPr="009433D0" w:rsidRDefault="00D80277" w:rsidP="004F767E">
      <w:pPr>
        <w:pStyle w:val="BodyText"/>
        <w:tabs>
          <w:tab w:val="right" w:leader="dot" w:pos="8325"/>
        </w:tabs>
        <w:spacing w:after="0" w:line="288" w:lineRule="auto"/>
        <w:jc w:val="both"/>
        <w:rPr>
          <w:rFonts w:ascii="Times New Roman" w:hAnsi="Times New Roman" w:cs="Times New Roman"/>
          <w:color w:val="auto"/>
          <w:lang w:val="en-GB"/>
        </w:rPr>
      </w:pPr>
      <w:r>
        <w:rPr>
          <w:rFonts w:ascii="Times New Roman" w:hAnsi="Times New Roman" w:cs="Times New Roman"/>
          <w:color w:val="auto"/>
          <w:lang w:val="en-GB"/>
        </w:rPr>
        <w:t>Evaluation Findings</w:t>
      </w:r>
      <w:r>
        <w:rPr>
          <w:rFonts w:ascii="Times New Roman" w:hAnsi="Times New Roman" w:cs="Times New Roman"/>
          <w:color w:val="auto"/>
          <w:lang w:val="en-GB"/>
        </w:rPr>
        <w:tab/>
        <w:t>11</w:t>
      </w:r>
    </w:p>
    <w:p w:rsidR="009433D0" w:rsidRPr="009433D0" w:rsidRDefault="00D80277" w:rsidP="004F767E">
      <w:pPr>
        <w:pStyle w:val="BodyText"/>
        <w:tabs>
          <w:tab w:val="right" w:leader="dot" w:pos="8325"/>
        </w:tabs>
        <w:spacing w:after="0" w:line="288" w:lineRule="auto"/>
        <w:jc w:val="both"/>
        <w:rPr>
          <w:rFonts w:ascii="Times New Roman" w:hAnsi="Times New Roman" w:cs="Times New Roman"/>
          <w:color w:val="auto"/>
          <w:lang w:val="en-GB"/>
        </w:rPr>
      </w:pPr>
      <w:r>
        <w:rPr>
          <w:rFonts w:ascii="Times New Roman" w:hAnsi="Times New Roman" w:cs="Times New Roman"/>
          <w:color w:val="auto"/>
          <w:lang w:val="en-GB"/>
        </w:rPr>
        <w:t>Outcome 1; Capacity of rule of law institutions strengthened</w:t>
      </w:r>
      <w:r w:rsidR="009433D0" w:rsidRPr="009433D0">
        <w:rPr>
          <w:rFonts w:ascii="Times New Roman" w:hAnsi="Times New Roman" w:cs="Times New Roman"/>
          <w:color w:val="auto"/>
          <w:lang w:val="en-GB"/>
        </w:rPr>
        <w:tab/>
      </w:r>
      <w:r>
        <w:rPr>
          <w:rFonts w:ascii="Times New Roman" w:hAnsi="Times New Roman" w:cs="Times New Roman"/>
          <w:color w:val="auto"/>
          <w:lang w:val="en-GB"/>
        </w:rPr>
        <w:t>13</w:t>
      </w:r>
    </w:p>
    <w:p w:rsidR="009433D0" w:rsidRPr="009433D0" w:rsidRDefault="00D80277" w:rsidP="004F767E">
      <w:pPr>
        <w:pStyle w:val="BodyText"/>
        <w:tabs>
          <w:tab w:val="right" w:leader="dot" w:pos="8325"/>
        </w:tabs>
        <w:spacing w:after="0" w:line="288" w:lineRule="auto"/>
        <w:jc w:val="both"/>
        <w:rPr>
          <w:rFonts w:ascii="Times New Roman" w:hAnsi="Times New Roman" w:cs="Times New Roman"/>
          <w:color w:val="auto"/>
          <w:lang w:val="en-GB"/>
        </w:rPr>
      </w:pPr>
      <w:r>
        <w:rPr>
          <w:rFonts w:ascii="Times New Roman" w:hAnsi="Times New Roman" w:cs="Times New Roman"/>
          <w:color w:val="auto"/>
          <w:lang w:val="en-GB"/>
        </w:rPr>
        <w:t>Outcome 2: Access to justice at local and grassroots levels enhanced</w:t>
      </w:r>
      <w:r w:rsidR="009433D0" w:rsidRPr="009433D0">
        <w:rPr>
          <w:rFonts w:ascii="Times New Roman" w:hAnsi="Times New Roman" w:cs="Times New Roman"/>
          <w:color w:val="auto"/>
          <w:lang w:val="en-GB"/>
        </w:rPr>
        <w:tab/>
      </w:r>
      <w:r>
        <w:rPr>
          <w:rFonts w:ascii="Times New Roman" w:hAnsi="Times New Roman" w:cs="Times New Roman"/>
          <w:color w:val="auto"/>
          <w:lang w:val="en-GB"/>
        </w:rPr>
        <w:t>33</w:t>
      </w:r>
    </w:p>
    <w:p w:rsidR="00D80277" w:rsidRPr="009433D0" w:rsidRDefault="00D80277" w:rsidP="004F767E">
      <w:pPr>
        <w:pStyle w:val="BodyText"/>
        <w:tabs>
          <w:tab w:val="right" w:leader="dot" w:pos="8325"/>
        </w:tabs>
        <w:spacing w:after="0" w:line="288" w:lineRule="auto"/>
        <w:jc w:val="both"/>
        <w:rPr>
          <w:rFonts w:ascii="Times New Roman" w:hAnsi="Times New Roman" w:cs="Times New Roman"/>
          <w:color w:val="auto"/>
          <w:lang w:val="en-GB"/>
        </w:rPr>
      </w:pPr>
      <w:r>
        <w:rPr>
          <w:rFonts w:ascii="Times New Roman" w:hAnsi="Times New Roman" w:cs="Times New Roman"/>
          <w:color w:val="auto"/>
          <w:lang w:val="en-GB"/>
        </w:rPr>
        <w:t>Outcome 3: Gender and juvenile justice improved</w:t>
      </w:r>
      <w:r>
        <w:rPr>
          <w:rFonts w:ascii="Times New Roman" w:hAnsi="Times New Roman" w:cs="Times New Roman"/>
          <w:color w:val="auto"/>
          <w:lang w:val="en-GB"/>
        </w:rPr>
        <w:tab/>
        <w:t>53</w:t>
      </w:r>
    </w:p>
    <w:p w:rsidR="00D80277" w:rsidRPr="009433D0" w:rsidRDefault="00D80277" w:rsidP="004F767E">
      <w:pPr>
        <w:pStyle w:val="BodyText"/>
        <w:tabs>
          <w:tab w:val="right" w:leader="dot" w:pos="8325"/>
        </w:tabs>
        <w:spacing w:after="0" w:line="288" w:lineRule="auto"/>
        <w:jc w:val="both"/>
        <w:rPr>
          <w:rFonts w:ascii="Times New Roman" w:hAnsi="Times New Roman" w:cs="Times New Roman"/>
          <w:color w:val="auto"/>
          <w:lang w:val="en-GB"/>
        </w:rPr>
      </w:pPr>
      <w:r>
        <w:rPr>
          <w:rFonts w:ascii="Times New Roman" w:hAnsi="Times New Roman" w:cs="Times New Roman"/>
          <w:color w:val="auto"/>
          <w:lang w:val="en-GB"/>
        </w:rPr>
        <w:t>Outcome 4: Rule of law in the Gaza Strip initiated</w:t>
      </w:r>
      <w:r w:rsidRPr="009433D0">
        <w:rPr>
          <w:rFonts w:ascii="Times New Roman" w:hAnsi="Times New Roman" w:cs="Times New Roman"/>
          <w:color w:val="auto"/>
          <w:lang w:val="en-GB"/>
        </w:rPr>
        <w:tab/>
      </w:r>
      <w:r>
        <w:rPr>
          <w:rFonts w:ascii="Times New Roman" w:hAnsi="Times New Roman" w:cs="Times New Roman"/>
          <w:color w:val="auto"/>
          <w:lang w:val="en-GB"/>
        </w:rPr>
        <w:t>61</w:t>
      </w:r>
    </w:p>
    <w:p w:rsidR="00D80277" w:rsidRPr="009433D0" w:rsidRDefault="00D80277" w:rsidP="004F767E">
      <w:pPr>
        <w:pStyle w:val="BodyText"/>
        <w:tabs>
          <w:tab w:val="right" w:leader="dot" w:pos="8325"/>
        </w:tabs>
        <w:spacing w:after="0" w:line="288" w:lineRule="auto"/>
        <w:jc w:val="both"/>
        <w:rPr>
          <w:rFonts w:ascii="Times New Roman" w:hAnsi="Times New Roman" w:cs="Times New Roman"/>
          <w:color w:val="auto"/>
          <w:lang w:val="en-GB"/>
        </w:rPr>
      </w:pPr>
      <w:r>
        <w:rPr>
          <w:rFonts w:ascii="Times New Roman" w:hAnsi="Times New Roman" w:cs="Times New Roman"/>
          <w:color w:val="auto"/>
          <w:lang w:val="en-GB"/>
        </w:rPr>
        <w:t>Outcome 5: Confidence-building amongst stakeholders promoted</w:t>
      </w:r>
      <w:r>
        <w:rPr>
          <w:rFonts w:ascii="Times New Roman" w:hAnsi="Times New Roman" w:cs="Times New Roman"/>
          <w:color w:val="auto"/>
          <w:lang w:val="en-GB"/>
        </w:rPr>
        <w:tab/>
        <w:t>75</w:t>
      </w:r>
    </w:p>
    <w:p w:rsidR="00D80277" w:rsidRPr="009433D0" w:rsidRDefault="00D80277" w:rsidP="004F767E">
      <w:pPr>
        <w:pStyle w:val="BodyText"/>
        <w:tabs>
          <w:tab w:val="right" w:leader="dot" w:pos="8325"/>
        </w:tabs>
        <w:spacing w:after="0" w:line="288" w:lineRule="auto"/>
        <w:jc w:val="both"/>
        <w:rPr>
          <w:rFonts w:ascii="Times New Roman" w:hAnsi="Times New Roman" w:cs="Times New Roman"/>
          <w:color w:val="auto"/>
          <w:lang w:val="en-GB"/>
        </w:rPr>
      </w:pPr>
      <w:r>
        <w:rPr>
          <w:rFonts w:ascii="Times New Roman" w:hAnsi="Times New Roman" w:cs="Times New Roman"/>
          <w:color w:val="auto"/>
          <w:lang w:val="en-GB"/>
        </w:rPr>
        <w:t>Relevance</w:t>
      </w:r>
      <w:r w:rsidRPr="009433D0">
        <w:rPr>
          <w:rFonts w:ascii="Times New Roman" w:hAnsi="Times New Roman" w:cs="Times New Roman"/>
          <w:color w:val="auto"/>
          <w:lang w:val="en-GB"/>
        </w:rPr>
        <w:tab/>
      </w:r>
      <w:r>
        <w:rPr>
          <w:rFonts w:ascii="Times New Roman" w:hAnsi="Times New Roman" w:cs="Times New Roman"/>
          <w:color w:val="auto"/>
          <w:lang w:val="en-GB"/>
        </w:rPr>
        <w:t>77</w:t>
      </w:r>
    </w:p>
    <w:p w:rsidR="009433D0" w:rsidRPr="009433D0" w:rsidRDefault="00D80277" w:rsidP="004F767E">
      <w:pPr>
        <w:pStyle w:val="BodyText"/>
        <w:tabs>
          <w:tab w:val="right" w:leader="dot" w:pos="8325"/>
        </w:tabs>
        <w:spacing w:after="0" w:line="288" w:lineRule="auto"/>
        <w:jc w:val="both"/>
        <w:rPr>
          <w:rFonts w:ascii="Times New Roman" w:hAnsi="Times New Roman" w:cs="Times New Roman"/>
          <w:color w:val="auto"/>
          <w:lang w:val="en-GB"/>
        </w:rPr>
      </w:pPr>
      <w:r>
        <w:rPr>
          <w:rFonts w:ascii="Times New Roman" w:hAnsi="Times New Roman" w:cs="Times New Roman"/>
          <w:bCs/>
          <w:color w:val="auto"/>
          <w:lang w:val="en-GB"/>
        </w:rPr>
        <w:t>Programme Oversight and Coordination</w:t>
      </w:r>
      <w:r w:rsidR="009433D0" w:rsidRPr="009433D0">
        <w:rPr>
          <w:rFonts w:ascii="Times New Roman" w:hAnsi="Times New Roman" w:cs="Times New Roman"/>
          <w:bCs/>
          <w:color w:val="auto"/>
          <w:lang w:val="en-GB"/>
        </w:rPr>
        <w:tab/>
      </w:r>
      <w:r>
        <w:rPr>
          <w:rFonts w:ascii="Times New Roman" w:hAnsi="Times New Roman" w:cs="Times New Roman"/>
          <w:bCs/>
          <w:color w:val="auto"/>
          <w:lang w:val="en-GB"/>
        </w:rPr>
        <w:t>77</w:t>
      </w:r>
    </w:p>
    <w:p w:rsidR="00D80277" w:rsidRPr="009433D0" w:rsidRDefault="00D80277" w:rsidP="004F767E">
      <w:pPr>
        <w:pStyle w:val="BodyText"/>
        <w:tabs>
          <w:tab w:val="right" w:leader="dot" w:pos="8325"/>
        </w:tabs>
        <w:spacing w:after="0" w:line="288" w:lineRule="auto"/>
        <w:jc w:val="both"/>
        <w:rPr>
          <w:rFonts w:ascii="Times New Roman" w:hAnsi="Times New Roman" w:cs="Times New Roman"/>
          <w:color w:val="auto"/>
          <w:lang w:val="en-GB"/>
        </w:rPr>
      </w:pPr>
      <w:r>
        <w:rPr>
          <w:rFonts w:ascii="Times New Roman" w:hAnsi="Times New Roman" w:cs="Times New Roman"/>
          <w:color w:val="auto"/>
          <w:lang w:val="en-GB"/>
        </w:rPr>
        <w:t>National Ownership, Partnerships and Cooperation</w:t>
      </w:r>
      <w:r>
        <w:rPr>
          <w:rFonts w:ascii="Times New Roman" w:hAnsi="Times New Roman" w:cs="Times New Roman"/>
          <w:color w:val="auto"/>
          <w:lang w:val="en-GB"/>
        </w:rPr>
        <w:tab/>
        <w:t>79</w:t>
      </w:r>
    </w:p>
    <w:p w:rsidR="00D80277" w:rsidRPr="009433D0" w:rsidRDefault="00D80277" w:rsidP="004F767E">
      <w:pPr>
        <w:pStyle w:val="BodyText"/>
        <w:tabs>
          <w:tab w:val="right" w:leader="dot" w:pos="8325"/>
        </w:tabs>
        <w:spacing w:after="0" w:line="288" w:lineRule="auto"/>
        <w:jc w:val="both"/>
        <w:rPr>
          <w:rFonts w:ascii="Times New Roman" w:hAnsi="Times New Roman" w:cs="Times New Roman"/>
          <w:color w:val="auto"/>
          <w:lang w:val="en-GB"/>
        </w:rPr>
      </w:pPr>
      <w:r>
        <w:rPr>
          <w:rFonts w:ascii="Times New Roman" w:hAnsi="Times New Roman" w:cs="Times New Roman"/>
          <w:color w:val="auto"/>
          <w:lang w:val="en-GB"/>
        </w:rPr>
        <w:t>UNCT and Donor Coordination</w:t>
      </w:r>
      <w:r w:rsidRPr="009433D0">
        <w:rPr>
          <w:rFonts w:ascii="Times New Roman" w:hAnsi="Times New Roman" w:cs="Times New Roman"/>
          <w:color w:val="auto"/>
          <w:lang w:val="en-GB"/>
        </w:rPr>
        <w:tab/>
      </w:r>
      <w:r>
        <w:rPr>
          <w:rFonts w:ascii="Times New Roman" w:hAnsi="Times New Roman" w:cs="Times New Roman"/>
          <w:color w:val="auto"/>
          <w:lang w:val="en-GB"/>
        </w:rPr>
        <w:t>79</w:t>
      </w:r>
    </w:p>
    <w:p w:rsidR="00D80277" w:rsidRPr="009433D0" w:rsidRDefault="00D80277" w:rsidP="004F767E">
      <w:pPr>
        <w:pStyle w:val="BodyText"/>
        <w:tabs>
          <w:tab w:val="right" w:leader="dot" w:pos="8325"/>
        </w:tabs>
        <w:spacing w:after="0" w:line="288" w:lineRule="auto"/>
        <w:jc w:val="both"/>
        <w:rPr>
          <w:rFonts w:ascii="Times New Roman" w:hAnsi="Times New Roman" w:cs="Times New Roman"/>
          <w:color w:val="auto"/>
          <w:lang w:val="en-GB"/>
        </w:rPr>
      </w:pPr>
      <w:r>
        <w:rPr>
          <w:rFonts w:ascii="Times New Roman" w:hAnsi="Times New Roman" w:cs="Times New Roman"/>
          <w:color w:val="auto"/>
          <w:lang w:val="en-GB"/>
        </w:rPr>
        <w:t>Sustainability</w:t>
      </w:r>
      <w:r>
        <w:rPr>
          <w:rFonts w:ascii="Times New Roman" w:hAnsi="Times New Roman" w:cs="Times New Roman"/>
          <w:color w:val="auto"/>
          <w:lang w:val="en-GB"/>
        </w:rPr>
        <w:tab/>
        <w:t>79</w:t>
      </w:r>
    </w:p>
    <w:p w:rsidR="004F767E" w:rsidRPr="009433D0" w:rsidRDefault="004F767E" w:rsidP="004F767E">
      <w:pPr>
        <w:pStyle w:val="BodyText"/>
        <w:tabs>
          <w:tab w:val="right" w:leader="dot" w:pos="8325"/>
        </w:tabs>
        <w:spacing w:after="0" w:line="288" w:lineRule="auto"/>
        <w:jc w:val="both"/>
        <w:rPr>
          <w:rFonts w:ascii="Times New Roman" w:hAnsi="Times New Roman" w:cs="Times New Roman"/>
          <w:color w:val="auto"/>
          <w:lang w:val="en-GB"/>
        </w:rPr>
      </w:pPr>
      <w:r>
        <w:rPr>
          <w:rFonts w:ascii="Times New Roman" w:hAnsi="Times New Roman" w:cs="Times New Roman"/>
          <w:color w:val="auto"/>
          <w:lang w:val="en-GB"/>
        </w:rPr>
        <w:t>Conclusions and Recommendation</w:t>
      </w:r>
      <w:r w:rsidR="00AC555F">
        <w:rPr>
          <w:rFonts w:ascii="Times New Roman" w:hAnsi="Times New Roman" w:cs="Times New Roman"/>
          <w:color w:val="auto"/>
          <w:lang w:val="en-GB"/>
        </w:rPr>
        <w:t>s</w:t>
      </w:r>
      <w:r>
        <w:rPr>
          <w:rFonts w:ascii="Times New Roman" w:hAnsi="Times New Roman" w:cs="Times New Roman"/>
          <w:color w:val="auto"/>
          <w:lang w:val="en-GB"/>
        </w:rPr>
        <w:tab/>
        <w:t>81</w:t>
      </w:r>
    </w:p>
    <w:p w:rsidR="00D80277" w:rsidRPr="009433D0" w:rsidRDefault="00D80277" w:rsidP="004F767E">
      <w:pPr>
        <w:pStyle w:val="BodyText"/>
        <w:tabs>
          <w:tab w:val="right" w:leader="dot" w:pos="8325"/>
        </w:tabs>
        <w:spacing w:after="0" w:line="288" w:lineRule="auto"/>
        <w:jc w:val="both"/>
        <w:rPr>
          <w:rFonts w:ascii="Times New Roman" w:hAnsi="Times New Roman" w:cs="Times New Roman"/>
          <w:color w:val="auto"/>
          <w:lang w:val="en-GB"/>
        </w:rPr>
      </w:pPr>
      <w:r>
        <w:rPr>
          <w:rFonts w:ascii="Times New Roman" w:hAnsi="Times New Roman" w:cs="Times New Roman"/>
          <w:color w:val="auto"/>
          <w:lang w:val="en-GB"/>
        </w:rPr>
        <w:t xml:space="preserve">Lessons </w:t>
      </w:r>
      <w:r w:rsidR="004F767E">
        <w:rPr>
          <w:rFonts w:ascii="Times New Roman" w:hAnsi="Times New Roman" w:cs="Times New Roman"/>
          <w:color w:val="auto"/>
          <w:lang w:val="en-GB"/>
        </w:rPr>
        <w:t>Learned</w:t>
      </w:r>
      <w:r w:rsidRPr="009433D0">
        <w:rPr>
          <w:rFonts w:ascii="Times New Roman" w:hAnsi="Times New Roman" w:cs="Times New Roman"/>
          <w:color w:val="auto"/>
          <w:lang w:val="en-GB"/>
        </w:rPr>
        <w:tab/>
      </w:r>
      <w:r w:rsidR="004F767E">
        <w:rPr>
          <w:rFonts w:ascii="Times New Roman" w:hAnsi="Times New Roman" w:cs="Times New Roman"/>
          <w:color w:val="auto"/>
          <w:lang w:val="en-GB"/>
        </w:rPr>
        <w:t>87</w:t>
      </w:r>
    </w:p>
    <w:p w:rsidR="009433D0" w:rsidRPr="009433D0" w:rsidRDefault="009433D0" w:rsidP="004F767E">
      <w:pPr>
        <w:pStyle w:val="BodyText"/>
        <w:tabs>
          <w:tab w:val="right" w:leader="dot" w:pos="8325"/>
        </w:tabs>
        <w:spacing w:after="0" w:line="288" w:lineRule="auto"/>
        <w:jc w:val="both"/>
        <w:rPr>
          <w:rFonts w:ascii="Times New Roman" w:hAnsi="Times New Roman" w:cs="Times New Roman"/>
          <w:bCs/>
          <w:color w:val="auto"/>
          <w:lang w:val="en-GB"/>
        </w:rPr>
      </w:pPr>
    </w:p>
    <w:p w:rsidR="009433D0" w:rsidRPr="009433D0" w:rsidRDefault="00D80277" w:rsidP="004F767E">
      <w:pPr>
        <w:pStyle w:val="BodyText"/>
        <w:tabs>
          <w:tab w:val="right" w:leader="dot" w:pos="8325"/>
        </w:tabs>
        <w:spacing w:after="0" w:line="288" w:lineRule="auto"/>
        <w:jc w:val="both"/>
        <w:rPr>
          <w:rFonts w:ascii="Times New Roman" w:hAnsi="Times New Roman" w:cs="Times New Roman"/>
          <w:bCs/>
          <w:color w:val="auto"/>
          <w:lang w:val="en-GB"/>
        </w:rPr>
      </w:pPr>
      <w:r>
        <w:rPr>
          <w:rFonts w:ascii="Times New Roman" w:hAnsi="Times New Roman" w:cs="Times New Roman"/>
          <w:bCs/>
          <w:color w:val="auto"/>
          <w:lang w:val="en-GB"/>
        </w:rPr>
        <w:t>Annex A - Terms of reference</w:t>
      </w:r>
    </w:p>
    <w:p w:rsidR="009433D0" w:rsidRPr="009433D0" w:rsidRDefault="00D80277" w:rsidP="004F767E">
      <w:pPr>
        <w:pStyle w:val="BodyText"/>
        <w:tabs>
          <w:tab w:val="right" w:leader="dot" w:pos="8325"/>
        </w:tabs>
        <w:spacing w:after="0" w:line="288" w:lineRule="auto"/>
        <w:jc w:val="both"/>
        <w:rPr>
          <w:rFonts w:ascii="Times New Roman" w:hAnsi="Times New Roman" w:cs="Times New Roman"/>
          <w:bCs/>
          <w:color w:val="auto"/>
          <w:lang w:val="en-GB"/>
        </w:rPr>
      </w:pPr>
      <w:r>
        <w:rPr>
          <w:rFonts w:ascii="Times New Roman" w:hAnsi="Times New Roman" w:cs="Times New Roman"/>
          <w:bCs/>
          <w:color w:val="auto"/>
          <w:lang w:val="en-GB"/>
        </w:rPr>
        <w:t>Annex B</w:t>
      </w:r>
      <w:r w:rsidR="00227679">
        <w:rPr>
          <w:rFonts w:ascii="Times New Roman" w:hAnsi="Times New Roman" w:cs="Times New Roman"/>
          <w:bCs/>
          <w:color w:val="auto"/>
          <w:lang w:val="en-GB"/>
        </w:rPr>
        <w:t xml:space="preserve"> </w:t>
      </w:r>
      <w:r>
        <w:rPr>
          <w:rFonts w:ascii="Times New Roman" w:hAnsi="Times New Roman" w:cs="Times New Roman"/>
          <w:bCs/>
          <w:color w:val="auto"/>
          <w:lang w:val="en-GB"/>
        </w:rPr>
        <w:t>- Documents reviewed</w:t>
      </w:r>
    </w:p>
    <w:p w:rsidR="00D80277" w:rsidRDefault="009433D0" w:rsidP="004F767E">
      <w:pPr>
        <w:pStyle w:val="BodyText"/>
        <w:tabs>
          <w:tab w:val="right" w:leader="dot" w:pos="8325"/>
        </w:tabs>
        <w:spacing w:after="0" w:line="288" w:lineRule="auto"/>
        <w:jc w:val="both"/>
        <w:rPr>
          <w:rFonts w:ascii="Times New Roman" w:hAnsi="Times New Roman" w:cs="Times New Roman"/>
          <w:bCs/>
          <w:color w:val="auto"/>
          <w:lang w:val="en-GB"/>
        </w:rPr>
      </w:pPr>
      <w:r w:rsidRPr="009433D0">
        <w:rPr>
          <w:rFonts w:ascii="Times New Roman" w:hAnsi="Times New Roman" w:cs="Times New Roman"/>
          <w:bCs/>
          <w:color w:val="auto"/>
          <w:lang w:val="en-GB"/>
        </w:rPr>
        <w:t xml:space="preserve">Annex </w:t>
      </w:r>
      <w:r w:rsidR="00D80277">
        <w:rPr>
          <w:rFonts w:ascii="Times New Roman" w:hAnsi="Times New Roman" w:cs="Times New Roman"/>
          <w:bCs/>
          <w:color w:val="auto"/>
          <w:lang w:val="en-GB"/>
        </w:rPr>
        <w:t>C - Agenda</w:t>
      </w:r>
    </w:p>
    <w:p w:rsidR="00AC555F" w:rsidRDefault="00227679" w:rsidP="00AC555F">
      <w:pPr>
        <w:pStyle w:val="BodyText"/>
        <w:tabs>
          <w:tab w:val="right" w:leader="dot" w:pos="8325"/>
        </w:tabs>
        <w:spacing w:after="0" w:line="288" w:lineRule="auto"/>
        <w:jc w:val="both"/>
        <w:rPr>
          <w:rFonts w:ascii="Times New Roman" w:hAnsi="Times New Roman" w:cs="Times New Roman"/>
          <w:bCs/>
          <w:color w:val="auto"/>
          <w:lang w:val="en-GB"/>
        </w:rPr>
      </w:pPr>
      <w:r>
        <w:rPr>
          <w:rFonts w:ascii="Times New Roman" w:hAnsi="Times New Roman" w:cs="Times New Roman"/>
          <w:bCs/>
          <w:color w:val="auto"/>
          <w:lang w:val="en-GB"/>
        </w:rPr>
        <w:t>Annex D - Supporting data and evidence (a</w:t>
      </w:r>
      <w:r w:rsidR="00AC555F">
        <w:rPr>
          <w:rFonts w:ascii="Times New Roman" w:hAnsi="Times New Roman" w:cs="Times New Roman"/>
          <w:bCs/>
          <w:color w:val="auto"/>
          <w:lang w:val="en-GB"/>
        </w:rPr>
        <w:t>ttached separately to this report)</w:t>
      </w:r>
    </w:p>
    <w:p w:rsidR="00D80277" w:rsidRDefault="00D80277" w:rsidP="004F767E">
      <w:pPr>
        <w:pStyle w:val="BodyText"/>
        <w:tabs>
          <w:tab w:val="right" w:leader="dot" w:pos="8325"/>
        </w:tabs>
        <w:spacing w:after="0" w:line="288" w:lineRule="auto"/>
        <w:jc w:val="both"/>
        <w:rPr>
          <w:rFonts w:ascii="Times New Roman" w:hAnsi="Times New Roman" w:cs="Times New Roman"/>
          <w:bCs/>
          <w:color w:val="auto"/>
          <w:lang w:val="en-GB"/>
        </w:rPr>
      </w:pPr>
    </w:p>
    <w:p w:rsidR="00946B04" w:rsidRPr="00D80277" w:rsidRDefault="00946B04" w:rsidP="009433D0">
      <w:pPr>
        <w:pStyle w:val="BodyText"/>
        <w:tabs>
          <w:tab w:val="right" w:leader="dot" w:pos="8325"/>
        </w:tabs>
        <w:spacing w:after="0" w:line="240" w:lineRule="auto"/>
        <w:jc w:val="both"/>
        <w:rPr>
          <w:rFonts w:ascii="Times New Roman" w:hAnsi="Times New Roman" w:cs="Times New Roman"/>
          <w:bCs/>
          <w:color w:val="auto"/>
          <w:lang w:val="en-GB"/>
        </w:rPr>
      </w:pPr>
      <w:r w:rsidRPr="00647752">
        <w:rPr>
          <w:lang w:val="en-GB"/>
        </w:rPr>
        <w:br w:type="page"/>
      </w:r>
    </w:p>
    <w:bookmarkEnd w:id="1"/>
    <w:p w:rsidR="00687BF0" w:rsidRPr="00647752" w:rsidRDefault="00687BF0" w:rsidP="00FB6759">
      <w:pPr>
        <w:spacing w:after="0" w:line="240" w:lineRule="auto"/>
        <w:rPr>
          <w:rFonts w:ascii="Times New Roman" w:hAnsi="Times New Roman" w:cs="Times New Roman"/>
          <w:b/>
          <w:lang w:val="en-GB"/>
        </w:rPr>
        <w:sectPr w:rsidR="00687BF0" w:rsidRPr="00647752" w:rsidSect="00FB6759">
          <w:footerReference w:type="even" r:id="rId12"/>
          <w:footerReference w:type="default" r:id="rId13"/>
          <w:pgSz w:w="12240" w:h="15840"/>
          <w:pgMar w:top="1440" w:right="1440" w:bottom="1440" w:left="1440" w:header="720" w:footer="720" w:gutter="0"/>
          <w:pgNumType w:fmt="lowerRoman"/>
          <w:cols w:space="720"/>
          <w:titlePg/>
          <w:docGrid w:linePitch="360"/>
        </w:sectPr>
      </w:pPr>
    </w:p>
    <w:p w:rsidR="00687BF0" w:rsidRPr="00647752" w:rsidRDefault="00E50E16" w:rsidP="00FB6759">
      <w:pPr>
        <w:pStyle w:val="Heading1"/>
        <w:spacing w:after="0" w:line="240" w:lineRule="auto"/>
        <w:rPr>
          <w:rFonts w:ascii="Times New Roman" w:hAnsi="Times New Roman" w:cs="Times New Roman"/>
          <w:sz w:val="22"/>
          <w:szCs w:val="22"/>
          <w:lang w:val="en-GB"/>
        </w:rPr>
      </w:pPr>
      <w:bookmarkStart w:id="2" w:name="_Toc231801786"/>
      <w:r w:rsidRPr="00647752">
        <w:rPr>
          <w:rFonts w:ascii="Times New Roman" w:hAnsi="Times New Roman" w:cs="Times New Roman"/>
          <w:sz w:val="22"/>
          <w:szCs w:val="22"/>
          <w:lang w:val="en-GB"/>
        </w:rPr>
        <w:lastRenderedPageBreak/>
        <w:t>Executive Summary</w:t>
      </w:r>
      <w:bookmarkEnd w:id="2"/>
    </w:p>
    <w:p w:rsidR="008A23BF" w:rsidRPr="00647752" w:rsidRDefault="008A23BF" w:rsidP="00FB6759">
      <w:pPr>
        <w:spacing w:after="0" w:line="240" w:lineRule="auto"/>
        <w:jc w:val="both"/>
        <w:rPr>
          <w:rFonts w:ascii="Times New Roman" w:eastAsia="MS Mincho" w:hAnsi="Times New Roman" w:cs="Times New Roman"/>
          <w:b/>
          <w:sz w:val="22"/>
          <w:szCs w:val="22"/>
          <w:lang w:val="en-GB" w:eastAsia="ja-JP"/>
        </w:rPr>
      </w:pPr>
    </w:p>
    <w:p w:rsidR="00053B6C" w:rsidRPr="00647752" w:rsidRDefault="00053B6C" w:rsidP="00FB6759">
      <w:pPr>
        <w:spacing w:after="0" w:line="240" w:lineRule="auto"/>
        <w:jc w:val="both"/>
        <w:rPr>
          <w:rFonts w:ascii="Times New Roman" w:eastAsia="MS Mincho" w:hAnsi="Times New Roman" w:cs="Times New Roman"/>
          <w:b/>
          <w:sz w:val="22"/>
          <w:szCs w:val="22"/>
          <w:lang w:val="en-GB" w:eastAsia="ja-JP"/>
        </w:rPr>
      </w:pPr>
      <w:r w:rsidRPr="00647752">
        <w:rPr>
          <w:rFonts w:ascii="Times New Roman" w:eastAsia="MS Mincho" w:hAnsi="Times New Roman" w:cs="Times New Roman"/>
          <w:b/>
          <w:sz w:val="22"/>
          <w:szCs w:val="22"/>
          <w:lang w:val="en-GB" w:eastAsia="ja-JP"/>
        </w:rPr>
        <w:t>Evaluation Scope and Methodology</w:t>
      </w:r>
    </w:p>
    <w:p w:rsidR="00946B04" w:rsidRPr="00647752" w:rsidRDefault="00946B04"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8B0010" w:rsidP="00FB6759">
      <w:pPr>
        <w:spacing w:after="0" w:line="240" w:lineRule="auto"/>
        <w:jc w:val="both"/>
        <w:rPr>
          <w:rFonts w:ascii="Times New Roman" w:eastAsia="MS Mincho" w:hAnsi="Times New Roman" w:cs="Times New Roman"/>
          <w:b/>
          <w:sz w:val="22"/>
          <w:szCs w:val="24"/>
          <w:lang w:val="en-GB" w:eastAsia="ja-JP"/>
        </w:rPr>
      </w:pPr>
      <w:r>
        <w:rPr>
          <w:rFonts w:ascii="Times New Roman" w:eastAsia="MS Mincho" w:hAnsi="Times New Roman" w:cs="Times New Roman"/>
          <w:sz w:val="22"/>
          <w:szCs w:val="22"/>
          <w:lang w:val="en-GB" w:eastAsia="ja-JP"/>
        </w:rPr>
        <w:t>This evaluation r</w:t>
      </w:r>
      <w:r w:rsidR="00053B6C" w:rsidRPr="00647752">
        <w:rPr>
          <w:rFonts w:ascii="Times New Roman" w:eastAsia="MS Mincho" w:hAnsi="Times New Roman" w:cs="Times New Roman"/>
          <w:sz w:val="22"/>
          <w:szCs w:val="22"/>
          <w:lang w:val="en-GB" w:eastAsia="ja-JP"/>
        </w:rPr>
        <w:t>eport is the culmination</w:t>
      </w:r>
      <w:r>
        <w:rPr>
          <w:rFonts w:ascii="Times New Roman" w:eastAsia="MS Mincho" w:hAnsi="Times New Roman" w:cs="Times New Roman"/>
          <w:sz w:val="22"/>
          <w:szCs w:val="22"/>
          <w:lang w:val="en-GB" w:eastAsia="ja-JP"/>
        </w:rPr>
        <w:t xml:space="preserve"> of an extensive review of UNDP/PAPP’s</w:t>
      </w:r>
      <w:r w:rsidR="008A23BF" w:rsidRPr="00647752">
        <w:rPr>
          <w:rFonts w:ascii="Times New Roman" w:eastAsia="MS Mincho" w:hAnsi="Times New Roman" w:cs="Times New Roman"/>
          <w:sz w:val="22"/>
          <w:szCs w:val="22"/>
          <w:lang w:val="en-GB" w:eastAsia="ja-JP"/>
        </w:rPr>
        <w:t xml:space="preserve"> Rule of Law &amp;</w:t>
      </w:r>
      <w:r w:rsidR="00053B6C" w:rsidRPr="00647752">
        <w:rPr>
          <w:rFonts w:ascii="Times New Roman" w:eastAsia="MS Mincho" w:hAnsi="Times New Roman" w:cs="Times New Roman"/>
          <w:sz w:val="22"/>
          <w:szCs w:val="22"/>
          <w:lang w:val="en-GB" w:eastAsia="ja-JP"/>
        </w:rPr>
        <w:t xml:space="preserve"> Access to Justice Programme in the </w:t>
      </w:r>
      <w:r w:rsidR="008A23BF" w:rsidRPr="00647752">
        <w:rPr>
          <w:rFonts w:ascii="Times New Roman" w:eastAsia="MS Mincho" w:hAnsi="Times New Roman" w:cs="Times New Roman"/>
          <w:sz w:val="22"/>
          <w:szCs w:val="22"/>
          <w:lang w:val="en-GB" w:eastAsia="ja-JP"/>
        </w:rPr>
        <w:t xml:space="preserve">occupied Palestinian territory (oPt). </w:t>
      </w:r>
      <w:r w:rsidR="00053B6C" w:rsidRPr="00647752">
        <w:rPr>
          <w:rFonts w:ascii="Times New Roman" w:eastAsia="MS Mincho" w:hAnsi="Times New Roman" w:cs="Times New Roman"/>
          <w:sz w:val="22"/>
          <w:szCs w:val="22"/>
          <w:lang w:val="en-GB" w:eastAsia="ja-JP"/>
        </w:rPr>
        <w:t>The purpose</w:t>
      </w:r>
      <w:r w:rsidR="008A23BF" w:rsidRPr="00647752">
        <w:rPr>
          <w:rFonts w:ascii="Times New Roman" w:eastAsia="MS Mincho" w:hAnsi="Times New Roman" w:cs="Times New Roman"/>
          <w:sz w:val="22"/>
          <w:szCs w:val="22"/>
          <w:lang w:val="en-GB" w:eastAsia="ja-JP"/>
        </w:rPr>
        <w:t xml:space="preserve"> of this independent evaluation - </w:t>
      </w:r>
      <w:r w:rsidR="00053B6C" w:rsidRPr="00647752">
        <w:rPr>
          <w:rFonts w:ascii="Times New Roman" w:eastAsia="MS Mincho" w:hAnsi="Times New Roman" w:cs="Times New Roman"/>
          <w:sz w:val="22"/>
          <w:szCs w:val="22"/>
          <w:lang w:val="en-GB" w:eastAsia="ja-JP"/>
        </w:rPr>
        <w:t>part of a three-stage review by UNDP</w:t>
      </w:r>
      <w:r>
        <w:rPr>
          <w:rFonts w:ascii="Times New Roman" w:eastAsia="MS Mincho" w:hAnsi="Times New Roman" w:cs="Times New Roman"/>
          <w:sz w:val="22"/>
          <w:szCs w:val="22"/>
          <w:lang w:val="en-GB" w:eastAsia="ja-JP"/>
        </w:rPr>
        <w:t>/BCPR</w:t>
      </w:r>
      <w:r w:rsidR="008A23BF" w:rsidRPr="00647752">
        <w:rPr>
          <w:rFonts w:ascii="Times New Roman" w:eastAsia="MS Mincho" w:hAnsi="Times New Roman" w:cs="Times New Roman"/>
          <w:sz w:val="22"/>
          <w:szCs w:val="22"/>
          <w:lang w:val="en-GB" w:eastAsia="ja-JP"/>
        </w:rPr>
        <w:t xml:space="preserve"> -</w:t>
      </w:r>
      <w:r w:rsidR="00053B6C" w:rsidRPr="00647752">
        <w:rPr>
          <w:rFonts w:ascii="Times New Roman" w:eastAsia="MS Mincho" w:hAnsi="Times New Roman" w:cs="Times New Roman"/>
          <w:sz w:val="22"/>
          <w:szCs w:val="22"/>
          <w:lang w:val="en-GB" w:eastAsia="ja-JP"/>
        </w:rPr>
        <w:t xml:space="preserve"> is to assess the level of progress made towards achieving the outputs and outcomes listed in the Programme Document.  </w:t>
      </w:r>
    </w:p>
    <w:p w:rsidR="00053B6C" w:rsidRPr="00647752" w:rsidRDefault="00053B6C" w:rsidP="00FB6759">
      <w:pPr>
        <w:spacing w:after="0" w:line="240" w:lineRule="auto"/>
        <w:jc w:val="both"/>
        <w:rPr>
          <w:rFonts w:ascii="Times New Roman" w:eastAsia="MS Mincho" w:hAnsi="Times New Roman" w:cs="Times New Roman"/>
          <w:b/>
          <w:sz w:val="22"/>
          <w:szCs w:val="24"/>
          <w:lang w:val="en-GB" w:eastAsia="ja-JP"/>
        </w:rPr>
      </w:pPr>
    </w:p>
    <w:p w:rsidR="00053B6C" w:rsidRPr="008B0010" w:rsidRDefault="008A23BF" w:rsidP="00FB6759">
      <w:pPr>
        <w:spacing w:after="0" w:line="240" w:lineRule="auto"/>
        <w:jc w:val="both"/>
        <w:rPr>
          <w:rFonts w:ascii="Times New Roman" w:eastAsia="MS Mincho" w:hAnsi="Times New Roman" w:cs="Times New Roman"/>
          <w:sz w:val="22"/>
          <w:szCs w:val="24"/>
          <w:lang w:val="en-GB" w:eastAsia="ja-JP"/>
        </w:rPr>
      </w:pPr>
      <w:r w:rsidRPr="00647752">
        <w:rPr>
          <w:rFonts w:ascii="Times New Roman" w:eastAsia="MS Mincho" w:hAnsi="Times New Roman" w:cs="Times New Roman"/>
          <w:sz w:val="22"/>
          <w:szCs w:val="24"/>
          <w:lang w:val="en-GB" w:eastAsia="ja-JP"/>
        </w:rPr>
        <w:t>The e</w:t>
      </w:r>
      <w:r w:rsidR="00053B6C" w:rsidRPr="00647752">
        <w:rPr>
          <w:rFonts w:ascii="Times New Roman" w:eastAsia="MS Mincho" w:hAnsi="Times New Roman" w:cs="Times New Roman"/>
          <w:sz w:val="22"/>
          <w:szCs w:val="24"/>
          <w:lang w:val="en-GB" w:eastAsia="ja-JP"/>
        </w:rPr>
        <w:t xml:space="preserve">valuation seeks </w:t>
      </w:r>
      <w:r w:rsidRPr="00647752">
        <w:rPr>
          <w:rFonts w:ascii="Times New Roman" w:eastAsia="MS Mincho" w:hAnsi="Times New Roman" w:cs="Times New Roman"/>
          <w:sz w:val="22"/>
          <w:szCs w:val="24"/>
          <w:lang w:val="en-GB" w:eastAsia="ja-JP"/>
        </w:rPr>
        <w:t>to assess the relevance of the p</w:t>
      </w:r>
      <w:r w:rsidR="00053B6C" w:rsidRPr="00647752">
        <w:rPr>
          <w:rFonts w:ascii="Times New Roman" w:eastAsia="MS Mincho" w:hAnsi="Times New Roman" w:cs="Times New Roman"/>
          <w:sz w:val="22"/>
          <w:szCs w:val="24"/>
          <w:lang w:val="en-GB" w:eastAsia="ja-JP"/>
        </w:rPr>
        <w:t>rogramme in the contex</w:t>
      </w:r>
      <w:r w:rsidRPr="00647752">
        <w:rPr>
          <w:rFonts w:ascii="Times New Roman" w:eastAsia="MS Mincho" w:hAnsi="Times New Roman" w:cs="Times New Roman"/>
          <w:sz w:val="22"/>
          <w:szCs w:val="24"/>
          <w:lang w:val="en-GB" w:eastAsia="ja-JP"/>
        </w:rPr>
        <w:t>t of the oPt and its management and</w:t>
      </w:r>
      <w:r w:rsidR="00053B6C" w:rsidRPr="00647752">
        <w:rPr>
          <w:rFonts w:ascii="Times New Roman" w:eastAsia="MS Mincho" w:hAnsi="Times New Roman" w:cs="Times New Roman"/>
          <w:sz w:val="22"/>
          <w:szCs w:val="24"/>
          <w:lang w:val="en-GB" w:eastAsia="ja-JP"/>
        </w:rPr>
        <w:t xml:space="preserve"> impact, both at the ‘supply’ and the ‘demand’ side of the rule of law equation; as well as its main ch</w:t>
      </w:r>
      <w:r w:rsidRPr="00647752">
        <w:rPr>
          <w:rFonts w:ascii="Times New Roman" w:eastAsia="MS Mincho" w:hAnsi="Times New Roman" w:cs="Times New Roman"/>
          <w:sz w:val="22"/>
          <w:szCs w:val="24"/>
          <w:lang w:val="en-GB" w:eastAsia="ja-JP"/>
        </w:rPr>
        <w:t>allenges and</w:t>
      </w:r>
      <w:r w:rsidR="00053B6C" w:rsidRPr="00647752">
        <w:rPr>
          <w:rFonts w:ascii="Times New Roman" w:eastAsia="MS Mincho" w:hAnsi="Times New Roman" w:cs="Times New Roman"/>
          <w:sz w:val="22"/>
          <w:szCs w:val="24"/>
          <w:lang w:val="en-GB" w:eastAsia="ja-JP"/>
        </w:rPr>
        <w:t xml:space="preserve"> p</w:t>
      </w:r>
      <w:r w:rsidRPr="00647752">
        <w:rPr>
          <w:rFonts w:ascii="Times New Roman" w:eastAsia="MS Mincho" w:hAnsi="Times New Roman" w:cs="Times New Roman"/>
          <w:sz w:val="22"/>
          <w:szCs w:val="24"/>
          <w:lang w:val="en-GB" w:eastAsia="ja-JP"/>
        </w:rPr>
        <w:t>rospects for sustainability. The e</w:t>
      </w:r>
      <w:r w:rsidR="00053B6C" w:rsidRPr="00647752">
        <w:rPr>
          <w:rFonts w:ascii="Times New Roman" w:eastAsia="MS Mincho" w:hAnsi="Times New Roman" w:cs="Times New Roman"/>
          <w:sz w:val="22"/>
          <w:szCs w:val="24"/>
          <w:lang w:val="en-GB" w:eastAsia="ja-JP"/>
        </w:rPr>
        <w:t>valuation’s findings and conclusions have produced a number of actionable recommendations that ca</w:t>
      </w:r>
      <w:r w:rsidRPr="00647752">
        <w:rPr>
          <w:rFonts w:ascii="Times New Roman" w:eastAsia="MS Mincho" w:hAnsi="Times New Roman" w:cs="Times New Roman"/>
          <w:sz w:val="22"/>
          <w:szCs w:val="24"/>
          <w:lang w:val="en-GB" w:eastAsia="ja-JP"/>
        </w:rPr>
        <w:t>n in</w:t>
      </w:r>
      <w:r w:rsidR="008B0010">
        <w:rPr>
          <w:rFonts w:ascii="Times New Roman" w:eastAsia="MS Mincho" w:hAnsi="Times New Roman" w:cs="Times New Roman"/>
          <w:sz w:val="22"/>
          <w:szCs w:val="24"/>
          <w:lang w:val="en-GB" w:eastAsia="ja-JP"/>
        </w:rPr>
        <w:t xml:space="preserve">form a possible Phase II of </w:t>
      </w:r>
      <w:r w:rsidRPr="00647752">
        <w:rPr>
          <w:rFonts w:ascii="Times New Roman" w:eastAsia="MS Mincho" w:hAnsi="Times New Roman" w:cs="Times New Roman"/>
          <w:sz w:val="22"/>
          <w:szCs w:val="24"/>
          <w:lang w:val="en-GB" w:eastAsia="ja-JP"/>
        </w:rPr>
        <w:t>UNDP</w:t>
      </w:r>
      <w:r w:rsidR="008B0010">
        <w:rPr>
          <w:rFonts w:ascii="Times New Roman" w:eastAsia="MS Mincho" w:hAnsi="Times New Roman" w:cs="Times New Roman"/>
          <w:sz w:val="22"/>
          <w:szCs w:val="24"/>
          <w:lang w:val="en-GB" w:eastAsia="ja-JP"/>
        </w:rPr>
        <w:t>/PAPP’s</w:t>
      </w:r>
      <w:r w:rsidRPr="00647752">
        <w:rPr>
          <w:rFonts w:ascii="Times New Roman" w:eastAsia="MS Mincho" w:hAnsi="Times New Roman" w:cs="Times New Roman"/>
          <w:sz w:val="22"/>
          <w:szCs w:val="24"/>
          <w:lang w:val="en-GB" w:eastAsia="ja-JP"/>
        </w:rPr>
        <w:t xml:space="preserve"> Rule of Law &amp; Access to Justice Programme. </w:t>
      </w:r>
      <w:r w:rsidRPr="00647752">
        <w:rPr>
          <w:rFonts w:ascii="Times New Roman" w:eastAsia="MS Mincho" w:hAnsi="Times New Roman" w:cs="Times New Roman"/>
          <w:sz w:val="22"/>
          <w:szCs w:val="22"/>
          <w:lang w:val="en-GB" w:eastAsia="ja-JP"/>
        </w:rPr>
        <w:t>This e</w:t>
      </w:r>
      <w:r w:rsidR="00053B6C" w:rsidRPr="00647752">
        <w:rPr>
          <w:rFonts w:ascii="Times New Roman" w:eastAsia="MS Mincho" w:hAnsi="Times New Roman" w:cs="Times New Roman"/>
          <w:sz w:val="22"/>
          <w:szCs w:val="22"/>
          <w:lang w:val="en-GB" w:eastAsia="ja-JP"/>
        </w:rPr>
        <w:t>valuation supports UNDP</w:t>
      </w:r>
      <w:r w:rsidRPr="00647752">
        <w:rPr>
          <w:rFonts w:ascii="Times New Roman" w:eastAsia="MS Mincho" w:hAnsi="Times New Roman" w:cs="Times New Roman"/>
          <w:sz w:val="22"/>
          <w:szCs w:val="22"/>
          <w:lang w:val="en-GB" w:eastAsia="ja-JP"/>
        </w:rPr>
        <w:t>/PAPP</w:t>
      </w:r>
      <w:r w:rsidR="00053B6C" w:rsidRPr="00647752">
        <w:rPr>
          <w:rFonts w:ascii="Times New Roman" w:eastAsia="MS Mincho" w:hAnsi="Times New Roman" w:cs="Times New Roman"/>
          <w:sz w:val="22"/>
          <w:szCs w:val="22"/>
          <w:lang w:val="en-GB" w:eastAsia="ja-JP"/>
        </w:rPr>
        <w:t>’s own recent efforts to improve and streamline its data collection and reporting ef</w:t>
      </w:r>
      <w:r w:rsidRPr="00647752">
        <w:rPr>
          <w:rFonts w:ascii="Times New Roman" w:eastAsia="MS Mincho" w:hAnsi="Times New Roman" w:cs="Times New Roman"/>
          <w:sz w:val="22"/>
          <w:szCs w:val="22"/>
          <w:lang w:val="en-GB" w:eastAsia="ja-JP"/>
        </w:rPr>
        <w:t>forts in order to better serve d</w:t>
      </w:r>
      <w:r w:rsidR="00053B6C" w:rsidRPr="00647752">
        <w:rPr>
          <w:rFonts w:ascii="Times New Roman" w:eastAsia="MS Mincho" w:hAnsi="Times New Roman" w:cs="Times New Roman"/>
          <w:sz w:val="22"/>
          <w:szCs w:val="22"/>
          <w:lang w:val="en-GB" w:eastAsia="ja-JP"/>
        </w:rPr>
        <w:t>onor reporting requirements.</w:t>
      </w:r>
    </w:p>
    <w:p w:rsidR="00053B6C" w:rsidRPr="00647752" w:rsidRDefault="00053B6C" w:rsidP="00FB6759">
      <w:pPr>
        <w:spacing w:after="0" w:line="240" w:lineRule="auto"/>
        <w:jc w:val="both"/>
        <w:rPr>
          <w:rFonts w:ascii="Times New Roman" w:eastAsia="MS Mincho" w:hAnsi="Times New Roman" w:cs="Times New Roman"/>
          <w:sz w:val="22"/>
          <w:szCs w:val="24"/>
          <w:lang w:val="en-GB" w:eastAsia="ja-JP"/>
        </w:rPr>
      </w:pPr>
    </w:p>
    <w:p w:rsidR="00053B6C" w:rsidRPr="00647752" w:rsidRDefault="00053B6C" w:rsidP="00FB6759">
      <w:pPr>
        <w:spacing w:after="0" w:line="240" w:lineRule="auto"/>
        <w:jc w:val="both"/>
        <w:rPr>
          <w:rFonts w:ascii="Times New Roman" w:eastAsia="MS Mincho" w:hAnsi="Times New Roman" w:cs="Times New Roman"/>
          <w:sz w:val="22"/>
          <w:szCs w:val="24"/>
          <w:lang w:val="en-GB" w:eastAsia="ja-JP"/>
        </w:rPr>
      </w:pPr>
      <w:r w:rsidRPr="00647752">
        <w:rPr>
          <w:rFonts w:ascii="Times New Roman" w:eastAsia="MS Mincho" w:hAnsi="Times New Roman" w:cs="Times New Roman"/>
          <w:sz w:val="22"/>
          <w:szCs w:val="24"/>
          <w:lang w:val="en-GB" w:eastAsia="ja-JP"/>
        </w:rPr>
        <w:t xml:space="preserve">A rigorous methodology was followed that included a thorough review of all existing UNDP and partner strategic planning documents as well as </w:t>
      </w:r>
      <w:r w:rsidR="008A23BF" w:rsidRPr="00647752">
        <w:rPr>
          <w:rFonts w:ascii="Times New Roman" w:eastAsia="MS Mincho" w:hAnsi="Times New Roman" w:cs="Times New Roman"/>
          <w:sz w:val="22"/>
          <w:szCs w:val="24"/>
          <w:lang w:val="en-GB" w:eastAsia="ja-JP"/>
        </w:rPr>
        <w:t xml:space="preserve">reports of results achieved. </w:t>
      </w:r>
      <w:r w:rsidRPr="00647752">
        <w:rPr>
          <w:rFonts w:ascii="Times New Roman" w:eastAsia="MS Mincho" w:hAnsi="Times New Roman" w:cs="Times New Roman"/>
          <w:sz w:val="22"/>
          <w:szCs w:val="24"/>
          <w:lang w:val="en-GB" w:eastAsia="ja-JP"/>
        </w:rPr>
        <w:t>During the course of</w:t>
      </w:r>
      <w:r w:rsidR="008A23BF" w:rsidRPr="00647752">
        <w:rPr>
          <w:rFonts w:ascii="Times New Roman" w:eastAsia="MS Mincho" w:hAnsi="Times New Roman" w:cs="Times New Roman"/>
          <w:sz w:val="22"/>
          <w:szCs w:val="24"/>
          <w:lang w:val="en-GB" w:eastAsia="ja-JP"/>
        </w:rPr>
        <w:t xml:space="preserve"> the in-country portion of the evaluation</w:t>
      </w:r>
      <w:r w:rsidR="008B0010">
        <w:rPr>
          <w:rFonts w:ascii="Times New Roman" w:eastAsia="MS Mincho" w:hAnsi="Times New Roman" w:cs="Times New Roman"/>
          <w:sz w:val="22"/>
          <w:szCs w:val="24"/>
          <w:lang w:val="en-GB" w:eastAsia="ja-JP"/>
        </w:rPr>
        <w:t>,</w:t>
      </w:r>
      <w:r w:rsidR="008A23BF" w:rsidRPr="00647752">
        <w:rPr>
          <w:rFonts w:ascii="Times New Roman" w:eastAsia="MS Mincho" w:hAnsi="Times New Roman" w:cs="Times New Roman"/>
          <w:sz w:val="22"/>
          <w:szCs w:val="24"/>
          <w:lang w:val="en-GB" w:eastAsia="ja-JP"/>
        </w:rPr>
        <w:t xml:space="preserve"> the independent c</w:t>
      </w:r>
      <w:r w:rsidRPr="00647752">
        <w:rPr>
          <w:rFonts w:ascii="Times New Roman" w:eastAsia="MS Mincho" w:hAnsi="Times New Roman" w:cs="Times New Roman"/>
          <w:sz w:val="22"/>
          <w:szCs w:val="24"/>
          <w:lang w:val="en-GB" w:eastAsia="ja-JP"/>
        </w:rPr>
        <w:t>onsultant conducted interviews and face-to-face consultations with represe</w:t>
      </w:r>
      <w:r w:rsidR="008B0010">
        <w:rPr>
          <w:rFonts w:ascii="Times New Roman" w:eastAsia="MS Mincho" w:hAnsi="Times New Roman" w:cs="Times New Roman"/>
          <w:sz w:val="22"/>
          <w:szCs w:val="24"/>
          <w:lang w:val="en-GB" w:eastAsia="ja-JP"/>
        </w:rPr>
        <w:t xml:space="preserve">ntatives from a broad range of </w:t>
      </w:r>
      <w:r w:rsidRPr="00647752">
        <w:rPr>
          <w:rFonts w:ascii="Times New Roman" w:eastAsia="MS Mincho" w:hAnsi="Times New Roman" w:cs="Times New Roman"/>
          <w:sz w:val="22"/>
          <w:szCs w:val="24"/>
          <w:lang w:val="en-GB" w:eastAsia="ja-JP"/>
        </w:rPr>
        <w:t>s</w:t>
      </w:r>
      <w:r w:rsidR="008A23BF" w:rsidRPr="00647752">
        <w:rPr>
          <w:rFonts w:ascii="Times New Roman" w:eastAsia="MS Mincho" w:hAnsi="Times New Roman" w:cs="Times New Roman"/>
          <w:sz w:val="22"/>
          <w:szCs w:val="24"/>
          <w:lang w:val="en-GB" w:eastAsia="ja-JP"/>
        </w:rPr>
        <w:t xml:space="preserve">takeholders and beneficiaries. </w:t>
      </w:r>
      <w:r w:rsidRPr="00647752">
        <w:rPr>
          <w:rFonts w:ascii="Times New Roman" w:eastAsia="MS Mincho" w:hAnsi="Times New Roman" w:cs="Times New Roman"/>
          <w:sz w:val="22"/>
          <w:szCs w:val="24"/>
          <w:lang w:val="en-GB" w:eastAsia="ja-JP"/>
        </w:rPr>
        <w:t>In total, over 50 separate meetings and 13 different focu</w:t>
      </w:r>
      <w:r w:rsidR="008A23BF" w:rsidRPr="00647752">
        <w:rPr>
          <w:rFonts w:ascii="Times New Roman" w:eastAsia="MS Mincho" w:hAnsi="Times New Roman" w:cs="Times New Roman"/>
          <w:sz w:val="22"/>
          <w:szCs w:val="24"/>
          <w:lang w:val="en-GB" w:eastAsia="ja-JP"/>
        </w:rPr>
        <w:t>s groups were conducted by the independent c</w:t>
      </w:r>
      <w:r w:rsidRPr="00647752">
        <w:rPr>
          <w:rFonts w:ascii="Times New Roman" w:eastAsia="MS Mincho" w:hAnsi="Times New Roman" w:cs="Times New Roman"/>
          <w:sz w:val="22"/>
          <w:szCs w:val="24"/>
          <w:lang w:val="en-GB" w:eastAsia="ja-JP"/>
        </w:rPr>
        <w:t xml:space="preserve">onsultant, with </w:t>
      </w:r>
      <w:r w:rsidR="008A23BF" w:rsidRPr="00647752">
        <w:rPr>
          <w:rFonts w:ascii="Times New Roman" w:eastAsia="MS Mincho" w:hAnsi="Times New Roman" w:cs="Times New Roman"/>
          <w:sz w:val="22"/>
          <w:szCs w:val="24"/>
          <w:lang w:val="en-GB" w:eastAsia="ja-JP"/>
        </w:rPr>
        <w:t>the support of UNDP during the e</w:t>
      </w:r>
      <w:r w:rsidRPr="00647752">
        <w:rPr>
          <w:rFonts w:ascii="Times New Roman" w:eastAsia="MS Mincho" w:hAnsi="Times New Roman" w:cs="Times New Roman"/>
          <w:sz w:val="22"/>
          <w:szCs w:val="24"/>
          <w:lang w:val="en-GB" w:eastAsia="ja-JP"/>
        </w:rPr>
        <w:t>valuati</w:t>
      </w:r>
      <w:r w:rsidR="008A23BF" w:rsidRPr="00647752">
        <w:rPr>
          <w:rFonts w:ascii="Times New Roman" w:eastAsia="MS Mincho" w:hAnsi="Times New Roman" w:cs="Times New Roman"/>
          <w:sz w:val="22"/>
          <w:szCs w:val="24"/>
          <w:lang w:val="en-GB" w:eastAsia="ja-JP"/>
        </w:rPr>
        <w:t xml:space="preserve">on in the West Bank and Gaza. </w:t>
      </w:r>
      <w:r w:rsidRPr="00647752">
        <w:rPr>
          <w:rFonts w:ascii="Times New Roman" w:eastAsia="MS Mincho" w:hAnsi="Times New Roman" w:cs="Times New Roman"/>
          <w:sz w:val="22"/>
          <w:szCs w:val="24"/>
          <w:lang w:val="en-GB" w:eastAsia="ja-JP"/>
        </w:rPr>
        <w:t>This represented a total coverage of ove</w:t>
      </w:r>
      <w:r w:rsidR="008A23BF" w:rsidRPr="00647752">
        <w:rPr>
          <w:rFonts w:ascii="Times New Roman" w:eastAsia="MS Mincho" w:hAnsi="Times New Roman" w:cs="Times New Roman"/>
          <w:sz w:val="22"/>
          <w:szCs w:val="24"/>
          <w:lang w:val="en-GB" w:eastAsia="ja-JP"/>
        </w:rPr>
        <w:t>r 150 persons interviewed.</w:t>
      </w:r>
    </w:p>
    <w:p w:rsidR="00053B6C" w:rsidRPr="00647752" w:rsidRDefault="00053B6C" w:rsidP="00FB6759">
      <w:pPr>
        <w:spacing w:after="0" w:line="240" w:lineRule="auto"/>
        <w:jc w:val="both"/>
        <w:rPr>
          <w:rFonts w:ascii="Times New Roman" w:eastAsia="MS Mincho" w:hAnsi="Times New Roman" w:cs="Times New Roman"/>
          <w:sz w:val="22"/>
          <w:szCs w:val="24"/>
          <w:lang w:val="en-GB" w:eastAsia="ja-JP"/>
        </w:rPr>
      </w:pP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 xml:space="preserve">The </w:t>
      </w:r>
      <w:r w:rsidR="008A23BF" w:rsidRPr="00647752">
        <w:rPr>
          <w:rFonts w:ascii="Times New Roman" w:eastAsia="MS Mincho" w:hAnsi="Times New Roman" w:cs="Times New Roman"/>
          <w:sz w:val="22"/>
          <w:szCs w:val="22"/>
          <w:lang w:val="en-GB" w:eastAsia="ja-JP"/>
        </w:rPr>
        <w:t>principal challenge facing the e</w:t>
      </w:r>
      <w:r w:rsidRPr="00647752">
        <w:rPr>
          <w:rFonts w:ascii="Times New Roman" w:eastAsia="MS Mincho" w:hAnsi="Times New Roman" w:cs="Times New Roman"/>
          <w:sz w:val="22"/>
          <w:szCs w:val="22"/>
          <w:lang w:val="en-GB" w:eastAsia="ja-JP"/>
        </w:rPr>
        <w:t>valuation was a lack of readily available stati</w:t>
      </w:r>
      <w:r w:rsidR="008A23BF" w:rsidRPr="00647752">
        <w:rPr>
          <w:rFonts w:ascii="Times New Roman" w:eastAsia="MS Mincho" w:hAnsi="Times New Roman" w:cs="Times New Roman"/>
          <w:sz w:val="22"/>
          <w:szCs w:val="22"/>
          <w:lang w:val="en-GB" w:eastAsia="ja-JP"/>
        </w:rPr>
        <w:t>stics and quantitative data on o</w:t>
      </w:r>
      <w:r w:rsidRPr="00647752">
        <w:rPr>
          <w:rFonts w:ascii="Times New Roman" w:eastAsia="MS Mincho" w:hAnsi="Times New Roman" w:cs="Times New Roman"/>
          <w:sz w:val="22"/>
          <w:szCs w:val="22"/>
          <w:lang w:val="en-GB" w:eastAsia="ja-JP"/>
        </w:rPr>
        <w:t>utcome-le</w:t>
      </w:r>
      <w:r w:rsidR="008A23BF" w:rsidRPr="00647752">
        <w:rPr>
          <w:rFonts w:ascii="Times New Roman" w:eastAsia="MS Mincho" w:hAnsi="Times New Roman" w:cs="Times New Roman"/>
          <w:sz w:val="22"/>
          <w:szCs w:val="22"/>
          <w:lang w:val="en-GB" w:eastAsia="ja-JP"/>
        </w:rPr>
        <w:t xml:space="preserve">vel system changes and impact. </w:t>
      </w:r>
      <w:r w:rsidRPr="00647752">
        <w:rPr>
          <w:rFonts w:ascii="Times New Roman" w:eastAsia="MS Mincho" w:hAnsi="Times New Roman" w:cs="Times New Roman"/>
          <w:sz w:val="22"/>
          <w:szCs w:val="22"/>
          <w:lang w:val="en-GB" w:eastAsia="ja-JP"/>
        </w:rPr>
        <w:t>This challenge was, however, somewhat off-set by a highly collaborative and intense effo</w:t>
      </w:r>
      <w:r w:rsidR="008A23BF" w:rsidRPr="00647752">
        <w:rPr>
          <w:rFonts w:ascii="Times New Roman" w:eastAsia="MS Mincho" w:hAnsi="Times New Roman" w:cs="Times New Roman"/>
          <w:sz w:val="22"/>
          <w:szCs w:val="22"/>
          <w:lang w:val="en-GB" w:eastAsia="ja-JP"/>
        </w:rPr>
        <w:t>rt on the part of UNDP and the c</w:t>
      </w:r>
      <w:r w:rsidRPr="00647752">
        <w:rPr>
          <w:rFonts w:ascii="Times New Roman" w:eastAsia="MS Mincho" w:hAnsi="Times New Roman" w:cs="Times New Roman"/>
          <w:sz w:val="22"/>
          <w:szCs w:val="22"/>
          <w:lang w:val="en-GB" w:eastAsia="ja-JP"/>
        </w:rPr>
        <w:t>onsultant to collect additional statics and information (i.e. Ministry staff lists; information on UNDP grantees; CSO statistics on legal aid beneficiaries served; publications and records of UNDP advocacy campaigns and statements collected from demand-side beneficiaries du</w:t>
      </w:r>
      <w:r w:rsidR="008A23BF" w:rsidRPr="00647752">
        <w:rPr>
          <w:rFonts w:ascii="Times New Roman" w:eastAsia="MS Mincho" w:hAnsi="Times New Roman" w:cs="Times New Roman"/>
          <w:sz w:val="22"/>
          <w:szCs w:val="22"/>
          <w:lang w:val="en-GB" w:eastAsia="ja-JP"/>
        </w:rPr>
        <w:t>ring numerous focus groups).</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8A23BF"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4"/>
          <w:lang w:val="en-GB" w:eastAsia="ja-JP"/>
        </w:rPr>
        <w:t>The outputs of the evaluation included an inception r</w:t>
      </w:r>
      <w:r w:rsidR="00053B6C" w:rsidRPr="00647752">
        <w:rPr>
          <w:rFonts w:ascii="Times New Roman" w:eastAsia="MS Mincho" w:hAnsi="Times New Roman" w:cs="Times New Roman"/>
          <w:sz w:val="22"/>
          <w:szCs w:val="24"/>
          <w:lang w:val="en-GB" w:eastAsia="ja-JP"/>
        </w:rPr>
        <w:t xml:space="preserve">eport filed with UNDP and its donors during the in-country portion of </w:t>
      </w:r>
      <w:r w:rsidRPr="00647752">
        <w:rPr>
          <w:rFonts w:ascii="Times New Roman" w:eastAsia="MS Mincho" w:hAnsi="Times New Roman" w:cs="Times New Roman"/>
          <w:sz w:val="22"/>
          <w:szCs w:val="24"/>
          <w:lang w:val="en-GB" w:eastAsia="ja-JP"/>
        </w:rPr>
        <w:t>the evaluation; a</w:t>
      </w:r>
      <w:r w:rsidR="008B0010">
        <w:rPr>
          <w:rFonts w:ascii="Times New Roman" w:eastAsia="MS Mincho" w:hAnsi="Times New Roman" w:cs="Times New Roman"/>
          <w:sz w:val="22"/>
          <w:szCs w:val="24"/>
          <w:lang w:val="en-GB" w:eastAsia="ja-JP"/>
        </w:rPr>
        <w:t xml:space="preserve">nd a final evaluation report </w:t>
      </w:r>
      <w:r w:rsidR="00053B6C" w:rsidRPr="00647752">
        <w:rPr>
          <w:rFonts w:ascii="Times New Roman" w:eastAsia="MS Mincho" w:hAnsi="Times New Roman" w:cs="Times New Roman"/>
          <w:sz w:val="22"/>
          <w:szCs w:val="24"/>
          <w:lang w:val="en-GB" w:eastAsia="ja-JP"/>
        </w:rPr>
        <w:t xml:space="preserve">submitted to UNDP and </w:t>
      </w:r>
      <w:r w:rsidR="008B0010">
        <w:rPr>
          <w:rFonts w:ascii="Times New Roman" w:eastAsia="MS Mincho" w:hAnsi="Times New Roman" w:cs="Times New Roman"/>
          <w:sz w:val="22"/>
          <w:szCs w:val="24"/>
          <w:lang w:val="en-GB" w:eastAsia="ja-JP"/>
        </w:rPr>
        <w:t xml:space="preserve">its partners and </w:t>
      </w:r>
      <w:r w:rsidR="00053B6C" w:rsidRPr="00647752">
        <w:rPr>
          <w:rFonts w:ascii="Times New Roman" w:eastAsia="MS Mincho" w:hAnsi="Times New Roman" w:cs="Times New Roman"/>
          <w:sz w:val="22"/>
          <w:szCs w:val="24"/>
          <w:lang w:val="en-GB" w:eastAsia="ja-JP"/>
        </w:rPr>
        <w:t>s</w:t>
      </w:r>
      <w:r w:rsidR="008B0010">
        <w:rPr>
          <w:rFonts w:ascii="Times New Roman" w:eastAsia="MS Mincho" w:hAnsi="Times New Roman" w:cs="Times New Roman"/>
          <w:sz w:val="22"/>
          <w:szCs w:val="24"/>
          <w:lang w:val="en-GB" w:eastAsia="ja-JP"/>
        </w:rPr>
        <w:t>takeholders.</w:t>
      </w:r>
    </w:p>
    <w:p w:rsidR="00053B6C" w:rsidRPr="00647752" w:rsidRDefault="00053B6C" w:rsidP="00FB6759">
      <w:pPr>
        <w:spacing w:after="0" w:line="240" w:lineRule="auto"/>
        <w:jc w:val="both"/>
        <w:rPr>
          <w:rFonts w:ascii="Times New Roman" w:eastAsia="MS Mincho" w:hAnsi="Times New Roman" w:cs="Times New Roman"/>
          <w:sz w:val="22"/>
          <w:szCs w:val="24"/>
          <w:lang w:val="en-GB" w:eastAsia="ja-JP"/>
        </w:rPr>
      </w:pPr>
    </w:p>
    <w:p w:rsidR="00053B6C" w:rsidRPr="00647752" w:rsidRDefault="00053B6C" w:rsidP="00FB6759">
      <w:pPr>
        <w:spacing w:after="0" w:line="240" w:lineRule="auto"/>
        <w:jc w:val="both"/>
        <w:rPr>
          <w:rFonts w:ascii="Times New Roman" w:eastAsia="MS Mincho" w:hAnsi="Times New Roman" w:cs="Times New Roman"/>
          <w:b/>
          <w:sz w:val="22"/>
          <w:szCs w:val="24"/>
          <w:lang w:val="en-GB" w:eastAsia="ja-JP"/>
        </w:rPr>
      </w:pPr>
      <w:r w:rsidRPr="00647752">
        <w:rPr>
          <w:rFonts w:ascii="Times New Roman" w:eastAsia="MS Mincho" w:hAnsi="Times New Roman" w:cs="Times New Roman"/>
          <w:b/>
          <w:sz w:val="22"/>
          <w:szCs w:val="24"/>
          <w:lang w:val="en-GB" w:eastAsia="ja-JP"/>
        </w:rPr>
        <w:t>Background and Context</w:t>
      </w:r>
    </w:p>
    <w:p w:rsidR="008A23BF" w:rsidRPr="00647752" w:rsidRDefault="008A23BF" w:rsidP="00FB6759">
      <w:pPr>
        <w:spacing w:after="0" w:line="240" w:lineRule="auto"/>
        <w:jc w:val="both"/>
        <w:rPr>
          <w:rFonts w:ascii="Times New Roman" w:eastAsia="MS Mincho" w:hAnsi="Times New Roman" w:cs="Times New Roman"/>
          <w:sz w:val="22"/>
          <w:szCs w:val="24"/>
          <w:lang w:val="en-GB" w:eastAsia="ja-JP"/>
        </w:rPr>
      </w:pP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4"/>
          <w:lang w:val="en-GB" w:eastAsia="ja-JP"/>
        </w:rPr>
        <w:t>The PNA and its internati</w:t>
      </w:r>
      <w:r w:rsidR="00647752" w:rsidRPr="00647752">
        <w:rPr>
          <w:rFonts w:ascii="Times New Roman" w:eastAsia="MS Mincho" w:hAnsi="Times New Roman" w:cs="Times New Roman"/>
          <w:sz w:val="22"/>
          <w:szCs w:val="24"/>
          <w:lang w:val="en-GB" w:eastAsia="ja-JP"/>
        </w:rPr>
        <w:t>onal partners have long recognis</w:t>
      </w:r>
      <w:r w:rsidRPr="00647752">
        <w:rPr>
          <w:rFonts w:ascii="Times New Roman" w:eastAsia="MS Mincho" w:hAnsi="Times New Roman" w:cs="Times New Roman"/>
          <w:sz w:val="22"/>
          <w:szCs w:val="24"/>
          <w:lang w:val="en-GB" w:eastAsia="ja-JP"/>
        </w:rPr>
        <w:t>ed the centrality of justice and rule of law to the paramount goal of establishing a just, modern, and s</w:t>
      </w:r>
      <w:r w:rsidR="008B0010">
        <w:rPr>
          <w:rFonts w:ascii="Times New Roman" w:eastAsia="MS Mincho" w:hAnsi="Times New Roman" w:cs="Times New Roman"/>
          <w:sz w:val="22"/>
          <w:szCs w:val="24"/>
          <w:lang w:val="en-GB" w:eastAsia="ja-JP"/>
        </w:rPr>
        <w:t>ustainable Palestinian s</w:t>
      </w:r>
      <w:r w:rsidR="00647752" w:rsidRPr="00647752">
        <w:rPr>
          <w:rFonts w:ascii="Times New Roman" w:eastAsia="MS Mincho" w:hAnsi="Times New Roman" w:cs="Times New Roman"/>
          <w:sz w:val="22"/>
          <w:szCs w:val="24"/>
          <w:lang w:val="en-GB" w:eastAsia="ja-JP"/>
        </w:rPr>
        <w:t xml:space="preserve">tate. </w:t>
      </w:r>
      <w:r w:rsidRPr="00647752">
        <w:rPr>
          <w:rFonts w:ascii="Times New Roman" w:eastAsia="MS Mincho" w:hAnsi="Times New Roman" w:cs="Times New Roman"/>
          <w:sz w:val="22"/>
          <w:szCs w:val="24"/>
          <w:lang w:val="en-GB" w:eastAsia="ja-JP"/>
        </w:rPr>
        <w:t>Yet, attempts by the PNA to build a more robust justice sector that maintains the rule of law and protects individual rights and freedoms continue to face political, financial and geographic challenges that are among t</w:t>
      </w:r>
      <w:r w:rsidR="00647752">
        <w:rPr>
          <w:rFonts w:ascii="Times New Roman" w:eastAsia="MS Mincho" w:hAnsi="Times New Roman" w:cs="Times New Roman"/>
          <w:sz w:val="22"/>
          <w:szCs w:val="24"/>
          <w:lang w:val="en-GB" w:eastAsia="ja-JP"/>
        </w:rPr>
        <w:t xml:space="preserve">he most complex in the world. </w:t>
      </w:r>
      <w:r w:rsidRPr="00647752">
        <w:rPr>
          <w:rFonts w:ascii="Times New Roman" w:eastAsia="MS Mincho" w:hAnsi="Times New Roman" w:cs="Times New Roman"/>
          <w:sz w:val="22"/>
          <w:szCs w:val="22"/>
          <w:lang w:val="en-GB" w:eastAsia="ja-JP"/>
        </w:rPr>
        <w:t>The Israeli</w:t>
      </w:r>
      <w:r w:rsidR="00647752">
        <w:rPr>
          <w:rFonts w:ascii="Times New Roman" w:eastAsia="MS Mincho" w:hAnsi="Times New Roman" w:cs="Times New Roman"/>
          <w:sz w:val="22"/>
          <w:szCs w:val="22"/>
          <w:lang w:val="en-GB" w:eastAsia="ja-JP"/>
        </w:rPr>
        <w:t xml:space="preserve"> occupation has had past and on-</w:t>
      </w:r>
      <w:r w:rsidRPr="00647752">
        <w:rPr>
          <w:rFonts w:ascii="Times New Roman" w:eastAsia="MS Mincho" w:hAnsi="Times New Roman" w:cs="Times New Roman"/>
          <w:sz w:val="22"/>
          <w:szCs w:val="22"/>
          <w:lang w:val="en-GB" w:eastAsia="ja-JP"/>
        </w:rPr>
        <w:t>going negative effects on efforts to strengthe</w:t>
      </w:r>
      <w:r w:rsidR="00647752">
        <w:rPr>
          <w:rFonts w:ascii="Times New Roman" w:eastAsia="MS Mincho" w:hAnsi="Times New Roman" w:cs="Times New Roman"/>
          <w:sz w:val="22"/>
          <w:szCs w:val="22"/>
          <w:lang w:val="en-GB" w:eastAsia="ja-JP"/>
        </w:rPr>
        <w:t>n justice and rule of law in the oPt</w:t>
      </w:r>
      <w:r w:rsidRPr="00647752">
        <w:rPr>
          <w:rFonts w:ascii="Times New Roman" w:eastAsia="MS Mincho" w:hAnsi="Times New Roman" w:cs="Times New Roman"/>
          <w:sz w:val="22"/>
          <w:szCs w:val="22"/>
          <w:lang w:val="en-GB" w:eastAsia="ja-JP"/>
        </w:rPr>
        <w:t>. Many of these effects are rooted in past perceptions that persist today in the form of mistrust for the rule of law generally: under the occupation, law and its enforcement has been seen as a function of Israeli will, undermining respect for justice institutions and pushing Palestinians to turn to informal</w:t>
      </w:r>
      <w:r w:rsidR="00647752">
        <w:rPr>
          <w:rFonts w:ascii="Times New Roman" w:eastAsia="MS Mincho" w:hAnsi="Times New Roman" w:cs="Times New Roman"/>
          <w:sz w:val="22"/>
          <w:szCs w:val="22"/>
          <w:lang w:val="en-GB" w:eastAsia="ja-JP"/>
        </w:rPr>
        <w:t xml:space="preserve"> mechanisms to resolve disputes - </w:t>
      </w:r>
      <w:r w:rsidRPr="00647752">
        <w:rPr>
          <w:rFonts w:ascii="Times New Roman" w:eastAsia="MS Mincho" w:hAnsi="Times New Roman" w:cs="Times New Roman"/>
          <w:sz w:val="22"/>
          <w:szCs w:val="22"/>
          <w:lang w:val="en-GB" w:eastAsia="ja-JP"/>
        </w:rPr>
        <w:t>mechanisms with no guarantee of fair trials or respect for international standards of human rights.</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053B6C" w:rsidP="00FB6759">
      <w:pPr>
        <w:spacing w:after="0" w:line="240" w:lineRule="auto"/>
        <w:jc w:val="both"/>
        <w:rPr>
          <w:rFonts w:ascii="Times New Roman" w:eastAsia="MS Mincho" w:hAnsi="Times New Roman" w:cs="Times New Roman"/>
          <w:sz w:val="22"/>
          <w:szCs w:val="24"/>
          <w:lang w:val="en-GB" w:eastAsia="ja-JP"/>
        </w:rPr>
      </w:pPr>
      <w:r w:rsidRPr="00647752">
        <w:rPr>
          <w:rFonts w:ascii="Times New Roman" w:eastAsia="MS Mincho" w:hAnsi="Times New Roman" w:cs="Times New Roman"/>
          <w:sz w:val="22"/>
          <w:szCs w:val="22"/>
          <w:lang w:val="en-GB" w:eastAsia="ja-JP"/>
        </w:rPr>
        <w:t>The Israeli occupation and its attendant restrictions on movement and access have also created significant logistical challenges, as</w:t>
      </w:r>
      <w:r w:rsidR="00647752">
        <w:rPr>
          <w:rFonts w:ascii="Times New Roman" w:eastAsia="MS Mincho" w:hAnsi="Times New Roman" w:cs="Times New Roman"/>
          <w:sz w:val="22"/>
          <w:szCs w:val="22"/>
          <w:lang w:val="en-GB" w:eastAsia="ja-JP"/>
        </w:rPr>
        <w:t xml:space="preserve"> has the split between </w:t>
      </w:r>
      <w:r w:rsidRPr="00647752">
        <w:rPr>
          <w:rFonts w:ascii="Times New Roman" w:eastAsia="MS Mincho" w:hAnsi="Times New Roman" w:cs="Times New Roman"/>
          <w:sz w:val="22"/>
          <w:szCs w:val="22"/>
          <w:lang w:val="en-GB" w:eastAsia="ja-JP"/>
        </w:rPr>
        <w:t>the West Bank</w:t>
      </w:r>
      <w:r w:rsidR="00647752">
        <w:rPr>
          <w:rFonts w:ascii="Times New Roman" w:eastAsia="MS Mincho" w:hAnsi="Times New Roman" w:cs="Times New Roman"/>
          <w:sz w:val="22"/>
          <w:szCs w:val="22"/>
          <w:lang w:val="en-GB" w:eastAsia="ja-JP"/>
        </w:rPr>
        <w:t xml:space="preserve"> and Gaza</w:t>
      </w:r>
      <w:r w:rsidRPr="00647752">
        <w:rPr>
          <w:rFonts w:ascii="Times New Roman" w:eastAsia="MS Mincho" w:hAnsi="Times New Roman" w:cs="Times New Roman"/>
          <w:sz w:val="22"/>
          <w:szCs w:val="22"/>
          <w:lang w:val="en-GB" w:eastAsia="ja-JP"/>
        </w:rPr>
        <w:t>. Efforts to build justic</w:t>
      </w:r>
      <w:r w:rsidR="00647752">
        <w:rPr>
          <w:rFonts w:ascii="Times New Roman" w:eastAsia="MS Mincho" w:hAnsi="Times New Roman" w:cs="Times New Roman"/>
          <w:sz w:val="22"/>
          <w:szCs w:val="22"/>
          <w:lang w:val="en-GB" w:eastAsia="ja-JP"/>
        </w:rPr>
        <w:t xml:space="preserve">e institutions </w:t>
      </w:r>
      <w:r w:rsidR="00647752">
        <w:rPr>
          <w:rFonts w:ascii="Times New Roman" w:eastAsia="MS Mincho" w:hAnsi="Times New Roman" w:cs="Times New Roman"/>
          <w:sz w:val="22"/>
          <w:szCs w:val="22"/>
          <w:lang w:val="en-GB" w:eastAsia="ja-JP"/>
        </w:rPr>
        <w:lastRenderedPageBreak/>
        <w:t>and practices have</w:t>
      </w:r>
      <w:r w:rsidRPr="00647752">
        <w:rPr>
          <w:rFonts w:ascii="Times New Roman" w:eastAsia="MS Mincho" w:hAnsi="Times New Roman" w:cs="Times New Roman"/>
          <w:sz w:val="22"/>
          <w:szCs w:val="22"/>
          <w:lang w:val="en-GB" w:eastAsia="ja-JP"/>
        </w:rPr>
        <w:t xml:space="preserve"> been severely hampered by the geographic divisions imposed by the Israeli occupation and the division created by the split between the West Bank and Gaza that resulted from the 2007 takeover of the Gaza Strip by a Hamas-led </w:t>
      </w:r>
      <w:r w:rsidRPr="00647752">
        <w:rPr>
          <w:rFonts w:ascii="Times New Roman" w:eastAsia="MS Mincho" w:hAnsi="Times New Roman" w:cs="Times New Roman"/>
          <w:i/>
          <w:sz w:val="22"/>
          <w:szCs w:val="22"/>
          <w:lang w:val="en-GB" w:eastAsia="ja-JP"/>
        </w:rPr>
        <w:t xml:space="preserve">de facto </w:t>
      </w:r>
      <w:r w:rsidRPr="00647752">
        <w:rPr>
          <w:rFonts w:ascii="Times New Roman" w:eastAsia="MS Mincho" w:hAnsi="Times New Roman" w:cs="Times New Roman"/>
          <w:sz w:val="22"/>
          <w:szCs w:val="22"/>
          <w:lang w:val="en-GB" w:eastAsia="ja-JP"/>
        </w:rPr>
        <w:t xml:space="preserve">government. The Palestinian economy has suffered severely due to the effects of the global economic crisis and impact of the continued Israeli occupation and the travel restrictions imposed on residents of the West Bank and Gaza.    </w:t>
      </w:r>
    </w:p>
    <w:p w:rsidR="00053B6C" w:rsidRPr="00647752" w:rsidRDefault="00053B6C" w:rsidP="00FB6759">
      <w:pPr>
        <w:spacing w:after="0" w:line="240" w:lineRule="auto"/>
        <w:jc w:val="both"/>
        <w:rPr>
          <w:rFonts w:ascii="Times New Roman" w:eastAsia="MS Mincho" w:hAnsi="Times New Roman" w:cs="Times New Roman"/>
          <w:sz w:val="22"/>
          <w:szCs w:val="24"/>
          <w:lang w:val="en-GB" w:eastAsia="ja-JP"/>
        </w:rPr>
      </w:pPr>
    </w:p>
    <w:p w:rsidR="00053B6C" w:rsidRPr="00647752" w:rsidRDefault="00053B6C" w:rsidP="00FB6759">
      <w:pPr>
        <w:spacing w:after="0" w:line="240" w:lineRule="auto"/>
        <w:jc w:val="both"/>
        <w:rPr>
          <w:rFonts w:ascii="Times New Roman" w:eastAsia="MS Mincho" w:hAnsi="Times New Roman" w:cs="Times New Roman"/>
          <w:b/>
          <w:sz w:val="22"/>
          <w:szCs w:val="24"/>
          <w:lang w:val="en-GB" w:eastAsia="ja-JP"/>
        </w:rPr>
      </w:pPr>
      <w:r w:rsidRPr="00647752">
        <w:rPr>
          <w:rFonts w:ascii="Times New Roman" w:eastAsia="MS Mincho" w:hAnsi="Times New Roman" w:cs="Times New Roman"/>
          <w:b/>
          <w:sz w:val="22"/>
          <w:szCs w:val="24"/>
          <w:lang w:val="en-GB" w:eastAsia="ja-JP"/>
        </w:rPr>
        <w:t xml:space="preserve">The Justice System </w:t>
      </w:r>
    </w:p>
    <w:p w:rsidR="00647752" w:rsidRDefault="00647752" w:rsidP="00FB6759">
      <w:pPr>
        <w:spacing w:after="0" w:line="240" w:lineRule="auto"/>
        <w:jc w:val="both"/>
        <w:rPr>
          <w:rFonts w:ascii="Times New Roman" w:eastAsia="MS Mincho" w:hAnsi="Times New Roman" w:cs="Times New Roman"/>
          <w:sz w:val="22"/>
          <w:szCs w:val="24"/>
          <w:lang w:val="en-GB" w:eastAsia="ja-JP"/>
        </w:rPr>
      </w:pPr>
    </w:p>
    <w:p w:rsidR="00053B6C" w:rsidRPr="00647752" w:rsidRDefault="00053B6C" w:rsidP="00FB6759">
      <w:pPr>
        <w:spacing w:after="0" w:line="240" w:lineRule="auto"/>
        <w:jc w:val="both"/>
        <w:rPr>
          <w:rFonts w:ascii="Times New Roman" w:eastAsia="MS Mincho" w:hAnsi="Times New Roman" w:cs="Times New Roman"/>
          <w:sz w:val="22"/>
          <w:szCs w:val="24"/>
          <w:lang w:val="en-GB" w:eastAsia="ja-JP"/>
        </w:rPr>
      </w:pPr>
      <w:r w:rsidRPr="00647752">
        <w:rPr>
          <w:rFonts w:ascii="Times New Roman" w:eastAsia="MS Mincho" w:hAnsi="Times New Roman" w:cs="Times New Roman"/>
          <w:sz w:val="22"/>
          <w:szCs w:val="24"/>
          <w:lang w:val="en-GB" w:eastAsia="ja-JP"/>
        </w:rPr>
        <w:t>The bulk of government and UNDP development efforts with regards to justice and rule of law are focused on the three key justice institutions: the Ministry of Justice</w:t>
      </w:r>
      <w:r w:rsidR="00647752">
        <w:rPr>
          <w:rFonts w:ascii="Times New Roman" w:eastAsia="MS Mincho" w:hAnsi="Times New Roman" w:cs="Times New Roman"/>
          <w:sz w:val="22"/>
          <w:szCs w:val="24"/>
          <w:lang w:val="en-GB" w:eastAsia="ja-JP"/>
        </w:rPr>
        <w:t xml:space="preserve"> (MOJ)</w:t>
      </w:r>
      <w:r w:rsidRPr="00647752">
        <w:rPr>
          <w:rFonts w:ascii="Times New Roman" w:eastAsia="MS Mincho" w:hAnsi="Times New Roman" w:cs="Times New Roman"/>
          <w:sz w:val="22"/>
          <w:szCs w:val="24"/>
          <w:lang w:val="en-GB" w:eastAsia="ja-JP"/>
        </w:rPr>
        <w:t>, the Attorney-General’s Office</w:t>
      </w:r>
      <w:r w:rsidR="00647752">
        <w:rPr>
          <w:rFonts w:ascii="Times New Roman" w:eastAsia="MS Mincho" w:hAnsi="Times New Roman" w:cs="Times New Roman"/>
          <w:sz w:val="22"/>
          <w:szCs w:val="24"/>
          <w:lang w:val="en-GB" w:eastAsia="ja-JP"/>
        </w:rPr>
        <w:t xml:space="preserve"> (AGO)</w:t>
      </w:r>
      <w:r w:rsidRPr="00647752">
        <w:rPr>
          <w:rFonts w:ascii="Times New Roman" w:eastAsia="MS Mincho" w:hAnsi="Times New Roman" w:cs="Times New Roman"/>
          <w:sz w:val="22"/>
          <w:szCs w:val="24"/>
          <w:lang w:val="en-GB" w:eastAsia="ja-JP"/>
        </w:rPr>
        <w:t>, and the Hig</w:t>
      </w:r>
      <w:r w:rsidR="00647752">
        <w:rPr>
          <w:rFonts w:ascii="Times New Roman" w:eastAsia="MS Mincho" w:hAnsi="Times New Roman" w:cs="Times New Roman"/>
          <w:sz w:val="22"/>
          <w:szCs w:val="24"/>
          <w:lang w:val="en-GB" w:eastAsia="ja-JP"/>
        </w:rPr>
        <w:t>h Judicial Council (HJC). The MO</w:t>
      </w:r>
      <w:r w:rsidR="008B0010">
        <w:rPr>
          <w:rFonts w:ascii="Times New Roman" w:eastAsia="MS Mincho" w:hAnsi="Times New Roman" w:cs="Times New Roman"/>
          <w:sz w:val="22"/>
          <w:szCs w:val="24"/>
          <w:lang w:val="en-GB" w:eastAsia="ja-JP"/>
        </w:rPr>
        <w:t xml:space="preserve">J </w:t>
      </w:r>
      <w:r w:rsidRPr="00647752">
        <w:rPr>
          <w:rFonts w:ascii="Times New Roman" w:eastAsia="MS Mincho" w:hAnsi="Times New Roman" w:cs="Times New Roman"/>
          <w:sz w:val="22"/>
          <w:szCs w:val="24"/>
          <w:lang w:val="en-GB" w:eastAsia="ja-JP"/>
        </w:rPr>
        <w:t xml:space="preserve">in particular </w:t>
      </w:r>
      <w:r w:rsidR="008B0010">
        <w:rPr>
          <w:rFonts w:ascii="Times New Roman" w:eastAsia="MS Mincho" w:hAnsi="Times New Roman" w:cs="Times New Roman"/>
          <w:sz w:val="22"/>
          <w:szCs w:val="24"/>
          <w:lang w:val="en-GB" w:eastAsia="ja-JP"/>
        </w:rPr>
        <w:t xml:space="preserve">has </w:t>
      </w:r>
      <w:r w:rsidRPr="00647752">
        <w:rPr>
          <w:rFonts w:ascii="Times New Roman" w:eastAsia="MS Mincho" w:hAnsi="Times New Roman" w:cs="Times New Roman"/>
          <w:sz w:val="22"/>
          <w:szCs w:val="24"/>
          <w:lang w:val="en-GB" w:eastAsia="ja-JP"/>
        </w:rPr>
        <w:t>faced a difficult history having been physically spl</w:t>
      </w:r>
      <w:r w:rsidR="00647752">
        <w:rPr>
          <w:rFonts w:ascii="Times New Roman" w:eastAsia="MS Mincho" w:hAnsi="Times New Roman" w:cs="Times New Roman"/>
          <w:sz w:val="22"/>
          <w:szCs w:val="24"/>
          <w:lang w:val="en-GB" w:eastAsia="ja-JP"/>
        </w:rPr>
        <w:t>it following the Hamas-led take-</w:t>
      </w:r>
      <w:r w:rsidRPr="00647752">
        <w:rPr>
          <w:rFonts w:ascii="Times New Roman" w:eastAsia="MS Mincho" w:hAnsi="Times New Roman" w:cs="Times New Roman"/>
          <w:sz w:val="22"/>
          <w:szCs w:val="24"/>
          <w:lang w:val="en-GB" w:eastAsia="ja-JP"/>
        </w:rPr>
        <w:t xml:space="preserve">over of Gaza in 2007 where the Ministry was headquartered with staff being relocated to Ramallah, but with over 80 staff remaining in Gaza.  </w:t>
      </w:r>
    </w:p>
    <w:p w:rsidR="00053B6C" w:rsidRPr="00647752" w:rsidRDefault="00053B6C" w:rsidP="00FB6759">
      <w:pPr>
        <w:spacing w:after="0" w:line="240" w:lineRule="auto"/>
        <w:jc w:val="both"/>
        <w:rPr>
          <w:rFonts w:ascii="Times New Roman" w:eastAsia="MS Mincho" w:hAnsi="Times New Roman" w:cs="Times New Roman"/>
          <w:sz w:val="22"/>
          <w:szCs w:val="24"/>
          <w:lang w:val="en-GB" w:eastAsia="ja-JP"/>
        </w:rPr>
      </w:pP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Other government and civil society institutions also play important roles in the administration of justice and the establishment</w:t>
      </w:r>
      <w:r w:rsidR="00647752">
        <w:rPr>
          <w:rFonts w:ascii="Times New Roman" w:eastAsia="MS Mincho" w:hAnsi="Times New Roman" w:cs="Times New Roman"/>
          <w:sz w:val="22"/>
          <w:szCs w:val="22"/>
          <w:lang w:val="en-GB" w:eastAsia="ja-JP"/>
        </w:rPr>
        <w:t xml:space="preserve"> of a culture of rule of law. </w:t>
      </w:r>
      <w:r w:rsidRPr="00647752">
        <w:rPr>
          <w:rFonts w:ascii="Times New Roman" w:eastAsia="MS Mincho" w:hAnsi="Times New Roman" w:cs="Times New Roman"/>
          <w:sz w:val="22"/>
          <w:szCs w:val="22"/>
          <w:lang w:val="en-GB" w:eastAsia="ja-JP"/>
        </w:rPr>
        <w:t xml:space="preserve">These include the </w:t>
      </w:r>
      <w:r w:rsidR="008B0010">
        <w:rPr>
          <w:rFonts w:ascii="Times New Roman" w:eastAsia="MS Mincho" w:hAnsi="Times New Roman" w:cs="Times New Roman"/>
          <w:i/>
          <w:sz w:val="22"/>
          <w:szCs w:val="22"/>
          <w:lang w:val="en-GB" w:eastAsia="ja-JP"/>
        </w:rPr>
        <w:t>s</w:t>
      </w:r>
      <w:r w:rsidRPr="00647752">
        <w:rPr>
          <w:rFonts w:ascii="Times New Roman" w:eastAsia="MS Mincho" w:hAnsi="Times New Roman" w:cs="Times New Roman"/>
          <w:i/>
          <w:sz w:val="22"/>
          <w:szCs w:val="22"/>
          <w:lang w:val="en-GB" w:eastAsia="ja-JP"/>
        </w:rPr>
        <w:t>hari’a</w:t>
      </w:r>
      <w:r w:rsidR="008B0010">
        <w:rPr>
          <w:rFonts w:ascii="Times New Roman" w:eastAsia="MS Mincho" w:hAnsi="Times New Roman" w:cs="Times New Roman"/>
          <w:sz w:val="22"/>
          <w:szCs w:val="22"/>
          <w:lang w:val="en-GB" w:eastAsia="ja-JP"/>
        </w:rPr>
        <w:t xml:space="preserve"> c</w:t>
      </w:r>
      <w:r w:rsidRPr="00647752">
        <w:rPr>
          <w:rFonts w:ascii="Times New Roman" w:eastAsia="MS Mincho" w:hAnsi="Times New Roman" w:cs="Times New Roman"/>
          <w:sz w:val="22"/>
          <w:szCs w:val="22"/>
          <w:lang w:val="en-GB" w:eastAsia="ja-JP"/>
        </w:rPr>
        <w:t>ourts</w:t>
      </w:r>
      <w:r w:rsidR="004B777C" w:rsidRPr="00647752">
        <w:rPr>
          <w:rFonts w:ascii="Times New Roman" w:eastAsia="MS Mincho" w:hAnsi="Times New Roman" w:cs="Times New Roman"/>
          <w:sz w:val="22"/>
          <w:szCs w:val="22"/>
          <w:lang w:val="en-GB" w:eastAsia="ja-JP"/>
        </w:rPr>
        <w:t>; the</w:t>
      </w:r>
      <w:r w:rsidR="00647752">
        <w:rPr>
          <w:rFonts w:ascii="Times New Roman" w:eastAsia="MS Mincho" w:hAnsi="Times New Roman" w:cs="Times New Roman"/>
          <w:sz w:val="22"/>
          <w:szCs w:val="22"/>
          <w:lang w:val="en-GB" w:eastAsia="ja-JP"/>
        </w:rPr>
        <w:t xml:space="preserve"> Palestinian Bar Association; e</w:t>
      </w:r>
      <w:r w:rsidRPr="00647752">
        <w:rPr>
          <w:rFonts w:ascii="Times New Roman" w:eastAsia="MS Mincho" w:hAnsi="Times New Roman" w:cs="Times New Roman"/>
          <w:sz w:val="22"/>
          <w:szCs w:val="22"/>
          <w:lang w:val="en-GB" w:eastAsia="ja-JP"/>
        </w:rPr>
        <w:t>ducational ins</w:t>
      </w:r>
      <w:r w:rsidR="00647752">
        <w:rPr>
          <w:rFonts w:ascii="Times New Roman" w:eastAsia="MS Mincho" w:hAnsi="Times New Roman" w:cs="Times New Roman"/>
          <w:sz w:val="22"/>
          <w:szCs w:val="22"/>
          <w:lang w:val="en-GB" w:eastAsia="ja-JP"/>
        </w:rPr>
        <w:t xml:space="preserve">titutions and law clinics; and independent civil society organisations - both Palestinian and Israeli - </w:t>
      </w:r>
      <w:r w:rsidRPr="00647752">
        <w:rPr>
          <w:rFonts w:ascii="Times New Roman" w:eastAsia="MS Mincho" w:hAnsi="Times New Roman" w:cs="Times New Roman"/>
          <w:sz w:val="22"/>
          <w:szCs w:val="22"/>
          <w:lang w:val="en-GB" w:eastAsia="ja-JP"/>
        </w:rPr>
        <w:t>that play an essential role in fostering a culture of justice among Palestinians, ensuring that reforms at the institutional level translate into real, positive change in the l</w:t>
      </w:r>
      <w:r w:rsidR="00647752">
        <w:rPr>
          <w:rFonts w:ascii="Times New Roman" w:eastAsia="MS Mincho" w:hAnsi="Times New Roman" w:cs="Times New Roman"/>
          <w:sz w:val="22"/>
          <w:szCs w:val="22"/>
          <w:lang w:val="en-GB" w:eastAsia="ja-JP"/>
        </w:rPr>
        <w:t>ives of the Palestinian people.</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The PNA’s 2011-2013 Justice and Rule o</w:t>
      </w:r>
      <w:r w:rsidR="00647752">
        <w:rPr>
          <w:rFonts w:ascii="Times New Roman" w:eastAsia="MS Mincho" w:hAnsi="Times New Roman" w:cs="Times New Roman"/>
          <w:sz w:val="22"/>
          <w:szCs w:val="22"/>
          <w:lang w:val="en-GB" w:eastAsia="ja-JP"/>
        </w:rPr>
        <w:t>f Law National Strategy recognis</w:t>
      </w:r>
      <w:r w:rsidRPr="00647752">
        <w:rPr>
          <w:rFonts w:ascii="Times New Roman" w:eastAsia="MS Mincho" w:hAnsi="Times New Roman" w:cs="Times New Roman"/>
          <w:sz w:val="22"/>
          <w:szCs w:val="22"/>
          <w:lang w:val="en-GB" w:eastAsia="ja-JP"/>
        </w:rPr>
        <w:t>ed a number of on-going challenges f</w:t>
      </w:r>
      <w:r w:rsidR="008B0010">
        <w:rPr>
          <w:rFonts w:ascii="Times New Roman" w:eastAsia="MS Mincho" w:hAnsi="Times New Roman" w:cs="Times New Roman"/>
          <w:sz w:val="22"/>
          <w:szCs w:val="22"/>
          <w:lang w:val="en-GB" w:eastAsia="ja-JP"/>
        </w:rPr>
        <w:t>or the rule of law sector in the oPt</w:t>
      </w:r>
      <w:r w:rsidR="00647752">
        <w:rPr>
          <w:rFonts w:ascii="Times New Roman" w:eastAsia="MS Mincho" w:hAnsi="Times New Roman" w:cs="Times New Roman"/>
          <w:sz w:val="22"/>
          <w:szCs w:val="22"/>
          <w:lang w:val="en-GB" w:eastAsia="ja-JP"/>
        </w:rPr>
        <w:t xml:space="preserve">. These included </w:t>
      </w:r>
      <w:r w:rsidRPr="00647752">
        <w:rPr>
          <w:rFonts w:ascii="Times New Roman" w:eastAsia="MS Mincho" w:hAnsi="Times New Roman" w:cs="Times New Roman"/>
          <w:sz w:val="22"/>
          <w:szCs w:val="22"/>
          <w:lang w:val="en-GB" w:eastAsia="ja-JP"/>
        </w:rPr>
        <w:t xml:space="preserve">weaknesses across the justice system such </w:t>
      </w:r>
      <w:r w:rsidR="00647752">
        <w:rPr>
          <w:rFonts w:ascii="Times New Roman" w:eastAsia="MS Mincho" w:hAnsi="Times New Roman" w:cs="Times New Roman"/>
          <w:sz w:val="22"/>
          <w:szCs w:val="22"/>
          <w:lang w:val="en-GB" w:eastAsia="ja-JP"/>
        </w:rPr>
        <w:t xml:space="preserve">as </w:t>
      </w:r>
      <w:r w:rsidRPr="00647752">
        <w:rPr>
          <w:rFonts w:ascii="Times New Roman" w:eastAsia="MS Mincho" w:hAnsi="Times New Roman" w:cs="Times New Roman"/>
          <w:sz w:val="22"/>
          <w:szCs w:val="22"/>
          <w:lang w:val="en-GB" w:eastAsia="ja-JP"/>
        </w:rPr>
        <w:t>an absence of civil and criminal legislation; lack of mechanisms for conflict reduction; low performance rates of judges, prosecutors and courts; l</w:t>
      </w:r>
      <w:r w:rsidR="00647752">
        <w:rPr>
          <w:rFonts w:ascii="Times New Roman" w:eastAsia="MS Mincho" w:hAnsi="Times New Roman" w:cs="Times New Roman"/>
          <w:sz w:val="22"/>
          <w:szCs w:val="22"/>
          <w:lang w:val="en-GB" w:eastAsia="ja-JP"/>
        </w:rPr>
        <w:t xml:space="preserve">ack of qualified personnel; </w:t>
      </w:r>
      <w:r w:rsidRPr="00647752">
        <w:rPr>
          <w:rFonts w:ascii="Times New Roman" w:eastAsia="MS Mincho" w:hAnsi="Times New Roman" w:cs="Times New Roman"/>
          <w:sz w:val="22"/>
          <w:szCs w:val="22"/>
          <w:lang w:val="en-GB" w:eastAsia="ja-JP"/>
        </w:rPr>
        <w:t>overlap of civil and military justice; case backlogs; deficiencies in the procedures and places of detention; lack of access to justice for</w:t>
      </w:r>
      <w:r w:rsidR="008B0010">
        <w:rPr>
          <w:rFonts w:ascii="Times New Roman" w:eastAsia="MS Mincho" w:hAnsi="Times New Roman" w:cs="Times New Roman"/>
          <w:sz w:val="22"/>
          <w:szCs w:val="22"/>
          <w:lang w:val="en-GB" w:eastAsia="ja-JP"/>
        </w:rPr>
        <w:t xml:space="preserve"> women and other vulnerable groups;</w:t>
      </w:r>
      <w:r w:rsidRPr="00647752">
        <w:rPr>
          <w:rFonts w:ascii="Times New Roman" w:eastAsia="MS Mincho" w:hAnsi="Times New Roman" w:cs="Times New Roman"/>
          <w:sz w:val="22"/>
          <w:szCs w:val="22"/>
          <w:lang w:val="en-GB" w:eastAsia="ja-JP"/>
        </w:rPr>
        <w:t xml:space="preserve"> geographic challenges posed by the continuing Israeli occupation and </w:t>
      </w:r>
      <w:r w:rsidR="008B0010">
        <w:rPr>
          <w:rFonts w:ascii="Times New Roman" w:eastAsia="MS Mincho" w:hAnsi="Times New Roman" w:cs="Times New Roman"/>
          <w:sz w:val="22"/>
          <w:szCs w:val="22"/>
          <w:lang w:val="en-GB" w:eastAsia="ja-JP"/>
        </w:rPr>
        <w:t>ongoing</w:t>
      </w:r>
      <w:r w:rsidR="00227679">
        <w:rPr>
          <w:rFonts w:ascii="Times New Roman" w:eastAsia="MS Mincho" w:hAnsi="Times New Roman" w:cs="Times New Roman"/>
          <w:sz w:val="22"/>
          <w:szCs w:val="22"/>
          <w:lang w:val="en-GB" w:eastAsia="ja-JP"/>
        </w:rPr>
        <w:t xml:space="preserve"> </w:t>
      </w:r>
      <w:r w:rsidRPr="00647752">
        <w:rPr>
          <w:rFonts w:ascii="Times New Roman" w:eastAsia="MS Mincho" w:hAnsi="Times New Roman" w:cs="Times New Roman"/>
          <w:sz w:val="22"/>
          <w:szCs w:val="22"/>
          <w:lang w:val="en-GB" w:eastAsia="ja-JP"/>
        </w:rPr>
        <w:t xml:space="preserve">human rights violations; restrictions on movements; lack of PNA jurisdiction and access to its own territories; and split </w:t>
      </w:r>
      <w:r w:rsidR="00647752">
        <w:rPr>
          <w:rFonts w:ascii="Times New Roman" w:eastAsia="MS Mincho" w:hAnsi="Times New Roman" w:cs="Times New Roman"/>
          <w:sz w:val="22"/>
          <w:szCs w:val="22"/>
          <w:lang w:val="en-GB" w:eastAsia="ja-JP"/>
        </w:rPr>
        <w:t>of the West Bank and Gaza.</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647752" w:rsidP="00FB6759">
      <w:pPr>
        <w:spacing w:after="0" w:line="240" w:lineRule="auto"/>
        <w:jc w:val="both"/>
        <w:rPr>
          <w:rFonts w:ascii="Times New Roman" w:eastAsia="MS Mincho" w:hAnsi="Times New Roman" w:cs="Times New Roman"/>
          <w:sz w:val="22"/>
          <w:szCs w:val="22"/>
          <w:lang w:val="en-GB" w:eastAsia="ja-JP"/>
        </w:rPr>
      </w:pPr>
      <w:r>
        <w:rPr>
          <w:rFonts w:ascii="Times New Roman" w:eastAsia="MS Mincho" w:hAnsi="Times New Roman" w:cs="Times New Roman"/>
          <w:sz w:val="22"/>
          <w:szCs w:val="22"/>
          <w:lang w:val="en-GB" w:eastAsia="ja-JP"/>
        </w:rPr>
        <w:t>The same s</w:t>
      </w:r>
      <w:r w:rsidR="00053B6C" w:rsidRPr="00647752">
        <w:rPr>
          <w:rFonts w:ascii="Times New Roman" w:eastAsia="MS Mincho" w:hAnsi="Times New Roman" w:cs="Times New Roman"/>
          <w:sz w:val="22"/>
          <w:szCs w:val="22"/>
          <w:lang w:val="en-GB" w:eastAsia="ja-JP"/>
        </w:rPr>
        <w:t>tra</w:t>
      </w:r>
      <w:r>
        <w:rPr>
          <w:rFonts w:ascii="Times New Roman" w:eastAsia="MS Mincho" w:hAnsi="Times New Roman" w:cs="Times New Roman"/>
          <w:sz w:val="22"/>
          <w:szCs w:val="22"/>
          <w:lang w:val="en-GB" w:eastAsia="ja-JP"/>
        </w:rPr>
        <w:t>tegy contains four main goals: 1) e</w:t>
      </w:r>
      <w:r w:rsidR="00053B6C" w:rsidRPr="00647752">
        <w:rPr>
          <w:rFonts w:ascii="Times New Roman" w:eastAsia="MS Mincho" w:hAnsi="Times New Roman" w:cs="Times New Roman"/>
          <w:sz w:val="22"/>
          <w:szCs w:val="22"/>
          <w:lang w:val="en-GB" w:eastAsia="ja-JP"/>
        </w:rPr>
        <w:t>nsuring respect for human rights, fundamental freedoms and rule of law; 2) ensuring fair trials</w:t>
      </w:r>
      <w:r w:rsidR="004B777C" w:rsidRPr="00647752">
        <w:rPr>
          <w:rFonts w:ascii="Times New Roman" w:eastAsia="MS Mincho" w:hAnsi="Times New Roman" w:cs="Times New Roman"/>
          <w:sz w:val="22"/>
          <w:szCs w:val="22"/>
          <w:lang w:val="en-GB" w:eastAsia="ja-JP"/>
        </w:rPr>
        <w:t>; 3</w:t>
      </w:r>
      <w:r>
        <w:rPr>
          <w:rFonts w:ascii="Times New Roman" w:eastAsia="MS Mincho" w:hAnsi="Times New Roman" w:cs="Times New Roman"/>
          <w:sz w:val="22"/>
          <w:szCs w:val="22"/>
          <w:lang w:val="en-GB" w:eastAsia="ja-JP"/>
        </w:rPr>
        <w:t>) s</w:t>
      </w:r>
      <w:r w:rsidR="00053B6C" w:rsidRPr="00647752">
        <w:rPr>
          <w:rFonts w:ascii="Times New Roman" w:eastAsia="MS Mincho" w:hAnsi="Times New Roman" w:cs="Times New Roman"/>
          <w:sz w:val="22"/>
          <w:szCs w:val="22"/>
          <w:lang w:val="en-GB" w:eastAsia="ja-JP"/>
        </w:rPr>
        <w:t>upporting, developing and enhancing justi</w:t>
      </w:r>
      <w:r>
        <w:rPr>
          <w:rFonts w:ascii="Times New Roman" w:eastAsia="MS Mincho" w:hAnsi="Times New Roman" w:cs="Times New Roman"/>
          <w:sz w:val="22"/>
          <w:szCs w:val="22"/>
          <w:lang w:val="en-GB" w:eastAsia="ja-JP"/>
        </w:rPr>
        <w:t>ce sector institutions; and 4) developing, harmonising and modernis</w:t>
      </w:r>
      <w:r w:rsidR="00053B6C" w:rsidRPr="00647752">
        <w:rPr>
          <w:rFonts w:ascii="Times New Roman" w:eastAsia="MS Mincho" w:hAnsi="Times New Roman" w:cs="Times New Roman"/>
          <w:sz w:val="22"/>
          <w:szCs w:val="22"/>
          <w:lang w:val="en-GB" w:eastAsia="ja-JP"/>
        </w:rPr>
        <w:t xml:space="preserve">ing legislation. </w:t>
      </w:r>
    </w:p>
    <w:p w:rsidR="00053B6C" w:rsidRPr="00647752" w:rsidRDefault="00053B6C" w:rsidP="00FB6759">
      <w:pPr>
        <w:spacing w:after="0" w:line="240" w:lineRule="auto"/>
        <w:jc w:val="both"/>
        <w:rPr>
          <w:rFonts w:ascii="Times New Roman" w:eastAsia="MS Mincho" w:hAnsi="Times New Roman" w:cs="Times New Roman"/>
          <w:sz w:val="22"/>
          <w:szCs w:val="24"/>
          <w:lang w:val="en-GB" w:eastAsia="ja-JP"/>
        </w:rPr>
      </w:pPr>
    </w:p>
    <w:p w:rsidR="00053B6C" w:rsidRPr="00647752" w:rsidRDefault="00647752" w:rsidP="00FB6759">
      <w:pPr>
        <w:spacing w:after="0" w:line="240" w:lineRule="auto"/>
        <w:jc w:val="both"/>
        <w:rPr>
          <w:rFonts w:ascii="Times New Roman" w:eastAsia="MS Mincho" w:hAnsi="Times New Roman" w:cs="Times New Roman"/>
          <w:b/>
          <w:sz w:val="22"/>
          <w:szCs w:val="24"/>
          <w:lang w:val="en-GB" w:eastAsia="ja-JP"/>
        </w:rPr>
      </w:pPr>
      <w:r>
        <w:rPr>
          <w:rFonts w:ascii="Times New Roman" w:eastAsia="MS Mincho" w:hAnsi="Times New Roman" w:cs="Times New Roman"/>
          <w:b/>
          <w:sz w:val="22"/>
          <w:szCs w:val="24"/>
          <w:lang w:val="en-GB" w:eastAsia="ja-JP"/>
        </w:rPr>
        <w:t>Overview of UNDP/</w:t>
      </w:r>
      <w:r w:rsidR="00053B6C" w:rsidRPr="00647752">
        <w:rPr>
          <w:rFonts w:ascii="Times New Roman" w:eastAsia="MS Mincho" w:hAnsi="Times New Roman" w:cs="Times New Roman"/>
          <w:b/>
          <w:sz w:val="22"/>
          <w:szCs w:val="24"/>
          <w:lang w:val="en-GB" w:eastAsia="ja-JP"/>
        </w:rPr>
        <w:t xml:space="preserve">PAPP Rule of Law </w:t>
      </w:r>
      <w:r>
        <w:rPr>
          <w:rFonts w:ascii="Times New Roman" w:eastAsia="MS Mincho" w:hAnsi="Times New Roman" w:cs="Times New Roman"/>
          <w:b/>
          <w:sz w:val="22"/>
          <w:szCs w:val="24"/>
          <w:lang w:val="en-GB" w:eastAsia="ja-JP"/>
        </w:rPr>
        <w:t xml:space="preserve">&amp; Access to Justice </w:t>
      </w:r>
      <w:r w:rsidR="00053B6C" w:rsidRPr="00647752">
        <w:rPr>
          <w:rFonts w:ascii="Times New Roman" w:eastAsia="MS Mincho" w:hAnsi="Times New Roman" w:cs="Times New Roman"/>
          <w:b/>
          <w:sz w:val="22"/>
          <w:szCs w:val="24"/>
          <w:lang w:val="en-GB" w:eastAsia="ja-JP"/>
        </w:rPr>
        <w:t>Programme</w:t>
      </w:r>
    </w:p>
    <w:p w:rsidR="00647752" w:rsidRDefault="00647752" w:rsidP="00FB6759">
      <w:pPr>
        <w:spacing w:after="0" w:line="240" w:lineRule="auto"/>
        <w:jc w:val="both"/>
        <w:rPr>
          <w:rFonts w:ascii="Times New Roman" w:eastAsia="MS Mincho" w:hAnsi="Times New Roman" w:cs="Times New Roman"/>
          <w:sz w:val="22"/>
          <w:szCs w:val="24"/>
          <w:lang w:val="en-GB" w:eastAsia="ja-JP"/>
        </w:rPr>
      </w:pP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4"/>
          <w:lang w:val="en-GB" w:eastAsia="ja-JP"/>
        </w:rPr>
        <w:t>Against the above background, UNDP/PAPP develop</w:t>
      </w:r>
      <w:r w:rsidR="00647752">
        <w:rPr>
          <w:rFonts w:ascii="Times New Roman" w:eastAsia="MS Mincho" w:hAnsi="Times New Roman" w:cs="Times New Roman"/>
          <w:sz w:val="22"/>
          <w:szCs w:val="24"/>
          <w:lang w:val="en-GB" w:eastAsia="ja-JP"/>
        </w:rPr>
        <w:t>ed its Rule of Law &amp;</w:t>
      </w:r>
      <w:r w:rsidRPr="00647752">
        <w:rPr>
          <w:rFonts w:ascii="Times New Roman" w:eastAsia="MS Mincho" w:hAnsi="Times New Roman" w:cs="Times New Roman"/>
          <w:sz w:val="22"/>
          <w:szCs w:val="24"/>
          <w:lang w:val="en-GB" w:eastAsia="ja-JP"/>
        </w:rPr>
        <w:t xml:space="preserve"> Access to Justice Programme with the explicit</w:t>
      </w:r>
      <w:r w:rsidRPr="00647752">
        <w:rPr>
          <w:rFonts w:ascii="Times New Roman" w:eastAsia="MS Mincho" w:hAnsi="Times New Roman" w:cs="Times New Roman"/>
          <w:sz w:val="22"/>
          <w:szCs w:val="22"/>
          <w:lang w:val="en-GB" w:eastAsia="ja-JP"/>
        </w:rPr>
        <w:t xml:space="preserve"> goal of </w:t>
      </w:r>
      <w:r w:rsidRPr="00647752">
        <w:rPr>
          <w:rFonts w:ascii="Times New Roman" w:eastAsia="MS Mincho" w:hAnsi="Times New Roman" w:cs="Times New Roman"/>
          <w:b/>
          <w:sz w:val="22"/>
          <w:szCs w:val="22"/>
          <w:lang w:val="en-GB" w:eastAsia="ja-JP"/>
        </w:rPr>
        <w:t>strengthening the institutional capacity of the Palestinian justice system to uphold the rule of law and improving access to justice through legal empowerment of the poor and disadvantaged</w:t>
      </w:r>
      <w:r w:rsidR="00647752">
        <w:rPr>
          <w:rFonts w:ascii="Times New Roman" w:eastAsia="MS Mincho" w:hAnsi="Times New Roman" w:cs="Times New Roman"/>
          <w:sz w:val="22"/>
          <w:szCs w:val="22"/>
          <w:lang w:val="en-GB" w:eastAsia="ja-JP"/>
        </w:rPr>
        <w:t xml:space="preserve">. </w:t>
      </w:r>
      <w:r w:rsidRPr="00647752">
        <w:rPr>
          <w:rFonts w:ascii="Times New Roman" w:eastAsia="MS Mincho" w:hAnsi="Times New Roman" w:cs="Times New Roman"/>
          <w:sz w:val="22"/>
          <w:szCs w:val="22"/>
          <w:lang w:val="en-GB" w:eastAsia="ja-JP"/>
        </w:rPr>
        <w:t xml:space="preserve">This was to be done by increasing both the </w:t>
      </w:r>
      <w:r w:rsidRPr="00647752">
        <w:rPr>
          <w:rFonts w:ascii="Times New Roman" w:eastAsia="MS Mincho" w:hAnsi="Times New Roman" w:cs="Times New Roman"/>
          <w:i/>
          <w:sz w:val="22"/>
          <w:szCs w:val="22"/>
          <w:lang w:val="en-GB" w:eastAsia="ja-JP"/>
        </w:rPr>
        <w:t>supply of</w:t>
      </w:r>
      <w:r w:rsidRPr="00647752">
        <w:rPr>
          <w:rFonts w:ascii="Times New Roman" w:eastAsia="MS Mincho" w:hAnsi="Times New Roman" w:cs="Times New Roman"/>
          <w:sz w:val="22"/>
          <w:szCs w:val="22"/>
          <w:lang w:val="en-GB" w:eastAsia="ja-JP"/>
        </w:rPr>
        <w:t xml:space="preserve"> and </w:t>
      </w:r>
      <w:r w:rsidRPr="00647752">
        <w:rPr>
          <w:rFonts w:ascii="Times New Roman" w:eastAsia="MS Mincho" w:hAnsi="Times New Roman" w:cs="Times New Roman"/>
          <w:i/>
          <w:sz w:val="22"/>
          <w:szCs w:val="22"/>
          <w:lang w:val="en-GB" w:eastAsia="ja-JP"/>
        </w:rPr>
        <w:t>demand for</w:t>
      </w:r>
      <w:r w:rsidRPr="00647752">
        <w:rPr>
          <w:rFonts w:ascii="Times New Roman" w:eastAsia="MS Mincho" w:hAnsi="Times New Roman" w:cs="Times New Roman"/>
          <w:sz w:val="22"/>
          <w:szCs w:val="22"/>
          <w:lang w:val="en-GB" w:eastAsia="ja-JP"/>
        </w:rPr>
        <w:t xml:space="preserve"> formal justice by extending support for institutional capacity development to the main Palestinian justice sector institutions and by putting in place a comprehensive access to justice strategy engaging actors at all levels, including the Palestinian Bar As</w:t>
      </w:r>
      <w:r w:rsidR="00647752">
        <w:rPr>
          <w:rFonts w:ascii="Times New Roman" w:eastAsia="MS Mincho" w:hAnsi="Times New Roman" w:cs="Times New Roman"/>
          <w:sz w:val="22"/>
          <w:szCs w:val="22"/>
          <w:lang w:val="en-GB" w:eastAsia="ja-JP"/>
        </w:rPr>
        <w:t>sociation, civil society organisations</w:t>
      </w:r>
      <w:r w:rsidRPr="00647752">
        <w:rPr>
          <w:rFonts w:ascii="Times New Roman" w:eastAsia="MS Mincho" w:hAnsi="Times New Roman" w:cs="Times New Roman"/>
          <w:sz w:val="22"/>
          <w:szCs w:val="22"/>
          <w:lang w:val="en-GB" w:eastAsia="ja-JP"/>
        </w:rPr>
        <w:t xml:space="preserve"> and academic institutions.</w:t>
      </w:r>
    </w:p>
    <w:p w:rsidR="00053B6C" w:rsidRPr="00647752" w:rsidRDefault="00053B6C" w:rsidP="00FB6759">
      <w:pPr>
        <w:spacing w:after="0" w:line="240" w:lineRule="auto"/>
        <w:jc w:val="both"/>
        <w:rPr>
          <w:rFonts w:ascii="Times New Roman" w:eastAsia="MS Mincho" w:hAnsi="Times New Roman" w:cs="Times New Roman"/>
          <w:sz w:val="22"/>
          <w:szCs w:val="24"/>
          <w:lang w:val="en-GB" w:eastAsia="ja-JP"/>
        </w:rPr>
      </w:pPr>
    </w:p>
    <w:p w:rsidR="00085D06" w:rsidRDefault="00647752" w:rsidP="00FB6759">
      <w:pPr>
        <w:spacing w:after="0" w:line="240" w:lineRule="auto"/>
        <w:jc w:val="both"/>
        <w:rPr>
          <w:rFonts w:ascii="Times New Roman" w:eastAsia="MS Mincho" w:hAnsi="Times New Roman" w:cs="Times New Roman"/>
          <w:sz w:val="22"/>
          <w:szCs w:val="22"/>
          <w:lang w:val="en-GB" w:eastAsia="ja-JP"/>
        </w:rPr>
      </w:pPr>
      <w:r>
        <w:rPr>
          <w:rFonts w:ascii="Times New Roman" w:eastAsia="MS Mincho" w:hAnsi="Times New Roman" w:cs="Times New Roman"/>
          <w:sz w:val="22"/>
          <w:szCs w:val="22"/>
          <w:lang w:val="en-GB" w:eastAsia="ja-JP"/>
        </w:rPr>
        <w:t>The p</w:t>
      </w:r>
      <w:r w:rsidR="00053B6C" w:rsidRPr="00647752">
        <w:rPr>
          <w:rFonts w:ascii="Times New Roman" w:eastAsia="MS Mincho" w:hAnsi="Times New Roman" w:cs="Times New Roman"/>
          <w:sz w:val="22"/>
          <w:szCs w:val="22"/>
          <w:lang w:val="en-GB" w:eastAsia="ja-JP"/>
        </w:rPr>
        <w:t>rogramme was designed to be imple</w:t>
      </w:r>
      <w:r>
        <w:rPr>
          <w:rFonts w:ascii="Times New Roman" w:eastAsia="MS Mincho" w:hAnsi="Times New Roman" w:cs="Times New Roman"/>
          <w:sz w:val="22"/>
          <w:szCs w:val="22"/>
          <w:lang w:val="en-GB" w:eastAsia="ja-JP"/>
        </w:rPr>
        <w:t xml:space="preserve">mented over a three-year period, </w:t>
      </w:r>
      <w:r w:rsidR="00053B6C" w:rsidRPr="00647752">
        <w:rPr>
          <w:rFonts w:ascii="Times New Roman" w:eastAsia="MS Mincho" w:hAnsi="Times New Roman" w:cs="Times New Roman"/>
          <w:sz w:val="22"/>
          <w:szCs w:val="22"/>
          <w:lang w:val="en-GB" w:eastAsia="ja-JP"/>
        </w:rPr>
        <w:t>with imple</w:t>
      </w:r>
      <w:r>
        <w:rPr>
          <w:rFonts w:ascii="Times New Roman" w:eastAsia="MS Mincho" w:hAnsi="Times New Roman" w:cs="Times New Roman"/>
          <w:sz w:val="22"/>
          <w:szCs w:val="22"/>
          <w:lang w:val="en-GB" w:eastAsia="ja-JP"/>
        </w:rPr>
        <w:t xml:space="preserve">mentation starting in June 2010. </w:t>
      </w:r>
      <w:r w:rsidR="00053B6C" w:rsidRPr="00647752">
        <w:rPr>
          <w:rFonts w:ascii="Times New Roman" w:eastAsia="MS Mincho" w:hAnsi="Times New Roman" w:cs="Times New Roman"/>
          <w:sz w:val="22"/>
          <w:szCs w:val="22"/>
          <w:lang w:val="en-GB" w:eastAsia="ja-JP"/>
        </w:rPr>
        <w:t>Thus, actually implementation has span</w:t>
      </w:r>
      <w:r>
        <w:rPr>
          <w:rFonts w:ascii="Times New Roman" w:eastAsia="MS Mincho" w:hAnsi="Times New Roman" w:cs="Times New Roman"/>
          <w:sz w:val="22"/>
          <w:szCs w:val="22"/>
          <w:lang w:val="en-GB" w:eastAsia="ja-JP"/>
        </w:rPr>
        <w:t xml:space="preserve">ned a 2.5 year period of time. </w:t>
      </w:r>
      <w:r w:rsidR="00053B6C" w:rsidRPr="00647752">
        <w:rPr>
          <w:rFonts w:ascii="Times New Roman" w:eastAsia="MS Mincho" w:hAnsi="Times New Roman" w:cs="Times New Roman"/>
          <w:sz w:val="22"/>
          <w:szCs w:val="22"/>
          <w:lang w:val="en-GB" w:eastAsia="ja-JP"/>
        </w:rPr>
        <w:t>In that period, it has attracted funding in excess of USD 20 million, with critical support from the governments of Canada, Sweden and the Netherl</w:t>
      </w:r>
      <w:r>
        <w:rPr>
          <w:rFonts w:ascii="Times New Roman" w:eastAsia="MS Mincho" w:hAnsi="Times New Roman" w:cs="Times New Roman"/>
          <w:sz w:val="22"/>
          <w:szCs w:val="22"/>
          <w:lang w:val="en-GB" w:eastAsia="ja-JP"/>
        </w:rPr>
        <w:t>ands, as well as UNDP/</w:t>
      </w:r>
      <w:r w:rsidR="00053B6C" w:rsidRPr="00647752">
        <w:rPr>
          <w:rFonts w:ascii="Times New Roman" w:eastAsia="MS Mincho" w:hAnsi="Times New Roman" w:cs="Times New Roman"/>
          <w:sz w:val="22"/>
          <w:szCs w:val="22"/>
          <w:lang w:val="en-GB" w:eastAsia="ja-JP"/>
        </w:rPr>
        <w:t>BCPR. It is considered a flagship programme for UNDP/PAPP a</w:t>
      </w:r>
      <w:r>
        <w:rPr>
          <w:rFonts w:ascii="Times New Roman" w:eastAsia="MS Mincho" w:hAnsi="Times New Roman" w:cs="Times New Roman"/>
          <w:sz w:val="22"/>
          <w:szCs w:val="22"/>
          <w:lang w:val="en-GB" w:eastAsia="ja-JP"/>
        </w:rPr>
        <w:t xml:space="preserve">nd is a substantial part of </w:t>
      </w:r>
      <w:r w:rsidR="00053B6C" w:rsidRPr="00647752">
        <w:rPr>
          <w:rFonts w:ascii="Times New Roman" w:eastAsia="MS Mincho" w:hAnsi="Times New Roman" w:cs="Times New Roman"/>
          <w:sz w:val="22"/>
          <w:szCs w:val="22"/>
          <w:lang w:val="en-GB" w:eastAsia="ja-JP"/>
        </w:rPr>
        <w:t>UNDP/PAPP</w:t>
      </w:r>
      <w:r>
        <w:rPr>
          <w:rFonts w:ascii="Times New Roman" w:eastAsia="MS Mincho" w:hAnsi="Times New Roman" w:cs="Times New Roman"/>
          <w:sz w:val="22"/>
          <w:szCs w:val="22"/>
          <w:lang w:val="en-GB" w:eastAsia="ja-JP"/>
        </w:rPr>
        <w:t>’s g</w:t>
      </w:r>
      <w:r w:rsidR="00053B6C" w:rsidRPr="00647752">
        <w:rPr>
          <w:rFonts w:ascii="Times New Roman" w:eastAsia="MS Mincho" w:hAnsi="Times New Roman" w:cs="Times New Roman"/>
          <w:sz w:val="22"/>
          <w:szCs w:val="22"/>
          <w:lang w:val="en-GB" w:eastAsia="ja-JP"/>
        </w:rPr>
        <w:t>overnance portfolio.</w:t>
      </w:r>
    </w:p>
    <w:p w:rsidR="00085D06" w:rsidRDefault="00085D06" w:rsidP="00FB6759">
      <w:pPr>
        <w:spacing w:after="0" w:line="240" w:lineRule="auto"/>
        <w:jc w:val="both"/>
        <w:rPr>
          <w:rFonts w:ascii="Times New Roman" w:eastAsia="MS Mincho" w:hAnsi="Times New Roman" w:cs="Times New Roman"/>
          <w:sz w:val="22"/>
          <w:szCs w:val="22"/>
          <w:lang w:val="en-GB" w:eastAsia="ja-JP"/>
        </w:rPr>
      </w:pPr>
    </w:p>
    <w:p w:rsidR="00053B6C"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lastRenderedPageBreak/>
        <w:t>In or</w:t>
      </w:r>
      <w:r w:rsidR="00085D06">
        <w:rPr>
          <w:rFonts w:ascii="Times New Roman" w:eastAsia="MS Mincho" w:hAnsi="Times New Roman" w:cs="Times New Roman"/>
          <w:sz w:val="22"/>
          <w:szCs w:val="22"/>
          <w:lang w:val="en-GB" w:eastAsia="ja-JP"/>
        </w:rPr>
        <w:t>der to achieve the aforementioned</w:t>
      </w:r>
      <w:r w:rsidRPr="00647752">
        <w:rPr>
          <w:rFonts w:ascii="Times New Roman" w:eastAsia="MS Mincho" w:hAnsi="Times New Roman" w:cs="Times New Roman"/>
          <w:sz w:val="22"/>
          <w:szCs w:val="22"/>
          <w:lang w:val="en-GB" w:eastAsia="ja-JP"/>
        </w:rPr>
        <w:t xml:space="preserve"> goal, </w:t>
      </w:r>
      <w:r w:rsidRPr="00647752">
        <w:rPr>
          <w:rFonts w:ascii="Times New Roman" w:eastAsia="MS Mincho" w:hAnsi="Times New Roman" w:cs="Times New Roman"/>
          <w:b/>
          <w:sz w:val="22"/>
          <w:szCs w:val="22"/>
          <w:lang w:val="en-GB" w:eastAsia="ja-JP"/>
        </w:rPr>
        <w:t>five key out</w:t>
      </w:r>
      <w:r w:rsidR="00085D06">
        <w:rPr>
          <w:rFonts w:ascii="Times New Roman" w:eastAsia="MS Mincho" w:hAnsi="Times New Roman" w:cs="Times New Roman"/>
          <w:b/>
          <w:sz w:val="22"/>
          <w:szCs w:val="22"/>
          <w:lang w:val="en-GB" w:eastAsia="ja-JP"/>
        </w:rPr>
        <w:t>comes</w:t>
      </w:r>
      <w:r w:rsidR="00647752">
        <w:rPr>
          <w:rFonts w:ascii="Times New Roman" w:eastAsia="MS Mincho" w:hAnsi="Times New Roman" w:cs="Times New Roman"/>
          <w:sz w:val="22"/>
          <w:szCs w:val="22"/>
          <w:lang w:val="en-GB" w:eastAsia="ja-JP"/>
        </w:rPr>
        <w:t xml:space="preserve"> were formulated for the p</w:t>
      </w:r>
      <w:r w:rsidRPr="00647752">
        <w:rPr>
          <w:rFonts w:ascii="Times New Roman" w:eastAsia="MS Mincho" w:hAnsi="Times New Roman" w:cs="Times New Roman"/>
          <w:sz w:val="22"/>
          <w:szCs w:val="22"/>
          <w:lang w:val="en-GB" w:eastAsia="ja-JP"/>
        </w:rPr>
        <w:t>rogramme at its inception:</w:t>
      </w:r>
    </w:p>
    <w:p w:rsidR="00085D06" w:rsidRDefault="00085D06" w:rsidP="00FB6759">
      <w:pPr>
        <w:spacing w:after="0" w:line="240" w:lineRule="auto"/>
        <w:jc w:val="both"/>
        <w:rPr>
          <w:rFonts w:ascii="Times New Roman" w:eastAsia="MS Mincho" w:hAnsi="Times New Roman" w:cs="Times New Roman"/>
          <w:sz w:val="22"/>
          <w:szCs w:val="22"/>
          <w:lang w:val="en-GB" w:eastAsia="ja-JP"/>
        </w:rPr>
      </w:pPr>
    </w:p>
    <w:p w:rsidR="00085D06" w:rsidRDefault="00085D06" w:rsidP="00085D06">
      <w:pPr>
        <w:pStyle w:val="ListParagraph"/>
        <w:numPr>
          <w:ilvl w:val="0"/>
          <w:numId w:val="161"/>
        </w:numPr>
        <w:spacing w:after="0" w:line="240" w:lineRule="auto"/>
        <w:jc w:val="both"/>
        <w:rPr>
          <w:rFonts w:ascii="Times New Roman" w:eastAsia="MS Mincho" w:hAnsi="Times New Roman" w:cs="Times New Roman"/>
          <w:sz w:val="22"/>
          <w:szCs w:val="22"/>
          <w:lang w:val="en-GB" w:eastAsia="ja-JP"/>
        </w:rPr>
      </w:pPr>
      <w:r>
        <w:rPr>
          <w:rFonts w:ascii="Times New Roman" w:eastAsia="MS Mincho" w:hAnsi="Times New Roman" w:cs="Times New Roman"/>
          <w:sz w:val="22"/>
          <w:szCs w:val="22"/>
          <w:lang w:val="en-GB" w:eastAsia="ja-JP"/>
        </w:rPr>
        <w:t>Outcome 1: Capacity of rule of law institutions strengthened;</w:t>
      </w:r>
    </w:p>
    <w:p w:rsidR="00085D06" w:rsidRDefault="00085D06" w:rsidP="00085D06">
      <w:pPr>
        <w:pStyle w:val="ListParagraph"/>
        <w:numPr>
          <w:ilvl w:val="0"/>
          <w:numId w:val="161"/>
        </w:numPr>
        <w:spacing w:after="0" w:line="240" w:lineRule="auto"/>
        <w:jc w:val="both"/>
        <w:rPr>
          <w:rFonts w:ascii="Times New Roman" w:eastAsia="MS Mincho" w:hAnsi="Times New Roman" w:cs="Times New Roman"/>
          <w:sz w:val="22"/>
          <w:szCs w:val="22"/>
          <w:lang w:val="en-GB" w:eastAsia="ja-JP"/>
        </w:rPr>
      </w:pPr>
      <w:r>
        <w:rPr>
          <w:rFonts w:ascii="Times New Roman" w:eastAsia="MS Mincho" w:hAnsi="Times New Roman" w:cs="Times New Roman"/>
          <w:sz w:val="22"/>
          <w:szCs w:val="22"/>
          <w:lang w:val="en-GB" w:eastAsia="ja-JP"/>
        </w:rPr>
        <w:t>Outcome 2: Access to justice at local and grassroots levels enhanced;</w:t>
      </w:r>
    </w:p>
    <w:p w:rsidR="00085D06" w:rsidRDefault="00085D06" w:rsidP="00085D06">
      <w:pPr>
        <w:pStyle w:val="ListParagraph"/>
        <w:numPr>
          <w:ilvl w:val="0"/>
          <w:numId w:val="161"/>
        </w:numPr>
        <w:spacing w:after="0" w:line="240" w:lineRule="auto"/>
        <w:jc w:val="both"/>
        <w:rPr>
          <w:rFonts w:ascii="Times New Roman" w:eastAsia="MS Mincho" w:hAnsi="Times New Roman" w:cs="Times New Roman"/>
          <w:sz w:val="22"/>
          <w:szCs w:val="22"/>
          <w:lang w:val="en-GB" w:eastAsia="ja-JP"/>
        </w:rPr>
      </w:pPr>
      <w:r>
        <w:rPr>
          <w:rFonts w:ascii="Times New Roman" w:eastAsia="MS Mincho" w:hAnsi="Times New Roman" w:cs="Times New Roman"/>
          <w:sz w:val="22"/>
          <w:szCs w:val="22"/>
          <w:lang w:val="en-GB" w:eastAsia="ja-JP"/>
        </w:rPr>
        <w:t>Outcome 3: Gender and juvenile justice improved;</w:t>
      </w:r>
    </w:p>
    <w:p w:rsidR="00085D06" w:rsidRDefault="00085D06" w:rsidP="00085D06">
      <w:pPr>
        <w:pStyle w:val="ListParagraph"/>
        <w:numPr>
          <w:ilvl w:val="0"/>
          <w:numId w:val="161"/>
        </w:numPr>
        <w:spacing w:after="0" w:line="240" w:lineRule="auto"/>
        <w:jc w:val="both"/>
        <w:rPr>
          <w:rFonts w:ascii="Times New Roman" w:eastAsia="MS Mincho" w:hAnsi="Times New Roman" w:cs="Times New Roman"/>
          <w:sz w:val="22"/>
          <w:szCs w:val="22"/>
          <w:lang w:val="en-GB" w:eastAsia="ja-JP"/>
        </w:rPr>
      </w:pPr>
      <w:r>
        <w:rPr>
          <w:rFonts w:ascii="Times New Roman" w:eastAsia="MS Mincho" w:hAnsi="Times New Roman" w:cs="Times New Roman"/>
          <w:sz w:val="22"/>
          <w:szCs w:val="22"/>
          <w:lang w:val="en-GB" w:eastAsia="ja-JP"/>
        </w:rPr>
        <w:t>Outcome 4: Rule of law in the Gaza Strip initiated; and</w:t>
      </w:r>
    </w:p>
    <w:p w:rsidR="00085D06" w:rsidRPr="00085D06" w:rsidRDefault="00085D06" w:rsidP="00085D06">
      <w:pPr>
        <w:pStyle w:val="ListParagraph"/>
        <w:numPr>
          <w:ilvl w:val="0"/>
          <w:numId w:val="161"/>
        </w:numPr>
        <w:spacing w:after="0" w:line="240" w:lineRule="auto"/>
        <w:jc w:val="both"/>
        <w:rPr>
          <w:rFonts w:ascii="Times New Roman" w:eastAsia="MS Mincho" w:hAnsi="Times New Roman" w:cs="Times New Roman"/>
          <w:sz w:val="22"/>
          <w:szCs w:val="22"/>
          <w:lang w:val="en-GB" w:eastAsia="ja-JP"/>
        </w:rPr>
      </w:pPr>
      <w:r>
        <w:rPr>
          <w:rFonts w:ascii="Times New Roman" w:eastAsia="MS Mincho" w:hAnsi="Times New Roman" w:cs="Times New Roman"/>
          <w:sz w:val="22"/>
          <w:szCs w:val="22"/>
          <w:lang w:val="en-GB" w:eastAsia="ja-JP"/>
        </w:rPr>
        <w:t>Outcome 5: Confidence-building amongst stakeholders promoted.</w:t>
      </w:r>
    </w:p>
    <w:p w:rsidR="00085D06" w:rsidRDefault="00085D06" w:rsidP="00FB6759">
      <w:pPr>
        <w:spacing w:after="0" w:line="240" w:lineRule="auto"/>
        <w:jc w:val="both"/>
        <w:rPr>
          <w:rFonts w:ascii="Times New Roman" w:eastAsia="MS Mincho" w:hAnsi="Times New Roman" w:cs="Times New Roman"/>
          <w:b/>
          <w:sz w:val="22"/>
          <w:szCs w:val="24"/>
          <w:lang w:val="en-GB" w:eastAsia="ja-JP"/>
        </w:rPr>
      </w:pPr>
    </w:p>
    <w:p w:rsidR="00C368E7" w:rsidRPr="00647752" w:rsidRDefault="00C368E7" w:rsidP="00FB6759">
      <w:pPr>
        <w:spacing w:after="0" w:line="240" w:lineRule="auto"/>
        <w:jc w:val="both"/>
        <w:rPr>
          <w:rFonts w:ascii="Times New Roman" w:eastAsia="MS Mincho" w:hAnsi="Times New Roman" w:cs="Times New Roman"/>
          <w:b/>
          <w:sz w:val="22"/>
          <w:szCs w:val="24"/>
          <w:lang w:val="en-GB" w:eastAsia="ja-JP"/>
        </w:rPr>
      </w:pPr>
      <w:r w:rsidRPr="00647752">
        <w:rPr>
          <w:rFonts w:ascii="Times New Roman" w:eastAsia="MS Mincho" w:hAnsi="Times New Roman" w:cs="Times New Roman"/>
          <w:b/>
          <w:sz w:val="22"/>
          <w:szCs w:val="24"/>
          <w:lang w:val="en-GB" w:eastAsia="ja-JP"/>
        </w:rPr>
        <w:t xml:space="preserve">Summary of </w:t>
      </w:r>
      <w:r w:rsidR="00053B6C" w:rsidRPr="00647752">
        <w:rPr>
          <w:rFonts w:ascii="Times New Roman" w:eastAsia="MS Mincho" w:hAnsi="Times New Roman" w:cs="Times New Roman"/>
          <w:b/>
          <w:sz w:val="22"/>
          <w:szCs w:val="24"/>
          <w:lang w:val="en-GB" w:eastAsia="ja-JP"/>
        </w:rPr>
        <w:t>Evaluation Findings</w:t>
      </w:r>
    </w:p>
    <w:p w:rsidR="00C368E7" w:rsidRPr="00647752" w:rsidRDefault="00C368E7" w:rsidP="00FB6759">
      <w:pPr>
        <w:spacing w:after="0" w:line="240" w:lineRule="auto"/>
        <w:jc w:val="both"/>
        <w:rPr>
          <w:rFonts w:ascii="Times New Roman" w:eastAsia="MS Mincho" w:hAnsi="Times New Roman" w:cs="Times New Roman"/>
          <w:b/>
          <w:sz w:val="22"/>
          <w:szCs w:val="24"/>
          <w:lang w:val="en-GB" w:eastAsia="ja-JP"/>
        </w:rPr>
      </w:pPr>
    </w:p>
    <w:p w:rsidR="00053B6C" w:rsidRPr="00647752" w:rsidRDefault="00C368E7" w:rsidP="00FB6759">
      <w:pPr>
        <w:spacing w:after="0" w:line="240" w:lineRule="auto"/>
        <w:jc w:val="both"/>
        <w:rPr>
          <w:rFonts w:ascii="Times New Roman" w:eastAsia="MS Mincho" w:hAnsi="Times New Roman" w:cs="Times New Roman"/>
          <w:b/>
          <w:i/>
          <w:sz w:val="22"/>
          <w:szCs w:val="24"/>
          <w:lang w:val="en-GB" w:eastAsia="ja-JP"/>
        </w:rPr>
      </w:pPr>
      <w:r w:rsidRPr="00647752">
        <w:rPr>
          <w:rFonts w:ascii="Times New Roman" w:eastAsia="MS Mincho" w:hAnsi="Times New Roman" w:cs="Times New Roman"/>
          <w:b/>
          <w:i/>
          <w:sz w:val="22"/>
          <w:szCs w:val="24"/>
          <w:lang w:val="en-GB" w:eastAsia="ja-JP"/>
        </w:rPr>
        <w:t>Overview</w:t>
      </w:r>
    </w:p>
    <w:p w:rsidR="00C368E7" w:rsidRPr="00647752" w:rsidRDefault="00C368E7" w:rsidP="00FB6759">
      <w:pPr>
        <w:spacing w:after="0" w:line="240" w:lineRule="auto"/>
        <w:jc w:val="both"/>
        <w:rPr>
          <w:rFonts w:ascii="Times New Roman" w:eastAsia="MS Mincho" w:hAnsi="Times New Roman" w:cs="Times New Roman"/>
          <w:b/>
          <w:i/>
          <w:sz w:val="22"/>
          <w:szCs w:val="24"/>
          <w:lang w:val="en-GB" w:eastAsia="ja-JP"/>
        </w:rPr>
      </w:pPr>
    </w:p>
    <w:p w:rsidR="00053B6C" w:rsidRPr="00647752" w:rsidRDefault="00647752" w:rsidP="00FB6759">
      <w:pPr>
        <w:spacing w:after="0" w:line="240" w:lineRule="auto"/>
        <w:jc w:val="both"/>
        <w:rPr>
          <w:rFonts w:ascii="Times New Roman" w:eastAsia="MS Mincho" w:hAnsi="Times New Roman" w:cs="Times New Roman"/>
          <w:sz w:val="22"/>
          <w:szCs w:val="22"/>
          <w:lang w:val="en-GB" w:eastAsia="ja-JP"/>
        </w:rPr>
      </w:pPr>
      <w:r>
        <w:rPr>
          <w:rFonts w:ascii="Times New Roman" w:eastAsia="MS Mincho" w:hAnsi="Times New Roman" w:cs="Times New Roman"/>
          <w:sz w:val="22"/>
          <w:szCs w:val="22"/>
          <w:lang w:val="en-GB" w:eastAsia="ja-JP"/>
        </w:rPr>
        <w:t xml:space="preserve">Overall, the </w:t>
      </w:r>
      <w:r w:rsidR="00053B6C" w:rsidRPr="00647752">
        <w:rPr>
          <w:rFonts w:ascii="Times New Roman" w:eastAsia="MS Mincho" w:hAnsi="Times New Roman" w:cs="Times New Roman"/>
          <w:sz w:val="22"/>
          <w:szCs w:val="22"/>
          <w:lang w:val="en-GB" w:eastAsia="ja-JP"/>
        </w:rPr>
        <w:t>UNDP</w:t>
      </w:r>
      <w:r>
        <w:rPr>
          <w:rFonts w:ascii="Times New Roman" w:eastAsia="MS Mincho" w:hAnsi="Times New Roman" w:cs="Times New Roman"/>
          <w:sz w:val="22"/>
          <w:szCs w:val="22"/>
          <w:lang w:val="en-GB" w:eastAsia="ja-JP"/>
        </w:rPr>
        <w:t xml:space="preserve"> Rule of Law &amp;</w:t>
      </w:r>
      <w:r w:rsidR="00053B6C" w:rsidRPr="00647752">
        <w:rPr>
          <w:rFonts w:ascii="Times New Roman" w:eastAsia="MS Mincho" w:hAnsi="Times New Roman" w:cs="Times New Roman"/>
          <w:sz w:val="22"/>
          <w:szCs w:val="22"/>
          <w:lang w:val="en-GB" w:eastAsia="ja-JP"/>
        </w:rPr>
        <w:t xml:space="preserve"> Access to Justice Programme </w:t>
      </w:r>
      <w:r>
        <w:rPr>
          <w:rFonts w:ascii="Times New Roman" w:eastAsia="MS Mincho" w:hAnsi="Times New Roman" w:cs="Times New Roman"/>
          <w:sz w:val="22"/>
          <w:szCs w:val="22"/>
          <w:lang w:val="en-GB" w:eastAsia="ja-JP"/>
        </w:rPr>
        <w:t>in the oPt</w:t>
      </w:r>
      <w:r w:rsidR="00227679">
        <w:rPr>
          <w:rFonts w:ascii="Times New Roman" w:eastAsia="MS Mincho" w:hAnsi="Times New Roman" w:cs="Times New Roman"/>
          <w:sz w:val="22"/>
          <w:szCs w:val="22"/>
          <w:lang w:val="en-GB" w:eastAsia="ja-JP"/>
        </w:rPr>
        <w:t xml:space="preserve"> </w:t>
      </w:r>
      <w:r w:rsidR="00053B6C" w:rsidRPr="00647752">
        <w:rPr>
          <w:rFonts w:ascii="Times New Roman" w:eastAsia="MS Mincho" w:hAnsi="Times New Roman" w:cs="Times New Roman"/>
          <w:sz w:val="22"/>
          <w:szCs w:val="22"/>
          <w:lang w:val="en-GB" w:eastAsia="ja-JP"/>
        </w:rPr>
        <w:t>achieved a high level of impact and outcom</w:t>
      </w:r>
      <w:r w:rsidR="00085D06">
        <w:rPr>
          <w:rFonts w:ascii="Times New Roman" w:eastAsia="MS Mincho" w:hAnsi="Times New Roman" w:cs="Times New Roman"/>
          <w:sz w:val="22"/>
          <w:szCs w:val="22"/>
          <w:lang w:val="en-GB" w:eastAsia="ja-JP"/>
        </w:rPr>
        <w:t xml:space="preserve">e-level change </w:t>
      </w:r>
      <w:r w:rsidR="00053B6C" w:rsidRPr="00647752">
        <w:rPr>
          <w:rFonts w:ascii="Times New Roman" w:eastAsia="MS Mincho" w:hAnsi="Times New Roman" w:cs="Times New Roman"/>
          <w:sz w:val="22"/>
          <w:szCs w:val="22"/>
          <w:lang w:val="en-GB" w:eastAsia="ja-JP"/>
        </w:rPr>
        <w:t xml:space="preserve">within the context of extremely challenging political and security realities in </w:t>
      </w:r>
      <w:r w:rsidR="00085D06">
        <w:rPr>
          <w:rFonts w:ascii="Times New Roman" w:eastAsia="MS Mincho" w:hAnsi="Times New Roman" w:cs="Times New Roman"/>
          <w:sz w:val="22"/>
          <w:szCs w:val="22"/>
          <w:lang w:val="en-GB" w:eastAsia="ja-JP"/>
        </w:rPr>
        <w:t xml:space="preserve">the </w:t>
      </w:r>
      <w:r w:rsidR="00053B6C" w:rsidRPr="00647752">
        <w:rPr>
          <w:rFonts w:ascii="Times New Roman" w:eastAsia="MS Mincho" w:hAnsi="Times New Roman" w:cs="Times New Roman"/>
          <w:sz w:val="22"/>
          <w:szCs w:val="22"/>
          <w:lang w:val="en-GB" w:eastAsia="ja-JP"/>
        </w:rPr>
        <w:t>oPt and according to it</w:t>
      </w:r>
      <w:r>
        <w:rPr>
          <w:rFonts w:ascii="Times New Roman" w:eastAsia="MS Mincho" w:hAnsi="Times New Roman" w:cs="Times New Roman"/>
          <w:sz w:val="22"/>
          <w:szCs w:val="22"/>
          <w:lang w:val="en-GB" w:eastAsia="ja-JP"/>
        </w:rPr>
        <w:t xml:space="preserve">s funding and resource base. </w:t>
      </w:r>
      <w:r w:rsidR="00053B6C" w:rsidRPr="00647752">
        <w:rPr>
          <w:rFonts w:ascii="Times New Roman" w:eastAsia="MS Mincho" w:hAnsi="Times New Roman" w:cs="Times New Roman"/>
          <w:sz w:val="22"/>
          <w:szCs w:val="22"/>
          <w:lang w:val="en-GB" w:eastAsia="ja-JP"/>
        </w:rPr>
        <w:t xml:space="preserve">Especially critical were UNDP’s support </w:t>
      </w:r>
      <w:r w:rsidR="00085D06">
        <w:rPr>
          <w:rFonts w:ascii="Times New Roman" w:eastAsia="MS Mincho" w:hAnsi="Times New Roman" w:cs="Times New Roman"/>
          <w:sz w:val="22"/>
          <w:szCs w:val="22"/>
          <w:lang w:val="en-GB" w:eastAsia="ja-JP"/>
        </w:rPr>
        <w:t>to women and children via grass</w:t>
      </w:r>
      <w:r w:rsidR="00053B6C" w:rsidRPr="00647752">
        <w:rPr>
          <w:rFonts w:ascii="Times New Roman" w:eastAsia="MS Mincho" w:hAnsi="Times New Roman" w:cs="Times New Roman"/>
          <w:sz w:val="22"/>
          <w:szCs w:val="22"/>
          <w:lang w:val="en-GB" w:eastAsia="ja-JP"/>
        </w:rPr>
        <w:t>roots legal aid initiatives in the West Bank and Gaza, as well as its support to the PNA justice institutions, lawyers and the PBA.</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p>
    <w:p w:rsidR="00C368E7" w:rsidRPr="00647752" w:rsidRDefault="00647752" w:rsidP="00FB6759">
      <w:pPr>
        <w:spacing w:after="0" w:line="240" w:lineRule="auto"/>
        <w:jc w:val="both"/>
        <w:rPr>
          <w:rFonts w:ascii="Times New Roman" w:eastAsia="MS Mincho" w:hAnsi="Times New Roman" w:cs="Times New Roman"/>
          <w:sz w:val="22"/>
          <w:szCs w:val="22"/>
          <w:lang w:val="en-GB" w:eastAsia="ja-JP"/>
        </w:rPr>
      </w:pPr>
      <w:r>
        <w:rPr>
          <w:rFonts w:ascii="Times New Roman" w:eastAsia="MS Mincho" w:hAnsi="Times New Roman" w:cs="Times New Roman"/>
          <w:sz w:val="22"/>
          <w:szCs w:val="22"/>
          <w:lang w:val="en-GB" w:eastAsia="ja-JP"/>
        </w:rPr>
        <w:t>At the beginning of the p</w:t>
      </w:r>
      <w:r w:rsidR="00053B6C" w:rsidRPr="00647752">
        <w:rPr>
          <w:rFonts w:ascii="Times New Roman" w:eastAsia="MS Mincho" w:hAnsi="Times New Roman" w:cs="Times New Roman"/>
          <w:sz w:val="22"/>
          <w:szCs w:val="22"/>
          <w:lang w:val="en-GB" w:eastAsia="ja-JP"/>
        </w:rPr>
        <w:t>rogramme, the key justice institutions</w:t>
      </w:r>
      <w:r>
        <w:rPr>
          <w:rFonts w:ascii="Times New Roman" w:eastAsia="MS Mincho" w:hAnsi="Times New Roman" w:cs="Times New Roman"/>
          <w:sz w:val="22"/>
          <w:szCs w:val="22"/>
          <w:lang w:val="en-GB" w:eastAsia="ja-JP"/>
        </w:rPr>
        <w:t xml:space="preserve"> such as the MOJ and the HJC</w:t>
      </w:r>
      <w:r w:rsidR="00053B6C" w:rsidRPr="00647752">
        <w:rPr>
          <w:rFonts w:ascii="Times New Roman" w:eastAsia="MS Mincho" w:hAnsi="Times New Roman" w:cs="Times New Roman"/>
          <w:sz w:val="22"/>
          <w:szCs w:val="22"/>
          <w:lang w:val="en-GB" w:eastAsia="ja-JP"/>
        </w:rPr>
        <w:t xml:space="preserve"> were operating well below capacity, few systematic efforts were made with regards to training for legal professionals, and</w:t>
      </w:r>
      <w:r>
        <w:rPr>
          <w:rFonts w:ascii="Times New Roman" w:eastAsia="MS Mincho" w:hAnsi="Times New Roman" w:cs="Times New Roman"/>
          <w:sz w:val="22"/>
          <w:szCs w:val="22"/>
          <w:lang w:val="en-GB" w:eastAsia="ja-JP"/>
        </w:rPr>
        <w:t xml:space="preserve"> legislative activity was low. </w:t>
      </w:r>
      <w:r w:rsidR="00053B6C" w:rsidRPr="00647752">
        <w:rPr>
          <w:rFonts w:ascii="Times New Roman" w:eastAsia="MS Mincho" w:hAnsi="Times New Roman" w:cs="Times New Roman"/>
          <w:sz w:val="22"/>
          <w:szCs w:val="22"/>
          <w:lang w:val="en-GB" w:eastAsia="ja-JP"/>
        </w:rPr>
        <w:t xml:space="preserve">Access to justice and public respect for the rule of law </w:t>
      </w:r>
      <w:r w:rsidR="00C368E7" w:rsidRPr="00647752">
        <w:rPr>
          <w:rFonts w:ascii="Times New Roman" w:eastAsia="MS Mincho" w:hAnsi="Times New Roman" w:cs="Times New Roman"/>
          <w:sz w:val="22"/>
          <w:szCs w:val="22"/>
          <w:lang w:val="en-GB" w:eastAsia="ja-JP"/>
        </w:rPr>
        <w:t>were</w:t>
      </w:r>
      <w:r w:rsidR="00053B6C" w:rsidRPr="00647752">
        <w:rPr>
          <w:rFonts w:ascii="Times New Roman" w:eastAsia="MS Mincho" w:hAnsi="Times New Roman" w:cs="Times New Roman"/>
          <w:sz w:val="22"/>
          <w:szCs w:val="22"/>
          <w:lang w:val="en-GB" w:eastAsia="ja-JP"/>
        </w:rPr>
        <w:t xml:space="preserve"> significantly hindered by the absence of strong legal aid programmes and a concerted public relations effort to improve awareness of and respect for formal justice institutions.</w:t>
      </w:r>
    </w:p>
    <w:p w:rsidR="00C368E7" w:rsidRPr="00647752" w:rsidRDefault="00C368E7"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647752" w:rsidP="00FB6759">
      <w:pPr>
        <w:spacing w:after="0" w:line="240" w:lineRule="auto"/>
        <w:jc w:val="both"/>
        <w:rPr>
          <w:rFonts w:ascii="Times New Roman" w:eastAsia="MS Mincho" w:hAnsi="Times New Roman" w:cs="Times New Roman"/>
          <w:sz w:val="22"/>
          <w:szCs w:val="22"/>
          <w:lang w:val="en-GB" w:eastAsia="ja-JP"/>
        </w:rPr>
      </w:pPr>
      <w:r>
        <w:rPr>
          <w:rFonts w:ascii="Times New Roman" w:eastAsia="MS Mincho" w:hAnsi="Times New Roman" w:cs="Times New Roman"/>
          <w:sz w:val="22"/>
          <w:szCs w:val="22"/>
          <w:lang w:val="en-GB" w:eastAsia="ja-JP"/>
        </w:rPr>
        <w:t>When the p</w:t>
      </w:r>
      <w:r w:rsidR="00053B6C" w:rsidRPr="00647752">
        <w:rPr>
          <w:rFonts w:ascii="Times New Roman" w:eastAsia="MS Mincho" w:hAnsi="Times New Roman" w:cs="Times New Roman"/>
          <w:sz w:val="22"/>
          <w:szCs w:val="22"/>
          <w:lang w:val="en-GB" w:eastAsia="ja-JP"/>
        </w:rPr>
        <w:t>rogramme began, there was very limited institutional support for the special needs of women and juveniles, and no comprehensive picture of the way the law affected gender and gender-based violence issues. In Gaza, efforts to improve access to justice in the face of enormous political and resource obstacles were almost non-existent. Among institutions, and between the institutions and the pub</w:t>
      </w:r>
      <w:r w:rsidR="00085D06">
        <w:rPr>
          <w:rFonts w:ascii="Times New Roman" w:eastAsia="MS Mincho" w:hAnsi="Times New Roman" w:cs="Times New Roman"/>
          <w:sz w:val="22"/>
          <w:szCs w:val="22"/>
          <w:lang w:val="en-GB" w:eastAsia="ja-JP"/>
        </w:rPr>
        <w:t>lic, distrust, miscommunication</w:t>
      </w:r>
      <w:r w:rsidR="00053B6C" w:rsidRPr="00647752">
        <w:rPr>
          <w:rFonts w:ascii="Times New Roman" w:eastAsia="MS Mincho" w:hAnsi="Times New Roman" w:cs="Times New Roman"/>
          <w:sz w:val="22"/>
          <w:szCs w:val="22"/>
          <w:lang w:val="en-GB" w:eastAsia="ja-JP"/>
        </w:rPr>
        <w:t xml:space="preserve"> and misunderstanding were deeply entrenched.</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p>
    <w:p w:rsidR="00C368E7" w:rsidRPr="00647752"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 xml:space="preserve">Today, the legal landscape in </w:t>
      </w:r>
      <w:r w:rsidR="00647752">
        <w:rPr>
          <w:rFonts w:ascii="Times New Roman" w:eastAsia="MS Mincho" w:hAnsi="Times New Roman" w:cs="Times New Roman"/>
          <w:sz w:val="22"/>
          <w:szCs w:val="22"/>
          <w:lang w:val="en-GB" w:eastAsia="ja-JP"/>
        </w:rPr>
        <w:t xml:space="preserve">the </w:t>
      </w:r>
      <w:r w:rsidRPr="00647752">
        <w:rPr>
          <w:rFonts w:ascii="Times New Roman" w:eastAsia="MS Mincho" w:hAnsi="Times New Roman" w:cs="Times New Roman"/>
          <w:sz w:val="22"/>
          <w:szCs w:val="22"/>
          <w:lang w:val="en-GB" w:eastAsia="ja-JP"/>
        </w:rPr>
        <w:t xml:space="preserve">oPt is dramatically different, and UNDP-sponsored rule of law and access to justice initiatives can be credited for contributing to change in both justice institutions, levels of access, gender equality and the strengthening of civil society.  </w:t>
      </w:r>
    </w:p>
    <w:p w:rsidR="00C368E7" w:rsidRPr="00647752" w:rsidRDefault="00C368E7"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3518D3" w:rsidP="00FB6759">
      <w:pPr>
        <w:spacing w:after="0" w:line="240" w:lineRule="auto"/>
        <w:jc w:val="both"/>
        <w:rPr>
          <w:rFonts w:ascii="Times New Roman" w:eastAsia="MS Mincho" w:hAnsi="Times New Roman" w:cs="Times New Roman"/>
          <w:sz w:val="22"/>
          <w:szCs w:val="22"/>
          <w:lang w:val="en-GB" w:eastAsia="ja-JP"/>
        </w:rPr>
      </w:pPr>
      <w:r>
        <w:rPr>
          <w:rFonts w:ascii="Times New Roman" w:eastAsia="MS Mincho" w:hAnsi="Times New Roman" w:cs="Times New Roman"/>
          <w:sz w:val="22"/>
          <w:szCs w:val="22"/>
          <w:lang w:val="en-GB" w:eastAsia="ja-JP"/>
        </w:rPr>
        <w:t>As detailed in the evaluation r</w:t>
      </w:r>
      <w:r w:rsidR="00053B6C" w:rsidRPr="00647752">
        <w:rPr>
          <w:rFonts w:ascii="Times New Roman" w:eastAsia="MS Mincho" w:hAnsi="Times New Roman" w:cs="Times New Roman"/>
          <w:sz w:val="22"/>
          <w:szCs w:val="22"/>
          <w:lang w:val="en-GB" w:eastAsia="ja-JP"/>
        </w:rPr>
        <w:t>eport, the capabilities of the key justice institutions (including legislative capabilities) have been greatly expanded through UNDP-supported training and education programmes, as well as by embedded experts and improved lega</w:t>
      </w:r>
      <w:r>
        <w:rPr>
          <w:rFonts w:ascii="Times New Roman" w:eastAsia="MS Mincho" w:hAnsi="Times New Roman" w:cs="Times New Roman"/>
          <w:sz w:val="22"/>
          <w:szCs w:val="22"/>
          <w:lang w:val="en-GB" w:eastAsia="ja-JP"/>
        </w:rPr>
        <w:t>l infrastructure funded by the p</w:t>
      </w:r>
      <w:r w:rsidR="00053B6C" w:rsidRPr="00647752">
        <w:rPr>
          <w:rFonts w:ascii="Times New Roman" w:eastAsia="MS Mincho" w:hAnsi="Times New Roman" w:cs="Times New Roman"/>
          <w:sz w:val="22"/>
          <w:szCs w:val="22"/>
          <w:lang w:val="en-GB" w:eastAsia="ja-JP"/>
        </w:rPr>
        <w:t>rogramme. The provision of legal aid and coordination between legal aid providers and the state have been significantly improved, and efforts have been made to inform the public of their rights and their ability to protect them through formal justice mechanisms. A comprehensive study of women’s rights in relation to existing legislation has been carried ou</w:t>
      </w:r>
      <w:r w:rsidR="00085D06">
        <w:rPr>
          <w:rFonts w:ascii="Times New Roman" w:eastAsia="MS Mincho" w:hAnsi="Times New Roman" w:cs="Times New Roman"/>
          <w:sz w:val="22"/>
          <w:szCs w:val="22"/>
          <w:lang w:val="en-GB" w:eastAsia="ja-JP"/>
        </w:rPr>
        <w:t xml:space="preserve">t with UNDP support, and </w:t>
      </w:r>
      <w:r w:rsidR="00DD5DAA">
        <w:rPr>
          <w:rFonts w:ascii="Times New Roman" w:eastAsia="MS Mincho" w:hAnsi="Times New Roman" w:cs="Times New Roman"/>
          <w:sz w:val="22"/>
          <w:szCs w:val="22"/>
          <w:lang w:val="en-GB" w:eastAsia="ja-JP"/>
        </w:rPr>
        <w:t>ground</w:t>
      </w:r>
      <w:r w:rsidR="00DD5DAA" w:rsidRPr="00647752">
        <w:rPr>
          <w:rFonts w:ascii="Times New Roman" w:eastAsia="MS Mincho" w:hAnsi="Times New Roman" w:cs="Times New Roman"/>
          <w:sz w:val="22"/>
          <w:szCs w:val="22"/>
          <w:lang w:val="en-GB" w:eastAsia="ja-JP"/>
        </w:rPr>
        <w:t>-breaking</w:t>
      </w:r>
      <w:r w:rsidR="00053B6C" w:rsidRPr="00647752">
        <w:rPr>
          <w:rFonts w:ascii="Times New Roman" w:eastAsia="MS Mincho" w:hAnsi="Times New Roman" w:cs="Times New Roman"/>
          <w:sz w:val="22"/>
          <w:szCs w:val="22"/>
          <w:lang w:val="en-GB" w:eastAsia="ja-JP"/>
        </w:rPr>
        <w:t xml:space="preserve"> programmes have been instituted to increase the capacity of security and justice institutions to address the needs and rights of women and juveniles.</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In the Gaza Strip, rule of law programmes have been implemented within the constraints of the early recovery framework, primarily through the expansion of legal aid and public education, as well as by improving the skills of justice sector professionals such as law</w:t>
      </w:r>
      <w:r w:rsidR="00085D06">
        <w:rPr>
          <w:rFonts w:ascii="Times New Roman" w:eastAsia="MS Mincho" w:hAnsi="Times New Roman" w:cs="Times New Roman"/>
          <w:sz w:val="22"/>
          <w:szCs w:val="22"/>
          <w:lang w:val="en-GB" w:eastAsia="ja-JP"/>
        </w:rPr>
        <w:t>yers, law students</w:t>
      </w:r>
      <w:r w:rsidRPr="00647752">
        <w:rPr>
          <w:rFonts w:ascii="Times New Roman" w:eastAsia="MS Mincho" w:hAnsi="Times New Roman" w:cs="Times New Roman"/>
          <w:sz w:val="22"/>
          <w:szCs w:val="22"/>
          <w:lang w:val="en-GB" w:eastAsia="ja-JP"/>
        </w:rPr>
        <w:t xml:space="preserve"> and comm</w:t>
      </w:r>
      <w:r w:rsidR="00A06685">
        <w:rPr>
          <w:rFonts w:ascii="Times New Roman" w:eastAsia="MS Mincho" w:hAnsi="Times New Roman" w:cs="Times New Roman"/>
          <w:sz w:val="22"/>
          <w:szCs w:val="22"/>
          <w:lang w:val="en-GB" w:eastAsia="ja-JP"/>
        </w:rPr>
        <w:t xml:space="preserve">unity leaders. Confidence of - and confidence in - </w:t>
      </w:r>
      <w:r w:rsidRPr="00647752">
        <w:rPr>
          <w:rFonts w:ascii="Times New Roman" w:eastAsia="MS Mincho" w:hAnsi="Times New Roman" w:cs="Times New Roman"/>
          <w:sz w:val="22"/>
          <w:szCs w:val="22"/>
          <w:lang w:val="en-GB" w:eastAsia="ja-JP"/>
        </w:rPr>
        <w:t xml:space="preserve">civil society has been raised considerably through a well-funded and strategic Civil Society Initiative, and objective metrics to track public perceptions and justice services </w:t>
      </w:r>
      <w:r w:rsidRPr="00647752">
        <w:rPr>
          <w:rFonts w:ascii="Times New Roman" w:eastAsia="MS Mincho" w:hAnsi="Times New Roman" w:cs="Times New Roman"/>
          <w:sz w:val="22"/>
          <w:szCs w:val="22"/>
          <w:lang w:val="en-GB" w:eastAsia="ja-JP"/>
        </w:rPr>
        <w:lastRenderedPageBreak/>
        <w:t>have been developed and implement</w:t>
      </w:r>
      <w:r w:rsidR="00A06685">
        <w:rPr>
          <w:rFonts w:ascii="Times New Roman" w:eastAsia="MS Mincho" w:hAnsi="Times New Roman" w:cs="Times New Roman"/>
          <w:sz w:val="22"/>
          <w:szCs w:val="22"/>
          <w:lang w:val="en-GB" w:eastAsia="ja-JP"/>
        </w:rPr>
        <w:t xml:space="preserve">ed. </w:t>
      </w:r>
      <w:r w:rsidRPr="00647752">
        <w:rPr>
          <w:rFonts w:ascii="Times New Roman" w:eastAsia="MS Mincho" w:hAnsi="Times New Roman" w:cs="Times New Roman"/>
          <w:sz w:val="22"/>
          <w:szCs w:val="22"/>
          <w:lang w:val="en-GB" w:eastAsia="ja-JP"/>
        </w:rPr>
        <w:t xml:space="preserve">Through efforts of the </w:t>
      </w:r>
      <w:r w:rsidR="00C368E7" w:rsidRPr="00647752">
        <w:rPr>
          <w:rFonts w:ascii="Times New Roman" w:eastAsia="MS Mincho" w:hAnsi="Times New Roman" w:cs="Times New Roman"/>
          <w:sz w:val="22"/>
          <w:szCs w:val="22"/>
          <w:lang w:val="en-GB" w:eastAsia="ja-JP"/>
        </w:rPr>
        <w:t xml:space="preserve">UNDP </w:t>
      </w:r>
      <w:r w:rsidR="00A06685">
        <w:rPr>
          <w:rFonts w:ascii="Times New Roman" w:eastAsia="MS Mincho" w:hAnsi="Times New Roman" w:cs="Times New Roman"/>
          <w:sz w:val="22"/>
          <w:szCs w:val="22"/>
          <w:lang w:val="en-GB" w:eastAsia="ja-JP"/>
        </w:rPr>
        <w:t>p</w:t>
      </w:r>
      <w:r w:rsidRPr="00647752">
        <w:rPr>
          <w:rFonts w:ascii="Times New Roman" w:eastAsia="MS Mincho" w:hAnsi="Times New Roman" w:cs="Times New Roman"/>
          <w:sz w:val="22"/>
          <w:szCs w:val="22"/>
          <w:lang w:val="en-GB" w:eastAsia="ja-JP"/>
        </w:rPr>
        <w:t>rogramme, the relationship among the key justice institutions and between those institutions and the public has been improved dramatically.</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A06685" w:rsidP="00FB6759">
      <w:pPr>
        <w:spacing w:after="0" w:line="240" w:lineRule="auto"/>
        <w:jc w:val="both"/>
        <w:rPr>
          <w:rFonts w:ascii="Times New Roman" w:eastAsia="MS Mincho" w:hAnsi="Times New Roman" w:cs="Times New Roman"/>
          <w:sz w:val="22"/>
          <w:szCs w:val="22"/>
          <w:lang w:val="en-GB" w:eastAsia="ja-JP"/>
        </w:rPr>
      </w:pPr>
      <w:r>
        <w:rPr>
          <w:rFonts w:ascii="Times New Roman" w:eastAsia="MS Mincho" w:hAnsi="Times New Roman" w:cs="Times New Roman"/>
          <w:sz w:val="22"/>
          <w:szCs w:val="22"/>
          <w:lang w:val="en-GB" w:eastAsia="ja-JP"/>
        </w:rPr>
        <w:t xml:space="preserve">The Programme Document is broad in scope. </w:t>
      </w:r>
      <w:r w:rsidR="00053B6C" w:rsidRPr="00647752">
        <w:rPr>
          <w:rFonts w:ascii="Times New Roman" w:eastAsia="MS Mincho" w:hAnsi="Times New Roman" w:cs="Times New Roman"/>
          <w:sz w:val="22"/>
          <w:szCs w:val="22"/>
          <w:lang w:val="en-GB" w:eastAsia="ja-JP"/>
        </w:rPr>
        <w:t xml:space="preserve">To its credit, UNDP has attempted to service all of </w:t>
      </w:r>
      <w:r>
        <w:rPr>
          <w:rFonts w:ascii="Times New Roman" w:eastAsia="MS Mincho" w:hAnsi="Times New Roman" w:cs="Times New Roman"/>
          <w:sz w:val="22"/>
          <w:szCs w:val="22"/>
          <w:lang w:val="en-GB" w:eastAsia="ja-JP"/>
        </w:rPr>
        <w:t>the sub-outputs of the Programme D</w:t>
      </w:r>
      <w:r w:rsidR="00053B6C" w:rsidRPr="00647752">
        <w:rPr>
          <w:rFonts w:ascii="Times New Roman" w:eastAsia="MS Mincho" w:hAnsi="Times New Roman" w:cs="Times New Roman"/>
          <w:sz w:val="22"/>
          <w:szCs w:val="22"/>
          <w:lang w:val="en-GB" w:eastAsia="ja-JP"/>
        </w:rPr>
        <w:t>ocument, which is largely in conformity with what the donors themselves</w:t>
      </w:r>
      <w:r>
        <w:rPr>
          <w:rFonts w:ascii="Times New Roman" w:eastAsia="MS Mincho" w:hAnsi="Times New Roman" w:cs="Times New Roman"/>
          <w:sz w:val="22"/>
          <w:szCs w:val="22"/>
          <w:lang w:val="en-GB" w:eastAsia="ja-JP"/>
        </w:rPr>
        <w:t xml:space="preserve"> had requested that UNDP do. </w:t>
      </w:r>
      <w:r w:rsidR="00053B6C" w:rsidRPr="00647752">
        <w:rPr>
          <w:rFonts w:ascii="Times New Roman" w:eastAsia="MS Mincho" w:hAnsi="Times New Roman" w:cs="Times New Roman"/>
          <w:sz w:val="22"/>
          <w:szCs w:val="22"/>
          <w:lang w:val="en-GB" w:eastAsia="ja-JP"/>
        </w:rPr>
        <w:t>Going forward, UNDP may want to explore how it can make any subsequent phase</w:t>
      </w:r>
      <w:r>
        <w:rPr>
          <w:rFonts w:ascii="Times New Roman" w:eastAsia="MS Mincho" w:hAnsi="Times New Roman" w:cs="Times New Roman"/>
          <w:sz w:val="22"/>
          <w:szCs w:val="22"/>
          <w:lang w:val="en-GB" w:eastAsia="ja-JP"/>
        </w:rPr>
        <w:t xml:space="preserve"> more strategic in nature. </w:t>
      </w:r>
      <w:r w:rsidR="00053B6C" w:rsidRPr="00647752">
        <w:rPr>
          <w:rFonts w:ascii="Times New Roman" w:eastAsia="MS Mincho" w:hAnsi="Times New Roman" w:cs="Times New Roman"/>
          <w:sz w:val="22"/>
          <w:szCs w:val="22"/>
          <w:lang w:val="en-GB" w:eastAsia="ja-JP"/>
        </w:rPr>
        <w:t>This could take the form of consolidating one</w:t>
      </w:r>
      <w:r w:rsidR="00085D06">
        <w:rPr>
          <w:rFonts w:ascii="Times New Roman" w:eastAsia="MS Mincho" w:hAnsi="Times New Roman" w:cs="Times New Roman"/>
          <w:sz w:val="22"/>
          <w:szCs w:val="22"/>
          <w:lang w:val="en-GB" w:eastAsia="ja-JP"/>
        </w:rPr>
        <w:t xml:space="preserve"> or more of the existing outcomes</w:t>
      </w:r>
      <w:r w:rsidR="00053B6C" w:rsidRPr="00647752">
        <w:rPr>
          <w:rFonts w:ascii="Times New Roman" w:eastAsia="MS Mincho" w:hAnsi="Times New Roman" w:cs="Times New Roman"/>
          <w:sz w:val="22"/>
          <w:szCs w:val="22"/>
          <w:lang w:val="en-GB" w:eastAsia="ja-JP"/>
        </w:rPr>
        <w:t xml:space="preserve"> (i.e. those that ov</w:t>
      </w:r>
      <w:r>
        <w:rPr>
          <w:rFonts w:ascii="Times New Roman" w:eastAsia="MS Mincho" w:hAnsi="Times New Roman" w:cs="Times New Roman"/>
          <w:sz w:val="22"/>
          <w:szCs w:val="22"/>
          <w:lang w:val="en-GB" w:eastAsia="ja-JP"/>
        </w:rPr>
        <w:t>erlap with civil society organis</w:t>
      </w:r>
      <w:r w:rsidR="00053B6C" w:rsidRPr="00647752">
        <w:rPr>
          <w:rFonts w:ascii="Times New Roman" w:eastAsia="MS Mincho" w:hAnsi="Times New Roman" w:cs="Times New Roman"/>
          <w:sz w:val="22"/>
          <w:szCs w:val="22"/>
          <w:lang w:val="en-GB" w:eastAsia="ja-JP"/>
        </w:rPr>
        <w:t xml:space="preserve">ations and/or legal </w:t>
      </w:r>
      <w:r w:rsidR="00085D06">
        <w:rPr>
          <w:rFonts w:ascii="Times New Roman" w:eastAsia="MS Mincho" w:hAnsi="Times New Roman" w:cs="Times New Roman"/>
          <w:sz w:val="22"/>
          <w:szCs w:val="22"/>
          <w:lang w:val="en-GB" w:eastAsia="ja-JP"/>
        </w:rPr>
        <w:t>empowerment); adding new outcomes</w:t>
      </w:r>
      <w:r w:rsidR="00053B6C" w:rsidRPr="00647752">
        <w:rPr>
          <w:rFonts w:ascii="Times New Roman" w:eastAsia="MS Mincho" w:hAnsi="Times New Roman" w:cs="Times New Roman"/>
          <w:sz w:val="22"/>
          <w:szCs w:val="22"/>
          <w:lang w:val="en-GB" w:eastAsia="ja-JP"/>
        </w:rPr>
        <w:t xml:space="preserve"> (i.e. in military justice or working with </w:t>
      </w:r>
      <w:r w:rsidR="00085D06">
        <w:rPr>
          <w:rFonts w:ascii="Times New Roman" w:eastAsia="MS Mincho" w:hAnsi="Times New Roman" w:cs="Times New Roman"/>
          <w:i/>
          <w:sz w:val="22"/>
          <w:szCs w:val="22"/>
          <w:lang w:val="en-GB" w:eastAsia="ja-JP"/>
        </w:rPr>
        <w:t>s</w:t>
      </w:r>
      <w:r w:rsidR="00053B6C" w:rsidRPr="00A06685">
        <w:rPr>
          <w:rFonts w:ascii="Times New Roman" w:eastAsia="MS Mincho" w:hAnsi="Times New Roman" w:cs="Times New Roman"/>
          <w:i/>
          <w:sz w:val="22"/>
          <w:szCs w:val="22"/>
          <w:lang w:val="en-GB" w:eastAsia="ja-JP"/>
        </w:rPr>
        <w:t>hari’a</w:t>
      </w:r>
      <w:r w:rsidR="00085D06">
        <w:rPr>
          <w:rFonts w:ascii="Times New Roman" w:eastAsia="MS Mincho" w:hAnsi="Times New Roman" w:cs="Times New Roman"/>
          <w:sz w:val="22"/>
          <w:szCs w:val="22"/>
          <w:lang w:val="en-GB" w:eastAsia="ja-JP"/>
        </w:rPr>
        <w:t xml:space="preserve"> courts); and</w:t>
      </w:r>
      <w:r w:rsidR="00053B6C" w:rsidRPr="00647752">
        <w:rPr>
          <w:rFonts w:ascii="Times New Roman" w:eastAsia="MS Mincho" w:hAnsi="Times New Roman" w:cs="Times New Roman"/>
          <w:sz w:val="22"/>
          <w:szCs w:val="22"/>
          <w:lang w:val="en-GB" w:eastAsia="ja-JP"/>
        </w:rPr>
        <w:t xml:space="preserve"> strengthening </w:t>
      </w:r>
      <w:r w:rsidR="00085D06">
        <w:rPr>
          <w:rFonts w:ascii="Times New Roman" w:eastAsia="MS Mincho" w:hAnsi="Times New Roman" w:cs="Times New Roman"/>
          <w:sz w:val="22"/>
          <w:szCs w:val="22"/>
          <w:lang w:val="en-GB" w:eastAsia="ja-JP"/>
        </w:rPr>
        <w:t>its support of CSOs serving Palestinian communities</w:t>
      </w:r>
      <w:r w:rsidR="005A6418">
        <w:rPr>
          <w:rFonts w:ascii="Times New Roman" w:eastAsia="MS Mincho" w:hAnsi="Times New Roman" w:cs="Times New Roman"/>
          <w:sz w:val="22"/>
          <w:szCs w:val="22"/>
          <w:lang w:val="en-GB" w:eastAsia="ja-JP"/>
        </w:rPr>
        <w:t xml:space="preserve"> in </w:t>
      </w:r>
      <w:r w:rsidR="00053B6C" w:rsidRPr="00647752">
        <w:rPr>
          <w:rFonts w:ascii="Times New Roman" w:eastAsia="MS Mincho" w:hAnsi="Times New Roman" w:cs="Times New Roman"/>
          <w:sz w:val="22"/>
          <w:szCs w:val="22"/>
          <w:lang w:val="en-GB" w:eastAsia="ja-JP"/>
        </w:rPr>
        <w:t>Area C</w:t>
      </w:r>
      <w:r w:rsidR="005A6418">
        <w:rPr>
          <w:rFonts w:ascii="Times New Roman" w:eastAsia="MS Mincho" w:hAnsi="Times New Roman" w:cs="Times New Roman"/>
          <w:sz w:val="22"/>
          <w:szCs w:val="22"/>
          <w:lang w:val="en-GB" w:eastAsia="ja-JP"/>
        </w:rPr>
        <w:t xml:space="preserve"> and East Jerusalem</w:t>
      </w:r>
      <w:r w:rsidR="00053B6C" w:rsidRPr="00647752">
        <w:rPr>
          <w:rFonts w:ascii="Times New Roman" w:eastAsia="MS Mincho" w:hAnsi="Times New Roman" w:cs="Times New Roman"/>
          <w:sz w:val="22"/>
          <w:szCs w:val="22"/>
          <w:lang w:val="en-GB" w:eastAsia="ja-JP"/>
        </w:rPr>
        <w:t>.</w:t>
      </w:r>
    </w:p>
    <w:p w:rsidR="00C368E7" w:rsidRPr="00647752" w:rsidRDefault="00C368E7" w:rsidP="00FB6759">
      <w:pPr>
        <w:spacing w:after="0" w:line="240" w:lineRule="auto"/>
        <w:jc w:val="both"/>
        <w:rPr>
          <w:rFonts w:ascii="Times New Roman" w:eastAsia="MS Mincho" w:hAnsi="Times New Roman" w:cs="Times New Roman"/>
          <w:b/>
          <w:i/>
          <w:sz w:val="22"/>
          <w:szCs w:val="24"/>
          <w:lang w:val="en-GB" w:eastAsia="ja-JP"/>
        </w:rPr>
      </w:pPr>
    </w:p>
    <w:p w:rsidR="00053B6C" w:rsidRPr="00647752" w:rsidRDefault="00C368E7" w:rsidP="00FB6759">
      <w:pPr>
        <w:spacing w:after="0" w:line="240" w:lineRule="auto"/>
        <w:jc w:val="both"/>
        <w:rPr>
          <w:rFonts w:ascii="Times New Roman" w:eastAsia="MS Mincho" w:hAnsi="Times New Roman" w:cs="Times New Roman"/>
          <w:b/>
          <w:i/>
          <w:sz w:val="22"/>
          <w:szCs w:val="24"/>
          <w:lang w:val="en-GB" w:eastAsia="ja-JP"/>
        </w:rPr>
      </w:pPr>
      <w:r w:rsidRPr="00647752">
        <w:rPr>
          <w:rFonts w:ascii="Times New Roman" w:eastAsia="MS Mincho" w:hAnsi="Times New Roman" w:cs="Times New Roman"/>
          <w:b/>
          <w:i/>
          <w:sz w:val="22"/>
          <w:szCs w:val="24"/>
          <w:lang w:val="en-GB" w:eastAsia="ja-JP"/>
        </w:rPr>
        <w:t xml:space="preserve">Assessment of Impact </w:t>
      </w:r>
      <w:r w:rsidR="00A06685">
        <w:rPr>
          <w:rFonts w:ascii="Times New Roman" w:eastAsia="MS Mincho" w:hAnsi="Times New Roman" w:cs="Times New Roman"/>
          <w:b/>
          <w:i/>
          <w:sz w:val="22"/>
          <w:szCs w:val="24"/>
          <w:lang w:val="en-GB" w:eastAsia="ja-JP"/>
        </w:rPr>
        <w:t>a</w:t>
      </w:r>
      <w:r w:rsidRPr="00647752">
        <w:rPr>
          <w:rFonts w:ascii="Times New Roman" w:eastAsia="MS Mincho" w:hAnsi="Times New Roman" w:cs="Times New Roman"/>
          <w:b/>
          <w:i/>
          <w:sz w:val="22"/>
          <w:szCs w:val="24"/>
          <w:lang w:val="en-GB" w:eastAsia="ja-JP"/>
        </w:rPr>
        <w:t>cross</w:t>
      </w:r>
      <w:r w:rsidR="00FD3C19">
        <w:rPr>
          <w:rFonts w:ascii="Times New Roman" w:eastAsia="MS Mincho" w:hAnsi="Times New Roman" w:cs="Times New Roman"/>
          <w:b/>
          <w:i/>
          <w:sz w:val="22"/>
          <w:szCs w:val="24"/>
          <w:lang w:val="en-GB" w:eastAsia="ja-JP"/>
        </w:rPr>
        <w:t xml:space="preserve"> the five key programme o</w:t>
      </w:r>
      <w:r w:rsidR="00085D06">
        <w:rPr>
          <w:rFonts w:ascii="Times New Roman" w:eastAsia="MS Mincho" w:hAnsi="Times New Roman" w:cs="Times New Roman"/>
          <w:b/>
          <w:i/>
          <w:sz w:val="22"/>
          <w:szCs w:val="24"/>
          <w:lang w:val="en-GB" w:eastAsia="ja-JP"/>
        </w:rPr>
        <w:t>utcomes</w:t>
      </w:r>
    </w:p>
    <w:p w:rsidR="00C368E7" w:rsidRPr="00647752" w:rsidRDefault="00C368E7" w:rsidP="00FB6759">
      <w:pPr>
        <w:spacing w:after="0" w:line="240" w:lineRule="auto"/>
        <w:jc w:val="both"/>
        <w:rPr>
          <w:rFonts w:ascii="Times New Roman" w:eastAsia="MS Mincho" w:hAnsi="Times New Roman" w:cs="Times New Roman"/>
          <w:b/>
          <w:i/>
          <w:sz w:val="22"/>
          <w:szCs w:val="24"/>
          <w:lang w:val="en-GB" w:eastAsia="ja-JP"/>
        </w:rPr>
      </w:pPr>
    </w:p>
    <w:p w:rsidR="00053B6C" w:rsidRPr="00A06685" w:rsidRDefault="00A06685" w:rsidP="00FB6759">
      <w:pPr>
        <w:spacing w:after="0" w:line="240" w:lineRule="auto"/>
        <w:contextualSpacing/>
        <w:jc w:val="both"/>
        <w:rPr>
          <w:rFonts w:ascii="Times New Roman" w:eastAsia="MS Mincho" w:hAnsi="Times New Roman" w:cs="Times New Roman"/>
          <w:i/>
          <w:sz w:val="22"/>
          <w:szCs w:val="24"/>
          <w:u w:val="single"/>
          <w:lang w:val="en-GB" w:eastAsia="ja-JP"/>
        </w:rPr>
      </w:pPr>
      <w:r>
        <w:rPr>
          <w:rFonts w:ascii="Times New Roman" w:eastAsia="MS Mincho" w:hAnsi="Times New Roman" w:cs="Times New Roman"/>
          <w:sz w:val="22"/>
          <w:szCs w:val="22"/>
          <w:u w:val="single"/>
          <w:lang w:val="en-GB" w:eastAsia="ja-JP"/>
        </w:rPr>
        <w:t xml:space="preserve">Outcome 1: </w:t>
      </w:r>
      <w:r w:rsidR="00053B6C" w:rsidRPr="00A06685">
        <w:rPr>
          <w:rFonts w:ascii="Times New Roman" w:eastAsia="MS Mincho" w:hAnsi="Times New Roman" w:cs="Times New Roman"/>
          <w:sz w:val="22"/>
          <w:szCs w:val="22"/>
          <w:u w:val="single"/>
          <w:lang w:val="en-GB" w:eastAsia="ja-JP"/>
        </w:rPr>
        <w:t>Capacity of rule of law institutions strengthened</w:t>
      </w:r>
    </w:p>
    <w:p w:rsidR="00BB6DFE" w:rsidRPr="00647752" w:rsidRDefault="00BB6DFE" w:rsidP="00FB6759">
      <w:pPr>
        <w:spacing w:after="0" w:line="240" w:lineRule="auto"/>
        <w:contextualSpacing/>
        <w:jc w:val="both"/>
        <w:rPr>
          <w:rFonts w:ascii="Times New Roman" w:eastAsia="MS Mincho" w:hAnsi="Times New Roman" w:cs="Times New Roman"/>
          <w:sz w:val="22"/>
          <w:szCs w:val="22"/>
          <w:lang w:val="en-GB" w:eastAsia="ja-JP"/>
        </w:rPr>
      </w:pPr>
    </w:p>
    <w:p w:rsidR="00053B6C" w:rsidRPr="00647752" w:rsidRDefault="00053B6C" w:rsidP="00FB6759">
      <w:pPr>
        <w:spacing w:after="0" w:line="240" w:lineRule="auto"/>
        <w:contextualSpacing/>
        <w:jc w:val="both"/>
        <w:rPr>
          <w:rFonts w:ascii="Times New Roman" w:eastAsia="MS Mincho" w:hAnsi="Times New Roman" w:cs="Times New Roman"/>
          <w:i/>
          <w:sz w:val="22"/>
          <w:szCs w:val="22"/>
          <w:lang w:val="en-GB" w:eastAsia="ja-JP"/>
        </w:rPr>
      </w:pPr>
      <w:r w:rsidRPr="00647752">
        <w:rPr>
          <w:rFonts w:ascii="Times New Roman" w:eastAsia="MS Mincho" w:hAnsi="Times New Roman" w:cs="Times New Roman"/>
          <w:i/>
          <w:sz w:val="22"/>
          <w:szCs w:val="22"/>
          <w:lang w:val="en-GB" w:eastAsia="ja-JP"/>
        </w:rPr>
        <w:t>Ministry of Justice</w:t>
      </w:r>
    </w:p>
    <w:p w:rsidR="00A06685" w:rsidRDefault="00A06685" w:rsidP="00FB6759">
      <w:pPr>
        <w:spacing w:after="0" w:line="240" w:lineRule="auto"/>
        <w:contextualSpacing/>
        <w:jc w:val="both"/>
        <w:rPr>
          <w:rFonts w:ascii="Times New Roman" w:eastAsia="MS Mincho" w:hAnsi="Times New Roman" w:cs="Times New Roman"/>
          <w:sz w:val="22"/>
          <w:szCs w:val="22"/>
          <w:lang w:val="en-GB" w:eastAsia="ja-JP"/>
        </w:rPr>
      </w:pPr>
    </w:p>
    <w:p w:rsidR="00053B6C" w:rsidRPr="00647752" w:rsidRDefault="00A06685" w:rsidP="00FB6759">
      <w:pPr>
        <w:spacing w:after="0" w:line="240" w:lineRule="auto"/>
        <w:contextualSpacing/>
        <w:jc w:val="both"/>
        <w:rPr>
          <w:rFonts w:ascii="Times New Roman" w:eastAsia="MS Mincho" w:hAnsi="Times New Roman" w:cs="Times New Roman"/>
          <w:sz w:val="22"/>
          <w:szCs w:val="24"/>
          <w:lang w:val="en-GB" w:eastAsia="ja-JP"/>
        </w:rPr>
      </w:pPr>
      <w:r>
        <w:rPr>
          <w:rFonts w:ascii="Times New Roman" w:eastAsia="MS Mincho" w:hAnsi="Times New Roman" w:cs="Times New Roman"/>
          <w:sz w:val="22"/>
          <w:szCs w:val="22"/>
          <w:lang w:val="en-GB" w:eastAsia="ja-JP"/>
        </w:rPr>
        <w:t>The MO</w:t>
      </w:r>
      <w:r w:rsidR="00053B6C" w:rsidRPr="00647752">
        <w:rPr>
          <w:rFonts w:ascii="Times New Roman" w:eastAsia="MS Mincho" w:hAnsi="Times New Roman" w:cs="Times New Roman"/>
          <w:sz w:val="22"/>
          <w:szCs w:val="22"/>
          <w:lang w:val="en-GB" w:eastAsia="ja-JP"/>
        </w:rPr>
        <w:t>J has been the prime benefic</w:t>
      </w:r>
      <w:r>
        <w:rPr>
          <w:rFonts w:ascii="Times New Roman" w:eastAsia="MS Mincho" w:hAnsi="Times New Roman" w:cs="Times New Roman"/>
          <w:sz w:val="22"/>
          <w:szCs w:val="22"/>
          <w:lang w:val="en-GB" w:eastAsia="ja-JP"/>
        </w:rPr>
        <w:t>iary of UNDP support under the p</w:t>
      </w:r>
      <w:r w:rsidR="00053B6C" w:rsidRPr="00647752">
        <w:rPr>
          <w:rFonts w:ascii="Times New Roman" w:eastAsia="MS Mincho" w:hAnsi="Times New Roman" w:cs="Times New Roman"/>
          <w:sz w:val="22"/>
          <w:szCs w:val="22"/>
          <w:lang w:val="en-GB" w:eastAsia="ja-JP"/>
        </w:rPr>
        <w:t>rogramme</w:t>
      </w:r>
      <w:r>
        <w:rPr>
          <w:rFonts w:ascii="Times New Roman" w:eastAsia="MS Mincho" w:hAnsi="Times New Roman" w:cs="Times New Roman"/>
          <w:sz w:val="22"/>
          <w:szCs w:val="24"/>
          <w:lang w:val="en-GB" w:eastAsia="ja-JP"/>
        </w:rPr>
        <w:t xml:space="preserve">. </w:t>
      </w:r>
      <w:r w:rsidR="00053B6C" w:rsidRPr="00647752">
        <w:rPr>
          <w:rFonts w:ascii="Times New Roman" w:eastAsia="MS Mincho" w:hAnsi="Times New Roman" w:cs="Times New Roman"/>
          <w:sz w:val="22"/>
          <w:szCs w:val="24"/>
          <w:lang w:val="en-GB" w:eastAsia="ja-JP"/>
        </w:rPr>
        <w:t>UNDP vi</w:t>
      </w:r>
      <w:r>
        <w:rPr>
          <w:rFonts w:ascii="Times New Roman" w:eastAsia="MS Mincho" w:hAnsi="Times New Roman" w:cs="Times New Roman"/>
          <w:sz w:val="22"/>
          <w:szCs w:val="24"/>
          <w:lang w:val="en-GB" w:eastAsia="ja-JP"/>
        </w:rPr>
        <w:t>a its seconded experts to the MOJ and via a “Stabilisation Fund” has managed to increase the MO</w:t>
      </w:r>
      <w:r w:rsidR="00053B6C" w:rsidRPr="00647752">
        <w:rPr>
          <w:rFonts w:ascii="Times New Roman" w:eastAsia="MS Mincho" w:hAnsi="Times New Roman" w:cs="Times New Roman"/>
          <w:sz w:val="22"/>
          <w:szCs w:val="24"/>
          <w:lang w:val="en-GB" w:eastAsia="ja-JP"/>
        </w:rPr>
        <w:t>J’s management capacities across the board</w:t>
      </w:r>
      <w:r>
        <w:rPr>
          <w:rFonts w:ascii="Times New Roman" w:eastAsia="MS Mincho" w:hAnsi="Times New Roman" w:cs="Times New Roman"/>
          <w:sz w:val="22"/>
          <w:szCs w:val="24"/>
          <w:lang w:val="en-GB" w:eastAsia="ja-JP"/>
        </w:rPr>
        <w:t xml:space="preserve">. </w:t>
      </w:r>
      <w:r w:rsidR="00053B6C" w:rsidRPr="00647752">
        <w:rPr>
          <w:rFonts w:ascii="Times New Roman" w:eastAsia="MS Mincho" w:hAnsi="Times New Roman" w:cs="Times New Roman"/>
          <w:sz w:val="22"/>
          <w:szCs w:val="22"/>
          <w:lang w:val="en-GB" w:eastAsia="ja-JP"/>
        </w:rPr>
        <w:t>According to the De</w:t>
      </w:r>
      <w:r>
        <w:rPr>
          <w:rFonts w:ascii="Times New Roman" w:eastAsia="MS Mincho" w:hAnsi="Times New Roman" w:cs="Times New Roman"/>
          <w:sz w:val="22"/>
          <w:szCs w:val="22"/>
          <w:lang w:val="en-GB" w:eastAsia="ja-JP"/>
        </w:rPr>
        <w:t>puty Minister of Justice, the MO</w:t>
      </w:r>
      <w:r w:rsidR="00053B6C" w:rsidRPr="00647752">
        <w:rPr>
          <w:rFonts w:ascii="Times New Roman" w:eastAsia="MS Mincho" w:hAnsi="Times New Roman" w:cs="Times New Roman"/>
          <w:sz w:val="22"/>
          <w:szCs w:val="22"/>
          <w:lang w:val="en-GB" w:eastAsia="ja-JP"/>
        </w:rPr>
        <w:t>J before 2010 took the lowest priority among all justice institutions in</w:t>
      </w:r>
      <w:r>
        <w:rPr>
          <w:rFonts w:ascii="Times New Roman" w:eastAsia="MS Mincho" w:hAnsi="Times New Roman" w:cs="Times New Roman"/>
          <w:sz w:val="22"/>
          <w:szCs w:val="22"/>
          <w:lang w:val="en-GB" w:eastAsia="ja-JP"/>
        </w:rPr>
        <w:t xml:space="preserve"> terms of budgetary resources. </w:t>
      </w:r>
      <w:r w:rsidR="00053B6C" w:rsidRPr="00647752">
        <w:rPr>
          <w:rFonts w:ascii="Times New Roman" w:eastAsia="MS Mincho" w:hAnsi="Times New Roman" w:cs="Times New Roman"/>
          <w:sz w:val="22"/>
          <w:szCs w:val="22"/>
          <w:lang w:val="en-GB" w:eastAsia="ja-JP"/>
        </w:rPr>
        <w:t>It had no more than 15% of current staff and was able to conduct no more than two trainings per annum. The absence of</w:t>
      </w:r>
      <w:r>
        <w:rPr>
          <w:rFonts w:ascii="Times New Roman" w:eastAsia="MS Mincho" w:hAnsi="Times New Roman" w:cs="Times New Roman"/>
          <w:sz w:val="22"/>
          <w:szCs w:val="22"/>
          <w:lang w:val="en-GB" w:eastAsia="ja-JP"/>
        </w:rPr>
        <w:t xml:space="preserve"> a planning unit deprived the MO</w:t>
      </w:r>
      <w:r w:rsidR="00053B6C" w:rsidRPr="00647752">
        <w:rPr>
          <w:rFonts w:ascii="Times New Roman" w:eastAsia="MS Mincho" w:hAnsi="Times New Roman" w:cs="Times New Roman"/>
          <w:sz w:val="22"/>
          <w:szCs w:val="22"/>
          <w:lang w:val="en-GB" w:eastAsia="ja-JP"/>
        </w:rPr>
        <w:t>J from having any funding in this regard. It was the only ministry that didn’t get any f</w:t>
      </w:r>
      <w:r>
        <w:rPr>
          <w:rFonts w:ascii="Times New Roman" w:eastAsia="MS Mincho" w:hAnsi="Times New Roman" w:cs="Times New Roman"/>
          <w:sz w:val="22"/>
          <w:szCs w:val="22"/>
          <w:lang w:val="en-GB" w:eastAsia="ja-JP"/>
        </w:rPr>
        <w:t>inancial support before 2010.</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Today, as a result of UNDP support, trainings, a Joint Institutional Capacity Asses</w:t>
      </w:r>
      <w:r w:rsidR="00A06685">
        <w:rPr>
          <w:rFonts w:ascii="Times New Roman" w:eastAsia="MS Mincho" w:hAnsi="Times New Roman" w:cs="Times New Roman"/>
          <w:sz w:val="22"/>
          <w:szCs w:val="22"/>
          <w:lang w:val="en-GB" w:eastAsia="ja-JP"/>
        </w:rPr>
        <w:t>sment and the Quick Impact Fund and Stabilis</w:t>
      </w:r>
      <w:r w:rsidRPr="00647752">
        <w:rPr>
          <w:rFonts w:ascii="Times New Roman" w:eastAsia="MS Mincho" w:hAnsi="Times New Roman" w:cs="Times New Roman"/>
          <w:sz w:val="22"/>
          <w:szCs w:val="22"/>
          <w:lang w:val="en-GB" w:eastAsia="ja-JP"/>
        </w:rPr>
        <w:t>ation Fund, the once-gutted Ministry has 131 staff, 30 of whom are supported by UNDP funds. The vast majority of th</w:t>
      </w:r>
      <w:r w:rsidR="00A06685">
        <w:rPr>
          <w:rFonts w:ascii="Times New Roman" w:eastAsia="MS Mincho" w:hAnsi="Times New Roman" w:cs="Times New Roman"/>
          <w:sz w:val="22"/>
          <w:szCs w:val="22"/>
          <w:lang w:val="en-GB" w:eastAsia="ja-JP"/>
        </w:rPr>
        <w:t>ose persons hired with Stabilisation</w:t>
      </w:r>
      <w:r w:rsidRPr="00647752">
        <w:rPr>
          <w:rFonts w:ascii="Times New Roman" w:eastAsia="MS Mincho" w:hAnsi="Times New Roman" w:cs="Times New Roman"/>
          <w:sz w:val="22"/>
          <w:szCs w:val="22"/>
          <w:lang w:val="en-GB" w:eastAsia="ja-JP"/>
        </w:rPr>
        <w:t xml:space="preserve"> Fund resou</w:t>
      </w:r>
      <w:r w:rsidR="00A06685">
        <w:rPr>
          <w:rFonts w:ascii="Times New Roman" w:eastAsia="MS Mincho" w:hAnsi="Times New Roman" w:cs="Times New Roman"/>
          <w:sz w:val="22"/>
          <w:szCs w:val="22"/>
          <w:lang w:val="en-GB" w:eastAsia="ja-JP"/>
        </w:rPr>
        <w:t>rces are still working at the MO</w:t>
      </w:r>
      <w:r w:rsidRPr="00647752">
        <w:rPr>
          <w:rFonts w:ascii="Times New Roman" w:eastAsia="MS Mincho" w:hAnsi="Times New Roman" w:cs="Times New Roman"/>
          <w:sz w:val="22"/>
          <w:szCs w:val="22"/>
          <w:lang w:val="en-GB" w:eastAsia="ja-JP"/>
        </w:rPr>
        <w:t>J and enhancing its overall capacity (only about 15 or 16 persons’ contr</w:t>
      </w:r>
      <w:r w:rsidR="00A06685">
        <w:rPr>
          <w:rFonts w:ascii="Times New Roman" w:eastAsia="MS Mincho" w:hAnsi="Times New Roman" w:cs="Times New Roman"/>
          <w:sz w:val="22"/>
          <w:szCs w:val="22"/>
          <w:lang w:val="en-GB" w:eastAsia="ja-JP"/>
        </w:rPr>
        <w:t>acts ended in December 2012). As of 2012, the MO</w:t>
      </w:r>
      <w:r w:rsidRPr="00647752">
        <w:rPr>
          <w:rFonts w:ascii="Times New Roman" w:eastAsia="MS Mincho" w:hAnsi="Times New Roman" w:cs="Times New Roman"/>
          <w:sz w:val="22"/>
          <w:szCs w:val="22"/>
          <w:lang w:val="en-GB" w:eastAsia="ja-JP"/>
        </w:rPr>
        <w:t>J had succeeded in transitioning eight of these positions</w:t>
      </w:r>
      <w:r w:rsidR="00A06685">
        <w:rPr>
          <w:rFonts w:ascii="Times New Roman" w:eastAsia="MS Mincho" w:hAnsi="Times New Roman" w:cs="Times New Roman"/>
          <w:sz w:val="22"/>
          <w:szCs w:val="22"/>
          <w:lang w:val="en-GB" w:eastAsia="ja-JP"/>
        </w:rPr>
        <w:t xml:space="preserve"> to PNA civil service contracts - </w:t>
      </w:r>
      <w:r w:rsidRPr="00647752">
        <w:rPr>
          <w:rFonts w:ascii="Times New Roman" w:eastAsia="MS Mincho" w:hAnsi="Times New Roman" w:cs="Times New Roman"/>
          <w:sz w:val="22"/>
          <w:szCs w:val="22"/>
          <w:lang w:val="en-GB" w:eastAsia="ja-JP"/>
        </w:rPr>
        <w:t xml:space="preserve">speaking to the increased level of sustainability of UNDP’s support.  </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 xml:space="preserve">Meanwhile, UNDP seconded experts have served as embedded </w:t>
      </w:r>
      <w:r w:rsidR="00A06685">
        <w:rPr>
          <w:rFonts w:ascii="Times New Roman" w:eastAsia="MS Mincho" w:hAnsi="Times New Roman" w:cs="Times New Roman"/>
          <w:sz w:val="22"/>
          <w:szCs w:val="22"/>
          <w:lang w:val="en-GB" w:eastAsia="ja-JP"/>
        </w:rPr>
        <w:t>technical advisors within the MO</w:t>
      </w:r>
      <w:r w:rsidRPr="00647752">
        <w:rPr>
          <w:rFonts w:ascii="Times New Roman" w:eastAsia="MS Mincho" w:hAnsi="Times New Roman" w:cs="Times New Roman"/>
          <w:sz w:val="22"/>
          <w:szCs w:val="22"/>
          <w:lang w:val="en-GB" w:eastAsia="ja-JP"/>
        </w:rPr>
        <w:t xml:space="preserve">J, HJC and AGO who work hand-in-hand on a daily basis with the institutional leadership and staff members.   At each institution, the experts have fulfilled a number of functions, increased communication between the three major justice institutions and consulted on draft legislation and strategies for the justice sector. </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UNDP supported th</w:t>
      </w:r>
      <w:r w:rsidR="00A06685">
        <w:rPr>
          <w:rFonts w:ascii="Times New Roman" w:eastAsia="MS Mincho" w:hAnsi="Times New Roman" w:cs="Times New Roman"/>
          <w:sz w:val="22"/>
          <w:szCs w:val="22"/>
          <w:lang w:val="en-GB" w:eastAsia="ja-JP"/>
        </w:rPr>
        <w:t>e long-term sustainability of MO</w:t>
      </w:r>
      <w:r w:rsidRPr="00647752">
        <w:rPr>
          <w:rFonts w:ascii="Times New Roman" w:eastAsia="MS Mincho" w:hAnsi="Times New Roman" w:cs="Times New Roman"/>
          <w:sz w:val="22"/>
          <w:szCs w:val="22"/>
          <w:lang w:val="en-GB" w:eastAsia="ja-JP"/>
        </w:rPr>
        <w:t>J staffing via its “Justice for the Future” (JFF) project designed to foster the next generation of high-quality legal professionals through academic scholarships, professional training, and legal internships to 30 students from disadvantaged socioeconomic groups that are currently under-represented in the legal profession. Overall, participants strongly agreed that the JFF programme had enhanced their knowledge and understanding of how the three core justice institutions work</w:t>
      </w:r>
      <w:r w:rsidR="001C7867" w:rsidRPr="00647752">
        <w:rPr>
          <w:rFonts w:ascii="Times New Roman" w:eastAsia="MS Mincho" w:hAnsi="Times New Roman" w:cs="Times New Roman"/>
          <w:sz w:val="22"/>
          <w:szCs w:val="22"/>
          <w:lang w:val="en-GB" w:eastAsia="ja-JP"/>
        </w:rPr>
        <w:t>.</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In an ef</w:t>
      </w:r>
      <w:r w:rsidR="00A06685">
        <w:rPr>
          <w:rFonts w:ascii="Times New Roman" w:eastAsia="MS Mincho" w:hAnsi="Times New Roman" w:cs="Times New Roman"/>
          <w:sz w:val="22"/>
          <w:szCs w:val="22"/>
          <w:lang w:val="en-GB" w:eastAsia="ja-JP"/>
        </w:rPr>
        <w:t>fort to build the capacity of MO</w:t>
      </w:r>
      <w:r w:rsidRPr="00647752">
        <w:rPr>
          <w:rFonts w:ascii="Times New Roman" w:eastAsia="MS Mincho" w:hAnsi="Times New Roman" w:cs="Times New Roman"/>
          <w:sz w:val="22"/>
          <w:szCs w:val="22"/>
          <w:lang w:val="en-GB" w:eastAsia="ja-JP"/>
        </w:rPr>
        <w:t xml:space="preserve">J legal advisors and other </w:t>
      </w:r>
      <w:r w:rsidR="00085D06">
        <w:rPr>
          <w:rFonts w:ascii="Times New Roman" w:eastAsia="MS Mincho" w:hAnsi="Times New Roman" w:cs="Times New Roman"/>
          <w:sz w:val="22"/>
          <w:szCs w:val="22"/>
          <w:lang w:val="en-GB" w:eastAsia="ja-JP"/>
        </w:rPr>
        <w:t>m</w:t>
      </w:r>
      <w:r w:rsidRPr="00647752">
        <w:rPr>
          <w:rFonts w:ascii="Times New Roman" w:eastAsia="MS Mincho" w:hAnsi="Times New Roman" w:cs="Times New Roman"/>
          <w:sz w:val="22"/>
          <w:szCs w:val="22"/>
          <w:lang w:val="en-GB" w:eastAsia="ja-JP"/>
        </w:rPr>
        <w:t>inistries’ abilities to draft legislation and effectively administer their instit</w:t>
      </w:r>
      <w:r w:rsidR="00085D06">
        <w:rPr>
          <w:rFonts w:ascii="Times New Roman" w:eastAsia="MS Mincho" w:hAnsi="Times New Roman" w:cs="Times New Roman"/>
          <w:sz w:val="22"/>
          <w:szCs w:val="22"/>
          <w:lang w:val="en-GB" w:eastAsia="ja-JP"/>
        </w:rPr>
        <w:t xml:space="preserve">utions, UNDP developed a Legal Skills Diploma </w:t>
      </w:r>
      <w:r w:rsidR="00A06685">
        <w:rPr>
          <w:rFonts w:ascii="Times New Roman" w:eastAsia="MS Mincho" w:hAnsi="Times New Roman" w:cs="Times New Roman"/>
          <w:sz w:val="22"/>
          <w:szCs w:val="22"/>
          <w:lang w:val="en-GB" w:eastAsia="ja-JP"/>
        </w:rPr>
        <w:t>in partnership with Birz</w:t>
      </w:r>
      <w:r w:rsidRPr="00647752">
        <w:rPr>
          <w:rFonts w:ascii="Times New Roman" w:eastAsia="MS Mincho" w:hAnsi="Times New Roman" w:cs="Times New Roman"/>
          <w:sz w:val="22"/>
          <w:szCs w:val="22"/>
          <w:lang w:val="en-GB" w:eastAsia="ja-JP"/>
        </w:rPr>
        <w:t>e</w:t>
      </w:r>
      <w:r w:rsidR="00A06685">
        <w:rPr>
          <w:rFonts w:ascii="Times New Roman" w:eastAsia="MS Mincho" w:hAnsi="Times New Roman" w:cs="Times New Roman"/>
          <w:sz w:val="22"/>
          <w:szCs w:val="22"/>
          <w:lang w:val="en-GB" w:eastAsia="ja-JP"/>
        </w:rPr>
        <w:t>i</w:t>
      </w:r>
      <w:r w:rsidRPr="00647752">
        <w:rPr>
          <w:rFonts w:ascii="Times New Roman" w:eastAsia="MS Mincho" w:hAnsi="Times New Roman" w:cs="Times New Roman"/>
          <w:sz w:val="22"/>
          <w:szCs w:val="22"/>
          <w:lang w:val="en-GB" w:eastAsia="ja-JP"/>
        </w:rPr>
        <w:t>t University</w:t>
      </w:r>
      <w:r w:rsidR="00A06685">
        <w:rPr>
          <w:rFonts w:ascii="Times New Roman" w:eastAsia="MS Mincho" w:hAnsi="Times New Roman" w:cs="Times New Roman"/>
          <w:sz w:val="22"/>
          <w:szCs w:val="22"/>
          <w:lang w:val="en-GB" w:eastAsia="ja-JP"/>
        </w:rPr>
        <w:t xml:space="preserve">’s Institute of Law. </w:t>
      </w:r>
      <w:r w:rsidRPr="00647752">
        <w:rPr>
          <w:rFonts w:ascii="Times New Roman" w:eastAsia="MS Mincho" w:hAnsi="Times New Roman" w:cs="Times New Roman"/>
          <w:sz w:val="22"/>
          <w:szCs w:val="22"/>
          <w:lang w:val="en-GB" w:eastAsia="ja-JP"/>
        </w:rPr>
        <w:t>This created a stable educational and training environment and was the first long-term</w:t>
      </w:r>
      <w:r w:rsidR="00FD3C19">
        <w:rPr>
          <w:rFonts w:ascii="Times New Roman" w:eastAsia="MS Mincho" w:hAnsi="Times New Roman" w:cs="Times New Roman"/>
          <w:sz w:val="22"/>
          <w:szCs w:val="22"/>
          <w:lang w:val="en-GB" w:eastAsia="ja-JP"/>
        </w:rPr>
        <w:t xml:space="preserve"> </w:t>
      </w:r>
      <w:r w:rsidRPr="00647752">
        <w:rPr>
          <w:rFonts w:ascii="Times New Roman" w:eastAsia="MS Mincho" w:hAnsi="Times New Roman" w:cs="Times New Roman"/>
          <w:sz w:val="22"/>
          <w:szCs w:val="22"/>
          <w:lang w:val="en-GB" w:eastAsia="ja-JP"/>
        </w:rPr>
        <w:t>program</w:t>
      </w:r>
      <w:r w:rsidR="00A06685">
        <w:rPr>
          <w:rFonts w:ascii="Times New Roman" w:eastAsia="MS Mincho" w:hAnsi="Times New Roman" w:cs="Times New Roman"/>
          <w:sz w:val="22"/>
          <w:szCs w:val="22"/>
          <w:lang w:val="en-GB" w:eastAsia="ja-JP"/>
        </w:rPr>
        <w:t>me</w:t>
      </w:r>
      <w:r w:rsidRPr="00647752">
        <w:rPr>
          <w:rFonts w:ascii="Times New Roman" w:eastAsia="MS Mincho" w:hAnsi="Times New Roman" w:cs="Times New Roman"/>
          <w:sz w:val="22"/>
          <w:szCs w:val="22"/>
          <w:lang w:val="en-GB" w:eastAsia="ja-JP"/>
        </w:rPr>
        <w:t xml:space="preserve"> of its kind in </w:t>
      </w:r>
      <w:r w:rsidR="00A06685">
        <w:rPr>
          <w:rFonts w:ascii="Times New Roman" w:eastAsia="MS Mincho" w:hAnsi="Times New Roman" w:cs="Times New Roman"/>
          <w:sz w:val="22"/>
          <w:szCs w:val="22"/>
          <w:lang w:val="en-GB" w:eastAsia="ja-JP"/>
        </w:rPr>
        <w:t xml:space="preserve">the </w:t>
      </w:r>
      <w:r w:rsidRPr="00647752">
        <w:rPr>
          <w:rFonts w:ascii="Times New Roman" w:eastAsia="MS Mincho" w:hAnsi="Times New Roman" w:cs="Times New Roman"/>
          <w:sz w:val="22"/>
          <w:szCs w:val="22"/>
          <w:lang w:val="en-GB" w:eastAsia="ja-JP"/>
        </w:rPr>
        <w:t>oPt. This program</w:t>
      </w:r>
      <w:r w:rsidR="00A06685">
        <w:rPr>
          <w:rFonts w:ascii="Times New Roman" w:eastAsia="MS Mincho" w:hAnsi="Times New Roman" w:cs="Times New Roman"/>
          <w:sz w:val="22"/>
          <w:szCs w:val="22"/>
          <w:lang w:val="en-GB" w:eastAsia="ja-JP"/>
        </w:rPr>
        <w:t>me</w:t>
      </w:r>
      <w:r w:rsidRPr="00647752">
        <w:rPr>
          <w:rFonts w:ascii="Times New Roman" w:eastAsia="MS Mincho" w:hAnsi="Times New Roman" w:cs="Times New Roman"/>
          <w:sz w:val="22"/>
          <w:szCs w:val="22"/>
          <w:lang w:val="en-GB" w:eastAsia="ja-JP"/>
        </w:rPr>
        <w:t xml:space="preserve"> has given strength to bridge all the gaps in the training of the previous period to bring staff up to standards other </w:t>
      </w:r>
      <w:r w:rsidR="00A06685">
        <w:rPr>
          <w:rFonts w:ascii="Times New Roman" w:eastAsia="MS Mincho" w:hAnsi="Times New Roman" w:cs="Times New Roman"/>
          <w:sz w:val="22"/>
          <w:szCs w:val="22"/>
          <w:lang w:val="en-GB" w:eastAsia="ja-JP"/>
        </w:rPr>
        <w:t>PNA institutions have achieved.</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lastRenderedPageBreak/>
        <w:t>At a substantive level, UNDP supported personnel have been engaged with the creation of a number of substantive laws, including a new draf</w:t>
      </w:r>
      <w:r w:rsidR="00A06685">
        <w:rPr>
          <w:rFonts w:ascii="Times New Roman" w:eastAsia="MS Mincho" w:hAnsi="Times New Roman" w:cs="Times New Roman"/>
          <w:sz w:val="22"/>
          <w:szCs w:val="22"/>
          <w:lang w:val="en-GB" w:eastAsia="ja-JP"/>
        </w:rPr>
        <w:t>t Palestinian Penal Code. The MO</w:t>
      </w:r>
      <w:r w:rsidRPr="00647752">
        <w:rPr>
          <w:rFonts w:ascii="Times New Roman" w:eastAsia="MS Mincho" w:hAnsi="Times New Roman" w:cs="Times New Roman"/>
          <w:sz w:val="22"/>
          <w:szCs w:val="22"/>
          <w:lang w:val="en-GB" w:eastAsia="ja-JP"/>
        </w:rPr>
        <w:t>J itself in 2012 alone contri</w:t>
      </w:r>
      <w:r w:rsidR="00085D06">
        <w:rPr>
          <w:rFonts w:ascii="Times New Roman" w:eastAsia="MS Mincho" w:hAnsi="Times New Roman" w:cs="Times New Roman"/>
          <w:sz w:val="22"/>
          <w:szCs w:val="22"/>
          <w:lang w:val="en-GB" w:eastAsia="ja-JP"/>
        </w:rPr>
        <w:t xml:space="preserve">buted to the drafting of </w:t>
      </w:r>
      <w:r w:rsidR="00A06685">
        <w:rPr>
          <w:rFonts w:ascii="Times New Roman" w:eastAsia="MS Mincho" w:hAnsi="Times New Roman" w:cs="Times New Roman"/>
          <w:sz w:val="22"/>
          <w:szCs w:val="22"/>
          <w:lang w:val="en-GB" w:eastAsia="ja-JP"/>
        </w:rPr>
        <w:t xml:space="preserve">24 laws and 16 regulations. </w:t>
      </w:r>
      <w:r w:rsidRPr="00647752">
        <w:rPr>
          <w:rFonts w:ascii="Times New Roman" w:eastAsia="MS Mincho" w:hAnsi="Times New Roman" w:cs="Times New Roman"/>
          <w:sz w:val="22"/>
          <w:szCs w:val="22"/>
          <w:lang w:val="en-GB" w:eastAsia="ja-JP"/>
        </w:rPr>
        <w:t>U</w:t>
      </w:r>
      <w:r w:rsidR="00A06685">
        <w:rPr>
          <w:rFonts w:ascii="Times New Roman" w:eastAsia="MS Mincho" w:hAnsi="Times New Roman" w:cs="Times New Roman"/>
          <w:sz w:val="22"/>
          <w:szCs w:val="22"/>
          <w:lang w:val="en-GB" w:eastAsia="ja-JP"/>
        </w:rPr>
        <w:t>NDP’s Rule of Law E</w:t>
      </w:r>
      <w:r w:rsidRPr="00647752">
        <w:rPr>
          <w:rFonts w:ascii="Times New Roman" w:eastAsia="MS Mincho" w:hAnsi="Times New Roman" w:cs="Times New Roman"/>
          <w:sz w:val="22"/>
          <w:szCs w:val="22"/>
          <w:lang w:val="en-GB" w:eastAsia="ja-JP"/>
        </w:rPr>
        <w:t>xpert made a major contribution to many of these l</w:t>
      </w:r>
      <w:r w:rsidR="00A06685">
        <w:rPr>
          <w:rFonts w:ascii="Times New Roman" w:eastAsia="MS Mincho" w:hAnsi="Times New Roman" w:cs="Times New Roman"/>
          <w:sz w:val="22"/>
          <w:szCs w:val="22"/>
          <w:lang w:val="en-GB" w:eastAsia="ja-JP"/>
        </w:rPr>
        <w:t xml:space="preserve">aws, as did UNDP’s </w:t>
      </w:r>
      <w:r w:rsidRPr="00647752">
        <w:rPr>
          <w:rFonts w:ascii="Times New Roman" w:eastAsia="MS Mincho" w:hAnsi="Times New Roman" w:cs="Times New Roman"/>
          <w:sz w:val="22"/>
          <w:szCs w:val="22"/>
          <w:lang w:val="en-GB" w:eastAsia="ja-JP"/>
        </w:rPr>
        <w:t xml:space="preserve">Gender </w:t>
      </w:r>
      <w:r w:rsidR="00A06685">
        <w:rPr>
          <w:rFonts w:ascii="Times New Roman" w:eastAsia="MS Mincho" w:hAnsi="Times New Roman" w:cs="Times New Roman"/>
          <w:sz w:val="22"/>
          <w:szCs w:val="22"/>
          <w:lang w:val="en-GB" w:eastAsia="ja-JP"/>
        </w:rPr>
        <w:t>&amp; Juvenile Justice Expert. The MO</w:t>
      </w:r>
      <w:r w:rsidRPr="00647752">
        <w:rPr>
          <w:rFonts w:ascii="Times New Roman" w:eastAsia="MS Mincho" w:hAnsi="Times New Roman" w:cs="Times New Roman"/>
          <w:sz w:val="22"/>
          <w:szCs w:val="22"/>
          <w:lang w:val="en-GB" w:eastAsia="ja-JP"/>
        </w:rPr>
        <w:t>J has also, with UNDP support, developed a legislative plan that has now been approve</w:t>
      </w:r>
      <w:r w:rsidR="007C310C">
        <w:rPr>
          <w:rFonts w:ascii="Times New Roman" w:eastAsia="MS Mincho" w:hAnsi="Times New Roman" w:cs="Times New Roman"/>
          <w:sz w:val="22"/>
          <w:szCs w:val="22"/>
          <w:lang w:val="en-GB" w:eastAsia="ja-JP"/>
        </w:rPr>
        <w:t>d by the Council of Ministers.</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P</w:t>
      </w:r>
      <w:r w:rsidR="007C310C">
        <w:rPr>
          <w:rFonts w:ascii="Times New Roman" w:eastAsia="MS Mincho" w:hAnsi="Times New Roman" w:cs="Times New Roman"/>
          <w:sz w:val="22"/>
          <w:szCs w:val="22"/>
          <w:lang w:val="en-GB" w:eastAsia="ja-JP"/>
        </w:rPr>
        <w:t>erhaps most importantly, the p</w:t>
      </w:r>
      <w:r w:rsidRPr="00647752">
        <w:rPr>
          <w:rFonts w:ascii="Times New Roman" w:eastAsia="MS Mincho" w:hAnsi="Times New Roman" w:cs="Times New Roman"/>
          <w:sz w:val="22"/>
          <w:szCs w:val="22"/>
          <w:lang w:val="en-GB" w:eastAsia="ja-JP"/>
        </w:rPr>
        <w:t xml:space="preserve">rogramme supported long-term technical initiatives that will impact legislation in the future, such as Birzeit University’s </w:t>
      </w:r>
      <w:r w:rsidRPr="00647752">
        <w:rPr>
          <w:rFonts w:ascii="Times New Roman" w:eastAsia="MS Mincho" w:hAnsi="Times New Roman" w:cs="Times New Roman"/>
          <w:i/>
          <w:sz w:val="22"/>
          <w:szCs w:val="22"/>
          <w:lang w:val="en-GB" w:eastAsia="ja-JP"/>
        </w:rPr>
        <w:t>Al-Muqtafi</w:t>
      </w:r>
      <w:r w:rsidRPr="00647752">
        <w:rPr>
          <w:rFonts w:ascii="Times New Roman" w:eastAsia="MS Mincho" w:hAnsi="Times New Roman" w:cs="Times New Roman"/>
          <w:sz w:val="22"/>
          <w:szCs w:val="22"/>
          <w:lang w:val="en-GB" w:eastAsia="ja-JP"/>
        </w:rPr>
        <w:t xml:space="preserve"> website, which serves as a central repository for Pa</w:t>
      </w:r>
      <w:r w:rsidR="00085D06">
        <w:rPr>
          <w:rFonts w:ascii="Times New Roman" w:eastAsia="MS Mincho" w:hAnsi="Times New Roman" w:cs="Times New Roman"/>
          <w:sz w:val="22"/>
          <w:szCs w:val="22"/>
          <w:lang w:val="en-GB" w:eastAsia="ja-JP"/>
        </w:rPr>
        <w:t>lestinian legislation, case law</w:t>
      </w:r>
      <w:r w:rsidRPr="00647752">
        <w:rPr>
          <w:rFonts w:ascii="Times New Roman" w:eastAsia="MS Mincho" w:hAnsi="Times New Roman" w:cs="Times New Roman"/>
          <w:sz w:val="22"/>
          <w:szCs w:val="22"/>
          <w:lang w:val="en-GB" w:eastAsia="ja-JP"/>
        </w:rPr>
        <w:t xml:space="preserve"> and expert opinions. These kinds of broad information resources are a fundamental element of any sustainable modern justice system; common standards are equally important technical goals. The average </w:t>
      </w:r>
      <w:r w:rsidR="00085D06">
        <w:rPr>
          <w:rFonts w:ascii="Times New Roman" w:eastAsia="MS Mincho" w:hAnsi="Times New Roman" w:cs="Times New Roman"/>
          <w:sz w:val="22"/>
          <w:szCs w:val="22"/>
          <w:lang w:val="en-GB" w:eastAsia="ja-JP"/>
        </w:rPr>
        <w:t xml:space="preserve">number of </w:t>
      </w:r>
      <w:r w:rsidRPr="00647752">
        <w:rPr>
          <w:rFonts w:ascii="Times New Roman" w:eastAsia="MS Mincho" w:hAnsi="Times New Roman" w:cs="Times New Roman"/>
          <w:sz w:val="22"/>
          <w:szCs w:val="22"/>
          <w:lang w:val="en-GB" w:eastAsia="ja-JP"/>
        </w:rPr>
        <w:t xml:space="preserve">daily users of the </w:t>
      </w:r>
      <w:r w:rsidRPr="00647752">
        <w:rPr>
          <w:rFonts w:ascii="Times New Roman" w:eastAsia="MS Mincho" w:hAnsi="Times New Roman" w:cs="Times New Roman"/>
          <w:i/>
          <w:sz w:val="22"/>
          <w:szCs w:val="22"/>
          <w:lang w:val="en-GB" w:eastAsia="ja-JP"/>
        </w:rPr>
        <w:t>Al-Muqtafi</w:t>
      </w:r>
      <w:r w:rsidR="00085D06">
        <w:rPr>
          <w:rFonts w:ascii="Times New Roman" w:eastAsia="MS Mincho" w:hAnsi="Times New Roman" w:cs="Times New Roman"/>
          <w:sz w:val="22"/>
          <w:szCs w:val="22"/>
          <w:lang w:val="en-GB" w:eastAsia="ja-JP"/>
        </w:rPr>
        <w:t xml:space="preserve"> website has</w:t>
      </w:r>
      <w:r w:rsidRPr="00647752">
        <w:rPr>
          <w:rFonts w:ascii="Times New Roman" w:eastAsia="MS Mincho" w:hAnsi="Times New Roman" w:cs="Times New Roman"/>
          <w:sz w:val="22"/>
          <w:szCs w:val="22"/>
          <w:lang w:val="en-GB" w:eastAsia="ja-JP"/>
        </w:rPr>
        <w:t xml:space="preserve"> continued to steadily increase since 2010.</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p>
    <w:p w:rsidR="00511C34" w:rsidRPr="00647752" w:rsidRDefault="00053B6C" w:rsidP="00FB6759">
      <w:pPr>
        <w:spacing w:after="0" w:line="240" w:lineRule="auto"/>
        <w:contextualSpacing/>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 xml:space="preserve">UNDP raised public awareness of rule of law institutions via the establishment of a Justice </w:t>
      </w:r>
      <w:r w:rsidR="007C310C">
        <w:rPr>
          <w:rFonts w:ascii="Times New Roman" w:eastAsia="MS Mincho" w:hAnsi="Times New Roman" w:cs="Times New Roman"/>
          <w:sz w:val="22"/>
          <w:szCs w:val="22"/>
          <w:lang w:val="en-GB" w:eastAsia="ja-JP"/>
        </w:rPr>
        <w:t>Information Centre at the MOJ. The c</w:t>
      </w:r>
      <w:r w:rsidRPr="00647752">
        <w:rPr>
          <w:rFonts w:ascii="Times New Roman" w:eastAsia="MS Mincho" w:hAnsi="Times New Roman" w:cs="Times New Roman"/>
          <w:sz w:val="22"/>
          <w:szCs w:val="22"/>
          <w:lang w:val="en-GB" w:eastAsia="ja-JP"/>
        </w:rPr>
        <w:t>entre has conducted a number of trainings for journalists and dissemin</w:t>
      </w:r>
      <w:r w:rsidR="007C310C">
        <w:rPr>
          <w:rFonts w:ascii="Times New Roman" w:eastAsia="MS Mincho" w:hAnsi="Times New Roman" w:cs="Times New Roman"/>
          <w:sz w:val="22"/>
          <w:szCs w:val="22"/>
          <w:lang w:val="en-GB" w:eastAsia="ja-JP"/>
        </w:rPr>
        <w:t>ated brochures on the MOJ’s public services. A new MO</w:t>
      </w:r>
      <w:r w:rsidRPr="00647752">
        <w:rPr>
          <w:rFonts w:ascii="Times New Roman" w:eastAsia="MS Mincho" w:hAnsi="Times New Roman" w:cs="Times New Roman"/>
          <w:sz w:val="22"/>
          <w:szCs w:val="22"/>
          <w:lang w:val="en-GB" w:eastAsia="ja-JP"/>
        </w:rPr>
        <w:t xml:space="preserve">J website was established with monthly </w:t>
      </w:r>
      <w:r w:rsidR="007C310C">
        <w:rPr>
          <w:rFonts w:ascii="Times New Roman" w:eastAsia="MS Mincho" w:hAnsi="Times New Roman" w:cs="Times New Roman"/>
          <w:sz w:val="22"/>
          <w:szCs w:val="22"/>
          <w:lang w:val="en-GB" w:eastAsia="ja-JP"/>
        </w:rPr>
        <w:t xml:space="preserve">hits </w:t>
      </w:r>
      <w:r w:rsidRPr="00647752">
        <w:rPr>
          <w:rFonts w:ascii="Times New Roman" w:eastAsia="MS Mincho" w:hAnsi="Times New Roman" w:cs="Times New Roman"/>
          <w:sz w:val="22"/>
          <w:szCs w:val="22"/>
          <w:lang w:val="en-GB" w:eastAsia="ja-JP"/>
        </w:rPr>
        <w:t>jumping from an average of 7,345 hits per month in 2011 to an average of 16,164 hits per month in 2012. UNDP was also responsible in part for an improvement that occurred in the authenticat</w:t>
      </w:r>
      <w:r w:rsidR="007C310C">
        <w:rPr>
          <w:rFonts w:ascii="Times New Roman" w:eastAsia="MS Mincho" w:hAnsi="Times New Roman" w:cs="Times New Roman"/>
          <w:sz w:val="22"/>
          <w:szCs w:val="22"/>
          <w:lang w:val="en-GB" w:eastAsia="ja-JP"/>
        </w:rPr>
        <w:t>ion of justice records at the MO</w:t>
      </w:r>
      <w:r w:rsidRPr="00647752">
        <w:rPr>
          <w:rFonts w:ascii="Times New Roman" w:eastAsia="MS Mincho" w:hAnsi="Times New Roman" w:cs="Times New Roman"/>
          <w:sz w:val="22"/>
          <w:szCs w:val="22"/>
          <w:lang w:val="en-GB" w:eastAsia="ja-JP"/>
        </w:rPr>
        <w:t>J, as well as groundwork in the forensic</w:t>
      </w:r>
      <w:r w:rsidR="007C310C">
        <w:rPr>
          <w:rFonts w:ascii="Times New Roman" w:eastAsia="MS Mincho" w:hAnsi="Times New Roman" w:cs="Times New Roman"/>
          <w:sz w:val="22"/>
          <w:szCs w:val="22"/>
          <w:lang w:val="en-GB" w:eastAsia="ja-JP"/>
        </w:rPr>
        <w:t xml:space="preserve"> medicine capabilities of the MO</w:t>
      </w:r>
      <w:r w:rsidRPr="00647752">
        <w:rPr>
          <w:rFonts w:ascii="Times New Roman" w:eastAsia="MS Mincho" w:hAnsi="Times New Roman" w:cs="Times New Roman"/>
          <w:sz w:val="22"/>
          <w:szCs w:val="22"/>
          <w:lang w:val="en-GB" w:eastAsia="ja-JP"/>
        </w:rPr>
        <w:t>J (via an autopsy technician provided to the Department of Forensic M</w:t>
      </w:r>
      <w:r w:rsidR="007C310C">
        <w:rPr>
          <w:rFonts w:ascii="Times New Roman" w:eastAsia="MS Mincho" w:hAnsi="Times New Roman" w:cs="Times New Roman"/>
          <w:sz w:val="22"/>
          <w:szCs w:val="22"/>
          <w:lang w:val="en-GB" w:eastAsia="ja-JP"/>
        </w:rPr>
        <w:t xml:space="preserve">edicine). </w:t>
      </w:r>
      <w:r w:rsidRPr="00647752">
        <w:rPr>
          <w:rFonts w:ascii="Times New Roman" w:eastAsia="MS Mincho" w:hAnsi="Times New Roman" w:cs="Times New Roman"/>
          <w:sz w:val="22"/>
          <w:szCs w:val="22"/>
          <w:lang w:val="en-GB" w:eastAsia="ja-JP"/>
        </w:rPr>
        <w:t>Going forward</w:t>
      </w:r>
      <w:r w:rsidR="00A22113">
        <w:rPr>
          <w:rFonts w:ascii="Times New Roman" w:eastAsia="MS Mincho" w:hAnsi="Times New Roman" w:cs="Times New Roman"/>
          <w:sz w:val="22"/>
          <w:szCs w:val="22"/>
          <w:lang w:val="en-GB" w:eastAsia="ja-JP"/>
        </w:rPr>
        <w:t>,</w:t>
      </w:r>
      <w:r w:rsidRPr="00647752">
        <w:rPr>
          <w:rFonts w:ascii="Times New Roman" w:eastAsia="MS Mincho" w:hAnsi="Times New Roman" w:cs="Times New Roman"/>
          <w:sz w:val="22"/>
          <w:szCs w:val="22"/>
          <w:lang w:val="en-GB" w:eastAsia="ja-JP"/>
        </w:rPr>
        <w:t xml:space="preserve"> it wi</w:t>
      </w:r>
      <w:r w:rsidR="007C310C">
        <w:rPr>
          <w:rFonts w:ascii="Times New Roman" w:eastAsia="MS Mincho" w:hAnsi="Times New Roman" w:cs="Times New Roman"/>
          <w:sz w:val="22"/>
          <w:szCs w:val="22"/>
          <w:lang w:val="en-GB" w:eastAsia="ja-JP"/>
        </w:rPr>
        <w:t>ll be important to enhance MO</w:t>
      </w:r>
      <w:r w:rsidRPr="00647752">
        <w:rPr>
          <w:rFonts w:ascii="Times New Roman" w:eastAsia="MS Mincho" w:hAnsi="Times New Roman" w:cs="Times New Roman"/>
          <w:sz w:val="22"/>
          <w:szCs w:val="22"/>
          <w:lang w:val="en-GB" w:eastAsia="ja-JP"/>
        </w:rPr>
        <w:t xml:space="preserve">J’s outreach to the public by enhancing the quality of these services. </w:t>
      </w:r>
    </w:p>
    <w:p w:rsidR="00511C34" w:rsidRPr="00647752" w:rsidRDefault="00511C34" w:rsidP="00FB6759">
      <w:pPr>
        <w:spacing w:after="0" w:line="240" w:lineRule="auto"/>
        <w:contextualSpacing/>
        <w:jc w:val="both"/>
        <w:rPr>
          <w:rFonts w:ascii="Times New Roman" w:eastAsia="MS Mincho" w:hAnsi="Times New Roman" w:cs="Times New Roman"/>
          <w:sz w:val="22"/>
          <w:szCs w:val="22"/>
          <w:lang w:val="en-GB" w:eastAsia="ja-JP"/>
        </w:rPr>
      </w:pPr>
    </w:p>
    <w:p w:rsidR="00511C34" w:rsidRPr="00647752" w:rsidRDefault="00511C34"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 xml:space="preserve">UNDP has played a </w:t>
      </w:r>
      <w:r w:rsidR="007C310C">
        <w:rPr>
          <w:rFonts w:ascii="Times New Roman" w:eastAsia="MS Mincho" w:hAnsi="Times New Roman" w:cs="Times New Roman"/>
          <w:sz w:val="22"/>
          <w:szCs w:val="22"/>
          <w:lang w:val="en-GB" w:eastAsia="ja-JP"/>
        </w:rPr>
        <w:t>crucial role in assisting the MO</w:t>
      </w:r>
      <w:r w:rsidRPr="00647752">
        <w:rPr>
          <w:rFonts w:ascii="Times New Roman" w:eastAsia="MS Mincho" w:hAnsi="Times New Roman" w:cs="Times New Roman"/>
          <w:sz w:val="22"/>
          <w:szCs w:val="22"/>
          <w:lang w:val="en-GB" w:eastAsia="ja-JP"/>
        </w:rPr>
        <w:t>J to de</w:t>
      </w:r>
      <w:r w:rsidR="007C310C">
        <w:rPr>
          <w:rFonts w:ascii="Times New Roman" w:eastAsia="MS Mincho" w:hAnsi="Times New Roman" w:cs="Times New Roman"/>
          <w:sz w:val="22"/>
          <w:szCs w:val="22"/>
          <w:lang w:val="en-GB" w:eastAsia="ja-JP"/>
        </w:rPr>
        <w:t xml:space="preserve">velop concepts for legal aid. </w:t>
      </w:r>
      <w:r w:rsidRPr="00647752">
        <w:rPr>
          <w:rFonts w:ascii="Times New Roman" w:eastAsia="MS Mincho" w:hAnsi="Times New Roman" w:cs="Times New Roman"/>
          <w:sz w:val="22"/>
          <w:szCs w:val="22"/>
          <w:lang w:val="en-GB" w:eastAsia="ja-JP"/>
        </w:rPr>
        <w:t xml:space="preserve">UNDP experts were successful in moving the oPt legal community from a point of virtually zero discussion of concepts of </w:t>
      </w:r>
      <w:r w:rsidRPr="007C310C">
        <w:rPr>
          <w:rFonts w:ascii="Times New Roman" w:eastAsia="MS Mincho" w:hAnsi="Times New Roman" w:cs="Times New Roman"/>
          <w:sz w:val="22"/>
          <w:szCs w:val="22"/>
          <w:lang w:val="en-GB" w:eastAsia="ja-JP"/>
        </w:rPr>
        <w:t>legal aid</w:t>
      </w:r>
      <w:r w:rsidRPr="00647752">
        <w:rPr>
          <w:rFonts w:ascii="Times New Roman" w:eastAsia="MS Mincho" w:hAnsi="Times New Roman" w:cs="Times New Roman"/>
          <w:sz w:val="22"/>
          <w:szCs w:val="22"/>
          <w:lang w:val="en-GB" w:eastAsia="ja-JP"/>
        </w:rPr>
        <w:t xml:space="preserve"> in 2009 to an extremely robust debate involving all justice sector actors on how best to address this issue.</w:t>
      </w:r>
      <w:r w:rsidR="00FD3C19">
        <w:rPr>
          <w:rFonts w:ascii="Times New Roman" w:eastAsia="MS Mincho" w:hAnsi="Times New Roman" w:cs="Times New Roman"/>
          <w:sz w:val="22"/>
          <w:szCs w:val="22"/>
          <w:lang w:val="en-GB" w:eastAsia="ja-JP"/>
        </w:rPr>
        <w:t xml:space="preserve"> </w:t>
      </w:r>
      <w:r w:rsidRPr="00647752">
        <w:rPr>
          <w:rFonts w:ascii="Times New Roman" w:eastAsia="MS Mincho" w:hAnsi="Times New Roman" w:cs="Times New Roman"/>
          <w:sz w:val="22"/>
          <w:szCs w:val="22"/>
          <w:lang w:val="en-GB" w:eastAsia="ja-JP"/>
        </w:rPr>
        <w:t>As a result of UNDP’s efforts</w:t>
      </w:r>
      <w:r w:rsidR="00A22113">
        <w:rPr>
          <w:rFonts w:ascii="Times New Roman" w:eastAsia="MS Mincho" w:hAnsi="Times New Roman" w:cs="Times New Roman"/>
          <w:sz w:val="22"/>
          <w:szCs w:val="22"/>
          <w:lang w:val="en-GB" w:eastAsia="ja-JP"/>
        </w:rPr>
        <w:t>,</w:t>
      </w:r>
      <w:r w:rsidRPr="00647752">
        <w:rPr>
          <w:rFonts w:ascii="Times New Roman" w:eastAsia="MS Mincho" w:hAnsi="Times New Roman" w:cs="Times New Roman"/>
          <w:sz w:val="22"/>
          <w:szCs w:val="22"/>
          <w:lang w:val="en-GB" w:eastAsia="ja-JP"/>
        </w:rPr>
        <w:t xml:space="preserve"> a comprehensive strategy for legal aid is now in the formative stage. There is much more work to be done in this are</w:t>
      </w:r>
      <w:r w:rsidR="00A22113">
        <w:rPr>
          <w:rFonts w:ascii="Times New Roman" w:eastAsia="MS Mincho" w:hAnsi="Times New Roman" w:cs="Times New Roman"/>
          <w:sz w:val="22"/>
          <w:szCs w:val="22"/>
          <w:lang w:val="en-GB" w:eastAsia="ja-JP"/>
        </w:rPr>
        <w:t xml:space="preserve">a, particularly in terms of </w:t>
      </w:r>
      <w:r w:rsidRPr="00647752">
        <w:rPr>
          <w:rFonts w:ascii="Times New Roman" w:eastAsia="MS Mincho" w:hAnsi="Times New Roman" w:cs="Times New Roman"/>
          <w:sz w:val="22"/>
          <w:szCs w:val="22"/>
          <w:lang w:val="en-GB" w:eastAsia="ja-JP"/>
        </w:rPr>
        <w:t>develop</w:t>
      </w:r>
      <w:r w:rsidR="00A22113">
        <w:rPr>
          <w:rFonts w:ascii="Times New Roman" w:eastAsia="MS Mincho" w:hAnsi="Times New Roman" w:cs="Times New Roman"/>
          <w:sz w:val="22"/>
          <w:szCs w:val="22"/>
          <w:lang w:val="en-GB" w:eastAsia="ja-JP"/>
        </w:rPr>
        <w:t>ing</w:t>
      </w:r>
      <w:r w:rsidRPr="00647752">
        <w:rPr>
          <w:rFonts w:ascii="Times New Roman" w:eastAsia="MS Mincho" w:hAnsi="Times New Roman" w:cs="Times New Roman"/>
          <w:sz w:val="22"/>
          <w:szCs w:val="22"/>
          <w:lang w:val="en-GB" w:eastAsia="ja-JP"/>
        </w:rPr>
        <w:t xml:space="preserve"> a comprehensive legal aid strategy. In the event that the government endorses a legal aid strategy</w:t>
      </w:r>
      <w:r w:rsidR="00A22113">
        <w:rPr>
          <w:rFonts w:ascii="Times New Roman" w:eastAsia="MS Mincho" w:hAnsi="Times New Roman" w:cs="Times New Roman"/>
          <w:sz w:val="22"/>
          <w:szCs w:val="22"/>
          <w:lang w:val="en-GB" w:eastAsia="ja-JP"/>
        </w:rPr>
        <w:t>, it is likely that the MOJ</w:t>
      </w:r>
      <w:r w:rsidRPr="00647752">
        <w:rPr>
          <w:rFonts w:ascii="Times New Roman" w:eastAsia="MS Mincho" w:hAnsi="Times New Roman" w:cs="Times New Roman"/>
          <w:sz w:val="22"/>
          <w:szCs w:val="22"/>
          <w:lang w:val="en-GB" w:eastAsia="ja-JP"/>
        </w:rPr>
        <w:t xml:space="preserve"> will require significant donor assistance to </w:t>
      </w:r>
      <w:r w:rsidR="007C310C">
        <w:rPr>
          <w:rFonts w:ascii="Times New Roman" w:eastAsia="MS Mincho" w:hAnsi="Times New Roman" w:cs="Times New Roman"/>
          <w:sz w:val="22"/>
          <w:szCs w:val="22"/>
          <w:lang w:val="en-GB" w:eastAsia="ja-JP"/>
        </w:rPr>
        <w:t xml:space="preserve">implement it - </w:t>
      </w:r>
      <w:r w:rsidRPr="00647752">
        <w:rPr>
          <w:rFonts w:ascii="Times New Roman" w:eastAsia="MS Mincho" w:hAnsi="Times New Roman" w:cs="Times New Roman"/>
          <w:sz w:val="22"/>
          <w:szCs w:val="22"/>
          <w:lang w:val="en-GB" w:eastAsia="ja-JP"/>
        </w:rPr>
        <w:t>particularly if the provision of legal aid extends beyond criminal cases to include civil disputes, as called for in the National Justice Sector Strategy.</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7C310C" w:rsidP="00FB6759">
      <w:pPr>
        <w:spacing w:after="0" w:line="240" w:lineRule="auto"/>
        <w:jc w:val="both"/>
        <w:rPr>
          <w:rFonts w:ascii="Times New Roman" w:eastAsia="MS Mincho" w:hAnsi="Times New Roman" w:cs="Times New Roman"/>
          <w:i/>
          <w:sz w:val="22"/>
          <w:szCs w:val="22"/>
          <w:lang w:val="en-GB" w:eastAsia="ja-JP"/>
        </w:rPr>
      </w:pPr>
      <w:r>
        <w:rPr>
          <w:rFonts w:ascii="Times New Roman" w:eastAsia="MS Mincho" w:hAnsi="Times New Roman" w:cs="Times New Roman"/>
          <w:i/>
          <w:sz w:val="22"/>
          <w:szCs w:val="22"/>
          <w:lang w:val="en-GB" w:eastAsia="ja-JP"/>
        </w:rPr>
        <w:t>Attorney-</w:t>
      </w:r>
      <w:r w:rsidR="00053B6C" w:rsidRPr="00647752">
        <w:rPr>
          <w:rFonts w:ascii="Times New Roman" w:eastAsia="MS Mincho" w:hAnsi="Times New Roman" w:cs="Times New Roman"/>
          <w:i/>
          <w:sz w:val="22"/>
          <w:szCs w:val="22"/>
          <w:lang w:val="en-GB" w:eastAsia="ja-JP"/>
        </w:rPr>
        <w:t>General’s Office</w:t>
      </w:r>
    </w:p>
    <w:p w:rsidR="007C310C" w:rsidRDefault="007C310C"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Meanwhile, UNDP experts seconded to the AGO have focused</w:t>
      </w:r>
      <w:r w:rsidR="007C310C">
        <w:rPr>
          <w:rFonts w:ascii="Times New Roman" w:eastAsia="MS Mincho" w:hAnsi="Times New Roman" w:cs="Times New Roman"/>
          <w:sz w:val="22"/>
          <w:szCs w:val="22"/>
          <w:lang w:val="en-GB" w:eastAsia="ja-JP"/>
        </w:rPr>
        <w:t xml:space="preserve"> on four key outputs: 1</w:t>
      </w:r>
      <w:r w:rsidRPr="00647752">
        <w:rPr>
          <w:rFonts w:ascii="Times New Roman" w:eastAsia="MS Mincho" w:hAnsi="Times New Roman" w:cs="Times New Roman"/>
          <w:sz w:val="22"/>
          <w:szCs w:val="22"/>
          <w:lang w:val="en-GB" w:eastAsia="ja-JP"/>
        </w:rPr>
        <w:t xml:space="preserve">) improving the AGO’s planning unit; </w:t>
      </w:r>
      <w:r w:rsidR="007C310C">
        <w:rPr>
          <w:rFonts w:ascii="Times New Roman" w:eastAsia="MS Mincho" w:hAnsi="Times New Roman" w:cs="Times New Roman"/>
          <w:sz w:val="22"/>
          <w:szCs w:val="22"/>
          <w:lang w:val="en-GB" w:eastAsia="ja-JP"/>
        </w:rPr>
        <w:t xml:space="preserve">2) </w:t>
      </w:r>
      <w:r w:rsidRPr="00647752">
        <w:rPr>
          <w:rFonts w:ascii="Times New Roman" w:eastAsia="MS Mincho" w:hAnsi="Times New Roman" w:cs="Times New Roman"/>
          <w:sz w:val="22"/>
          <w:szCs w:val="22"/>
          <w:lang w:val="en-GB" w:eastAsia="ja-JP"/>
        </w:rPr>
        <w:t xml:space="preserve">improving the functionality and operations of the public prosecutors; </w:t>
      </w:r>
      <w:r w:rsidR="007C310C">
        <w:rPr>
          <w:rFonts w:ascii="Times New Roman" w:eastAsia="MS Mincho" w:hAnsi="Times New Roman" w:cs="Times New Roman"/>
          <w:sz w:val="22"/>
          <w:szCs w:val="22"/>
          <w:lang w:val="en-GB" w:eastAsia="ja-JP"/>
        </w:rPr>
        <w:t xml:space="preserve">3) </w:t>
      </w:r>
      <w:r w:rsidRPr="00647752">
        <w:rPr>
          <w:rFonts w:ascii="Times New Roman" w:eastAsia="MS Mincho" w:hAnsi="Times New Roman" w:cs="Times New Roman"/>
          <w:sz w:val="22"/>
          <w:szCs w:val="22"/>
          <w:lang w:val="en-GB" w:eastAsia="ja-JP"/>
        </w:rPr>
        <w:t>strengthening the AGO</w:t>
      </w:r>
      <w:r w:rsidR="001C7867" w:rsidRPr="00647752">
        <w:rPr>
          <w:rFonts w:ascii="Times New Roman" w:eastAsia="MS Mincho" w:hAnsi="Times New Roman" w:cs="Times New Roman"/>
          <w:sz w:val="22"/>
          <w:szCs w:val="22"/>
          <w:lang w:val="en-GB" w:eastAsia="ja-JP"/>
        </w:rPr>
        <w:t>’</w:t>
      </w:r>
      <w:r w:rsidRPr="00647752">
        <w:rPr>
          <w:rFonts w:ascii="Times New Roman" w:eastAsia="MS Mincho" w:hAnsi="Times New Roman" w:cs="Times New Roman"/>
          <w:sz w:val="22"/>
          <w:szCs w:val="22"/>
          <w:lang w:val="en-GB" w:eastAsia="ja-JP"/>
        </w:rPr>
        <w:t xml:space="preserve">s coordination </w:t>
      </w:r>
      <w:r w:rsidR="00503AC9">
        <w:rPr>
          <w:rFonts w:ascii="Times New Roman" w:eastAsia="MS Mincho" w:hAnsi="Times New Roman" w:cs="Times New Roman"/>
          <w:sz w:val="22"/>
          <w:szCs w:val="22"/>
          <w:lang w:val="en-GB" w:eastAsia="ja-JP"/>
        </w:rPr>
        <w:t>of donors and effectively using</w:t>
      </w:r>
      <w:r w:rsidRPr="00647752">
        <w:rPr>
          <w:rFonts w:ascii="Times New Roman" w:eastAsia="MS Mincho" w:hAnsi="Times New Roman" w:cs="Times New Roman"/>
          <w:sz w:val="22"/>
          <w:szCs w:val="22"/>
          <w:lang w:val="en-GB" w:eastAsia="ja-JP"/>
        </w:rPr>
        <w:t xml:space="preserve"> donor resources; and </w:t>
      </w:r>
      <w:r w:rsidR="007C310C">
        <w:rPr>
          <w:rFonts w:ascii="Times New Roman" w:eastAsia="MS Mincho" w:hAnsi="Times New Roman" w:cs="Times New Roman"/>
          <w:sz w:val="22"/>
          <w:szCs w:val="22"/>
          <w:lang w:val="en-GB" w:eastAsia="ja-JP"/>
        </w:rPr>
        <w:t xml:space="preserve">4) </w:t>
      </w:r>
      <w:r w:rsidRPr="00647752">
        <w:rPr>
          <w:rFonts w:ascii="Times New Roman" w:eastAsia="MS Mincho" w:hAnsi="Times New Roman" w:cs="Times New Roman"/>
          <w:sz w:val="22"/>
          <w:szCs w:val="22"/>
          <w:lang w:val="en-GB" w:eastAsia="ja-JP"/>
        </w:rPr>
        <w:t>building</w:t>
      </w:r>
      <w:r w:rsidR="00503AC9">
        <w:rPr>
          <w:rFonts w:ascii="Times New Roman" w:eastAsia="MS Mincho" w:hAnsi="Times New Roman" w:cs="Times New Roman"/>
          <w:sz w:val="22"/>
          <w:szCs w:val="22"/>
          <w:lang w:val="en-GB" w:eastAsia="ja-JP"/>
        </w:rPr>
        <w:t xml:space="preserve"> the capacity of the AGO Planning &amp; Project</w:t>
      </w:r>
      <w:r w:rsidRPr="00647752">
        <w:rPr>
          <w:rFonts w:ascii="Times New Roman" w:eastAsia="MS Mincho" w:hAnsi="Times New Roman" w:cs="Times New Roman"/>
          <w:sz w:val="22"/>
          <w:szCs w:val="22"/>
          <w:lang w:val="en-GB" w:eastAsia="ja-JP"/>
        </w:rPr>
        <w:t xml:space="preserve"> Management Unit (PPMU).      </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503AC9" w:rsidP="00FB6759">
      <w:pPr>
        <w:spacing w:after="0" w:line="240" w:lineRule="auto"/>
        <w:jc w:val="both"/>
        <w:rPr>
          <w:rFonts w:ascii="Times New Roman" w:eastAsia="MS Mincho" w:hAnsi="Times New Roman" w:cs="Times New Roman"/>
          <w:sz w:val="22"/>
          <w:szCs w:val="22"/>
          <w:lang w:val="en-GB" w:eastAsia="ja-JP"/>
        </w:rPr>
      </w:pPr>
      <w:r>
        <w:rPr>
          <w:rFonts w:ascii="Times New Roman" w:eastAsia="MS Mincho" w:hAnsi="Times New Roman" w:cs="Times New Roman"/>
          <w:sz w:val="22"/>
          <w:szCs w:val="22"/>
          <w:lang w:val="en-GB" w:eastAsia="ja-JP"/>
        </w:rPr>
        <w:t xml:space="preserve">UNDP support to the PPMU </w:t>
      </w:r>
      <w:r w:rsidR="00053B6C" w:rsidRPr="00647752">
        <w:rPr>
          <w:rFonts w:ascii="Times New Roman" w:eastAsia="MS Mincho" w:hAnsi="Times New Roman" w:cs="Times New Roman"/>
          <w:sz w:val="22"/>
          <w:szCs w:val="22"/>
          <w:lang w:val="en-GB" w:eastAsia="ja-JP"/>
        </w:rPr>
        <w:t>has increased t</w:t>
      </w:r>
      <w:r>
        <w:rPr>
          <w:rFonts w:ascii="Times New Roman" w:eastAsia="MS Mincho" w:hAnsi="Times New Roman" w:cs="Times New Roman"/>
          <w:sz w:val="22"/>
          <w:szCs w:val="22"/>
          <w:lang w:val="en-GB" w:eastAsia="ja-JP"/>
        </w:rPr>
        <w:t>he ability of the AGO</w:t>
      </w:r>
      <w:r w:rsidR="00053B6C" w:rsidRPr="00647752">
        <w:rPr>
          <w:rFonts w:ascii="Times New Roman" w:eastAsia="MS Mincho" w:hAnsi="Times New Roman" w:cs="Times New Roman"/>
          <w:sz w:val="22"/>
          <w:szCs w:val="22"/>
          <w:lang w:val="en-GB" w:eastAsia="ja-JP"/>
        </w:rPr>
        <w:t xml:space="preserve"> to recruit qualified staff and channel donor support in a more effective and efficient manner. In 2010, UNDP experts helped with the development of the Justice Sector Strate</w:t>
      </w:r>
      <w:r>
        <w:rPr>
          <w:rFonts w:ascii="Times New Roman" w:eastAsia="MS Mincho" w:hAnsi="Times New Roman" w:cs="Times New Roman"/>
          <w:sz w:val="22"/>
          <w:szCs w:val="22"/>
          <w:lang w:val="en-GB" w:eastAsia="ja-JP"/>
        </w:rPr>
        <w:t>gy for the oPt.</w:t>
      </w:r>
      <w:r w:rsidR="00227679">
        <w:rPr>
          <w:rFonts w:ascii="Times New Roman" w:eastAsia="MS Mincho" w:hAnsi="Times New Roman" w:cs="Times New Roman"/>
          <w:sz w:val="22"/>
          <w:szCs w:val="22"/>
          <w:lang w:val="en-GB" w:eastAsia="ja-JP"/>
        </w:rPr>
        <w:t xml:space="preserve"> </w:t>
      </w:r>
      <w:r w:rsidR="00053B6C" w:rsidRPr="00647752">
        <w:rPr>
          <w:rFonts w:ascii="Times New Roman" w:eastAsia="MS Mincho" w:hAnsi="Times New Roman" w:cs="Times New Roman"/>
          <w:sz w:val="22"/>
          <w:szCs w:val="22"/>
          <w:lang w:val="en-GB" w:eastAsia="ja-JP"/>
        </w:rPr>
        <w:t>The AGO is now able to more efficiently review the cases</w:t>
      </w:r>
      <w:r>
        <w:rPr>
          <w:rFonts w:ascii="Times New Roman" w:eastAsia="MS Mincho" w:hAnsi="Times New Roman" w:cs="Times New Roman"/>
          <w:sz w:val="22"/>
          <w:szCs w:val="22"/>
          <w:lang w:val="en-GB" w:eastAsia="ja-JP"/>
        </w:rPr>
        <w:t xml:space="preserve"> it receives from the district o</w:t>
      </w:r>
      <w:r w:rsidR="00053B6C" w:rsidRPr="00647752">
        <w:rPr>
          <w:rFonts w:ascii="Times New Roman" w:eastAsia="MS Mincho" w:hAnsi="Times New Roman" w:cs="Times New Roman"/>
          <w:sz w:val="22"/>
          <w:szCs w:val="22"/>
          <w:lang w:val="en-GB" w:eastAsia="ja-JP"/>
        </w:rPr>
        <w:t>ffices. Cases are now transported by the UDNP supported</w:t>
      </w:r>
      <w:r>
        <w:rPr>
          <w:rFonts w:ascii="Times New Roman" w:eastAsia="MS Mincho" w:hAnsi="Times New Roman" w:cs="Times New Roman"/>
          <w:sz w:val="22"/>
          <w:szCs w:val="22"/>
          <w:lang w:val="en-GB" w:eastAsia="ja-JP"/>
        </w:rPr>
        <w:t xml:space="preserve"> MIZAN2 e</w:t>
      </w:r>
      <w:r w:rsidR="00053B6C" w:rsidRPr="00647752">
        <w:rPr>
          <w:rFonts w:ascii="Times New Roman" w:eastAsia="MS Mincho" w:hAnsi="Times New Roman" w:cs="Times New Roman"/>
          <w:sz w:val="22"/>
          <w:szCs w:val="22"/>
          <w:lang w:val="en-GB" w:eastAsia="ja-JP"/>
        </w:rPr>
        <w:t>lectron</w:t>
      </w:r>
      <w:r>
        <w:rPr>
          <w:rFonts w:ascii="Times New Roman" w:eastAsia="MS Mincho" w:hAnsi="Times New Roman" w:cs="Times New Roman"/>
          <w:sz w:val="22"/>
          <w:szCs w:val="22"/>
          <w:lang w:val="en-GB" w:eastAsia="ja-JP"/>
        </w:rPr>
        <w:t>ic case management system. It is perceived that public p</w:t>
      </w:r>
      <w:r w:rsidR="00053B6C" w:rsidRPr="00647752">
        <w:rPr>
          <w:rFonts w:ascii="Times New Roman" w:eastAsia="MS Mincho" w:hAnsi="Times New Roman" w:cs="Times New Roman"/>
          <w:sz w:val="22"/>
          <w:szCs w:val="22"/>
          <w:lang w:val="en-GB" w:eastAsia="ja-JP"/>
        </w:rPr>
        <w:t>rosecutors are performing better in court than before as a res</w:t>
      </w:r>
      <w:r>
        <w:rPr>
          <w:rFonts w:ascii="Times New Roman" w:eastAsia="MS Mincho" w:hAnsi="Times New Roman" w:cs="Times New Roman"/>
          <w:sz w:val="22"/>
          <w:szCs w:val="22"/>
          <w:lang w:val="en-GB" w:eastAsia="ja-JP"/>
        </w:rPr>
        <w:t>ult of improved case follow-up.</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 xml:space="preserve">Going forward, UNDP should continue to engage with the AGO to build its capacities, while at the same time bringing a heightened level of leadership to the debate in terms of raising sensitive issues such as separation of powers </w:t>
      </w:r>
      <w:r w:rsidR="00503AC9">
        <w:rPr>
          <w:rFonts w:ascii="Times New Roman" w:eastAsia="MS Mincho" w:hAnsi="Times New Roman" w:cs="Times New Roman"/>
          <w:sz w:val="22"/>
          <w:szCs w:val="22"/>
          <w:lang w:val="en-GB" w:eastAsia="ja-JP"/>
        </w:rPr>
        <w:t xml:space="preserve">in a constructive dialogue. </w:t>
      </w:r>
      <w:r w:rsidRPr="00647752">
        <w:rPr>
          <w:rFonts w:ascii="Times New Roman" w:eastAsia="MS Mincho" w:hAnsi="Times New Roman" w:cs="Times New Roman"/>
          <w:sz w:val="22"/>
          <w:szCs w:val="22"/>
          <w:lang w:val="en-GB" w:eastAsia="ja-JP"/>
        </w:rPr>
        <w:t>Solving the ongoing debate about the position of the public prosecution will allow for greater focus of resource and efforts on the development of the institution and its identity.</w:t>
      </w:r>
    </w:p>
    <w:p w:rsidR="00053B6C" w:rsidRPr="00647752" w:rsidRDefault="00503AC9" w:rsidP="00FB6759">
      <w:pPr>
        <w:spacing w:after="0" w:line="240" w:lineRule="auto"/>
        <w:jc w:val="both"/>
        <w:rPr>
          <w:rFonts w:ascii="Times New Roman" w:eastAsia="MS Mincho" w:hAnsi="Times New Roman" w:cs="Times New Roman"/>
          <w:i/>
          <w:sz w:val="22"/>
          <w:szCs w:val="22"/>
          <w:lang w:val="en-GB" w:eastAsia="ja-JP"/>
        </w:rPr>
      </w:pPr>
      <w:r>
        <w:rPr>
          <w:rFonts w:ascii="Times New Roman" w:eastAsia="MS Mincho" w:hAnsi="Times New Roman" w:cs="Times New Roman"/>
          <w:i/>
          <w:sz w:val="22"/>
          <w:szCs w:val="22"/>
          <w:lang w:val="en-GB" w:eastAsia="ja-JP"/>
        </w:rPr>
        <w:lastRenderedPageBreak/>
        <w:t>High Judicial Council</w:t>
      </w:r>
    </w:p>
    <w:p w:rsidR="00503AC9" w:rsidRDefault="00503AC9"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053B6C" w:rsidP="00FB6759">
      <w:pPr>
        <w:spacing w:after="0" w:line="240" w:lineRule="auto"/>
        <w:jc w:val="both"/>
        <w:rPr>
          <w:rFonts w:ascii="Times New Roman" w:eastAsia="Cambria" w:hAnsi="Times New Roman" w:cs="Times New Roman"/>
          <w:sz w:val="22"/>
          <w:szCs w:val="22"/>
          <w:lang w:val="en-GB"/>
        </w:rPr>
      </w:pPr>
      <w:r w:rsidRPr="00647752">
        <w:rPr>
          <w:rFonts w:ascii="Times New Roman" w:eastAsia="MS Mincho" w:hAnsi="Times New Roman" w:cs="Times New Roman"/>
          <w:sz w:val="22"/>
          <w:szCs w:val="22"/>
          <w:lang w:val="en-GB" w:eastAsia="ja-JP"/>
        </w:rPr>
        <w:t>UNDP’s overall impact upon the HJC a</w:t>
      </w:r>
      <w:r w:rsidR="00503AC9">
        <w:rPr>
          <w:rFonts w:ascii="Times New Roman" w:eastAsia="MS Mincho" w:hAnsi="Times New Roman" w:cs="Times New Roman"/>
          <w:sz w:val="22"/>
          <w:szCs w:val="22"/>
          <w:lang w:val="en-GB" w:eastAsia="ja-JP"/>
        </w:rPr>
        <w:t xml:space="preserve">nd the courts has been strong. </w:t>
      </w:r>
      <w:r w:rsidRPr="00647752">
        <w:rPr>
          <w:rFonts w:ascii="Times New Roman" w:eastAsia="MS Mincho" w:hAnsi="Times New Roman" w:cs="Times New Roman"/>
          <w:sz w:val="22"/>
          <w:szCs w:val="22"/>
          <w:lang w:val="en-GB" w:eastAsia="ja-JP"/>
        </w:rPr>
        <w:t xml:space="preserve">UNDP </w:t>
      </w:r>
      <w:r w:rsidR="00503AC9">
        <w:rPr>
          <w:rFonts w:ascii="Times New Roman" w:eastAsia="MS Mincho" w:hAnsi="Times New Roman" w:cs="Times New Roman"/>
          <w:sz w:val="22"/>
          <w:szCs w:val="22"/>
          <w:lang w:val="en-GB" w:eastAsia="ja-JP"/>
        </w:rPr>
        <w:t>support to the HJC’s PPMU</w:t>
      </w:r>
      <w:r w:rsidRPr="00647752">
        <w:rPr>
          <w:rFonts w:ascii="Times New Roman" w:eastAsia="MS Mincho" w:hAnsi="Times New Roman" w:cs="Times New Roman"/>
          <w:sz w:val="22"/>
          <w:szCs w:val="22"/>
          <w:lang w:val="en-GB" w:eastAsia="ja-JP"/>
        </w:rPr>
        <w:t xml:space="preserve"> started in 2008 prior to the establishment of the UNDP </w:t>
      </w:r>
      <w:r w:rsidR="00503AC9">
        <w:rPr>
          <w:rFonts w:ascii="Times New Roman" w:eastAsia="MS Mincho" w:hAnsi="Times New Roman" w:cs="Times New Roman"/>
          <w:sz w:val="22"/>
          <w:szCs w:val="22"/>
          <w:lang w:val="en-GB" w:eastAsia="ja-JP"/>
        </w:rPr>
        <w:t>Rule of Law &amp;</w:t>
      </w:r>
      <w:r w:rsidRPr="00647752">
        <w:rPr>
          <w:rFonts w:ascii="Times New Roman" w:eastAsia="MS Mincho" w:hAnsi="Times New Roman" w:cs="Times New Roman"/>
          <w:sz w:val="22"/>
          <w:szCs w:val="22"/>
          <w:lang w:val="en-GB" w:eastAsia="ja-JP"/>
        </w:rPr>
        <w:t>Access to Justice Programme</w:t>
      </w:r>
      <w:r w:rsidR="00503AC9">
        <w:rPr>
          <w:rFonts w:ascii="Times New Roman" w:eastAsia="MS Mincho" w:hAnsi="Times New Roman" w:cs="Times New Roman"/>
          <w:sz w:val="22"/>
          <w:szCs w:val="22"/>
          <w:lang w:val="en-GB" w:eastAsia="ja-JP"/>
        </w:rPr>
        <w:t xml:space="preserve"> in the oPt</w:t>
      </w:r>
      <w:r w:rsidRPr="00647752">
        <w:rPr>
          <w:rFonts w:ascii="Times New Roman" w:eastAsia="MS Mincho" w:hAnsi="Times New Roman" w:cs="Times New Roman"/>
          <w:sz w:val="22"/>
          <w:szCs w:val="22"/>
          <w:lang w:val="en-GB" w:eastAsia="ja-JP"/>
        </w:rPr>
        <w:t>. The HJC was the first institution to have such a department in the justice sector and UNDP played a key role in strategic planning and project management.</w:t>
      </w:r>
    </w:p>
    <w:p w:rsidR="00053B6C" w:rsidRPr="00647752" w:rsidRDefault="00053B6C" w:rsidP="00FB6759">
      <w:pPr>
        <w:spacing w:after="0" w:line="240" w:lineRule="auto"/>
        <w:jc w:val="both"/>
        <w:rPr>
          <w:rFonts w:ascii="Times New Roman" w:eastAsia="Cambria" w:hAnsi="Times New Roman" w:cs="Times New Roman"/>
          <w:sz w:val="22"/>
          <w:szCs w:val="22"/>
          <w:lang w:val="en-GB"/>
        </w:rPr>
      </w:pPr>
    </w:p>
    <w:p w:rsidR="00503AC9"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The idea of seconding UNDP employees to the PPMU was based on the concept or assumption that the UNDP employees could train HJC staff to take their place. UNDP hasn’t been able to fully achieve this goal due to capacity deficiencies among the HJC staff that continue to need a diverse range of con</w:t>
      </w:r>
      <w:r w:rsidR="00503AC9">
        <w:rPr>
          <w:rFonts w:ascii="Times New Roman" w:eastAsia="MS Mincho" w:hAnsi="Times New Roman" w:cs="Times New Roman"/>
          <w:sz w:val="22"/>
          <w:szCs w:val="22"/>
          <w:lang w:val="en-GB" w:eastAsia="ja-JP"/>
        </w:rPr>
        <w:t>tinuing education and training.</w:t>
      </w:r>
      <w:r w:rsidRPr="00647752">
        <w:rPr>
          <w:rFonts w:ascii="Times New Roman" w:eastAsia="MS Mincho" w:hAnsi="Times New Roman" w:cs="Times New Roman"/>
          <w:sz w:val="22"/>
          <w:szCs w:val="22"/>
          <w:lang w:val="en-GB" w:eastAsia="ja-JP"/>
        </w:rPr>
        <w:t xml:space="preserve"> Nonetheless, UNDP staff within the PPMU have made significant contributions to the HJC’s work in</w:t>
      </w:r>
      <w:r w:rsidR="005A6418">
        <w:rPr>
          <w:rFonts w:ascii="Times New Roman" w:eastAsia="MS Mincho" w:hAnsi="Times New Roman" w:cs="Times New Roman"/>
          <w:sz w:val="22"/>
          <w:szCs w:val="22"/>
          <w:lang w:val="en-GB" w:eastAsia="ja-JP"/>
        </w:rPr>
        <w:t xml:space="preserve"> many ways</w:t>
      </w:r>
      <w:r w:rsidR="00503AC9">
        <w:rPr>
          <w:rFonts w:ascii="Times New Roman" w:eastAsia="MS Mincho" w:hAnsi="Times New Roman" w:cs="Times New Roman"/>
          <w:sz w:val="22"/>
          <w:szCs w:val="22"/>
          <w:lang w:val="en-GB" w:eastAsia="ja-JP"/>
        </w:rPr>
        <w:t xml:space="preserve"> - </w:t>
      </w:r>
      <w:r w:rsidRPr="00647752">
        <w:rPr>
          <w:rFonts w:ascii="Times New Roman" w:eastAsia="MS Mincho" w:hAnsi="Times New Roman" w:cs="Times New Roman"/>
          <w:sz w:val="22"/>
          <w:szCs w:val="22"/>
          <w:lang w:val="en-GB" w:eastAsia="ja-JP"/>
        </w:rPr>
        <w:t xml:space="preserve">especially with more permanent staff </w:t>
      </w:r>
      <w:r w:rsidR="00503AC9">
        <w:rPr>
          <w:rFonts w:ascii="Times New Roman" w:eastAsia="MS Mincho" w:hAnsi="Times New Roman" w:cs="Times New Roman"/>
          <w:sz w:val="22"/>
          <w:szCs w:val="22"/>
          <w:lang w:val="en-GB" w:eastAsia="ja-JP"/>
        </w:rPr>
        <w:t>at the PPMU.</w:t>
      </w:r>
    </w:p>
    <w:p w:rsidR="00503AC9" w:rsidRDefault="00503AC9"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The HJC views UNDP’s support to the strategic planning processes for the justice se</w:t>
      </w:r>
      <w:r w:rsidR="00503AC9">
        <w:rPr>
          <w:rFonts w:ascii="Times New Roman" w:eastAsia="MS Mincho" w:hAnsi="Times New Roman" w:cs="Times New Roman"/>
          <w:sz w:val="22"/>
          <w:szCs w:val="22"/>
          <w:lang w:val="en-GB" w:eastAsia="ja-JP"/>
        </w:rPr>
        <w:t xml:space="preserve">ctor as particularly valuable. </w:t>
      </w:r>
      <w:r w:rsidRPr="00647752">
        <w:rPr>
          <w:rFonts w:ascii="Times New Roman" w:eastAsia="MS Mincho" w:hAnsi="Times New Roman" w:cs="Times New Roman"/>
          <w:sz w:val="22"/>
          <w:szCs w:val="22"/>
          <w:lang w:val="en-GB" w:eastAsia="ja-JP"/>
        </w:rPr>
        <w:t>UNDP has worked closely with the HJC to develop work plans for each department and is now working on the evaluation of what w</w:t>
      </w:r>
      <w:r w:rsidR="005A6418">
        <w:rPr>
          <w:rFonts w:ascii="Times New Roman" w:eastAsia="MS Mincho" w:hAnsi="Times New Roman" w:cs="Times New Roman"/>
          <w:sz w:val="22"/>
          <w:szCs w:val="22"/>
          <w:lang w:val="en-GB" w:eastAsia="ja-JP"/>
        </w:rPr>
        <w:t xml:space="preserve">as achieved under its </w:t>
      </w:r>
      <w:r w:rsidRPr="00647752">
        <w:rPr>
          <w:rFonts w:ascii="Times New Roman" w:eastAsia="MS Mincho" w:hAnsi="Times New Roman" w:cs="Times New Roman"/>
          <w:sz w:val="22"/>
          <w:szCs w:val="22"/>
          <w:lang w:val="en-GB" w:eastAsia="ja-JP"/>
        </w:rPr>
        <w:t>strategic plan</w:t>
      </w:r>
      <w:r w:rsidR="005A6418">
        <w:rPr>
          <w:rFonts w:ascii="Times New Roman" w:eastAsia="MS Mincho" w:hAnsi="Times New Roman" w:cs="Times New Roman"/>
          <w:sz w:val="22"/>
          <w:szCs w:val="22"/>
          <w:lang w:val="en-GB" w:eastAsia="ja-JP"/>
        </w:rPr>
        <w:t xml:space="preserve"> (2010-2013)</w:t>
      </w:r>
      <w:r w:rsidRPr="00647752">
        <w:rPr>
          <w:rFonts w:ascii="Times New Roman" w:eastAsia="MS Mincho" w:hAnsi="Times New Roman" w:cs="Times New Roman"/>
          <w:sz w:val="22"/>
          <w:szCs w:val="22"/>
          <w:lang w:val="en-GB" w:eastAsia="ja-JP"/>
        </w:rPr>
        <w:t xml:space="preserve">. </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UNDP was the first institution to assist the justice sector to dev</w:t>
      </w:r>
      <w:r w:rsidR="00503AC9">
        <w:rPr>
          <w:rFonts w:ascii="Times New Roman" w:eastAsia="MS Mincho" w:hAnsi="Times New Roman" w:cs="Times New Roman"/>
          <w:sz w:val="22"/>
          <w:szCs w:val="22"/>
          <w:lang w:val="en-GB" w:eastAsia="ja-JP"/>
        </w:rPr>
        <w:t xml:space="preserve">elop a case management system. </w:t>
      </w:r>
      <w:r w:rsidRPr="00647752">
        <w:rPr>
          <w:rFonts w:ascii="Times New Roman" w:eastAsia="MS Mincho" w:hAnsi="Times New Roman" w:cs="Times New Roman"/>
          <w:sz w:val="22"/>
          <w:szCs w:val="22"/>
          <w:lang w:val="en-GB" w:eastAsia="ja-JP"/>
        </w:rPr>
        <w:t>The</w:t>
      </w:r>
      <w:r w:rsidR="00503AC9">
        <w:rPr>
          <w:rFonts w:ascii="Times New Roman" w:eastAsia="MS Mincho" w:hAnsi="Times New Roman" w:cs="Times New Roman"/>
          <w:sz w:val="22"/>
          <w:szCs w:val="22"/>
          <w:lang w:val="en-GB" w:eastAsia="ja-JP"/>
        </w:rPr>
        <w:t xml:space="preserve"> MIZAN d</w:t>
      </w:r>
      <w:r w:rsidRPr="00647752">
        <w:rPr>
          <w:rFonts w:ascii="Times New Roman" w:eastAsia="MS Mincho" w:hAnsi="Times New Roman" w:cs="Times New Roman"/>
          <w:sz w:val="22"/>
          <w:szCs w:val="22"/>
          <w:lang w:val="en-GB" w:eastAsia="ja-JP"/>
        </w:rPr>
        <w:t>atabase was</w:t>
      </w:r>
      <w:r w:rsidR="00FD3C19">
        <w:rPr>
          <w:rFonts w:ascii="Times New Roman" w:eastAsia="MS Mincho" w:hAnsi="Times New Roman" w:cs="Times New Roman"/>
          <w:sz w:val="22"/>
          <w:szCs w:val="22"/>
          <w:lang w:val="en-GB" w:eastAsia="ja-JP"/>
        </w:rPr>
        <w:t xml:space="preserve"> </w:t>
      </w:r>
      <w:r w:rsidRPr="00647752">
        <w:rPr>
          <w:rFonts w:ascii="Times New Roman" w:eastAsia="MS Mincho" w:hAnsi="Times New Roman" w:cs="Times New Roman"/>
          <w:sz w:val="22"/>
          <w:szCs w:val="22"/>
          <w:lang w:val="en-GB" w:eastAsia="ja-JP"/>
        </w:rPr>
        <w:t>established in 2007 at the request of the ju</w:t>
      </w:r>
      <w:r w:rsidR="00503AC9">
        <w:rPr>
          <w:rFonts w:ascii="Times New Roman" w:eastAsia="MS Mincho" w:hAnsi="Times New Roman" w:cs="Times New Roman"/>
          <w:sz w:val="22"/>
          <w:szCs w:val="22"/>
          <w:lang w:val="en-GB" w:eastAsia="ja-JP"/>
        </w:rPr>
        <w:t xml:space="preserve">stice institutions themselves. </w:t>
      </w:r>
      <w:r w:rsidRPr="00647752">
        <w:rPr>
          <w:rFonts w:ascii="Times New Roman" w:eastAsia="MS Mincho" w:hAnsi="Times New Roman" w:cs="Times New Roman"/>
          <w:sz w:val="22"/>
          <w:szCs w:val="22"/>
          <w:lang w:val="en-GB" w:eastAsia="ja-JP"/>
        </w:rPr>
        <w:t xml:space="preserve">It is a case file management system to monitor cases through the justice chain. The database is owned by the HJC, but it is shared with </w:t>
      </w:r>
      <w:r w:rsidR="00503AC9">
        <w:rPr>
          <w:rFonts w:ascii="Times New Roman" w:eastAsia="MS Mincho" w:hAnsi="Times New Roman" w:cs="Times New Roman"/>
          <w:sz w:val="22"/>
          <w:szCs w:val="22"/>
          <w:lang w:val="en-GB" w:eastAsia="ja-JP"/>
        </w:rPr>
        <w:t xml:space="preserve">the </w:t>
      </w:r>
      <w:r w:rsidR="005A6418">
        <w:rPr>
          <w:rFonts w:ascii="Times New Roman" w:eastAsia="MS Mincho" w:hAnsi="Times New Roman" w:cs="Times New Roman"/>
          <w:sz w:val="22"/>
          <w:szCs w:val="22"/>
          <w:lang w:val="en-GB" w:eastAsia="ja-JP"/>
        </w:rPr>
        <w:t xml:space="preserve">AGO; other institutions have </w:t>
      </w:r>
      <w:r w:rsidR="00503AC9">
        <w:rPr>
          <w:rFonts w:ascii="Times New Roman" w:eastAsia="MS Mincho" w:hAnsi="Times New Roman" w:cs="Times New Roman"/>
          <w:sz w:val="22"/>
          <w:szCs w:val="22"/>
          <w:lang w:val="en-GB" w:eastAsia="ja-JP"/>
        </w:rPr>
        <w:t>duplicated the system</w:t>
      </w:r>
      <w:r w:rsidR="005A6418">
        <w:rPr>
          <w:rFonts w:ascii="Times New Roman" w:eastAsia="MS Mincho" w:hAnsi="Times New Roman" w:cs="Times New Roman"/>
          <w:sz w:val="22"/>
          <w:szCs w:val="22"/>
          <w:lang w:val="en-GB" w:eastAsia="ja-JP"/>
        </w:rPr>
        <w:t xml:space="preserve"> as well</w:t>
      </w:r>
      <w:r w:rsidR="00503AC9">
        <w:rPr>
          <w:rFonts w:ascii="Times New Roman" w:eastAsia="MS Mincho" w:hAnsi="Times New Roman" w:cs="Times New Roman"/>
          <w:sz w:val="22"/>
          <w:szCs w:val="22"/>
          <w:lang w:val="en-GB" w:eastAsia="ja-JP"/>
        </w:rPr>
        <w:t xml:space="preserve">. </w:t>
      </w:r>
      <w:r w:rsidRPr="00647752">
        <w:rPr>
          <w:rFonts w:ascii="Times New Roman" w:eastAsia="MS Mincho" w:hAnsi="Times New Roman" w:cs="Times New Roman"/>
          <w:sz w:val="22"/>
          <w:szCs w:val="22"/>
          <w:lang w:val="en-GB" w:eastAsia="ja-JP"/>
        </w:rPr>
        <w:t xml:space="preserve">The database is widely used outside the judicial sector as well. For example, the Palestinian Maintenance Fund </w:t>
      </w:r>
      <w:r w:rsidR="005A6418">
        <w:rPr>
          <w:rFonts w:ascii="Times New Roman" w:eastAsia="MS Mincho" w:hAnsi="Times New Roman" w:cs="Times New Roman"/>
          <w:sz w:val="22"/>
          <w:szCs w:val="22"/>
          <w:lang w:val="en-GB" w:eastAsia="ja-JP"/>
        </w:rPr>
        <w:t xml:space="preserve">(PMF) now </w:t>
      </w:r>
      <w:r w:rsidRPr="00647752">
        <w:rPr>
          <w:rFonts w:ascii="Times New Roman" w:eastAsia="MS Mincho" w:hAnsi="Times New Roman" w:cs="Times New Roman"/>
          <w:sz w:val="22"/>
          <w:szCs w:val="22"/>
          <w:lang w:val="en-GB" w:eastAsia="ja-JP"/>
        </w:rPr>
        <w:t xml:space="preserve">uses the database to access cases and keep track of court decisions. </w:t>
      </w:r>
      <w:r w:rsidR="00503AC9">
        <w:rPr>
          <w:rFonts w:ascii="Times New Roman" w:eastAsia="MS Mincho" w:hAnsi="Times New Roman" w:cs="Times New Roman"/>
          <w:sz w:val="22"/>
          <w:szCs w:val="22"/>
          <w:lang w:val="en-GB" w:eastAsia="ja-JP"/>
        </w:rPr>
        <w:t>The court information p</w:t>
      </w:r>
      <w:r w:rsidRPr="00647752">
        <w:rPr>
          <w:rFonts w:ascii="Times New Roman" w:eastAsia="MS Mincho" w:hAnsi="Times New Roman" w:cs="Times New Roman"/>
          <w:sz w:val="22"/>
          <w:szCs w:val="22"/>
          <w:lang w:val="en-GB" w:eastAsia="ja-JP"/>
        </w:rPr>
        <w:t>oints established with UNDP support have resulted in alleviating the burden on judges and other court staff of supplyin</w:t>
      </w:r>
      <w:r w:rsidR="00503AC9">
        <w:rPr>
          <w:rFonts w:ascii="Times New Roman" w:eastAsia="MS Mincho" w:hAnsi="Times New Roman" w:cs="Times New Roman"/>
          <w:sz w:val="22"/>
          <w:szCs w:val="22"/>
          <w:lang w:val="en-GB" w:eastAsia="ja-JP"/>
        </w:rPr>
        <w:t>g information to the public.</w:t>
      </w:r>
    </w:p>
    <w:p w:rsidR="00053B6C" w:rsidRPr="00647752" w:rsidRDefault="00053B6C" w:rsidP="00FB6759">
      <w:pPr>
        <w:spacing w:after="0" w:line="240" w:lineRule="auto"/>
        <w:jc w:val="both"/>
        <w:rPr>
          <w:rFonts w:ascii="Times New Roman" w:eastAsia="MS Mincho" w:hAnsi="Times New Roman" w:cs="Times New Roman"/>
          <w:sz w:val="22"/>
          <w:szCs w:val="22"/>
          <w:highlight w:val="yellow"/>
          <w:lang w:val="en-GB" w:eastAsia="ja-JP"/>
        </w:rPr>
      </w:pP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The PNA and its citizens remain severely challenged</w:t>
      </w:r>
      <w:r w:rsidR="00503AC9">
        <w:rPr>
          <w:rFonts w:ascii="Times New Roman" w:eastAsia="MS Mincho" w:hAnsi="Times New Roman" w:cs="Times New Roman"/>
          <w:sz w:val="22"/>
          <w:szCs w:val="22"/>
          <w:lang w:val="en-GB" w:eastAsia="ja-JP"/>
        </w:rPr>
        <w:t xml:space="preserve"> by the effects of the Israeli occupation. </w:t>
      </w:r>
      <w:r w:rsidRPr="00647752">
        <w:rPr>
          <w:rFonts w:ascii="Times New Roman" w:eastAsia="MS Mincho" w:hAnsi="Times New Roman" w:cs="Times New Roman"/>
          <w:sz w:val="22"/>
          <w:szCs w:val="22"/>
          <w:lang w:val="en-GB" w:eastAsia="ja-JP"/>
        </w:rPr>
        <w:t>A lack of access to Area C by the P</w:t>
      </w:r>
      <w:r w:rsidR="00503AC9">
        <w:rPr>
          <w:rFonts w:ascii="Times New Roman" w:eastAsia="MS Mincho" w:hAnsi="Times New Roman" w:cs="Times New Roman"/>
          <w:sz w:val="22"/>
          <w:szCs w:val="22"/>
          <w:lang w:val="en-GB" w:eastAsia="ja-JP"/>
        </w:rPr>
        <w:t xml:space="preserve">NA and its courts - </w:t>
      </w:r>
      <w:r w:rsidRPr="00647752">
        <w:rPr>
          <w:rFonts w:ascii="Times New Roman" w:eastAsia="MS Mincho" w:hAnsi="Times New Roman" w:cs="Times New Roman"/>
          <w:sz w:val="22"/>
          <w:szCs w:val="22"/>
          <w:lang w:val="en-GB" w:eastAsia="ja-JP"/>
        </w:rPr>
        <w:t xml:space="preserve">despite the fact that they </w:t>
      </w:r>
      <w:r w:rsidR="00503AC9">
        <w:rPr>
          <w:rFonts w:ascii="Times New Roman" w:eastAsia="MS Mincho" w:hAnsi="Times New Roman" w:cs="Times New Roman"/>
          <w:sz w:val="22"/>
          <w:szCs w:val="22"/>
          <w:lang w:val="en-GB" w:eastAsia="ja-JP"/>
        </w:rPr>
        <w:t xml:space="preserve">have jurisdiction for this area - </w:t>
      </w:r>
      <w:r w:rsidRPr="00647752">
        <w:rPr>
          <w:rFonts w:ascii="Times New Roman" w:eastAsia="MS Mincho" w:hAnsi="Times New Roman" w:cs="Times New Roman"/>
          <w:sz w:val="22"/>
          <w:szCs w:val="22"/>
          <w:lang w:val="en-GB" w:eastAsia="ja-JP"/>
        </w:rPr>
        <w:t>is a fundamental barrier to acces</w:t>
      </w:r>
      <w:r w:rsidR="00503AC9">
        <w:rPr>
          <w:rFonts w:ascii="Times New Roman" w:eastAsia="MS Mincho" w:hAnsi="Times New Roman" w:cs="Times New Roman"/>
          <w:sz w:val="22"/>
          <w:szCs w:val="22"/>
          <w:lang w:val="en-GB" w:eastAsia="ja-JP"/>
        </w:rPr>
        <w:t xml:space="preserve">s to justice for Palestinians. </w:t>
      </w:r>
      <w:r w:rsidRPr="00647752">
        <w:rPr>
          <w:rFonts w:ascii="Times New Roman" w:eastAsia="MS Mincho" w:hAnsi="Times New Roman" w:cs="Times New Roman"/>
          <w:sz w:val="22"/>
          <w:szCs w:val="22"/>
          <w:lang w:val="en-GB" w:eastAsia="ja-JP"/>
        </w:rPr>
        <w:t>Beyond this it rises to the level of a violation of Annex 4 of the Oslo Accords. While to date UNDP has addressed the issue of lack of access to Area C via its support to civil society and advocacy, more could be done to support the PNA to expose the injustices of this</w:t>
      </w:r>
      <w:r w:rsidR="00503AC9">
        <w:rPr>
          <w:rFonts w:ascii="Times New Roman" w:eastAsia="MS Mincho" w:hAnsi="Times New Roman" w:cs="Times New Roman"/>
          <w:sz w:val="22"/>
          <w:szCs w:val="22"/>
          <w:lang w:val="en-GB" w:eastAsia="ja-JP"/>
        </w:rPr>
        <w:t xml:space="preserve"> situation and capacitate the MO</w:t>
      </w:r>
      <w:r w:rsidRPr="00647752">
        <w:rPr>
          <w:rFonts w:ascii="Times New Roman" w:eastAsia="MS Mincho" w:hAnsi="Times New Roman" w:cs="Times New Roman"/>
          <w:sz w:val="22"/>
          <w:szCs w:val="22"/>
          <w:lang w:val="en-GB" w:eastAsia="ja-JP"/>
        </w:rPr>
        <w:t xml:space="preserve">J and </w:t>
      </w:r>
      <w:r w:rsidR="00503AC9">
        <w:rPr>
          <w:rFonts w:ascii="Times New Roman" w:eastAsia="MS Mincho" w:hAnsi="Times New Roman" w:cs="Times New Roman"/>
          <w:sz w:val="22"/>
          <w:szCs w:val="22"/>
          <w:lang w:val="en-GB" w:eastAsia="ja-JP"/>
        </w:rPr>
        <w:t xml:space="preserve">the </w:t>
      </w:r>
      <w:r w:rsidRPr="00647752">
        <w:rPr>
          <w:rFonts w:ascii="Times New Roman" w:eastAsia="MS Mincho" w:hAnsi="Times New Roman" w:cs="Times New Roman"/>
          <w:sz w:val="22"/>
          <w:szCs w:val="22"/>
          <w:lang w:val="en-GB" w:eastAsia="ja-JP"/>
        </w:rPr>
        <w:t>HJC to advocate for change directly with the Israel</w:t>
      </w:r>
      <w:r w:rsidR="00503AC9">
        <w:rPr>
          <w:rFonts w:ascii="Times New Roman" w:eastAsia="MS Mincho" w:hAnsi="Times New Roman" w:cs="Times New Roman"/>
          <w:sz w:val="22"/>
          <w:szCs w:val="22"/>
          <w:lang w:val="en-GB" w:eastAsia="ja-JP"/>
        </w:rPr>
        <w:t>i government</w:t>
      </w:r>
      <w:r w:rsidRPr="00647752">
        <w:rPr>
          <w:rFonts w:ascii="Times New Roman" w:eastAsia="MS Mincho" w:hAnsi="Times New Roman" w:cs="Times New Roman"/>
          <w:sz w:val="22"/>
          <w:szCs w:val="22"/>
          <w:lang w:val="en-GB" w:eastAsia="ja-JP"/>
        </w:rPr>
        <w:t xml:space="preserve"> in this re</w:t>
      </w:r>
      <w:r w:rsidR="00503AC9">
        <w:rPr>
          <w:rFonts w:ascii="Times New Roman" w:eastAsia="MS Mincho" w:hAnsi="Times New Roman" w:cs="Times New Roman"/>
          <w:sz w:val="22"/>
          <w:szCs w:val="22"/>
          <w:lang w:val="en-GB" w:eastAsia="ja-JP"/>
        </w:rPr>
        <w:t xml:space="preserve">gard. </w:t>
      </w:r>
      <w:r w:rsidRPr="00647752">
        <w:rPr>
          <w:rFonts w:ascii="Times New Roman" w:eastAsia="MS Mincho" w:hAnsi="Times New Roman" w:cs="Times New Roman"/>
          <w:sz w:val="22"/>
          <w:szCs w:val="22"/>
          <w:lang w:val="en-GB" w:eastAsia="ja-JP"/>
        </w:rPr>
        <w:t>In general, UNDP support to Area C and East Jerusalem across all facets of the programme should expand in the future in order to mee</w:t>
      </w:r>
      <w:r w:rsidR="00503AC9">
        <w:rPr>
          <w:rFonts w:ascii="Times New Roman" w:eastAsia="MS Mincho" w:hAnsi="Times New Roman" w:cs="Times New Roman"/>
          <w:sz w:val="22"/>
          <w:szCs w:val="22"/>
          <w:lang w:val="en-GB" w:eastAsia="ja-JP"/>
        </w:rPr>
        <w:t xml:space="preserve">t unmet needs in those areas. </w:t>
      </w:r>
      <w:r w:rsidRPr="00647752">
        <w:rPr>
          <w:rFonts w:ascii="Times New Roman" w:eastAsia="MS Mincho" w:hAnsi="Times New Roman" w:cs="Times New Roman"/>
          <w:sz w:val="22"/>
          <w:szCs w:val="22"/>
          <w:lang w:val="en-GB" w:eastAsia="ja-JP"/>
        </w:rPr>
        <w:t xml:space="preserve">Such </w:t>
      </w:r>
      <w:r w:rsidR="00BB6DFE" w:rsidRPr="00647752">
        <w:rPr>
          <w:rFonts w:ascii="Times New Roman" w:eastAsia="MS Mincho" w:hAnsi="Times New Roman" w:cs="Times New Roman"/>
          <w:sz w:val="22"/>
          <w:szCs w:val="22"/>
          <w:lang w:val="en-GB" w:eastAsia="ja-JP"/>
        </w:rPr>
        <w:t>initiatives</w:t>
      </w:r>
      <w:r w:rsidRPr="00647752">
        <w:rPr>
          <w:rFonts w:ascii="Times New Roman" w:eastAsia="MS Mincho" w:hAnsi="Times New Roman" w:cs="Times New Roman"/>
          <w:sz w:val="22"/>
          <w:szCs w:val="22"/>
          <w:lang w:val="en-GB" w:eastAsia="ja-JP"/>
        </w:rPr>
        <w:t xml:space="preserve"> should be both CSO and justice institution-led.</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p>
    <w:p w:rsidR="00EB4724"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 xml:space="preserve">UNDP should also increase focus upon the </w:t>
      </w:r>
      <w:r w:rsidR="006C09E5">
        <w:rPr>
          <w:rFonts w:ascii="Times New Roman" w:eastAsia="MS Mincho" w:hAnsi="Times New Roman" w:cs="Times New Roman"/>
          <w:i/>
          <w:sz w:val="22"/>
          <w:szCs w:val="22"/>
          <w:lang w:val="en-GB" w:eastAsia="ja-JP"/>
        </w:rPr>
        <w:t>s</w:t>
      </w:r>
      <w:r w:rsidRPr="006C09E5">
        <w:rPr>
          <w:rFonts w:ascii="Times New Roman" w:eastAsia="MS Mincho" w:hAnsi="Times New Roman" w:cs="Times New Roman"/>
          <w:i/>
          <w:sz w:val="22"/>
          <w:szCs w:val="22"/>
          <w:lang w:val="en-GB" w:eastAsia="ja-JP"/>
        </w:rPr>
        <w:t>hari’a</w:t>
      </w:r>
      <w:r w:rsidR="006C09E5">
        <w:rPr>
          <w:rFonts w:ascii="Times New Roman" w:eastAsia="MS Mincho" w:hAnsi="Times New Roman" w:cs="Times New Roman"/>
          <w:sz w:val="22"/>
          <w:szCs w:val="22"/>
          <w:lang w:val="en-GB" w:eastAsia="ja-JP"/>
        </w:rPr>
        <w:t xml:space="preserve"> c</w:t>
      </w:r>
      <w:r w:rsidRPr="00647752">
        <w:rPr>
          <w:rFonts w:ascii="Times New Roman" w:eastAsia="MS Mincho" w:hAnsi="Times New Roman" w:cs="Times New Roman"/>
          <w:sz w:val="22"/>
          <w:szCs w:val="22"/>
          <w:lang w:val="en-GB" w:eastAsia="ja-JP"/>
        </w:rPr>
        <w:t>ourts</w:t>
      </w:r>
      <w:r w:rsidR="00BB6DFE" w:rsidRPr="00647752">
        <w:rPr>
          <w:rFonts w:ascii="Times New Roman" w:eastAsia="MS Mincho" w:hAnsi="Times New Roman" w:cs="Times New Roman"/>
          <w:sz w:val="22"/>
          <w:szCs w:val="22"/>
          <w:lang w:val="en-GB" w:eastAsia="ja-JP"/>
        </w:rPr>
        <w:t xml:space="preserve"> going forward</w:t>
      </w:r>
      <w:r w:rsidRPr="00647752">
        <w:rPr>
          <w:rFonts w:ascii="Times New Roman" w:eastAsia="MS Mincho" w:hAnsi="Times New Roman" w:cs="Times New Roman"/>
          <w:sz w:val="22"/>
          <w:szCs w:val="22"/>
          <w:lang w:val="en-GB" w:eastAsia="ja-JP"/>
        </w:rPr>
        <w:t xml:space="preserve">. UNDP programmed only indirectly with the </w:t>
      </w:r>
      <w:r w:rsidR="006C09E5">
        <w:rPr>
          <w:rFonts w:ascii="Times New Roman" w:eastAsia="MS Mincho" w:hAnsi="Times New Roman" w:cs="Times New Roman"/>
          <w:i/>
          <w:sz w:val="22"/>
          <w:szCs w:val="22"/>
          <w:lang w:val="en-GB" w:eastAsia="ja-JP"/>
        </w:rPr>
        <w:t>s</w:t>
      </w:r>
      <w:r w:rsidRPr="006C09E5">
        <w:rPr>
          <w:rFonts w:ascii="Times New Roman" w:eastAsia="MS Mincho" w:hAnsi="Times New Roman" w:cs="Times New Roman"/>
          <w:i/>
          <w:sz w:val="22"/>
          <w:szCs w:val="22"/>
          <w:lang w:val="en-GB" w:eastAsia="ja-JP"/>
        </w:rPr>
        <w:t>hari’a</w:t>
      </w:r>
      <w:r w:rsidR="00227679">
        <w:rPr>
          <w:rFonts w:ascii="Times New Roman" w:eastAsia="MS Mincho" w:hAnsi="Times New Roman" w:cs="Times New Roman"/>
          <w:i/>
          <w:sz w:val="22"/>
          <w:szCs w:val="22"/>
          <w:lang w:val="en-GB" w:eastAsia="ja-JP"/>
        </w:rPr>
        <w:t xml:space="preserve"> </w:t>
      </w:r>
      <w:r w:rsidR="005A6418">
        <w:rPr>
          <w:rFonts w:ascii="Times New Roman" w:eastAsia="MS Mincho" w:hAnsi="Times New Roman" w:cs="Times New Roman"/>
          <w:sz w:val="22"/>
          <w:szCs w:val="22"/>
          <w:lang w:val="en-GB" w:eastAsia="ja-JP"/>
        </w:rPr>
        <w:t>courts during the first phase of the programme</w:t>
      </w:r>
      <w:r w:rsidR="006C09E5">
        <w:rPr>
          <w:rFonts w:ascii="Times New Roman" w:eastAsia="MS Mincho" w:hAnsi="Times New Roman" w:cs="Times New Roman"/>
          <w:sz w:val="22"/>
          <w:szCs w:val="22"/>
          <w:lang w:val="en-GB" w:eastAsia="ja-JP"/>
        </w:rPr>
        <w:t xml:space="preserve">. The </w:t>
      </w:r>
      <w:r w:rsidR="006C09E5">
        <w:rPr>
          <w:rFonts w:ascii="Times New Roman" w:eastAsia="MS Mincho" w:hAnsi="Times New Roman" w:cs="Times New Roman"/>
          <w:i/>
          <w:sz w:val="22"/>
          <w:szCs w:val="22"/>
          <w:lang w:val="en-GB" w:eastAsia="ja-JP"/>
        </w:rPr>
        <w:t>s</w:t>
      </w:r>
      <w:r w:rsidR="006C09E5" w:rsidRPr="006C09E5">
        <w:rPr>
          <w:rFonts w:ascii="Times New Roman" w:eastAsia="MS Mincho" w:hAnsi="Times New Roman" w:cs="Times New Roman"/>
          <w:i/>
          <w:sz w:val="22"/>
          <w:szCs w:val="22"/>
          <w:lang w:val="en-GB" w:eastAsia="ja-JP"/>
        </w:rPr>
        <w:t>hari’a</w:t>
      </w:r>
      <w:r w:rsidR="006C09E5">
        <w:rPr>
          <w:rFonts w:ascii="Times New Roman" w:eastAsia="MS Mincho" w:hAnsi="Times New Roman" w:cs="Times New Roman"/>
          <w:sz w:val="22"/>
          <w:szCs w:val="22"/>
          <w:lang w:val="en-GB" w:eastAsia="ja-JP"/>
        </w:rPr>
        <w:t xml:space="preserve"> c</w:t>
      </w:r>
      <w:r w:rsidRPr="00647752">
        <w:rPr>
          <w:rFonts w:ascii="Times New Roman" w:eastAsia="MS Mincho" w:hAnsi="Times New Roman" w:cs="Times New Roman"/>
          <w:sz w:val="22"/>
          <w:szCs w:val="22"/>
          <w:lang w:val="en-GB" w:eastAsia="ja-JP"/>
        </w:rPr>
        <w:t xml:space="preserve">ourts play a disproportionately important vital role in the lives of women, children and orphans. A </w:t>
      </w:r>
      <w:r w:rsidR="00BB6DFE" w:rsidRPr="00647752">
        <w:rPr>
          <w:rFonts w:ascii="Times New Roman" w:eastAsia="MS Mincho" w:hAnsi="Times New Roman" w:cs="Times New Roman"/>
          <w:sz w:val="22"/>
          <w:szCs w:val="22"/>
          <w:lang w:val="en-GB" w:eastAsia="ja-JP"/>
        </w:rPr>
        <w:t xml:space="preserve">recent </w:t>
      </w:r>
      <w:r w:rsidRPr="00647752">
        <w:rPr>
          <w:rFonts w:ascii="Times New Roman" w:eastAsia="MS Mincho" w:hAnsi="Times New Roman" w:cs="Times New Roman"/>
          <w:sz w:val="22"/>
          <w:szCs w:val="22"/>
          <w:lang w:val="en-GB" w:eastAsia="ja-JP"/>
        </w:rPr>
        <w:t>UNDP support</w:t>
      </w:r>
      <w:r w:rsidR="00EB4724">
        <w:rPr>
          <w:rFonts w:ascii="Times New Roman" w:eastAsia="MS Mincho" w:hAnsi="Times New Roman" w:cs="Times New Roman"/>
          <w:sz w:val="22"/>
          <w:szCs w:val="22"/>
          <w:lang w:val="en-GB" w:eastAsia="ja-JP"/>
        </w:rPr>
        <w:t>ed conference organis</w:t>
      </w:r>
      <w:r w:rsidR="006C09E5">
        <w:rPr>
          <w:rFonts w:ascii="Times New Roman" w:eastAsia="MS Mincho" w:hAnsi="Times New Roman" w:cs="Times New Roman"/>
          <w:sz w:val="22"/>
          <w:szCs w:val="22"/>
          <w:lang w:val="en-GB" w:eastAsia="ja-JP"/>
        </w:rPr>
        <w:t>ed by Birz</w:t>
      </w:r>
      <w:r w:rsidRPr="00647752">
        <w:rPr>
          <w:rFonts w:ascii="Times New Roman" w:eastAsia="MS Mincho" w:hAnsi="Times New Roman" w:cs="Times New Roman"/>
          <w:sz w:val="22"/>
          <w:szCs w:val="22"/>
          <w:lang w:val="en-GB" w:eastAsia="ja-JP"/>
        </w:rPr>
        <w:t xml:space="preserve">eit University was directly influential on the </w:t>
      </w:r>
      <w:r w:rsidR="005A6418">
        <w:rPr>
          <w:rFonts w:ascii="Times New Roman" w:eastAsia="MS Mincho" w:hAnsi="Times New Roman" w:cs="Times New Roman"/>
          <w:i/>
          <w:sz w:val="22"/>
          <w:szCs w:val="22"/>
          <w:lang w:val="en-GB" w:eastAsia="ja-JP"/>
        </w:rPr>
        <w:t>s</w:t>
      </w:r>
      <w:r w:rsidR="00EB4724">
        <w:rPr>
          <w:rFonts w:ascii="Times New Roman" w:eastAsia="MS Mincho" w:hAnsi="Times New Roman" w:cs="Times New Roman"/>
          <w:i/>
          <w:sz w:val="22"/>
          <w:szCs w:val="22"/>
          <w:lang w:val="en-GB" w:eastAsia="ja-JP"/>
        </w:rPr>
        <w:t>ha</w:t>
      </w:r>
      <w:r w:rsidRPr="006C09E5">
        <w:rPr>
          <w:rFonts w:ascii="Times New Roman" w:eastAsia="MS Mincho" w:hAnsi="Times New Roman" w:cs="Times New Roman"/>
          <w:i/>
          <w:sz w:val="22"/>
          <w:szCs w:val="22"/>
          <w:lang w:val="en-GB" w:eastAsia="ja-JP"/>
        </w:rPr>
        <w:t>r</w:t>
      </w:r>
      <w:r w:rsidR="00EB4724">
        <w:rPr>
          <w:rFonts w:ascii="Times New Roman" w:eastAsia="MS Mincho" w:hAnsi="Times New Roman" w:cs="Times New Roman"/>
          <w:i/>
          <w:sz w:val="22"/>
          <w:szCs w:val="22"/>
          <w:lang w:val="en-GB" w:eastAsia="ja-JP"/>
        </w:rPr>
        <w:t>i</w:t>
      </w:r>
      <w:r w:rsidRPr="006C09E5">
        <w:rPr>
          <w:rFonts w:ascii="Times New Roman" w:eastAsia="MS Mincho" w:hAnsi="Times New Roman" w:cs="Times New Roman"/>
          <w:i/>
          <w:sz w:val="22"/>
          <w:szCs w:val="22"/>
          <w:lang w:val="en-GB" w:eastAsia="ja-JP"/>
        </w:rPr>
        <w:t>’a</w:t>
      </w:r>
      <w:r w:rsidR="005A6418">
        <w:rPr>
          <w:rFonts w:ascii="Times New Roman" w:eastAsia="MS Mincho" w:hAnsi="Times New Roman" w:cs="Times New Roman"/>
          <w:sz w:val="22"/>
          <w:szCs w:val="22"/>
          <w:lang w:val="en-GB" w:eastAsia="ja-JP"/>
        </w:rPr>
        <w:t xml:space="preserve"> courts’</w:t>
      </w:r>
      <w:r w:rsidRPr="00647752">
        <w:rPr>
          <w:rFonts w:ascii="Times New Roman" w:eastAsia="MS Mincho" w:hAnsi="Times New Roman" w:cs="Times New Roman"/>
          <w:sz w:val="22"/>
          <w:szCs w:val="22"/>
          <w:lang w:val="en-GB" w:eastAsia="ja-JP"/>
        </w:rPr>
        <w:t xml:space="preserve"> decision to issue changes on the interpretation of </w:t>
      </w:r>
      <w:r w:rsidR="00EB4724">
        <w:rPr>
          <w:rFonts w:ascii="Times New Roman" w:eastAsia="MS Mincho" w:hAnsi="Times New Roman" w:cs="Times New Roman"/>
          <w:i/>
          <w:sz w:val="22"/>
          <w:szCs w:val="22"/>
          <w:lang w:val="en-GB" w:eastAsia="ja-JP"/>
        </w:rPr>
        <w:t>s</w:t>
      </w:r>
      <w:r w:rsidRPr="006C09E5">
        <w:rPr>
          <w:rFonts w:ascii="Times New Roman" w:eastAsia="MS Mincho" w:hAnsi="Times New Roman" w:cs="Times New Roman"/>
          <w:i/>
          <w:sz w:val="22"/>
          <w:szCs w:val="22"/>
          <w:lang w:val="en-GB" w:eastAsia="ja-JP"/>
        </w:rPr>
        <w:t>hari’a</w:t>
      </w:r>
      <w:r w:rsidRPr="00647752">
        <w:rPr>
          <w:rFonts w:ascii="Times New Roman" w:eastAsia="MS Mincho" w:hAnsi="Times New Roman" w:cs="Times New Roman"/>
          <w:sz w:val="22"/>
          <w:szCs w:val="22"/>
          <w:lang w:val="en-GB" w:eastAsia="ja-JP"/>
        </w:rPr>
        <w:t xml:space="preserve"> law in </w:t>
      </w:r>
      <w:r w:rsidR="006C09E5">
        <w:rPr>
          <w:rFonts w:ascii="Times New Roman" w:eastAsia="MS Mincho" w:hAnsi="Times New Roman" w:cs="Times New Roman"/>
          <w:sz w:val="22"/>
          <w:szCs w:val="22"/>
          <w:lang w:val="en-GB" w:eastAsia="ja-JP"/>
        </w:rPr>
        <w:t xml:space="preserve">the </w:t>
      </w:r>
      <w:r w:rsidRPr="00647752">
        <w:rPr>
          <w:rFonts w:ascii="Times New Roman" w:eastAsia="MS Mincho" w:hAnsi="Times New Roman" w:cs="Times New Roman"/>
          <w:sz w:val="22"/>
          <w:szCs w:val="22"/>
          <w:lang w:val="en-GB" w:eastAsia="ja-JP"/>
        </w:rPr>
        <w:t>oPt (</w:t>
      </w:r>
      <w:r w:rsidR="005A6418">
        <w:rPr>
          <w:rFonts w:ascii="Times New Roman" w:eastAsia="MS Mincho" w:hAnsi="Times New Roman" w:cs="Times New Roman"/>
          <w:sz w:val="22"/>
          <w:szCs w:val="22"/>
          <w:lang w:val="en-GB" w:eastAsia="ja-JP"/>
        </w:rPr>
        <w:t>i.e. on women’s inheritance)</w:t>
      </w:r>
      <w:r w:rsidR="00EB4724">
        <w:rPr>
          <w:rFonts w:ascii="Times New Roman" w:eastAsia="MS Mincho" w:hAnsi="Times New Roman" w:cs="Times New Roman"/>
          <w:sz w:val="22"/>
          <w:szCs w:val="22"/>
          <w:lang w:val="en-GB" w:eastAsia="ja-JP"/>
        </w:rPr>
        <w:t>.</w:t>
      </w:r>
    </w:p>
    <w:p w:rsidR="00EB4724" w:rsidRDefault="00EB4724" w:rsidP="00FB6759">
      <w:pPr>
        <w:spacing w:after="0" w:line="240" w:lineRule="auto"/>
        <w:jc w:val="both"/>
        <w:rPr>
          <w:rFonts w:ascii="Times New Roman" w:eastAsia="MS Mincho" w:hAnsi="Times New Roman" w:cs="Times New Roman"/>
          <w:sz w:val="22"/>
          <w:szCs w:val="22"/>
          <w:lang w:val="en-GB" w:eastAsia="ja-JP"/>
        </w:rPr>
      </w:pPr>
    </w:p>
    <w:p w:rsidR="00053B6C"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The volume of</w:t>
      </w:r>
      <w:r w:rsidR="00EB4724">
        <w:rPr>
          <w:rFonts w:ascii="Times New Roman" w:eastAsia="MS Mincho" w:hAnsi="Times New Roman" w:cs="Times New Roman"/>
          <w:sz w:val="22"/>
          <w:szCs w:val="22"/>
          <w:lang w:val="en-GB" w:eastAsia="ja-JP"/>
        </w:rPr>
        <w:t xml:space="preserve"> cases in the civil and </w:t>
      </w:r>
      <w:r w:rsidR="00EB4724" w:rsidRPr="00EB4724">
        <w:rPr>
          <w:rFonts w:ascii="Times New Roman" w:eastAsia="MS Mincho" w:hAnsi="Times New Roman" w:cs="Times New Roman"/>
          <w:i/>
          <w:sz w:val="22"/>
          <w:szCs w:val="22"/>
          <w:lang w:val="en-GB" w:eastAsia="ja-JP"/>
        </w:rPr>
        <w:t>s</w:t>
      </w:r>
      <w:r w:rsidRPr="00EB4724">
        <w:rPr>
          <w:rFonts w:ascii="Times New Roman" w:eastAsia="MS Mincho" w:hAnsi="Times New Roman" w:cs="Times New Roman"/>
          <w:i/>
          <w:sz w:val="22"/>
          <w:szCs w:val="22"/>
          <w:lang w:val="en-GB" w:eastAsia="ja-JP"/>
        </w:rPr>
        <w:t>hari’a</w:t>
      </w:r>
      <w:r w:rsidR="00227679">
        <w:rPr>
          <w:rFonts w:ascii="Times New Roman" w:eastAsia="MS Mincho" w:hAnsi="Times New Roman" w:cs="Times New Roman"/>
          <w:i/>
          <w:sz w:val="22"/>
          <w:szCs w:val="22"/>
          <w:lang w:val="en-GB" w:eastAsia="ja-JP"/>
        </w:rPr>
        <w:t xml:space="preserve"> </w:t>
      </w:r>
      <w:r w:rsidR="005A6418">
        <w:rPr>
          <w:rFonts w:ascii="Times New Roman" w:eastAsia="MS Mincho" w:hAnsi="Times New Roman" w:cs="Times New Roman"/>
          <w:sz w:val="22"/>
          <w:szCs w:val="22"/>
          <w:lang w:val="en-GB" w:eastAsia="ja-JP"/>
        </w:rPr>
        <w:t xml:space="preserve">courts </w:t>
      </w:r>
      <w:r w:rsidRPr="00647752">
        <w:rPr>
          <w:rFonts w:ascii="Times New Roman" w:eastAsia="MS Mincho" w:hAnsi="Times New Roman" w:cs="Times New Roman"/>
          <w:sz w:val="22"/>
          <w:szCs w:val="22"/>
          <w:lang w:val="en-GB" w:eastAsia="ja-JP"/>
        </w:rPr>
        <w:t>has grown dramatically over the past four years (which in and of itself is evidence that citizens are having a greater le</w:t>
      </w:r>
      <w:r w:rsidR="00EB4724">
        <w:rPr>
          <w:rFonts w:ascii="Times New Roman" w:eastAsia="MS Mincho" w:hAnsi="Times New Roman" w:cs="Times New Roman"/>
          <w:sz w:val="22"/>
          <w:szCs w:val="22"/>
          <w:lang w:val="en-GB" w:eastAsia="ja-JP"/>
        </w:rPr>
        <w:t xml:space="preserve">vel of trust in the court system - </w:t>
      </w:r>
      <w:r w:rsidRPr="00647752">
        <w:rPr>
          <w:rFonts w:ascii="Times New Roman" w:eastAsia="MS Mincho" w:hAnsi="Times New Roman" w:cs="Times New Roman"/>
          <w:sz w:val="22"/>
          <w:szCs w:val="22"/>
          <w:lang w:val="en-GB" w:eastAsia="ja-JP"/>
        </w:rPr>
        <w:t>something for whi</w:t>
      </w:r>
      <w:r w:rsidR="00EB4724">
        <w:rPr>
          <w:rFonts w:ascii="Times New Roman" w:eastAsia="MS Mincho" w:hAnsi="Times New Roman" w:cs="Times New Roman"/>
          <w:sz w:val="22"/>
          <w:szCs w:val="22"/>
          <w:lang w:val="en-GB" w:eastAsia="ja-JP"/>
        </w:rPr>
        <w:t xml:space="preserve">ch UNDP can take some credit). </w:t>
      </w:r>
      <w:r w:rsidRPr="00647752">
        <w:rPr>
          <w:rFonts w:ascii="Times New Roman" w:eastAsia="MS Mincho" w:hAnsi="Times New Roman" w:cs="Times New Roman"/>
          <w:sz w:val="22"/>
          <w:szCs w:val="22"/>
          <w:lang w:val="en-GB" w:eastAsia="ja-JP"/>
        </w:rPr>
        <w:t xml:space="preserve">But the increased caseload has compounded an already inefficient system of enforcement and execution of judgments in </w:t>
      </w:r>
      <w:r w:rsidR="00EB4724">
        <w:rPr>
          <w:rFonts w:ascii="Times New Roman" w:eastAsia="MS Mincho" w:hAnsi="Times New Roman" w:cs="Times New Roman"/>
          <w:sz w:val="22"/>
          <w:szCs w:val="22"/>
          <w:lang w:val="en-GB" w:eastAsia="ja-JP"/>
        </w:rPr>
        <w:t>the oPt.</w:t>
      </w:r>
      <w:r w:rsidR="00227679">
        <w:rPr>
          <w:rFonts w:ascii="Times New Roman" w:eastAsia="MS Mincho" w:hAnsi="Times New Roman" w:cs="Times New Roman"/>
          <w:sz w:val="22"/>
          <w:szCs w:val="22"/>
          <w:lang w:val="en-GB" w:eastAsia="ja-JP"/>
        </w:rPr>
        <w:t xml:space="preserve"> </w:t>
      </w:r>
      <w:r w:rsidRPr="00EB4724">
        <w:rPr>
          <w:rFonts w:ascii="Times New Roman" w:eastAsia="MS Mincho" w:hAnsi="Times New Roman" w:cs="Times New Roman"/>
          <w:i/>
          <w:sz w:val="22"/>
          <w:szCs w:val="22"/>
          <w:lang w:val="en-GB" w:eastAsia="ja-JP"/>
        </w:rPr>
        <w:t>Shari’a</w:t>
      </w:r>
      <w:r w:rsidRPr="00647752">
        <w:rPr>
          <w:rFonts w:ascii="Times New Roman" w:eastAsia="MS Mincho" w:hAnsi="Times New Roman" w:cs="Times New Roman"/>
          <w:sz w:val="22"/>
          <w:szCs w:val="22"/>
          <w:lang w:val="en-GB" w:eastAsia="ja-JP"/>
        </w:rPr>
        <w:t xml:space="preserve"> courts currently lack any enforcement capabilities of their own and this is one area that UNDP</w:t>
      </w:r>
      <w:r w:rsidR="00BB6DFE" w:rsidRPr="00647752">
        <w:rPr>
          <w:rFonts w:ascii="Times New Roman" w:eastAsia="MS Mincho" w:hAnsi="Times New Roman" w:cs="Times New Roman"/>
          <w:sz w:val="22"/>
          <w:szCs w:val="22"/>
          <w:lang w:val="en-GB" w:eastAsia="ja-JP"/>
        </w:rPr>
        <w:t xml:space="preserve"> and its donors</w:t>
      </w:r>
      <w:r w:rsidRPr="00647752">
        <w:rPr>
          <w:rFonts w:ascii="Times New Roman" w:eastAsia="MS Mincho" w:hAnsi="Times New Roman" w:cs="Times New Roman"/>
          <w:sz w:val="22"/>
          <w:szCs w:val="22"/>
          <w:lang w:val="en-GB" w:eastAsia="ja-JP"/>
        </w:rPr>
        <w:t xml:space="preserve"> should </w:t>
      </w:r>
      <w:r w:rsidR="00BB6DFE" w:rsidRPr="00647752">
        <w:rPr>
          <w:rFonts w:ascii="Times New Roman" w:eastAsia="MS Mincho" w:hAnsi="Times New Roman" w:cs="Times New Roman"/>
          <w:sz w:val="22"/>
          <w:szCs w:val="22"/>
          <w:lang w:val="en-GB" w:eastAsia="ja-JP"/>
        </w:rPr>
        <w:t xml:space="preserve">strongly consider </w:t>
      </w:r>
      <w:r w:rsidRPr="00647752">
        <w:rPr>
          <w:rFonts w:ascii="Times New Roman" w:eastAsia="MS Mincho" w:hAnsi="Times New Roman" w:cs="Times New Roman"/>
          <w:sz w:val="22"/>
          <w:szCs w:val="22"/>
          <w:lang w:val="en-GB" w:eastAsia="ja-JP"/>
        </w:rPr>
        <w:t>support</w:t>
      </w:r>
      <w:r w:rsidR="00BB6DFE" w:rsidRPr="00647752">
        <w:rPr>
          <w:rFonts w:ascii="Times New Roman" w:eastAsia="MS Mincho" w:hAnsi="Times New Roman" w:cs="Times New Roman"/>
          <w:sz w:val="22"/>
          <w:szCs w:val="22"/>
          <w:lang w:val="en-GB" w:eastAsia="ja-JP"/>
        </w:rPr>
        <w:t>ing</w:t>
      </w:r>
      <w:r w:rsidRPr="00647752">
        <w:rPr>
          <w:rFonts w:ascii="Times New Roman" w:eastAsia="MS Mincho" w:hAnsi="Times New Roman" w:cs="Times New Roman"/>
          <w:sz w:val="22"/>
          <w:szCs w:val="22"/>
          <w:lang w:val="en-GB" w:eastAsia="ja-JP"/>
        </w:rPr>
        <w:t>.</w:t>
      </w:r>
    </w:p>
    <w:p w:rsidR="000F4C24" w:rsidRPr="00647752" w:rsidRDefault="000F4C24"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 xml:space="preserve">While not formally </w:t>
      </w:r>
      <w:r w:rsidR="00EB4724">
        <w:rPr>
          <w:rFonts w:ascii="Times New Roman" w:eastAsia="MS Mincho" w:hAnsi="Times New Roman" w:cs="Times New Roman"/>
          <w:sz w:val="22"/>
          <w:szCs w:val="22"/>
          <w:lang w:val="en-GB" w:eastAsia="ja-JP"/>
        </w:rPr>
        <w:t>part of UNDP/PAPP’s Rule of Law &amp;</w:t>
      </w:r>
      <w:r w:rsidRPr="00647752">
        <w:rPr>
          <w:rFonts w:ascii="Times New Roman" w:eastAsia="MS Mincho" w:hAnsi="Times New Roman" w:cs="Times New Roman"/>
          <w:sz w:val="22"/>
          <w:szCs w:val="22"/>
          <w:lang w:val="en-GB" w:eastAsia="ja-JP"/>
        </w:rPr>
        <w:t xml:space="preserve"> Access to Justice Programme, UNDP’s support to the Palestinian Civil Police (PCP), </w:t>
      </w:r>
      <w:r w:rsidR="00EB4724">
        <w:rPr>
          <w:rFonts w:ascii="Times New Roman" w:eastAsia="MS Mincho" w:hAnsi="Times New Roman" w:cs="Times New Roman"/>
          <w:sz w:val="22"/>
          <w:szCs w:val="22"/>
          <w:lang w:val="en-GB" w:eastAsia="ja-JP"/>
        </w:rPr>
        <w:t xml:space="preserve">the </w:t>
      </w:r>
      <w:r w:rsidRPr="00647752">
        <w:rPr>
          <w:rFonts w:ascii="Times New Roman" w:eastAsia="MS Mincho" w:hAnsi="Times New Roman" w:cs="Times New Roman"/>
          <w:sz w:val="22"/>
          <w:szCs w:val="22"/>
          <w:lang w:val="en-GB" w:eastAsia="ja-JP"/>
        </w:rPr>
        <w:t>Palestinian Anti-Corruption Commission (</w:t>
      </w:r>
      <w:r w:rsidR="000F4C24">
        <w:rPr>
          <w:rFonts w:ascii="Times New Roman" w:eastAsia="MS Mincho" w:hAnsi="Times New Roman" w:cs="Times New Roman"/>
          <w:sz w:val="22"/>
          <w:szCs w:val="22"/>
          <w:lang w:val="en-GB" w:eastAsia="ja-JP"/>
        </w:rPr>
        <w:t xml:space="preserve">PACC) </w:t>
      </w:r>
      <w:r w:rsidR="00EB4724">
        <w:rPr>
          <w:rFonts w:ascii="Times New Roman" w:eastAsia="MS Mincho" w:hAnsi="Times New Roman" w:cs="Times New Roman"/>
          <w:sz w:val="22"/>
          <w:szCs w:val="22"/>
          <w:lang w:val="en-GB" w:eastAsia="ja-JP"/>
        </w:rPr>
        <w:t>and</w:t>
      </w:r>
      <w:r w:rsidR="000F4C24">
        <w:rPr>
          <w:rFonts w:ascii="Times New Roman" w:eastAsia="MS Mincho" w:hAnsi="Times New Roman" w:cs="Times New Roman"/>
          <w:sz w:val="22"/>
          <w:szCs w:val="22"/>
          <w:lang w:val="en-GB" w:eastAsia="ja-JP"/>
        </w:rPr>
        <w:t xml:space="preserve"> the</w:t>
      </w:r>
      <w:r w:rsidR="00FD3C19">
        <w:rPr>
          <w:rFonts w:ascii="Times New Roman" w:eastAsia="MS Mincho" w:hAnsi="Times New Roman" w:cs="Times New Roman"/>
          <w:sz w:val="22"/>
          <w:szCs w:val="22"/>
          <w:lang w:val="en-GB" w:eastAsia="ja-JP"/>
        </w:rPr>
        <w:t xml:space="preserve"> </w:t>
      </w:r>
      <w:r w:rsidRPr="00647752">
        <w:rPr>
          <w:rFonts w:ascii="Times New Roman" w:eastAsia="MS Mincho" w:hAnsi="Times New Roman" w:cs="Times New Roman"/>
          <w:sz w:val="22"/>
          <w:szCs w:val="22"/>
          <w:lang w:val="en-GB" w:eastAsia="ja-JP"/>
        </w:rPr>
        <w:lastRenderedPageBreak/>
        <w:t>Corruption Crimes Court (CCC) via the UNDP/EUPOL COPPS Joint Programme is serving to close the loop in the criminal justice sector. The overall effort is to br</w:t>
      </w:r>
      <w:r w:rsidR="00EB4724">
        <w:rPr>
          <w:rFonts w:ascii="Times New Roman" w:eastAsia="MS Mincho" w:hAnsi="Times New Roman" w:cs="Times New Roman"/>
          <w:sz w:val="22"/>
          <w:szCs w:val="22"/>
          <w:lang w:val="en-GB" w:eastAsia="ja-JP"/>
        </w:rPr>
        <w:t>ing justice and security organis</w:t>
      </w:r>
      <w:r w:rsidRPr="00647752">
        <w:rPr>
          <w:rFonts w:ascii="Times New Roman" w:eastAsia="MS Mincho" w:hAnsi="Times New Roman" w:cs="Times New Roman"/>
          <w:sz w:val="22"/>
          <w:szCs w:val="22"/>
          <w:lang w:val="en-GB" w:eastAsia="ja-JP"/>
        </w:rPr>
        <w:t>ations together in the rule of law approach instead of a sector approach. UNDP’s expertise has been particularly valuable in</w:t>
      </w:r>
      <w:r w:rsidR="00EB4724">
        <w:rPr>
          <w:rFonts w:ascii="Times New Roman" w:eastAsia="MS Mincho" w:hAnsi="Times New Roman" w:cs="Times New Roman"/>
          <w:sz w:val="22"/>
          <w:szCs w:val="22"/>
          <w:lang w:val="en-GB" w:eastAsia="ja-JP"/>
        </w:rPr>
        <w:t xml:space="preserve"> the support of the PACC</w:t>
      </w:r>
      <w:r w:rsidR="000F4C24">
        <w:rPr>
          <w:rFonts w:ascii="Times New Roman" w:eastAsia="MS Mincho" w:hAnsi="Times New Roman" w:cs="Times New Roman"/>
          <w:sz w:val="22"/>
          <w:szCs w:val="22"/>
          <w:lang w:val="en-GB" w:eastAsia="ja-JP"/>
        </w:rPr>
        <w:t>/CCC</w:t>
      </w:r>
      <w:r w:rsidR="00EB4724">
        <w:rPr>
          <w:rFonts w:ascii="Times New Roman" w:eastAsia="MS Mincho" w:hAnsi="Times New Roman" w:cs="Times New Roman"/>
          <w:sz w:val="22"/>
          <w:szCs w:val="22"/>
          <w:lang w:val="en-GB" w:eastAsia="ja-JP"/>
        </w:rPr>
        <w:t xml:space="preserve">. </w:t>
      </w:r>
      <w:r w:rsidRPr="00647752">
        <w:rPr>
          <w:rFonts w:ascii="Times New Roman" w:eastAsia="MS Mincho" w:hAnsi="Times New Roman" w:cs="Times New Roman"/>
          <w:sz w:val="22"/>
          <w:szCs w:val="22"/>
          <w:lang w:val="en-GB" w:eastAsia="ja-JP"/>
        </w:rPr>
        <w:t xml:space="preserve">Going forward, UNDP should consider merging some elements of the </w:t>
      </w:r>
      <w:r w:rsidR="00EB4724">
        <w:rPr>
          <w:rFonts w:ascii="Times New Roman" w:eastAsia="MS Mincho" w:hAnsi="Times New Roman" w:cs="Times New Roman"/>
          <w:sz w:val="22"/>
          <w:szCs w:val="22"/>
          <w:lang w:val="en-GB" w:eastAsia="ja-JP"/>
        </w:rPr>
        <w:t>UNDP/EUPOL COPPS Joint P</w:t>
      </w:r>
      <w:r w:rsidRPr="00647752">
        <w:rPr>
          <w:rFonts w:ascii="Times New Roman" w:eastAsia="MS Mincho" w:hAnsi="Times New Roman" w:cs="Times New Roman"/>
          <w:sz w:val="22"/>
          <w:szCs w:val="22"/>
          <w:lang w:val="en-GB" w:eastAsia="ja-JP"/>
        </w:rPr>
        <w:t xml:space="preserve">rogramme with the </w:t>
      </w:r>
      <w:r w:rsidR="000F4C24">
        <w:rPr>
          <w:rFonts w:ascii="Times New Roman" w:eastAsia="MS Mincho" w:hAnsi="Times New Roman" w:cs="Times New Roman"/>
          <w:sz w:val="22"/>
          <w:szCs w:val="22"/>
          <w:lang w:val="en-GB" w:eastAsia="ja-JP"/>
        </w:rPr>
        <w:t xml:space="preserve">larger </w:t>
      </w:r>
      <w:r w:rsidRPr="00647752">
        <w:rPr>
          <w:rFonts w:ascii="Times New Roman" w:eastAsia="MS Mincho" w:hAnsi="Times New Roman" w:cs="Times New Roman"/>
          <w:sz w:val="22"/>
          <w:szCs w:val="22"/>
          <w:lang w:val="en-GB" w:eastAsia="ja-JP"/>
        </w:rPr>
        <w:t xml:space="preserve">UNDP </w:t>
      </w:r>
      <w:r w:rsidR="00EB4724">
        <w:rPr>
          <w:rFonts w:ascii="Times New Roman" w:eastAsia="MS Mincho" w:hAnsi="Times New Roman" w:cs="Times New Roman"/>
          <w:sz w:val="22"/>
          <w:szCs w:val="22"/>
          <w:lang w:val="en-GB" w:eastAsia="ja-JP"/>
        </w:rPr>
        <w:t>Rule of Law &amp;</w:t>
      </w:r>
      <w:r w:rsidR="000F4C24">
        <w:rPr>
          <w:rFonts w:ascii="Times New Roman" w:eastAsia="MS Mincho" w:hAnsi="Times New Roman" w:cs="Times New Roman"/>
          <w:sz w:val="22"/>
          <w:szCs w:val="22"/>
          <w:lang w:val="en-GB" w:eastAsia="ja-JP"/>
        </w:rPr>
        <w:t>Access to Justice Programme.</w:t>
      </w:r>
    </w:p>
    <w:p w:rsidR="00BB6DFE" w:rsidRPr="00647752" w:rsidRDefault="00BB6DFE" w:rsidP="00FB6759">
      <w:pPr>
        <w:keepNext/>
        <w:keepLines/>
        <w:spacing w:after="0" w:line="240" w:lineRule="auto"/>
        <w:contextualSpacing/>
        <w:jc w:val="both"/>
        <w:outlineLvl w:val="2"/>
        <w:rPr>
          <w:rFonts w:ascii="Times New Roman" w:eastAsia="MS Gothic" w:hAnsi="Times New Roman" w:cs="Times New Roman"/>
          <w:b/>
          <w:bCs/>
          <w:sz w:val="22"/>
          <w:szCs w:val="22"/>
          <w:u w:val="single"/>
          <w:lang w:val="en-GB"/>
        </w:rPr>
      </w:pPr>
    </w:p>
    <w:p w:rsidR="00053B6C" w:rsidRPr="00EB4724" w:rsidRDefault="00EB4724" w:rsidP="00FB6759">
      <w:pPr>
        <w:keepNext/>
        <w:keepLines/>
        <w:spacing w:after="0" w:line="240" w:lineRule="auto"/>
        <w:contextualSpacing/>
        <w:jc w:val="both"/>
        <w:outlineLvl w:val="2"/>
        <w:rPr>
          <w:rFonts w:ascii="Times New Roman" w:eastAsia="MS Gothic" w:hAnsi="Times New Roman" w:cs="Times New Roman"/>
          <w:bCs/>
          <w:sz w:val="22"/>
          <w:szCs w:val="22"/>
          <w:u w:val="single"/>
          <w:lang w:val="en-GB"/>
        </w:rPr>
      </w:pPr>
      <w:r>
        <w:rPr>
          <w:rFonts w:ascii="Times New Roman" w:eastAsia="MS Gothic" w:hAnsi="Times New Roman" w:cs="Times New Roman"/>
          <w:bCs/>
          <w:sz w:val="22"/>
          <w:szCs w:val="22"/>
          <w:u w:val="single"/>
          <w:lang w:val="en-GB"/>
        </w:rPr>
        <w:t xml:space="preserve">Outcome 2: </w:t>
      </w:r>
      <w:r w:rsidR="00053B6C" w:rsidRPr="00EB4724">
        <w:rPr>
          <w:rFonts w:ascii="Times New Roman" w:eastAsia="MS Gothic" w:hAnsi="Times New Roman" w:cs="Times New Roman"/>
          <w:bCs/>
          <w:sz w:val="22"/>
          <w:szCs w:val="22"/>
          <w:u w:val="single"/>
          <w:lang w:val="en-GB"/>
        </w:rPr>
        <w:t>Access to justice at local and grassroots level enhanced</w:t>
      </w:r>
    </w:p>
    <w:p w:rsidR="00BB6DFE" w:rsidRPr="00647752" w:rsidRDefault="00BB6DFE"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UNDP’s interventions in</w:t>
      </w:r>
      <w:r w:rsidR="000F6216" w:rsidRPr="00647752">
        <w:rPr>
          <w:rFonts w:ascii="Times New Roman" w:eastAsia="MS Mincho" w:hAnsi="Times New Roman" w:cs="Times New Roman"/>
          <w:sz w:val="22"/>
          <w:szCs w:val="22"/>
          <w:lang w:val="en-GB" w:eastAsia="ja-JP"/>
        </w:rPr>
        <w:t xml:space="preserve"> promoting access to justice at a grassroots level </w:t>
      </w:r>
      <w:r w:rsidRPr="00647752">
        <w:rPr>
          <w:rFonts w:ascii="Times New Roman" w:eastAsia="MS Mincho" w:hAnsi="Times New Roman" w:cs="Times New Roman"/>
          <w:sz w:val="22"/>
          <w:szCs w:val="22"/>
          <w:lang w:val="en-GB" w:eastAsia="ja-JP"/>
        </w:rPr>
        <w:t xml:space="preserve">since 2010 have shifted the debate and resulted in greater coherence amongst key justice institutions with regard to free legal aid; </w:t>
      </w:r>
      <w:r w:rsidR="000F6216" w:rsidRPr="00647752">
        <w:rPr>
          <w:rFonts w:ascii="Times New Roman" w:eastAsia="MS Mincho" w:hAnsi="Times New Roman" w:cs="Times New Roman"/>
          <w:sz w:val="22"/>
          <w:szCs w:val="22"/>
          <w:lang w:val="en-GB" w:eastAsia="ja-JP"/>
        </w:rPr>
        <w:t xml:space="preserve">including </w:t>
      </w:r>
      <w:r w:rsidRPr="00647752">
        <w:rPr>
          <w:rFonts w:ascii="Times New Roman" w:eastAsia="MS Mincho" w:hAnsi="Times New Roman" w:cs="Times New Roman"/>
          <w:sz w:val="22"/>
          <w:szCs w:val="22"/>
          <w:lang w:val="en-GB" w:eastAsia="ja-JP"/>
        </w:rPr>
        <w:t>an enhanced capa</w:t>
      </w:r>
      <w:r w:rsidR="00EB4724">
        <w:rPr>
          <w:rFonts w:ascii="Times New Roman" w:eastAsia="MS Mincho" w:hAnsi="Times New Roman" w:cs="Times New Roman"/>
          <w:sz w:val="22"/>
          <w:szCs w:val="22"/>
          <w:lang w:val="en-GB" w:eastAsia="ja-JP"/>
        </w:rPr>
        <w:t>city of the MO</w:t>
      </w:r>
      <w:r w:rsidR="000F6216" w:rsidRPr="00647752">
        <w:rPr>
          <w:rFonts w:ascii="Times New Roman" w:eastAsia="MS Mincho" w:hAnsi="Times New Roman" w:cs="Times New Roman"/>
          <w:sz w:val="22"/>
          <w:szCs w:val="22"/>
          <w:lang w:val="en-GB" w:eastAsia="ja-JP"/>
        </w:rPr>
        <w:t xml:space="preserve">J in this regard and </w:t>
      </w:r>
      <w:r w:rsidRPr="00647752">
        <w:rPr>
          <w:rFonts w:ascii="Times New Roman" w:eastAsia="MS Mincho" w:hAnsi="Times New Roman" w:cs="Times New Roman"/>
          <w:sz w:val="22"/>
          <w:szCs w:val="22"/>
          <w:lang w:val="en-GB" w:eastAsia="ja-JP"/>
        </w:rPr>
        <w:t xml:space="preserve">increased coverage by </w:t>
      </w:r>
      <w:r w:rsidR="00EB4724">
        <w:rPr>
          <w:rFonts w:ascii="Times New Roman" w:eastAsia="MS Mincho" w:hAnsi="Times New Roman" w:cs="Times New Roman"/>
          <w:sz w:val="22"/>
          <w:szCs w:val="22"/>
          <w:lang w:val="en-GB" w:eastAsia="ja-JP"/>
        </w:rPr>
        <w:t xml:space="preserve">the PBA, CSOs and law schools to end-beneficiaries. </w:t>
      </w:r>
      <w:r w:rsidRPr="00647752">
        <w:rPr>
          <w:rFonts w:ascii="Times New Roman" w:eastAsia="MS Mincho" w:hAnsi="Times New Roman" w:cs="Times New Roman"/>
          <w:sz w:val="22"/>
          <w:szCs w:val="22"/>
          <w:lang w:val="en-GB" w:eastAsia="ja-JP"/>
        </w:rPr>
        <w:t>These efforts have impacted the lives of thousands of Palesti</w:t>
      </w:r>
      <w:r w:rsidR="00EB4724">
        <w:rPr>
          <w:rFonts w:ascii="Times New Roman" w:eastAsia="MS Mincho" w:hAnsi="Times New Roman" w:cs="Times New Roman"/>
          <w:sz w:val="22"/>
          <w:szCs w:val="22"/>
          <w:lang w:val="en-GB" w:eastAsia="ja-JP"/>
        </w:rPr>
        <w:t xml:space="preserve">nians in the West Bank and Gaza - </w:t>
      </w:r>
      <w:r w:rsidRPr="00647752">
        <w:rPr>
          <w:rFonts w:ascii="Times New Roman" w:eastAsia="MS Mincho" w:hAnsi="Times New Roman" w:cs="Times New Roman"/>
          <w:sz w:val="22"/>
          <w:szCs w:val="22"/>
          <w:lang w:val="en-GB" w:eastAsia="ja-JP"/>
        </w:rPr>
        <w:t xml:space="preserve">especially women, juveniles and other vulnerable groups.  </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p>
    <w:p w:rsidR="006211DB"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Occupying the bulk of UNDP’s assistance under Output 2 was its Civil Society Init</w:t>
      </w:r>
      <w:r w:rsidR="00EB4724">
        <w:rPr>
          <w:rFonts w:ascii="Times New Roman" w:eastAsia="MS Mincho" w:hAnsi="Times New Roman" w:cs="Times New Roman"/>
          <w:sz w:val="22"/>
          <w:szCs w:val="22"/>
          <w:lang w:val="en-GB" w:eastAsia="ja-JP"/>
        </w:rPr>
        <w:t>i</w:t>
      </w:r>
      <w:r w:rsidR="000F4C24">
        <w:rPr>
          <w:rFonts w:ascii="Times New Roman" w:eastAsia="MS Mincho" w:hAnsi="Times New Roman" w:cs="Times New Roman"/>
          <w:sz w:val="22"/>
          <w:szCs w:val="22"/>
          <w:lang w:val="en-GB" w:eastAsia="ja-JP"/>
        </w:rPr>
        <w:t xml:space="preserve">ative (CSI) launched in July </w:t>
      </w:r>
      <w:r w:rsidR="00EB4724">
        <w:rPr>
          <w:rFonts w:ascii="Times New Roman" w:eastAsia="MS Mincho" w:hAnsi="Times New Roman" w:cs="Times New Roman"/>
          <w:sz w:val="22"/>
          <w:szCs w:val="22"/>
          <w:lang w:val="en-GB" w:eastAsia="ja-JP"/>
        </w:rPr>
        <w:t>2010</w:t>
      </w:r>
      <w:r w:rsidR="006211DB">
        <w:rPr>
          <w:rFonts w:ascii="Times New Roman" w:eastAsia="MS Mincho" w:hAnsi="Times New Roman" w:cs="Times New Roman"/>
          <w:sz w:val="22"/>
          <w:szCs w:val="22"/>
          <w:lang w:val="en-GB" w:eastAsia="ja-JP"/>
        </w:rPr>
        <w:t xml:space="preserve">. Under the CSI, UNDP </w:t>
      </w:r>
      <w:r w:rsidRPr="00647752">
        <w:rPr>
          <w:rFonts w:ascii="Times New Roman" w:eastAsia="MS Mincho" w:hAnsi="Times New Roman" w:cs="Times New Roman"/>
          <w:sz w:val="22"/>
          <w:szCs w:val="22"/>
          <w:lang w:val="en-GB" w:eastAsia="ja-JP"/>
        </w:rPr>
        <w:t>selected 42 CSO partners that re</w:t>
      </w:r>
      <w:r w:rsidR="000F4C24">
        <w:rPr>
          <w:rFonts w:ascii="Times New Roman" w:eastAsia="MS Mincho" w:hAnsi="Times New Roman" w:cs="Times New Roman"/>
          <w:sz w:val="22"/>
          <w:szCs w:val="22"/>
          <w:lang w:val="en-GB" w:eastAsia="ja-JP"/>
        </w:rPr>
        <w:t xml:space="preserve">ceived grants </w:t>
      </w:r>
      <w:r w:rsidRPr="00647752">
        <w:rPr>
          <w:rFonts w:ascii="Times New Roman" w:eastAsia="MS Mincho" w:hAnsi="Times New Roman" w:cs="Times New Roman"/>
          <w:sz w:val="22"/>
          <w:szCs w:val="22"/>
          <w:lang w:val="en-GB" w:eastAsia="ja-JP"/>
        </w:rPr>
        <w:t xml:space="preserve">to perform legal aid, advocacy and monitoring </w:t>
      </w:r>
      <w:r w:rsidR="006211DB">
        <w:rPr>
          <w:rFonts w:ascii="Times New Roman" w:eastAsia="MS Mincho" w:hAnsi="Times New Roman" w:cs="Times New Roman"/>
          <w:sz w:val="22"/>
          <w:szCs w:val="22"/>
          <w:lang w:val="en-GB" w:eastAsia="ja-JP"/>
        </w:rPr>
        <w:t xml:space="preserve">of the justice system. </w:t>
      </w:r>
      <w:r w:rsidRPr="00647752">
        <w:rPr>
          <w:rFonts w:ascii="Times New Roman" w:eastAsia="MS Mincho" w:hAnsi="Times New Roman" w:cs="Times New Roman"/>
          <w:sz w:val="22"/>
          <w:szCs w:val="22"/>
          <w:lang w:val="en-GB" w:eastAsia="ja-JP"/>
        </w:rPr>
        <w:t>UNDP also established a roster of legal aid and advocacy partners. Agreements were ultimately entered</w:t>
      </w:r>
      <w:r w:rsidR="006211DB">
        <w:rPr>
          <w:rFonts w:ascii="Times New Roman" w:eastAsia="MS Mincho" w:hAnsi="Times New Roman" w:cs="Times New Roman"/>
          <w:sz w:val="22"/>
          <w:szCs w:val="22"/>
          <w:lang w:val="en-GB" w:eastAsia="ja-JP"/>
        </w:rPr>
        <w:t xml:space="preserve"> into with many of these organisations. </w:t>
      </w:r>
    </w:p>
    <w:p w:rsidR="006211DB" w:rsidRDefault="006211DB"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6211DB" w:rsidP="00FB6759">
      <w:pPr>
        <w:spacing w:after="0" w:line="240" w:lineRule="auto"/>
        <w:jc w:val="both"/>
        <w:rPr>
          <w:rFonts w:ascii="Times New Roman" w:eastAsia="MS Mincho" w:hAnsi="Times New Roman" w:cs="Times New Roman"/>
          <w:sz w:val="22"/>
          <w:szCs w:val="22"/>
          <w:lang w:val="en-GB" w:eastAsia="ja-JP"/>
        </w:rPr>
      </w:pPr>
      <w:r>
        <w:rPr>
          <w:rFonts w:ascii="Times New Roman" w:eastAsia="MS Mincho" w:hAnsi="Times New Roman" w:cs="Times New Roman"/>
          <w:sz w:val="22"/>
          <w:szCs w:val="22"/>
          <w:lang w:val="en-GB" w:eastAsia="ja-JP"/>
        </w:rPr>
        <w:t>Most of these organis</w:t>
      </w:r>
      <w:r w:rsidR="00053B6C" w:rsidRPr="00647752">
        <w:rPr>
          <w:rFonts w:ascii="Times New Roman" w:eastAsia="MS Mincho" w:hAnsi="Times New Roman" w:cs="Times New Roman"/>
          <w:sz w:val="22"/>
          <w:szCs w:val="22"/>
          <w:lang w:val="en-GB" w:eastAsia="ja-JP"/>
        </w:rPr>
        <w:t xml:space="preserve">ations provide legal aid to vulnerable communities and provide legal capacity building and training to key professional groups including lawyers, law students, media professionals, trade unions </w:t>
      </w:r>
      <w:r w:rsidR="000F4C24">
        <w:rPr>
          <w:rFonts w:ascii="Times New Roman" w:eastAsia="MS Mincho" w:hAnsi="Times New Roman" w:cs="Times New Roman"/>
          <w:sz w:val="22"/>
          <w:szCs w:val="22"/>
          <w:lang w:val="en-GB" w:eastAsia="ja-JP"/>
        </w:rPr>
        <w:t xml:space="preserve">representatives </w:t>
      </w:r>
      <w:r w:rsidR="00053B6C" w:rsidRPr="00647752">
        <w:rPr>
          <w:rFonts w:ascii="Times New Roman" w:eastAsia="MS Mincho" w:hAnsi="Times New Roman" w:cs="Times New Roman"/>
          <w:sz w:val="22"/>
          <w:szCs w:val="22"/>
          <w:lang w:val="en-GB" w:eastAsia="ja-JP"/>
        </w:rPr>
        <w:t>and police</w:t>
      </w:r>
      <w:r w:rsidR="000F4C24">
        <w:rPr>
          <w:rFonts w:ascii="Times New Roman" w:eastAsia="MS Mincho" w:hAnsi="Times New Roman" w:cs="Times New Roman"/>
          <w:sz w:val="22"/>
          <w:szCs w:val="22"/>
          <w:lang w:val="en-GB" w:eastAsia="ja-JP"/>
        </w:rPr>
        <w:t xml:space="preserve"> officers</w:t>
      </w:r>
      <w:r w:rsidR="00053B6C" w:rsidRPr="00647752">
        <w:rPr>
          <w:rFonts w:ascii="Times New Roman" w:eastAsia="MS Mincho" w:hAnsi="Times New Roman" w:cs="Times New Roman"/>
          <w:sz w:val="22"/>
          <w:szCs w:val="22"/>
          <w:lang w:val="en-GB" w:eastAsia="ja-JP"/>
        </w:rPr>
        <w:t>, among many others</w:t>
      </w:r>
      <w:r>
        <w:rPr>
          <w:rFonts w:ascii="Times New Roman" w:eastAsia="MS Mincho" w:hAnsi="Times New Roman" w:cs="Times New Roman"/>
          <w:sz w:val="22"/>
          <w:szCs w:val="22"/>
          <w:lang w:val="en-GB" w:eastAsia="ja-JP"/>
        </w:rPr>
        <w:t xml:space="preserve">. </w:t>
      </w:r>
      <w:r w:rsidR="00053B6C" w:rsidRPr="00647752">
        <w:rPr>
          <w:rFonts w:ascii="Times New Roman" w:eastAsia="MS Mincho" w:hAnsi="Times New Roman" w:cs="Times New Roman"/>
          <w:sz w:val="22"/>
          <w:szCs w:val="22"/>
          <w:lang w:val="en-GB" w:eastAsia="ja-JP"/>
        </w:rPr>
        <w:t xml:space="preserve">UNDP also built upon its strategic relationship with the </w:t>
      </w:r>
      <w:r>
        <w:rPr>
          <w:rFonts w:ascii="Times New Roman" w:eastAsia="MS Mincho" w:hAnsi="Times New Roman" w:cs="Times New Roman"/>
          <w:sz w:val="22"/>
          <w:szCs w:val="22"/>
          <w:lang w:val="en-GB" w:eastAsia="ja-JP"/>
        </w:rPr>
        <w:t xml:space="preserve">West Bank branch of the </w:t>
      </w:r>
      <w:r w:rsidR="000F4C24">
        <w:rPr>
          <w:rFonts w:ascii="Times New Roman" w:eastAsia="MS Mincho" w:hAnsi="Times New Roman" w:cs="Times New Roman"/>
          <w:sz w:val="22"/>
          <w:szCs w:val="22"/>
          <w:lang w:val="en-GB" w:eastAsia="ja-JP"/>
        </w:rPr>
        <w:t>PBA</w:t>
      </w:r>
      <w:r w:rsidR="00FD3C19">
        <w:rPr>
          <w:rFonts w:ascii="Times New Roman" w:eastAsia="MS Mincho" w:hAnsi="Times New Roman" w:cs="Times New Roman"/>
          <w:sz w:val="22"/>
          <w:szCs w:val="22"/>
          <w:lang w:val="en-GB" w:eastAsia="ja-JP"/>
        </w:rPr>
        <w:t xml:space="preserve"> </w:t>
      </w:r>
      <w:r w:rsidR="00053B6C" w:rsidRPr="00647752">
        <w:rPr>
          <w:rFonts w:ascii="Times New Roman" w:eastAsia="MS Mincho" w:hAnsi="Times New Roman" w:cs="Times New Roman"/>
          <w:sz w:val="22"/>
          <w:szCs w:val="22"/>
          <w:lang w:val="en-GB" w:eastAsia="ja-JP"/>
        </w:rPr>
        <w:t>and is in the process of negotiating an agreement with the PBA to build its cap</w:t>
      </w:r>
      <w:r>
        <w:rPr>
          <w:rFonts w:ascii="Times New Roman" w:eastAsia="MS Mincho" w:hAnsi="Times New Roman" w:cs="Times New Roman"/>
          <w:sz w:val="22"/>
          <w:szCs w:val="22"/>
          <w:lang w:val="en-GB" w:eastAsia="ja-JP"/>
        </w:rPr>
        <w:t>acity to take a leadership role</w:t>
      </w:r>
      <w:r w:rsidR="00053B6C" w:rsidRPr="00647752">
        <w:rPr>
          <w:rFonts w:ascii="Times New Roman" w:eastAsia="MS Mincho" w:hAnsi="Times New Roman" w:cs="Times New Roman"/>
          <w:sz w:val="22"/>
          <w:szCs w:val="22"/>
          <w:lang w:val="en-GB" w:eastAsia="ja-JP"/>
        </w:rPr>
        <w:t xml:space="preserve"> (mirroring that of the Gaza branch) in establishing a legal aid network inclusive </w:t>
      </w:r>
      <w:r>
        <w:rPr>
          <w:rFonts w:ascii="Times New Roman" w:eastAsia="MS Mincho" w:hAnsi="Times New Roman" w:cs="Times New Roman"/>
          <w:sz w:val="22"/>
          <w:szCs w:val="22"/>
          <w:lang w:val="en-GB" w:eastAsia="ja-JP"/>
        </w:rPr>
        <w:t>of NGO legal aid providers and u</w:t>
      </w:r>
      <w:r w:rsidR="00053B6C" w:rsidRPr="00647752">
        <w:rPr>
          <w:rFonts w:ascii="Times New Roman" w:eastAsia="MS Mincho" w:hAnsi="Times New Roman" w:cs="Times New Roman"/>
          <w:sz w:val="22"/>
          <w:szCs w:val="22"/>
          <w:lang w:val="en-GB" w:eastAsia="ja-JP"/>
        </w:rPr>
        <w:t>niversity</w:t>
      </w:r>
      <w:r>
        <w:rPr>
          <w:rFonts w:ascii="Times New Roman" w:eastAsia="MS Mincho" w:hAnsi="Times New Roman" w:cs="Times New Roman"/>
          <w:sz w:val="22"/>
          <w:szCs w:val="22"/>
          <w:lang w:val="en-GB" w:eastAsia="ja-JP"/>
        </w:rPr>
        <w:t>-based legal aid</w:t>
      </w:r>
      <w:r w:rsidR="00053B6C" w:rsidRPr="00647752">
        <w:rPr>
          <w:rFonts w:ascii="Times New Roman" w:eastAsia="MS Mincho" w:hAnsi="Times New Roman" w:cs="Times New Roman"/>
          <w:sz w:val="22"/>
          <w:szCs w:val="22"/>
          <w:lang w:val="en-GB" w:eastAsia="ja-JP"/>
        </w:rPr>
        <w:t xml:space="preserve"> clinics.</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 xml:space="preserve">A number of UNDP supported CSOs and NGOs have effectively combated the effects of the Israeli occupation and confiscations in East Jerusalem and represented Palestinians before Israeli courts during 2010-2012. A sizeable portion of UNDP support through the Civil Society Initiative in the West Bank was directed toward detention, administrative detention and torture </w:t>
      </w:r>
      <w:r w:rsidR="000F4C24">
        <w:rPr>
          <w:rFonts w:ascii="Times New Roman" w:eastAsia="MS Mincho" w:hAnsi="Times New Roman" w:cs="Times New Roman"/>
          <w:sz w:val="22"/>
          <w:szCs w:val="22"/>
          <w:lang w:val="en-GB" w:eastAsia="ja-JP"/>
        </w:rPr>
        <w:t xml:space="preserve">- </w:t>
      </w:r>
      <w:r w:rsidRPr="00647752">
        <w:rPr>
          <w:rFonts w:ascii="Times New Roman" w:eastAsia="MS Mincho" w:hAnsi="Times New Roman" w:cs="Times New Roman"/>
          <w:sz w:val="22"/>
          <w:szCs w:val="22"/>
          <w:lang w:val="en-GB" w:eastAsia="ja-JP"/>
        </w:rPr>
        <w:t xml:space="preserve">predominantly, but not exclusively </w:t>
      </w:r>
      <w:r w:rsidR="006211DB">
        <w:rPr>
          <w:rFonts w:ascii="Times New Roman" w:eastAsia="MS Mincho" w:hAnsi="Times New Roman" w:cs="Times New Roman"/>
          <w:sz w:val="22"/>
          <w:szCs w:val="22"/>
          <w:lang w:val="en-GB" w:eastAsia="ja-JP"/>
        </w:rPr>
        <w:t xml:space="preserve">in the Israeli legal system. </w:t>
      </w:r>
      <w:r w:rsidRPr="00647752">
        <w:rPr>
          <w:rFonts w:ascii="Times New Roman" w:eastAsia="MS Mincho" w:hAnsi="Times New Roman" w:cs="Times New Roman"/>
          <w:sz w:val="22"/>
          <w:szCs w:val="22"/>
          <w:lang w:val="en-GB" w:eastAsia="ja-JP"/>
        </w:rPr>
        <w:t>Other CSOs supported by UNDP have rendered effect</w:t>
      </w:r>
      <w:r w:rsidR="000F4C24">
        <w:rPr>
          <w:rFonts w:ascii="Times New Roman" w:eastAsia="MS Mincho" w:hAnsi="Times New Roman" w:cs="Times New Roman"/>
          <w:sz w:val="22"/>
          <w:szCs w:val="22"/>
          <w:lang w:val="en-GB" w:eastAsia="ja-JP"/>
        </w:rPr>
        <w:t>ive legal assistance to women across</w:t>
      </w:r>
      <w:r w:rsidR="00227679">
        <w:rPr>
          <w:rFonts w:ascii="Times New Roman" w:eastAsia="MS Mincho" w:hAnsi="Times New Roman" w:cs="Times New Roman"/>
          <w:sz w:val="22"/>
          <w:szCs w:val="22"/>
          <w:lang w:val="en-GB" w:eastAsia="ja-JP"/>
        </w:rPr>
        <w:t xml:space="preserve"> </w:t>
      </w:r>
      <w:r w:rsidR="006211DB">
        <w:rPr>
          <w:rFonts w:ascii="Times New Roman" w:eastAsia="MS Mincho" w:hAnsi="Times New Roman" w:cs="Times New Roman"/>
          <w:sz w:val="22"/>
          <w:szCs w:val="22"/>
          <w:lang w:val="en-GB" w:eastAsia="ja-JP"/>
        </w:rPr>
        <w:t xml:space="preserve">the </w:t>
      </w:r>
      <w:r w:rsidRPr="00647752">
        <w:rPr>
          <w:rFonts w:ascii="Times New Roman" w:eastAsia="MS Mincho" w:hAnsi="Times New Roman" w:cs="Times New Roman"/>
          <w:sz w:val="22"/>
          <w:szCs w:val="22"/>
          <w:lang w:val="en-GB" w:eastAsia="ja-JP"/>
        </w:rPr>
        <w:t>oPt</w:t>
      </w:r>
      <w:r w:rsidR="006211DB">
        <w:rPr>
          <w:rFonts w:ascii="Times New Roman" w:eastAsia="MS Mincho" w:hAnsi="Times New Roman" w:cs="Times New Roman"/>
          <w:sz w:val="22"/>
          <w:szCs w:val="22"/>
          <w:lang w:val="en-GB" w:eastAsia="ja-JP"/>
        </w:rPr>
        <w:t>.</w:t>
      </w:r>
      <w:r w:rsidR="00227679">
        <w:rPr>
          <w:rFonts w:ascii="Times New Roman" w:eastAsia="MS Mincho" w:hAnsi="Times New Roman" w:cs="Times New Roman"/>
          <w:sz w:val="22"/>
          <w:szCs w:val="22"/>
          <w:lang w:val="en-GB" w:eastAsia="ja-JP"/>
        </w:rPr>
        <w:t xml:space="preserve"> </w:t>
      </w:r>
      <w:r w:rsidRPr="00647752">
        <w:rPr>
          <w:rFonts w:ascii="Times New Roman" w:eastAsia="MS Mincho" w:hAnsi="Times New Roman" w:cs="Times New Roman"/>
          <w:sz w:val="22"/>
          <w:szCs w:val="22"/>
          <w:lang w:val="en-GB" w:eastAsia="ja-JP"/>
        </w:rPr>
        <w:t>These initiatives and examples of UNDP a</w:t>
      </w:r>
      <w:r w:rsidR="006211DB">
        <w:rPr>
          <w:rFonts w:ascii="Times New Roman" w:eastAsia="MS Mincho" w:hAnsi="Times New Roman" w:cs="Times New Roman"/>
          <w:sz w:val="22"/>
          <w:szCs w:val="22"/>
          <w:lang w:val="en-GB" w:eastAsia="ja-JP"/>
        </w:rPr>
        <w:t xml:space="preserve">dvocacy and awareness campaigns - </w:t>
      </w:r>
      <w:r w:rsidRPr="00647752">
        <w:rPr>
          <w:rFonts w:ascii="Times New Roman" w:eastAsia="MS Mincho" w:hAnsi="Times New Roman" w:cs="Times New Roman"/>
          <w:sz w:val="22"/>
          <w:szCs w:val="22"/>
          <w:lang w:val="en-GB" w:eastAsia="ja-JP"/>
        </w:rPr>
        <w:t>particularly those tar</w:t>
      </w:r>
      <w:r w:rsidR="006211DB">
        <w:rPr>
          <w:rFonts w:ascii="Times New Roman" w:eastAsia="MS Mincho" w:hAnsi="Times New Roman" w:cs="Times New Roman"/>
          <w:sz w:val="22"/>
          <w:szCs w:val="22"/>
          <w:lang w:val="en-GB" w:eastAsia="ja-JP"/>
        </w:rPr>
        <w:t>geting women’s rights and youth -</w:t>
      </w:r>
      <w:r w:rsidRPr="00647752">
        <w:rPr>
          <w:rFonts w:ascii="Times New Roman" w:eastAsia="MS Mincho" w:hAnsi="Times New Roman" w:cs="Times New Roman"/>
          <w:sz w:val="22"/>
          <w:szCs w:val="22"/>
          <w:lang w:val="en-GB" w:eastAsia="ja-JP"/>
        </w:rPr>
        <w:t xml:space="preserve"> are discussed at length in the main</w:t>
      </w:r>
      <w:r w:rsidR="006211DB">
        <w:rPr>
          <w:rFonts w:ascii="Times New Roman" w:eastAsia="MS Mincho" w:hAnsi="Times New Roman" w:cs="Times New Roman"/>
          <w:sz w:val="22"/>
          <w:szCs w:val="22"/>
          <w:lang w:val="en-GB" w:eastAsia="ja-JP"/>
        </w:rPr>
        <w:t xml:space="preserve"> text of the evaluation report.</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p>
    <w:p w:rsidR="003F49F1" w:rsidRPr="00647752" w:rsidRDefault="006211DB" w:rsidP="00FB6759">
      <w:pPr>
        <w:spacing w:after="0" w:line="240" w:lineRule="auto"/>
        <w:jc w:val="both"/>
        <w:rPr>
          <w:rFonts w:ascii="Times New Roman" w:eastAsia="MS Mincho" w:hAnsi="Times New Roman" w:cs="Times New Roman"/>
          <w:sz w:val="22"/>
          <w:szCs w:val="22"/>
          <w:lang w:val="en-GB" w:eastAsia="ja-JP"/>
        </w:rPr>
      </w:pPr>
      <w:r>
        <w:rPr>
          <w:rFonts w:ascii="Times New Roman" w:eastAsia="MS Mincho" w:hAnsi="Times New Roman" w:cs="Times New Roman"/>
          <w:sz w:val="22"/>
          <w:szCs w:val="24"/>
          <w:lang w:val="en-GB" w:eastAsia="ja-JP"/>
        </w:rPr>
        <w:t>While the e</w:t>
      </w:r>
      <w:r w:rsidR="00053B6C" w:rsidRPr="00647752">
        <w:rPr>
          <w:rFonts w:ascii="Times New Roman" w:eastAsia="MS Mincho" w:hAnsi="Times New Roman" w:cs="Times New Roman"/>
          <w:sz w:val="22"/>
          <w:szCs w:val="24"/>
          <w:lang w:val="en-GB" w:eastAsia="ja-JP"/>
        </w:rPr>
        <w:t>valuation’s</w:t>
      </w:r>
      <w:r>
        <w:rPr>
          <w:rFonts w:ascii="Times New Roman" w:eastAsia="MS Mincho" w:hAnsi="Times New Roman" w:cs="Times New Roman"/>
          <w:sz w:val="22"/>
          <w:szCs w:val="24"/>
          <w:lang w:val="en-GB" w:eastAsia="ja-JP"/>
        </w:rPr>
        <w:t xml:space="preserve"> overall assessment of the </w:t>
      </w:r>
      <w:r w:rsidR="000F4C24">
        <w:rPr>
          <w:rFonts w:ascii="Times New Roman" w:eastAsia="MS Mincho" w:hAnsi="Times New Roman" w:cs="Times New Roman"/>
          <w:sz w:val="22"/>
          <w:szCs w:val="24"/>
          <w:lang w:val="en-GB" w:eastAsia="ja-JP"/>
        </w:rPr>
        <w:t>CSI</w:t>
      </w:r>
      <w:r w:rsidR="00053B6C" w:rsidRPr="00647752">
        <w:rPr>
          <w:rFonts w:ascii="Times New Roman" w:eastAsia="MS Mincho" w:hAnsi="Times New Roman" w:cs="Times New Roman"/>
          <w:sz w:val="22"/>
          <w:szCs w:val="24"/>
          <w:lang w:val="en-GB" w:eastAsia="ja-JP"/>
        </w:rPr>
        <w:t xml:space="preserve"> is highly favourable, key q</w:t>
      </w:r>
      <w:r>
        <w:rPr>
          <w:rFonts w:ascii="Times New Roman" w:eastAsia="MS Mincho" w:hAnsi="Times New Roman" w:cs="Times New Roman"/>
          <w:sz w:val="22"/>
          <w:szCs w:val="24"/>
          <w:lang w:val="en-GB" w:eastAsia="ja-JP"/>
        </w:rPr>
        <w:t xml:space="preserve">uestions going forward for UNDP - </w:t>
      </w:r>
      <w:r w:rsidR="000F4C24">
        <w:rPr>
          <w:rFonts w:ascii="Times New Roman" w:eastAsia="MS Mincho" w:hAnsi="Times New Roman" w:cs="Times New Roman"/>
          <w:sz w:val="22"/>
          <w:szCs w:val="24"/>
          <w:lang w:val="en-GB" w:eastAsia="ja-JP"/>
        </w:rPr>
        <w:t xml:space="preserve">particularly in </w:t>
      </w:r>
      <w:r>
        <w:rPr>
          <w:rFonts w:ascii="Times New Roman" w:eastAsia="MS Mincho" w:hAnsi="Times New Roman" w:cs="Times New Roman"/>
          <w:sz w:val="22"/>
          <w:szCs w:val="24"/>
          <w:lang w:val="en-GB" w:eastAsia="ja-JP"/>
        </w:rPr>
        <w:t xml:space="preserve">the West Bank - </w:t>
      </w:r>
      <w:r w:rsidR="00053B6C" w:rsidRPr="00647752">
        <w:rPr>
          <w:rFonts w:ascii="Times New Roman" w:eastAsia="MS Mincho" w:hAnsi="Times New Roman" w:cs="Times New Roman"/>
          <w:sz w:val="22"/>
          <w:szCs w:val="24"/>
          <w:lang w:val="en-GB" w:eastAsia="ja-JP"/>
        </w:rPr>
        <w:t>will be whether awareness raising activities are the most cost-effective use of limited resources; and whether awareness raising should be scaled-down in favour of sca</w:t>
      </w:r>
      <w:r>
        <w:rPr>
          <w:rFonts w:ascii="Times New Roman" w:eastAsia="MS Mincho" w:hAnsi="Times New Roman" w:cs="Times New Roman"/>
          <w:sz w:val="22"/>
          <w:szCs w:val="24"/>
          <w:lang w:val="en-GB" w:eastAsia="ja-JP"/>
        </w:rPr>
        <w:t>ling-up other aspects of the p</w:t>
      </w:r>
      <w:r w:rsidR="00053B6C" w:rsidRPr="00647752">
        <w:rPr>
          <w:rFonts w:ascii="Times New Roman" w:eastAsia="MS Mincho" w:hAnsi="Times New Roman" w:cs="Times New Roman"/>
          <w:sz w:val="22"/>
          <w:szCs w:val="24"/>
          <w:lang w:val="en-GB" w:eastAsia="ja-JP"/>
        </w:rPr>
        <w:t>rogramme (i.e. legal assist</w:t>
      </w:r>
      <w:r>
        <w:rPr>
          <w:rFonts w:ascii="Times New Roman" w:eastAsia="MS Mincho" w:hAnsi="Times New Roman" w:cs="Times New Roman"/>
          <w:sz w:val="22"/>
          <w:szCs w:val="24"/>
          <w:lang w:val="en-GB" w:eastAsia="ja-JP"/>
        </w:rPr>
        <w:t xml:space="preserve">ance or re-focused advocacy). </w:t>
      </w:r>
      <w:r w:rsidR="00053B6C" w:rsidRPr="00647752">
        <w:rPr>
          <w:rFonts w:ascii="Times New Roman" w:eastAsia="MS Mincho" w:hAnsi="Times New Roman" w:cs="Times New Roman"/>
          <w:sz w:val="22"/>
          <w:szCs w:val="24"/>
          <w:lang w:val="en-GB" w:eastAsia="ja-JP"/>
        </w:rPr>
        <w:t xml:space="preserve">It is certainly fair to say that not </w:t>
      </w:r>
      <w:r w:rsidR="00053B6C" w:rsidRPr="00647752">
        <w:rPr>
          <w:rFonts w:ascii="Times New Roman" w:eastAsia="MS Mincho" w:hAnsi="Times New Roman" w:cs="Times New Roman"/>
          <w:i/>
          <w:sz w:val="22"/>
          <w:szCs w:val="24"/>
          <w:lang w:val="en-GB" w:eastAsia="ja-JP"/>
        </w:rPr>
        <w:t xml:space="preserve">all </w:t>
      </w:r>
      <w:r w:rsidR="00053B6C" w:rsidRPr="00647752">
        <w:rPr>
          <w:rFonts w:ascii="Times New Roman" w:eastAsia="MS Mincho" w:hAnsi="Times New Roman" w:cs="Times New Roman"/>
          <w:sz w:val="22"/>
          <w:szCs w:val="24"/>
          <w:lang w:val="en-GB" w:eastAsia="ja-JP"/>
        </w:rPr>
        <w:t xml:space="preserve">CSOs in the programme should be doing </w:t>
      </w:r>
      <w:r w:rsidR="00053B6C" w:rsidRPr="00647752">
        <w:rPr>
          <w:rFonts w:ascii="Times New Roman" w:eastAsia="MS Mincho" w:hAnsi="Times New Roman" w:cs="Times New Roman"/>
          <w:i/>
          <w:sz w:val="22"/>
          <w:szCs w:val="24"/>
          <w:lang w:val="en-GB" w:eastAsia="ja-JP"/>
        </w:rPr>
        <w:t xml:space="preserve">all </w:t>
      </w:r>
      <w:r w:rsidR="00053B6C" w:rsidRPr="00647752">
        <w:rPr>
          <w:rFonts w:ascii="Times New Roman" w:eastAsia="MS Mincho" w:hAnsi="Times New Roman" w:cs="Times New Roman"/>
          <w:sz w:val="22"/>
          <w:szCs w:val="24"/>
          <w:lang w:val="en-GB" w:eastAsia="ja-JP"/>
        </w:rPr>
        <w:t xml:space="preserve">things (i.e. legal </w:t>
      </w:r>
      <w:r w:rsidR="00E250CA">
        <w:rPr>
          <w:rFonts w:ascii="Times New Roman" w:eastAsia="MS Mincho" w:hAnsi="Times New Roman" w:cs="Times New Roman"/>
          <w:sz w:val="22"/>
          <w:szCs w:val="24"/>
          <w:lang w:val="en-GB" w:eastAsia="ja-JP"/>
        </w:rPr>
        <w:t>aid, awareness-raising</w:t>
      </w:r>
      <w:r w:rsidR="00FD3C19">
        <w:rPr>
          <w:rFonts w:ascii="Times New Roman" w:eastAsia="MS Mincho" w:hAnsi="Times New Roman" w:cs="Times New Roman"/>
          <w:sz w:val="22"/>
          <w:szCs w:val="24"/>
          <w:lang w:val="en-GB" w:eastAsia="ja-JP"/>
        </w:rPr>
        <w:t xml:space="preserve"> </w:t>
      </w:r>
      <w:r w:rsidR="00053B6C" w:rsidRPr="00647752">
        <w:rPr>
          <w:rFonts w:ascii="Times New Roman" w:eastAsia="MS Mincho" w:hAnsi="Times New Roman" w:cs="Times New Roman"/>
          <w:i/>
          <w:sz w:val="22"/>
          <w:szCs w:val="24"/>
          <w:lang w:val="en-GB" w:eastAsia="ja-JP"/>
        </w:rPr>
        <w:t>and</w:t>
      </w:r>
      <w:r w:rsidR="00E250CA">
        <w:rPr>
          <w:rFonts w:ascii="Times New Roman" w:eastAsia="MS Mincho" w:hAnsi="Times New Roman" w:cs="Times New Roman"/>
          <w:sz w:val="22"/>
          <w:szCs w:val="24"/>
          <w:lang w:val="en-GB" w:eastAsia="ja-JP"/>
        </w:rPr>
        <w:t xml:space="preserve"> advocacy</w:t>
      </w:r>
      <w:r>
        <w:rPr>
          <w:rFonts w:ascii="Times New Roman" w:eastAsia="MS Mincho" w:hAnsi="Times New Roman" w:cs="Times New Roman"/>
          <w:sz w:val="22"/>
          <w:szCs w:val="24"/>
          <w:lang w:val="en-GB" w:eastAsia="ja-JP"/>
        </w:rPr>
        <w:t xml:space="preserve">). </w:t>
      </w:r>
      <w:r w:rsidR="00053B6C" w:rsidRPr="00647752">
        <w:rPr>
          <w:rFonts w:ascii="Times New Roman" w:eastAsia="MS Mincho" w:hAnsi="Times New Roman" w:cs="Times New Roman"/>
          <w:sz w:val="22"/>
          <w:szCs w:val="24"/>
          <w:lang w:val="en-GB" w:eastAsia="ja-JP"/>
        </w:rPr>
        <w:t>UNDP is currently taking measures to critically assess the performance of each of the CSO grant recipients, as well as their demonstrated capacities and relative strengths for both awareness-raising and advocacy.</w:t>
      </w:r>
      <w:r w:rsidR="00FD3C19">
        <w:rPr>
          <w:rFonts w:ascii="Times New Roman" w:eastAsia="MS Mincho" w:hAnsi="Times New Roman" w:cs="Times New Roman"/>
          <w:sz w:val="22"/>
          <w:szCs w:val="24"/>
          <w:lang w:val="en-GB" w:eastAsia="ja-JP"/>
        </w:rPr>
        <w:t xml:space="preserve"> </w:t>
      </w:r>
      <w:r w:rsidR="003F49F1" w:rsidRPr="00647752">
        <w:rPr>
          <w:rFonts w:ascii="Times New Roman" w:eastAsia="MS Mincho" w:hAnsi="Times New Roman" w:cs="Times New Roman"/>
          <w:sz w:val="22"/>
          <w:szCs w:val="22"/>
          <w:lang w:val="en-GB" w:eastAsia="ja-JP"/>
        </w:rPr>
        <w:t>UNDP must continue to exercise supervision, mentoring and accountabili</w:t>
      </w:r>
      <w:r>
        <w:rPr>
          <w:rFonts w:ascii="Times New Roman" w:eastAsia="MS Mincho" w:hAnsi="Times New Roman" w:cs="Times New Roman"/>
          <w:sz w:val="22"/>
          <w:szCs w:val="22"/>
          <w:lang w:val="en-GB" w:eastAsia="ja-JP"/>
        </w:rPr>
        <w:t>ty standards over smaller grass</w:t>
      </w:r>
      <w:r w:rsidR="003F49F1" w:rsidRPr="00647752">
        <w:rPr>
          <w:rFonts w:ascii="Times New Roman" w:eastAsia="MS Mincho" w:hAnsi="Times New Roman" w:cs="Times New Roman"/>
          <w:sz w:val="22"/>
          <w:szCs w:val="22"/>
          <w:lang w:val="en-GB" w:eastAsia="ja-JP"/>
        </w:rPr>
        <w:t>roots C</w:t>
      </w:r>
      <w:r>
        <w:rPr>
          <w:rFonts w:ascii="Times New Roman" w:eastAsia="MS Mincho" w:hAnsi="Times New Roman" w:cs="Times New Roman"/>
          <w:sz w:val="22"/>
          <w:szCs w:val="22"/>
          <w:lang w:val="en-GB" w:eastAsia="ja-JP"/>
        </w:rPr>
        <w:t>SOs to ensure that these organis</w:t>
      </w:r>
      <w:r w:rsidR="003F49F1" w:rsidRPr="00647752">
        <w:rPr>
          <w:rFonts w:ascii="Times New Roman" w:eastAsia="MS Mincho" w:hAnsi="Times New Roman" w:cs="Times New Roman"/>
          <w:sz w:val="22"/>
          <w:szCs w:val="22"/>
          <w:lang w:val="en-GB" w:eastAsia="ja-JP"/>
        </w:rPr>
        <w:t>ations possesses the actual capacity to conduct outputs on the ground (not simply stated capacities on paper).</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053B6C" w:rsidP="00FB6759">
      <w:pPr>
        <w:spacing w:after="0" w:line="240" w:lineRule="auto"/>
        <w:jc w:val="both"/>
        <w:rPr>
          <w:rFonts w:ascii="Times New Roman" w:eastAsia="Cambria" w:hAnsi="Times New Roman" w:cs="Times New Roman"/>
          <w:sz w:val="22"/>
          <w:szCs w:val="22"/>
          <w:lang w:val="en-GB"/>
        </w:rPr>
      </w:pPr>
      <w:r w:rsidRPr="00647752">
        <w:rPr>
          <w:rFonts w:ascii="Times New Roman" w:eastAsia="MS Mincho" w:hAnsi="Times New Roman" w:cs="Times New Roman"/>
          <w:sz w:val="22"/>
          <w:szCs w:val="22"/>
          <w:lang w:val="en-GB" w:eastAsia="ja-JP"/>
        </w:rPr>
        <w:t>Youth is an area that should be further enhance</w:t>
      </w:r>
      <w:r w:rsidR="006211DB">
        <w:rPr>
          <w:rFonts w:ascii="Times New Roman" w:eastAsia="MS Mincho" w:hAnsi="Times New Roman" w:cs="Times New Roman"/>
          <w:sz w:val="22"/>
          <w:szCs w:val="22"/>
          <w:lang w:val="en-GB" w:eastAsia="ja-JP"/>
        </w:rPr>
        <w:t>d under the UNDP Rule of Law &amp; Access to Justice P</w:t>
      </w:r>
      <w:r w:rsidRPr="00647752">
        <w:rPr>
          <w:rFonts w:ascii="Times New Roman" w:eastAsia="MS Mincho" w:hAnsi="Times New Roman" w:cs="Times New Roman"/>
          <w:sz w:val="22"/>
          <w:szCs w:val="22"/>
          <w:lang w:val="en-GB" w:eastAsia="ja-JP"/>
        </w:rPr>
        <w:t xml:space="preserve">rogramme going forward. Many of the CSOs in </w:t>
      </w:r>
      <w:r w:rsidR="006211DB">
        <w:rPr>
          <w:rFonts w:ascii="Times New Roman" w:eastAsia="MS Mincho" w:hAnsi="Times New Roman" w:cs="Times New Roman"/>
          <w:sz w:val="22"/>
          <w:szCs w:val="22"/>
          <w:lang w:val="en-GB" w:eastAsia="ja-JP"/>
        </w:rPr>
        <w:t xml:space="preserve">the </w:t>
      </w:r>
      <w:r w:rsidRPr="00647752">
        <w:rPr>
          <w:rFonts w:ascii="Times New Roman" w:eastAsia="MS Mincho" w:hAnsi="Times New Roman" w:cs="Times New Roman"/>
          <w:sz w:val="22"/>
          <w:szCs w:val="22"/>
          <w:lang w:val="en-GB" w:eastAsia="ja-JP"/>
        </w:rPr>
        <w:t>oPt are very vague in their own mandates regarding youth and there are only a few Palestinian CSOs that are exclusive</w:t>
      </w:r>
      <w:r w:rsidR="006211DB">
        <w:rPr>
          <w:rFonts w:ascii="Times New Roman" w:eastAsia="MS Mincho" w:hAnsi="Times New Roman" w:cs="Times New Roman"/>
          <w:sz w:val="22"/>
          <w:szCs w:val="22"/>
          <w:lang w:val="en-GB" w:eastAsia="ja-JP"/>
        </w:rPr>
        <w:t xml:space="preserve">ly devoted to this </w:t>
      </w:r>
      <w:r w:rsidR="00E250CA">
        <w:rPr>
          <w:rFonts w:ascii="Times New Roman" w:eastAsia="MS Mincho" w:hAnsi="Times New Roman" w:cs="Times New Roman"/>
          <w:sz w:val="22"/>
          <w:szCs w:val="22"/>
          <w:lang w:val="en-GB" w:eastAsia="ja-JP"/>
        </w:rPr>
        <w:t xml:space="preserve">particular </w:t>
      </w:r>
      <w:r w:rsidR="006211DB">
        <w:rPr>
          <w:rFonts w:ascii="Times New Roman" w:eastAsia="MS Mincho" w:hAnsi="Times New Roman" w:cs="Times New Roman"/>
          <w:sz w:val="22"/>
          <w:szCs w:val="22"/>
          <w:lang w:val="en-GB" w:eastAsia="ja-JP"/>
        </w:rPr>
        <w:lastRenderedPageBreak/>
        <w:t>demographic.</w:t>
      </w:r>
      <w:r w:rsidRPr="00647752">
        <w:rPr>
          <w:rFonts w:ascii="Times New Roman" w:eastAsia="MS Mincho" w:hAnsi="Times New Roman" w:cs="Times New Roman"/>
          <w:sz w:val="22"/>
          <w:szCs w:val="22"/>
          <w:lang w:val="en-GB" w:eastAsia="ja-JP"/>
        </w:rPr>
        <w:t xml:space="preserve"> Within the context of the </w:t>
      </w:r>
      <w:r w:rsidR="00BB6DFE" w:rsidRPr="00647752">
        <w:rPr>
          <w:rFonts w:ascii="Times New Roman" w:eastAsia="MS Mincho" w:hAnsi="Times New Roman" w:cs="Times New Roman"/>
          <w:sz w:val="22"/>
          <w:szCs w:val="22"/>
          <w:lang w:val="en-GB" w:eastAsia="ja-JP"/>
        </w:rPr>
        <w:t xml:space="preserve">Israeli </w:t>
      </w:r>
      <w:r w:rsidR="006211DB">
        <w:rPr>
          <w:rFonts w:ascii="Times New Roman" w:eastAsia="MS Mincho" w:hAnsi="Times New Roman" w:cs="Times New Roman"/>
          <w:sz w:val="22"/>
          <w:szCs w:val="22"/>
          <w:lang w:val="en-GB" w:eastAsia="ja-JP"/>
        </w:rPr>
        <w:t>o</w:t>
      </w:r>
      <w:r w:rsidRPr="00647752">
        <w:rPr>
          <w:rFonts w:ascii="Times New Roman" w:eastAsia="MS Mincho" w:hAnsi="Times New Roman" w:cs="Times New Roman"/>
          <w:sz w:val="22"/>
          <w:szCs w:val="22"/>
          <w:lang w:val="en-GB" w:eastAsia="ja-JP"/>
        </w:rPr>
        <w:t>c</w:t>
      </w:r>
      <w:r w:rsidR="006211DB">
        <w:rPr>
          <w:rFonts w:ascii="Times New Roman" w:eastAsia="MS Mincho" w:hAnsi="Times New Roman" w:cs="Times New Roman"/>
          <w:sz w:val="22"/>
          <w:szCs w:val="22"/>
          <w:lang w:val="en-GB" w:eastAsia="ja-JP"/>
        </w:rPr>
        <w:t>cupation, social media and the i</w:t>
      </w:r>
      <w:r w:rsidRPr="00647752">
        <w:rPr>
          <w:rFonts w:ascii="Times New Roman" w:eastAsia="MS Mincho" w:hAnsi="Times New Roman" w:cs="Times New Roman"/>
          <w:sz w:val="22"/>
          <w:szCs w:val="22"/>
          <w:lang w:val="en-GB" w:eastAsia="ja-JP"/>
        </w:rPr>
        <w:t>nternet are especially important resources for Palestinian youth.</w:t>
      </w:r>
    </w:p>
    <w:p w:rsidR="00053B6C" w:rsidRPr="00647752" w:rsidRDefault="00053B6C" w:rsidP="00FB6759">
      <w:pPr>
        <w:spacing w:after="0" w:line="240" w:lineRule="auto"/>
        <w:jc w:val="both"/>
        <w:rPr>
          <w:rFonts w:ascii="Times New Roman" w:eastAsia="Cambria" w:hAnsi="Times New Roman" w:cs="Times New Roman"/>
          <w:sz w:val="22"/>
          <w:szCs w:val="22"/>
          <w:lang w:val="en-GB"/>
        </w:rPr>
      </w:pPr>
    </w:p>
    <w:p w:rsidR="00053B6C" w:rsidRPr="00647752" w:rsidRDefault="00053B6C" w:rsidP="00FB6759">
      <w:pPr>
        <w:spacing w:after="0" w:line="240" w:lineRule="auto"/>
        <w:jc w:val="both"/>
        <w:rPr>
          <w:rFonts w:ascii="Times New Roman" w:eastAsia="MS Mincho" w:hAnsi="Times New Roman" w:cs="Times New Roman"/>
          <w:sz w:val="22"/>
          <w:szCs w:val="24"/>
          <w:lang w:val="en-GB" w:eastAsia="ja-JP"/>
        </w:rPr>
      </w:pPr>
      <w:r w:rsidRPr="00647752">
        <w:rPr>
          <w:rFonts w:ascii="Times New Roman" w:eastAsia="MS Mincho" w:hAnsi="Times New Roman" w:cs="Times New Roman"/>
          <w:sz w:val="22"/>
          <w:szCs w:val="24"/>
          <w:lang w:val="en-GB" w:eastAsia="ja-JP"/>
        </w:rPr>
        <w:t>This rais</w:t>
      </w:r>
      <w:r w:rsidR="006211DB">
        <w:rPr>
          <w:rFonts w:ascii="Times New Roman" w:eastAsia="MS Mincho" w:hAnsi="Times New Roman" w:cs="Times New Roman"/>
          <w:sz w:val="22"/>
          <w:szCs w:val="24"/>
          <w:lang w:val="en-GB" w:eastAsia="ja-JP"/>
        </w:rPr>
        <w:t>es a larger observation of the e</w:t>
      </w:r>
      <w:r w:rsidRPr="00647752">
        <w:rPr>
          <w:rFonts w:ascii="Times New Roman" w:eastAsia="MS Mincho" w:hAnsi="Times New Roman" w:cs="Times New Roman"/>
          <w:sz w:val="22"/>
          <w:szCs w:val="24"/>
          <w:lang w:val="en-GB" w:eastAsia="ja-JP"/>
        </w:rPr>
        <w:t xml:space="preserve">valuation on the need for UNDP to support the creation of politically neutral spaces within the conflict/post-conflict environments of </w:t>
      </w:r>
      <w:r w:rsidR="006211DB">
        <w:rPr>
          <w:rFonts w:ascii="Times New Roman" w:eastAsia="MS Mincho" w:hAnsi="Times New Roman" w:cs="Times New Roman"/>
          <w:sz w:val="22"/>
          <w:szCs w:val="24"/>
          <w:lang w:val="en-GB" w:eastAsia="ja-JP"/>
        </w:rPr>
        <w:t xml:space="preserve">the </w:t>
      </w:r>
      <w:r w:rsidRPr="00647752">
        <w:rPr>
          <w:rFonts w:ascii="Times New Roman" w:eastAsia="MS Mincho" w:hAnsi="Times New Roman" w:cs="Times New Roman"/>
          <w:sz w:val="22"/>
          <w:szCs w:val="24"/>
          <w:lang w:val="en-GB" w:eastAsia="ja-JP"/>
        </w:rPr>
        <w:t xml:space="preserve">oPt between Palestinians and Israelis. This is especially true for youth. There is currently no conflict prevention team within the UNDP Governance Unit. Such work is extremely complex, given the uniqueness of the context (long standing occupation and internal </w:t>
      </w:r>
      <w:r w:rsidR="006211DB">
        <w:rPr>
          <w:rFonts w:ascii="Times New Roman" w:eastAsia="MS Mincho" w:hAnsi="Times New Roman" w:cs="Times New Roman"/>
          <w:sz w:val="22"/>
          <w:szCs w:val="24"/>
          <w:lang w:val="en-GB" w:eastAsia="ja-JP"/>
        </w:rPr>
        <w:t>Palestinian division), but the e</w:t>
      </w:r>
      <w:r w:rsidRPr="00647752">
        <w:rPr>
          <w:rFonts w:ascii="Times New Roman" w:eastAsia="MS Mincho" w:hAnsi="Times New Roman" w:cs="Times New Roman"/>
          <w:sz w:val="22"/>
          <w:szCs w:val="24"/>
          <w:lang w:val="en-GB" w:eastAsia="ja-JP"/>
        </w:rPr>
        <w:t>valuation suggests that possibilities for enhancing opportunities for dial</w:t>
      </w:r>
      <w:r w:rsidR="006211DB">
        <w:rPr>
          <w:rFonts w:ascii="Times New Roman" w:eastAsia="MS Mincho" w:hAnsi="Times New Roman" w:cs="Times New Roman"/>
          <w:sz w:val="22"/>
          <w:szCs w:val="24"/>
          <w:lang w:val="en-GB" w:eastAsia="ja-JP"/>
        </w:rPr>
        <w:t>ogue between politically polaris</w:t>
      </w:r>
      <w:r w:rsidRPr="00647752">
        <w:rPr>
          <w:rFonts w:ascii="Times New Roman" w:eastAsia="MS Mincho" w:hAnsi="Times New Roman" w:cs="Times New Roman"/>
          <w:sz w:val="22"/>
          <w:szCs w:val="24"/>
          <w:lang w:val="en-GB" w:eastAsia="ja-JP"/>
        </w:rPr>
        <w:t>ed</w:t>
      </w:r>
      <w:r w:rsidR="006211DB">
        <w:rPr>
          <w:rFonts w:ascii="Times New Roman" w:eastAsia="MS Mincho" w:hAnsi="Times New Roman" w:cs="Times New Roman"/>
          <w:sz w:val="22"/>
          <w:szCs w:val="24"/>
          <w:lang w:val="en-GB" w:eastAsia="ja-JP"/>
        </w:rPr>
        <w:t xml:space="preserve"> groups </w:t>
      </w:r>
      <w:r w:rsidRPr="00647752">
        <w:rPr>
          <w:rFonts w:ascii="Times New Roman" w:eastAsia="MS Mincho" w:hAnsi="Times New Roman" w:cs="Times New Roman"/>
          <w:sz w:val="22"/>
          <w:szCs w:val="24"/>
          <w:lang w:val="en-GB" w:eastAsia="ja-JP"/>
        </w:rPr>
        <w:t>should be exp</w:t>
      </w:r>
      <w:r w:rsidR="006211DB">
        <w:rPr>
          <w:rFonts w:ascii="Times New Roman" w:eastAsia="MS Mincho" w:hAnsi="Times New Roman" w:cs="Times New Roman"/>
          <w:sz w:val="22"/>
          <w:szCs w:val="24"/>
          <w:lang w:val="en-GB" w:eastAsia="ja-JP"/>
        </w:rPr>
        <w:t>lored by UNDP going forward.</w:t>
      </w:r>
    </w:p>
    <w:p w:rsidR="00053B6C" w:rsidRPr="00647752" w:rsidRDefault="00053B6C" w:rsidP="00FB6759">
      <w:pPr>
        <w:spacing w:after="0" w:line="240" w:lineRule="auto"/>
        <w:jc w:val="both"/>
        <w:rPr>
          <w:rFonts w:ascii="Times New Roman" w:eastAsia="MS Mincho" w:hAnsi="Times New Roman" w:cs="Times New Roman"/>
          <w:sz w:val="22"/>
          <w:szCs w:val="24"/>
          <w:lang w:val="en-GB" w:eastAsia="ja-JP"/>
        </w:rPr>
      </w:pPr>
    </w:p>
    <w:p w:rsidR="00053B6C" w:rsidRDefault="00053B6C" w:rsidP="00FB6759">
      <w:pPr>
        <w:spacing w:after="0" w:line="240" w:lineRule="auto"/>
        <w:jc w:val="both"/>
        <w:rPr>
          <w:rFonts w:ascii="Times New Roman" w:eastAsia="MS Mincho" w:hAnsi="Times New Roman" w:cs="Times New Roman"/>
          <w:sz w:val="22"/>
          <w:szCs w:val="24"/>
          <w:lang w:val="en-GB" w:eastAsia="ja-JP"/>
        </w:rPr>
      </w:pPr>
      <w:r w:rsidRPr="00647752">
        <w:rPr>
          <w:rFonts w:ascii="Times New Roman" w:eastAsia="MS Mincho" w:hAnsi="Times New Roman" w:cs="Times New Roman"/>
          <w:sz w:val="22"/>
          <w:szCs w:val="24"/>
          <w:lang w:val="en-GB" w:eastAsia="ja-JP"/>
        </w:rPr>
        <w:t xml:space="preserve">UNDP is largely responsible for introducing the concept of clinical legal education in both the West Bank and Gaza </w:t>
      </w:r>
      <w:r w:rsidR="00E250CA">
        <w:rPr>
          <w:rFonts w:ascii="Times New Roman" w:eastAsia="MS Mincho" w:hAnsi="Times New Roman" w:cs="Times New Roman"/>
          <w:sz w:val="22"/>
          <w:szCs w:val="24"/>
          <w:lang w:val="en-GB" w:eastAsia="ja-JP"/>
        </w:rPr>
        <w:t>(</w:t>
      </w:r>
      <w:r w:rsidRPr="00647752">
        <w:rPr>
          <w:rFonts w:ascii="Times New Roman" w:eastAsia="MS Mincho" w:hAnsi="Times New Roman" w:cs="Times New Roman"/>
          <w:sz w:val="22"/>
          <w:szCs w:val="24"/>
          <w:lang w:val="en-GB" w:eastAsia="ja-JP"/>
        </w:rPr>
        <w:t>in partnership with</w:t>
      </w:r>
      <w:r w:rsidR="00E250CA">
        <w:rPr>
          <w:rFonts w:ascii="Times New Roman" w:eastAsia="MS Mincho" w:hAnsi="Times New Roman" w:cs="Times New Roman"/>
          <w:sz w:val="22"/>
          <w:szCs w:val="24"/>
          <w:lang w:val="en-GB" w:eastAsia="ja-JP"/>
        </w:rPr>
        <w:t xml:space="preserve"> the PBA)</w:t>
      </w:r>
      <w:r w:rsidRPr="00647752">
        <w:rPr>
          <w:rFonts w:ascii="Times New Roman" w:eastAsia="MS Mincho" w:hAnsi="Times New Roman" w:cs="Times New Roman"/>
          <w:sz w:val="22"/>
          <w:szCs w:val="24"/>
          <w:lang w:val="en-GB" w:eastAsia="ja-JP"/>
        </w:rPr>
        <w:t xml:space="preserve">. UNDP established legal aid clinics at </w:t>
      </w:r>
      <w:r w:rsidR="00E250CA">
        <w:rPr>
          <w:rFonts w:ascii="Times New Roman" w:eastAsia="MS Mincho" w:hAnsi="Times New Roman" w:cs="Times New Roman"/>
          <w:sz w:val="22"/>
          <w:szCs w:val="24"/>
          <w:lang w:val="en-GB" w:eastAsia="ja-JP"/>
        </w:rPr>
        <w:t xml:space="preserve">a </w:t>
      </w:r>
      <w:r w:rsidRPr="00647752">
        <w:rPr>
          <w:rFonts w:ascii="Times New Roman" w:eastAsia="MS Mincho" w:hAnsi="Times New Roman" w:cs="Times New Roman"/>
          <w:sz w:val="22"/>
          <w:szCs w:val="24"/>
          <w:lang w:val="en-GB" w:eastAsia="ja-JP"/>
        </w:rPr>
        <w:t>number of lea</w:t>
      </w:r>
      <w:r w:rsidR="006211DB">
        <w:rPr>
          <w:rFonts w:ascii="Times New Roman" w:eastAsia="MS Mincho" w:hAnsi="Times New Roman" w:cs="Times New Roman"/>
          <w:sz w:val="22"/>
          <w:szCs w:val="24"/>
          <w:lang w:val="en-GB" w:eastAsia="ja-JP"/>
        </w:rPr>
        <w:t xml:space="preserve">ding Palestinian universities. </w:t>
      </w:r>
      <w:r w:rsidRPr="00647752">
        <w:rPr>
          <w:rFonts w:ascii="Times New Roman" w:eastAsia="MS Mincho" w:hAnsi="Times New Roman" w:cs="Times New Roman"/>
          <w:sz w:val="22"/>
          <w:szCs w:val="24"/>
          <w:lang w:val="en-GB" w:eastAsia="ja-JP"/>
        </w:rPr>
        <w:t>The</w:t>
      </w:r>
      <w:r w:rsidR="00E250CA">
        <w:rPr>
          <w:rFonts w:ascii="Times New Roman" w:eastAsia="MS Mincho" w:hAnsi="Times New Roman" w:cs="Times New Roman"/>
          <w:sz w:val="22"/>
          <w:szCs w:val="24"/>
          <w:lang w:val="en-GB" w:eastAsia="ja-JP"/>
        </w:rPr>
        <w:t>se</w:t>
      </w:r>
      <w:r w:rsidRPr="00647752">
        <w:rPr>
          <w:rFonts w:ascii="Times New Roman" w:eastAsia="MS Mincho" w:hAnsi="Times New Roman" w:cs="Times New Roman"/>
          <w:sz w:val="22"/>
          <w:szCs w:val="24"/>
          <w:lang w:val="en-GB" w:eastAsia="ja-JP"/>
        </w:rPr>
        <w:t xml:space="preserve"> clinics play an important access to justice role by providing basic but valuable legal aid services to disadvantaged communities while ensuring that law students are able to put theory into practice at an early stage in their careers.  </w:t>
      </w:r>
    </w:p>
    <w:p w:rsidR="006211DB" w:rsidRPr="00647752" w:rsidRDefault="006211DB" w:rsidP="00FB6759">
      <w:pPr>
        <w:spacing w:after="0" w:line="240" w:lineRule="auto"/>
        <w:jc w:val="both"/>
        <w:rPr>
          <w:rFonts w:ascii="Times New Roman" w:eastAsia="MS Mincho" w:hAnsi="Times New Roman" w:cs="Times New Roman"/>
          <w:sz w:val="22"/>
          <w:szCs w:val="24"/>
          <w:lang w:val="en-GB" w:eastAsia="ja-JP"/>
        </w:rPr>
      </w:pPr>
    </w:p>
    <w:p w:rsidR="00053B6C" w:rsidRPr="006211DB" w:rsidRDefault="006211DB" w:rsidP="00FB6759">
      <w:pPr>
        <w:keepNext/>
        <w:keepLines/>
        <w:spacing w:after="0" w:line="240" w:lineRule="auto"/>
        <w:jc w:val="both"/>
        <w:outlineLvl w:val="2"/>
        <w:rPr>
          <w:rFonts w:ascii="Times New Roman" w:eastAsia="MS Gothic" w:hAnsi="Times New Roman" w:cs="Times New Roman"/>
          <w:bCs/>
          <w:sz w:val="22"/>
          <w:szCs w:val="22"/>
          <w:u w:val="single"/>
          <w:lang w:val="en-GB"/>
        </w:rPr>
      </w:pPr>
      <w:r>
        <w:rPr>
          <w:rFonts w:ascii="Times New Roman" w:eastAsia="MS Gothic" w:hAnsi="Times New Roman" w:cs="Times New Roman"/>
          <w:bCs/>
          <w:sz w:val="22"/>
          <w:szCs w:val="22"/>
          <w:u w:val="single"/>
          <w:lang w:val="en-GB"/>
        </w:rPr>
        <w:t xml:space="preserve">Outcome 3: </w:t>
      </w:r>
      <w:r w:rsidR="00053B6C" w:rsidRPr="006211DB">
        <w:rPr>
          <w:rFonts w:ascii="Times New Roman" w:eastAsia="MS Gothic" w:hAnsi="Times New Roman" w:cs="Times New Roman"/>
          <w:bCs/>
          <w:sz w:val="22"/>
          <w:szCs w:val="22"/>
          <w:u w:val="single"/>
          <w:lang w:val="en-GB"/>
        </w:rPr>
        <w:t>Gender and juvenile justice improved</w:t>
      </w:r>
    </w:p>
    <w:p w:rsidR="006211DB" w:rsidRDefault="006211DB"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 xml:space="preserve">Women’s rights and </w:t>
      </w:r>
      <w:r w:rsidR="006211DB">
        <w:rPr>
          <w:rFonts w:ascii="Times New Roman" w:eastAsia="MS Mincho" w:hAnsi="Times New Roman" w:cs="Times New Roman"/>
          <w:sz w:val="22"/>
          <w:szCs w:val="22"/>
          <w:lang w:val="en-GB" w:eastAsia="ja-JP"/>
        </w:rPr>
        <w:t>access to justice by women are</w:t>
      </w:r>
      <w:r w:rsidRPr="00647752">
        <w:rPr>
          <w:rFonts w:ascii="Times New Roman" w:eastAsia="MS Mincho" w:hAnsi="Times New Roman" w:cs="Times New Roman"/>
          <w:sz w:val="22"/>
          <w:szCs w:val="22"/>
          <w:lang w:val="en-GB" w:eastAsia="ja-JP"/>
        </w:rPr>
        <w:t xml:space="preserve"> important component</w:t>
      </w:r>
      <w:r w:rsidR="006211DB">
        <w:rPr>
          <w:rFonts w:ascii="Times New Roman" w:eastAsia="MS Mincho" w:hAnsi="Times New Roman" w:cs="Times New Roman"/>
          <w:sz w:val="22"/>
          <w:szCs w:val="22"/>
          <w:lang w:val="en-GB" w:eastAsia="ja-JP"/>
        </w:rPr>
        <w:t>s</w:t>
      </w:r>
      <w:r w:rsidRPr="00647752">
        <w:rPr>
          <w:rFonts w:ascii="Times New Roman" w:eastAsia="MS Mincho" w:hAnsi="Times New Roman" w:cs="Times New Roman"/>
          <w:sz w:val="22"/>
          <w:szCs w:val="22"/>
          <w:lang w:val="en-GB" w:eastAsia="ja-JP"/>
        </w:rPr>
        <w:t xml:space="preserve"> of the gove</w:t>
      </w:r>
      <w:r w:rsidR="006211DB">
        <w:rPr>
          <w:rFonts w:ascii="Times New Roman" w:eastAsia="MS Mincho" w:hAnsi="Times New Roman" w:cs="Times New Roman"/>
          <w:sz w:val="22"/>
          <w:szCs w:val="22"/>
          <w:lang w:val="en-GB" w:eastAsia="ja-JP"/>
        </w:rPr>
        <w:t xml:space="preserve">rnment’s state-building goals. </w:t>
      </w:r>
      <w:r w:rsidRPr="00647752">
        <w:rPr>
          <w:rFonts w:ascii="Times New Roman" w:eastAsia="MS Mincho" w:hAnsi="Times New Roman" w:cs="Times New Roman"/>
          <w:sz w:val="22"/>
          <w:szCs w:val="22"/>
          <w:lang w:val="en-GB" w:eastAsia="ja-JP"/>
        </w:rPr>
        <w:t>The same can be said for juvenile justice and the treatment of mi</w:t>
      </w:r>
      <w:r w:rsidR="006211DB">
        <w:rPr>
          <w:rFonts w:ascii="Times New Roman" w:eastAsia="MS Mincho" w:hAnsi="Times New Roman" w:cs="Times New Roman"/>
          <w:sz w:val="22"/>
          <w:szCs w:val="22"/>
          <w:lang w:val="en-GB" w:eastAsia="ja-JP"/>
        </w:rPr>
        <w:t xml:space="preserve">nors in conflict with the law. </w:t>
      </w:r>
      <w:r w:rsidRPr="00647752">
        <w:rPr>
          <w:rFonts w:ascii="Times New Roman" w:eastAsia="MS Mincho" w:hAnsi="Times New Roman" w:cs="Times New Roman"/>
          <w:sz w:val="22"/>
          <w:szCs w:val="22"/>
          <w:lang w:val="en-GB" w:eastAsia="ja-JP"/>
        </w:rPr>
        <w:t xml:space="preserve">UNDP has incorporated gender and juvenile justice initiatives into projects across </w:t>
      </w:r>
      <w:r w:rsidR="00E250CA">
        <w:rPr>
          <w:rFonts w:ascii="Times New Roman" w:eastAsia="MS Mincho" w:hAnsi="Times New Roman" w:cs="Times New Roman"/>
          <w:sz w:val="22"/>
          <w:szCs w:val="22"/>
          <w:lang w:val="en-GB" w:eastAsia="ja-JP"/>
        </w:rPr>
        <w:t>the different outcomes,</w:t>
      </w:r>
      <w:r w:rsidRPr="00647752">
        <w:rPr>
          <w:rFonts w:ascii="Times New Roman" w:eastAsia="MS Mincho" w:hAnsi="Times New Roman" w:cs="Times New Roman"/>
          <w:sz w:val="22"/>
          <w:szCs w:val="22"/>
          <w:lang w:val="en-GB" w:eastAsia="ja-JP"/>
        </w:rPr>
        <w:t xml:space="preserve"> in particular in its work with civil society and the rule of law institutions.</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053B6C" w:rsidP="00FB6759">
      <w:pPr>
        <w:spacing w:after="0" w:line="240" w:lineRule="auto"/>
        <w:jc w:val="both"/>
        <w:rPr>
          <w:rFonts w:ascii="Times New Roman" w:eastAsia="MS Mincho" w:hAnsi="Times New Roman" w:cs="Times New Roman"/>
          <w:sz w:val="22"/>
          <w:szCs w:val="24"/>
          <w:lang w:val="en-GB" w:eastAsia="ja-JP"/>
        </w:rPr>
      </w:pPr>
      <w:r w:rsidRPr="00647752">
        <w:rPr>
          <w:rFonts w:ascii="Times New Roman" w:eastAsia="MS Mincho" w:hAnsi="Times New Roman" w:cs="Times New Roman"/>
          <w:sz w:val="22"/>
          <w:szCs w:val="24"/>
          <w:lang w:val="en-GB" w:eastAsia="ja-JP"/>
        </w:rPr>
        <w:t>UNDP was heavily involved in ca</w:t>
      </w:r>
      <w:r w:rsidR="006211DB">
        <w:rPr>
          <w:rFonts w:ascii="Times New Roman" w:eastAsia="MS Mincho" w:hAnsi="Times New Roman" w:cs="Times New Roman"/>
          <w:sz w:val="22"/>
          <w:szCs w:val="24"/>
          <w:lang w:val="en-GB" w:eastAsia="ja-JP"/>
        </w:rPr>
        <w:t>pacity building for the MOJ staff and staff of other government institutions</w:t>
      </w:r>
      <w:r w:rsidRPr="00647752">
        <w:rPr>
          <w:rFonts w:ascii="Times New Roman" w:eastAsia="MS Mincho" w:hAnsi="Times New Roman" w:cs="Times New Roman"/>
          <w:sz w:val="22"/>
          <w:szCs w:val="24"/>
          <w:lang w:val="en-GB" w:eastAsia="ja-JP"/>
        </w:rPr>
        <w:t xml:space="preserve"> relating t</w:t>
      </w:r>
      <w:r w:rsidR="006211DB">
        <w:rPr>
          <w:rFonts w:ascii="Times New Roman" w:eastAsia="MS Mincho" w:hAnsi="Times New Roman" w:cs="Times New Roman"/>
          <w:sz w:val="22"/>
          <w:szCs w:val="24"/>
          <w:lang w:val="en-GB" w:eastAsia="ja-JP"/>
        </w:rPr>
        <w:t xml:space="preserve">o gender and juvenile justice. </w:t>
      </w:r>
      <w:r w:rsidRPr="00647752">
        <w:rPr>
          <w:rFonts w:ascii="Times New Roman" w:eastAsia="MS Mincho" w:hAnsi="Times New Roman" w:cs="Times New Roman"/>
          <w:sz w:val="22"/>
          <w:szCs w:val="24"/>
          <w:lang w:val="en-GB" w:eastAsia="ja-JP"/>
        </w:rPr>
        <w:t xml:space="preserve">UNDP experts </w:t>
      </w:r>
      <w:r w:rsidR="006211DB">
        <w:rPr>
          <w:rFonts w:ascii="Times New Roman" w:eastAsia="MS Mincho" w:hAnsi="Times New Roman" w:cs="Times New Roman"/>
          <w:sz w:val="22"/>
          <w:szCs w:val="24"/>
          <w:lang w:val="en-GB" w:eastAsia="ja-JP"/>
        </w:rPr>
        <w:t>developed and included specialis</w:t>
      </w:r>
      <w:r w:rsidRPr="00647752">
        <w:rPr>
          <w:rFonts w:ascii="Times New Roman" w:eastAsia="MS Mincho" w:hAnsi="Times New Roman" w:cs="Times New Roman"/>
          <w:sz w:val="22"/>
          <w:szCs w:val="24"/>
          <w:lang w:val="en-GB" w:eastAsia="ja-JP"/>
        </w:rPr>
        <w:t>ed s</w:t>
      </w:r>
      <w:r w:rsidR="00767C32">
        <w:rPr>
          <w:rFonts w:ascii="Times New Roman" w:eastAsia="MS Mincho" w:hAnsi="Times New Roman" w:cs="Times New Roman"/>
          <w:sz w:val="22"/>
          <w:szCs w:val="24"/>
          <w:lang w:val="en-GB" w:eastAsia="ja-JP"/>
        </w:rPr>
        <w:t xml:space="preserve">ubjects in </w:t>
      </w:r>
      <w:r w:rsidRPr="00647752">
        <w:rPr>
          <w:rFonts w:ascii="Times New Roman" w:eastAsia="MS Mincho" w:hAnsi="Times New Roman" w:cs="Times New Roman"/>
          <w:sz w:val="22"/>
          <w:szCs w:val="24"/>
          <w:lang w:val="en-GB" w:eastAsia="ja-JP"/>
        </w:rPr>
        <w:t>Birzeit University</w:t>
      </w:r>
      <w:r w:rsidR="00767C32">
        <w:rPr>
          <w:rFonts w:ascii="Times New Roman" w:eastAsia="MS Mincho" w:hAnsi="Times New Roman" w:cs="Times New Roman"/>
          <w:sz w:val="22"/>
          <w:szCs w:val="24"/>
          <w:lang w:val="en-GB" w:eastAsia="ja-JP"/>
        </w:rPr>
        <w:t>’s Legal Skills Diploma and MO</w:t>
      </w:r>
      <w:r w:rsidRPr="00647752">
        <w:rPr>
          <w:rFonts w:ascii="Times New Roman" w:eastAsia="MS Mincho" w:hAnsi="Times New Roman" w:cs="Times New Roman"/>
          <w:sz w:val="22"/>
          <w:szCs w:val="24"/>
          <w:lang w:val="en-GB" w:eastAsia="ja-JP"/>
        </w:rPr>
        <w:t>J staff was trained in gender and juvenile justice</w:t>
      </w:r>
      <w:r w:rsidR="00767C32">
        <w:rPr>
          <w:rFonts w:ascii="Times New Roman" w:eastAsia="MS Mincho" w:hAnsi="Times New Roman" w:cs="Times New Roman"/>
          <w:sz w:val="22"/>
          <w:szCs w:val="24"/>
          <w:lang w:val="en-GB" w:eastAsia="ja-JP"/>
        </w:rPr>
        <w:t xml:space="preserve">. </w:t>
      </w:r>
      <w:r w:rsidRPr="00647752">
        <w:rPr>
          <w:rFonts w:ascii="Times New Roman" w:eastAsia="MS Mincho" w:hAnsi="Times New Roman" w:cs="Times New Roman"/>
          <w:sz w:val="22"/>
          <w:szCs w:val="24"/>
          <w:lang w:val="en-GB" w:eastAsia="ja-JP"/>
        </w:rPr>
        <w:t>The U</w:t>
      </w:r>
      <w:r w:rsidR="00767C32">
        <w:rPr>
          <w:rFonts w:ascii="Times New Roman" w:eastAsia="MS Mincho" w:hAnsi="Times New Roman" w:cs="Times New Roman"/>
          <w:sz w:val="22"/>
          <w:szCs w:val="24"/>
          <w:lang w:val="en-GB" w:eastAsia="ja-JP"/>
        </w:rPr>
        <w:t>NDP Gender &amp; Juvenile Justice Expert at the MO</w:t>
      </w:r>
      <w:r w:rsidRPr="00647752">
        <w:rPr>
          <w:rFonts w:ascii="Times New Roman" w:eastAsia="MS Mincho" w:hAnsi="Times New Roman" w:cs="Times New Roman"/>
          <w:sz w:val="22"/>
          <w:szCs w:val="24"/>
          <w:lang w:val="en-GB" w:eastAsia="ja-JP"/>
        </w:rPr>
        <w:t>J also contribut</w:t>
      </w:r>
      <w:r w:rsidR="00E250CA">
        <w:rPr>
          <w:rFonts w:ascii="Times New Roman" w:eastAsia="MS Mincho" w:hAnsi="Times New Roman" w:cs="Times New Roman"/>
          <w:sz w:val="22"/>
          <w:szCs w:val="24"/>
          <w:lang w:val="en-GB" w:eastAsia="ja-JP"/>
        </w:rPr>
        <w:t xml:space="preserve">ed to ensuring that the </w:t>
      </w:r>
      <w:r w:rsidRPr="00647752">
        <w:rPr>
          <w:rFonts w:ascii="Times New Roman" w:eastAsia="MS Mincho" w:hAnsi="Times New Roman" w:cs="Times New Roman"/>
          <w:sz w:val="22"/>
          <w:szCs w:val="24"/>
          <w:lang w:val="en-GB" w:eastAsia="ja-JP"/>
        </w:rPr>
        <w:t xml:space="preserve">work undertaken </w:t>
      </w:r>
      <w:r w:rsidR="006906B3">
        <w:rPr>
          <w:rFonts w:ascii="Times New Roman" w:eastAsia="MS Mincho" w:hAnsi="Times New Roman" w:cs="Times New Roman"/>
          <w:sz w:val="22"/>
          <w:szCs w:val="24"/>
          <w:lang w:val="en-GB" w:eastAsia="ja-JP"/>
        </w:rPr>
        <w:t>by the Department of Forensic Medicine</w:t>
      </w:r>
      <w:r w:rsidRPr="00647752">
        <w:rPr>
          <w:rFonts w:ascii="Times New Roman" w:eastAsia="MS Mincho" w:hAnsi="Times New Roman" w:cs="Times New Roman"/>
          <w:sz w:val="22"/>
          <w:szCs w:val="24"/>
          <w:lang w:val="en-GB" w:eastAsia="ja-JP"/>
        </w:rPr>
        <w:t>, supported by UNODC, reflects g</w:t>
      </w:r>
      <w:r w:rsidR="006906B3">
        <w:rPr>
          <w:rFonts w:ascii="Times New Roman" w:eastAsia="MS Mincho" w:hAnsi="Times New Roman" w:cs="Times New Roman"/>
          <w:sz w:val="22"/>
          <w:szCs w:val="24"/>
          <w:lang w:val="en-GB" w:eastAsia="ja-JP"/>
        </w:rPr>
        <w:t xml:space="preserve">ender sensitivity and balance. </w:t>
      </w:r>
      <w:r w:rsidRPr="00647752">
        <w:rPr>
          <w:rFonts w:ascii="Times New Roman" w:eastAsia="MS Mincho" w:hAnsi="Times New Roman" w:cs="Times New Roman"/>
          <w:sz w:val="22"/>
          <w:szCs w:val="24"/>
          <w:lang w:val="en-GB" w:eastAsia="ja-JP"/>
        </w:rPr>
        <w:t>UNDP experts a</w:t>
      </w:r>
      <w:r w:rsidR="006906B3">
        <w:rPr>
          <w:rFonts w:ascii="Times New Roman" w:eastAsia="MS Mincho" w:hAnsi="Times New Roman" w:cs="Times New Roman"/>
          <w:sz w:val="22"/>
          <w:szCs w:val="24"/>
          <w:lang w:val="en-GB" w:eastAsia="ja-JP"/>
        </w:rPr>
        <w:t>lso clarified the role of the MOJ in the child p</w:t>
      </w:r>
      <w:r w:rsidRPr="00647752">
        <w:rPr>
          <w:rFonts w:ascii="Times New Roman" w:eastAsia="MS Mincho" w:hAnsi="Times New Roman" w:cs="Times New Roman"/>
          <w:sz w:val="22"/>
          <w:szCs w:val="24"/>
          <w:lang w:val="en-GB" w:eastAsia="ja-JP"/>
        </w:rPr>
        <w:t>rotecti</w:t>
      </w:r>
      <w:r w:rsidR="006906B3">
        <w:rPr>
          <w:rFonts w:ascii="Times New Roman" w:eastAsia="MS Mincho" w:hAnsi="Times New Roman" w:cs="Times New Roman"/>
          <w:sz w:val="22"/>
          <w:szCs w:val="24"/>
          <w:lang w:val="en-GB" w:eastAsia="ja-JP"/>
        </w:rPr>
        <w:t>on networks</w:t>
      </w:r>
      <w:r w:rsidRPr="00647752">
        <w:rPr>
          <w:rFonts w:ascii="Times New Roman" w:eastAsia="MS Mincho" w:hAnsi="Times New Roman" w:cs="Times New Roman"/>
          <w:sz w:val="22"/>
          <w:szCs w:val="24"/>
          <w:lang w:val="en-GB" w:eastAsia="ja-JP"/>
        </w:rPr>
        <w:t xml:space="preserve"> which coordinate</w:t>
      </w:r>
      <w:r w:rsidR="006906B3">
        <w:rPr>
          <w:rFonts w:ascii="Times New Roman" w:eastAsia="MS Mincho" w:hAnsi="Times New Roman" w:cs="Times New Roman"/>
          <w:sz w:val="22"/>
          <w:szCs w:val="24"/>
          <w:lang w:val="en-GB" w:eastAsia="ja-JP"/>
        </w:rPr>
        <w:t xml:space="preserve"> the efforts of the government</w:t>
      </w:r>
      <w:r w:rsidRPr="00647752">
        <w:rPr>
          <w:rFonts w:ascii="Times New Roman" w:eastAsia="MS Mincho" w:hAnsi="Times New Roman" w:cs="Times New Roman"/>
          <w:sz w:val="22"/>
          <w:szCs w:val="24"/>
          <w:lang w:val="en-GB" w:eastAsia="ja-JP"/>
        </w:rPr>
        <w:t xml:space="preserve"> and NGOs in child protection. </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 xml:space="preserve">On the legislative front, UNDP commissioned a </w:t>
      </w:r>
      <w:r w:rsidR="00BB6DFE" w:rsidRPr="00647752">
        <w:rPr>
          <w:rFonts w:ascii="Times New Roman" w:eastAsia="MS Mincho" w:hAnsi="Times New Roman" w:cs="Times New Roman"/>
          <w:sz w:val="22"/>
          <w:szCs w:val="22"/>
          <w:lang w:val="en-GB" w:eastAsia="ja-JP"/>
        </w:rPr>
        <w:t>well-written</w:t>
      </w:r>
      <w:r w:rsidRPr="00647752">
        <w:rPr>
          <w:rFonts w:ascii="Times New Roman" w:eastAsia="MS Mincho" w:hAnsi="Times New Roman" w:cs="Times New Roman"/>
          <w:sz w:val="22"/>
          <w:szCs w:val="22"/>
          <w:lang w:val="en-GB" w:eastAsia="ja-JP"/>
        </w:rPr>
        <w:t xml:space="preserve"> legislative analysis entitled, “A Review of Palestinian Legislation from a Women’s Rights Perspe</w:t>
      </w:r>
      <w:r w:rsidR="006906B3">
        <w:rPr>
          <w:rFonts w:ascii="Times New Roman" w:eastAsia="MS Mincho" w:hAnsi="Times New Roman" w:cs="Times New Roman"/>
          <w:sz w:val="22"/>
          <w:szCs w:val="22"/>
          <w:lang w:val="en-GB" w:eastAsia="ja-JP"/>
        </w:rPr>
        <w:t xml:space="preserve">ctive” (March 2012). </w:t>
      </w:r>
      <w:r w:rsidRPr="00647752">
        <w:rPr>
          <w:rFonts w:ascii="Times New Roman" w:eastAsia="MS Mincho" w:hAnsi="Times New Roman" w:cs="Times New Roman"/>
          <w:sz w:val="22"/>
          <w:szCs w:val="22"/>
          <w:lang w:val="en-GB" w:eastAsia="ja-JP"/>
        </w:rPr>
        <w:t xml:space="preserve">The review provides a comprehensive </w:t>
      </w:r>
      <w:r w:rsidR="00BB6DFE" w:rsidRPr="00647752">
        <w:rPr>
          <w:rFonts w:ascii="Times New Roman" w:eastAsia="MS Mincho" w:hAnsi="Times New Roman" w:cs="Times New Roman"/>
          <w:sz w:val="22"/>
          <w:szCs w:val="22"/>
          <w:lang w:val="en-GB" w:eastAsia="ja-JP"/>
        </w:rPr>
        <w:t>resource</w:t>
      </w:r>
      <w:r w:rsidRPr="00647752">
        <w:rPr>
          <w:rFonts w:ascii="Times New Roman" w:eastAsia="MS Mincho" w:hAnsi="Times New Roman" w:cs="Times New Roman"/>
          <w:sz w:val="22"/>
          <w:szCs w:val="22"/>
          <w:lang w:val="en-GB" w:eastAsia="ja-JP"/>
        </w:rPr>
        <w:t xml:space="preserve"> for Palestinian legislators to use in their drafting of legislation going forward; it also provides a ration</w:t>
      </w:r>
      <w:r w:rsidR="00E250CA">
        <w:rPr>
          <w:rFonts w:ascii="Times New Roman" w:eastAsia="MS Mincho" w:hAnsi="Times New Roman" w:cs="Times New Roman"/>
          <w:sz w:val="22"/>
          <w:szCs w:val="22"/>
          <w:lang w:val="en-GB" w:eastAsia="ja-JP"/>
        </w:rPr>
        <w:t xml:space="preserve">ale for rights litigation </w:t>
      </w:r>
      <w:r w:rsidRPr="00647752">
        <w:rPr>
          <w:rFonts w:ascii="Times New Roman" w:eastAsia="MS Mincho" w:hAnsi="Times New Roman" w:cs="Times New Roman"/>
          <w:sz w:val="22"/>
          <w:szCs w:val="22"/>
          <w:lang w:val="en-GB" w:eastAsia="ja-JP"/>
        </w:rPr>
        <w:t xml:space="preserve">by drawing explicit links between gender rights provisions in existing laws to provisions of the Convention on the Elimination of All Forms of Discrimination Against Women (CEDAW) that the government has ratified.  </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Such legislative “gap” analysis represents a best practice by UNDP and should encourage donors to fund more whitepapers and studies going forward. UNDP must ensure, however</w:t>
      </w:r>
      <w:r w:rsidR="00BB6DFE" w:rsidRPr="00647752">
        <w:rPr>
          <w:rFonts w:ascii="Times New Roman" w:eastAsia="MS Mincho" w:hAnsi="Times New Roman" w:cs="Times New Roman"/>
          <w:sz w:val="22"/>
          <w:szCs w:val="22"/>
          <w:lang w:val="en-GB" w:eastAsia="ja-JP"/>
        </w:rPr>
        <w:t>, that</w:t>
      </w:r>
      <w:r w:rsidR="006906B3">
        <w:rPr>
          <w:rFonts w:ascii="Times New Roman" w:eastAsia="MS Mincho" w:hAnsi="Times New Roman" w:cs="Times New Roman"/>
          <w:sz w:val="22"/>
          <w:szCs w:val="22"/>
          <w:lang w:val="en-GB" w:eastAsia="ja-JP"/>
        </w:rPr>
        <w:t xml:space="preserve"> such studies are synergis</w:t>
      </w:r>
      <w:r w:rsidRPr="00647752">
        <w:rPr>
          <w:rFonts w:ascii="Times New Roman" w:eastAsia="MS Mincho" w:hAnsi="Times New Roman" w:cs="Times New Roman"/>
          <w:sz w:val="22"/>
          <w:szCs w:val="22"/>
          <w:lang w:val="en-GB" w:eastAsia="ja-JP"/>
        </w:rPr>
        <w:t>ed with other areas of the UNDP Governance Uni</w:t>
      </w:r>
      <w:r w:rsidR="00E250CA">
        <w:rPr>
          <w:rFonts w:ascii="Times New Roman" w:eastAsia="MS Mincho" w:hAnsi="Times New Roman" w:cs="Times New Roman"/>
          <w:sz w:val="22"/>
          <w:szCs w:val="22"/>
          <w:lang w:val="en-GB" w:eastAsia="ja-JP"/>
        </w:rPr>
        <w:t>t and tied to other outputs</w:t>
      </w:r>
      <w:r w:rsidR="006906B3">
        <w:rPr>
          <w:rFonts w:ascii="Times New Roman" w:eastAsia="MS Mincho" w:hAnsi="Times New Roman" w:cs="Times New Roman"/>
          <w:sz w:val="22"/>
          <w:szCs w:val="22"/>
          <w:lang w:val="en-GB" w:eastAsia="ja-JP"/>
        </w:rPr>
        <w:t xml:space="preserve">. </w:t>
      </w:r>
      <w:r w:rsidRPr="00647752">
        <w:rPr>
          <w:rFonts w:ascii="Times New Roman" w:eastAsia="MS Mincho" w:hAnsi="Times New Roman" w:cs="Times New Roman"/>
          <w:sz w:val="22"/>
          <w:szCs w:val="22"/>
          <w:lang w:val="en-GB" w:eastAsia="ja-JP"/>
        </w:rPr>
        <w:t xml:space="preserve">Overall, UNDP should be moving </w:t>
      </w:r>
      <w:r w:rsidR="00BB6DFE" w:rsidRPr="00647752">
        <w:rPr>
          <w:rFonts w:ascii="Times New Roman" w:eastAsia="MS Mincho" w:hAnsi="Times New Roman" w:cs="Times New Roman"/>
          <w:sz w:val="22"/>
          <w:szCs w:val="22"/>
          <w:lang w:val="en-GB" w:eastAsia="ja-JP"/>
        </w:rPr>
        <w:t xml:space="preserve">both technical legal analysis, as well as </w:t>
      </w:r>
      <w:r w:rsidR="006906B3">
        <w:rPr>
          <w:rFonts w:ascii="Times New Roman" w:eastAsia="MS Mincho" w:hAnsi="Times New Roman" w:cs="Times New Roman"/>
          <w:sz w:val="22"/>
          <w:szCs w:val="22"/>
          <w:lang w:val="en-GB" w:eastAsia="ja-JP"/>
        </w:rPr>
        <w:t>lessons learned from its grass</w:t>
      </w:r>
      <w:r w:rsidRPr="00647752">
        <w:rPr>
          <w:rFonts w:ascii="Times New Roman" w:eastAsia="MS Mincho" w:hAnsi="Times New Roman" w:cs="Times New Roman"/>
          <w:sz w:val="22"/>
          <w:szCs w:val="22"/>
          <w:lang w:val="en-GB" w:eastAsia="ja-JP"/>
        </w:rPr>
        <w:t>roots legal initiatives “up” to the policy level</w:t>
      </w:r>
      <w:r w:rsidR="00BB6DFE" w:rsidRPr="00647752">
        <w:rPr>
          <w:rFonts w:ascii="Times New Roman" w:eastAsia="MS Mincho" w:hAnsi="Times New Roman" w:cs="Times New Roman"/>
          <w:sz w:val="22"/>
          <w:szCs w:val="22"/>
          <w:lang w:val="en-GB" w:eastAsia="ja-JP"/>
        </w:rPr>
        <w:t xml:space="preserve"> on a regular basis</w:t>
      </w:r>
      <w:r w:rsidRPr="00647752">
        <w:rPr>
          <w:rFonts w:ascii="Times New Roman" w:eastAsia="MS Mincho" w:hAnsi="Times New Roman" w:cs="Times New Roman"/>
          <w:sz w:val="22"/>
          <w:szCs w:val="22"/>
          <w:lang w:val="en-GB" w:eastAsia="ja-JP"/>
        </w:rPr>
        <w:t>.</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BB6DFE"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 xml:space="preserve">During the programming period, </w:t>
      </w:r>
      <w:r w:rsidR="00053B6C" w:rsidRPr="00647752">
        <w:rPr>
          <w:rFonts w:ascii="Times New Roman" w:eastAsia="MS Mincho" w:hAnsi="Times New Roman" w:cs="Times New Roman"/>
          <w:sz w:val="22"/>
          <w:szCs w:val="22"/>
          <w:lang w:val="en-GB" w:eastAsia="ja-JP"/>
        </w:rPr>
        <w:t>UNDP also assis</w:t>
      </w:r>
      <w:r w:rsidR="00C95059">
        <w:rPr>
          <w:rFonts w:ascii="Times New Roman" w:eastAsia="MS Mincho" w:hAnsi="Times New Roman" w:cs="Times New Roman"/>
          <w:sz w:val="22"/>
          <w:szCs w:val="22"/>
          <w:lang w:val="en-GB" w:eastAsia="ja-JP"/>
        </w:rPr>
        <w:t>ted a committee headed by the MO</w:t>
      </w:r>
      <w:r w:rsidR="00053B6C" w:rsidRPr="00647752">
        <w:rPr>
          <w:rFonts w:ascii="Times New Roman" w:eastAsia="MS Mincho" w:hAnsi="Times New Roman" w:cs="Times New Roman"/>
          <w:sz w:val="22"/>
          <w:szCs w:val="22"/>
          <w:lang w:val="en-GB" w:eastAsia="ja-JP"/>
        </w:rPr>
        <w:t>J that reviewed legislation for gende</w:t>
      </w:r>
      <w:r w:rsidR="00E250CA">
        <w:rPr>
          <w:rFonts w:ascii="Times New Roman" w:eastAsia="MS Mincho" w:hAnsi="Times New Roman" w:cs="Times New Roman"/>
          <w:sz w:val="22"/>
          <w:szCs w:val="22"/>
          <w:lang w:val="en-GB" w:eastAsia="ja-JP"/>
        </w:rPr>
        <w:t>r sensitivity</w:t>
      </w:r>
      <w:r w:rsidR="00053B6C" w:rsidRPr="00647752">
        <w:rPr>
          <w:rFonts w:ascii="Times New Roman" w:eastAsia="MS Mincho" w:hAnsi="Times New Roman" w:cs="Times New Roman"/>
          <w:sz w:val="22"/>
          <w:szCs w:val="22"/>
          <w:lang w:val="en-GB" w:eastAsia="ja-JP"/>
        </w:rPr>
        <w:t xml:space="preserve">. </w:t>
      </w:r>
      <w:r w:rsidR="00C95059">
        <w:rPr>
          <w:rFonts w:ascii="Times New Roman" w:eastAsia="MS Mincho" w:hAnsi="Times New Roman" w:cs="Times New Roman"/>
          <w:sz w:val="22"/>
          <w:szCs w:val="22"/>
          <w:lang w:val="en-GB" w:eastAsia="ja-JP"/>
        </w:rPr>
        <w:t>UNDP supported experts at the MO</w:t>
      </w:r>
      <w:r w:rsidR="00053B6C" w:rsidRPr="00647752">
        <w:rPr>
          <w:rFonts w:ascii="Times New Roman" w:eastAsia="MS Mincho" w:hAnsi="Times New Roman" w:cs="Times New Roman"/>
          <w:sz w:val="22"/>
          <w:szCs w:val="22"/>
          <w:lang w:val="en-GB" w:eastAsia="ja-JP"/>
        </w:rPr>
        <w:t>J participated in the review of four laws relating to gender and reviewed other legislation relating to gender justice.</w:t>
      </w:r>
      <w:r w:rsidR="00C95059">
        <w:rPr>
          <w:rFonts w:ascii="Times New Roman" w:eastAsia="MS Mincho" w:hAnsi="Times New Roman" w:cs="Times New Roman"/>
          <w:sz w:val="22"/>
          <w:szCs w:val="22"/>
          <w:lang w:val="en-GB" w:eastAsia="ja-JP"/>
        </w:rPr>
        <w:t xml:space="preserve"> UNDP support to MO</w:t>
      </w:r>
      <w:r w:rsidR="00053B6C" w:rsidRPr="00647752">
        <w:rPr>
          <w:rFonts w:ascii="Times New Roman" w:eastAsia="MS Mincho" w:hAnsi="Times New Roman" w:cs="Times New Roman"/>
          <w:sz w:val="22"/>
          <w:szCs w:val="22"/>
          <w:lang w:val="en-GB" w:eastAsia="ja-JP"/>
        </w:rPr>
        <w:t>J resulted in inputs on the National Strategy on the Eradication of Violence</w:t>
      </w:r>
      <w:r w:rsidR="00E250CA">
        <w:rPr>
          <w:rFonts w:ascii="Times New Roman" w:eastAsia="MS Mincho" w:hAnsi="Times New Roman" w:cs="Times New Roman"/>
          <w:sz w:val="22"/>
          <w:szCs w:val="22"/>
          <w:lang w:val="en-GB" w:eastAsia="ja-JP"/>
        </w:rPr>
        <w:t xml:space="preserve"> Against Women (adopted in 2010</w:t>
      </w:r>
      <w:r w:rsidR="00053B6C" w:rsidRPr="00647752">
        <w:rPr>
          <w:rFonts w:ascii="Times New Roman" w:eastAsia="MS Mincho" w:hAnsi="Times New Roman" w:cs="Times New Roman"/>
          <w:sz w:val="22"/>
          <w:szCs w:val="22"/>
          <w:lang w:val="en-GB" w:eastAsia="ja-JP"/>
        </w:rPr>
        <w:t>) and the Gender and Juv</w:t>
      </w:r>
      <w:r w:rsidR="00C95059">
        <w:rPr>
          <w:rFonts w:ascii="Times New Roman" w:eastAsia="MS Mincho" w:hAnsi="Times New Roman" w:cs="Times New Roman"/>
          <w:sz w:val="22"/>
          <w:szCs w:val="22"/>
          <w:lang w:val="en-GB" w:eastAsia="ja-JP"/>
        </w:rPr>
        <w:t>enile Justice Strategy (</w:t>
      </w:r>
      <w:r w:rsidR="00E250CA">
        <w:rPr>
          <w:rFonts w:ascii="Times New Roman" w:eastAsia="MS Mincho" w:hAnsi="Times New Roman" w:cs="Times New Roman"/>
          <w:sz w:val="22"/>
          <w:szCs w:val="22"/>
          <w:lang w:val="en-GB" w:eastAsia="ja-JP"/>
        </w:rPr>
        <w:t xml:space="preserve">adopted in </w:t>
      </w:r>
      <w:r w:rsidR="00C95059">
        <w:rPr>
          <w:rFonts w:ascii="Times New Roman" w:eastAsia="MS Mincho" w:hAnsi="Times New Roman" w:cs="Times New Roman"/>
          <w:sz w:val="22"/>
          <w:szCs w:val="22"/>
          <w:lang w:val="en-GB" w:eastAsia="ja-JP"/>
        </w:rPr>
        <w:t>2011).</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lastRenderedPageBreak/>
        <w:t>UNDP succe</w:t>
      </w:r>
      <w:r w:rsidR="00E250CA">
        <w:rPr>
          <w:rFonts w:ascii="Times New Roman" w:eastAsia="MS Mincho" w:hAnsi="Times New Roman" w:cs="Times New Roman"/>
          <w:sz w:val="22"/>
          <w:szCs w:val="22"/>
          <w:lang w:val="en-GB" w:eastAsia="ja-JP"/>
        </w:rPr>
        <w:t xml:space="preserve">ssfully addressed the needs of </w:t>
      </w:r>
      <w:r w:rsidRPr="00647752">
        <w:rPr>
          <w:rFonts w:ascii="Times New Roman" w:eastAsia="MS Mincho" w:hAnsi="Times New Roman" w:cs="Times New Roman"/>
          <w:sz w:val="22"/>
          <w:szCs w:val="22"/>
          <w:lang w:val="en-GB" w:eastAsia="ja-JP"/>
        </w:rPr>
        <w:t>GBV survivors by supporting the development of draft strategies, action plans and indicators on gender and juvenile justice and by supporting the implementation of the government’s Gender-Based Violence Strategy. It has also supported government program</w:t>
      </w:r>
      <w:r w:rsidR="00E250CA">
        <w:rPr>
          <w:rFonts w:ascii="Times New Roman" w:eastAsia="MS Mincho" w:hAnsi="Times New Roman" w:cs="Times New Roman"/>
          <w:sz w:val="22"/>
          <w:szCs w:val="22"/>
          <w:lang w:val="en-GB" w:eastAsia="ja-JP"/>
        </w:rPr>
        <w:t>me</w:t>
      </w:r>
      <w:r w:rsidRPr="00647752">
        <w:rPr>
          <w:rFonts w:ascii="Times New Roman" w:eastAsia="MS Mincho" w:hAnsi="Times New Roman" w:cs="Times New Roman"/>
          <w:sz w:val="22"/>
          <w:szCs w:val="22"/>
          <w:lang w:val="en-GB" w:eastAsia="ja-JP"/>
        </w:rPr>
        <w:t>s aimed at providing greater access to justice f</w:t>
      </w:r>
      <w:r w:rsidR="00E250CA">
        <w:rPr>
          <w:rFonts w:ascii="Times New Roman" w:eastAsia="MS Mincho" w:hAnsi="Times New Roman" w:cs="Times New Roman"/>
          <w:sz w:val="22"/>
          <w:szCs w:val="22"/>
          <w:lang w:val="en-GB" w:eastAsia="ja-JP"/>
        </w:rPr>
        <w:t xml:space="preserve">or women, including victims of </w:t>
      </w:r>
      <w:r w:rsidRPr="00647752">
        <w:rPr>
          <w:rFonts w:ascii="Times New Roman" w:eastAsia="MS Mincho" w:hAnsi="Times New Roman" w:cs="Times New Roman"/>
          <w:sz w:val="22"/>
          <w:szCs w:val="22"/>
          <w:lang w:val="en-GB" w:eastAsia="ja-JP"/>
        </w:rPr>
        <w:t xml:space="preserve">GBV. </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p>
    <w:p w:rsidR="00532AAC"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UNDP helped to enable women who have divorced their husbands to secure financial maintenance through its support for th</w:t>
      </w:r>
      <w:r w:rsidR="00E250CA">
        <w:rPr>
          <w:rFonts w:ascii="Times New Roman" w:eastAsia="MS Mincho" w:hAnsi="Times New Roman" w:cs="Times New Roman"/>
          <w:sz w:val="22"/>
          <w:szCs w:val="22"/>
          <w:lang w:val="en-GB" w:eastAsia="ja-JP"/>
        </w:rPr>
        <w:t>e PMF. UNDP support to the PMF began in late 2011</w:t>
      </w:r>
      <w:r w:rsidRPr="00647752">
        <w:rPr>
          <w:rFonts w:ascii="Times New Roman" w:eastAsia="MS Mincho" w:hAnsi="Times New Roman" w:cs="Times New Roman"/>
          <w:sz w:val="22"/>
          <w:szCs w:val="22"/>
          <w:lang w:val="en-GB" w:eastAsia="ja-JP"/>
        </w:rPr>
        <w:t xml:space="preserve"> but has already resulted in changes within the execution departm</w:t>
      </w:r>
      <w:r w:rsidR="00E250CA">
        <w:rPr>
          <w:rFonts w:ascii="Times New Roman" w:eastAsia="MS Mincho" w:hAnsi="Times New Roman" w:cs="Times New Roman"/>
          <w:sz w:val="22"/>
          <w:szCs w:val="22"/>
          <w:lang w:val="en-GB" w:eastAsia="ja-JP"/>
        </w:rPr>
        <w:t xml:space="preserve">ents of the civil courts, </w:t>
      </w:r>
      <w:r w:rsidRPr="00647752">
        <w:rPr>
          <w:rFonts w:ascii="Times New Roman" w:eastAsia="MS Mincho" w:hAnsi="Times New Roman" w:cs="Times New Roman"/>
          <w:sz w:val="22"/>
          <w:szCs w:val="22"/>
          <w:lang w:val="en-GB" w:eastAsia="ja-JP"/>
        </w:rPr>
        <w:t>impacting upon the lives of thousands of Palestinian women. According to the PMF, UNDP support and technical assistance improved the operations</w:t>
      </w:r>
      <w:r w:rsidR="00532AAC">
        <w:rPr>
          <w:rFonts w:ascii="Times New Roman" w:eastAsia="MS Mincho" w:hAnsi="Times New Roman" w:cs="Times New Roman"/>
          <w:sz w:val="22"/>
          <w:szCs w:val="22"/>
          <w:lang w:val="en-GB" w:eastAsia="ja-JP"/>
        </w:rPr>
        <w:t xml:space="preserve"> of the agency and its ability</w:t>
      </w:r>
      <w:r w:rsidRPr="00647752">
        <w:rPr>
          <w:rFonts w:ascii="Times New Roman" w:eastAsia="MS Mincho" w:hAnsi="Times New Roman" w:cs="Times New Roman"/>
          <w:sz w:val="22"/>
          <w:szCs w:val="22"/>
          <w:lang w:val="en-GB" w:eastAsia="ja-JP"/>
        </w:rPr>
        <w:t xml:space="preserve"> to communicate more effectively with other agencies of government. The </w:t>
      </w:r>
      <w:r w:rsidR="00532AAC">
        <w:rPr>
          <w:rFonts w:ascii="Times New Roman" w:eastAsia="MS Mincho" w:hAnsi="Times New Roman" w:cs="Times New Roman"/>
          <w:sz w:val="22"/>
          <w:szCs w:val="22"/>
          <w:lang w:val="en-GB" w:eastAsia="ja-JP"/>
        </w:rPr>
        <w:t>resulting improvements in inter-</w:t>
      </w:r>
      <w:r w:rsidRPr="00647752">
        <w:rPr>
          <w:rFonts w:ascii="Times New Roman" w:eastAsia="MS Mincho" w:hAnsi="Times New Roman" w:cs="Times New Roman"/>
          <w:sz w:val="22"/>
          <w:szCs w:val="22"/>
          <w:lang w:val="en-GB" w:eastAsia="ja-JP"/>
        </w:rPr>
        <w:t xml:space="preserve">agency relations and information sharing have allowed </w:t>
      </w:r>
      <w:r w:rsidR="00532AAC">
        <w:rPr>
          <w:rFonts w:ascii="Times New Roman" w:eastAsia="MS Mincho" w:hAnsi="Times New Roman" w:cs="Times New Roman"/>
          <w:sz w:val="22"/>
          <w:szCs w:val="22"/>
          <w:lang w:val="en-GB" w:eastAsia="ja-JP"/>
        </w:rPr>
        <w:t xml:space="preserve">the </w:t>
      </w:r>
      <w:r w:rsidRPr="00647752">
        <w:rPr>
          <w:rFonts w:ascii="Times New Roman" w:eastAsia="MS Mincho" w:hAnsi="Times New Roman" w:cs="Times New Roman"/>
          <w:sz w:val="22"/>
          <w:szCs w:val="22"/>
          <w:lang w:val="en-GB" w:eastAsia="ja-JP"/>
        </w:rPr>
        <w:t xml:space="preserve">PMF to better track the locations of the men who owe maintenance and take effective action against them. </w:t>
      </w:r>
      <w:r w:rsidR="00532AAC">
        <w:rPr>
          <w:rFonts w:ascii="Times New Roman" w:eastAsia="MS Mincho" w:hAnsi="Times New Roman" w:cs="Times New Roman"/>
          <w:sz w:val="22"/>
          <w:szCs w:val="22"/>
          <w:lang w:val="en-GB" w:eastAsia="ja-JP"/>
        </w:rPr>
        <w:t xml:space="preserve">According to the </w:t>
      </w:r>
      <w:r w:rsidRPr="00647752">
        <w:rPr>
          <w:rFonts w:ascii="Times New Roman" w:eastAsia="MS Mincho" w:hAnsi="Times New Roman" w:cs="Times New Roman"/>
          <w:sz w:val="22"/>
          <w:szCs w:val="22"/>
          <w:lang w:val="en-GB" w:eastAsia="ja-JP"/>
        </w:rPr>
        <w:t>PMF</w:t>
      </w:r>
      <w:r w:rsidR="00532AAC">
        <w:rPr>
          <w:rFonts w:ascii="Times New Roman" w:eastAsia="MS Mincho" w:hAnsi="Times New Roman" w:cs="Times New Roman"/>
          <w:sz w:val="22"/>
          <w:szCs w:val="22"/>
          <w:lang w:val="en-GB" w:eastAsia="ja-JP"/>
        </w:rPr>
        <w:t>, retrieval rates have improved dramatically since late 2011.</w:t>
      </w:r>
    </w:p>
    <w:p w:rsidR="00532AAC" w:rsidRDefault="00532AAC"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BB6DFE"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Meanwhile, at</w:t>
      </w:r>
      <w:r w:rsidR="00053B6C" w:rsidRPr="00647752">
        <w:rPr>
          <w:rFonts w:ascii="Times New Roman" w:eastAsia="MS Mincho" w:hAnsi="Times New Roman" w:cs="Times New Roman"/>
          <w:sz w:val="22"/>
          <w:szCs w:val="22"/>
          <w:lang w:val="en-GB" w:eastAsia="ja-JP"/>
        </w:rPr>
        <w:t xml:space="preserve"> the law enforcement level, the UNDP/EUPOL COPPS Joint Programme helped the Palestinian police establish a Gender Unit, the first of its kind in the Arab world. The unit is designed to promote and integrate issues related to gen</w:t>
      </w:r>
      <w:r w:rsidR="00532AAC">
        <w:rPr>
          <w:rFonts w:ascii="Times New Roman" w:eastAsia="MS Mincho" w:hAnsi="Times New Roman" w:cs="Times New Roman"/>
          <w:sz w:val="22"/>
          <w:szCs w:val="22"/>
          <w:lang w:val="en-GB" w:eastAsia="ja-JP"/>
        </w:rPr>
        <w:t xml:space="preserve">der throughout the police force - </w:t>
      </w:r>
      <w:r w:rsidR="00053B6C" w:rsidRPr="00647752">
        <w:rPr>
          <w:rFonts w:ascii="Times New Roman" w:eastAsia="MS Mincho" w:hAnsi="Times New Roman" w:cs="Times New Roman"/>
          <w:sz w:val="22"/>
          <w:szCs w:val="22"/>
          <w:lang w:val="en-GB" w:eastAsia="ja-JP"/>
        </w:rPr>
        <w:t>including, presumably, sensitivity to</w:t>
      </w:r>
      <w:r w:rsidR="00532AAC">
        <w:rPr>
          <w:rFonts w:ascii="Times New Roman" w:eastAsia="MS Mincho" w:hAnsi="Times New Roman" w:cs="Times New Roman"/>
          <w:sz w:val="22"/>
          <w:szCs w:val="22"/>
          <w:lang w:val="en-GB" w:eastAsia="ja-JP"/>
        </w:rPr>
        <w:t xml:space="preserve"> GBV issues</w:t>
      </w:r>
      <w:r w:rsidR="00053B6C" w:rsidRPr="00647752">
        <w:rPr>
          <w:rFonts w:ascii="Times New Roman" w:eastAsia="MS Mincho" w:hAnsi="Times New Roman" w:cs="Times New Roman"/>
          <w:sz w:val="22"/>
          <w:szCs w:val="22"/>
          <w:lang w:val="en-GB" w:eastAsia="ja-JP"/>
        </w:rPr>
        <w:t>.</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 xml:space="preserve">In addition to the support rendered to juvenile detainees </w:t>
      </w:r>
      <w:r w:rsidR="00532AAC">
        <w:rPr>
          <w:rFonts w:ascii="Times New Roman" w:eastAsia="MS Mincho" w:hAnsi="Times New Roman" w:cs="Times New Roman"/>
          <w:sz w:val="22"/>
          <w:szCs w:val="22"/>
          <w:lang w:val="en-GB" w:eastAsia="ja-JP"/>
        </w:rPr>
        <w:t xml:space="preserve">via the CSI, UNDP programme </w:t>
      </w:r>
      <w:r w:rsidRPr="00647752">
        <w:rPr>
          <w:rFonts w:ascii="Times New Roman" w:eastAsia="MS Mincho" w:hAnsi="Times New Roman" w:cs="Times New Roman"/>
          <w:sz w:val="22"/>
          <w:szCs w:val="22"/>
          <w:lang w:val="en-GB" w:eastAsia="ja-JP"/>
        </w:rPr>
        <w:t>staff rendered technica</w:t>
      </w:r>
      <w:r w:rsidR="00532AAC">
        <w:rPr>
          <w:rFonts w:ascii="Times New Roman" w:eastAsia="MS Mincho" w:hAnsi="Times New Roman" w:cs="Times New Roman"/>
          <w:sz w:val="22"/>
          <w:szCs w:val="22"/>
          <w:lang w:val="en-GB" w:eastAsia="ja-JP"/>
        </w:rPr>
        <w:t xml:space="preserve">l assistance directly to the </w:t>
      </w:r>
      <w:r w:rsidRPr="00647752">
        <w:rPr>
          <w:rFonts w:ascii="Times New Roman" w:eastAsia="MS Mincho" w:hAnsi="Times New Roman" w:cs="Times New Roman"/>
          <w:sz w:val="22"/>
          <w:szCs w:val="22"/>
          <w:lang w:val="en-GB" w:eastAsia="ja-JP"/>
        </w:rPr>
        <w:t xml:space="preserve">Ministry of Social Affairs and the </w:t>
      </w:r>
      <w:r w:rsidR="00532AAC">
        <w:rPr>
          <w:rFonts w:ascii="Times New Roman" w:eastAsia="MS Mincho" w:hAnsi="Times New Roman" w:cs="Times New Roman"/>
          <w:i/>
          <w:sz w:val="22"/>
          <w:szCs w:val="22"/>
          <w:lang w:val="en-GB" w:eastAsia="ja-JP"/>
        </w:rPr>
        <w:t>Dar Al-</w:t>
      </w:r>
      <w:r w:rsidRPr="00647752">
        <w:rPr>
          <w:rFonts w:ascii="Times New Roman" w:eastAsia="MS Mincho" w:hAnsi="Times New Roman" w:cs="Times New Roman"/>
          <w:i/>
          <w:sz w:val="22"/>
          <w:szCs w:val="22"/>
          <w:lang w:val="en-GB" w:eastAsia="ja-JP"/>
        </w:rPr>
        <w:t>Amal</w:t>
      </w:r>
      <w:r w:rsidR="00227679">
        <w:rPr>
          <w:rFonts w:ascii="Times New Roman" w:eastAsia="MS Mincho" w:hAnsi="Times New Roman" w:cs="Times New Roman"/>
          <w:i/>
          <w:sz w:val="22"/>
          <w:szCs w:val="22"/>
          <w:lang w:val="en-GB" w:eastAsia="ja-JP"/>
        </w:rPr>
        <w:t xml:space="preserve"> </w:t>
      </w:r>
      <w:r w:rsidR="00532AAC">
        <w:rPr>
          <w:rFonts w:ascii="Times New Roman" w:eastAsia="MS Mincho" w:hAnsi="Times New Roman" w:cs="Times New Roman"/>
          <w:sz w:val="22"/>
          <w:szCs w:val="22"/>
          <w:lang w:val="en-GB" w:eastAsia="ja-JP"/>
        </w:rPr>
        <w:t xml:space="preserve">Juvenile Rehabilitation Centre in Ramallah </w:t>
      </w:r>
      <w:r w:rsidRPr="00647752">
        <w:rPr>
          <w:rFonts w:ascii="Times New Roman" w:eastAsia="MS Mincho" w:hAnsi="Times New Roman" w:cs="Times New Roman"/>
          <w:sz w:val="22"/>
          <w:szCs w:val="22"/>
          <w:lang w:val="en-GB" w:eastAsia="ja-JP"/>
        </w:rPr>
        <w:t>in their efforts to come into conformity with</w:t>
      </w:r>
      <w:r w:rsidR="00532AAC">
        <w:rPr>
          <w:rFonts w:ascii="Times New Roman" w:eastAsia="MS Mincho" w:hAnsi="Times New Roman" w:cs="Times New Roman"/>
          <w:sz w:val="22"/>
          <w:szCs w:val="22"/>
          <w:lang w:val="en-GB" w:eastAsia="ja-JP"/>
        </w:rPr>
        <w:t xml:space="preserve"> international best practices. In conjunction with UNICEF, UNDP assisted MO</w:t>
      </w:r>
      <w:r w:rsidRPr="00647752">
        <w:rPr>
          <w:rFonts w:ascii="Times New Roman" w:eastAsia="MS Mincho" w:hAnsi="Times New Roman" w:cs="Times New Roman"/>
          <w:sz w:val="22"/>
          <w:szCs w:val="22"/>
          <w:lang w:val="en-GB" w:eastAsia="ja-JP"/>
        </w:rPr>
        <w:t>SA to develop the Nationa</w:t>
      </w:r>
      <w:r w:rsidR="00532AAC">
        <w:rPr>
          <w:rFonts w:ascii="Times New Roman" w:eastAsia="MS Mincho" w:hAnsi="Times New Roman" w:cs="Times New Roman"/>
          <w:sz w:val="22"/>
          <w:szCs w:val="22"/>
          <w:lang w:val="en-GB" w:eastAsia="ja-JP"/>
        </w:rPr>
        <w:t xml:space="preserve">l Strategy for Juvenile Justice. The National Committee on Juvenile Justice </w:t>
      </w:r>
      <w:r w:rsidRPr="00647752">
        <w:rPr>
          <w:rFonts w:ascii="Times New Roman" w:eastAsia="MS Mincho" w:hAnsi="Times New Roman" w:cs="Times New Roman"/>
          <w:sz w:val="22"/>
          <w:szCs w:val="22"/>
          <w:lang w:val="en-GB" w:eastAsia="ja-JP"/>
        </w:rPr>
        <w:t>was also formed in 2010 with UNDP technical support.</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p>
    <w:p w:rsidR="00053B6C" w:rsidRPr="00532AAC" w:rsidRDefault="00532AAC" w:rsidP="00FB6759">
      <w:pPr>
        <w:keepNext/>
        <w:keepLines/>
        <w:spacing w:after="0" w:line="240" w:lineRule="auto"/>
        <w:jc w:val="both"/>
        <w:outlineLvl w:val="2"/>
        <w:rPr>
          <w:rFonts w:ascii="Times New Roman" w:eastAsia="MS Gothic" w:hAnsi="Times New Roman" w:cs="Times New Roman"/>
          <w:bCs/>
          <w:sz w:val="22"/>
          <w:szCs w:val="22"/>
          <w:u w:val="single"/>
          <w:lang w:val="en-GB"/>
        </w:rPr>
      </w:pPr>
      <w:r>
        <w:rPr>
          <w:rFonts w:ascii="Times New Roman" w:eastAsia="MS Gothic" w:hAnsi="Times New Roman" w:cs="Times New Roman"/>
          <w:bCs/>
          <w:sz w:val="22"/>
          <w:szCs w:val="22"/>
          <w:u w:val="single"/>
          <w:lang w:val="en-GB"/>
        </w:rPr>
        <w:t>Outcome 4:</w:t>
      </w:r>
      <w:r w:rsidR="00053B6C" w:rsidRPr="00532AAC">
        <w:rPr>
          <w:rFonts w:ascii="Times New Roman" w:eastAsia="MS Gothic" w:hAnsi="Times New Roman" w:cs="Times New Roman"/>
          <w:bCs/>
          <w:sz w:val="22"/>
          <w:szCs w:val="22"/>
          <w:u w:val="single"/>
          <w:lang w:val="en-GB"/>
        </w:rPr>
        <w:t xml:space="preserve"> Rule of law in the Gaza Strip initiated</w:t>
      </w:r>
    </w:p>
    <w:p w:rsidR="00532AAC" w:rsidRPr="00647752" w:rsidRDefault="00532AAC" w:rsidP="00FB6759">
      <w:pPr>
        <w:keepNext/>
        <w:keepLines/>
        <w:spacing w:after="0" w:line="240" w:lineRule="auto"/>
        <w:jc w:val="both"/>
        <w:outlineLvl w:val="2"/>
        <w:rPr>
          <w:rFonts w:ascii="Times New Roman" w:eastAsia="MS Gothic" w:hAnsi="Times New Roman" w:cs="Times New Roman"/>
          <w:b/>
          <w:bCs/>
          <w:sz w:val="22"/>
          <w:szCs w:val="22"/>
          <w:u w:val="single"/>
          <w:lang w:val="en-GB"/>
        </w:rPr>
      </w:pP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 xml:space="preserve">Prior to UNDP’s intervention in Gaza in 2010, there were no rule of law programmes available and communication between the Gaza Strip and the West Bank rule of law institutions was at a standstill.  Clinical legal education was not well understood and there was extremely limited civic education available for students. The most vulnerable segments of Gazan society, including abused women, children and refugees had very limited legal aid services available.   </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Today</w:t>
      </w:r>
      <w:r w:rsidR="00532AAC">
        <w:rPr>
          <w:rFonts w:ascii="Times New Roman" w:eastAsia="MS Mincho" w:hAnsi="Times New Roman" w:cs="Times New Roman"/>
          <w:sz w:val="22"/>
          <w:szCs w:val="22"/>
          <w:lang w:val="en-GB" w:eastAsia="ja-JP"/>
        </w:rPr>
        <w:t>,</w:t>
      </w:r>
      <w:r w:rsidRPr="00647752">
        <w:rPr>
          <w:rFonts w:ascii="Times New Roman" w:eastAsia="MS Mincho" w:hAnsi="Times New Roman" w:cs="Times New Roman"/>
          <w:sz w:val="22"/>
          <w:szCs w:val="22"/>
          <w:lang w:val="en-GB" w:eastAsia="ja-JP"/>
        </w:rPr>
        <w:t xml:space="preserve"> the situation is quite different. </w:t>
      </w:r>
      <w:r w:rsidR="00BB6DFE" w:rsidRPr="00647752">
        <w:rPr>
          <w:rFonts w:ascii="Times New Roman" w:eastAsia="MS Mincho" w:hAnsi="Times New Roman" w:cs="Times New Roman"/>
          <w:sz w:val="22"/>
          <w:szCs w:val="22"/>
          <w:lang w:val="en-GB" w:eastAsia="ja-JP"/>
        </w:rPr>
        <w:t>UNDP can</w:t>
      </w:r>
      <w:r w:rsidR="00532AAC">
        <w:rPr>
          <w:rFonts w:ascii="Times New Roman" w:eastAsia="MS Mincho" w:hAnsi="Times New Roman" w:cs="Times New Roman"/>
          <w:sz w:val="22"/>
          <w:szCs w:val="22"/>
          <w:lang w:val="en-GB" w:eastAsia="ja-JP"/>
        </w:rPr>
        <w:t xml:space="preserve"> be credited with almost single</w:t>
      </w:r>
      <w:r w:rsidR="00BB6DFE" w:rsidRPr="00647752">
        <w:rPr>
          <w:rFonts w:ascii="Times New Roman" w:eastAsia="MS Mincho" w:hAnsi="Times New Roman" w:cs="Times New Roman"/>
          <w:sz w:val="22"/>
          <w:szCs w:val="22"/>
          <w:lang w:val="en-GB" w:eastAsia="ja-JP"/>
        </w:rPr>
        <w:t>handedly introducing the concept</w:t>
      </w:r>
      <w:r w:rsidR="00AC0FD1" w:rsidRPr="00647752">
        <w:rPr>
          <w:rFonts w:ascii="Times New Roman" w:eastAsia="MS Mincho" w:hAnsi="Times New Roman" w:cs="Times New Roman"/>
          <w:sz w:val="22"/>
          <w:szCs w:val="22"/>
          <w:lang w:val="en-GB" w:eastAsia="ja-JP"/>
        </w:rPr>
        <w:t>s</w:t>
      </w:r>
      <w:r w:rsidR="00BB6DFE" w:rsidRPr="00647752">
        <w:rPr>
          <w:rFonts w:ascii="Times New Roman" w:eastAsia="MS Mincho" w:hAnsi="Times New Roman" w:cs="Times New Roman"/>
          <w:sz w:val="22"/>
          <w:szCs w:val="22"/>
          <w:lang w:val="en-GB" w:eastAsia="ja-JP"/>
        </w:rPr>
        <w:t xml:space="preserve"> of legal aid and cli</w:t>
      </w:r>
      <w:r w:rsidR="00532AAC">
        <w:rPr>
          <w:rFonts w:ascii="Times New Roman" w:eastAsia="MS Mincho" w:hAnsi="Times New Roman" w:cs="Times New Roman"/>
          <w:sz w:val="22"/>
          <w:szCs w:val="22"/>
          <w:lang w:val="en-GB" w:eastAsia="ja-JP"/>
        </w:rPr>
        <w:t>nical legal education in Gaza. The UNDP supported network of legal aid p</w:t>
      </w:r>
      <w:r w:rsidRPr="00647752">
        <w:rPr>
          <w:rFonts w:ascii="Times New Roman" w:eastAsia="MS Mincho" w:hAnsi="Times New Roman" w:cs="Times New Roman"/>
          <w:sz w:val="22"/>
          <w:szCs w:val="22"/>
          <w:lang w:val="en-GB" w:eastAsia="ja-JP"/>
        </w:rPr>
        <w:t>roviders (“Awn” network) of CSO legal aid providers is functioning in a well-coordinated manner providing l</w:t>
      </w:r>
      <w:r w:rsidR="00532AAC">
        <w:rPr>
          <w:rFonts w:ascii="Times New Roman" w:eastAsia="MS Mincho" w:hAnsi="Times New Roman" w:cs="Times New Roman"/>
          <w:sz w:val="22"/>
          <w:szCs w:val="22"/>
          <w:lang w:val="en-GB" w:eastAsia="ja-JP"/>
        </w:rPr>
        <w:t xml:space="preserve">egal aid to thousands of Gazans - the overwhelming majority of whom are women. </w:t>
      </w:r>
      <w:r w:rsidRPr="00647752">
        <w:rPr>
          <w:rFonts w:ascii="Times New Roman" w:eastAsia="MS Mincho" w:hAnsi="Times New Roman" w:cs="Times New Roman"/>
          <w:sz w:val="22"/>
          <w:szCs w:val="22"/>
          <w:lang w:val="en-GB" w:eastAsia="ja-JP"/>
        </w:rPr>
        <w:t xml:space="preserve">A number of CSOs have engaged in strategic advocacy campaigns </w:t>
      </w:r>
      <w:r w:rsidR="00532AAC">
        <w:rPr>
          <w:rFonts w:ascii="Times New Roman" w:eastAsia="MS Mincho" w:hAnsi="Times New Roman" w:cs="Times New Roman"/>
          <w:sz w:val="22"/>
          <w:szCs w:val="22"/>
          <w:lang w:val="en-GB" w:eastAsia="ja-JP"/>
        </w:rPr>
        <w:t xml:space="preserve">that have impacted </w:t>
      </w:r>
      <w:r w:rsidRPr="00647752">
        <w:rPr>
          <w:rFonts w:ascii="Times New Roman" w:eastAsia="MS Mincho" w:hAnsi="Times New Roman" w:cs="Times New Roman"/>
          <w:sz w:val="22"/>
          <w:szCs w:val="22"/>
          <w:lang w:val="en-GB" w:eastAsia="ja-JP"/>
        </w:rPr>
        <w:t>municipal governance and service delivery and increased rights for women and youth.</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 xml:space="preserve">In addition, the Gaza branch </w:t>
      </w:r>
      <w:r w:rsidR="00532AAC">
        <w:rPr>
          <w:rFonts w:ascii="Times New Roman" w:eastAsia="MS Mincho" w:hAnsi="Times New Roman" w:cs="Times New Roman"/>
          <w:sz w:val="22"/>
          <w:szCs w:val="22"/>
          <w:lang w:val="en-GB" w:eastAsia="ja-JP"/>
        </w:rPr>
        <w:t>of the PBA has initiated organis</w:t>
      </w:r>
      <w:r w:rsidRPr="00647752">
        <w:rPr>
          <w:rFonts w:ascii="Times New Roman" w:eastAsia="MS Mincho" w:hAnsi="Times New Roman" w:cs="Times New Roman"/>
          <w:sz w:val="22"/>
          <w:szCs w:val="22"/>
          <w:lang w:val="en-GB" w:eastAsia="ja-JP"/>
        </w:rPr>
        <w:t>ational reforms with UNDP assistance and is now acting as a full partner in UNDP supported legal aid initiatives</w:t>
      </w:r>
      <w:r w:rsidR="00532AAC">
        <w:rPr>
          <w:rFonts w:ascii="Times New Roman" w:eastAsia="MS Mincho" w:hAnsi="Times New Roman" w:cs="Times New Roman"/>
          <w:sz w:val="22"/>
          <w:szCs w:val="22"/>
          <w:lang w:val="en-GB" w:eastAsia="ja-JP"/>
        </w:rPr>
        <w:t>,</w:t>
      </w:r>
      <w:r w:rsidRPr="00647752">
        <w:rPr>
          <w:rFonts w:ascii="Times New Roman" w:eastAsia="MS Mincho" w:hAnsi="Times New Roman" w:cs="Times New Roman"/>
          <w:sz w:val="22"/>
          <w:szCs w:val="22"/>
          <w:lang w:val="en-GB" w:eastAsia="ja-JP"/>
        </w:rPr>
        <w:t xml:space="preserve"> in close cooperation with three university law schools in </w:t>
      </w:r>
      <w:r w:rsidR="00532AAC">
        <w:rPr>
          <w:rFonts w:ascii="Times New Roman" w:eastAsia="MS Mincho" w:hAnsi="Times New Roman" w:cs="Times New Roman"/>
          <w:sz w:val="22"/>
          <w:szCs w:val="22"/>
          <w:lang w:val="en-GB" w:eastAsia="ja-JP"/>
        </w:rPr>
        <w:t xml:space="preserve">Gaza. Meanwhile, the university-based legal aid </w:t>
      </w:r>
      <w:r w:rsidRPr="00647752">
        <w:rPr>
          <w:rFonts w:ascii="Times New Roman" w:eastAsia="MS Mincho" w:hAnsi="Times New Roman" w:cs="Times New Roman"/>
          <w:sz w:val="22"/>
          <w:szCs w:val="22"/>
          <w:lang w:val="en-GB" w:eastAsia="ja-JP"/>
        </w:rPr>
        <w:t xml:space="preserve">clinics are contributing to access to justice while educating a new generation of lawyers. </w:t>
      </w:r>
      <w:r w:rsidR="00532AAC">
        <w:rPr>
          <w:rFonts w:ascii="Times New Roman" w:eastAsia="MS Mincho" w:hAnsi="Times New Roman" w:cs="Times New Roman"/>
          <w:sz w:val="22"/>
          <w:szCs w:val="22"/>
          <w:lang w:val="en-GB" w:eastAsia="ja-JP"/>
        </w:rPr>
        <w:t xml:space="preserve">The PBA </w:t>
      </w:r>
      <w:r w:rsidRPr="00647752">
        <w:rPr>
          <w:rFonts w:ascii="Times New Roman" w:eastAsia="MS Mincho" w:hAnsi="Times New Roman" w:cs="Times New Roman"/>
          <w:sz w:val="22"/>
          <w:szCs w:val="22"/>
          <w:lang w:val="en-GB" w:eastAsia="ja-JP"/>
        </w:rPr>
        <w:t>with UNDP support has also bridged the gap between the informal and formal justice sector in its trainings and o</w:t>
      </w:r>
      <w:r w:rsidR="00AB7015">
        <w:rPr>
          <w:rFonts w:ascii="Times New Roman" w:eastAsia="MS Mincho" w:hAnsi="Times New Roman" w:cs="Times New Roman"/>
          <w:sz w:val="22"/>
          <w:szCs w:val="22"/>
          <w:lang w:val="en-GB" w:eastAsia="ja-JP"/>
        </w:rPr>
        <w:t>utreach to community</w:t>
      </w:r>
      <w:r w:rsidRPr="00647752">
        <w:rPr>
          <w:rFonts w:ascii="Times New Roman" w:eastAsia="MS Mincho" w:hAnsi="Times New Roman" w:cs="Times New Roman"/>
          <w:sz w:val="22"/>
          <w:szCs w:val="22"/>
          <w:lang w:val="en-GB" w:eastAsia="ja-JP"/>
        </w:rPr>
        <w:t xml:space="preserve"> leaders that is increasing gender sensitivity (and has included the training of the first female </w:t>
      </w:r>
      <w:r w:rsidR="00AB7015" w:rsidRPr="00AB7015">
        <w:rPr>
          <w:rFonts w:ascii="Times New Roman" w:eastAsia="MS Mincho" w:hAnsi="Times New Roman" w:cs="Times New Roman"/>
          <w:i/>
          <w:sz w:val="22"/>
          <w:szCs w:val="22"/>
          <w:lang w:val="en-GB" w:eastAsia="ja-JP"/>
        </w:rPr>
        <w:t>m</w:t>
      </w:r>
      <w:r w:rsidR="00360CF0" w:rsidRPr="00AB7015">
        <w:rPr>
          <w:rFonts w:ascii="Times New Roman" w:eastAsia="MS Mincho" w:hAnsi="Times New Roman" w:cs="Times New Roman"/>
          <w:i/>
          <w:sz w:val="22"/>
          <w:szCs w:val="22"/>
          <w:lang w:val="en-GB" w:eastAsia="ja-JP"/>
        </w:rPr>
        <w:t>uqtar</w:t>
      </w:r>
      <w:r w:rsidRPr="00647752">
        <w:rPr>
          <w:rFonts w:ascii="Times New Roman" w:eastAsia="MS Mincho" w:hAnsi="Times New Roman" w:cs="Times New Roman"/>
          <w:sz w:val="22"/>
          <w:szCs w:val="22"/>
          <w:lang w:val="en-GB" w:eastAsia="ja-JP"/>
        </w:rPr>
        <w:t>). UNDP’s efforts ar</w:t>
      </w:r>
      <w:r w:rsidR="00AB7015">
        <w:rPr>
          <w:rFonts w:ascii="Times New Roman" w:eastAsia="MS Mincho" w:hAnsi="Times New Roman" w:cs="Times New Roman"/>
          <w:sz w:val="22"/>
          <w:szCs w:val="22"/>
          <w:lang w:val="en-GB" w:eastAsia="ja-JP"/>
        </w:rPr>
        <w:t xml:space="preserve">e also paying dividends in the </w:t>
      </w:r>
      <w:r w:rsidR="00AB7015" w:rsidRPr="00AB7015">
        <w:rPr>
          <w:rFonts w:ascii="Times New Roman" w:eastAsia="MS Mincho" w:hAnsi="Times New Roman" w:cs="Times New Roman"/>
          <w:i/>
          <w:sz w:val="22"/>
          <w:szCs w:val="22"/>
          <w:lang w:val="en-GB" w:eastAsia="ja-JP"/>
        </w:rPr>
        <w:t>s</w:t>
      </w:r>
      <w:r w:rsidRPr="00AB7015">
        <w:rPr>
          <w:rFonts w:ascii="Times New Roman" w:eastAsia="MS Mincho" w:hAnsi="Times New Roman" w:cs="Times New Roman"/>
          <w:i/>
          <w:sz w:val="22"/>
          <w:szCs w:val="22"/>
          <w:lang w:val="en-GB" w:eastAsia="ja-JP"/>
        </w:rPr>
        <w:t>hari’a</w:t>
      </w:r>
      <w:r w:rsidR="00227679">
        <w:rPr>
          <w:rFonts w:ascii="Times New Roman" w:eastAsia="MS Mincho" w:hAnsi="Times New Roman" w:cs="Times New Roman"/>
          <w:i/>
          <w:sz w:val="22"/>
          <w:szCs w:val="22"/>
          <w:lang w:val="en-GB" w:eastAsia="ja-JP"/>
        </w:rPr>
        <w:t xml:space="preserve"> </w:t>
      </w:r>
      <w:r w:rsidR="00AB7015">
        <w:rPr>
          <w:rFonts w:ascii="Times New Roman" w:eastAsia="MS Mincho" w:hAnsi="Times New Roman" w:cs="Times New Roman"/>
          <w:sz w:val="22"/>
          <w:szCs w:val="22"/>
          <w:lang w:val="en-GB" w:eastAsia="ja-JP"/>
        </w:rPr>
        <w:t>courts which</w:t>
      </w:r>
      <w:r w:rsidRPr="00647752">
        <w:rPr>
          <w:rFonts w:ascii="Times New Roman" w:eastAsia="MS Mincho" w:hAnsi="Times New Roman" w:cs="Times New Roman"/>
          <w:sz w:val="22"/>
          <w:szCs w:val="22"/>
          <w:lang w:val="en-GB" w:eastAsia="ja-JP"/>
        </w:rPr>
        <w:t xml:space="preserve"> have become more efficient and protective of women’s rights (i.e. such as inheritance) as a result.  </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 xml:space="preserve">Satisfaction with the quality of legal assistance services is now higher in the Gaza Strip than anywhere else in the oPt, validating UNDP’s decision to strengthen the rule of law in this area by supporting quality </w:t>
      </w:r>
      <w:r w:rsidRPr="00647752">
        <w:rPr>
          <w:rFonts w:ascii="Times New Roman" w:eastAsia="MS Mincho" w:hAnsi="Times New Roman" w:cs="Times New Roman"/>
          <w:sz w:val="22"/>
          <w:szCs w:val="22"/>
          <w:lang w:val="en-GB" w:eastAsia="ja-JP"/>
        </w:rPr>
        <w:lastRenderedPageBreak/>
        <w:t xml:space="preserve">CSOs. Yet, many challenges remain and UNDP and its donors should remain strongly engaged in Gaza. In such a fragile environment without benefit of engaging directly with the </w:t>
      </w:r>
      <w:r w:rsidRPr="00954A01">
        <w:rPr>
          <w:rFonts w:ascii="Times New Roman" w:eastAsia="MS Mincho" w:hAnsi="Times New Roman" w:cs="Times New Roman"/>
          <w:sz w:val="22"/>
          <w:szCs w:val="22"/>
          <w:lang w:val="en-GB" w:eastAsia="ja-JP"/>
        </w:rPr>
        <w:t>Hamas</w:t>
      </w:r>
      <w:r w:rsidRPr="00647752">
        <w:rPr>
          <w:rFonts w:ascii="Times New Roman" w:eastAsia="MS Mincho" w:hAnsi="Times New Roman" w:cs="Times New Roman"/>
          <w:sz w:val="22"/>
          <w:szCs w:val="22"/>
          <w:lang w:val="en-GB" w:eastAsia="ja-JP"/>
        </w:rPr>
        <w:t xml:space="preserve">-led government, the work of UNDP and donors is a true lifeline for vulnerable women and other citizens.   </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p>
    <w:p w:rsidR="00053B6C" w:rsidRPr="00764771" w:rsidRDefault="00764771" w:rsidP="00FB6759">
      <w:pPr>
        <w:keepNext/>
        <w:keepLines/>
        <w:spacing w:after="0" w:line="240" w:lineRule="auto"/>
        <w:jc w:val="both"/>
        <w:outlineLvl w:val="2"/>
        <w:rPr>
          <w:rFonts w:ascii="Times New Roman" w:eastAsia="MS Gothic" w:hAnsi="Times New Roman" w:cs="Times New Roman"/>
          <w:bCs/>
          <w:sz w:val="22"/>
          <w:szCs w:val="22"/>
          <w:u w:val="single"/>
          <w:lang w:val="en-GB"/>
        </w:rPr>
      </w:pPr>
      <w:r>
        <w:rPr>
          <w:rFonts w:ascii="Times New Roman" w:eastAsia="MS Gothic" w:hAnsi="Times New Roman" w:cs="Times New Roman"/>
          <w:bCs/>
          <w:sz w:val="22"/>
          <w:szCs w:val="22"/>
          <w:u w:val="single"/>
          <w:lang w:val="en-GB"/>
        </w:rPr>
        <w:t xml:space="preserve">Outcome 5: </w:t>
      </w:r>
      <w:r w:rsidR="00053B6C" w:rsidRPr="00764771">
        <w:rPr>
          <w:rFonts w:ascii="Times New Roman" w:eastAsia="MS Gothic" w:hAnsi="Times New Roman" w:cs="Times New Roman"/>
          <w:bCs/>
          <w:sz w:val="22"/>
          <w:szCs w:val="22"/>
          <w:u w:val="single"/>
          <w:lang w:val="en-GB"/>
        </w:rPr>
        <w:t>Confidence building among stakeholders promoted</w:t>
      </w:r>
    </w:p>
    <w:p w:rsidR="00764771" w:rsidRDefault="00764771"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 xml:space="preserve">In 2009 there were limited networking opportunities among CSOs engaged in similar initiatives in </w:t>
      </w:r>
      <w:r w:rsidR="00764771">
        <w:rPr>
          <w:rFonts w:ascii="Times New Roman" w:eastAsia="MS Mincho" w:hAnsi="Times New Roman" w:cs="Times New Roman"/>
          <w:sz w:val="22"/>
          <w:szCs w:val="22"/>
          <w:lang w:val="en-GB" w:eastAsia="ja-JP"/>
        </w:rPr>
        <w:t xml:space="preserve">the </w:t>
      </w:r>
      <w:r w:rsidRPr="00647752">
        <w:rPr>
          <w:rFonts w:ascii="Times New Roman" w:eastAsia="MS Mincho" w:hAnsi="Times New Roman" w:cs="Times New Roman"/>
          <w:sz w:val="22"/>
          <w:szCs w:val="22"/>
          <w:lang w:val="en-GB" w:eastAsia="ja-JP"/>
        </w:rPr>
        <w:t>oPt. End</w:t>
      </w:r>
      <w:r w:rsidR="00764771">
        <w:rPr>
          <w:rFonts w:ascii="Times New Roman" w:eastAsia="MS Mincho" w:hAnsi="Times New Roman" w:cs="Times New Roman"/>
          <w:sz w:val="22"/>
          <w:szCs w:val="22"/>
          <w:lang w:val="en-GB" w:eastAsia="ja-JP"/>
        </w:rPr>
        <w:t xml:space="preserve">emic to the situation </w:t>
      </w:r>
      <w:r w:rsidRPr="00647752">
        <w:rPr>
          <w:rFonts w:ascii="Times New Roman" w:eastAsia="MS Mincho" w:hAnsi="Times New Roman" w:cs="Times New Roman"/>
          <w:sz w:val="22"/>
          <w:szCs w:val="22"/>
          <w:lang w:val="en-GB" w:eastAsia="ja-JP"/>
        </w:rPr>
        <w:t>was a lack of trust by comm</w:t>
      </w:r>
      <w:r w:rsidR="00764771">
        <w:rPr>
          <w:rFonts w:ascii="Times New Roman" w:eastAsia="MS Mincho" w:hAnsi="Times New Roman" w:cs="Times New Roman"/>
          <w:sz w:val="22"/>
          <w:szCs w:val="22"/>
          <w:lang w:val="en-GB" w:eastAsia="ja-JP"/>
        </w:rPr>
        <w:t xml:space="preserve">unities in the justice system. </w:t>
      </w:r>
      <w:r w:rsidRPr="00647752">
        <w:rPr>
          <w:rFonts w:ascii="Times New Roman" w:eastAsia="MS Mincho" w:hAnsi="Times New Roman" w:cs="Times New Roman"/>
          <w:sz w:val="22"/>
          <w:szCs w:val="22"/>
          <w:lang w:val="en-GB" w:eastAsia="ja-JP"/>
        </w:rPr>
        <w:t>UNDP has significantly increased confidence and networking among</w:t>
      </w:r>
      <w:r w:rsidR="00764771">
        <w:rPr>
          <w:rFonts w:ascii="Times New Roman" w:eastAsia="MS Mincho" w:hAnsi="Times New Roman" w:cs="Times New Roman"/>
          <w:sz w:val="22"/>
          <w:szCs w:val="22"/>
          <w:lang w:val="en-GB" w:eastAsia="ja-JP"/>
        </w:rPr>
        <w:t xml:space="preserve"> CSOs </w:t>
      </w:r>
      <w:r w:rsidRPr="00647752">
        <w:rPr>
          <w:rFonts w:ascii="Times New Roman" w:eastAsia="MS Mincho" w:hAnsi="Times New Roman" w:cs="Times New Roman"/>
          <w:sz w:val="22"/>
          <w:szCs w:val="22"/>
          <w:lang w:val="en-GB" w:eastAsia="ja-JP"/>
        </w:rPr>
        <w:t>via the Civil Society</w:t>
      </w:r>
      <w:r w:rsidR="00764771">
        <w:rPr>
          <w:rFonts w:ascii="Times New Roman" w:eastAsia="MS Mincho" w:hAnsi="Times New Roman" w:cs="Times New Roman"/>
          <w:sz w:val="22"/>
          <w:szCs w:val="22"/>
          <w:lang w:val="en-GB" w:eastAsia="ja-JP"/>
        </w:rPr>
        <w:t xml:space="preserve"> Initiative. </w:t>
      </w:r>
      <w:r w:rsidRPr="00647752">
        <w:rPr>
          <w:rFonts w:ascii="Times New Roman" w:eastAsia="MS Mincho" w:hAnsi="Times New Roman" w:cs="Times New Roman"/>
          <w:sz w:val="22"/>
          <w:szCs w:val="22"/>
          <w:lang w:val="en-GB" w:eastAsia="ja-JP"/>
        </w:rPr>
        <w:t>UNDP has also improved measurements and strategies for improving public confidence</w:t>
      </w:r>
      <w:r w:rsidR="00764771">
        <w:rPr>
          <w:rFonts w:ascii="Times New Roman" w:eastAsia="MS Mincho" w:hAnsi="Times New Roman" w:cs="Times New Roman"/>
          <w:sz w:val="22"/>
          <w:szCs w:val="22"/>
          <w:lang w:val="en-GB" w:eastAsia="ja-JP"/>
        </w:rPr>
        <w:t xml:space="preserve"> in justice service providers.</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A UNDP Public Perc</w:t>
      </w:r>
      <w:r w:rsidR="00764771">
        <w:rPr>
          <w:rFonts w:ascii="Times New Roman" w:eastAsia="MS Mincho" w:hAnsi="Times New Roman" w:cs="Times New Roman"/>
          <w:sz w:val="22"/>
          <w:szCs w:val="22"/>
          <w:lang w:val="en-GB" w:eastAsia="ja-JP"/>
        </w:rPr>
        <w:t>eptions Survey that included a “justice sector satisfaction i</w:t>
      </w:r>
      <w:r w:rsidRPr="00647752">
        <w:rPr>
          <w:rFonts w:ascii="Times New Roman" w:eastAsia="MS Mincho" w:hAnsi="Times New Roman" w:cs="Times New Roman"/>
          <w:sz w:val="22"/>
          <w:szCs w:val="22"/>
          <w:lang w:val="en-GB" w:eastAsia="ja-JP"/>
        </w:rPr>
        <w:t xml:space="preserve">ndex” was a </w:t>
      </w:r>
      <w:r w:rsidR="00764771">
        <w:rPr>
          <w:rFonts w:ascii="Times New Roman" w:eastAsia="MS Mincho" w:hAnsi="Times New Roman" w:cs="Times New Roman"/>
          <w:sz w:val="22"/>
          <w:szCs w:val="22"/>
          <w:lang w:val="en-GB" w:eastAsia="ja-JP"/>
        </w:rPr>
        <w:t>key deliverable under the programme</w:t>
      </w:r>
      <w:r w:rsidRPr="00647752">
        <w:rPr>
          <w:rFonts w:ascii="Times New Roman" w:eastAsia="MS Mincho" w:hAnsi="Times New Roman" w:cs="Times New Roman"/>
          <w:sz w:val="22"/>
          <w:szCs w:val="22"/>
          <w:lang w:val="en-GB" w:eastAsia="ja-JP"/>
        </w:rPr>
        <w:t>.  UNDP and the donor community have used the survey extensively to plan further activities. In addition, UNDP supported the Palestinian Central Bure</w:t>
      </w:r>
      <w:r w:rsidR="00764771">
        <w:rPr>
          <w:rFonts w:ascii="Times New Roman" w:eastAsia="MS Mincho" w:hAnsi="Times New Roman" w:cs="Times New Roman"/>
          <w:sz w:val="22"/>
          <w:szCs w:val="22"/>
          <w:lang w:val="en-GB" w:eastAsia="ja-JP"/>
        </w:rPr>
        <w:t>au of Statistics (PCBS) in its</w:t>
      </w:r>
      <w:r w:rsidRPr="00647752">
        <w:rPr>
          <w:rFonts w:ascii="Times New Roman" w:eastAsia="MS Mincho" w:hAnsi="Times New Roman" w:cs="Times New Roman"/>
          <w:sz w:val="22"/>
          <w:szCs w:val="22"/>
          <w:lang w:val="en-GB" w:eastAsia="ja-JP"/>
        </w:rPr>
        <w:t xml:space="preserve"> efforts to collect justice </w:t>
      </w:r>
      <w:r w:rsidR="00764771">
        <w:rPr>
          <w:rFonts w:ascii="Times New Roman" w:eastAsia="MS Mincho" w:hAnsi="Times New Roman" w:cs="Times New Roman"/>
          <w:sz w:val="22"/>
          <w:szCs w:val="22"/>
          <w:lang w:val="en-GB" w:eastAsia="ja-JP"/>
        </w:rPr>
        <w:t xml:space="preserve">and security </w:t>
      </w:r>
      <w:r w:rsidRPr="00647752">
        <w:rPr>
          <w:rFonts w:ascii="Times New Roman" w:eastAsia="MS Mincho" w:hAnsi="Times New Roman" w:cs="Times New Roman"/>
          <w:sz w:val="22"/>
          <w:szCs w:val="22"/>
          <w:lang w:val="en-GB" w:eastAsia="ja-JP"/>
        </w:rPr>
        <w:t>sector data in</w:t>
      </w:r>
      <w:r w:rsidR="00764771">
        <w:rPr>
          <w:rFonts w:ascii="Times New Roman" w:eastAsia="MS Mincho" w:hAnsi="Times New Roman" w:cs="Times New Roman"/>
          <w:sz w:val="22"/>
          <w:szCs w:val="22"/>
          <w:lang w:val="en-GB" w:eastAsia="ja-JP"/>
        </w:rPr>
        <w:t xml:space="preserve"> order to assess performance </w:t>
      </w:r>
      <w:r w:rsidRPr="00647752">
        <w:rPr>
          <w:rFonts w:ascii="Times New Roman" w:eastAsia="MS Mincho" w:hAnsi="Times New Roman" w:cs="Times New Roman"/>
          <w:sz w:val="22"/>
          <w:szCs w:val="22"/>
          <w:lang w:val="en-GB" w:eastAsia="ja-JP"/>
        </w:rPr>
        <w:t xml:space="preserve">and track key rule of law indicators.   </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053B6C" w:rsidP="00FB6759">
      <w:pPr>
        <w:spacing w:after="0" w:line="240" w:lineRule="auto"/>
        <w:jc w:val="both"/>
        <w:rPr>
          <w:rFonts w:ascii="Times New Roman" w:eastAsia="MS Mincho" w:hAnsi="Times New Roman" w:cs="Times New Roman"/>
          <w:b/>
          <w:sz w:val="22"/>
          <w:szCs w:val="22"/>
          <w:lang w:val="en-GB" w:eastAsia="ja-JP"/>
        </w:rPr>
      </w:pPr>
      <w:r w:rsidRPr="00647752">
        <w:rPr>
          <w:rFonts w:ascii="Times New Roman" w:eastAsia="MS Mincho" w:hAnsi="Times New Roman" w:cs="Times New Roman"/>
          <w:b/>
          <w:sz w:val="22"/>
          <w:szCs w:val="22"/>
          <w:lang w:val="en-GB" w:eastAsia="ja-JP"/>
        </w:rPr>
        <w:t>Relevance, Management and Partnerships</w:t>
      </w:r>
    </w:p>
    <w:p w:rsidR="00764771" w:rsidRDefault="00764771"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The de</w:t>
      </w:r>
      <w:r w:rsidR="00764771">
        <w:rPr>
          <w:rFonts w:ascii="Times New Roman" w:eastAsia="MS Mincho" w:hAnsi="Times New Roman" w:cs="Times New Roman"/>
          <w:sz w:val="22"/>
          <w:szCs w:val="22"/>
          <w:lang w:val="en-GB" w:eastAsia="ja-JP"/>
        </w:rPr>
        <w:t>sign of the UNDP Rule of Law &amp; Access to Justice P</w:t>
      </w:r>
      <w:r w:rsidRPr="00647752">
        <w:rPr>
          <w:rFonts w:ascii="Times New Roman" w:eastAsia="MS Mincho" w:hAnsi="Times New Roman" w:cs="Times New Roman"/>
          <w:sz w:val="22"/>
          <w:szCs w:val="22"/>
          <w:lang w:val="en-GB" w:eastAsia="ja-JP"/>
        </w:rPr>
        <w:t xml:space="preserve">rogramme </w:t>
      </w:r>
      <w:r w:rsidR="00764771">
        <w:rPr>
          <w:rFonts w:ascii="Times New Roman" w:eastAsia="MS Mincho" w:hAnsi="Times New Roman" w:cs="Times New Roman"/>
          <w:sz w:val="22"/>
          <w:szCs w:val="22"/>
          <w:lang w:val="en-GB" w:eastAsia="ja-JP"/>
        </w:rPr>
        <w:t>in the oPt</w:t>
      </w:r>
      <w:r w:rsidR="00227679">
        <w:rPr>
          <w:rFonts w:ascii="Times New Roman" w:eastAsia="MS Mincho" w:hAnsi="Times New Roman" w:cs="Times New Roman"/>
          <w:sz w:val="22"/>
          <w:szCs w:val="22"/>
          <w:lang w:val="en-GB" w:eastAsia="ja-JP"/>
        </w:rPr>
        <w:t xml:space="preserve"> </w:t>
      </w:r>
      <w:r w:rsidRPr="00647752">
        <w:rPr>
          <w:rFonts w:ascii="Times New Roman" w:eastAsia="MS Mincho" w:hAnsi="Times New Roman" w:cs="Times New Roman"/>
          <w:sz w:val="22"/>
          <w:szCs w:val="22"/>
          <w:lang w:val="en-GB" w:eastAsia="ja-JP"/>
        </w:rPr>
        <w:t>has proven highly relevant to the needs of institutions and beneficiarie</w:t>
      </w:r>
      <w:r w:rsidR="00764771">
        <w:rPr>
          <w:rFonts w:ascii="Times New Roman" w:eastAsia="MS Mincho" w:hAnsi="Times New Roman" w:cs="Times New Roman"/>
          <w:sz w:val="22"/>
          <w:szCs w:val="22"/>
          <w:lang w:val="en-GB" w:eastAsia="ja-JP"/>
        </w:rPr>
        <w:t xml:space="preserve">s - </w:t>
      </w:r>
      <w:r w:rsidRPr="00647752">
        <w:rPr>
          <w:rFonts w:ascii="Times New Roman" w:eastAsia="MS Mincho" w:hAnsi="Times New Roman" w:cs="Times New Roman"/>
          <w:sz w:val="22"/>
          <w:szCs w:val="22"/>
          <w:lang w:val="en-GB" w:eastAsia="ja-JP"/>
        </w:rPr>
        <w:t xml:space="preserve">especially given the severe deprivations suffered by Palestinians as a result of the continued Israeli occupation, </w:t>
      </w:r>
      <w:r w:rsidR="00764771">
        <w:rPr>
          <w:rFonts w:ascii="Times New Roman" w:eastAsia="MS Mincho" w:hAnsi="Times New Roman" w:cs="Times New Roman"/>
          <w:sz w:val="22"/>
          <w:szCs w:val="22"/>
          <w:lang w:val="en-GB" w:eastAsia="ja-JP"/>
        </w:rPr>
        <w:t xml:space="preserve">the low capacity of </w:t>
      </w:r>
      <w:r w:rsidRPr="00647752">
        <w:rPr>
          <w:rFonts w:ascii="Times New Roman" w:eastAsia="MS Mincho" w:hAnsi="Times New Roman" w:cs="Times New Roman"/>
          <w:sz w:val="22"/>
          <w:szCs w:val="22"/>
          <w:lang w:val="en-GB" w:eastAsia="ja-JP"/>
        </w:rPr>
        <w:t>justice</w:t>
      </w:r>
      <w:r w:rsidR="00764771">
        <w:rPr>
          <w:rFonts w:ascii="Times New Roman" w:eastAsia="MS Mincho" w:hAnsi="Times New Roman" w:cs="Times New Roman"/>
          <w:sz w:val="22"/>
          <w:szCs w:val="22"/>
          <w:lang w:val="en-GB" w:eastAsia="ja-JP"/>
        </w:rPr>
        <w:t xml:space="preserve"> and security</w:t>
      </w:r>
      <w:r w:rsidRPr="00647752">
        <w:rPr>
          <w:rFonts w:ascii="Times New Roman" w:eastAsia="MS Mincho" w:hAnsi="Times New Roman" w:cs="Times New Roman"/>
          <w:sz w:val="22"/>
          <w:szCs w:val="22"/>
          <w:lang w:val="en-GB" w:eastAsia="ja-JP"/>
        </w:rPr>
        <w:t xml:space="preserve"> institutions and general lac</w:t>
      </w:r>
      <w:r w:rsidR="00764771">
        <w:rPr>
          <w:rFonts w:ascii="Times New Roman" w:eastAsia="MS Mincho" w:hAnsi="Times New Roman" w:cs="Times New Roman"/>
          <w:sz w:val="22"/>
          <w:szCs w:val="22"/>
          <w:lang w:val="en-GB" w:eastAsia="ja-JP"/>
        </w:rPr>
        <w:t xml:space="preserve">k of knowledge of the law. </w:t>
      </w:r>
      <w:r w:rsidRPr="00647752">
        <w:rPr>
          <w:rFonts w:ascii="Times New Roman" w:eastAsia="MS Mincho" w:hAnsi="Times New Roman" w:cs="Times New Roman"/>
          <w:sz w:val="22"/>
          <w:szCs w:val="22"/>
          <w:lang w:val="en-GB" w:eastAsia="ja-JP"/>
        </w:rPr>
        <w:t>Furthermore, UNDP support has aligne</w:t>
      </w:r>
      <w:r w:rsidR="00764771">
        <w:rPr>
          <w:rFonts w:ascii="Times New Roman" w:eastAsia="MS Mincho" w:hAnsi="Times New Roman" w:cs="Times New Roman"/>
          <w:sz w:val="22"/>
          <w:szCs w:val="22"/>
          <w:lang w:val="en-GB" w:eastAsia="ja-JP"/>
        </w:rPr>
        <w:t xml:space="preserve">d well with </w:t>
      </w:r>
      <w:r w:rsidRPr="00647752">
        <w:rPr>
          <w:rFonts w:ascii="Times New Roman" w:eastAsia="MS Mincho" w:hAnsi="Times New Roman" w:cs="Times New Roman"/>
          <w:sz w:val="22"/>
          <w:szCs w:val="22"/>
          <w:lang w:val="en-GB" w:eastAsia="ja-JP"/>
        </w:rPr>
        <w:t>institutional strategie</w:t>
      </w:r>
      <w:r w:rsidR="00764771">
        <w:rPr>
          <w:rFonts w:ascii="Times New Roman" w:eastAsia="MS Mincho" w:hAnsi="Times New Roman" w:cs="Times New Roman"/>
          <w:sz w:val="22"/>
          <w:szCs w:val="22"/>
          <w:lang w:val="en-GB" w:eastAsia="ja-JP"/>
        </w:rPr>
        <w:t xml:space="preserve">s, which has resulted in a high </w:t>
      </w:r>
      <w:r w:rsidRPr="00647752">
        <w:rPr>
          <w:rFonts w:ascii="Times New Roman" w:eastAsia="MS Mincho" w:hAnsi="Times New Roman" w:cs="Times New Roman"/>
          <w:sz w:val="22"/>
          <w:szCs w:val="22"/>
          <w:lang w:val="en-GB" w:eastAsia="ja-JP"/>
        </w:rPr>
        <w:t xml:space="preserve">degree of national ownership. </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p>
    <w:p w:rsidR="00764771"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The majority of s</w:t>
      </w:r>
      <w:r w:rsidR="00764771">
        <w:rPr>
          <w:rFonts w:ascii="Times New Roman" w:eastAsia="MS Mincho" w:hAnsi="Times New Roman" w:cs="Times New Roman"/>
          <w:sz w:val="22"/>
          <w:szCs w:val="22"/>
          <w:lang w:val="en-GB" w:eastAsia="ja-JP"/>
        </w:rPr>
        <w:t>takeholders interviewed by the e</w:t>
      </w:r>
      <w:r w:rsidRPr="00647752">
        <w:rPr>
          <w:rFonts w:ascii="Times New Roman" w:eastAsia="MS Mincho" w:hAnsi="Times New Roman" w:cs="Times New Roman"/>
          <w:sz w:val="22"/>
          <w:szCs w:val="22"/>
          <w:lang w:val="en-GB" w:eastAsia="ja-JP"/>
        </w:rPr>
        <w:t>valuation had high praise for the manage</w:t>
      </w:r>
      <w:r w:rsidR="00764771">
        <w:rPr>
          <w:rFonts w:ascii="Times New Roman" w:eastAsia="MS Mincho" w:hAnsi="Times New Roman" w:cs="Times New Roman"/>
          <w:sz w:val="22"/>
          <w:szCs w:val="22"/>
          <w:lang w:val="en-GB" w:eastAsia="ja-JP"/>
        </w:rPr>
        <w:t>ment of the UNDP Rule of Law &amp; Access to Justice Programme in the oPt</w:t>
      </w:r>
      <w:r w:rsidRPr="00647752">
        <w:rPr>
          <w:rFonts w:ascii="Times New Roman" w:eastAsia="MS Mincho" w:hAnsi="Times New Roman" w:cs="Times New Roman"/>
          <w:sz w:val="22"/>
          <w:szCs w:val="22"/>
          <w:lang w:val="en-GB" w:eastAsia="ja-JP"/>
        </w:rPr>
        <w:t>. There were several criticisms raised however, regarding UNDP’s procurement procedures, which were viewed as cumbersome and overly complicated by some stak</w:t>
      </w:r>
      <w:r w:rsidR="00764771">
        <w:rPr>
          <w:rFonts w:ascii="Times New Roman" w:eastAsia="MS Mincho" w:hAnsi="Times New Roman" w:cs="Times New Roman"/>
          <w:sz w:val="22"/>
          <w:szCs w:val="22"/>
          <w:lang w:val="en-GB" w:eastAsia="ja-JP"/>
        </w:rPr>
        <w:t>eholders.</w:t>
      </w:r>
    </w:p>
    <w:p w:rsidR="00764771" w:rsidRDefault="00764771"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764771" w:rsidP="00FB6759">
      <w:pPr>
        <w:spacing w:after="0" w:line="240" w:lineRule="auto"/>
        <w:jc w:val="both"/>
        <w:rPr>
          <w:rFonts w:ascii="Times New Roman" w:eastAsia="MS Mincho" w:hAnsi="Times New Roman" w:cs="Times New Roman"/>
          <w:sz w:val="22"/>
          <w:szCs w:val="22"/>
          <w:lang w:val="en-GB" w:eastAsia="ja-JP"/>
        </w:rPr>
      </w:pPr>
      <w:r>
        <w:rPr>
          <w:rFonts w:ascii="Times New Roman" w:eastAsia="MS Mincho" w:hAnsi="Times New Roman" w:cs="Times New Roman"/>
          <w:sz w:val="22"/>
          <w:szCs w:val="22"/>
          <w:lang w:val="en-GB" w:eastAsia="ja-JP"/>
        </w:rPr>
        <w:t>Additionally, UNDP’s d</w:t>
      </w:r>
      <w:r w:rsidR="00053B6C" w:rsidRPr="00647752">
        <w:rPr>
          <w:rFonts w:ascii="Times New Roman" w:eastAsia="MS Mincho" w:hAnsi="Times New Roman" w:cs="Times New Roman"/>
          <w:sz w:val="22"/>
          <w:szCs w:val="22"/>
          <w:lang w:val="en-GB" w:eastAsia="ja-JP"/>
        </w:rPr>
        <w:t>onors were not entirely satisfied with the level of reportin</w:t>
      </w:r>
      <w:r>
        <w:rPr>
          <w:rFonts w:ascii="Times New Roman" w:eastAsia="MS Mincho" w:hAnsi="Times New Roman" w:cs="Times New Roman"/>
          <w:sz w:val="22"/>
          <w:szCs w:val="22"/>
          <w:lang w:val="en-GB" w:eastAsia="ja-JP"/>
        </w:rPr>
        <w:t xml:space="preserve">g - </w:t>
      </w:r>
      <w:r w:rsidR="00053B6C" w:rsidRPr="00647752">
        <w:rPr>
          <w:rFonts w:ascii="Times New Roman" w:eastAsia="MS Mincho" w:hAnsi="Times New Roman" w:cs="Times New Roman"/>
          <w:sz w:val="22"/>
          <w:szCs w:val="22"/>
          <w:lang w:val="en-GB" w:eastAsia="ja-JP"/>
        </w:rPr>
        <w:t>specifically, UN</w:t>
      </w:r>
      <w:r>
        <w:rPr>
          <w:rFonts w:ascii="Times New Roman" w:eastAsia="MS Mincho" w:hAnsi="Times New Roman" w:cs="Times New Roman"/>
          <w:sz w:val="22"/>
          <w:szCs w:val="22"/>
          <w:lang w:val="en-GB" w:eastAsia="ja-JP"/>
        </w:rPr>
        <w:t>DP’s tracking of impact at the o</w:t>
      </w:r>
      <w:r w:rsidR="00053B6C" w:rsidRPr="00647752">
        <w:rPr>
          <w:rFonts w:ascii="Times New Roman" w:eastAsia="MS Mincho" w:hAnsi="Times New Roman" w:cs="Times New Roman"/>
          <w:sz w:val="22"/>
          <w:szCs w:val="22"/>
          <w:lang w:val="en-GB" w:eastAsia="ja-JP"/>
        </w:rPr>
        <w:t xml:space="preserve">utcome level. UNDP is in a much better </w:t>
      </w:r>
      <w:r>
        <w:rPr>
          <w:rFonts w:ascii="Times New Roman" w:eastAsia="MS Mincho" w:hAnsi="Times New Roman" w:cs="Times New Roman"/>
          <w:sz w:val="22"/>
          <w:szCs w:val="22"/>
          <w:lang w:val="en-GB" w:eastAsia="ja-JP"/>
        </w:rPr>
        <w:t>position now than it was in 2010</w:t>
      </w:r>
      <w:r w:rsidR="00053B6C" w:rsidRPr="00647752">
        <w:rPr>
          <w:rFonts w:ascii="Times New Roman" w:eastAsia="MS Mincho" w:hAnsi="Times New Roman" w:cs="Times New Roman"/>
          <w:sz w:val="22"/>
          <w:szCs w:val="22"/>
          <w:lang w:val="en-GB" w:eastAsia="ja-JP"/>
        </w:rPr>
        <w:t xml:space="preserve"> to benchmark outcomes with measurable indicators and s</w:t>
      </w:r>
      <w:r>
        <w:rPr>
          <w:rFonts w:ascii="Times New Roman" w:eastAsia="MS Mincho" w:hAnsi="Times New Roman" w:cs="Times New Roman"/>
          <w:sz w:val="22"/>
          <w:szCs w:val="22"/>
          <w:lang w:val="en-GB" w:eastAsia="ja-JP"/>
        </w:rPr>
        <w:t>hould establish clear (evidence-</w:t>
      </w:r>
      <w:r w:rsidR="00053B6C" w:rsidRPr="00647752">
        <w:rPr>
          <w:rFonts w:ascii="Times New Roman" w:eastAsia="MS Mincho" w:hAnsi="Times New Roman" w:cs="Times New Roman"/>
          <w:sz w:val="22"/>
          <w:szCs w:val="22"/>
          <w:lang w:val="en-GB" w:eastAsia="ja-JP"/>
        </w:rPr>
        <w:t>based) baselines and measurable indicato</w:t>
      </w:r>
      <w:r>
        <w:rPr>
          <w:rFonts w:ascii="Times New Roman" w:eastAsia="MS Mincho" w:hAnsi="Times New Roman" w:cs="Times New Roman"/>
          <w:sz w:val="22"/>
          <w:szCs w:val="22"/>
          <w:lang w:val="en-GB" w:eastAsia="ja-JP"/>
        </w:rPr>
        <w:t>rs for the second phase of the programme.</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At the moment, justice sector development continues to be challenged by political gridlo</w:t>
      </w:r>
      <w:r w:rsidR="00764771">
        <w:rPr>
          <w:rFonts w:ascii="Times New Roman" w:eastAsia="MS Mincho" w:hAnsi="Times New Roman" w:cs="Times New Roman"/>
          <w:sz w:val="22"/>
          <w:szCs w:val="22"/>
          <w:lang w:val="en-GB" w:eastAsia="ja-JP"/>
        </w:rPr>
        <w:t xml:space="preserve">ck among the three institutions - </w:t>
      </w:r>
      <w:r w:rsidRPr="00647752">
        <w:rPr>
          <w:rFonts w:ascii="Times New Roman" w:eastAsia="MS Mincho" w:hAnsi="Times New Roman" w:cs="Times New Roman"/>
          <w:sz w:val="22"/>
          <w:szCs w:val="22"/>
          <w:lang w:val="en-GB" w:eastAsia="ja-JP"/>
        </w:rPr>
        <w:t>espe</w:t>
      </w:r>
      <w:r w:rsidR="00764771">
        <w:rPr>
          <w:rFonts w:ascii="Times New Roman" w:eastAsia="MS Mincho" w:hAnsi="Times New Roman" w:cs="Times New Roman"/>
          <w:sz w:val="22"/>
          <w:szCs w:val="22"/>
          <w:lang w:val="en-GB" w:eastAsia="ja-JP"/>
        </w:rPr>
        <w:t>cially with regard to whether the MO</w:t>
      </w:r>
      <w:r w:rsidRPr="00647752">
        <w:rPr>
          <w:rFonts w:ascii="Times New Roman" w:eastAsia="MS Mincho" w:hAnsi="Times New Roman" w:cs="Times New Roman"/>
          <w:sz w:val="22"/>
          <w:szCs w:val="22"/>
          <w:lang w:val="en-GB" w:eastAsia="ja-JP"/>
        </w:rPr>
        <w:t xml:space="preserve">J or </w:t>
      </w:r>
      <w:r w:rsidR="00764771">
        <w:rPr>
          <w:rFonts w:ascii="Times New Roman" w:eastAsia="MS Mincho" w:hAnsi="Times New Roman" w:cs="Times New Roman"/>
          <w:sz w:val="22"/>
          <w:szCs w:val="22"/>
          <w:lang w:val="en-GB" w:eastAsia="ja-JP"/>
        </w:rPr>
        <w:t xml:space="preserve">the </w:t>
      </w:r>
      <w:r w:rsidRPr="00647752">
        <w:rPr>
          <w:rFonts w:ascii="Times New Roman" w:eastAsia="MS Mincho" w:hAnsi="Times New Roman" w:cs="Times New Roman"/>
          <w:sz w:val="22"/>
          <w:szCs w:val="22"/>
          <w:lang w:val="en-GB" w:eastAsia="ja-JP"/>
        </w:rPr>
        <w:t>HJC has responsibility for th</w:t>
      </w:r>
      <w:r w:rsidR="00764771">
        <w:rPr>
          <w:rFonts w:ascii="Times New Roman" w:eastAsia="MS Mincho" w:hAnsi="Times New Roman" w:cs="Times New Roman"/>
          <w:sz w:val="22"/>
          <w:szCs w:val="22"/>
          <w:lang w:val="en-GB" w:eastAsia="ja-JP"/>
        </w:rPr>
        <w:t xml:space="preserve">e AGO and lines of reporting. </w:t>
      </w:r>
      <w:r w:rsidRPr="00647752">
        <w:rPr>
          <w:rFonts w:ascii="Times New Roman" w:eastAsia="MS Mincho" w:hAnsi="Times New Roman" w:cs="Times New Roman"/>
          <w:sz w:val="22"/>
          <w:szCs w:val="22"/>
          <w:lang w:val="en-GB" w:eastAsia="ja-JP"/>
        </w:rPr>
        <w:t xml:space="preserve">UNDP </w:t>
      </w:r>
      <w:r w:rsidRPr="00647752">
        <w:rPr>
          <w:rFonts w:ascii="Times New Roman" w:eastAsia="MS Mincho" w:hAnsi="Times New Roman" w:cs="Times New Roman"/>
          <w:i/>
          <w:sz w:val="22"/>
          <w:szCs w:val="22"/>
          <w:lang w:val="en-GB" w:eastAsia="ja-JP"/>
        </w:rPr>
        <w:t>itself</w:t>
      </w:r>
      <w:r w:rsidRPr="00647752">
        <w:rPr>
          <w:rFonts w:ascii="Times New Roman" w:eastAsia="MS Mincho" w:hAnsi="Times New Roman" w:cs="Times New Roman"/>
          <w:sz w:val="22"/>
          <w:szCs w:val="22"/>
          <w:lang w:val="en-GB" w:eastAsia="ja-JP"/>
        </w:rPr>
        <w:t xml:space="preserve"> could possibly have dev</w:t>
      </w:r>
      <w:r w:rsidR="00764771">
        <w:rPr>
          <w:rFonts w:ascii="Times New Roman" w:eastAsia="MS Mincho" w:hAnsi="Times New Roman" w:cs="Times New Roman"/>
          <w:sz w:val="22"/>
          <w:szCs w:val="22"/>
          <w:lang w:val="en-GB" w:eastAsia="ja-JP"/>
        </w:rPr>
        <w:t xml:space="preserve">eloped a more coherent </w:t>
      </w:r>
      <w:r w:rsidRPr="00647752">
        <w:rPr>
          <w:rFonts w:ascii="Times New Roman" w:eastAsia="MS Mincho" w:hAnsi="Times New Roman" w:cs="Times New Roman"/>
          <w:sz w:val="22"/>
          <w:szCs w:val="22"/>
          <w:lang w:val="en-GB" w:eastAsia="ja-JP"/>
        </w:rPr>
        <w:t>vision of what it believed should be the appropriate allocat</w:t>
      </w:r>
      <w:r w:rsidR="00764771">
        <w:rPr>
          <w:rFonts w:ascii="Times New Roman" w:eastAsia="MS Mincho" w:hAnsi="Times New Roman" w:cs="Times New Roman"/>
          <w:sz w:val="22"/>
          <w:szCs w:val="22"/>
          <w:lang w:val="en-GB" w:eastAsia="ja-JP"/>
        </w:rPr>
        <w:t xml:space="preserve">ion of powers </w:t>
      </w:r>
      <w:r w:rsidRPr="00647752">
        <w:rPr>
          <w:rFonts w:ascii="Times New Roman" w:eastAsia="MS Mincho" w:hAnsi="Times New Roman" w:cs="Times New Roman"/>
          <w:sz w:val="22"/>
          <w:szCs w:val="22"/>
          <w:lang w:val="en-GB" w:eastAsia="ja-JP"/>
        </w:rPr>
        <w:t>and advocated for this position with the justice institutions. Donors could possibly ha</w:t>
      </w:r>
      <w:r w:rsidR="00764771">
        <w:rPr>
          <w:rFonts w:ascii="Times New Roman" w:eastAsia="MS Mincho" w:hAnsi="Times New Roman" w:cs="Times New Roman"/>
          <w:sz w:val="22"/>
          <w:szCs w:val="22"/>
          <w:lang w:val="en-GB" w:eastAsia="ja-JP"/>
        </w:rPr>
        <w:t>ve done a better job of harmonis</w:t>
      </w:r>
      <w:r w:rsidR="00BB59AB">
        <w:rPr>
          <w:rFonts w:ascii="Times New Roman" w:eastAsia="MS Mincho" w:hAnsi="Times New Roman" w:cs="Times New Roman"/>
          <w:sz w:val="22"/>
          <w:szCs w:val="22"/>
          <w:lang w:val="en-GB" w:eastAsia="ja-JP"/>
        </w:rPr>
        <w:t>ing their own positions on this issue as well.</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Going forward, an attempt should be made to rea</w:t>
      </w:r>
      <w:r w:rsidR="00BB59AB">
        <w:rPr>
          <w:rFonts w:ascii="Times New Roman" w:eastAsia="MS Mincho" w:hAnsi="Times New Roman" w:cs="Times New Roman"/>
          <w:sz w:val="22"/>
          <w:szCs w:val="22"/>
          <w:lang w:val="en-GB" w:eastAsia="ja-JP"/>
        </w:rPr>
        <w:t xml:space="preserve">ch a consensus </w:t>
      </w:r>
      <w:r w:rsidRPr="00647752">
        <w:rPr>
          <w:rFonts w:ascii="Times New Roman" w:eastAsia="MS Mincho" w:hAnsi="Times New Roman" w:cs="Times New Roman"/>
          <w:sz w:val="22"/>
          <w:szCs w:val="22"/>
          <w:lang w:val="en-GB" w:eastAsia="ja-JP"/>
        </w:rPr>
        <w:t>as to what is the responsible approach to the position of the AGO within the triad of justice institutions and bring technical exper</w:t>
      </w:r>
      <w:r w:rsidR="00BB59AB">
        <w:rPr>
          <w:rFonts w:ascii="Times New Roman" w:eastAsia="MS Mincho" w:hAnsi="Times New Roman" w:cs="Times New Roman"/>
          <w:sz w:val="22"/>
          <w:szCs w:val="22"/>
          <w:lang w:val="en-GB" w:eastAsia="ja-JP"/>
        </w:rPr>
        <w:t xml:space="preserve">tise to this on-going debate. </w:t>
      </w:r>
      <w:r w:rsidRPr="00647752">
        <w:rPr>
          <w:rFonts w:ascii="Times New Roman" w:eastAsia="MS Mincho" w:hAnsi="Times New Roman" w:cs="Times New Roman"/>
          <w:sz w:val="22"/>
          <w:szCs w:val="22"/>
          <w:lang w:val="en-GB" w:eastAsia="ja-JP"/>
        </w:rPr>
        <w:t>Donors should reach a common approach and engage at the political level if necessary in an attempt to obtain resolution of this issue.</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BB59AB" w:rsidP="00FB6759">
      <w:pPr>
        <w:spacing w:after="0" w:line="240" w:lineRule="auto"/>
        <w:jc w:val="both"/>
        <w:rPr>
          <w:rFonts w:ascii="Times New Roman" w:eastAsia="MS Mincho" w:hAnsi="Times New Roman" w:cs="Times New Roman"/>
          <w:sz w:val="22"/>
          <w:szCs w:val="22"/>
          <w:lang w:val="en-GB" w:eastAsia="ja-JP"/>
        </w:rPr>
      </w:pPr>
      <w:r>
        <w:rPr>
          <w:rFonts w:ascii="Times New Roman" w:eastAsia="MS Mincho" w:hAnsi="Times New Roman" w:cs="Times New Roman"/>
          <w:sz w:val="22"/>
          <w:szCs w:val="22"/>
          <w:lang w:val="en-GB" w:eastAsia="ja-JP"/>
        </w:rPr>
        <w:t>The e</w:t>
      </w:r>
      <w:r w:rsidR="00053B6C" w:rsidRPr="00647752">
        <w:rPr>
          <w:rFonts w:ascii="Times New Roman" w:eastAsia="MS Mincho" w:hAnsi="Times New Roman" w:cs="Times New Roman"/>
          <w:sz w:val="22"/>
          <w:szCs w:val="22"/>
          <w:lang w:val="en-GB" w:eastAsia="ja-JP"/>
        </w:rPr>
        <w:t>valuation noted several additional i</w:t>
      </w:r>
      <w:r>
        <w:rPr>
          <w:rFonts w:ascii="Times New Roman" w:eastAsia="MS Mincho" w:hAnsi="Times New Roman" w:cs="Times New Roman"/>
          <w:sz w:val="22"/>
          <w:szCs w:val="22"/>
          <w:lang w:val="en-GB" w:eastAsia="ja-JP"/>
        </w:rPr>
        <w:t>ssues that have challenged the programme during the first phase.</w:t>
      </w:r>
      <w:r w:rsidR="00053B6C" w:rsidRPr="00647752">
        <w:rPr>
          <w:rFonts w:ascii="Times New Roman" w:eastAsia="MS Mincho" w:hAnsi="Times New Roman" w:cs="Times New Roman"/>
          <w:sz w:val="22"/>
          <w:szCs w:val="22"/>
          <w:lang w:val="en-GB" w:eastAsia="ja-JP"/>
        </w:rPr>
        <w:t xml:space="preserve"> Principal among these is a lack of transportation available to enable UNDP programme staff to easily access remote parts of the West Bank</w:t>
      </w:r>
      <w:r w:rsidR="00C63BB6" w:rsidRPr="00647752">
        <w:rPr>
          <w:rFonts w:ascii="Times New Roman" w:eastAsia="MS Mincho" w:hAnsi="Times New Roman" w:cs="Times New Roman"/>
          <w:sz w:val="22"/>
          <w:szCs w:val="22"/>
          <w:lang w:val="en-GB" w:eastAsia="ja-JP"/>
        </w:rPr>
        <w:t xml:space="preserve">. </w:t>
      </w:r>
      <w:r w:rsidR="00053B6C" w:rsidRPr="00647752">
        <w:rPr>
          <w:rFonts w:ascii="Times New Roman" w:eastAsia="MS Mincho" w:hAnsi="Times New Roman" w:cs="Times New Roman"/>
          <w:sz w:val="22"/>
          <w:szCs w:val="22"/>
          <w:lang w:val="en-GB" w:eastAsia="ja-JP"/>
        </w:rPr>
        <w:t xml:space="preserve">UNDP </w:t>
      </w:r>
      <w:r w:rsidR="00AC0FD1" w:rsidRPr="00647752">
        <w:rPr>
          <w:rFonts w:ascii="Times New Roman" w:eastAsia="MS Mincho" w:hAnsi="Times New Roman" w:cs="Times New Roman"/>
          <w:sz w:val="22"/>
          <w:szCs w:val="22"/>
          <w:lang w:val="en-GB" w:eastAsia="ja-JP"/>
        </w:rPr>
        <w:t xml:space="preserve">should </w:t>
      </w:r>
      <w:r w:rsidR="00053B6C" w:rsidRPr="00647752">
        <w:rPr>
          <w:rFonts w:ascii="Times New Roman" w:eastAsia="MS Mincho" w:hAnsi="Times New Roman" w:cs="Times New Roman"/>
          <w:sz w:val="22"/>
          <w:szCs w:val="22"/>
          <w:lang w:val="en-GB" w:eastAsia="ja-JP"/>
        </w:rPr>
        <w:t>explore the pos</w:t>
      </w:r>
      <w:r>
        <w:rPr>
          <w:rFonts w:ascii="Times New Roman" w:eastAsia="MS Mincho" w:hAnsi="Times New Roman" w:cs="Times New Roman"/>
          <w:sz w:val="22"/>
          <w:szCs w:val="22"/>
          <w:lang w:val="en-GB" w:eastAsia="ja-JP"/>
        </w:rPr>
        <w:t xml:space="preserve">sibility of opening a </w:t>
      </w:r>
      <w:r w:rsidR="00053B6C" w:rsidRPr="00647752">
        <w:rPr>
          <w:rFonts w:ascii="Times New Roman" w:eastAsia="MS Mincho" w:hAnsi="Times New Roman" w:cs="Times New Roman"/>
          <w:sz w:val="22"/>
          <w:szCs w:val="22"/>
          <w:lang w:val="en-GB" w:eastAsia="ja-JP"/>
        </w:rPr>
        <w:t xml:space="preserve">sub-office in the </w:t>
      </w:r>
      <w:r w:rsidR="00053B6C" w:rsidRPr="00647752">
        <w:rPr>
          <w:rFonts w:ascii="Times New Roman" w:eastAsia="MS Mincho" w:hAnsi="Times New Roman" w:cs="Times New Roman"/>
          <w:sz w:val="22"/>
          <w:szCs w:val="22"/>
          <w:lang w:val="en-GB" w:eastAsia="ja-JP"/>
        </w:rPr>
        <w:lastRenderedPageBreak/>
        <w:t>West Bank (</w:t>
      </w:r>
      <w:r>
        <w:rPr>
          <w:rFonts w:ascii="Times New Roman" w:eastAsia="MS Mincho" w:hAnsi="Times New Roman" w:cs="Times New Roman"/>
          <w:sz w:val="22"/>
          <w:szCs w:val="22"/>
          <w:lang w:val="en-GB" w:eastAsia="ja-JP"/>
        </w:rPr>
        <w:t>for instance in Hebron</w:t>
      </w:r>
      <w:r w:rsidR="00053B6C" w:rsidRPr="00647752">
        <w:rPr>
          <w:rFonts w:ascii="Times New Roman" w:eastAsia="MS Mincho" w:hAnsi="Times New Roman" w:cs="Times New Roman"/>
          <w:sz w:val="22"/>
          <w:szCs w:val="22"/>
          <w:lang w:val="en-GB" w:eastAsia="ja-JP"/>
        </w:rPr>
        <w:t>) in order to extend the reach of UNDP programme staff to more remote areas and to bring UNDP technical expertise closer to UNDP’s</w:t>
      </w:r>
      <w:r w:rsidR="00FD3C19">
        <w:rPr>
          <w:rFonts w:ascii="Times New Roman" w:eastAsia="MS Mincho" w:hAnsi="Times New Roman" w:cs="Times New Roman"/>
          <w:sz w:val="22"/>
          <w:szCs w:val="22"/>
          <w:lang w:val="en-GB" w:eastAsia="ja-JP"/>
        </w:rPr>
        <w:t xml:space="preserve"> </w:t>
      </w:r>
      <w:r w:rsidR="00053B6C" w:rsidRPr="00647752">
        <w:rPr>
          <w:rFonts w:ascii="Times New Roman" w:eastAsia="MS Mincho" w:hAnsi="Times New Roman" w:cs="Times New Roman"/>
          <w:sz w:val="22"/>
          <w:szCs w:val="22"/>
          <w:lang w:val="en-GB" w:eastAsia="ja-JP"/>
        </w:rPr>
        <w:t xml:space="preserve">implementers.  </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Th</w:t>
      </w:r>
      <w:r w:rsidR="00BB59AB">
        <w:rPr>
          <w:rFonts w:ascii="Times New Roman" w:eastAsia="MS Mincho" w:hAnsi="Times New Roman" w:cs="Times New Roman"/>
          <w:sz w:val="22"/>
          <w:szCs w:val="22"/>
          <w:lang w:val="en-GB" w:eastAsia="ja-JP"/>
        </w:rPr>
        <w:t>e point of most concern to the evaluation in terms of cost-</w:t>
      </w:r>
      <w:r w:rsidRPr="00647752">
        <w:rPr>
          <w:rFonts w:ascii="Times New Roman" w:eastAsia="MS Mincho" w:hAnsi="Times New Roman" w:cs="Times New Roman"/>
          <w:sz w:val="22"/>
          <w:szCs w:val="22"/>
          <w:lang w:val="en-GB" w:eastAsia="ja-JP"/>
        </w:rPr>
        <w:t>efficiency was th</w:t>
      </w:r>
      <w:r w:rsidR="00BB59AB">
        <w:rPr>
          <w:rFonts w:ascii="Times New Roman" w:eastAsia="MS Mincho" w:hAnsi="Times New Roman" w:cs="Times New Roman"/>
          <w:sz w:val="22"/>
          <w:szCs w:val="22"/>
          <w:lang w:val="en-GB" w:eastAsia="ja-JP"/>
        </w:rPr>
        <w:t>e UNDP’</w:t>
      </w:r>
      <w:r w:rsidRPr="00647752">
        <w:rPr>
          <w:rFonts w:ascii="Times New Roman" w:eastAsia="MS Mincho" w:hAnsi="Times New Roman" w:cs="Times New Roman"/>
          <w:sz w:val="22"/>
          <w:szCs w:val="22"/>
          <w:lang w:val="en-GB" w:eastAsia="ja-JP"/>
        </w:rPr>
        <w:t>s supp</w:t>
      </w:r>
      <w:r w:rsidR="00BB59AB">
        <w:rPr>
          <w:rFonts w:ascii="Times New Roman" w:eastAsia="MS Mincho" w:hAnsi="Times New Roman" w:cs="Times New Roman"/>
          <w:sz w:val="22"/>
          <w:szCs w:val="22"/>
          <w:lang w:val="en-GB" w:eastAsia="ja-JP"/>
        </w:rPr>
        <w:t>ort to advocacy campaigns</w:t>
      </w:r>
      <w:r w:rsidRPr="00647752">
        <w:rPr>
          <w:rFonts w:ascii="Times New Roman" w:eastAsia="MS Mincho" w:hAnsi="Times New Roman" w:cs="Times New Roman"/>
          <w:sz w:val="22"/>
          <w:szCs w:val="22"/>
          <w:lang w:val="en-GB" w:eastAsia="ja-JP"/>
        </w:rPr>
        <w:t xml:space="preserve"> and w</w:t>
      </w:r>
      <w:r w:rsidR="00BB59AB">
        <w:rPr>
          <w:rFonts w:ascii="Times New Roman" w:eastAsia="MS Mincho" w:hAnsi="Times New Roman" w:cs="Times New Roman"/>
          <w:sz w:val="22"/>
          <w:szCs w:val="22"/>
          <w:lang w:val="en-GB" w:eastAsia="ja-JP"/>
        </w:rPr>
        <w:t xml:space="preserve">hether this support </w:t>
      </w:r>
      <w:r w:rsidRPr="00647752">
        <w:rPr>
          <w:rFonts w:ascii="Times New Roman" w:eastAsia="MS Mincho" w:hAnsi="Times New Roman" w:cs="Times New Roman"/>
          <w:sz w:val="22"/>
          <w:szCs w:val="22"/>
          <w:lang w:val="en-GB" w:eastAsia="ja-JP"/>
        </w:rPr>
        <w:t xml:space="preserve">could be made more strategic in nature. This, said, both UNDP awareness-raising and advocacy campaigns have resulted in more clients presenting themselves at UNDP supported legal aid </w:t>
      </w:r>
      <w:r w:rsidR="00AC0FD1" w:rsidRPr="00647752">
        <w:rPr>
          <w:rFonts w:ascii="Times New Roman" w:eastAsia="MS Mincho" w:hAnsi="Times New Roman" w:cs="Times New Roman"/>
          <w:sz w:val="22"/>
          <w:szCs w:val="22"/>
          <w:lang w:val="en-GB" w:eastAsia="ja-JP"/>
        </w:rPr>
        <w:t>centres</w:t>
      </w:r>
      <w:r w:rsidRPr="00647752">
        <w:rPr>
          <w:rFonts w:ascii="Times New Roman" w:eastAsia="MS Mincho" w:hAnsi="Times New Roman" w:cs="Times New Roman"/>
          <w:sz w:val="22"/>
          <w:szCs w:val="22"/>
          <w:lang w:val="en-GB" w:eastAsia="ja-JP"/>
        </w:rPr>
        <w:t xml:space="preserve">.  Many clients interviewed by the </w:t>
      </w:r>
      <w:r w:rsidR="00BB59AB">
        <w:rPr>
          <w:rFonts w:ascii="Times New Roman" w:eastAsia="MS Mincho" w:hAnsi="Times New Roman" w:cs="Times New Roman"/>
          <w:sz w:val="22"/>
          <w:szCs w:val="22"/>
          <w:lang w:val="en-GB" w:eastAsia="ja-JP"/>
        </w:rPr>
        <w:t>e</w:t>
      </w:r>
      <w:r w:rsidR="00AC0FD1" w:rsidRPr="00647752">
        <w:rPr>
          <w:rFonts w:ascii="Times New Roman" w:eastAsia="MS Mincho" w:hAnsi="Times New Roman" w:cs="Times New Roman"/>
          <w:sz w:val="22"/>
          <w:szCs w:val="22"/>
          <w:lang w:val="en-GB" w:eastAsia="ja-JP"/>
        </w:rPr>
        <w:t>valuation stated</w:t>
      </w:r>
      <w:r w:rsidRPr="00647752">
        <w:rPr>
          <w:rFonts w:ascii="Times New Roman" w:eastAsia="MS Mincho" w:hAnsi="Times New Roman" w:cs="Times New Roman"/>
          <w:sz w:val="22"/>
          <w:szCs w:val="22"/>
          <w:lang w:val="en-GB" w:eastAsia="ja-JP"/>
        </w:rPr>
        <w:t xml:space="preserve"> that they learned of the availability of free legal aid</w:t>
      </w:r>
      <w:r w:rsidR="00BB59AB">
        <w:rPr>
          <w:rFonts w:ascii="Times New Roman" w:eastAsia="MS Mincho" w:hAnsi="Times New Roman" w:cs="Times New Roman"/>
          <w:sz w:val="22"/>
          <w:szCs w:val="22"/>
          <w:lang w:val="en-GB" w:eastAsia="ja-JP"/>
        </w:rPr>
        <w:t xml:space="preserve"> via an </w:t>
      </w:r>
      <w:r w:rsidRPr="00647752">
        <w:rPr>
          <w:rFonts w:ascii="Times New Roman" w:eastAsia="MS Mincho" w:hAnsi="Times New Roman" w:cs="Times New Roman"/>
          <w:sz w:val="22"/>
          <w:szCs w:val="22"/>
          <w:lang w:val="en-GB" w:eastAsia="ja-JP"/>
        </w:rPr>
        <w:t>awareness-raising campaign. Thus, it is difficult to measure with certainty the cost-benefit of such outputs. UNDP may be able to consolidate some of the advocacy campaigns and publications to ensure that future grants are awarded based upon CSOs’ demonstrat</w:t>
      </w:r>
      <w:r w:rsidR="00BB59AB">
        <w:rPr>
          <w:rFonts w:ascii="Times New Roman" w:eastAsia="MS Mincho" w:hAnsi="Times New Roman" w:cs="Times New Roman"/>
          <w:sz w:val="22"/>
          <w:szCs w:val="22"/>
          <w:lang w:val="en-GB" w:eastAsia="ja-JP"/>
        </w:rPr>
        <w:t>ed capacities and performance.</w:t>
      </w: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p>
    <w:p w:rsidR="00BB59AB"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The rel</w:t>
      </w:r>
      <w:r w:rsidR="00BB59AB">
        <w:rPr>
          <w:rFonts w:ascii="Times New Roman" w:eastAsia="MS Mincho" w:hAnsi="Times New Roman" w:cs="Times New Roman"/>
          <w:sz w:val="22"/>
          <w:szCs w:val="22"/>
          <w:lang w:val="en-GB" w:eastAsia="ja-JP"/>
        </w:rPr>
        <w:t>ationship</w:t>
      </w:r>
      <w:r w:rsidR="00AF49CC">
        <w:rPr>
          <w:rFonts w:ascii="Times New Roman" w:eastAsia="MS Mincho" w:hAnsi="Times New Roman" w:cs="Times New Roman"/>
          <w:sz w:val="22"/>
          <w:szCs w:val="22"/>
          <w:lang w:val="en-GB" w:eastAsia="ja-JP"/>
        </w:rPr>
        <w:t xml:space="preserve"> between UNDP and its donors is</w:t>
      </w:r>
      <w:r w:rsidR="00BB59AB">
        <w:rPr>
          <w:rFonts w:ascii="Times New Roman" w:eastAsia="MS Mincho" w:hAnsi="Times New Roman" w:cs="Times New Roman"/>
          <w:sz w:val="22"/>
          <w:szCs w:val="22"/>
          <w:lang w:val="en-GB" w:eastAsia="ja-JP"/>
        </w:rPr>
        <w:t xml:space="preserve"> strong</w:t>
      </w:r>
      <w:r w:rsidRPr="00647752">
        <w:rPr>
          <w:rFonts w:ascii="Times New Roman" w:eastAsia="MS Mincho" w:hAnsi="Times New Roman" w:cs="Times New Roman"/>
          <w:sz w:val="22"/>
          <w:szCs w:val="22"/>
          <w:lang w:val="en-GB" w:eastAsia="ja-JP"/>
        </w:rPr>
        <w:t xml:space="preserve"> but going forward, UNDP should continue to respond to donor requests that it demonstrate a link between the </w:t>
      </w:r>
      <w:r w:rsidR="00BB59AB">
        <w:rPr>
          <w:rFonts w:ascii="Times New Roman" w:eastAsia="MS Mincho" w:hAnsi="Times New Roman" w:cs="Times New Roman"/>
          <w:sz w:val="22"/>
          <w:szCs w:val="22"/>
          <w:lang w:val="en-GB" w:eastAsia="ja-JP"/>
        </w:rPr>
        <w:t xml:space="preserve">different </w:t>
      </w:r>
      <w:r w:rsidRPr="00647752">
        <w:rPr>
          <w:rFonts w:ascii="Times New Roman" w:eastAsia="MS Mincho" w:hAnsi="Times New Roman" w:cs="Times New Roman"/>
          <w:sz w:val="22"/>
          <w:szCs w:val="22"/>
          <w:lang w:val="en-GB" w:eastAsia="ja-JP"/>
        </w:rPr>
        <w:t>ou</w:t>
      </w:r>
      <w:r w:rsidR="00BB59AB">
        <w:rPr>
          <w:rFonts w:ascii="Times New Roman" w:eastAsia="MS Mincho" w:hAnsi="Times New Roman" w:cs="Times New Roman"/>
          <w:sz w:val="22"/>
          <w:szCs w:val="22"/>
          <w:lang w:val="en-GB" w:eastAsia="ja-JP"/>
        </w:rPr>
        <w:t>tputs of the p</w:t>
      </w:r>
      <w:r w:rsidRPr="00647752">
        <w:rPr>
          <w:rFonts w:ascii="Times New Roman" w:eastAsia="MS Mincho" w:hAnsi="Times New Roman" w:cs="Times New Roman"/>
          <w:sz w:val="22"/>
          <w:szCs w:val="22"/>
          <w:lang w:val="en-GB" w:eastAsia="ja-JP"/>
        </w:rPr>
        <w:t>rogramme and impact at the outcome level. To this end, UNDP has recently revised its M&amp;E plan and stressed to its partners and beneficiaries that they will need to streamline data collection to a greater degree in the future.</w:t>
      </w:r>
    </w:p>
    <w:p w:rsidR="00BB59AB" w:rsidRDefault="00BB59AB" w:rsidP="00FB6759">
      <w:pPr>
        <w:spacing w:after="0" w:line="240" w:lineRule="auto"/>
        <w:jc w:val="both"/>
        <w:rPr>
          <w:rFonts w:ascii="Times New Roman" w:eastAsia="MS Mincho" w:hAnsi="Times New Roman" w:cs="Times New Roman"/>
          <w:sz w:val="22"/>
          <w:szCs w:val="22"/>
          <w:lang w:val="en-GB" w:eastAsia="ja-JP"/>
        </w:rPr>
      </w:pPr>
    </w:p>
    <w:p w:rsidR="00053B6C" w:rsidRPr="00647752"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Communication and coordination within the UNCT for the rule of law sector could be improved going forward. UNDP should continue to partner with UN Women, UNODC, OHCHR, UNICEF and other agencies to ensure a high degree of information flow. UNICEF may offer particular synergies in legal aid and lawyer and paralegal trainings programmes.</w:t>
      </w:r>
    </w:p>
    <w:p w:rsidR="00053B6C" w:rsidRPr="00647752" w:rsidRDefault="00053B6C" w:rsidP="00FB6759">
      <w:pPr>
        <w:spacing w:after="0" w:line="240" w:lineRule="auto"/>
        <w:jc w:val="both"/>
        <w:rPr>
          <w:rFonts w:ascii="Times New Roman" w:eastAsia="MS Mincho" w:hAnsi="Times New Roman" w:cs="Times New Roman"/>
          <w:b/>
          <w:sz w:val="22"/>
          <w:szCs w:val="22"/>
          <w:lang w:val="en-GB" w:eastAsia="ja-JP"/>
        </w:rPr>
      </w:pPr>
    </w:p>
    <w:p w:rsidR="00053B6C" w:rsidRPr="00647752" w:rsidRDefault="00053B6C" w:rsidP="00FB6759">
      <w:pPr>
        <w:spacing w:after="0" w:line="240" w:lineRule="auto"/>
        <w:jc w:val="both"/>
        <w:rPr>
          <w:rFonts w:ascii="Times New Roman" w:eastAsia="MS Mincho" w:hAnsi="Times New Roman" w:cs="Times New Roman"/>
          <w:b/>
          <w:sz w:val="22"/>
          <w:szCs w:val="22"/>
          <w:lang w:val="en-GB" w:eastAsia="ja-JP"/>
        </w:rPr>
      </w:pPr>
      <w:r w:rsidRPr="00647752">
        <w:rPr>
          <w:rFonts w:ascii="Times New Roman" w:eastAsia="MS Mincho" w:hAnsi="Times New Roman" w:cs="Times New Roman"/>
          <w:b/>
          <w:sz w:val="22"/>
          <w:szCs w:val="22"/>
          <w:lang w:val="en-GB" w:eastAsia="ja-JP"/>
        </w:rPr>
        <w:t>Overall Assessment</w:t>
      </w:r>
    </w:p>
    <w:p w:rsidR="00BB59AB" w:rsidRDefault="00BB59AB" w:rsidP="00FB6759">
      <w:pPr>
        <w:spacing w:after="0" w:line="240" w:lineRule="auto"/>
        <w:jc w:val="both"/>
        <w:rPr>
          <w:rFonts w:ascii="Times New Roman" w:eastAsia="MS Mincho" w:hAnsi="Times New Roman" w:cs="Times New Roman"/>
          <w:sz w:val="22"/>
          <w:szCs w:val="22"/>
          <w:lang w:val="en-GB" w:eastAsia="ja-JP"/>
        </w:rPr>
      </w:pPr>
    </w:p>
    <w:p w:rsidR="00053B6C" w:rsidRDefault="00053B6C"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 xml:space="preserve">Considering that the UNDP Rule of Law </w:t>
      </w:r>
      <w:r w:rsidR="00BB59AB">
        <w:rPr>
          <w:rFonts w:ascii="Times New Roman" w:eastAsia="MS Mincho" w:hAnsi="Times New Roman" w:cs="Times New Roman"/>
          <w:sz w:val="22"/>
          <w:szCs w:val="22"/>
          <w:lang w:val="en-GB" w:eastAsia="ja-JP"/>
        </w:rPr>
        <w:t xml:space="preserve">&amp; Access to Justice </w:t>
      </w:r>
      <w:r w:rsidRPr="00647752">
        <w:rPr>
          <w:rFonts w:ascii="Times New Roman" w:eastAsia="MS Mincho" w:hAnsi="Times New Roman" w:cs="Times New Roman"/>
          <w:sz w:val="22"/>
          <w:szCs w:val="22"/>
          <w:lang w:val="en-GB" w:eastAsia="ja-JP"/>
        </w:rPr>
        <w:t xml:space="preserve">Programme </w:t>
      </w:r>
      <w:r w:rsidR="00BB59AB">
        <w:rPr>
          <w:rFonts w:ascii="Times New Roman" w:eastAsia="MS Mincho" w:hAnsi="Times New Roman" w:cs="Times New Roman"/>
          <w:sz w:val="22"/>
          <w:szCs w:val="22"/>
          <w:lang w:val="en-GB" w:eastAsia="ja-JP"/>
        </w:rPr>
        <w:t>in the oPt</w:t>
      </w:r>
      <w:r w:rsidR="00227679">
        <w:rPr>
          <w:rFonts w:ascii="Times New Roman" w:eastAsia="MS Mincho" w:hAnsi="Times New Roman" w:cs="Times New Roman"/>
          <w:sz w:val="22"/>
          <w:szCs w:val="22"/>
          <w:lang w:val="en-GB" w:eastAsia="ja-JP"/>
        </w:rPr>
        <w:t xml:space="preserve"> </w:t>
      </w:r>
      <w:r w:rsidRPr="00647752">
        <w:rPr>
          <w:rFonts w:ascii="Times New Roman" w:eastAsia="MS Mincho" w:hAnsi="Times New Roman" w:cs="Times New Roman"/>
          <w:sz w:val="22"/>
          <w:szCs w:val="22"/>
          <w:lang w:val="en-GB" w:eastAsia="ja-JP"/>
        </w:rPr>
        <w:t>did not truly become active until mid-2010 and the challenges that UNDP faced at a political level, th</w:t>
      </w:r>
      <w:r w:rsidR="00BB59AB">
        <w:rPr>
          <w:rFonts w:ascii="Times New Roman" w:eastAsia="MS Mincho" w:hAnsi="Times New Roman" w:cs="Times New Roman"/>
          <w:sz w:val="22"/>
          <w:szCs w:val="22"/>
          <w:lang w:val="en-GB" w:eastAsia="ja-JP"/>
        </w:rPr>
        <w:t>e results that the p</w:t>
      </w:r>
      <w:r w:rsidRPr="00647752">
        <w:rPr>
          <w:rFonts w:ascii="Times New Roman" w:eastAsia="MS Mincho" w:hAnsi="Times New Roman" w:cs="Times New Roman"/>
          <w:sz w:val="22"/>
          <w:szCs w:val="22"/>
          <w:lang w:val="en-GB" w:eastAsia="ja-JP"/>
        </w:rPr>
        <w:t>rogramme has been able to achieve within the course of 2.</w:t>
      </w:r>
      <w:r w:rsidR="00BB59AB">
        <w:rPr>
          <w:rFonts w:ascii="Times New Roman" w:eastAsia="MS Mincho" w:hAnsi="Times New Roman" w:cs="Times New Roman"/>
          <w:sz w:val="22"/>
          <w:szCs w:val="22"/>
          <w:lang w:val="en-GB" w:eastAsia="ja-JP"/>
        </w:rPr>
        <w:t xml:space="preserve">5 years are substantial - </w:t>
      </w:r>
      <w:r w:rsidRPr="00647752">
        <w:rPr>
          <w:rFonts w:ascii="Times New Roman" w:eastAsia="MS Mincho" w:hAnsi="Times New Roman" w:cs="Times New Roman"/>
          <w:sz w:val="22"/>
          <w:szCs w:val="22"/>
          <w:lang w:val="en-GB" w:eastAsia="ja-JP"/>
        </w:rPr>
        <w:t>especially with regard to legal aid and clinical legal education. It is</w:t>
      </w:r>
      <w:r w:rsidR="00BB59AB">
        <w:rPr>
          <w:rFonts w:ascii="Times New Roman" w:eastAsia="MS Mincho" w:hAnsi="Times New Roman" w:cs="Times New Roman"/>
          <w:sz w:val="22"/>
          <w:szCs w:val="22"/>
          <w:lang w:val="en-GB" w:eastAsia="ja-JP"/>
        </w:rPr>
        <w:t xml:space="preserve"> the overall assessment of the e</w:t>
      </w:r>
      <w:r w:rsidRPr="00647752">
        <w:rPr>
          <w:rFonts w:ascii="Times New Roman" w:eastAsia="MS Mincho" w:hAnsi="Times New Roman" w:cs="Times New Roman"/>
          <w:sz w:val="22"/>
          <w:szCs w:val="22"/>
          <w:lang w:val="en-GB" w:eastAsia="ja-JP"/>
        </w:rPr>
        <w:t>valuation that UNDP’s achievements and performance during</w:t>
      </w:r>
      <w:r w:rsidR="00BB59AB">
        <w:rPr>
          <w:rFonts w:ascii="Times New Roman" w:eastAsia="MS Mincho" w:hAnsi="Times New Roman" w:cs="Times New Roman"/>
          <w:sz w:val="22"/>
          <w:szCs w:val="22"/>
          <w:lang w:val="en-GB" w:eastAsia="ja-JP"/>
        </w:rPr>
        <w:t xml:space="preserve"> this </w:t>
      </w:r>
      <w:r w:rsidRPr="00647752">
        <w:rPr>
          <w:rFonts w:ascii="Times New Roman" w:eastAsia="MS Mincho" w:hAnsi="Times New Roman" w:cs="Times New Roman"/>
          <w:sz w:val="22"/>
          <w:szCs w:val="22"/>
          <w:lang w:val="en-GB" w:eastAsia="ja-JP"/>
        </w:rPr>
        <w:t>period mitigate in favour of continued funding and a subsequent phase of the programme.</w:t>
      </w:r>
    </w:p>
    <w:p w:rsidR="004F767E" w:rsidRDefault="004F767E" w:rsidP="00FB6759">
      <w:pPr>
        <w:spacing w:after="0" w:line="240" w:lineRule="auto"/>
        <w:jc w:val="both"/>
        <w:rPr>
          <w:rFonts w:ascii="Times New Roman" w:eastAsia="MS Mincho" w:hAnsi="Times New Roman" w:cs="Times New Roman"/>
          <w:sz w:val="22"/>
          <w:szCs w:val="22"/>
          <w:lang w:val="en-GB" w:eastAsia="ja-JP"/>
        </w:rPr>
      </w:pPr>
    </w:p>
    <w:p w:rsidR="004F767E" w:rsidRPr="00647752" w:rsidRDefault="004F767E" w:rsidP="004F767E">
      <w:pPr>
        <w:spacing w:after="0" w:line="240" w:lineRule="auto"/>
        <w:jc w:val="center"/>
        <w:rPr>
          <w:rFonts w:ascii="Times New Roman" w:eastAsia="MS Mincho" w:hAnsi="Times New Roman" w:cs="Times New Roman"/>
          <w:sz w:val="22"/>
          <w:szCs w:val="22"/>
          <w:lang w:val="en-GB" w:eastAsia="ja-JP"/>
        </w:rPr>
      </w:pPr>
      <w:r>
        <w:rPr>
          <w:rFonts w:ascii="Times New Roman" w:eastAsia="MS Mincho" w:hAnsi="Times New Roman" w:cs="Times New Roman"/>
          <w:sz w:val="22"/>
          <w:szCs w:val="22"/>
          <w:lang w:val="en-GB" w:eastAsia="ja-JP"/>
        </w:rPr>
        <w:t>_________</w:t>
      </w:r>
    </w:p>
    <w:p w:rsidR="00053B6C" w:rsidRPr="00647752" w:rsidRDefault="00053B6C" w:rsidP="00FB6759">
      <w:pPr>
        <w:spacing w:after="0" w:line="240" w:lineRule="auto"/>
        <w:rPr>
          <w:rFonts w:eastAsiaTheme="majorEastAsia"/>
          <w:b/>
          <w:bCs/>
          <w:sz w:val="28"/>
          <w:szCs w:val="28"/>
          <w:lang w:val="en-GB"/>
        </w:rPr>
      </w:pPr>
      <w:r w:rsidRPr="00647752">
        <w:rPr>
          <w:lang w:val="en-GB"/>
        </w:rPr>
        <w:br w:type="page"/>
      </w:r>
    </w:p>
    <w:p w:rsidR="000E6B39" w:rsidRPr="00BB59AB" w:rsidRDefault="00576919" w:rsidP="00BB59AB">
      <w:pPr>
        <w:pStyle w:val="Heading1"/>
        <w:spacing w:after="0" w:line="240" w:lineRule="auto"/>
        <w:rPr>
          <w:rFonts w:ascii="Times New Roman" w:hAnsi="Times New Roman" w:cs="Times New Roman"/>
          <w:sz w:val="22"/>
          <w:szCs w:val="22"/>
          <w:lang w:val="en-GB"/>
        </w:rPr>
      </w:pPr>
      <w:bookmarkStart w:id="3" w:name="_Toc231801787"/>
      <w:r w:rsidRPr="00BB59AB">
        <w:rPr>
          <w:rFonts w:ascii="Times New Roman" w:hAnsi="Times New Roman" w:cs="Times New Roman"/>
          <w:sz w:val="22"/>
          <w:szCs w:val="22"/>
          <w:lang w:val="en-GB"/>
        </w:rPr>
        <w:lastRenderedPageBreak/>
        <w:t>Map of t</w:t>
      </w:r>
      <w:r w:rsidR="00E01091" w:rsidRPr="00BB59AB">
        <w:rPr>
          <w:rFonts w:ascii="Times New Roman" w:hAnsi="Times New Roman" w:cs="Times New Roman"/>
          <w:sz w:val="22"/>
          <w:szCs w:val="22"/>
          <w:lang w:val="en-GB"/>
        </w:rPr>
        <w:t xml:space="preserve">he </w:t>
      </w:r>
      <w:r w:rsidR="00372778" w:rsidRPr="00BB59AB">
        <w:rPr>
          <w:rFonts w:ascii="Times New Roman" w:hAnsi="Times New Roman" w:cs="Times New Roman"/>
          <w:sz w:val="22"/>
          <w:szCs w:val="22"/>
          <w:lang w:val="en-GB"/>
        </w:rPr>
        <w:t>West Bank</w:t>
      </w:r>
      <w:bookmarkEnd w:id="3"/>
    </w:p>
    <w:p w:rsidR="00BB59AB" w:rsidRPr="00BB59AB" w:rsidRDefault="00BB59AB" w:rsidP="00BB59AB">
      <w:pPr>
        <w:spacing w:after="0" w:line="240" w:lineRule="auto"/>
        <w:rPr>
          <w:rFonts w:ascii="Times New Roman" w:hAnsi="Times New Roman" w:cs="Times New Roman"/>
          <w:sz w:val="22"/>
          <w:szCs w:val="22"/>
          <w:lang w:val="en-GB"/>
        </w:rPr>
      </w:pPr>
    </w:p>
    <w:p w:rsidR="00BB59AB" w:rsidRPr="00BB59AB" w:rsidRDefault="00BB59AB" w:rsidP="00BB59AB">
      <w:pPr>
        <w:spacing w:after="0" w:line="240" w:lineRule="auto"/>
        <w:rPr>
          <w:rFonts w:ascii="Times New Roman" w:hAnsi="Times New Roman" w:cs="Times New Roman"/>
          <w:sz w:val="22"/>
          <w:szCs w:val="22"/>
          <w:lang w:val="en-GB"/>
        </w:rPr>
      </w:pPr>
    </w:p>
    <w:p w:rsidR="000E6B39" w:rsidRPr="00BB59AB" w:rsidRDefault="000E6B39" w:rsidP="00BB59AB">
      <w:pPr>
        <w:spacing w:after="0" w:line="240" w:lineRule="auto"/>
        <w:rPr>
          <w:rFonts w:ascii="Times New Roman" w:hAnsi="Times New Roman" w:cs="Times New Roman"/>
          <w:sz w:val="22"/>
          <w:szCs w:val="22"/>
          <w:lang w:val="en-GB"/>
        </w:rPr>
      </w:pPr>
    </w:p>
    <w:p w:rsidR="00113FCE" w:rsidRPr="00BB59AB" w:rsidRDefault="00E27916" w:rsidP="00BB59AB">
      <w:pPr>
        <w:pStyle w:val="Heading1"/>
        <w:spacing w:after="0" w:line="240" w:lineRule="auto"/>
        <w:jc w:val="center"/>
        <w:rPr>
          <w:rFonts w:ascii="Times New Roman" w:hAnsi="Times New Roman" w:cs="Times New Roman"/>
          <w:sz w:val="22"/>
          <w:szCs w:val="22"/>
          <w:lang w:val="en-GB"/>
        </w:rPr>
      </w:pPr>
      <w:r w:rsidRPr="00BB59AB">
        <w:rPr>
          <w:rFonts w:ascii="Times New Roman" w:hAnsi="Times New Roman" w:cs="Times New Roman"/>
          <w:noProof/>
          <w:sz w:val="22"/>
          <w:szCs w:val="22"/>
        </w:rPr>
        <w:drawing>
          <wp:inline distT="0" distB="0" distL="0" distR="0">
            <wp:extent cx="4015005" cy="5676900"/>
            <wp:effectExtent l="19050" t="19050" r="23595" b="1905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 Bank MAp.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4015207" cy="5677186"/>
                    </a:xfrm>
                    <a:prstGeom prst="rect">
                      <a:avLst/>
                    </a:prstGeom>
                    <a:ln w="19050" cmpd="sng">
                      <a:solidFill>
                        <a:schemeClr val="tx1"/>
                      </a:solidFill>
                    </a:ln>
                  </pic:spPr>
                </pic:pic>
              </a:graphicData>
            </a:graphic>
          </wp:inline>
        </w:drawing>
      </w:r>
    </w:p>
    <w:p w:rsidR="00B702AC" w:rsidRPr="00BB59AB" w:rsidRDefault="00B702AC" w:rsidP="00BB59AB">
      <w:pPr>
        <w:spacing w:after="0" w:line="240" w:lineRule="auto"/>
        <w:jc w:val="center"/>
        <w:rPr>
          <w:rFonts w:ascii="Times New Roman" w:hAnsi="Times New Roman" w:cs="Times New Roman"/>
          <w:sz w:val="22"/>
          <w:szCs w:val="22"/>
          <w:lang w:val="en-GB"/>
        </w:rPr>
      </w:pPr>
    </w:p>
    <w:p w:rsidR="000C1D06" w:rsidRPr="00BB59AB" w:rsidRDefault="000C1D06" w:rsidP="00BB59AB">
      <w:pPr>
        <w:pStyle w:val="Heading1"/>
        <w:spacing w:after="0" w:line="240" w:lineRule="auto"/>
        <w:rPr>
          <w:rFonts w:ascii="Times New Roman" w:hAnsi="Times New Roman" w:cs="Times New Roman"/>
          <w:sz w:val="22"/>
          <w:szCs w:val="22"/>
          <w:lang w:val="en-GB"/>
        </w:rPr>
      </w:pPr>
      <w:r w:rsidRPr="00BB59AB">
        <w:rPr>
          <w:rFonts w:ascii="Times New Roman" w:hAnsi="Times New Roman" w:cs="Times New Roman"/>
          <w:sz w:val="22"/>
          <w:szCs w:val="22"/>
          <w:lang w:val="en-GB"/>
        </w:rPr>
        <w:br w:type="page"/>
      </w:r>
      <w:bookmarkStart w:id="4" w:name="_Toc231801788"/>
      <w:r w:rsidRPr="00BB59AB">
        <w:rPr>
          <w:rFonts w:ascii="Times New Roman" w:hAnsi="Times New Roman" w:cs="Times New Roman"/>
          <w:sz w:val="22"/>
          <w:szCs w:val="22"/>
          <w:lang w:val="en-GB"/>
        </w:rPr>
        <w:lastRenderedPageBreak/>
        <w:t>Map of the Gaza Strip</w:t>
      </w:r>
      <w:bookmarkEnd w:id="4"/>
    </w:p>
    <w:p w:rsidR="00BB59AB" w:rsidRPr="00BB59AB" w:rsidRDefault="00BB59AB" w:rsidP="00BB59AB">
      <w:pPr>
        <w:spacing w:after="0" w:line="240" w:lineRule="auto"/>
        <w:rPr>
          <w:rFonts w:ascii="Times New Roman" w:hAnsi="Times New Roman" w:cs="Times New Roman"/>
          <w:sz w:val="22"/>
          <w:szCs w:val="22"/>
          <w:lang w:val="en-GB"/>
        </w:rPr>
      </w:pPr>
    </w:p>
    <w:p w:rsidR="00BB59AB" w:rsidRPr="00BB59AB" w:rsidRDefault="00BB59AB" w:rsidP="00BB59AB">
      <w:pPr>
        <w:spacing w:after="0" w:line="240" w:lineRule="auto"/>
        <w:rPr>
          <w:rFonts w:ascii="Times New Roman" w:hAnsi="Times New Roman" w:cs="Times New Roman"/>
          <w:sz w:val="22"/>
          <w:szCs w:val="22"/>
          <w:lang w:val="en-GB"/>
        </w:rPr>
      </w:pPr>
    </w:p>
    <w:p w:rsidR="000C1D06" w:rsidRPr="00BB59AB" w:rsidRDefault="000C1D06" w:rsidP="00BB59AB">
      <w:pPr>
        <w:spacing w:after="0" w:line="240" w:lineRule="auto"/>
        <w:rPr>
          <w:rFonts w:ascii="Times New Roman" w:hAnsi="Times New Roman" w:cs="Times New Roman"/>
          <w:sz w:val="22"/>
          <w:szCs w:val="22"/>
          <w:lang w:val="en-GB"/>
        </w:rPr>
      </w:pPr>
    </w:p>
    <w:p w:rsidR="000C1D06" w:rsidRPr="00BB59AB" w:rsidRDefault="006B71D9" w:rsidP="00BB59AB">
      <w:pPr>
        <w:spacing w:after="0" w:line="240" w:lineRule="auto"/>
        <w:jc w:val="center"/>
        <w:rPr>
          <w:rFonts w:ascii="Times New Roman" w:hAnsi="Times New Roman" w:cs="Times New Roman"/>
          <w:sz w:val="22"/>
          <w:szCs w:val="22"/>
          <w:lang w:val="en-GB"/>
        </w:rPr>
      </w:pPr>
      <w:r w:rsidRPr="00BB59AB">
        <w:rPr>
          <w:rFonts w:ascii="Times New Roman" w:hAnsi="Times New Roman" w:cs="Times New Roman"/>
          <w:noProof/>
          <w:sz w:val="22"/>
          <w:szCs w:val="22"/>
        </w:rPr>
        <w:drawing>
          <wp:inline distT="0" distB="0" distL="0" distR="0">
            <wp:extent cx="4014216" cy="5666311"/>
            <wp:effectExtent l="19050" t="19050" r="24384" b="10589"/>
            <wp:docPr id="2" name="Picture 1" descr=":gaza-map-cov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aza-map-covr.jpg"/>
                    <pic:cNvPicPr preferRelativeResize="0">
                      <a:picLocks noChangeAspect="1" noChangeArrowheads="1"/>
                    </pic:cNvPicPr>
                  </pic:nvPicPr>
                  <pic:blipFill>
                    <a:blip r:embed="rId15"/>
                    <a:srcRect/>
                    <a:stretch>
                      <a:fillRect/>
                    </a:stretch>
                  </pic:blipFill>
                  <pic:spPr bwMode="auto">
                    <a:xfrm>
                      <a:off x="0" y="0"/>
                      <a:ext cx="4014216" cy="5666311"/>
                    </a:xfrm>
                    <a:prstGeom prst="rect">
                      <a:avLst/>
                    </a:prstGeom>
                    <a:noFill/>
                    <a:ln w="19050" cmpd="sng">
                      <a:solidFill>
                        <a:schemeClr val="tx1"/>
                      </a:solidFill>
                      <a:miter lim="800000"/>
                      <a:headEnd/>
                      <a:tailEnd/>
                    </a:ln>
                  </pic:spPr>
                </pic:pic>
              </a:graphicData>
            </a:graphic>
          </wp:inline>
        </w:drawing>
      </w:r>
    </w:p>
    <w:p w:rsidR="000C1D06" w:rsidRPr="00647752" w:rsidRDefault="000C1D06" w:rsidP="00FB6759">
      <w:pPr>
        <w:spacing w:after="0" w:line="240" w:lineRule="auto"/>
        <w:rPr>
          <w:rFonts w:ascii="Times New Roman" w:hAnsi="Times New Roman" w:cs="Times New Roman"/>
          <w:lang w:val="en-GB"/>
        </w:rPr>
      </w:pPr>
      <w:r w:rsidRPr="00647752">
        <w:rPr>
          <w:rFonts w:ascii="Times New Roman" w:hAnsi="Times New Roman" w:cs="Times New Roman"/>
          <w:lang w:val="en-GB"/>
        </w:rPr>
        <w:br w:type="page"/>
      </w:r>
    </w:p>
    <w:p w:rsidR="00C43941" w:rsidRPr="00647752" w:rsidRDefault="00C43941" w:rsidP="00FB6759">
      <w:pPr>
        <w:spacing w:after="0" w:line="240" w:lineRule="auto"/>
        <w:rPr>
          <w:rFonts w:ascii="Times New Roman" w:eastAsiaTheme="majorEastAsia" w:hAnsi="Times New Roman" w:cs="Times New Roman"/>
          <w:b/>
          <w:bCs/>
          <w:sz w:val="28"/>
          <w:szCs w:val="28"/>
          <w:lang w:val="en-GB"/>
        </w:rPr>
        <w:sectPr w:rsidR="00C43941" w:rsidRPr="00647752" w:rsidSect="00C43941">
          <w:headerReference w:type="even" r:id="rId16"/>
          <w:headerReference w:type="default" r:id="rId17"/>
          <w:footerReference w:type="default" r:id="rId18"/>
          <w:headerReference w:type="first" r:id="rId19"/>
          <w:pgSz w:w="12240" w:h="15840"/>
          <w:pgMar w:top="1440" w:right="1440" w:bottom="1440" w:left="1440" w:header="720" w:footer="720" w:gutter="0"/>
          <w:pgNumType w:fmt="lowerRoman"/>
          <w:cols w:space="720"/>
          <w:docGrid w:linePitch="360"/>
        </w:sectPr>
      </w:pPr>
    </w:p>
    <w:p w:rsidR="0032023F" w:rsidRPr="004A29F9" w:rsidRDefault="00EC4380" w:rsidP="00FB6759">
      <w:pPr>
        <w:pStyle w:val="Heading1"/>
        <w:spacing w:after="0" w:line="240" w:lineRule="auto"/>
        <w:rPr>
          <w:rFonts w:ascii="Times New Roman" w:hAnsi="Times New Roman" w:cs="Times New Roman"/>
          <w:sz w:val="22"/>
          <w:szCs w:val="22"/>
          <w:lang w:val="en-GB"/>
        </w:rPr>
      </w:pPr>
      <w:bookmarkStart w:id="5" w:name="_Toc231801789"/>
      <w:r w:rsidRPr="004A29F9">
        <w:rPr>
          <w:rFonts w:ascii="Times New Roman" w:hAnsi="Times New Roman" w:cs="Times New Roman"/>
          <w:sz w:val="22"/>
          <w:szCs w:val="22"/>
          <w:lang w:val="en-GB"/>
        </w:rPr>
        <w:lastRenderedPageBreak/>
        <w:t>Introduction</w:t>
      </w:r>
      <w:bookmarkEnd w:id="5"/>
    </w:p>
    <w:p w:rsidR="004A29F9" w:rsidRDefault="004A29F9" w:rsidP="00FB6759">
      <w:pPr>
        <w:spacing w:after="0" w:line="240" w:lineRule="auto"/>
        <w:jc w:val="both"/>
        <w:rPr>
          <w:rFonts w:ascii="Times New Roman" w:hAnsi="Times New Roman" w:cs="Times New Roman"/>
          <w:sz w:val="22"/>
          <w:szCs w:val="22"/>
          <w:lang w:val="en-GB"/>
        </w:rPr>
      </w:pPr>
    </w:p>
    <w:p w:rsidR="004A29F9" w:rsidRDefault="004A29F9"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This evaluation r</w:t>
      </w:r>
      <w:r w:rsidR="00024B68" w:rsidRPr="004A29F9">
        <w:rPr>
          <w:rFonts w:ascii="Times New Roman" w:hAnsi="Times New Roman" w:cs="Times New Roman"/>
          <w:sz w:val="22"/>
          <w:szCs w:val="22"/>
          <w:lang w:val="en-GB"/>
        </w:rPr>
        <w:t>eport is the culminatio</w:t>
      </w:r>
      <w:r>
        <w:rPr>
          <w:rFonts w:ascii="Times New Roman" w:hAnsi="Times New Roman" w:cs="Times New Roman"/>
          <w:sz w:val="22"/>
          <w:szCs w:val="22"/>
          <w:lang w:val="en-GB"/>
        </w:rPr>
        <w:t>n of an extensive review of UNDP/PAPP’s Rule of Law &amp;</w:t>
      </w:r>
      <w:r w:rsidR="000C784D" w:rsidRPr="004A29F9">
        <w:rPr>
          <w:rFonts w:ascii="Times New Roman" w:hAnsi="Times New Roman" w:cs="Times New Roman"/>
          <w:sz w:val="22"/>
          <w:szCs w:val="22"/>
          <w:lang w:val="en-GB"/>
        </w:rPr>
        <w:t xml:space="preserve">Access to </w:t>
      </w:r>
      <w:r>
        <w:rPr>
          <w:rFonts w:ascii="Times New Roman" w:hAnsi="Times New Roman" w:cs="Times New Roman"/>
          <w:sz w:val="22"/>
          <w:szCs w:val="22"/>
          <w:lang w:val="en-GB"/>
        </w:rPr>
        <w:t>Justice Programme in the oPt. The e</w:t>
      </w:r>
      <w:r w:rsidR="00024B68" w:rsidRPr="004A29F9">
        <w:rPr>
          <w:rFonts w:ascii="Times New Roman" w:hAnsi="Times New Roman" w:cs="Times New Roman"/>
          <w:sz w:val="22"/>
          <w:szCs w:val="22"/>
          <w:lang w:val="en-GB"/>
        </w:rPr>
        <w:t>valuation was lead by Ri</w:t>
      </w:r>
      <w:r>
        <w:rPr>
          <w:rFonts w:ascii="Times New Roman" w:hAnsi="Times New Roman" w:cs="Times New Roman"/>
          <w:sz w:val="22"/>
          <w:szCs w:val="22"/>
          <w:lang w:val="en-GB"/>
        </w:rPr>
        <w:t xml:space="preserve">chard H. Langan II, J.D., LL.M. - </w:t>
      </w:r>
      <w:r w:rsidR="00024B68" w:rsidRPr="004A29F9">
        <w:rPr>
          <w:rFonts w:ascii="Times New Roman" w:hAnsi="Times New Roman" w:cs="Times New Roman"/>
          <w:sz w:val="22"/>
          <w:szCs w:val="22"/>
          <w:lang w:val="en-GB"/>
        </w:rPr>
        <w:t xml:space="preserve">an independent consultant during January and February 2013 and report writing extending into </w:t>
      </w:r>
      <w:r w:rsidR="00494363" w:rsidRPr="004A29F9">
        <w:rPr>
          <w:rFonts w:ascii="Times New Roman" w:hAnsi="Times New Roman" w:cs="Times New Roman"/>
          <w:sz w:val="22"/>
          <w:szCs w:val="22"/>
          <w:lang w:val="en-GB"/>
        </w:rPr>
        <w:t>May</w:t>
      </w:r>
      <w:r w:rsidR="00024B68" w:rsidRPr="004A29F9">
        <w:rPr>
          <w:rFonts w:ascii="Times New Roman" w:hAnsi="Times New Roman" w:cs="Times New Roman"/>
          <w:sz w:val="22"/>
          <w:szCs w:val="22"/>
          <w:lang w:val="en-GB"/>
        </w:rPr>
        <w:t xml:space="preserve"> 2013.</w:t>
      </w:r>
    </w:p>
    <w:p w:rsidR="00024B68" w:rsidRPr="004A29F9" w:rsidRDefault="00024B68" w:rsidP="00FB6759">
      <w:pPr>
        <w:spacing w:after="0" w:line="240" w:lineRule="auto"/>
        <w:jc w:val="both"/>
        <w:rPr>
          <w:rFonts w:ascii="Times New Roman" w:hAnsi="Times New Roman" w:cs="Times New Roman"/>
          <w:sz w:val="22"/>
          <w:szCs w:val="22"/>
          <w:lang w:val="en-GB"/>
        </w:rPr>
      </w:pPr>
    </w:p>
    <w:p w:rsidR="00024B68" w:rsidRPr="004A29F9" w:rsidRDefault="00024B68"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 purpose</w:t>
      </w:r>
      <w:r w:rsidR="004A29F9">
        <w:rPr>
          <w:rFonts w:ascii="Times New Roman" w:hAnsi="Times New Roman" w:cs="Times New Roman"/>
          <w:sz w:val="22"/>
          <w:szCs w:val="22"/>
          <w:lang w:val="en-GB"/>
        </w:rPr>
        <w:t xml:space="preserve"> of this independent evaluation - </w:t>
      </w:r>
      <w:r w:rsidRPr="004A29F9">
        <w:rPr>
          <w:rFonts w:ascii="Times New Roman" w:hAnsi="Times New Roman" w:cs="Times New Roman"/>
          <w:sz w:val="22"/>
          <w:szCs w:val="22"/>
          <w:lang w:val="en-GB"/>
        </w:rPr>
        <w:t>part</w:t>
      </w:r>
      <w:r w:rsidR="004A29F9">
        <w:rPr>
          <w:rFonts w:ascii="Times New Roman" w:hAnsi="Times New Roman" w:cs="Times New Roman"/>
          <w:sz w:val="22"/>
          <w:szCs w:val="22"/>
          <w:lang w:val="en-GB"/>
        </w:rPr>
        <w:t xml:space="preserve"> of a three-stage review by UNDP/BCPR - </w:t>
      </w:r>
      <w:r w:rsidRPr="004A29F9">
        <w:rPr>
          <w:rFonts w:ascii="Times New Roman" w:hAnsi="Times New Roman" w:cs="Times New Roman"/>
          <w:sz w:val="22"/>
          <w:szCs w:val="22"/>
          <w:lang w:val="en-GB"/>
        </w:rPr>
        <w:t>is to assess the level of progress made towards achieving the outputs and outcomes listed in the Programme Document. In addition, the evaluation provides concrete recommendations for the sec</w:t>
      </w:r>
      <w:r w:rsidR="004A29F9">
        <w:rPr>
          <w:rFonts w:ascii="Times New Roman" w:hAnsi="Times New Roman" w:cs="Times New Roman"/>
          <w:sz w:val="22"/>
          <w:szCs w:val="22"/>
          <w:lang w:val="en-GB"/>
        </w:rPr>
        <w:t>ond phase of the Programme (2014</w:t>
      </w:r>
      <w:r w:rsidRPr="004A29F9">
        <w:rPr>
          <w:rFonts w:ascii="Times New Roman" w:hAnsi="Times New Roman" w:cs="Times New Roman"/>
          <w:sz w:val="22"/>
          <w:szCs w:val="22"/>
          <w:lang w:val="en-GB"/>
        </w:rPr>
        <w:t>-2016).</w:t>
      </w:r>
      <w:r w:rsidRPr="004A29F9">
        <w:rPr>
          <w:rStyle w:val="FootnoteReference"/>
          <w:rFonts w:ascii="Times New Roman" w:hAnsi="Times New Roman" w:cs="Times New Roman"/>
          <w:sz w:val="22"/>
          <w:szCs w:val="22"/>
          <w:lang w:val="en-GB"/>
        </w:rPr>
        <w:footnoteReference w:id="2"/>
      </w:r>
    </w:p>
    <w:p w:rsidR="004A29F9" w:rsidRDefault="004A29F9" w:rsidP="00FB6759">
      <w:pPr>
        <w:pStyle w:val="Heading1"/>
        <w:spacing w:after="0" w:line="240" w:lineRule="auto"/>
        <w:rPr>
          <w:rFonts w:ascii="Times New Roman" w:hAnsi="Times New Roman" w:cs="Times New Roman"/>
          <w:sz w:val="22"/>
          <w:szCs w:val="22"/>
          <w:lang w:val="en-GB"/>
        </w:rPr>
      </w:pPr>
      <w:bookmarkStart w:id="6" w:name="_Toc231801790"/>
    </w:p>
    <w:p w:rsidR="00D42652" w:rsidRPr="004A29F9" w:rsidRDefault="00C43941" w:rsidP="00FB6759">
      <w:pPr>
        <w:pStyle w:val="Heading1"/>
        <w:spacing w:after="0" w:line="240" w:lineRule="auto"/>
        <w:rPr>
          <w:rFonts w:ascii="Times New Roman" w:hAnsi="Times New Roman" w:cs="Times New Roman"/>
          <w:sz w:val="22"/>
          <w:szCs w:val="22"/>
          <w:lang w:val="en-GB"/>
        </w:rPr>
      </w:pPr>
      <w:r w:rsidRPr="004A29F9">
        <w:rPr>
          <w:rFonts w:ascii="Times New Roman" w:hAnsi="Times New Roman" w:cs="Times New Roman"/>
          <w:sz w:val="22"/>
          <w:szCs w:val="22"/>
          <w:lang w:val="en-GB"/>
        </w:rPr>
        <w:t>Scope</w:t>
      </w:r>
      <w:r w:rsidR="00FE3112" w:rsidRPr="004A29F9">
        <w:rPr>
          <w:rFonts w:ascii="Times New Roman" w:hAnsi="Times New Roman" w:cs="Times New Roman"/>
          <w:sz w:val="22"/>
          <w:szCs w:val="22"/>
          <w:lang w:val="en-GB"/>
        </w:rPr>
        <w:t xml:space="preserve"> and Objectives</w:t>
      </w:r>
      <w:bookmarkEnd w:id="6"/>
    </w:p>
    <w:p w:rsidR="004A29F9" w:rsidRDefault="004A29F9" w:rsidP="00FB6759">
      <w:pPr>
        <w:spacing w:after="0" w:line="240" w:lineRule="auto"/>
        <w:jc w:val="both"/>
        <w:rPr>
          <w:rFonts w:ascii="Times New Roman" w:hAnsi="Times New Roman" w:cs="Times New Roman"/>
          <w:sz w:val="22"/>
          <w:szCs w:val="22"/>
          <w:lang w:val="en-GB"/>
        </w:rPr>
      </w:pPr>
    </w:p>
    <w:p w:rsidR="00D42652" w:rsidRDefault="00D42652"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With an eye towards </w:t>
      </w:r>
      <w:r w:rsidR="00024B68" w:rsidRPr="004A29F9">
        <w:rPr>
          <w:rFonts w:ascii="Times New Roman" w:hAnsi="Times New Roman" w:cs="Times New Roman"/>
          <w:sz w:val="22"/>
          <w:szCs w:val="22"/>
          <w:lang w:val="en-GB"/>
        </w:rPr>
        <w:t>its purpose,</w:t>
      </w:r>
      <w:r w:rsidRPr="004A29F9">
        <w:rPr>
          <w:rFonts w:ascii="Times New Roman" w:hAnsi="Times New Roman" w:cs="Times New Roman"/>
          <w:sz w:val="22"/>
          <w:szCs w:val="22"/>
          <w:lang w:val="en-GB"/>
        </w:rPr>
        <w:t xml:space="preserve"> the independent evaluation:</w:t>
      </w:r>
    </w:p>
    <w:p w:rsidR="004A29F9" w:rsidRPr="004A29F9" w:rsidRDefault="004A29F9" w:rsidP="00FB6759">
      <w:pPr>
        <w:spacing w:after="0" w:line="240" w:lineRule="auto"/>
        <w:jc w:val="both"/>
        <w:rPr>
          <w:rFonts w:ascii="Times New Roman" w:hAnsi="Times New Roman" w:cs="Times New Roman"/>
          <w:sz w:val="22"/>
          <w:szCs w:val="22"/>
          <w:lang w:val="en-GB"/>
        </w:rPr>
      </w:pPr>
    </w:p>
    <w:p w:rsidR="00D42652" w:rsidRPr="004A29F9" w:rsidRDefault="00D42652" w:rsidP="00FB6759">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Assess</w:t>
      </w:r>
      <w:r w:rsidR="00F22801" w:rsidRPr="004A29F9">
        <w:rPr>
          <w:rFonts w:ascii="Times New Roman" w:hAnsi="Times New Roman" w:cs="Times New Roman"/>
          <w:sz w:val="22"/>
          <w:szCs w:val="22"/>
          <w:lang w:val="en-GB"/>
        </w:rPr>
        <w:t>es</w:t>
      </w:r>
      <w:r w:rsidRPr="004A29F9">
        <w:rPr>
          <w:rFonts w:ascii="Times New Roman" w:hAnsi="Times New Roman" w:cs="Times New Roman"/>
          <w:sz w:val="22"/>
          <w:szCs w:val="22"/>
          <w:lang w:val="en-GB"/>
        </w:rPr>
        <w:t xml:space="preserve"> the rel</w:t>
      </w:r>
      <w:r w:rsidR="004A29F9">
        <w:rPr>
          <w:rFonts w:ascii="Times New Roman" w:hAnsi="Times New Roman" w:cs="Times New Roman"/>
          <w:sz w:val="22"/>
          <w:szCs w:val="22"/>
          <w:lang w:val="en-GB"/>
        </w:rPr>
        <w:t>evance of the p</w:t>
      </w:r>
      <w:r w:rsidRPr="004A29F9">
        <w:rPr>
          <w:rFonts w:ascii="Times New Roman" w:hAnsi="Times New Roman" w:cs="Times New Roman"/>
          <w:sz w:val="22"/>
          <w:szCs w:val="22"/>
          <w:lang w:val="en-GB"/>
        </w:rPr>
        <w:t>rogramme in the context of the oPt and validate</w:t>
      </w:r>
      <w:r w:rsidR="004A29F9">
        <w:rPr>
          <w:rFonts w:ascii="Times New Roman" w:hAnsi="Times New Roman" w:cs="Times New Roman"/>
          <w:sz w:val="22"/>
          <w:szCs w:val="22"/>
          <w:lang w:val="en-GB"/>
        </w:rPr>
        <w:t>s</w:t>
      </w:r>
      <w:r w:rsidRPr="004A29F9">
        <w:rPr>
          <w:rFonts w:ascii="Times New Roman" w:hAnsi="Times New Roman" w:cs="Times New Roman"/>
          <w:sz w:val="22"/>
          <w:szCs w:val="22"/>
          <w:lang w:val="en-GB"/>
        </w:rPr>
        <w:t xml:space="preserve"> results achieved against the Programme Document and the M&amp;E Plan.</w:t>
      </w:r>
    </w:p>
    <w:p w:rsidR="00D42652" w:rsidRPr="004A29F9" w:rsidRDefault="00D42652" w:rsidP="00FB6759">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Provide</w:t>
      </w:r>
      <w:r w:rsidR="00F22801" w:rsidRPr="004A29F9">
        <w:rPr>
          <w:rFonts w:ascii="Times New Roman" w:hAnsi="Times New Roman" w:cs="Times New Roman"/>
          <w:sz w:val="22"/>
          <w:szCs w:val="22"/>
          <w:lang w:val="en-GB"/>
        </w:rPr>
        <w:t>s</w:t>
      </w:r>
      <w:r w:rsidRPr="004A29F9">
        <w:rPr>
          <w:rFonts w:ascii="Times New Roman" w:hAnsi="Times New Roman" w:cs="Times New Roman"/>
          <w:sz w:val="22"/>
          <w:szCs w:val="22"/>
          <w:lang w:val="en-GB"/>
        </w:rPr>
        <w:t xml:space="preserve"> a comprehensive assessmen</w:t>
      </w:r>
      <w:r w:rsidR="004A29F9">
        <w:rPr>
          <w:rFonts w:ascii="Times New Roman" w:hAnsi="Times New Roman" w:cs="Times New Roman"/>
          <w:sz w:val="22"/>
          <w:szCs w:val="22"/>
          <w:lang w:val="en-GB"/>
        </w:rPr>
        <w:t>t of the overall impact of the p</w:t>
      </w:r>
      <w:r w:rsidRPr="004A29F9">
        <w:rPr>
          <w:rFonts w:ascii="Times New Roman" w:hAnsi="Times New Roman" w:cs="Times New Roman"/>
          <w:sz w:val="22"/>
          <w:szCs w:val="22"/>
          <w:lang w:val="en-GB"/>
        </w:rPr>
        <w:t>rogramme, both at the ‘supply’ and the ‘demand’ side of the rule of law equation.</w:t>
      </w:r>
    </w:p>
    <w:p w:rsidR="00D42652" w:rsidRPr="004A29F9" w:rsidRDefault="00D42652" w:rsidP="00FB6759">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Appraise</w:t>
      </w:r>
      <w:r w:rsidR="00F22801" w:rsidRPr="004A29F9">
        <w:rPr>
          <w:rFonts w:ascii="Times New Roman" w:hAnsi="Times New Roman" w:cs="Times New Roman"/>
          <w:sz w:val="22"/>
          <w:szCs w:val="22"/>
          <w:lang w:val="en-GB"/>
        </w:rPr>
        <w:t>s</w:t>
      </w:r>
      <w:r w:rsidRPr="004A29F9">
        <w:rPr>
          <w:rFonts w:ascii="Times New Roman" w:hAnsi="Times New Roman" w:cs="Times New Roman"/>
          <w:sz w:val="22"/>
          <w:szCs w:val="22"/>
          <w:lang w:val="en-GB"/>
        </w:rPr>
        <w:t xml:space="preserve"> UNDP/</w:t>
      </w:r>
      <w:r w:rsidR="000C369C" w:rsidRPr="004A29F9">
        <w:rPr>
          <w:rFonts w:ascii="Times New Roman" w:hAnsi="Times New Roman" w:cs="Times New Roman"/>
          <w:sz w:val="22"/>
          <w:szCs w:val="22"/>
          <w:lang w:val="en-GB"/>
        </w:rPr>
        <w:t>PAPP</w:t>
      </w:r>
      <w:r w:rsidRPr="004A29F9">
        <w:rPr>
          <w:rFonts w:ascii="Times New Roman" w:hAnsi="Times New Roman" w:cs="Times New Roman"/>
          <w:sz w:val="22"/>
          <w:szCs w:val="22"/>
          <w:lang w:val="en-GB"/>
        </w:rPr>
        <w:t xml:space="preserve">’s relations with relevant justice sector actors and stakeholders, including government institutions, professional unions, civil society </w:t>
      </w:r>
      <w:r w:rsidR="004A29F9">
        <w:rPr>
          <w:rFonts w:ascii="Times New Roman" w:hAnsi="Times New Roman" w:cs="Times New Roman"/>
          <w:sz w:val="22"/>
          <w:szCs w:val="22"/>
          <w:lang w:val="en-GB"/>
        </w:rPr>
        <w:t>organis</w:t>
      </w:r>
      <w:r w:rsidR="00B771E0" w:rsidRPr="004A29F9">
        <w:rPr>
          <w:rFonts w:ascii="Times New Roman" w:hAnsi="Times New Roman" w:cs="Times New Roman"/>
          <w:sz w:val="22"/>
          <w:szCs w:val="22"/>
          <w:lang w:val="en-GB"/>
        </w:rPr>
        <w:t>ations</w:t>
      </w:r>
      <w:r w:rsidRPr="004A29F9">
        <w:rPr>
          <w:rFonts w:ascii="Times New Roman" w:hAnsi="Times New Roman" w:cs="Times New Roman"/>
          <w:sz w:val="22"/>
          <w:szCs w:val="22"/>
          <w:lang w:val="en-GB"/>
        </w:rPr>
        <w:t xml:space="preserve"> and academic institutions.</w:t>
      </w:r>
    </w:p>
    <w:p w:rsidR="00D42652" w:rsidRPr="004A29F9" w:rsidRDefault="00D42652" w:rsidP="00FB6759">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Assess</w:t>
      </w:r>
      <w:r w:rsidR="00F22801" w:rsidRPr="004A29F9">
        <w:rPr>
          <w:rFonts w:ascii="Times New Roman" w:hAnsi="Times New Roman" w:cs="Times New Roman"/>
          <w:sz w:val="22"/>
          <w:szCs w:val="22"/>
          <w:lang w:val="en-GB"/>
        </w:rPr>
        <w:t>es</w:t>
      </w:r>
      <w:r w:rsidRPr="004A29F9">
        <w:rPr>
          <w:rFonts w:ascii="Times New Roman" w:hAnsi="Times New Roman" w:cs="Times New Roman"/>
          <w:sz w:val="22"/>
          <w:szCs w:val="22"/>
          <w:lang w:val="en-GB"/>
        </w:rPr>
        <w:t xml:space="preserve"> if and how activities have been carried out in a mutually reinforcing manner, including vis-à-vis other interventions in the Palestinian rule of law sector.</w:t>
      </w:r>
    </w:p>
    <w:p w:rsidR="00D42652" w:rsidRPr="004A29F9" w:rsidRDefault="00D42652" w:rsidP="00FB6759">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Appraise</w:t>
      </w:r>
      <w:r w:rsidR="00F22801" w:rsidRPr="004A29F9">
        <w:rPr>
          <w:rFonts w:ascii="Times New Roman" w:hAnsi="Times New Roman" w:cs="Times New Roman"/>
          <w:sz w:val="22"/>
          <w:szCs w:val="22"/>
          <w:lang w:val="en-GB"/>
        </w:rPr>
        <w:t>s</w:t>
      </w:r>
      <w:r w:rsidR="004A29F9">
        <w:rPr>
          <w:rFonts w:ascii="Times New Roman" w:hAnsi="Times New Roman" w:cs="Times New Roman"/>
          <w:sz w:val="22"/>
          <w:szCs w:val="22"/>
          <w:lang w:val="en-GB"/>
        </w:rPr>
        <w:t xml:space="preserve"> the sustainability of the p</w:t>
      </w:r>
      <w:r w:rsidRPr="004A29F9">
        <w:rPr>
          <w:rFonts w:ascii="Times New Roman" w:hAnsi="Times New Roman" w:cs="Times New Roman"/>
          <w:sz w:val="22"/>
          <w:szCs w:val="22"/>
          <w:lang w:val="en-GB"/>
        </w:rPr>
        <w:t>rogramm</w:t>
      </w:r>
      <w:r w:rsidR="004A29F9">
        <w:rPr>
          <w:rFonts w:ascii="Times New Roman" w:hAnsi="Times New Roman" w:cs="Times New Roman"/>
          <w:sz w:val="22"/>
          <w:szCs w:val="22"/>
          <w:lang w:val="en-GB"/>
        </w:rPr>
        <w:t>e, including the institutionalis</w:t>
      </w:r>
      <w:r w:rsidRPr="004A29F9">
        <w:rPr>
          <w:rFonts w:ascii="Times New Roman" w:hAnsi="Times New Roman" w:cs="Times New Roman"/>
          <w:sz w:val="22"/>
          <w:szCs w:val="22"/>
          <w:lang w:val="en-GB"/>
        </w:rPr>
        <w:t>ation of interventions.</w:t>
      </w:r>
    </w:p>
    <w:p w:rsidR="00D42652" w:rsidRPr="004A29F9" w:rsidRDefault="00D42652" w:rsidP="00FB6759">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Review</w:t>
      </w:r>
      <w:r w:rsidR="00F22801" w:rsidRPr="004A29F9">
        <w:rPr>
          <w:rFonts w:ascii="Times New Roman" w:hAnsi="Times New Roman" w:cs="Times New Roman"/>
          <w:sz w:val="22"/>
          <w:szCs w:val="22"/>
          <w:lang w:val="en-GB"/>
        </w:rPr>
        <w:t>s</w:t>
      </w:r>
      <w:r w:rsidR="004A29F9">
        <w:rPr>
          <w:rFonts w:ascii="Times New Roman" w:hAnsi="Times New Roman" w:cs="Times New Roman"/>
          <w:sz w:val="22"/>
          <w:szCs w:val="22"/>
          <w:lang w:val="en-GB"/>
        </w:rPr>
        <w:t xml:space="preserve"> the p</w:t>
      </w:r>
      <w:r w:rsidRPr="004A29F9">
        <w:rPr>
          <w:rFonts w:ascii="Times New Roman" w:hAnsi="Times New Roman" w:cs="Times New Roman"/>
          <w:sz w:val="22"/>
          <w:szCs w:val="22"/>
          <w:lang w:val="en-GB"/>
        </w:rPr>
        <w:t>rogramme’s efforts to mainstream gender and ensure the application of UNDP’s rights-based approach.</w:t>
      </w:r>
    </w:p>
    <w:p w:rsidR="00D42652" w:rsidRPr="004A29F9" w:rsidRDefault="00D42652" w:rsidP="00FB6759">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Discuss</w:t>
      </w:r>
      <w:r w:rsidR="00F22801" w:rsidRPr="004A29F9">
        <w:rPr>
          <w:rFonts w:ascii="Times New Roman" w:hAnsi="Times New Roman" w:cs="Times New Roman"/>
          <w:sz w:val="22"/>
          <w:szCs w:val="22"/>
          <w:lang w:val="en-GB"/>
        </w:rPr>
        <w:t>es</w:t>
      </w:r>
      <w:r w:rsidRPr="004A29F9">
        <w:rPr>
          <w:rFonts w:ascii="Times New Roman" w:hAnsi="Times New Roman" w:cs="Times New Roman"/>
          <w:sz w:val="22"/>
          <w:szCs w:val="22"/>
          <w:lang w:val="en-GB"/>
        </w:rPr>
        <w:t xml:space="preserve"> th</w:t>
      </w:r>
      <w:r w:rsidR="004A29F9">
        <w:rPr>
          <w:rFonts w:ascii="Times New Roman" w:hAnsi="Times New Roman" w:cs="Times New Roman"/>
          <w:sz w:val="22"/>
          <w:szCs w:val="22"/>
          <w:lang w:val="en-GB"/>
        </w:rPr>
        <w:t>e main challenges faced by the p</w:t>
      </w:r>
      <w:r w:rsidRPr="004A29F9">
        <w:rPr>
          <w:rFonts w:ascii="Times New Roman" w:hAnsi="Times New Roman" w:cs="Times New Roman"/>
          <w:sz w:val="22"/>
          <w:szCs w:val="22"/>
          <w:lang w:val="en-GB"/>
        </w:rPr>
        <w:t>rogramme, including the ways in which UNDP/</w:t>
      </w:r>
      <w:r w:rsidR="000C369C" w:rsidRPr="004A29F9">
        <w:rPr>
          <w:rFonts w:ascii="Times New Roman" w:hAnsi="Times New Roman" w:cs="Times New Roman"/>
          <w:sz w:val="22"/>
          <w:szCs w:val="22"/>
          <w:lang w:val="en-GB"/>
        </w:rPr>
        <w:t>PAPP</w:t>
      </w:r>
      <w:r w:rsidRPr="004A29F9">
        <w:rPr>
          <w:rFonts w:ascii="Times New Roman" w:hAnsi="Times New Roman" w:cs="Times New Roman"/>
          <w:sz w:val="22"/>
          <w:szCs w:val="22"/>
          <w:lang w:val="en-GB"/>
        </w:rPr>
        <w:t xml:space="preserve"> has sought to overcome them.</w:t>
      </w:r>
    </w:p>
    <w:p w:rsidR="00D42652" w:rsidRPr="004A29F9" w:rsidRDefault="00D42652" w:rsidP="00FB6759">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Assess</w:t>
      </w:r>
      <w:r w:rsidR="00F22801" w:rsidRPr="004A29F9">
        <w:rPr>
          <w:rFonts w:ascii="Times New Roman" w:hAnsi="Times New Roman" w:cs="Times New Roman"/>
          <w:sz w:val="22"/>
          <w:szCs w:val="22"/>
          <w:lang w:val="en-GB"/>
        </w:rPr>
        <w:t>es</w:t>
      </w:r>
      <w:r w:rsidRPr="004A29F9">
        <w:rPr>
          <w:rFonts w:ascii="Times New Roman" w:hAnsi="Times New Roman" w:cs="Times New Roman"/>
          <w:sz w:val="22"/>
          <w:szCs w:val="22"/>
          <w:lang w:val="en-GB"/>
        </w:rPr>
        <w:t xml:space="preserve"> relevance and </w:t>
      </w:r>
      <w:r w:rsidR="004A29F9">
        <w:rPr>
          <w:rFonts w:ascii="Times New Roman" w:hAnsi="Times New Roman" w:cs="Times New Roman"/>
          <w:sz w:val="22"/>
          <w:szCs w:val="22"/>
          <w:lang w:val="en-GB"/>
        </w:rPr>
        <w:t>utilis</w:t>
      </w:r>
      <w:r w:rsidR="00B771E0" w:rsidRPr="004A29F9">
        <w:rPr>
          <w:rFonts w:ascii="Times New Roman" w:hAnsi="Times New Roman" w:cs="Times New Roman"/>
          <w:sz w:val="22"/>
          <w:szCs w:val="22"/>
          <w:lang w:val="en-GB"/>
        </w:rPr>
        <w:t>ation</w:t>
      </w:r>
      <w:r w:rsidRPr="004A29F9">
        <w:rPr>
          <w:rFonts w:ascii="Times New Roman" w:hAnsi="Times New Roman" w:cs="Times New Roman"/>
          <w:sz w:val="22"/>
          <w:szCs w:val="22"/>
          <w:lang w:val="en-GB"/>
        </w:rPr>
        <w:t xml:space="preserve"> of M&amp;E processes.</w:t>
      </w:r>
    </w:p>
    <w:p w:rsidR="00D42652" w:rsidRPr="004A29F9" w:rsidRDefault="00D42652" w:rsidP="00FB6759">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Offer</w:t>
      </w:r>
      <w:r w:rsidR="00F22801" w:rsidRPr="004A29F9">
        <w:rPr>
          <w:rFonts w:ascii="Times New Roman" w:hAnsi="Times New Roman" w:cs="Times New Roman"/>
          <w:sz w:val="22"/>
          <w:szCs w:val="22"/>
          <w:lang w:val="en-GB"/>
        </w:rPr>
        <w:t>s</w:t>
      </w:r>
      <w:r w:rsidRPr="004A29F9">
        <w:rPr>
          <w:rFonts w:ascii="Times New Roman" w:hAnsi="Times New Roman" w:cs="Times New Roman"/>
          <w:sz w:val="22"/>
          <w:szCs w:val="22"/>
          <w:lang w:val="en-GB"/>
        </w:rPr>
        <w:t xml:space="preserve"> a comprehensive risk assessment, including UNDP/</w:t>
      </w:r>
      <w:r w:rsidR="000C369C" w:rsidRPr="004A29F9">
        <w:rPr>
          <w:rFonts w:ascii="Times New Roman" w:hAnsi="Times New Roman" w:cs="Times New Roman"/>
          <w:sz w:val="22"/>
          <w:szCs w:val="22"/>
          <w:lang w:val="en-GB"/>
        </w:rPr>
        <w:t>PAPP</w:t>
      </w:r>
      <w:r w:rsidRPr="004A29F9">
        <w:rPr>
          <w:rFonts w:ascii="Times New Roman" w:hAnsi="Times New Roman" w:cs="Times New Roman"/>
          <w:sz w:val="22"/>
          <w:szCs w:val="22"/>
          <w:lang w:val="en-GB"/>
        </w:rPr>
        <w:t>’s ability to manage existing risks effectively and responsibly.</w:t>
      </w:r>
    </w:p>
    <w:p w:rsidR="00D42652" w:rsidRPr="004A29F9" w:rsidRDefault="00D42652" w:rsidP="00FB6759">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Capture</w:t>
      </w:r>
      <w:r w:rsidR="00F22801" w:rsidRPr="004A29F9">
        <w:rPr>
          <w:rFonts w:ascii="Times New Roman" w:hAnsi="Times New Roman" w:cs="Times New Roman"/>
          <w:sz w:val="22"/>
          <w:szCs w:val="22"/>
          <w:lang w:val="en-GB"/>
        </w:rPr>
        <w:t>s</w:t>
      </w:r>
      <w:r w:rsidRPr="004A29F9">
        <w:rPr>
          <w:rFonts w:ascii="Times New Roman" w:hAnsi="Times New Roman" w:cs="Times New Roman"/>
          <w:sz w:val="22"/>
          <w:szCs w:val="22"/>
          <w:lang w:val="en-GB"/>
        </w:rPr>
        <w:t xml:space="preserve"> lessons learned and best practices and provide co</w:t>
      </w:r>
      <w:r w:rsidR="004A29F9">
        <w:rPr>
          <w:rFonts w:ascii="Times New Roman" w:hAnsi="Times New Roman" w:cs="Times New Roman"/>
          <w:sz w:val="22"/>
          <w:szCs w:val="22"/>
          <w:lang w:val="en-GB"/>
        </w:rPr>
        <w:t>ncrete recommendations for the p</w:t>
      </w:r>
      <w:r w:rsidRPr="004A29F9">
        <w:rPr>
          <w:rFonts w:ascii="Times New Roman" w:hAnsi="Times New Roman" w:cs="Times New Roman"/>
          <w:sz w:val="22"/>
          <w:szCs w:val="22"/>
          <w:lang w:val="en-GB"/>
        </w:rPr>
        <w:t>rogramme’s second phase.</w:t>
      </w:r>
      <w:r w:rsidRPr="004A29F9">
        <w:rPr>
          <w:rFonts w:ascii="Times New Roman" w:hAnsi="Times New Roman" w:cs="Times New Roman"/>
          <w:sz w:val="22"/>
          <w:szCs w:val="22"/>
          <w:vertAlign w:val="superscript"/>
          <w:lang w:val="en-GB"/>
        </w:rPr>
        <w:footnoteReference w:id="3"/>
      </w:r>
    </w:p>
    <w:p w:rsidR="004A29F9" w:rsidRDefault="004A29F9" w:rsidP="00FB6759">
      <w:pPr>
        <w:spacing w:after="0" w:line="240" w:lineRule="auto"/>
        <w:jc w:val="both"/>
        <w:rPr>
          <w:rFonts w:ascii="Times New Roman" w:hAnsi="Times New Roman" w:cs="Times New Roman"/>
          <w:sz w:val="22"/>
          <w:szCs w:val="22"/>
          <w:lang w:val="en-GB"/>
        </w:rPr>
      </w:pPr>
    </w:p>
    <w:p w:rsidR="00D42652" w:rsidRPr="004A29F9" w:rsidRDefault="00D42652"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In keeping with the stated goals of the UNDP 2008-2011 </w:t>
      </w:r>
      <w:r w:rsidR="004A29F9">
        <w:rPr>
          <w:rFonts w:ascii="Times New Roman" w:hAnsi="Times New Roman" w:cs="Times New Roman"/>
          <w:sz w:val="22"/>
          <w:szCs w:val="22"/>
          <w:lang w:val="en-GB"/>
        </w:rPr>
        <w:t>Strategic Plan, as well as the p</w:t>
      </w:r>
      <w:r w:rsidRPr="004A29F9">
        <w:rPr>
          <w:rFonts w:ascii="Times New Roman" w:hAnsi="Times New Roman" w:cs="Times New Roman"/>
          <w:sz w:val="22"/>
          <w:szCs w:val="22"/>
          <w:lang w:val="en-GB"/>
        </w:rPr>
        <w:t>rogramme’s</w:t>
      </w:r>
      <w:r w:rsidR="004A29F9">
        <w:rPr>
          <w:rFonts w:ascii="Times New Roman" w:hAnsi="Times New Roman" w:cs="Times New Roman"/>
          <w:sz w:val="22"/>
          <w:szCs w:val="22"/>
          <w:lang w:val="en-GB"/>
        </w:rPr>
        <w:t xml:space="preserve"> M&amp;E p</w:t>
      </w:r>
      <w:r w:rsidRPr="004A29F9">
        <w:rPr>
          <w:rFonts w:ascii="Times New Roman" w:hAnsi="Times New Roman" w:cs="Times New Roman"/>
          <w:sz w:val="22"/>
          <w:szCs w:val="22"/>
          <w:lang w:val="en-GB"/>
        </w:rPr>
        <w:t xml:space="preserve">lan, the independent evaluation </w:t>
      </w:r>
      <w:r w:rsidR="00024B68" w:rsidRPr="004A29F9">
        <w:rPr>
          <w:rFonts w:ascii="Times New Roman" w:hAnsi="Times New Roman" w:cs="Times New Roman"/>
          <w:sz w:val="22"/>
          <w:szCs w:val="22"/>
          <w:lang w:val="en-GB"/>
        </w:rPr>
        <w:t>focuses</w:t>
      </w:r>
      <w:r w:rsidRPr="004A29F9">
        <w:rPr>
          <w:rFonts w:ascii="Times New Roman" w:hAnsi="Times New Roman" w:cs="Times New Roman"/>
          <w:sz w:val="22"/>
          <w:szCs w:val="22"/>
          <w:lang w:val="en-GB"/>
        </w:rPr>
        <w:t xml:space="preserve"> primarily on ev</w:t>
      </w:r>
      <w:r w:rsidR="004A29F9">
        <w:rPr>
          <w:rFonts w:ascii="Times New Roman" w:hAnsi="Times New Roman" w:cs="Times New Roman"/>
          <w:sz w:val="22"/>
          <w:szCs w:val="22"/>
          <w:lang w:val="en-GB"/>
        </w:rPr>
        <w:t>aluating the ways in which the p</w:t>
      </w:r>
      <w:r w:rsidRPr="004A29F9">
        <w:rPr>
          <w:rFonts w:ascii="Times New Roman" w:hAnsi="Times New Roman" w:cs="Times New Roman"/>
          <w:sz w:val="22"/>
          <w:szCs w:val="22"/>
          <w:lang w:val="en-GB"/>
        </w:rPr>
        <w:t>rogramme is generating “real improvements in people’s lives and in the choices and opportunities open to them.”</w:t>
      </w:r>
      <w:r w:rsidRPr="004A29F9">
        <w:rPr>
          <w:rStyle w:val="FootnoteReference"/>
          <w:rFonts w:ascii="Times New Roman" w:hAnsi="Times New Roman" w:cs="Times New Roman"/>
          <w:sz w:val="22"/>
          <w:szCs w:val="22"/>
          <w:lang w:val="en-GB"/>
        </w:rPr>
        <w:footnoteReference w:id="4"/>
      </w:r>
      <w:r w:rsidR="00024B68" w:rsidRPr="004A29F9">
        <w:rPr>
          <w:rFonts w:ascii="Times New Roman" w:hAnsi="Times New Roman" w:cs="Times New Roman"/>
          <w:sz w:val="22"/>
          <w:szCs w:val="22"/>
          <w:lang w:val="en-GB"/>
        </w:rPr>
        <w:t xml:space="preserve">These objectives are </w:t>
      </w:r>
      <w:r w:rsidRPr="004A29F9">
        <w:rPr>
          <w:rFonts w:ascii="Times New Roman" w:hAnsi="Times New Roman" w:cs="Times New Roman"/>
          <w:sz w:val="22"/>
          <w:szCs w:val="22"/>
          <w:lang w:val="en-GB"/>
        </w:rPr>
        <w:t>accomplished thro</w:t>
      </w:r>
      <w:r w:rsidR="004A29F9">
        <w:rPr>
          <w:rFonts w:ascii="Times New Roman" w:hAnsi="Times New Roman" w:cs="Times New Roman"/>
          <w:sz w:val="22"/>
          <w:szCs w:val="22"/>
          <w:lang w:val="en-GB"/>
        </w:rPr>
        <w:t>ugh rigorous procedures, design</w:t>
      </w:r>
      <w:r w:rsidRPr="004A29F9">
        <w:rPr>
          <w:rFonts w:ascii="Times New Roman" w:hAnsi="Times New Roman" w:cs="Times New Roman"/>
          <w:sz w:val="22"/>
          <w:szCs w:val="22"/>
          <w:lang w:val="en-GB"/>
        </w:rPr>
        <w:t xml:space="preserve"> and methodology, followed by extensive analysis.</w:t>
      </w:r>
      <w:r w:rsidRPr="004A29F9">
        <w:rPr>
          <w:rStyle w:val="FootnoteReference"/>
          <w:rFonts w:ascii="Times New Roman" w:hAnsi="Times New Roman" w:cs="Times New Roman"/>
          <w:sz w:val="22"/>
          <w:szCs w:val="22"/>
          <w:lang w:val="en-GB"/>
        </w:rPr>
        <w:footnoteReference w:id="5"/>
      </w:r>
    </w:p>
    <w:p w:rsidR="00F56BA4" w:rsidRPr="004A29F9" w:rsidRDefault="00F56BA4" w:rsidP="00FB6759">
      <w:pPr>
        <w:spacing w:after="0" w:line="240" w:lineRule="auto"/>
        <w:jc w:val="both"/>
        <w:rPr>
          <w:rFonts w:ascii="Times New Roman" w:hAnsi="Times New Roman" w:cs="Times New Roman"/>
          <w:sz w:val="22"/>
          <w:szCs w:val="22"/>
          <w:lang w:val="en-GB"/>
        </w:rPr>
      </w:pPr>
    </w:p>
    <w:p w:rsidR="004A29F9" w:rsidRDefault="004A29F9" w:rsidP="00FB6759">
      <w:pPr>
        <w:pStyle w:val="Heading1"/>
        <w:spacing w:after="0" w:line="240" w:lineRule="auto"/>
        <w:rPr>
          <w:rFonts w:ascii="Times New Roman" w:hAnsi="Times New Roman" w:cs="Times New Roman"/>
          <w:sz w:val="22"/>
          <w:szCs w:val="22"/>
          <w:lang w:val="en-GB"/>
        </w:rPr>
      </w:pPr>
      <w:bookmarkStart w:id="7" w:name="_Toc231801791"/>
    </w:p>
    <w:p w:rsidR="004A29F9" w:rsidRDefault="004A29F9">
      <w:pPr>
        <w:rPr>
          <w:rFonts w:ascii="Times New Roman" w:eastAsiaTheme="majorEastAsia" w:hAnsi="Times New Roman" w:cs="Times New Roman"/>
          <w:b/>
          <w:bCs/>
          <w:sz w:val="22"/>
          <w:szCs w:val="22"/>
          <w:lang w:val="en-GB"/>
        </w:rPr>
      </w:pPr>
      <w:r>
        <w:rPr>
          <w:rFonts w:ascii="Times New Roman" w:hAnsi="Times New Roman" w:cs="Times New Roman"/>
          <w:sz w:val="22"/>
          <w:szCs w:val="22"/>
          <w:lang w:val="en-GB"/>
        </w:rPr>
        <w:br w:type="page"/>
      </w:r>
    </w:p>
    <w:p w:rsidR="00FE3112" w:rsidRDefault="00FE3112" w:rsidP="00295ECD">
      <w:pPr>
        <w:pStyle w:val="Heading1"/>
        <w:spacing w:after="0" w:line="240" w:lineRule="auto"/>
        <w:rPr>
          <w:rFonts w:ascii="Times New Roman" w:hAnsi="Times New Roman" w:cs="Times New Roman"/>
          <w:sz w:val="22"/>
          <w:szCs w:val="22"/>
          <w:lang w:val="en-GB"/>
        </w:rPr>
      </w:pPr>
      <w:r w:rsidRPr="004A29F9">
        <w:rPr>
          <w:rFonts w:ascii="Times New Roman" w:hAnsi="Times New Roman" w:cs="Times New Roman"/>
          <w:sz w:val="22"/>
          <w:szCs w:val="22"/>
          <w:lang w:val="en-GB"/>
        </w:rPr>
        <w:lastRenderedPageBreak/>
        <w:t>Methodology and Limitations</w:t>
      </w:r>
      <w:bookmarkEnd w:id="7"/>
    </w:p>
    <w:p w:rsidR="004A29F9" w:rsidRPr="004A29F9" w:rsidRDefault="004A29F9" w:rsidP="00295ECD">
      <w:pPr>
        <w:spacing w:after="0" w:line="240" w:lineRule="auto"/>
        <w:rPr>
          <w:lang w:val="en-GB"/>
        </w:rPr>
      </w:pPr>
    </w:p>
    <w:p w:rsidR="00F56BA4" w:rsidRDefault="00F56BA4" w:rsidP="00295ECD">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The </w:t>
      </w:r>
      <w:r w:rsidR="00295ECD">
        <w:rPr>
          <w:rFonts w:ascii="Times New Roman" w:hAnsi="Times New Roman" w:cs="Times New Roman"/>
          <w:sz w:val="22"/>
          <w:szCs w:val="22"/>
          <w:lang w:val="en-GB"/>
        </w:rPr>
        <w:t>i</w:t>
      </w:r>
      <w:r w:rsidR="004F3586" w:rsidRPr="004A29F9">
        <w:rPr>
          <w:rFonts w:ascii="Times New Roman" w:hAnsi="Times New Roman" w:cs="Times New Roman"/>
          <w:sz w:val="22"/>
          <w:szCs w:val="22"/>
          <w:lang w:val="en-GB"/>
        </w:rPr>
        <w:t xml:space="preserve">ndependent </w:t>
      </w:r>
      <w:r w:rsidR="00295ECD">
        <w:rPr>
          <w:rFonts w:ascii="Times New Roman" w:hAnsi="Times New Roman" w:cs="Times New Roman"/>
          <w:sz w:val="22"/>
          <w:szCs w:val="22"/>
          <w:lang w:val="en-GB"/>
        </w:rPr>
        <w:t>c</w:t>
      </w:r>
      <w:r w:rsidR="00683A9F" w:rsidRPr="004A29F9">
        <w:rPr>
          <w:rFonts w:ascii="Times New Roman" w:hAnsi="Times New Roman" w:cs="Times New Roman"/>
          <w:sz w:val="22"/>
          <w:szCs w:val="22"/>
          <w:lang w:val="en-GB"/>
        </w:rPr>
        <w:t xml:space="preserve">onsultant has </w:t>
      </w:r>
      <w:r w:rsidR="007D1324" w:rsidRPr="004A29F9">
        <w:rPr>
          <w:rFonts w:ascii="Times New Roman" w:hAnsi="Times New Roman" w:cs="Times New Roman"/>
          <w:sz w:val="22"/>
          <w:szCs w:val="22"/>
          <w:lang w:val="en-GB"/>
        </w:rPr>
        <w:t>used</w:t>
      </w:r>
      <w:r w:rsidRPr="004A29F9">
        <w:rPr>
          <w:rFonts w:ascii="Times New Roman" w:hAnsi="Times New Roman" w:cs="Times New Roman"/>
          <w:sz w:val="22"/>
          <w:szCs w:val="22"/>
          <w:lang w:val="en-GB"/>
        </w:rPr>
        <w:t xml:space="preserve"> both </w:t>
      </w:r>
      <w:r w:rsidRPr="004A29F9">
        <w:rPr>
          <w:rFonts w:ascii="Times New Roman" w:hAnsi="Times New Roman" w:cs="Times New Roman"/>
          <w:i/>
          <w:sz w:val="22"/>
          <w:szCs w:val="22"/>
          <w:lang w:val="en-GB"/>
        </w:rPr>
        <w:t>meta</w:t>
      </w:r>
      <w:r w:rsidR="00FD3C19">
        <w:rPr>
          <w:rFonts w:ascii="Times New Roman" w:hAnsi="Times New Roman" w:cs="Times New Roman"/>
          <w:i/>
          <w:sz w:val="22"/>
          <w:szCs w:val="22"/>
          <w:lang w:val="en-GB"/>
        </w:rPr>
        <w:t xml:space="preserve"> </w:t>
      </w:r>
      <w:r w:rsidRPr="004A29F9">
        <w:rPr>
          <w:rFonts w:ascii="Times New Roman" w:hAnsi="Times New Roman" w:cs="Times New Roman"/>
          <w:sz w:val="22"/>
          <w:szCs w:val="22"/>
          <w:lang w:val="en-GB"/>
        </w:rPr>
        <w:t xml:space="preserve">evaluation and </w:t>
      </w:r>
      <w:r w:rsidRPr="004A29F9">
        <w:rPr>
          <w:rFonts w:ascii="Times New Roman" w:hAnsi="Times New Roman" w:cs="Times New Roman"/>
          <w:i/>
          <w:sz w:val="22"/>
          <w:szCs w:val="22"/>
          <w:lang w:val="en-GB"/>
        </w:rPr>
        <w:t>direct</w:t>
      </w:r>
      <w:r w:rsidRPr="004A29F9">
        <w:rPr>
          <w:rFonts w:ascii="Times New Roman" w:hAnsi="Times New Roman" w:cs="Times New Roman"/>
          <w:sz w:val="22"/>
          <w:szCs w:val="22"/>
          <w:lang w:val="en-GB"/>
        </w:rPr>
        <w:t xml:space="preserve"> evaluation techniques, and the data collection based on the </w:t>
      </w:r>
      <w:r w:rsidR="00E65661" w:rsidRPr="004A29F9">
        <w:rPr>
          <w:rFonts w:ascii="Times New Roman" w:hAnsi="Times New Roman" w:cs="Times New Roman"/>
          <w:sz w:val="22"/>
          <w:szCs w:val="22"/>
          <w:lang w:val="en-GB"/>
        </w:rPr>
        <w:t>methodology discussed</w:t>
      </w:r>
      <w:r w:rsidRPr="004A29F9">
        <w:rPr>
          <w:rFonts w:ascii="Times New Roman" w:hAnsi="Times New Roman" w:cs="Times New Roman"/>
          <w:sz w:val="22"/>
          <w:szCs w:val="22"/>
          <w:lang w:val="en-GB"/>
        </w:rPr>
        <w:t xml:space="preserve"> below.</w:t>
      </w:r>
    </w:p>
    <w:p w:rsidR="004A29F9" w:rsidRPr="004A29F9" w:rsidRDefault="004A29F9" w:rsidP="00295ECD">
      <w:pPr>
        <w:spacing w:after="0" w:line="240" w:lineRule="auto"/>
        <w:jc w:val="both"/>
        <w:rPr>
          <w:rFonts w:ascii="Times New Roman" w:hAnsi="Times New Roman" w:cs="Times New Roman"/>
          <w:sz w:val="22"/>
          <w:szCs w:val="22"/>
          <w:lang w:val="en-GB"/>
        </w:rPr>
      </w:pPr>
    </w:p>
    <w:p w:rsidR="00F56BA4" w:rsidRPr="004C6458" w:rsidRDefault="00F56BA4" w:rsidP="004C6458">
      <w:pPr>
        <w:pStyle w:val="Heading2"/>
        <w:numPr>
          <w:ilvl w:val="0"/>
          <w:numId w:val="0"/>
        </w:numPr>
        <w:spacing w:before="0" w:after="0" w:line="240" w:lineRule="auto"/>
        <w:rPr>
          <w:rFonts w:ascii="Times New Roman" w:hAnsi="Times New Roman" w:cs="Times New Roman"/>
          <w:b w:val="0"/>
          <w:i/>
          <w:lang w:val="en-GB"/>
        </w:rPr>
      </w:pPr>
      <w:bookmarkStart w:id="8" w:name="_Toc231801792"/>
      <w:r w:rsidRPr="004C6458">
        <w:rPr>
          <w:rFonts w:ascii="Times New Roman" w:hAnsi="Times New Roman" w:cs="Times New Roman"/>
          <w:b w:val="0"/>
          <w:i/>
          <w:lang w:val="en-GB"/>
        </w:rPr>
        <w:t>Data sources &amp; field visits</w:t>
      </w:r>
      <w:bookmarkEnd w:id="8"/>
    </w:p>
    <w:p w:rsidR="00295ECD" w:rsidRDefault="00295ECD" w:rsidP="00295ECD">
      <w:pPr>
        <w:spacing w:after="0" w:line="240" w:lineRule="auto"/>
        <w:jc w:val="both"/>
        <w:rPr>
          <w:lang w:val="en-GB"/>
        </w:rPr>
      </w:pPr>
    </w:p>
    <w:p w:rsidR="00E65661" w:rsidRDefault="00F56BA4" w:rsidP="00295ECD">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The </w:t>
      </w:r>
      <w:r w:rsidR="00295ECD">
        <w:rPr>
          <w:rFonts w:ascii="Times New Roman" w:hAnsi="Times New Roman" w:cs="Times New Roman"/>
          <w:sz w:val="22"/>
          <w:szCs w:val="22"/>
          <w:lang w:val="en-GB"/>
        </w:rPr>
        <w:t>independent c</w:t>
      </w:r>
      <w:r w:rsidR="004F3586" w:rsidRPr="004A29F9">
        <w:rPr>
          <w:rFonts w:ascii="Times New Roman" w:hAnsi="Times New Roman" w:cs="Times New Roman"/>
          <w:sz w:val="22"/>
          <w:szCs w:val="22"/>
          <w:lang w:val="en-GB"/>
        </w:rPr>
        <w:t>onsultant</w:t>
      </w:r>
      <w:r w:rsidRPr="004A29F9">
        <w:rPr>
          <w:rFonts w:ascii="Times New Roman" w:hAnsi="Times New Roman" w:cs="Times New Roman"/>
          <w:sz w:val="22"/>
          <w:szCs w:val="22"/>
          <w:lang w:val="en-GB"/>
        </w:rPr>
        <w:t xml:space="preserve"> reviewed the key</w:t>
      </w:r>
      <w:r w:rsidR="007D1324" w:rsidRPr="004A29F9">
        <w:rPr>
          <w:rFonts w:ascii="Times New Roman" w:hAnsi="Times New Roman" w:cs="Times New Roman"/>
          <w:sz w:val="22"/>
          <w:szCs w:val="22"/>
          <w:lang w:val="en-GB"/>
        </w:rPr>
        <w:t xml:space="preserve"> documents</w:t>
      </w:r>
      <w:r w:rsidRPr="004A29F9">
        <w:rPr>
          <w:rFonts w:ascii="Times New Roman" w:hAnsi="Times New Roman" w:cs="Times New Roman"/>
          <w:sz w:val="22"/>
          <w:szCs w:val="22"/>
          <w:lang w:val="en-GB"/>
        </w:rPr>
        <w:t xml:space="preserve"> provided by UNDP/</w:t>
      </w:r>
      <w:r w:rsidR="000C369C" w:rsidRPr="004A29F9">
        <w:rPr>
          <w:rFonts w:ascii="Times New Roman" w:hAnsi="Times New Roman" w:cs="Times New Roman"/>
          <w:sz w:val="22"/>
          <w:szCs w:val="22"/>
          <w:lang w:val="en-GB"/>
        </w:rPr>
        <w:t>PAPP</w:t>
      </w:r>
      <w:r w:rsidRPr="004A29F9">
        <w:rPr>
          <w:rFonts w:ascii="Times New Roman" w:hAnsi="Times New Roman" w:cs="Times New Roman"/>
          <w:sz w:val="22"/>
          <w:szCs w:val="22"/>
          <w:lang w:val="en-GB"/>
        </w:rPr>
        <w:t xml:space="preserve"> and, where appropriate, documents prepared</w:t>
      </w:r>
      <w:r w:rsidR="00295ECD">
        <w:rPr>
          <w:rFonts w:ascii="Times New Roman" w:hAnsi="Times New Roman" w:cs="Times New Roman"/>
          <w:sz w:val="22"/>
          <w:szCs w:val="22"/>
          <w:lang w:val="en-GB"/>
        </w:rPr>
        <w:t xml:space="preserve"> by third parties. </w:t>
      </w:r>
      <w:r w:rsidRPr="004A29F9">
        <w:rPr>
          <w:rFonts w:ascii="Times New Roman" w:hAnsi="Times New Roman" w:cs="Times New Roman"/>
          <w:sz w:val="22"/>
          <w:szCs w:val="22"/>
          <w:lang w:val="en-GB"/>
        </w:rPr>
        <w:t>These documents include</w:t>
      </w:r>
      <w:r w:rsidR="00E65661" w:rsidRPr="004A29F9">
        <w:rPr>
          <w:rFonts w:ascii="Times New Roman" w:hAnsi="Times New Roman" w:cs="Times New Roman"/>
          <w:sz w:val="22"/>
          <w:szCs w:val="22"/>
          <w:lang w:val="en-GB"/>
        </w:rPr>
        <w:t>d</w:t>
      </w:r>
      <w:r w:rsidR="00295ECD">
        <w:rPr>
          <w:rFonts w:ascii="Times New Roman" w:hAnsi="Times New Roman" w:cs="Times New Roman"/>
          <w:sz w:val="22"/>
          <w:szCs w:val="22"/>
          <w:lang w:val="en-GB"/>
        </w:rPr>
        <w:t xml:space="preserve">: </w:t>
      </w:r>
      <w:r w:rsidR="00295ECD" w:rsidRPr="004A29F9">
        <w:rPr>
          <w:rFonts w:ascii="Times New Roman" w:hAnsi="Times New Roman" w:cs="Times New Roman"/>
          <w:sz w:val="22"/>
          <w:szCs w:val="22"/>
          <w:lang w:val="en-GB"/>
        </w:rPr>
        <w:t>national planning and budget documents</w:t>
      </w:r>
      <w:r w:rsidR="00295ECD">
        <w:rPr>
          <w:rFonts w:ascii="Times New Roman" w:hAnsi="Times New Roman" w:cs="Times New Roman"/>
          <w:sz w:val="22"/>
          <w:szCs w:val="22"/>
          <w:lang w:val="en-GB"/>
        </w:rPr>
        <w:t xml:space="preserve">; programme </w:t>
      </w:r>
      <w:r w:rsidRPr="004A29F9">
        <w:rPr>
          <w:rFonts w:ascii="Times New Roman" w:hAnsi="Times New Roman" w:cs="Times New Roman"/>
          <w:sz w:val="22"/>
          <w:szCs w:val="22"/>
          <w:lang w:val="en-GB"/>
        </w:rPr>
        <w:t>documentation, p</w:t>
      </w:r>
      <w:r w:rsidR="00295ECD">
        <w:rPr>
          <w:rFonts w:ascii="Times New Roman" w:hAnsi="Times New Roman" w:cs="Times New Roman"/>
          <w:sz w:val="22"/>
          <w:szCs w:val="22"/>
          <w:lang w:val="en-GB"/>
        </w:rPr>
        <w:t>rogress reports and evaluations; programme board and donor c</w:t>
      </w:r>
      <w:r w:rsidR="00FA2ADB" w:rsidRPr="004A29F9">
        <w:rPr>
          <w:rFonts w:ascii="Times New Roman" w:hAnsi="Times New Roman" w:cs="Times New Roman"/>
          <w:sz w:val="22"/>
          <w:szCs w:val="22"/>
          <w:lang w:val="en-GB"/>
        </w:rPr>
        <w:t>oordination meeting minutes</w:t>
      </w:r>
      <w:r w:rsidR="00295ECD">
        <w:rPr>
          <w:rFonts w:ascii="Times New Roman" w:hAnsi="Times New Roman" w:cs="Times New Roman"/>
          <w:sz w:val="22"/>
          <w:szCs w:val="22"/>
          <w:lang w:val="en-GB"/>
        </w:rPr>
        <w:t>; monitoring &amp; evaluation data;</w:t>
      </w:r>
      <w:r w:rsidRPr="004A29F9">
        <w:rPr>
          <w:rFonts w:ascii="Times New Roman" w:hAnsi="Times New Roman" w:cs="Times New Roman"/>
          <w:sz w:val="22"/>
          <w:szCs w:val="22"/>
          <w:lang w:val="en-GB"/>
        </w:rPr>
        <w:t xml:space="preserve"> project summar</w:t>
      </w:r>
      <w:r w:rsidR="00295ECD">
        <w:rPr>
          <w:rFonts w:ascii="Times New Roman" w:hAnsi="Times New Roman" w:cs="Times New Roman"/>
          <w:sz w:val="22"/>
          <w:szCs w:val="22"/>
          <w:lang w:val="en-GB"/>
        </w:rPr>
        <w:t>ies;</w:t>
      </w:r>
      <w:r w:rsidRPr="004A29F9">
        <w:rPr>
          <w:rFonts w:ascii="Times New Roman" w:hAnsi="Times New Roman" w:cs="Times New Roman"/>
          <w:sz w:val="22"/>
          <w:szCs w:val="22"/>
          <w:lang w:val="en-GB"/>
        </w:rPr>
        <w:t xml:space="preserve"> and p</w:t>
      </w:r>
      <w:r w:rsidR="00295ECD">
        <w:rPr>
          <w:rFonts w:ascii="Times New Roman" w:hAnsi="Times New Roman" w:cs="Times New Roman"/>
          <w:sz w:val="22"/>
          <w:szCs w:val="22"/>
          <w:lang w:val="en-GB"/>
        </w:rPr>
        <w:t xml:space="preserve">erception surveys and reports. </w:t>
      </w:r>
      <w:r w:rsidRPr="004A29F9">
        <w:rPr>
          <w:rFonts w:ascii="Times New Roman" w:hAnsi="Times New Roman" w:cs="Times New Roman"/>
          <w:sz w:val="22"/>
          <w:szCs w:val="22"/>
          <w:lang w:val="en-GB"/>
        </w:rPr>
        <w:t xml:space="preserve">A list of the documents </w:t>
      </w:r>
      <w:r w:rsidR="00756960" w:rsidRPr="004A29F9">
        <w:rPr>
          <w:rFonts w:ascii="Times New Roman" w:hAnsi="Times New Roman" w:cs="Times New Roman"/>
          <w:sz w:val="22"/>
          <w:szCs w:val="22"/>
          <w:lang w:val="en-GB"/>
        </w:rPr>
        <w:t>reviewed is</w:t>
      </w:r>
      <w:r w:rsidRPr="004A29F9">
        <w:rPr>
          <w:rFonts w:ascii="Times New Roman" w:hAnsi="Times New Roman" w:cs="Times New Roman"/>
          <w:sz w:val="22"/>
          <w:szCs w:val="22"/>
          <w:lang w:val="en-GB"/>
        </w:rPr>
        <w:t xml:space="preserve"> attached as </w:t>
      </w:r>
      <w:r w:rsidR="00295ECD">
        <w:rPr>
          <w:rFonts w:ascii="Times New Roman" w:hAnsi="Times New Roman" w:cs="Times New Roman"/>
          <w:sz w:val="22"/>
          <w:szCs w:val="22"/>
          <w:lang w:val="en-GB"/>
        </w:rPr>
        <w:t>Annex B</w:t>
      </w:r>
      <w:r w:rsidR="00FD3C19">
        <w:rPr>
          <w:rFonts w:ascii="Times New Roman" w:hAnsi="Times New Roman" w:cs="Times New Roman"/>
          <w:sz w:val="22"/>
          <w:szCs w:val="22"/>
          <w:lang w:val="en-GB"/>
        </w:rPr>
        <w:t xml:space="preserve"> </w:t>
      </w:r>
      <w:r w:rsidR="00E65661" w:rsidRPr="004A29F9">
        <w:rPr>
          <w:rFonts w:ascii="Times New Roman" w:hAnsi="Times New Roman" w:cs="Times New Roman"/>
          <w:sz w:val="22"/>
          <w:szCs w:val="22"/>
          <w:lang w:val="en-GB"/>
        </w:rPr>
        <w:t>to this report.</w:t>
      </w:r>
    </w:p>
    <w:p w:rsidR="00295ECD" w:rsidRPr="004A29F9" w:rsidRDefault="00295ECD" w:rsidP="00295ECD">
      <w:pPr>
        <w:spacing w:after="0" w:line="240" w:lineRule="auto"/>
        <w:jc w:val="both"/>
        <w:rPr>
          <w:rFonts w:ascii="Times New Roman" w:hAnsi="Times New Roman" w:cs="Times New Roman"/>
          <w:sz w:val="22"/>
          <w:szCs w:val="22"/>
          <w:lang w:val="en-GB"/>
        </w:rPr>
      </w:pPr>
    </w:p>
    <w:p w:rsidR="00F56BA4" w:rsidRPr="004A29F9" w:rsidRDefault="00E65661" w:rsidP="004A29F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During the course of the </w:t>
      </w:r>
      <w:r w:rsidR="00366602" w:rsidRPr="004A29F9">
        <w:rPr>
          <w:rFonts w:ascii="Times New Roman" w:hAnsi="Times New Roman" w:cs="Times New Roman"/>
          <w:sz w:val="22"/>
          <w:szCs w:val="22"/>
          <w:lang w:val="en-GB"/>
        </w:rPr>
        <w:t xml:space="preserve">in-country portion of the </w:t>
      </w:r>
      <w:r w:rsidR="00295ECD">
        <w:rPr>
          <w:rFonts w:ascii="Times New Roman" w:hAnsi="Times New Roman" w:cs="Times New Roman"/>
          <w:sz w:val="22"/>
          <w:szCs w:val="22"/>
          <w:lang w:val="en-GB"/>
        </w:rPr>
        <w:t>evaluation (8-</w:t>
      </w:r>
      <w:r w:rsidR="00366602" w:rsidRPr="004A29F9">
        <w:rPr>
          <w:rFonts w:ascii="Times New Roman" w:hAnsi="Times New Roman" w:cs="Times New Roman"/>
          <w:sz w:val="22"/>
          <w:szCs w:val="22"/>
          <w:lang w:val="en-GB"/>
        </w:rPr>
        <w:t xml:space="preserve">31 January 2013), </w:t>
      </w:r>
      <w:r w:rsidRPr="004A29F9">
        <w:rPr>
          <w:rFonts w:ascii="Times New Roman" w:hAnsi="Times New Roman" w:cs="Times New Roman"/>
          <w:sz w:val="22"/>
          <w:szCs w:val="22"/>
          <w:lang w:val="en-GB"/>
        </w:rPr>
        <w:t xml:space="preserve">the </w:t>
      </w:r>
      <w:r w:rsidR="00295ECD">
        <w:rPr>
          <w:rFonts w:ascii="Times New Roman" w:hAnsi="Times New Roman" w:cs="Times New Roman"/>
          <w:sz w:val="22"/>
          <w:szCs w:val="22"/>
          <w:lang w:val="en-GB"/>
        </w:rPr>
        <w:t>i</w:t>
      </w:r>
      <w:r w:rsidR="004F3586" w:rsidRPr="004A29F9">
        <w:rPr>
          <w:rFonts w:ascii="Times New Roman" w:hAnsi="Times New Roman" w:cs="Times New Roman"/>
          <w:sz w:val="22"/>
          <w:szCs w:val="22"/>
          <w:lang w:val="en-GB"/>
        </w:rPr>
        <w:t xml:space="preserve">ndependent </w:t>
      </w:r>
      <w:r w:rsidR="00295ECD">
        <w:rPr>
          <w:rFonts w:ascii="Times New Roman" w:hAnsi="Times New Roman" w:cs="Times New Roman"/>
          <w:sz w:val="22"/>
          <w:szCs w:val="22"/>
          <w:lang w:val="en-GB"/>
        </w:rPr>
        <w:t>c</w:t>
      </w:r>
      <w:r w:rsidR="00683A9F" w:rsidRPr="004A29F9">
        <w:rPr>
          <w:rFonts w:ascii="Times New Roman" w:hAnsi="Times New Roman" w:cs="Times New Roman"/>
          <w:sz w:val="22"/>
          <w:szCs w:val="22"/>
          <w:lang w:val="en-GB"/>
        </w:rPr>
        <w:t>onsultant conducted</w:t>
      </w:r>
      <w:r w:rsidR="00F56BA4" w:rsidRPr="004A29F9">
        <w:rPr>
          <w:rFonts w:ascii="Times New Roman" w:hAnsi="Times New Roman" w:cs="Times New Roman"/>
          <w:sz w:val="22"/>
          <w:szCs w:val="22"/>
          <w:lang w:val="en-GB"/>
        </w:rPr>
        <w:t xml:space="preserve"> interviews and face-to-face consultations with representatives from a broad range of </w:t>
      </w:r>
      <w:r w:rsidRPr="004A29F9">
        <w:rPr>
          <w:rFonts w:ascii="Times New Roman" w:hAnsi="Times New Roman" w:cs="Times New Roman"/>
          <w:sz w:val="22"/>
          <w:szCs w:val="22"/>
          <w:lang w:val="en-GB"/>
        </w:rPr>
        <w:t>stakeholders and b</w:t>
      </w:r>
      <w:r w:rsidR="00F56BA4" w:rsidRPr="004A29F9">
        <w:rPr>
          <w:rFonts w:ascii="Times New Roman" w:hAnsi="Times New Roman" w:cs="Times New Roman"/>
          <w:sz w:val="22"/>
          <w:szCs w:val="22"/>
          <w:lang w:val="en-GB"/>
        </w:rPr>
        <w:t>eneficiaries</w:t>
      </w:r>
      <w:r w:rsidR="00366602" w:rsidRPr="004A29F9">
        <w:rPr>
          <w:rFonts w:ascii="Times New Roman" w:hAnsi="Times New Roman" w:cs="Times New Roman"/>
          <w:sz w:val="22"/>
          <w:szCs w:val="22"/>
          <w:lang w:val="en-GB"/>
        </w:rPr>
        <w:t xml:space="preserve"> including </w:t>
      </w:r>
      <w:r w:rsidR="00954A01">
        <w:rPr>
          <w:rFonts w:ascii="Times New Roman" w:hAnsi="Times New Roman" w:cs="Times New Roman"/>
          <w:sz w:val="22"/>
          <w:szCs w:val="22"/>
          <w:lang w:val="en-GB"/>
        </w:rPr>
        <w:t>UNDP staff, other UN agencies, donors, government partners, c</w:t>
      </w:r>
      <w:r w:rsidR="00366602" w:rsidRPr="004A29F9">
        <w:rPr>
          <w:rFonts w:ascii="Times New Roman" w:hAnsi="Times New Roman" w:cs="Times New Roman"/>
          <w:sz w:val="22"/>
          <w:szCs w:val="22"/>
          <w:lang w:val="en-GB"/>
        </w:rPr>
        <w:t xml:space="preserve">ivil society, lawyers and law schools and </w:t>
      </w:r>
      <w:r w:rsidR="00683A9F" w:rsidRPr="004A29F9">
        <w:rPr>
          <w:rFonts w:ascii="Times New Roman" w:hAnsi="Times New Roman" w:cs="Times New Roman"/>
          <w:sz w:val="22"/>
          <w:szCs w:val="22"/>
          <w:lang w:val="en-GB"/>
        </w:rPr>
        <w:t xml:space="preserve">beneficiaries in </w:t>
      </w:r>
      <w:r w:rsidR="00113019" w:rsidRPr="004A29F9">
        <w:rPr>
          <w:rFonts w:ascii="Times New Roman" w:hAnsi="Times New Roman" w:cs="Times New Roman"/>
          <w:sz w:val="22"/>
          <w:szCs w:val="22"/>
          <w:lang w:val="en-GB"/>
        </w:rPr>
        <w:t xml:space="preserve">the West Bank (i.e. </w:t>
      </w:r>
      <w:r w:rsidRPr="004A29F9">
        <w:rPr>
          <w:rFonts w:ascii="Times New Roman" w:hAnsi="Times New Roman" w:cs="Times New Roman"/>
          <w:sz w:val="22"/>
          <w:szCs w:val="22"/>
          <w:lang w:val="en-GB"/>
        </w:rPr>
        <w:t>East Jerusalem, Ramallah</w:t>
      </w:r>
      <w:r w:rsidR="00F56BA4" w:rsidRPr="004A29F9">
        <w:rPr>
          <w:rFonts w:ascii="Times New Roman" w:hAnsi="Times New Roman" w:cs="Times New Roman"/>
          <w:sz w:val="22"/>
          <w:szCs w:val="22"/>
          <w:lang w:val="en-GB"/>
        </w:rPr>
        <w:t xml:space="preserve">, </w:t>
      </w:r>
      <w:r w:rsidRPr="004A29F9">
        <w:rPr>
          <w:rFonts w:ascii="Times New Roman" w:hAnsi="Times New Roman" w:cs="Times New Roman"/>
          <w:sz w:val="22"/>
          <w:szCs w:val="22"/>
          <w:lang w:val="en-GB"/>
        </w:rPr>
        <w:t xml:space="preserve">Hebron, </w:t>
      </w:r>
      <w:r w:rsidR="00954A01">
        <w:rPr>
          <w:rFonts w:ascii="Times New Roman" w:hAnsi="Times New Roman" w:cs="Times New Roman"/>
          <w:sz w:val="22"/>
          <w:szCs w:val="22"/>
          <w:lang w:val="en-GB"/>
        </w:rPr>
        <w:t>Jenin and Sal</w:t>
      </w:r>
      <w:r w:rsidR="00366602" w:rsidRPr="004A29F9">
        <w:rPr>
          <w:rFonts w:ascii="Times New Roman" w:hAnsi="Times New Roman" w:cs="Times New Roman"/>
          <w:sz w:val="22"/>
          <w:szCs w:val="22"/>
          <w:lang w:val="en-GB"/>
        </w:rPr>
        <w:t>fit</w:t>
      </w:r>
      <w:r w:rsidR="00113019" w:rsidRPr="004A29F9">
        <w:rPr>
          <w:rFonts w:ascii="Times New Roman" w:hAnsi="Times New Roman" w:cs="Times New Roman"/>
          <w:sz w:val="22"/>
          <w:szCs w:val="22"/>
          <w:lang w:val="en-GB"/>
        </w:rPr>
        <w:t>)</w:t>
      </w:r>
      <w:r w:rsidR="00954A01">
        <w:rPr>
          <w:rFonts w:ascii="Times New Roman" w:hAnsi="Times New Roman" w:cs="Times New Roman"/>
          <w:sz w:val="22"/>
          <w:szCs w:val="22"/>
          <w:lang w:val="en-GB"/>
        </w:rPr>
        <w:t xml:space="preserve">. </w:t>
      </w:r>
      <w:r w:rsidR="00366602" w:rsidRPr="004A29F9">
        <w:rPr>
          <w:rFonts w:ascii="Times New Roman" w:hAnsi="Times New Roman" w:cs="Times New Roman"/>
          <w:sz w:val="22"/>
          <w:szCs w:val="22"/>
          <w:lang w:val="en-GB"/>
        </w:rPr>
        <w:t>Interviews with the</w:t>
      </w:r>
      <w:r w:rsidR="00954A01">
        <w:rPr>
          <w:rFonts w:ascii="Times New Roman" w:hAnsi="Times New Roman" w:cs="Times New Roman"/>
          <w:sz w:val="22"/>
          <w:szCs w:val="22"/>
          <w:lang w:val="en-GB"/>
        </w:rPr>
        <w:t xml:space="preserve">ses same groups of stakeholders - </w:t>
      </w:r>
      <w:r w:rsidR="00366602" w:rsidRPr="004A29F9">
        <w:rPr>
          <w:rFonts w:ascii="Times New Roman" w:hAnsi="Times New Roman" w:cs="Times New Roman"/>
          <w:sz w:val="22"/>
          <w:szCs w:val="22"/>
          <w:lang w:val="en-GB"/>
        </w:rPr>
        <w:t>w</w:t>
      </w:r>
      <w:r w:rsidR="00954A01">
        <w:rPr>
          <w:rFonts w:ascii="Times New Roman" w:hAnsi="Times New Roman" w:cs="Times New Roman"/>
          <w:sz w:val="22"/>
          <w:szCs w:val="22"/>
          <w:lang w:val="en-GB"/>
        </w:rPr>
        <w:t xml:space="preserve">ith the exception of government - </w:t>
      </w:r>
      <w:r w:rsidR="00366602" w:rsidRPr="004A29F9">
        <w:rPr>
          <w:rFonts w:ascii="Times New Roman" w:hAnsi="Times New Roman" w:cs="Times New Roman"/>
          <w:sz w:val="22"/>
          <w:szCs w:val="22"/>
          <w:lang w:val="en-GB"/>
        </w:rPr>
        <w:t xml:space="preserve">were held in </w:t>
      </w:r>
      <w:r w:rsidR="00954A01">
        <w:rPr>
          <w:rFonts w:ascii="Times New Roman" w:hAnsi="Times New Roman" w:cs="Times New Roman"/>
          <w:sz w:val="22"/>
          <w:szCs w:val="22"/>
          <w:lang w:val="en-GB"/>
        </w:rPr>
        <w:t xml:space="preserve">the </w:t>
      </w:r>
      <w:r w:rsidR="00366602" w:rsidRPr="004A29F9">
        <w:rPr>
          <w:rFonts w:ascii="Times New Roman" w:hAnsi="Times New Roman" w:cs="Times New Roman"/>
          <w:sz w:val="22"/>
          <w:szCs w:val="22"/>
          <w:lang w:val="en-GB"/>
        </w:rPr>
        <w:t>Gaza</w:t>
      </w:r>
      <w:r w:rsidR="00954A01">
        <w:rPr>
          <w:rFonts w:ascii="Times New Roman" w:hAnsi="Times New Roman" w:cs="Times New Roman"/>
          <w:sz w:val="22"/>
          <w:szCs w:val="22"/>
          <w:lang w:val="en-GB"/>
        </w:rPr>
        <w:t xml:space="preserve"> Strip</w:t>
      </w:r>
      <w:r w:rsidR="00113019" w:rsidRPr="004A29F9">
        <w:rPr>
          <w:rFonts w:ascii="Times New Roman" w:hAnsi="Times New Roman" w:cs="Times New Roman"/>
          <w:sz w:val="22"/>
          <w:szCs w:val="22"/>
          <w:lang w:val="en-GB"/>
        </w:rPr>
        <w:t xml:space="preserve"> (i.e. Gaza</w:t>
      </w:r>
      <w:r w:rsidR="00366602" w:rsidRPr="004A29F9">
        <w:rPr>
          <w:rFonts w:ascii="Times New Roman" w:hAnsi="Times New Roman" w:cs="Times New Roman"/>
          <w:sz w:val="22"/>
          <w:szCs w:val="22"/>
          <w:lang w:val="en-GB"/>
        </w:rPr>
        <w:t xml:space="preserve"> City, Beit</w:t>
      </w:r>
      <w:r w:rsidR="00227679">
        <w:rPr>
          <w:rFonts w:ascii="Times New Roman" w:hAnsi="Times New Roman" w:cs="Times New Roman"/>
          <w:sz w:val="22"/>
          <w:szCs w:val="22"/>
          <w:lang w:val="en-GB"/>
        </w:rPr>
        <w:t xml:space="preserve"> </w:t>
      </w:r>
      <w:r w:rsidR="00366602" w:rsidRPr="004A29F9">
        <w:rPr>
          <w:rFonts w:ascii="Times New Roman" w:hAnsi="Times New Roman" w:cs="Times New Roman"/>
          <w:sz w:val="22"/>
          <w:szCs w:val="22"/>
          <w:lang w:val="en-GB"/>
        </w:rPr>
        <w:t xml:space="preserve">Hanoun, </w:t>
      </w:r>
      <w:r w:rsidR="00954A01">
        <w:rPr>
          <w:rFonts w:ascii="Times New Roman" w:hAnsi="Times New Roman" w:cs="Times New Roman"/>
          <w:sz w:val="22"/>
          <w:szCs w:val="22"/>
          <w:lang w:val="en-GB"/>
        </w:rPr>
        <w:t xml:space="preserve">Nuseirat, </w:t>
      </w:r>
      <w:r w:rsidR="00113019" w:rsidRPr="004A29F9">
        <w:rPr>
          <w:rFonts w:ascii="Times New Roman" w:hAnsi="Times New Roman" w:cs="Times New Roman"/>
          <w:sz w:val="22"/>
          <w:szCs w:val="22"/>
          <w:lang w:val="en-GB"/>
        </w:rPr>
        <w:t>Khan</w:t>
      </w:r>
      <w:r w:rsidR="00954A01">
        <w:rPr>
          <w:rFonts w:ascii="Times New Roman" w:hAnsi="Times New Roman" w:cs="Times New Roman"/>
          <w:sz w:val="22"/>
          <w:szCs w:val="22"/>
          <w:lang w:val="en-GB"/>
        </w:rPr>
        <w:t>Younis and Rafah</w:t>
      </w:r>
      <w:r w:rsidR="00113019" w:rsidRPr="004A29F9">
        <w:rPr>
          <w:rFonts w:ascii="Times New Roman" w:hAnsi="Times New Roman" w:cs="Times New Roman"/>
          <w:sz w:val="22"/>
          <w:szCs w:val="22"/>
          <w:lang w:val="en-GB"/>
        </w:rPr>
        <w:t>)</w:t>
      </w:r>
      <w:r w:rsidR="00954A01">
        <w:rPr>
          <w:rFonts w:ascii="Times New Roman" w:hAnsi="Times New Roman" w:cs="Times New Roman"/>
          <w:sz w:val="22"/>
          <w:szCs w:val="22"/>
          <w:lang w:val="en-GB"/>
        </w:rPr>
        <w:t xml:space="preserve">. </w:t>
      </w:r>
      <w:r w:rsidR="00113019" w:rsidRPr="004A29F9">
        <w:rPr>
          <w:rFonts w:ascii="Times New Roman" w:hAnsi="Times New Roman" w:cs="Times New Roman"/>
          <w:sz w:val="22"/>
          <w:szCs w:val="22"/>
          <w:lang w:val="en-GB"/>
        </w:rPr>
        <w:t xml:space="preserve">In total, over 50 separate meetings and 13 different focus groups were conducted by the </w:t>
      </w:r>
      <w:r w:rsidR="00954A01">
        <w:rPr>
          <w:rFonts w:ascii="Times New Roman" w:hAnsi="Times New Roman" w:cs="Times New Roman"/>
          <w:sz w:val="22"/>
          <w:szCs w:val="22"/>
          <w:lang w:val="en-GB"/>
        </w:rPr>
        <w:t>independent c</w:t>
      </w:r>
      <w:r w:rsidR="004F3586" w:rsidRPr="004A29F9">
        <w:rPr>
          <w:rFonts w:ascii="Times New Roman" w:hAnsi="Times New Roman" w:cs="Times New Roman"/>
          <w:sz w:val="22"/>
          <w:szCs w:val="22"/>
          <w:lang w:val="en-GB"/>
        </w:rPr>
        <w:t>onsultant</w:t>
      </w:r>
      <w:r w:rsidR="00113019" w:rsidRPr="004A29F9">
        <w:rPr>
          <w:rFonts w:ascii="Times New Roman" w:hAnsi="Times New Roman" w:cs="Times New Roman"/>
          <w:sz w:val="22"/>
          <w:szCs w:val="22"/>
          <w:lang w:val="en-GB"/>
        </w:rPr>
        <w:t xml:space="preserve">, with </w:t>
      </w:r>
      <w:r w:rsidR="00954A01">
        <w:rPr>
          <w:rFonts w:ascii="Times New Roman" w:hAnsi="Times New Roman" w:cs="Times New Roman"/>
          <w:sz w:val="22"/>
          <w:szCs w:val="22"/>
          <w:lang w:val="en-GB"/>
        </w:rPr>
        <w:t xml:space="preserve">the support of UNDP during the evaluation. </w:t>
      </w:r>
      <w:r w:rsidR="00113019" w:rsidRPr="004A29F9">
        <w:rPr>
          <w:rFonts w:ascii="Times New Roman" w:hAnsi="Times New Roman" w:cs="Times New Roman"/>
          <w:sz w:val="22"/>
          <w:szCs w:val="22"/>
          <w:lang w:val="en-GB"/>
        </w:rPr>
        <w:t xml:space="preserve">This represented a total coverage of </w:t>
      </w:r>
      <w:r w:rsidR="00954A01">
        <w:rPr>
          <w:rFonts w:ascii="Times New Roman" w:hAnsi="Times New Roman" w:cs="Times New Roman"/>
          <w:sz w:val="22"/>
          <w:szCs w:val="22"/>
          <w:lang w:val="en-GB"/>
        </w:rPr>
        <w:t>over 150 persons interviewed. The schedule for the e</w:t>
      </w:r>
      <w:r w:rsidR="00113019" w:rsidRPr="004A29F9">
        <w:rPr>
          <w:rFonts w:ascii="Times New Roman" w:hAnsi="Times New Roman" w:cs="Times New Roman"/>
          <w:sz w:val="22"/>
          <w:szCs w:val="22"/>
          <w:lang w:val="en-GB"/>
        </w:rPr>
        <w:t xml:space="preserve">valuation appears in </w:t>
      </w:r>
      <w:r w:rsidR="00954A01">
        <w:rPr>
          <w:rFonts w:ascii="Times New Roman" w:hAnsi="Times New Roman" w:cs="Times New Roman"/>
          <w:sz w:val="22"/>
          <w:szCs w:val="22"/>
          <w:lang w:val="en-GB"/>
        </w:rPr>
        <w:t>Annex C</w:t>
      </w:r>
      <w:r w:rsidR="00FD3C19">
        <w:rPr>
          <w:rFonts w:ascii="Times New Roman" w:hAnsi="Times New Roman" w:cs="Times New Roman"/>
          <w:sz w:val="22"/>
          <w:szCs w:val="22"/>
          <w:lang w:val="en-GB"/>
        </w:rPr>
        <w:t xml:space="preserve"> </w:t>
      </w:r>
      <w:r w:rsidR="00113019" w:rsidRPr="004A29F9">
        <w:rPr>
          <w:rFonts w:ascii="Times New Roman" w:hAnsi="Times New Roman" w:cs="Times New Roman"/>
          <w:sz w:val="22"/>
          <w:szCs w:val="22"/>
          <w:lang w:val="en-GB"/>
        </w:rPr>
        <w:t>of this report</w:t>
      </w:r>
      <w:r w:rsidR="00F56BA4" w:rsidRPr="004A29F9">
        <w:rPr>
          <w:rFonts w:ascii="Times New Roman" w:hAnsi="Times New Roman" w:cs="Times New Roman"/>
          <w:sz w:val="22"/>
          <w:szCs w:val="22"/>
          <w:lang w:val="en-GB"/>
        </w:rPr>
        <w:t>.</w:t>
      </w:r>
    </w:p>
    <w:p w:rsidR="004C6458" w:rsidRDefault="004C6458" w:rsidP="004C6458">
      <w:pPr>
        <w:pStyle w:val="Heading2"/>
        <w:numPr>
          <w:ilvl w:val="0"/>
          <w:numId w:val="0"/>
        </w:numPr>
        <w:spacing w:before="0" w:after="0" w:line="240" w:lineRule="auto"/>
        <w:rPr>
          <w:rFonts w:ascii="Times New Roman" w:eastAsiaTheme="minorHAnsi" w:hAnsi="Times New Roman" w:cs="Times New Roman"/>
          <w:b w:val="0"/>
          <w:bCs w:val="0"/>
          <w:lang w:val="en-GB"/>
        </w:rPr>
      </w:pPr>
      <w:bookmarkStart w:id="9" w:name="_Toc231801793"/>
    </w:p>
    <w:p w:rsidR="00F56BA4" w:rsidRPr="004C6458" w:rsidRDefault="00954A01" w:rsidP="004C6458">
      <w:pPr>
        <w:pStyle w:val="Heading2"/>
        <w:numPr>
          <w:ilvl w:val="0"/>
          <w:numId w:val="0"/>
        </w:numPr>
        <w:spacing w:before="0" w:after="0" w:line="240" w:lineRule="auto"/>
        <w:rPr>
          <w:rFonts w:ascii="Times New Roman" w:hAnsi="Times New Roman" w:cs="Times New Roman"/>
          <w:b w:val="0"/>
          <w:i/>
          <w:lang w:val="en-GB"/>
        </w:rPr>
      </w:pPr>
      <w:r w:rsidRPr="004C6458">
        <w:rPr>
          <w:rFonts w:ascii="Times New Roman" w:hAnsi="Times New Roman" w:cs="Times New Roman"/>
          <w:b w:val="0"/>
          <w:i/>
          <w:lang w:val="en-GB"/>
        </w:rPr>
        <w:t>Evaluation q</w:t>
      </w:r>
      <w:r w:rsidR="00F56BA4" w:rsidRPr="004C6458">
        <w:rPr>
          <w:rFonts w:ascii="Times New Roman" w:hAnsi="Times New Roman" w:cs="Times New Roman"/>
          <w:b w:val="0"/>
          <w:i/>
          <w:lang w:val="en-GB"/>
        </w:rPr>
        <w:t>uestions</w:t>
      </w:r>
      <w:bookmarkEnd w:id="9"/>
    </w:p>
    <w:p w:rsidR="00954A01" w:rsidRDefault="00954A01" w:rsidP="004A29F9">
      <w:pPr>
        <w:spacing w:after="0" w:line="240" w:lineRule="auto"/>
        <w:jc w:val="both"/>
        <w:rPr>
          <w:lang w:val="en-GB"/>
        </w:rPr>
      </w:pPr>
    </w:p>
    <w:p w:rsidR="00F56BA4" w:rsidRDefault="00954A01" w:rsidP="004A29F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In conjunction with UNDP/BCPR, </w:t>
      </w:r>
      <w:r w:rsidR="00F56BA4" w:rsidRPr="004A29F9">
        <w:rPr>
          <w:rFonts w:ascii="Times New Roman" w:hAnsi="Times New Roman" w:cs="Times New Roman"/>
          <w:sz w:val="22"/>
          <w:szCs w:val="22"/>
          <w:lang w:val="en-GB"/>
        </w:rPr>
        <w:t>UNDP/</w:t>
      </w:r>
      <w:r>
        <w:rPr>
          <w:rFonts w:ascii="Times New Roman" w:hAnsi="Times New Roman" w:cs="Times New Roman"/>
          <w:sz w:val="22"/>
          <w:szCs w:val="22"/>
          <w:lang w:val="en-GB"/>
        </w:rPr>
        <w:t xml:space="preserve">PAPP </w:t>
      </w:r>
      <w:r w:rsidR="00F56BA4" w:rsidRPr="004A29F9">
        <w:rPr>
          <w:rFonts w:ascii="Times New Roman" w:hAnsi="Times New Roman" w:cs="Times New Roman"/>
          <w:sz w:val="22"/>
          <w:szCs w:val="22"/>
          <w:lang w:val="en-GB"/>
        </w:rPr>
        <w:t>developed the following evaluation questions in order to elicit the kinds of information that the evaluation intends to generate:</w:t>
      </w:r>
    </w:p>
    <w:p w:rsidR="00954A01" w:rsidRPr="004A29F9" w:rsidRDefault="00954A01" w:rsidP="004A29F9">
      <w:pPr>
        <w:spacing w:after="0" w:line="240" w:lineRule="auto"/>
        <w:jc w:val="both"/>
        <w:rPr>
          <w:rFonts w:ascii="Times New Roman" w:hAnsi="Times New Roman" w:cs="Times New Roman"/>
          <w:sz w:val="22"/>
          <w:szCs w:val="22"/>
          <w:lang w:val="en-GB"/>
        </w:rPr>
      </w:pPr>
    </w:p>
    <w:p w:rsidR="00F56BA4" w:rsidRPr="004A29F9" w:rsidRDefault="00F56BA4" w:rsidP="004A29F9">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What progress towards achieving the outputs and outcomes listed in the Programme Document has been made? Are the outputs and outcomes relevant in th</w:t>
      </w:r>
      <w:r w:rsidR="00954A01">
        <w:rPr>
          <w:rFonts w:ascii="Times New Roman" w:hAnsi="Times New Roman" w:cs="Times New Roman"/>
          <w:sz w:val="22"/>
          <w:szCs w:val="22"/>
          <w:lang w:val="en-GB"/>
        </w:rPr>
        <w:t>e context of the oPt? How does p</w:t>
      </w:r>
      <w:r w:rsidRPr="004A29F9">
        <w:rPr>
          <w:rFonts w:ascii="Times New Roman" w:hAnsi="Times New Roman" w:cs="Times New Roman"/>
          <w:sz w:val="22"/>
          <w:szCs w:val="22"/>
          <w:lang w:val="en-GB"/>
        </w:rPr>
        <w:t>rogramme implementation align with the original Programme Document?</w:t>
      </w:r>
    </w:p>
    <w:p w:rsidR="00F56BA4" w:rsidRPr="004A29F9" w:rsidRDefault="00F56BA4" w:rsidP="004A29F9">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What factors have contributed to achieving (or not achieving) the intended outputs and outcomes?</w:t>
      </w:r>
    </w:p>
    <w:p w:rsidR="00F56BA4" w:rsidRPr="004A29F9" w:rsidRDefault="00F56BA4" w:rsidP="004A29F9">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To what extent has UNDP/</w:t>
      </w:r>
      <w:r w:rsidR="000C369C" w:rsidRPr="004A29F9">
        <w:rPr>
          <w:rFonts w:ascii="Times New Roman" w:hAnsi="Times New Roman" w:cs="Times New Roman"/>
          <w:sz w:val="22"/>
          <w:szCs w:val="22"/>
          <w:lang w:val="en-GB"/>
        </w:rPr>
        <w:t>PAPP</w:t>
      </w:r>
      <w:r w:rsidRPr="004A29F9">
        <w:rPr>
          <w:rFonts w:ascii="Times New Roman" w:hAnsi="Times New Roman" w:cs="Times New Roman"/>
          <w:sz w:val="22"/>
          <w:szCs w:val="22"/>
          <w:lang w:val="en-GB"/>
        </w:rPr>
        <w:t xml:space="preserve"> been able to develop strong and enabling partnerships?</w:t>
      </w:r>
    </w:p>
    <w:p w:rsidR="00F56BA4" w:rsidRPr="004A29F9" w:rsidRDefault="00954A01" w:rsidP="004A29F9">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Pr>
          <w:rFonts w:ascii="Times New Roman" w:hAnsi="Times New Roman" w:cs="Times New Roman"/>
          <w:sz w:val="22"/>
          <w:szCs w:val="22"/>
          <w:lang w:val="en-GB"/>
        </w:rPr>
        <w:t>Has the p</w:t>
      </w:r>
      <w:r w:rsidR="00F56BA4" w:rsidRPr="004A29F9">
        <w:rPr>
          <w:rFonts w:ascii="Times New Roman" w:hAnsi="Times New Roman" w:cs="Times New Roman"/>
          <w:sz w:val="22"/>
          <w:szCs w:val="22"/>
          <w:lang w:val="en-GB"/>
        </w:rPr>
        <w:t>rogramme managed to adhere to key development principles, including national ownership, and ensure sustainability of results?</w:t>
      </w:r>
    </w:p>
    <w:p w:rsidR="00F56BA4" w:rsidRPr="004A29F9" w:rsidRDefault="00954A01" w:rsidP="004A29F9">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Pr>
          <w:rFonts w:ascii="Times New Roman" w:hAnsi="Times New Roman" w:cs="Times New Roman"/>
          <w:sz w:val="22"/>
          <w:szCs w:val="22"/>
          <w:lang w:val="en-GB"/>
        </w:rPr>
        <w:t>To what extent has the p</w:t>
      </w:r>
      <w:r w:rsidR="00F56BA4" w:rsidRPr="004A29F9">
        <w:rPr>
          <w:rFonts w:ascii="Times New Roman" w:hAnsi="Times New Roman" w:cs="Times New Roman"/>
          <w:sz w:val="22"/>
          <w:szCs w:val="22"/>
          <w:lang w:val="en-GB"/>
        </w:rPr>
        <w:t>rogramme managed to promote inclusiveness, gender mainstreaming and women’s empowerment?</w:t>
      </w:r>
    </w:p>
    <w:p w:rsidR="00F56BA4" w:rsidRPr="004A29F9" w:rsidRDefault="00954A01" w:rsidP="004A29F9">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Pr>
          <w:rFonts w:ascii="Times New Roman" w:hAnsi="Times New Roman" w:cs="Times New Roman"/>
          <w:sz w:val="22"/>
          <w:szCs w:val="22"/>
          <w:lang w:val="en-GB"/>
        </w:rPr>
        <w:t>Was the M&amp;E p</w:t>
      </w:r>
      <w:r w:rsidR="00F56BA4" w:rsidRPr="004A29F9">
        <w:rPr>
          <w:rFonts w:ascii="Times New Roman" w:hAnsi="Times New Roman" w:cs="Times New Roman"/>
          <w:sz w:val="22"/>
          <w:szCs w:val="22"/>
          <w:lang w:val="en-GB"/>
        </w:rPr>
        <w:t>lan systematically applied</w:t>
      </w:r>
      <w:r>
        <w:rPr>
          <w:rFonts w:ascii="Times New Roman" w:hAnsi="Times New Roman" w:cs="Times New Roman"/>
          <w:sz w:val="22"/>
          <w:szCs w:val="22"/>
          <w:lang w:val="en-GB"/>
        </w:rPr>
        <w:t xml:space="preserve"> and was it appropriate to the p</w:t>
      </w:r>
      <w:r w:rsidR="00F56BA4" w:rsidRPr="004A29F9">
        <w:rPr>
          <w:rFonts w:ascii="Times New Roman" w:hAnsi="Times New Roman" w:cs="Times New Roman"/>
          <w:sz w:val="22"/>
          <w:szCs w:val="22"/>
          <w:lang w:val="en-GB"/>
        </w:rPr>
        <w:t>rogramme?</w:t>
      </w:r>
    </w:p>
    <w:p w:rsidR="00F56BA4" w:rsidRDefault="00954A01" w:rsidP="004A29F9">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Pr>
          <w:rFonts w:ascii="Times New Roman" w:hAnsi="Times New Roman" w:cs="Times New Roman"/>
          <w:sz w:val="22"/>
          <w:szCs w:val="22"/>
          <w:lang w:val="en-GB"/>
        </w:rPr>
        <w:t>Has the p</w:t>
      </w:r>
      <w:r w:rsidR="00F56BA4" w:rsidRPr="004A29F9">
        <w:rPr>
          <w:rFonts w:ascii="Times New Roman" w:hAnsi="Times New Roman" w:cs="Times New Roman"/>
          <w:sz w:val="22"/>
          <w:szCs w:val="22"/>
          <w:lang w:val="en-GB"/>
        </w:rPr>
        <w:t>rogramme managed risks effectively and responsibly?</w:t>
      </w:r>
      <w:r w:rsidR="00F56BA4" w:rsidRPr="004A29F9">
        <w:rPr>
          <w:rFonts w:ascii="Times New Roman" w:hAnsi="Times New Roman" w:cs="Times New Roman"/>
          <w:sz w:val="22"/>
          <w:szCs w:val="22"/>
          <w:vertAlign w:val="superscript"/>
          <w:lang w:val="en-GB"/>
        </w:rPr>
        <w:footnoteReference w:id="6"/>
      </w:r>
    </w:p>
    <w:p w:rsidR="00954A01" w:rsidRPr="00954A01" w:rsidRDefault="00954A01" w:rsidP="00954A01">
      <w:pPr>
        <w:spacing w:after="0" w:line="240" w:lineRule="auto"/>
        <w:ind w:left="360"/>
        <w:contextualSpacing/>
        <w:jc w:val="both"/>
        <w:rPr>
          <w:rFonts w:ascii="Times New Roman" w:hAnsi="Times New Roman" w:cs="Times New Roman"/>
          <w:sz w:val="22"/>
          <w:szCs w:val="22"/>
          <w:lang w:val="en-GB"/>
        </w:rPr>
      </w:pPr>
    </w:p>
    <w:p w:rsidR="00F56BA4" w:rsidRDefault="00F56BA4" w:rsidP="004A29F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In addition, the </w:t>
      </w:r>
      <w:r w:rsidR="00954A01">
        <w:rPr>
          <w:rFonts w:ascii="Times New Roman" w:hAnsi="Times New Roman" w:cs="Times New Roman"/>
          <w:sz w:val="22"/>
          <w:szCs w:val="22"/>
          <w:lang w:val="en-GB"/>
        </w:rPr>
        <w:t>independent c</w:t>
      </w:r>
      <w:r w:rsidR="004F3586" w:rsidRPr="004A29F9">
        <w:rPr>
          <w:rFonts w:ascii="Times New Roman" w:hAnsi="Times New Roman" w:cs="Times New Roman"/>
          <w:sz w:val="22"/>
          <w:szCs w:val="22"/>
          <w:lang w:val="en-GB"/>
        </w:rPr>
        <w:t>onsultant</w:t>
      </w:r>
      <w:r w:rsidRPr="004A29F9">
        <w:rPr>
          <w:rFonts w:ascii="Times New Roman" w:hAnsi="Times New Roman" w:cs="Times New Roman"/>
          <w:sz w:val="22"/>
          <w:szCs w:val="22"/>
          <w:lang w:val="en-GB"/>
        </w:rPr>
        <w:t xml:space="preserve"> has developed the following additional questions based upon his review of the situation, as well as UNDP/</w:t>
      </w:r>
      <w:r w:rsidR="000C369C" w:rsidRPr="004A29F9">
        <w:rPr>
          <w:rFonts w:ascii="Times New Roman" w:hAnsi="Times New Roman" w:cs="Times New Roman"/>
          <w:sz w:val="22"/>
          <w:szCs w:val="22"/>
          <w:lang w:val="en-GB"/>
        </w:rPr>
        <w:t>PAPP</w:t>
      </w:r>
      <w:r w:rsidRPr="004A29F9">
        <w:rPr>
          <w:rFonts w:ascii="Times New Roman" w:hAnsi="Times New Roman" w:cs="Times New Roman"/>
          <w:sz w:val="22"/>
          <w:szCs w:val="22"/>
          <w:lang w:val="en-GB"/>
        </w:rPr>
        <w:t xml:space="preserve"> and third-party documents:</w:t>
      </w:r>
    </w:p>
    <w:p w:rsidR="00954A01" w:rsidRPr="004A29F9" w:rsidRDefault="00954A01" w:rsidP="004A29F9">
      <w:pPr>
        <w:spacing w:after="0" w:line="240" w:lineRule="auto"/>
        <w:jc w:val="both"/>
        <w:rPr>
          <w:rFonts w:ascii="Times New Roman" w:hAnsi="Times New Roman" w:cs="Times New Roman"/>
          <w:sz w:val="22"/>
          <w:szCs w:val="22"/>
          <w:lang w:val="en-GB"/>
        </w:rPr>
      </w:pPr>
    </w:p>
    <w:p w:rsidR="00F56BA4" w:rsidRPr="004A29F9" w:rsidRDefault="00954A01" w:rsidP="004A29F9">
      <w:pPr>
        <w:pStyle w:val="ListParagraph"/>
        <w:numPr>
          <w:ilvl w:val="0"/>
          <w:numId w:val="2"/>
        </w:numPr>
        <w:spacing w:after="0" w:line="240" w:lineRule="auto"/>
        <w:ind w:left="720" w:hanging="360"/>
        <w:jc w:val="both"/>
        <w:rPr>
          <w:rFonts w:ascii="Times New Roman" w:hAnsi="Times New Roman" w:cs="Times New Roman"/>
          <w:sz w:val="22"/>
          <w:szCs w:val="22"/>
          <w:lang w:val="en-GB"/>
        </w:rPr>
      </w:pPr>
      <w:r>
        <w:rPr>
          <w:rFonts w:ascii="Times New Roman" w:hAnsi="Times New Roman" w:cs="Times New Roman"/>
          <w:sz w:val="22"/>
          <w:szCs w:val="22"/>
          <w:lang w:val="en-GB"/>
        </w:rPr>
        <w:t>Has the p</w:t>
      </w:r>
      <w:r w:rsidR="00F56BA4" w:rsidRPr="004A29F9">
        <w:rPr>
          <w:rFonts w:ascii="Times New Roman" w:hAnsi="Times New Roman" w:cs="Times New Roman"/>
          <w:sz w:val="22"/>
          <w:szCs w:val="22"/>
          <w:lang w:val="en-GB"/>
        </w:rPr>
        <w:t>rogramme been responsive to the recommendations containe</w:t>
      </w:r>
      <w:r>
        <w:rPr>
          <w:rFonts w:ascii="Times New Roman" w:hAnsi="Times New Roman" w:cs="Times New Roman"/>
          <w:sz w:val="22"/>
          <w:szCs w:val="22"/>
          <w:lang w:val="en-GB"/>
        </w:rPr>
        <w:t>d in the 2011 strategic r</w:t>
      </w:r>
      <w:r w:rsidR="00F56BA4" w:rsidRPr="004A29F9">
        <w:rPr>
          <w:rFonts w:ascii="Times New Roman" w:hAnsi="Times New Roman" w:cs="Times New Roman"/>
          <w:sz w:val="22"/>
          <w:szCs w:val="22"/>
          <w:lang w:val="en-GB"/>
        </w:rPr>
        <w:t>eview, as follows:</w:t>
      </w:r>
    </w:p>
    <w:p w:rsidR="00F56BA4" w:rsidRPr="004A29F9" w:rsidRDefault="00954A01" w:rsidP="004A29F9">
      <w:pPr>
        <w:pStyle w:val="ListParagraph"/>
        <w:numPr>
          <w:ilvl w:val="1"/>
          <w:numId w:val="32"/>
        </w:numPr>
        <w:spacing w:after="0" w:line="240" w:lineRule="auto"/>
        <w:contextualSpacing/>
        <w:jc w:val="both"/>
        <w:rPr>
          <w:rFonts w:ascii="Times New Roman" w:hAnsi="Times New Roman" w:cs="Times New Roman"/>
          <w:sz w:val="22"/>
          <w:szCs w:val="22"/>
          <w:lang w:val="en-GB"/>
        </w:rPr>
      </w:pPr>
      <w:r>
        <w:rPr>
          <w:rFonts w:ascii="Times New Roman" w:hAnsi="Times New Roman" w:cs="Times New Roman"/>
          <w:sz w:val="22"/>
          <w:szCs w:val="22"/>
          <w:lang w:val="en-GB"/>
        </w:rPr>
        <w:t>Has the p</w:t>
      </w:r>
      <w:r w:rsidR="00F56BA4" w:rsidRPr="004A29F9">
        <w:rPr>
          <w:rFonts w:ascii="Times New Roman" w:hAnsi="Times New Roman" w:cs="Times New Roman"/>
          <w:sz w:val="22"/>
          <w:szCs w:val="22"/>
          <w:lang w:val="en-GB"/>
        </w:rPr>
        <w:t>rogramme strengthened legal aid and assistance in Area C, with a specific aim at redressing the 90% impunity rate for settler violence?</w:t>
      </w:r>
    </w:p>
    <w:p w:rsidR="00F56BA4" w:rsidRPr="004A29F9" w:rsidRDefault="00954A01" w:rsidP="004A29F9">
      <w:pPr>
        <w:pStyle w:val="ListParagraph"/>
        <w:numPr>
          <w:ilvl w:val="1"/>
          <w:numId w:val="32"/>
        </w:numPr>
        <w:spacing w:after="0" w:line="240" w:lineRule="auto"/>
        <w:contextualSpacing/>
        <w:jc w:val="both"/>
        <w:rPr>
          <w:rFonts w:ascii="Times New Roman" w:hAnsi="Times New Roman" w:cs="Times New Roman"/>
          <w:sz w:val="22"/>
          <w:szCs w:val="22"/>
          <w:lang w:val="en-GB"/>
        </w:rPr>
      </w:pPr>
      <w:r>
        <w:rPr>
          <w:rFonts w:ascii="Times New Roman" w:hAnsi="Times New Roman" w:cs="Times New Roman"/>
          <w:sz w:val="22"/>
          <w:szCs w:val="22"/>
          <w:lang w:val="en-GB"/>
        </w:rPr>
        <w:t>Has the p</w:t>
      </w:r>
      <w:r w:rsidR="00F56BA4" w:rsidRPr="004A29F9">
        <w:rPr>
          <w:rFonts w:ascii="Times New Roman" w:hAnsi="Times New Roman" w:cs="Times New Roman"/>
          <w:sz w:val="22"/>
          <w:szCs w:val="22"/>
          <w:lang w:val="en-GB"/>
        </w:rPr>
        <w:t xml:space="preserve">rogramme supported its national counterparts in promoting </w:t>
      </w:r>
      <w:r>
        <w:rPr>
          <w:rFonts w:ascii="Times New Roman" w:hAnsi="Times New Roman" w:cs="Times New Roman"/>
          <w:sz w:val="22"/>
          <w:szCs w:val="22"/>
          <w:lang w:val="en-GB"/>
        </w:rPr>
        <w:t>a</w:t>
      </w:r>
      <w:r w:rsidR="00FD3C19">
        <w:rPr>
          <w:rFonts w:ascii="Times New Roman" w:hAnsi="Times New Roman" w:cs="Times New Roman"/>
          <w:sz w:val="22"/>
          <w:szCs w:val="22"/>
          <w:lang w:val="en-GB"/>
        </w:rPr>
        <w:t xml:space="preserve"> </w:t>
      </w:r>
      <w:r w:rsidR="00F56BA4" w:rsidRPr="00954A01">
        <w:rPr>
          <w:rFonts w:ascii="Times New Roman" w:hAnsi="Times New Roman" w:cs="Times New Roman"/>
          <w:i/>
          <w:sz w:val="22"/>
          <w:szCs w:val="22"/>
          <w:lang w:val="en-GB"/>
        </w:rPr>
        <w:t xml:space="preserve">pro bono </w:t>
      </w:r>
      <w:r>
        <w:rPr>
          <w:rFonts w:ascii="Times New Roman" w:hAnsi="Times New Roman" w:cs="Times New Roman"/>
          <w:sz w:val="22"/>
          <w:szCs w:val="22"/>
          <w:lang w:val="en-GB"/>
        </w:rPr>
        <w:t>culture</w:t>
      </w:r>
      <w:r w:rsidR="00F56BA4" w:rsidRPr="004A29F9">
        <w:rPr>
          <w:rFonts w:ascii="Times New Roman" w:hAnsi="Times New Roman" w:cs="Times New Roman"/>
          <w:sz w:val="22"/>
          <w:szCs w:val="22"/>
          <w:lang w:val="en-GB"/>
        </w:rPr>
        <w:t>?</w:t>
      </w:r>
    </w:p>
    <w:p w:rsidR="00F56BA4" w:rsidRPr="004A29F9" w:rsidRDefault="00954A01" w:rsidP="004A29F9">
      <w:pPr>
        <w:pStyle w:val="ListParagraph"/>
        <w:numPr>
          <w:ilvl w:val="1"/>
          <w:numId w:val="32"/>
        </w:numPr>
        <w:spacing w:after="0" w:line="240" w:lineRule="auto"/>
        <w:contextualSpacing/>
        <w:jc w:val="both"/>
        <w:rPr>
          <w:rFonts w:ascii="Times New Roman" w:hAnsi="Times New Roman" w:cs="Times New Roman"/>
          <w:sz w:val="22"/>
          <w:szCs w:val="22"/>
          <w:lang w:val="en-GB"/>
        </w:rPr>
      </w:pPr>
      <w:r>
        <w:rPr>
          <w:rFonts w:ascii="Times New Roman" w:hAnsi="Times New Roman" w:cs="Times New Roman"/>
          <w:sz w:val="22"/>
          <w:szCs w:val="22"/>
          <w:lang w:val="en-GB"/>
        </w:rPr>
        <w:lastRenderedPageBreak/>
        <w:t>Has the p</w:t>
      </w:r>
      <w:r w:rsidR="00F56BA4" w:rsidRPr="004A29F9">
        <w:rPr>
          <w:rFonts w:ascii="Times New Roman" w:hAnsi="Times New Roman" w:cs="Times New Roman"/>
          <w:sz w:val="22"/>
          <w:szCs w:val="22"/>
          <w:lang w:val="en-GB"/>
        </w:rPr>
        <w:t>rogramme engaged in greater strategic planning for PNA authorities, taking into account practical realities on the ground?</w:t>
      </w:r>
    </w:p>
    <w:p w:rsidR="00F56BA4" w:rsidRPr="004A29F9" w:rsidRDefault="00954A01" w:rsidP="004A29F9">
      <w:pPr>
        <w:pStyle w:val="ListParagraph"/>
        <w:numPr>
          <w:ilvl w:val="1"/>
          <w:numId w:val="32"/>
        </w:numPr>
        <w:spacing w:after="0" w:line="240" w:lineRule="auto"/>
        <w:contextualSpacing/>
        <w:jc w:val="both"/>
        <w:rPr>
          <w:rFonts w:ascii="Times New Roman" w:hAnsi="Times New Roman" w:cs="Times New Roman"/>
          <w:sz w:val="22"/>
          <w:szCs w:val="22"/>
          <w:lang w:val="en-GB"/>
        </w:rPr>
      </w:pPr>
      <w:r>
        <w:rPr>
          <w:rFonts w:ascii="Times New Roman" w:hAnsi="Times New Roman" w:cs="Times New Roman"/>
          <w:sz w:val="22"/>
          <w:szCs w:val="22"/>
          <w:lang w:val="en-GB"/>
        </w:rPr>
        <w:t>Has the p</w:t>
      </w:r>
      <w:r w:rsidR="00F56BA4" w:rsidRPr="004A29F9">
        <w:rPr>
          <w:rFonts w:ascii="Times New Roman" w:hAnsi="Times New Roman" w:cs="Times New Roman"/>
          <w:sz w:val="22"/>
          <w:szCs w:val="22"/>
          <w:lang w:val="en-GB"/>
        </w:rPr>
        <w:t>rogramme focused on legislative and constitutional reform through its work with the rule of law institutions and civil society?</w:t>
      </w:r>
    </w:p>
    <w:p w:rsidR="00F56BA4" w:rsidRPr="004A29F9" w:rsidRDefault="00954A01" w:rsidP="004A29F9">
      <w:pPr>
        <w:pStyle w:val="ListParagraph"/>
        <w:numPr>
          <w:ilvl w:val="1"/>
          <w:numId w:val="32"/>
        </w:numPr>
        <w:spacing w:after="0" w:line="240" w:lineRule="auto"/>
        <w:contextualSpacing/>
        <w:jc w:val="both"/>
        <w:rPr>
          <w:rFonts w:ascii="Times New Roman" w:hAnsi="Times New Roman" w:cs="Times New Roman"/>
          <w:sz w:val="22"/>
          <w:szCs w:val="22"/>
          <w:lang w:val="en-GB"/>
        </w:rPr>
      </w:pPr>
      <w:r>
        <w:rPr>
          <w:rFonts w:ascii="Times New Roman" w:hAnsi="Times New Roman" w:cs="Times New Roman"/>
          <w:sz w:val="22"/>
          <w:szCs w:val="22"/>
          <w:lang w:val="en-GB"/>
        </w:rPr>
        <w:t>Has the p</w:t>
      </w:r>
      <w:r w:rsidR="00F56BA4" w:rsidRPr="004A29F9">
        <w:rPr>
          <w:rFonts w:ascii="Times New Roman" w:hAnsi="Times New Roman" w:cs="Times New Roman"/>
          <w:sz w:val="22"/>
          <w:szCs w:val="22"/>
          <w:lang w:val="en-GB"/>
        </w:rPr>
        <w:t>rogramme strengthened its engagement in the gender and juvenile justice component, in particular through its work with national authorities</w:t>
      </w:r>
      <w:r>
        <w:rPr>
          <w:rFonts w:ascii="Times New Roman" w:hAnsi="Times New Roman" w:cs="Times New Roman"/>
          <w:sz w:val="22"/>
          <w:szCs w:val="22"/>
          <w:lang w:val="en-GB"/>
        </w:rPr>
        <w:t xml:space="preserve"> (as opposed to civil society)?</w:t>
      </w:r>
    </w:p>
    <w:p w:rsidR="00F56BA4" w:rsidRPr="004A29F9" w:rsidRDefault="00954A01" w:rsidP="004A29F9">
      <w:pPr>
        <w:pStyle w:val="ListParagraph"/>
        <w:numPr>
          <w:ilvl w:val="1"/>
          <w:numId w:val="32"/>
        </w:numPr>
        <w:spacing w:after="0" w:line="240" w:lineRule="auto"/>
        <w:contextualSpacing/>
        <w:jc w:val="both"/>
        <w:rPr>
          <w:rFonts w:ascii="Times New Roman" w:hAnsi="Times New Roman" w:cs="Times New Roman"/>
          <w:sz w:val="22"/>
          <w:szCs w:val="22"/>
          <w:lang w:val="en-GB"/>
        </w:rPr>
      </w:pPr>
      <w:r>
        <w:rPr>
          <w:rFonts w:ascii="Times New Roman" w:hAnsi="Times New Roman" w:cs="Times New Roman"/>
          <w:sz w:val="22"/>
          <w:szCs w:val="22"/>
          <w:lang w:val="en-GB"/>
        </w:rPr>
        <w:t>Has the p</w:t>
      </w:r>
      <w:r w:rsidR="00F56BA4" w:rsidRPr="004A29F9">
        <w:rPr>
          <w:rFonts w:ascii="Times New Roman" w:hAnsi="Times New Roman" w:cs="Times New Roman"/>
          <w:sz w:val="22"/>
          <w:szCs w:val="22"/>
          <w:lang w:val="en-GB"/>
        </w:rPr>
        <w:t xml:space="preserve">rogramme worked to build trust between national authorities and civil society?  </w:t>
      </w:r>
    </w:p>
    <w:p w:rsidR="000E6B39" w:rsidRPr="004A29F9" w:rsidRDefault="00954A01" w:rsidP="004A29F9">
      <w:pPr>
        <w:pStyle w:val="ListParagraph"/>
        <w:numPr>
          <w:ilvl w:val="1"/>
          <w:numId w:val="32"/>
        </w:numPr>
        <w:spacing w:after="0" w:line="240" w:lineRule="auto"/>
        <w:contextualSpacing/>
        <w:jc w:val="both"/>
        <w:rPr>
          <w:rFonts w:ascii="Times New Roman" w:hAnsi="Times New Roman" w:cs="Times New Roman"/>
          <w:sz w:val="22"/>
          <w:szCs w:val="22"/>
          <w:lang w:val="en-GB"/>
        </w:rPr>
      </w:pPr>
      <w:r>
        <w:rPr>
          <w:rFonts w:ascii="Times New Roman" w:hAnsi="Times New Roman" w:cs="Times New Roman"/>
          <w:sz w:val="22"/>
          <w:szCs w:val="22"/>
          <w:lang w:val="en-GB"/>
        </w:rPr>
        <w:t>In Gaza, has the p</w:t>
      </w:r>
      <w:r w:rsidR="00F56BA4" w:rsidRPr="004A29F9">
        <w:rPr>
          <w:rFonts w:ascii="Times New Roman" w:hAnsi="Times New Roman" w:cs="Times New Roman"/>
          <w:sz w:val="22"/>
          <w:szCs w:val="22"/>
          <w:lang w:val="en-GB"/>
        </w:rPr>
        <w:t>rogramme performed any contingency planning around the possibility of reconcil</w:t>
      </w:r>
      <w:r>
        <w:rPr>
          <w:rFonts w:ascii="Times New Roman" w:hAnsi="Times New Roman" w:cs="Times New Roman"/>
          <w:sz w:val="22"/>
          <w:szCs w:val="22"/>
          <w:lang w:val="en-GB"/>
        </w:rPr>
        <w:t>iation between Fatah and Hamas</w:t>
      </w:r>
      <w:r w:rsidR="00F56BA4" w:rsidRPr="004A29F9">
        <w:rPr>
          <w:rFonts w:ascii="Times New Roman" w:hAnsi="Times New Roman" w:cs="Times New Roman"/>
          <w:sz w:val="22"/>
          <w:szCs w:val="22"/>
          <w:lang w:val="en-GB"/>
        </w:rPr>
        <w:t>, with an eye towards managing impact and maximizing opportunities for the justice sector?</w:t>
      </w:r>
      <w:r w:rsidR="00F56BA4" w:rsidRPr="004A29F9">
        <w:rPr>
          <w:rStyle w:val="FootnoteReference"/>
          <w:rFonts w:ascii="Times New Roman" w:hAnsi="Times New Roman" w:cs="Times New Roman"/>
          <w:sz w:val="22"/>
          <w:szCs w:val="22"/>
          <w:lang w:val="en-GB"/>
        </w:rPr>
        <w:footnoteReference w:id="7"/>
      </w:r>
    </w:p>
    <w:p w:rsidR="00F56BA4" w:rsidRPr="004A29F9" w:rsidRDefault="00F56BA4" w:rsidP="004A29F9">
      <w:pPr>
        <w:pStyle w:val="ListParagraph"/>
        <w:numPr>
          <w:ilvl w:val="0"/>
          <w:numId w:val="32"/>
        </w:numPr>
        <w:spacing w:after="0" w:line="240" w:lineRule="auto"/>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Have plans been developed and implemented to ensure sustainabil</w:t>
      </w:r>
      <w:r w:rsidR="00954A01">
        <w:rPr>
          <w:rFonts w:ascii="Times New Roman" w:hAnsi="Times New Roman" w:cs="Times New Roman"/>
          <w:sz w:val="22"/>
          <w:szCs w:val="22"/>
          <w:lang w:val="en-GB"/>
        </w:rPr>
        <w:t>ity of projects even after the p</w:t>
      </w:r>
      <w:r w:rsidRPr="004A29F9">
        <w:rPr>
          <w:rFonts w:ascii="Times New Roman" w:hAnsi="Times New Roman" w:cs="Times New Roman"/>
          <w:sz w:val="22"/>
          <w:szCs w:val="22"/>
          <w:lang w:val="en-GB"/>
        </w:rPr>
        <w:t xml:space="preserve">rogramme has been ended or international funding diminished (for example, with regards to planning for the transition of certain </w:t>
      </w:r>
      <w:r w:rsidR="00954A01">
        <w:rPr>
          <w:rFonts w:ascii="Times New Roman" w:hAnsi="Times New Roman" w:cs="Times New Roman"/>
          <w:sz w:val="22"/>
          <w:szCs w:val="22"/>
          <w:lang w:val="en-GB"/>
        </w:rPr>
        <w:t>MO</w:t>
      </w:r>
      <w:r w:rsidR="00FE43A5" w:rsidRPr="004A29F9">
        <w:rPr>
          <w:rFonts w:ascii="Times New Roman" w:hAnsi="Times New Roman" w:cs="Times New Roman"/>
          <w:sz w:val="22"/>
          <w:szCs w:val="22"/>
          <w:lang w:val="en-GB"/>
        </w:rPr>
        <w:t>J</w:t>
      </w:r>
      <w:r w:rsidRPr="004A29F9">
        <w:rPr>
          <w:rFonts w:ascii="Times New Roman" w:hAnsi="Times New Roman" w:cs="Times New Roman"/>
          <w:sz w:val="22"/>
          <w:szCs w:val="22"/>
          <w:lang w:val="en-GB"/>
        </w:rPr>
        <w:t xml:space="preserve"> staff from UNDP to </w:t>
      </w:r>
      <w:r w:rsidR="00954A01">
        <w:rPr>
          <w:rFonts w:ascii="Times New Roman" w:hAnsi="Times New Roman" w:cs="Times New Roman"/>
          <w:sz w:val="22"/>
          <w:szCs w:val="22"/>
          <w:lang w:val="en-GB"/>
        </w:rPr>
        <w:t>MO</w:t>
      </w:r>
      <w:r w:rsidR="00FE43A5" w:rsidRPr="004A29F9">
        <w:rPr>
          <w:rFonts w:ascii="Times New Roman" w:hAnsi="Times New Roman" w:cs="Times New Roman"/>
          <w:sz w:val="22"/>
          <w:szCs w:val="22"/>
          <w:lang w:val="en-GB"/>
        </w:rPr>
        <w:t>J</w:t>
      </w:r>
      <w:r w:rsidRPr="004A29F9">
        <w:rPr>
          <w:rFonts w:ascii="Times New Roman" w:hAnsi="Times New Roman" w:cs="Times New Roman"/>
          <w:sz w:val="22"/>
          <w:szCs w:val="22"/>
          <w:lang w:val="en-GB"/>
        </w:rPr>
        <w:t xml:space="preserve"> payroll)?</w:t>
      </w:r>
    </w:p>
    <w:p w:rsidR="00F56BA4" w:rsidRPr="004A29F9" w:rsidRDefault="00954A01" w:rsidP="004A29F9">
      <w:pPr>
        <w:pStyle w:val="ListParagraph"/>
        <w:numPr>
          <w:ilvl w:val="0"/>
          <w:numId w:val="32"/>
        </w:numPr>
        <w:spacing w:after="0" w:line="240" w:lineRule="auto"/>
        <w:contextualSpacing/>
        <w:jc w:val="both"/>
        <w:rPr>
          <w:rFonts w:ascii="Times New Roman" w:hAnsi="Times New Roman" w:cs="Times New Roman"/>
          <w:sz w:val="22"/>
          <w:szCs w:val="22"/>
          <w:lang w:val="en-GB"/>
        </w:rPr>
      </w:pPr>
      <w:r>
        <w:rPr>
          <w:rFonts w:ascii="Times New Roman" w:hAnsi="Times New Roman" w:cs="Times New Roman"/>
          <w:sz w:val="22"/>
          <w:szCs w:val="22"/>
          <w:lang w:val="en-GB"/>
        </w:rPr>
        <w:t>How has the p</w:t>
      </w:r>
      <w:r w:rsidR="00F56BA4" w:rsidRPr="004A29F9">
        <w:rPr>
          <w:rFonts w:ascii="Times New Roman" w:hAnsi="Times New Roman" w:cs="Times New Roman"/>
          <w:sz w:val="22"/>
          <w:szCs w:val="22"/>
          <w:lang w:val="en-GB"/>
        </w:rPr>
        <w:t>rogramme engaged with th</w:t>
      </w:r>
      <w:r>
        <w:rPr>
          <w:rFonts w:ascii="Times New Roman" w:hAnsi="Times New Roman" w:cs="Times New Roman"/>
          <w:sz w:val="22"/>
          <w:szCs w:val="22"/>
          <w:lang w:val="en-GB"/>
        </w:rPr>
        <w:t>e security sector to reinforce</w:t>
      </w:r>
      <w:r w:rsidR="00F56BA4" w:rsidRPr="004A29F9">
        <w:rPr>
          <w:rFonts w:ascii="Times New Roman" w:hAnsi="Times New Roman" w:cs="Times New Roman"/>
          <w:sz w:val="22"/>
          <w:szCs w:val="22"/>
          <w:lang w:val="en-GB"/>
        </w:rPr>
        <w:t xml:space="preserve"> dynamics </w:t>
      </w:r>
      <w:r>
        <w:rPr>
          <w:rFonts w:ascii="Times New Roman" w:hAnsi="Times New Roman" w:cs="Times New Roman"/>
          <w:sz w:val="22"/>
          <w:szCs w:val="22"/>
          <w:lang w:val="en-GB"/>
        </w:rPr>
        <w:t>between justice and security -</w:t>
      </w:r>
      <w:r w:rsidR="00F56BA4" w:rsidRPr="004A29F9">
        <w:rPr>
          <w:rFonts w:ascii="Times New Roman" w:hAnsi="Times New Roman" w:cs="Times New Roman"/>
          <w:sz w:val="22"/>
          <w:szCs w:val="22"/>
          <w:lang w:val="en-GB"/>
        </w:rPr>
        <w:t xml:space="preserve"> and in particular has it explored link</w:t>
      </w:r>
      <w:r>
        <w:rPr>
          <w:rFonts w:ascii="Times New Roman" w:hAnsi="Times New Roman" w:cs="Times New Roman"/>
          <w:sz w:val="22"/>
          <w:szCs w:val="22"/>
          <w:lang w:val="en-GB"/>
        </w:rPr>
        <w:t>ages with the UNDP/EUPOL COPPS Joint P</w:t>
      </w:r>
      <w:r w:rsidR="00F56BA4" w:rsidRPr="004A29F9">
        <w:rPr>
          <w:rFonts w:ascii="Times New Roman" w:hAnsi="Times New Roman" w:cs="Times New Roman"/>
          <w:sz w:val="22"/>
          <w:szCs w:val="22"/>
          <w:lang w:val="en-GB"/>
        </w:rPr>
        <w:t>rogramme?</w:t>
      </w:r>
    </w:p>
    <w:p w:rsidR="00F56BA4" w:rsidRPr="004A29F9" w:rsidRDefault="00954A01" w:rsidP="004A29F9">
      <w:pPr>
        <w:pStyle w:val="ListParagraph"/>
        <w:numPr>
          <w:ilvl w:val="0"/>
          <w:numId w:val="32"/>
        </w:numPr>
        <w:spacing w:after="0" w:line="240" w:lineRule="auto"/>
        <w:contextualSpacing/>
        <w:jc w:val="both"/>
        <w:rPr>
          <w:rFonts w:ascii="Times New Roman" w:hAnsi="Times New Roman" w:cs="Times New Roman"/>
          <w:sz w:val="22"/>
          <w:szCs w:val="22"/>
          <w:lang w:val="en-GB"/>
        </w:rPr>
      </w:pPr>
      <w:r>
        <w:rPr>
          <w:rFonts w:ascii="Times New Roman" w:hAnsi="Times New Roman" w:cs="Times New Roman"/>
          <w:sz w:val="22"/>
          <w:szCs w:val="22"/>
          <w:lang w:val="en-GB"/>
        </w:rPr>
        <w:t>To what extent has the p</w:t>
      </w:r>
      <w:r w:rsidR="00F56BA4" w:rsidRPr="004A29F9">
        <w:rPr>
          <w:rFonts w:ascii="Times New Roman" w:hAnsi="Times New Roman" w:cs="Times New Roman"/>
          <w:sz w:val="22"/>
          <w:szCs w:val="22"/>
          <w:lang w:val="en-GB"/>
        </w:rPr>
        <w:t>rogramme utili</w:t>
      </w:r>
      <w:r>
        <w:rPr>
          <w:rFonts w:ascii="Times New Roman" w:hAnsi="Times New Roman" w:cs="Times New Roman"/>
          <w:sz w:val="22"/>
          <w:szCs w:val="22"/>
          <w:lang w:val="en-GB"/>
        </w:rPr>
        <w:t>s</w:t>
      </w:r>
      <w:r w:rsidR="00F56BA4" w:rsidRPr="004A29F9">
        <w:rPr>
          <w:rFonts w:ascii="Times New Roman" w:hAnsi="Times New Roman" w:cs="Times New Roman"/>
          <w:sz w:val="22"/>
          <w:szCs w:val="22"/>
          <w:lang w:val="en-GB"/>
        </w:rPr>
        <w:t>ed objective data to monitor both the demand for justice (measuring pu</w:t>
      </w:r>
      <w:r>
        <w:rPr>
          <w:rFonts w:ascii="Times New Roman" w:hAnsi="Times New Roman" w:cs="Times New Roman"/>
          <w:sz w:val="22"/>
          <w:szCs w:val="22"/>
          <w:lang w:val="en-GB"/>
        </w:rPr>
        <w:t>blic confidence) and</w:t>
      </w:r>
      <w:r w:rsidR="00F56BA4" w:rsidRPr="004A29F9">
        <w:rPr>
          <w:rFonts w:ascii="Times New Roman" w:hAnsi="Times New Roman" w:cs="Times New Roman"/>
          <w:sz w:val="22"/>
          <w:szCs w:val="22"/>
          <w:lang w:val="en-GB"/>
        </w:rPr>
        <w:t xml:space="preserve"> the supply of justice (tracking changes in the performan</w:t>
      </w:r>
      <w:r>
        <w:rPr>
          <w:rFonts w:ascii="Times New Roman" w:hAnsi="Times New Roman" w:cs="Times New Roman"/>
          <w:sz w:val="22"/>
          <w:szCs w:val="22"/>
          <w:lang w:val="en-GB"/>
        </w:rPr>
        <w:t xml:space="preserve">ce of rule of law institutions); </w:t>
      </w:r>
      <w:r w:rsidR="00F56BA4" w:rsidRPr="004A29F9">
        <w:rPr>
          <w:rFonts w:ascii="Times New Roman" w:hAnsi="Times New Roman" w:cs="Times New Roman"/>
          <w:sz w:val="22"/>
          <w:szCs w:val="22"/>
          <w:lang w:val="en-GB"/>
        </w:rPr>
        <w:t xml:space="preserve">for example, </w:t>
      </w:r>
      <w:r>
        <w:rPr>
          <w:rFonts w:ascii="Times New Roman" w:hAnsi="Times New Roman" w:cs="Times New Roman"/>
          <w:sz w:val="22"/>
          <w:szCs w:val="22"/>
          <w:lang w:val="en-GB"/>
        </w:rPr>
        <w:t xml:space="preserve">by </w:t>
      </w:r>
      <w:r w:rsidR="00F56BA4" w:rsidRPr="004A29F9">
        <w:rPr>
          <w:rFonts w:ascii="Times New Roman" w:hAnsi="Times New Roman" w:cs="Times New Roman"/>
          <w:sz w:val="22"/>
          <w:szCs w:val="22"/>
          <w:lang w:val="en-GB"/>
        </w:rPr>
        <w:t>using baseline data from the public perception surveys and the stat</w:t>
      </w:r>
      <w:r>
        <w:rPr>
          <w:rFonts w:ascii="Times New Roman" w:hAnsi="Times New Roman" w:cs="Times New Roman"/>
          <w:sz w:val="22"/>
          <w:szCs w:val="22"/>
          <w:lang w:val="en-GB"/>
        </w:rPr>
        <w:t>istics gathered by the PCBS</w:t>
      </w:r>
      <w:r w:rsidR="00F56BA4" w:rsidRPr="004A29F9">
        <w:rPr>
          <w:rFonts w:ascii="Times New Roman" w:hAnsi="Times New Roman" w:cs="Times New Roman"/>
          <w:sz w:val="22"/>
          <w:szCs w:val="22"/>
          <w:lang w:val="en-GB"/>
        </w:rPr>
        <w:t>?</w:t>
      </w:r>
    </w:p>
    <w:p w:rsidR="00F56BA4" w:rsidRPr="004A29F9" w:rsidRDefault="00F56BA4" w:rsidP="00FB6759">
      <w:pPr>
        <w:pStyle w:val="ListParagraph"/>
        <w:numPr>
          <w:ilvl w:val="0"/>
          <w:numId w:val="32"/>
        </w:numPr>
        <w:spacing w:after="0" w:line="240" w:lineRule="auto"/>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To what extent have the UNDP and other international partners helped the </w:t>
      </w:r>
      <w:r w:rsidR="00954A01">
        <w:rPr>
          <w:rFonts w:ascii="Times New Roman" w:hAnsi="Times New Roman" w:cs="Times New Roman"/>
          <w:sz w:val="22"/>
          <w:szCs w:val="22"/>
          <w:lang w:val="en-GB"/>
        </w:rPr>
        <w:t>MO</w:t>
      </w:r>
      <w:r w:rsidR="00FE43A5" w:rsidRPr="004A29F9">
        <w:rPr>
          <w:rFonts w:ascii="Times New Roman" w:hAnsi="Times New Roman" w:cs="Times New Roman"/>
          <w:sz w:val="22"/>
          <w:szCs w:val="22"/>
          <w:lang w:val="en-GB"/>
        </w:rPr>
        <w:t>J</w:t>
      </w:r>
      <w:r w:rsidRPr="004A29F9">
        <w:rPr>
          <w:rFonts w:ascii="Times New Roman" w:hAnsi="Times New Roman" w:cs="Times New Roman"/>
          <w:sz w:val="22"/>
          <w:szCs w:val="22"/>
          <w:lang w:val="en-GB"/>
        </w:rPr>
        <w:t xml:space="preserve"> find ways to entrench and </w:t>
      </w:r>
      <w:r w:rsidR="00954A01">
        <w:rPr>
          <w:rFonts w:ascii="Times New Roman" w:hAnsi="Times New Roman" w:cs="Times New Roman"/>
          <w:sz w:val="22"/>
          <w:szCs w:val="22"/>
          <w:lang w:val="en-GB"/>
        </w:rPr>
        <w:t>institutionalis</w:t>
      </w:r>
      <w:r w:rsidR="00D13D91" w:rsidRPr="004A29F9">
        <w:rPr>
          <w:rFonts w:ascii="Times New Roman" w:hAnsi="Times New Roman" w:cs="Times New Roman"/>
          <w:sz w:val="22"/>
          <w:szCs w:val="22"/>
          <w:lang w:val="en-GB"/>
        </w:rPr>
        <w:t>e</w:t>
      </w:r>
      <w:r w:rsidRPr="004A29F9">
        <w:rPr>
          <w:rFonts w:ascii="Times New Roman" w:hAnsi="Times New Roman" w:cs="Times New Roman"/>
          <w:sz w:val="22"/>
          <w:szCs w:val="22"/>
          <w:lang w:val="en-GB"/>
        </w:rPr>
        <w:t xml:space="preserve"> the capacities made possible by the Quick Impact/</w:t>
      </w:r>
      <w:r w:rsidR="00D13D91" w:rsidRPr="004A29F9">
        <w:rPr>
          <w:rFonts w:ascii="Times New Roman" w:hAnsi="Times New Roman" w:cs="Times New Roman"/>
          <w:sz w:val="22"/>
          <w:szCs w:val="22"/>
          <w:lang w:val="en-GB"/>
        </w:rPr>
        <w:t>Stabi</w:t>
      </w:r>
      <w:r w:rsidR="00954A01">
        <w:rPr>
          <w:rFonts w:ascii="Times New Roman" w:hAnsi="Times New Roman" w:cs="Times New Roman"/>
          <w:sz w:val="22"/>
          <w:szCs w:val="22"/>
          <w:lang w:val="en-GB"/>
        </w:rPr>
        <w:t>lis</w:t>
      </w:r>
      <w:r w:rsidR="00D13D91" w:rsidRPr="004A29F9">
        <w:rPr>
          <w:rFonts w:ascii="Times New Roman" w:hAnsi="Times New Roman" w:cs="Times New Roman"/>
          <w:sz w:val="22"/>
          <w:szCs w:val="22"/>
          <w:lang w:val="en-GB"/>
        </w:rPr>
        <w:t>ation</w:t>
      </w:r>
      <w:r w:rsidR="00954A01">
        <w:rPr>
          <w:rFonts w:ascii="Times New Roman" w:hAnsi="Times New Roman" w:cs="Times New Roman"/>
          <w:sz w:val="22"/>
          <w:szCs w:val="22"/>
          <w:lang w:val="en-GB"/>
        </w:rPr>
        <w:t xml:space="preserve"> Fund</w:t>
      </w:r>
      <w:r w:rsidRPr="004A29F9">
        <w:rPr>
          <w:rFonts w:ascii="Times New Roman" w:hAnsi="Times New Roman" w:cs="Times New Roman"/>
          <w:sz w:val="22"/>
          <w:szCs w:val="22"/>
          <w:lang w:val="en-GB"/>
        </w:rPr>
        <w:t>?</w:t>
      </w:r>
    </w:p>
    <w:p w:rsidR="00F56BA4" w:rsidRDefault="00954A01" w:rsidP="00FB6759">
      <w:pPr>
        <w:pStyle w:val="ListParagraph"/>
        <w:numPr>
          <w:ilvl w:val="0"/>
          <w:numId w:val="32"/>
        </w:numPr>
        <w:spacing w:after="0" w:line="240" w:lineRule="auto"/>
        <w:contextualSpacing/>
        <w:jc w:val="both"/>
        <w:rPr>
          <w:rFonts w:ascii="Times New Roman" w:hAnsi="Times New Roman" w:cs="Times New Roman"/>
          <w:sz w:val="22"/>
          <w:szCs w:val="22"/>
          <w:lang w:val="en-GB"/>
        </w:rPr>
      </w:pPr>
      <w:r>
        <w:rPr>
          <w:rFonts w:ascii="Times New Roman" w:hAnsi="Times New Roman" w:cs="Times New Roman"/>
          <w:sz w:val="22"/>
          <w:szCs w:val="22"/>
          <w:lang w:val="en-GB"/>
        </w:rPr>
        <w:t>Was data collected in the public perception s</w:t>
      </w:r>
      <w:r w:rsidR="00F56BA4" w:rsidRPr="004A29F9">
        <w:rPr>
          <w:rFonts w:ascii="Times New Roman" w:hAnsi="Times New Roman" w:cs="Times New Roman"/>
          <w:sz w:val="22"/>
          <w:szCs w:val="22"/>
          <w:lang w:val="en-GB"/>
        </w:rPr>
        <w:t>urvey</w:t>
      </w:r>
      <w:r>
        <w:rPr>
          <w:rFonts w:ascii="Times New Roman" w:hAnsi="Times New Roman" w:cs="Times New Roman"/>
          <w:sz w:val="22"/>
          <w:szCs w:val="22"/>
          <w:lang w:val="en-GB"/>
        </w:rPr>
        <w:t xml:space="preserve">s and the </w:t>
      </w:r>
      <w:r w:rsidR="00F56BA4" w:rsidRPr="004A29F9">
        <w:rPr>
          <w:rFonts w:ascii="Times New Roman" w:hAnsi="Times New Roman" w:cs="Times New Roman"/>
          <w:sz w:val="22"/>
          <w:szCs w:val="22"/>
          <w:lang w:val="en-GB"/>
        </w:rPr>
        <w:t xml:space="preserve">tracking </w:t>
      </w:r>
      <w:r>
        <w:rPr>
          <w:rFonts w:ascii="Times New Roman" w:hAnsi="Times New Roman" w:cs="Times New Roman"/>
          <w:sz w:val="22"/>
          <w:szCs w:val="22"/>
          <w:lang w:val="en-GB"/>
        </w:rPr>
        <w:t>by PCBS based on sound methodologies that accurately capture</w:t>
      </w:r>
      <w:r w:rsidR="00F56BA4" w:rsidRPr="004A29F9">
        <w:rPr>
          <w:rFonts w:ascii="Times New Roman" w:hAnsi="Times New Roman" w:cs="Times New Roman"/>
          <w:sz w:val="22"/>
          <w:szCs w:val="22"/>
          <w:lang w:val="en-GB"/>
        </w:rPr>
        <w:t xml:space="preserve"> the current state of just</w:t>
      </w:r>
      <w:r>
        <w:rPr>
          <w:rFonts w:ascii="Times New Roman" w:hAnsi="Times New Roman" w:cs="Times New Roman"/>
          <w:sz w:val="22"/>
          <w:szCs w:val="22"/>
          <w:lang w:val="en-GB"/>
        </w:rPr>
        <w:t xml:space="preserve">ice and rule of law in the oPt? Have the results </w:t>
      </w:r>
      <w:r w:rsidR="00F56BA4" w:rsidRPr="004A29F9">
        <w:rPr>
          <w:rFonts w:ascii="Times New Roman" w:hAnsi="Times New Roman" w:cs="Times New Roman"/>
          <w:sz w:val="22"/>
          <w:szCs w:val="22"/>
          <w:lang w:val="en-GB"/>
        </w:rPr>
        <w:t>from those surveys been incorporated into longer-term planning?</w:t>
      </w:r>
    </w:p>
    <w:p w:rsidR="00954A01" w:rsidRPr="00954A01" w:rsidRDefault="00954A01" w:rsidP="00954A01">
      <w:pPr>
        <w:spacing w:after="0" w:line="240" w:lineRule="auto"/>
        <w:contextualSpacing/>
        <w:jc w:val="both"/>
        <w:rPr>
          <w:rFonts w:ascii="Times New Roman" w:hAnsi="Times New Roman" w:cs="Times New Roman"/>
          <w:sz w:val="22"/>
          <w:szCs w:val="22"/>
          <w:lang w:val="en-GB"/>
        </w:rPr>
      </w:pPr>
    </w:p>
    <w:p w:rsidR="00C43941" w:rsidRPr="004A29F9" w:rsidRDefault="004F3586"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These questions a</w:t>
      </w:r>
      <w:r w:rsidR="00954A01">
        <w:rPr>
          <w:rFonts w:ascii="Times New Roman" w:hAnsi="Times New Roman" w:cs="Times New Roman"/>
          <w:sz w:val="22"/>
          <w:szCs w:val="22"/>
          <w:lang w:val="en-GB"/>
        </w:rPr>
        <w:t>re addressed in the evaluation r</w:t>
      </w:r>
      <w:r w:rsidRPr="004A29F9">
        <w:rPr>
          <w:rFonts w:ascii="Times New Roman" w:hAnsi="Times New Roman" w:cs="Times New Roman"/>
          <w:sz w:val="22"/>
          <w:szCs w:val="22"/>
          <w:lang w:val="en-GB"/>
        </w:rPr>
        <w:t>eport</w:t>
      </w:r>
      <w:r w:rsidR="00954A01">
        <w:rPr>
          <w:rFonts w:ascii="Times New Roman" w:hAnsi="Times New Roman" w:cs="Times New Roman"/>
          <w:sz w:val="22"/>
          <w:szCs w:val="22"/>
          <w:lang w:val="en-GB"/>
        </w:rPr>
        <w:t>,</w:t>
      </w:r>
      <w:r w:rsidRPr="004A29F9">
        <w:rPr>
          <w:rFonts w:ascii="Times New Roman" w:hAnsi="Times New Roman" w:cs="Times New Roman"/>
          <w:sz w:val="22"/>
          <w:szCs w:val="22"/>
          <w:lang w:val="en-GB"/>
        </w:rPr>
        <w:t xml:space="preserve"> although not necessarily in the above order. </w:t>
      </w:r>
    </w:p>
    <w:p w:rsidR="004F3586" w:rsidRPr="004A29F9" w:rsidRDefault="004F3586" w:rsidP="00FB6759">
      <w:pPr>
        <w:spacing w:after="0" w:line="240" w:lineRule="auto"/>
        <w:jc w:val="both"/>
        <w:rPr>
          <w:rFonts w:ascii="Times New Roman" w:hAnsi="Times New Roman" w:cs="Times New Roman"/>
          <w:sz w:val="22"/>
          <w:szCs w:val="22"/>
          <w:lang w:val="en-GB"/>
        </w:rPr>
      </w:pPr>
    </w:p>
    <w:p w:rsidR="00C43941" w:rsidRPr="004C6458" w:rsidRDefault="00C43941" w:rsidP="004C6458">
      <w:pPr>
        <w:pStyle w:val="Heading2"/>
        <w:numPr>
          <w:ilvl w:val="0"/>
          <w:numId w:val="0"/>
        </w:numPr>
        <w:spacing w:before="0" w:after="0" w:line="240" w:lineRule="auto"/>
        <w:rPr>
          <w:rFonts w:ascii="Times New Roman" w:hAnsi="Times New Roman" w:cs="Times New Roman"/>
          <w:b w:val="0"/>
          <w:i/>
          <w:lang w:val="en-GB"/>
        </w:rPr>
      </w:pPr>
      <w:bookmarkStart w:id="10" w:name="_Toc231801794"/>
      <w:r w:rsidRPr="004C6458">
        <w:rPr>
          <w:rFonts w:ascii="Times New Roman" w:hAnsi="Times New Roman" w:cs="Times New Roman"/>
          <w:b w:val="0"/>
          <w:i/>
          <w:lang w:val="en-GB"/>
        </w:rPr>
        <w:t>Principal evaluation outputs and deliverables</w:t>
      </w:r>
      <w:bookmarkEnd w:id="10"/>
    </w:p>
    <w:p w:rsidR="004C6458" w:rsidRDefault="004C6458" w:rsidP="00FB6759">
      <w:pPr>
        <w:spacing w:after="0" w:line="240" w:lineRule="auto"/>
        <w:jc w:val="both"/>
        <w:rPr>
          <w:lang w:val="en-GB"/>
        </w:rPr>
      </w:pPr>
    </w:p>
    <w:p w:rsidR="00C43941" w:rsidRPr="004A29F9" w:rsidRDefault="00325307"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Research and </w:t>
      </w:r>
      <w:r w:rsidR="00683A9F" w:rsidRPr="004A29F9">
        <w:rPr>
          <w:rFonts w:ascii="Times New Roman" w:hAnsi="Times New Roman" w:cs="Times New Roman"/>
          <w:sz w:val="22"/>
          <w:szCs w:val="22"/>
          <w:lang w:val="en-GB"/>
        </w:rPr>
        <w:t xml:space="preserve">analysis included </w:t>
      </w:r>
      <w:r w:rsidR="00C43941" w:rsidRPr="004A29F9">
        <w:rPr>
          <w:rFonts w:ascii="Times New Roman" w:hAnsi="Times New Roman" w:cs="Times New Roman"/>
          <w:sz w:val="22"/>
          <w:szCs w:val="22"/>
          <w:lang w:val="en-GB"/>
        </w:rPr>
        <w:t>the thorough review of internal documents, donor documents, and th</w:t>
      </w:r>
      <w:r w:rsidR="003E27CB">
        <w:rPr>
          <w:rFonts w:ascii="Times New Roman" w:hAnsi="Times New Roman" w:cs="Times New Roman"/>
          <w:sz w:val="22"/>
          <w:szCs w:val="22"/>
          <w:lang w:val="en-GB"/>
        </w:rPr>
        <w:t xml:space="preserve">ird-party materials (the “desk review” - </w:t>
      </w:r>
      <w:r w:rsidR="00C43941" w:rsidRPr="004A29F9">
        <w:rPr>
          <w:rFonts w:ascii="Times New Roman" w:hAnsi="Times New Roman" w:cs="Times New Roman"/>
          <w:sz w:val="22"/>
          <w:szCs w:val="22"/>
          <w:lang w:val="en-GB"/>
        </w:rPr>
        <w:t xml:space="preserve">see below), as well as interviews with stakeholders and implementing partners in the field, as </w:t>
      </w:r>
      <w:r w:rsidR="00136E9A" w:rsidRPr="004A29F9">
        <w:rPr>
          <w:rFonts w:ascii="Times New Roman" w:hAnsi="Times New Roman" w:cs="Times New Roman"/>
          <w:sz w:val="22"/>
          <w:szCs w:val="22"/>
          <w:lang w:val="en-GB"/>
        </w:rPr>
        <w:t>discussed above</w:t>
      </w:r>
      <w:r w:rsidR="003E27CB">
        <w:rPr>
          <w:rFonts w:ascii="Times New Roman" w:hAnsi="Times New Roman" w:cs="Times New Roman"/>
          <w:sz w:val="22"/>
          <w:szCs w:val="22"/>
          <w:lang w:val="en-GB"/>
        </w:rPr>
        <w:t xml:space="preserve">. </w:t>
      </w:r>
      <w:r w:rsidR="00C43941" w:rsidRPr="004A29F9">
        <w:rPr>
          <w:rFonts w:ascii="Times New Roman" w:hAnsi="Times New Roman" w:cs="Times New Roman"/>
          <w:sz w:val="22"/>
          <w:szCs w:val="22"/>
          <w:lang w:val="en-GB"/>
        </w:rPr>
        <w:t xml:space="preserve">The final </w:t>
      </w:r>
      <w:r w:rsidR="003E27CB">
        <w:rPr>
          <w:rFonts w:ascii="Times New Roman" w:hAnsi="Times New Roman" w:cs="Times New Roman"/>
          <w:sz w:val="22"/>
          <w:szCs w:val="22"/>
          <w:lang w:val="en-GB"/>
        </w:rPr>
        <w:t>evaluation r</w:t>
      </w:r>
      <w:r w:rsidR="00136E9A" w:rsidRPr="004A29F9">
        <w:rPr>
          <w:rFonts w:ascii="Times New Roman" w:hAnsi="Times New Roman" w:cs="Times New Roman"/>
          <w:sz w:val="22"/>
          <w:szCs w:val="22"/>
          <w:lang w:val="en-GB"/>
        </w:rPr>
        <w:t xml:space="preserve">eport assesses </w:t>
      </w:r>
      <w:r w:rsidR="00C43941" w:rsidRPr="004A29F9">
        <w:rPr>
          <w:rFonts w:ascii="Times New Roman" w:hAnsi="Times New Roman" w:cs="Times New Roman"/>
          <w:sz w:val="22"/>
          <w:szCs w:val="22"/>
          <w:lang w:val="en-GB"/>
        </w:rPr>
        <w:t>the achievement of expected outputs and alignment with expected outcomes, with an eye towards corrective and follow-up action to ensure that all the outputs and desired achievements are met going forward.</w:t>
      </w:r>
      <w:r w:rsidR="00C43941" w:rsidRPr="004A29F9">
        <w:rPr>
          <w:rStyle w:val="FootnoteReference"/>
          <w:rFonts w:ascii="Times New Roman" w:hAnsi="Times New Roman" w:cs="Times New Roman"/>
          <w:sz w:val="22"/>
          <w:szCs w:val="22"/>
          <w:lang w:val="en-GB"/>
        </w:rPr>
        <w:footnoteReference w:id="8"/>
      </w:r>
      <w:r w:rsidR="00044148" w:rsidRPr="004A29F9">
        <w:rPr>
          <w:rFonts w:ascii="Times New Roman" w:hAnsi="Times New Roman" w:cs="Times New Roman"/>
          <w:sz w:val="22"/>
          <w:szCs w:val="22"/>
          <w:lang w:val="en-GB"/>
        </w:rPr>
        <w:t>Every effort w</w:t>
      </w:r>
      <w:r w:rsidR="003E27CB">
        <w:rPr>
          <w:rFonts w:ascii="Times New Roman" w:hAnsi="Times New Roman" w:cs="Times New Roman"/>
          <w:sz w:val="22"/>
          <w:szCs w:val="22"/>
          <w:lang w:val="en-GB"/>
        </w:rPr>
        <w:t>as made to triangulate data. UNDP/</w:t>
      </w:r>
      <w:r w:rsidR="000C369C" w:rsidRPr="004A29F9">
        <w:rPr>
          <w:rFonts w:ascii="Times New Roman" w:hAnsi="Times New Roman" w:cs="Times New Roman"/>
          <w:sz w:val="22"/>
          <w:szCs w:val="22"/>
          <w:lang w:val="en-GB"/>
        </w:rPr>
        <w:t>PAPP</w:t>
      </w:r>
      <w:r w:rsidR="00044148" w:rsidRPr="004A29F9">
        <w:rPr>
          <w:rFonts w:ascii="Times New Roman" w:hAnsi="Times New Roman" w:cs="Times New Roman"/>
          <w:sz w:val="22"/>
          <w:szCs w:val="22"/>
          <w:lang w:val="en-GB"/>
        </w:rPr>
        <w:t xml:space="preserve"> offered an unprecedented level of support to this process</w:t>
      </w:r>
      <w:r w:rsidR="003E27CB">
        <w:rPr>
          <w:rFonts w:ascii="Times New Roman" w:hAnsi="Times New Roman" w:cs="Times New Roman"/>
          <w:sz w:val="22"/>
          <w:szCs w:val="22"/>
          <w:lang w:val="en-GB"/>
        </w:rPr>
        <w:t xml:space="preserve">, including by staffing some of the focus group discussions. </w:t>
      </w:r>
      <w:r w:rsidR="006B7CF2" w:rsidRPr="004A29F9">
        <w:rPr>
          <w:rFonts w:ascii="Times New Roman" w:hAnsi="Times New Roman" w:cs="Times New Roman"/>
          <w:sz w:val="22"/>
          <w:szCs w:val="22"/>
          <w:lang w:val="en-GB"/>
        </w:rPr>
        <w:t xml:space="preserve">Safeguards were put in place by the </w:t>
      </w:r>
      <w:r w:rsidR="003E27CB">
        <w:rPr>
          <w:rFonts w:ascii="Times New Roman" w:hAnsi="Times New Roman" w:cs="Times New Roman"/>
          <w:sz w:val="22"/>
          <w:szCs w:val="22"/>
          <w:lang w:val="en-GB"/>
        </w:rPr>
        <w:t>independent c</w:t>
      </w:r>
      <w:r w:rsidR="004F3586" w:rsidRPr="004A29F9">
        <w:rPr>
          <w:rFonts w:ascii="Times New Roman" w:hAnsi="Times New Roman" w:cs="Times New Roman"/>
          <w:sz w:val="22"/>
          <w:szCs w:val="22"/>
          <w:lang w:val="en-GB"/>
        </w:rPr>
        <w:t>onsultant</w:t>
      </w:r>
      <w:r w:rsidR="00FD3C19">
        <w:rPr>
          <w:rFonts w:ascii="Times New Roman" w:hAnsi="Times New Roman" w:cs="Times New Roman"/>
          <w:sz w:val="22"/>
          <w:szCs w:val="22"/>
          <w:lang w:val="en-GB"/>
        </w:rPr>
        <w:t xml:space="preserve"> </w:t>
      </w:r>
      <w:r w:rsidR="003262E6" w:rsidRPr="004A29F9">
        <w:rPr>
          <w:rFonts w:ascii="Times New Roman" w:hAnsi="Times New Roman" w:cs="Times New Roman"/>
          <w:sz w:val="22"/>
          <w:szCs w:val="22"/>
          <w:lang w:val="en-GB"/>
        </w:rPr>
        <w:t xml:space="preserve">at every step </w:t>
      </w:r>
      <w:r w:rsidR="006B7CF2" w:rsidRPr="004A29F9">
        <w:rPr>
          <w:rFonts w:ascii="Times New Roman" w:hAnsi="Times New Roman" w:cs="Times New Roman"/>
          <w:sz w:val="22"/>
          <w:szCs w:val="22"/>
          <w:lang w:val="en-GB"/>
        </w:rPr>
        <w:t xml:space="preserve">to conserve the independence of the evaluation. </w:t>
      </w:r>
    </w:p>
    <w:p w:rsidR="003E27CB" w:rsidRDefault="003E27CB" w:rsidP="00FB6759">
      <w:pPr>
        <w:spacing w:after="0" w:line="240" w:lineRule="auto"/>
        <w:jc w:val="both"/>
        <w:rPr>
          <w:rFonts w:ascii="Times New Roman" w:hAnsi="Times New Roman" w:cs="Times New Roman"/>
          <w:sz w:val="22"/>
          <w:szCs w:val="22"/>
          <w:lang w:val="en-GB"/>
        </w:rPr>
      </w:pPr>
    </w:p>
    <w:p w:rsidR="00F56BA4" w:rsidRDefault="00C43941"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Key deliverables of the</w:t>
      </w:r>
      <w:r w:rsidR="003E27CB">
        <w:rPr>
          <w:rFonts w:ascii="Times New Roman" w:hAnsi="Times New Roman" w:cs="Times New Roman"/>
          <w:sz w:val="22"/>
          <w:szCs w:val="22"/>
          <w:lang w:val="en-GB"/>
        </w:rPr>
        <w:t xml:space="preserve"> e</w:t>
      </w:r>
      <w:r w:rsidRPr="004A29F9">
        <w:rPr>
          <w:rFonts w:ascii="Times New Roman" w:hAnsi="Times New Roman" w:cs="Times New Roman"/>
          <w:sz w:val="22"/>
          <w:szCs w:val="22"/>
          <w:lang w:val="en-GB"/>
        </w:rPr>
        <w:t xml:space="preserve">valuation </w:t>
      </w:r>
      <w:r w:rsidR="00683A9F" w:rsidRPr="004A29F9">
        <w:rPr>
          <w:rFonts w:ascii="Times New Roman" w:hAnsi="Times New Roman" w:cs="Times New Roman"/>
          <w:sz w:val="22"/>
          <w:szCs w:val="22"/>
          <w:lang w:val="en-GB"/>
        </w:rPr>
        <w:t xml:space="preserve">as described </w:t>
      </w:r>
      <w:r w:rsidR="003E27CB">
        <w:rPr>
          <w:rFonts w:ascii="Times New Roman" w:hAnsi="Times New Roman" w:cs="Times New Roman"/>
          <w:sz w:val="22"/>
          <w:szCs w:val="22"/>
          <w:lang w:val="en-GB"/>
        </w:rPr>
        <w:t>in the terms of reference have included: 1) an inception r</w:t>
      </w:r>
      <w:r w:rsidR="00136E9A" w:rsidRPr="004A29F9">
        <w:rPr>
          <w:rFonts w:ascii="Times New Roman" w:hAnsi="Times New Roman" w:cs="Times New Roman"/>
          <w:sz w:val="22"/>
          <w:szCs w:val="22"/>
          <w:lang w:val="en-GB"/>
        </w:rPr>
        <w:t xml:space="preserve">eport </w:t>
      </w:r>
      <w:r w:rsidR="00EF493E" w:rsidRPr="004A29F9">
        <w:rPr>
          <w:rFonts w:ascii="Times New Roman" w:hAnsi="Times New Roman" w:cs="Times New Roman"/>
          <w:sz w:val="22"/>
          <w:szCs w:val="22"/>
          <w:lang w:val="en-GB"/>
        </w:rPr>
        <w:t>(</w:t>
      </w:r>
      <w:r w:rsidR="00136E9A" w:rsidRPr="004A29F9">
        <w:rPr>
          <w:rFonts w:ascii="Times New Roman" w:hAnsi="Times New Roman" w:cs="Times New Roman"/>
          <w:sz w:val="22"/>
          <w:szCs w:val="22"/>
          <w:lang w:val="en-GB"/>
        </w:rPr>
        <w:t xml:space="preserve">delivered to UNDP on </w:t>
      </w:r>
      <w:r w:rsidR="00EF493E" w:rsidRPr="004A29F9">
        <w:rPr>
          <w:rFonts w:ascii="Times New Roman" w:hAnsi="Times New Roman" w:cs="Times New Roman"/>
          <w:sz w:val="22"/>
          <w:szCs w:val="22"/>
          <w:lang w:val="en-GB"/>
        </w:rPr>
        <w:t>17 January 2013 a</w:t>
      </w:r>
      <w:r w:rsidR="003E27CB">
        <w:rPr>
          <w:rFonts w:ascii="Times New Roman" w:hAnsi="Times New Roman" w:cs="Times New Roman"/>
          <w:sz w:val="22"/>
          <w:szCs w:val="22"/>
          <w:lang w:val="en-GB"/>
        </w:rPr>
        <w:t>nd subsequently discussed with donors) summarising the results of the desk</w:t>
      </w:r>
      <w:r w:rsidR="00EF493E" w:rsidRPr="004A29F9">
        <w:rPr>
          <w:rFonts w:ascii="Times New Roman" w:hAnsi="Times New Roman" w:cs="Times New Roman"/>
          <w:sz w:val="22"/>
          <w:szCs w:val="22"/>
          <w:lang w:val="en-GB"/>
        </w:rPr>
        <w:t xml:space="preserve"> review; 2)</w:t>
      </w:r>
      <w:r w:rsidR="00FD3C19">
        <w:rPr>
          <w:rFonts w:ascii="Times New Roman" w:hAnsi="Times New Roman" w:cs="Times New Roman"/>
          <w:sz w:val="22"/>
          <w:szCs w:val="22"/>
          <w:lang w:val="en-GB"/>
        </w:rPr>
        <w:t xml:space="preserve"> </w:t>
      </w:r>
      <w:r w:rsidRPr="004A29F9">
        <w:rPr>
          <w:rFonts w:ascii="Times New Roman" w:hAnsi="Times New Roman" w:cs="Times New Roman"/>
          <w:sz w:val="22"/>
          <w:szCs w:val="22"/>
          <w:lang w:val="en-GB"/>
        </w:rPr>
        <w:t>interim and final debriefs</w:t>
      </w:r>
      <w:r w:rsidR="003E27CB">
        <w:rPr>
          <w:rFonts w:ascii="Times New Roman" w:hAnsi="Times New Roman" w:cs="Times New Roman"/>
          <w:sz w:val="22"/>
          <w:szCs w:val="22"/>
          <w:lang w:val="en-GB"/>
        </w:rPr>
        <w:t xml:space="preserve"> for UNDP and its partners</w:t>
      </w:r>
      <w:r w:rsidR="00136E9A" w:rsidRPr="004A29F9">
        <w:rPr>
          <w:rFonts w:ascii="Times New Roman" w:hAnsi="Times New Roman" w:cs="Times New Roman"/>
          <w:sz w:val="22"/>
          <w:szCs w:val="22"/>
          <w:lang w:val="en-GB"/>
        </w:rPr>
        <w:t xml:space="preserve"> in East Jerusalem, Ramallah and Gaza City</w:t>
      </w:r>
      <w:r w:rsidR="00EF493E" w:rsidRPr="004A29F9">
        <w:rPr>
          <w:rFonts w:ascii="Times New Roman" w:hAnsi="Times New Roman" w:cs="Times New Roman"/>
          <w:sz w:val="22"/>
          <w:szCs w:val="22"/>
          <w:lang w:val="en-GB"/>
        </w:rPr>
        <w:t xml:space="preserve">; </w:t>
      </w:r>
      <w:r w:rsidR="003E27CB">
        <w:rPr>
          <w:rFonts w:ascii="Times New Roman" w:hAnsi="Times New Roman" w:cs="Times New Roman"/>
          <w:sz w:val="22"/>
          <w:szCs w:val="22"/>
          <w:lang w:val="en-GB"/>
        </w:rPr>
        <w:t xml:space="preserve">3) </w:t>
      </w:r>
      <w:r w:rsidR="00EF493E" w:rsidRPr="004A29F9">
        <w:rPr>
          <w:rFonts w:ascii="Times New Roman" w:hAnsi="Times New Roman" w:cs="Times New Roman"/>
          <w:sz w:val="22"/>
          <w:szCs w:val="22"/>
          <w:lang w:val="en-GB"/>
        </w:rPr>
        <w:t>the delivery of a</w:t>
      </w:r>
      <w:r w:rsidR="003E27CB">
        <w:rPr>
          <w:rFonts w:ascii="Times New Roman" w:hAnsi="Times New Roman" w:cs="Times New Roman"/>
          <w:sz w:val="22"/>
          <w:szCs w:val="22"/>
          <w:lang w:val="en-GB"/>
        </w:rPr>
        <w:t xml:space="preserve"> draft evaluation r</w:t>
      </w:r>
      <w:r w:rsidRPr="004A29F9">
        <w:rPr>
          <w:rFonts w:ascii="Times New Roman" w:hAnsi="Times New Roman" w:cs="Times New Roman"/>
          <w:sz w:val="22"/>
          <w:szCs w:val="22"/>
          <w:lang w:val="en-GB"/>
        </w:rPr>
        <w:t>eport and</w:t>
      </w:r>
      <w:r w:rsidR="00EF493E" w:rsidRPr="004A29F9">
        <w:rPr>
          <w:rFonts w:ascii="Times New Roman" w:hAnsi="Times New Roman" w:cs="Times New Roman"/>
          <w:sz w:val="22"/>
          <w:szCs w:val="22"/>
          <w:lang w:val="en-GB"/>
        </w:rPr>
        <w:t>, finally,</w:t>
      </w:r>
      <w:r w:rsidR="003E27CB">
        <w:rPr>
          <w:rFonts w:ascii="Times New Roman" w:hAnsi="Times New Roman" w:cs="Times New Roman"/>
          <w:sz w:val="22"/>
          <w:szCs w:val="22"/>
          <w:lang w:val="en-GB"/>
        </w:rPr>
        <w:t>4) a final evaluation r</w:t>
      </w:r>
      <w:r w:rsidRPr="004A29F9">
        <w:rPr>
          <w:rFonts w:ascii="Times New Roman" w:hAnsi="Times New Roman" w:cs="Times New Roman"/>
          <w:sz w:val="22"/>
          <w:szCs w:val="22"/>
          <w:lang w:val="en-GB"/>
        </w:rPr>
        <w:t xml:space="preserve">eport </w:t>
      </w:r>
      <w:r w:rsidR="002D1BE7" w:rsidRPr="004A29F9">
        <w:rPr>
          <w:rFonts w:ascii="Times New Roman" w:hAnsi="Times New Roman" w:cs="Times New Roman"/>
          <w:sz w:val="22"/>
          <w:szCs w:val="22"/>
          <w:lang w:val="en-GB"/>
        </w:rPr>
        <w:t>containing actionable</w:t>
      </w:r>
      <w:r w:rsidRPr="004A29F9">
        <w:rPr>
          <w:rFonts w:ascii="Times New Roman" w:hAnsi="Times New Roman" w:cs="Times New Roman"/>
          <w:sz w:val="22"/>
          <w:szCs w:val="22"/>
          <w:lang w:val="en-GB"/>
        </w:rPr>
        <w:t xml:space="preserve"> recommendations.</w:t>
      </w:r>
    </w:p>
    <w:p w:rsidR="004C6458" w:rsidRPr="004A29F9" w:rsidRDefault="004C6458" w:rsidP="00FB6759">
      <w:pPr>
        <w:spacing w:after="0" w:line="240" w:lineRule="auto"/>
        <w:jc w:val="both"/>
        <w:rPr>
          <w:rFonts w:ascii="Times New Roman" w:hAnsi="Times New Roman" w:cs="Times New Roman"/>
          <w:sz w:val="22"/>
          <w:szCs w:val="22"/>
          <w:lang w:val="en-GB"/>
        </w:rPr>
      </w:pPr>
    </w:p>
    <w:p w:rsidR="0098073D" w:rsidRPr="004A29F9" w:rsidRDefault="003E27CB"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lastRenderedPageBreak/>
        <w:t>The e</w:t>
      </w:r>
      <w:r w:rsidR="0098073D" w:rsidRPr="004A29F9">
        <w:rPr>
          <w:rFonts w:ascii="Times New Roman" w:hAnsi="Times New Roman" w:cs="Times New Roman"/>
          <w:sz w:val="22"/>
          <w:szCs w:val="22"/>
          <w:lang w:val="en-GB"/>
        </w:rPr>
        <w:t>valuation proceeded in parallel with, but was in no way connecte</w:t>
      </w:r>
      <w:r>
        <w:rPr>
          <w:rFonts w:ascii="Times New Roman" w:hAnsi="Times New Roman" w:cs="Times New Roman"/>
          <w:sz w:val="22"/>
          <w:szCs w:val="22"/>
          <w:lang w:val="en-GB"/>
        </w:rPr>
        <w:t xml:space="preserve">d to UNDP’s preparation of its 2012 annual report. </w:t>
      </w:r>
      <w:r w:rsidR="0098073D" w:rsidRPr="004A29F9">
        <w:rPr>
          <w:rFonts w:ascii="Times New Roman" w:hAnsi="Times New Roman" w:cs="Times New Roman"/>
          <w:sz w:val="22"/>
          <w:szCs w:val="22"/>
          <w:lang w:val="en-GB"/>
        </w:rPr>
        <w:t xml:space="preserve">In a few instances due to limited availability of informants and with strict adherence to </w:t>
      </w:r>
      <w:r>
        <w:rPr>
          <w:rFonts w:ascii="Times New Roman" w:hAnsi="Times New Roman" w:cs="Times New Roman"/>
          <w:sz w:val="22"/>
          <w:szCs w:val="22"/>
          <w:lang w:val="en-GB"/>
        </w:rPr>
        <w:t xml:space="preserve">the </w:t>
      </w:r>
      <w:r w:rsidR="0098073D" w:rsidRPr="004A29F9">
        <w:rPr>
          <w:rFonts w:ascii="Times New Roman" w:hAnsi="Times New Roman" w:cs="Times New Roman"/>
          <w:sz w:val="22"/>
          <w:szCs w:val="22"/>
          <w:lang w:val="en-GB"/>
        </w:rPr>
        <w:t>UNDP Guidelines for Outcome Evaluatio</w:t>
      </w:r>
      <w:r>
        <w:rPr>
          <w:rFonts w:ascii="Times New Roman" w:hAnsi="Times New Roman" w:cs="Times New Roman"/>
          <w:sz w:val="22"/>
          <w:szCs w:val="22"/>
          <w:lang w:val="en-GB"/>
        </w:rPr>
        <w:t>ns and the independence of the e</w:t>
      </w:r>
      <w:r w:rsidR="0098073D" w:rsidRPr="004A29F9">
        <w:rPr>
          <w:rFonts w:ascii="Times New Roman" w:hAnsi="Times New Roman" w:cs="Times New Roman"/>
          <w:sz w:val="22"/>
          <w:szCs w:val="22"/>
          <w:lang w:val="en-GB"/>
        </w:rPr>
        <w:t xml:space="preserve">valuation, </w:t>
      </w:r>
      <w:r w:rsidR="0098073D" w:rsidRPr="004A29F9">
        <w:rPr>
          <w:rFonts w:ascii="Times New Roman" w:hAnsi="Times New Roman" w:cs="Times New Roman"/>
          <w:i/>
          <w:sz w:val="22"/>
          <w:szCs w:val="22"/>
          <w:lang w:val="en-GB"/>
        </w:rPr>
        <w:t>notes from some focus groups</w:t>
      </w:r>
      <w:r>
        <w:rPr>
          <w:rFonts w:ascii="Times New Roman" w:hAnsi="Times New Roman" w:cs="Times New Roman"/>
          <w:sz w:val="22"/>
          <w:szCs w:val="22"/>
          <w:lang w:val="en-GB"/>
        </w:rPr>
        <w:t xml:space="preserve"> were used by both the e</w:t>
      </w:r>
      <w:r w:rsidR="0098073D" w:rsidRPr="004A29F9">
        <w:rPr>
          <w:rFonts w:ascii="Times New Roman" w:hAnsi="Times New Roman" w:cs="Times New Roman"/>
          <w:sz w:val="22"/>
          <w:szCs w:val="22"/>
          <w:lang w:val="en-GB"/>
        </w:rPr>
        <w:t>valuation and UNDP</w:t>
      </w:r>
      <w:r>
        <w:rPr>
          <w:rFonts w:ascii="Times New Roman" w:hAnsi="Times New Roman" w:cs="Times New Roman"/>
          <w:sz w:val="22"/>
          <w:szCs w:val="22"/>
          <w:lang w:val="en-GB"/>
        </w:rPr>
        <w:t xml:space="preserve"> separately to inform both the independent e</w:t>
      </w:r>
      <w:r w:rsidR="0098073D" w:rsidRPr="004A29F9">
        <w:rPr>
          <w:rFonts w:ascii="Times New Roman" w:hAnsi="Times New Roman" w:cs="Times New Roman"/>
          <w:sz w:val="22"/>
          <w:szCs w:val="22"/>
          <w:lang w:val="en-GB"/>
        </w:rPr>
        <w:t xml:space="preserve">valuation and UNDP’s </w:t>
      </w:r>
      <w:r>
        <w:rPr>
          <w:rFonts w:ascii="Times New Roman" w:hAnsi="Times New Roman" w:cs="Times New Roman"/>
          <w:sz w:val="22"/>
          <w:szCs w:val="22"/>
          <w:lang w:val="en-GB"/>
        </w:rPr>
        <w:t>2012 annual report. All notes referenced in this evaluation report or contained in its a</w:t>
      </w:r>
      <w:r w:rsidR="0098073D" w:rsidRPr="004A29F9">
        <w:rPr>
          <w:rFonts w:ascii="Times New Roman" w:hAnsi="Times New Roman" w:cs="Times New Roman"/>
          <w:sz w:val="22"/>
          <w:szCs w:val="22"/>
          <w:lang w:val="en-GB"/>
        </w:rPr>
        <w:t>nnexes were made public only upon obtaining th</w:t>
      </w:r>
      <w:r>
        <w:rPr>
          <w:rFonts w:ascii="Times New Roman" w:hAnsi="Times New Roman" w:cs="Times New Roman"/>
          <w:sz w:val="22"/>
          <w:szCs w:val="22"/>
          <w:lang w:val="en-GB"/>
        </w:rPr>
        <w:t>e express permission of the s</w:t>
      </w:r>
      <w:r w:rsidR="0098073D" w:rsidRPr="004A29F9">
        <w:rPr>
          <w:rFonts w:ascii="Times New Roman" w:hAnsi="Times New Roman" w:cs="Times New Roman"/>
          <w:sz w:val="22"/>
          <w:szCs w:val="22"/>
          <w:lang w:val="en-GB"/>
        </w:rPr>
        <w:t xml:space="preserve">takeholders interviewed.    </w:t>
      </w:r>
    </w:p>
    <w:p w:rsidR="00B75CF7" w:rsidRPr="004A29F9" w:rsidRDefault="00B75CF7" w:rsidP="00FB6759">
      <w:pPr>
        <w:spacing w:after="0" w:line="240" w:lineRule="auto"/>
        <w:jc w:val="both"/>
        <w:rPr>
          <w:rFonts w:ascii="Times New Roman" w:hAnsi="Times New Roman" w:cs="Times New Roman"/>
          <w:sz w:val="22"/>
          <w:szCs w:val="22"/>
          <w:lang w:val="en-GB"/>
        </w:rPr>
      </w:pPr>
    </w:p>
    <w:p w:rsidR="00D42652" w:rsidRPr="004C6458" w:rsidRDefault="00D42652" w:rsidP="004C6458">
      <w:pPr>
        <w:pStyle w:val="Heading2"/>
        <w:numPr>
          <w:ilvl w:val="0"/>
          <w:numId w:val="0"/>
        </w:numPr>
        <w:spacing w:before="0" w:after="0" w:line="240" w:lineRule="auto"/>
        <w:rPr>
          <w:rFonts w:ascii="Times New Roman" w:hAnsi="Times New Roman" w:cs="Times New Roman"/>
          <w:b w:val="0"/>
          <w:i/>
          <w:lang w:val="en-GB"/>
        </w:rPr>
      </w:pPr>
      <w:bookmarkStart w:id="11" w:name="_Toc231801795"/>
      <w:r w:rsidRPr="004C6458">
        <w:rPr>
          <w:rFonts w:ascii="Times New Roman" w:hAnsi="Times New Roman" w:cs="Times New Roman"/>
          <w:b w:val="0"/>
          <w:i/>
          <w:lang w:val="en-GB"/>
        </w:rPr>
        <w:t xml:space="preserve">Limitations </w:t>
      </w:r>
      <w:r w:rsidR="003E27CB" w:rsidRPr="004C6458">
        <w:rPr>
          <w:rFonts w:ascii="Times New Roman" w:hAnsi="Times New Roman" w:cs="Times New Roman"/>
          <w:b w:val="0"/>
          <w:i/>
          <w:lang w:val="en-GB"/>
        </w:rPr>
        <w:t>and o</w:t>
      </w:r>
      <w:r w:rsidR="00C43941" w:rsidRPr="004C6458">
        <w:rPr>
          <w:rFonts w:ascii="Times New Roman" w:hAnsi="Times New Roman" w:cs="Times New Roman"/>
          <w:b w:val="0"/>
          <w:i/>
          <w:lang w:val="en-GB"/>
        </w:rPr>
        <w:t>pportunities</w:t>
      </w:r>
      <w:bookmarkEnd w:id="11"/>
    </w:p>
    <w:p w:rsidR="003E27CB" w:rsidRDefault="003E27CB" w:rsidP="00FB6759">
      <w:pPr>
        <w:spacing w:after="0" w:line="240" w:lineRule="auto"/>
        <w:jc w:val="both"/>
        <w:rPr>
          <w:lang w:val="en-GB"/>
        </w:rPr>
      </w:pPr>
    </w:p>
    <w:p w:rsidR="003E27CB" w:rsidRDefault="009713FC"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 pr</w:t>
      </w:r>
      <w:r w:rsidR="003E27CB">
        <w:rPr>
          <w:rFonts w:ascii="Times New Roman" w:hAnsi="Times New Roman" w:cs="Times New Roman"/>
          <w:sz w:val="22"/>
          <w:szCs w:val="22"/>
          <w:lang w:val="en-GB"/>
        </w:rPr>
        <w:t>incipal challenge facing the eva</w:t>
      </w:r>
      <w:r w:rsidRPr="004A29F9">
        <w:rPr>
          <w:rFonts w:ascii="Times New Roman" w:hAnsi="Times New Roman" w:cs="Times New Roman"/>
          <w:sz w:val="22"/>
          <w:szCs w:val="22"/>
          <w:lang w:val="en-GB"/>
        </w:rPr>
        <w:t>luation was o</w:t>
      </w:r>
      <w:r w:rsidR="003E27CB">
        <w:rPr>
          <w:rFonts w:ascii="Times New Roman" w:hAnsi="Times New Roman" w:cs="Times New Roman"/>
          <w:sz w:val="22"/>
          <w:szCs w:val="22"/>
          <w:lang w:val="en-GB"/>
        </w:rPr>
        <w:t xml:space="preserve">ne already acknowledged by UNDP - </w:t>
      </w:r>
      <w:r w:rsidRPr="004A29F9">
        <w:rPr>
          <w:rFonts w:ascii="Times New Roman" w:hAnsi="Times New Roman" w:cs="Times New Roman"/>
          <w:sz w:val="22"/>
          <w:szCs w:val="22"/>
          <w:lang w:val="en-GB"/>
        </w:rPr>
        <w:t>the lack of readily available stati</w:t>
      </w:r>
      <w:r w:rsidR="003E27CB">
        <w:rPr>
          <w:rFonts w:ascii="Times New Roman" w:hAnsi="Times New Roman" w:cs="Times New Roman"/>
          <w:sz w:val="22"/>
          <w:szCs w:val="22"/>
          <w:lang w:val="en-GB"/>
        </w:rPr>
        <w:t>stics and quantitative data on o</w:t>
      </w:r>
      <w:r w:rsidRPr="004A29F9">
        <w:rPr>
          <w:rFonts w:ascii="Times New Roman" w:hAnsi="Times New Roman" w:cs="Times New Roman"/>
          <w:sz w:val="22"/>
          <w:szCs w:val="22"/>
          <w:lang w:val="en-GB"/>
        </w:rPr>
        <w:t>utcome-level syst</w:t>
      </w:r>
      <w:r w:rsidR="003E27CB">
        <w:rPr>
          <w:rFonts w:ascii="Times New Roman" w:hAnsi="Times New Roman" w:cs="Times New Roman"/>
          <w:sz w:val="22"/>
          <w:szCs w:val="22"/>
          <w:lang w:val="en-GB"/>
        </w:rPr>
        <w:t xml:space="preserve">em changes and impact. </w:t>
      </w:r>
      <w:r w:rsidR="000D03A3" w:rsidRPr="004A29F9">
        <w:rPr>
          <w:rFonts w:ascii="Times New Roman" w:hAnsi="Times New Roman" w:cs="Times New Roman"/>
          <w:sz w:val="22"/>
          <w:szCs w:val="22"/>
          <w:lang w:val="en-GB"/>
        </w:rPr>
        <w:t>Asses</w:t>
      </w:r>
      <w:r w:rsidR="003E27CB">
        <w:rPr>
          <w:rFonts w:ascii="Times New Roman" w:hAnsi="Times New Roman" w:cs="Times New Roman"/>
          <w:sz w:val="22"/>
          <w:szCs w:val="22"/>
          <w:lang w:val="en-GB"/>
        </w:rPr>
        <w:t>sing the impact of rule of law p</w:t>
      </w:r>
      <w:r w:rsidR="000D03A3" w:rsidRPr="004A29F9">
        <w:rPr>
          <w:rFonts w:ascii="Times New Roman" w:hAnsi="Times New Roman" w:cs="Times New Roman"/>
          <w:sz w:val="22"/>
          <w:szCs w:val="22"/>
          <w:lang w:val="en-GB"/>
        </w:rPr>
        <w:t xml:space="preserve">rogramming </w:t>
      </w:r>
      <w:r w:rsidR="003E27CB">
        <w:rPr>
          <w:rFonts w:ascii="Times New Roman" w:hAnsi="Times New Roman" w:cs="Times New Roman"/>
          <w:sz w:val="22"/>
          <w:szCs w:val="22"/>
          <w:lang w:val="en-GB"/>
        </w:rPr>
        <w:t xml:space="preserve">in conflict-/post-conflict settings is often difficult - </w:t>
      </w:r>
      <w:r w:rsidR="000D03A3" w:rsidRPr="004A29F9">
        <w:rPr>
          <w:rFonts w:ascii="Times New Roman" w:hAnsi="Times New Roman" w:cs="Times New Roman"/>
          <w:sz w:val="22"/>
          <w:szCs w:val="22"/>
          <w:lang w:val="en-GB"/>
        </w:rPr>
        <w:t>especially as a result of the lack of readily available baselin</w:t>
      </w:r>
      <w:r w:rsidR="003E27CB">
        <w:rPr>
          <w:rFonts w:ascii="Times New Roman" w:hAnsi="Times New Roman" w:cs="Times New Roman"/>
          <w:sz w:val="22"/>
          <w:szCs w:val="22"/>
          <w:lang w:val="en-GB"/>
        </w:rPr>
        <w:t xml:space="preserve">es and statistics. </w:t>
      </w:r>
    </w:p>
    <w:p w:rsidR="003E27CB" w:rsidRDefault="003E27CB" w:rsidP="00FB6759">
      <w:pPr>
        <w:spacing w:after="0" w:line="240" w:lineRule="auto"/>
        <w:jc w:val="both"/>
        <w:rPr>
          <w:rFonts w:ascii="Times New Roman" w:hAnsi="Times New Roman" w:cs="Times New Roman"/>
          <w:sz w:val="22"/>
          <w:szCs w:val="22"/>
          <w:lang w:val="en-GB"/>
        </w:rPr>
      </w:pPr>
    </w:p>
    <w:p w:rsidR="004C6458" w:rsidRDefault="003E27CB"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The PNA and other justice actors in the West Bank and the Gaza Strip are resource challenged and lack systematic data. </w:t>
      </w:r>
      <w:r w:rsidR="00D40F7F" w:rsidRPr="004A29F9">
        <w:rPr>
          <w:rFonts w:ascii="Times New Roman" w:hAnsi="Times New Roman" w:cs="Times New Roman"/>
          <w:sz w:val="22"/>
          <w:szCs w:val="22"/>
          <w:lang w:val="en-GB"/>
        </w:rPr>
        <w:t>This challenge was, however, somewhat of</w:t>
      </w:r>
      <w:r>
        <w:rPr>
          <w:rFonts w:ascii="Times New Roman" w:hAnsi="Times New Roman" w:cs="Times New Roman"/>
          <w:sz w:val="22"/>
          <w:szCs w:val="22"/>
          <w:lang w:val="en-GB"/>
        </w:rPr>
        <w:t>f-set by UNDP</w:t>
      </w:r>
      <w:r w:rsidR="00B85AC5" w:rsidRPr="004A29F9">
        <w:rPr>
          <w:rFonts w:ascii="Times New Roman" w:hAnsi="Times New Roman" w:cs="Times New Roman"/>
          <w:sz w:val="22"/>
          <w:szCs w:val="22"/>
          <w:lang w:val="en-GB"/>
        </w:rPr>
        <w:t xml:space="preserve">-led </w:t>
      </w:r>
      <w:r>
        <w:rPr>
          <w:rFonts w:ascii="Times New Roman" w:hAnsi="Times New Roman" w:cs="Times New Roman"/>
          <w:sz w:val="22"/>
          <w:szCs w:val="22"/>
          <w:lang w:val="en-GB"/>
        </w:rPr>
        <w:t>research and record-</w:t>
      </w:r>
      <w:r w:rsidR="00D40F7F" w:rsidRPr="004A29F9">
        <w:rPr>
          <w:rFonts w:ascii="Times New Roman" w:hAnsi="Times New Roman" w:cs="Times New Roman"/>
          <w:sz w:val="22"/>
          <w:szCs w:val="22"/>
          <w:lang w:val="en-GB"/>
        </w:rPr>
        <w:t>keeping</w:t>
      </w:r>
      <w:r>
        <w:rPr>
          <w:rFonts w:ascii="Times New Roman" w:hAnsi="Times New Roman" w:cs="Times New Roman"/>
          <w:sz w:val="22"/>
          <w:szCs w:val="22"/>
          <w:lang w:val="en-GB"/>
        </w:rPr>
        <w:t>,</w:t>
      </w:r>
      <w:r w:rsidR="004C6458">
        <w:rPr>
          <w:rFonts w:ascii="Times New Roman" w:hAnsi="Times New Roman" w:cs="Times New Roman"/>
          <w:sz w:val="22"/>
          <w:szCs w:val="22"/>
          <w:lang w:val="en-GB"/>
        </w:rPr>
        <w:t xml:space="preserve"> including by monitoring the performance of its implementing partners. </w:t>
      </w:r>
      <w:r w:rsidR="00D40F7F" w:rsidRPr="004A29F9">
        <w:rPr>
          <w:rFonts w:ascii="Times New Roman" w:hAnsi="Times New Roman" w:cs="Times New Roman"/>
          <w:sz w:val="22"/>
          <w:szCs w:val="22"/>
          <w:lang w:val="en-GB"/>
        </w:rPr>
        <w:t xml:space="preserve">Furthermore, </w:t>
      </w:r>
      <w:r w:rsidR="004C6458">
        <w:rPr>
          <w:rFonts w:ascii="Times New Roman" w:hAnsi="Times New Roman" w:cs="Times New Roman"/>
          <w:sz w:val="22"/>
          <w:szCs w:val="22"/>
          <w:lang w:val="en-GB"/>
        </w:rPr>
        <w:t>during the course of the evaluation the independent c</w:t>
      </w:r>
      <w:r w:rsidR="00571F7C" w:rsidRPr="004A29F9">
        <w:rPr>
          <w:rFonts w:ascii="Times New Roman" w:hAnsi="Times New Roman" w:cs="Times New Roman"/>
          <w:sz w:val="22"/>
          <w:szCs w:val="22"/>
          <w:lang w:val="en-GB"/>
        </w:rPr>
        <w:t>onsultant</w:t>
      </w:r>
      <w:r w:rsidR="00D40F7F" w:rsidRPr="004A29F9">
        <w:rPr>
          <w:rFonts w:ascii="Times New Roman" w:hAnsi="Times New Roman" w:cs="Times New Roman"/>
          <w:sz w:val="22"/>
          <w:szCs w:val="22"/>
          <w:lang w:val="en-GB"/>
        </w:rPr>
        <w:t xml:space="preserve"> engaged with UNDP in a highly collaborative </w:t>
      </w:r>
      <w:r w:rsidR="001623F6" w:rsidRPr="004A29F9">
        <w:rPr>
          <w:rFonts w:ascii="Times New Roman" w:hAnsi="Times New Roman" w:cs="Times New Roman"/>
          <w:sz w:val="22"/>
          <w:szCs w:val="22"/>
          <w:lang w:val="en-GB"/>
        </w:rPr>
        <w:t xml:space="preserve">and intense </w:t>
      </w:r>
      <w:r w:rsidR="00D40F7F" w:rsidRPr="004A29F9">
        <w:rPr>
          <w:rFonts w:ascii="Times New Roman" w:hAnsi="Times New Roman" w:cs="Times New Roman"/>
          <w:sz w:val="22"/>
          <w:szCs w:val="22"/>
          <w:lang w:val="en-GB"/>
        </w:rPr>
        <w:t>effort to collect additional statics and information (i.e.</w:t>
      </w:r>
      <w:r w:rsidR="00AE35CF" w:rsidRPr="004A29F9">
        <w:rPr>
          <w:rFonts w:ascii="Times New Roman" w:hAnsi="Times New Roman" w:cs="Times New Roman"/>
          <w:sz w:val="22"/>
          <w:szCs w:val="22"/>
          <w:lang w:val="en-GB"/>
        </w:rPr>
        <w:t xml:space="preserve"> Ministry staff lists; information on</w:t>
      </w:r>
      <w:r w:rsidR="004C6458">
        <w:rPr>
          <w:rFonts w:ascii="Times New Roman" w:hAnsi="Times New Roman" w:cs="Times New Roman"/>
          <w:sz w:val="22"/>
          <w:szCs w:val="22"/>
          <w:lang w:val="en-GB"/>
        </w:rPr>
        <w:t xml:space="preserve"> UNDP grantees; legal aid statistics</w:t>
      </w:r>
      <w:r w:rsidR="00B85AC5" w:rsidRPr="004A29F9">
        <w:rPr>
          <w:rFonts w:ascii="Times New Roman" w:hAnsi="Times New Roman" w:cs="Times New Roman"/>
          <w:sz w:val="22"/>
          <w:szCs w:val="22"/>
          <w:lang w:val="en-GB"/>
        </w:rPr>
        <w:t>; publications</w:t>
      </w:r>
      <w:r w:rsidR="00AE35CF" w:rsidRPr="004A29F9">
        <w:rPr>
          <w:rFonts w:ascii="Times New Roman" w:hAnsi="Times New Roman" w:cs="Times New Roman"/>
          <w:sz w:val="22"/>
          <w:szCs w:val="22"/>
          <w:lang w:val="en-GB"/>
        </w:rPr>
        <w:t xml:space="preserve"> and records of UNDP advocacy campaigns</w:t>
      </w:r>
      <w:r w:rsidR="004C6458">
        <w:rPr>
          <w:rFonts w:ascii="Times New Roman" w:hAnsi="Times New Roman" w:cs="Times New Roman"/>
          <w:sz w:val="22"/>
          <w:szCs w:val="22"/>
          <w:lang w:val="en-GB"/>
        </w:rPr>
        <w:t>;</w:t>
      </w:r>
      <w:r w:rsidR="00AE35CF" w:rsidRPr="004A29F9">
        <w:rPr>
          <w:rFonts w:ascii="Times New Roman" w:hAnsi="Times New Roman" w:cs="Times New Roman"/>
          <w:sz w:val="22"/>
          <w:szCs w:val="22"/>
          <w:lang w:val="en-GB"/>
        </w:rPr>
        <w:t xml:space="preserve"> and</w:t>
      </w:r>
      <w:r w:rsidR="00D40F7F" w:rsidRPr="004A29F9">
        <w:rPr>
          <w:rFonts w:ascii="Times New Roman" w:hAnsi="Times New Roman" w:cs="Times New Roman"/>
          <w:sz w:val="22"/>
          <w:szCs w:val="22"/>
          <w:lang w:val="en-GB"/>
        </w:rPr>
        <w:t xml:space="preserve"> statements collected </w:t>
      </w:r>
      <w:r w:rsidR="00AE35CF" w:rsidRPr="004A29F9">
        <w:rPr>
          <w:rFonts w:ascii="Times New Roman" w:hAnsi="Times New Roman" w:cs="Times New Roman"/>
          <w:sz w:val="22"/>
          <w:szCs w:val="22"/>
          <w:lang w:val="en-GB"/>
        </w:rPr>
        <w:t xml:space="preserve">from demand-side beneficiaries </w:t>
      </w:r>
      <w:r w:rsidR="00D40F7F" w:rsidRPr="004A29F9">
        <w:rPr>
          <w:rFonts w:ascii="Times New Roman" w:hAnsi="Times New Roman" w:cs="Times New Roman"/>
          <w:sz w:val="22"/>
          <w:szCs w:val="22"/>
          <w:lang w:val="en-GB"/>
        </w:rPr>
        <w:t>during numerous focus</w:t>
      </w:r>
      <w:r w:rsidR="00AE35CF" w:rsidRPr="004A29F9">
        <w:rPr>
          <w:rFonts w:ascii="Times New Roman" w:hAnsi="Times New Roman" w:cs="Times New Roman"/>
          <w:sz w:val="22"/>
          <w:szCs w:val="22"/>
          <w:lang w:val="en-GB"/>
        </w:rPr>
        <w:t xml:space="preserve"> groups</w:t>
      </w:r>
      <w:r w:rsidR="00D40F7F" w:rsidRPr="004A29F9">
        <w:rPr>
          <w:rFonts w:ascii="Times New Roman" w:hAnsi="Times New Roman" w:cs="Times New Roman"/>
          <w:sz w:val="22"/>
          <w:szCs w:val="22"/>
          <w:lang w:val="en-GB"/>
        </w:rPr>
        <w:t>)</w:t>
      </w:r>
      <w:r w:rsidR="00D14EBF" w:rsidRPr="004A29F9">
        <w:rPr>
          <w:rFonts w:ascii="Times New Roman" w:hAnsi="Times New Roman" w:cs="Times New Roman"/>
          <w:sz w:val="22"/>
          <w:szCs w:val="22"/>
          <w:lang w:val="en-GB"/>
        </w:rPr>
        <w:t>.</w:t>
      </w:r>
      <w:r w:rsidR="000A71EF" w:rsidRPr="004A29F9">
        <w:rPr>
          <w:rFonts w:ascii="Times New Roman" w:hAnsi="Times New Roman" w:cs="Times New Roman"/>
          <w:sz w:val="22"/>
          <w:szCs w:val="22"/>
          <w:lang w:val="en-GB"/>
        </w:rPr>
        <w:t>As discussed in more detail below, this exercise paralleled UNDP’s own recent efforts to improve and streamline its data collection and reporting ef</w:t>
      </w:r>
      <w:r w:rsidR="004C6458">
        <w:rPr>
          <w:rFonts w:ascii="Times New Roman" w:hAnsi="Times New Roman" w:cs="Times New Roman"/>
          <w:sz w:val="22"/>
          <w:szCs w:val="22"/>
          <w:lang w:val="en-GB"/>
        </w:rPr>
        <w:t>forts in order to better serve d</w:t>
      </w:r>
      <w:r w:rsidR="000A71EF" w:rsidRPr="004A29F9">
        <w:rPr>
          <w:rFonts w:ascii="Times New Roman" w:hAnsi="Times New Roman" w:cs="Times New Roman"/>
          <w:sz w:val="22"/>
          <w:szCs w:val="22"/>
          <w:lang w:val="en-GB"/>
        </w:rPr>
        <w:t>onor reporting requirements.</w:t>
      </w:r>
    </w:p>
    <w:p w:rsidR="00E55041" w:rsidRPr="004A29F9" w:rsidRDefault="00E55041" w:rsidP="00FB6759">
      <w:pPr>
        <w:spacing w:after="0" w:line="240" w:lineRule="auto"/>
        <w:jc w:val="both"/>
        <w:rPr>
          <w:rFonts w:ascii="Times New Roman" w:hAnsi="Times New Roman" w:cs="Times New Roman"/>
          <w:sz w:val="22"/>
          <w:szCs w:val="22"/>
          <w:lang w:val="en-GB"/>
        </w:rPr>
      </w:pPr>
    </w:p>
    <w:p w:rsidR="00D42652" w:rsidRPr="004A29F9" w:rsidRDefault="004C6458"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The e</w:t>
      </w:r>
      <w:r w:rsidR="00D42652" w:rsidRPr="004A29F9">
        <w:rPr>
          <w:rFonts w:ascii="Times New Roman" w:hAnsi="Times New Roman" w:cs="Times New Roman"/>
          <w:sz w:val="22"/>
          <w:szCs w:val="22"/>
          <w:lang w:val="en-GB"/>
        </w:rPr>
        <w:t>valuation</w:t>
      </w:r>
      <w:r w:rsidR="004F3586" w:rsidRPr="004A29F9">
        <w:rPr>
          <w:rFonts w:ascii="Times New Roman" w:hAnsi="Times New Roman" w:cs="Times New Roman"/>
          <w:sz w:val="22"/>
          <w:szCs w:val="22"/>
          <w:lang w:val="en-GB"/>
        </w:rPr>
        <w:t xml:space="preserve"> is </w:t>
      </w:r>
      <w:r w:rsidR="000A71EF" w:rsidRPr="004A29F9">
        <w:rPr>
          <w:rFonts w:ascii="Times New Roman" w:hAnsi="Times New Roman" w:cs="Times New Roman"/>
          <w:sz w:val="22"/>
          <w:szCs w:val="22"/>
          <w:lang w:val="en-GB"/>
        </w:rPr>
        <w:t xml:space="preserve">an </w:t>
      </w:r>
      <w:r w:rsidR="00F97D80" w:rsidRPr="004A29F9">
        <w:rPr>
          <w:rFonts w:ascii="Times New Roman" w:hAnsi="Times New Roman" w:cs="Times New Roman"/>
          <w:sz w:val="22"/>
          <w:szCs w:val="22"/>
          <w:lang w:val="en-GB"/>
        </w:rPr>
        <w:t xml:space="preserve">opportunity for </w:t>
      </w:r>
      <w:r>
        <w:rPr>
          <w:rFonts w:ascii="Times New Roman" w:hAnsi="Times New Roman" w:cs="Times New Roman"/>
          <w:sz w:val="22"/>
          <w:szCs w:val="22"/>
          <w:lang w:val="en-GB"/>
        </w:rPr>
        <w:t>UNDP and its d</w:t>
      </w:r>
      <w:r w:rsidR="00D42652" w:rsidRPr="004A29F9">
        <w:rPr>
          <w:rFonts w:ascii="Times New Roman" w:hAnsi="Times New Roman" w:cs="Times New Roman"/>
          <w:sz w:val="22"/>
          <w:szCs w:val="22"/>
          <w:lang w:val="en-GB"/>
        </w:rPr>
        <w:t>onors to examine what ele</w:t>
      </w:r>
      <w:r>
        <w:rPr>
          <w:rFonts w:ascii="Times New Roman" w:hAnsi="Times New Roman" w:cs="Times New Roman"/>
          <w:sz w:val="22"/>
          <w:szCs w:val="22"/>
          <w:lang w:val="en-GB"/>
        </w:rPr>
        <w:t>ments of the p</w:t>
      </w:r>
      <w:r w:rsidR="00D42652" w:rsidRPr="004A29F9">
        <w:rPr>
          <w:rFonts w:ascii="Times New Roman" w:hAnsi="Times New Roman" w:cs="Times New Roman"/>
          <w:sz w:val="22"/>
          <w:szCs w:val="22"/>
          <w:lang w:val="en-GB"/>
        </w:rPr>
        <w:t>rogramme have been effective to date and what elements h</w:t>
      </w:r>
      <w:r>
        <w:rPr>
          <w:rFonts w:ascii="Times New Roman" w:hAnsi="Times New Roman" w:cs="Times New Roman"/>
          <w:sz w:val="22"/>
          <w:szCs w:val="22"/>
          <w:lang w:val="en-GB"/>
        </w:rPr>
        <w:t>ave not met expectations. This e</w:t>
      </w:r>
      <w:r w:rsidR="00D42652" w:rsidRPr="004A29F9">
        <w:rPr>
          <w:rFonts w:ascii="Times New Roman" w:hAnsi="Times New Roman" w:cs="Times New Roman"/>
          <w:sz w:val="22"/>
          <w:szCs w:val="22"/>
          <w:lang w:val="en-GB"/>
        </w:rPr>
        <w:t xml:space="preserve">valuation </w:t>
      </w:r>
      <w:r w:rsidR="000A71EF" w:rsidRPr="004A29F9">
        <w:rPr>
          <w:rFonts w:ascii="Times New Roman" w:hAnsi="Times New Roman" w:cs="Times New Roman"/>
          <w:sz w:val="22"/>
          <w:szCs w:val="22"/>
          <w:lang w:val="en-GB"/>
        </w:rPr>
        <w:t xml:space="preserve">further </w:t>
      </w:r>
      <w:r w:rsidR="00D42652" w:rsidRPr="004A29F9">
        <w:rPr>
          <w:rFonts w:ascii="Times New Roman" w:hAnsi="Times New Roman" w:cs="Times New Roman"/>
          <w:sz w:val="22"/>
          <w:szCs w:val="22"/>
          <w:lang w:val="en-GB"/>
        </w:rPr>
        <w:t xml:space="preserve">provides an opportunity for UNDP </w:t>
      </w:r>
      <w:r w:rsidR="004F3586" w:rsidRPr="004A29F9">
        <w:rPr>
          <w:rFonts w:ascii="Times New Roman" w:hAnsi="Times New Roman" w:cs="Times New Roman"/>
          <w:sz w:val="22"/>
          <w:szCs w:val="22"/>
          <w:lang w:val="en-GB"/>
        </w:rPr>
        <w:t>to</w:t>
      </w:r>
      <w:r w:rsidR="00D42652" w:rsidRPr="004A29F9">
        <w:rPr>
          <w:rFonts w:ascii="Times New Roman" w:hAnsi="Times New Roman" w:cs="Times New Roman"/>
          <w:sz w:val="22"/>
          <w:szCs w:val="22"/>
          <w:lang w:val="en-GB"/>
        </w:rPr>
        <w:t xml:space="preserve"> highlight its successes to date in achieving sy</w:t>
      </w:r>
      <w:r>
        <w:rPr>
          <w:rFonts w:ascii="Times New Roman" w:hAnsi="Times New Roman" w:cs="Times New Roman"/>
          <w:sz w:val="22"/>
          <w:szCs w:val="22"/>
          <w:lang w:val="en-GB"/>
        </w:rPr>
        <w:t>stem-change. In sum, the e</w:t>
      </w:r>
      <w:r w:rsidR="00D42652" w:rsidRPr="004A29F9">
        <w:rPr>
          <w:rFonts w:ascii="Times New Roman" w:hAnsi="Times New Roman" w:cs="Times New Roman"/>
          <w:sz w:val="22"/>
          <w:szCs w:val="22"/>
          <w:lang w:val="en-GB"/>
        </w:rPr>
        <w:t xml:space="preserve">valuation should be viewed as a constructively critical conversation about UNDP’s programming and how that programming should be strategically structured going forward. </w:t>
      </w:r>
    </w:p>
    <w:p w:rsidR="00133EC9" w:rsidRPr="004A29F9" w:rsidRDefault="00133EC9" w:rsidP="00FB6759">
      <w:pPr>
        <w:spacing w:after="0" w:line="240" w:lineRule="auto"/>
        <w:jc w:val="both"/>
        <w:rPr>
          <w:rFonts w:ascii="Times New Roman" w:hAnsi="Times New Roman" w:cs="Times New Roman"/>
          <w:sz w:val="22"/>
          <w:szCs w:val="22"/>
          <w:lang w:val="en-GB"/>
        </w:rPr>
      </w:pPr>
    </w:p>
    <w:p w:rsidR="004C6458" w:rsidRDefault="004C6458" w:rsidP="004C6458">
      <w:pPr>
        <w:pStyle w:val="Heading1"/>
        <w:spacing w:after="0" w:line="240" w:lineRule="auto"/>
        <w:rPr>
          <w:rFonts w:ascii="Times New Roman" w:hAnsi="Times New Roman" w:cs="Times New Roman"/>
          <w:sz w:val="22"/>
          <w:szCs w:val="22"/>
          <w:lang w:val="en-GB"/>
        </w:rPr>
      </w:pPr>
      <w:bookmarkStart w:id="12" w:name="_Toc231801796"/>
      <w:r>
        <w:rPr>
          <w:rFonts w:ascii="Times New Roman" w:hAnsi="Times New Roman" w:cs="Times New Roman"/>
          <w:sz w:val="22"/>
          <w:szCs w:val="22"/>
          <w:lang w:val="en-GB"/>
        </w:rPr>
        <w:t>Background and C</w:t>
      </w:r>
      <w:r w:rsidR="00D42652" w:rsidRPr="004A29F9">
        <w:rPr>
          <w:rFonts w:ascii="Times New Roman" w:hAnsi="Times New Roman" w:cs="Times New Roman"/>
          <w:sz w:val="22"/>
          <w:szCs w:val="22"/>
          <w:lang w:val="en-GB"/>
        </w:rPr>
        <w:t>ontext</w:t>
      </w:r>
      <w:bookmarkEnd w:id="12"/>
    </w:p>
    <w:p w:rsidR="004C6458" w:rsidRDefault="004C6458" w:rsidP="00FB6759">
      <w:pPr>
        <w:spacing w:after="0" w:line="240" w:lineRule="auto"/>
        <w:jc w:val="both"/>
        <w:rPr>
          <w:lang w:val="en-GB"/>
        </w:rPr>
      </w:pPr>
    </w:p>
    <w:p w:rsidR="005032BB" w:rsidRPr="004C6458" w:rsidRDefault="005032BB" w:rsidP="00FB6759">
      <w:pPr>
        <w:spacing w:after="0" w:line="240" w:lineRule="auto"/>
        <w:jc w:val="both"/>
        <w:rPr>
          <w:rFonts w:ascii="Times New Roman" w:hAnsi="Times New Roman" w:cs="Times New Roman"/>
          <w:i/>
          <w:sz w:val="22"/>
          <w:szCs w:val="22"/>
          <w:lang w:val="en-GB"/>
        </w:rPr>
      </w:pPr>
      <w:r w:rsidRPr="004C6458">
        <w:rPr>
          <w:rFonts w:ascii="Times New Roman" w:hAnsi="Times New Roman" w:cs="Times New Roman"/>
          <w:i/>
          <w:sz w:val="22"/>
          <w:szCs w:val="22"/>
          <w:lang w:val="en-GB"/>
        </w:rPr>
        <w:t xml:space="preserve">Overall </w:t>
      </w:r>
      <w:r w:rsidR="00346945" w:rsidRPr="004C6458">
        <w:rPr>
          <w:rFonts w:ascii="Times New Roman" w:hAnsi="Times New Roman" w:cs="Times New Roman"/>
          <w:i/>
          <w:sz w:val="22"/>
          <w:szCs w:val="22"/>
          <w:lang w:val="en-GB"/>
        </w:rPr>
        <w:t>Context</w:t>
      </w:r>
    </w:p>
    <w:p w:rsidR="004C6458" w:rsidRDefault="004C6458" w:rsidP="00FB6759">
      <w:pPr>
        <w:spacing w:after="0" w:line="240" w:lineRule="auto"/>
        <w:jc w:val="both"/>
        <w:rPr>
          <w:rFonts w:ascii="Times New Roman" w:hAnsi="Times New Roman" w:cs="Times New Roman"/>
          <w:sz w:val="22"/>
          <w:szCs w:val="22"/>
          <w:lang w:val="en-GB"/>
        </w:rPr>
      </w:pPr>
    </w:p>
    <w:p w:rsidR="005032BB" w:rsidRDefault="000C3FD1"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 PNA and its internati</w:t>
      </w:r>
      <w:r w:rsidR="004C6458">
        <w:rPr>
          <w:rFonts w:ascii="Times New Roman" w:hAnsi="Times New Roman" w:cs="Times New Roman"/>
          <w:sz w:val="22"/>
          <w:szCs w:val="22"/>
          <w:lang w:val="en-GB"/>
        </w:rPr>
        <w:t>onal partners have long recognis</w:t>
      </w:r>
      <w:r w:rsidRPr="004A29F9">
        <w:rPr>
          <w:rFonts w:ascii="Times New Roman" w:hAnsi="Times New Roman" w:cs="Times New Roman"/>
          <w:sz w:val="22"/>
          <w:szCs w:val="22"/>
          <w:lang w:val="en-GB"/>
        </w:rPr>
        <w:t>ed the centrality of justice and rule of law to the paramount goal</w:t>
      </w:r>
      <w:r w:rsidR="004C6458">
        <w:rPr>
          <w:rFonts w:ascii="Times New Roman" w:hAnsi="Times New Roman" w:cs="Times New Roman"/>
          <w:sz w:val="22"/>
          <w:szCs w:val="22"/>
          <w:lang w:val="en-GB"/>
        </w:rPr>
        <w:t xml:space="preserve"> of establishing a just, modern</w:t>
      </w:r>
      <w:r w:rsidRPr="004A29F9">
        <w:rPr>
          <w:rFonts w:ascii="Times New Roman" w:hAnsi="Times New Roman" w:cs="Times New Roman"/>
          <w:sz w:val="22"/>
          <w:szCs w:val="22"/>
          <w:lang w:val="en-GB"/>
        </w:rPr>
        <w:t xml:space="preserve"> and sustainable Palestinia</w:t>
      </w:r>
      <w:r w:rsidR="004C6458">
        <w:rPr>
          <w:rFonts w:ascii="Times New Roman" w:hAnsi="Times New Roman" w:cs="Times New Roman"/>
          <w:sz w:val="22"/>
          <w:szCs w:val="22"/>
          <w:lang w:val="en-GB"/>
        </w:rPr>
        <w:t xml:space="preserve">n state. </w:t>
      </w:r>
      <w:r w:rsidRPr="004A29F9">
        <w:rPr>
          <w:rFonts w:ascii="Times New Roman" w:hAnsi="Times New Roman" w:cs="Times New Roman"/>
          <w:sz w:val="22"/>
          <w:szCs w:val="22"/>
          <w:lang w:val="en-GB"/>
        </w:rPr>
        <w:t>In particular, the government has acknowledged that a robust justice sec</w:t>
      </w:r>
      <w:r w:rsidR="005032BB" w:rsidRPr="004A29F9">
        <w:rPr>
          <w:rFonts w:ascii="Times New Roman" w:hAnsi="Times New Roman" w:cs="Times New Roman"/>
          <w:sz w:val="22"/>
          <w:szCs w:val="22"/>
          <w:lang w:val="en-GB"/>
        </w:rPr>
        <w:t xml:space="preserve">tor that maintains rule of law and </w:t>
      </w:r>
      <w:r w:rsidRPr="004A29F9">
        <w:rPr>
          <w:rFonts w:ascii="Times New Roman" w:hAnsi="Times New Roman" w:cs="Times New Roman"/>
          <w:sz w:val="22"/>
          <w:szCs w:val="22"/>
          <w:lang w:val="en-GB"/>
        </w:rPr>
        <w:t xml:space="preserve">protects </w:t>
      </w:r>
      <w:r w:rsidR="00F97D80" w:rsidRPr="004A29F9">
        <w:rPr>
          <w:rFonts w:ascii="Times New Roman" w:hAnsi="Times New Roman" w:cs="Times New Roman"/>
          <w:sz w:val="22"/>
          <w:szCs w:val="22"/>
          <w:lang w:val="en-GB"/>
        </w:rPr>
        <w:t xml:space="preserve">individual freedoms </w:t>
      </w:r>
      <w:r w:rsidR="005032BB" w:rsidRPr="004A29F9">
        <w:rPr>
          <w:rFonts w:ascii="Times New Roman" w:hAnsi="Times New Roman" w:cs="Times New Roman"/>
          <w:sz w:val="22"/>
          <w:szCs w:val="22"/>
          <w:lang w:val="en-GB"/>
        </w:rPr>
        <w:t xml:space="preserve">and </w:t>
      </w:r>
      <w:r w:rsidRPr="004A29F9">
        <w:rPr>
          <w:rFonts w:ascii="Times New Roman" w:hAnsi="Times New Roman" w:cs="Times New Roman"/>
          <w:sz w:val="22"/>
          <w:szCs w:val="22"/>
          <w:lang w:val="en-GB"/>
        </w:rPr>
        <w:t xml:space="preserve">rights is essential to the </w:t>
      </w:r>
      <w:r w:rsidR="005032BB" w:rsidRPr="004A29F9">
        <w:rPr>
          <w:rFonts w:ascii="Times New Roman" w:hAnsi="Times New Roman" w:cs="Times New Roman"/>
          <w:sz w:val="22"/>
          <w:szCs w:val="22"/>
          <w:lang w:val="en-GB"/>
        </w:rPr>
        <w:t xml:space="preserve">development of a prosperous and cohesive </w:t>
      </w:r>
      <w:r w:rsidRPr="004A29F9">
        <w:rPr>
          <w:rFonts w:ascii="Times New Roman" w:hAnsi="Times New Roman" w:cs="Times New Roman"/>
          <w:sz w:val="22"/>
          <w:szCs w:val="22"/>
          <w:lang w:val="en-GB"/>
        </w:rPr>
        <w:t>Palestinian society in a fully soverei</w:t>
      </w:r>
      <w:r w:rsidR="004C6458">
        <w:rPr>
          <w:rFonts w:ascii="Times New Roman" w:hAnsi="Times New Roman" w:cs="Times New Roman"/>
          <w:sz w:val="22"/>
          <w:szCs w:val="22"/>
          <w:lang w:val="en-GB"/>
        </w:rPr>
        <w:t>gn Palestinian s</w:t>
      </w:r>
      <w:r w:rsidRPr="004A29F9">
        <w:rPr>
          <w:rFonts w:ascii="Times New Roman" w:hAnsi="Times New Roman" w:cs="Times New Roman"/>
          <w:sz w:val="22"/>
          <w:szCs w:val="22"/>
          <w:lang w:val="en-GB"/>
        </w:rPr>
        <w:t>tate.</w:t>
      </w:r>
      <w:r w:rsidRPr="004A29F9">
        <w:rPr>
          <w:rStyle w:val="FootnoteReference"/>
          <w:rFonts w:ascii="Times New Roman" w:hAnsi="Times New Roman" w:cs="Times New Roman"/>
          <w:sz w:val="22"/>
          <w:szCs w:val="22"/>
          <w:lang w:val="en-GB"/>
        </w:rPr>
        <w:footnoteReference w:id="9"/>
      </w:r>
      <w:r w:rsidR="005032BB" w:rsidRPr="004A29F9">
        <w:rPr>
          <w:rFonts w:ascii="Times New Roman" w:hAnsi="Times New Roman" w:cs="Times New Roman"/>
          <w:sz w:val="22"/>
          <w:szCs w:val="22"/>
          <w:lang w:val="en-GB"/>
        </w:rPr>
        <w:t>To that end, the government and its partners have made significant efforts to create independent and accountable judicial institutions that can effectively apply well-drafted laws fairly and equally.</w:t>
      </w:r>
      <w:r w:rsidR="00FB63A0" w:rsidRPr="004A29F9">
        <w:rPr>
          <w:rStyle w:val="FootnoteReference"/>
          <w:rFonts w:ascii="Times New Roman" w:hAnsi="Times New Roman" w:cs="Times New Roman"/>
          <w:sz w:val="22"/>
          <w:szCs w:val="22"/>
          <w:lang w:val="en-GB"/>
        </w:rPr>
        <w:footnoteReference w:id="10"/>
      </w:r>
    </w:p>
    <w:p w:rsidR="004C6458" w:rsidRPr="004A29F9" w:rsidRDefault="004C6458" w:rsidP="00FB6759">
      <w:pPr>
        <w:spacing w:after="0" w:line="240" w:lineRule="auto"/>
        <w:jc w:val="both"/>
        <w:rPr>
          <w:rFonts w:ascii="Times New Roman" w:hAnsi="Times New Roman" w:cs="Times New Roman"/>
          <w:sz w:val="22"/>
          <w:szCs w:val="22"/>
          <w:lang w:val="en-GB"/>
        </w:rPr>
      </w:pPr>
    </w:p>
    <w:p w:rsidR="00182020" w:rsidRPr="004A29F9" w:rsidRDefault="005032BB"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To say that the </w:t>
      </w:r>
      <w:r w:rsidR="00182020" w:rsidRPr="004A29F9">
        <w:rPr>
          <w:rFonts w:ascii="Times New Roman" w:hAnsi="Times New Roman" w:cs="Times New Roman"/>
          <w:sz w:val="22"/>
          <w:szCs w:val="22"/>
          <w:lang w:val="en-GB"/>
        </w:rPr>
        <w:t>obstacles</w:t>
      </w:r>
      <w:r w:rsidRPr="004A29F9">
        <w:rPr>
          <w:rFonts w:ascii="Times New Roman" w:hAnsi="Times New Roman" w:cs="Times New Roman"/>
          <w:sz w:val="22"/>
          <w:szCs w:val="22"/>
          <w:lang w:val="en-GB"/>
        </w:rPr>
        <w:t xml:space="preserve"> faced by the governmen</w:t>
      </w:r>
      <w:r w:rsidR="004C6458">
        <w:rPr>
          <w:rFonts w:ascii="Times New Roman" w:hAnsi="Times New Roman" w:cs="Times New Roman"/>
          <w:sz w:val="22"/>
          <w:szCs w:val="22"/>
          <w:lang w:val="en-GB"/>
        </w:rPr>
        <w:t xml:space="preserve">t and key stakeholders like </w:t>
      </w:r>
      <w:r w:rsidRPr="004A29F9">
        <w:rPr>
          <w:rFonts w:ascii="Times New Roman" w:hAnsi="Times New Roman" w:cs="Times New Roman"/>
          <w:sz w:val="22"/>
          <w:szCs w:val="22"/>
          <w:lang w:val="en-GB"/>
        </w:rPr>
        <w:t>UNDP have been extre</w:t>
      </w:r>
      <w:r w:rsidR="004C6458">
        <w:rPr>
          <w:rFonts w:ascii="Times New Roman" w:hAnsi="Times New Roman" w:cs="Times New Roman"/>
          <w:sz w:val="22"/>
          <w:szCs w:val="22"/>
          <w:lang w:val="en-GB"/>
        </w:rPr>
        <w:t xml:space="preserve">me would be an understatement. </w:t>
      </w:r>
      <w:r w:rsidRPr="004A29F9">
        <w:rPr>
          <w:rFonts w:ascii="Times New Roman" w:hAnsi="Times New Roman" w:cs="Times New Roman"/>
          <w:sz w:val="22"/>
          <w:szCs w:val="22"/>
          <w:lang w:val="en-GB"/>
        </w:rPr>
        <w:t xml:space="preserve">The </w:t>
      </w:r>
      <w:r w:rsidR="00182020" w:rsidRPr="004A29F9">
        <w:rPr>
          <w:rFonts w:ascii="Times New Roman" w:hAnsi="Times New Roman" w:cs="Times New Roman"/>
          <w:sz w:val="22"/>
          <w:szCs w:val="22"/>
          <w:lang w:val="en-GB"/>
        </w:rPr>
        <w:t xml:space="preserve">significant </w:t>
      </w:r>
      <w:r w:rsidRPr="004A29F9">
        <w:rPr>
          <w:rFonts w:ascii="Times New Roman" w:hAnsi="Times New Roman" w:cs="Times New Roman"/>
          <w:sz w:val="22"/>
          <w:szCs w:val="22"/>
          <w:lang w:val="en-GB"/>
        </w:rPr>
        <w:t>gains made by the g</w:t>
      </w:r>
      <w:r w:rsidR="004C6458">
        <w:rPr>
          <w:rFonts w:ascii="Times New Roman" w:hAnsi="Times New Roman" w:cs="Times New Roman"/>
          <w:sz w:val="22"/>
          <w:szCs w:val="22"/>
          <w:lang w:val="en-GB"/>
        </w:rPr>
        <w:t xml:space="preserve">overnment in general and by </w:t>
      </w:r>
      <w:r w:rsidRPr="004A29F9">
        <w:rPr>
          <w:rFonts w:ascii="Times New Roman" w:hAnsi="Times New Roman" w:cs="Times New Roman"/>
          <w:sz w:val="22"/>
          <w:szCs w:val="22"/>
          <w:lang w:val="en-GB"/>
        </w:rPr>
        <w:t>UN</w:t>
      </w:r>
      <w:r w:rsidR="004C6458">
        <w:rPr>
          <w:rFonts w:ascii="Times New Roman" w:hAnsi="Times New Roman" w:cs="Times New Roman"/>
          <w:sz w:val="22"/>
          <w:szCs w:val="22"/>
          <w:lang w:val="en-GB"/>
        </w:rPr>
        <w:t>DP</w:t>
      </w:r>
      <w:r w:rsidRPr="004A29F9">
        <w:rPr>
          <w:rFonts w:ascii="Times New Roman" w:hAnsi="Times New Roman" w:cs="Times New Roman"/>
          <w:sz w:val="22"/>
          <w:szCs w:val="22"/>
          <w:lang w:val="en-GB"/>
        </w:rPr>
        <w:t xml:space="preserve"> and its partners in the </w:t>
      </w:r>
      <w:r w:rsidR="004C6458">
        <w:rPr>
          <w:rFonts w:ascii="Times New Roman" w:hAnsi="Times New Roman" w:cs="Times New Roman"/>
          <w:sz w:val="22"/>
          <w:szCs w:val="22"/>
          <w:lang w:val="en-GB"/>
        </w:rPr>
        <w:t>p</w:t>
      </w:r>
      <w:r w:rsidR="00F31A20" w:rsidRPr="004A29F9">
        <w:rPr>
          <w:rFonts w:ascii="Times New Roman" w:hAnsi="Times New Roman" w:cs="Times New Roman"/>
          <w:sz w:val="22"/>
          <w:szCs w:val="22"/>
          <w:lang w:val="en-GB"/>
        </w:rPr>
        <w:t>rogramme</w:t>
      </w:r>
      <w:r w:rsidR="00FD3C19">
        <w:rPr>
          <w:rFonts w:ascii="Times New Roman" w:hAnsi="Times New Roman" w:cs="Times New Roman"/>
          <w:sz w:val="22"/>
          <w:szCs w:val="22"/>
          <w:lang w:val="en-GB"/>
        </w:rPr>
        <w:t xml:space="preserve"> </w:t>
      </w:r>
      <w:r w:rsidR="004C6458">
        <w:rPr>
          <w:rFonts w:ascii="Times New Roman" w:hAnsi="Times New Roman" w:cs="Times New Roman"/>
          <w:sz w:val="22"/>
          <w:szCs w:val="22"/>
          <w:lang w:val="en-GB"/>
        </w:rPr>
        <w:t xml:space="preserve">in particular </w:t>
      </w:r>
      <w:r w:rsidRPr="004A29F9">
        <w:rPr>
          <w:rFonts w:ascii="Times New Roman" w:hAnsi="Times New Roman" w:cs="Times New Roman"/>
          <w:sz w:val="22"/>
          <w:szCs w:val="22"/>
          <w:lang w:val="en-GB"/>
        </w:rPr>
        <w:t xml:space="preserve">have been made in the face of complex and </w:t>
      </w:r>
      <w:r w:rsidR="00C22170" w:rsidRPr="004A29F9">
        <w:rPr>
          <w:rFonts w:ascii="Times New Roman" w:hAnsi="Times New Roman" w:cs="Times New Roman"/>
          <w:sz w:val="22"/>
          <w:szCs w:val="22"/>
          <w:lang w:val="en-GB"/>
        </w:rPr>
        <w:t>mutually reinforcing</w:t>
      </w:r>
      <w:r w:rsidRPr="004A29F9">
        <w:rPr>
          <w:rFonts w:ascii="Times New Roman" w:hAnsi="Times New Roman" w:cs="Times New Roman"/>
          <w:sz w:val="22"/>
          <w:szCs w:val="22"/>
          <w:lang w:val="en-GB"/>
        </w:rPr>
        <w:t xml:space="preserve"> political, financial, </w:t>
      </w:r>
      <w:r w:rsidR="00182020" w:rsidRPr="004A29F9">
        <w:rPr>
          <w:rFonts w:ascii="Times New Roman" w:hAnsi="Times New Roman" w:cs="Times New Roman"/>
          <w:sz w:val="22"/>
          <w:szCs w:val="22"/>
          <w:lang w:val="en-GB"/>
        </w:rPr>
        <w:t>and geographic challenges that are among the most daunting in the world.</w:t>
      </w:r>
    </w:p>
    <w:p w:rsidR="004C6458" w:rsidRDefault="004C6458" w:rsidP="00FB6759">
      <w:pPr>
        <w:spacing w:after="0" w:line="240" w:lineRule="auto"/>
        <w:jc w:val="both"/>
        <w:rPr>
          <w:rFonts w:ascii="Times New Roman" w:hAnsi="Times New Roman" w:cs="Times New Roman"/>
          <w:sz w:val="22"/>
          <w:szCs w:val="22"/>
          <w:lang w:val="en-GB"/>
        </w:rPr>
      </w:pPr>
    </w:p>
    <w:p w:rsidR="00213782" w:rsidRDefault="00182020"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lastRenderedPageBreak/>
        <w:t xml:space="preserve">Politically, the Israeli occupation has had </w:t>
      </w:r>
      <w:r w:rsidR="00A0080B" w:rsidRPr="004A29F9">
        <w:rPr>
          <w:rFonts w:ascii="Times New Roman" w:hAnsi="Times New Roman" w:cs="Times New Roman"/>
          <w:sz w:val="22"/>
          <w:szCs w:val="22"/>
          <w:lang w:val="en-GB"/>
        </w:rPr>
        <w:t xml:space="preserve">past and </w:t>
      </w:r>
      <w:r w:rsidR="00DD5DAA" w:rsidRPr="004A29F9">
        <w:rPr>
          <w:rFonts w:ascii="Times New Roman" w:hAnsi="Times New Roman" w:cs="Times New Roman"/>
          <w:sz w:val="22"/>
          <w:szCs w:val="22"/>
          <w:lang w:val="en-GB"/>
        </w:rPr>
        <w:t>on-going</w:t>
      </w:r>
      <w:r w:rsidRPr="004A29F9">
        <w:rPr>
          <w:rFonts w:ascii="Times New Roman" w:hAnsi="Times New Roman" w:cs="Times New Roman"/>
          <w:sz w:val="22"/>
          <w:szCs w:val="22"/>
          <w:lang w:val="en-GB"/>
        </w:rPr>
        <w:t xml:space="preserve"> negative effects on efforts to strengthen justice and rule of law in </w:t>
      </w:r>
      <w:r w:rsidR="004C6458">
        <w:rPr>
          <w:rFonts w:ascii="Times New Roman" w:hAnsi="Times New Roman" w:cs="Times New Roman"/>
          <w:sz w:val="22"/>
          <w:szCs w:val="22"/>
          <w:lang w:val="en-GB"/>
        </w:rPr>
        <w:t>the oPt</w:t>
      </w:r>
      <w:r w:rsidRPr="004A29F9">
        <w:rPr>
          <w:rFonts w:ascii="Times New Roman" w:hAnsi="Times New Roman" w:cs="Times New Roman"/>
          <w:sz w:val="22"/>
          <w:szCs w:val="22"/>
          <w:lang w:val="en-GB"/>
        </w:rPr>
        <w:t>.</w:t>
      </w:r>
      <w:r w:rsidR="00227679">
        <w:rPr>
          <w:rFonts w:ascii="Times New Roman" w:hAnsi="Times New Roman" w:cs="Times New Roman"/>
          <w:sz w:val="22"/>
          <w:szCs w:val="22"/>
          <w:lang w:val="en-GB"/>
        </w:rPr>
        <w:t xml:space="preserve"> </w:t>
      </w:r>
      <w:r w:rsidR="00A0080B" w:rsidRPr="004A29F9">
        <w:rPr>
          <w:rFonts w:ascii="Times New Roman" w:hAnsi="Times New Roman" w:cs="Times New Roman"/>
          <w:sz w:val="22"/>
          <w:szCs w:val="22"/>
          <w:lang w:val="en-GB"/>
        </w:rPr>
        <w:t xml:space="preserve">Many of these effects are rooted in past perceptions that persist today in the form of mistrust for the rule of law generally: under the occupation, law and its enforcement has been seen </w:t>
      </w:r>
      <w:r w:rsidRPr="004A29F9">
        <w:rPr>
          <w:rFonts w:ascii="Times New Roman" w:hAnsi="Times New Roman" w:cs="Times New Roman"/>
          <w:sz w:val="22"/>
          <w:szCs w:val="22"/>
          <w:lang w:val="en-GB"/>
        </w:rPr>
        <w:t xml:space="preserve">as </w:t>
      </w:r>
      <w:r w:rsidR="00A0080B" w:rsidRPr="004A29F9">
        <w:rPr>
          <w:rFonts w:ascii="Times New Roman" w:hAnsi="Times New Roman" w:cs="Times New Roman"/>
          <w:sz w:val="22"/>
          <w:szCs w:val="22"/>
          <w:lang w:val="en-GB"/>
        </w:rPr>
        <w:t xml:space="preserve">a function of Israeli will, undermining respect for justice institutions and pushing Palestinians to turn </w:t>
      </w:r>
      <w:r w:rsidR="00F97D80" w:rsidRPr="004A29F9">
        <w:rPr>
          <w:rFonts w:ascii="Times New Roman" w:hAnsi="Times New Roman" w:cs="Times New Roman"/>
          <w:sz w:val="22"/>
          <w:szCs w:val="22"/>
          <w:lang w:val="en-GB"/>
        </w:rPr>
        <w:t xml:space="preserve">to informal mechanisms </w:t>
      </w:r>
      <w:r w:rsidR="00A0080B" w:rsidRPr="004A29F9">
        <w:rPr>
          <w:rFonts w:ascii="Times New Roman" w:hAnsi="Times New Roman" w:cs="Times New Roman"/>
          <w:sz w:val="22"/>
          <w:szCs w:val="22"/>
          <w:lang w:val="en-GB"/>
        </w:rPr>
        <w:t>to resolve disputes</w:t>
      </w:r>
      <w:r w:rsidR="004C6458">
        <w:rPr>
          <w:rFonts w:ascii="Times New Roman" w:hAnsi="Times New Roman" w:cs="Times New Roman"/>
          <w:sz w:val="22"/>
          <w:szCs w:val="22"/>
          <w:lang w:val="en-GB"/>
        </w:rPr>
        <w:t xml:space="preserve"> - </w:t>
      </w:r>
      <w:r w:rsidR="00213782" w:rsidRPr="004A29F9">
        <w:rPr>
          <w:rFonts w:ascii="Times New Roman" w:hAnsi="Times New Roman" w:cs="Times New Roman"/>
          <w:sz w:val="22"/>
          <w:szCs w:val="22"/>
          <w:lang w:val="en-GB"/>
        </w:rPr>
        <w:t>mechanisms with no guarantee of fair trials or respect for international standards of human rights</w:t>
      </w:r>
      <w:r w:rsidR="00A0080B" w:rsidRPr="004A29F9">
        <w:rPr>
          <w:rFonts w:ascii="Times New Roman" w:hAnsi="Times New Roman" w:cs="Times New Roman"/>
          <w:sz w:val="22"/>
          <w:szCs w:val="22"/>
          <w:lang w:val="en-GB"/>
        </w:rPr>
        <w:t>.</w:t>
      </w:r>
      <w:r w:rsidR="00A0080B" w:rsidRPr="004A29F9">
        <w:rPr>
          <w:rStyle w:val="FootnoteReference"/>
          <w:rFonts w:ascii="Times New Roman" w:hAnsi="Times New Roman" w:cs="Times New Roman"/>
          <w:sz w:val="22"/>
          <w:szCs w:val="22"/>
          <w:lang w:val="en-GB"/>
        </w:rPr>
        <w:footnoteReference w:id="11"/>
      </w:r>
      <w:r w:rsidR="00B42D6C" w:rsidRPr="004A29F9">
        <w:rPr>
          <w:rFonts w:ascii="Times New Roman" w:hAnsi="Times New Roman" w:cs="Times New Roman"/>
          <w:sz w:val="22"/>
          <w:szCs w:val="22"/>
          <w:lang w:val="en-GB"/>
        </w:rPr>
        <w:t>As outlined below, the Israeli occupation and its attendant restrictions on movement and access have also created significant logistical challenges, as</w:t>
      </w:r>
      <w:r w:rsidR="004C6458">
        <w:rPr>
          <w:rFonts w:ascii="Times New Roman" w:hAnsi="Times New Roman" w:cs="Times New Roman"/>
          <w:sz w:val="22"/>
          <w:szCs w:val="22"/>
          <w:lang w:val="en-GB"/>
        </w:rPr>
        <w:t xml:space="preserve"> has the split between the West Bank and Gaza.</w:t>
      </w:r>
    </w:p>
    <w:p w:rsidR="004C6458" w:rsidRPr="004A29F9" w:rsidRDefault="004C6458" w:rsidP="00FB6759">
      <w:pPr>
        <w:spacing w:after="0" w:line="240" w:lineRule="auto"/>
        <w:jc w:val="both"/>
        <w:rPr>
          <w:rFonts w:ascii="Times New Roman" w:hAnsi="Times New Roman" w:cs="Times New Roman"/>
          <w:sz w:val="22"/>
          <w:szCs w:val="22"/>
          <w:lang w:val="en-GB"/>
        </w:rPr>
      </w:pPr>
    </w:p>
    <w:p w:rsidR="00213782" w:rsidRPr="004A29F9" w:rsidRDefault="00213782"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International politics </w:t>
      </w:r>
      <w:r w:rsidR="00F97D80" w:rsidRPr="004A29F9">
        <w:rPr>
          <w:rFonts w:ascii="Times New Roman" w:hAnsi="Times New Roman" w:cs="Times New Roman"/>
          <w:sz w:val="22"/>
          <w:szCs w:val="22"/>
          <w:lang w:val="en-GB"/>
        </w:rPr>
        <w:t xml:space="preserve">also add </w:t>
      </w:r>
      <w:r w:rsidRPr="004A29F9">
        <w:rPr>
          <w:rFonts w:ascii="Times New Roman" w:hAnsi="Times New Roman" w:cs="Times New Roman"/>
          <w:sz w:val="22"/>
          <w:szCs w:val="22"/>
          <w:lang w:val="en-GB"/>
        </w:rPr>
        <w:t>complexity to capacity-building efforts, particularly with regards to funding.</w:t>
      </w:r>
      <w:r w:rsidR="00FD3C19">
        <w:rPr>
          <w:rFonts w:ascii="Times New Roman" w:hAnsi="Times New Roman" w:cs="Times New Roman"/>
          <w:sz w:val="22"/>
          <w:szCs w:val="22"/>
          <w:lang w:val="en-GB"/>
        </w:rPr>
        <w:t xml:space="preserve"> </w:t>
      </w:r>
      <w:r w:rsidR="0027491C" w:rsidRPr="004A29F9">
        <w:rPr>
          <w:rFonts w:ascii="Times New Roman" w:hAnsi="Times New Roman" w:cs="Times New Roman"/>
          <w:sz w:val="22"/>
          <w:szCs w:val="22"/>
          <w:lang w:val="en-GB"/>
        </w:rPr>
        <w:t xml:space="preserve">The justice sector often finds itself in competition for donor support and funding with </w:t>
      </w:r>
      <w:r w:rsidR="000C369C" w:rsidRPr="004A29F9">
        <w:rPr>
          <w:rFonts w:ascii="Times New Roman" w:hAnsi="Times New Roman" w:cs="Times New Roman"/>
          <w:sz w:val="22"/>
          <w:szCs w:val="22"/>
          <w:lang w:val="en-GB"/>
        </w:rPr>
        <w:t xml:space="preserve">the </w:t>
      </w:r>
      <w:r w:rsidR="00B42D6C" w:rsidRPr="004A29F9">
        <w:rPr>
          <w:rFonts w:ascii="Times New Roman" w:hAnsi="Times New Roman" w:cs="Times New Roman"/>
          <w:sz w:val="22"/>
          <w:szCs w:val="22"/>
          <w:lang w:val="en-GB"/>
        </w:rPr>
        <w:t>security sector, despite the two sectors being essential and complementary components of sustainable rule of law.</w:t>
      </w:r>
      <w:r w:rsidR="00B42D6C" w:rsidRPr="004A29F9">
        <w:rPr>
          <w:rStyle w:val="FootnoteReference"/>
          <w:rFonts w:ascii="Times New Roman" w:hAnsi="Times New Roman" w:cs="Times New Roman"/>
          <w:sz w:val="22"/>
          <w:szCs w:val="22"/>
          <w:lang w:val="en-GB"/>
        </w:rPr>
        <w:footnoteReference w:id="12"/>
      </w:r>
      <w:r w:rsidR="001A02B2">
        <w:rPr>
          <w:rFonts w:ascii="Times New Roman" w:hAnsi="Times New Roman" w:cs="Times New Roman"/>
          <w:sz w:val="22"/>
          <w:szCs w:val="22"/>
          <w:lang w:val="en-GB"/>
        </w:rPr>
        <w:t xml:space="preserve">Some donors </w:t>
      </w:r>
      <w:r w:rsidR="0055351F" w:rsidRPr="004A29F9">
        <w:rPr>
          <w:rFonts w:ascii="Times New Roman" w:hAnsi="Times New Roman" w:cs="Times New Roman"/>
          <w:sz w:val="22"/>
          <w:szCs w:val="22"/>
          <w:lang w:val="en-GB"/>
        </w:rPr>
        <w:t>impose complex requirements and restrictions that, in turn, are dictated by their own countries’ internal politics.</w:t>
      </w:r>
      <w:r w:rsidR="0055351F" w:rsidRPr="004A29F9">
        <w:rPr>
          <w:rStyle w:val="FootnoteReference"/>
          <w:rFonts w:ascii="Times New Roman" w:hAnsi="Times New Roman" w:cs="Times New Roman"/>
          <w:sz w:val="22"/>
          <w:szCs w:val="22"/>
          <w:lang w:val="en-GB"/>
        </w:rPr>
        <w:footnoteReference w:id="13"/>
      </w:r>
      <w:r w:rsidRPr="004A29F9">
        <w:rPr>
          <w:rFonts w:ascii="Times New Roman" w:hAnsi="Times New Roman" w:cs="Times New Roman"/>
          <w:sz w:val="22"/>
          <w:szCs w:val="22"/>
          <w:lang w:val="en-GB"/>
        </w:rPr>
        <w:t>Last but not least, the recent push for statehood</w:t>
      </w:r>
      <w:r w:rsidR="00FD3C19">
        <w:rPr>
          <w:rFonts w:ascii="Times New Roman" w:hAnsi="Times New Roman" w:cs="Times New Roman"/>
          <w:sz w:val="22"/>
          <w:szCs w:val="22"/>
          <w:lang w:val="en-GB"/>
        </w:rPr>
        <w:t xml:space="preserve"> </w:t>
      </w:r>
      <w:r w:rsidRPr="004A29F9">
        <w:rPr>
          <w:rFonts w:ascii="Times New Roman" w:hAnsi="Times New Roman" w:cs="Times New Roman"/>
          <w:sz w:val="22"/>
          <w:szCs w:val="22"/>
          <w:lang w:val="en-GB"/>
        </w:rPr>
        <w:t>at the United Nations has the potential to add to the overall situation of uncertainty.</w:t>
      </w:r>
      <w:r w:rsidRPr="004A29F9">
        <w:rPr>
          <w:rStyle w:val="FootnoteReference"/>
          <w:rFonts w:ascii="Times New Roman" w:hAnsi="Times New Roman" w:cs="Times New Roman"/>
          <w:sz w:val="22"/>
          <w:szCs w:val="22"/>
          <w:lang w:val="en-GB"/>
        </w:rPr>
        <w:footnoteReference w:id="14"/>
      </w:r>
      <w:r w:rsidR="00041AD7" w:rsidRPr="004A29F9">
        <w:rPr>
          <w:rFonts w:ascii="Times New Roman" w:hAnsi="Times New Roman" w:cs="Times New Roman"/>
          <w:sz w:val="22"/>
          <w:szCs w:val="22"/>
          <w:lang w:val="en-GB"/>
        </w:rPr>
        <w:t>While the pursuit of full statehood undoubtedly has critical tangible and</w:t>
      </w:r>
      <w:r w:rsidR="001A02B2">
        <w:rPr>
          <w:rFonts w:ascii="Times New Roman" w:hAnsi="Times New Roman" w:cs="Times New Roman"/>
          <w:sz w:val="22"/>
          <w:szCs w:val="22"/>
          <w:lang w:val="en-GB"/>
        </w:rPr>
        <w:t xml:space="preserve"> intangible value, recent events at the United Nations </w:t>
      </w:r>
      <w:r w:rsidR="00041AD7" w:rsidRPr="004A29F9">
        <w:rPr>
          <w:rFonts w:ascii="Times New Roman" w:hAnsi="Times New Roman" w:cs="Times New Roman"/>
          <w:sz w:val="22"/>
          <w:szCs w:val="22"/>
          <w:lang w:val="en-GB"/>
        </w:rPr>
        <w:t>are likely to restrict or at least shift the focus of assistance provided by key donors and partners.</w:t>
      </w:r>
    </w:p>
    <w:p w:rsidR="004C6458" w:rsidRDefault="004C6458" w:rsidP="00FB6759">
      <w:pPr>
        <w:spacing w:after="0" w:line="240" w:lineRule="auto"/>
        <w:jc w:val="both"/>
        <w:rPr>
          <w:rFonts w:ascii="Times New Roman" w:hAnsi="Times New Roman" w:cs="Times New Roman"/>
          <w:sz w:val="22"/>
          <w:szCs w:val="22"/>
          <w:lang w:val="en-GB"/>
        </w:rPr>
      </w:pPr>
    </w:p>
    <w:p w:rsidR="00213782" w:rsidRDefault="00213782"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Financially, the fragile state of the Palestinian economy, compounded by the global downturn and its effects on international funding, has limited the capacity for gro</w:t>
      </w:r>
      <w:r w:rsidR="001A02B2">
        <w:rPr>
          <w:rFonts w:ascii="Times New Roman" w:hAnsi="Times New Roman" w:cs="Times New Roman"/>
          <w:sz w:val="22"/>
          <w:szCs w:val="22"/>
          <w:lang w:val="en-GB"/>
        </w:rPr>
        <w:t xml:space="preserve">wth within the justice sector. </w:t>
      </w:r>
      <w:r w:rsidRPr="004A29F9">
        <w:rPr>
          <w:rFonts w:ascii="Times New Roman" w:hAnsi="Times New Roman" w:cs="Times New Roman"/>
          <w:sz w:val="22"/>
          <w:szCs w:val="22"/>
          <w:lang w:val="en-GB"/>
        </w:rPr>
        <w:t xml:space="preserve">In 2007, </w:t>
      </w:r>
      <w:r w:rsidR="001A02B2">
        <w:rPr>
          <w:rFonts w:ascii="Times New Roman" w:hAnsi="Times New Roman" w:cs="Times New Roman"/>
          <w:sz w:val="22"/>
          <w:szCs w:val="22"/>
          <w:lang w:val="en-GB"/>
        </w:rPr>
        <w:t>the oPt</w:t>
      </w:r>
      <w:r w:rsidR="00227679">
        <w:rPr>
          <w:rFonts w:ascii="Times New Roman" w:hAnsi="Times New Roman" w:cs="Times New Roman"/>
          <w:sz w:val="22"/>
          <w:szCs w:val="22"/>
          <w:lang w:val="en-GB"/>
        </w:rPr>
        <w:t xml:space="preserve"> </w:t>
      </w:r>
      <w:r w:rsidRPr="004A29F9">
        <w:rPr>
          <w:rFonts w:ascii="Times New Roman" w:hAnsi="Times New Roman" w:cs="Times New Roman"/>
          <w:sz w:val="22"/>
          <w:szCs w:val="22"/>
          <w:lang w:val="en-GB"/>
        </w:rPr>
        <w:t>underwent a major economic crisis that resulted in near-collapse of the economy, with per capita GDP declining by more than one-third in real terms from 1999 to 2007.</w:t>
      </w:r>
      <w:r w:rsidRPr="004A29F9">
        <w:rPr>
          <w:rStyle w:val="FootnoteReference"/>
          <w:rFonts w:ascii="Times New Roman" w:hAnsi="Times New Roman" w:cs="Times New Roman"/>
          <w:sz w:val="22"/>
          <w:szCs w:val="22"/>
          <w:lang w:val="en-GB"/>
        </w:rPr>
        <w:footnoteReference w:id="15"/>
      </w:r>
    </w:p>
    <w:p w:rsidR="001A02B2" w:rsidRPr="004A29F9" w:rsidRDefault="001A02B2" w:rsidP="00FB6759">
      <w:pPr>
        <w:spacing w:after="0" w:line="240" w:lineRule="auto"/>
        <w:jc w:val="both"/>
        <w:rPr>
          <w:rFonts w:ascii="Times New Roman" w:hAnsi="Times New Roman" w:cs="Times New Roman"/>
          <w:sz w:val="22"/>
          <w:szCs w:val="22"/>
          <w:lang w:val="en-GB"/>
        </w:rPr>
      </w:pPr>
    </w:p>
    <w:p w:rsidR="001A02B2" w:rsidRDefault="00213782"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Geographically, </w:t>
      </w:r>
      <w:r w:rsidR="00F81692" w:rsidRPr="004A29F9">
        <w:rPr>
          <w:rFonts w:ascii="Times New Roman" w:hAnsi="Times New Roman" w:cs="Times New Roman"/>
          <w:sz w:val="22"/>
          <w:szCs w:val="22"/>
          <w:lang w:val="en-GB"/>
        </w:rPr>
        <w:t>efforts to build justice institutions and practices has been severely hampered by the geographic divisions imposed by the Israeli occupation and the division created by the split between the West Bank and Gaza that resulted from the 2007 takeov</w:t>
      </w:r>
      <w:r w:rsidR="001A02B2">
        <w:rPr>
          <w:rFonts w:ascii="Times New Roman" w:hAnsi="Times New Roman" w:cs="Times New Roman"/>
          <w:sz w:val="22"/>
          <w:szCs w:val="22"/>
          <w:lang w:val="en-GB"/>
        </w:rPr>
        <w:t>er of the Gaza Strip by Hamas.</w:t>
      </w:r>
    </w:p>
    <w:p w:rsidR="001A02B2" w:rsidRDefault="001A02B2" w:rsidP="00FB6759">
      <w:pPr>
        <w:spacing w:after="0" w:line="240" w:lineRule="auto"/>
        <w:jc w:val="both"/>
        <w:rPr>
          <w:rFonts w:ascii="Times New Roman" w:hAnsi="Times New Roman" w:cs="Times New Roman"/>
          <w:sz w:val="22"/>
          <w:szCs w:val="22"/>
          <w:lang w:val="en-GB"/>
        </w:rPr>
      </w:pPr>
    </w:p>
    <w:p w:rsidR="00346945" w:rsidRPr="004A29F9" w:rsidRDefault="00F81692"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At a basic operations level, these geographic divisions present coordination and cohesion challenges, making it much more d</w:t>
      </w:r>
      <w:r w:rsidR="009A6D50" w:rsidRPr="004A29F9">
        <w:rPr>
          <w:rFonts w:ascii="Times New Roman" w:hAnsi="Times New Roman" w:cs="Times New Roman"/>
          <w:sz w:val="22"/>
          <w:szCs w:val="22"/>
          <w:lang w:val="en-GB"/>
        </w:rPr>
        <w:t xml:space="preserve">ifficult to investigate crimes, </w:t>
      </w:r>
      <w:r w:rsidRPr="004A29F9">
        <w:rPr>
          <w:rFonts w:ascii="Times New Roman" w:hAnsi="Times New Roman" w:cs="Times New Roman"/>
          <w:sz w:val="22"/>
          <w:szCs w:val="22"/>
          <w:lang w:val="en-GB"/>
        </w:rPr>
        <w:t xml:space="preserve">share </w:t>
      </w:r>
      <w:r w:rsidR="00382561" w:rsidRPr="004A29F9">
        <w:rPr>
          <w:rFonts w:ascii="Times New Roman" w:hAnsi="Times New Roman" w:cs="Times New Roman"/>
          <w:sz w:val="22"/>
          <w:szCs w:val="22"/>
          <w:lang w:val="en-GB"/>
        </w:rPr>
        <w:t xml:space="preserve">resources </w:t>
      </w:r>
      <w:r w:rsidR="009A6D50" w:rsidRPr="004A29F9">
        <w:rPr>
          <w:rFonts w:ascii="Times New Roman" w:hAnsi="Times New Roman" w:cs="Times New Roman"/>
          <w:sz w:val="22"/>
          <w:szCs w:val="22"/>
          <w:lang w:val="en-GB"/>
        </w:rPr>
        <w:t>and personnel, and monitor results.</w:t>
      </w:r>
      <w:r w:rsidR="00FD3C19">
        <w:rPr>
          <w:rFonts w:ascii="Times New Roman" w:hAnsi="Times New Roman" w:cs="Times New Roman"/>
          <w:sz w:val="22"/>
          <w:szCs w:val="22"/>
          <w:lang w:val="en-GB"/>
        </w:rPr>
        <w:t xml:space="preserve"> </w:t>
      </w:r>
      <w:r w:rsidRPr="004A29F9">
        <w:rPr>
          <w:rFonts w:ascii="Times New Roman" w:hAnsi="Times New Roman" w:cs="Times New Roman"/>
          <w:sz w:val="22"/>
          <w:szCs w:val="22"/>
          <w:lang w:val="en-GB"/>
        </w:rPr>
        <w:t>But the negative i</w:t>
      </w:r>
      <w:r w:rsidR="001A02B2">
        <w:rPr>
          <w:rFonts w:ascii="Times New Roman" w:hAnsi="Times New Roman" w:cs="Times New Roman"/>
          <w:sz w:val="22"/>
          <w:szCs w:val="22"/>
          <w:lang w:val="en-GB"/>
        </w:rPr>
        <w:t>mpact created by these geopolitical</w:t>
      </w:r>
      <w:r w:rsidRPr="004A29F9">
        <w:rPr>
          <w:rFonts w:ascii="Times New Roman" w:hAnsi="Times New Roman" w:cs="Times New Roman"/>
          <w:sz w:val="22"/>
          <w:szCs w:val="22"/>
          <w:lang w:val="en-GB"/>
        </w:rPr>
        <w:t xml:space="preserve"> divisions is more serious </w:t>
      </w:r>
      <w:r w:rsidR="00312FC6" w:rsidRPr="004A29F9">
        <w:rPr>
          <w:rFonts w:ascii="Times New Roman" w:hAnsi="Times New Roman" w:cs="Times New Roman"/>
          <w:sz w:val="22"/>
          <w:szCs w:val="22"/>
          <w:lang w:val="en-GB"/>
        </w:rPr>
        <w:t>at</w:t>
      </w:r>
      <w:r w:rsidR="001A02B2">
        <w:rPr>
          <w:rFonts w:ascii="Times New Roman" w:hAnsi="Times New Roman" w:cs="Times New Roman"/>
          <w:sz w:val="22"/>
          <w:szCs w:val="22"/>
          <w:lang w:val="en-GB"/>
        </w:rPr>
        <w:t xml:space="preserve"> the substantive level. </w:t>
      </w:r>
      <w:r w:rsidRPr="004A29F9">
        <w:rPr>
          <w:rFonts w:ascii="Times New Roman" w:hAnsi="Times New Roman" w:cs="Times New Roman"/>
          <w:sz w:val="22"/>
          <w:szCs w:val="22"/>
          <w:lang w:val="en-GB"/>
        </w:rPr>
        <w:t>In particular,</w:t>
      </w:r>
      <w:r w:rsidR="00543DED" w:rsidRPr="004A29F9">
        <w:rPr>
          <w:rFonts w:ascii="Times New Roman" w:hAnsi="Times New Roman" w:cs="Times New Roman"/>
          <w:sz w:val="22"/>
          <w:szCs w:val="22"/>
          <w:lang w:val="en-GB"/>
        </w:rPr>
        <w:t xml:space="preserve"> travel </w:t>
      </w:r>
      <w:r w:rsidR="00602F39" w:rsidRPr="004A29F9">
        <w:rPr>
          <w:rFonts w:ascii="Times New Roman" w:hAnsi="Times New Roman" w:cs="Times New Roman"/>
          <w:sz w:val="22"/>
          <w:szCs w:val="22"/>
          <w:lang w:val="en-GB"/>
        </w:rPr>
        <w:t>restrictions</w:t>
      </w:r>
      <w:r w:rsidR="00312FC6" w:rsidRPr="004A29F9">
        <w:rPr>
          <w:rFonts w:ascii="Times New Roman" w:hAnsi="Times New Roman" w:cs="Times New Roman"/>
          <w:sz w:val="22"/>
          <w:szCs w:val="22"/>
          <w:lang w:val="en-GB"/>
        </w:rPr>
        <w:t xml:space="preserve"> imposed by Israel have made it </w:t>
      </w:r>
      <w:r w:rsidR="00346945" w:rsidRPr="004A29F9">
        <w:rPr>
          <w:rFonts w:ascii="Times New Roman" w:hAnsi="Times New Roman" w:cs="Times New Roman"/>
          <w:sz w:val="22"/>
          <w:szCs w:val="22"/>
          <w:lang w:val="en-GB"/>
        </w:rPr>
        <w:t>extremely difficult</w:t>
      </w:r>
      <w:r w:rsidR="00312FC6" w:rsidRPr="004A29F9">
        <w:rPr>
          <w:rFonts w:ascii="Times New Roman" w:hAnsi="Times New Roman" w:cs="Times New Roman"/>
          <w:sz w:val="22"/>
          <w:szCs w:val="22"/>
          <w:lang w:val="en-GB"/>
        </w:rPr>
        <w:t xml:space="preserve"> for Palestinian institutions and civil society (whether Palestinian or Israeli) to address impunity for settler violence.</w:t>
      </w:r>
      <w:r w:rsidR="00312FC6" w:rsidRPr="004A29F9">
        <w:rPr>
          <w:rStyle w:val="FootnoteReference"/>
          <w:rFonts w:ascii="Times New Roman" w:hAnsi="Times New Roman" w:cs="Times New Roman"/>
          <w:sz w:val="22"/>
          <w:szCs w:val="22"/>
          <w:lang w:val="en-GB"/>
        </w:rPr>
        <w:footnoteReference w:id="16"/>
      </w:r>
      <w:r w:rsidR="00346945" w:rsidRPr="004A29F9">
        <w:rPr>
          <w:rFonts w:ascii="Times New Roman" w:hAnsi="Times New Roman" w:cs="Times New Roman"/>
          <w:sz w:val="22"/>
          <w:szCs w:val="22"/>
          <w:lang w:val="en-GB"/>
        </w:rPr>
        <w:t>In a striking example of how an absence of the rule of law can negatively transform communities, a recent report by the UN’s Office for the Coordination of Humanitarian Affairs (OCHA) noted that hom</w:t>
      </w:r>
      <w:r w:rsidR="001A02B2">
        <w:rPr>
          <w:rFonts w:ascii="Times New Roman" w:hAnsi="Times New Roman" w:cs="Times New Roman"/>
          <w:sz w:val="22"/>
          <w:szCs w:val="22"/>
          <w:lang w:val="en-GB"/>
        </w:rPr>
        <w:t>e demolition, land confiscation</w:t>
      </w:r>
      <w:r w:rsidR="00346945" w:rsidRPr="004A29F9">
        <w:rPr>
          <w:rFonts w:ascii="Times New Roman" w:hAnsi="Times New Roman" w:cs="Times New Roman"/>
          <w:sz w:val="22"/>
          <w:szCs w:val="22"/>
          <w:lang w:val="en-GB"/>
        </w:rPr>
        <w:t xml:space="preserve"> and settler violence unchecked by justice mechanisms has created a state of insecurity and hardship that has forced many families to leave their homes.</w:t>
      </w:r>
      <w:r w:rsidR="00346945" w:rsidRPr="004A29F9">
        <w:rPr>
          <w:rStyle w:val="FootnoteReference"/>
          <w:rFonts w:ascii="Times New Roman" w:hAnsi="Times New Roman" w:cs="Times New Roman"/>
          <w:sz w:val="22"/>
          <w:szCs w:val="22"/>
          <w:lang w:val="en-GB"/>
        </w:rPr>
        <w:footnoteReference w:id="17"/>
      </w:r>
    </w:p>
    <w:p w:rsidR="001A02B2" w:rsidRDefault="001A02B2" w:rsidP="00FB6759">
      <w:pPr>
        <w:pStyle w:val="CommentText"/>
        <w:spacing w:after="0"/>
        <w:jc w:val="both"/>
        <w:rPr>
          <w:rFonts w:ascii="Times New Roman" w:hAnsi="Times New Roman" w:cs="Times New Roman"/>
          <w:sz w:val="22"/>
          <w:szCs w:val="22"/>
          <w:lang w:val="en-GB"/>
        </w:rPr>
      </w:pPr>
    </w:p>
    <w:p w:rsidR="00A2067C" w:rsidRDefault="00146082" w:rsidP="00FB6759">
      <w:pPr>
        <w:pStyle w:val="CommentText"/>
        <w:spacing w:after="0"/>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Similarly, i</w:t>
      </w:r>
      <w:r w:rsidR="00346945" w:rsidRPr="004A29F9">
        <w:rPr>
          <w:rFonts w:ascii="Times New Roman" w:hAnsi="Times New Roman" w:cs="Times New Roman"/>
          <w:sz w:val="22"/>
          <w:szCs w:val="22"/>
          <w:lang w:val="en-GB"/>
        </w:rPr>
        <w:t>n Gaza, Hamas</w:t>
      </w:r>
      <w:r w:rsidR="00A26EA6" w:rsidRPr="004A29F9">
        <w:rPr>
          <w:rFonts w:ascii="Times New Roman" w:hAnsi="Times New Roman" w:cs="Times New Roman"/>
          <w:sz w:val="22"/>
          <w:szCs w:val="22"/>
          <w:lang w:val="en-GB"/>
        </w:rPr>
        <w:t>-led</w:t>
      </w:r>
      <w:r w:rsidRPr="004A29F9">
        <w:rPr>
          <w:rFonts w:ascii="Times New Roman" w:hAnsi="Times New Roman" w:cs="Times New Roman"/>
          <w:sz w:val="22"/>
          <w:szCs w:val="22"/>
          <w:lang w:val="en-GB"/>
        </w:rPr>
        <w:t xml:space="preserve"> rule</w:t>
      </w:r>
      <w:r w:rsidR="00346945" w:rsidRPr="004A29F9">
        <w:rPr>
          <w:rFonts w:ascii="Times New Roman" w:hAnsi="Times New Roman" w:cs="Times New Roman"/>
          <w:sz w:val="22"/>
          <w:szCs w:val="22"/>
          <w:lang w:val="en-GB"/>
        </w:rPr>
        <w:t xml:space="preserve"> has resulted in a </w:t>
      </w:r>
      <w:r w:rsidRPr="004A29F9">
        <w:rPr>
          <w:rFonts w:ascii="Times New Roman" w:hAnsi="Times New Roman" w:cs="Times New Roman"/>
          <w:sz w:val="22"/>
          <w:szCs w:val="22"/>
          <w:lang w:val="en-GB"/>
        </w:rPr>
        <w:t xml:space="preserve">serious </w:t>
      </w:r>
      <w:r w:rsidR="00346945" w:rsidRPr="004A29F9">
        <w:rPr>
          <w:rFonts w:ascii="Times New Roman" w:hAnsi="Times New Roman" w:cs="Times New Roman"/>
          <w:sz w:val="22"/>
          <w:szCs w:val="22"/>
          <w:lang w:val="en-GB"/>
        </w:rPr>
        <w:t>lack of support to rule of law institutions</w:t>
      </w:r>
      <w:r w:rsidR="001A02B2">
        <w:rPr>
          <w:rFonts w:ascii="Times New Roman" w:hAnsi="Times New Roman" w:cs="Times New Roman"/>
          <w:sz w:val="22"/>
          <w:szCs w:val="22"/>
          <w:lang w:val="en-GB"/>
        </w:rPr>
        <w:t xml:space="preserve">. </w:t>
      </w:r>
      <w:r w:rsidRPr="004A29F9">
        <w:rPr>
          <w:rFonts w:ascii="Times New Roman" w:hAnsi="Times New Roman" w:cs="Times New Roman"/>
          <w:sz w:val="22"/>
          <w:szCs w:val="22"/>
          <w:lang w:val="en-GB"/>
        </w:rPr>
        <w:t xml:space="preserve">In the absence of alternatives, the citizens of Gaza have </w:t>
      </w:r>
      <w:r w:rsidR="00346945" w:rsidRPr="004A29F9">
        <w:rPr>
          <w:rFonts w:ascii="Times New Roman" w:hAnsi="Times New Roman" w:cs="Times New Roman"/>
          <w:sz w:val="22"/>
          <w:szCs w:val="22"/>
          <w:lang w:val="en-GB"/>
        </w:rPr>
        <w:t xml:space="preserve">resorted almost entirely to informal justice </w:t>
      </w:r>
      <w:r w:rsidRPr="004A29F9">
        <w:rPr>
          <w:rFonts w:ascii="Times New Roman" w:hAnsi="Times New Roman" w:cs="Times New Roman"/>
          <w:sz w:val="22"/>
          <w:szCs w:val="22"/>
          <w:lang w:val="en-GB"/>
        </w:rPr>
        <w:t>mechanisms</w:t>
      </w:r>
      <w:r w:rsidR="00346945" w:rsidRPr="004A29F9">
        <w:rPr>
          <w:rFonts w:ascii="Times New Roman" w:hAnsi="Times New Roman" w:cs="Times New Roman"/>
          <w:sz w:val="22"/>
          <w:szCs w:val="22"/>
          <w:lang w:val="en-GB"/>
        </w:rPr>
        <w:t xml:space="preserve">, </w:t>
      </w:r>
      <w:r w:rsidRPr="004A29F9">
        <w:rPr>
          <w:rFonts w:ascii="Times New Roman" w:hAnsi="Times New Roman" w:cs="Times New Roman"/>
          <w:sz w:val="22"/>
          <w:szCs w:val="22"/>
          <w:lang w:val="en-GB"/>
        </w:rPr>
        <w:t xml:space="preserve">which lack standards for equal protection and human rights, and women’s rights in </w:t>
      </w:r>
      <w:r w:rsidRPr="004A29F9">
        <w:rPr>
          <w:rFonts w:ascii="Times New Roman" w:hAnsi="Times New Roman" w:cs="Times New Roman"/>
          <w:sz w:val="22"/>
          <w:szCs w:val="22"/>
          <w:lang w:val="en-GB"/>
        </w:rPr>
        <w:lastRenderedPageBreak/>
        <w:t>particular.</w:t>
      </w:r>
      <w:r w:rsidRPr="004A29F9">
        <w:rPr>
          <w:rStyle w:val="FootnoteReference"/>
          <w:rFonts w:ascii="Times New Roman" w:hAnsi="Times New Roman" w:cs="Times New Roman"/>
          <w:sz w:val="22"/>
          <w:szCs w:val="22"/>
          <w:lang w:val="en-GB"/>
        </w:rPr>
        <w:footnoteReference w:id="18"/>
      </w:r>
      <w:r w:rsidR="00A2067C" w:rsidRPr="004A29F9">
        <w:rPr>
          <w:rFonts w:ascii="Times New Roman" w:hAnsi="Times New Roman" w:cs="Times New Roman"/>
          <w:sz w:val="22"/>
          <w:szCs w:val="22"/>
          <w:lang w:val="en-GB"/>
        </w:rPr>
        <w:t>Historically, informal justice has played a more important role in the Gaza Strip than in the West Bank</w:t>
      </w:r>
      <w:r w:rsidR="001A02B2">
        <w:rPr>
          <w:rFonts w:ascii="Times New Roman" w:hAnsi="Times New Roman" w:cs="Times New Roman"/>
          <w:sz w:val="22"/>
          <w:szCs w:val="22"/>
          <w:lang w:val="en-GB"/>
        </w:rPr>
        <w:t>.</w:t>
      </w:r>
    </w:p>
    <w:p w:rsidR="001A02B2" w:rsidRPr="004A29F9" w:rsidRDefault="001A02B2" w:rsidP="00FB6759">
      <w:pPr>
        <w:pStyle w:val="CommentText"/>
        <w:spacing w:after="0"/>
        <w:jc w:val="both"/>
        <w:rPr>
          <w:rFonts w:ascii="Times New Roman" w:hAnsi="Times New Roman" w:cs="Times New Roman"/>
          <w:sz w:val="22"/>
          <w:szCs w:val="22"/>
          <w:lang w:val="en-GB"/>
        </w:rPr>
      </w:pPr>
    </w:p>
    <w:p w:rsidR="00346945" w:rsidRDefault="00146082"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More troubling still, Palestinians who find themselves in Hamas’ criminal justice system are subjected to serious abuses of their human rights, including arbitrary arrest, incommunicado detention, torture, and unfair trials.</w:t>
      </w:r>
      <w:r w:rsidRPr="004A29F9">
        <w:rPr>
          <w:rStyle w:val="FootnoteReference"/>
          <w:rFonts w:ascii="Times New Roman" w:hAnsi="Times New Roman" w:cs="Times New Roman"/>
          <w:sz w:val="22"/>
          <w:szCs w:val="22"/>
          <w:lang w:val="en-GB"/>
        </w:rPr>
        <w:footnoteReference w:id="19"/>
      </w:r>
      <w:r w:rsidRPr="004A29F9">
        <w:rPr>
          <w:rFonts w:ascii="Times New Roman" w:hAnsi="Times New Roman" w:cs="Times New Roman"/>
          <w:sz w:val="22"/>
          <w:szCs w:val="22"/>
          <w:lang w:val="en-GB"/>
        </w:rPr>
        <w:t>The ability of outsiders to create posit</w:t>
      </w:r>
      <w:r w:rsidR="001A02B2">
        <w:rPr>
          <w:rFonts w:ascii="Times New Roman" w:hAnsi="Times New Roman" w:cs="Times New Roman"/>
          <w:sz w:val="22"/>
          <w:szCs w:val="22"/>
          <w:lang w:val="en-GB"/>
        </w:rPr>
        <w:t>ive change in Gaza is limited. Civil society organis</w:t>
      </w:r>
      <w:r w:rsidR="00346945" w:rsidRPr="004A29F9">
        <w:rPr>
          <w:rFonts w:ascii="Times New Roman" w:hAnsi="Times New Roman" w:cs="Times New Roman"/>
          <w:sz w:val="22"/>
          <w:szCs w:val="22"/>
          <w:lang w:val="en-GB"/>
        </w:rPr>
        <w:t xml:space="preserve">ations are </w:t>
      </w:r>
      <w:r w:rsidR="00971779" w:rsidRPr="004A29F9">
        <w:rPr>
          <w:rFonts w:ascii="Times New Roman" w:hAnsi="Times New Roman" w:cs="Times New Roman"/>
          <w:sz w:val="22"/>
          <w:szCs w:val="22"/>
          <w:lang w:val="en-GB"/>
        </w:rPr>
        <w:t>doing what they can (</w:t>
      </w:r>
      <w:r w:rsidRPr="004A29F9">
        <w:rPr>
          <w:rFonts w:ascii="Times New Roman" w:hAnsi="Times New Roman" w:cs="Times New Roman"/>
          <w:sz w:val="22"/>
          <w:szCs w:val="22"/>
          <w:lang w:val="en-GB"/>
        </w:rPr>
        <w:t xml:space="preserve">and, indeed, support to </w:t>
      </w:r>
      <w:r w:rsidR="00602F39" w:rsidRPr="004A29F9">
        <w:rPr>
          <w:rFonts w:ascii="Times New Roman" w:hAnsi="Times New Roman" w:cs="Times New Roman"/>
          <w:sz w:val="22"/>
          <w:szCs w:val="22"/>
          <w:lang w:val="en-GB"/>
        </w:rPr>
        <w:t>Gaza</w:t>
      </w:r>
      <w:r w:rsidRPr="004A29F9">
        <w:rPr>
          <w:rFonts w:ascii="Times New Roman" w:hAnsi="Times New Roman" w:cs="Times New Roman"/>
          <w:sz w:val="22"/>
          <w:szCs w:val="22"/>
          <w:lang w:val="en-GB"/>
        </w:rPr>
        <w:t xml:space="preserve"> CSOs is </w:t>
      </w:r>
      <w:r w:rsidR="000C369C" w:rsidRPr="004A29F9">
        <w:rPr>
          <w:rFonts w:ascii="Times New Roman" w:hAnsi="Times New Roman" w:cs="Times New Roman"/>
          <w:sz w:val="22"/>
          <w:szCs w:val="22"/>
          <w:lang w:val="en-GB"/>
        </w:rPr>
        <w:t>one of the main outputs</w:t>
      </w:r>
      <w:r w:rsidRPr="004A29F9">
        <w:rPr>
          <w:rFonts w:ascii="Times New Roman" w:hAnsi="Times New Roman" w:cs="Times New Roman"/>
          <w:sz w:val="22"/>
          <w:szCs w:val="22"/>
          <w:lang w:val="en-GB"/>
        </w:rPr>
        <w:t xml:space="preserve"> of the </w:t>
      </w:r>
      <w:r w:rsidR="001A02B2">
        <w:rPr>
          <w:rFonts w:ascii="Times New Roman" w:hAnsi="Times New Roman" w:cs="Times New Roman"/>
          <w:sz w:val="22"/>
          <w:szCs w:val="22"/>
          <w:lang w:val="en-GB"/>
        </w:rPr>
        <w:t>p</w:t>
      </w:r>
      <w:r w:rsidR="00F31A20" w:rsidRPr="004A29F9">
        <w:rPr>
          <w:rFonts w:ascii="Times New Roman" w:hAnsi="Times New Roman" w:cs="Times New Roman"/>
          <w:sz w:val="22"/>
          <w:szCs w:val="22"/>
          <w:lang w:val="en-GB"/>
        </w:rPr>
        <w:t>rogramme</w:t>
      </w:r>
      <w:r w:rsidR="00971779" w:rsidRPr="004A29F9">
        <w:rPr>
          <w:rFonts w:ascii="Times New Roman" w:hAnsi="Times New Roman" w:cs="Times New Roman"/>
          <w:sz w:val="22"/>
          <w:szCs w:val="22"/>
          <w:lang w:val="en-GB"/>
        </w:rPr>
        <w:t>)</w:t>
      </w:r>
      <w:r w:rsidR="001A02B2">
        <w:rPr>
          <w:rFonts w:ascii="Times New Roman" w:hAnsi="Times New Roman" w:cs="Times New Roman"/>
          <w:sz w:val="22"/>
          <w:szCs w:val="22"/>
          <w:lang w:val="en-GB"/>
        </w:rPr>
        <w:t xml:space="preserve"> b</w:t>
      </w:r>
      <w:r w:rsidRPr="004A29F9">
        <w:rPr>
          <w:rFonts w:ascii="Times New Roman" w:hAnsi="Times New Roman" w:cs="Times New Roman"/>
          <w:sz w:val="22"/>
          <w:szCs w:val="22"/>
          <w:lang w:val="en-GB"/>
        </w:rPr>
        <w:t xml:space="preserve">ut </w:t>
      </w:r>
      <w:r w:rsidR="00346945" w:rsidRPr="004A29F9">
        <w:rPr>
          <w:rFonts w:ascii="Times New Roman" w:hAnsi="Times New Roman" w:cs="Times New Roman"/>
          <w:sz w:val="22"/>
          <w:szCs w:val="22"/>
          <w:lang w:val="en-GB"/>
        </w:rPr>
        <w:t>limited support</w:t>
      </w:r>
      <w:r w:rsidRPr="004A29F9">
        <w:rPr>
          <w:rFonts w:ascii="Times New Roman" w:hAnsi="Times New Roman" w:cs="Times New Roman"/>
          <w:sz w:val="22"/>
          <w:szCs w:val="22"/>
          <w:lang w:val="en-GB"/>
        </w:rPr>
        <w:t xml:space="preserve"> and resources</w:t>
      </w:r>
      <w:r w:rsidR="00346945" w:rsidRPr="004A29F9">
        <w:rPr>
          <w:rFonts w:ascii="Times New Roman" w:hAnsi="Times New Roman" w:cs="Times New Roman"/>
          <w:sz w:val="22"/>
          <w:szCs w:val="22"/>
          <w:lang w:val="en-GB"/>
        </w:rPr>
        <w:t>, restricted access</w:t>
      </w:r>
      <w:r w:rsidRPr="004A29F9">
        <w:rPr>
          <w:rFonts w:ascii="Times New Roman" w:hAnsi="Times New Roman" w:cs="Times New Roman"/>
          <w:sz w:val="22"/>
          <w:szCs w:val="22"/>
          <w:lang w:val="en-GB"/>
        </w:rPr>
        <w:t>,</w:t>
      </w:r>
      <w:r w:rsidR="00346945" w:rsidRPr="004A29F9">
        <w:rPr>
          <w:rFonts w:ascii="Times New Roman" w:hAnsi="Times New Roman" w:cs="Times New Roman"/>
          <w:sz w:val="22"/>
          <w:szCs w:val="22"/>
          <w:lang w:val="en-GB"/>
        </w:rPr>
        <w:t xml:space="preserve"> continued attacks from Israel, </w:t>
      </w:r>
      <w:r w:rsidRPr="004A29F9">
        <w:rPr>
          <w:rFonts w:ascii="Times New Roman" w:hAnsi="Times New Roman" w:cs="Times New Roman"/>
          <w:sz w:val="22"/>
          <w:szCs w:val="22"/>
          <w:lang w:val="en-GB"/>
        </w:rPr>
        <w:t xml:space="preserve">and Hamas’ lack of respect for basic standards of rights and justice combine to make the future of </w:t>
      </w:r>
      <w:r w:rsidR="00346945" w:rsidRPr="004A29F9">
        <w:rPr>
          <w:rFonts w:ascii="Times New Roman" w:hAnsi="Times New Roman" w:cs="Times New Roman"/>
          <w:sz w:val="22"/>
          <w:szCs w:val="22"/>
          <w:lang w:val="en-GB"/>
        </w:rPr>
        <w:t>the rule of law in the Gaza Strip tenuous at best.</w:t>
      </w:r>
      <w:r w:rsidRPr="004A29F9">
        <w:rPr>
          <w:rStyle w:val="FootnoteReference"/>
          <w:rFonts w:ascii="Times New Roman" w:hAnsi="Times New Roman" w:cs="Times New Roman"/>
          <w:sz w:val="22"/>
          <w:szCs w:val="22"/>
          <w:lang w:val="en-GB"/>
        </w:rPr>
        <w:footnoteReference w:id="20"/>
      </w:r>
    </w:p>
    <w:p w:rsidR="001A02B2" w:rsidRPr="004A29F9" w:rsidRDefault="001A02B2" w:rsidP="00FB6759">
      <w:pPr>
        <w:spacing w:after="0" w:line="240" w:lineRule="auto"/>
        <w:jc w:val="both"/>
        <w:rPr>
          <w:rFonts w:ascii="Times New Roman" w:hAnsi="Times New Roman" w:cs="Times New Roman"/>
          <w:sz w:val="22"/>
          <w:szCs w:val="22"/>
          <w:lang w:val="en-GB"/>
        </w:rPr>
      </w:pPr>
    </w:p>
    <w:p w:rsidR="00BA20B6" w:rsidRDefault="00140BBB" w:rsidP="00FB6759">
      <w:pPr>
        <w:spacing w:after="0" w:line="240" w:lineRule="auto"/>
        <w:ind w:left="360" w:right="360"/>
        <w:jc w:val="both"/>
        <w:rPr>
          <w:rFonts w:ascii="Times New Roman" w:hAnsi="Times New Roman" w:cs="Times New Roman"/>
          <w:i/>
          <w:sz w:val="22"/>
          <w:szCs w:val="22"/>
          <w:lang w:val="en-GB"/>
        </w:rPr>
      </w:pPr>
      <w:r w:rsidRPr="004A29F9">
        <w:rPr>
          <w:rFonts w:ascii="Times New Roman" w:hAnsi="Times New Roman" w:cs="Times New Roman"/>
          <w:i/>
          <w:sz w:val="22"/>
          <w:szCs w:val="22"/>
          <w:lang w:val="en-GB"/>
        </w:rPr>
        <w:t>“</w:t>
      </w:r>
      <w:r w:rsidR="00BA20B6" w:rsidRPr="004A29F9">
        <w:rPr>
          <w:rFonts w:ascii="Times New Roman" w:hAnsi="Times New Roman" w:cs="Times New Roman"/>
          <w:i/>
          <w:sz w:val="22"/>
          <w:szCs w:val="22"/>
          <w:lang w:val="en-GB"/>
        </w:rPr>
        <w:t xml:space="preserve">The separate justice systems in </w:t>
      </w:r>
      <w:r w:rsidR="006C15D1">
        <w:rPr>
          <w:rFonts w:ascii="Times New Roman" w:hAnsi="Times New Roman" w:cs="Times New Roman"/>
          <w:i/>
          <w:sz w:val="22"/>
          <w:szCs w:val="22"/>
          <w:lang w:val="en-GB"/>
        </w:rPr>
        <w:t xml:space="preserve">the </w:t>
      </w:r>
      <w:r w:rsidR="00BA20B6" w:rsidRPr="004A29F9">
        <w:rPr>
          <w:rFonts w:ascii="Times New Roman" w:hAnsi="Times New Roman" w:cs="Times New Roman"/>
          <w:i/>
          <w:sz w:val="22"/>
          <w:szCs w:val="22"/>
          <w:lang w:val="en-GB"/>
        </w:rPr>
        <w:t xml:space="preserve">West Bank and </w:t>
      </w:r>
      <w:r w:rsidR="006C15D1">
        <w:rPr>
          <w:rFonts w:ascii="Times New Roman" w:hAnsi="Times New Roman" w:cs="Times New Roman"/>
          <w:i/>
          <w:sz w:val="22"/>
          <w:szCs w:val="22"/>
          <w:lang w:val="en-GB"/>
        </w:rPr>
        <w:t xml:space="preserve">the </w:t>
      </w:r>
      <w:r w:rsidR="00BA20B6" w:rsidRPr="004A29F9">
        <w:rPr>
          <w:rFonts w:ascii="Times New Roman" w:hAnsi="Times New Roman" w:cs="Times New Roman"/>
          <w:i/>
          <w:sz w:val="22"/>
          <w:szCs w:val="22"/>
          <w:lang w:val="en-GB"/>
        </w:rPr>
        <w:t>Gaza Strip constitute a major challenge. Differences between the two systems are historically rooted with the influence of Ottoman, British, Jordanian, Egyptian and Israeli regimes.</w:t>
      </w:r>
      <w:r w:rsidRPr="004A29F9">
        <w:rPr>
          <w:rFonts w:ascii="Times New Roman" w:hAnsi="Times New Roman" w:cs="Times New Roman"/>
          <w:i/>
          <w:sz w:val="22"/>
          <w:szCs w:val="22"/>
          <w:lang w:val="en-GB"/>
        </w:rPr>
        <w:t>”</w:t>
      </w:r>
      <w:r w:rsidRPr="004A29F9">
        <w:rPr>
          <w:rStyle w:val="FootnoteReference"/>
          <w:rFonts w:ascii="Times New Roman" w:hAnsi="Times New Roman" w:cs="Times New Roman"/>
          <w:i/>
          <w:sz w:val="22"/>
          <w:szCs w:val="22"/>
          <w:lang w:val="en-GB"/>
        </w:rPr>
        <w:footnoteReference w:id="21"/>
      </w:r>
    </w:p>
    <w:p w:rsidR="001A02B2" w:rsidRPr="004A29F9" w:rsidRDefault="001A02B2" w:rsidP="00FB6759">
      <w:pPr>
        <w:spacing w:after="0" w:line="240" w:lineRule="auto"/>
        <w:ind w:left="360" w:right="360"/>
        <w:jc w:val="both"/>
        <w:rPr>
          <w:rFonts w:ascii="Times New Roman" w:hAnsi="Times New Roman" w:cs="Times New Roman"/>
          <w:i/>
          <w:sz w:val="22"/>
          <w:szCs w:val="22"/>
          <w:lang w:val="en-GB"/>
        </w:rPr>
      </w:pPr>
    </w:p>
    <w:p w:rsidR="00335D49" w:rsidRPr="004A29F9" w:rsidRDefault="00B42D6C"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Despite these diverse and entrenched challenges</w:t>
      </w:r>
      <w:r w:rsidR="006A3A64" w:rsidRPr="004A29F9">
        <w:rPr>
          <w:rFonts w:ascii="Times New Roman" w:hAnsi="Times New Roman" w:cs="Times New Roman"/>
          <w:sz w:val="22"/>
          <w:szCs w:val="22"/>
          <w:lang w:val="en-GB"/>
        </w:rPr>
        <w:t xml:space="preserve">, development of the justice sector remains a key component of the government’s efforts to establish a sovereign and independent state. </w:t>
      </w:r>
      <w:r w:rsidRPr="004A29F9">
        <w:rPr>
          <w:rFonts w:ascii="Times New Roman" w:hAnsi="Times New Roman" w:cs="Times New Roman"/>
          <w:sz w:val="22"/>
          <w:szCs w:val="22"/>
          <w:lang w:val="en-GB"/>
        </w:rPr>
        <w:t>The PNA and its partners have developed reform and development strategies in the justice and rule of law sector that are specifically tailored to goals and plans that are consistent with the reality on the ground in</w:t>
      </w:r>
      <w:r w:rsidR="00227679">
        <w:rPr>
          <w:rFonts w:ascii="Times New Roman" w:hAnsi="Times New Roman" w:cs="Times New Roman"/>
          <w:sz w:val="22"/>
          <w:szCs w:val="22"/>
          <w:lang w:val="en-GB"/>
        </w:rPr>
        <w:t xml:space="preserve"> the </w:t>
      </w:r>
      <w:r w:rsidR="006C15D1">
        <w:rPr>
          <w:rFonts w:ascii="Times New Roman" w:hAnsi="Times New Roman" w:cs="Times New Roman"/>
          <w:sz w:val="22"/>
          <w:szCs w:val="22"/>
          <w:lang w:val="en-GB"/>
        </w:rPr>
        <w:t>oPt</w:t>
      </w:r>
      <w:r w:rsidRPr="004A29F9">
        <w:rPr>
          <w:rFonts w:ascii="Times New Roman" w:hAnsi="Times New Roman" w:cs="Times New Roman"/>
          <w:sz w:val="22"/>
          <w:szCs w:val="22"/>
          <w:lang w:val="en-GB"/>
        </w:rPr>
        <w:t>.</w:t>
      </w:r>
      <w:r w:rsidRPr="004A29F9">
        <w:rPr>
          <w:rStyle w:val="FootnoteReference"/>
          <w:rFonts w:ascii="Times New Roman" w:hAnsi="Times New Roman" w:cs="Times New Roman"/>
          <w:sz w:val="22"/>
          <w:szCs w:val="22"/>
          <w:lang w:val="en-GB"/>
        </w:rPr>
        <w:footnoteReference w:id="22"/>
      </w:r>
      <w:r w:rsidRPr="004A29F9">
        <w:rPr>
          <w:rFonts w:ascii="Times New Roman" w:hAnsi="Times New Roman" w:cs="Times New Roman"/>
          <w:sz w:val="22"/>
          <w:szCs w:val="22"/>
          <w:lang w:val="en-GB"/>
        </w:rPr>
        <w:t xml:space="preserve">These goals and plans </w:t>
      </w:r>
      <w:r w:rsidR="00346945" w:rsidRPr="004A29F9">
        <w:rPr>
          <w:rFonts w:ascii="Times New Roman" w:hAnsi="Times New Roman" w:cs="Times New Roman"/>
          <w:sz w:val="22"/>
          <w:szCs w:val="22"/>
          <w:lang w:val="en-GB"/>
        </w:rPr>
        <w:t>remain</w:t>
      </w:r>
      <w:r w:rsidR="006A3A64" w:rsidRPr="004A29F9">
        <w:rPr>
          <w:rFonts w:ascii="Times New Roman" w:hAnsi="Times New Roman" w:cs="Times New Roman"/>
          <w:sz w:val="22"/>
          <w:szCs w:val="22"/>
          <w:lang w:val="en-GB"/>
        </w:rPr>
        <w:t xml:space="preserve"> a primary focus of </w:t>
      </w:r>
      <w:r w:rsidRPr="004A29F9">
        <w:rPr>
          <w:rFonts w:ascii="Times New Roman" w:hAnsi="Times New Roman" w:cs="Times New Roman"/>
          <w:sz w:val="22"/>
          <w:szCs w:val="22"/>
          <w:lang w:val="en-GB"/>
        </w:rPr>
        <w:t xml:space="preserve">national development at the highest levels, receiving </w:t>
      </w:r>
      <w:r w:rsidR="006A3A64" w:rsidRPr="004A29F9">
        <w:rPr>
          <w:rFonts w:ascii="Times New Roman" w:hAnsi="Times New Roman" w:cs="Times New Roman"/>
          <w:sz w:val="22"/>
          <w:szCs w:val="22"/>
          <w:lang w:val="en-GB"/>
        </w:rPr>
        <w:t xml:space="preserve">a significant portion of funding in </w:t>
      </w:r>
      <w:r w:rsidR="006C15D1">
        <w:rPr>
          <w:rFonts w:ascii="Times New Roman" w:hAnsi="Times New Roman" w:cs="Times New Roman"/>
          <w:sz w:val="22"/>
          <w:szCs w:val="22"/>
          <w:lang w:val="en-GB"/>
        </w:rPr>
        <w:t>the g</w:t>
      </w:r>
      <w:r w:rsidRPr="004A29F9">
        <w:rPr>
          <w:rFonts w:ascii="Times New Roman" w:hAnsi="Times New Roman" w:cs="Times New Roman"/>
          <w:sz w:val="22"/>
          <w:szCs w:val="22"/>
          <w:lang w:val="en-GB"/>
        </w:rPr>
        <w:t>overnance</w:t>
      </w:r>
      <w:r w:rsidR="006A3A64" w:rsidRPr="004A29F9">
        <w:rPr>
          <w:rFonts w:ascii="Times New Roman" w:hAnsi="Times New Roman" w:cs="Times New Roman"/>
          <w:sz w:val="22"/>
          <w:szCs w:val="22"/>
          <w:lang w:val="en-GB"/>
        </w:rPr>
        <w:t xml:space="preserve"> sector under the </w:t>
      </w:r>
      <w:r w:rsidRPr="004A29F9">
        <w:rPr>
          <w:rFonts w:ascii="Times New Roman" w:hAnsi="Times New Roman" w:cs="Times New Roman"/>
          <w:sz w:val="22"/>
          <w:szCs w:val="22"/>
          <w:lang w:val="en-GB"/>
        </w:rPr>
        <w:t xml:space="preserve">National Development </w:t>
      </w:r>
      <w:r w:rsidR="006A3A64" w:rsidRPr="004A29F9">
        <w:rPr>
          <w:rFonts w:ascii="Times New Roman" w:hAnsi="Times New Roman" w:cs="Times New Roman"/>
          <w:sz w:val="22"/>
          <w:szCs w:val="22"/>
          <w:lang w:val="en-GB"/>
        </w:rPr>
        <w:t>Plan.</w:t>
      </w:r>
      <w:r w:rsidR="006A3A64" w:rsidRPr="004A29F9">
        <w:rPr>
          <w:rStyle w:val="FootnoteReference"/>
          <w:rFonts w:ascii="Times New Roman" w:hAnsi="Times New Roman" w:cs="Times New Roman"/>
          <w:sz w:val="22"/>
          <w:szCs w:val="22"/>
          <w:lang w:val="en-GB"/>
        </w:rPr>
        <w:footnoteReference w:id="23"/>
      </w:r>
      <w:r w:rsidR="000C369C" w:rsidRPr="004A29F9">
        <w:rPr>
          <w:rFonts w:ascii="Times New Roman" w:hAnsi="Times New Roman" w:cs="Times New Roman"/>
          <w:sz w:val="22"/>
          <w:szCs w:val="22"/>
          <w:lang w:val="en-GB"/>
        </w:rPr>
        <w:t>It</w:t>
      </w:r>
      <w:r w:rsidR="006C15D1">
        <w:rPr>
          <w:rFonts w:ascii="Times New Roman" w:hAnsi="Times New Roman" w:cs="Times New Roman"/>
          <w:sz w:val="22"/>
          <w:szCs w:val="22"/>
          <w:lang w:val="en-GB"/>
        </w:rPr>
        <w:t xml:space="preserve"> is clear that the justice sector institutions</w:t>
      </w:r>
      <w:r w:rsidR="00346945" w:rsidRPr="004A29F9">
        <w:rPr>
          <w:rFonts w:ascii="Times New Roman" w:hAnsi="Times New Roman" w:cs="Times New Roman"/>
          <w:sz w:val="22"/>
          <w:szCs w:val="22"/>
          <w:lang w:val="en-GB"/>
        </w:rPr>
        <w:t xml:space="preserve"> and other key stakeholders deserve recognition for the significant progress that they have made in the face of such difficult circumstances</w:t>
      </w:r>
      <w:r w:rsidR="006C15D1">
        <w:rPr>
          <w:rFonts w:ascii="Times New Roman" w:hAnsi="Times New Roman" w:cs="Times New Roman"/>
          <w:sz w:val="22"/>
          <w:szCs w:val="22"/>
          <w:lang w:val="en-GB"/>
        </w:rPr>
        <w:t xml:space="preserve"> - </w:t>
      </w:r>
      <w:r w:rsidR="00346945" w:rsidRPr="004A29F9">
        <w:rPr>
          <w:rFonts w:ascii="Times New Roman" w:hAnsi="Times New Roman" w:cs="Times New Roman"/>
          <w:sz w:val="22"/>
          <w:szCs w:val="22"/>
          <w:lang w:val="en-GB"/>
        </w:rPr>
        <w:t>and for their commitment to build on those gains in the future.</w:t>
      </w:r>
    </w:p>
    <w:p w:rsidR="00040EEE" w:rsidRPr="004A29F9" w:rsidRDefault="00040EEE" w:rsidP="00FB6759">
      <w:pPr>
        <w:spacing w:after="0" w:line="240" w:lineRule="auto"/>
        <w:jc w:val="both"/>
        <w:rPr>
          <w:rFonts w:ascii="Times New Roman" w:hAnsi="Times New Roman" w:cs="Times New Roman"/>
          <w:b/>
          <w:i/>
          <w:sz w:val="22"/>
          <w:szCs w:val="22"/>
          <w:lang w:val="en-GB"/>
        </w:rPr>
      </w:pPr>
    </w:p>
    <w:p w:rsidR="0055351F" w:rsidRPr="006C15D1" w:rsidRDefault="006C15D1" w:rsidP="00FB6759">
      <w:pPr>
        <w:spacing w:after="0" w:line="240" w:lineRule="auto"/>
        <w:jc w:val="both"/>
        <w:rPr>
          <w:rFonts w:ascii="Times New Roman" w:hAnsi="Times New Roman" w:cs="Times New Roman"/>
          <w:i/>
          <w:sz w:val="22"/>
          <w:szCs w:val="22"/>
          <w:lang w:val="en-GB"/>
        </w:rPr>
      </w:pPr>
      <w:r>
        <w:rPr>
          <w:rFonts w:ascii="Times New Roman" w:hAnsi="Times New Roman" w:cs="Times New Roman"/>
          <w:i/>
          <w:sz w:val="22"/>
          <w:szCs w:val="22"/>
          <w:lang w:val="en-GB"/>
        </w:rPr>
        <w:t>The “justice t</w:t>
      </w:r>
      <w:r w:rsidR="00B36BC1" w:rsidRPr="006C15D1">
        <w:rPr>
          <w:rFonts w:ascii="Times New Roman" w:hAnsi="Times New Roman" w:cs="Times New Roman"/>
          <w:i/>
          <w:sz w:val="22"/>
          <w:szCs w:val="22"/>
          <w:lang w:val="en-GB"/>
        </w:rPr>
        <w:t>riad”</w:t>
      </w:r>
      <w:r w:rsidR="00F04552" w:rsidRPr="006C15D1">
        <w:rPr>
          <w:rFonts w:ascii="Times New Roman" w:hAnsi="Times New Roman" w:cs="Times New Roman"/>
          <w:i/>
          <w:sz w:val="22"/>
          <w:szCs w:val="22"/>
          <w:lang w:val="en-GB"/>
        </w:rPr>
        <w:t xml:space="preserve"> and other</w:t>
      </w:r>
      <w:r w:rsidR="00B36BC1" w:rsidRPr="006C15D1">
        <w:rPr>
          <w:rFonts w:ascii="Times New Roman" w:hAnsi="Times New Roman" w:cs="Times New Roman"/>
          <w:i/>
          <w:sz w:val="22"/>
          <w:szCs w:val="22"/>
          <w:lang w:val="en-GB"/>
        </w:rPr>
        <w:t xml:space="preserve"> key</w:t>
      </w:r>
      <w:r w:rsidR="00F04552" w:rsidRPr="006C15D1">
        <w:rPr>
          <w:rFonts w:ascii="Times New Roman" w:hAnsi="Times New Roman" w:cs="Times New Roman"/>
          <w:i/>
          <w:sz w:val="22"/>
          <w:szCs w:val="22"/>
          <w:lang w:val="en-GB"/>
        </w:rPr>
        <w:t xml:space="preserve"> justice stakeholders</w:t>
      </w:r>
    </w:p>
    <w:p w:rsidR="006C15D1" w:rsidRDefault="006C15D1" w:rsidP="00FB6759">
      <w:pPr>
        <w:spacing w:after="0" w:line="240" w:lineRule="auto"/>
        <w:jc w:val="both"/>
        <w:rPr>
          <w:rFonts w:ascii="Times New Roman" w:hAnsi="Times New Roman" w:cs="Times New Roman"/>
          <w:sz w:val="22"/>
          <w:szCs w:val="22"/>
          <w:lang w:val="en-GB"/>
        </w:rPr>
      </w:pPr>
    </w:p>
    <w:p w:rsidR="003622A6" w:rsidRDefault="0055351F"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The bulk of </w:t>
      </w:r>
      <w:r w:rsidR="00146082" w:rsidRPr="004A29F9">
        <w:rPr>
          <w:rFonts w:ascii="Times New Roman" w:hAnsi="Times New Roman" w:cs="Times New Roman"/>
          <w:sz w:val="22"/>
          <w:szCs w:val="22"/>
          <w:lang w:val="en-GB"/>
        </w:rPr>
        <w:t xml:space="preserve">government and UNDP development </w:t>
      </w:r>
      <w:r w:rsidRPr="004A29F9">
        <w:rPr>
          <w:rFonts w:ascii="Times New Roman" w:hAnsi="Times New Roman" w:cs="Times New Roman"/>
          <w:sz w:val="22"/>
          <w:szCs w:val="22"/>
          <w:lang w:val="en-GB"/>
        </w:rPr>
        <w:t xml:space="preserve">efforts </w:t>
      </w:r>
      <w:r w:rsidR="00146082" w:rsidRPr="004A29F9">
        <w:rPr>
          <w:rFonts w:ascii="Times New Roman" w:hAnsi="Times New Roman" w:cs="Times New Roman"/>
          <w:sz w:val="22"/>
          <w:szCs w:val="22"/>
          <w:lang w:val="en-GB"/>
        </w:rPr>
        <w:t xml:space="preserve">with regards to justice and rule of law </w:t>
      </w:r>
      <w:r w:rsidRPr="004A29F9">
        <w:rPr>
          <w:rFonts w:ascii="Times New Roman" w:hAnsi="Times New Roman" w:cs="Times New Roman"/>
          <w:sz w:val="22"/>
          <w:szCs w:val="22"/>
          <w:lang w:val="en-GB"/>
        </w:rPr>
        <w:t xml:space="preserve">are focused on the three key justice </w:t>
      </w:r>
      <w:r w:rsidR="00602F39" w:rsidRPr="004A29F9">
        <w:rPr>
          <w:rFonts w:ascii="Times New Roman" w:hAnsi="Times New Roman" w:cs="Times New Roman"/>
          <w:sz w:val="22"/>
          <w:szCs w:val="22"/>
          <w:lang w:val="en-GB"/>
        </w:rPr>
        <w:t>institutions</w:t>
      </w:r>
      <w:r w:rsidR="006C15D1">
        <w:rPr>
          <w:rFonts w:ascii="Times New Roman" w:hAnsi="Times New Roman" w:cs="Times New Roman"/>
          <w:sz w:val="22"/>
          <w:szCs w:val="22"/>
          <w:lang w:val="en-GB"/>
        </w:rPr>
        <w:t>: the MOJ, the HJC and the AGO</w:t>
      </w:r>
      <w:r w:rsidRPr="004A29F9">
        <w:rPr>
          <w:rFonts w:ascii="Times New Roman" w:hAnsi="Times New Roman" w:cs="Times New Roman"/>
          <w:sz w:val="22"/>
          <w:szCs w:val="22"/>
          <w:lang w:val="en-GB"/>
        </w:rPr>
        <w:t>.</w:t>
      </w:r>
      <w:r w:rsidR="00FD3C19">
        <w:rPr>
          <w:rFonts w:ascii="Times New Roman" w:hAnsi="Times New Roman" w:cs="Times New Roman"/>
          <w:sz w:val="22"/>
          <w:szCs w:val="22"/>
          <w:lang w:val="en-GB"/>
        </w:rPr>
        <w:t xml:space="preserve"> </w:t>
      </w:r>
      <w:r w:rsidR="00B36BC1" w:rsidRPr="004A29F9">
        <w:rPr>
          <w:rFonts w:ascii="Times New Roman" w:hAnsi="Times New Roman" w:cs="Times New Roman"/>
          <w:sz w:val="22"/>
          <w:szCs w:val="22"/>
          <w:lang w:val="en-GB"/>
        </w:rPr>
        <w:t xml:space="preserve">That is because these kinds of core institutions are the foundations of any effective culture of justice and rule of law, </w:t>
      </w:r>
      <w:r w:rsidR="00971779" w:rsidRPr="004A29F9">
        <w:rPr>
          <w:rFonts w:ascii="Times New Roman" w:hAnsi="Times New Roman" w:cs="Times New Roman"/>
          <w:sz w:val="22"/>
          <w:szCs w:val="22"/>
          <w:lang w:val="en-GB"/>
        </w:rPr>
        <w:t>but also</w:t>
      </w:r>
      <w:r w:rsidR="00B36BC1" w:rsidRPr="004A29F9">
        <w:rPr>
          <w:rFonts w:ascii="Times New Roman" w:hAnsi="Times New Roman" w:cs="Times New Roman"/>
          <w:sz w:val="22"/>
          <w:szCs w:val="22"/>
          <w:lang w:val="en-GB"/>
        </w:rPr>
        <w:t xml:space="preserve"> because the absence of a clear separation of powers and proper working relationships between these and other justice sector institutions </w:t>
      </w:r>
      <w:r w:rsidR="00F97D80" w:rsidRPr="004A29F9">
        <w:rPr>
          <w:rFonts w:ascii="Times New Roman" w:hAnsi="Times New Roman" w:cs="Times New Roman"/>
          <w:sz w:val="22"/>
          <w:szCs w:val="22"/>
          <w:lang w:val="en-GB"/>
        </w:rPr>
        <w:t xml:space="preserve">have historically </w:t>
      </w:r>
      <w:r w:rsidR="00B36BC1" w:rsidRPr="004A29F9">
        <w:rPr>
          <w:rFonts w:ascii="Times New Roman" w:hAnsi="Times New Roman" w:cs="Times New Roman"/>
          <w:sz w:val="22"/>
          <w:szCs w:val="22"/>
          <w:lang w:val="en-GB"/>
        </w:rPr>
        <w:t>hindered the development of an effective and independent judicial system.</w:t>
      </w:r>
      <w:r w:rsidR="00B36BC1" w:rsidRPr="004A29F9">
        <w:rPr>
          <w:rStyle w:val="FootnoteReference"/>
          <w:rFonts w:ascii="Times New Roman" w:hAnsi="Times New Roman" w:cs="Times New Roman"/>
          <w:sz w:val="22"/>
          <w:szCs w:val="22"/>
          <w:lang w:val="en-GB"/>
        </w:rPr>
        <w:footnoteReference w:id="24"/>
      </w:r>
    </w:p>
    <w:p w:rsidR="006C15D1" w:rsidRPr="004A29F9" w:rsidRDefault="006C15D1" w:rsidP="00FB6759">
      <w:pPr>
        <w:spacing w:after="0" w:line="240" w:lineRule="auto"/>
        <w:jc w:val="both"/>
        <w:rPr>
          <w:rFonts w:ascii="Times New Roman" w:hAnsi="Times New Roman" w:cs="Times New Roman"/>
          <w:sz w:val="22"/>
          <w:szCs w:val="22"/>
          <w:lang w:val="en-GB"/>
        </w:rPr>
      </w:pPr>
    </w:p>
    <w:p w:rsidR="00971779" w:rsidRDefault="00971779"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Each of the three institutions plays a distinct and important role in the administration of justice in t</w:t>
      </w:r>
      <w:r w:rsidR="006C15D1">
        <w:rPr>
          <w:rFonts w:ascii="Times New Roman" w:hAnsi="Times New Roman" w:cs="Times New Roman"/>
          <w:sz w:val="22"/>
          <w:szCs w:val="22"/>
          <w:lang w:val="en-GB"/>
        </w:rPr>
        <w:t>he oPt.  The MOJ</w:t>
      </w:r>
      <w:r w:rsidRPr="004A29F9">
        <w:rPr>
          <w:rFonts w:ascii="Times New Roman" w:hAnsi="Times New Roman" w:cs="Times New Roman"/>
          <w:sz w:val="22"/>
          <w:szCs w:val="22"/>
          <w:lang w:val="en-GB"/>
        </w:rPr>
        <w:t xml:space="preserve"> supports </w:t>
      </w:r>
      <w:r w:rsidR="003622A6" w:rsidRPr="004A29F9">
        <w:rPr>
          <w:rFonts w:ascii="Times New Roman" w:hAnsi="Times New Roman" w:cs="Times New Roman"/>
          <w:sz w:val="22"/>
          <w:szCs w:val="22"/>
          <w:lang w:val="en-GB"/>
        </w:rPr>
        <w:t>th</w:t>
      </w:r>
      <w:r w:rsidRPr="004A29F9">
        <w:rPr>
          <w:rFonts w:ascii="Times New Roman" w:hAnsi="Times New Roman" w:cs="Times New Roman"/>
          <w:sz w:val="22"/>
          <w:szCs w:val="22"/>
          <w:lang w:val="en-GB"/>
        </w:rPr>
        <w:t xml:space="preserve">e judicial sector institutions by </w:t>
      </w:r>
      <w:r w:rsidR="003622A6" w:rsidRPr="004A29F9">
        <w:rPr>
          <w:rFonts w:ascii="Times New Roman" w:hAnsi="Times New Roman" w:cs="Times New Roman"/>
          <w:sz w:val="22"/>
          <w:szCs w:val="22"/>
          <w:lang w:val="en-GB"/>
        </w:rPr>
        <w:t xml:space="preserve">providing administrative and technical support to the courts and to the public </w:t>
      </w:r>
      <w:r w:rsidRPr="004A29F9">
        <w:rPr>
          <w:rFonts w:ascii="Times New Roman" w:hAnsi="Times New Roman" w:cs="Times New Roman"/>
          <w:sz w:val="22"/>
          <w:szCs w:val="22"/>
          <w:lang w:val="en-GB"/>
        </w:rPr>
        <w:t>prosecutor, and endeavo</w:t>
      </w:r>
      <w:r w:rsidR="006C15D1">
        <w:rPr>
          <w:rFonts w:ascii="Times New Roman" w:hAnsi="Times New Roman" w:cs="Times New Roman"/>
          <w:sz w:val="22"/>
          <w:szCs w:val="22"/>
          <w:lang w:val="en-GB"/>
        </w:rPr>
        <w:t>u</w:t>
      </w:r>
      <w:r w:rsidRPr="004A29F9">
        <w:rPr>
          <w:rFonts w:ascii="Times New Roman" w:hAnsi="Times New Roman" w:cs="Times New Roman"/>
          <w:sz w:val="22"/>
          <w:szCs w:val="22"/>
          <w:lang w:val="en-GB"/>
        </w:rPr>
        <w:t>rs to create a</w:t>
      </w:r>
      <w:r w:rsidR="003622A6" w:rsidRPr="004A29F9">
        <w:rPr>
          <w:rFonts w:ascii="Times New Roman" w:hAnsi="Times New Roman" w:cs="Times New Roman"/>
          <w:sz w:val="22"/>
          <w:szCs w:val="22"/>
          <w:lang w:val="en-GB"/>
        </w:rPr>
        <w:t xml:space="preserve"> suitable environment for the integrity, impartiality and independence of the judicial authority.</w:t>
      </w:r>
      <w:r w:rsidR="00F04552" w:rsidRPr="004A29F9">
        <w:rPr>
          <w:rStyle w:val="FootnoteReference"/>
          <w:rFonts w:ascii="Times New Roman" w:hAnsi="Times New Roman" w:cs="Times New Roman"/>
          <w:sz w:val="22"/>
          <w:szCs w:val="22"/>
          <w:lang w:val="en-GB"/>
        </w:rPr>
        <w:footnoteReference w:id="25"/>
      </w:r>
      <w:r w:rsidR="006C15D1">
        <w:rPr>
          <w:rFonts w:ascii="Times New Roman" w:hAnsi="Times New Roman" w:cs="Times New Roman"/>
          <w:sz w:val="22"/>
          <w:szCs w:val="22"/>
          <w:lang w:val="en-GB"/>
        </w:rPr>
        <w:t xml:space="preserve"> The HJC</w:t>
      </w:r>
      <w:r w:rsidRPr="004A29F9">
        <w:rPr>
          <w:rFonts w:ascii="Times New Roman" w:hAnsi="Times New Roman" w:cs="Times New Roman"/>
          <w:sz w:val="22"/>
          <w:szCs w:val="22"/>
          <w:lang w:val="en-GB"/>
        </w:rPr>
        <w:t xml:space="preserve"> institutes policies relevant to the judiciary</w:t>
      </w:r>
      <w:r w:rsidR="006C15D1">
        <w:rPr>
          <w:rFonts w:ascii="Times New Roman" w:hAnsi="Times New Roman" w:cs="Times New Roman"/>
          <w:sz w:val="22"/>
          <w:szCs w:val="22"/>
          <w:lang w:val="en-GB"/>
        </w:rPr>
        <w:t>, supervises judges, and organis</w:t>
      </w:r>
      <w:r w:rsidRPr="004A29F9">
        <w:rPr>
          <w:rFonts w:ascii="Times New Roman" w:hAnsi="Times New Roman" w:cs="Times New Roman"/>
          <w:sz w:val="22"/>
          <w:szCs w:val="22"/>
          <w:lang w:val="en-GB"/>
        </w:rPr>
        <w:t>es the work of the courts, includin</w:t>
      </w:r>
      <w:r w:rsidR="006C15D1">
        <w:rPr>
          <w:rFonts w:ascii="Times New Roman" w:hAnsi="Times New Roman" w:cs="Times New Roman"/>
          <w:sz w:val="22"/>
          <w:szCs w:val="22"/>
          <w:lang w:val="en-GB"/>
        </w:rPr>
        <w:t>g by building courts and equipping</w:t>
      </w:r>
      <w:r w:rsidRPr="004A29F9">
        <w:rPr>
          <w:rFonts w:ascii="Times New Roman" w:hAnsi="Times New Roman" w:cs="Times New Roman"/>
          <w:sz w:val="22"/>
          <w:szCs w:val="22"/>
          <w:lang w:val="en-GB"/>
        </w:rPr>
        <w:t xml:space="preserve"> them with modern technology.</w:t>
      </w:r>
      <w:r w:rsidRPr="004A29F9">
        <w:rPr>
          <w:rStyle w:val="FootnoteReference"/>
          <w:rFonts w:ascii="Times New Roman" w:hAnsi="Times New Roman" w:cs="Times New Roman"/>
          <w:sz w:val="22"/>
          <w:szCs w:val="22"/>
          <w:lang w:val="en-GB"/>
        </w:rPr>
        <w:footnoteReference w:id="26"/>
      </w:r>
      <w:r w:rsidRPr="004A29F9">
        <w:rPr>
          <w:rFonts w:ascii="Times New Roman" w:hAnsi="Times New Roman" w:cs="Times New Roman"/>
          <w:sz w:val="22"/>
          <w:szCs w:val="22"/>
          <w:lang w:val="en-GB"/>
        </w:rPr>
        <w:t xml:space="preserve">The </w:t>
      </w:r>
      <w:r w:rsidR="006C15D1">
        <w:rPr>
          <w:rFonts w:ascii="Times New Roman" w:hAnsi="Times New Roman" w:cs="Times New Roman"/>
          <w:sz w:val="22"/>
          <w:szCs w:val="22"/>
          <w:lang w:val="en-GB"/>
        </w:rPr>
        <w:t>AGO</w:t>
      </w:r>
      <w:r w:rsidRPr="004A29F9">
        <w:rPr>
          <w:rFonts w:ascii="Times New Roman" w:hAnsi="Times New Roman" w:cs="Times New Roman"/>
          <w:sz w:val="22"/>
          <w:szCs w:val="22"/>
          <w:lang w:val="en-GB"/>
        </w:rPr>
        <w:t xml:space="preserve"> is tasked with </w:t>
      </w:r>
      <w:r w:rsidR="00F04552" w:rsidRPr="004A29F9">
        <w:rPr>
          <w:rFonts w:ascii="Times New Roman" w:hAnsi="Times New Roman" w:cs="Times New Roman"/>
          <w:sz w:val="22"/>
          <w:szCs w:val="22"/>
          <w:lang w:val="en-GB"/>
        </w:rPr>
        <w:t>instituting criminal proceeding</w:t>
      </w:r>
      <w:r w:rsidRPr="004A29F9">
        <w:rPr>
          <w:rFonts w:ascii="Times New Roman" w:hAnsi="Times New Roman" w:cs="Times New Roman"/>
          <w:sz w:val="22"/>
          <w:szCs w:val="22"/>
          <w:lang w:val="en-GB"/>
        </w:rPr>
        <w:t>s</w:t>
      </w:r>
      <w:r w:rsidR="00F04552" w:rsidRPr="004A29F9">
        <w:rPr>
          <w:rFonts w:ascii="Times New Roman" w:hAnsi="Times New Roman" w:cs="Times New Roman"/>
          <w:sz w:val="22"/>
          <w:szCs w:val="22"/>
          <w:lang w:val="en-GB"/>
        </w:rPr>
        <w:t xml:space="preserve">, </w:t>
      </w:r>
      <w:r w:rsidR="006C15D1">
        <w:rPr>
          <w:rFonts w:ascii="Times New Roman" w:hAnsi="Times New Roman" w:cs="Times New Roman"/>
          <w:sz w:val="22"/>
          <w:szCs w:val="22"/>
          <w:lang w:val="en-GB"/>
        </w:rPr>
        <w:t>supervising</w:t>
      </w:r>
      <w:r w:rsidR="00F04552" w:rsidRPr="004A29F9">
        <w:rPr>
          <w:rFonts w:ascii="Times New Roman" w:hAnsi="Times New Roman" w:cs="Times New Roman"/>
          <w:sz w:val="22"/>
          <w:szCs w:val="22"/>
          <w:lang w:val="en-GB"/>
        </w:rPr>
        <w:t xml:space="preserve"> the enforcement of judicial decisions</w:t>
      </w:r>
      <w:r w:rsidRPr="004A29F9">
        <w:rPr>
          <w:rFonts w:ascii="Times New Roman" w:hAnsi="Times New Roman" w:cs="Times New Roman"/>
          <w:sz w:val="22"/>
          <w:szCs w:val="22"/>
          <w:lang w:val="en-GB"/>
        </w:rPr>
        <w:t>,</w:t>
      </w:r>
      <w:r w:rsidR="006C15D1">
        <w:rPr>
          <w:rFonts w:ascii="Times New Roman" w:hAnsi="Times New Roman" w:cs="Times New Roman"/>
          <w:sz w:val="22"/>
          <w:szCs w:val="22"/>
          <w:lang w:val="en-GB"/>
        </w:rPr>
        <w:t xml:space="preserve"> and representing</w:t>
      </w:r>
      <w:r w:rsidR="00F04552" w:rsidRPr="004A29F9">
        <w:rPr>
          <w:rFonts w:ascii="Times New Roman" w:hAnsi="Times New Roman" w:cs="Times New Roman"/>
          <w:sz w:val="22"/>
          <w:szCs w:val="22"/>
          <w:lang w:val="en-GB"/>
        </w:rPr>
        <w:t xml:space="preserve"> the state in civil cases.</w:t>
      </w:r>
      <w:r w:rsidR="00F04552" w:rsidRPr="004A29F9">
        <w:rPr>
          <w:rStyle w:val="FootnoteReference"/>
          <w:rFonts w:ascii="Times New Roman" w:hAnsi="Times New Roman" w:cs="Times New Roman"/>
          <w:sz w:val="22"/>
          <w:szCs w:val="22"/>
          <w:lang w:val="en-GB"/>
        </w:rPr>
        <w:footnoteReference w:id="27"/>
      </w:r>
      <w:r w:rsidRPr="004A29F9">
        <w:rPr>
          <w:rFonts w:ascii="Times New Roman" w:hAnsi="Times New Roman" w:cs="Times New Roman"/>
          <w:sz w:val="22"/>
          <w:szCs w:val="22"/>
          <w:lang w:val="en-GB"/>
        </w:rPr>
        <w:t xml:space="preserve">As outlined </w:t>
      </w:r>
      <w:r w:rsidRPr="004A29F9">
        <w:rPr>
          <w:rFonts w:ascii="Times New Roman" w:hAnsi="Times New Roman" w:cs="Times New Roman"/>
          <w:sz w:val="22"/>
          <w:szCs w:val="22"/>
          <w:lang w:val="en-GB"/>
        </w:rPr>
        <w:lastRenderedPageBreak/>
        <w:t>below, each of these institutions faces unique challenges that need to be addres</w:t>
      </w:r>
      <w:r w:rsidR="001A02B2">
        <w:rPr>
          <w:rFonts w:ascii="Times New Roman" w:hAnsi="Times New Roman" w:cs="Times New Roman"/>
          <w:sz w:val="22"/>
          <w:szCs w:val="22"/>
          <w:lang w:val="en-GB"/>
        </w:rPr>
        <w:t>sed in order for them to fulfil</w:t>
      </w:r>
      <w:r w:rsidRPr="004A29F9">
        <w:rPr>
          <w:rFonts w:ascii="Times New Roman" w:hAnsi="Times New Roman" w:cs="Times New Roman"/>
          <w:sz w:val="22"/>
          <w:szCs w:val="22"/>
          <w:lang w:val="en-GB"/>
        </w:rPr>
        <w:t xml:space="preserve"> their essential roles in the establishment of rule of law in the oPt.</w:t>
      </w:r>
    </w:p>
    <w:p w:rsidR="006C15D1" w:rsidRPr="004A29F9" w:rsidRDefault="006C15D1" w:rsidP="00FB6759">
      <w:pPr>
        <w:spacing w:after="0" w:line="240" w:lineRule="auto"/>
        <w:jc w:val="both"/>
        <w:rPr>
          <w:rFonts w:ascii="Times New Roman" w:hAnsi="Times New Roman" w:cs="Times New Roman"/>
          <w:sz w:val="22"/>
          <w:szCs w:val="22"/>
          <w:lang w:val="en-GB"/>
        </w:rPr>
      </w:pPr>
    </w:p>
    <w:p w:rsidR="006C15D1" w:rsidRDefault="00751D40"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 M</w:t>
      </w:r>
      <w:r w:rsidR="001A02B2">
        <w:rPr>
          <w:rFonts w:ascii="Times New Roman" w:hAnsi="Times New Roman" w:cs="Times New Roman"/>
          <w:sz w:val="22"/>
          <w:szCs w:val="22"/>
          <w:lang w:val="en-GB"/>
        </w:rPr>
        <w:t>O</w:t>
      </w:r>
      <w:r w:rsidRPr="004A29F9">
        <w:rPr>
          <w:rFonts w:ascii="Times New Roman" w:hAnsi="Times New Roman" w:cs="Times New Roman"/>
          <w:sz w:val="22"/>
          <w:szCs w:val="22"/>
          <w:lang w:val="en-GB"/>
        </w:rPr>
        <w:t>J in particular has faced a difficult history. Established in 1994, it was initially given broad responsibility for managing the courts, the public prosecution, and the land and commercial registries. Beginning in 2002</w:t>
      </w:r>
      <w:r w:rsidR="006C15D1">
        <w:rPr>
          <w:rFonts w:ascii="Times New Roman" w:hAnsi="Times New Roman" w:cs="Times New Roman"/>
          <w:sz w:val="22"/>
          <w:szCs w:val="22"/>
          <w:lang w:val="en-GB"/>
        </w:rPr>
        <w:t>, when the HJC was established, the MOJ</w:t>
      </w:r>
      <w:r w:rsidRPr="004A29F9">
        <w:rPr>
          <w:rFonts w:ascii="Times New Roman" w:hAnsi="Times New Roman" w:cs="Times New Roman"/>
          <w:sz w:val="22"/>
          <w:szCs w:val="22"/>
          <w:lang w:val="en-GB"/>
        </w:rPr>
        <w:t>’s respons</w:t>
      </w:r>
      <w:r w:rsidR="006C15D1">
        <w:rPr>
          <w:rFonts w:ascii="Times New Roman" w:hAnsi="Times New Roman" w:cs="Times New Roman"/>
          <w:sz w:val="22"/>
          <w:szCs w:val="22"/>
          <w:lang w:val="en-GB"/>
        </w:rPr>
        <w:t>ibilities were gradually eroded and</w:t>
      </w:r>
      <w:r w:rsidRPr="004A29F9">
        <w:rPr>
          <w:rFonts w:ascii="Times New Roman" w:hAnsi="Times New Roman" w:cs="Times New Roman"/>
          <w:sz w:val="22"/>
          <w:szCs w:val="22"/>
          <w:lang w:val="en-GB"/>
        </w:rPr>
        <w:t xml:space="preserve"> key positions were left unfilled</w:t>
      </w:r>
      <w:r w:rsidR="006C15D1">
        <w:rPr>
          <w:rFonts w:ascii="Times New Roman" w:hAnsi="Times New Roman" w:cs="Times New Roman"/>
          <w:sz w:val="22"/>
          <w:szCs w:val="22"/>
          <w:lang w:val="en-GB"/>
        </w:rPr>
        <w:t xml:space="preserve">. </w:t>
      </w:r>
      <w:r w:rsidR="00792495" w:rsidRPr="004A29F9">
        <w:rPr>
          <w:rFonts w:ascii="Times New Roman" w:hAnsi="Times New Roman" w:cs="Times New Roman"/>
          <w:sz w:val="22"/>
          <w:szCs w:val="22"/>
          <w:lang w:val="en-GB"/>
        </w:rPr>
        <w:t>Between 2003 and 2010 the position of Deputy Minister remained vacant thereby u</w:t>
      </w:r>
      <w:r w:rsidR="006C15D1">
        <w:rPr>
          <w:rFonts w:ascii="Times New Roman" w:hAnsi="Times New Roman" w:cs="Times New Roman"/>
          <w:sz w:val="22"/>
          <w:szCs w:val="22"/>
          <w:lang w:val="en-GB"/>
        </w:rPr>
        <w:t>ndermining the ability of the MO</w:t>
      </w:r>
      <w:r w:rsidR="00792495" w:rsidRPr="004A29F9">
        <w:rPr>
          <w:rFonts w:ascii="Times New Roman" w:hAnsi="Times New Roman" w:cs="Times New Roman"/>
          <w:sz w:val="22"/>
          <w:szCs w:val="22"/>
          <w:lang w:val="en-GB"/>
        </w:rPr>
        <w:t>J to function and further contributing to a deter</w:t>
      </w:r>
      <w:r w:rsidR="006C15D1">
        <w:rPr>
          <w:rFonts w:ascii="Times New Roman" w:hAnsi="Times New Roman" w:cs="Times New Roman"/>
          <w:sz w:val="22"/>
          <w:szCs w:val="22"/>
          <w:lang w:val="en-GB"/>
        </w:rPr>
        <w:t xml:space="preserve">ioration of its relations with the judiciary. </w:t>
      </w:r>
      <w:r w:rsidR="00792495" w:rsidRPr="004A29F9">
        <w:rPr>
          <w:rFonts w:ascii="Times New Roman" w:hAnsi="Times New Roman" w:cs="Times New Roman"/>
          <w:sz w:val="22"/>
          <w:szCs w:val="22"/>
          <w:lang w:val="en-GB"/>
        </w:rPr>
        <w:t>Ul</w:t>
      </w:r>
      <w:r w:rsidRPr="004A29F9">
        <w:rPr>
          <w:rFonts w:ascii="Times New Roman" w:hAnsi="Times New Roman" w:cs="Times New Roman"/>
          <w:sz w:val="22"/>
          <w:szCs w:val="22"/>
          <w:lang w:val="en-GB"/>
        </w:rPr>
        <w:t xml:space="preserve">timately the </w:t>
      </w:r>
      <w:r w:rsidR="006C15D1">
        <w:rPr>
          <w:rFonts w:ascii="Times New Roman" w:hAnsi="Times New Roman" w:cs="Times New Roman"/>
          <w:sz w:val="22"/>
          <w:szCs w:val="22"/>
          <w:lang w:val="en-GB"/>
        </w:rPr>
        <w:t>MO</w:t>
      </w:r>
      <w:r w:rsidR="00792495" w:rsidRPr="004A29F9">
        <w:rPr>
          <w:rFonts w:ascii="Times New Roman" w:hAnsi="Times New Roman" w:cs="Times New Roman"/>
          <w:sz w:val="22"/>
          <w:szCs w:val="22"/>
          <w:lang w:val="en-GB"/>
        </w:rPr>
        <w:t xml:space="preserve">J </w:t>
      </w:r>
      <w:r w:rsidRPr="004A29F9">
        <w:rPr>
          <w:rFonts w:ascii="Times New Roman" w:hAnsi="Times New Roman" w:cs="Times New Roman"/>
          <w:sz w:val="22"/>
          <w:szCs w:val="22"/>
          <w:lang w:val="en-GB"/>
        </w:rPr>
        <w:t>was physically split following Hamas’ takeover of Gaza</w:t>
      </w:r>
      <w:r w:rsidR="00792495" w:rsidRPr="004A29F9">
        <w:rPr>
          <w:rFonts w:ascii="Times New Roman" w:hAnsi="Times New Roman" w:cs="Times New Roman"/>
          <w:sz w:val="22"/>
          <w:szCs w:val="22"/>
          <w:lang w:val="en-GB"/>
        </w:rPr>
        <w:t xml:space="preserve"> in 2007</w:t>
      </w:r>
      <w:r w:rsidRPr="004A29F9">
        <w:rPr>
          <w:rFonts w:ascii="Times New Roman" w:hAnsi="Times New Roman" w:cs="Times New Roman"/>
          <w:sz w:val="22"/>
          <w:szCs w:val="22"/>
          <w:lang w:val="en-GB"/>
        </w:rPr>
        <w:t>, where the Ministry was headquartered</w:t>
      </w:r>
      <w:r w:rsidR="00792495" w:rsidRPr="004A29F9">
        <w:rPr>
          <w:rFonts w:ascii="Times New Roman" w:hAnsi="Times New Roman" w:cs="Times New Roman"/>
          <w:sz w:val="22"/>
          <w:szCs w:val="22"/>
          <w:lang w:val="en-GB"/>
        </w:rPr>
        <w:t xml:space="preserve"> with staff being relocated to Ramallah, but with over 80 staff remaining in Gaza</w:t>
      </w:r>
      <w:r w:rsidRPr="004A29F9">
        <w:rPr>
          <w:rFonts w:ascii="Times New Roman" w:hAnsi="Times New Roman" w:cs="Times New Roman"/>
          <w:sz w:val="22"/>
          <w:szCs w:val="22"/>
          <w:lang w:val="en-GB"/>
        </w:rPr>
        <w:t>.</w:t>
      </w:r>
      <w:r w:rsidRPr="004A29F9">
        <w:rPr>
          <w:rStyle w:val="FootnoteReference"/>
          <w:rFonts w:ascii="Times New Roman" w:hAnsi="Times New Roman" w:cs="Times New Roman"/>
          <w:sz w:val="22"/>
          <w:szCs w:val="22"/>
          <w:lang w:val="en-GB"/>
        </w:rPr>
        <w:footnoteReference w:id="28"/>
      </w:r>
    </w:p>
    <w:p w:rsidR="006C15D1" w:rsidRDefault="006C15D1" w:rsidP="00FB6759">
      <w:pPr>
        <w:spacing w:after="0" w:line="240" w:lineRule="auto"/>
        <w:jc w:val="both"/>
        <w:rPr>
          <w:rFonts w:ascii="Times New Roman" w:hAnsi="Times New Roman" w:cs="Times New Roman"/>
          <w:sz w:val="22"/>
          <w:szCs w:val="22"/>
          <w:lang w:val="en-GB"/>
        </w:rPr>
      </w:pPr>
    </w:p>
    <w:p w:rsidR="00751D40" w:rsidRPr="004A29F9" w:rsidRDefault="006C15D1"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The MO</w:t>
      </w:r>
      <w:r w:rsidR="004F3586" w:rsidRPr="004A29F9">
        <w:rPr>
          <w:rFonts w:ascii="Times New Roman" w:hAnsi="Times New Roman" w:cs="Times New Roman"/>
          <w:sz w:val="22"/>
          <w:szCs w:val="22"/>
          <w:lang w:val="en-GB"/>
        </w:rPr>
        <w:t>J continued to be resource challenged</w:t>
      </w:r>
      <w:r w:rsidR="00792495" w:rsidRPr="004A29F9">
        <w:rPr>
          <w:rFonts w:ascii="Times New Roman" w:hAnsi="Times New Roman" w:cs="Times New Roman"/>
          <w:sz w:val="22"/>
          <w:szCs w:val="22"/>
          <w:lang w:val="en-GB"/>
        </w:rPr>
        <w:t xml:space="preserve"> and as of 2010 still took the lowest position in relation to the other justice </w:t>
      </w:r>
      <w:r w:rsidR="000C369C" w:rsidRPr="004A29F9">
        <w:rPr>
          <w:rFonts w:ascii="Times New Roman" w:hAnsi="Times New Roman" w:cs="Times New Roman"/>
          <w:sz w:val="22"/>
          <w:szCs w:val="22"/>
          <w:lang w:val="en-GB"/>
        </w:rPr>
        <w:t>institutions</w:t>
      </w:r>
      <w:r w:rsidR="00792495" w:rsidRPr="004A29F9">
        <w:rPr>
          <w:rFonts w:ascii="Times New Roman" w:hAnsi="Times New Roman" w:cs="Times New Roman"/>
          <w:sz w:val="22"/>
          <w:szCs w:val="22"/>
          <w:lang w:val="en-GB"/>
        </w:rPr>
        <w:t xml:space="preserve"> and lacked staff to operate many departments.</w:t>
      </w:r>
      <w:r w:rsidR="00FD3C19">
        <w:rPr>
          <w:rFonts w:ascii="Times New Roman" w:hAnsi="Times New Roman" w:cs="Times New Roman"/>
          <w:sz w:val="22"/>
          <w:szCs w:val="22"/>
          <w:lang w:val="en-GB"/>
        </w:rPr>
        <w:t xml:space="preserve"> </w:t>
      </w:r>
      <w:r w:rsidR="000C369C" w:rsidRPr="004A29F9">
        <w:rPr>
          <w:rFonts w:ascii="Times New Roman" w:hAnsi="Times New Roman" w:cs="Times New Roman"/>
          <w:sz w:val="22"/>
          <w:szCs w:val="22"/>
          <w:lang w:val="en-GB"/>
        </w:rPr>
        <w:t>A new Minister of Justice was recently ap</w:t>
      </w:r>
      <w:r>
        <w:rPr>
          <w:rFonts w:ascii="Times New Roman" w:hAnsi="Times New Roman" w:cs="Times New Roman"/>
          <w:sz w:val="22"/>
          <w:szCs w:val="22"/>
          <w:lang w:val="en-GB"/>
        </w:rPr>
        <w:t xml:space="preserve">pointed at the mid-point of </w:t>
      </w:r>
      <w:r w:rsidR="000C369C" w:rsidRPr="004A29F9">
        <w:rPr>
          <w:rFonts w:ascii="Times New Roman" w:hAnsi="Times New Roman" w:cs="Times New Roman"/>
          <w:sz w:val="22"/>
          <w:szCs w:val="22"/>
          <w:lang w:val="en-GB"/>
        </w:rPr>
        <w:t>UNDP</w:t>
      </w:r>
      <w:r>
        <w:rPr>
          <w:rFonts w:ascii="Times New Roman" w:hAnsi="Times New Roman" w:cs="Times New Roman"/>
          <w:sz w:val="22"/>
          <w:szCs w:val="22"/>
          <w:lang w:val="en-GB"/>
        </w:rPr>
        <w:t>/PAPP’s Rule of Law &amp;</w:t>
      </w:r>
      <w:r w:rsidR="000C369C" w:rsidRPr="004A29F9">
        <w:rPr>
          <w:rFonts w:ascii="Times New Roman" w:hAnsi="Times New Roman" w:cs="Times New Roman"/>
          <w:sz w:val="22"/>
          <w:szCs w:val="22"/>
          <w:lang w:val="en-GB"/>
        </w:rPr>
        <w:t xml:space="preserve"> Access to Justice Programme</w:t>
      </w:r>
      <w:r>
        <w:rPr>
          <w:rFonts w:ascii="Times New Roman" w:hAnsi="Times New Roman" w:cs="Times New Roman"/>
          <w:sz w:val="22"/>
          <w:szCs w:val="22"/>
          <w:lang w:val="en-GB"/>
        </w:rPr>
        <w:t xml:space="preserve">. </w:t>
      </w:r>
      <w:r w:rsidR="00982FB7" w:rsidRPr="004A29F9">
        <w:rPr>
          <w:rFonts w:ascii="Times New Roman" w:hAnsi="Times New Roman" w:cs="Times New Roman"/>
          <w:sz w:val="22"/>
          <w:szCs w:val="22"/>
          <w:lang w:val="en-GB"/>
        </w:rPr>
        <w:t xml:space="preserve">The lack of </w:t>
      </w:r>
      <w:r>
        <w:rPr>
          <w:rFonts w:ascii="Times New Roman" w:hAnsi="Times New Roman" w:cs="Times New Roman"/>
          <w:sz w:val="22"/>
          <w:szCs w:val="22"/>
          <w:lang w:val="en-GB"/>
        </w:rPr>
        <w:t xml:space="preserve">a </w:t>
      </w:r>
      <w:r w:rsidR="00A62F4F" w:rsidRPr="004A29F9">
        <w:rPr>
          <w:rFonts w:ascii="Times New Roman" w:hAnsi="Times New Roman" w:cs="Times New Roman"/>
          <w:sz w:val="22"/>
          <w:szCs w:val="22"/>
          <w:lang w:val="en-GB"/>
        </w:rPr>
        <w:t>functioning</w:t>
      </w:r>
      <w:r w:rsidR="00982FB7" w:rsidRPr="004A29F9">
        <w:rPr>
          <w:rFonts w:ascii="Times New Roman" w:hAnsi="Times New Roman" w:cs="Times New Roman"/>
          <w:sz w:val="22"/>
          <w:szCs w:val="22"/>
          <w:lang w:val="en-GB"/>
        </w:rPr>
        <w:t xml:space="preserve"> Palestinian Legislative Council </w:t>
      </w:r>
      <w:r>
        <w:rPr>
          <w:rFonts w:ascii="Times New Roman" w:hAnsi="Times New Roman" w:cs="Times New Roman"/>
          <w:sz w:val="22"/>
          <w:szCs w:val="22"/>
          <w:lang w:val="en-GB"/>
        </w:rPr>
        <w:t xml:space="preserve">(PLC) </w:t>
      </w:r>
      <w:r w:rsidR="00982FB7" w:rsidRPr="004A29F9">
        <w:rPr>
          <w:rFonts w:ascii="Times New Roman" w:hAnsi="Times New Roman" w:cs="Times New Roman"/>
          <w:sz w:val="22"/>
          <w:szCs w:val="22"/>
          <w:lang w:val="en-GB"/>
        </w:rPr>
        <w:t xml:space="preserve">since 2007 </w:t>
      </w:r>
      <w:r w:rsidR="00A62F4F" w:rsidRPr="004A29F9">
        <w:rPr>
          <w:rFonts w:ascii="Times New Roman" w:hAnsi="Times New Roman" w:cs="Times New Roman"/>
          <w:sz w:val="22"/>
          <w:szCs w:val="22"/>
          <w:lang w:val="en-GB"/>
        </w:rPr>
        <w:t xml:space="preserve">has also </w:t>
      </w:r>
      <w:r>
        <w:rPr>
          <w:rFonts w:ascii="Times New Roman" w:hAnsi="Times New Roman" w:cs="Times New Roman"/>
          <w:sz w:val="22"/>
          <w:szCs w:val="22"/>
          <w:lang w:val="en-GB"/>
        </w:rPr>
        <w:t>made it difficult to the MO</w:t>
      </w:r>
      <w:r w:rsidR="00982FB7" w:rsidRPr="004A29F9">
        <w:rPr>
          <w:rFonts w:ascii="Times New Roman" w:hAnsi="Times New Roman" w:cs="Times New Roman"/>
          <w:sz w:val="22"/>
          <w:szCs w:val="22"/>
          <w:lang w:val="en-GB"/>
        </w:rPr>
        <w:t>J to contribute effectively to the legislative process.</w:t>
      </w:r>
      <w:r w:rsidR="00982FB7" w:rsidRPr="004A29F9">
        <w:rPr>
          <w:rStyle w:val="FootnoteReference"/>
          <w:rFonts w:ascii="Times New Roman" w:hAnsi="Times New Roman" w:cs="Times New Roman"/>
          <w:sz w:val="22"/>
          <w:szCs w:val="22"/>
          <w:lang w:val="en-GB"/>
        </w:rPr>
        <w:footnoteReference w:id="29"/>
      </w:r>
    </w:p>
    <w:p w:rsidR="006C15D1" w:rsidRDefault="006C15D1" w:rsidP="00FB6759">
      <w:pPr>
        <w:spacing w:after="0" w:line="240" w:lineRule="auto"/>
        <w:jc w:val="both"/>
        <w:rPr>
          <w:rFonts w:ascii="Times New Roman" w:hAnsi="Times New Roman" w:cs="Times New Roman"/>
          <w:sz w:val="22"/>
          <w:szCs w:val="22"/>
          <w:lang w:val="en-GB"/>
        </w:rPr>
      </w:pPr>
    </w:p>
    <w:p w:rsidR="006C15D1" w:rsidRDefault="00971779"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Other government and civil society institutions also play important roles in the administration of justice and the establishment of a culture of rule of la</w:t>
      </w:r>
      <w:r w:rsidR="006C15D1">
        <w:rPr>
          <w:rFonts w:ascii="Times New Roman" w:hAnsi="Times New Roman" w:cs="Times New Roman"/>
          <w:sz w:val="22"/>
          <w:szCs w:val="22"/>
          <w:lang w:val="en-GB"/>
        </w:rPr>
        <w:t xml:space="preserve">w. </w:t>
      </w:r>
      <w:r w:rsidRPr="004A29F9">
        <w:rPr>
          <w:rFonts w:ascii="Times New Roman" w:hAnsi="Times New Roman" w:cs="Times New Roman"/>
          <w:sz w:val="22"/>
          <w:szCs w:val="22"/>
          <w:lang w:val="en-GB"/>
        </w:rPr>
        <w:t xml:space="preserve">The </w:t>
      </w:r>
      <w:r w:rsidR="006C15D1" w:rsidRPr="006C15D1">
        <w:rPr>
          <w:rFonts w:ascii="Times New Roman" w:hAnsi="Times New Roman" w:cs="Times New Roman"/>
          <w:i/>
          <w:sz w:val="22"/>
          <w:szCs w:val="22"/>
          <w:lang w:val="en-GB"/>
        </w:rPr>
        <w:t>s</w:t>
      </w:r>
      <w:r w:rsidR="000C369C" w:rsidRPr="006C15D1">
        <w:rPr>
          <w:rFonts w:ascii="Times New Roman" w:hAnsi="Times New Roman" w:cs="Times New Roman"/>
          <w:i/>
          <w:sz w:val="22"/>
          <w:szCs w:val="22"/>
          <w:lang w:val="en-GB"/>
        </w:rPr>
        <w:t>hari’a</w:t>
      </w:r>
      <w:r w:rsidR="006C15D1">
        <w:rPr>
          <w:rFonts w:ascii="Times New Roman" w:hAnsi="Times New Roman" w:cs="Times New Roman"/>
          <w:sz w:val="22"/>
          <w:szCs w:val="22"/>
          <w:lang w:val="en-GB"/>
        </w:rPr>
        <w:t xml:space="preserve"> courts specialis</w:t>
      </w:r>
      <w:r w:rsidR="00F04552" w:rsidRPr="004A29F9">
        <w:rPr>
          <w:rFonts w:ascii="Times New Roman" w:hAnsi="Times New Roman" w:cs="Times New Roman"/>
          <w:sz w:val="22"/>
          <w:szCs w:val="22"/>
          <w:lang w:val="en-GB"/>
        </w:rPr>
        <w:t>e in cases such as wills, guardianship, inheritance, alimony, custody, paternity, divorce, separation, proof of puberty, endowment cases, and the dissolution of invalid contracts of marriage.</w:t>
      </w:r>
      <w:r w:rsidR="00F04552" w:rsidRPr="004A29F9">
        <w:rPr>
          <w:rStyle w:val="FootnoteReference"/>
          <w:rFonts w:ascii="Times New Roman" w:hAnsi="Times New Roman" w:cs="Times New Roman"/>
          <w:sz w:val="22"/>
          <w:szCs w:val="22"/>
          <w:lang w:val="en-GB"/>
        </w:rPr>
        <w:footnoteReference w:id="30"/>
      </w:r>
      <w:r w:rsidRPr="004A29F9">
        <w:rPr>
          <w:rFonts w:ascii="Times New Roman" w:hAnsi="Times New Roman" w:cs="Times New Roman"/>
          <w:sz w:val="22"/>
          <w:szCs w:val="22"/>
          <w:lang w:val="en-GB"/>
        </w:rPr>
        <w:t>As such, they a</w:t>
      </w:r>
      <w:r w:rsidR="000B006C" w:rsidRPr="004A29F9">
        <w:rPr>
          <w:rFonts w:ascii="Times New Roman" w:hAnsi="Times New Roman" w:cs="Times New Roman"/>
          <w:sz w:val="22"/>
          <w:szCs w:val="22"/>
          <w:lang w:val="en-GB"/>
        </w:rPr>
        <w:t>re particularly relevant to justice issues pertaining to wom</w:t>
      </w:r>
      <w:r w:rsidR="006C15D1">
        <w:rPr>
          <w:rFonts w:ascii="Times New Roman" w:hAnsi="Times New Roman" w:cs="Times New Roman"/>
          <w:sz w:val="22"/>
          <w:szCs w:val="22"/>
          <w:lang w:val="en-GB"/>
        </w:rPr>
        <w:t>en, juveniles, and the family.</w:t>
      </w:r>
    </w:p>
    <w:p w:rsidR="006C15D1" w:rsidRDefault="006C15D1" w:rsidP="00FB6759">
      <w:pPr>
        <w:spacing w:after="0" w:line="240" w:lineRule="auto"/>
        <w:jc w:val="both"/>
        <w:rPr>
          <w:rFonts w:ascii="Times New Roman" w:hAnsi="Times New Roman" w:cs="Times New Roman"/>
          <w:sz w:val="22"/>
          <w:szCs w:val="22"/>
          <w:lang w:val="en-GB"/>
        </w:rPr>
      </w:pPr>
    </w:p>
    <w:p w:rsidR="00F04552" w:rsidRPr="004A29F9" w:rsidRDefault="00F04552"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w:t>
      </w:r>
      <w:r w:rsidR="006C15D1">
        <w:rPr>
          <w:rFonts w:ascii="Times New Roman" w:hAnsi="Times New Roman" w:cs="Times New Roman"/>
          <w:sz w:val="22"/>
          <w:szCs w:val="22"/>
          <w:lang w:val="en-GB"/>
        </w:rPr>
        <w:t>he PBA</w:t>
      </w:r>
      <w:r w:rsidR="000B006C" w:rsidRPr="004A29F9">
        <w:rPr>
          <w:rFonts w:ascii="Times New Roman" w:hAnsi="Times New Roman" w:cs="Times New Roman"/>
          <w:sz w:val="22"/>
          <w:szCs w:val="22"/>
          <w:lang w:val="en-GB"/>
        </w:rPr>
        <w:t xml:space="preserve"> has a critical dual role, on the one hand protecting</w:t>
      </w:r>
      <w:r w:rsidRPr="004A29F9">
        <w:rPr>
          <w:rFonts w:ascii="Times New Roman" w:hAnsi="Times New Roman" w:cs="Times New Roman"/>
          <w:sz w:val="22"/>
          <w:szCs w:val="22"/>
          <w:lang w:val="en-GB"/>
        </w:rPr>
        <w:t xml:space="preserve"> the interests of </w:t>
      </w:r>
      <w:r w:rsidR="000B006C" w:rsidRPr="004A29F9">
        <w:rPr>
          <w:rFonts w:ascii="Times New Roman" w:hAnsi="Times New Roman" w:cs="Times New Roman"/>
          <w:sz w:val="22"/>
          <w:szCs w:val="22"/>
          <w:lang w:val="en-GB"/>
        </w:rPr>
        <w:t>citizens</w:t>
      </w:r>
      <w:r w:rsidRPr="004A29F9">
        <w:rPr>
          <w:rFonts w:ascii="Times New Roman" w:hAnsi="Times New Roman" w:cs="Times New Roman"/>
          <w:sz w:val="22"/>
          <w:szCs w:val="22"/>
          <w:lang w:val="en-GB"/>
        </w:rPr>
        <w:t xml:space="preserve"> who</w:t>
      </w:r>
      <w:r w:rsidR="000B006C" w:rsidRPr="004A29F9">
        <w:rPr>
          <w:rFonts w:ascii="Times New Roman" w:hAnsi="Times New Roman" w:cs="Times New Roman"/>
          <w:sz w:val="22"/>
          <w:szCs w:val="22"/>
          <w:lang w:val="en-GB"/>
        </w:rPr>
        <w:t xml:space="preserve"> seek assistance from lawyers</w:t>
      </w:r>
      <w:r w:rsidRPr="004A29F9">
        <w:rPr>
          <w:rFonts w:ascii="Times New Roman" w:hAnsi="Times New Roman" w:cs="Times New Roman"/>
          <w:sz w:val="22"/>
          <w:szCs w:val="22"/>
          <w:lang w:val="en-GB"/>
        </w:rPr>
        <w:t xml:space="preserve">, and </w:t>
      </w:r>
      <w:r w:rsidR="000B006C" w:rsidRPr="004A29F9">
        <w:rPr>
          <w:rFonts w:ascii="Times New Roman" w:hAnsi="Times New Roman" w:cs="Times New Roman"/>
          <w:sz w:val="22"/>
          <w:szCs w:val="22"/>
          <w:lang w:val="en-GB"/>
        </w:rPr>
        <w:t xml:space="preserve">on the other, protecting the rights and </w:t>
      </w:r>
      <w:r w:rsidRPr="004A29F9">
        <w:rPr>
          <w:rFonts w:ascii="Times New Roman" w:hAnsi="Times New Roman" w:cs="Times New Roman"/>
          <w:sz w:val="22"/>
          <w:szCs w:val="22"/>
          <w:lang w:val="en-GB"/>
        </w:rPr>
        <w:t xml:space="preserve">interests of </w:t>
      </w:r>
      <w:r w:rsidR="000B006C" w:rsidRPr="004A29F9">
        <w:rPr>
          <w:rFonts w:ascii="Times New Roman" w:hAnsi="Times New Roman" w:cs="Times New Roman"/>
          <w:sz w:val="22"/>
          <w:szCs w:val="22"/>
          <w:lang w:val="en-GB"/>
        </w:rPr>
        <w:t>practicing lawyers</w:t>
      </w:r>
      <w:r w:rsidRPr="004A29F9">
        <w:rPr>
          <w:rFonts w:ascii="Times New Roman" w:hAnsi="Times New Roman" w:cs="Times New Roman"/>
          <w:sz w:val="22"/>
          <w:szCs w:val="22"/>
          <w:lang w:val="en-GB"/>
        </w:rPr>
        <w:t>.</w:t>
      </w:r>
      <w:r w:rsidRPr="004A29F9">
        <w:rPr>
          <w:rStyle w:val="FootnoteReference"/>
          <w:rFonts w:ascii="Times New Roman" w:hAnsi="Times New Roman" w:cs="Times New Roman"/>
          <w:sz w:val="22"/>
          <w:szCs w:val="22"/>
          <w:lang w:val="en-GB"/>
        </w:rPr>
        <w:footnoteReference w:id="31"/>
      </w:r>
      <w:r w:rsidR="000B006C" w:rsidRPr="004A29F9">
        <w:rPr>
          <w:rFonts w:ascii="Times New Roman" w:hAnsi="Times New Roman" w:cs="Times New Roman"/>
          <w:sz w:val="22"/>
          <w:szCs w:val="22"/>
          <w:lang w:val="en-GB"/>
        </w:rPr>
        <w:t xml:space="preserve">Educational institutions, </w:t>
      </w:r>
      <w:r w:rsidR="009A6D50" w:rsidRPr="004A29F9">
        <w:rPr>
          <w:rFonts w:ascii="Times New Roman" w:hAnsi="Times New Roman" w:cs="Times New Roman"/>
          <w:sz w:val="22"/>
          <w:szCs w:val="22"/>
          <w:lang w:val="en-GB"/>
        </w:rPr>
        <w:t>and Birzeit U</w:t>
      </w:r>
      <w:r w:rsidR="00827B92" w:rsidRPr="004A29F9">
        <w:rPr>
          <w:rFonts w:ascii="Times New Roman" w:hAnsi="Times New Roman" w:cs="Times New Roman"/>
          <w:sz w:val="22"/>
          <w:szCs w:val="22"/>
          <w:lang w:val="en-GB"/>
        </w:rPr>
        <w:t>niversity in particular</w:t>
      </w:r>
      <w:r w:rsidR="00D354EA" w:rsidRPr="004A29F9">
        <w:rPr>
          <w:rFonts w:ascii="Times New Roman" w:hAnsi="Times New Roman" w:cs="Times New Roman"/>
          <w:sz w:val="22"/>
          <w:szCs w:val="22"/>
          <w:lang w:val="en-GB"/>
        </w:rPr>
        <w:t>,</w:t>
      </w:r>
      <w:r w:rsidR="000B006C" w:rsidRPr="004A29F9">
        <w:rPr>
          <w:rFonts w:ascii="Times New Roman" w:hAnsi="Times New Roman" w:cs="Times New Roman"/>
          <w:sz w:val="22"/>
          <w:szCs w:val="22"/>
          <w:lang w:val="en-GB"/>
        </w:rPr>
        <w:t xml:space="preserve"> help to address the skills gap among legal practitioners by training both young lawy</w:t>
      </w:r>
      <w:r w:rsidR="005E19B1">
        <w:rPr>
          <w:rFonts w:ascii="Times New Roman" w:hAnsi="Times New Roman" w:cs="Times New Roman"/>
          <w:sz w:val="22"/>
          <w:szCs w:val="22"/>
          <w:lang w:val="en-GB"/>
        </w:rPr>
        <w:t xml:space="preserve">ers and existing professionals </w:t>
      </w:r>
      <w:r w:rsidR="000B006C" w:rsidRPr="004A29F9">
        <w:rPr>
          <w:rFonts w:ascii="Times New Roman" w:hAnsi="Times New Roman" w:cs="Times New Roman"/>
          <w:sz w:val="22"/>
          <w:szCs w:val="22"/>
          <w:lang w:val="en-GB"/>
        </w:rPr>
        <w:t>while at the same time creating resources and technologies that support the legal profession</w:t>
      </w:r>
      <w:r w:rsidRPr="004A29F9">
        <w:rPr>
          <w:rFonts w:ascii="Times New Roman" w:hAnsi="Times New Roman" w:cs="Times New Roman"/>
          <w:sz w:val="22"/>
          <w:szCs w:val="22"/>
          <w:lang w:val="en-GB"/>
        </w:rPr>
        <w:t>.</w:t>
      </w:r>
      <w:r w:rsidRPr="004A29F9">
        <w:rPr>
          <w:rStyle w:val="FootnoteReference"/>
          <w:rFonts w:ascii="Times New Roman" w:hAnsi="Times New Roman" w:cs="Times New Roman"/>
          <w:sz w:val="22"/>
          <w:szCs w:val="22"/>
          <w:lang w:val="en-GB"/>
        </w:rPr>
        <w:footnoteReference w:id="32"/>
      </w:r>
      <w:r w:rsidR="000B006C" w:rsidRPr="004A29F9">
        <w:rPr>
          <w:rFonts w:ascii="Times New Roman" w:hAnsi="Times New Roman" w:cs="Times New Roman"/>
          <w:sz w:val="22"/>
          <w:szCs w:val="22"/>
          <w:lang w:val="en-GB"/>
        </w:rPr>
        <w:t xml:space="preserve">Independent civil society </w:t>
      </w:r>
      <w:r w:rsidR="005E19B1">
        <w:rPr>
          <w:rFonts w:ascii="Times New Roman" w:hAnsi="Times New Roman" w:cs="Times New Roman"/>
          <w:sz w:val="22"/>
          <w:szCs w:val="22"/>
          <w:lang w:val="en-GB"/>
        </w:rPr>
        <w:t>organis</w:t>
      </w:r>
      <w:r w:rsidR="00C549A0" w:rsidRPr="004A29F9">
        <w:rPr>
          <w:rFonts w:ascii="Times New Roman" w:hAnsi="Times New Roman" w:cs="Times New Roman"/>
          <w:sz w:val="22"/>
          <w:szCs w:val="22"/>
          <w:lang w:val="en-GB"/>
        </w:rPr>
        <w:t>ations</w:t>
      </w:r>
      <w:r w:rsidR="005E19B1">
        <w:rPr>
          <w:rFonts w:ascii="Times New Roman" w:hAnsi="Times New Roman" w:cs="Times New Roman"/>
          <w:sz w:val="22"/>
          <w:szCs w:val="22"/>
          <w:lang w:val="en-GB"/>
        </w:rPr>
        <w:t xml:space="preserve"> - both Palestinian and Israeli - </w:t>
      </w:r>
      <w:r w:rsidR="000B006C" w:rsidRPr="004A29F9">
        <w:rPr>
          <w:rFonts w:ascii="Times New Roman" w:hAnsi="Times New Roman" w:cs="Times New Roman"/>
          <w:sz w:val="22"/>
          <w:szCs w:val="22"/>
          <w:lang w:val="en-GB"/>
        </w:rPr>
        <w:t>provide a wide array of services, including</w:t>
      </w:r>
      <w:r w:rsidR="00D354EA" w:rsidRPr="004A29F9">
        <w:rPr>
          <w:rFonts w:ascii="Times New Roman" w:hAnsi="Times New Roman" w:cs="Times New Roman"/>
          <w:sz w:val="22"/>
          <w:szCs w:val="22"/>
          <w:lang w:val="en-GB"/>
        </w:rPr>
        <w:t>:</w:t>
      </w:r>
      <w:r w:rsidR="000B006C" w:rsidRPr="004A29F9">
        <w:rPr>
          <w:rFonts w:ascii="Times New Roman" w:hAnsi="Times New Roman" w:cs="Times New Roman"/>
          <w:sz w:val="22"/>
          <w:szCs w:val="22"/>
          <w:lang w:val="en-GB"/>
        </w:rPr>
        <w:t xml:space="preserve"> prov</w:t>
      </w:r>
      <w:r w:rsidR="00D354EA" w:rsidRPr="004A29F9">
        <w:rPr>
          <w:rFonts w:ascii="Times New Roman" w:hAnsi="Times New Roman" w:cs="Times New Roman"/>
          <w:sz w:val="22"/>
          <w:szCs w:val="22"/>
          <w:lang w:val="en-GB"/>
        </w:rPr>
        <w:t xml:space="preserve">ision of free legal assistance; </w:t>
      </w:r>
      <w:r w:rsidR="000B006C" w:rsidRPr="004A29F9">
        <w:rPr>
          <w:rFonts w:ascii="Times New Roman" w:hAnsi="Times New Roman" w:cs="Times New Roman"/>
          <w:sz w:val="22"/>
          <w:szCs w:val="22"/>
          <w:lang w:val="en-GB"/>
        </w:rPr>
        <w:t>awareness and training programme</w:t>
      </w:r>
      <w:r w:rsidR="00D354EA" w:rsidRPr="004A29F9">
        <w:rPr>
          <w:rFonts w:ascii="Times New Roman" w:hAnsi="Times New Roman" w:cs="Times New Roman"/>
          <w:sz w:val="22"/>
          <w:szCs w:val="22"/>
          <w:lang w:val="en-GB"/>
        </w:rPr>
        <w:t xml:space="preserve">s to citizens and practitioners; monitoring; </w:t>
      </w:r>
      <w:r w:rsidR="000B006C" w:rsidRPr="004A29F9">
        <w:rPr>
          <w:rFonts w:ascii="Times New Roman" w:hAnsi="Times New Roman" w:cs="Times New Roman"/>
          <w:sz w:val="22"/>
          <w:szCs w:val="22"/>
          <w:lang w:val="en-GB"/>
        </w:rPr>
        <w:t>human rights advocacy.</w:t>
      </w:r>
      <w:r w:rsidR="000B006C" w:rsidRPr="004A29F9">
        <w:rPr>
          <w:rStyle w:val="FootnoteReference"/>
          <w:rFonts w:ascii="Times New Roman" w:hAnsi="Times New Roman" w:cs="Times New Roman"/>
          <w:sz w:val="22"/>
          <w:szCs w:val="22"/>
          <w:lang w:val="en-GB"/>
        </w:rPr>
        <w:footnoteReference w:id="33"/>
      </w:r>
      <w:r w:rsidR="00D354EA" w:rsidRPr="004A29F9">
        <w:rPr>
          <w:rFonts w:ascii="Times New Roman" w:hAnsi="Times New Roman" w:cs="Times New Roman"/>
          <w:sz w:val="22"/>
          <w:szCs w:val="22"/>
          <w:lang w:val="en-GB"/>
        </w:rPr>
        <w:t xml:space="preserve">These CSOs play an essential role in fostering a culture of justice among Palestinians, ensuring that reforms at the institutional level translate into real, positive change in the lives of the Palestinian people. </w:t>
      </w:r>
    </w:p>
    <w:p w:rsidR="006C15D1" w:rsidRDefault="006C15D1" w:rsidP="00FB6759">
      <w:pPr>
        <w:spacing w:after="0" w:line="240" w:lineRule="auto"/>
        <w:jc w:val="both"/>
        <w:rPr>
          <w:rFonts w:ascii="Times New Roman" w:hAnsi="Times New Roman" w:cs="Times New Roman"/>
          <w:sz w:val="22"/>
          <w:szCs w:val="22"/>
          <w:lang w:val="en-GB"/>
        </w:rPr>
      </w:pPr>
    </w:p>
    <w:p w:rsidR="00040EEE" w:rsidRPr="004A29F9" w:rsidRDefault="00567DE3"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w:t>
      </w:r>
      <w:r w:rsidR="00E564A0" w:rsidRPr="004A29F9">
        <w:rPr>
          <w:rFonts w:ascii="Times New Roman" w:hAnsi="Times New Roman" w:cs="Times New Roman"/>
          <w:sz w:val="22"/>
          <w:szCs w:val="22"/>
          <w:lang w:val="en-GB"/>
        </w:rPr>
        <w:t xml:space="preserve"> justice sector </w:t>
      </w:r>
      <w:r w:rsidRPr="004A29F9">
        <w:rPr>
          <w:rFonts w:ascii="Times New Roman" w:hAnsi="Times New Roman" w:cs="Times New Roman"/>
          <w:sz w:val="22"/>
          <w:szCs w:val="22"/>
          <w:lang w:val="en-GB"/>
        </w:rPr>
        <w:t>has been</w:t>
      </w:r>
      <w:r w:rsidR="00E564A0" w:rsidRPr="004A29F9">
        <w:rPr>
          <w:rFonts w:ascii="Times New Roman" w:hAnsi="Times New Roman" w:cs="Times New Roman"/>
          <w:sz w:val="22"/>
          <w:szCs w:val="22"/>
          <w:lang w:val="en-GB"/>
        </w:rPr>
        <w:t xml:space="preserve"> supported by </w:t>
      </w:r>
      <w:r w:rsidR="000B006C" w:rsidRPr="004A29F9">
        <w:rPr>
          <w:rFonts w:ascii="Times New Roman" w:hAnsi="Times New Roman" w:cs="Times New Roman"/>
          <w:sz w:val="22"/>
          <w:szCs w:val="22"/>
          <w:lang w:val="en-GB"/>
        </w:rPr>
        <w:t xml:space="preserve">the donations and expertise of </w:t>
      </w:r>
      <w:r w:rsidR="00E564A0" w:rsidRPr="004A29F9">
        <w:rPr>
          <w:rFonts w:ascii="Times New Roman" w:hAnsi="Times New Roman" w:cs="Times New Roman"/>
          <w:sz w:val="22"/>
          <w:szCs w:val="22"/>
          <w:lang w:val="en-GB"/>
        </w:rPr>
        <w:t xml:space="preserve">various international </w:t>
      </w:r>
      <w:r w:rsidR="00B36BC1" w:rsidRPr="004A29F9">
        <w:rPr>
          <w:rFonts w:ascii="Times New Roman" w:hAnsi="Times New Roman" w:cs="Times New Roman"/>
          <w:sz w:val="22"/>
          <w:szCs w:val="22"/>
          <w:lang w:val="en-GB"/>
        </w:rPr>
        <w:t>partners</w:t>
      </w:r>
      <w:r w:rsidR="00E564A0" w:rsidRPr="004A29F9">
        <w:rPr>
          <w:rFonts w:ascii="Times New Roman" w:hAnsi="Times New Roman" w:cs="Times New Roman"/>
          <w:sz w:val="22"/>
          <w:szCs w:val="22"/>
          <w:lang w:val="en-GB"/>
        </w:rPr>
        <w:t xml:space="preserve"> including: </w:t>
      </w:r>
      <w:r w:rsidR="00B36BC1" w:rsidRPr="004A29F9">
        <w:rPr>
          <w:rFonts w:ascii="Times New Roman" w:hAnsi="Times New Roman" w:cs="Times New Roman"/>
          <w:sz w:val="22"/>
          <w:szCs w:val="22"/>
          <w:lang w:val="en-GB"/>
        </w:rPr>
        <w:t xml:space="preserve">the Canadian International </w:t>
      </w:r>
      <w:r w:rsidR="00602F39" w:rsidRPr="004A29F9">
        <w:rPr>
          <w:rFonts w:ascii="Times New Roman" w:hAnsi="Times New Roman" w:cs="Times New Roman"/>
          <w:sz w:val="22"/>
          <w:szCs w:val="22"/>
          <w:lang w:val="en-GB"/>
        </w:rPr>
        <w:t>Development</w:t>
      </w:r>
      <w:r w:rsidR="005E19B1">
        <w:rPr>
          <w:rFonts w:ascii="Times New Roman" w:hAnsi="Times New Roman" w:cs="Times New Roman"/>
          <w:sz w:val="22"/>
          <w:szCs w:val="22"/>
          <w:lang w:val="en-GB"/>
        </w:rPr>
        <w:t xml:space="preserve"> Agency (CIDA);</w:t>
      </w:r>
      <w:r w:rsidR="00B36BC1" w:rsidRPr="004A29F9">
        <w:rPr>
          <w:rFonts w:ascii="Times New Roman" w:hAnsi="Times New Roman" w:cs="Times New Roman"/>
          <w:sz w:val="22"/>
          <w:szCs w:val="22"/>
          <w:lang w:val="en-GB"/>
        </w:rPr>
        <w:t xml:space="preserve"> the Swedish International </w:t>
      </w:r>
      <w:r w:rsidR="00602F39" w:rsidRPr="004A29F9">
        <w:rPr>
          <w:rFonts w:ascii="Times New Roman" w:hAnsi="Times New Roman" w:cs="Times New Roman"/>
          <w:sz w:val="22"/>
          <w:szCs w:val="22"/>
          <w:lang w:val="en-GB"/>
        </w:rPr>
        <w:t>Development</w:t>
      </w:r>
      <w:r w:rsidR="00B36BC1" w:rsidRPr="004A29F9">
        <w:rPr>
          <w:rFonts w:ascii="Times New Roman" w:hAnsi="Times New Roman" w:cs="Times New Roman"/>
          <w:sz w:val="22"/>
          <w:szCs w:val="22"/>
          <w:lang w:val="en-GB"/>
        </w:rPr>
        <w:t xml:space="preserve"> Agency (</w:t>
      </w:r>
      <w:r w:rsidR="00155CBA" w:rsidRPr="004A29F9">
        <w:rPr>
          <w:rFonts w:ascii="Times New Roman" w:hAnsi="Times New Roman" w:cs="Times New Roman"/>
          <w:sz w:val="22"/>
          <w:szCs w:val="22"/>
          <w:lang w:val="en-GB"/>
        </w:rPr>
        <w:t>Sida</w:t>
      </w:r>
      <w:r w:rsidR="00B36BC1" w:rsidRPr="004A29F9">
        <w:rPr>
          <w:rFonts w:ascii="Times New Roman" w:hAnsi="Times New Roman" w:cs="Times New Roman"/>
          <w:sz w:val="22"/>
          <w:szCs w:val="22"/>
          <w:lang w:val="en-GB"/>
        </w:rPr>
        <w:t>)</w:t>
      </w:r>
      <w:r w:rsidR="005E19B1">
        <w:rPr>
          <w:rFonts w:ascii="Times New Roman" w:hAnsi="Times New Roman" w:cs="Times New Roman"/>
          <w:sz w:val="22"/>
          <w:szCs w:val="22"/>
          <w:lang w:val="en-GB"/>
        </w:rPr>
        <w:t>;</w:t>
      </w:r>
      <w:r w:rsidR="00B36BC1" w:rsidRPr="004A29F9">
        <w:rPr>
          <w:rFonts w:ascii="Times New Roman" w:hAnsi="Times New Roman" w:cs="Times New Roman"/>
          <w:sz w:val="22"/>
          <w:szCs w:val="22"/>
          <w:lang w:val="en-GB"/>
        </w:rPr>
        <w:t xml:space="preserve"> the Government of</w:t>
      </w:r>
      <w:r w:rsidR="005E19B1">
        <w:rPr>
          <w:rFonts w:ascii="Times New Roman" w:hAnsi="Times New Roman" w:cs="Times New Roman"/>
          <w:sz w:val="22"/>
          <w:szCs w:val="22"/>
          <w:lang w:val="en-GB"/>
        </w:rPr>
        <w:t xml:space="preserve"> the Netherlands;</w:t>
      </w:r>
      <w:r w:rsidR="00227679">
        <w:rPr>
          <w:rFonts w:ascii="Times New Roman" w:hAnsi="Times New Roman" w:cs="Times New Roman"/>
          <w:sz w:val="22"/>
          <w:szCs w:val="22"/>
          <w:lang w:val="en-GB"/>
        </w:rPr>
        <w:t xml:space="preserve"> </w:t>
      </w:r>
      <w:r w:rsidR="001B4C7E" w:rsidRPr="004A29F9">
        <w:rPr>
          <w:rFonts w:ascii="Times New Roman" w:hAnsi="Times New Roman" w:cs="Times New Roman"/>
          <w:sz w:val="22"/>
          <w:szCs w:val="22"/>
          <w:lang w:val="en-GB"/>
        </w:rPr>
        <w:t xml:space="preserve">the Government of the United Kingdom </w:t>
      </w:r>
      <w:r w:rsidR="00B36BC1" w:rsidRPr="004A29F9">
        <w:rPr>
          <w:rFonts w:ascii="Times New Roman" w:hAnsi="Times New Roman" w:cs="Times New Roman"/>
          <w:sz w:val="22"/>
          <w:szCs w:val="22"/>
          <w:lang w:val="en-GB"/>
        </w:rPr>
        <w:t xml:space="preserve">as well as the </w:t>
      </w:r>
      <w:r w:rsidR="005E19B1">
        <w:rPr>
          <w:rFonts w:ascii="Times New Roman" w:hAnsi="Times New Roman" w:cs="Times New Roman"/>
          <w:sz w:val="22"/>
          <w:szCs w:val="22"/>
          <w:lang w:val="en-GB"/>
        </w:rPr>
        <w:t xml:space="preserve">European Union </w:t>
      </w:r>
      <w:r w:rsidR="00B36BC1" w:rsidRPr="004A29F9">
        <w:rPr>
          <w:rFonts w:ascii="Times New Roman" w:hAnsi="Times New Roman" w:cs="Times New Roman"/>
          <w:sz w:val="22"/>
          <w:szCs w:val="22"/>
          <w:lang w:val="en-GB"/>
        </w:rPr>
        <w:t>and the United S</w:t>
      </w:r>
      <w:r w:rsidR="00E564A0" w:rsidRPr="004A29F9">
        <w:rPr>
          <w:rFonts w:ascii="Times New Roman" w:hAnsi="Times New Roman" w:cs="Times New Roman"/>
          <w:sz w:val="22"/>
          <w:szCs w:val="22"/>
          <w:lang w:val="en-GB"/>
        </w:rPr>
        <w:t>tates Agency for Interna</w:t>
      </w:r>
      <w:r w:rsidR="00B36BC1" w:rsidRPr="004A29F9">
        <w:rPr>
          <w:rFonts w:ascii="Times New Roman" w:hAnsi="Times New Roman" w:cs="Times New Roman"/>
          <w:sz w:val="22"/>
          <w:szCs w:val="22"/>
          <w:lang w:val="en-GB"/>
        </w:rPr>
        <w:t xml:space="preserve">tional </w:t>
      </w:r>
      <w:r w:rsidR="00602F39" w:rsidRPr="004A29F9">
        <w:rPr>
          <w:rFonts w:ascii="Times New Roman" w:hAnsi="Times New Roman" w:cs="Times New Roman"/>
          <w:sz w:val="22"/>
          <w:szCs w:val="22"/>
          <w:lang w:val="en-GB"/>
        </w:rPr>
        <w:t>Development</w:t>
      </w:r>
      <w:r w:rsidR="00B36BC1" w:rsidRPr="004A29F9">
        <w:rPr>
          <w:rFonts w:ascii="Times New Roman" w:hAnsi="Times New Roman" w:cs="Times New Roman"/>
          <w:sz w:val="22"/>
          <w:szCs w:val="22"/>
          <w:lang w:val="en-GB"/>
        </w:rPr>
        <w:t xml:space="preserve"> (USAID)</w:t>
      </w:r>
      <w:r w:rsidR="00E564A0" w:rsidRPr="004A29F9">
        <w:rPr>
          <w:rFonts w:ascii="Times New Roman" w:hAnsi="Times New Roman" w:cs="Times New Roman"/>
          <w:sz w:val="22"/>
          <w:szCs w:val="22"/>
          <w:lang w:val="en-GB"/>
        </w:rPr>
        <w:t>.</w:t>
      </w:r>
      <w:r w:rsidR="00E564A0" w:rsidRPr="004A29F9">
        <w:rPr>
          <w:rStyle w:val="FootnoteReference"/>
          <w:rFonts w:ascii="Times New Roman" w:hAnsi="Times New Roman" w:cs="Times New Roman"/>
          <w:sz w:val="22"/>
          <w:szCs w:val="22"/>
          <w:lang w:val="en-GB"/>
        </w:rPr>
        <w:footnoteReference w:id="34"/>
      </w:r>
    </w:p>
    <w:p w:rsidR="005E19B1" w:rsidRPr="004A29F9" w:rsidRDefault="005E19B1" w:rsidP="00FB6759">
      <w:pPr>
        <w:spacing w:after="0" w:line="240" w:lineRule="auto"/>
        <w:jc w:val="both"/>
        <w:rPr>
          <w:rFonts w:ascii="Times New Roman" w:hAnsi="Times New Roman" w:cs="Times New Roman"/>
          <w:sz w:val="22"/>
          <w:szCs w:val="22"/>
          <w:lang w:val="en-GB"/>
        </w:rPr>
      </w:pPr>
    </w:p>
    <w:p w:rsidR="00D74A73" w:rsidRPr="005E19B1" w:rsidRDefault="00D74A73" w:rsidP="00FB6759">
      <w:pPr>
        <w:spacing w:after="0" w:line="240" w:lineRule="auto"/>
        <w:jc w:val="both"/>
        <w:rPr>
          <w:rFonts w:ascii="Times New Roman" w:hAnsi="Times New Roman" w:cs="Times New Roman"/>
          <w:i/>
          <w:sz w:val="22"/>
          <w:szCs w:val="22"/>
          <w:lang w:val="en-GB"/>
        </w:rPr>
      </w:pPr>
      <w:r w:rsidRPr="005E19B1">
        <w:rPr>
          <w:rFonts w:ascii="Times New Roman" w:hAnsi="Times New Roman" w:cs="Times New Roman"/>
          <w:i/>
          <w:sz w:val="22"/>
          <w:szCs w:val="22"/>
          <w:lang w:val="en-GB"/>
        </w:rPr>
        <w:t>The Court System</w:t>
      </w:r>
    </w:p>
    <w:p w:rsidR="006C15D1" w:rsidRPr="004A29F9" w:rsidRDefault="006C15D1" w:rsidP="00FB6759">
      <w:pPr>
        <w:spacing w:after="0" w:line="240" w:lineRule="auto"/>
        <w:jc w:val="both"/>
        <w:rPr>
          <w:rFonts w:ascii="Times New Roman" w:hAnsi="Times New Roman" w:cs="Times New Roman"/>
          <w:b/>
          <w:i/>
          <w:sz w:val="22"/>
          <w:szCs w:val="22"/>
          <w:lang w:val="en-GB"/>
        </w:rPr>
      </w:pPr>
    </w:p>
    <w:p w:rsidR="00D74A73" w:rsidRDefault="00D74A73"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There are f</w:t>
      </w:r>
      <w:r w:rsidR="005E19B1">
        <w:rPr>
          <w:rFonts w:ascii="Times New Roman" w:hAnsi="Times New Roman" w:cs="Times New Roman"/>
          <w:sz w:val="22"/>
          <w:szCs w:val="22"/>
          <w:lang w:val="en-GB"/>
        </w:rPr>
        <w:t xml:space="preserve">our levels of civilian courts </w:t>
      </w:r>
      <w:r w:rsidRPr="004A29F9">
        <w:rPr>
          <w:rFonts w:ascii="Times New Roman" w:hAnsi="Times New Roman" w:cs="Times New Roman"/>
          <w:sz w:val="22"/>
          <w:szCs w:val="22"/>
          <w:lang w:val="en-GB"/>
        </w:rPr>
        <w:t>that deal with b</w:t>
      </w:r>
      <w:r w:rsidR="005E19B1">
        <w:rPr>
          <w:rFonts w:ascii="Times New Roman" w:hAnsi="Times New Roman" w:cs="Times New Roman"/>
          <w:sz w:val="22"/>
          <w:szCs w:val="22"/>
          <w:lang w:val="en-GB"/>
        </w:rPr>
        <w:t xml:space="preserve">oth civil and criminal cases. </w:t>
      </w:r>
      <w:r w:rsidRPr="004A29F9">
        <w:rPr>
          <w:rFonts w:ascii="Times New Roman" w:hAnsi="Times New Roman" w:cs="Times New Roman"/>
          <w:sz w:val="22"/>
          <w:szCs w:val="22"/>
          <w:lang w:val="en-GB"/>
        </w:rPr>
        <w:t>In addition, there are religiou</w:t>
      </w:r>
      <w:r w:rsidR="005E19B1">
        <w:rPr>
          <w:rFonts w:ascii="Times New Roman" w:hAnsi="Times New Roman" w:cs="Times New Roman"/>
          <w:sz w:val="22"/>
          <w:szCs w:val="22"/>
          <w:lang w:val="en-GB"/>
        </w:rPr>
        <w:t>s courts and military courts. The civil c</w:t>
      </w:r>
      <w:r w:rsidR="00481D91" w:rsidRPr="004A29F9">
        <w:rPr>
          <w:rFonts w:ascii="Times New Roman" w:hAnsi="Times New Roman" w:cs="Times New Roman"/>
          <w:sz w:val="22"/>
          <w:szCs w:val="22"/>
          <w:lang w:val="en-GB"/>
        </w:rPr>
        <w:t>ourt system is comprised of the followin</w:t>
      </w:r>
      <w:r w:rsidR="005E19B1">
        <w:rPr>
          <w:rFonts w:ascii="Times New Roman" w:hAnsi="Times New Roman" w:cs="Times New Roman"/>
          <w:sz w:val="22"/>
          <w:szCs w:val="22"/>
          <w:lang w:val="en-GB"/>
        </w:rPr>
        <w:t xml:space="preserve">g: </w:t>
      </w:r>
      <w:r w:rsidR="00481D91" w:rsidRPr="004A29F9">
        <w:rPr>
          <w:rFonts w:ascii="Times New Roman" w:hAnsi="Times New Roman" w:cs="Times New Roman"/>
          <w:sz w:val="22"/>
          <w:szCs w:val="22"/>
          <w:lang w:val="en-GB"/>
        </w:rPr>
        <w:t xml:space="preserve">1) </w:t>
      </w:r>
      <w:r w:rsidR="00481D91" w:rsidRPr="005E19B1">
        <w:rPr>
          <w:rFonts w:ascii="Times New Roman" w:hAnsi="Times New Roman" w:cs="Times New Roman"/>
          <w:i/>
          <w:sz w:val="22"/>
          <w:szCs w:val="22"/>
          <w:lang w:val="en-GB"/>
        </w:rPr>
        <w:t xml:space="preserve">Conciliation </w:t>
      </w:r>
      <w:r w:rsidR="00481D91" w:rsidRPr="005E19B1">
        <w:rPr>
          <w:rFonts w:ascii="Times New Roman" w:hAnsi="Times New Roman" w:cs="Times New Roman"/>
          <w:i/>
          <w:sz w:val="22"/>
          <w:szCs w:val="22"/>
          <w:lang w:val="en-GB"/>
        </w:rPr>
        <w:lastRenderedPageBreak/>
        <w:t>Courts and Municipal Courts.</w:t>
      </w:r>
      <w:r w:rsidR="00FD3C19">
        <w:rPr>
          <w:rFonts w:ascii="Times New Roman" w:hAnsi="Times New Roman" w:cs="Times New Roman"/>
          <w:i/>
          <w:sz w:val="22"/>
          <w:szCs w:val="22"/>
          <w:lang w:val="en-GB"/>
        </w:rPr>
        <w:t xml:space="preserve"> </w:t>
      </w:r>
      <w:r w:rsidR="00481D91" w:rsidRPr="004A29F9">
        <w:rPr>
          <w:rFonts w:ascii="Times New Roman" w:hAnsi="Times New Roman" w:cs="Times New Roman"/>
          <w:sz w:val="22"/>
          <w:szCs w:val="22"/>
          <w:lang w:val="en-GB"/>
        </w:rPr>
        <w:t xml:space="preserve">Conciliation </w:t>
      </w:r>
      <w:r w:rsidR="005B25AC" w:rsidRPr="004A29F9">
        <w:rPr>
          <w:rFonts w:ascii="Times New Roman" w:hAnsi="Times New Roman" w:cs="Times New Roman"/>
          <w:sz w:val="22"/>
          <w:szCs w:val="22"/>
          <w:lang w:val="en-GB"/>
        </w:rPr>
        <w:t>Courts deal</w:t>
      </w:r>
      <w:r w:rsidR="00481D91" w:rsidRPr="004A29F9">
        <w:rPr>
          <w:rFonts w:ascii="Times New Roman" w:hAnsi="Times New Roman" w:cs="Times New Roman"/>
          <w:sz w:val="22"/>
          <w:szCs w:val="22"/>
          <w:lang w:val="en-GB"/>
        </w:rPr>
        <w:t xml:space="preserve"> with civil disp</w:t>
      </w:r>
      <w:r w:rsidR="005E19B1">
        <w:rPr>
          <w:rFonts w:ascii="Times New Roman" w:hAnsi="Times New Roman" w:cs="Times New Roman"/>
          <w:sz w:val="22"/>
          <w:szCs w:val="22"/>
          <w:lang w:val="en-GB"/>
        </w:rPr>
        <w:t xml:space="preserve">utes (of JD 10,000 </w:t>
      </w:r>
      <w:r w:rsidR="00481D91" w:rsidRPr="004A29F9">
        <w:rPr>
          <w:rFonts w:ascii="Times New Roman" w:hAnsi="Times New Roman" w:cs="Times New Roman"/>
          <w:sz w:val="22"/>
          <w:szCs w:val="22"/>
          <w:lang w:val="en-GB"/>
        </w:rPr>
        <w:t>or less) and have special jurisdiction over property and land cases (rega</w:t>
      </w:r>
      <w:r w:rsidR="005E19B1">
        <w:rPr>
          <w:rFonts w:ascii="Times New Roman" w:hAnsi="Times New Roman" w:cs="Times New Roman"/>
          <w:sz w:val="22"/>
          <w:szCs w:val="22"/>
          <w:lang w:val="en-GB"/>
        </w:rPr>
        <w:t xml:space="preserve">rdless of the value at issue). </w:t>
      </w:r>
      <w:r w:rsidR="00481D91" w:rsidRPr="004A29F9">
        <w:rPr>
          <w:rFonts w:ascii="Times New Roman" w:hAnsi="Times New Roman" w:cs="Times New Roman"/>
          <w:sz w:val="22"/>
          <w:szCs w:val="22"/>
          <w:lang w:val="en-GB"/>
        </w:rPr>
        <w:t>Conciliation courts also try</w:t>
      </w:r>
      <w:r w:rsidR="005E19B1">
        <w:rPr>
          <w:rFonts w:ascii="Times New Roman" w:hAnsi="Times New Roman" w:cs="Times New Roman"/>
          <w:sz w:val="22"/>
          <w:szCs w:val="22"/>
          <w:lang w:val="en-GB"/>
        </w:rPr>
        <w:t xml:space="preserve"> lower level criminal cases. </w:t>
      </w:r>
      <w:r w:rsidR="00481D91" w:rsidRPr="004A29F9">
        <w:rPr>
          <w:rFonts w:ascii="Times New Roman" w:hAnsi="Times New Roman" w:cs="Times New Roman"/>
          <w:sz w:val="22"/>
          <w:szCs w:val="22"/>
          <w:lang w:val="en-GB"/>
        </w:rPr>
        <w:t>Municipal courts are contained in each Conciliation Court and hear cases o</w:t>
      </w:r>
      <w:r w:rsidR="005E19B1">
        <w:rPr>
          <w:rFonts w:ascii="Times New Roman" w:hAnsi="Times New Roman" w:cs="Times New Roman"/>
          <w:sz w:val="22"/>
          <w:szCs w:val="22"/>
          <w:lang w:val="en-GB"/>
        </w:rPr>
        <w:t xml:space="preserve">f violation of municipal law; </w:t>
      </w:r>
      <w:r w:rsidR="00481D91" w:rsidRPr="004A29F9">
        <w:rPr>
          <w:rFonts w:ascii="Times New Roman" w:hAnsi="Times New Roman" w:cs="Times New Roman"/>
          <w:sz w:val="22"/>
          <w:szCs w:val="22"/>
          <w:lang w:val="en-GB"/>
        </w:rPr>
        <w:t xml:space="preserve">2) </w:t>
      </w:r>
      <w:r w:rsidR="00481D91" w:rsidRPr="005E19B1">
        <w:rPr>
          <w:rFonts w:ascii="Times New Roman" w:hAnsi="Times New Roman" w:cs="Times New Roman"/>
          <w:i/>
          <w:sz w:val="22"/>
          <w:szCs w:val="22"/>
          <w:lang w:val="en-GB"/>
        </w:rPr>
        <w:t>First Instance Courts</w:t>
      </w:r>
      <w:r w:rsidR="00481D91" w:rsidRPr="004A29F9">
        <w:rPr>
          <w:rFonts w:ascii="Times New Roman" w:hAnsi="Times New Roman" w:cs="Times New Roman"/>
          <w:sz w:val="22"/>
          <w:szCs w:val="22"/>
          <w:lang w:val="en-GB"/>
        </w:rPr>
        <w:t xml:space="preserve"> that hear all civil cases tha</w:t>
      </w:r>
      <w:r w:rsidR="005E19B1">
        <w:rPr>
          <w:rFonts w:ascii="Times New Roman" w:hAnsi="Times New Roman" w:cs="Times New Roman"/>
          <w:sz w:val="22"/>
          <w:szCs w:val="22"/>
          <w:lang w:val="en-GB"/>
        </w:rPr>
        <w:t xml:space="preserve">t exceed the value of JD 10,000 </w:t>
      </w:r>
      <w:r w:rsidR="00481D91" w:rsidRPr="004A29F9">
        <w:rPr>
          <w:rFonts w:ascii="Times New Roman" w:hAnsi="Times New Roman" w:cs="Times New Roman"/>
          <w:sz w:val="22"/>
          <w:szCs w:val="22"/>
          <w:lang w:val="en-GB"/>
        </w:rPr>
        <w:t>and criminal cases of a higher level of gravity as specif</w:t>
      </w:r>
      <w:r w:rsidR="005E19B1">
        <w:rPr>
          <w:rFonts w:ascii="Times New Roman" w:hAnsi="Times New Roman" w:cs="Times New Roman"/>
          <w:sz w:val="22"/>
          <w:szCs w:val="22"/>
          <w:lang w:val="en-GB"/>
        </w:rPr>
        <w:t xml:space="preserve">ied in the Criminal Procedure Law; </w:t>
      </w:r>
      <w:r w:rsidR="00481D91" w:rsidRPr="004A29F9">
        <w:rPr>
          <w:rFonts w:ascii="Times New Roman" w:hAnsi="Times New Roman" w:cs="Times New Roman"/>
          <w:sz w:val="22"/>
          <w:szCs w:val="22"/>
          <w:lang w:val="en-GB"/>
        </w:rPr>
        <w:t xml:space="preserve">3) </w:t>
      </w:r>
      <w:r w:rsidR="00481D91" w:rsidRPr="005E19B1">
        <w:rPr>
          <w:rFonts w:ascii="Times New Roman" w:hAnsi="Times New Roman" w:cs="Times New Roman"/>
          <w:i/>
          <w:sz w:val="22"/>
          <w:szCs w:val="22"/>
          <w:lang w:val="en-GB"/>
        </w:rPr>
        <w:t>Appellate Courts or Courts of Appeal</w:t>
      </w:r>
      <w:r w:rsidR="00481D91" w:rsidRPr="004A29F9">
        <w:rPr>
          <w:rFonts w:ascii="Times New Roman" w:hAnsi="Times New Roman" w:cs="Times New Roman"/>
          <w:sz w:val="22"/>
          <w:szCs w:val="22"/>
          <w:lang w:val="en-GB"/>
        </w:rPr>
        <w:t>, consisting of three judge panels that handle all appeals from Conciliati</w:t>
      </w:r>
      <w:r w:rsidR="005E19B1">
        <w:rPr>
          <w:rFonts w:ascii="Times New Roman" w:hAnsi="Times New Roman" w:cs="Times New Roman"/>
          <w:sz w:val="22"/>
          <w:szCs w:val="22"/>
          <w:lang w:val="en-GB"/>
        </w:rPr>
        <w:t xml:space="preserve">on or Conciliation Courts; and </w:t>
      </w:r>
      <w:r w:rsidR="00481D91" w:rsidRPr="004A29F9">
        <w:rPr>
          <w:rFonts w:ascii="Times New Roman" w:hAnsi="Times New Roman" w:cs="Times New Roman"/>
          <w:sz w:val="22"/>
          <w:szCs w:val="22"/>
          <w:lang w:val="en-GB"/>
        </w:rPr>
        <w:t xml:space="preserve">4) the </w:t>
      </w:r>
      <w:r w:rsidR="005E19B1">
        <w:rPr>
          <w:rFonts w:ascii="Times New Roman" w:hAnsi="Times New Roman" w:cs="Times New Roman"/>
          <w:i/>
          <w:sz w:val="22"/>
          <w:szCs w:val="22"/>
          <w:lang w:val="en-GB"/>
        </w:rPr>
        <w:t xml:space="preserve">High Court or </w:t>
      </w:r>
      <w:r w:rsidR="00481D91" w:rsidRPr="005E19B1">
        <w:rPr>
          <w:rFonts w:ascii="Times New Roman" w:hAnsi="Times New Roman" w:cs="Times New Roman"/>
          <w:i/>
          <w:sz w:val="22"/>
          <w:szCs w:val="22"/>
          <w:lang w:val="en-GB"/>
        </w:rPr>
        <w:t>Supreme Court</w:t>
      </w:r>
      <w:r w:rsidR="00481D91" w:rsidRPr="004A29F9">
        <w:rPr>
          <w:rFonts w:ascii="Times New Roman" w:hAnsi="Times New Roman" w:cs="Times New Roman"/>
          <w:sz w:val="22"/>
          <w:szCs w:val="22"/>
          <w:lang w:val="en-GB"/>
        </w:rPr>
        <w:t xml:space="preserve"> which has two sections: the </w:t>
      </w:r>
      <w:r w:rsidR="00481D91" w:rsidRPr="005E19B1">
        <w:rPr>
          <w:rFonts w:ascii="Times New Roman" w:hAnsi="Times New Roman" w:cs="Times New Roman"/>
          <w:sz w:val="22"/>
          <w:szCs w:val="22"/>
          <w:lang w:val="en-GB"/>
        </w:rPr>
        <w:t>Court of Cassation and the High Court of Justice.</w:t>
      </w:r>
      <w:r w:rsidR="00481D91" w:rsidRPr="004A29F9">
        <w:rPr>
          <w:rFonts w:ascii="Times New Roman" w:hAnsi="Times New Roman" w:cs="Times New Roman"/>
          <w:sz w:val="22"/>
          <w:szCs w:val="22"/>
          <w:lang w:val="en-GB"/>
        </w:rPr>
        <w:t xml:space="preserve"> The Court of Cassation exercises jurisdiction over civil and criminal challenges from the Courts of Appeal, challenges to the First Instance Courts in their appellate capacity and matters related to changing the t</w:t>
      </w:r>
      <w:r w:rsidR="005E19B1">
        <w:rPr>
          <w:rFonts w:ascii="Times New Roman" w:hAnsi="Times New Roman" w:cs="Times New Roman"/>
          <w:sz w:val="22"/>
          <w:szCs w:val="22"/>
          <w:lang w:val="en-GB"/>
        </w:rPr>
        <w:t xml:space="preserve">erms of reference for a case. </w:t>
      </w:r>
      <w:r w:rsidR="00481D91" w:rsidRPr="004A29F9">
        <w:rPr>
          <w:rFonts w:ascii="Times New Roman" w:hAnsi="Times New Roman" w:cs="Times New Roman"/>
          <w:sz w:val="22"/>
          <w:szCs w:val="22"/>
          <w:lang w:val="en-GB"/>
        </w:rPr>
        <w:t xml:space="preserve">The High Court of Justice has jurisdiction over challenges to elections; challenges and requests for cancellations of final administrative regulations or decrees; writs of </w:t>
      </w:r>
      <w:r w:rsidR="00481D91" w:rsidRPr="005E19B1">
        <w:rPr>
          <w:rFonts w:ascii="Times New Roman" w:hAnsi="Times New Roman" w:cs="Times New Roman"/>
          <w:i/>
          <w:sz w:val="22"/>
          <w:szCs w:val="22"/>
          <w:lang w:val="en-GB"/>
        </w:rPr>
        <w:t>habeas corpus</w:t>
      </w:r>
      <w:r w:rsidR="00481D91" w:rsidRPr="004A29F9">
        <w:rPr>
          <w:rFonts w:ascii="Times New Roman" w:hAnsi="Times New Roman" w:cs="Times New Roman"/>
          <w:sz w:val="22"/>
          <w:szCs w:val="22"/>
          <w:lang w:val="en-GB"/>
        </w:rPr>
        <w:t xml:space="preserve">; public employee disputes </w:t>
      </w:r>
      <w:r w:rsidR="005E19B1">
        <w:rPr>
          <w:rFonts w:ascii="Times New Roman" w:hAnsi="Times New Roman" w:cs="Times New Roman"/>
          <w:sz w:val="22"/>
          <w:szCs w:val="22"/>
          <w:lang w:val="en-GB"/>
        </w:rPr>
        <w:t>and administrative disputes.  I</w:t>
      </w:r>
      <w:r w:rsidR="00481D91" w:rsidRPr="004A29F9">
        <w:rPr>
          <w:rFonts w:ascii="Times New Roman" w:hAnsi="Times New Roman" w:cs="Times New Roman"/>
          <w:sz w:val="22"/>
          <w:szCs w:val="22"/>
          <w:lang w:val="en-GB"/>
        </w:rPr>
        <w:t xml:space="preserve">n addition, </w:t>
      </w:r>
      <w:r w:rsidR="005E19B1">
        <w:rPr>
          <w:rFonts w:ascii="Times New Roman" w:hAnsi="Times New Roman" w:cs="Times New Roman"/>
          <w:sz w:val="22"/>
          <w:szCs w:val="22"/>
          <w:lang w:val="en-GB"/>
        </w:rPr>
        <w:t>there is a specialis</w:t>
      </w:r>
      <w:r w:rsidR="00481D91" w:rsidRPr="004A29F9">
        <w:rPr>
          <w:rFonts w:ascii="Times New Roman" w:hAnsi="Times New Roman" w:cs="Times New Roman"/>
          <w:sz w:val="22"/>
          <w:szCs w:val="22"/>
          <w:lang w:val="en-GB"/>
        </w:rPr>
        <w:t>ed Income Tax Appellate Court under the supervision of the HJC.</w:t>
      </w:r>
    </w:p>
    <w:p w:rsidR="005E19B1" w:rsidRPr="004A29F9" w:rsidRDefault="005E19B1" w:rsidP="00FB6759">
      <w:pPr>
        <w:spacing w:after="0" w:line="240" w:lineRule="auto"/>
        <w:jc w:val="both"/>
        <w:rPr>
          <w:rFonts w:ascii="Times New Roman" w:hAnsi="Times New Roman" w:cs="Times New Roman"/>
          <w:sz w:val="22"/>
          <w:szCs w:val="22"/>
          <w:u w:val="single"/>
          <w:lang w:val="en-GB"/>
        </w:rPr>
      </w:pPr>
    </w:p>
    <w:p w:rsidR="005E19B1" w:rsidRDefault="00481D91" w:rsidP="00FB6759">
      <w:pPr>
        <w:spacing w:after="0" w:line="240" w:lineRule="auto"/>
        <w:jc w:val="both"/>
        <w:rPr>
          <w:rFonts w:ascii="Times New Roman" w:hAnsi="Times New Roman" w:cs="Times New Roman"/>
          <w:sz w:val="22"/>
          <w:szCs w:val="22"/>
          <w:lang w:val="en-GB"/>
        </w:rPr>
      </w:pPr>
      <w:r w:rsidRPr="005E19B1">
        <w:rPr>
          <w:rFonts w:ascii="Times New Roman" w:hAnsi="Times New Roman" w:cs="Times New Roman"/>
          <w:sz w:val="22"/>
          <w:szCs w:val="22"/>
          <w:lang w:val="en-GB"/>
        </w:rPr>
        <w:t xml:space="preserve">The </w:t>
      </w:r>
      <w:r w:rsidR="005E19B1">
        <w:rPr>
          <w:rFonts w:ascii="Times New Roman" w:hAnsi="Times New Roman" w:cs="Times New Roman"/>
          <w:sz w:val="22"/>
          <w:szCs w:val="22"/>
          <w:lang w:val="en-GB"/>
        </w:rPr>
        <w:t>religious court s</w:t>
      </w:r>
      <w:r w:rsidRPr="005E19B1">
        <w:rPr>
          <w:rFonts w:ascii="Times New Roman" w:hAnsi="Times New Roman" w:cs="Times New Roman"/>
          <w:sz w:val="22"/>
          <w:szCs w:val="22"/>
          <w:lang w:val="en-GB"/>
        </w:rPr>
        <w:t>ystem</w:t>
      </w:r>
      <w:r w:rsidRPr="004A29F9">
        <w:rPr>
          <w:rFonts w:ascii="Times New Roman" w:hAnsi="Times New Roman" w:cs="Times New Roman"/>
          <w:sz w:val="22"/>
          <w:szCs w:val="22"/>
          <w:lang w:val="en-GB"/>
        </w:rPr>
        <w:t xml:space="preserve"> has </w:t>
      </w:r>
      <w:r w:rsidR="005E19B1" w:rsidRPr="005E19B1">
        <w:rPr>
          <w:rFonts w:ascii="Times New Roman" w:hAnsi="Times New Roman" w:cs="Times New Roman"/>
          <w:i/>
          <w:sz w:val="22"/>
          <w:szCs w:val="22"/>
          <w:lang w:val="en-GB"/>
        </w:rPr>
        <w:t>s</w:t>
      </w:r>
      <w:r w:rsidR="000C369C" w:rsidRPr="005E19B1">
        <w:rPr>
          <w:rFonts w:ascii="Times New Roman" w:hAnsi="Times New Roman" w:cs="Times New Roman"/>
          <w:i/>
          <w:sz w:val="22"/>
          <w:szCs w:val="22"/>
          <w:lang w:val="en-GB"/>
        </w:rPr>
        <w:t>hari’a</w:t>
      </w:r>
      <w:r w:rsidR="005E19B1" w:rsidRPr="005E19B1">
        <w:rPr>
          <w:rFonts w:ascii="Times New Roman" w:hAnsi="Times New Roman" w:cs="Times New Roman"/>
          <w:sz w:val="22"/>
          <w:szCs w:val="22"/>
          <w:lang w:val="en-GB"/>
        </w:rPr>
        <w:t xml:space="preserve"> c</w:t>
      </w:r>
      <w:r w:rsidRPr="005E19B1">
        <w:rPr>
          <w:rFonts w:ascii="Times New Roman" w:hAnsi="Times New Roman" w:cs="Times New Roman"/>
          <w:sz w:val="22"/>
          <w:szCs w:val="22"/>
          <w:lang w:val="en-GB"/>
        </w:rPr>
        <w:t>ourts</w:t>
      </w:r>
      <w:r w:rsidRPr="004A29F9">
        <w:rPr>
          <w:rFonts w:ascii="Times New Roman" w:hAnsi="Times New Roman" w:cs="Times New Roman"/>
          <w:sz w:val="22"/>
          <w:szCs w:val="22"/>
          <w:lang w:val="en-GB"/>
        </w:rPr>
        <w:t xml:space="preserve"> (for Muslims) and </w:t>
      </w:r>
      <w:r w:rsidR="005E19B1" w:rsidRPr="005E19B1">
        <w:rPr>
          <w:rFonts w:ascii="Times New Roman" w:hAnsi="Times New Roman" w:cs="Times New Roman"/>
          <w:sz w:val="22"/>
          <w:szCs w:val="22"/>
          <w:lang w:val="en-GB"/>
        </w:rPr>
        <w:t>church c</w:t>
      </w:r>
      <w:r w:rsidRPr="005E19B1">
        <w:rPr>
          <w:rFonts w:ascii="Times New Roman" w:hAnsi="Times New Roman" w:cs="Times New Roman"/>
          <w:sz w:val="22"/>
          <w:szCs w:val="22"/>
          <w:lang w:val="en-GB"/>
        </w:rPr>
        <w:t>ourts</w:t>
      </w:r>
      <w:r w:rsidRPr="004A29F9">
        <w:rPr>
          <w:rFonts w:ascii="Times New Roman" w:hAnsi="Times New Roman" w:cs="Times New Roman"/>
          <w:sz w:val="22"/>
          <w:szCs w:val="22"/>
          <w:lang w:val="en-GB"/>
        </w:rPr>
        <w:t xml:space="preserve"> (for Christians) that deal with family law, marriage, divorce, partition of marital property; alimony, child custody and inheritance.   </w:t>
      </w:r>
    </w:p>
    <w:p w:rsidR="005E19B1" w:rsidRDefault="005E19B1" w:rsidP="00FB6759">
      <w:pPr>
        <w:spacing w:after="0" w:line="240" w:lineRule="auto"/>
        <w:jc w:val="both"/>
        <w:rPr>
          <w:rFonts w:ascii="Times New Roman" w:hAnsi="Times New Roman" w:cs="Times New Roman"/>
          <w:sz w:val="22"/>
          <w:szCs w:val="22"/>
          <w:lang w:val="en-GB"/>
        </w:rPr>
      </w:pPr>
    </w:p>
    <w:p w:rsidR="00D74A73" w:rsidRPr="004A29F9" w:rsidRDefault="00481D91"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The </w:t>
      </w:r>
      <w:r w:rsidR="005E19B1">
        <w:rPr>
          <w:rFonts w:ascii="Times New Roman" w:hAnsi="Times New Roman" w:cs="Times New Roman"/>
          <w:sz w:val="22"/>
          <w:szCs w:val="22"/>
          <w:lang w:val="en-GB"/>
        </w:rPr>
        <w:t>military c</w:t>
      </w:r>
      <w:r w:rsidRPr="005E19B1">
        <w:rPr>
          <w:rFonts w:ascii="Times New Roman" w:hAnsi="Times New Roman" w:cs="Times New Roman"/>
          <w:sz w:val="22"/>
          <w:szCs w:val="22"/>
          <w:lang w:val="en-GB"/>
        </w:rPr>
        <w:t xml:space="preserve">ourt </w:t>
      </w:r>
      <w:r w:rsidR="005E19B1">
        <w:rPr>
          <w:rFonts w:ascii="Times New Roman" w:hAnsi="Times New Roman" w:cs="Times New Roman"/>
          <w:sz w:val="22"/>
          <w:szCs w:val="22"/>
          <w:lang w:val="en-GB"/>
        </w:rPr>
        <w:t>s</w:t>
      </w:r>
      <w:r w:rsidR="00F97D80" w:rsidRPr="005E19B1">
        <w:rPr>
          <w:rFonts w:ascii="Times New Roman" w:hAnsi="Times New Roman" w:cs="Times New Roman"/>
          <w:sz w:val="22"/>
          <w:szCs w:val="22"/>
          <w:lang w:val="en-GB"/>
        </w:rPr>
        <w:t>ystem</w:t>
      </w:r>
      <w:r w:rsidR="00FD3C19">
        <w:rPr>
          <w:rFonts w:ascii="Times New Roman" w:hAnsi="Times New Roman" w:cs="Times New Roman"/>
          <w:sz w:val="22"/>
          <w:szCs w:val="22"/>
          <w:lang w:val="en-GB"/>
        </w:rPr>
        <w:t xml:space="preserve"> </w:t>
      </w:r>
      <w:r w:rsidR="00133EC9" w:rsidRPr="004A29F9">
        <w:rPr>
          <w:rFonts w:ascii="Times New Roman" w:hAnsi="Times New Roman" w:cs="Times New Roman"/>
          <w:sz w:val="22"/>
          <w:szCs w:val="22"/>
          <w:lang w:val="en-GB"/>
        </w:rPr>
        <w:t>has</w:t>
      </w:r>
      <w:r w:rsidR="00FD3C19">
        <w:rPr>
          <w:rFonts w:ascii="Times New Roman" w:hAnsi="Times New Roman" w:cs="Times New Roman"/>
          <w:sz w:val="22"/>
          <w:szCs w:val="22"/>
          <w:lang w:val="en-GB"/>
        </w:rPr>
        <w:t xml:space="preserve"> </w:t>
      </w:r>
      <w:r w:rsidR="00133EC9" w:rsidRPr="004A29F9">
        <w:rPr>
          <w:rFonts w:ascii="Times New Roman" w:hAnsi="Times New Roman" w:cs="Times New Roman"/>
          <w:sz w:val="22"/>
          <w:szCs w:val="22"/>
          <w:lang w:val="en-GB"/>
        </w:rPr>
        <w:t>jurisdiction</w:t>
      </w:r>
      <w:r w:rsidR="008C25EE" w:rsidRPr="004A29F9">
        <w:rPr>
          <w:rFonts w:ascii="Times New Roman" w:hAnsi="Times New Roman" w:cs="Times New Roman"/>
          <w:sz w:val="22"/>
          <w:szCs w:val="22"/>
          <w:lang w:val="en-GB"/>
        </w:rPr>
        <w:t xml:space="preserve"> over the security forces and police as well as crimes committed by civilians against the security force</w:t>
      </w:r>
      <w:r w:rsidR="005E19B1">
        <w:rPr>
          <w:rFonts w:ascii="Times New Roman" w:hAnsi="Times New Roman" w:cs="Times New Roman"/>
          <w:sz w:val="22"/>
          <w:szCs w:val="22"/>
          <w:lang w:val="en-GB"/>
        </w:rPr>
        <w:t>s. O</w:t>
      </w:r>
      <w:r w:rsidR="008C25EE" w:rsidRPr="004A29F9">
        <w:rPr>
          <w:rFonts w:ascii="Times New Roman" w:hAnsi="Times New Roman" w:cs="Times New Roman"/>
          <w:sz w:val="22"/>
          <w:szCs w:val="22"/>
          <w:lang w:val="en-GB"/>
        </w:rPr>
        <w:t>n occasion</w:t>
      </w:r>
      <w:r w:rsidR="005E19B1">
        <w:rPr>
          <w:rFonts w:ascii="Times New Roman" w:hAnsi="Times New Roman" w:cs="Times New Roman"/>
          <w:sz w:val="22"/>
          <w:szCs w:val="22"/>
          <w:lang w:val="en-GB"/>
        </w:rPr>
        <w:t>,</w:t>
      </w:r>
      <w:r w:rsidR="008C25EE" w:rsidRPr="004A29F9">
        <w:rPr>
          <w:rFonts w:ascii="Times New Roman" w:hAnsi="Times New Roman" w:cs="Times New Roman"/>
          <w:sz w:val="22"/>
          <w:szCs w:val="22"/>
          <w:lang w:val="en-GB"/>
        </w:rPr>
        <w:t xml:space="preserve"> military courts have transferred cases against civilians t</w:t>
      </w:r>
      <w:r w:rsidR="005E19B1">
        <w:rPr>
          <w:rFonts w:ascii="Times New Roman" w:hAnsi="Times New Roman" w:cs="Times New Roman"/>
          <w:sz w:val="22"/>
          <w:szCs w:val="22"/>
          <w:lang w:val="en-GB"/>
        </w:rPr>
        <w:t>o the AGO</w:t>
      </w:r>
      <w:r w:rsidR="008C25EE" w:rsidRPr="004A29F9">
        <w:rPr>
          <w:rFonts w:ascii="Times New Roman" w:hAnsi="Times New Roman" w:cs="Times New Roman"/>
          <w:sz w:val="22"/>
          <w:szCs w:val="22"/>
          <w:lang w:val="en-GB"/>
        </w:rPr>
        <w:t>.</w:t>
      </w:r>
    </w:p>
    <w:p w:rsidR="00D74A73" w:rsidRPr="004A29F9" w:rsidRDefault="00D74A73" w:rsidP="00FB6759">
      <w:pPr>
        <w:spacing w:after="0" w:line="240" w:lineRule="auto"/>
        <w:jc w:val="both"/>
        <w:rPr>
          <w:rFonts w:ascii="Times New Roman" w:hAnsi="Times New Roman" w:cs="Times New Roman"/>
          <w:sz w:val="22"/>
          <w:szCs w:val="22"/>
          <w:lang w:val="en-GB"/>
        </w:rPr>
      </w:pPr>
    </w:p>
    <w:p w:rsidR="00874F89" w:rsidRPr="005E19B1" w:rsidRDefault="00D354EA" w:rsidP="00FB6759">
      <w:pPr>
        <w:spacing w:after="0" w:line="240" w:lineRule="auto"/>
        <w:rPr>
          <w:rFonts w:ascii="Times New Roman" w:hAnsi="Times New Roman" w:cs="Times New Roman"/>
          <w:i/>
          <w:sz w:val="22"/>
          <w:szCs w:val="22"/>
          <w:lang w:val="en-GB"/>
        </w:rPr>
      </w:pPr>
      <w:r w:rsidRPr="005E19B1">
        <w:rPr>
          <w:rFonts w:ascii="Times New Roman" w:hAnsi="Times New Roman" w:cs="Times New Roman"/>
          <w:i/>
          <w:sz w:val="22"/>
          <w:szCs w:val="22"/>
          <w:lang w:val="en-GB"/>
        </w:rPr>
        <w:t xml:space="preserve">Specific </w:t>
      </w:r>
      <w:r w:rsidR="005E19B1">
        <w:rPr>
          <w:rFonts w:ascii="Times New Roman" w:hAnsi="Times New Roman" w:cs="Times New Roman"/>
          <w:i/>
          <w:sz w:val="22"/>
          <w:szCs w:val="22"/>
          <w:lang w:val="en-GB"/>
        </w:rPr>
        <w:t>c</w:t>
      </w:r>
      <w:r w:rsidR="00874F89" w:rsidRPr="005E19B1">
        <w:rPr>
          <w:rFonts w:ascii="Times New Roman" w:hAnsi="Times New Roman" w:cs="Times New Roman"/>
          <w:i/>
          <w:sz w:val="22"/>
          <w:szCs w:val="22"/>
          <w:lang w:val="en-GB"/>
        </w:rPr>
        <w:t>hallenges facing the Palestinian justice sector</w:t>
      </w:r>
    </w:p>
    <w:p w:rsidR="005E19B1" w:rsidRDefault="005E19B1" w:rsidP="00FB6759">
      <w:pPr>
        <w:spacing w:after="0" w:line="240" w:lineRule="auto"/>
        <w:jc w:val="both"/>
        <w:rPr>
          <w:rFonts w:ascii="Times New Roman" w:hAnsi="Times New Roman" w:cs="Times New Roman"/>
          <w:sz w:val="22"/>
          <w:szCs w:val="22"/>
          <w:lang w:val="en-GB"/>
        </w:rPr>
      </w:pPr>
    </w:p>
    <w:p w:rsidR="00C81888" w:rsidRDefault="00D354EA"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A cross-disciplinary team of experts representing </w:t>
      </w:r>
      <w:r w:rsidR="00C81888" w:rsidRPr="004A29F9">
        <w:rPr>
          <w:rFonts w:ascii="Times New Roman" w:hAnsi="Times New Roman" w:cs="Times New Roman"/>
          <w:sz w:val="22"/>
          <w:szCs w:val="22"/>
          <w:lang w:val="en-GB"/>
        </w:rPr>
        <w:t xml:space="preserve">virtually </w:t>
      </w:r>
      <w:r w:rsidRPr="004A29F9">
        <w:rPr>
          <w:rFonts w:ascii="Times New Roman" w:hAnsi="Times New Roman" w:cs="Times New Roman"/>
          <w:sz w:val="22"/>
          <w:szCs w:val="22"/>
          <w:lang w:val="en-GB"/>
        </w:rPr>
        <w:t xml:space="preserve">all major stakeholders in </w:t>
      </w:r>
      <w:r w:rsidR="005E19B1">
        <w:rPr>
          <w:rFonts w:ascii="Times New Roman" w:hAnsi="Times New Roman" w:cs="Times New Roman"/>
          <w:sz w:val="22"/>
          <w:szCs w:val="22"/>
          <w:lang w:val="en-GB"/>
        </w:rPr>
        <w:t xml:space="preserve">the Palestinian </w:t>
      </w:r>
      <w:r w:rsidR="005A05AD">
        <w:rPr>
          <w:rFonts w:ascii="Times New Roman" w:hAnsi="Times New Roman" w:cs="Times New Roman"/>
          <w:sz w:val="22"/>
          <w:szCs w:val="22"/>
          <w:lang w:val="en-GB"/>
        </w:rPr>
        <w:t xml:space="preserve">rule of law sector </w:t>
      </w:r>
      <w:r w:rsidRPr="004A29F9">
        <w:rPr>
          <w:rFonts w:ascii="Times New Roman" w:hAnsi="Times New Roman" w:cs="Times New Roman"/>
          <w:sz w:val="22"/>
          <w:szCs w:val="22"/>
          <w:lang w:val="en-GB"/>
        </w:rPr>
        <w:t xml:space="preserve">identified </w:t>
      </w:r>
      <w:r w:rsidR="00C81888" w:rsidRPr="004A29F9">
        <w:rPr>
          <w:rFonts w:ascii="Times New Roman" w:hAnsi="Times New Roman" w:cs="Times New Roman"/>
          <w:sz w:val="22"/>
          <w:szCs w:val="22"/>
          <w:lang w:val="en-GB"/>
        </w:rPr>
        <w:t>specific challenges facing the justice sector</w:t>
      </w:r>
      <w:r w:rsidR="00FD3C19">
        <w:rPr>
          <w:rFonts w:ascii="Times New Roman" w:hAnsi="Times New Roman" w:cs="Times New Roman"/>
          <w:sz w:val="22"/>
          <w:szCs w:val="22"/>
          <w:lang w:val="en-GB"/>
        </w:rPr>
        <w:t xml:space="preserve"> </w:t>
      </w:r>
      <w:r w:rsidR="00A5291F" w:rsidRPr="004A29F9">
        <w:rPr>
          <w:rFonts w:ascii="Times New Roman" w:hAnsi="Times New Roman" w:cs="Times New Roman"/>
          <w:sz w:val="22"/>
          <w:szCs w:val="22"/>
          <w:lang w:val="en-GB"/>
        </w:rPr>
        <w:t xml:space="preserve">when </w:t>
      </w:r>
      <w:r w:rsidR="00B1652A" w:rsidRPr="004A29F9">
        <w:rPr>
          <w:rFonts w:ascii="Times New Roman" w:hAnsi="Times New Roman" w:cs="Times New Roman"/>
          <w:sz w:val="22"/>
          <w:szCs w:val="22"/>
          <w:lang w:val="en-GB"/>
        </w:rPr>
        <w:t>preparing</w:t>
      </w:r>
      <w:r w:rsidR="00A5291F" w:rsidRPr="004A29F9">
        <w:rPr>
          <w:rFonts w:ascii="Times New Roman" w:hAnsi="Times New Roman" w:cs="Times New Roman"/>
          <w:sz w:val="22"/>
          <w:szCs w:val="22"/>
          <w:lang w:val="en-GB"/>
        </w:rPr>
        <w:t xml:space="preserve"> the 2011-2013 </w:t>
      </w:r>
      <w:r w:rsidR="00B1652A" w:rsidRPr="004A29F9">
        <w:rPr>
          <w:rFonts w:ascii="Times New Roman" w:hAnsi="Times New Roman" w:cs="Times New Roman"/>
          <w:sz w:val="22"/>
          <w:szCs w:val="22"/>
          <w:lang w:val="en-GB"/>
        </w:rPr>
        <w:t>Justice and Rule of Law National Strategy</w:t>
      </w:r>
      <w:r w:rsidR="00C81888" w:rsidRPr="004A29F9">
        <w:rPr>
          <w:rFonts w:ascii="Times New Roman" w:hAnsi="Times New Roman" w:cs="Times New Roman"/>
          <w:sz w:val="22"/>
          <w:szCs w:val="22"/>
          <w:lang w:val="en-GB"/>
        </w:rPr>
        <w:t>.</w:t>
      </w:r>
      <w:r w:rsidR="00C81888" w:rsidRPr="004A29F9">
        <w:rPr>
          <w:rStyle w:val="FootnoteReference"/>
          <w:rFonts w:ascii="Times New Roman" w:hAnsi="Times New Roman" w:cs="Times New Roman"/>
          <w:sz w:val="22"/>
          <w:szCs w:val="22"/>
          <w:lang w:val="en-GB"/>
        </w:rPr>
        <w:footnoteReference w:id="35"/>
      </w:r>
      <w:r w:rsidR="00C81888" w:rsidRPr="004A29F9">
        <w:rPr>
          <w:rFonts w:ascii="Times New Roman" w:hAnsi="Times New Roman" w:cs="Times New Roman"/>
          <w:sz w:val="22"/>
          <w:szCs w:val="22"/>
          <w:lang w:val="en-GB"/>
        </w:rPr>
        <w:t>At the national or “internal” level, these challenges include:</w:t>
      </w:r>
    </w:p>
    <w:p w:rsidR="005E19B1" w:rsidRPr="004A29F9" w:rsidRDefault="005E19B1" w:rsidP="00FB6759">
      <w:pPr>
        <w:spacing w:after="0" w:line="240" w:lineRule="auto"/>
        <w:jc w:val="both"/>
        <w:rPr>
          <w:rFonts w:ascii="Times New Roman" w:hAnsi="Times New Roman" w:cs="Times New Roman"/>
          <w:sz w:val="22"/>
          <w:szCs w:val="22"/>
          <w:lang w:val="en-GB"/>
        </w:rPr>
      </w:pPr>
    </w:p>
    <w:p w:rsidR="00C81888" w:rsidRPr="004A29F9" w:rsidRDefault="00874F89" w:rsidP="00FB6759">
      <w:pPr>
        <w:pStyle w:val="ListParagraph"/>
        <w:numPr>
          <w:ilvl w:val="0"/>
          <w:numId w:val="5"/>
        </w:numPr>
        <w:spacing w:after="0" w:line="240" w:lineRule="auto"/>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Weakness of the legal system applicable in the Palestinian territories in the light of the absence of civil legislation, the weakness of criminal legislation and the absence of a modern Penal Code.</w:t>
      </w:r>
    </w:p>
    <w:p w:rsidR="00874F89" w:rsidRPr="004A29F9" w:rsidRDefault="00874F89" w:rsidP="00FB6759">
      <w:pPr>
        <w:pStyle w:val="ListParagraph"/>
        <w:numPr>
          <w:ilvl w:val="0"/>
          <w:numId w:val="5"/>
        </w:numPr>
        <w:spacing w:after="0" w:line="240" w:lineRule="auto"/>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 absent role of the Palestinian Legislative Council, and the necessity to adopt alternative mechanisms to Decree Laws issued by the President.</w:t>
      </w:r>
      <w:r w:rsidR="002F4791" w:rsidRPr="004A29F9">
        <w:rPr>
          <w:rStyle w:val="FootnoteReference"/>
          <w:rFonts w:ascii="Times New Roman" w:hAnsi="Times New Roman" w:cs="Times New Roman"/>
          <w:sz w:val="22"/>
          <w:szCs w:val="22"/>
          <w:lang w:val="en-GB"/>
        </w:rPr>
        <w:footnoteReference w:id="36"/>
      </w:r>
    </w:p>
    <w:p w:rsidR="00874F89" w:rsidRPr="004A29F9" w:rsidRDefault="00874F89" w:rsidP="00FB6759">
      <w:pPr>
        <w:pStyle w:val="ListParagraph"/>
        <w:numPr>
          <w:ilvl w:val="0"/>
          <w:numId w:val="5"/>
        </w:numPr>
        <w:spacing w:after="0" w:line="240" w:lineRule="auto"/>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 weak public confidence in the judicial institutions, the adjudication procedures and the resort to alternative methods.</w:t>
      </w:r>
    </w:p>
    <w:p w:rsidR="00874F89" w:rsidRPr="004A29F9" w:rsidRDefault="00874F89" w:rsidP="00FB6759">
      <w:pPr>
        <w:pStyle w:val="ListParagraph"/>
        <w:numPr>
          <w:ilvl w:val="0"/>
          <w:numId w:val="5"/>
        </w:numPr>
        <w:spacing w:after="0" w:line="240" w:lineRule="auto"/>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 weakness of alternative means for conflict resolution.</w:t>
      </w:r>
    </w:p>
    <w:p w:rsidR="00874F89" w:rsidRPr="004A29F9" w:rsidRDefault="00874F89" w:rsidP="00FB6759">
      <w:pPr>
        <w:pStyle w:val="ListParagraph"/>
        <w:numPr>
          <w:ilvl w:val="0"/>
          <w:numId w:val="5"/>
        </w:numPr>
        <w:spacing w:after="0" w:line="240" w:lineRule="auto"/>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 weak performance of judicial institutions, and the lack of necessary resources.</w:t>
      </w:r>
    </w:p>
    <w:p w:rsidR="00874F89" w:rsidRPr="004A29F9" w:rsidRDefault="00874F89" w:rsidP="00FB6759">
      <w:pPr>
        <w:pStyle w:val="ListParagraph"/>
        <w:numPr>
          <w:ilvl w:val="0"/>
          <w:numId w:val="5"/>
        </w:numPr>
        <w:spacing w:after="0" w:line="240" w:lineRule="auto"/>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 recent introduction of legal education in</w:t>
      </w:r>
      <w:r w:rsidR="00227679">
        <w:rPr>
          <w:rFonts w:ascii="Times New Roman" w:hAnsi="Times New Roman" w:cs="Times New Roman"/>
          <w:sz w:val="22"/>
          <w:szCs w:val="22"/>
          <w:lang w:val="en-GB"/>
        </w:rPr>
        <w:t xml:space="preserve"> </w:t>
      </w:r>
      <w:r w:rsidR="005E19B1">
        <w:rPr>
          <w:rFonts w:ascii="Times New Roman" w:hAnsi="Times New Roman" w:cs="Times New Roman"/>
          <w:sz w:val="22"/>
          <w:szCs w:val="22"/>
          <w:lang w:val="en-GB"/>
        </w:rPr>
        <w:t>the oPt</w:t>
      </w:r>
      <w:r w:rsidR="00513E96" w:rsidRPr="004A29F9">
        <w:rPr>
          <w:rFonts w:ascii="Times New Roman" w:hAnsi="Times New Roman" w:cs="Times New Roman"/>
          <w:sz w:val="22"/>
          <w:szCs w:val="22"/>
          <w:lang w:val="en-GB"/>
        </w:rPr>
        <w:t>.</w:t>
      </w:r>
    </w:p>
    <w:p w:rsidR="00874F89" w:rsidRPr="004A29F9" w:rsidRDefault="00874F89" w:rsidP="00FB6759">
      <w:pPr>
        <w:pStyle w:val="ListParagraph"/>
        <w:numPr>
          <w:ilvl w:val="0"/>
          <w:numId w:val="5"/>
        </w:numPr>
        <w:spacing w:after="0" w:line="240" w:lineRule="auto"/>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 numerous judicial systems, weaknesses in coordination mechanisms, and weaknesses in methods of enforcement.</w:t>
      </w:r>
    </w:p>
    <w:p w:rsidR="00874F89" w:rsidRPr="004A29F9" w:rsidRDefault="00874F89" w:rsidP="00FB6759">
      <w:pPr>
        <w:pStyle w:val="ListParagraph"/>
        <w:numPr>
          <w:ilvl w:val="0"/>
          <w:numId w:val="5"/>
        </w:numPr>
        <w:spacing w:after="0" w:line="240" w:lineRule="auto"/>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Weakness of communication means with the public.</w:t>
      </w:r>
    </w:p>
    <w:p w:rsidR="00874F89" w:rsidRPr="004A29F9" w:rsidRDefault="00874F89" w:rsidP="00FB6759">
      <w:pPr>
        <w:pStyle w:val="ListParagraph"/>
        <w:numPr>
          <w:ilvl w:val="0"/>
          <w:numId w:val="5"/>
        </w:numPr>
        <w:spacing w:after="0" w:line="240" w:lineRule="auto"/>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Absence of geographical continuity between the country’s districts whi</w:t>
      </w:r>
      <w:r w:rsidR="005E19B1">
        <w:rPr>
          <w:rFonts w:ascii="Times New Roman" w:hAnsi="Times New Roman" w:cs="Times New Roman"/>
          <w:sz w:val="22"/>
          <w:szCs w:val="22"/>
          <w:lang w:val="en-GB"/>
        </w:rPr>
        <w:t xml:space="preserve">ch affected negatively public </w:t>
      </w:r>
      <w:r w:rsidRPr="004A29F9">
        <w:rPr>
          <w:rFonts w:ascii="Times New Roman" w:hAnsi="Times New Roman" w:cs="Times New Roman"/>
          <w:sz w:val="22"/>
          <w:szCs w:val="22"/>
          <w:lang w:val="en-GB"/>
        </w:rPr>
        <w:t xml:space="preserve">access </w:t>
      </w:r>
      <w:r w:rsidR="006B55C2" w:rsidRPr="004A29F9">
        <w:rPr>
          <w:rFonts w:ascii="Times New Roman" w:hAnsi="Times New Roman" w:cs="Times New Roman"/>
          <w:sz w:val="22"/>
          <w:szCs w:val="22"/>
          <w:lang w:val="en-GB"/>
        </w:rPr>
        <w:t xml:space="preserve">to </w:t>
      </w:r>
      <w:r w:rsidRPr="004A29F9">
        <w:rPr>
          <w:rFonts w:ascii="Times New Roman" w:hAnsi="Times New Roman" w:cs="Times New Roman"/>
          <w:sz w:val="22"/>
          <w:szCs w:val="22"/>
          <w:lang w:val="en-GB"/>
        </w:rPr>
        <w:t>judicial institutions.</w:t>
      </w:r>
    </w:p>
    <w:p w:rsidR="00874F89" w:rsidRPr="004A29F9" w:rsidRDefault="00874F89" w:rsidP="00FB6759">
      <w:pPr>
        <w:pStyle w:val="ListParagraph"/>
        <w:numPr>
          <w:ilvl w:val="0"/>
          <w:numId w:val="5"/>
        </w:numPr>
        <w:spacing w:after="0" w:line="240" w:lineRule="auto"/>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 emigration of qualified people.</w:t>
      </w:r>
    </w:p>
    <w:p w:rsidR="00C81888" w:rsidRPr="004A29F9" w:rsidRDefault="00874F89" w:rsidP="00FB6759">
      <w:pPr>
        <w:pStyle w:val="ListParagraph"/>
        <w:numPr>
          <w:ilvl w:val="0"/>
          <w:numId w:val="5"/>
        </w:numPr>
        <w:spacing w:after="0" w:line="240" w:lineRule="auto"/>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 absence of speci</w:t>
      </w:r>
      <w:r w:rsidR="005A05AD">
        <w:rPr>
          <w:rFonts w:ascii="Times New Roman" w:hAnsi="Times New Roman" w:cs="Times New Roman"/>
          <w:sz w:val="22"/>
          <w:szCs w:val="22"/>
          <w:lang w:val="en-GB"/>
        </w:rPr>
        <w:t>alis</w:t>
      </w:r>
      <w:r w:rsidR="00C81888" w:rsidRPr="004A29F9">
        <w:rPr>
          <w:rFonts w:ascii="Times New Roman" w:hAnsi="Times New Roman" w:cs="Times New Roman"/>
          <w:sz w:val="22"/>
          <w:szCs w:val="22"/>
          <w:lang w:val="en-GB"/>
        </w:rPr>
        <w:t>ed courts and prosecutions.</w:t>
      </w:r>
    </w:p>
    <w:p w:rsidR="00874F89" w:rsidRPr="004A29F9" w:rsidRDefault="00874F89" w:rsidP="00FB6759">
      <w:pPr>
        <w:pStyle w:val="ListParagraph"/>
        <w:numPr>
          <w:ilvl w:val="0"/>
          <w:numId w:val="5"/>
        </w:numPr>
        <w:spacing w:after="0" w:line="240" w:lineRule="auto"/>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 overlap of the civil and military jurisdictions.</w:t>
      </w:r>
    </w:p>
    <w:p w:rsidR="00874F89" w:rsidRPr="004A29F9" w:rsidRDefault="00874F89" w:rsidP="00FB6759">
      <w:pPr>
        <w:pStyle w:val="ListParagraph"/>
        <w:numPr>
          <w:ilvl w:val="0"/>
          <w:numId w:val="5"/>
        </w:numPr>
        <w:spacing w:after="0" w:line="240" w:lineRule="auto"/>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 absence of a constitutional court to decide on the constitutionality of legislations and the conflict in jurisdictions.</w:t>
      </w:r>
    </w:p>
    <w:p w:rsidR="00874F89" w:rsidRPr="004A29F9" w:rsidRDefault="00874F89" w:rsidP="00FB6759">
      <w:pPr>
        <w:pStyle w:val="ListParagraph"/>
        <w:numPr>
          <w:ilvl w:val="0"/>
          <w:numId w:val="5"/>
        </w:numPr>
        <w:spacing w:after="0" w:line="240" w:lineRule="auto"/>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lastRenderedPageBreak/>
        <w:t>Case backlogs before the courts.</w:t>
      </w:r>
    </w:p>
    <w:p w:rsidR="00874F89" w:rsidRPr="004A29F9" w:rsidRDefault="00874F89" w:rsidP="00FB6759">
      <w:pPr>
        <w:pStyle w:val="ListParagraph"/>
        <w:numPr>
          <w:ilvl w:val="0"/>
          <w:numId w:val="5"/>
        </w:numPr>
        <w:spacing w:after="0" w:line="240" w:lineRule="auto"/>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Weakness and unsuitability of </w:t>
      </w:r>
      <w:r w:rsidR="005A05AD">
        <w:rPr>
          <w:rFonts w:ascii="Times New Roman" w:hAnsi="Times New Roman" w:cs="Times New Roman"/>
          <w:sz w:val="22"/>
          <w:szCs w:val="22"/>
          <w:lang w:val="en-GB"/>
        </w:rPr>
        <w:t>reform and rehabilitation centre</w:t>
      </w:r>
      <w:r w:rsidRPr="004A29F9">
        <w:rPr>
          <w:rFonts w:ascii="Times New Roman" w:hAnsi="Times New Roman" w:cs="Times New Roman"/>
          <w:sz w:val="22"/>
          <w:szCs w:val="22"/>
          <w:lang w:val="en-GB"/>
        </w:rPr>
        <w:t>s and places of detention.</w:t>
      </w:r>
      <w:r w:rsidR="00C81888" w:rsidRPr="004A29F9">
        <w:rPr>
          <w:rStyle w:val="FootnoteReference"/>
          <w:rFonts w:ascii="Times New Roman" w:hAnsi="Times New Roman" w:cs="Times New Roman"/>
          <w:sz w:val="22"/>
          <w:szCs w:val="22"/>
          <w:lang w:val="en-GB"/>
        </w:rPr>
        <w:footnoteReference w:id="37"/>
      </w:r>
    </w:p>
    <w:p w:rsidR="005A05AD" w:rsidRDefault="005A05AD" w:rsidP="00FB6759">
      <w:pPr>
        <w:spacing w:after="0" w:line="240" w:lineRule="auto"/>
        <w:jc w:val="both"/>
        <w:rPr>
          <w:rFonts w:ascii="Times New Roman" w:hAnsi="Times New Roman" w:cs="Times New Roman"/>
          <w:sz w:val="22"/>
          <w:szCs w:val="22"/>
          <w:lang w:val="en-GB"/>
        </w:rPr>
      </w:pPr>
    </w:p>
    <w:p w:rsidR="00874F89" w:rsidRDefault="00C81888"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As discussed at </w:t>
      </w:r>
      <w:r w:rsidR="005A05AD">
        <w:rPr>
          <w:rFonts w:ascii="Times New Roman" w:hAnsi="Times New Roman" w:cs="Times New Roman"/>
          <w:sz w:val="22"/>
          <w:szCs w:val="22"/>
          <w:lang w:val="en-GB"/>
        </w:rPr>
        <w:t>the outset of this situational a</w:t>
      </w:r>
      <w:r w:rsidRPr="004A29F9">
        <w:rPr>
          <w:rFonts w:ascii="Times New Roman" w:hAnsi="Times New Roman" w:cs="Times New Roman"/>
          <w:sz w:val="22"/>
          <w:szCs w:val="22"/>
          <w:lang w:val="en-GB"/>
        </w:rPr>
        <w:t xml:space="preserve">nalysis, external factors imposed on the </w:t>
      </w:r>
      <w:r w:rsidR="002C13E2" w:rsidRPr="004A29F9">
        <w:rPr>
          <w:rFonts w:ascii="Times New Roman" w:hAnsi="Times New Roman" w:cs="Times New Roman"/>
          <w:sz w:val="22"/>
          <w:szCs w:val="22"/>
          <w:lang w:val="en-GB"/>
        </w:rPr>
        <w:t>PNA</w:t>
      </w:r>
      <w:r w:rsidRPr="004A29F9">
        <w:rPr>
          <w:rFonts w:ascii="Times New Roman" w:hAnsi="Times New Roman" w:cs="Times New Roman"/>
          <w:sz w:val="22"/>
          <w:szCs w:val="22"/>
          <w:lang w:val="en-GB"/>
        </w:rPr>
        <w:t xml:space="preserve"> have also significantly slowed the growth of a robust justice establishment. In this regard, the team behind the Justice and Rule of Law National Strategy identified the f</w:t>
      </w:r>
      <w:r w:rsidR="00874F89" w:rsidRPr="004A29F9">
        <w:rPr>
          <w:rFonts w:ascii="Times New Roman" w:hAnsi="Times New Roman" w:cs="Times New Roman"/>
          <w:sz w:val="22"/>
          <w:szCs w:val="22"/>
          <w:lang w:val="en-GB"/>
        </w:rPr>
        <w:t xml:space="preserve">ollowing </w:t>
      </w:r>
      <w:r w:rsidRPr="004A29F9">
        <w:rPr>
          <w:rFonts w:ascii="Times New Roman" w:hAnsi="Times New Roman" w:cs="Times New Roman"/>
          <w:sz w:val="22"/>
          <w:szCs w:val="22"/>
          <w:lang w:val="en-GB"/>
        </w:rPr>
        <w:t>as</w:t>
      </w:r>
      <w:r w:rsidR="00874F89" w:rsidRPr="004A29F9">
        <w:rPr>
          <w:rFonts w:ascii="Times New Roman" w:hAnsi="Times New Roman" w:cs="Times New Roman"/>
          <w:sz w:val="22"/>
          <w:szCs w:val="22"/>
          <w:lang w:val="en-GB"/>
        </w:rPr>
        <w:t xml:space="preserve"> the most important problems on the external level:</w:t>
      </w:r>
    </w:p>
    <w:p w:rsidR="005A05AD" w:rsidRPr="004A29F9" w:rsidRDefault="005A05AD" w:rsidP="00FB6759">
      <w:pPr>
        <w:spacing w:after="0" w:line="240" w:lineRule="auto"/>
        <w:jc w:val="both"/>
        <w:rPr>
          <w:rFonts w:ascii="Times New Roman" w:hAnsi="Times New Roman" w:cs="Times New Roman"/>
          <w:sz w:val="22"/>
          <w:szCs w:val="22"/>
          <w:lang w:val="en-GB"/>
        </w:rPr>
      </w:pPr>
    </w:p>
    <w:p w:rsidR="00874F89" w:rsidRPr="004A29F9" w:rsidRDefault="00874F89" w:rsidP="00FB6759">
      <w:pPr>
        <w:pStyle w:val="ListParagraph"/>
        <w:numPr>
          <w:ilvl w:val="0"/>
          <w:numId w:val="5"/>
        </w:numPr>
        <w:spacing w:after="0" w:line="240" w:lineRule="auto"/>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 impact of the Israeli occupation and its role in unsettling public confidence in public order, and particularly the judicial system.</w:t>
      </w:r>
    </w:p>
    <w:p w:rsidR="00874F89" w:rsidRPr="004A29F9" w:rsidRDefault="00D60684" w:rsidP="00FB6759">
      <w:pPr>
        <w:pStyle w:val="ListParagraph"/>
        <w:numPr>
          <w:ilvl w:val="0"/>
          <w:numId w:val="5"/>
        </w:numPr>
        <w:spacing w:after="0" w:line="240" w:lineRule="auto"/>
        <w:contextualSpacing/>
        <w:jc w:val="both"/>
        <w:rPr>
          <w:rFonts w:ascii="Times New Roman" w:hAnsi="Times New Roman" w:cs="Times New Roman"/>
          <w:sz w:val="22"/>
          <w:szCs w:val="22"/>
          <w:lang w:val="en-GB"/>
        </w:rPr>
      </w:pPr>
      <w:r>
        <w:rPr>
          <w:rFonts w:ascii="Times New Roman" w:hAnsi="Times New Roman" w:cs="Times New Roman"/>
          <w:sz w:val="22"/>
          <w:szCs w:val="22"/>
          <w:lang w:val="en-GB"/>
        </w:rPr>
        <w:t>Absence of the Palestinian s</w:t>
      </w:r>
      <w:r w:rsidR="00874F89" w:rsidRPr="004A29F9">
        <w:rPr>
          <w:rFonts w:ascii="Times New Roman" w:hAnsi="Times New Roman" w:cs="Times New Roman"/>
          <w:sz w:val="22"/>
          <w:szCs w:val="22"/>
          <w:lang w:val="en-GB"/>
        </w:rPr>
        <w:t>tate imposing its sovereignty on the Palestinian territories and its negative repercussions on communicating with the outside world for the requirements of the justice sector.</w:t>
      </w:r>
    </w:p>
    <w:p w:rsidR="00874F89" w:rsidRPr="004A29F9" w:rsidRDefault="00874F89" w:rsidP="00FB6759">
      <w:pPr>
        <w:pStyle w:val="ListParagraph"/>
        <w:numPr>
          <w:ilvl w:val="0"/>
          <w:numId w:val="5"/>
        </w:numPr>
        <w:spacing w:after="0" w:line="240" w:lineRule="auto"/>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Restrictions on the movement of people which obstruct the course of justice.</w:t>
      </w:r>
    </w:p>
    <w:p w:rsidR="00874F89" w:rsidRPr="004A29F9" w:rsidRDefault="00874F89" w:rsidP="00FB6759">
      <w:pPr>
        <w:pStyle w:val="ListParagraph"/>
        <w:numPr>
          <w:ilvl w:val="0"/>
          <w:numId w:val="5"/>
        </w:numPr>
        <w:spacing w:after="0" w:line="240" w:lineRule="auto"/>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Non-compliance of the Israeli occupation with the agreements signed and with legal protocols.</w:t>
      </w:r>
    </w:p>
    <w:p w:rsidR="00874F89" w:rsidRPr="004A29F9" w:rsidRDefault="00874F89" w:rsidP="00FB6759">
      <w:pPr>
        <w:pStyle w:val="ListParagraph"/>
        <w:numPr>
          <w:ilvl w:val="0"/>
          <w:numId w:val="5"/>
        </w:numPr>
        <w:spacing w:after="0" w:line="240" w:lineRule="auto"/>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 existence of settlements has limited the application of the rule of law in the Palestinian territories.</w:t>
      </w:r>
    </w:p>
    <w:p w:rsidR="00874F89" w:rsidRPr="004A29F9" w:rsidRDefault="00874F89" w:rsidP="00FB6759">
      <w:pPr>
        <w:pStyle w:val="ListParagraph"/>
        <w:numPr>
          <w:ilvl w:val="0"/>
          <w:numId w:val="5"/>
        </w:numPr>
        <w:spacing w:after="0" w:line="240" w:lineRule="auto"/>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 multiplicity and overlapping of support and funding to the justice sector.</w:t>
      </w:r>
    </w:p>
    <w:p w:rsidR="00874F89" w:rsidRPr="004A29F9" w:rsidRDefault="00874F89" w:rsidP="00FB6759">
      <w:pPr>
        <w:pStyle w:val="ListParagraph"/>
        <w:numPr>
          <w:ilvl w:val="0"/>
          <w:numId w:val="5"/>
        </w:numPr>
        <w:spacing w:after="0" w:line="240" w:lineRule="auto"/>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 increase in the number of fugitives to the Israeli areas and the Israeli non-response to the hand-over demands.</w:t>
      </w:r>
    </w:p>
    <w:p w:rsidR="00874F89" w:rsidRPr="004A29F9" w:rsidRDefault="00874F89" w:rsidP="00FB6759">
      <w:pPr>
        <w:pStyle w:val="ListParagraph"/>
        <w:numPr>
          <w:ilvl w:val="0"/>
          <w:numId w:val="5"/>
        </w:numPr>
        <w:spacing w:after="0" w:line="240" w:lineRule="auto"/>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Lack of PNA control of the borders and its weak ability to control borders, apprehend wanted people or prevent wanted people from travelling.</w:t>
      </w:r>
    </w:p>
    <w:p w:rsidR="00874F89" w:rsidRPr="004A29F9" w:rsidRDefault="00874F89" w:rsidP="00FB6759">
      <w:pPr>
        <w:pStyle w:val="ListParagraph"/>
        <w:numPr>
          <w:ilvl w:val="0"/>
          <w:numId w:val="5"/>
        </w:numPr>
        <w:spacing w:after="0" w:line="240" w:lineRule="auto"/>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Weakness of legal aid means at the reciprocal and international levels which impeded the exercise of legal authority and the enforcement of judgments.</w:t>
      </w:r>
    </w:p>
    <w:p w:rsidR="00874F89" w:rsidRPr="004A29F9" w:rsidRDefault="00874F89" w:rsidP="00FB6759">
      <w:pPr>
        <w:pStyle w:val="ListParagraph"/>
        <w:numPr>
          <w:ilvl w:val="0"/>
          <w:numId w:val="5"/>
        </w:numPr>
        <w:spacing w:after="0" w:line="240" w:lineRule="auto"/>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 lack of Palestinian jurisdiction over the Israelis and Palestinians holding Israeli IDs who commit crimes in PNA territories.</w:t>
      </w:r>
    </w:p>
    <w:p w:rsidR="00874F89" w:rsidRPr="004A29F9" w:rsidRDefault="00874F89" w:rsidP="00FB6759">
      <w:pPr>
        <w:pStyle w:val="ListParagraph"/>
        <w:numPr>
          <w:ilvl w:val="0"/>
          <w:numId w:val="5"/>
        </w:numPr>
        <w:spacing w:after="0" w:line="240" w:lineRule="auto"/>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Diminished Palestinian jurisdiction due to the division of territories to A, B and C.</w:t>
      </w:r>
    </w:p>
    <w:p w:rsidR="00874F89" w:rsidRPr="004A29F9" w:rsidRDefault="00874F89" w:rsidP="00FB6759">
      <w:pPr>
        <w:pStyle w:val="ListParagraph"/>
        <w:numPr>
          <w:ilvl w:val="0"/>
          <w:numId w:val="5"/>
        </w:numPr>
        <w:spacing w:after="0" w:line="240" w:lineRule="auto"/>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 inability of the annexed legal protocol of the Oslo agreement to respond to the requirement and</w:t>
      </w:r>
      <w:r w:rsidR="00FF36EA" w:rsidRPr="004A29F9">
        <w:rPr>
          <w:rFonts w:ascii="Times New Roman" w:hAnsi="Times New Roman" w:cs="Times New Roman"/>
          <w:sz w:val="22"/>
          <w:szCs w:val="22"/>
          <w:lang w:val="en-GB"/>
        </w:rPr>
        <w:t xml:space="preserve"> needs of building the Palestinian state.</w:t>
      </w:r>
      <w:r w:rsidR="00C81888" w:rsidRPr="004A29F9">
        <w:rPr>
          <w:rFonts w:ascii="Times New Roman" w:hAnsi="Times New Roman" w:cs="Times New Roman"/>
          <w:sz w:val="22"/>
          <w:szCs w:val="22"/>
          <w:vertAlign w:val="superscript"/>
          <w:lang w:val="en-GB"/>
        </w:rPr>
        <w:footnoteReference w:id="38"/>
      </w:r>
    </w:p>
    <w:p w:rsidR="005A05AD" w:rsidRDefault="005A05AD" w:rsidP="00FB6759">
      <w:pPr>
        <w:spacing w:after="0" w:line="240" w:lineRule="auto"/>
        <w:jc w:val="both"/>
        <w:rPr>
          <w:rFonts w:ascii="Times New Roman" w:hAnsi="Times New Roman" w:cs="Times New Roman"/>
          <w:sz w:val="22"/>
          <w:szCs w:val="22"/>
          <w:lang w:val="en-GB"/>
        </w:rPr>
      </w:pPr>
    </w:p>
    <w:p w:rsidR="00995C6F" w:rsidRPr="004A29F9" w:rsidRDefault="00995C6F"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The above factors are amplified by the fact that the </w:t>
      </w:r>
      <w:r w:rsidR="000A74EE" w:rsidRPr="004A29F9">
        <w:rPr>
          <w:rFonts w:ascii="Times New Roman" w:hAnsi="Times New Roman" w:cs="Times New Roman"/>
          <w:sz w:val="22"/>
          <w:szCs w:val="22"/>
          <w:lang w:val="en-GB"/>
        </w:rPr>
        <w:t>PNA in fact controls less than 40% of the West Bank</w:t>
      </w:r>
      <w:r w:rsidRPr="004A29F9">
        <w:rPr>
          <w:rFonts w:ascii="Times New Roman" w:hAnsi="Times New Roman" w:cs="Times New Roman"/>
          <w:sz w:val="22"/>
          <w:szCs w:val="22"/>
          <w:lang w:val="en-GB"/>
        </w:rPr>
        <w:t>.</w:t>
      </w:r>
    </w:p>
    <w:p w:rsidR="00DB24F8" w:rsidRPr="004A29F9" w:rsidRDefault="00671601"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While no single programme or institution is capable of adequately addre</w:t>
      </w:r>
      <w:r w:rsidR="008574F0" w:rsidRPr="004A29F9">
        <w:rPr>
          <w:rFonts w:ascii="Times New Roman" w:hAnsi="Times New Roman" w:cs="Times New Roman"/>
          <w:sz w:val="22"/>
          <w:szCs w:val="22"/>
          <w:lang w:val="en-GB"/>
        </w:rPr>
        <w:t>ssing all of these challenges, since the Oslo accords, various stakeholders have undertaken a number of initiatives aimed at improving the administration of justice in the oPt and the quality of rule of law among Palestinians.</w:t>
      </w:r>
    </w:p>
    <w:p w:rsidR="005A05AD" w:rsidRDefault="005A05AD" w:rsidP="00FB6759">
      <w:pPr>
        <w:spacing w:after="0" w:line="240" w:lineRule="auto"/>
        <w:jc w:val="both"/>
        <w:rPr>
          <w:rFonts w:ascii="Times New Roman" w:hAnsi="Times New Roman" w:cs="Times New Roman"/>
          <w:b/>
          <w:i/>
          <w:sz w:val="22"/>
          <w:szCs w:val="22"/>
          <w:lang w:val="en-GB"/>
        </w:rPr>
      </w:pPr>
    </w:p>
    <w:p w:rsidR="00592464" w:rsidRPr="005A05AD" w:rsidRDefault="00592464" w:rsidP="00FB6759">
      <w:pPr>
        <w:spacing w:after="0" w:line="240" w:lineRule="auto"/>
        <w:jc w:val="both"/>
        <w:rPr>
          <w:rFonts w:ascii="Times New Roman" w:hAnsi="Times New Roman" w:cs="Times New Roman"/>
          <w:i/>
          <w:sz w:val="22"/>
          <w:szCs w:val="22"/>
          <w:lang w:val="en-GB"/>
        </w:rPr>
      </w:pPr>
      <w:r w:rsidRPr="005A05AD">
        <w:rPr>
          <w:rFonts w:ascii="Times New Roman" w:hAnsi="Times New Roman" w:cs="Times New Roman"/>
          <w:i/>
          <w:sz w:val="22"/>
          <w:szCs w:val="22"/>
          <w:lang w:val="en-GB"/>
        </w:rPr>
        <w:t>Previous</w:t>
      </w:r>
      <w:r w:rsidR="00671601" w:rsidRPr="005A05AD">
        <w:rPr>
          <w:rFonts w:ascii="Times New Roman" w:hAnsi="Times New Roman" w:cs="Times New Roman"/>
          <w:i/>
          <w:sz w:val="22"/>
          <w:szCs w:val="22"/>
          <w:lang w:val="en-GB"/>
        </w:rPr>
        <w:t xml:space="preserve"> and parallel</w:t>
      </w:r>
      <w:r w:rsidRPr="005A05AD">
        <w:rPr>
          <w:rFonts w:ascii="Times New Roman" w:hAnsi="Times New Roman" w:cs="Times New Roman"/>
          <w:i/>
          <w:sz w:val="22"/>
          <w:szCs w:val="22"/>
          <w:lang w:val="en-GB"/>
        </w:rPr>
        <w:t xml:space="preserve"> efforts to strengthen justice sector</w:t>
      </w:r>
    </w:p>
    <w:p w:rsidR="005A05AD" w:rsidRDefault="005A05AD" w:rsidP="00FB6759">
      <w:pPr>
        <w:spacing w:after="0" w:line="240" w:lineRule="auto"/>
        <w:jc w:val="both"/>
        <w:rPr>
          <w:rFonts w:ascii="Times New Roman" w:hAnsi="Times New Roman" w:cs="Times New Roman"/>
          <w:sz w:val="22"/>
          <w:szCs w:val="22"/>
          <w:lang w:val="en-GB"/>
        </w:rPr>
      </w:pPr>
    </w:p>
    <w:p w:rsidR="003002EF" w:rsidRDefault="008574F0"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Early on, while the PNA’s focus was directed elsewhere, the judicial institutions did not receive the kinds of support and funding they needed; combined with</w:t>
      </w:r>
      <w:r w:rsidR="00E564A0" w:rsidRPr="004A29F9">
        <w:rPr>
          <w:rFonts w:ascii="Times New Roman" w:hAnsi="Times New Roman" w:cs="Times New Roman"/>
          <w:sz w:val="22"/>
          <w:szCs w:val="22"/>
          <w:lang w:val="en-GB"/>
        </w:rPr>
        <w:t xml:space="preserve"> the obsta</w:t>
      </w:r>
      <w:r w:rsidRPr="004A29F9">
        <w:rPr>
          <w:rFonts w:ascii="Times New Roman" w:hAnsi="Times New Roman" w:cs="Times New Roman"/>
          <w:sz w:val="22"/>
          <w:szCs w:val="22"/>
          <w:lang w:val="en-GB"/>
        </w:rPr>
        <w:t xml:space="preserve">cles imposed by the occupation and a lack of functional </w:t>
      </w:r>
      <w:r w:rsidR="00E564A0" w:rsidRPr="004A29F9">
        <w:rPr>
          <w:rFonts w:ascii="Times New Roman" w:hAnsi="Times New Roman" w:cs="Times New Roman"/>
          <w:sz w:val="22"/>
          <w:szCs w:val="22"/>
          <w:lang w:val="en-GB"/>
        </w:rPr>
        <w:t>sovereignty</w:t>
      </w:r>
      <w:r w:rsidR="00F50C2E" w:rsidRPr="004A29F9">
        <w:rPr>
          <w:rFonts w:ascii="Times New Roman" w:hAnsi="Times New Roman" w:cs="Times New Roman"/>
          <w:sz w:val="22"/>
          <w:szCs w:val="22"/>
          <w:lang w:val="en-GB"/>
        </w:rPr>
        <w:t xml:space="preserve">, these factors resulted in an </w:t>
      </w:r>
      <w:r w:rsidRPr="004A29F9">
        <w:rPr>
          <w:rFonts w:ascii="Times New Roman" w:hAnsi="Times New Roman" w:cs="Times New Roman"/>
          <w:sz w:val="22"/>
          <w:szCs w:val="22"/>
          <w:lang w:val="en-GB"/>
        </w:rPr>
        <w:t>unsuitable rule of law environment</w:t>
      </w:r>
      <w:r w:rsidR="00E564A0" w:rsidRPr="004A29F9">
        <w:rPr>
          <w:rFonts w:ascii="Times New Roman" w:hAnsi="Times New Roman" w:cs="Times New Roman"/>
          <w:sz w:val="22"/>
          <w:szCs w:val="22"/>
          <w:lang w:val="en-GB"/>
        </w:rPr>
        <w:t>.</w:t>
      </w:r>
      <w:r w:rsidR="00E564A0" w:rsidRPr="004A29F9">
        <w:rPr>
          <w:rStyle w:val="FootnoteReference"/>
          <w:rFonts w:ascii="Times New Roman" w:hAnsi="Times New Roman" w:cs="Times New Roman"/>
          <w:sz w:val="22"/>
          <w:szCs w:val="22"/>
          <w:lang w:val="en-GB"/>
        </w:rPr>
        <w:footnoteReference w:id="39"/>
      </w:r>
      <w:r w:rsidRPr="004A29F9">
        <w:rPr>
          <w:rFonts w:ascii="Times New Roman" w:hAnsi="Times New Roman" w:cs="Times New Roman"/>
          <w:sz w:val="22"/>
          <w:szCs w:val="22"/>
          <w:lang w:val="en-GB"/>
        </w:rPr>
        <w:t>Today, the situation has changed</w:t>
      </w:r>
      <w:r w:rsidR="003002EF" w:rsidRPr="004A29F9">
        <w:rPr>
          <w:rFonts w:ascii="Times New Roman" w:hAnsi="Times New Roman" w:cs="Times New Roman"/>
          <w:sz w:val="22"/>
          <w:szCs w:val="22"/>
          <w:lang w:val="en-GB"/>
        </w:rPr>
        <w:t xml:space="preserve"> fundamentally</w:t>
      </w:r>
      <w:r w:rsidR="00616977" w:rsidRPr="004A29F9">
        <w:rPr>
          <w:rFonts w:ascii="Times New Roman" w:hAnsi="Times New Roman" w:cs="Times New Roman"/>
          <w:sz w:val="22"/>
          <w:szCs w:val="22"/>
          <w:lang w:val="en-GB"/>
        </w:rPr>
        <w:t>, and for the better: a</w:t>
      </w:r>
      <w:r w:rsidRPr="004A29F9">
        <w:rPr>
          <w:rFonts w:ascii="Times New Roman" w:hAnsi="Times New Roman" w:cs="Times New Roman"/>
          <w:sz w:val="22"/>
          <w:szCs w:val="22"/>
          <w:lang w:val="en-GB"/>
        </w:rPr>
        <w:t xml:space="preserve">s </w:t>
      </w:r>
      <w:r w:rsidR="00F50C2E" w:rsidRPr="004A29F9">
        <w:rPr>
          <w:rFonts w:ascii="Times New Roman" w:hAnsi="Times New Roman" w:cs="Times New Roman"/>
          <w:sz w:val="22"/>
          <w:szCs w:val="22"/>
          <w:lang w:val="en-GB"/>
        </w:rPr>
        <w:t>evidenced by</w:t>
      </w:r>
      <w:r w:rsidRPr="004A29F9">
        <w:rPr>
          <w:rFonts w:ascii="Times New Roman" w:hAnsi="Times New Roman" w:cs="Times New Roman"/>
          <w:sz w:val="22"/>
          <w:szCs w:val="22"/>
          <w:lang w:val="en-GB"/>
        </w:rPr>
        <w:t xml:space="preserve"> the Programme of the Thirteenth Government and </w:t>
      </w:r>
      <w:r w:rsidR="00D60684">
        <w:rPr>
          <w:rFonts w:ascii="Times New Roman" w:hAnsi="Times New Roman" w:cs="Times New Roman"/>
          <w:sz w:val="22"/>
          <w:szCs w:val="22"/>
          <w:lang w:val="en-GB"/>
        </w:rPr>
        <w:t>the successive National Justice</w:t>
      </w:r>
      <w:r w:rsidRPr="004A29F9">
        <w:rPr>
          <w:rFonts w:ascii="Times New Roman" w:hAnsi="Times New Roman" w:cs="Times New Roman"/>
          <w:sz w:val="22"/>
          <w:szCs w:val="22"/>
          <w:lang w:val="en-GB"/>
        </w:rPr>
        <w:t xml:space="preserve"> Sector Strategies, t</w:t>
      </w:r>
      <w:r w:rsidR="00A72EE2" w:rsidRPr="004A29F9">
        <w:rPr>
          <w:rFonts w:ascii="Times New Roman" w:hAnsi="Times New Roman" w:cs="Times New Roman"/>
          <w:sz w:val="22"/>
          <w:szCs w:val="22"/>
          <w:lang w:val="en-GB"/>
        </w:rPr>
        <w:t xml:space="preserve">he </w:t>
      </w:r>
      <w:r w:rsidRPr="004A29F9">
        <w:rPr>
          <w:rFonts w:ascii="Times New Roman" w:hAnsi="Times New Roman" w:cs="Times New Roman"/>
          <w:sz w:val="22"/>
          <w:szCs w:val="22"/>
          <w:lang w:val="en-GB"/>
        </w:rPr>
        <w:t>PNA</w:t>
      </w:r>
      <w:r w:rsidR="00A72EE2" w:rsidRPr="004A29F9">
        <w:rPr>
          <w:rFonts w:ascii="Times New Roman" w:hAnsi="Times New Roman" w:cs="Times New Roman"/>
          <w:sz w:val="22"/>
          <w:szCs w:val="22"/>
          <w:lang w:val="en-GB"/>
        </w:rPr>
        <w:t xml:space="preserve"> is determi</w:t>
      </w:r>
      <w:r w:rsidRPr="004A29F9">
        <w:rPr>
          <w:rFonts w:ascii="Times New Roman" w:hAnsi="Times New Roman" w:cs="Times New Roman"/>
          <w:sz w:val="22"/>
          <w:szCs w:val="22"/>
          <w:lang w:val="en-GB"/>
        </w:rPr>
        <w:t>ned to build the rule of law</w:t>
      </w:r>
      <w:r w:rsidR="00A72EE2" w:rsidRPr="004A29F9">
        <w:rPr>
          <w:rFonts w:ascii="Times New Roman" w:hAnsi="Times New Roman" w:cs="Times New Roman"/>
          <w:sz w:val="22"/>
          <w:szCs w:val="22"/>
          <w:lang w:val="en-GB"/>
        </w:rPr>
        <w:t>.</w:t>
      </w:r>
      <w:r w:rsidR="00A72EE2" w:rsidRPr="004A29F9">
        <w:rPr>
          <w:rStyle w:val="FootnoteReference"/>
          <w:rFonts w:ascii="Times New Roman" w:hAnsi="Times New Roman" w:cs="Times New Roman"/>
          <w:sz w:val="22"/>
          <w:szCs w:val="22"/>
          <w:lang w:val="en-GB"/>
        </w:rPr>
        <w:footnoteReference w:id="40"/>
      </w:r>
    </w:p>
    <w:p w:rsidR="005A05AD" w:rsidRPr="004A29F9" w:rsidRDefault="005A05AD" w:rsidP="00FB6759">
      <w:pPr>
        <w:spacing w:after="0" w:line="240" w:lineRule="auto"/>
        <w:jc w:val="both"/>
        <w:rPr>
          <w:rFonts w:ascii="Times New Roman" w:hAnsi="Times New Roman" w:cs="Times New Roman"/>
          <w:sz w:val="22"/>
          <w:szCs w:val="22"/>
          <w:lang w:val="en-GB"/>
        </w:rPr>
      </w:pPr>
    </w:p>
    <w:p w:rsidR="008E53EC" w:rsidRPr="004A29F9" w:rsidRDefault="00D60684"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lastRenderedPageBreak/>
        <w:t xml:space="preserve">This commitment </w:t>
      </w:r>
      <w:r w:rsidR="003002EF" w:rsidRPr="004A29F9">
        <w:rPr>
          <w:rFonts w:ascii="Times New Roman" w:hAnsi="Times New Roman" w:cs="Times New Roman"/>
          <w:sz w:val="22"/>
          <w:szCs w:val="22"/>
          <w:lang w:val="en-GB"/>
        </w:rPr>
        <w:t>goes beyond rh</w:t>
      </w:r>
      <w:r>
        <w:rPr>
          <w:rFonts w:ascii="Times New Roman" w:hAnsi="Times New Roman" w:cs="Times New Roman"/>
          <w:sz w:val="22"/>
          <w:szCs w:val="22"/>
          <w:lang w:val="en-GB"/>
        </w:rPr>
        <w:t xml:space="preserve">etoric and planning documents. </w:t>
      </w:r>
      <w:r w:rsidR="003002EF" w:rsidRPr="004A29F9">
        <w:rPr>
          <w:rFonts w:ascii="Times New Roman" w:hAnsi="Times New Roman" w:cs="Times New Roman"/>
          <w:sz w:val="22"/>
          <w:szCs w:val="22"/>
          <w:lang w:val="en-GB"/>
        </w:rPr>
        <w:t>Spending on the justice and rule of law sector has increased substantially in recent years, especially with regards to infrastructure, inc</w:t>
      </w:r>
      <w:r>
        <w:rPr>
          <w:rFonts w:ascii="Times New Roman" w:hAnsi="Times New Roman" w:cs="Times New Roman"/>
          <w:sz w:val="22"/>
          <w:szCs w:val="22"/>
          <w:lang w:val="en-GB"/>
        </w:rPr>
        <w:t xml:space="preserve">luding construction of </w:t>
      </w:r>
      <w:r w:rsidR="003002EF" w:rsidRPr="004A29F9">
        <w:rPr>
          <w:rFonts w:ascii="Times New Roman" w:hAnsi="Times New Roman" w:cs="Times New Roman"/>
          <w:sz w:val="22"/>
          <w:szCs w:val="22"/>
          <w:lang w:val="en-GB"/>
        </w:rPr>
        <w:t>court compl</w:t>
      </w:r>
      <w:r>
        <w:rPr>
          <w:rFonts w:ascii="Times New Roman" w:hAnsi="Times New Roman" w:cs="Times New Roman"/>
          <w:sz w:val="22"/>
          <w:szCs w:val="22"/>
          <w:lang w:val="en-GB"/>
        </w:rPr>
        <w:t>exes, establishment of specialis</w:t>
      </w:r>
      <w:r w:rsidR="003002EF" w:rsidRPr="004A29F9">
        <w:rPr>
          <w:rFonts w:ascii="Times New Roman" w:hAnsi="Times New Roman" w:cs="Times New Roman"/>
          <w:sz w:val="22"/>
          <w:szCs w:val="22"/>
          <w:lang w:val="en-GB"/>
        </w:rPr>
        <w:t xml:space="preserve">ed courts, magistrate courts and public </w:t>
      </w:r>
      <w:r w:rsidR="00FE6485" w:rsidRPr="004A29F9">
        <w:rPr>
          <w:rFonts w:ascii="Times New Roman" w:hAnsi="Times New Roman" w:cs="Times New Roman"/>
          <w:sz w:val="22"/>
          <w:szCs w:val="22"/>
          <w:lang w:val="en-GB"/>
        </w:rPr>
        <w:t>prosecution</w:t>
      </w:r>
      <w:r w:rsidR="003002EF" w:rsidRPr="004A29F9">
        <w:rPr>
          <w:rFonts w:ascii="Times New Roman" w:hAnsi="Times New Roman" w:cs="Times New Roman"/>
          <w:sz w:val="22"/>
          <w:szCs w:val="22"/>
          <w:lang w:val="en-GB"/>
        </w:rPr>
        <w:t xml:space="preserve"> offices</w:t>
      </w:r>
      <w:r w:rsidR="002D34C7" w:rsidRPr="004A29F9">
        <w:rPr>
          <w:rFonts w:ascii="Times New Roman" w:hAnsi="Times New Roman" w:cs="Times New Roman"/>
          <w:sz w:val="22"/>
          <w:szCs w:val="22"/>
          <w:lang w:val="en-GB"/>
        </w:rPr>
        <w:t>.</w:t>
      </w:r>
      <w:r w:rsidR="002D34C7" w:rsidRPr="004A29F9">
        <w:rPr>
          <w:rStyle w:val="FootnoteReference"/>
          <w:rFonts w:ascii="Times New Roman" w:hAnsi="Times New Roman" w:cs="Times New Roman"/>
          <w:sz w:val="22"/>
          <w:szCs w:val="22"/>
          <w:lang w:val="en-GB"/>
        </w:rPr>
        <w:footnoteReference w:id="41"/>
      </w:r>
      <w:r w:rsidR="003002EF" w:rsidRPr="004A29F9">
        <w:rPr>
          <w:rFonts w:ascii="Times New Roman" w:hAnsi="Times New Roman" w:cs="Times New Roman"/>
          <w:sz w:val="22"/>
          <w:szCs w:val="22"/>
          <w:lang w:val="en-GB"/>
        </w:rPr>
        <w:t xml:space="preserve">Other funds have been or will be committed to </w:t>
      </w:r>
      <w:r w:rsidR="002D34C7" w:rsidRPr="004A29F9">
        <w:rPr>
          <w:rFonts w:ascii="Times New Roman" w:hAnsi="Times New Roman" w:cs="Times New Roman"/>
          <w:sz w:val="22"/>
          <w:szCs w:val="22"/>
          <w:lang w:val="en-GB"/>
        </w:rPr>
        <w:t xml:space="preserve">further develop administrative systems and </w:t>
      </w:r>
      <w:r w:rsidR="003002EF" w:rsidRPr="004A29F9">
        <w:rPr>
          <w:rFonts w:ascii="Times New Roman" w:hAnsi="Times New Roman" w:cs="Times New Roman"/>
          <w:sz w:val="22"/>
          <w:szCs w:val="22"/>
          <w:lang w:val="en-GB"/>
        </w:rPr>
        <w:t xml:space="preserve">internal </w:t>
      </w:r>
      <w:r w:rsidR="002D34C7" w:rsidRPr="004A29F9">
        <w:rPr>
          <w:rFonts w:ascii="Times New Roman" w:hAnsi="Times New Roman" w:cs="Times New Roman"/>
          <w:sz w:val="22"/>
          <w:szCs w:val="22"/>
          <w:lang w:val="en-GB"/>
        </w:rPr>
        <w:t xml:space="preserve">processes </w:t>
      </w:r>
      <w:r w:rsidR="003002EF" w:rsidRPr="004A29F9">
        <w:rPr>
          <w:rFonts w:ascii="Times New Roman" w:hAnsi="Times New Roman" w:cs="Times New Roman"/>
          <w:sz w:val="22"/>
          <w:szCs w:val="22"/>
          <w:lang w:val="en-GB"/>
        </w:rPr>
        <w:t>in order to increase</w:t>
      </w:r>
      <w:r w:rsidR="002D34C7" w:rsidRPr="004A29F9">
        <w:rPr>
          <w:rFonts w:ascii="Times New Roman" w:hAnsi="Times New Roman" w:cs="Times New Roman"/>
          <w:sz w:val="22"/>
          <w:szCs w:val="22"/>
          <w:lang w:val="en-GB"/>
        </w:rPr>
        <w:t xml:space="preserve"> the efficiency and responsiveness </w:t>
      </w:r>
      <w:r w:rsidR="003002EF" w:rsidRPr="004A29F9">
        <w:rPr>
          <w:rFonts w:ascii="Times New Roman" w:hAnsi="Times New Roman" w:cs="Times New Roman"/>
          <w:sz w:val="22"/>
          <w:szCs w:val="22"/>
          <w:lang w:val="en-GB"/>
        </w:rPr>
        <w:t>of justice sector institutions.</w:t>
      </w:r>
      <w:r w:rsidR="003002EF" w:rsidRPr="004A29F9">
        <w:rPr>
          <w:rStyle w:val="FootnoteReference"/>
          <w:rFonts w:ascii="Times New Roman" w:hAnsi="Times New Roman" w:cs="Times New Roman"/>
          <w:sz w:val="22"/>
          <w:szCs w:val="22"/>
          <w:lang w:val="en-GB"/>
        </w:rPr>
        <w:footnoteReference w:id="42"/>
      </w:r>
      <w:r w:rsidR="00FD3C19">
        <w:rPr>
          <w:rFonts w:ascii="Times New Roman" w:hAnsi="Times New Roman" w:cs="Times New Roman"/>
          <w:sz w:val="22"/>
          <w:szCs w:val="22"/>
          <w:lang w:val="en-GB"/>
        </w:rPr>
        <w:t xml:space="preserve"> </w:t>
      </w:r>
      <w:r w:rsidR="003002EF" w:rsidRPr="004A29F9">
        <w:rPr>
          <w:rFonts w:ascii="Times New Roman" w:hAnsi="Times New Roman" w:cs="Times New Roman"/>
          <w:sz w:val="22"/>
          <w:szCs w:val="22"/>
          <w:lang w:val="en-GB"/>
        </w:rPr>
        <w:t>T</w:t>
      </w:r>
      <w:r>
        <w:rPr>
          <w:rFonts w:ascii="Times New Roman" w:hAnsi="Times New Roman" w:cs="Times New Roman"/>
          <w:sz w:val="22"/>
          <w:szCs w:val="22"/>
          <w:lang w:val="en-GB"/>
        </w:rPr>
        <w:t>he government has also prioritis</w:t>
      </w:r>
      <w:r w:rsidR="003002EF" w:rsidRPr="004A29F9">
        <w:rPr>
          <w:rFonts w:ascii="Times New Roman" w:hAnsi="Times New Roman" w:cs="Times New Roman"/>
          <w:sz w:val="22"/>
          <w:szCs w:val="22"/>
          <w:lang w:val="en-GB"/>
        </w:rPr>
        <w:t>ed the creation</w:t>
      </w:r>
      <w:r w:rsidR="002D34C7" w:rsidRPr="004A29F9">
        <w:rPr>
          <w:rFonts w:ascii="Times New Roman" w:hAnsi="Times New Roman" w:cs="Times New Roman"/>
          <w:sz w:val="22"/>
          <w:szCs w:val="22"/>
          <w:lang w:val="en-GB"/>
        </w:rPr>
        <w:t xml:space="preserve"> of legal aid</w:t>
      </w:r>
      <w:r w:rsidR="003002EF" w:rsidRPr="004A29F9">
        <w:rPr>
          <w:rFonts w:ascii="Times New Roman" w:hAnsi="Times New Roman" w:cs="Times New Roman"/>
          <w:sz w:val="22"/>
          <w:szCs w:val="22"/>
          <w:lang w:val="en-GB"/>
        </w:rPr>
        <w:t xml:space="preserve"> mechanisms</w:t>
      </w:r>
      <w:r w:rsidR="00FD3C19">
        <w:rPr>
          <w:rFonts w:ascii="Times New Roman" w:hAnsi="Times New Roman" w:cs="Times New Roman"/>
          <w:sz w:val="22"/>
          <w:szCs w:val="22"/>
          <w:lang w:val="en-GB"/>
        </w:rPr>
        <w:t xml:space="preserve"> </w:t>
      </w:r>
      <w:r w:rsidR="003002EF" w:rsidRPr="004A29F9">
        <w:rPr>
          <w:rFonts w:ascii="Times New Roman" w:hAnsi="Times New Roman" w:cs="Times New Roman"/>
          <w:sz w:val="22"/>
          <w:szCs w:val="22"/>
          <w:lang w:val="en-GB"/>
        </w:rPr>
        <w:t>as well as mechanisms for ensuring that</w:t>
      </w:r>
      <w:r w:rsidR="002D34C7" w:rsidRPr="004A29F9">
        <w:rPr>
          <w:rFonts w:ascii="Times New Roman" w:hAnsi="Times New Roman" w:cs="Times New Roman"/>
          <w:sz w:val="22"/>
          <w:szCs w:val="22"/>
          <w:lang w:val="en-GB"/>
        </w:rPr>
        <w:t xml:space="preserve"> justice </w:t>
      </w:r>
      <w:r w:rsidR="003002EF" w:rsidRPr="004A29F9">
        <w:rPr>
          <w:rFonts w:ascii="Times New Roman" w:hAnsi="Times New Roman" w:cs="Times New Roman"/>
          <w:sz w:val="22"/>
          <w:szCs w:val="22"/>
          <w:lang w:val="en-GB"/>
        </w:rPr>
        <w:t>is administered in keeping with</w:t>
      </w:r>
      <w:r w:rsidR="002D34C7" w:rsidRPr="004A29F9">
        <w:rPr>
          <w:rFonts w:ascii="Times New Roman" w:hAnsi="Times New Roman" w:cs="Times New Roman"/>
          <w:sz w:val="22"/>
          <w:szCs w:val="22"/>
          <w:lang w:val="en-GB"/>
        </w:rPr>
        <w:t xml:space="preserve"> international human rights</w:t>
      </w:r>
      <w:r w:rsidR="00FD3C19">
        <w:rPr>
          <w:rFonts w:ascii="Times New Roman" w:hAnsi="Times New Roman" w:cs="Times New Roman"/>
          <w:sz w:val="22"/>
          <w:szCs w:val="22"/>
          <w:lang w:val="en-GB"/>
        </w:rPr>
        <w:t xml:space="preserve"> </w:t>
      </w:r>
      <w:r>
        <w:rPr>
          <w:rFonts w:ascii="Times New Roman" w:hAnsi="Times New Roman" w:cs="Times New Roman"/>
          <w:sz w:val="22"/>
          <w:szCs w:val="22"/>
          <w:lang w:val="en-GB"/>
        </w:rPr>
        <w:t xml:space="preserve">norms and </w:t>
      </w:r>
      <w:r w:rsidR="003002EF" w:rsidRPr="004A29F9">
        <w:rPr>
          <w:rFonts w:ascii="Times New Roman" w:hAnsi="Times New Roman" w:cs="Times New Roman"/>
          <w:sz w:val="22"/>
          <w:szCs w:val="22"/>
          <w:lang w:val="en-GB"/>
        </w:rPr>
        <w:t>standards</w:t>
      </w:r>
      <w:r w:rsidR="002D34C7" w:rsidRPr="004A29F9">
        <w:rPr>
          <w:rFonts w:ascii="Times New Roman" w:hAnsi="Times New Roman" w:cs="Times New Roman"/>
          <w:sz w:val="22"/>
          <w:szCs w:val="22"/>
          <w:lang w:val="en-GB"/>
        </w:rPr>
        <w:t>.</w:t>
      </w:r>
      <w:r w:rsidR="002D34C7" w:rsidRPr="004A29F9">
        <w:rPr>
          <w:rStyle w:val="FootnoteReference"/>
          <w:rFonts w:ascii="Times New Roman" w:hAnsi="Times New Roman" w:cs="Times New Roman"/>
          <w:sz w:val="22"/>
          <w:szCs w:val="22"/>
          <w:lang w:val="en-GB"/>
        </w:rPr>
        <w:footnoteReference w:id="43"/>
      </w:r>
      <w:r w:rsidR="00FD3C19">
        <w:rPr>
          <w:rFonts w:ascii="Times New Roman" w:hAnsi="Times New Roman" w:cs="Times New Roman"/>
          <w:sz w:val="22"/>
          <w:szCs w:val="22"/>
          <w:lang w:val="en-GB"/>
        </w:rPr>
        <w:t xml:space="preserve"> </w:t>
      </w:r>
      <w:r w:rsidR="003002EF" w:rsidRPr="004A29F9">
        <w:rPr>
          <w:rFonts w:ascii="Times New Roman" w:hAnsi="Times New Roman" w:cs="Times New Roman"/>
          <w:sz w:val="22"/>
          <w:szCs w:val="22"/>
          <w:lang w:val="en-GB"/>
        </w:rPr>
        <w:t>Finally, the government has worked with NGOs and the media to increase transparency, public outreach</w:t>
      </w:r>
      <w:r w:rsidR="008E53EC" w:rsidRPr="004A29F9">
        <w:rPr>
          <w:rFonts w:ascii="Times New Roman" w:hAnsi="Times New Roman" w:cs="Times New Roman"/>
          <w:sz w:val="22"/>
          <w:szCs w:val="22"/>
          <w:lang w:val="en-GB"/>
        </w:rPr>
        <w:t>, and human rights awareness.</w:t>
      </w:r>
      <w:r w:rsidR="002D34C7" w:rsidRPr="004A29F9">
        <w:rPr>
          <w:rStyle w:val="FootnoteReference"/>
          <w:rFonts w:ascii="Times New Roman" w:hAnsi="Times New Roman" w:cs="Times New Roman"/>
          <w:sz w:val="22"/>
          <w:szCs w:val="22"/>
          <w:lang w:val="en-GB"/>
        </w:rPr>
        <w:footnoteReference w:id="44"/>
      </w:r>
    </w:p>
    <w:p w:rsidR="00D60684" w:rsidRDefault="00D60684" w:rsidP="00FB6759">
      <w:pPr>
        <w:spacing w:after="0" w:line="240" w:lineRule="auto"/>
        <w:jc w:val="both"/>
        <w:rPr>
          <w:rFonts w:ascii="Times New Roman" w:hAnsi="Times New Roman" w:cs="Times New Roman"/>
          <w:sz w:val="22"/>
          <w:szCs w:val="22"/>
          <w:lang w:val="en-GB"/>
        </w:rPr>
      </w:pPr>
    </w:p>
    <w:p w:rsidR="00334A63" w:rsidRDefault="000F23A4"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The results of these and other early </w:t>
      </w:r>
      <w:r w:rsidR="00F97D80" w:rsidRPr="004A29F9">
        <w:rPr>
          <w:rFonts w:ascii="Times New Roman" w:hAnsi="Times New Roman" w:cs="Times New Roman"/>
          <w:sz w:val="22"/>
          <w:szCs w:val="22"/>
          <w:lang w:val="en-GB"/>
        </w:rPr>
        <w:t>efforts were</w:t>
      </w:r>
      <w:r w:rsidR="00D60684">
        <w:rPr>
          <w:rFonts w:ascii="Times New Roman" w:hAnsi="Times New Roman" w:cs="Times New Roman"/>
          <w:sz w:val="22"/>
          <w:szCs w:val="22"/>
          <w:lang w:val="en-GB"/>
        </w:rPr>
        <w:t xml:space="preserve"> tangible and measurable. </w:t>
      </w:r>
      <w:r w:rsidRPr="004A29F9">
        <w:rPr>
          <w:rFonts w:ascii="Times New Roman" w:hAnsi="Times New Roman" w:cs="Times New Roman"/>
          <w:sz w:val="22"/>
          <w:szCs w:val="22"/>
          <w:lang w:val="en-GB"/>
        </w:rPr>
        <w:t>For example, the number of investigation and criminal cases and the rate of disposed cases increased considerably in 2008 compared to the previous years.</w:t>
      </w:r>
      <w:r w:rsidRPr="004A29F9">
        <w:rPr>
          <w:rStyle w:val="FootnoteReference"/>
          <w:rFonts w:ascii="Times New Roman" w:hAnsi="Times New Roman" w:cs="Times New Roman"/>
          <w:sz w:val="22"/>
          <w:szCs w:val="22"/>
          <w:lang w:val="en-GB"/>
        </w:rPr>
        <w:footnoteReference w:id="45"/>
      </w:r>
      <w:r w:rsidR="00D60684">
        <w:rPr>
          <w:rFonts w:ascii="Times New Roman" w:hAnsi="Times New Roman" w:cs="Times New Roman"/>
          <w:sz w:val="22"/>
          <w:szCs w:val="22"/>
          <w:lang w:val="en-GB"/>
        </w:rPr>
        <w:t xml:space="preserve"> A</w:t>
      </w:r>
      <w:r w:rsidRPr="004A29F9">
        <w:rPr>
          <w:rFonts w:ascii="Times New Roman" w:hAnsi="Times New Roman" w:cs="Times New Roman"/>
          <w:sz w:val="22"/>
          <w:szCs w:val="22"/>
          <w:lang w:val="en-GB"/>
        </w:rPr>
        <w:t>ccord</w:t>
      </w:r>
      <w:r w:rsidR="00D60684">
        <w:rPr>
          <w:rFonts w:ascii="Times New Roman" w:hAnsi="Times New Roman" w:cs="Times New Roman"/>
          <w:sz w:val="22"/>
          <w:szCs w:val="22"/>
          <w:lang w:val="en-GB"/>
        </w:rPr>
        <w:t>ing to the HJC</w:t>
      </w:r>
      <w:r w:rsidRPr="004A29F9">
        <w:rPr>
          <w:rFonts w:ascii="Times New Roman" w:hAnsi="Times New Roman" w:cs="Times New Roman"/>
          <w:sz w:val="22"/>
          <w:szCs w:val="22"/>
          <w:lang w:val="en-GB"/>
        </w:rPr>
        <w:t>, trial-level courts adjudicated 67% more cases in 2009 than they did in the preceding year.</w:t>
      </w:r>
      <w:r w:rsidRPr="004A29F9">
        <w:rPr>
          <w:rStyle w:val="FootnoteReference"/>
          <w:rFonts w:ascii="Times New Roman" w:hAnsi="Times New Roman" w:cs="Times New Roman"/>
          <w:sz w:val="22"/>
          <w:szCs w:val="22"/>
          <w:lang w:val="en-GB"/>
        </w:rPr>
        <w:footnoteReference w:id="46"/>
      </w:r>
    </w:p>
    <w:p w:rsidR="00D60684" w:rsidRPr="004A29F9" w:rsidRDefault="00D60684" w:rsidP="00FB6759">
      <w:pPr>
        <w:spacing w:after="0" w:line="240" w:lineRule="auto"/>
        <w:jc w:val="both"/>
        <w:rPr>
          <w:rFonts w:ascii="Times New Roman" w:hAnsi="Times New Roman" w:cs="Times New Roman"/>
          <w:sz w:val="22"/>
          <w:szCs w:val="22"/>
          <w:lang w:val="en-GB"/>
        </w:rPr>
      </w:pPr>
    </w:p>
    <w:p w:rsidR="008E53EC" w:rsidRDefault="008E53EC"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After years of experience working within the confines of the challenges outlined above, and drawing on the le</w:t>
      </w:r>
      <w:r w:rsidR="000F23A4" w:rsidRPr="004A29F9">
        <w:rPr>
          <w:rFonts w:ascii="Times New Roman" w:hAnsi="Times New Roman" w:cs="Times New Roman"/>
          <w:sz w:val="22"/>
          <w:szCs w:val="22"/>
          <w:lang w:val="en-GB"/>
        </w:rPr>
        <w:t>ssons from the progress that had</w:t>
      </w:r>
      <w:r w:rsidRPr="004A29F9">
        <w:rPr>
          <w:rFonts w:ascii="Times New Roman" w:hAnsi="Times New Roman" w:cs="Times New Roman"/>
          <w:sz w:val="22"/>
          <w:szCs w:val="22"/>
          <w:lang w:val="en-GB"/>
        </w:rPr>
        <w:t xml:space="preserve"> already been made, the PNA was ready to move forward into a new stage of development </w:t>
      </w:r>
      <w:r w:rsidR="00D60684">
        <w:rPr>
          <w:rFonts w:ascii="Times New Roman" w:hAnsi="Times New Roman" w:cs="Times New Roman"/>
          <w:sz w:val="22"/>
          <w:szCs w:val="22"/>
          <w:lang w:val="en-GB"/>
        </w:rPr>
        <w:t xml:space="preserve">of the justice sector. </w:t>
      </w:r>
      <w:r w:rsidRPr="004A29F9">
        <w:rPr>
          <w:rFonts w:ascii="Times New Roman" w:hAnsi="Times New Roman" w:cs="Times New Roman"/>
          <w:sz w:val="22"/>
          <w:szCs w:val="22"/>
          <w:lang w:val="en-GB"/>
        </w:rPr>
        <w:t xml:space="preserve">To that end, the </w:t>
      </w:r>
      <w:r w:rsidR="00055E37">
        <w:rPr>
          <w:rFonts w:ascii="Times New Roman" w:hAnsi="Times New Roman" w:cs="Times New Roman"/>
          <w:sz w:val="22"/>
          <w:szCs w:val="22"/>
          <w:lang w:val="en-GB"/>
        </w:rPr>
        <w:t xml:space="preserve">2011-2013 </w:t>
      </w:r>
      <w:r w:rsidRPr="004A29F9">
        <w:rPr>
          <w:rFonts w:ascii="Times New Roman" w:hAnsi="Times New Roman" w:cs="Times New Roman"/>
          <w:sz w:val="22"/>
          <w:szCs w:val="22"/>
          <w:lang w:val="en-GB"/>
        </w:rPr>
        <w:t xml:space="preserve">Justice and Rule of </w:t>
      </w:r>
      <w:r w:rsidR="00055E37">
        <w:rPr>
          <w:rFonts w:ascii="Times New Roman" w:hAnsi="Times New Roman" w:cs="Times New Roman"/>
          <w:sz w:val="22"/>
          <w:szCs w:val="22"/>
          <w:lang w:val="en-GB"/>
        </w:rPr>
        <w:t xml:space="preserve">Law National Strategy </w:t>
      </w:r>
      <w:r w:rsidRPr="004A29F9">
        <w:rPr>
          <w:rFonts w:ascii="Times New Roman" w:hAnsi="Times New Roman" w:cs="Times New Roman"/>
          <w:sz w:val="22"/>
          <w:szCs w:val="22"/>
          <w:lang w:val="en-GB"/>
        </w:rPr>
        <w:t xml:space="preserve">identified four broad strategic goals </w:t>
      </w:r>
      <w:r w:rsidR="000F23A4" w:rsidRPr="004A29F9">
        <w:rPr>
          <w:rFonts w:ascii="Times New Roman" w:hAnsi="Times New Roman" w:cs="Times New Roman"/>
          <w:sz w:val="22"/>
          <w:szCs w:val="22"/>
          <w:lang w:val="en-GB"/>
        </w:rPr>
        <w:t xml:space="preserve">to be pursued in </w:t>
      </w:r>
      <w:r w:rsidRPr="004A29F9">
        <w:rPr>
          <w:rFonts w:ascii="Times New Roman" w:hAnsi="Times New Roman" w:cs="Times New Roman"/>
          <w:sz w:val="22"/>
          <w:szCs w:val="22"/>
          <w:lang w:val="en-GB"/>
        </w:rPr>
        <w:t xml:space="preserve">roughly the same time period as the </w:t>
      </w:r>
      <w:r w:rsidR="00055E37">
        <w:rPr>
          <w:rFonts w:ascii="Times New Roman" w:hAnsi="Times New Roman" w:cs="Times New Roman"/>
          <w:sz w:val="22"/>
          <w:szCs w:val="22"/>
          <w:lang w:val="en-GB"/>
        </w:rPr>
        <w:t>p</w:t>
      </w:r>
      <w:r w:rsidR="00F31A20" w:rsidRPr="004A29F9">
        <w:rPr>
          <w:rFonts w:ascii="Times New Roman" w:hAnsi="Times New Roman" w:cs="Times New Roman"/>
          <w:sz w:val="22"/>
          <w:szCs w:val="22"/>
          <w:lang w:val="en-GB"/>
        </w:rPr>
        <w:t>rogramme</w:t>
      </w:r>
      <w:r w:rsidRPr="004A29F9">
        <w:rPr>
          <w:rFonts w:ascii="Times New Roman" w:hAnsi="Times New Roman" w:cs="Times New Roman"/>
          <w:sz w:val="22"/>
          <w:szCs w:val="22"/>
          <w:lang w:val="en-GB"/>
        </w:rPr>
        <w:t>:</w:t>
      </w:r>
    </w:p>
    <w:p w:rsidR="00D60684" w:rsidRPr="004A29F9" w:rsidRDefault="00D60684" w:rsidP="00FB6759">
      <w:pPr>
        <w:spacing w:after="0" w:line="240" w:lineRule="auto"/>
        <w:jc w:val="both"/>
        <w:rPr>
          <w:rFonts w:ascii="Times New Roman" w:hAnsi="Times New Roman" w:cs="Times New Roman"/>
          <w:sz w:val="22"/>
          <w:szCs w:val="22"/>
          <w:lang w:val="en-GB"/>
        </w:rPr>
      </w:pPr>
    </w:p>
    <w:p w:rsidR="008E53EC" w:rsidRPr="004A29F9" w:rsidRDefault="008E53EC" w:rsidP="00FB6759">
      <w:pPr>
        <w:pStyle w:val="ListParagraph"/>
        <w:numPr>
          <w:ilvl w:val="0"/>
          <w:numId w:val="4"/>
        </w:numPr>
        <w:spacing w:after="0" w:line="240" w:lineRule="auto"/>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Ensuring respect for human rights, fundamental freedoms and r</w:t>
      </w:r>
      <w:r w:rsidR="00055E37">
        <w:rPr>
          <w:rFonts w:ascii="Times New Roman" w:hAnsi="Times New Roman" w:cs="Times New Roman"/>
          <w:sz w:val="22"/>
          <w:szCs w:val="22"/>
          <w:lang w:val="en-GB"/>
        </w:rPr>
        <w:t>ule of law;</w:t>
      </w:r>
    </w:p>
    <w:p w:rsidR="008E53EC" w:rsidRPr="004A29F9" w:rsidRDefault="00055E37" w:rsidP="00FB6759">
      <w:pPr>
        <w:pStyle w:val="ListParagraph"/>
        <w:numPr>
          <w:ilvl w:val="0"/>
          <w:numId w:val="4"/>
        </w:numPr>
        <w:spacing w:after="0" w:line="240" w:lineRule="auto"/>
        <w:contextualSpacing/>
        <w:jc w:val="both"/>
        <w:rPr>
          <w:rFonts w:ascii="Times New Roman" w:hAnsi="Times New Roman" w:cs="Times New Roman"/>
          <w:sz w:val="22"/>
          <w:szCs w:val="22"/>
          <w:lang w:val="en-GB"/>
        </w:rPr>
      </w:pPr>
      <w:r>
        <w:rPr>
          <w:rFonts w:ascii="Times New Roman" w:hAnsi="Times New Roman" w:cs="Times New Roman"/>
          <w:sz w:val="22"/>
          <w:szCs w:val="22"/>
          <w:lang w:val="en-GB"/>
        </w:rPr>
        <w:t>Ensuring fair trials;</w:t>
      </w:r>
    </w:p>
    <w:p w:rsidR="008E53EC" w:rsidRPr="004A29F9" w:rsidRDefault="008E53EC" w:rsidP="00FB6759">
      <w:pPr>
        <w:pStyle w:val="ListParagraph"/>
        <w:numPr>
          <w:ilvl w:val="0"/>
          <w:numId w:val="4"/>
        </w:numPr>
        <w:spacing w:after="0" w:line="240" w:lineRule="auto"/>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Supporting, developing, and enhanc</w:t>
      </w:r>
      <w:r w:rsidR="00055E37">
        <w:rPr>
          <w:rFonts w:ascii="Times New Roman" w:hAnsi="Times New Roman" w:cs="Times New Roman"/>
          <w:sz w:val="22"/>
          <w:szCs w:val="22"/>
          <w:lang w:val="en-GB"/>
        </w:rPr>
        <w:t>ing justice sector institutions; and</w:t>
      </w:r>
    </w:p>
    <w:p w:rsidR="00A72EE2" w:rsidRPr="004A29F9" w:rsidRDefault="008E53EC" w:rsidP="00FB6759">
      <w:pPr>
        <w:pStyle w:val="ListParagraph"/>
        <w:numPr>
          <w:ilvl w:val="0"/>
          <w:numId w:val="4"/>
        </w:numPr>
        <w:spacing w:after="0" w:line="240" w:lineRule="auto"/>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Deve</w:t>
      </w:r>
      <w:r w:rsidR="00055E37">
        <w:rPr>
          <w:rFonts w:ascii="Times New Roman" w:hAnsi="Times New Roman" w:cs="Times New Roman"/>
          <w:sz w:val="22"/>
          <w:szCs w:val="22"/>
          <w:lang w:val="en-GB"/>
        </w:rPr>
        <w:t>loping, harmonising and modernis</w:t>
      </w:r>
      <w:r w:rsidRPr="004A29F9">
        <w:rPr>
          <w:rFonts w:ascii="Times New Roman" w:hAnsi="Times New Roman" w:cs="Times New Roman"/>
          <w:sz w:val="22"/>
          <w:szCs w:val="22"/>
          <w:lang w:val="en-GB"/>
        </w:rPr>
        <w:t>ing legislation.</w:t>
      </w:r>
      <w:r w:rsidRPr="004A29F9">
        <w:rPr>
          <w:rStyle w:val="FootnoteReference"/>
          <w:rFonts w:ascii="Times New Roman" w:hAnsi="Times New Roman" w:cs="Times New Roman"/>
          <w:sz w:val="22"/>
          <w:szCs w:val="22"/>
          <w:lang w:val="en-GB"/>
        </w:rPr>
        <w:footnoteReference w:id="47"/>
      </w:r>
    </w:p>
    <w:p w:rsidR="00D60684" w:rsidRDefault="00D60684" w:rsidP="00FB6759">
      <w:pPr>
        <w:spacing w:after="0" w:line="240" w:lineRule="auto"/>
        <w:jc w:val="both"/>
        <w:rPr>
          <w:rFonts w:ascii="Times New Roman" w:hAnsi="Times New Roman" w:cs="Times New Roman"/>
          <w:sz w:val="22"/>
          <w:szCs w:val="22"/>
          <w:lang w:val="en-GB"/>
        </w:rPr>
      </w:pPr>
    </w:p>
    <w:p w:rsidR="00783B04" w:rsidRPr="004A29F9" w:rsidRDefault="00041AD7"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These goals are broadly in keeping with the comparative advantage</w:t>
      </w:r>
      <w:r w:rsidR="000F23A4" w:rsidRPr="004A29F9">
        <w:rPr>
          <w:rFonts w:ascii="Times New Roman" w:hAnsi="Times New Roman" w:cs="Times New Roman"/>
          <w:sz w:val="22"/>
          <w:szCs w:val="22"/>
          <w:lang w:val="en-GB"/>
        </w:rPr>
        <w:t>s</w:t>
      </w:r>
      <w:r w:rsidRPr="004A29F9">
        <w:rPr>
          <w:rFonts w:ascii="Times New Roman" w:hAnsi="Times New Roman" w:cs="Times New Roman"/>
          <w:sz w:val="22"/>
          <w:szCs w:val="22"/>
          <w:lang w:val="en-GB"/>
        </w:rPr>
        <w:t xml:space="preserve"> of the UN</w:t>
      </w:r>
      <w:r w:rsidR="00055E37">
        <w:rPr>
          <w:rFonts w:ascii="Times New Roman" w:hAnsi="Times New Roman" w:cs="Times New Roman"/>
          <w:sz w:val="22"/>
          <w:szCs w:val="22"/>
          <w:lang w:val="en-GB"/>
        </w:rPr>
        <w:t>DP</w:t>
      </w:r>
      <w:r w:rsidRPr="004A29F9">
        <w:rPr>
          <w:rFonts w:ascii="Times New Roman" w:hAnsi="Times New Roman" w:cs="Times New Roman"/>
          <w:sz w:val="22"/>
          <w:szCs w:val="22"/>
          <w:lang w:val="en-GB"/>
        </w:rPr>
        <w:t xml:space="preserve"> with regards to developme</w:t>
      </w:r>
      <w:r w:rsidR="00055E37">
        <w:rPr>
          <w:rFonts w:ascii="Times New Roman" w:hAnsi="Times New Roman" w:cs="Times New Roman"/>
          <w:sz w:val="22"/>
          <w:szCs w:val="22"/>
          <w:lang w:val="en-GB"/>
        </w:rPr>
        <w:t xml:space="preserve">nt in the rule of law context. Indeed, </w:t>
      </w:r>
      <w:r w:rsidR="003002EF" w:rsidRPr="004A29F9">
        <w:rPr>
          <w:rFonts w:ascii="Times New Roman" w:hAnsi="Times New Roman" w:cs="Times New Roman"/>
          <w:sz w:val="22"/>
          <w:szCs w:val="22"/>
          <w:lang w:val="en-GB"/>
        </w:rPr>
        <w:t xml:space="preserve">UNDP was not absent from the justice sector reform </w:t>
      </w:r>
      <w:r w:rsidR="008E53EC" w:rsidRPr="004A29F9">
        <w:rPr>
          <w:rFonts w:ascii="Times New Roman" w:hAnsi="Times New Roman" w:cs="Times New Roman"/>
          <w:sz w:val="22"/>
          <w:szCs w:val="22"/>
          <w:lang w:val="en-GB"/>
        </w:rPr>
        <w:t>ef</w:t>
      </w:r>
      <w:r w:rsidR="00055E37">
        <w:rPr>
          <w:rFonts w:ascii="Times New Roman" w:hAnsi="Times New Roman" w:cs="Times New Roman"/>
          <w:sz w:val="22"/>
          <w:szCs w:val="22"/>
          <w:lang w:val="en-GB"/>
        </w:rPr>
        <w:t xml:space="preserve">forts even in the early years. </w:t>
      </w:r>
      <w:r w:rsidR="008E53EC" w:rsidRPr="004A29F9">
        <w:rPr>
          <w:rFonts w:ascii="Times New Roman" w:hAnsi="Times New Roman" w:cs="Times New Roman"/>
          <w:sz w:val="22"/>
          <w:szCs w:val="22"/>
          <w:lang w:val="en-GB"/>
        </w:rPr>
        <w:t>As early as</w:t>
      </w:r>
      <w:r w:rsidR="00592464" w:rsidRPr="004A29F9">
        <w:rPr>
          <w:rFonts w:ascii="Times New Roman" w:hAnsi="Times New Roman" w:cs="Times New Roman"/>
          <w:sz w:val="22"/>
          <w:szCs w:val="22"/>
          <w:lang w:val="en-GB"/>
        </w:rPr>
        <w:t xml:space="preserve"> 2004, UNDP/</w:t>
      </w:r>
      <w:r w:rsidR="000C369C" w:rsidRPr="004A29F9">
        <w:rPr>
          <w:rFonts w:ascii="Times New Roman" w:hAnsi="Times New Roman" w:cs="Times New Roman"/>
          <w:sz w:val="22"/>
          <w:szCs w:val="22"/>
          <w:lang w:val="en-GB"/>
        </w:rPr>
        <w:t>PAPP</w:t>
      </w:r>
      <w:r w:rsidR="00592464" w:rsidRPr="004A29F9">
        <w:rPr>
          <w:rFonts w:ascii="Times New Roman" w:hAnsi="Times New Roman" w:cs="Times New Roman"/>
          <w:sz w:val="22"/>
          <w:szCs w:val="22"/>
          <w:lang w:val="en-GB"/>
        </w:rPr>
        <w:t xml:space="preserve"> worke</w:t>
      </w:r>
      <w:r w:rsidR="00055E37">
        <w:rPr>
          <w:rFonts w:ascii="Times New Roman" w:hAnsi="Times New Roman" w:cs="Times New Roman"/>
          <w:sz w:val="22"/>
          <w:szCs w:val="22"/>
          <w:lang w:val="en-GB"/>
        </w:rPr>
        <w:t>d with the PNA</w:t>
      </w:r>
      <w:r w:rsidR="00592464" w:rsidRPr="004A29F9">
        <w:rPr>
          <w:rFonts w:ascii="Times New Roman" w:hAnsi="Times New Roman" w:cs="Times New Roman"/>
          <w:sz w:val="22"/>
          <w:szCs w:val="22"/>
          <w:lang w:val="en-GB"/>
        </w:rPr>
        <w:t xml:space="preserve"> to improve </w:t>
      </w:r>
      <w:r w:rsidR="008E53EC" w:rsidRPr="004A29F9">
        <w:rPr>
          <w:rFonts w:ascii="Times New Roman" w:hAnsi="Times New Roman" w:cs="Times New Roman"/>
          <w:sz w:val="22"/>
          <w:szCs w:val="22"/>
          <w:lang w:val="en-GB"/>
        </w:rPr>
        <w:t>the quality of the</w:t>
      </w:r>
      <w:r w:rsidR="00592464" w:rsidRPr="004A29F9">
        <w:rPr>
          <w:rFonts w:ascii="Times New Roman" w:hAnsi="Times New Roman" w:cs="Times New Roman"/>
          <w:sz w:val="22"/>
          <w:szCs w:val="22"/>
          <w:lang w:val="en-GB"/>
        </w:rPr>
        <w:t xml:space="preserve"> justice system, with a focus on developing the institutional capac</w:t>
      </w:r>
      <w:r w:rsidR="00055E37">
        <w:rPr>
          <w:rFonts w:ascii="Times New Roman" w:hAnsi="Times New Roman" w:cs="Times New Roman"/>
          <w:sz w:val="22"/>
          <w:szCs w:val="22"/>
          <w:lang w:val="en-GB"/>
        </w:rPr>
        <w:t>ity of the HJC</w:t>
      </w:r>
      <w:r w:rsidR="00592464" w:rsidRPr="004A29F9">
        <w:rPr>
          <w:rFonts w:ascii="Times New Roman" w:hAnsi="Times New Roman" w:cs="Times New Roman"/>
          <w:sz w:val="22"/>
          <w:szCs w:val="22"/>
          <w:lang w:val="en-GB"/>
        </w:rPr>
        <w:t xml:space="preserve"> a</w:t>
      </w:r>
      <w:r w:rsidR="00055E37">
        <w:rPr>
          <w:rFonts w:ascii="Times New Roman" w:hAnsi="Times New Roman" w:cs="Times New Roman"/>
          <w:sz w:val="22"/>
          <w:szCs w:val="22"/>
          <w:lang w:val="en-GB"/>
        </w:rPr>
        <w:t>nd the AGO</w:t>
      </w:r>
      <w:r w:rsidR="00592464" w:rsidRPr="004A29F9">
        <w:rPr>
          <w:rFonts w:ascii="Times New Roman" w:hAnsi="Times New Roman" w:cs="Times New Roman"/>
          <w:sz w:val="22"/>
          <w:szCs w:val="22"/>
          <w:lang w:val="en-GB"/>
        </w:rPr>
        <w:t>.</w:t>
      </w:r>
      <w:r w:rsidR="00592464" w:rsidRPr="004A29F9">
        <w:rPr>
          <w:rStyle w:val="FootnoteReference"/>
          <w:rFonts w:ascii="Times New Roman" w:hAnsi="Times New Roman" w:cs="Times New Roman"/>
          <w:sz w:val="22"/>
          <w:szCs w:val="22"/>
          <w:lang w:val="en-GB"/>
        </w:rPr>
        <w:footnoteReference w:id="48"/>
      </w:r>
    </w:p>
    <w:p w:rsidR="00D60684" w:rsidRDefault="00D60684" w:rsidP="00FB6759">
      <w:pPr>
        <w:pStyle w:val="Heading1"/>
        <w:spacing w:after="0" w:line="240" w:lineRule="auto"/>
        <w:rPr>
          <w:rFonts w:ascii="Times New Roman" w:hAnsi="Times New Roman" w:cs="Times New Roman"/>
          <w:sz w:val="22"/>
          <w:szCs w:val="22"/>
          <w:lang w:val="en-GB"/>
        </w:rPr>
      </w:pPr>
      <w:bookmarkStart w:id="13" w:name="_Toc231801797"/>
    </w:p>
    <w:p w:rsidR="0023683A" w:rsidRPr="004A29F9" w:rsidRDefault="009433D0" w:rsidP="00FB6759">
      <w:pPr>
        <w:pStyle w:val="Heading1"/>
        <w:spacing w:after="0" w:line="240" w:lineRule="auto"/>
        <w:rPr>
          <w:rFonts w:ascii="Times New Roman" w:hAnsi="Times New Roman" w:cs="Times New Roman"/>
          <w:sz w:val="22"/>
          <w:szCs w:val="22"/>
          <w:lang w:val="en-GB"/>
        </w:rPr>
      </w:pPr>
      <w:r>
        <w:rPr>
          <w:rFonts w:ascii="Times New Roman" w:hAnsi="Times New Roman" w:cs="Times New Roman"/>
          <w:sz w:val="22"/>
          <w:szCs w:val="22"/>
          <w:lang w:val="en-GB"/>
        </w:rPr>
        <w:t>Overview of UNDP</w:t>
      </w:r>
      <w:r w:rsidR="00F97D80" w:rsidRPr="004A29F9">
        <w:rPr>
          <w:rFonts w:ascii="Times New Roman" w:hAnsi="Times New Roman" w:cs="Times New Roman"/>
          <w:sz w:val="22"/>
          <w:szCs w:val="22"/>
          <w:lang w:val="en-GB"/>
        </w:rPr>
        <w:t xml:space="preserve"> Rule </w:t>
      </w:r>
      <w:r w:rsidR="0023683A" w:rsidRPr="004A29F9">
        <w:rPr>
          <w:rFonts w:ascii="Times New Roman" w:hAnsi="Times New Roman" w:cs="Times New Roman"/>
          <w:sz w:val="22"/>
          <w:szCs w:val="22"/>
          <w:lang w:val="en-GB"/>
        </w:rPr>
        <w:t>of Law &amp; Access to Justice Programme</w:t>
      </w:r>
      <w:bookmarkEnd w:id="13"/>
      <w:r>
        <w:rPr>
          <w:rFonts w:ascii="Times New Roman" w:hAnsi="Times New Roman" w:cs="Times New Roman"/>
          <w:sz w:val="22"/>
          <w:szCs w:val="22"/>
          <w:lang w:val="en-GB"/>
        </w:rPr>
        <w:t xml:space="preserve"> in the oPt</w:t>
      </w:r>
    </w:p>
    <w:p w:rsidR="00D60684" w:rsidRDefault="00D60684" w:rsidP="00FB6759">
      <w:pPr>
        <w:spacing w:after="0" w:line="240" w:lineRule="auto"/>
        <w:jc w:val="both"/>
        <w:rPr>
          <w:rFonts w:ascii="Times New Roman" w:hAnsi="Times New Roman" w:cs="Times New Roman"/>
          <w:sz w:val="22"/>
          <w:szCs w:val="22"/>
          <w:lang w:val="en-GB"/>
        </w:rPr>
      </w:pPr>
    </w:p>
    <w:p w:rsidR="003736AF" w:rsidRPr="004A29F9" w:rsidRDefault="00671601"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Against this background, i</w:t>
      </w:r>
      <w:r w:rsidR="00055E37">
        <w:rPr>
          <w:rFonts w:ascii="Times New Roman" w:hAnsi="Times New Roman" w:cs="Times New Roman"/>
          <w:sz w:val="22"/>
          <w:szCs w:val="22"/>
          <w:lang w:val="en-GB"/>
        </w:rPr>
        <w:t>n 2009, a mission of the UNDP/BCPR</w:t>
      </w:r>
      <w:r w:rsidR="00FD3C19">
        <w:rPr>
          <w:rFonts w:ascii="Times New Roman" w:hAnsi="Times New Roman" w:cs="Times New Roman"/>
          <w:sz w:val="22"/>
          <w:szCs w:val="22"/>
          <w:lang w:val="en-GB"/>
        </w:rPr>
        <w:t xml:space="preserve"> </w:t>
      </w:r>
      <w:r w:rsidR="003736AF" w:rsidRPr="004A29F9">
        <w:rPr>
          <w:rFonts w:ascii="Times New Roman" w:hAnsi="Times New Roman" w:cs="Times New Roman"/>
          <w:sz w:val="22"/>
          <w:szCs w:val="22"/>
          <w:lang w:val="en-GB"/>
        </w:rPr>
        <w:t>recommended that UNDP/</w:t>
      </w:r>
      <w:r w:rsidR="000C369C" w:rsidRPr="004A29F9">
        <w:rPr>
          <w:rFonts w:ascii="Times New Roman" w:hAnsi="Times New Roman" w:cs="Times New Roman"/>
          <w:sz w:val="22"/>
          <w:szCs w:val="22"/>
          <w:lang w:val="en-GB"/>
        </w:rPr>
        <w:t>PAPP</w:t>
      </w:r>
      <w:r w:rsidR="003736AF" w:rsidRPr="004A29F9">
        <w:rPr>
          <w:rFonts w:ascii="Times New Roman" w:hAnsi="Times New Roman" w:cs="Times New Roman"/>
          <w:sz w:val="22"/>
          <w:szCs w:val="22"/>
          <w:lang w:val="en-GB"/>
        </w:rPr>
        <w:t xml:space="preserve"> implement a more comprehensive programme for the justice sector through significant and substantive changes in the scope, structure </w:t>
      </w:r>
      <w:r w:rsidR="00055E37">
        <w:rPr>
          <w:rFonts w:ascii="Times New Roman" w:hAnsi="Times New Roman" w:cs="Times New Roman"/>
          <w:sz w:val="22"/>
          <w:szCs w:val="22"/>
          <w:lang w:val="en-GB"/>
        </w:rPr>
        <w:t xml:space="preserve">and size of its interventions. To that end, UNDP/PAPP’s </w:t>
      </w:r>
      <w:r w:rsidR="00D531B8" w:rsidRPr="004A29F9">
        <w:rPr>
          <w:rFonts w:ascii="Times New Roman" w:hAnsi="Times New Roman" w:cs="Times New Roman"/>
          <w:sz w:val="22"/>
          <w:szCs w:val="22"/>
          <w:lang w:val="en-GB"/>
        </w:rPr>
        <w:t xml:space="preserve">Rule of Law &amp; Access to Justice Programme was </w:t>
      </w:r>
      <w:r w:rsidR="003055AB" w:rsidRPr="004A29F9">
        <w:rPr>
          <w:rFonts w:ascii="Times New Roman" w:hAnsi="Times New Roman" w:cs="Times New Roman"/>
          <w:sz w:val="22"/>
          <w:szCs w:val="22"/>
          <w:lang w:val="en-GB"/>
        </w:rPr>
        <w:t xml:space="preserve">put in place with the explicit goal of </w:t>
      </w:r>
      <w:r w:rsidR="003055AB" w:rsidRPr="004A29F9">
        <w:rPr>
          <w:rFonts w:ascii="Times New Roman" w:hAnsi="Times New Roman" w:cs="Times New Roman"/>
          <w:b/>
          <w:sz w:val="22"/>
          <w:szCs w:val="22"/>
          <w:lang w:val="en-GB"/>
        </w:rPr>
        <w:t>strengthening</w:t>
      </w:r>
      <w:r w:rsidR="008153B9" w:rsidRPr="004A29F9">
        <w:rPr>
          <w:rFonts w:ascii="Times New Roman" w:hAnsi="Times New Roman" w:cs="Times New Roman"/>
          <w:b/>
          <w:sz w:val="22"/>
          <w:szCs w:val="22"/>
          <w:lang w:val="en-GB"/>
        </w:rPr>
        <w:t xml:space="preserve"> the</w:t>
      </w:r>
      <w:r w:rsidR="003055AB" w:rsidRPr="004A29F9">
        <w:rPr>
          <w:rFonts w:ascii="Times New Roman" w:hAnsi="Times New Roman" w:cs="Times New Roman"/>
          <w:b/>
          <w:sz w:val="22"/>
          <w:szCs w:val="22"/>
          <w:lang w:val="en-GB"/>
        </w:rPr>
        <w:t xml:space="preserve"> institutional capacity of the Palestinian justice system to uphold the rule of law and improv</w:t>
      </w:r>
      <w:r w:rsidR="008153B9" w:rsidRPr="004A29F9">
        <w:rPr>
          <w:rFonts w:ascii="Times New Roman" w:hAnsi="Times New Roman" w:cs="Times New Roman"/>
          <w:b/>
          <w:sz w:val="22"/>
          <w:szCs w:val="22"/>
          <w:lang w:val="en-GB"/>
        </w:rPr>
        <w:t>ing</w:t>
      </w:r>
      <w:r w:rsidR="003055AB" w:rsidRPr="004A29F9">
        <w:rPr>
          <w:rFonts w:ascii="Times New Roman" w:hAnsi="Times New Roman" w:cs="Times New Roman"/>
          <w:b/>
          <w:sz w:val="22"/>
          <w:szCs w:val="22"/>
          <w:lang w:val="en-GB"/>
        </w:rPr>
        <w:t xml:space="preserve"> access to justice through legal empowerment of the poor and disadvantaged</w:t>
      </w:r>
      <w:r w:rsidR="003055AB" w:rsidRPr="004A29F9">
        <w:rPr>
          <w:rFonts w:ascii="Times New Roman" w:hAnsi="Times New Roman" w:cs="Times New Roman"/>
          <w:sz w:val="22"/>
          <w:szCs w:val="22"/>
          <w:lang w:val="en-GB"/>
        </w:rPr>
        <w:t>.</w:t>
      </w:r>
      <w:r w:rsidR="003055AB" w:rsidRPr="004A29F9">
        <w:rPr>
          <w:rStyle w:val="FootnoteReference"/>
          <w:rFonts w:ascii="Times New Roman" w:hAnsi="Times New Roman" w:cs="Times New Roman"/>
          <w:sz w:val="22"/>
          <w:szCs w:val="22"/>
          <w:lang w:val="en-GB"/>
        </w:rPr>
        <w:footnoteReference w:id="49"/>
      </w:r>
      <w:r w:rsidR="003055AB" w:rsidRPr="004A29F9">
        <w:rPr>
          <w:rFonts w:ascii="Times New Roman" w:hAnsi="Times New Roman" w:cs="Times New Roman"/>
          <w:sz w:val="22"/>
          <w:szCs w:val="22"/>
          <w:lang w:val="en-GB"/>
        </w:rPr>
        <w:t xml:space="preserve"> This was to be done by increasing </w:t>
      </w:r>
      <w:r w:rsidR="00D531B8" w:rsidRPr="004A29F9">
        <w:rPr>
          <w:rFonts w:ascii="Times New Roman" w:hAnsi="Times New Roman" w:cs="Times New Roman"/>
          <w:sz w:val="22"/>
          <w:szCs w:val="22"/>
          <w:lang w:val="en-GB"/>
        </w:rPr>
        <w:t xml:space="preserve">both </w:t>
      </w:r>
      <w:r w:rsidR="00D531B8" w:rsidRPr="004A29F9">
        <w:rPr>
          <w:rFonts w:ascii="Times New Roman" w:hAnsi="Times New Roman" w:cs="Times New Roman"/>
          <w:sz w:val="22"/>
          <w:szCs w:val="22"/>
          <w:lang w:val="en-GB"/>
        </w:rPr>
        <w:lastRenderedPageBreak/>
        <w:t xml:space="preserve">the </w:t>
      </w:r>
      <w:r w:rsidR="00F97D80" w:rsidRPr="004A29F9">
        <w:rPr>
          <w:rFonts w:ascii="Times New Roman" w:hAnsi="Times New Roman" w:cs="Times New Roman"/>
          <w:i/>
          <w:sz w:val="22"/>
          <w:szCs w:val="22"/>
          <w:lang w:val="en-GB"/>
        </w:rPr>
        <w:t>supply of</w:t>
      </w:r>
      <w:r w:rsidR="00F97D80" w:rsidRPr="004A29F9">
        <w:rPr>
          <w:rFonts w:ascii="Times New Roman" w:hAnsi="Times New Roman" w:cs="Times New Roman"/>
          <w:sz w:val="22"/>
          <w:szCs w:val="22"/>
          <w:lang w:val="en-GB"/>
        </w:rPr>
        <w:t xml:space="preserve"> and </w:t>
      </w:r>
      <w:r w:rsidR="00F97D80" w:rsidRPr="004A29F9">
        <w:rPr>
          <w:rFonts w:ascii="Times New Roman" w:hAnsi="Times New Roman" w:cs="Times New Roman"/>
          <w:i/>
          <w:sz w:val="22"/>
          <w:szCs w:val="22"/>
          <w:lang w:val="en-GB"/>
        </w:rPr>
        <w:t>demand for</w:t>
      </w:r>
      <w:r w:rsidR="00F97D80" w:rsidRPr="004A29F9">
        <w:rPr>
          <w:rFonts w:ascii="Times New Roman" w:hAnsi="Times New Roman" w:cs="Times New Roman"/>
          <w:sz w:val="22"/>
          <w:szCs w:val="22"/>
          <w:lang w:val="en-GB"/>
        </w:rPr>
        <w:t xml:space="preserve"> formal </w:t>
      </w:r>
      <w:r w:rsidR="00D531B8" w:rsidRPr="004A29F9">
        <w:rPr>
          <w:rFonts w:ascii="Times New Roman" w:hAnsi="Times New Roman" w:cs="Times New Roman"/>
          <w:sz w:val="22"/>
          <w:szCs w:val="22"/>
          <w:lang w:val="en-GB"/>
        </w:rPr>
        <w:t xml:space="preserve">justice by extending support for institutional capacity development to the main Palestinian justice sector institutions and by putting in place a comprehensive access to justice strategy engaging actors at all levels, including </w:t>
      </w:r>
      <w:r w:rsidR="00055E37">
        <w:rPr>
          <w:rFonts w:ascii="Times New Roman" w:hAnsi="Times New Roman" w:cs="Times New Roman"/>
          <w:sz w:val="22"/>
          <w:szCs w:val="22"/>
          <w:lang w:val="en-GB"/>
        </w:rPr>
        <w:t>the P</w:t>
      </w:r>
      <w:r w:rsidR="00CA063A" w:rsidRPr="004A29F9">
        <w:rPr>
          <w:rFonts w:ascii="Times New Roman" w:hAnsi="Times New Roman" w:cs="Times New Roman"/>
          <w:sz w:val="22"/>
          <w:szCs w:val="22"/>
          <w:lang w:val="en-GB"/>
        </w:rPr>
        <w:t>BA,</w:t>
      </w:r>
      <w:r w:rsidR="006222AB" w:rsidRPr="004A29F9">
        <w:rPr>
          <w:rFonts w:ascii="Times New Roman" w:hAnsi="Times New Roman" w:cs="Times New Roman"/>
          <w:sz w:val="22"/>
          <w:szCs w:val="22"/>
          <w:lang w:val="en-GB"/>
        </w:rPr>
        <w:t xml:space="preserve"> civil society </w:t>
      </w:r>
      <w:r w:rsidR="00055E37">
        <w:rPr>
          <w:rFonts w:ascii="Times New Roman" w:hAnsi="Times New Roman" w:cs="Times New Roman"/>
          <w:sz w:val="22"/>
          <w:szCs w:val="22"/>
          <w:lang w:val="en-GB"/>
        </w:rPr>
        <w:t>organis</w:t>
      </w:r>
      <w:r w:rsidR="003809F2" w:rsidRPr="004A29F9">
        <w:rPr>
          <w:rFonts w:ascii="Times New Roman" w:hAnsi="Times New Roman" w:cs="Times New Roman"/>
          <w:sz w:val="22"/>
          <w:szCs w:val="22"/>
          <w:lang w:val="en-GB"/>
        </w:rPr>
        <w:t>ations</w:t>
      </w:r>
      <w:r w:rsidR="006222AB" w:rsidRPr="004A29F9">
        <w:rPr>
          <w:rFonts w:ascii="Times New Roman" w:hAnsi="Times New Roman" w:cs="Times New Roman"/>
          <w:sz w:val="22"/>
          <w:szCs w:val="22"/>
          <w:lang w:val="en-GB"/>
        </w:rPr>
        <w:t xml:space="preserve"> and </w:t>
      </w:r>
      <w:r w:rsidR="00D531B8" w:rsidRPr="004A29F9">
        <w:rPr>
          <w:rFonts w:ascii="Times New Roman" w:hAnsi="Times New Roman" w:cs="Times New Roman"/>
          <w:sz w:val="22"/>
          <w:szCs w:val="22"/>
          <w:lang w:val="en-GB"/>
        </w:rPr>
        <w:t>academic institutions.</w:t>
      </w:r>
    </w:p>
    <w:p w:rsidR="00055E37" w:rsidRDefault="00055E37" w:rsidP="00FB6759">
      <w:pPr>
        <w:spacing w:after="0" w:line="240" w:lineRule="auto"/>
        <w:jc w:val="both"/>
        <w:rPr>
          <w:rFonts w:ascii="Times New Roman" w:hAnsi="Times New Roman" w:cs="Times New Roman"/>
          <w:sz w:val="22"/>
          <w:szCs w:val="22"/>
          <w:lang w:val="en-GB"/>
        </w:rPr>
      </w:pPr>
    </w:p>
    <w:p w:rsidR="005B177A" w:rsidRPr="004A29F9" w:rsidRDefault="00D531B8"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The </w:t>
      </w:r>
      <w:r w:rsidR="00055E37">
        <w:rPr>
          <w:rFonts w:ascii="Times New Roman" w:hAnsi="Times New Roman" w:cs="Times New Roman"/>
          <w:sz w:val="22"/>
          <w:szCs w:val="22"/>
          <w:lang w:val="en-GB"/>
        </w:rPr>
        <w:t>p</w:t>
      </w:r>
      <w:r w:rsidR="00F31A20" w:rsidRPr="004A29F9">
        <w:rPr>
          <w:rFonts w:ascii="Times New Roman" w:hAnsi="Times New Roman" w:cs="Times New Roman"/>
          <w:sz w:val="22"/>
          <w:szCs w:val="22"/>
          <w:lang w:val="en-GB"/>
        </w:rPr>
        <w:t>rogramme</w:t>
      </w:r>
      <w:r w:rsidR="00FD3C19">
        <w:rPr>
          <w:rFonts w:ascii="Times New Roman" w:hAnsi="Times New Roman" w:cs="Times New Roman"/>
          <w:sz w:val="22"/>
          <w:szCs w:val="22"/>
          <w:lang w:val="en-GB"/>
        </w:rPr>
        <w:t xml:space="preserve"> </w:t>
      </w:r>
      <w:r w:rsidRPr="004A29F9">
        <w:rPr>
          <w:rFonts w:ascii="Times New Roman" w:hAnsi="Times New Roman" w:cs="Times New Roman"/>
          <w:sz w:val="22"/>
          <w:szCs w:val="22"/>
          <w:lang w:val="en-GB"/>
        </w:rPr>
        <w:t>was designed to be implemented over a three-year p</w:t>
      </w:r>
      <w:r w:rsidR="00055E37">
        <w:rPr>
          <w:rFonts w:ascii="Times New Roman" w:hAnsi="Times New Roman" w:cs="Times New Roman"/>
          <w:sz w:val="22"/>
          <w:szCs w:val="22"/>
          <w:lang w:val="en-GB"/>
        </w:rPr>
        <w:t>eriod. I</w:t>
      </w:r>
      <w:r w:rsidR="00995C6F" w:rsidRPr="004A29F9">
        <w:rPr>
          <w:rFonts w:ascii="Times New Roman" w:hAnsi="Times New Roman" w:cs="Times New Roman"/>
          <w:sz w:val="22"/>
          <w:szCs w:val="22"/>
          <w:lang w:val="en-GB"/>
        </w:rPr>
        <w:t>mplementatio</w:t>
      </w:r>
      <w:r w:rsidR="00055E37">
        <w:rPr>
          <w:rFonts w:ascii="Times New Roman" w:hAnsi="Times New Roman" w:cs="Times New Roman"/>
          <w:sz w:val="22"/>
          <w:szCs w:val="22"/>
          <w:lang w:val="en-GB"/>
        </w:rPr>
        <w:t>n started</w:t>
      </w:r>
      <w:r w:rsidR="00995C6F" w:rsidRPr="004A29F9">
        <w:rPr>
          <w:rFonts w:ascii="Times New Roman" w:hAnsi="Times New Roman" w:cs="Times New Roman"/>
          <w:sz w:val="22"/>
          <w:szCs w:val="22"/>
          <w:lang w:val="en-GB"/>
        </w:rPr>
        <w:t xml:space="preserve"> in </w:t>
      </w:r>
      <w:r w:rsidR="0008536B" w:rsidRPr="004A29F9">
        <w:rPr>
          <w:rFonts w:ascii="Times New Roman" w:hAnsi="Times New Roman" w:cs="Times New Roman"/>
          <w:sz w:val="22"/>
          <w:szCs w:val="22"/>
          <w:lang w:val="en-GB"/>
        </w:rPr>
        <w:t>June</w:t>
      </w:r>
      <w:r w:rsidR="00055E37">
        <w:rPr>
          <w:rFonts w:ascii="Times New Roman" w:hAnsi="Times New Roman" w:cs="Times New Roman"/>
          <w:sz w:val="22"/>
          <w:szCs w:val="22"/>
          <w:lang w:val="en-GB"/>
        </w:rPr>
        <w:t xml:space="preserve"> 2010; thus, implementation has spanned </w:t>
      </w:r>
      <w:r w:rsidR="00EA5EAA" w:rsidRPr="004A29F9">
        <w:rPr>
          <w:rFonts w:ascii="Times New Roman" w:hAnsi="Times New Roman" w:cs="Times New Roman"/>
          <w:sz w:val="22"/>
          <w:szCs w:val="22"/>
          <w:lang w:val="en-GB"/>
        </w:rPr>
        <w:t>2.5 year</w:t>
      </w:r>
      <w:r w:rsidR="00055E37">
        <w:rPr>
          <w:rFonts w:ascii="Times New Roman" w:hAnsi="Times New Roman" w:cs="Times New Roman"/>
          <w:sz w:val="22"/>
          <w:szCs w:val="22"/>
          <w:lang w:val="en-GB"/>
        </w:rPr>
        <w:t>s. Since 2009</w:t>
      </w:r>
      <w:r w:rsidRPr="004A29F9">
        <w:rPr>
          <w:rFonts w:ascii="Times New Roman" w:hAnsi="Times New Roman" w:cs="Times New Roman"/>
          <w:sz w:val="22"/>
          <w:szCs w:val="22"/>
          <w:lang w:val="en-GB"/>
        </w:rPr>
        <w:t xml:space="preserve">, it has attracted funding in excess of </w:t>
      </w:r>
      <w:r w:rsidR="000F23A4" w:rsidRPr="004A29F9">
        <w:rPr>
          <w:rFonts w:ascii="Times New Roman" w:hAnsi="Times New Roman" w:cs="Times New Roman"/>
          <w:sz w:val="22"/>
          <w:szCs w:val="22"/>
          <w:lang w:val="en-GB"/>
        </w:rPr>
        <w:t>USD</w:t>
      </w:r>
      <w:r w:rsidRPr="004A29F9">
        <w:rPr>
          <w:rFonts w:ascii="Times New Roman" w:hAnsi="Times New Roman" w:cs="Times New Roman"/>
          <w:sz w:val="22"/>
          <w:szCs w:val="22"/>
          <w:lang w:val="en-GB"/>
        </w:rPr>
        <w:t xml:space="preserve"> 20 million, with </w:t>
      </w:r>
      <w:r w:rsidR="008153B9" w:rsidRPr="004A29F9">
        <w:rPr>
          <w:rFonts w:ascii="Times New Roman" w:hAnsi="Times New Roman" w:cs="Times New Roman"/>
          <w:sz w:val="22"/>
          <w:szCs w:val="22"/>
          <w:lang w:val="en-GB"/>
        </w:rPr>
        <w:t xml:space="preserve">critical </w:t>
      </w:r>
      <w:r w:rsidR="005B177A" w:rsidRPr="004A29F9">
        <w:rPr>
          <w:rFonts w:ascii="Times New Roman" w:hAnsi="Times New Roman" w:cs="Times New Roman"/>
          <w:sz w:val="22"/>
          <w:szCs w:val="22"/>
          <w:lang w:val="en-GB"/>
        </w:rPr>
        <w:t>support from the governments of Canada, Sweden and the Netherlands</w:t>
      </w:r>
      <w:r w:rsidR="008153B9" w:rsidRPr="004A29F9">
        <w:rPr>
          <w:rFonts w:ascii="Times New Roman" w:hAnsi="Times New Roman" w:cs="Times New Roman"/>
          <w:sz w:val="22"/>
          <w:szCs w:val="22"/>
          <w:lang w:val="en-GB"/>
        </w:rPr>
        <w:t>,</w:t>
      </w:r>
      <w:r w:rsidR="005B177A" w:rsidRPr="004A29F9">
        <w:rPr>
          <w:rFonts w:ascii="Times New Roman" w:hAnsi="Times New Roman" w:cs="Times New Roman"/>
          <w:sz w:val="22"/>
          <w:szCs w:val="22"/>
          <w:lang w:val="en-GB"/>
        </w:rPr>
        <w:t xml:space="preserve"> as well as </w:t>
      </w:r>
      <w:r w:rsidR="00055E37">
        <w:rPr>
          <w:rFonts w:ascii="Times New Roman" w:hAnsi="Times New Roman" w:cs="Times New Roman"/>
          <w:sz w:val="22"/>
          <w:szCs w:val="22"/>
          <w:lang w:val="en-GB"/>
        </w:rPr>
        <w:t>UNDP/</w:t>
      </w:r>
      <w:r w:rsidRPr="004A29F9">
        <w:rPr>
          <w:rFonts w:ascii="Times New Roman" w:hAnsi="Times New Roman" w:cs="Times New Roman"/>
          <w:sz w:val="22"/>
          <w:szCs w:val="22"/>
          <w:lang w:val="en-GB"/>
        </w:rPr>
        <w:t>BCPR</w:t>
      </w:r>
      <w:r w:rsidR="003828FB" w:rsidRPr="004A29F9">
        <w:rPr>
          <w:rFonts w:ascii="Times New Roman" w:hAnsi="Times New Roman" w:cs="Times New Roman"/>
          <w:sz w:val="22"/>
          <w:szCs w:val="22"/>
          <w:lang w:val="en-GB"/>
        </w:rPr>
        <w:t>.</w:t>
      </w:r>
      <w:r w:rsidR="00FD3C19">
        <w:rPr>
          <w:rFonts w:ascii="Times New Roman" w:hAnsi="Times New Roman" w:cs="Times New Roman"/>
          <w:sz w:val="22"/>
          <w:szCs w:val="22"/>
          <w:lang w:val="en-GB"/>
        </w:rPr>
        <w:t xml:space="preserve"> </w:t>
      </w:r>
      <w:r w:rsidR="0008536B" w:rsidRPr="004A29F9">
        <w:rPr>
          <w:rFonts w:ascii="Times New Roman" w:hAnsi="Times New Roman" w:cs="Times New Roman"/>
          <w:sz w:val="22"/>
          <w:szCs w:val="22"/>
          <w:lang w:val="en-GB"/>
        </w:rPr>
        <w:t>It</w:t>
      </w:r>
      <w:r w:rsidR="000E6B39" w:rsidRPr="004A29F9">
        <w:rPr>
          <w:rFonts w:ascii="Times New Roman" w:hAnsi="Times New Roman" w:cs="Times New Roman"/>
          <w:sz w:val="22"/>
          <w:szCs w:val="22"/>
          <w:lang w:val="en-GB"/>
        </w:rPr>
        <w:t xml:space="preserve"> is considered a flagship programme for UNDP/</w:t>
      </w:r>
      <w:r w:rsidR="000C369C" w:rsidRPr="004A29F9">
        <w:rPr>
          <w:rFonts w:ascii="Times New Roman" w:hAnsi="Times New Roman" w:cs="Times New Roman"/>
          <w:sz w:val="22"/>
          <w:szCs w:val="22"/>
          <w:lang w:val="en-GB"/>
        </w:rPr>
        <w:t>PAPP</w:t>
      </w:r>
      <w:r w:rsidR="000E6B39" w:rsidRPr="004A29F9">
        <w:rPr>
          <w:rFonts w:ascii="Times New Roman" w:hAnsi="Times New Roman" w:cs="Times New Roman"/>
          <w:sz w:val="22"/>
          <w:szCs w:val="22"/>
          <w:lang w:val="en-GB"/>
        </w:rPr>
        <w:t xml:space="preserve"> and is a substantial part of the UNDP/</w:t>
      </w:r>
      <w:r w:rsidR="000C369C" w:rsidRPr="004A29F9">
        <w:rPr>
          <w:rFonts w:ascii="Times New Roman" w:hAnsi="Times New Roman" w:cs="Times New Roman"/>
          <w:sz w:val="22"/>
          <w:szCs w:val="22"/>
          <w:lang w:val="en-GB"/>
        </w:rPr>
        <w:t>PAPP</w:t>
      </w:r>
      <w:r w:rsidR="00055E37">
        <w:rPr>
          <w:rFonts w:ascii="Times New Roman" w:hAnsi="Times New Roman" w:cs="Times New Roman"/>
          <w:sz w:val="22"/>
          <w:szCs w:val="22"/>
          <w:lang w:val="en-GB"/>
        </w:rPr>
        <w:t>’s g</w:t>
      </w:r>
      <w:r w:rsidR="000E6B39" w:rsidRPr="004A29F9">
        <w:rPr>
          <w:rFonts w:ascii="Times New Roman" w:hAnsi="Times New Roman" w:cs="Times New Roman"/>
          <w:sz w:val="22"/>
          <w:szCs w:val="22"/>
          <w:lang w:val="en-GB"/>
        </w:rPr>
        <w:t>overnance portfolio.</w:t>
      </w:r>
      <w:r w:rsidR="000E6B39" w:rsidRPr="004A29F9">
        <w:rPr>
          <w:rStyle w:val="FootnoteReference"/>
          <w:rFonts w:ascii="Times New Roman" w:hAnsi="Times New Roman" w:cs="Times New Roman"/>
          <w:sz w:val="22"/>
          <w:szCs w:val="22"/>
          <w:lang w:val="en-GB"/>
        </w:rPr>
        <w:footnoteReference w:id="50"/>
      </w:r>
    </w:p>
    <w:p w:rsidR="00055E37" w:rsidRDefault="00055E37" w:rsidP="00FB6759">
      <w:pPr>
        <w:spacing w:after="0" w:line="240" w:lineRule="auto"/>
        <w:jc w:val="both"/>
        <w:rPr>
          <w:rFonts w:ascii="Times New Roman" w:hAnsi="Times New Roman" w:cs="Times New Roman"/>
          <w:sz w:val="22"/>
          <w:szCs w:val="22"/>
          <w:lang w:val="en-GB"/>
        </w:rPr>
      </w:pPr>
    </w:p>
    <w:p w:rsidR="005B177A" w:rsidRDefault="008153B9"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In order to achieve the above-defined goal</w:t>
      </w:r>
      <w:r w:rsidR="005B177A" w:rsidRPr="004A29F9">
        <w:rPr>
          <w:rFonts w:ascii="Times New Roman" w:hAnsi="Times New Roman" w:cs="Times New Roman"/>
          <w:sz w:val="22"/>
          <w:szCs w:val="22"/>
          <w:lang w:val="en-GB"/>
        </w:rPr>
        <w:t xml:space="preserve">, </w:t>
      </w:r>
      <w:r w:rsidR="005B177A" w:rsidRPr="004A29F9">
        <w:rPr>
          <w:rFonts w:ascii="Times New Roman" w:hAnsi="Times New Roman" w:cs="Times New Roman"/>
          <w:b/>
          <w:sz w:val="22"/>
          <w:szCs w:val="22"/>
          <w:lang w:val="en-GB"/>
        </w:rPr>
        <w:t>five key out</w:t>
      </w:r>
      <w:r w:rsidR="00055E37">
        <w:rPr>
          <w:rFonts w:ascii="Times New Roman" w:hAnsi="Times New Roman" w:cs="Times New Roman"/>
          <w:b/>
          <w:sz w:val="22"/>
          <w:szCs w:val="22"/>
          <w:lang w:val="en-GB"/>
        </w:rPr>
        <w:t>comes</w:t>
      </w:r>
      <w:r w:rsidRPr="004A29F9">
        <w:rPr>
          <w:rFonts w:ascii="Times New Roman" w:hAnsi="Times New Roman" w:cs="Times New Roman"/>
          <w:sz w:val="22"/>
          <w:szCs w:val="22"/>
          <w:lang w:val="en-GB"/>
        </w:rPr>
        <w:t xml:space="preserve"> were formulated for the </w:t>
      </w:r>
      <w:r w:rsidR="00055E37">
        <w:rPr>
          <w:rFonts w:ascii="Times New Roman" w:hAnsi="Times New Roman" w:cs="Times New Roman"/>
          <w:sz w:val="22"/>
          <w:szCs w:val="22"/>
          <w:lang w:val="en-GB"/>
        </w:rPr>
        <w:t>p</w:t>
      </w:r>
      <w:r w:rsidR="00F31A20" w:rsidRPr="004A29F9">
        <w:rPr>
          <w:rFonts w:ascii="Times New Roman" w:hAnsi="Times New Roman" w:cs="Times New Roman"/>
          <w:sz w:val="22"/>
          <w:szCs w:val="22"/>
          <w:lang w:val="en-GB"/>
        </w:rPr>
        <w:t>rogramme</w:t>
      </w:r>
      <w:r w:rsidRPr="004A29F9">
        <w:rPr>
          <w:rFonts w:ascii="Times New Roman" w:hAnsi="Times New Roman" w:cs="Times New Roman"/>
          <w:sz w:val="22"/>
          <w:szCs w:val="22"/>
          <w:lang w:val="en-GB"/>
        </w:rPr>
        <w:t xml:space="preserve"> at its inception</w:t>
      </w:r>
      <w:r w:rsidR="003055AB" w:rsidRPr="004A29F9">
        <w:rPr>
          <w:rFonts w:ascii="Times New Roman" w:hAnsi="Times New Roman" w:cs="Times New Roman"/>
          <w:sz w:val="22"/>
          <w:szCs w:val="22"/>
          <w:lang w:val="en-GB"/>
        </w:rPr>
        <w:t>:</w:t>
      </w:r>
      <w:r w:rsidR="003055AB" w:rsidRPr="004A29F9">
        <w:rPr>
          <w:rStyle w:val="FootnoteReference"/>
          <w:rFonts w:ascii="Times New Roman" w:hAnsi="Times New Roman" w:cs="Times New Roman"/>
          <w:sz w:val="22"/>
          <w:szCs w:val="22"/>
          <w:lang w:val="en-GB"/>
        </w:rPr>
        <w:footnoteReference w:id="51"/>
      </w:r>
    </w:p>
    <w:p w:rsidR="00055E37" w:rsidRDefault="00055E37" w:rsidP="00FB6759">
      <w:pPr>
        <w:spacing w:after="0" w:line="240" w:lineRule="auto"/>
        <w:jc w:val="both"/>
        <w:rPr>
          <w:rFonts w:ascii="Times New Roman" w:hAnsi="Times New Roman" w:cs="Times New Roman"/>
          <w:sz w:val="22"/>
          <w:szCs w:val="22"/>
          <w:lang w:val="en-GB"/>
        </w:rPr>
      </w:pPr>
    </w:p>
    <w:p w:rsidR="00055E37" w:rsidRDefault="00055E37" w:rsidP="00055E37">
      <w:pPr>
        <w:pStyle w:val="ListParagraph"/>
        <w:numPr>
          <w:ilvl w:val="0"/>
          <w:numId w:val="161"/>
        </w:numPr>
        <w:spacing w:after="0" w:line="240" w:lineRule="auto"/>
        <w:jc w:val="both"/>
        <w:rPr>
          <w:rFonts w:ascii="Times New Roman" w:eastAsia="MS Mincho" w:hAnsi="Times New Roman" w:cs="Times New Roman"/>
          <w:sz w:val="22"/>
          <w:szCs w:val="22"/>
          <w:lang w:val="en-GB" w:eastAsia="ja-JP"/>
        </w:rPr>
      </w:pPr>
      <w:r>
        <w:rPr>
          <w:rFonts w:ascii="Times New Roman" w:eastAsia="MS Mincho" w:hAnsi="Times New Roman" w:cs="Times New Roman"/>
          <w:sz w:val="22"/>
          <w:szCs w:val="22"/>
          <w:lang w:val="en-GB" w:eastAsia="ja-JP"/>
        </w:rPr>
        <w:t>Outcome 1: Capacity of rule of law institutions strengthened;</w:t>
      </w:r>
    </w:p>
    <w:p w:rsidR="00055E37" w:rsidRDefault="00055E37" w:rsidP="00055E37">
      <w:pPr>
        <w:pStyle w:val="ListParagraph"/>
        <w:numPr>
          <w:ilvl w:val="0"/>
          <w:numId w:val="161"/>
        </w:numPr>
        <w:spacing w:after="0" w:line="240" w:lineRule="auto"/>
        <w:jc w:val="both"/>
        <w:rPr>
          <w:rFonts w:ascii="Times New Roman" w:eastAsia="MS Mincho" w:hAnsi="Times New Roman" w:cs="Times New Roman"/>
          <w:sz w:val="22"/>
          <w:szCs w:val="22"/>
          <w:lang w:val="en-GB" w:eastAsia="ja-JP"/>
        </w:rPr>
      </w:pPr>
      <w:r>
        <w:rPr>
          <w:rFonts w:ascii="Times New Roman" w:eastAsia="MS Mincho" w:hAnsi="Times New Roman" w:cs="Times New Roman"/>
          <w:sz w:val="22"/>
          <w:szCs w:val="22"/>
          <w:lang w:val="en-GB" w:eastAsia="ja-JP"/>
        </w:rPr>
        <w:t>Outcome 2: Access to justice at local and grassroots levels enhanced;</w:t>
      </w:r>
    </w:p>
    <w:p w:rsidR="00055E37" w:rsidRDefault="00055E37" w:rsidP="00055E37">
      <w:pPr>
        <w:pStyle w:val="ListParagraph"/>
        <w:numPr>
          <w:ilvl w:val="0"/>
          <w:numId w:val="161"/>
        </w:numPr>
        <w:spacing w:after="0" w:line="240" w:lineRule="auto"/>
        <w:jc w:val="both"/>
        <w:rPr>
          <w:rFonts w:ascii="Times New Roman" w:eastAsia="MS Mincho" w:hAnsi="Times New Roman" w:cs="Times New Roman"/>
          <w:sz w:val="22"/>
          <w:szCs w:val="22"/>
          <w:lang w:val="en-GB" w:eastAsia="ja-JP"/>
        </w:rPr>
      </w:pPr>
      <w:r>
        <w:rPr>
          <w:rFonts w:ascii="Times New Roman" w:eastAsia="MS Mincho" w:hAnsi="Times New Roman" w:cs="Times New Roman"/>
          <w:sz w:val="22"/>
          <w:szCs w:val="22"/>
          <w:lang w:val="en-GB" w:eastAsia="ja-JP"/>
        </w:rPr>
        <w:t>Outcome 3: Gender and juvenile justice improved;</w:t>
      </w:r>
    </w:p>
    <w:p w:rsidR="00055E37" w:rsidRDefault="00055E37" w:rsidP="00055E37">
      <w:pPr>
        <w:pStyle w:val="ListParagraph"/>
        <w:numPr>
          <w:ilvl w:val="0"/>
          <w:numId w:val="161"/>
        </w:numPr>
        <w:spacing w:after="0" w:line="240" w:lineRule="auto"/>
        <w:jc w:val="both"/>
        <w:rPr>
          <w:rFonts w:ascii="Times New Roman" w:eastAsia="MS Mincho" w:hAnsi="Times New Roman" w:cs="Times New Roman"/>
          <w:sz w:val="22"/>
          <w:szCs w:val="22"/>
          <w:lang w:val="en-GB" w:eastAsia="ja-JP"/>
        </w:rPr>
      </w:pPr>
      <w:r>
        <w:rPr>
          <w:rFonts w:ascii="Times New Roman" w:eastAsia="MS Mincho" w:hAnsi="Times New Roman" w:cs="Times New Roman"/>
          <w:sz w:val="22"/>
          <w:szCs w:val="22"/>
          <w:lang w:val="en-GB" w:eastAsia="ja-JP"/>
        </w:rPr>
        <w:t>Outcome 4: Rule of law in the Gaza Strip initiated; and</w:t>
      </w:r>
    </w:p>
    <w:p w:rsidR="00055E37" w:rsidRPr="00085D06" w:rsidRDefault="00055E37" w:rsidP="00055E37">
      <w:pPr>
        <w:pStyle w:val="ListParagraph"/>
        <w:numPr>
          <w:ilvl w:val="0"/>
          <w:numId w:val="161"/>
        </w:numPr>
        <w:spacing w:after="0" w:line="240" w:lineRule="auto"/>
        <w:jc w:val="both"/>
        <w:rPr>
          <w:rFonts w:ascii="Times New Roman" w:eastAsia="MS Mincho" w:hAnsi="Times New Roman" w:cs="Times New Roman"/>
          <w:sz w:val="22"/>
          <w:szCs w:val="22"/>
          <w:lang w:val="en-GB" w:eastAsia="ja-JP"/>
        </w:rPr>
      </w:pPr>
      <w:r>
        <w:rPr>
          <w:rFonts w:ascii="Times New Roman" w:eastAsia="MS Mincho" w:hAnsi="Times New Roman" w:cs="Times New Roman"/>
          <w:sz w:val="22"/>
          <w:szCs w:val="22"/>
          <w:lang w:val="en-GB" w:eastAsia="ja-JP"/>
        </w:rPr>
        <w:t>Outcome 5: Confidence-building amongst stakeholders promoted.</w:t>
      </w:r>
    </w:p>
    <w:p w:rsidR="00055E37" w:rsidRDefault="00055E37" w:rsidP="00FB6759">
      <w:pPr>
        <w:spacing w:after="0" w:line="240" w:lineRule="auto"/>
        <w:jc w:val="both"/>
        <w:rPr>
          <w:rFonts w:ascii="Times New Roman" w:hAnsi="Times New Roman" w:cs="Times New Roman"/>
          <w:sz w:val="22"/>
          <w:szCs w:val="22"/>
          <w:lang w:val="en-GB"/>
        </w:rPr>
      </w:pPr>
    </w:p>
    <w:p w:rsidR="001B3652" w:rsidRPr="004A29F9" w:rsidRDefault="001B3652"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Efforts to achieve these outcomes on the “supply” side have been geared towards strengthening the institutional capacity of the Palestinian Ministry of Justice as well as other justice sector institutions; expanding the scope and breadth of existing legal literacy and legal aid programmes; improving gender and juvenile justice conditions; and exploring modalities for engagement with the informal justice system(s) and their linkages with the formal system. On the “demand” side, assistance is being provided to support networks of legal professionals and to enhance public confidence in the justice system.</w:t>
      </w:r>
    </w:p>
    <w:p w:rsidR="00055E37" w:rsidRDefault="00055E37" w:rsidP="00055E37">
      <w:pPr>
        <w:spacing w:after="0" w:line="240" w:lineRule="auto"/>
        <w:jc w:val="both"/>
        <w:rPr>
          <w:rFonts w:ascii="Times New Roman" w:hAnsi="Times New Roman" w:cs="Times New Roman"/>
          <w:sz w:val="22"/>
          <w:szCs w:val="22"/>
          <w:lang w:val="en-GB"/>
        </w:rPr>
      </w:pPr>
    </w:p>
    <w:p w:rsidR="005B177A" w:rsidRPr="004A29F9" w:rsidRDefault="00055E37" w:rsidP="00055E37">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It is </w:t>
      </w:r>
      <w:r w:rsidR="001B3652" w:rsidRPr="004A29F9">
        <w:rPr>
          <w:rFonts w:ascii="Times New Roman" w:hAnsi="Times New Roman" w:cs="Times New Roman"/>
          <w:sz w:val="22"/>
          <w:szCs w:val="22"/>
          <w:lang w:val="en-GB"/>
        </w:rPr>
        <w:t>important to note that UNDP enter</w:t>
      </w:r>
      <w:r>
        <w:rPr>
          <w:rFonts w:ascii="Times New Roman" w:hAnsi="Times New Roman" w:cs="Times New Roman"/>
          <w:sz w:val="22"/>
          <w:szCs w:val="22"/>
          <w:lang w:val="en-GB"/>
        </w:rPr>
        <w:t>ed the justice sector in the oPt</w:t>
      </w:r>
      <w:r w:rsidR="001B3652" w:rsidRPr="004A29F9">
        <w:rPr>
          <w:rFonts w:ascii="Times New Roman" w:hAnsi="Times New Roman" w:cs="Times New Roman"/>
          <w:sz w:val="22"/>
          <w:szCs w:val="22"/>
          <w:lang w:val="en-GB"/>
        </w:rPr>
        <w:t xml:space="preserve"> as a relative latecomer and chose not to duplicate the initiatives of other donors.</w:t>
      </w:r>
      <w:r w:rsidR="001B3652" w:rsidRPr="004A29F9">
        <w:rPr>
          <w:rStyle w:val="FootnoteReference"/>
          <w:rFonts w:ascii="Times New Roman" w:hAnsi="Times New Roman" w:cs="Times New Roman"/>
          <w:sz w:val="22"/>
          <w:szCs w:val="22"/>
          <w:lang w:val="en-GB"/>
        </w:rPr>
        <w:footnoteReference w:id="52"/>
      </w:r>
      <w:r w:rsidR="001B3652" w:rsidRPr="004A29F9">
        <w:rPr>
          <w:rFonts w:ascii="Times New Roman" w:hAnsi="Times New Roman" w:cs="Times New Roman"/>
          <w:sz w:val="22"/>
          <w:szCs w:val="22"/>
          <w:lang w:val="en-GB"/>
        </w:rPr>
        <w:t>This drove UNDP to focus on the Ministry of Justice that had not yet been targeted by other donors</w:t>
      </w:r>
      <w:r w:rsidR="00942542" w:rsidRPr="004A29F9">
        <w:rPr>
          <w:rFonts w:ascii="Times New Roman" w:hAnsi="Times New Roman" w:cs="Times New Roman"/>
          <w:sz w:val="22"/>
          <w:szCs w:val="22"/>
          <w:lang w:val="en-GB"/>
        </w:rPr>
        <w:t xml:space="preserve"> to any substantial degre</w:t>
      </w:r>
      <w:r>
        <w:rPr>
          <w:rFonts w:ascii="Times New Roman" w:hAnsi="Times New Roman" w:cs="Times New Roman"/>
          <w:sz w:val="22"/>
          <w:szCs w:val="22"/>
          <w:lang w:val="en-GB"/>
        </w:rPr>
        <w:t xml:space="preserve">e: the programme </w:t>
      </w:r>
      <w:r w:rsidR="001B3652" w:rsidRPr="004A29F9">
        <w:rPr>
          <w:rFonts w:ascii="Times New Roman" w:hAnsi="Times New Roman" w:cs="Times New Roman"/>
          <w:sz w:val="22"/>
          <w:szCs w:val="22"/>
          <w:lang w:val="en-GB"/>
        </w:rPr>
        <w:t xml:space="preserve">was </w:t>
      </w:r>
      <w:r>
        <w:rPr>
          <w:rFonts w:ascii="Times New Roman" w:hAnsi="Times New Roman" w:cs="Times New Roman"/>
          <w:sz w:val="22"/>
          <w:szCs w:val="22"/>
          <w:lang w:val="en-GB"/>
        </w:rPr>
        <w:t>specifically designed to support the MO</w:t>
      </w:r>
      <w:r w:rsidR="001B3652" w:rsidRPr="004A29F9">
        <w:rPr>
          <w:rFonts w:ascii="Times New Roman" w:hAnsi="Times New Roman" w:cs="Times New Roman"/>
          <w:sz w:val="22"/>
          <w:szCs w:val="22"/>
          <w:lang w:val="en-GB"/>
        </w:rPr>
        <w:t>J in the</w:t>
      </w:r>
      <w:r w:rsidR="00F1265D" w:rsidRPr="004A29F9">
        <w:rPr>
          <w:rFonts w:ascii="Times New Roman" w:hAnsi="Times New Roman" w:cs="Times New Roman"/>
          <w:sz w:val="22"/>
          <w:szCs w:val="22"/>
          <w:lang w:val="en-GB"/>
        </w:rPr>
        <w:t xml:space="preserve"> wake of the 2006 elections and its relocation from Gaza City to Ramallah; the</w:t>
      </w:r>
      <w:r w:rsidR="001B3652" w:rsidRPr="004A29F9">
        <w:rPr>
          <w:rFonts w:ascii="Times New Roman" w:hAnsi="Times New Roman" w:cs="Times New Roman"/>
          <w:sz w:val="22"/>
          <w:szCs w:val="22"/>
          <w:lang w:val="en-GB"/>
        </w:rPr>
        <w:t xml:space="preserve"> development and implementation </w:t>
      </w:r>
      <w:r w:rsidR="008E6D6B" w:rsidRPr="004A29F9">
        <w:rPr>
          <w:rFonts w:ascii="Times New Roman" w:hAnsi="Times New Roman" w:cs="Times New Roman"/>
          <w:sz w:val="22"/>
          <w:szCs w:val="22"/>
          <w:lang w:val="en-GB"/>
        </w:rPr>
        <w:t>of a</w:t>
      </w:r>
      <w:r w:rsidR="001B3652" w:rsidRPr="004A29F9">
        <w:rPr>
          <w:rFonts w:ascii="Times New Roman" w:hAnsi="Times New Roman" w:cs="Times New Roman"/>
          <w:sz w:val="22"/>
          <w:szCs w:val="22"/>
          <w:lang w:val="en-GB"/>
        </w:rPr>
        <w:t xml:space="preserve"> National Justice Sector Strategy and </w:t>
      </w:r>
      <w:r w:rsidR="00F1265D" w:rsidRPr="004A29F9">
        <w:rPr>
          <w:rFonts w:ascii="Times New Roman" w:hAnsi="Times New Roman" w:cs="Times New Roman"/>
          <w:sz w:val="22"/>
          <w:szCs w:val="22"/>
          <w:lang w:val="en-GB"/>
        </w:rPr>
        <w:t>the achievement of</w:t>
      </w:r>
      <w:r w:rsidR="001B3652" w:rsidRPr="004A29F9">
        <w:rPr>
          <w:rFonts w:ascii="Times New Roman" w:hAnsi="Times New Roman" w:cs="Times New Roman"/>
          <w:sz w:val="22"/>
          <w:szCs w:val="22"/>
          <w:lang w:val="en-GB"/>
        </w:rPr>
        <w:t xml:space="preserve"> the targets of the Programme of the Thi</w:t>
      </w:r>
      <w:r w:rsidR="009B22B9">
        <w:rPr>
          <w:rFonts w:ascii="Times New Roman" w:hAnsi="Times New Roman" w:cs="Times New Roman"/>
          <w:sz w:val="22"/>
          <w:szCs w:val="22"/>
          <w:lang w:val="en-GB"/>
        </w:rPr>
        <w:t>rteenth Government</w:t>
      </w:r>
      <w:r w:rsidR="001B3652" w:rsidRPr="004A29F9">
        <w:rPr>
          <w:rFonts w:ascii="Times New Roman" w:hAnsi="Times New Roman" w:cs="Times New Roman"/>
          <w:sz w:val="22"/>
          <w:szCs w:val="22"/>
          <w:lang w:val="en-GB"/>
        </w:rPr>
        <w:t>.</w:t>
      </w:r>
      <w:r w:rsidR="00FD3C19">
        <w:rPr>
          <w:rFonts w:ascii="Times New Roman" w:hAnsi="Times New Roman" w:cs="Times New Roman"/>
          <w:sz w:val="22"/>
          <w:szCs w:val="22"/>
          <w:lang w:val="en-GB"/>
        </w:rPr>
        <w:t xml:space="preserve"> </w:t>
      </w:r>
      <w:r w:rsidR="00942542" w:rsidRPr="004A29F9">
        <w:rPr>
          <w:rFonts w:ascii="Times New Roman" w:hAnsi="Times New Roman" w:cs="Times New Roman"/>
          <w:sz w:val="22"/>
          <w:szCs w:val="22"/>
          <w:lang w:val="en-GB"/>
        </w:rPr>
        <w:t>As discus</w:t>
      </w:r>
      <w:r w:rsidR="009B22B9">
        <w:rPr>
          <w:rFonts w:ascii="Times New Roman" w:hAnsi="Times New Roman" w:cs="Times New Roman"/>
          <w:sz w:val="22"/>
          <w:szCs w:val="22"/>
          <w:lang w:val="en-GB"/>
        </w:rPr>
        <w:t>sed in more detail below, the MO</w:t>
      </w:r>
      <w:r w:rsidR="00942542" w:rsidRPr="004A29F9">
        <w:rPr>
          <w:rFonts w:ascii="Times New Roman" w:hAnsi="Times New Roman" w:cs="Times New Roman"/>
          <w:sz w:val="22"/>
          <w:szCs w:val="22"/>
          <w:lang w:val="en-GB"/>
        </w:rPr>
        <w:t>J has continued to face political challenges vis-à-vis the</w:t>
      </w:r>
      <w:r w:rsidR="009B22B9">
        <w:rPr>
          <w:rFonts w:ascii="Times New Roman" w:hAnsi="Times New Roman" w:cs="Times New Roman"/>
          <w:sz w:val="22"/>
          <w:szCs w:val="22"/>
          <w:lang w:val="en-GB"/>
        </w:rPr>
        <w:t xml:space="preserve"> HJC and the AGO.</w:t>
      </w:r>
      <w:r w:rsidR="00942542" w:rsidRPr="004A29F9">
        <w:rPr>
          <w:rFonts w:ascii="Times New Roman" w:hAnsi="Times New Roman" w:cs="Times New Roman"/>
          <w:sz w:val="22"/>
          <w:szCs w:val="22"/>
          <w:lang w:val="en-GB"/>
        </w:rPr>
        <w:t xml:space="preserve"> This is indicative of many factors </w:t>
      </w:r>
      <w:r w:rsidR="008649AF" w:rsidRPr="004A29F9">
        <w:rPr>
          <w:rFonts w:ascii="Times New Roman" w:hAnsi="Times New Roman" w:cs="Times New Roman"/>
          <w:sz w:val="22"/>
          <w:szCs w:val="22"/>
          <w:lang w:val="en-GB"/>
        </w:rPr>
        <w:t xml:space="preserve">at the political-level that </w:t>
      </w:r>
      <w:r w:rsidR="00BE6981" w:rsidRPr="004A29F9">
        <w:rPr>
          <w:rFonts w:ascii="Times New Roman" w:hAnsi="Times New Roman" w:cs="Times New Roman"/>
          <w:sz w:val="22"/>
          <w:szCs w:val="22"/>
          <w:lang w:val="en-GB"/>
        </w:rPr>
        <w:t xml:space="preserve">continue to </w:t>
      </w:r>
      <w:r w:rsidR="008649AF" w:rsidRPr="004A29F9">
        <w:rPr>
          <w:rFonts w:ascii="Times New Roman" w:hAnsi="Times New Roman" w:cs="Times New Roman"/>
          <w:sz w:val="22"/>
          <w:szCs w:val="22"/>
          <w:lang w:val="en-GB"/>
        </w:rPr>
        <w:t>impact upon UNDP’s implementation of its programming on a day-to-day basis.</w:t>
      </w:r>
      <w:r w:rsidR="009B22B9">
        <w:rPr>
          <w:rFonts w:ascii="Times New Roman" w:hAnsi="Times New Roman" w:cs="Times New Roman"/>
          <w:sz w:val="22"/>
          <w:szCs w:val="22"/>
          <w:lang w:val="en-GB"/>
        </w:rPr>
        <w:t xml:space="preserve"> Beyond this, the protracted Israeli o</w:t>
      </w:r>
      <w:r w:rsidR="00216799" w:rsidRPr="004A29F9">
        <w:rPr>
          <w:rFonts w:ascii="Times New Roman" w:hAnsi="Times New Roman" w:cs="Times New Roman"/>
          <w:sz w:val="22"/>
          <w:szCs w:val="22"/>
          <w:lang w:val="en-GB"/>
        </w:rPr>
        <w:t xml:space="preserve">ccupation continues to stress all </w:t>
      </w:r>
      <w:r w:rsidR="00836BE4" w:rsidRPr="004A29F9">
        <w:rPr>
          <w:rFonts w:ascii="Times New Roman" w:hAnsi="Times New Roman" w:cs="Times New Roman"/>
          <w:sz w:val="22"/>
          <w:szCs w:val="22"/>
          <w:lang w:val="en-GB"/>
        </w:rPr>
        <w:t>PNA</w:t>
      </w:r>
      <w:r w:rsidR="00216799" w:rsidRPr="004A29F9">
        <w:rPr>
          <w:rFonts w:ascii="Times New Roman" w:hAnsi="Times New Roman" w:cs="Times New Roman"/>
          <w:sz w:val="22"/>
          <w:szCs w:val="22"/>
          <w:lang w:val="en-GB"/>
        </w:rPr>
        <w:t xml:space="preserve"> institutions. </w:t>
      </w:r>
    </w:p>
    <w:p w:rsidR="00133EC9" w:rsidRPr="004A29F9" w:rsidRDefault="00133EC9" w:rsidP="00055E37">
      <w:pPr>
        <w:spacing w:after="0" w:line="240" w:lineRule="auto"/>
        <w:jc w:val="both"/>
        <w:rPr>
          <w:rFonts w:ascii="Times New Roman" w:hAnsi="Times New Roman" w:cs="Times New Roman"/>
          <w:sz w:val="22"/>
          <w:szCs w:val="22"/>
          <w:lang w:val="en-GB"/>
        </w:rPr>
      </w:pPr>
    </w:p>
    <w:p w:rsidR="00EC4380" w:rsidRDefault="00C120AC" w:rsidP="00055E37">
      <w:pPr>
        <w:pStyle w:val="Heading1"/>
        <w:spacing w:after="0" w:line="240" w:lineRule="auto"/>
        <w:rPr>
          <w:rFonts w:ascii="Times New Roman" w:hAnsi="Times New Roman" w:cs="Times New Roman"/>
          <w:sz w:val="22"/>
          <w:szCs w:val="22"/>
          <w:lang w:val="en-GB"/>
        </w:rPr>
      </w:pPr>
      <w:bookmarkStart w:id="14" w:name="_Toc231801798"/>
      <w:r w:rsidRPr="004A29F9">
        <w:rPr>
          <w:rFonts w:ascii="Times New Roman" w:hAnsi="Times New Roman" w:cs="Times New Roman"/>
          <w:sz w:val="22"/>
          <w:szCs w:val="22"/>
          <w:lang w:val="en-GB"/>
        </w:rPr>
        <w:t>Evaluation Findings</w:t>
      </w:r>
      <w:bookmarkEnd w:id="14"/>
    </w:p>
    <w:p w:rsidR="00055E37" w:rsidRPr="00055E37" w:rsidRDefault="00055E37" w:rsidP="00055E37">
      <w:pPr>
        <w:spacing w:after="0" w:line="240" w:lineRule="auto"/>
        <w:rPr>
          <w:lang w:val="en-GB"/>
        </w:rPr>
      </w:pPr>
    </w:p>
    <w:p w:rsidR="006853A8" w:rsidRPr="004A29F9" w:rsidRDefault="00C120AC" w:rsidP="004F767E">
      <w:pPr>
        <w:pStyle w:val="Heading2"/>
        <w:numPr>
          <w:ilvl w:val="0"/>
          <w:numId w:val="0"/>
        </w:numPr>
        <w:spacing w:before="0" w:after="0" w:line="240" w:lineRule="auto"/>
        <w:rPr>
          <w:rFonts w:ascii="Times New Roman" w:hAnsi="Times New Roman" w:cs="Times New Roman"/>
          <w:lang w:val="en-GB"/>
        </w:rPr>
      </w:pPr>
      <w:bookmarkStart w:id="15" w:name="_Toc231801799"/>
      <w:r w:rsidRPr="004A29F9">
        <w:rPr>
          <w:rFonts w:ascii="Times New Roman" w:hAnsi="Times New Roman" w:cs="Times New Roman"/>
          <w:lang w:val="en-GB"/>
        </w:rPr>
        <w:t>Impact</w:t>
      </w:r>
      <w:r w:rsidR="00AF62C3" w:rsidRPr="004A29F9">
        <w:rPr>
          <w:rFonts w:ascii="Times New Roman" w:hAnsi="Times New Roman" w:cs="Times New Roman"/>
          <w:lang w:val="en-GB"/>
        </w:rPr>
        <w:t xml:space="preserve"> and Effectiveness</w:t>
      </w:r>
      <w:bookmarkEnd w:id="15"/>
    </w:p>
    <w:p w:rsidR="00055E37" w:rsidRDefault="00055E37" w:rsidP="00055E37">
      <w:pPr>
        <w:spacing w:after="0" w:line="240" w:lineRule="auto"/>
        <w:jc w:val="both"/>
        <w:rPr>
          <w:rFonts w:ascii="Times New Roman" w:hAnsi="Times New Roman" w:cs="Times New Roman"/>
          <w:b/>
          <w:i/>
          <w:sz w:val="22"/>
          <w:szCs w:val="22"/>
          <w:lang w:val="en-GB"/>
        </w:rPr>
      </w:pPr>
    </w:p>
    <w:p w:rsidR="00E52C50" w:rsidRPr="004A29F9" w:rsidRDefault="00E52C50" w:rsidP="00055E37">
      <w:pPr>
        <w:spacing w:after="0" w:line="240" w:lineRule="auto"/>
        <w:jc w:val="both"/>
        <w:rPr>
          <w:rFonts w:ascii="Times New Roman" w:hAnsi="Times New Roman" w:cs="Times New Roman"/>
          <w:b/>
          <w:i/>
          <w:sz w:val="22"/>
          <w:szCs w:val="22"/>
          <w:lang w:val="en-GB"/>
        </w:rPr>
      </w:pPr>
      <w:r w:rsidRPr="004A29F9">
        <w:rPr>
          <w:rFonts w:ascii="Times New Roman" w:hAnsi="Times New Roman" w:cs="Times New Roman"/>
          <w:b/>
          <w:i/>
          <w:sz w:val="22"/>
          <w:szCs w:val="22"/>
          <w:lang w:val="en-GB"/>
        </w:rPr>
        <w:t xml:space="preserve">Overall Impact </w:t>
      </w:r>
    </w:p>
    <w:p w:rsidR="00055E37" w:rsidRDefault="00055E37" w:rsidP="00055E37">
      <w:pPr>
        <w:spacing w:after="0" w:line="240" w:lineRule="auto"/>
        <w:jc w:val="both"/>
        <w:rPr>
          <w:rFonts w:ascii="Times New Roman" w:hAnsi="Times New Roman" w:cs="Times New Roman"/>
          <w:sz w:val="22"/>
          <w:szCs w:val="22"/>
          <w:lang w:val="en-GB"/>
        </w:rPr>
      </w:pPr>
    </w:p>
    <w:p w:rsidR="009B22B9" w:rsidRDefault="009B22B9" w:rsidP="00055E37">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Overall, it appears that </w:t>
      </w:r>
      <w:r w:rsidR="002D4527" w:rsidRPr="004A29F9">
        <w:rPr>
          <w:rFonts w:ascii="Times New Roman" w:hAnsi="Times New Roman" w:cs="Times New Roman"/>
          <w:sz w:val="22"/>
          <w:szCs w:val="22"/>
          <w:lang w:val="en-GB"/>
        </w:rPr>
        <w:t>UNDP</w:t>
      </w:r>
      <w:r>
        <w:rPr>
          <w:rFonts w:ascii="Times New Roman" w:hAnsi="Times New Roman" w:cs="Times New Roman"/>
          <w:sz w:val="22"/>
          <w:szCs w:val="22"/>
          <w:lang w:val="en-GB"/>
        </w:rPr>
        <w:t>/PAPP’s Rule of Law &amp;</w:t>
      </w:r>
      <w:r w:rsidR="002D4527" w:rsidRPr="004A29F9">
        <w:rPr>
          <w:rFonts w:ascii="Times New Roman" w:hAnsi="Times New Roman" w:cs="Times New Roman"/>
          <w:sz w:val="22"/>
          <w:szCs w:val="22"/>
          <w:lang w:val="en-GB"/>
        </w:rPr>
        <w:t xml:space="preserve"> Access to Justice Programme</w:t>
      </w:r>
      <w:r w:rsidR="0041438F" w:rsidRPr="004A29F9">
        <w:rPr>
          <w:rFonts w:ascii="Times New Roman" w:hAnsi="Times New Roman" w:cs="Times New Roman"/>
          <w:sz w:val="22"/>
          <w:szCs w:val="22"/>
          <w:lang w:val="en-GB"/>
        </w:rPr>
        <w:t>,</w:t>
      </w:r>
      <w:r w:rsidR="002D4527" w:rsidRPr="004A29F9">
        <w:rPr>
          <w:rFonts w:ascii="Times New Roman" w:hAnsi="Times New Roman" w:cs="Times New Roman"/>
          <w:sz w:val="22"/>
          <w:szCs w:val="22"/>
          <w:lang w:val="en-GB"/>
        </w:rPr>
        <w:t xml:space="preserve"> in synergy with other UNDP initiatives</w:t>
      </w:r>
      <w:r w:rsidR="0041438F" w:rsidRPr="004A29F9">
        <w:rPr>
          <w:rFonts w:ascii="Times New Roman" w:hAnsi="Times New Roman" w:cs="Times New Roman"/>
          <w:sz w:val="22"/>
          <w:szCs w:val="22"/>
          <w:lang w:val="en-GB"/>
        </w:rPr>
        <w:t>,</w:t>
      </w:r>
      <w:r w:rsidR="002D4527" w:rsidRPr="004A29F9">
        <w:rPr>
          <w:rFonts w:ascii="Times New Roman" w:hAnsi="Times New Roman" w:cs="Times New Roman"/>
          <w:sz w:val="22"/>
          <w:szCs w:val="22"/>
          <w:lang w:val="en-GB"/>
        </w:rPr>
        <w:t xml:space="preserve"> has </w:t>
      </w:r>
      <w:r w:rsidR="0004489B" w:rsidRPr="004A29F9">
        <w:rPr>
          <w:rFonts w:ascii="Times New Roman" w:hAnsi="Times New Roman" w:cs="Times New Roman"/>
          <w:sz w:val="22"/>
          <w:szCs w:val="22"/>
          <w:lang w:val="en-GB"/>
        </w:rPr>
        <w:t>resulted in impact</w:t>
      </w:r>
      <w:r w:rsidR="002D4527" w:rsidRPr="004A29F9">
        <w:rPr>
          <w:rFonts w:ascii="Times New Roman" w:hAnsi="Times New Roman" w:cs="Times New Roman"/>
          <w:sz w:val="22"/>
          <w:szCs w:val="22"/>
          <w:lang w:val="en-GB"/>
        </w:rPr>
        <w:t xml:space="preserve"> across the five </w:t>
      </w:r>
      <w:r>
        <w:rPr>
          <w:rFonts w:ascii="Times New Roman" w:hAnsi="Times New Roman" w:cs="Times New Roman"/>
          <w:sz w:val="22"/>
          <w:szCs w:val="22"/>
          <w:lang w:val="en-GB"/>
        </w:rPr>
        <w:t>o</w:t>
      </w:r>
      <w:r w:rsidR="003473E1" w:rsidRPr="004A29F9">
        <w:rPr>
          <w:rFonts w:ascii="Times New Roman" w:hAnsi="Times New Roman" w:cs="Times New Roman"/>
          <w:sz w:val="22"/>
          <w:szCs w:val="22"/>
          <w:lang w:val="en-GB"/>
        </w:rPr>
        <w:t xml:space="preserve">utcomes and advanced the </w:t>
      </w:r>
      <w:r>
        <w:rPr>
          <w:rFonts w:ascii="Times New Roman" w:hAnsi="Times New Roman" w:cs="Times New Roman"/>
          <w:sz w:val="22"/>
          <w:szCs w:val="22"/>
          <w:lang w:val="en-GB"/>
        </w:rPr>
        <w:t>key goal of the p</w:t>
      </w:r>
      <w:r w:rsidR="00921765" w:rsidRPr="004A29F9">
        <w:rPr>
          <w:rFonts w:ascii="Times New Roman" w:hAnsi="Times New Roman" w:cs="Times New Roman"/>
          <w:sz w:val="22"/>
          <w:szCs w:val="22"/>
          <w:lang w:val="en-GB"/>
        </w:rPr>
        <w:t>ro</w:t>
      </w:r>
      <w:r w:rsidR="003A3FB5" w:rsidRPr="004A29F9">
        <w:rPr>
          <w:rFonts w:ascii="Times New Roman" w:hAnsi="Times New Roman" w:cs="Times New Roman"/>
          <w:sz w:val="22"/>
          <w:szCs w:val="22"/>
          <w:lang w:val="en-GB"/>
        </w:rPr>
        <w:t>gramme as express</w:t>
      </w:r>
      <w:r>
        <w:rPr>
          <w:rFonts w:ascii="Times New Roman" w:hAnsi="Times New Roman" w:cs="Times New Roman"/>
          <w:sz w:val="22"/>
          <w:szCs w:val="22"/>
          <w:lang w:val="en-GB"/>
        </w:rPr>
        <w:t xml:space="preserve">ed in the UNDP Strategic Plan: </w:t>
      </w:r>
      <w:r w:rsidR="003A3FB5" w:rsidRPr="004A29F9">
        <w:rPr>
          <w:rFonts w:ascii="Times New Roman" w:hAnsi="Times New Roman" w:cs="Times New Roman"/>
          <w:sz w:val="22"/>
          <w:szCs w:val="22"/>
          <w:lang w:val="en-GB"/>
        </w:rPr>
        <w:t xml:space="preserve">“Effective, responsive, accessible and fair justice </w:t>
      </w:r>
      <w:r w:rsidR="003A3FB5" w:rsidRPr="004A29F9">
        <w:rPr>
          <w:rFonts w:ascii="Times New Roman" w:hAnsi="Times New Roman" w:cs="Times New Roman"/>
          <w:sz w:val="22"/>
          <w:szCs w:val="22"/>
          <w:lang w:val="en-GB"/>
        </w:rPr>
        <w:lastRenderedPageBreak/>
        <w:t>system</w:t>
      </w:r>
      <w:r w:rsidR="00C53312" w:rsidRPr="004A29F9">
        <w:rPr>
          <w:rFonts w:ascii="Times New Roman" w:hAnsi="Times New Roman" w:cs="Times New Roman"/>
          <w:sz w:val="22"/>
          <w:szCs w:val="22"/>
          <w:lang w:val="en-GB"/>
        </w:rPr>
        <w:t xml:space="preserve"> established, promoting both formal and informal rule of law mechanisms with particular attention paid </w:t>
      </w:r>
      <w:r>
        <w:rPr>
          <w:rFonts w:ascii="Times New Roman" w:hAnsi="Times New Roman" w:cs="Times New Roman"/>
          <w:sz w:val="22"/>
          <w:szCs w:val="22"/>
          <w:lang w:val="en-GB"/>
        </w:rPr>
        <w:t>to women and the most marginalis</w:t>
      </w:r>
      <w:r w:rsidR="00C53312" w:rsidRPr="004A29F9">
        <w:rPr>
          <w:rFonts w:ascii="Times New Roman" w:hAnsi="Times New Roman" w:cs="Times New Roman"/>
          <w:sz w:val="22"/>
          <w:szCs w:val="22"/>
          <w:lang w:val="en-GB"/>
        </w:rPr>
        <w:t>ed and vulnerable.”</w:t>
      </w:r>
    </w:p>
    <w:p w:rsidR="00A335AF" w:rsidRPr="004A29F9" w:rsidRDefault="00A335AF" w:rsidP="00055E37">
      <w:pPr>
        <w:spacing w:after="0" w:line="240" w:lineRule="auto"/>
        <w:jc w:val="both"/>
        <w:rPr>
          <w:rFonts w:ascii="Times New Roman" w:hAnsi="Times New Roman" w:cs="Times New Roman"/>
          <w:sz w:val="22"/>
          <w:szCs w:val="22"/>
          <w:lang w:val="en-GB"/>
        </w:rPr>
      </w:pPr>
    </w:p>
    <w:p w:rsidR="009B22B9" w:rsidRDefault="001121ED"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By any </w:t>
      </w:r>
      <w:r w:rsidR="009B22B9">
        <w:rPr>
          <w:rFonts w:ascii="Times New Roman" w:hAnsi="Times New Roman" w:cs="Times New Roman"/>
          <w:sz w:val="22"/>
          <w:szCs w:val="22"/>
          <w:lang w:val="en-GB"/>
        </w:rPr>
        <w:t xml:space="preserve">measure - </w:t>
      </w:r>
      <w:r w:rsidR="00D22611" w:rsidRPr="004A29F9">
        <w:rPr>
          <w:rFonts w:ascii="Times New Roman" w:hAnsi="Times New Roman" w:cs="Times New Roman"/>
          <w:sz w:val="22"/>
          <w:szCs w:val="22"/>
          <w:lang w:val="en-GB"/>
        </w:rPr>
        <w:t>an</w:t>
      </w:r>
      <w:r w:rsidR="009B22B9">
        <w:rPr>
          <w:rFonts w:ascii="Times New Roman" w:hAnsi="Times New Roman" w:cs="Times New Roman"/>
          <w:sz w:val="22"/>
          <w:szCs w:val="22"/>
          <w:lang w:val="en-GB"/>
        </w:rPr>
        <w:t xml:space="preserve">d indeed, by the standards the programme set for itself - </w:t>
      </w:r>
      <w:r w:rsidR="00D22611" w:rsidRPr="004A29F9">
        <w:rPr>
          <w:rFonts w:ascii="Times New Roman" w:hAnsi="Times New Roman" w:cs="Times New Roman"/>
          <w:sz w:val="22"/>
          <w:szCs w:val="22"/>
          <w:lang w:val="en-GB"/>
        </w:rPr>
        <w:t xml:space="preserve">UNDP and its partners have made </w:t>
      </w:r>
      <w:r w:rsidR="00FD54F5" w:rsidRPr="004A29F9">
        <w:rPr>
          <w:rFonts w:ascii="Times New Roman" w:hAnsi="Times New Roman" w:cs="Times New Roman"/>
          <w:sz w:val="22"/>
          <w:szCs w:val="22"/>
          <w:lang w:val="en-GB"/>
        </w:rPr>
        <w:t xml:space="preserve">progress </w:t>
      </w:r>
      <w:r w:rsidR="009B22B9">
        <w:rPr>
          <w:rFonts w:ascii="Times New Roman" w:hAnsi="Times New Roman" w:cs="Times New Roman"/>
          <w:sz w:val="22"/>
          <w:szCs w:val="22"/>
          <w:lang w:val="en-GB"/>
        </w:rPr>
        <w:t>towards achieving the five o</w:t>
      </w:r>
      <w:r w:rsidR="00192803" w:rsidRPr="004A29F9">
        <w:rPr>
          <w:rFonts w:ascii="Times New Roman" w:hAnsi="Times New Roman" w:cs="Times New Roman"/>
          <w:sz w:val="22"/>
          <w:szCs w:val="22"/>
          <w:lang w:val="en-GB"/>
        </w:rPr>
        <w:t xml:space="preserve">utcomes </w:t>
      </w:r>
      <w:r w:rsidR="00FD54F5" w:rsidRPr="004A29F9">
        <w:rPr>
          <w:rFonts w:ascii="Times New Roman" w:hAnsi="Times New Roman" w:cs="Times New Roman"/>
          <w:sz w:val="22"/>
          <w:szCs w:val="22"/>
          <w:lang w:val="en-GB"/>
        </w:rPr>
        <w:t xml:space="preserve">since </w:t>
      </w:r>
      <w:r w:rsidR="009B22B9">
        <w:rPr>
          <w:rFonts w:ascii="Times New Roman" w:hAnsi="Times New Roman" w:cs="Times New Roman"/>
          <w:sz w:val="22"/>
          <w:szCs w:val="22"/>
          <w:lang w:val="en-GB"/>
        </w:rPr>
        <w:t>mid-</w:t>
      </w:r>
      <w:r w:rsidR="004157B2" w:rsidRPr="004A29F9">
        <w:rPr>
          <w:rFonts w:ascii="Times New Roman" w:hAnsi="Times New Roman" w:cs="Times New Roman"/>
          <w:sz w:val="22"/>
          <w:szCs w:val="22"/>
          <w:lang w:val="en-GB"/>
        </w:rPr>
        <w:t>2010</w:t>
      </w:r>
      <w:r w:rsidR="009B22B9">
        <w:rPr>
          <w:rFonts w:ascii="Times New Roman" w:hAnsi="Times New Roman" w:cs="Times New Roman"/>
          <w:sz w:val="22"/>
          <w:szCs w:val="22"/>
          <w:lang w:val="en-GB"/>
        </w:rPr>
        <w:t xml:space="preserve">. </w:t>
      </w:r>
      <w:r w:rsidR="00E579AF" w:rsidRPr="004A29F9">
        <w:rPr>
          <w:rFonts w:ascii="Times New Roman" w:hAnsi="Times New Roman" w:cs="Times New Roman"/>
          <w:sz w:val="22"/>
          <w:szCs w:val="22"/>
          <w:lang w:val="en-GB"/>
        </w:rPr>
        <w:t xml:space="preserve">At </w:t>
      </w:r>
      <w:r w:rsidR="009B22B9">
        <w:rPr>
          <w:rFonts w:ascii="Times New Roman" w:hAnsi="Times New Roman" w:cs="Times New Roman"/>
          <w:sz w:val="22"/>
          <w:szCs w:val="22"/>
          <w:lang w:val="en-GB"/>
        </w:rPr>
        <w:t>the beginning of the p</w:t>
      </w:r>
      <w:r w:rsidR="00FD54F5" w:rsidRPr="004A29F9">
        <w:rPr>
          <w:rFonts w:ascii="Times New Roman" w:hAnsi="Times New Roman" w:cs="Times New Roman"/>
          <w:sz w:val="22"/>
          <w:szCs w:val="22"/>
          <w:lang w:val="en-GB"/>
        </w:rPr>
        <w:t xml:space="preserve">rogramme, the key justice institutions </w:t>
      </w:r>
      <w:r w:rsidR="009B22B9">
        <w:rPr>
          <w:rFonts w:ascii="Times New Roman" w:hAnsi="Times New Roman" w:cs="Times New Roman"/>
          <w:sz w:val="22"/>
          <w:szCs w:val="22"/>
          <w:lang w:val="en-GB"/>
        </w:rPr>
        <w:t>such as the MOJ</w:t>
      </w:r>
      <w:r w:rsidR="00FD3C19">
        <w:rPr>
          <w:rFonts w:ascii="Times New Roman" w:hAnsi="Times New Roman" w:cs="Times New Roman"/>
          <w:sz w:val="22"/>
          <w:szCs w:val="22"/>
          <w:lang w:val="en-GB"/>
        </w:rPr>
        <w:t xml:space="preserve"> </w:t>
      </w:r>
      <w:r w:rsidR="009B22B9">
        <w:rPr>
          <w:rFonts w:ascii="Times New Roman" w:hAnsi="Times New Roman" w:cs="Times New Roman"/>
          <w:sz w:val="22"/>
          <w:szCs w:val="22"/>
          <w:lang w:val="en-GB"/>
        </w:rPr>
        <w:t>and the HJC</w:t>
      </w:r>
      <w:r w:rsidR="00FD3C19">
        <w:rPr>
          <w:rFonts w:ascii="Times New Roman" w:hAnsi="Times New Roman" w:cs="Times New Roman"/>
          <w:sz w:val="22"/>
          <w:szCs w:val="22"/>
          <w:lang w:val="en-GB"/>
        </w:rPr>
        <w:t xml:space="preserve"> </w:t>
      </w:r>
      <w:r w:rsidR="00FD54F5" w:rsidRPr="004A29F9">
        <w:rPr>
          <w:rFonts w:ascii="Times New Roman" w:hAnsi="Times New Roman" w:cs="Times New Roman"/>
          <w:sz w:val="22"/>
          <w:szCs w:val="22"/>
          <w:lang w:val="en-GB"/>
        </w:rPr>
        <w:t>were operating well below capacity, few systematic efforts were made with regards to training for legal professionals, and legislative activity was low.</w:t>
      </w:r>
      <w:r w:rsidR="00FD54F5" w:rsidRPr="004A29F9">
        <w:rPr>
          <w:rStyle w:val="FootnoteReference"/>
          <w:rFonts w:ascii="Times New Roman" w:hAnsi="Times New Roman" w:cs="Times New Roman"/>
          <w:sz w:val="22"/>
          <w:szCs w:val="22"/>
          <w:lang w:val="en-GB"/>
        </w:rPr>
        <w:footnoteReference w:id="53"/>
      </w:r>
    </w:p>
    <w:p w:rsidR="009B22B9" w:rsidRDefault="009B22B9" w:rsidP="00FB6759">
      <w:pPr>
        <w:spacing w:after="0" w:line="240" w:lineRule="auto"/>
        <w:jc w:val="both"/>
        <w:rPr>
          <w:rFonts w:ascii="Times New Roman" w:hAnsi="Times New Roman" w:cs="Times New Roman"/>
          <w:sz w:val="22"/>
          <w:szCs w:val="22"/>
          <w:lang w:val="en-GB"/>
        </w:rPr>
      </w:pPr>
    </w:p>
    <w:p w:rsidR="00710E27" w:rsidRPr="004A29F9" w:rsidRDefault="00E579AF"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Access to justice and public respect for the rule of law </w:t>
      </w:r>
      <w:r w:rsidR="00FD54F5" w:rsidRPr="004A29F9">
        <w:rPr>
          <w:rFonts w:ascii="Times New Roman" w:hAnsi="Times New Roman" w:cs="Times New Roman"/>
          <w:sz w:val="22"/>
          <w:szCs w:val="22"/>
          <w:lang w:val="en-GB"/>
        </w:rPr>
        <w:t xml:space="preserve">was significantly hindered by the absence of strong legal aid programmes and a concerted </w:t>
      </w:r>
      <w:r w:rsidRPr="004A29F9">
        <w:rPr>
          <w:rFonts w:ascii="Times New Roman" w:hAnsi="Times New Roman" w:cs="Times New Roman"/>
          <w:sz w:val="22"/>
          <w:szCs w:val="22"/>
          <w:lang w:val="en-GB"/>
        </w:rPr>
        <w:t xml:space="preserve">public relations </w:t>
      </w:r>
      <w:r w:rsidR="00FD54F5" w:rsidRPr="004A29F9">
        <w:rPr>
          <w:rFonts w:ascii="Times New Roman" w:hAnsi="Times New Roman" w:cs="Times New Roman"/>
          <w:sz w:val="22"/>
          <w:szCs w:val="22"/>
          <w:lang w:val="en-GB"/>
        </w:rPr>
        <w:t xml:space="preserve">effort to improve awareness of and respect for formal justice </w:t>
      </w:r>
      <w:r w:rsidRPr="004A29F9">
        <w:rPr>
          <w:rFonts w:ascii="Times New Roman" w:hAnsi="Times New Roman" w:cs="Times New Roman"/>
          <w:sz w:val="22"/>
          <w:szCs w:val="22"/>
          <w:lang w:val="en-GB"/>
        </w:rPr>
        <w:t>institutions</w:t>
      </w:r>
      <w:r w:rsidR="00FD54F5" w:rsidRPr="004A29F9">
        <w:rPr>
          <w:rFonts w:ascii="Times New Roman" w:hAnsi="Times New Roman" w:cs="Times New Roman"/>
          <w:sz w:val="22"/>
          <w:szCs w:val="22"/>
          <w:lang w:val="en-GB"/>
        </w:rPr>
        <w:t>.</w:t>
      </w:r>
      <w:r w:rsidRPr="004A29F9">
        <w:rPr>
          <w:rStyle w:val="FootnoteReference"/>
          <w:rFonts w:ascii="Times New Roman" w:hAnsi="Times New Roman" w:cs="Times New Roman"/>
          <w:sz w:val="22"/>
          <w:szCs w:val="22"/>
          <w:lang w:val="en-GB"/>
        </w:rPr>
        <w:footnoteReference w:id="54"/>
      </w:r>
      <w:r w:rsidR="009B22B9">
        <w:rPr>
          <w:rFonts w:ascii="Times New Roman" w:hAnsi="Times New Roman" w:cs="Times New Roman"/>
          <w:sz w:val="22"/>
          <w:szCs w:val="22"/>
          <w:lang w:val="en-GB"/>
        </w:rPr>
        <w:t xml:space="preserve"> When the p</w:t>
      </w:r>
      <w:r w:rsidRPr="004A29F9">
        <w:rPr>
          <w:rFonts w:ascii="Times New Roman" w:hAnsi="Times New Roman" w:cs="Times New Roman"/>
          <w:sz w:val="22"/>
          <w:szCs w:val="22"/>
          <w:lang w:val="en-GB"/>
        </w:rPr>
        <w:t>rogramme began, there was very limited institutional support for the special needs of women and j</w:t>
      </w:r>
      <w:r w:rsidR="00C21A1A" w:rsidRPr="004A29F9">
        <w:rPr>
          <w:rFonts w:ascii="Times New Roman" w:hAnsi="Times New Roman" w:cs="Times New Roman"/>
          <w:sz w:val="22"/>
          <w:szCs w:val="22"/>
          <w:lang w:val="en-GB"/>
        </w:rPr>
        <w:t xml:space="preserve">uveniles, and no comprehensive picture </w:t>
      </w:r>
      <w:r w:rsidRPr="004A29F9">
        <w:rPr>
          <w:rFonts w:ascii="Times New Roman" w:hAnsi="Times New Roman" w:cs="Times New Roman"/>
          <w:sz w:val="22"/>
          <w:szCs w:val="22"/>
          <w:lang w:val="en-GB"/>
        </w:rPr>
        <w:t>of the way the law affected gender and gender-based violence issues.</w:t>
      </w:r>
      <w:r w:rsidRPr="004A29F9">
        <w:rPr>
          <w:rStyle w:val="FootnoteReference"/>
          <w:rFonts w:ascii="Times New Roman" w:hAnsi="Times New Roman" w:cs="Times New Roman"/>
          <w:sz w:val="22"/>
          <w:szCs w:val="22"/>
          <w:lang w:val="en-GB"/>
        </w:rPr>
        <w:footnoteReference w:id="55"/>
      </w:r>
      <w:r w:rsidRPr="004A29F9">
        <w:rPr>
          <w:rFonts w:ascii="Times New Roman" w:hAnsi="Times New Roman" w:cs="Times New Roman"/>
          <w:sz w:val="22"/>
          <w:szCs w:val="22"/>
          <w:lang w:val="en-GB"/>
        </w:rPr>
        <w:t xml:space="preserve"> In Gaza, efforts to improve access to justice in the face of enormous political and resource obstacles were almost </w:t>
      </w:r>
      <w:r w:rsidR="00DD5DAA" w:rsidRPr="004A29F9">
        <w:rPr>
          <w:rFonts w:ascii="Times New Roman" w:hAnsi="Times New Roman" w:cs="Times New Roman"/>
          <w:sz w:val="22"/>
          <w:szCs w:val="22"/>
          <w:lang w:val="en-GB"/>
        </w:rPr>
        <w:t>non-existent</w:t>
      </w:r>
      <w:r w:rsidRPr="004A29F9">
        <w:rPr>
          <w:rFonts w:ascii="Times New Roman" w:hAnsi="Times New Roman" w:cs="Times New Roman"/>
          <w:sz w:val="22"/>
          <w:szCs w:val="22"/>
          <w:lang w:val="en-GB"/>
        </w:rPr>
        <w:t>.</w:t>
      </w:r>
      <w:r w:rsidRPr="004A29F9">
        <w:rPr>
          <w:rStyle w:val="FootnoteReference"/>
          <w:rFonts w:ascii="Times New Roman" w:hAnsi="Times New Roman" w:cs="Times New Roman"/>
          <w:sz w:val="22"/>
          <w:szCs w:val="22"/>
          <w:lang w:val="en-GB"/>
        </w:rPr>
        <w:footnoteReference w:id="56"/>
      </w:r>
      <w:r w:rsidR="00710E27" w:rsidRPr="004A29F9">
        <w:rPr>
          <w:rFonts w:ascii="Times New Roman" w:hAnsi="Times New Roman" w:cs="Times New Roman"/>
          <w:sz w:val="22"/>
          <w:szCs w:val="22"/>
          <w:lang w:val="en-GB"/>
        </w:rPr>
        <w:t>Among institutions, and between the institutions and the pub</w:t>
      </w:r>
      <w:r w:rsidR="009B22B9">
        <w:rPr>
          <w:rFonts w:ascii="Times New Roman" w:hAnsi="Times New Roman" w:cs="Times New Roman"/>
          <w:sz w:val="22"/>
          <w:szCs w:val="22"/>
          <w:lang w:val="en-GB"/>
        </w:rPr>
        <w:t>lic, distrust, miscommunication</w:t>
      </w:r>
      <w:r w:rsidR="00710E27" w:rsidRPr="004A29F9">
        <w:rPr>
          <w:rFonts w:ascii="Times New Roman" w:hAnsi="Times New Roman" w:cs="Times New Roman"/>
          <w:sz w:val="22"/>
          <w:szCs w:val="22"/>
          <w:lang w:val="en-GB"/>
        </w:rPr>
        <w:t xml:space="preserve"> and misunderstanding were deeply entrenched.</w:t>
      </w:r>
      <w:r w:rsidR="00710E27" w:rsidRPr="004A29F9">
        <w:rPr>
          <w:rStyle w:val="FootnoteReference"/>
          <w:rFonts w:ascii="Times New Roman" w:hAnsi="Times New Roman" w:cs="Times New Roman"/>
          <w:sz w:val="22"/>
          <w:szCs w:val="22"/>
          <w:lang w:val="en-GB"/>
        </w:rPr>
        <w:footnoteReference w:id="57"/>
      </w:r>
    </w:p>
    <w:p w:rsidR="009B22B9" w:rsidRDefault="009B22B9" w:rsidP="00FB6759">
      <w:pPr>
        <w:spacing w:after="0" w:line="240" w:lineRule="auto"/>
        <w:jc w:val="both"/>
        <w:rPr>
          <w:rFonts w:ascii="Times New Roman" w:hAnsi="Times New Roman" w:cs="Times New Roman"/>
          <w:sz w:val="22"/>
          <w:szCs w:val="22"/>
          <w:lang w:val="en-GB"/>
        </w:rPr>
      </w:pPr>
    </w:p>
    <w:p w:rsidR="009B22B9" w:rsidRDefault="00710E27"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Today, the landscape is dramatically dif</w:t>
      </w:r>
      <w:r w:rsidR="00A92C78" w:rsidRPr="004A29F9">
        <w:rPr>
          <w:rFonts w:ascii="Times New Roman" w:hAnsi="Times New Roman" w:cs="Times New Roman"/>
          <w:sz w:val="22"/>
          <w:szCs w:val="22"/>
          <w:lang w:val="en-GB"/>
        </w:rPr>
        <w:t>ferent</w:t>
      </w:r>
      <w:r w:rsidR="00341EBF" w:rsidRPr="004A29F9">
        <w:rPr>
          <w:rFonts w:ascii="Times New Roman" w:hAnsi="Times New Roman" w:cs="Times New Roman"/>
          <w:sz w:val="22"/>
          <w:szCs w:val="22"/>
          <w:lang w:val="en-GB"/>
        </w:rPr>
        <w:t xml:space="preserve">, </w:t>
      </w:r>
      <w:r w:rsidR="009B22B9">
        <w:rPr>
          <w:rFonts w:ascii="Times New Roman" w:hAnsi="Times New Roman" w:cs="Times New Roman"/>
          <w:sz w:val="22"/>
          <w:szCs w:val="22"/>
          <w:lang w:val="en-GB"/>
        </w:rPr>
        <w:t xml:space="preserve">and programme </w:t>
      </w:r>
      <w:r w:rsidR="00341EBF" w:rsidRPr="004A29F9">
        <w:rPr>
          <w:rFonts w:ascii="Times New Roman" w:hAnsi="Times New Roman" w:cs="Times New Roman"/>
          <w:sz w:val="22"/>
          <w:szCs w:val="22"/>
          <w:lang w:val="en-GB"/>
        </w:rPr>
        <w:t>can be credited for contributing</w:t>
      </w:r>
      <w:r w:rsidR="00683A9F" w:rsidRPr="004A29F9">
        <w:rPr>
          <w:rFonts w:ascii="Times New Roman" w:hAnsi="Times New Roman" w:cs="Times New Roman"/>
          <w:sz w:val="22"/>
          <w:szCs w:val="22"/>
          <w:lang w:val="en-GB"/>
        </w:rPr>
        <w:t xml:space="preserve"> to change</w:t>
      </w:r>
      <w:r w:rsidR="00341EBF" w:rsidRPr="004A29F9">
        <w:rPr>
          <w:rFonts w:ascii="Times New Roman" w:hAnsi="Times New Roman" w:cs="Times New Roman"/>
          <w:sz w:val="22"/>
          <w:szCs w:val="22"/>
          <w:lang w:val="en-GB"/>
        </w:rPr>
        <w:t xml:space="preserve"> in both justice institutions</w:t>
      </w:r>
      <w:r w:rsidR="00FF799B" w:rsidRPr="004A29F9">
        <w:rPr>
          <w:rFonts w:ascii="Times New Roman" w:hAnsi="Times New Roman" w:cs="Times New Roman"/>
          <w:sz w:val="22"/>
          <w:szCs w:val="22"/>
          <w:lang w:val="en-GB"/>
        </w:rPr>
        <w:t>,</w:t>
      </w:r>
      <w:r w:rsidR="00341EBF" w:rsidRPr="004A29F9">
        <w:rPr>
          <w:rFonts w:ascii="Times New Roman" w:hAnsi="Times New Roman" w:cs="Times New Roman"/>
          <w:sz w:val="22"/>
          <w:szCs w:val="22"/>
          <w:lang w:val="en-GB"/>
        </w:rPr>
        <w:t xml:space="preserve"> levels of access</w:t>
      </w:r>
      <w:r w:rsidR="00FF799B" w:rsidRPr="004A29F9">
        <w:rPr>
          <w:rFonts w:ascii="Times New Roman" w:hAnsi="Times New Roman" w:cs="Times New Roman"/>
          <w:sz w:val="22"/>
          <w:szCs w:val="22"/>
          <w:lang w:val="en-GB"/>
        </w:rPr>
        <w:t>, gender equality and the strengthening of civil society</w:t>
      </w:r>
      <w:r w:rsidR="009B22B9">
        <w:rPr>
          <w:rFonts w:ascii="Times New Roman" w:hAnsi="Times New Roman" w:cs="Times New Roman"/>
          <w:sz w:val="22"/>
          <w:szCs w:val="22"/>
          <w:lang w:val="en-GB"/>
        </w:rPr>
        <w:t xml:space="preserve">. </w:t>
      </w:r>
      <w:r w:rsidR="00A92C78" w:rsidRPr="004A29F9">
        <w:rPr>
          <w:rFonts w:ascii="Times New Roman" w:hAnsi="Times New Roman" w:cs="Times New Roman"/>
          <w:sz w:val="22"/>
          <w:szCs w:val="22"/>
          <w:lang w:val="en-GB"/>
        </w:rPr>
        <w:t xml:space="preserve">As detailed below, the </w:t>
      </w:r>
      <w:r w:rsidRPr="004A29F9">
        <w:rPr>
          <w:rFonts w:ascii="Times New Roman" w:hAnsi="Times New Roman" w:cs="Times New Roman"/>
          <w:sz w:val="22"/>
          <w:szCs w:val="22"/>
          <w:lang w:val="en-GB"/>
        </w:rPr>
        <w:t xml:space="preserve">capabilities </w:t>
      </w:r>
      <w:r w:rsidR="00A92C78" w:rsidRPr="004A29F9">
        <w:rPr>
          <w:rFonts w:ascii="Times New Roman" w:hAnsi="Times New Roman" w:cs="Times New Roman"/>
          <w:sz w:val="22"/>
          <w:szCs w:val="22"/>
          <w:lang w:val="en-GB"/>
        </w:rPr>
        <w:t xml:space="preserve">of the key justice institutions </w:t>
      </w:r>
      <w:r w:rsidRPr="004A29F9">
        <w:rPr>
          <w:rFonts w:ascii="Times New Roman" w:hAnsi="Times New Roman" w:cs="Times New Roman"/>
          <w:sz w:val="22"/>
          <w:szCs w:val="22"/>
          <w:lang w:val="en-GB"/>
        </w:rPr>
        <w:t>(including legislative capabilities) have bee</w:t>
      </w:r>
      <w:r w:rsidR="009B22B9">
        <w:rPr>
          <w:rFonts w:ascii="Times New Roman" w:hAnsi="Times New Roman" w:cs="Times New Roman"/>
          <w:sz w:val="22"/>
          <w:szCs w:val="22"/>
          <w:lang w:val="en-GB"/>
        </w:rPr>
        <w:t xml:space="preserve">n greatly expanded through UNDP </w:t>
      </w:r>
      <w:r w:rsidRPr="004A29F9">
        <w:rPr>
          <w:rFonts w:ascii="Times New Roman" w:hAnsi="Times New Roman" w:cs="Times New Roman"/>
          <w:sz w:val="22"/>
          <w:szCs w:val="22"/>
          <w:lang w:val="en-GB"/>
        </w:rPr>
        <w:t xml:space="preserve">supported training and education programmes, as well as by embedded experts </w:t>
      </w:r>
      <w:r w:rsidR="00A92C78" w:rsidRPr="004A29F9">
        <w:rPr>
          <w:rFonts w:ascii="Times New Roman" w:hAnsi="Times New Roman" w:cs="Times New Roman"/>
          <w:sz w:val="22"/>
          <w:szCs w:val="22"/>
          <w:lang w:val="en-GB"/>
        </w:rPr>
        <w:t xml:space="preserve">and improved </w:t>
      </w:r>
      <w:r w:rsidR="00ED7A04" w:rsidRPr="004A29F9">
        <w:rPr>
          <w:rFonts w:ascii="Times New Roman" w:hAnsi="Times New Roman" w:cs="Times New Roman"/>
          <w:sz w:val="22"/>
          <w:szCs w:val="22"/>
          <w:lang w:val="en-GB"/>
        </w:rPr>
        <w:t xml:space="preserve">legal </w:t>
      </w:r>
      <w:r w:rsidR="00A92C78" w:rsidRPr="004A29F9">
        <w:rPr>
          <w:rFonts w:ascii="Times New Roman" w:hAnsi="Times New Roman" w:cs="Times New Roman"/>
          <w:sz w:val="22"/>
          <w:szCs w:val="22"/>
          <w:lang w:val="en-GB"/>
        </w:rPr>
        <w:t xml:space="preserve">infrastructure </w:t>
      </w:r>
      <w:r w:rsidR="009B22B9">
        <w:rPr>
          <w:rFonts w:ascii="Times New Roman" w:hAnsi="Times New Roman" w:cs="Times New Roman"/>
          <w:sz w:val="22"/>
          <w:szCs w:val="22"/>
          <w:lang w:val="en-GB"/>
        </w:rPr>
        <w:t>funded by the p</w:t>
      </w:r>
      <w:r w:rsidRPr="004A29F9">
        <w:rPr>
          <w:rFonts w:ascii="Times New Roman" w:hAnsi="Times New Roman" w:cs="Times New Roman"/>
          <w:sz w:val="22"/>
          <w:szCs w:val="22"/>
          <w:lang w:val="en-GB"/>
        </w:rPr>
        <w:t>rogramme.</w:t>
      </w:r>
      <w:r w:rsidR="00A92C78" w:rsidRPr="004A29F9">
        <w:rPr>
          <w:rStyle w:val="FootnoteReference"/>
          <w:rFonts w:ascii="Times New Roman" w:hAnsi="Times New Roman" w:cs="Times New Roman"/>
          <w:sz w:val="22"/>
          <w:szCs w:val="22"/>
          <w:lang w:val="en-GB"/>
        </w:rPr>
        <w:footnoteReference w:id="58"/>
      </w:r>
      <w:r w:rsidRPr="004A29F9">
        <w:rPr>
          <w:rFonts w:ascii="Times New Roman" w:hAnsi="Times New Roman" w:cs="Times New Roman"/>
          <w:sz w:val="22"/>
          <w:szCs w:val="22"/>
          <w:lang w:val="en-GB"/>
        </w:rPr>
        <w:t xml:space="preserve">The </w:t>
      </w:r>
      <w:r w:rsidR="00A92C78" w:rsidRPr="004A29F9">
        <w:rPr>
          <w:rFonts w:ascii="Times New Roman" w:hAnsi="Times New Roman" w:cs="Times New Roman"/>
          <w:sz w:val="22"/>
          <w:szCs w:val="22"/>
          <w:lang w:val="en-GB"/>
        </w:rPr>
        <w:t>provision of legal aid and coordination between legal aid providers and the state have been significantly improved, and efforts have been made to inform the public of their rights and their ability to protect them through formal justice mechanisms.</w:t>
      </w:r>
      <w:r w:rsidR="00A92C78" w:rsidRPr="004A29F9">
        <w:rPr>
          <w:rStyle w:val="FootnoteReference"/>
          <w:rFonts w:ascii="Times New Roman" w:hAnsi="Times New Roman" w:cs="Times New Roman"/>
          <w:sz w:val="22"/>
          <w:szCs w:val="22"/>
          <w:lang w:val="en-GB"/>
        </w:rPr>
        <w:footnoteReference w:id="59"/>
      </w:r>
    </w:p>
    <w:p w:rsidR="009B22B9" w:rsidRDefault="009B22B9" w:rsidP="00FB6759">
      <w:pPr>
        <w:spacing w:after="0" w:line="240" w:lineRule="auto"/>
        <w:jc w:val="both"/>
        <w:rPr>
          <w:rFonts w:ascii="Times New Roman" w:hAnsi="Times New Roman" w:cs="Times New Roman"/>
          <w:sz w:val="22"/>
          <w:szCs w:val="22"/>
          <w:lang w:val="en-GB"/>
        </w:rPr>
      </w:pPr>
    </w:p>
    <w:p w:rsidR="006C58E1" w:rsidRPr="004A29F9" w:rsidRDefault="00ED7A04"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A</w:t>
      </w:r>
      <w:r w:rsidR="00A92C78" w:rsidRPr="004A29F9">
        <w:rPr>
          <w:rFonts w:ascii="Times New Roman" w:hAnsi="Times New Roman" w:cs="Times New Roman"/>
          <w:sz w:val="22"/>
          <w:szCs w:val="22"/>
          <w:lang w:val="en-GB"/>
        </w:rPr>
        <w:t xml:space="preserve"> comprehensive study of women’s rights in relation to existing legislation has been carried out with UNDP support</w:t>
      </w:r>
      <w:r w:rsidRPr="004A29F9">
        <w:rPr>
          <w:rFonts w:ascii="Times New Roman" w:hAnsi="Times New Roman" w:cs="Times New Roman"/>
          <w:sz w:val="22"/>
          <w:szCs w:val="22"/>
          <w:lang w:val="en-GB"/>
        </w:rPr>
        <w:t xml:space="preserve">, and </w:t>
      </w:r>
      <w:r w:rsidR="00DD5DAA" w:rsidRPr="004A29F9">
        <w:rPr>
          <w:rFonts w:ascii="Times New Roman" w:hAnsi="Times New Roman" w:cs="Times New Roman"/>
          <w:sz w:val="22"/>
          <w:szCs w:val="22"/>
          <w:lang w:val="en-GB"/>
        </w:rPr>
        <w:t>ground-breaking</w:t>
      </w:r>
      <w:r w:rsidRPr="004A29F9">
        <w:rPr>
          <w:rFonts w:ascii="Times New Roman" w:hAnsi="Times New Roman" w:cs="Times New Roman"/>
          <w:sz w:val="22"/>
          <w:szCs w:val="22"/>
          <w:lang w:val="en-GB"/>
        </w:rPr>
        <w:t xml:space="preserve"> programmes have been instituted to increa</w:t>
      </w:r>
      <w:r w:rsidR="009B22B9">
        <w:rPr>
          <w:rFonts w:ascii="Times New Roman" w:hAnsi="Times New Roman" w:cs="Times New Roman"/>
          <w:sz w:val="22"/>
          <w:szCs w:val="22"/>
          <w:lang w:val="en-GB"/>
        </w:rPr>
        <w:t xml:space="preserve">se the capacity of </w:t>
      </w:r>
      <w:r w:rsidRPr="004A29F9">
        <w:rPr>
          <w:rFonts w:ascii="Times New Roman" w:hAnsi="Times New Roman" w:cs="Times New Roman"/>
          <w:sz w:val="22"/>
          <w:szCs w:val="22"/>
          <w:lang w:val="en-GB"/>
        </w:rPr>
        <w:t>justice</w:t>
      </w:r>
      <w:r w:rsidR="009B22B9">
        <w:rPr>
          <w:rFonts w:ascii="Times New Roman" w:hAnsi="Times New Roman" w:cs="Times New Roman"/>
          <w:sz w:val="22"/>
          <w:szCs w:val="22"/>
          <w:lang w:val="en-GB"/>
        </w:rPr>
        <w:t xml:space="preserve"> and security</w:t>
      </w:r>
      <w:r w:rsidRPr="004A29F9">
        <w:rPr>
          <w:rFonts w:ascii="Times New Roman" w:hAnsi="Times New Roman" w:cs="Times New Roman"/>
          <w:sz w:val="22"/>
          <w:szCs w:val="22"/>
          <w:lang w:val="en-GB"/>
        </w:rPr>
        <w:t xml:space="preserve"> institutions to address the needs and rights of women and juveniles.</w:t>
      </w:r>
      <w:r w:rsidRPr="004A29F9">
        <w:rPr>
          <w:rStyle w:val="FootnoteReference"/>
          <w:rFonts w:ascii="Times New Roman" w:hAnsi="Times New Roman" w:cs="Times New Roman"/>
          <w:sz w:val="22"/>
          <w:szCs w:val="22"/>
          <w:lang w:val="en-GB"/>
        </w:rPr>
        <w:footnoteReference w:id="60"/>
      </w:r>
    </w:p>
    <w:p w:rsidR="009B22B9" w:rsidRDefault="009B22B9" w:rsidP="00FB6759">
      <w:pPr>
        <w:spacing w:after="0" w:line="240" w:lineRule="auto"/>
        <w:jc w:val="both"/>
        <w:rPr>
          <w:rFonts w:ascii="Times New Roman" w:hAnsi="Times New Roman" w:cs="Times New Roman"/>
          <w:sz w:val="22"/>
          <w:szCs w:val="22"/>
          <w:lang w:val="en-GB"/>
        </w:rPr>
      </w:pPr>
    </w:p>
    <w:p w:rsidR="001121ED" w:rsidRPr="004A29F9" w:rsidRDefault="00ED7A04"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In the Ga</w:t>
      </w:r>
      <w:r w:rsidR="009B22B9">
        <w:rPr>
          <w:rFonts w:ascii="Times New Roman" w:hAnsi="Times New Roman" w:cs="Times New Roman"/>
          <w:sz w:val="22"/>
          <w:szCs w:val="22"/>
          <w:lang w:val="en-GB"/>
        </w:rPr>
        <w:t>za Strip, rule of law activities</w:t>
      </w:r>
      <w:r w:rsidRPr="004A29F9">
        <w:rPr>
          <w:rFonts w:ascii="Times New Roman" w:hAnsi="Times New Roman" w:cs="Times New Roman"/>
          <w:sz w:val="22"/>
          <w:szCs w:val="22"/>
          <w:lang w:val="en-GB"/>
        </w:rPr>
        <w:t xml:space="preserve"> have been implemented within the </w:t>
      </w:r>
      <w:r w:rsidR="00EE1557" w:rsidRPr="004A29F9">
        <w:rPr>
          <w:rFonts w:ascii="Times New Roman" w:hAnsi="Times New Roman" w:cs="Times New Roman"/>
          <w:sz w:val="22"/>
          <w:szCs w:val="22"/>
          <w:lang w:val="en-GB"/>
        </w:rPr>
        <w:t>constraints</w:t>
      </w:r>
      <w:r w:rsidRPr="004A29F9">
        <w:rPr>
          <w:rFonts w:ascii="Times New Roman" w:hAnsi="Times New Roman" w:cs="Times New Roman"/>
          <w:sz w:val="22"/>
          <w:szCs w:val="22"/>
          <w:lang w:val="en-GB"/>
        </w:rPr>
        <w:t xml:space="preserve"> of the early recovery framework, primarily through the expansion of legal aid and public education, as well as by improving the skills of justice sector professionals such as lawyers, law students, and community leaders.</w:t>
      </w:r>
      <w:r w:rsidRPr="004A29F9">
        <w:rPr>
          <w:rStyle w:val="FootnoteReference"/>
          <w:rFonts w:ascii="Times New Roman" w:hAnsi="Times New Roman" w:cs="Times New Roman"/>
          <w:sz w:val="22"/>
          <w:szCs w:val="22"/>
          <w:lang w:val="en-GB"/>
        </w:rPr>
        <w:footnoteReference w:id="61"/>
      </w:r>
      <w:r w:rsidR="009B22B9">
        <w:rPr>
          <w:rFonts w:ascii="Times New Roman" w:hAnsi="Times New Roman" w:cs="Times New Roman"/>
          <w:sz w:val="22"/>
          <w:szCs w:val="22"/>
          <w:lang w:val="en-GB"/>
        </w:rPr>
        <w:t xml:space="preserve"> Confidence of - and confidence in - </w:t>
      </w:r>
      <w:r w:rsidR="00C21A1A" w:rsidRPr="004A29F9">
        <w:rPr>
          <w:rFonts w:ascii="Times New Roman" w:hAnsi="Times New Roman" w:cs="Times New Roman"/>
          <w:sz w:val="22"/>
          <w:szCs w:val="22"/>
          <w:lang w:val="en-GB"/>
        </w:rPr>
        <w:t>civil society has been raised considerably through a well-funded and st</w:t>
      </w:r>
      <w:r w:rsidR="009B22B9">
        <w:rPr>
          <w:rFonts w:ascii="Times New Roman" w:hAnsi="Times New Roman" w:cs="Times New Roman"/>
          <w:sz w:val="22"/>
          <w:szCs w:val="22"/>
          <w:lang w:val="en-GB"/>
        </w:rPr>
        <w:t>rategic CSI</w:t>
      </w:r>
      <w:r w:rsidR="00C21A1A" w:rsidRPr="004A29F9">
        <w:rPr>
          <w:rFonts w:ascii="Times New Roman" w:hAnsi="Times New Roman" w:cs="Times New Roman"/>
          <w:sz w:val="22"/>
          <w:szCs w:val="22"/>
          <w:lang w:val="en-GB"/>
        </w:rPr>
        <w:t>, and objective metrics to track public perceptions and justice services have bee</w:t>
      </w:r>
      <w:r w:rsidR="009B22B9">
        <w:rPr>
          <w:rFonts w:ascii="Times New Roman" w:hAnsi="Times New Roman" w:cs="Times New Roman"/>
          <w:sz w:val="22"/>
          <w:szCs w:val="22"/>
          <w:lang w:val="en-GB"/>
        </w:rPr>
        <w:t xml:space="preserve">n developed and implemented. </w:t>
      </w:r>
      <w:r w:rsidR="00C422C4" w:rsidRPr="004A29F9">
        <w:rPr>
          <w:rFonts w:ascii="Times New Roman" w:hAnsi="Times New Roman" w:cs="Times New Roman"/>
          <w:sz w:val="22"/>
          <w:szCs w:val="22"/>
          <w:lang w:val="en-GB"/>
        </w:rPr>
        <w:t xml:space="preserve">Through </w:t>
      </w:r>
      <w:r w:rsidR="009B22B9">
        <w:rPr>
          <w:rFonts w:ascii="Times New Roman" w:hAnsi="Times New Roman" w:cs="Times New Roman"/>
          <w:sz w:val="22"/>
          <w:szCs w:val="22"/>
          <w:lang w:val="en-GB"/>
        </w:rPr>
        <w:t>efforts of the p</w:t>
      </w:r>
      <w:r w:rsidR="00C422C4" w:rsidRPr="004A29F9">
        <w:rPr>
          <w:rFonts w:ascii="Times New Roman" w:hAnsi="Times New Roman" w:cs="Times New Roman"/>
          <w:sz w:val="22"/>
          <w:szCs w:val="22"/>
          <w:lang w:val="en-GB"/>
        </w:rPr>
        <w:t>rogramme, th</w:t>
      </w:r>
      <w:r w:rsidR="00C21A1A" w:rsidRPr="004A29F9">
        <w:rPr>
          <w:rFonts w:ascii="Times New Roman" w:hAnsi="Times New Roman" w:cs="Times New Roman"/>
          <w:sz w:val="22"/>
          <w:szCs w:val="22"/>
          <w:lang w:val="en-GB"/>
        </w:rPr>
        <w:t>e relationship among the key justice institutions and between those institutions and the publi</w:t>
      </w:r>
      <w:r w:rsidR="009B22B9">
        <w:rPr>
          <w:rFonts w:ascii="Times New Roman" w:hAnsi="Times New Roman" w:cs="Times New Roman"/>
          <w:sz w:val="22"/>
          <w:szCs w:val="22"/>
          <w:lang w:val="en-GB"/>
        </w:rPr>
        <w:t>c has been greatly improved</w:t>
      </w:r>
      <w:r w:rsidR="00C21A1A" w:rsidRPr="004A29F9">
        <w:rPr>
          <w:rFonts w:ascii="Times New Roman" w:hAnsi="Times New Roman" w:cs="Times New Roman"/>
          <w:sz w:val="22"/>
          <w:szCs w:val="22"/>
          <w:lang w:val="en-GB"/>
        </w:rPr>
        <w:t>.</w:t>
      </w:r>
      <w:r w:rsidR="00C21A1A" w:rsidRPr="004A29F9">
        <w:rPr>
          <w:rStyle w:val="FootnoteReference"/>
          <w:rFonts w:ascii="Times New Roman" w:hAnsi="Times New Roman" w:cs="Times New Roman"/>
          <w:sz w:val="22"/>
          <w:szCs w:val="22"/>
          <w:lang w:val="en-GB"/>
        </w:rPr>
        <w:footnoteReference w:id="62"/>
      </w:r>
    </w:p>
    <w:p w:rsidR="009B22B9" w:rsidRDefault="009B22B9" w:rsidP="00FB6759">
      <w:pPr>
        <w:spacing w:after="0" w:line="240" w:lineRule="auto"/>
        <w:jc w:val="both"/>
        <w:rPr>
          <w:rFonts w:ascii="Times New Roman" w:hAnsi="Times New Roman" w:cs="Times New Roman"/>
          <w:sz w:val="22"/>
          <w:szCs w:val="22"/>
          <w:lang w:val="en-GB"/>
        </w:rPr>
      </w:pPr>
    </w:p>
    <w:p w:rsidR="006922AA" w:rsidRPr="004A29F9" w:rsidRDefault="009B22B9"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The Programme Document is broad in scope. </w:t>
      </w:r>
      <w:r w:rsidR="0069063F" w:rsidRPr="004A29F9">
        <w:rPr>
          <w:rFonts w:ascii="Times New Roman" w:hAnsi="Times New Roman" w:cs="Times New Roman"/>
          <w:sz w:val="22"/>
          <w:szCs w:val="22"/>
          <w:lang w:val="en-GB"/>
        </w:rPr>
        <w:t>T</w:t>
      </w:r>
      <w:r w:rsidR="00F160C7" w:rsidRPr="004A29F9">
        <w:rPr>
          <w:rFonts w:ascii="Times New Roman" w:hAnsi="Times New Roman" w:cs="Times New Roman"/>
          <w:sz w:val="22"/>
          <w:szCs w:val="22"/>
          <w:lang w:val="en-GB"/>
        </w:rPr>
        <w:t>o</w:t>
      </w:r>
      <w:r w:rsidR="00A335AF" w:rsidRPr="004A29F9">
        <w:rPr>
          <w:rFonts w:ascii="Times New Roman" w:hAnsi="Times New Roman" w:cs="Times New Roman"/>
          <w:sz w:val="22"/>
          <w:szCs w:val="22"/>
          <w:lang w:val="en-GB"/>
        </w:rPr>
        <w:t xml:space="preserve"> its credit, UNDP has attempted t</w:t>
      </w:r>
      <w:r>
        <w:rPr>
          <w:rFonts w:ascii="Times New Roman" w:hAnsi="Times New Roman" w:cs="Times New Roman"/>
          <w:sz w:val="22"/>
          <w:szCs w:val="22"/>
          <w:lang w:val="en-GB"/>
        </w:rPr>
        <w:t>o service all of the sub-outcomes of the Programme</w:t>
      </w:r>
      <w:r w:rsidR="00FD3C19">
        <w:rPr>
          <w:rFonts w:ascii="Times New Roman" w:hAnsi="Times New Roman" w:cs="Times New Roman"/>
          <w:sz w:val="22"/>
          <w:szCs w:val="22"/>
          <w:lang w:val="en-GB"/>
        </w:rPr>
        <w:t xml:space="preserve"> </w:t>
      </w:r>
      <w:r>
        <w:rPr>
          <w:rFonts w:ascii="Times New Roman" w:hAnsi="Times New Roman" w:cs="Times New Roman"/>
          <w:sz w:val="22"/>
          <w:szCs w:val="22"/>
          <w:lang w:val="en-GB"/>
        </w:rPr>
        <w:t>D</w:t>
      </w:r>
      <w:r w:rsidR="000E6B39" w:rsidRPr="004A29F9">
        <w:rPr>
          <w:rFonts w:ascii="Times New Roman" w:hAnsi="Times New Roman" w:cs="Times New Roman"/>
          <w:sz w:val="22"/>
          <w:szCs w:val="22"/>
          <w:lang w:val="en-GB"/>
        </w:rPr>
        <w:t>ocument, which</w:t>
      </w:r>
      <w:r w:rsidR="0057162B" w:rsidRPr="004A29F9">
        <w:rPr>
          <w:rFonts w:ascii="Times New Roman" w:hAnsi="Times New Roman" w:cs="Times New Roman"/>
          <w:sz w:val="22"/>
          <w:szCs w:val="22"/>
          <w:lang w:val="en-GB"/>
        </w:rPr>
        <w:t xml:space="preserve"> is largely in conformity with what the donors themselves</w:t>
      </w:r>
      <w:r>
        <w:rPr>
          <w:rFonts w:ascii="Times New Roman" w:hAnsi="Times New Roman" w:cs="Times New Roman"/>
          <w:sz w:val="22"/>
          <w:szCs w:val="22"/>
          <w:lang w:val="en-GB"/>
        </w:rPr>
        <w:t xml:space="preserve"> had requested that UNDP do. </w:t>
      </w:r>
      <w:r w:rsidR="001D05A3" w:rsidRPr="004A29F9">
        <w:rPr>
          <w:rFonts w:ascii="Times New Roman" w:hAnsi="Times New Roman" w:cs="Times New Roman"/>
          <w:sz w:val="22"/>
          <w:szCs w:val="22"/>
          <w:lang w:val="en-GB"/>
        </w:rPr>
        <w:t>Going</w:t>
      </w:r>
      <w:r w:rsidR="000B65D1" w:rsidRPr="004A29F9">
        <w:rPr>
          <w:rFonts w:ascii="Times New Roman" w:hAnsi="Times New Roman" w:cs="Times New Roman"/>
          <w:sz w:val="22"/>
          <w:szCs w:val="22"/>
          <w:lang w:val="en-GB"/>
        </w:rPr>
        <w:t xml:space="preserve"> forward</w:t>
      </w:r>
      <w:r w:rsidR="001D05A3" w:rsidRPr="004A29F9">
        <w:rPr>
          <w:rFonts w:ascii="Times New Roman" w:hAnsi="Times New Roman" w:cs="Times New Roman"/>
          <w:sz w:val="22"/>
          <w:szCs w:val="22"/>
          <w:lang w:val="en-GB"/>
        </w:rPr>
        <w:t>,</w:t>
      </w:r>
      <w:r w:rsidR="000B65D1" w:rsidRPr="004A29F9">
        <w:rPr>
          <w:rFonts w:ascii="Times New Roman" w:hAnsi="Times New Roman" w:cs="Times New Roman"/>
          <w:sz w:val="22"/>
          <w:szCs w:val="22"/>
          <w:lang w:val="en-GB"/>
        </w:rPr>
        <w:t xml:space="preserve"> UNDP </w:t>
      </w:r>
      <w:r w:rsidR="001D05A3" w:rsidRPr="004A29F9">
        <w:rPr>
          <w:rFonts w:ascii="Times New Roman" w:hAnsi="Times New Roman" w:cs="Times New Roman"/>
          <w:sz w:val="22"/>
          <w:szCs w:val="22"/>
          <w:lang w:val="en-GB"/>
        </w:rPr>
        <w:t xml:space="preserve">may </w:t>
      </w:r>
      <w:r w:rsidR="000B65D1" w:rsidRPr="004A29F9">
        <w:rPr>
          <w:rFonts w:ascii="Times New Roman" w:hAnsi="Times New Roman" w:cs="Times New Roman"/>
          <w:sz w:val="22"/>
          <w:szCs w:val="22"/>
          <w:lang w:val="en-GB"/>
        </w:rPr>
        <w:t>want t</w:t>
      </w:r>
      <w:r>
        <w:rPr>
          <w:rFonts w:ascii="Times New Roman" w:hAnsi="Times New Roman" w:cs="Times New Roman"/>
          <w:sz w:val="22"/>
          <w:szCs w:val="22"/>
          <w:lang w:val="en-GB"/>
        </w:rPr>
        <w:t xml:space="preserve">o explore how it can make the </w:t>
      </w:r>
      <w:r>
        <w:rPr>
          <w:rFonts w:ascii="Times New Roman" w:hAnsi="Times New Roman" w:cs="Times New Roman"/>
          <w:sz w:val="22"/>
          <w:szCs w:val="22"/>
          <w:lang w:val="en-GB"/>
        </w:rPr>
        <w:lastRenderedPageBreak/>
        <w:t>p</w:t>
      </w:r>
      <w:r w:rsidR="000B65D1" w:rsidRPr="004A29F9">
        <w:rPr>
          <w:rFonts w:ascii="Times New Roman" w:hAnsi="Times New Roman" w:cs="Times New Roman"/>
          <w:sz w:val="22"/>
          <w:szCs w:val="22"/>
          <w:lang w:val="en-GB"/>
        </w:rPr>
        <w:t>rogramme</w:t>
      </w:r>
      <w:r>
        <w:rPr>
          <w:rFonts w:ascii="Times New Roman" w:hAnsi="Times New Roman" w:cs="Times New Roman"/>
          <w:sz w:val="22"/>
          <w:szCs w:val="22"/>
          <w:lang w:val="en-GB"/>
        </w:rPr>
        <w:t xml:space="preserve">’s second phase more strategic in nature. </w:t>
      </w:r>
      <w:r w:rsidR="001A22A6" w:rsidRPr="004A29F9">
        <w:rPr>
          <w:rFonts w:ascii="Times New Roman" w:hAnsi="Times New Roman" w:cs="Times New Roman"/>
          <w:sz w:val="22"/>
          <w:szCs w:val="22"/>
          <w:lang w:val="en-GB"/>
        </w:rPr>
        <w:t xml:space="preserve">This could take the form of consolidating one or </w:t>
      </w:r>
      <w:r>
        <w:rPr>
          <w:rFonts w:ascii="Times New Roman" w:hAnsi="Times New Roman" w:cs="Times New Roman"/>
          <w:sz w:val="22"/>
          <w:szCs w:val="22"/>
          <w:lang w:val="en-GB"/>
        </w:rPr>
        <w:t>more of the existing outcomes</w:t>
      </w:r>
      <w:r w:rsidR="00BD56A2" w:rsidRPr="004A29F9">
        <w:rPr>
          <w:rFonts w:ascii="Times New Roman" w:hAnsi="Times New Roman" w:cs="Times New Roman"/>
          <w:sz w:val="22"/>
          <w:szCs w:val="22"/>
          <w:lang w:val="en-GB"/>
        </w:rPr>
        <w:t xml:space="preserve"> (i.e. those that ov</w:t>
      </w:r>
      <w:r>
        <w:rPr>
          <w:rFonts w:ascii="Times New Roman" w:hAnsi="Times New Roman" w:cs="Times New Roman"/>
          <w:sz w:val="22"/>
          <w:szCs w:val="22"/>
          <w:lang w:val="en-GB"/>
        </w:rPr>
        <w:t>erlap with civil society organis</w:t>
      </w:r>
      <w:r w:rsidR="00BD56A2" w:rsidRPr="004A29F9">
        <w:rPr>
          <w:rFonts w:ascii="Times New Roman" w:hAnsi="Times New Roman" w:cs="Times New Roman"/>
          <w:sz w:val="22"/>
          <w:szCs w:val="22"/>
          <w:lang w:val="en-GB"/>
        </w:rPr>
        <w:t>ations and/or legal empowerment)</w:t>
      </w:r>
      <w:r w:rsidR="000E6B39" w:rsidRPr="004A29F9">
        <w:rPr>
          <w:rFonts w:ascii="Times New Roman" w:hAnsi="Times New Roman" w:cs="Times New Roman"/>
          <w:sz w:val="22"/>
          <w:szCs w:val="22"/>
          <w:lang w:val="en-GB"/>
        </w:rPr>
        <w:t>; adding</w:t>
      </w:r>
      <w:r w:rsidR="00BD56A2" w:rsidRPr="004A29F9">
        <w:rPr>
          <w:rFonts w:ascii="Times New Roman" w:hAnsi="Times New Roman" w:cs="Times New Roman"/>
          <w:sz w:val="22"/>
          <w:szCs w:val="22"/>
          <w:lang w:val="en-GB"/>
        </w:rPr>
        <w:t xml:space="preserve"> new outputs (i.e. in military justice o</w:t>
      </w:r>
      <w:r w:rsidR="0035183E" w:rsidRPr="004A29F9">
        <w:rPr>
          <w:rFonts w:ascii="Times New Roman" w:hAnsi="Times New Roman" w:cs="Times New Roman"/>
          <w:sz w:val="22"/>
          <w:szCs w:val="22"/>
          <w:lang w:val="en-GB"/>
        </w:rPr>
        <w:t xml:space="preserve">r working with </w:t>
      </w:r>
      <w:r w:rsidRPr="009B22B9">
        <w:rPr>
          <w:rFonts w:ascii="Times New Roman" w:hAnsi="Times New Roman" w:cs="Times New Roman"/>
          <w:i/>
          <w:sz w:val="22"/>
          <w:szCs w:val="22"/>
          <w:lang w:val="en-GB"/>
        </w:rPr>
        <w:t>s</w:t>
      </w:r>
      <w:r w:rsidR="000C369C" w:rsidRPr="009B22B9">
        <w:rPr>
          <w:rFonts w:ascii="Times New Roman" w:hAnsi="Times New Roman" w:cs="Times New Roman"/>
          <w:i/>
          <w:sz w:val="22"/>
          <w:szCs w:val="22"/>
          <w:lang w:val="en-GB"/>
        </w:rPr>
        <w:t>hari’a</w:t>
      </w:r>
      <w:r>
        <w:rPr>
          <w:rFonts w:ascii="Times New Roman" w:hAnsi="Times New Roman" w:cs="Times New Roman"/>
          <w:sz w:val="22"/>
          <w:szCs w:val="22"/>
          <w:lang w:val="en-GB"/>
        </w:rPr>
        <w:t xml:space="preserve"> courts); and</w:t>
      </w:r>
      <w:r w:rsidR="0035183E" w:rsidRPr="004A29F9">
        <w:rPr>
          <w:rFonts w:ascii="Times New Roman" w:hAnsi="Times New Roman" w:cs="Times New Roman"/>
          <w:sz w:val="22"/>
          <w:szCs w:val="22"/>
          <w:lang w:val="en-GB"/>
        </w:rPr>
        <w:t xml:space="preserve"> strengthening its support of </w:t>
      </w:r>
      <w:r>
        <w:rPr>
          <w:rFonts w:ascii="Times New Roman" w:hAnsi="Times New Roman" w:cs="Times New Roman"/>
          <w:sz w:val="22"/>
          <w:szCs w:val="22"/>
          <w:lang w:val="en-GB"/>
        </w:rPr>
        <w:t>CSOs serving Palestinian communities</w:t>
      </w:r>
      <w:r w:rsidR="004709DB" w:rsidRPr="004A29F9">
        <w:rPr>
          <w:rFonts w:ascii="Times New Roman" w:hAnsi="Times New Roman" w:cs="Times New Roman"/>
          <w:sz w:val="22"/>
          <w:szCs w:val="22"/>
          <w:lang w:val="en-GB"/>
        </w:rPr>
        <w:t xml:space="preserve"> in </w:t>
      </w:r>
      <w:r>
        <w:rPr>
          <w:rFonts w:ascii="Times New Roman" w:hAnsi="Times New Roman" w:cs="Times New Roman"/>
          <w:sz w:val="22"/>
          <w:szCs w:val="22"/>
          <w:lang w:val="en-GB"/>
        </w:rPr>
        <w:t>Area C and East Jerusalem</w:t>
      </w:r>
      <w:r w:rsidR="004709DB" w:rsidRPr="004A29F9">
        <w:rPr>
          <w:rFonts w:ascii="Times New Roman" w:hAnsi="Times New Roman" w:cs="Times New Roman"/>
          <w:sz w:val="22"/>
          <w:szCs w:val="22"/>
          <w:lang w:val="en-GB"/>
        </w:rPr>
        <w:t>.</w:t>
      </w:r>
    </w:p>
    <w:p w:rsidR="00133EC9" w:rsidRPr="004A29F9" w:rsidRDefault="00133EC9" w:rsidP="00FB6759">
      <w:pPr>
        <w:spacing w:after="0" w:line="240" w:lineRule="auto"/>
        <w:jc w:val="both"/>
        <w:rPr>
          <w:rFonts w:ascii="Times New Roman" w:hAnsi="Times New Roman" w:cs="Times New Roman"/>
          <w:b/>
          <w:i/>
          <w:sz w:val="22"/>
          <w:szCs w:val="22"/>
          <w:lang w:val="en-GB"/>
        </w:rPr>
      </w:pPr>
    </w:p>
    <w:p w:rsidR="006F2027" w:rsidRDefault="003253CD" w:rsidP="00FB6759">
      <w:pPr>
        <w:spacing w:after="0" w:line="240" w:lineRule="auto"/>
        <w:jc w:val="both"/>
        <w:rPr>
          <w:rFonts w:ascii="Times New Roman" w:hAnsi="Times New Roman" w:cs="Times New Roman"/>
          <w:b/>
          <w:i/>
          <w:sz w:val="22"/>
          <w:szCs w:val="22"/>
          <w:lang w:val="en-GB"/>
        </w:rPr>
      </w:pPr>
      <w:r>
        <w:rPr>
          <w:rFonts w:ascii="Times New Roman" w:hAnsi="Times New Roman" w:cs="Times New Roman"/>
          <w:b/>
          <w:i/>
          <w:sz w:val="22"/>
          <w:szCs w:val="22"/>
          <w:lang w:val="en-GB"/>
        </w:rPr>
        <w:t>Impact across the five key programme o</w:t>
      </w:r>
      <w:r w:rsidR="00133EC9" w:rsidRPr="004A29F9">
        <w:rPr>
          <w:rFonts w:ascii="Times New Roman" w:hAnsi="Times New Roman" w:cs="Times New Roman"/>
          <w:b/>
          <w:i/>
          <w:sz w:val="22"/>
          <w:szCs w:val="22"/>
          <w:lang w:val="en-GB"/>
        </w:rPr>
        <w:t>utcomes</w:t>
      </w:r>
    </w:p>
    <w:p w:rsidR="009B22B9" w:rsidRPr="004A29F9" w:rsidRDefault="009B22B9" w:rsidP="00FB6759">
      <w:pPr>
        <w:spacing w:after="0" w:line="240" w:lineRule="auto"/>
        <w:jc w:val="both"/>
        <w:rPr>
          <w:rFonts w:ascii="Times New Roman" w:hAnsi="Times New Roman" w:cs="Times New Roman"/>
          <w:b/>
          <w:i/>
          <w:sz w:val="22"/>
          <w:szCs w:val="22"/>
          <w:lang w:val="en-GB"/>
        </w:rPr>
      </w:pPr>
    </w:p>
    <w:p w:rsidR="00F634B3" w:rsidRPr="004A29F9" w:rsidRDefault="0023683A" w:rsidP="00CF7554">
      <w:pPr>
        <w:pStyle w:val="Heading3"/>
        <w:numPr>
          <w:ilvl w:val="0"/>
          <w:numId w:val="0"/>
        </w:numPr>
        <w:spacing w:before="0" w:after="0" w:line="240" w:lineRule="auto"/>
        <w:rPr>
          <w:rFonts w:ascii="Times New Roman" w:hAnsi="Times New Roman" w:cs="Times New Roman"/>
          <w:sz w:val="22"/>
          <w:szCs w:val="22"/>
          <w:lang w:val="en-GB"/>
        </w:rPr>
      </w:pPr>
      <w:bookmarkStart w:id="16" w:name="_Toc231801800"/>
      <w:r w:rsidRPr="004A29F9">
        <w:rPr>
          <w:rFonts w:ascii="Times New Roman" w:hAnsi="Times New Roman" w:cs="Times New Roman"/>
          <w:sz w:val="22"/>
          <w:szCs w:val="22"/>
          <w:lang w:val="en-GB"/>
        </w:rPr>
        <w:t>Outcome 1:  Capacity of rule of law institutions strengthened</w:t>
      </w:r>
      <w:bookmarkEnd w:id="16"/>
    </w:p>
    <w:p w:rsidR="009B22B9" w:rsidRDefault="009B22B9" w:rsidP="00FB6759">
      <w:pPr>
        <w:spacing w:after="0" w:line="240" w:lineRule="auto"/>
        <w:jc w:val="both"/>
        <w:rPr>
          <w:rFonts w:ascii="Times New Roman" w:hAnsi="Times New Roman" w:cs="Times New Roman"/>
          <w:b/>
          <w:i/>
          <w:sz w:val="22"/>
          <w:szCs w:val="22"/>
          <w:lang w:val="en-GB"/>
        </w:rPr>
      </w:pPr>
    </w:p>
    <w:p w:rsidR="006256A2" w:rsidRPr="003253CD" w:rsidRDefault="006256A2" w:rsidP="00FB6759">
      <w:pPr>
        <w:spacing w:after="0" w:line="240" w:lineRule="auto"/>
        <w:jc w:val="both"/>
        <w:rPr>
          <w:rFonts w:ascii="Times New Roman" w:hAnsi="Times New Roman" w:cs="Times New Roman"/>
          <w:i/>
          <w:sz w:val="22"/>
          <w:szCs w:val="22"/>
          <w:lang w:val="en-GB"/>
        </w:rPr>
      </w:pPr>
      <w:r w:rsidRPr="003253CD">
        <w:rPr>
          <w:rFonts w:ascii="Times New Roman" w:hAnsi="Times New Roman" w:cs="Times New Roman"/>
          <w:i/>
          <w:sz w:val="22"/>
          <w:szCs w:val="22"/>
          <w:lang w:val="en-GB"/>
        </w:rPr>
        <w:t>Output 1.1: Capacity o</w:t>
      </w:r>
      <w:r w:rsidR="00785C8A" w:rsidRPr="003253CD">
        <w:rPr>
          <w:rFonts w:ascii="Times New Roman" w:hAnsi="Times New Roman" w:cs="Times New Roman"/>
          <w:i/>
          <w:sz w:val="22"/>
          <w:szCs w:val="22"/>
          <w:lang w:val="en-GB"/>
        </w:rPr>
        <w:t xml:space="preserve">f the Ministry of Justice </w:t>
      </w:r>
      <w:r w:rsidRPr="003253CD">
        <w:rPr>
          <w:rFonts w:ascii="Times New Roman" w:hAnsi="Times New Roman" w:cs="Times New Roman"/>
          <w:i/>
          <w:sz w:val="22"/>
          <w:szCs w:val="22"/>
          <w:lang w:val="en-GB"/>
        </w:rPr>
        <w:t>reviewed and strengthened</w:t>
      </w:r>
    </w:p>
    <w:p w:rsidR="009B22B9" w:rsidRDefault="009B22B9" w:rsidP="00FB6759">
      <w:pPr>
        <w:spacing w:after="0" w:line="240" w:lineRule="auto"/>
        <w:jc w:val="both"/>
        <w:rPr>
          <w:rFonts w:ascii="Times New Roman" w:hAnsi="Times New Roman" w:cs="Times New Roman"/>
          <w:sz w:val="22"/>
          <w:szCs w:val="22"/>
          <w:lang w:val="en-GB"/>
        </w:rPr>
      </w:pPr>
    </w:p>
    <w:p w:rsidR="002813B8" w:rsidRDefault="003253CD"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The MOJ</w:t>
      </w:r>
      <w:r w:rsidR="00827B92" w:rsidRPr="004A29F9">
        <w:rPr>
          <w:rFonts w:ascii="Times New Roman" w:hAnsi="Times New Roman" w:cs="Times New Roman"/>
          <w:sz w:val="22"/>
          <w:szCs w:val="22"/>
          <w:lang w:val="en-GB"/>
        </w:rPr>
        <w:t xml:space="preserve"> has been the </w:t>
      </w:r>
      <w:r w:rsidR="00F97D80" w:rsidRPr="004A29F9">
        <w:rPr>
          <w:rFonts w:ascii="Times New Roman" w:hAnsi="Times New Roman" w:cs="Times New Roman"/>
          <w:sz w:val="22"/>
          <w:szCs w:val="22"/>
          <w:lang w:val="en-GB"/>
        </w:rPr>
        <w:t xml:space="preserve">primary institutional </w:t>
      </w:r>
      <w:r w:rsidR="00785C8A" w:rsidRPr="004A29F9">
        <w:rPr>
          <w:rFonts w:ascii="Times New Roman" w:hAnsi="Times New Roman" w:cs="Times New Roman"/>
          <w:sz w:val="22"/>
          <w:szCs w:val="22"/>
          <w:lang w:val="en-GB"/>
        </w:rPr>
        <w:t>beneficiary</w:t>
      </w:r>
      <w:r w:rsidR="00827B92" w:rsidRPr="004A29F9">
        <w:rPr>
          <w:rFonts w:ascii="Times New Roman" w:hAnsi="Times New Roman" w:cs="Times New Roman"/>
          <w:sz w:val="22"/>
          <w:szCs w:val="22"/>
          <w:lang w:val="en-GB"/>
        </w:rPr>
        <w:t xml:space="preserve"> of UNDP support under </w:t>
      </w:r>
      <w:r>
        <w:rPr>
          <w:rFonts w:ascii="Times New Roman" w:hAnsi="Times New Roman" w:cs="Times New Roman"/>
          <w:sz w:val="22"/>
          <w:szCs w:val="22"/>
          <w:lang w:val="en-GB"/>
        </w:rPr>
        <w:t xml:space="preserve">the programme. </w:t>
      </w:r>
      <w:r w:rsidR="0041438F" w:rsidRPr="004A29F9">
        <w:rPr>
          <w:rFonts w:ascii="Times New Roman" w:hAnsi="Times New Roman" w:cs="Times New Roman"/>
          <w:sz w:val="22"/>
          <w:szCs w:val="22"/>
          <w:lang w:val="en-GB"/>
        </w:rPr>
        <w:t>T</w:t>
      </w:r>
      <w:r w:rsidR="00785C8A" w:rsidRPr="004A29F9">
        <w:rPr>
          <w:rFonts w:ascii="Times New Roman" w:hAnsi="Times New Roman" w:cs="Times New Roman"/>
          <w:sz w:val="22"/>
          <w:szCs w:val="22"/>
          <w:lang w:val="en-GB"/>
        </w:rPr>
        <w:t>his support has been aimed at enabling the mission-critical institution to functionally meet its core mandate and responsibilities following a series of setbacks that resulted from external events</w:t>
      </w:r>
      <w:r w:rsidR="00827B92" w:rsidRPr="004A29F9">
        <w:rPr>
          <w:rFonts w:ascii="Times New Roman" w:hAnsi="Times New Roman" w:cs="Times New Roman"/>
          <w:sz w:val="22"/>
          <w:szCs w:val="22"/>
          <w:lang w:val="en-GB"/>
        </w:rPr>
        <w:t>.</w:t>
      </w:r>
      <w:r w:rsidR="00827B92" w:rsidRPr="004A29F9">
        <w:rPr>
          <w:rStyle w:val="FootnoteReference"/>
          <w:rFonts w:ascii="Times New Roman" w:hAnsi="Times New Roman" w:cs="Times New Roman"/>
          <w:sz w:val="22"/>
          <w:szCs w:val="22"/>
          <w:lang w:val="en-GB"/>
        </w:rPr>
        <w:footnoteReference w:id="63"/>
      </w:r>
      <w:r w:rsidR="00785C8A" w:rsidRPr="004A29F9">
        <w:rPr>
          <w:rFonts w:ascii="Times New Roman" w:hAnsi="Times New Roman" w:cs="Times New Roman"/>
          <w:sz w:val="22"/>
          <w:szCs w:val="22"/>
          <w:lang w:val="en-GB"/>
        </w:rPr>
        <w:t xml:space="preserve">Historically, the </w:t>
      </w:r>
      <w:r>
        <w:rPr>
          <w:rFonts w:ascii="Times New Roman" w:hAnsi="Times New Roman" w:cs="Times New Roman"/>
          <w:sz w:val="22"/>
          <w:szCs w:val="22"/>
          <w:lang w:val="en-GB"/>
        </w:rPr>
        <w:t>MO</w:t>
      </w:r>
      <w:r w:rsidR="00FE43A5" w:rsidRPr="004A29F9">
        <w:rPr>
          <w:rFonts w:ascii="Times New Roman" w:hAnsi="Times New Roman" w:cs="Times New Roman"/>
          <w:sz w:val="22"/>
          <w:szCs w:val="22"/>
          <w:lang w:val="en-GB"/>
        </w:rPr>
        <w:t>J</w:t>
      </w:r>
      <w:r w:rsidR="00785C8A" w:rsidRPr="004A29F9">
        <w:rPr>
          <w:rFonts w:ascii="Times New Roman" w:hAnsi="Times New Roman" w:cs="Times New Roman"/>
          <w:sz w:val="22"/>
          <w:szCs w:val="22"/>
          <w:lang w:val="en-GB"/>
        </w:rPr>
        <w:t xml:space="preserve">, like all justice sector institutions, faced stiff competition for resources from the security sector.  Even within the justice sector, the </w:t>
      </w:r>
      <w:r>
        <w:rPr>
          <w:rFonts w:ascii="Times New Roman" w:hAnsi="Times New Roman" w:cs="Times New Roman"/>
          <w:sz w:val="22"/>
          <w:szCs w:val="22"/>
          <w:lang w:val="en-GB"/>
        </w:rPr>
        <w:t>MO</w:t>
      </w:r>
      <w:r w:rsidR="00FE43A5" w:rsidRPr="004A29F9">
        <w:rPr>
          <w:rFonts w:ascii="Times New Roman" w:hAnsi="Times New Roman" w:cs="Times New Roman"/>
          <w:sz w:val="22"/>
          <w:szCs w:val="22"/>
          <w:lang w:val="en-GB"/>
        </w:rPr>
        <w:t>J</w:t>
      </w:r>
      <w:r w:rsidR="00785C8A" w:rsidRPr="004A29F9">
        <w:rPr>
          <w:rFonts w:ascii="Times New Roman" w:hAnsi="Times New Roman" w:cs="Times New Roman"/>
          <w:sz w:val="22"/>
          <w:szCs w:val="22"/>
          <w:lang w:val="en-GB"/>
        </w:rPr>
        <w:t xml:space="preserve"> often received less attention, funding, and assistance from donors r</w:t>
      </w:r>
      <w:r w:rsidR="00751D40" w:rsidRPr="004A29F9">
        <w:rPr>
          <w:rFonts w:ascii="Times New Roman" w:hAnsi="Times New Roman" w:cs="Times New Roman"/>
          <w:sz w:val="22"/>
          <w:szCs w:val="22"/>
          <w:lang w:val="en-GB"/>
        </w:rPr>
        <w:t>elative to the HJC and the AGO.</w:t>
      </w:r>
      <w:r w:rsidR="00751D40" w:rsidRPr="004A29F9">
        <w:rPr>
          <w:rStyle w:val="FootnoteReference"/>
          <w:rFonts w:ascii="Times New Roman" w:hAnsi="Times New Roman" w:cs="Times New Roman"/>
          <w:sz w:val="22"/>
          <w:szCs w:val="22"/>
          <w:lang w:val="en-GB"/>
        </w:rPr>
        <w:footnoteReference w:id="64"/>
      </w:r>
      <w:r w:rsidR="00785C8A" w:rsidRPr="004A29F9">
        <w:rPr>
          <w:rFonts w:ascii="Times New Roman" w:hAnsi="Times New Roman" w:cs="Times New Roman"/>
          <w:sz w:val="22"/>
          <w:szCs w:val="22"/>
          <w:lang w:val="en-GB"/>
        </w:rPr>
        <w:t xml:space="preserve">In the midst of this challenging struggle for resources, the Gaza-based </w:t>
      </w:r>
      <w:r>
        <w:rPr>
          <w:rFonts w:ascii="Times New Roman" w:hAnsi="Times New Roman" w:cs="Times New Roman"/>
          <w:sz w:val="22"/>
          <w:szCs w:val="22"/>
          <w:lang w:val="en-GB"/>
        </w:rPr>
        <w:t>MOJ</w:t>
      </w:r>
      <w:r w:rsidR="00785C8A" w:rsidRPr="004A29F9">
        <w:rPr>
          <w:rFonts w:ascii="Times New Roman" w:hAnsi="Times New Roman" w:cs="Times New Roman"/>
          <w:sz w:val="22"/>
          <w:szCs w:val="22"/>
          <w:lang w:val="en-GB"/>
        </w:rPr>
        <w:t xml:space="preserve"> received a crippling blow following the 2006 elections, when it was forced to essentially re-establish itself in the West Bank with new, untrained staff and fewer resources.</w:t>
      </w:r>
      <w:r w:rsidR="009B2038" w:rsidRPr="004A29F9">
        <w:rPr>
          <w:rStyle w:val="FootnoteReference"/>
          <w:rFonts w:ascii="Times New Roman" w:hAnsi="Times New Roman" w:cs="Times New Roman"/>
          <w:sz w:val="22"/>
          <w:szCs w:val="22"/>
          <w:lang w:val="en-GB"/>
        </w:rPr>
        <w:footnoteReference w:id="65"/>
      </w:r>
    </w:p>
    <w:p w:rsidR="003253CD" w:rsidRPr="004A29F9" w:rsidRDefault="003253CD" w:rsidP="00FB6759">
      <w:pPr>
        <w:spacing w:after="0" w:line="240" w:lineRule="auto"/>
        <w:jc w:val="both"/>
        <w:rPr>
          <w:rFonts w:ascii="Times New Roman" w:hAnsi="Times New Roman" w:cs="Times New Roman"/>
          <w:sz w:val="22"/>
          <w:szCs w:val="22"/>
          <w:lang w:val="en-GB"/>
        </w:rPr>
      </w:pPr>
    </w:p>
    <w:p w:rsidR="002813B8" w:rsidRPr="004A29F9" w:rsidRDefault="00785C8A"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Against </w:t>
      </w:r>
      <w:r w:rsidR="003253CD">
        <w:rPr>
          <w:rFonts w:ascii="Times New Roman" w:hAnsi="Times New Roman" w:cs="Times New Roman"/>
          <w:sz w:val="22"/>
          <w:szCs w:val="22"/>
          <w:lang w:val="en-GB"/>
        </w:rPr>
        <w:t xml:space="preserve">this difficult background, UNDP </w:t>
      </w:r>
      <w:r w:rsidRPr="004A29F9">
        <w:rPr>
          <w:rFonts w:ascii="Times New Roman" w:hAnsi="Times New Roman" w:cs="Times New Roman"/>
          <w:sz w:val="22"/>
          <w:szCs w:val="22"/>
          <w:lang w:val="en-GB"/>
        </w:rPr>
        <w:t>made</w:t>
      </w:r>
      <w:r w:rsidR="003253CD">
        <w:rPr>
          <w:rFonts w:ascii="Times New Roman" w:hAnsi="Times New Roman" w:cs="Times New Roman"/>
          <w:sz w:val="22"/>
          <w:szCs w:val="22"/>
          <w:lang w:val="en-GB"/>
        </w:rPr>
        <w:t xml:space="preserve"> the conscious decision to use p</w:t>
      </w:r>
      <w:r w:rsidRPr="004A29F9">
        <w:rPr>
          <w:rFonts w:ascii="Times New Roman" w:hAnsi="Times New Roman" w:cs="Times New Roman"/>
          <w:sz w:val="22"/>
          <w:szCs w:val="22"/>
          <w:lang w:val="en-GB"/>
        </w:rPr>
        <w:t>rogramme resources to act early and decisively to bolster t</w:t>
      </w:r>
      <w:r w:rsidR="003253CD">
        <w:rPr>
          <w:rFonts w:ascii="Times New Roman" w:hAnsi="Times New Roman" w:cs="Times New Roman"/>
          <w:sz w:val="22"/>
          <w:szCs w:val="22"/>
          <w:lang w:val="en-GB"/>
        </w:rPr>
        <w:t>he key functions of the MOJ</w:t>
      </w:r>
      <w:r w:rsidRPr="004A29F9">
        <w:rPr>
          <w:rFonts w:ascii="Times New Roman" w:hAnsi="Times New Roman" w:cs="Times New Roman"/>
          <w:sz w:val="22"/>
          <w:szCs w:val="22"/>
          <w:lang w:val="en-GB"/>
        </w:rPr>
        <w:t xml:space="preserve">. </w:t>
      </w:r>
      <w:r w:rsidR="00AA11E5" w:rsidRPr="004A29F9">
        <w:rPr>
          <w:rFonts w:ascii="Times New Roman" w:hAnsi="Times New Roman" w:cs="Times New Roman"/>
          <w:sz w:val="22"/>
          <w:szCs w:val="22"/>
          <w:lang w:val="en-GB"/>
        </w:rPr>
        <w:t>This decision appears to have b</w:t>
      </w:r>
      <w:r w:rsidR="003253CD">
        <w:rPr>
          <w:rFonts w:ascii="Times New Roman" w:hAnsi="Times New Roman" w:cs="Times New Roman"/>
          <w:sz w:val="22"/>
          <w:szCs w:val="22"/>
          <w:lang w:val="en-GB"/>
        </w:rPr>
        <w:t>een well conceived, given the MO</w:t>
      </w:r>
      <w:r w:rsidR="00AA11E5" w:rsidRPr="004A29F9">
        <w:rPr>
          <w:rFonts w:ascii="Times New Roman" w:hAnsi="Times New Roman" w:cs="Times New Roman"/>
          <w:sz w:val="22"/>
          <w:szCs w:val="22"/>
          <w:lang w:val="en-GB"/>
        </w:rPr>
        <w:t xml:space="preserve">J’s </w:t>
      </w:r>
      <w:r w:rsidR="009F5FB1" w:rsidRPr="004A29F9">
        <w:rPr>
          <w:rFonts w:ascii="Times New Roman" w:hAnsi="Times New Roman" w:cs="Times New Roman"/>
          <w:sz w:val="22"/>
          <w:szCs w:val="22"/>
          <w:lang w:val="en-GB"/>
        </w:rPr>
        <w:t>relatively weakened</w:t>
      </w:r>
      <w:r w:rsidR="00AA11E5" w:rsidRPr="004A29F9">
        <w:rPr>
          <w:rFonts w:ascii="Times New Roman" w:hAnsi="Times New Roman" w:cs="Times New Roman"/>
          <w:sz w:val="22"/>
          <w:szCs w:val="22"/>
          <w:lang w:val="en-GB"/>
        </w:rPr>
        <w:t xml:space="preserve"> position in 2009. </w:t>
      </w:r>
    </w:p>
    <w:p w:rsidR="003253CD" w:rsidRDefault="003253CD" w:rsidP="00FB6759">
      <w:pPr>
        <w:spacing w:after="0" w:line="240" w:lineRule="auto"/>
        <w:jc w:val="both"/>
        <w:rPr>
          <w:rFonts w:ascii="Times New Roman" w:hAnsi="Times New Roman" w:cs="Times New Roman"/>
          <w:sz w:val="22"/>
          <w:szCs w:val="22"/>
          <w:lang w:val="en-GB"/>
        </w:rPr>
      </w:pPr>
    </w:p>
    <w:p w:rsidR="003253CD" w:rsidRDefault="002813B8"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According to the De</w:t>
      </w:r>
      <w:r w:rsidR="003253CD">
        <w:rPr>
          <w:rFonts w:ascii="Times New Roman" w:hAnsi="Times New Roman" w:cs="Times New Roman"/>
          <w:sz w:val="22"/>
          <w:szCs w:val="22"/>
          <w:lang w:val="en-GB"/>
        </w:rPr>
        <w:t>puty Minister of Justice, the MO</w:t>
      </w:r>
      <w:r w:rsidRPr="004A29F9">
        <w:rPr>
          <w:rFonts w:ascii="Times New Roman" w:hAnsi="Times New Roman" w:cs="Times New Roman"/>
          <w:sz w:val="22"/>
          <w:szCs w:val="22"/>
          <w:lang w:val="en-GB"/>
        </w:rPr>
        <w:t>J before 2010 took the lo</w:t>
      </w:r>
      <w:r w:rsidR="00683A9F" w:rsidRPr="004A29F9">
        <w:rPr>
          <w:rFonts w:ascii="Times New Roman" w:hAnsi="Times New Roman" w:cs="Times New Roman"/>
          <w:sz w:val="22"/>
          <w:szCs w:val="22"/>
          <w:lang w:val="en-GB"/>
        </w:rPr>
        <w:t>west priority among all justice</w:t>
      </w:r>
      <w:r w:rsidRPr="004A29F9">
        <w:rPr>
          <w:rFonts w:ascii="Times New Roman" w:hAnsi="Times New Roman" w:cs="Times New Roman"/>
          <w:sz w:val="22"/>
          <w:szCs w:val="22"/>
          <w:lang w:val="en-GB"/>
        </w:rPr>
        <w:t xml:space="preserve"> institutions in</w:t>
      </w:r>
      <w:r w:rsidR="003253CD">
        <w:rPr>
          <w:rFonts w:ascii="Times New Roman" w:hAnsi="Times New Roman" w:cs="Times New Roman"/>
          <w:sz w:val="22"/>
          <w:szCs w:val="22"/>
          <w:lang w:val="en-GB"/>
        </w:rPr>
        <w:t xml:space="preserve"> terms of budgetary resources. </w:t>
      </w:r>
      <w:r w:rsidRPr="004A29F9">
        <w:rPr>
          <w:rFonts w:ascii="Times New Roman" w:hAnsi="Times New Roman" w:cs="Times New Roman"/>
          <w:sz w:val="22"/>
          <w:szCs w:val="22"/>
          <w:lang w:val="en-GB"/>
        </w:rPr>
        <w:t>It had no more than 15% of current staff and was able to conduct no more than two trainings per annum and on</w:t>
      </w:r>
      <w:r w:rsidR="003253CD">
        <w:rPr>
          <w:rFonts w:ascii="Times New Roman" w:hAnsi="Times New Roman" w:cs="Times New Roman"/>
          <w:sz w:val="22"/>
          <w:szCs w:val="22"/>
          <w:lang w:val="en-GB"/>
        </w:rPr>
        <w:t xml:space="preserve">e workshop (funded by USAID). </w:t>
      </w:r>
      <w:r w:rsidRPr="004A29F9">
        <w:rPr>
          <w:rFonts w:ascii="Times New Roman" w:hAnsi="Times New Roman" w:cs="Times New Roman"/>
          <w:sz w:val="22"/>
          <w:szCs w:val="22"/>
          <w:lang w:val="en-GB"/>
        </w:rPr>
        <w:t xml:space="preserve">Additionally, </w:t>
      </w:r>
      <w:r w:rsidR="00683A9F" w:rsidRPr="004A29F9">
        <w:rPr>
          <w:rFonts w:ascii="Times New Roman" w:hAnsi="Times New Roman" w:cs="Times New Roman"/>
          <w:sz w:val="22"/>
          <w:szCs w:val="22"/>
          <w:lang w:val="en-GB"/>
        </w:rPr>
        <w:t>m</w:t>
      </w:r>
      <w:r w:rsidRPr="004A29F9">
        <w:rPr>
          <w:rFonts w:ascii="Times New Roman" w:hAnsi="Times New Roman" w:cs="Times New Roman"/>
          <w:sz w:val="22"/>
          <w:szCs w:val="22"/>
          <w:lang w:val="en-GB"/>
        </w:rPr>
        <w:t xml:space="preserve">any </w:t>
      </w:r>
      <w:r w:rsidR="003253CD">
        <w:rPr>
          <w:rFonts w:ascii="Times New Roman" w:hAnsi="Times New Roman" w:cs="Times New Roman"/>
          <w:sz w:val="22"/>
          <w:szCs w:val="22"/>
          <w:lang w:val="en-GB"/>
        </w:rPr>
        <w:t xml:space="preserve">units and </w:t>
      </w:r>
      <w:r w:rsidRPr="004A29F9">
        <w:rPr>
          <w:rFonts w:ascii="Times New Roman" w:hAnsi="Times New Roman" w:cs="Times New Roman"/>
          <w:sz w:val="22"/>
          <w:szCs w:val="22"/>
          <w:lang w:val="en-GB"/>
        </w:rPr>
        <w:t>departments were incapacitated as result of no staff to operate them. At the time</w:t>
      </w:r>
      <w:r w:rsidR="003253CD">
        <w:rPr>
          <w:rFonts w:ascii="Times New Roman" w:hAnsi="Times New Roman" w:cs="Times New Roman"/>
          <w:sz w:val="22"/>
          <w:szCs w:val="22"/>
          <w:lang w:val="en-GB"/>
        </w:rPr>
        <w:t xml:space="preserve"> the Programme of the Thirteenth Government was launched, the absence of a planning unit deprived the MOJ from obtaining any funding (in fact, it’s the only ministry that didn’t get any financial support before 2010).</w:t>
      </w:r>
    </w:p>
    <w:p w:rsidR="003253CD" w:rsidRDefault="003253CD" w:rsidP="00FB6759">
      <w:pPr>
        <w:spacing w:after="0" w:line="240" w:lineRule="auto"/>
        <w:jc w:val="both"/>
        <w:rPr>
          <w:rFonts w:ascii="Times New Roman" w:hAnsi="Times New Roman" w:cs="Times New Roman"/>
          <w:sz w:val="22"/>
          <w:szCs w:val="22"/>
          <w:lang w:val="en-GB"/>
        </w:rPr>
      </w:pPr>
    </w:p>
    <w:p w:rsidR="00F634B3" w:rsidRPr="004A29F9" w:rsidRDefault="00FD3A65"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UNDP has proved itself </w:t>
      </w:r>
      <w:r w:rsidR="003253CD">
        <w:rPr>
          <w:rFonts w:ascii="Times New Roman" w:hAnsi="Times New Roman" w:cs="Times New Roman"/>
          <w:sz w:val="22"/>
          <w:szCs w:val="22"/>
          <w:lang w:val="en-GB"/>
        </w:rPr>
        <w:t xml:space="preserve">to be a valued partner of the MOJ. </w:t>
      </w:r>
      <w:r w:rsidR="00F634B3" w:rsidRPr="004A29F9">
        <w:rPr>
          <w:rFonts w:ascii="Times New Roman" w:hAnsi="Times New Roman" w:cs="Times New Roman"/>
          <w:sz w:val="22"/>
          <w:szCs w:val="22"/>
          <w:lang w:val="en-GB"/>
        </w:rPr>
        <w:t>According to the Deputy Minister of Justice the seco</w:t>
      </w:r>
      <w:r w:rsidR="003253CD">
        <w:rPr>
          <w:rFonts w:ascii="Times New Roman" w:hAnsi="Times New Roman" w:cs="Times New Roman"/>
          <w:sz w:val="22"/>
          <w:szCs w:val="22"/>
          <w:lang w:val="en-GB"/>
        </w:rPr>
        <w:t>nd foundational period of the MO</w:t>
      </w:r>
      <w:r w:rsidR="00F634B3" w:rsidRPr="004A29F9">
        <w:rPr>
          <w:rFonts w:ascii="Times New Roman" w:hAnsi="Times New Roman" w:cs="Times New Roman"/>
          <w:sz w:val="22"/>
          <w:szCs w:val="22"/>
          <w:lang w:val="en-GB"/>
        </w:rPr>
        <w:t>J began w</w:t>
      </w:r>
      <w:r w:rsidR="003253CD">
        <w:rPr>
          <w:rFonts w:ascii="Times New Roman" w:hAnsi="Times New Roman" w:cs="Times New Roman"/>
          <w:sz w:val="22"/>
          <w:szCs w:val="22"/>
          <w:lang w:val="en-GB"/>
        </w:rPr>
        <w:t>ith the UNDP c</w:t>
      </w:r>
      <w:r w:rsidR="00F634B3" w:rsidRPr="004A29F9">
        <w:rPr>
          <w:rFonts w:ascii="Times New Roman" w:hAnsi="Times New Roman" w:cs="Times New Roman"/>
          <w:sz w:val="22"/>
          <w:szCs w:val="22"/>
          <w:lang w:val="en-GB"/>
        </w:rPr>
        <w:t xml:space="preserve">onference held in Jericho in March 2010 that laid the foundation for a continuous process of partnership building since. </w:t>
      </w:r>
      <w:r w:rsidRPr="004A29F9">
        <w:rPr>
          <w:rFonts w:ascii="Times New Roman" w:hAnsi="Times New Roman" w:cs="Times New Roman"/>
          <w:sz w:val="22"/>
          <w:szCs w:val="22"/>
          <w:lang w:val="en-GB"/>
        </w:rPr>
        <w:t>UNDP’s early s</w:t>
      </w:r>
      <w:r w:rsidR="00F634B3" w:rsidRPr="004A29F9">
        <w:rPr>
          <w:rFonts w:ascii="Times New Roman" w:hAnsi="Times New Roman" w:cs="Times New Roman"/>
          <w:sz w:val="22"/>
          <w:szCs w:val="22"/>
          <w:lang w:val="en-GB"/>
        </w:rPr>
        <w:t xml:space="preserve">trategic evaluation of the </w:t>
      </w:r>
      <w:r w:rsidR="003253CD">
        <w:rPr>
          <w:rFonts w:ascii="Times New Roman" w:hAnsi="Times New Roman" w:cs="Times New Roman"/>
          <w:sz w:val="22"/>
          <w:szCs w:val="22"/>
          <w:lang w:val="en-GB"/>
        </w:rPr>
        <w:t>assets of the MO</w:t>
      </w:r>
      <w:r w:rsidR="00F634B3" w:rsidRPr="004A29F9">
        <w:rPr>
          <w:rFonts w:ascii="Times New Roman" w:hAnsi="Times New Roman" w:cs="Times New Roman"/>
          <w:sz w:val="22"/>
          <w:szCs w:val="22"/>
          <w:lang w:val="en-GB"/>
        </w:rPr>
        <w:t>J</w:t>
      </w:r>
      <w:r w:rsidRPr="004A29F9">
        <w:rPr>
          <w:rFonts w:ascii="Times New Roman" w:hAnsi="Times New Roman" w:cs="Times New Roman"/>
          <w:sz w:val="22"/>
          <w:szCs w:val="22"/>
          <w:lang w:val="en-GB"/>
        </w:rPr>
        <w:t xml:space="preserve"> effectively assessed</w:t>
      </w:r>
      <w:r w:rsidR="00F634B3" w:rsidRPr="004A29F9">
        <w:rPr>
          <w:rFonts w:ascii="Times New Roman" w:hAnsi="Times New Roman" w:cs="Times New Roman"/>
          <w:sz w:val="22"/>
          <w:szCs w:val="22"/>
          <w:lang w:val="en-GB"/>
        </w:rPr>
        <w:t xml:space="preserve"> the status of personnel</w:t>
      </w:r>
      <w:r w:rsidR="00FD3C19">
        <w:rPr>
          <w:rFonts w:ascii="Times New Roman" w:hAnsi="Times New Roman" w:cs="Times New Roman"/>
          <w:sz w:val="22"/>
          <w:szCs w:val="22"/>
          <w:lang w:val="en-GB"/>
        </w:rPr>
        <w:t xml:space="preserve"> </w:t>
      </w:r>
      <w:r w:rsidR="00F97D80" w:rsidRPr="004A29F9">
        <w:rPr>
          <w:rFonts w:ascii="Times New Roman" w:hAnsi="Times New Roman" w:cs="Times New Roman"/>
          <w:sz w:val="22"/>
          <w:szCs w:val="22"/>
          <w:lang w:val="en-GB"/>
        </w:rPr>
        <w:t xml:space="preserve">and their </w:t>
      </w:r>
      <w:r w:rsidR="00FD3C19">
        <w:rPr>
          <w:rFonts w:ascii="Times New Roman" w:hAnsi="Times New Roman" w:cs="Times New Roman"/>
          <w:sz w:val="22"/>
          <w:szCs w:val="22"/>
          <w:lang w:val="en-GB"/>
        </w:rPr>
        <w:t xml:space="preserve">skills, as well as gaps. </w:t>
      </w:r>
      <w:r w:rsidRPr="004A29F9">
        <w:rPr>
          <w:rFonts w:ascii="Times New Roman" w:hAnsi="Times New Roman" w:cs="Times New Roman"/>
          <w:sz w:val="22"/>
          <w:szCs w:val="22"/>
          <w:lang w:val="en-GB"/>
        </w:rPr>
        <w:t>The current Minister of Justice confirmed that UNDP’s work had significantly i</w:t>
      </w:r>
      <w:r w:rsidR="003253CD">
        <w:rPr>
          <w:rFonts w:ascii="Times New Roman" w:hAnsi="Times New Roman" w:cs="Times New Roman"/>
          <w:sz w:val="22"/>
          <w:szCs w:val="22"/>
          <w:lang w:val="en-GB"/>
        </w:rPr>
        <w:t>mproved the capacity of the MO</w:t>
      </w:r>
      <w:r w:rsidR="009F5FB1" w:rsidRPr="004A29F9">
        <w:rPr>
          <w:rFonts w:ascii="Times New Roman" w:hAnsi="Times New Roman" w:cs="Times New Roman"/>
          <w:sz w:val="22"/>
          <w:szCs w:val="22"/>
          <w:lang w:val="en-GB"/>
        </w:rPr>
        <w:t>J.</w:t>
      </w:r>
    </w:p>
    <w:p w:rsidR="003253CD" w:rsidRDefault="003253CD" w:rsidP="00FB6759">
      <w:pPr>
        <w:spacing w:after="0" w:line="240" w:lineRule="auto"/>
        <w:jc w:val="both"/>
        <w:rPr>
          <w:rFonts w:ascii="Times New Roman" w:hAnsi="Times New Roman" w:cs="Times New Roman"/>
          <w:sz w:val="22"/>
          <w:szCs w:val="22"/>
          <w:lang w:val="en-GB"/>
        </w:rPr>
      </w:pPr>
    </w:p>
    <w:p w:rsidR="002E0EC3" w:rsidRPr="004A29F9" w:rsidRDefault="007357BC"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When assessing UNDP’s impact it is important to remember that</w:t>
      </w:r>
      <w:r w:rsidR="003253CD">
        <w:rPr>
          <w:rFonts w:ascii="Times New Roman" w:hAnsi="Times New Roman" w:cs="Times New Roman"/>
          <w:sz w:val="22"/>
          <w:szCs w:val="22"/>
          <w:lang w:val="en-GB"/>
        </w:rPr>
        <w:t xml:space="preserve"> many factors relating to the MO</w:t>
      </w:r>
      <w:r w:rsidRPr="004A29F9">
        <w:rPr>
          <w:rFonts w:ascii="Times New Roman" w:hAnsi="Times New Roman" w:cs="Times New Roman"/>
          <w:sz w:val="22"/>
          <w:szCs w:val="22"/>
          <w:lang w:val="en-GB"/>
        </w:rPr>
        <w:t>J and its jurisdiction and mandate remain at the political level</w:t>
      </w:r>
      <w:r w:rsidR="003253CD">
        <w:rPr>
          <w:rFonts w:ascii="Times New Roman" w:hAnsi="Times New Roman" w:cs="Times New Roman"/>
          <w:sz w:val="22"/>
          <w:szCs w:val="22"/>
          <w:lang w:val="en-GB"/>
        </w:rPr>
        <w:t xml:space="preserve">. </w:t>
      </w:r>
      <w:r w:rsidR="002E0EC3" w:rsidRPr="004A29F9">
        <w:rPr>
          <w:rFonts w:ascii="Times New Roman" w:hAnsi="Times New Roman" w:cs="Times New Roman"/>
          <w:sz w:val="22"/>
          <w:szCs w:val="22"/>
          <w:lang w:val="en-GB"/>
        </w:rPr>
        <w:t>This has been a moving target throughout UNDP’s support</w:t>
      </w:r>
      <w:r w:rsidR="00FE412D" w:rsidRPr="004A29F9">
        <w:rPr>
          <w:rFonts w:ascii="Times New Roman" w:hAnsi="Times New Roman" w:cs="Times New Roman"/>
          <w:sz w:val="22"/>
          <w:szCs w:val="22"/>
          <w:lang w:val="en-GB"/>
        </w:rPr>
        <w:t xml:space="preserve"> and ambiguity in the legal framework itself continues to be the key cause of the polit</w:t>
      </w:r>
      <w:r w:rsidR="003253CD">
        <w:rPr>
          <w:rFonts w:ascii="Times New Roman" w:hAnsi="Times New Roman" w:cs="Times New Roman"/>
          <w:sz w:val="22"/>
          <w:szCs w:val="22"/>
          <w:lang w:val="en-GB"/>
        </w:rPr>
        <w:t>icis</w:t>
      </w:r>
      <w:r w:rsidR="00FE412D" w:rsidRPr="004A29F9">
        <w:rPr>
          <w:rFonts w:ascii="Times New Roman" w:hAnsi="Times New Roman" w:cs="Times New Roman"/>
          <w:sz w:val="22"/>
          <w:szCs w:val="22"/>
          <w:lang w:val="en-GB"/>
        </w:rPr>
        <w:t>ation of mandates</w:t>
      </w:r>
      <w:r w:rsidR="003253CD">
        <w:rPr>
          <w:rFonts w:ascii="Times New Roman" w:hAnsi="Times New Roman" w:cs="Times New Roman"/>
          <w:sz w:val="22"/>
          <w:szCs w:val="22"/>
          <w:lang w:val="en-GB"/>
        </w:rPr>
        <w:t xml:space="preserve">. </w:t>
      </w:r>
      <w:r w:rsidR="002E0EC3" w:rsidRPr="004A29F9">
        <w:rPr>
          <w:rFonts w:ascii="Times New Roman" w:hAnsi="Times New Roman" w:cs="Times New Roman"/>
          <w:sz w:val="22"/>
          <w:szCs w:val="22"/>
          <w:lang w:val="en-GB"/>
        </w:rPr>
        <w:t>As of 2012, the situation had moved politically from an overt confrontation between the institutions to a more underground confrontation. Additio</w:t>
      </w:r>
      <w:r w:rsidR="003253CD">
        <w:rPr>
          <w:rFonts w:ascii="Times New Roman" w:hAnsi="Times New Roman" w:cs="Times New Roman"/>
          <w:sz w:val="22"/>
          <w:szCs w:val="22"/>
          <w:lang w:val="en-GB"/>
        </w:rPr>
        <w:t>nally, the situation with the MO</w:t>
      </w:r>
      <w:r w:rsidR="002E0EC3" w:rsidRPr="004A29F9">
        <w:rPr>
          <w:rFonts w:ascii="Times New Roman" w:hAnsi="Times New Roman" w:cs="Times New Roman"/>
          <w:sz w:val="22"/>
          <w:szCs w:val="22"/>
          <w:lang w:val="en-GB"/>
        </w:rPr>
        <w:t xml:space="preserve">J, </w:t>
      </w:r>
      <w:r w:rsidR="003253CD">
        <w:rPr>
          <w:rFonts w:ascii="Times New Roman" w:hAnsi="Times New Roman" w:cs="Times New Roman"/>
          <w:sz w:val="22"/>
          <w:szCs w:val="22"/>
          <w:lang w:val="en-GB"/>
        </w:rPr>
        <w:t xml:space="preserve">the </w:t>
      </w:r>
      <w:r w:rsidR="002E0EC3" w:rsidRPr="004A29F9">
        <w:rPr>
          <w:rFonts w:ascii="Times New Roman" w:hAnsi="Times New Roman" w:cs="Times New Roman"/>
          <w:sz w:val="22"/>
          <w:szCs w:val="22"/>
          <w:lang w:val="en-GB"/>
        </w:rPr>
        <w:t>HJC and</w:t>
      </w:r>
      <w:r w:rsidR="003253CD">
        <w:rPr>
          <w:rFonts w:ascii="Times New Roman" w:hAnsi="Times New Roman" w:cs="Times New Roman"/>
          <w:sz w:val="22"/>
          <w:szCs w:val="22"/>
          <w:lang w:val="en-GB"/>
        </w:rPr>
        <w:t xml:space="preserve"> the </w:t>
      </w:r>
      <w:r w:rsidR="002E0EC3" w:rsidRPr="004A29F9">
        <w:rPr>
          <w:rFonts w:ascii="Times New Roman" w:hAnsi="Times New Roman" w:cs="Times New Roman"/>
          <w:sz w:val="22"/>
          <w:szCs w:val="22"/>
          <w:lang w:val="en-GB"/>
        </w:rPr>
        <w:t>AGO is impacted by the absence of two other justice institutions: the Constitut</w:t>
      </w:r>
      <w:r w:rsidR="009E6776">
        <w:rPr>
          <w:rFonts w:ascii="Times New Roman" w:hAnsi="Times New Roman" w:cs="Times New Roman"/>
          <w:sz w:val="22"/>
          <w:szCs w:val="22"/>
          <w:lang w:val="en-GB"/>
        </w:rPr>
        <w:t>ional Court and the PLC</w:t>
      </w:r>
      <w:r w:rsidR="002E0EC3" w:rsidRPr="004A29F9">
        <w:rPr>
          <w:rFonts w:ascii="Times New Roman" w:hAnsi="Times New Roman" w:cs="Times New Roman"/>
          <w:sz w:val="22"/>
          <w:szCs w:val="22"/>
          <w:lang w:val="en-GB"/>
        </w:rPr>
        <w:t>.</w:t>
      </w:r>
    </w:p>
    <w:p w:rsidR="003253CD" w:rsidRDefault="003253CD" w:rsidP="00FB6759">
      <w:pPr>
        <w:spacing w:after="0" w:line="240" w:lineRule="auto"/>
        <w:jc w:val="both"/>
        <w:rPr>
          <w:rFonts w:ascii="Times New Roman" w:hAnsi="Times New Roman" w:cs="Times New Roman"/>
          <w:sz w:val="22"/>
          <w:szCs w:val="22"/>
          <w:lang w:val="en-GB"/>
        </w:rPr>
      </w:pPr>
    </w:p>
    <w:p w:rsidR="003F757D" w:rsidRDefault="002E0EC3"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lastRenderedPageBreak/>
        <w:t>UNDP’s position is that it should not cast itself</w:t>
      </w:r>
      <w:r w:rsidR="009E6776">
        <w:rPr>
          <w:rFonts w:ascii="Times New Roman" w:hAnsi="Times New Roman" w:cs="Times New Roman"/>
          <w:sz w:val="22"/>
          <w:szCs w:val="22"/>
          <w:lang w:val="en-GB"/>
        </w:rPr>
        <w:t xml:space="preserve"> as an arbiter of this debate. Rather, it</w:t>
      </w:r>
      <w:r w:rsidRPr="004A29F9">
        <w:rPr>
          <w:rFonts w:ascii="Times New Roman" w:hAnsi="Times New Roman" w:cs="Times New Roman"/>
          <w:sz w:val="22"/>
          <w:szCs w:val="22"/>
          <w:lang w:val="en-GB"/>
        </w:rPr>
        <w:t xml:space="preserve"> has viewed its role as</w:t>
      </w:r>
      <w:r w:rsidR="00F97D80" w:rsidRPr="004A29F9">
        <w:rPr>
          <w:rFonts w:ascii="Times New Roman" w:hAnsi="Times New Roman" w:cs="Times New Roman"/>
          <w:sz w:val="22"/>
          <w:szCs w:val="22"/>
          <w:lang w:val="en-GB"/>
        </w:rPr>
        <w:t xml:space="preserve"> creating opportunities </w:t>
      </w:r>
      <w:r w:rsidR="009E6776">
        <w:rPr>
          <w:rFonts w:ascii="Times New Roman" w:hAnsi="Times New Roman" w:cs="Times New Roman"/>
          <w:sz w:val="22"/>
          <w:szCs w:val="22"/>
          <w:lang w:val="en-GB"/>
        </w:rPr>
        <w:t>for national actors</w:t>
      </w:r>
      <w:r w:rsidRPr="004A29F9">
        <w:rPr>
          <w:rFonts w:ascii="Times New Roman" w:hAnsi="Times New Roman" w:cs="Times New Roman"/>
          <w:sz w:val="22"/>
          <w:szCs w:val="22"/>
          <w:lang w:val="en-GB"/>
        </w:rPr>
        <w:t xml:space="preserve"> to resolve this and, unfortunately, these actors have not </w:t>
      </w:r>
      <w:r w:rsidR="00F47ED4" w:rsidRPr="004A29F9">
        <w:rPr>
          <w:rFonts w:ascii="Times New Roman" w:hAnsi="Times New Roman" w:cs="Times New Roman"/>
          <w:sz w:val="22"/>
          <w:szCs w:val="22"/>
          <w:lang w:val="en-GB"/>
        </w:rPr>
        <w:t xml:space="preserve">always </w:t>
      </w:r>
      <w:r w:rsidRPr="004A29F9">
        <w:rPr>
          <w:rFonts w:ascii="Times New Roman" w:hAnsi="Times New Roman" w:cs="Times New Roman"/>
          <w:sz w:val="22"/>
          <w:szCs w:val="22"/>
          <w:lang w:val="en-GB"/>
        </w:rPr>
        <w:t>been able to come to the</w:t>
      </w:r>
      <w:r w:rsidR="009E6776">
        <w:rPr>
          <w:rFonts w:ascii="Times New Roman" w:hAnsi="Times New Roman" w:cs="Times New Roman"/>
          <w:sz w:val="22"/>
          <w:szCs w:val="22"/>
          <w:lang w:val="en-GB"/>
        </w:rPr>
        <w:t xml:space="preserve"> table at the political level. </w:t>
      </w:r>
      <w:r w:rsidR="008774AB" w:rsidRPr="004A29F9">
        <w:rPr>
          <w:rFonts w:ascii="Times New Roman" w:hAnsi="Times New Roman" w:cs="Times New Roman"/>
          <w:sz w:val="22"/>
          <w:szCs w:val="22"/>
          <w:lang w:val="en-GB"/>
        </w:rPr>
        <w:t>Admittedly</w:t>
      </w:r>
      <w:r w:rsidR="00642B7F" w:rsidRPr="004A29F9">
        <w:rPr>
          <w:rFonts w:ascii="Times New Roman" w:hAnsi="Times New Roman" w:cs="Times New Roman"/>
          <w:sz w:val="22"/>
          <w:szCs w:val="22"/>
          <w:lang w:val="en-GB"/>
        </w:rPr>
        <w:t xml:space="preserve">, </w:t>
      </w:r>
      <w:r w:rsidR="008774AB" w:rsidRPr="004A29F9">
        <w:rPr>
          <w:rFonts w:ascii="Times New Roman" w:hAnsi="Times New Roman" w:cs="Times New Roman"/>
          <w:sz w:val="22"/>
          <w:szCs w:val="22"/>
          <w:lang w:val="en-GB"/>
        </w:rPr>
        <w:t>i</w:t>
      </w:r>
      <w:r w:rsidRPr="004A29F9">
        <w:rPr>
          <w:rFonts w:ascii="Times New Roman" w:hAnsi="Times New Roman" w:cs="Times New Roman"/>
          <w:sz w:val="22"/>
          <w:szCs w:val="22"/>
          <w:lang w:val="en-GB"/>
        </w:rPr>
        <w:t>f UNDP had weighed-in with a</w:t>
      </w:r>
      <w:r w:rsidR="009E6776">
        <w:rPr>
          <w:rFonts w:ascii="Times New Roman" w:hAnsi="Times New Roman" w:cs="Times New Roman"/>
          <w:sz w:val="22"/>
          <w:szCs w:val="22"/>
          <w:lang w:val="en-GB"/>
        </w:rPr>
        <w:t xml:space="preserve"> particular position in mind</w:t>
      </w:r>
      <w:r w:rsidRPr="004A29F9">
        <w:rPr>
          <w:rFonts w:ascii="Times New Roman" w:hAnsi="Times New Roman" w:cs="Times New Roman"/>
          <w:sz w:val="22"/>
          <w:szCs w:val="22"/>
          <w:lang w:val="en-GB"/>
        </w:rPr>
        <w:t xml:space="preserve">, then it </w:t>
      </w:r>
      <w:r w:rsidR="008774AB" w:rsidRPr="004A29F9">
        <w:rPr>
          <w:rFonts w:ascii="Times New Roman" w:hAnsi="Times New Roman" w:cs="Times New Roman"/>
          <w:sz w:val="22"/>
          <w:szCs w:val="22"/>
          <w:lang w:val="en-GB"/>
        </w:rPr>
        <w:t xml:space="preserve">could’ve </w:t>
      </w:r>
      <w:r w:rsidRPr="004A29F9">
        <w:rPr>
          <w:rFonts w:ascii="Times New Roman" w:hAnsi="Times New Roman" w:cs="Times New Roman"/>
          <w:sz w:val="22"/>
          <w:szCs w:val="22"/>
          <w:lang w:val="en-GB"/>
        </w:rPr>
        <w:t xml:space="preserve">been very difficult for UNDP to have maintained its engagement with all three of the justice </w:t>
      </w:r>
      <w:r w:rsidR="009E6776">
        <w:rPr>
          <w:rFonts w:ascii="Times New Roman" w:hAnsi="Times New Roman" w:cs="Times New Roman"/>
          <w:sz w:val="22"/>
          <w:szCs w:val="22"/>
          <w:lang w:val="en-GB"/>
        </w:rPr>
        <w:t>institutions simultaneously. Y</w:t>
      </w:r>
      <w:r w:rsidRPr="004A29F9">
        <w:rPr>
          <w:rFonts w:ascii="Times New Roman" w:hAnsi="Times New Roman" w:cs="Times New Roman"/>
          <w:sz w:val="22"/>
          <w:szCs w:val="22"/>
          <w:lang w:val="en-GB"/>
        </w:rPr>
        <w:t>et, at the same time, UNDP could po</w:t>
      </w:r>
      <w:r w:rsidR="006D3A59" w:rsidRPr="004A29F9">
        <w:rPr>
          <w:rFonts w:ascii="Times New Roman" w:hAnsi="Times New Roman" w:cs="Times New Roman"/>
          <w:sz w:val="22"/>
          <w:szCs w:val="22"/>
          <w:lang w:val="en-GB"/>
        </w:rPr>
        <w:t xml:space="preserve">ssibly have </w:t>
      </w:r>
      <w:r w:rsidR="00836BE4" w:rsidRPr="004A29F9">
        <w:rPr>
          <w:rFonts w:ascii="Times New Roman" w:hAnsi="Times New Roman" w:cs="Times New Roman"/>
          <w:sz w:val="22"/>
          <w:szCs w:val="22"/>
          <w:lang w:val="en-GB"/>
        </w:rPr>
        <w:t>developed</w:t>
      </w:r>
      <w:r w:rsidR="004C4F6C" w:rsidRPr="004A29F9">
        <w:rPr>
          <w:rFonts w:ascii="Times New Roman" w:hAnsi="Times New Roman" w:cs="Times New Roman"/>
          <w:sz w:val="22"/>
          <w:szCs w:val="22"/>
          <w:lang w:val="en-GB"/>
        </w:rPr>
        <w:t xml:space="preserve">(at least internally) </w:t>
      </w:r>
      <w:r w:rsidR="006D3A59" w:rsidRPr="004A29F9">
        <w:rPr>
          <w:rFonts w:ascii="Times New Roman" w:hAnsi="Times New Roman" w:cs="Times New Roman"/>
          <w:sz w:val="22"/>
          <w:szCs w:val="22"/>
          <w:lang w:val="en-GB"/>
        </w:rPr>
        <w:t xml:space="preserve">a more coherent vision of what </w:t>
      </w:r>
      <w:r w:rsidR="006D3A59" w:rsidRPr="004A29F9">
        <w:rPr>
          <w:rFonts w:ascii="Times New Roman" w:hAnsi="Times New Roman" w:cs="Times New Roman"/>
          <w:i/>
          <w:sz w:val="22"/>
          <w:szCs w:val="22"/>
          <w:lang w:val="en-GB"/>
        </w:rPr>
        <w:t>UNDP believed</w:t>
      </w:r>
      <w:r w:rsidR="006D3A59" w:rsidRPr="004A29F9">
        <w:rPr>
          <w:rFonts w:ascii="Times New Roman" w:hAnsi="Times New Roman" w:cs="Times New Roman"/>
          <w:sz w:val="22"/>
          <w:szCs w:val="22"/>
          <w:lang w:val="en-GB"/>
        </w:rPr>
        <w:t xml:space="preserve"> should be the appropriate allocation of </w:t>
      </w:r>
      <w:r w:rsidR="006373C4" w:rsidRPr="004A29F9">
        <w:rPr>
          <w:rFonts w:ascii="Times New Roman" w:hAnsi="Times New Roman" w:cs="Times New Roman"/>
          <w:sz w:val="22"/>
          <w:szCs w:val="22"/>
          <w:lang w:val="en-GB"/>
        </w:rPr>
        <w:t>powers between the three judicial institutions and held out alternative model</w:t>
      </w:r>
      <w:r w:rsidR="009E6776">
        <w:rPr>
          <w:rFonts w:ascii="Times New Roman" w:hAnsi="Times New Roman" w:cs="Times New Roman"/>
          <w:sz w:val="22"/>
          <w:szCs w:val="22"/>
          <w:lang w:val="en-GB"/>
        </w:rPr>
        <w:t xml:space="preserve">s to be considered. </w:t>
      </w:r>
      <w:r w:rsidR="00823EFB" w:rsidRPr="004A29F9">
        <w:rPr>
          <w:rFonts w:ascii="Times New Roman" w:hAnsi="Times New Roman" w:cs="Times New Roman"/>
          <w:sz w:val="22"/>
          <w:szCs w:val="22"/>
          <w:lang w:val="en-GB"/>
        </w:rPr>
        <w:t>UNDP could have made more of its convening role in trying to bring the institutions into greater dialogue and brought its vast in-house reserves of se</w:t>
      </w:r>
      <w:r w:rsidR="009E6776">
        <w:rPr>
          <w:rFonts w:ascii="Times New Roman" w:hAnsi="Times New Roman" w:cs="Times New Roman"/>
          <w:sz w:val="22"/>
          <w:szCs w:val="22"/>
          <w:lang w:val="en-GB"/>
        </w:rPr>
        <w:t xml:space="preserve">nior technical legal expertise </w:t>
      </w:r>
      <w:r w:rsidR="00823EFB" w:rsidRPr="004A29F9">
        <w:rPr>
          <w:rFonts w:ascii="Times New Roman" w:hAnsi="Times New Roman" w:cs="Times New Roman"/>
          <w:sz w:val="22"/>
          <w:szCs w:val="22"/>
          <w:lang w:val="en-GB"/>
        </w:rPr>
        <w:t>to bear upon this debate.</w:t>
      </w:r>
    </w:p>
    <w:p w:rsidR="009E6776" w:rsidRDefault="009E6776" w:rsidP="00FB6759">
      <w:pPr>
        <w:spacing w:after="0" w:line="240" w:lineRule="auto"/>
        <w:jc w:val="both"/>
        <w:rPr>
          <w:rFonts w:ascii="Times New Roman" w:hAnsi="Times New Roman" w:cs="Times New Roman"/>
          <w:sz w:val="22"/>
          <w:szCs w:val="22"/>
          <w:lang w:val="en-GB"/>
        </w:rPr>
      </w:pPr>
    </w:p>
    <w:p w:rsidR="0012538E" w:rsidRPr="004A29F9" w:rsidRDefault="009E6776"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Based on an in-depth joint capacity assessment, UNDP took a highly flexible approach: funds were made available to the MOJ based on UNDP procedures for developing an institutional partnership. UNDP mobilisation of funds</w:t>
      </w:r>
      <w:r w:rsidR="00927212" w:rsidRPr="004A29F9">
        <w:rPr>
          <w:rFonts w:ascii="Times New Roman" w:hAnsi="Times New Roman" w:cs="Times New Roman"/>
          <w:sz w:val="22"/>
          <w:szCs w:val="22"/>
          <w:lang w:val="en-GB"/>
        </w:rPr>
        <w:t xml:space="preserve"> ga</w:t>
      </w:r>
      <w:r>
        <w:rPr>
          <w:rFonts w:ascii="Times New Roman" w:hAnsi="Times New Roman" w:cs="Times New Roman"/>
          <w:sz w:val="22"/>
          <w:szCs w:val="22"/>
          <w:lang w:val="en-GB"/>
        </w:rPr>
        <w:t>ve the MO</w:t>
      </w:r>
      <w:r w:rsidR="00927212" w:rsidRPr="004A29F9">
        <w:rPr>
          <w:rFonts w:ascii="Times New Roman" w:hAnsi="Times New Roman" w:cs="Times New Roman"/>
          <w:sz w:val="22"/>
          <w:szCs w:val="22"/>
          <w:lang w:val="en-GB"/>
        </w:rPr>
        <w:t>J an</w:t>
      </w:r>
      <w:r w:rsidR="0012538E" w:rsidRPr="004A29F9">
        <w:rPr>
          <w:rFonts w:ascii="Times New Roman" w:hAnsi="Times New Roman" w:cs="Times New Roman"/>
          <w:sz w:val="22"/>
          <w:szCs w:val="22"/>
          <w:lang w:val="en-GB"/>
        </w:rPr>
        <w:t xml:space="preserve"> opportunity to solve many programmatic issues that they wouldn’t have been otherwise able to face (i.e. the educational programme with Birzeit University</w:t>
      </w:r>
      <w:r w:rsidR="00927212" w:rsidRPr="004A29F9">
        <w:rPr>
          <w:rFonts w:ascii="Times New Roman" w:hAnsi="Times New Roman" w:cs="Times New Roman"/>
          <w:sz w:val="22"/>
          <w:szCs w:val="22"/>
          <w:lang w:val="en-GB"/>
        </w:rPr>
        <w:t xml:space="preserve">; the </w:t>
      </w:r>
      <w:r>
        <w:rPr>
          <w:rFonts w:ascii="Times New Roman" w:hAnsi="Times New Roman" w:cs="Times New Roman"/>
          <w:i/>
          <w:sz w:val="22"/>
          <w:szCs w:val="22"/>
          <w:lang w:val="en-GB"/>
        </w:rPr>
        <w:t>Al-</w:t>
      </w:r>
      <w:r w:rsidR="00F97D80" w:rsidRPr="004A29F9">
        <w:rPr>
          <w:rFonts w:ascii="Times New Roman" w:hAnsi="Times New Roman" w:cs="Times New Roman"/>
          <w:i/>
          <w:sz w:val="22"/>
          <w:szCs w:val="22"/>
          <w:lang w:val="en-GB"/>
        </w:rPr>
        <w:t>Muqtafi</w:t>
      </w:r>
      <w:r w:rsidR="00227679">
        <w:rPr>
          <w:rFonts w:ascii="Times New Roman" w:hAnsi="Times New Roman" w:cs="Times New Roman"/>
          <w:i/>
          <w:sz w:val="22"/>
          <w:szCs w:val="22"/>
          <w:lang w:val="en-GB"/>
        </w:rPr>
        <w:t xml:space="preserve"> </w:t>
      </w:r>
      <w:r w:rsidR="00F97D80" w:rsidRPr="009E6776">
        <w:rPr>
          <w:rFonts w:ascii="Times New Roman" w:hAnsi="Times New Roman" w:cs="Times New Roman"/>
          <w:sz w:val="22"/>
          <w:szCs w:val="22"/>
          <w:lang w:val="en-GB"/>
        </w:rPr>
        <w:t>database</w:t>
      </w:r>
      <w:r w:rsidR="0012538E" w:rsidRPr="009E6776">
        <w:rPr>
          <w:rFonts w:ascii="Times New Roman" w:hAnsi="Times New Roman" w:cs="Times New Roman"/>
          <w:sz w:val="22"/>
          <w:szCs w:val="22"/>
          <w:lang w:val="en-GB"/>
        </w:rPr>
        <w:t>,</w:t>
      </w:r>
      <w:r w:rsidR="0012538E" w:rsidRPr="004A29F9">
        <w:rPr>
          <w:rFonts w:ascii="Times New Roman" w:hAnsi="Times New Roman" w:cs="Times New Roman"/>
          <w:sz w:val="22"/>
          <w:szCs w:val="22"/>
          <w:lang w:val="en-GB"/>
        </w:rPr>
        <w:t xml:space="preserve"> continuing legal studies diploma, etc</w:t>
      </w:r>
      <w:r w:rsidR="00927212" w:rsidRPr="004A29F9">
        <w:rPr>
          <w:rFonts w:ascii="Times New Roman" w:hAnsi="Times New Roman" w:cs="Times New Roman"/>
          <w:sz w:val="22"/>
          <w:szCs w:val="22"/>
          <w:lang w:val="en-GB"/>
        </w:rPr>
        <w:t>.).</w:t>
      </w:r>
      <w:r w:rsidR="0012538E" w:rsidRPr="004A29F9">
        <w:rPr>
          <w:rFonts w:ascii="Times New Roman" w:hAnsi="Times New Roman" w:cs="Times New Roman"/>
          <w:sz w:val="22"/>
          <w:szCs w:val="22"/>
          <w:lang w:val="en-GB"/>
        </w:rPr>
        <w:t>These were pioneerin</w:t>
      </w:r>
      <w:r>
        <w:rPr>
          <w:rFonts w:ascii="Times New Roman" w:hAnsi="Times New Roman" w:cs="Times New Roman"/>
          <w:sz w:val="22"/>
          <w:szCs w:val="22"/>
          <w:lang w:val="en-GB"/>
        </w:rPr>
        <w:t>g projects for the MO</w:t>
      </w:r>
      <w:r w:rsidR="0012538E" w:rsidRPr="004A29F9">
        <w:rPr>
          <w:rFonts w:ascii="Times New Roman" w:hAnsi="Times New Roman" w:cs="Times New Roman"/>
          <w:sz w:val="22"/>
          <w:szCs w:val="22"/>
          <w:lang w:val="en-GB"/>
        </w:rPr>
        <w:t>J</w:t>
      </w:r>
      <w:r>
        <w:rPr>
          <w:rFonts w:ascii="Times New Roman" w:hAnsi="Times New Roman" w:cs="Times New Roman"/>
          <w:sz w:val="22"/>
          <w:szCs w:val="22"/>
          <w:lang w:val="en-GB"/>
        </w:rPr>
        <w:t xml:space="preserve">. </w:t>
      </w:r>
      <w:r w:rsidR="00927212" w:rsidRPr="004A29F9">
        <w:rPr>
          <w:rFonts w:ascii="Times New Roman" w:hAnsi="Times New Roman" w:cs="Times New Roman"/>
          <w:sz w:val="22"/>
          <w:szCs w:val="22"/>
          <w:lang w:val="en-GB"/>
        </w:rPr>
        <w:t>UNDP has at times found itself constraine</w:t>
      </w:r>
      <w:r>
        <w:rPr>
          <w:rFonts w:ascii="Times New Roman" w:hAnsi="Times New Roman" w:cs="Times New Roman"/>
          <w:sz w:val="22"/>
          <w:szCs w:val="22"/>
          <w:lang w:val="en-GB"/>
        </w:rPr>
        <w:t xml:space="preserve">d by internal politics </w:t>
      </w:r>
      <w:r w:rsidR="00927212" w:rsidRPr="004A29F9">
        <w:rPr>
          <w:rFonts w:ascii="Times New Roman" w:hAnsi="Times New Roman" w:cs="Times New Roman"/>
          <w:sz w:val="22"/>
          <w:szCs w:val="22"/>
          <w:lang w:val="en-GB"/>
        </w:rPr>
        <w:t>but overall, UNDP has been able to introduce many concepts and new</w:t>
      </w:r>
      <w:r>
        <w:rPr>
          <w:rFonts w:ascii="Times New Roman" w:hAnsi="Times New Roman" w:cs="Times New Roman"/>
          <w:sz w:val="22"/>
          <w:szCs w:val="22"/>
          <w:lang w:val="en-GB"/>
        </w:rPr>
        <w:t xml:space="preserve"> processes.</w:t>
      </w:r>
    </w:p>
    <w:p w:rsidR="009E6776" w:rsidRDefault="009E6776" w:rsidP="00FB6759">
      <w:pPr>
        <w:spacing w:after="0" w:line="240" w:lineRule="auto"/>
        <w:jc w:val="both"/>
        <w:rPr>
          <w:rFonts w:ascii="Times New Roman" w:hAnsi="Times New Roman" w:cs="Times New Roman"/>
          <w:sz w:val="22"/>
          <w:szCs w:val="22"/>
          <w:lang w:val="en-GB"/>
        </w:rPr>
      </w:pPr>
    </w:p>
    <w:p w:rsidR="00606E9C" w:rsidRPr="004A29F9" w:rsidRDefault="009E6776"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UNDP support to the MO</w:t>
      </w:r>
      <w:r w:rsidR="00606E9C" w:rsidRPr="004A29F9">
        <w:rPr>
          <w:rFonts w:ascii="Times New Roman" w:hAnsi="Times New Roman" w:cs="Times New Roman"/>
          <w:sz w:val="22"/>
          <w:szCs w:val="22"/>
          <w:lang w:val="en-GB"/>
        </w:rPr>
        <w:t>J has also built its capacity to shape and direct its own development and engage with a r</w:t>
      </w:r>
      <w:r>
        <w:rPr>
          <w:rFonts w:ascii="Times New Roman" w:hAnsi="Times New Roman" w:cs="Times New Roman"/>
          <w:sz w:val="22"/>
          <w:szCs w:val="22"/>
          <w:lang w:val="en-GB"/>
        </w:rPr>
        <w:t>ange of development partners. Initially, the MOJ attracted limited support</w:t>
      </w:r>
      <w:r w:rsidR="00606E9C" w:rsidRPr="004A29F9">
        <w:rPr>
          <w:rFonts w:ascii="Times New Roman" w:hAnsi="Times New Roman" w:cs="Times New Roman"/>
          <w:sz w:val="22"/>
          <w:szCs w:val="22"/>
          <w:lang w:val="en-GB"/>
        </w:rPr>
        <w:t xml:space="preserve"> but at least </w:t>
      </w:r>
      <w:r w:rsidR="00EB56AC" w:rsidRPr="004A29F9">
        <w:rPr>
          <w:rFonts w:ascii="Times New Roman" w:hAnsi="Times New Roman" w:cs="Times New Roman"/>
          <w:sz w:val="22"/>
          <w:szCs w:val="22"/>
          <w:lang w:val="en-GB"/>
        </w:rPr>
        <w:t xml:space="preserve">in part </w:t>
      </w:r>
      <w:r w:rsidR="00606E9C" w:rsidRPr="004A29F9">
        <w:rPr>
          <w:rFonts w:ascii="Times New Roman" w:hAnsi="Times New Roman" w:cs="Times New Roman"/>
          <w:sz w:val="22"/>
          <w:szCs w:val="22"/>
          <w:lang w:val="en-GB"/>
        </w:rPr>
        <w:t xml:space="preserve">due to the contributions of UNDP (i.e. the Technical Advisory Unit’s work on donor coordination) </w:t>
      </w:r>
      <w:r>
        <w:rPr>
          <w:rFonts w:ascii="Times New Roman" w:hAnsi="Times New Roman" w:cs="Times New Roman"/>
          <w:sz w:val="22"/>
          <w:szCs w:val="22"/>
          <w:lang w:val="en-GB"/>
        </w:rPr>
        <w:t>the MO</w:t>
      </w:r>
      <w:r w:rsidR="00606E9C" w:rsidRPr="004A29F9">
        <w:rPr>
          <w:rFonts w:ascii="Times New Roman" w:hAnsi="Times New Roman" w:cs="Times New Roman"/>
          <w:sz w:val="22"/>
          <w:szCs w:val="22"/>
          <w:lang w:val="en-GB"/>
        </w:rPr>
        <w:t>J is now in a much better posi</w:t>
      </w:r>
      <w:r>
        <w:rPr>
          <w:rFonts w:ascii="Times New Roman" w:hAnsi="Times New Roman" w:cs="Times New Roman"/>
          <w:sz w:val="22"/>
          <w:szCs w:val="22"/>
          <w:lang w:val="en-GB"/>
        </w:rPr>
        <w:t xml:space="preserve">tion to interact with donors. </w:t>
      </w:r>
      <w:r w:rsidR="00606E9C" w:rsidRPr="004A29F9">
        <w:rPr>
          <w:rFonts w:ascii="Times New Roman" w:hAnsi="Times New Roman" w:cs="Times New Roman"/>
          <w:sz w:val="22"/>
          <w:szCs w:val="22"/>
          <w:lang w:val="en-GB"/>
        </w:rPr>
        <w:t>Yet</w:t>
      </w:r>
      <w:r w:rsidR="003E6426" w:rsidRPr="004A29F9">
        <w:rPr>
          <w:rFonts w:ascii="Times New Roman" w:hAnsi="Times New Roman" w:cs="Times New Roman"/>
          <w:sz w:val="22"/>
          <w:szCs w:val="22"/>
          <w:lang w:val="en-GB"/>
        </w:rPr>
        <w:t>,</w:t>
      </w:r>
      <w:r w:rsidR="00454B59">
        <w:rPr>
          <w:rFonts w:ascii="Times New Roman" w:hAnsi="Times New Roman" w:cs="Times New Roman"/>
          <w:sz w:val="22"/>
          <w:szCs w:val="22"/>
          <w:lang w:val="en-GB"/>
        </w:rPr>
        <w:t xml:space="preserve"> its </w:t>
      </w:r>
      <w:r w:rsidR="00606E9C" w:rsidRPr="004A29F9">
        <w:rPr>
          <w:rFonts w:ascii="Times New Roman" w:hAnsi="Times New Roman" w:cs="Times New Roman"/>
          <w:sz w:val="22"/>
          <w:szCs w:val="22"/>
          <w:lang w:val="en-GB"/>
        </w:rPr>
        <w:t>operations and sustainability are currently being undermined due to the PNA’s financ</w:t>
      </w:r>
      <w:r w:rsidR="00454B59">
        <w:rPr>
          <w:rFonts w:ascii="Times New Roman" w:hAnsi="Times New Roman" w:cs="Times New Roman"/>
          <w:sz w:val="22"/>
          <w:szCs w:val="22"/>
          <w:lang w:val="en-GB"/>
        </w:rPr>
        <w:t>ial situation that may impede the MO</w:t>
      </w:r>
      <w:r w:rsidR="00606E9C" w:rsidRPr="004A29F9">
        <w:rPr>
          <w:rFonts w:ascii="Times New Roman" w:hAnsi="Times New Roman" w:cs="Times New Roman"/>
          <w:sz w:val="22"/>
          <w:szCs w:val="22"/>
          <w:lang w:val="en-GB"/>
        </w:rPr>
        <w:t xml:space="preserve">J from transitioning more UNDP-funded </w:t>
      </w:r>
      <w:r w:rsidR="00454B59">
        <w:rPr>
          <w:rFonts w:ascii="Times New Roman" w:hAnsi="Times New Roman" w:cs="Times New Roman"/>
          <w:sz w:val="22"/>
          <w:szCs w:val="22"/>
          <w:lang w:val="en-GB"/>
        </w:rPr>
        <w:t>staff and experts to regular civil servant positions. The MO</w:t>
      </w:r>
      <w:r w:rsidR="00606E9C" w:rsidRPr="004A29F9">
        <w:rPr>
          <w:rFonts w:ascii="Times New Roman" w:hAnsi="Times New Roman" w:cs="Times New Roman"/>
          <w:sz w:val="22"/>
          <w:szCs w:val="22"/>
          <w:lang w:val="en-GB"/>
        </w:rPr>
        <w:t>J is at the end of the day still forced to compete with the other justice i</w:t>
      </w:r>
      <w:r w:rsidR="00454B59">
        <w:rPr>
          <w:rFonts w:ascii="Times New Roman" w:hAnsi="Times New Roman" w:cs="Times New Roman"/>
          <w:sz w:val="22"/>
          <w:szCs w:val="22"/>
          <w:lang w:val="en-GB"/>
        </w:rPr>
        <w:t xml:space="preserve">nstitutions for donor support. </w:t>
      </w:r>
      <w:r w:rsidR="00606E9C" w:rsidRPr="004A29F9">
        <w:rPr>
          <w:rFonts w:ascii="Times New Roman" w:hAnsi="Times New Roman" w:cs="Times New Roman"/>
          <w:sz w:val="22"/>
          <w:szCs w:val="22"/>
          <w:lang w:val="en-GB"/>
        </w:rPr>
        <w:t xml:space="preserve">The continued </w:t>
      </w:r>
      <w:r w:rsidR="0028278A" w:rsidRPr="004A29F9">
        <w:rPr>
          <w:rFonts w:ascii="Times New Roman" w:hAnsi="Times New Roman" w:cs="Times New Roman"/>
          <w:sz w:val="22"/>
          <w:szCs w:val="22"/>
          <w:lang w:val="en-GB"/>
        </w:rPr>
        <w:t xml:space="preserve">separation </w:t>
      </w:r>
      <w:r w:rsidR="00606E9C" w:rsidRPr="004A29F9">
        <w:rPr>
          <w:rFonts w:ascii="Times New Roman" w:hAnsi="Times New Roman" w:cs="Times New Roman"/>
          <w:sz w:val="22"/>
          <w:szCs w:val="22"/>
          <w:lang w:val="en-GB"/>
        </w:rPr>
        <w:t xml:space="preserve">between </w:t>
      </w:r>
      <w:r w:rsidR="00454B59">
        <w:rPr>
          <w:rFonts w:ascii="Times New Roman" w:hAnsi="Times New Roman" w:cs="Times New Roman"/>
          <w:sz w:val="22"/>
          <w:szCs w:val="22"/>
          <w:lang w:val="en-GB"/>
        </w:rPr>
        <w:t xml:space="preserve">the West Bank and </w:t>
      </w:r>
      <w:r w:rsidR="0028278A" w:rsidRPr="004A29F9">
        <w:rPr>
          <w:rFonts w:ascii="Times New Roman" w:hAnsi="Times New Roman" w:cs="Times New Roman"/>
          <w:sz w:val="22"/>
          <w:szCs w:val="22"/>
          <w:lang w:val="en-GB"/>
        </w:rPr>
        <w:t>the Gaza Strip has c</w:t>
      </w:r>
      <w:r w:rsidR="00454B59">
        <w:rPr>
          <w:rFonts w:ascii="Times New Roman" w:hAnsi="Times New Roman" w:cs="Times New Roman"/>
          <w:sz w:val="22"/>
          <w:szCs w:val="22"/>
          <w:lang w:val="en-GB"/>
        </w:rPr>
        <w:t>ontinued implications for the MO</w:t>
      </w:r>
      <w:r w:rsidR="0028278A" w:rsidRPr="004A29F9">
        <w:rPr>
          <w:rFonts w:ascii="Times New Roman" w:hAnsi="Times New Roman" w:cs="Times New Roman"/>
          <w:sz w:val="22"/>
          <w:szCs w:val="22"/>
          <w:lang w:val="en-GB"/>
        </w:rPr>
        <w:t>J.</w:t>
      </w:r>
      <w:r w:rsidR="00FD3C19">
        <w:rPr>
          <w:rFonts w:ascii="Times New Roman" w:hAnsi="Times New Roman" w:cs="Times New Roman"/>
          <w:sz w:val="22"/>
          <w:szCs w:val="22"/>
          <w:lang w:val="en-GB"/>
        </w:rPr>
        <w:t xml:space="preserve"> </w:t>
      </w:r>
      <w:r w:rsidR="00454B59">
        <w:rPr>
          <w:rFonts w:ascii="Times New Roman" w:hAnsi="Times New Roman" w:cs="Times New Roman"/>
          <w:sz w:val="22"/>
          <w:szCs w:val="22"/>
          <w:lang w:val="en-GB"/>
        </w:rPr>
        <w:t xml:space="preserve">Indeed, 82 </w:t>
      </w:r>
      <w:r w:rsidR="006F031D" w:rsidRPr="004A29F9">
        <w:rPr>
          <w:rFonts w:ascii="Times New Roman" w:hAnsi="Times New Roman" w:cs="Times New Roman"/>
          <w:sz w:val="22"/>
          <w:szCs w:val="22"/>
          <w:lang w:val="en-GB"/>
        </w:rPr>
        <w:t xml:space="preserve">staff </w:t>
      </w:r>
      <w:r w:rsidR="00454B59">
        <w:rPr>
          <w:rFonts w:ascii="Times New Roman" w:hAnsi="Times New Roman" w:cs="Times New Roman"/>
          <w:sz w:val="22"/>
          <w:szCs w:val="22"/>
          <w:lang w:val="en-GB"/>
        </w:rPr>
        <w:t>based in Gaza</w:t>
      </w:r>
      <w:r w:rsidR="00227679">
        <w:rPr>
          <w:rFonts w:ascii="Times New Roman" w:hAnsi="Times New Roman" w:cs="Times New Roman"/>
          <w:sz w:val="22"/>
          <w:szCs w:val="22"/>
          <w:lang w:val="en-GB"/>
        </w:rPr>
        <w:t xml:space="preserve"> </w:t>
      </w:r>
      <w:r w:rsidR="006F031D" w:rsidRPr="004A29F9">
        <w:rPr>
          <w:rFonts w:ascii="Times New Roman" w:hAnsi="Times New Roman" w:cs="Times New Roman"/>
          <w:sz w:val="22"/>
          <w:szCs w:val="22"/>
          <w:lang w:val="en-GB"/>
        </w:rPr>
        <w:t xml:space="preserve">are still being paid </w:t>
      </w:r>
      <w:r w:rsidR="00454B59">
        <w:rPr>
          <w:rFonts w:ascii="Times New Roman" w:hAnsi="Times New Roman" w:cs="Times New Roman"/>
          <w:sz w:val="22"/>
          <w:szCs w:val="22"/>
          <w:lang w:val="en-GB"/>
        </w:rPr>
        <w:t>and Hamas established its own MO</w:t>
      </w:r>
      <w:r w:rsidR="006F031D" w:rsidRPr="004A29F9">
        <w:rPr>
          <w:rFonts w:ascii="Times New Roman" w:hAnsi="Times New Roman" w:cs="Times New Roman"/>
          <w:sz w:val="22"/>
          <w:szCs w:val="22"/>
          <w:lang w:val="en-GB"/>
        </w:rPr>
        <w:t>J.</w:t>
      </w:r>
    </w:p>
    <w:p w:rsidR="009E6776" w:rsidRDefault="009E6776" w:rsidP="00FB6759">
      <w:pPr>
        <w:spacing w:after="0" w:line="240" w:lineRule="auto"/>
        <w:jc w:val="both"/>
        <w:rPr>
          <w:rFonts w:ascii="Times New Roman" w:hAnsi="Times New Roman" w:cs="Times New Roman"/>
          <w:sz w:val="22"/>
          <w:szCs w:val="22"/>
          <w:lang w:val="en-GB"/>
        </w:rPr>
      </w:pPr>
    </w:p>
    <w:p w:rsidR="00970EDF" w:rsidRPr="004A29F9" w:rsidRDefault="006F284D"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UNDP staff undertook a comprehensive </w:t>
      </w:r>
      <w:r w:rsidR="00454B59">
        <w:rPr>
          <w:rFonts w:ascii="Times New Roman" w:hAnsi="Times New Roman" w:cs="Times New Roman"/>
          <w:sz w:val="22"/>
          <w:szCs w:val="22"/>
          <w:lang w:val="en-GB"/>
        </w:rPr>
        <w:t>joint capacity a</w:t>
      </w:r>
      <w:r w:rsidRPr="004A29F9">
        <w:rPr>
          <w:rFonts w:ascii="Times New Roman" w:hAnsi="Times New Roman" w:cs="Times New Roman"/>
          <w:sz w:val="22"/>
          <w:szCs w:val="22"/>
          <w:lang w:val="en-GB"/>
        </w:rPr>
        <w:t>ssessment, which has served as the basis for future capacity-building initiatives.</w:t>
      </w:r>
      <w:r w:rsidRPr="004A29F9">
        <w:rPr>
          <w:rStyle w:val="FootnoteReference"/>
          <w:rFonts w:ascii="Times New Roman" w:hAnsi="Times New Roman" w:cs="Times New Roman"/>
          <w:sz w:val="22"/>
          <w:szCs w:val="22"/>
          <w:lang w:val="en-GB"/>
        </w:rPr>
        <w:footnoteReference w:id="66"/>
      </w:r>
      <w:r w:rsidR="00454B59">
        <w:rPr>
          <w:rFonts w:ascii="Times New Roman" w:hAnsi="Times New Roman" w:cs="Times New Roman"/>
          <w:sz w:val="22"/>
          <w:szCs w:val="22"/>
          <w:lang w:val="en-GB"/>
        </w:rPr>
        <w:t xml:space="preserve"> The capacity assessment recognis</w:t>
      </w:r>
      <w:r w:rsidR="00DD230C" w:rsidRPr="004A29F9">
        <w:rPr>
          <w:rFonts w:ascii="Times New Roman" w:hAnsi="Times New Roman" w:cs="Times New Roman"/>
          <w:sz w:val="22"/>
          <w:szCs w:val="22"/>
          <w:lang w:val="en-GB"/>
        </w:rPr>
        <w:t>ed an urgent need to strengt</w:t>
      </w:r>
      <w:r w:rsidR="00454B59">
        <w:rPr>
          <w:rFonts w:ascii="Times New Roman" w:hAnsi="Times New Roman" w:cs="Times New Roman"/>
          <w:sz w:val="22"/>
          <w:szCs w:val="22"/>
          <w:lang w:val="en-GB"/>
        </w:rPr>
        <w:t>hen the capacity of the MOJ</w:t>
      </w:r>
      <w:r w:rsidR="00DD230C" w:rsidRPr="004A29F9">
        <w:rPr>
          <w:rFonts w:ascii="Times New Roman" w:hAnsi="Times New Roman" w:cs="Times New Roman"/>
          <w:sz w:val="22"/>
          <w:szCs w:val="22"/>
          <w:lang w:val="en-GB"/>
        </w:rPr>
        <w:t>’s middle management; particularly in relation to core legal advisory and drafting functions</w:t>
      </w:r>
      <w:r w:rsidR="00454B59">
        <w:rPr>
          <w:rFonts w:ascii="Times New Roman" w:hAnsi="Times New Roman" w:cs="Times New Roman"/>
          <w:sz w:val="22"/>
          <w:szCs w:val="22"/>
          <w:lang w:val="en-GB"/>
        </w:rPr>
        <w:t xml:space="preserve">. </w:t>
      </w:r>
      <w:r w:rsidR="006F031D" w:rsidRPr="004A29F9">
        <w:rPr>
          <w:rFonts w:ascii="Times New Roman" w:hAnsi="Times New Roman" w:cs="Times New Roman"/>
          <w:sz w:val="22"/>
          <w:szCs w:val="22"/>
          <w:lang w:val="en-GB"/>
        </w:rPr>
        <w:t>Notwithstanding the</w:t>
      </w:r>
      <w:r w:rsidR="00454B59">
        <w:rPr>
          <w:rFonts w:ascii="Times New Roman" w:hAnsi="Times New Roman" w:cs="Times New Roman"/>
          <w:sz w:val="22"/>
          <w:szCs w:val="22"/>
          <w:lang w:val="en-GB"/>
        </w:rPr>
        <w:t xml:space="preserve"> new 15-</w:t>
      </w:r>
      <w:r w:rsidR="00901394" w:rsidRPr="004A29F9">
        <w:rPr>
          <w:rFonts w:ascii="Times New Roman" w:hAnsi="Times New Roman" w:cs="Times New Roman"/>
          <w:sz w:val="22"/>
          <w:szCs w:val="22"/>
          <w:lang w:val="en-GB"/>
        </w:rPr>
        <w:t>point plan put forward</w:t>
      </w:r>
      <w:r w:rsidR="00454B59">
        <w:rPr>
          <w:rFonts w:ascii="Times New Roman" w:hAnsi="Times New Roman" w:cs="Times New Roman"/>
          <w:sz w:val="22"/>
          <w:szCs w:val="22"/>
          <w:lang w:val="en-GB"/>
        </w:rPr>
        <w:t xml:space="preserve"> by the new Minister of Justice, the MO</w:t>
      </w:r>
      <w:r w:rsidR="00901394" w:rsidRPr="004A29F9">
        <w:rPr>
          <w:rFonts w:ascii="Times New Roman" w:hAnsi="Times New Roman" w:cs="Times New Roman"/>
          <w:sz w:val="22"/>
          <w:szCs w:val="22"/>
          <w:lang w:val="en-GB"/>
        </w:rPr>
        <w:t xml:space="preserve">J </w:t>
      </w:r>
      <w:r w:rsidR="006F031D" w:rsidRPr="004A29F9">
        <w:rPr>
          <w:rFonts w:ascii="Times New Roman" w:hAnsi="Times New Roman" w:cs="Times New Roman"/>
          <w:sz w:val="22"/>
          <w:szCs w:val="22"/>
          <w:lang w:val="en-GB"/>
        </w:rPr>
        <w:t>is (still) fully committed to i</w:t>
      </w:r>
      <w:r w:rsidR="00454B59">
        <w:rPr>
          <w:rFonts w:ascii="Times New Roman" w:hAnsi="Times New Roman" w:cs="Times New Roman"/>
          <w:sz w:val="22"/>
          <w:szCs w:val="22"/>
          <w:lang w:val="en-GB"/>
        </w:rPr>
        <w:t>mplementing the joint capacity a</w:t>
      </w:r>
      <w:r w:rsidR="006F031D" w:rsidRPr="004A29F9">
        <w:rPr>
          <w:rFonts w:ascii="Times New Roman" w:hAnsi="Times New Roman" w:cs="Times New Roman"/>
          <w:sz w:val="22"/>
          <w:szCs w:val="22"/>
          <w:lang w:val="en-GB"/>
        </w:rPr>
        <w:t>ssessment recommendations and</w:t>
      </w:r>
      <w:r w:rsidR="00454B59">
        <w:rPr>
          <w:rFonts w:ascii="Times New Roman" w:hAnsi="Times New Roman" w:cs="Times New Roman"/>
          <w:sz w:val="22"/>
          <w:szCs w:val="22"/>
          <w:lang w:val="en-GB"/>
        </w:rPr>
        <w:t xml:space="preserve"> continue to programme to the s</w:t>
      </w:r>
      <w:r w:rsidR="00901394" w:rsidRPr="004A29F9">
        <w:rPr>
          <w:rFonts w:ascii="Times New Roman" w:hAnsi="Times New Roman" w:cs="Times New Roman"/>
          <w:sz w:val="22"/>
          <w:szCs w:val="22"/>
          <w:lang w:val="en-GB"/>
        </w:rPr>
        <w:t>trategy developed with donor support.</w:t>
      </w:r>
    </w:p>
    <w:p w:rsidR="00DD230C" w:rsidRPr="004A29F9" w:rsidRDefault="00DD230C" w:rsidP="00FB6759">
      <w:pPr>
        <w:spacing w:after="0" w:line="240" w:lineRule="auto"/>
        <w:jc w:val="both"/>
        <w:rPr>
          <w:rFonts w:ascii="Times New Roman" w:hAnsi="Times New Roman" w:cs="Times New Roman"/>
          <w:sz w:val="22"/>
          <w:szCs w:val="22"/>
          <w:lang w:val="en-GB"/>
        </w:rPr>
      </w:pPr>
    </w:p>
    <w:p w:rsidR="00AA11E5" w:rsidRPr="004A29F9" w:rsidRDefault="00AA11E5" w:rsidP="00FB6759">
      <w:pPr>
        <w:spacing w:after="0" w:line="240" w:lineRule="auto"/>
        <w:jc w:val="both"/>
        <w:rPr>
          <w:rFonts w:ascii="Times New Roman" w:hAnsi="Times New Roman" w:cs="Times New Roman"/>
          <w:i/>
          <w:sz w:val="22"/>
          <w:szCs w:val="22"/>
          <w:lang w:val="en-GB"/>
        </w:rPr>
      </w:pPr>
      <w:r w:rsidRPr="004A29F9">
        <w:rPr>
          <w:rFonts w:ascii="Times New Roman" w:hAnsi="Times New Roman" w:cs="Times New Roman"/>
          <w:i/>
          <w:sz w:val="22"/>
          <w:szCs w:val="22"/>
          <w:lang w:val="en-GB"/>
        </w:rPr>
        <w:t>Qu</w:t>
      </w:r>
      <w:r w:rsidR="00454B59">
        <w:rPr>
          <w:rFonts w:ascii="Times New Roman" w:hAnsi="Times New Roman" w:cs="Times New Roman"/>
          <w:i/>
          <w:sz w:val="22"/>
          <w:szCs w:val="22"/>
          <w:lang w:val="en-GB"/>
        </w:rPr>
        <w:t>ick Impact Fund/</w:t>
      </w:r>
      <w:r w:rsidR="009E6776">
        <w:rPr>
          <w:rFonts w:ascii="Times New Roman" w:hAnsi="Times New Roman" w:cs="Times New Roman"/>
          <w:i/>
          <w:sz w:val="22"/>
          <w:szCs w:val="22"/>
          <w:lang w:val="en-GB"/>
        </w:rPr>
        <w:t>Stabilis</w:t>
      </w:r>
      <w:r w:rsidRPr="004A29F9">
        <w:rPr>
          <w:rFonts w:ascii="Times New Roman" w:hAnsi="Times New Roman" w:cs="Times New Roman"/>
          <w:i/>
          <w:sz w:val="22"/>
          <w:szCs w:val="22"/>
          <w:lang w:val="en-GB"/>
        </w:rPr>
        <w:t>ation Fund</w:t>
      </w:r>
    </w:p>
    <w:p w:rsidR="009E6776" w:rsidRDefault="009E6776" w:rsidP="00FB6759">
      <w:pPr>
        <w:spacing w:after="0" w:line="240" w:lineRule="auto"/>
        <w:jc w:val="both"/>
        <w:rPr>
          <w:rFonts w:ascii="Times New Roman" w:hAnsi="Times New Roman" w:cs="Times New Roman"/>
          <w:sz w:val="22"/>
          <w:szCs w:val="22"/>
          <w:lang w:val="en-GB"/>
        </w:rPr>
      </w:pPr>
    </w:p>
    <w:p w:rsidR="00567DE3" w:rsidRPr="004A29F9" w:rsidRDefault="00785C8A"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In particular, t</w:t>
      </w:r>
      <w:r w:rsidR="00603356" w:rsidRPr="004A29F9">
        <w:rPr>
          <w:rFonts w:ascii="Times New Roman" w:hAnsi="Times New Roman" w:cs="Times New Roman"/>
          <w:sz w:val="22"/>
          <w:szCs w:val="22"/>
          <w:lang w:val="en-GB"/>
        </w:rPr>
        <w:t>he Quick Impact</w:t>
      </w:r>
      <w:r w:rsidRPr="004A29F9">
        <w:rPr>
          <w:rFonts w:ascii="Times New Roman" w:hAnsi="Times New Roman" w:cs="Times New Roman"/>
          <w:sz w:val="22"/>
          <w:szCs w:val="22"/>
          <w:lang w:val="en-GB"/>
        </w:rPr>
        <w:t xml:space="preserve"> Fund put in place by UNDP enabled the </w:t>
      </w:r>
      <w:r w:rsidR="00454B59">
        <w:rPr>
          <w:rFonts w:ascii="Times New Roman" w:hAnsi="Times New Roman" w:cs="Times New Roman"/>
          <w:sz w:val="22"/>
          <w:szCs w:val="22"/>
          <w:lang w:val="en-GB"/>
        </w:rPr>
        <w:t>MO</w:t>
      </w:r>
      <w:r w:rsidR="00FE43A5" w:rsidRPr="004A29F9">
        <w:rPr>
          <w:rFonts w:ascii="Times New Roman" w:hAnsi="Times New Roman" w:cs="Times New Roman"/>
          <w:sz w:val="22"/>
          <w:szCs w:val="22"/>
          <w:lang w:val="en-GB"/>
        </w:rPr>
        <w:t>J</w:t>
      </w:r>
      <w:r w:rsidRPr="004A29F9">
        <w:rPr>
          <w:rFonts w:ascii="Times New Roman" w:hAnsi="Times New Roman" w:cs="Times New Roman"/>
          <w:sz w:val="22"/>
          <w:szCs w:val="22"/>
          <w:lang w:val="en-GB"/>
        </w:rPr>
        <w:t xml:space="preserve"> to hire much-needed staff, pay for operational support, and bring in short-term expert consultants to focus on specific areas of need, including lega</w:t>
      </w:r>
      <w:r w:rsidR="00454B59">
        <w:rPr>
          <w:rFonts w:ascii="Times New Roman" w:hAnsi="Times New Roman" w:cs="Times New Roman"/>
          <w:sz w:val="22"/>
          <w:szCs w:val="22"/>
          <w:lang w:val="en-GB"/>
        </w:rPr>
        <w:t>l aid,</w:t>
      </w:r>
      <w:r w:rsidR="00FD3C19">
        <w:rPr>
          <w:rFonts w:ascii="Times New Roman" w:hAnsi="Times New Roman" w:cs="Times New Roman"/>
          <w:sz w:val="22"/>
          <w:szCs w:val="22"/>
          <w:lang w:val="en-GB"/>
        </w:rPr>
        <w:t xml:space="preserve"> </w:t>
      </w:r>
      <w:r w:rsidR="00454B59">
        <w:rPr>
          <w:rFonts w:ascii="Times New Roman" w:hAnsi="Times New Roman" w:cs="Times New Roman"/>
          <w:sz w:val="22"/>
          <w:szCs w:val="22"/>
          <w:lang w:val="en-GB"/>
        </w:rPr>
        <w:t>gender and juvenile justice, planning, M&amp;E and communications/media</w:t>
      </w:r>
      <w:r w:rsidRPr="004A29F9">
        <w:rPr>
          <w:rFonts w:ascii="Times New Roman" w:hAnsi="Times New Roman" w:cs="Times New Roman"/>
          <w:sz w:val="22"/>
          <w:szCs w:val="22"/>
          <w:lang w:val="en-GB"/>
        </w:rPr>
        <w:t>.</w:t>
      </w:r>
      <w:r w:rsidR="00FD3C19">
        <w:rPr>
          <w:rFonts w:ascii="Times New Roman" w:hAnsi="Times New Roman" w:cs="Times New Roman"/>
          <w:sz w:val="22"/>
          <w:szCs w:val="22"/>
          <w:lang w:val="en-GB"/>
        </w:rPr>
        <w:t xml:space="preserve"> </w:t>
      </w:r>
      <w:r w:rsidR="00603356" w:rsidRPr="004A29F9">
        <w:rPr>
          <w:rFonts w:ascii="Times New Roman" w:hAnsi="Times New Roman" w:cs="Times New Roman"/>
          <w:sz w:val="22"/>
          <w:szCs w:val="22"/>
          <w:lang w:val="en-GB"/>
        </w:rPr>
        <w:t>Stakeholders</w:t>
      </w:r>
      <w:r w:rsidR="00454B59">
        <w:rPr>
          <w:rFonts w:ascii="Times New Roman" w:hAnsi="Times New Roman" w:cs="Times New Roman"/>
          <w:sz w:val="22"/>
          <w:szCs w:val="22"/>
          <w:lang w:val="en-GB"/>
        </w:rPr>
        <w:t xml:space="preserve"> acknowledged the value of the f</w:t>
      </w:r>
      <w:r w:rsidR="00603356" w:rsidRPr="004A29F9">
        <w:rPr>
          <w:rFonts w:ascii="Times New Roman" w:hAnsi="Times New Roman" w:cs="Times New Roman"/>
          <w:sz w:val="22"/>
          <w:szCs w:val="22"/>
          <w:lang w:val="en-GB"/>
        </w:rPr>
        <w:t xml:space="preserve">und, particularly in light of the fact that most donor focus was elsewhere while the </w:t>
      </w:r>
      <w:r w:rsidR="00454B59">
        <w:rPr>
          <w:rFonts w:ascii="Times New Roman" w:hAnsi="Times New Roman" w:cs="Times New Roman"/>
          <w:sz w:val="22"/>
          <w:szCs w:val="22"/>
          <w:lang w:val="en-GB"/>
        </w:rPr>
        <w:t>MO</w:t>
      </w:r>
      <w:r w:rsidR="00FE43A5" w:rsidRPr="004A29F9">
        <w:rPr>
          <w:rFonts w:ascii="Times New Roman" w:hAnsi="Times New Roman" w:cs="Times New Roman"/>
          <w:sz w:val="22"/>
          <w:szCs w:val="22"/>
          <w:lang w:val="en-GB"/>
        </w:rPr>
        <w:t>J</w:t>
      </w:r>
      <w:r w:rsidR="00603356" w:rsidRPr="004A29F9">
        <w:rPr>
          <w:rFonts w:ascii="Times New Roman" w:hAnsi="Times New Roman" w:cs="Times New Roman"/>
          <w:sz w:val="22"/>
          <w:szCs w:val="22"/>
          <w:lang w:val="en-GB"/>
        </w:rPr>
        <w:t xml:space="preserve"> struggled.  </w:t>
      </w:r>
    </w:p>
    <w:p w:rsidR="00454B59" w:rsidRDefault="00454B59" w:rsidP="00FB6759">
      <w:pPr>
        <w:spacing w:after="0" w:line="240" w:lineRule="auto"/>
        <w:jc w:val="both"/>
        <w:rPr>
          <w:rFonts w:ascii="Times New Roman" w:hAnsi="Times New Roman" w:cs="Times New Roman"/>
          <w:sz w:val="22"/>
          <w:szCs w:val="22"/>
          <w:lang w:val="en-GB"/>
        </w:rPr>
      </w:pPr>
    </w:p>
    <w:p w:rsidR="00454B59" w:rsidRDefault="00603356"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In order to perpetuate and deepen t</w:t>
      </w:r>
      <w:r w:rsidR="00454B59">
        <w:rPr>
          <w:rFonts w:ascii="Times New Roman" w:hAnsi="Times New Roman" w:cs="Times New Roman"/>
          <w:sz w:val="22"/>
          <w:szCs w:val="22"/>
          <w:lang w:val="en-GB"/>
        </w:rPr>
        <w:t>he effects of the Quick Impact F</w:t>
      </w:r>
      <w:r w:rsidRPr="004A29F9">
        <w:rPr>
          <w:rFonts w:ascii="Times New Roman" w:hAnsi="Times New Roman" w:cs="Times New Roman"/>
          <w:sz w:val="22"/>
          <w:szCs w:val="22"/>
          <w:lang w:val="en-GB"/>
        </w:rPr>
        <w:t xml:space="preserve">und, a </w:t>
      </w:r>
      <w:r w:rsidR="00454B59">
        <w:rPr>
          <w:rFonts w:ascii="Times New Roman" w:hAnsi="Times New Roman" w:cs="Times New Roman"/>
          <w:sz w:val="22"/>
          <w:szCs w:val="22"/>
          <w:lang w:val="en-GB"/>
        </w:rPr>
        <w:t>Stabilis</w:t>
      </w:r>
      <w:r w:rsidR="009F5FB1" w:rsidRPr="004A29F9">
        <w:rPr>
          <w:rFonts w:ascii="Times New Roman" w:hAnsi="Times New Roman" w:cs="Times New Roman"/>
          <w:sz w:val="22"/>
          <w:szCs w:val="22"/>
          <w:lang w:val="en-GB"/>
        </w:rPr>
        <w:t>ation</w:t>
      </w:r>
      <w:r w:rsidRPr="004A29F9">
        <w:rPr>
          <w:rFonts w:ascii="Times New Roman" w:hAnsi="Times New Roman" w:cs="Times New Roman"/>
          <w:sz w:val="22"/>
          <w:szCs w:val="22"/>
          <w:lang w:val="en-GB"/>
        </w:rPr>
        <w:t xml:space="preserve"> Fund was established</w:t>
      </w:r>
      <w:r w:rsidR="004106FF" w:rsidRPr="004A29F9">
        <w:rPr>
          <w:rFonts w:ascii="Times New Roman" w:hAnsi="Times New Roman" w:cs="Times New Roman"/>
          <w:sz w:val="22"/>
          <w:szCs w:val="22"/>
          <w:lang w:val="en-GB"/>
        </w:rPr>
        <w:t xml:space="preserve"> by UNDP</w:t>
      </w:r>
      <w:r w:rsidRPr="004A29F9">
        <w:rPr>
          <w:rFonts w:ascii="Times New Roman" w:hAnsi="Times New Roman" w:cs="Times New Roman"/>
          <w:sz w:val="22"/>
          <w:szCs w:val="22"/>
          <w:lang w:val="en-GB"/>
        </w:rPr>
        <w:t>, in pa</w:t>
      </w:r>
      <w:r w:rsidR="00454B59">
        <w:rPr>
          <w:rFonts w:ascii="Times New Roman" w:hAnsi="Times New Roman" w:cs="Times New Roman"/>
          <w:sz w:val="22"/>
          <w:szCs w:val="22"/>
          <w:lang w:val="en-GB"/>
        </w:rPr>
        <w:t>rticular to provide the MOJ</w:t>
      </w:r>
      <w:r w:rsidRPr="004A29F9">
        <w:rPr>
          <w:rFonts w:ascii="Times New Roman" w:hAnsi="Times New Roman" w:cs="Times New Roman"/>
          <w:sz w:val="22"/>
          <w:szCs w:val="22"/>
          <w:lang w:val="en-GB"/>
        </w:rPr>
        <w:t xml:space="preserve"> with expert staff.</w:t>
      </w:r>
      <w:r w:rsidRPr="004A29F9">
        <w:rPr>
          <w:rStyle w:val="FootnoteReference"/>
          <w:rFonts w:ascii="Times New Roman" w:hAnsi="Times New Roman" w:cs="Times New Roman"/>
          <w:sz w:val="22"/>
          <w:szCs w:val="22"/>
          <w:lang w:val="en-GB"/>
        </w:rPr>
        <w:footnoteReference w:id="67"/>
      </w:r>
      <w:r w:rsidR="00496EDD" w:rsidRPr="004A29F9">
        <w:rPr>
          <w:rFonts w:ascii="Times New Roman" w:hAnsi="Times New Roman" w:cs="Times New Roman"/>
          <w:sz w:val="22"/>
          <w:szCs w:val="22"/>
          <w:lang w:val="en-GB"/>
        </w:rPr>
        <w:t xml:space="preserve">Today, the once-gutted Ministry </w:t>
      </w:r>
      <w:r w:rsidR="00077BC1" w:rsidRPr="004A29F9">
        <w:rPr>
          <w:rFonts w:ascii="Times New Roman" w:hAnsi="Times New Roman" w:cs="Times New Roman"/>
          <w:sz w:val="22"/>
          <w:szCs w:val="22"/>
          <w:lang w:val="en-GB"/>
        </w:rPr>
        <w:t>has 131</w:t>
      </w:r>
      <w:r w:rsidR="00496EDD" w:rsidRPr="004A29F9">
        <w:rPr>
          <w:rFonts w:ascii="Times New Roman" w:hAnsi="Times New Roman" w:cs="Times New Roman"/>
          <w:sz w:val="22"/>
          <w:szCs w:val="22"/>
          <w:lang w:val="en-GB"/>
        </w:rPr>
        <w:t xml:space="preserve"> staff</w:t>
      </w:r>
      <w:r w:rsidR="00077BC1" w:rsidRPr="004A29F9">
        <w:rPr>
          <w:rFonts w:ascii="Times New Roman" w:hAnsi="Times New Roman" w:cs="Times New Roman"/>
          <w:sz w:val="22"/>
          <w:szCs w:val="22"/>
          <w:lang w:val="en-GB"/>
        </w:rPr>
        <w:t>, 30</w:t>
      </w:r>
      <w:r w:rsidR="00496EDD" w:rsidRPr="004A29F9">
        <w:rPr>
          <w:rFonts w:ascii="Times New Roman" w:hAnsi="Times New Roman" w:cs="Times New Roman"/>
          <w:sz w:val="22"/>
          <w:szCs w:val="22"/>
          <w:lang w:val="en-GB"/>
        </w:rPr>
        <w:t xml:space="preserve"> of wh</w:t>
      </w:r>
      <w:r w:rsidR="00853FE2" w:rsidRPr="004A29F9">
        <w:rPr>
          <w:rFonts w:ascii="Times New Roman" w:hAnsi="Times New Roman" w:cs="Times New Roman"/>
          <w:sz w:val="22"/>
          <w:szCs w:val="22"/>
          <w:lang w:val="en-GB"/>
        </w:rPr>
        <w:t>om</w:t>
      </w:r>
      <w:r w:rsidR="00496EDD" w:rsidRPr="004A29F9">
        <w:rPr>
          <w:rFonts w:ascii="Times New Roman" w:hAnsi="Times New Roman" w:cs="Times New Roman"/>
          <w:sz w:val="22"/>
          <w:szCs w:val="22"/>
          <w:lang w:val="en-GB"/>
        </w:rPr>
        <w:t xml:space="preserve"> are </w:t>
      </w:r>
      <w:r w:rsidR="00077BC1" w:rsidRPr="004A29F9">
        <w:rPr>
          <w:rFonts w:ascii="Times New Roman" w:hAnsi="Times New Roman" w:cs="Times New Roman"/>
          <w:sz w:val="22"/>
          <w:szCs w:val="22"/>
          <w:lang w:val="en-GB"/>
        </w:rPr>
        <w:t>supported by</w:t>
      </w:r>
      <w:r w:rsidR="00496EDD" w:rsidRPr="004A29F9">
        <w:rPr>
          <w:rFonts w:ascii="Times New Roman" w:hAnsi="Times New Roman" w:cs="Times New Roman"/>
          <w:sz w:val="22"/>
          <w:szCs w:val="22"/>
          <w:lang w:val="en-GB"/>
        </w:rPr>
        <w:t xml:space="preserve"> UNDP funds.</w:t>
      </w:r>
      <w:r w:rsidR="00496EDD" w:rsidRPr="004A29F9">
        <w:rPr>
          <w:rStyle w:val="FootnoteReference"/>
          <w:rFonts w:ascii="Times New Roman" w:hAnsi="Times New Roman" w:cs="Times New Roman"/>
          <w:sz w:val="22"/>
          <w:szCs w:val="22"/>
          <w:lang w:val="en-GB"/>
        </w:rPr>
        <w:footnoteReference w:id="68"/>
      </w:r>
      <w:r w:rsidR="00701CD6" w:rsidRPr="004A29F9">
        <w:rPr>
          <w:rFonts w:ascii="Times New Roman" w:hAnsi="Times New Roman" w:cs="Times New Roman"/>
          <w:sz w:val="22"/>
          <w:szCs w:val="22"/>
          <w:lang w:val="en-GB"/>
        </w:rPr>
        <w:t xml:space="preserve">The vast majority of those persons </w:t>
      </w:r>
      <w:r w:rsidR="00454B59">
        <w:rPr>
          <w:rFonts w:ascii="Times New Roman" w:hAnsi="Times New Roman" w:cs="Times New Roman"/>
          <w:sz w:val="22"/>
          <w:szCs w:val="22"/>
          <w:lang w:val="en-GB"/>
        </w:rPr>
        <w:lastRenderedPageBreak/>
        <w:t>hired with Stabilisation</w:t>
      </w:r>
      <w:r w:rsidR="00701CD6" w:rsidRPr="004A29F9">
        <w:rPr>
          <w:rFonts w:ascii="Times New Roman" w:hAnsi="Times New Roman" w:cs="Times New Roman"/>
          <w:sz w:val="22"/>
          <w:szCs w:val="22"/>
          <w:lang w:val="en-GB"/>
        </w:rPr>
        <w:t xml:space="preserve"> Fund resou</w:t>
      </w:r>
      <w:r w:rsidR="00454B59">
        <w:rPr>
          <w:rFonts w:ascii="Times New Roman" w:hAnsi="Times New Roman" w:cs="Times New Roman"/>
          <w:sz w:val="22"/>
          <w:szCs w:val="22"/>
          <w:lang w:val="en-GB"/>
        </w:rPr>
        <w:t>rces are still working at the MO</w:t>
      </w:r>
      <w:r w:rsidR="00701CD6" w:rsidRPr="004A29F9">
        <w:rPr>
          <w:rFonts w:ascii="Times New Roman" w:hAnsi="Times New Roman" w:cs="Times New Roman"/>
          <w:sz w:val="22"/>
          <w:szCs w:val="22"/>
          <w:lang w:val="en-GB"/>
        </w:rPr>
        <w:t>J and enhancing its overall capacity (only about 15 or 16 persons’ cont</w:t>
      </w:r>
      <w:r w:rsidR="00454B59">
        <w:rPr>
          <w:rFonts w:ascii="Times New Roman" w:hAnsi="Times New Roman" w:cs="Times New Roman"/>
          <w:sz w:val="22"/>
          <w:szCs w:val="22"/>
          <w:lang w:val="en-GB"/>
        </w:rPr>
        <w:t>racts ended in December 2012). As of 2012, the MO</w:t>
      </w:r>
      <w:r w:rsidR="002E7552" w:rsidRPr="004A29F9">
        <w:rPr>
          <w:rFonts w:ascii="Times New Roman" w:hAnsi="Times New Roman" w:cs="Times New Roman"/>
          <w:sz w:val="22"/>
          <w:szCs w:val="22"/>
          <w:lang w:val="en-GB"/>
        </w:rPr>
        <w:t>J had succeeded in transitioning</w:t>
      </w:r>
      <w:r w:rsidR="00454B59">
        <w:rPr>
          <w:rFonts w:ascii="Times New Roman" w:hAnsi="Times New Roman" w:cs="Times New Roman"/>
          <w:sz w:val="22"/>
          <w:szCs w:val="22"/>
          <w:lang w:val="en-GB"/>
        </w:rPr>
        <w:t xml:space="preserve"> eight of these positions to permanent contracts - </w:t>
      </w:r>
      <w:r w:rsidR="002E7552" w:rsidRPr="004A29F9">
        <w:rPr>
          <w:rFonts w:ascii="Times New Roman" w:hAnsi="Times New Roman" w:cs="Times New Roman"/>
          <w:sz w:val="22"/>
          <w:szCs w:val="22"/>
          <w:lang w:val="en-GB"/>
        </w:rPr>
        <w:t>speaking to the increased level of sustainability of UNDP’s support.</w:t>
      </w:r>
    </w:p>
    <w:p w:rsidR="00454B59" w:rsidRDefault="00454B59" w:rsidP="00FB6759">
      <w:pPr>
        <w:spacing w:after="0" w:line="240" w:lineRule="auto"/>
        <w:jc w:val="both"/>
        <w:rPr>
          <w:rFonts w:ascii="Times New Roman" w:hAnsi="Times New Roman" w:cs="Times New Roman"/>
          <w:sz w:val="22"/>
          <w:szCs w:val="22"/>
          <w:lang w:val="en-GB"/>
        </w:rPr>
      </w:pPr>
    </w:p>
    <w:p w:rsidR="00701CD6" w:rsidRPr="004A29F9" w:rsidRDefault="00701CD6"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Furthermore, t</w:t>
      </w:r>
      <w:r w:rsidR="00454B59">
        <w:rPr>
          <w:rFonts w:ascii="Times New Roman" w:hAnsi="Times New Roman" w:cs="Times New Roman"/>
          <w:sz w:val="22"/>
          <w:szCs w:val="22"/>
          <w:lang w:val="en-GB"/>
        </w:rPr>
        <w:t>he e</w:t>
      </w:r>
      <w:r w:rsidR="009F5FB1" w:rsidRPr="004A29F9">
        <w:rPr>
          <w:rFonts w:ascii="Times New Roman" w:hAnsi="Times New Roman" w:cs="Times New Roman"/>
          <w:sz w:val="22"/>
          <w:szCs w:val="22"/>
          <w:lang w:val="en-GB"/>
        </w:rPr>
        <w:t xml:space="preserve">valuation confirmed that all </w:t>
      </w:r>
      <w:r w:rsidR="00454B59">
        <w:rPr>
          <w:rFonts w:ascii="Times New Roman" w:hAnsi="Times New Roman" w:cs="Times New Roman"/>
          <w:sz w:val="22"/>
          <w:szCs w:val="22"/>
          <w:lang w:val="en-GB"/>
        </w:rPr>
        <w:t>MO</w:t>
      </w:r>
      <w:r w:rsidR="00BE767E" w:rsidRPr="004A29F9">
        <w:rPr>
          <w:rFonts w:ascii="Times New Roman" w:hAnsi="Times New Roman" w:cs="Times New Roman"/>
          <w:sz w:val="22"/>
          <w:szCs w:val="22"/>
          <w:lang w:val="en-GB"/>
        </w:rPr>
        <w:t xml:space="preserve">J </w:t>
      </w:r>
      <w:r w:rsidR="004106FF" w:rsidRPr="004A29F9">
        <w:rPr>
          <w:rFonts w:ascii="Times New Roman" w:hAnsi="Times New Roman" w:cs="Times New Roman"/>
          <w:sz w:val="22"/>
          <w:szCs w:val="22"/>
          <w:lang w:val="en-GB"/>
        </w:rPr>
        <w:t xml:space="preserve">personnel whose posts </w:t>
      </w:r>
      <w:r w:rsidR="00BE767E" w:rsidRPr="004A29F9">
        <w:rPr>
          <w:rFonts w:ascii="Times New Roman" w:hAnsi="Times New Roman" w:cs="Times New Roman"/>
          <w:sz w:val="22"/>
          <w:szCs w:val="22"/>
          <w:lang w:val="en-GB"/>
        </w:rPr>
        <w:t xml:space="preserve">were funded by the </w:t>
      </w:r>
      <w:r w:rsidR="00454B59">
        <w:rPr>
          <w:rFonts w:ascii="Times New Roman" w:hAnsi="Times New Roman" w:cs="Times New Roman"/>
          <w:sz w:val="22"/>
          <w:szCs w:val="22"/>
          <w:lang w:val="en-GB"/>
        </w:rPr>
        <w:t>Stabilis</w:t>
      </w:r>
      <w:r w:rsidR="009F5FB1" w:rsidRPr="004A29F9">
        <w:rPr>
          <w:rFonts w:ascii="Times New Roman" w:hAnsi="Times New Roman" w:cs="Times New Roman"/>
          <w:sz w:val="22"/>
          <w:szCs w:val="22"/>
          <w:lang w:val="en-GB"/>
        </w:rPr>
        <w:t xml:space="preserve">ation </w:t>
      </w:r>
      <w:r w:rsidR="00BE767E" w:rsidRPr="004A29F9">
        <w:rPr>
          <w:rFonts w:ascii="Times New Roman" w:hAnsi="Times New Roman" w:cs="Times New Roman"/>
          <w:sz w:val="22"/>
          <w:szCs w:val="22"/>
          <w:lang w:val="en-GB"/>
        </w:rPr>
        <w:t>Fund were subject to a rigorous appl</w:t>
      </w:r>
      <w:r w:rsidR="00454B59">
        <w:rPr>
          <w:rFonts w:ascii="Times New Roman" w:hAnsi="Times New Roman" w:cs="Times New Roman"/>
          <w:sz w:val="22"/>
          <w:szCs w:val="22"/>
          <w:lang w:val="en-GB"/>
        </w:rPr>
        <w:t>ication and interview process. UNDP and the MO</w:t>
      </w:r>
      <w:r w:rsidR="00DE1ED5" w:rsidRPr="004A29F9">
        <w:rPr>
          <w:rFonts w:ascii="Times New Roman" w:hAnsi="Times New Roman" w:cs="Times New Roman"/>
          <w:sz w:val="22"/>
          <w:szCs w:val="22"/>
          <w:lang w:val="en-GB"/>
        </w:rPr>
        <w:t>J went to great lengths to ensure that the process of appointments was shielded from political capture.</w:t>
      </w:r>
      <w:r w:rsidR="0041438F" w:rsidRPr="004A29F9">
        <w:rPr>
          <w:rStyle w:val="FootnoteReference"/>
          <w:rFonts w:ascii="Times New Roman" w:hAnsi="Times New Roman" w:cs="Times New Roman"/>
          <w:sz w:val="22"/>
          <w:szCs w:val="22"/>
          <w:lang w:val="en-GB"/>
        </w:rPr>
        <w:footnoteReference w:id="69"/>
      </w:r>
    </w:p>
    <w:p w:rsidR="00454B59" w:rsidRDefault="00454B59" w:rsidP="00FB6759">
      <w:pPr>
        <w:spacing w:after="0" w:line="240" w:lineRule="auto"/>
        <w:jc w:val="both"/>
        <w:rPr>
          <w:rFonts w:ascii="Times New Roman" w:hAnsi="Times New Roman" w:cs="Times New Roman"/>
          <w:sz w:val="22"/>
          <w:szCs w:val="22"/>
          <w:lang w:val="en-GB"/>
        </w:rPr>
      </w:pPr>
    </w:p>
    <w:p w:rsidR="00970EDF" w:rsidRPr="004A29F9" w:rsidRDefault="000B206E"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As part of the evaluation, the independent c</w:t>
      </w:r>
      <w:r w:rsidR="00D073A2" w:rsidRPr="004A29F9">
        <w:rPr>
          <w:rFonts w:ascii="Times New Roman" w:hAnsi="Times New Roman" w:cs="Times New Roman"/>
          <w:sz w:val="22"/>
          <w:szCs w:val="22"/>
          <w:lang w:val="en-GB"/>
        </w:rPr>
        <w:t xml:space="preserve">onsultant requested that </w:t>
      </w:r>
      <w:r>
        <w:rPr>
          <w:rFonts w:ascii="Times New Roman" w:hAnsi="Times New Roman" w:cs="Times New Roman"/>
          <w:sz w:val="22"/>
          <w:szCs w:val="22"/>
          <w:lang w:val="en-GB"/>
        </w:rPr>
        <w:t>the MO</w:t>
      </w:r>
      <w:r w:rsidR="001D15E5" w:rsidRPr="004A29F9">
        <w:rPr>
          <w:rFonts w:ascii="Times New Roman" w:hAnsi="Times New Roman" w:cs="Times New Roman"/>
          <w:sz w:val="22"/>
          <w:szCs w:val="22"/>
          <w:lang w:val="en-GB"/>
        </w:rPr>
        <w:t>J</w:t>
      </w:r>
      <w:r w:rsidR="00D073A2" w:rsidRPr="004A29F9">
        <w:rPr>
          <w:rFonts w:ascii="Times New Roman" w:hAnsi="Times New Roman" w:cs="Times New Roman"/>
          <w:sz w:val="22"/>
          <w:szCs w:val="22"/>
          <w:lang w:val="en-GB"/>
        </w:rPr>
        <w:t xml:space="preserve"> assemble a chart listing each position fu</w:t>
      </w:r>
      <w:r>
        <w:rPr>
          <w:rFonts w:ascii="Times New Roman" w:hAnsi="Times New Roman" w:cs="Times New Roman"/>
          <w:sz w:val="22"/>
          <w:szCs w:val="22"/>
          <w:lang w:val="en-GB"/>
        </w:rPr>
        <w:t>nded by the Stabilis</w:t>
      </w:r>
      <w:r w:rsidR="00F81617" w:rsidRPr="004A29F9">
        <w:rPr>
          <w:rFonts w:ascii="Times New Roman" w:hAnsi="Times New Roman" w:cs="Times New Roman"/>
          <w:sz w:val="22"/>
          <w:szCs w:val="22"/>
          <w:lang w:val="en-GB"/>
        </w:rPr>
        <w:t xml:space="preserve">ation Fund; the main activities of each </w:t>
      </w:r>
      <w:r w:rsidR="00FC086B" w:rsidRPr="004A29F9">
        <w:rPr>
          <w:rFonts w:ascii="Times New Roman" w:hAnsi="Times New Roman" w:cs="Times New Roman"/>
          <w:sz w:val="22"/>
          <w:szCs w:val="22"/>
          <w:lang w:val="en-GB"/>
        </w:rPr>
        <w:t xml:space="preserve">funded staff member during </w:t>
      </w:r>
      <w:r w:rsidR="00F81617" w:rsidRPr="004A29F9">
        <w:rPr>
          <w:rFonts w:ascii="Times New Roman" w:hAnsi="Times New Roman" w:cs="Times New Roman"/>
          <w:sz w:val="22"/>
          <w:szCs w:val="22"/>
          <w:lang w:val="en-GB"/>
        </w:rPr>
        <w:t xml:space="preserve">year 2012 </w:t>
      </w:r>
      <w:r w:rsidR="00D073A2" w:rsidRPr="004A29F9">
        <w:rPr>
          <w:rFonts w:ascii="Times New Roman" w:hAnsi="Times New Roman" w:cs="Times New Roman"/>
          <w:sz w:val="22"/>
          <w:szCs w:val="22"/>
          <w:lang w:val="en-GB"/>
        </w:rPr>
        <w:t xml:space="preserve">and how each position has contributed to </w:t>
      </w:r>
      <w:r w:rsidR="00F81617" w:rsidRPr="004A29F9">
        <w:rPr>
          <w:rFonts w:ascii="Times New Roman" w:hAnsi="Times New Roman" w:cs="Times New Roman"/>
          <w:sz w:val="22"/>
          <w:szCs w:val="22"/>
          <w:lang w:val="en-GB"/>
        </w:rPr>
        <w:t>the work</w:t>
      </w:r>
      <w:r>
        <w:rPr>
          <w:rFonts w:ascii="Times New Roman" w:hAnsi="Times New Roman" w:cs="Times New Roman"/>
          <w:sz w:val="22"/>
          <w:szCs w:val="22"/>
          <w:lang w:val="en-GB"/>
        </w:rPr>
        <w:t xml:space="preserve"> of the MO</w:t>
      </w:r>
      <w:r w:rsidR="00D073A2" w:rsidRPr="004A29F9">
        <w:rPr>
          <w:rFonts w:ascii="Times New Roman" w:hAnsi="Times New Roman" w:cs="Times New Roman"/>
          <w:sz w:val="22"/>
          <w:szCs w:val="22"/>
          <w:lang w:val="en-GB"/>
        </w:rPr>
        <w:t xml:space="preserve">J. </w:t>
      </w:r>
      <w:r w:rsidR="00F81617" w:rsidRPr="004A29F9">
        <w:rPr>
          <w:rFonts w:ascii="Times New Roman" w:hAnsi="Times New Roman" w:cs="Times New Roman"/>
          <w:sz w:val="22"/>
          <w:szCs w:val="22"/>
          <w:lang w:val="en-GB"/>
        </w:rPr>
        <w:t>This char</w:t>
      </w:r>
      <w:r w:rsidR="001D15E5" w:rsidRPr="004A29F9">
        <w:rPr>
          <w:rFonts w:ascii="Times New Roman" w:hAnsi="Times New Roman" w:cs="Times New Roman"/>
          <w:sz w:val="22"/>
          <w:szCs w:val="22"/>
          <w:lang w:val="en-GB"/>
        </w:rPr>
        <w:t>t</w:t>
      </w:r>
      <w:r>
        <w:rPr>
          <w:rFonts w:ascii="Times New Roman" w:hAnsi="Times New Roman" w:cs="Times New Roman"/>
          <w:sz w:val="22"/>
          <w:szCs w:val="22"/>
          <w:lang w:val="en-GB"/>
        </w:rPr>
        <w:t>, which is a first for the MOJ,</w:t>
      </w:r>
      <w:r w:rsidR="00FD3C19">
        <w:rPr>
          <w:rFonts w:ascii="Times New Roman" w:hAnsi="Times New Roman" w:cs="Times New Roman"/>
          <w:sz w:val="22"/>
          <w:szCs w:val="22"/>
          <w:lang w:val="en-GB"/>
        </w:rPr>
        <w:t xml:space="preserve"> </w:t>
      </w:r>
      <w:r>
        <w:rPr>
          <w:rFonts w:ascii="Times New Roman" w:hAnsi="Times New Roman" w:cs="Times New Roman"/>
          <w:sz w:val="22"/>
          <w:szCs w:val="22"/>
          <w:lang w:val="en-GB"/>
        </w:rPr>
        <w:t xml:space="preserve">is annexed to this report. </w:t>
      </w:r>
      <w:r w:rsidR="00EC3559" w:rsidRPr="004A29F9">
        <w:rPr>
          <w:rFonts w:ascii="Times New Roman" w:hAnsi="Times New Roman" w:cs="Times New Roman"/>
          <w:sz w:val="22"/>
          <w:szCs w:val="22"/>
          <w:lang w:val="en-GB"/>
        </w:rPr>
        <w:t>It is significant from a</w:t>
      </w:r>
      <w:r w:rsidR="001D15E5" w:rsidRPr="004A29F9">
        <w:rPr>
          <w:rFonts w:ascii="Times New Roman" w:hAnsi="Times New Roman" w:cs="Times New Roman"/>
          <w:sz w:val="22"/>
          <w:szCs w:val="22"/>
          <w:lang w:val="en-GB"/>
        </w:rPr>
        <w:t xml:space="preserve"> number of perspectives all of which speak to the im</w:t>
      </w:r>
      <w:r>
        <w:rPr>
          <w:rFonts w:ascii="Times New Roman" w:hAnsi="Times New Roman" w:cs="Times New Roman"/>
          <w:sz w:val="22"/>
          <w:szCs w:val="22"/>
          <w:lang w:val="en-GB"/>
        </w:rPr>
        <w:t xml:space="preserve">pact of UNDP’s support to the MOJ. </w:t>
      </w:r>
      <w:r w:rsidR="001D15E5" w:rsidRPr="004A29F9">
        <w:rPr>
          <w:rFonts w:ascii="Times New Roman" w:hAnsi="Times New Roman" w:cs="Times New Roman"/>
          <w:sz w:val="22"/>
          <w:szCs w:val="22"/>
          <w:lang w:val="en-GB"/>
        </w:rPr>
        <w:t xml:space="preserve">First, the chart was completed by staff members </w:t>
      </w:r>
      <w:r w:rsidR="001D15E5" w:rsidRPr="004A29F9">
        <w:rPr>
          <w:rFonts w:ascii="Times New Roman" w:hAnsi="Times New Roman" w:cs="Times New Roman"/>
          <w:i/>
          <w:sz w:val="22"/>
          <w:szCs w:val="22"/>
          <w:lang w:val="en-GB"/>
        </w:rPr>
        <w:t>self-reporting</w:t>
      </w:r>
      <w:r>
        <w:rPr>
          <w:rFonts w:ascii="Times New Roman" w:hAnsi="Times New Roman" w:cs="Times New Roman"/>
          <w:sz w:val="22"/>
          <w:szCs w:val="22"/>
          <w:lang w:val="en-GB"/>
        </w:rPr>
        <w:t xml:space="preserve"> their own activities. </w:t>
      </w:r>
      <w:r w:rsidR="001D15E5" w:rsidRPr="004A29F9">
        <w:rPr>
          <w:rFonts w:ascii="Times New Roman" w:hAnsi="Times New Roman" w:cs="Times New Roman"/>
          <w:sz w:val="22"/>
          <w:szCs w:val="22"/>
          <w:lang w:val="en-GB"/>
        </w:rPr>
        <w:t xml:space="preserve">The fact </w:t>
      </w:r>
      <w:r w:rsidR="00EC3559" w:rsidRPr="004A29F9">
        <w:rPr>
          <w:rFonts w:ascii="Times New Roman" w:hAnsi="Times New Roman" w:cs="Times New Roman"/>
          <w:sz w:val="22"/>
          <w:szCs w:val="22"/>
          <w:lang w:val="en-GB"/>
        </w:rPr>
        <w:t xml:space="preserve">that </w:t>
      </w:r>
      <w:r w:rsidR="001D15E5" w:rsidRPr="004A29F9">
        <w:rPr>
          <w:rFonts w:ascii="Times New Roman" w:hAnsi="Times New Roman" w:cs="Times New Roman"/>
          <w:sz w:val="22"/>
          <w:szCs w:val="22"/>
          <w:lang w:val="en-GB"/>
        </w:rPr>
        <w:t>the staff members can account for the impact that they are making speaks to a high level of integration of these staff members within the Ministry</w:t>
      </w:r>
      <w:r>
        <w:rPr>
          <w:rFonts w:ascii="Times New Roman" w:hAnsi="Times New Roman" w:cs="Times New Roman"/>
          <w:sz w:val="22"/>
          <w:szCs w:val="22"/>
          <w:lang w:val="en-GB"/>
        </w:rPr>
        <w:t xml:space="preserve">. </w:t>
      </w:r>
      <w:r w:rsidR="00756E68" w:rsidRPr="004A29F9">
        <w:rPr>
          <w:rFonts w:ascii="Times New Roman" w:hAnsi="Times New Roman" w:cs="Times New Roman"/>
          <w:sz w:val="22"/>
          <w:szCs w:val="22"/>
          <w:lang w:val="en-GB"/>
        </w:rPr>
        <w:t xml:space="preserve">Second, </w:t>
      </w:r>
      <w:r w:rsidR="00EC3559" w:rsidRPr="004A29F9">
        <w:rPr>
          <w:rFonts w:ascii="Times New Roman" w:hAnsi="Times New Roman" w:cs="Times New Roman"/>
          <w:sz w:val="22"/>
          <w:szCs w:val="22"/>
          <w:lang w:val="en-GB"/>
        </w:rPr>
        <w:t xml:space="preserve">from a substantive perspective </w:t>
      </w:r>
      <w:r w:rsidR="00756E68" w:rsidRPr="004A29F9">
        <w:rPr>
          <w:rFonts w:ascii="Times New Roman" w:hAnsi="Times New Roman" w:cs="Times New Roman"/>
          <w:sz w:val="22"/>
          <w:szCs w:val="22"/>
          <w:lang w:val="en-GB"/>
        </w:rPr>
        <w:t xml:space="preserve">the chart documents the impact that these staff members are having across a </w:t>
      </w:r>
      <w:r w:rsidR="00756E68" w:rsidRPr="004A29F9">
        <w:rPr>
          <w:rFonts w:ascii="Times New Roman" w:hAnsi="Times New Roman" w:cs="Times New Roman"/>
          <w:i/>
          <w:sz w:val="22"/>
          <w:szCs w:val="22"/>
          <w:lang w:val="en-GB"/>
        </w:rPr>
        <w:t>broad spectrum</w:t>
      </w:r>
      <w:r>
        <w:rPr>
          <w:rFonts w:ascii="Times New Roman" w:hAnsi="Times New Roman" w:cs="Times New Roman"/>
          <w:sz w:val="22"/>
          <w:szCs w:val="22"/>
          <w:lang w:val="en-GB"/>
        </w:rPr>
        <w:t xml:space="preserve"> of the MO</w:t>
      </w:r>
      <w:r w:rsidR="00756E68" w:rsidRPr="004A29F9">
        <w:rPr>
          <w:rFonts w:ascii="Times New Roman" w:hAnsi="Times New Roman" w:cs="Times New Roman"/>
          <w:sz w:val="22"/>
          <w:szCs w:val="22"/>
          <w:lang w:val="en-GB"/>
        </w:rPr>
        <w:t>J’s work</w:t>
      </w:r>
      <w:r>
        <w:rPr>
          <w:rFonts w:ascii="Times New Roman" w:hAnsi="Times New Roman" w:cs="Times New Roman"/>
          <w:sz w:val="22"/>
          <w:szCs w:val="22"/>
          <w:lang w:val="en-GB"/>
        </w:rPr>
        <w:t xml:space="preserve"> - </w:t>
      </w:r>
      <w:r w:rsidR="00EC3559" w:rsidRPr="004A29F9">
        <w:rPr>
          <w:rFonts w:ascii="Times New Roman" w:hAnsi="Times New Roman" w:cs="Times New Roman"/>
          <w:sz w:val="22"/>
          <w:szCs w:val="22"/>
          <w:lang w:val="en-GB"/>
        </w:rPr>
        <w:t>with a clear emphasis on increasing communication with</w:t>
      </w:r>
      <w:r w:rsidR="00FF5463" w:rsidRPr="004A29F9">
        <w:rPr>
          <w:rFonts w:ascii="Times New Roman" w:hAnsi="Times New Roman" w:cs="Times New Roman"/>
          <w:sz w:val="22"/>
          <w:szCs w:val="22"/>
          <w:lang w:val="en-GB"/>
        </w:rPr>
        <w:t>in</w:t>
      </w:r>
      <w:r w:rsidR="00EC3559" w:rsidRPr="004A29F9">
        <w:rPr>
          <w:rFonts w:ascii="Times New Roman" w:hAnsi="Times New Roman" w:cs="Times New Roman"/>
          <w:sz w:val="22"/>
          <w:szCs w:val="22"/>
          <w:lang w:val="en-GB"/>
        </w:rPr>
        <w:t xml:space="preserve"> the Ministry</w:t>
      </w:r>
      <w:r>
        <w:rPr>
          <w:rFonts w:ascii="Times New Roman" w:hAnsi="Times New Roman" w:cs="Times New Roman"/>
          <w:sz w:val="22"/>
          <w:szCs w:val="22"/>
          <w:lang w:val="en-GB"/>
        </w:rPr>
        <w:t>, developing and modernis</w:t>
      </w:r>
      <w:r w:rsidR="00E90998" w:rsidRPr="004A29F9">
        <w:rPr>
          <w:rFonts w:ascii="Times New Roman" w:hAnsi="Times New Roman" w:cs="Times New Roman"/>
          <w:sz w:val="22"/>
          <w:szCs w:val="22"/>
          <w:lang w:val="en-GB"/>
        </w:rPr>
        <w:t>ing office systems, payment systems, filing and record keeping and service delivery to citizens.</w:t>
      </w:r>
      <w:r w:rsidR="003730F7" w:rsidRPr="004A29F9">
        <w:rPr>
          <w:rStyle w:val="FootnoteReference"/>
          <w:rFonts w:ascii="Times New Roman" w:hAnsi="Times New Roman" w:cs="Times New Roman"/>
          <w:sz w:val="22"/>
          <w:szCs w:val="22"/>
          <w:lang w:val="en-GB"/>
        </w:rPr>
        <w:footnoteReference w:id="70"/>
      </w:r>
      <w:r w:rsidR="00FD3C19">
        <w:rPr>
          <w:rFonts w:ascii="Times New Roman" w:hAnsi="Times New Roman" w:cs="Times New Roman"/>
          <w:sz w:val="22"/>
          <w:szCs w:val="22"/>
          <w:lang w:val="en-GB"/>
        </w:rPr>
        <w:t xml:space="preserve"> </w:t>
      </w:r>
      <w:r w:rsidR="00FC086B" w:rsidRPr="004A29F9">
        <w:rPr>
          <w:rFonts w:ascii="Times New Roman" w:hAnsi="Times New Roman" w:cs="Times New Roman"/>
          <w:sz w:val="22"/>
          <w:szCs w:val="22"/>
          <w:lang w:val="en-GB"/>
        </w:rPr>
        <w:t xml:space="preserve">Third, the chart is </w:t>
      </w:r>
      <w:r w:rsidR="00FC086B" w:rsidRPr="004A29F9">
        <w:rPr>
          <w:rFonts w:ascii="Times New Roman" w:hAnsi="Times New Roman" w:cs="Times New Roman"/>
          <w:i/>
          <w:sz w:val="22"/>
          <w:szCs w:val="22"/>
          <w:lang w:val="en-GB"/>
        </w:rPr>
        <w:t>supporting evidence</w:t>
      </w:r>
      <w:r w:rsidR="00FC086B" w:rsidRPr="004A29F9">
        <w:rPr>
          <w:rFonts w:ascii="Times New Roman" w:hAnsi="Times New Roman" w:cs="Times New Roman"/>
          <w:sz w:val="22"/>
          <w:szCs w:val="22"/>
          <w:lang w:val="en-GB"/>
        </w:rPr>
        <w:t xml:space="preserve"> that UNDP supported </w:t>
      </w:r>
      <w:r w:rsidR="00351DAE" w:rsidRPr="004A29F9">
        <w:rPr>
          <w:rFonts w:ascii="Times New Roman" w:hAnsi="Times New Roman" w:cs="Times New Roman"/>
          <w:sz w:val="22"/>
          <w:szCs w:val="22"/>
          <w:lang w:val="en-GB"/>
        </w:rPr>
        <w:t>training have</w:t>
      </w:r>
      <w:r w:rsidR="008F46A8" w:rsidRPr="004A29F9">
        <w:rPr>
          <w:rFonts w:ascii="Times New Roman" w:hAnsi="Times New Roman" w:cs="Times New Roman"/>
          <w:sz w:val="22"/>
          <w:szCs w:val="22"/>
          <w:lang w:val="en-GB"/>
        </w:rPr>
        <w:t xml:space="preserve"> had a positive impact upon</w:t>
      </w:r>
      <w:r w:rsidR="00FC086B" w:rsidRPr="004A29F9">
        <w:rPr>
          <w:rFonts w:ascii="Times New Roman" w:hAnsi="Times New Roman" w:cs="Times New Roman"/>
          <w:sz w:val="22"/>
          <w:szCs w:val="22"/>
          <w:lang w:val="en-GB"/>
        </w:rPr>
        <w:t xml:space="preserve"> the work of staff members.</w:t>
      </w:r>
    </w:p>
    <w:p w:rsidR="00B47DD3" w:rsidRPr="004A29F9" w:rsidRDefault="00B47DD3" w:rsidP="00FB6759">
      <w:pPr>
        <w:spacing w:after="0" w:line="240" w:lineRule="auto"/>
        <w:jc w:val="both"/>
        <w:rPr>
          <w:rFonts w:ascii="Times New Roman" w:hAnsi="Times New Roman" w:cs="Times New Roman"/>
          <w:sz w:val="22"/>
          <w:szCs w:val="22"/>
          <w:lang w:val="en-GB"/>
        </w:rPr>
      </w:pPr>
    </w:p>
    <w:p w:rsidR="009F00C6" w:rsidRDefault="000B206E" w:rsidP="00FB6759">
      <w:pPr>
        <w:spacing w:after="0" w:line="240" w:lineRule="auto"/>
        <w:jc w:val="both"/>
        <w:rPr>
          <w:rFonts w:ascii="Times New Roman" w:hAnsi="Times New Roman" w:cs="Times New Roman"/>
          <w:i/>
          <w:sz w:val="22"/>
          <w:szCs w:val="22"/>
          <w:lang w:val="en-GB"/>
        </w:rPr>
      </w:pPr>
      <w:r>
        <w:rPr>
          <w:rFonts w:ascii="Times New Roman" w:hAnsi="Times New Roman" w:cs="Times New Roman"/>
          <w:i/>
          <w:sz w:val="22"/>
          <w:szCs w:val="22"/>
          <w:lang w:val="en-GB"/>
        </w:rPr>
        <w:t>Embedded experts at the MO</w:t>
      </w:r>
      <w:r w:rsidR="00115F86" w:rsidRPr="004A29F9">
        <w:rPr>
          <w:rFonts w:ascii="Times New Roman" w:hAnsi="Times New Roman" w:cs="Times New Roman"/>
          <w:i/>
          <w:sz w:val="22"/>
          <w:szCs w:val="22"/>
          <w:lang w:val="en-GB"/>
        </w:rPr>
        <w:t>J</w:t>
      </w:r>
    </w:p>
    <w:p w:rsidR="000B206E" w:rsidRPr="000B206E" w:rsidRDefault="000B206E" w:rsidP="00FB6759">
      <w:pPr>
        <w:spacing w:after="0" w:line="240" w:lineRule="auto"/>
        <w:jc w:val="both"/>
        <w:rPr>
          <w:rFonts w:ascii="Times New Roman" w:hAnsi="Times New Roman" w:cs="Times New Roman"/>
          <w:i/>
          <w:sz w:val="22"/>
          <w:szCs w:val="22"/>
          <w:lang w:val="en-GB"/>
        </w:rPr>
      </w:pPr>
    </w:p>
    <w:p w:rsidR="001417F1" w:rsidRDefault="006F284D"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Apart from its early efforts to help </w:t>
      </w:r>
      <w:r w:rsidR="000B206E">
        <w:rPr>
          <w:rFonts w:ascii="Times New Roman" w:hAnsi="Times New Roman" w:cs="Times New Roman"/>
          <w:sz w:val="22"/>
          <w:szCs w:val="22"/>
          <w:lang w:val="en-GB"/>
        </w:rPr>
        <w:t>stabilis</w:t>
      </w:r>
      <w:r w:rsidR="005F0B0E" w:rsidRPr="004A29F9">
        <w:rPr>
          <w:rFonts w:ascii="Times New Roman" w:hAnsi="Times New Roman" w:cs="Times New Roman"/>
          <w:sz w:val="22"/>
          <w:szCs w:val="22"/>
          <w:lang w:val="en-GB"/>
        </w:rPr>
        <w:t>e</w:t>
      </w:r>
      <w:r w:rsidR="000B206E">
        <w:rPr>
          <w:rFonts w:ascii="Times New Roman" w:hAnsi="Times New Roman" w:cs="Times New Roman"/>
          <w:sz w:val="22"/>
          <w:szCs w:val="22"/>
          <w:lang w:val="en-GB"/>
        </w:rPr>
        <w:t xml:space="preserve"> the situation at the MOJ, the p</w:t>
      </w:r>
      <w:r w:rsidRPr="004A29F9">
        <w:rPr>
          <w:rFonts w:ascii="Times New Roman" w:hAnsi="Times New Roman" w:cs="Times New Roman"/>
          <w:sz w:val="22"/>
          <w:szCs w:val="22"/>
          <w:lang w:val="en-GB"/>
        </w:rPr>
        <w:t xml:space="preserve">rogramme has also implemented </w:t>
      </w:r>
      <w:r w:rsidR="000B206E">
        <w:rPr>
          <w:rFonts w:ascii="Times New Roman" w:hAnsi="Times New Roman" w:cs="Times New Roman"/>
          <w:sz w:val="22"/>
          <w:szCs w:val="22"/>
          <w:lang w:val="en-GB"/>
        </w:rPr>
        <w:t xml:space="preserve">specific </w:t>
      </w:r>
      <w:r w:rsidRPr="004A29F9">
        <w:rPr>
          <w:rFonts w:ascii="Times New Roman" w:hAnsi="Times New Roman" w:cs="Times New Roman"/>
          <w:sz w:val="22"/>
          <w:szCs w:val="22"/>
          <w:lang w:val="en-GB"/>
        </w:rPr>
        <w:t>projects aimed at developing the longer-term capabilities and responsiveness of the Ministry, primarily in the areas of expert advice &amp; training, tech</w:t>
      </w:r>
      <w:r w:rsidR="000B206E">
        <w:rPr>
          <w:rFonts w:ascii="Times New Roman" w:hAnsi="Times New Roman" w:cs="Times New Roman"/>
          <w:sz w:val="22"/>
          <w:szCs w:val="22"/>
          <w:lang w:val="en-GB"/>
        </w:rPr>
        <w:t>nical support, and assessment. The p</w:t>
      </w:r>
      <w:r w:rsidRPr="004A29F9">
        <w:rPr>
          <w:rFonts w:ascii="Times New Roman" w:hAnsi="Times New Roman" w:cs="Times New Roman"/>
          <w:sz w:val="22"/>
          <w:szCs w:val="22"/>
          <w:lang w:val="en-GB"/>
        </w:rPr>
        <w:t>rogramme made it possible for UNDP expert</w:t>
      </w:r>
      <w:r w:rsidR="000B206E">
        <w:rPr>
          <w:rFonts w:ascii="Times New Roman" w:hAnsi="Times New Roman" w:cs="Times New Roman"/>
          <w:sz w:val="22"/>
          <w:szCs w:val="22"/>
          <w:lang w:val="en-GB"/>
        </w:rPr>
        <w:t>s to be embedded in the MOJ</w:t>
      </w:r>
      <w:r w:rsidRPr="004A29F9">
        <w:rPr>
          <w:rFonts w:ascii="Times New Roman" w:hAnsi="Times New Roman" w:cs="Times New Roman"/>
          <w:sz w:val="22"/>
          <w:szCs w:val="22"/>
          <w:lang w:val="en-GB"/>
        </w:rPr>
        <w:t xml:space="preserve"> to assist with general coordination as well as topic-specific inp</w:t>
      </w:r>
      <w:r w:rsidR="000B206E">
        <w:rPr>
          <w:rFonts w:ascii="Times New Roman" w:hAnsi="Times New Roman" w:cs="Times New Roman"/>
          <w:sz w:val="22"/>
          <w:szCs w:val="22"/>
          <w:lang w:val="en-GB"/>
        </w:rPr>
        <w:t xml:space="preserve">ut, including a </w:t>
      </w:r>
      <w:r w:rsidRPr="004A29F9">
        <w:rPr>
          <w:rFonts w:ascii="Times New Roman" w:hAnsi="Times New Roman" w:cs="Times New Roman"/>
          <w:sz w:val="22"/>
          <w:szCs w:val="22"/>
          <w:lang w:val="en-GB"/>
        </w:rPr>
        <w:t xml:space="preserve">rule of law advisor, </w:t>
      </w:r>
      <w:r w:rsidR="000B206E">
        <w:rPr>
          <w:rFonts w:ascii="Times New Roman" w:hAnsi="Times New Roman" w:cs="Times New Roman"/>
          <w:sz w:val="22"/>
          <w:szCs w:val="22"/>
          <w:lang w:val="en-GB"/>
        </w:rPr>
        <w:t xml:space="preserve">a policy advisor, </w:t>
      </w:r>
      <w:r w:rsidRPr="004A29F9">
        <w:rPr>
          <w:rFonts w:ascii="Times New Roman" w:hAnsi="Times New Roman" w:cs="Times New Roman"/>
          <w:sz w:val="22"/>
          <w:szCs w:val="22"/>
          <w:lang w:val="en-GB"/>
        </w:rPr>
        <w:t>a monitoring and evaluation expert, a legal aid expert</w:t>
      </w:r>
      <w:r w:rsidR="003376AE" w:rsidRPr="004A29F9">
        <w:rPr>
          <w:rFonts w:ascii="Times New Roman" w:hAnsi="Times New Roman" w:cs="Times New Roman"/>
          <w:sz w:val="22"/>
          <w:szCs w:val="22"/>
          <w:lang w:val="en-GB"/>
        </w:rPr>
        <w:t>, a communications/media expert to build a justice information centre and</w:t>
      </w:r>
      <w:r w:rsidRPr="004A29F9">
        <w:rPr>
          <w:rFonts w:ascii="Times New Roman" w:hAnsi="Times New Roman" w:cs="Times New Roman"/>
          <w:sz w:val="22"/>
          <w:szCs w:val="22"/>
          <w:lang w:val="en-GB"/>
        </w:rPr>
        <w:t xml:space="preserve"> a gender and juvenile justice expert.</w:t>
      </w:r>
      <w:r w:rsidRPr="004A29F9">
        <w:rPr>
          <w:rStyle w:val="FootnoteReference"/>
          <w:rFonts w:ascii="Times New Roman" w:hAnsi="Times New Roman" w:cs="Times New Roman"/>
          <w:sz w:val="22"/>
          <w:szCs w:val="22"/>
          <w:lang w:val="en-GB"/>
        </w:rPr>
        <w:footnoteReference w:id="71"/>
      </w:r>
      <w:r w:rsidR="00DD230C" w:rsidRPr="004A29F9">
        <w:rPr>
          <w:rFonts w:ascii="Times New Roman" w:hAnsi="Times New Roman" w:cs="Times New Roman"/>
          <w:sz w:val="22"/>
          <w:szCs w:val="22"/>
          <w:lang w:val="en-GB"/>
        </w:rPr>
        <w:t>This is the firs</w:t>
      </w:r>
      <w:r w:rsidR="003809F2" w:rsidRPr="004A29F9">
        <w:rPr>
          <w:rFonts w:ascii="Times New Roman" w:hAnsi="Times New Roman" w:cs="Times New Roman"/>
          <w:sz w:val="22"/>
          <w:szCs w:val="22"/>
          <w:lang w:val="en-GB"/>
        </w:rPr>
        <w:t xml:space="preserve">t time that any programme had placed </w:t>
      </w:r>
      <w:r w:rsidR="000B206E">
        <w:rPr>
          <w:rFonts w:ascii="Times New Roman" w:hAnsi="Times New Roman" w:cs="Times New Roman"/>
          <w:sz w:val="22"/>
          <w:szCs w:val="22"/>
          <w:lang w:val="en-GB"/>
        </w:rPr>
        <w:t>specialists within the MO</w:t>
      </w:r>
      <w:r w:rsidR="00DD230C" w:rsidRPr="004A29F9">
        <w:rPr>
          <w:rFonts w:ascii="Times New Roman" w:hAnsi="Times New Roman" w:cs="Times New Roman"/>
          <w:sz w:val="22"/>
          <w:szCs w:val="22"/>
          <w:lang w:val="en-GB"/>
        </w:rPr>
        <w:t>J.</w:t>
      </w:r>
    </w:p>
    <w:p w:rsidR="000B206E" w:rsidRPr="004A29F9" w:rsidRDefault="000B206E" w:rsidP="00FB6759">
      <w:pPr>
        <w:spacing w:after="0" w:line="240" w:lineRule="auto"/>
        <w:jc w:val="both"/>
        <w:rPr>
          <w:rFonts w:ascii="Times New Roman" w:hAnsi="Times New Roman" w:cs="Times New Roman"/>
          <w:sz w:val="22"/>
          <w:szCs w:val="22"/>
          <w:lang w:val="en-GB"/>
        </w:rPr>
      </w:pPr>
    </w:p>
    <w:p w:rsidR="001417F1" w:rsidRPr="004A29F9" w:rsidRDefault="001417F1"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UNDP seconded experts have served as embedded </w:t>
      </w:r>
      <w:r w:rsidR="000B206E">
        <w:rPr>
          <w:rFonts w:ascii="Times New Roman" w:hAnsi="Times New Roman" w:cs="Times New Roman"/>
          <w:sz w:val="22"/>
          <w:szCs w:val="22"/>
          <w:lang w:val="en-GB"/>
        </w:rPr>
        <w:t>technical advisors within the MO</w:t>
      </w:r>
      <w:r w:rsidRPr="004A29F9">
        <w:rPr>
          <w:rFonts w:ascii="Times New Roman" w:hAnsi="Times New Roman" w:cs="Times New Roman"/>
          <w:sz w:val="22"/>
          <w:szCs w:val="22"/>
          <w:lang w:val="en-GB"/>
        </w:rPr>
        <w:t xml:space="preserve">J, </w:t>
      </w:r>
      <w:r w:rsidR="000B206E">
        <w:rPr>
          <w:rFonts w:ascii="Times New Roman" w:hAnsi="Times New Roman" w:cs="Times New Roman"/>
          <w:sz w:val="22"/>
          <w:szCs w:val="22"/>
          <w:lang w:val="en-GB"/>
        </w:rPr>
        <w:t xml:space="preserve">the </w:t>
      </w:r>
      <w:r w:rsidRPr="004A29F9">
        <w:rPr>
          <w:rFonts w:ascii="Times New Roman" w:hAnsi="Times New Roman" w:cs="Times New Roman"/>
          <w:sz w:val="22"/>
          <w:szCs w:val="22"/>
          <w:lang w:val="en-GB"/>
        </w:rPr>
        <w:t xml:space="preserve">HJC and </w:t>
      </w:r>
      <w:r w:rsidR="000B206E">
        <w:rPr>
          <w:rFonts w:ascii="Times New Roman" w:hAnsi="Times New Roman" w:cs="Times New Roman"/>
          <w:sz w:val="22"/>
          <w:szCs w:val="22"/>
          <w:lang w:val="en-GB"/>
        </w:rPr>
        <w:t xml:space="preserve">the </w:t>
      </w:r>
      <w:r w:rsidRPr="004A29F9">
        <w:rPr>
          <w:rFonts w:ascii="Times New Roman" w:hAnsi="Times New Roman" w:cs="Times New Roman"/>
          <w:sz w:val="22"/>
          <w:szCs w:val="22"/>
          <w:lang w:val="en-GB"/>
        </w:rPr>
        <w:t xml:space="preserve">AGO. These seconded experts have fulfilled a number of functions and </w:t>
      </w:r>
      <w:r w:rsidR="00BB5BC4" w:rsidRPr="004A29F9">
        <w:rPr>
          <w:rFonts w:ascii="Times New Roman" w:hAnsi="Times New Roman" w:cs="Times New Roman"/>
          <w:sz w:val="22"/>
          <w:szCs w:val="22"/>
          <w:lang w:val="en-GB"/>
        </w:rPr>
        <w:t>wh</w:t>
      </w:r>
      <w:r w:rsidRPr="004A29F9">
        <w:rPr>
          <w:rFonts w:ascii="Times New Roman" w:hAnsi="Times New Roman" w:cs="Times New Roman"/>
          <w:sz w:val="22"/>
          <w:szCs w:val="22"/>
          <w:lang w:val="en-GB"/>
        </w:rPr>
        <w:t>ile these mechanisms of communication remain most intense between the UNDP seconded expe</w:t>
      </w:r>
      <w:r w:rsidR="00BD7B38">
        <w:rPr>
          <w:rFonts w:ascii="Times New Roman" w:hAnsi="Times New Roman" w:cs="Times New Roman"/>
          <w:sz w:val="22"/>
          <w:szCs w:val="22"/>
          <w:lang w:val="en-GB"/>
        </w:rPr>
        <w:t xml:space="preserve">rts at the justice institutions, the evaluation’s survey of MOJ staff </w:t>
      </w:r>
      <w:r w:rsidRPr="004A29F9">
        <w:rPr>
          <w:rFonts w:ascii="Times New Roman" w:hAnsi="Times New Roman" w:cs="Times New Roman"/>
          <w:sz w:val="22"/>
          <w:szCs w:val="22"/>
          <w:lang w:val="en-GB"/>
        </w:rPr>
        <w:t xml:space="preserve">and </w:t>
      </w:r>
      <w:r w:rsidR="00BD7B38">
        <w:rPr>
          <w:rFonts w:ascii="Times New Roman" w:hAnsi="Times New Roman" w:cs="Times New Roman"/>
          <w:sz w:val="22"/>
          <w:szCs w:val="22"/>
          <w:lang w:val="en-GB"/>
        </w:rPr>
        <w:t>interviews indicate that many MO</w:t>
      </w:r>
      <w:r w:rsidRPr="004A29F9">
        <w:rPr>
          <w:rFonts w:ascii="Times New Roman" w:hAnsi="Times New Roman" w:cs="Times New Roman"/>
          <w:sz w:val="22"/>
          <w:szCs w:val="22"/>
          <w:lang w:val="en-GB"/>
        </w:rPr>
        <w:t>J staff are regularly communicating with their cou</w:t>
      </w:r>
      <w:r w:rsidR="00BD7B38">
        <w:rPr>
          <w:rFonts w:ascii="Times New Roman" w:hAnsi="Times New Roman" w:cs="Times New Roman"/>
          <w:sz w:val="22"/>
          <w:szCs w:val="22"/>
          <w:lang w:val="en-GB"/>
        </w:rPr>
        <w:t>nterparts at the HJC and the AGO.</w:t>
      </w:r>
    </w:p>
    <w:p w:rsidR="00BD7B38" w:rsidRDefault="001417F1"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lastRenderedPageBreak/>
        <w:t>UNDP worked to improve institutional performance system-wide by focusing support on the T</w:t>
      </w:r>
      <w:r w:rsidR="00BD7B38">
        <w:rPr>
          <w:rFonts w:ascii="Times New Roman" w:hAnsi="Times New Roman" w:cs="Times New Roman"/>
          <w:sz w:val="22"/>
          <w:szCs w:val="22"/>
          <w:lang w:val="en-GB"/>
        </w:rPr>
        <w:t>echnical Advisory Unit at the MO</w:t>
      </w:r>
      <w:r w:rsidRPr="004A29F9">
        <w:rPr>
          <w:rFonts w:ascii="Times New Roman" w:hAnsi="Times New Roman" w:cs="Times New Roman"/>
          <w:sz w:val="22"/>
          <w:szCs w:val="22"/>
          <w:lang w:val="en-GB"/>
        </w:rPr>
        <w:t xml:space="preserve">J, which </w:t>
      </w:r>
      <w:r w:rsidR="00BD7B38">
        <w:rPr>
          <w:rFonts w:ascii="Times New Roman" w:hAnsi="Times New Roman" w:cs="Times New Roman"/>
          <w:sz w:val="22"/>
          <w:szCs w:val="22"/>
          <w:lang w:val="en-GB"/>
        </w:rPr>
        <w:t>provides support on strategic planning,</w:t>
      </w:r>
      <w:r w:rsidRPr="004A29F9">
        <w:rPr>
          <w:rFonts w:ascii="Times New Roman" w:hAnsi="Times New Roman" w:cs="Times New Roman"/>
          <w:sz w:val="22"/>
          <w:szCs w:val="22"/>
          <w:lang w:val="en-GB"/>
        </w:rPr>
        <w:t xml:space="preserve"> project management, </w:t>
      </w:r>
      <w:r w:rsidR="00BD7B38">
        <w:rPr>
          <w:rFonts w:ascii="Times New Roman" w:hAnsi="Times New Roman" w:cs="Times New Roman"/>
          <w:sz w:val="22"/>
          <w:szCs w:val="22"/>
          <w:lang w:val="en-GB"/>
        </w:rPr>
        <w:t>human resour</w:t>
      </w:r>
      <w:r w:rsidR="00297A6F" w:rsidRPr="004A29F9">
        <w:rPr>
          <w:rFonts w:ascii="Times New Roman" w:hAnsi="Times New Roman" w:cs="Times New Roman"/>
          <w:sz w:val="22"/>
          <w:szCs w:val="22"/>
          <w:lang w:val="en-GB"/>
        </w:rPr>
        <w:t xml:space="preserve">ce development </w:t>
      </w:r>
      <w:r w:rsidR="00BD7B38">
        <w:rPr>
          <w:rFonts w:ascii="Times New Roman" w:hAnsi="Times New Roman" w:cs="Times New Roman"/>
          <w:sz w:val="22"/>
          <w:szCs w:val="22"/>
          <w:lang w:val="en-GB"/>
        </w:rPr>
        <w:t>and donor coordination</w:t>
      </w:r>
      <w:r w:rsidRPr="004A29F9">
        <w:rPr>
          <w:rFonts w:ascii="Times New Roman" w:hAnsi="Times New Roman" w:cs="Times New Roman"/>
          <w:sz w:val="22"/>
          <w:szCs w:val="22"/>
          <w:lang w:val="en-GB"/>
        </w:rPr>
        <w:t>.</w:t>
      </w:r>
      <w:r w:rsidRPr="004A29F9">
        <w:rPr>
          <w:rStyle w:val="FootnoteReference"/>
          <w:rFonts w:ascii="Times New Roman" w:hAnsi="Times New Roman" w:cs="Times New Roman"/>
          <w:sz w:val="22"/>
          <w:szCs w:val="22"/>
          <w:lang w:val="en-GB"/>
        </w:rPr>
        <w:footnoteReference w:id="72"/>
      </w:r>
      <w:r w:rsidRPr="004A29F9">
        <w:rPr>
          <w:rFonts w:ascii="Times New Roman" w:hAnsi="Times New Roman" w:cs="Times New Roman"/>
          <w:sz w:val="22"/>
          <w:szCs w:val="22"/>
          <w:lang w:val="en-GB"/>
        </w:rPr>
        <w:t>This emphasis was well placed, since the “big picture” role of focal points like the Technical Advisory Unit enables them to identify systemic prob</w:t>
      </w:r>
      <w:r w:rsidR="00BD7B38">
        <w:rPr>
          <w:rFonts w:ascii="Times New Roman" w:hAnsi="Times New Roman" w:cs="Times New Roman"/>
          <w:sz w:val="22"/>
          <w:szCs w:val="22"/>
          <w:lang w:val="en-GB"/>
        </w:rPr>
        <w:t>lems and effect broad changes.</w:t>
      </w:r>
    </w:p>
    <w:p w:rsidR="00BD7B38" w:rsidRDefault="00BD7B38" w:rsidP="00FB6759">
      <w:pPr>
        <w:spacing w:after="0" w:line="240" w:lineRule="auto"/>
        <w:jc w:val="both"/>
        <w:rPr>
          <w:rFonts w:ascii="Times New Roman" w:hAnsi="Times New Roman" w:cs="Times New Roman"/>
          <w:sz w:val="22"/>
          <w:szCs w:val="22"/>
          <w:lang w:val="en-GB"/>
        </w:rPr>
      </w:pPr>
    </w:p>
    <w:p w:rsidR="001417F1" w:rsidRDefault="001417F1"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Having a single point of focus for institution-wide issues is especially criti</w:t>
      </w:r>
      <w:r w:rsidR="00BD7B38">
        <w:rPr>
          <w:rFonts w:ascii="Times New Roman" w:hAnsi="Times New Roman" w:cs="Times New Roman"/>
          <w:sz w:val="22"/>
          <w:szCs w:val="22"/>
          <w:lang w:val="en-GB"/>
        </w:rPr>
        <w:t>cal for institutions like the MO</w:t>
      </w:r>
      <w:r w:rsidRPr="004A29F9">
        <w:rPr>
          <w:rFonts w:ascii="Times New Roman" w:hAnsi="Times New Roman" w:cs="Times New Roman"/>
          <w:sz w:val="22"/>
          <w:szCs w:val="22"/>
          <w:lang w:val="en-GB"/>
        </w:rPr>
        <w:t xml:space="preserve">J, since such focal points can help to manage the burdens of compliance with </w:t>
      </w:r>
      <w:r w:rsidR="00BD7B38">
        <w:rPr>
          <w:rFonts w:ascii="Times New Roman" w:hAnsi="Times New Roman" w:cs="Times New Roman"/>
          <w:sz w:val="22"/>
          <w:szCs w:val="22"/>
          <w:lang w:val="en-GB"/>
        </w:rPr>
        <w:t xml:space="preserve">donor solicitations, monitoring and reporting - </w:t>
      </w:r>
      <w:r w:rsidRPr="004A29F9">
        <w:rPr>
          <w:rFonts w:ascii="Times New Roman" w:hAnsi="Times New Roman" w:cs="Times New Roman"/>
          <w:sz w:val="22"/>
          <w:szCs w:val="22"/>
          <w:lang w:val="en-GB"/>
        </w:rPr>
        <w:t>leaving functional departments free to</w:t>
      </w:r>
      <w:r w:rsidR="005F3109">
        <w:rPr>
          <w:rFonts w:ascii="Times New Roman" w:hAnsi="Times New Roman" w:cs="Times New Roman"/>
          <w:sz w:val="22"/>
          <w:szCs w:val="22"/>
          <w:lang w:val="en-GB"/>
        </w:rPr>
        <w:t xml:space="preserve"> focus on their core mandates. </w:t>
      </w:r>
      <w:r w:rsidRPr="004A29F9">
        <w:rPr>
          <w:rFonts w:ascii="Times New Roman" w:hAnsi="Times New Roman" w:cs="Times New Roman"/>
          <w:sz w:val="22"/>
          <w:szCs w:val="22"/>
          <w:lang w:val="en-GB"/>
        </w:rPr>
        <w:t>Yet the services of</w:t>
      </w:r>
      <w:r w:rsidR="005F3109">
        <w:rPr>
          <w:rFonts w:ascii="Times New Roman" w:hAnsi="Times New Roman" w:cs="Times New Roman"/>
          <w:sz w:val="22"/>
          <w:szCs w:val="22"/>
          <w:lang w:val="en-GB"/>
        </w:rPr>
        <w:t xml:space="preserve"> the Technical Advisory</w:t>
      </w:r>
      <w:r w:rsidR="00AA5BFA" w:rsidRPr="004A29F9">
        <w:rPr>
          <w:rFonts w:ascii="Times New Roman" w:hAnsi="Times New Roman" w:cs="Times New Roman"/>
          <w:sz w:val="22"/>
          <w:szCs w:val="22"/>
          <w:lang w:val="en-GB"/>
        </w:rPr>
        <w:t xml:space="preserve"> Unit have been at times </w:t>
      </w:r>
      <w:r w:rsidRPr="004A29F9">
        <w:rPr>
          <w:rFonts w:ascii="Times New Roman" w:hAnsi="Times New Roman" w:cs="Times New Roman"/>
          <w:sz w:val="22"/>
          <w:szCs w:val="22"/>
          <w:lang w:val="en-GB"/>
        </w:rPr>
        <w:t>underemployed as a result of inadequate internal communications and misperceptions about t</w:t>
      </w:r>
      <w:r w:rsidR="005F3109">
        <w:rPr>
          <w:rFonts w:ascii="Times New Roman" w:hAnsi="Times New Roman" w:cs="Times New Roman"/>
          <w:sz w:val="22"/>
          <w:szCs w:val="22"/>
          <w:lang w:val="en-GB"/>
        </w:rPr>
        <w:t>he role of the Technical Advisory</w:t>
      </w:r>
      <w:r w:rsidRPr="004A29F9">
        <w:rPr>
          <w:rFonts w:ascii="Times New Roman" w:hAnsi="Times New Roman" w:cs="Times New Roman"/>
          <w:sz w:val="22"/>
          <w:szCs w:val="22"/>
          <w:lang w:val="en-GB"/>
        </w:rPr>
        <w:t xml:space="preserve"> Unit.</w:t>
      </w:r>
      <w:r w:rsidRPr="004A29F9">
        <w:rPr>
          <w:rStyle w:val="FootnoteReference"/>
          <w:rFonts w:ascii="Times New Roman" w:hAnsi="Times New Roman" w:cs="Times New Roman"/>
          <w:sz w:val="22"/>
          <w:szCs w:val="22"/>
          <w:lang w:val="en-GB"/>
        </w:rPr>
        <w:footnoteReference w:id="73"/>
      </w:r>
    </w:p>
    <w:p w:rsidR="005F3109" w:rsidRPr="004A29F9" w:rsidRDefault="005F3109" w:rsidP="00FB6759">
      <w:pPr>
        <w:spacing w:after="0" w:line="240" w:lineRule="auto"/>
        <w:jc w:val="both"/>
        <w:rPr>
          <w:rFonts w:ascii="Times New Roman" w:hAnsi="Times New Roman" w:cs="Times New Roman"/>
          <w:sz w:val="22"/>
          <w:szCs w:val="22"/>
          <w:lang w:val="en-GB"/>
        </w:rPr>
      </w:pPr>
    </w:p>
    <w:p w:rsidR="006F284D" w:rsidRDefault="006F284D"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Working hand-in-hand on a daily basis with Ministry employees, UNDP’s Rule of Law Advisor has led a participatory institutional capacity assessment process that is truly owned by the Ministry of Justice.</w:t>
      </w:r>
      <w:r w:rsidRPr="004A29F9">
        <w:rPr>
          <w:rStyle w:val="FootnoteReference"/>
          <w:rFonts w:ascii="Times New Roman" w:hAnsi="Times New Roman" w:cs="Times New Roman"/>
          <w:sz w:val="22"/>
          <w:szCs w:val="22"/>
          <w:lang w:val="en-GB"/>
        </w:rPr>
        <w:footnoteReference w:id="74"/>
      </w:r>
      <w:r w:rsidRPr="004A29F9">
        <w:rPr>
          <w:rFonts w:ascii="Times New Roman" w:hAnsi="Times New Roman" w:cs="Times New Roman"/>
          <w:sz w:val="22"/>
          <w:szCs w:val="22"/>
          <w:lang w:val="en-GB"/>
        </w:rPr>
        <w:t>Efforts have also been made to make</w:t>
      </w:r>
      <w:r w:rsidR="005F3109">
        <w:rPr>
          <w:rFonts w:ascii="Times New Roman" w:hAnsi="Times New Roman" w:cs="Times New Roman"/>
          <w:sz w:val="22"/>
          <w:szCs w:val="22"/>
          <w:lang w:val="en-GB"/>
        </w:rPr>
        <w:t xml:space="preserve"> formal training available to MO</w:t>
      </w:r>
      <w:r w:rsidRPr="004A29F9">
        <w:rPr>
          <w:rFonts w:ascii="Times New Roman" w:hAnsi="Times New Roman" w:cs="Times New Roman"/>
          <w:sz w:val="22"/>
          <w:szCs w:val="22"/>
          <w:lang w:val="en-GB"/>
        </w:rPr>
        <w:t>J employees, primarily through a partnership with Birzeit University’s Institute of Law</w:t>
      </w:r>
      <w:r w:rsidR="005F3109">
        <w:rPr>
          <w:rFonts w:ascii="Times New Roman" w:hAnsi="Times New Roman" w:cs="Times New Roman"/>
          <w:sz w:val="22"/>
          <w:szCs w:val="22"/>
          <w:lang w:val="en-GB"/>
        </w:rPr>
        <w:t xml:space="preserve"> and Centre for Continuing </w:t>
      </w:r>
      <w:r w:rsidR="00400D2F" w:rsidRPr="004A29F9">
        <w:rPr>
          <w:rFonts w:ascii="Times New Roman" w:hAnsi="Times New Roman" w:cs="Times New Roman"/>
          <w:sz w:val="22"/>
          <w:szCs w:val="22"/>
          <w:lang w:val="en-GB"/>
        </w:rPr>
        <w:t>Education</w:t>
      </w:r>
      <w:r w:rsidR="005F3109">
        <w:rPr>
          <w:rFonts w:ascii="Times New Roman" w:hAnsi="Times New Roman" w:cs="Times New Roman"/>
          <w:sz w:val="22"/>
          <w:szCs w:val="22"/>
          <w:lang w:val="en-GB"/>
        </w:rPr>
        <w:t>.</w:t>
      </w:r>
      <w:r w:rsidRPr="004A29F9">
        <w:rPr>
          <w:rStyle w:val="FootnoteReference"/>
          <w:rFonts w:ascii="Times New Roman" w:hAnsi="Times New Roman" w:cs="Times New Roman"/>
          <w:sz w:val="22"/>
          <w:szCs w:val="22"/>
          <w:lang w:val="en-GB"/>
        </w:rPr>
        <w:footnoteReference w:id="75"/>
      </w:r>
      <w:r w:rsidR="005F3109">
        <w:rPr>
          <w:rFonts w:ascii="Times New Roman" w:hAnsi="Times New Roman" w:cs="Times New Roman"/>
          <w:sz w:val="22"/>
          <w:szCs w:val="22"/>
          <w:lang w:val="en-GB"/>
        </w:rPr>
        <w:t xml:space="preserve"> The MOJ, UNDP, and Birzeit University </w:t>
      </w:r>
      <w:r w:rsidRPr="004A29F9">
        <w:rPr>
          <w:rFonts w:ascii="Times New Roman" w:hAnsi="Times New Roman" w:cs="Times New Roman"/>
          <w:sz w:val="22"/>
          <w:szCs w:val="22"/>
          <w:lang w:val="en-GB"/>
        </w:rPr>
        <w:t>have worked together to develop a comprehensive training strategy to provide on</w:t>
      </w:r>
      <w:r w:rsidR="005F3109">
        <w:rPr>
          <w:rFonts w:ascii="Times New Roman" w:hAnsi="Times New Roman" w:cs="Times New Roman"/>
          <w:sz w:val="22"/>
          <w:szCs w:val="22"/>
          <w:lang w:val="en-GB"/>
        </w:rPr>
        <w:t>-going training for MO</w:t>
      </w:r>
      <w:r w:rsidRPr="004A29F9">
        <w:rPr>
          <w:rFonts w:ascii="Times New Roman" w:hAnsi="Times New Roman" w:cs="Times New Roman"/>
          <w:sz w:val="22"/>
          <w:szCs w:val="22"/>
          <w:lang w:val="en-GB"/>
        </w:rPr>
        <w:t>J employees.</w:t>
      </w:r>
      <w:r w:rsidRPr="004A29F9">
        <w:rPr>
          <w:rStyle w:val="FootnoteReference"/>
          <w:rFonts w:ascii="Times New Roman" w:hAnsi="Times New Roman" w:cs="Times New Roman"/>
          <w:sz w:val="22"/>
          <w:szCs w:val="22"/>
          <w:lang w:val="en-GB"/>
        </w:rPr>
        <w:footnoteReference w:id="76"/>
      </w:r>
    </w:p>
    <w:p w:rsidR="00BD7B38" w:rsidRPr="004A29F9" w:rsidRDefault="00BD7B38" w:rsidP="00FB6759">
      <w:pPr>
        <w:spacing w:after="0" w:line="240" w:lineRule="auto"/>
        <w:jc w:val="both"/>
        <w:rPr>
          <w:rFonts w:ascii="Times New Roman" w:hAnsi="Times New Roman" w:cs="Times New Roman"/>
          <w:sz w:val="22"/>
          <w:szCs w:val="22"/>
          <w:lang w:val="en-GB"/>
        </w:rPr>
      </w:pPr>
    </w:p>
    <w:p w:rsidR="00892645" w:rsidRPr="004A29F9" w:rsidRDefault="008E54F4"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UNDP ex</w:t>
      </w:r>
      <w:r w:rsidR="005F3109">
        <w:rPr>
          <w:rFonts w:ascii="Times New Roman" w:hAnsi="Times New Roman" w:cs="Times New Roman"/>
          <w:sz w:val="22"/>
          <w:szCs w:val="22"/>
          <w:lang w:val="en-GB"/>
        </w:rPr>
        <w:t>perts have contributed to the MO</w:t>
      </w:r>
      <w:r w:rsidRPr="004A29F9">
        <w:rPr>
          <w:rFonts w:ascii="Times New Roman" w:hAnsi="Times New Roman" w:cs="Times New Roman"/>
          <w:sz w:val="22"/>
          <w:szCs w:val="22"/>
          <w:lang w:val="en-GB"/>
        </w:rPr>
        <w:t>J’s ability to respond to and prevent the interference of the security forces i</w:t>
      </w:r>
      <w:r w:rsidR="005F3109">
        <w:rPr>
          <w:rFonts w:ascii="Times New Roman" w:hAnsi="Times New Roman" w:cs="Times New Roman"/>
          <w:sz w:val="22"/>
          <w:szCs w:val="22"/>
          <w:lang w:val="en-GB"/>
        </w:rPr>
        <w:t xml:space="preserve">n the lives of Palestinians. </w:t>
      </w:r>
      <w:r w:rsidRPr="004A29F9">
        <w:rPr>
          <w:rFonts w:ascii="Times New Roman" w:hAnsi="Times New Roman" w:cs="Times New Roman"/>
          <w:sz w:val="22"/>
          <w:szCs w:val="22"/>
          <w:lang w:val="en-GB"/>
        </w:rPr>
        <w:t xml:space="preserve">For example, UNDP experts successfully lobbied for a change in </w:t>
      </w:r>
      <w:r w:rsidR="00FD696A" w:rsidRPr="004A29F9">
        <w:rPr>
          <w:rFonts w:ascii="Times New Roman" w:hAnsi="Times New Roman" w:cs="Times New Roman"/>
          <w:sz w:val="22"/>
          <w:szCs w:val="22"/>
          <w:lang w:val="en-GB"/>
        </w:rPr>
        <w:t>the procedure of app</w:t>
      </w:r>
      <w:r w:rsidR="005F3109">
        <w:rPr>
          <w:rFonts w:ascii="Times New Roman" w:hAnsi="Times New Roman" w:cs="Times New Roman"/>
          <w:sz w:val="22"/>
          <w:szCs w:val="22"/>
          <w:lang w:val="en-GB"/>
        </w:rPr>
        <w:t>lying for civil service jobs</w:t>
      </w:r>
      <w:r w:rsidR="00FD696A" w:rsidRPr="004A29F9">
        <w:rPr>
          <w:rFonts w:ascii="Times New Roman" w:hAnsi="Times New Roman" w:cs="Times New Roman"/>
          <w:sz w:val="22"/>
          <w:szCs w:val="22"/>
          <w:lang w:val="en-GB"/>
        </w:rPr>
        <w:t>.</w:t>
      </w:r>
      <w:r w:rsidR="00FD3C19">
        <w:rPr>
          <w:rFonts w:ascii="Times New Roman" w:hAnsi="Times New Roman" w:cs="Times New Roman"/>
          <w:sz w:val="22"/>
          <w:szCs w:val="22"/>
          <w:lang w:val="en-GB"/>
        </w:rPr>
        <w:t xml:space="preserve"> </w:t>
      </w:r>
      <w:r w:rsidR="00FD696A" w:rsidRPr="004A29F9">
        <w:rPr>
          <w:rFonts w:ascii="Times New Roman" w:hAnsi="Times New Roman" w:cs="Times New Roman"/>
          <w:sz w:val="22"/>
          <w:szCs w:val="22"/>
          <w:lang w:val="en-GB"/>
        </w:rPr>
        <w:t>Formerly</w:t>
      </w:r>
      <w:r w:rsidRPr="004A29F9">
        <w:rPr>
          <w:rFonts w:ascii="Times New Roman" w:hAnsi="Times New Roman" w:cs="Times New Roman"/>
          <w:sz w:val="22"/>
          <w:szCs w:val="22"/>
          <w:lang w:val="en-GB"/>
        </w:rPr>
        <w:t xml:space="preserve">, all applicants for a civil service </w:t>
      </w:r>
      <w:r w:rsidR="00FD696A" w:rsidRPr="004A29F9">
        <w:rPr>
          <w:rFonts w:ascii="Times New Roman" w:hAnsi="Times New Roman" w:cs="Times New Roman"/>
          <w:sz w:val="22"/>
          <w:szCs w:val="22"/>
          <w:lang w:val="en-GB"/>
        </w:rPr>
        <w:t>position</w:t>
      </w:r>
      <w:r w:rsidRPr="004A29F9">
        <w:rPr>
          <w:rFonts w:ascii="Times New Roman" w:hAnsi="Times New Roman" w:cs="Times New Roman"/>
          <w:sz w:val="22"/>
          <w:szCs w:val="22"/>
          <w:lang w:val="en-GB"/>
        </w:rPr>
        <w:t xml:space="preserve"> were required to </w:t>
      </w:r>
      <w:r w:rsidR="00FD696A" w:rsidRPr="004A29F9">
        <w:rPr>
          <w:rFonts w:ascii="Times New Roman" w:hAnsi="Times New Roman" w:cs="Times New Roman"/>
          <w:sz w:val="22"/>
          <w:szCs w:val="22"/>
          <w:lang w:val="en-GB"/>
        </w:rPr>
        <w:t>undergo</w:t>
      </w:r>
      <w:r w:rsidRPr="004A29F9">
        <w:rPr>
          <w:rFonts w:ascii="Times New Roman" w:hAnsi="Times New Roman" w:cs="Times New Roman"/>
          <w:sz w:val="22"/>
          <w:szCs w:val="22"/>
          <w:lang w:val="en-GB"/>
        </w:rPr>
        <w:t xml:space="preserve"> a security check</w:t>
      </w:r>
      <w:r w:rsidR="005F3109">
        <w:rPr>
          <w:rFonts w:ascii="Times New Roman" w:hAnsi="Times New Roman" w:cs="Times New Roman"/>
          <w:sz w:val="22"/>
          <w:szCs w:val="22"/>
          <w:lang w:val="en-GB"/>
        </w:rPr>
        <w:t xml:space="preserve">. </w:t>
      </w:r>
      <w:r w:rsidR="00FD696A" w:rsidRPr="004A29F9">
        <w:rPr>
          <w:rFonts w:ascii="Times New Roman" w:hAnsi="Times New Roman" w:cs="Times New Roman"/>
          <w:sz w:val="22"/>
          <w:szCs w:val="22"/>
          <w:lang w:val="en-GB"/>
        </w:rPr>
        <w:t>N</w:t>
      </w:r>
      <w:r w:rsidRPr="004A29F9">
        <w:rPr>
          <w:rFonts w:ascii="Times New Roman" w:hAnsi="Times New Roman" w:cs="Times New Roman"/>
          <w:sz w:val="22"/>
          <w:szCs w:val="22"/>
          <w:lang w:val="en-GB"/>
        </w:rPr>
        <w:t>ow,</w:t>
      </w:r>
      <w:r w:rsidR="00FD696A" w:rsidRPr="004A29F9">
        <w:rPr>
          <w:rFonts w:ascii="Times New Roman" w:hAnsi="Times New Roman" w:cs="Times New Roman"/>
          <w:sz w:val="22"/>
          <w:szCs w:val="22"/>
          <w:lang w:val="en-GB"/>
        </w:rPr>
        <w:t xml:space="preserve"> a</w:t>
      </w:r>
      <w:r w:rsidR="00892645" w:rsidRPr="004A29F9">
        <w:rPr>
          <w:rFonts w:ascii="Times New Roman" w:hAnsi="Times New Roman" w:cs="Times New Roman"/>
          <w:sz w:val="22"/>
          <w:szCs w:val="22"/>
          <w:lang w:val="en-GB"/>
        </w:rPr>
        <w:t xml:space="preserve">s a result of UNDP’s successful </w:t>
      </w:r>
      <w:r w:rsidR="00DE3881" w:rsidRPr="004A29F9">
        <w:rPr>
          <w:rFonts w:ascii="Times New Roman" w:hAnsi="Times New Roman" w:cs="Times New Roman"/>
          <w:sz w:val="22"/>
          <w:szCs w:val="22"/>
          <w:lang w:val="en-GB"/>
        </w:rPr>
        <w:t>advocacy, such</w:t>
      </w:r>
      <w:r w:rsidR="00892645" w:rsidRPr="004A29F9">
        <w:rPr>
          <w:rFonts w:ascii="Times New Roman" w:hAnsi="Times New Roman" w:cs="Times New Roman"/>
          <w:sz w:val="22"/>
          <w:szCs w:val="22"/>
          <w:lang w:val="en-GB"/>
        </w:rPr>
        <w:t xml:space="preserve"> candidates</w:t>
      </w:r>
      <w:r w:rsidRPr="004A29F9">
        <w:rPr>
          <w:rFonts w:ascii="Times New Roman" w:hAnsi="Times New Roman" w:cs="Times New Roman"/>
          <w:sz w:val="22"/>
          <w:szCs w:val="22"/>
          <w:lang w:val="en-GB"/>
        </w:rPr>
        <w:t xml:space="preserve"> only need to obtain a “certificate of non-conviction”.</w:t>
      </w:r>
      <w:r w:rsidR="00FD3C19">
        <w:rPr>
          <w:rFonts w:ascii="Times New Roman" w:hAnsi="Times New Roman" w:cs="Times New Roman"/>
          <w:sz w:val="22"/>
          <w:szCs w:val="22"/>
          <w:lang w:val="en-GB"/>
        </w:rPr>
        <w:t xml:space="preserve"> </w:t>
      </w:r>
      <w:r w:rsidRPr="004A29F9">
        <w:rPr>
          <w:rFonts w:ascii="Times New Roman" w:hAnsi="Times New Roman" w:cs="Times New Roman"/>
          <w:sz w:val="22"/>
          <w:szCs w:val="22"/>
          <w:lang w:val="en-GB"/>
        </w:rPr>
        <w:t xml:space="preserve">This </w:t>
      </w:r>
      <w:r w:rsidR="00892645" w:rsidRPr="004A29F9">
        <w:rPr>
          <w:rFonts w:ascii="Times New Roman" w:hAnsi="Times New Roman" w:cs="Times New Roman"/>
          <w:sz w:val="22"/>
          <w:szCs w:val="22"/>
          <w:lang w:val="en-GB"/>
        </w:rPr>
        <w:t>legal “victory” translates into</w:t>
      </w:r>
      <w:r w:rsidRPr="004A29F9">
        <w:rPr>
          <w:rFonts w:ascii="Times New Roman" w:hAnsi="Times New Roman" w:cs="Times New Roman"/>
          <w:sz w:val="22"/>
          <w:szCs w:val="22"/>
          <w:lang w:val="en-GB"/>
        </w:rPr>
        <w:t xml:space="preserve"> a significant reduction in the ability of the security forces to interfere with the lives of </w:t>
      </w:r>
      <w:r w:rsidR="00892645" w:rsidRPr="004A29F9">
        <w:rPr>
          <w:rFonts w:ascii="Times New Roman" w:hAnsi="Times New Roman" w:cs="Times New Roman"/>
          <w:sz w:val="22"/>
          <w:szCs w:val="22"/>
          <w:lang w:val="en-GB"/>
        </w:rPr>
        <w:t>Palestinians</w:t>
      </w:r>
      <w:r w:rsidR="005F3109">
        <w:rPr>
          <w:rFonts w:ascii="Times New Roman" w:hAnsi="Times New Roman" w:cs="Times New Roman"/>
          <w:sz w:val="22"/>
          <w:szCs w:val="22"/>
          <w:lang w:val="en-GB"/>
        </w:rPr>
        <w:t xml:space="preserve">. </w:t>
      </w:r>
      <w:r w:rsidR="00892645" w:rsidRPr="004A29F9">
        <w:rPr>
          <w:rFonts w:ascii="Times New Roman" w:hAnsi="Times New Roman" w:cs="Times New Roman"/>
          <w:sz w:val="22"/>
          <w:szCs w:val="22"/>
          <w:lang w:val="en-GB"/>
        </w:rPr>
        <w:t>This is</w:t>
      </w:r>
      <w:r w:rsidR="005F3109">
        <w:rPr>
          <w:rFonts w:ascii="Times New Roman" w:hAnsi="Times New Roman" w:cs="Times New Roman"/>
          <w:sz w:val="22"/>
          <w:szCs w:val="22"/>
          <w:lang w:val="en-GB"/>
        </w:rPr>
        <w:t xml:space="preserve"> a direct impact of the p</w:t>
      </w:r>
      <w:r w:rsidR="00892645" w:rsidRPr="004A29F9">
        <w:rPr>
          <w:rFonts w:ascii="Times New Roman" w:hAnsi="Times New Roman" w:cs="Times New Roman"/>
          <w:sz w:val="22"/>
          <w:szCs w:val="22"/>
          <w:lang w:val="en-GB"/>
        </w:rPr>
        <w:t xml:space="preserve">rogramme on advancing not only </w:t>
      </w:r>
      <w:r w:rsidR="005F3109">
        <w:rPr>
          <w:rFonts w:ascii="Times New Roman" w:hAnsi="Times New Roman" w:cs="Times New Roman"/>
          <w:sz w:val="22"/>
          <w:szCs w:val="22"/>
          <w:lang w:val="en-GB"/>
        </w:rPr>
        <w:t>the MOJ’s capacity, but also</w:t>
      </w:r>
      <w:r w:rsidR="00326790" w:rsidRPr="004A29F9">
        <w:rPr>
          <w:rFonts w:ascii="Times New Roman" w:hAnsi="Times New Roman" w:cs="Times New Roman"/>
          <w:sz w:val="22"/>
          <w:szCs w:val="22"/>
          <w:lang w:val="en-GB"/>
        </w:rPr>
        <w:t xml:space="preserve"> access to justice and human rights in </w:t>
      </w:r>
      <w:r w:rsidR="005F3109">
        <w:rPr>
          <w:rFonts w:ascii="Times New Roman" w:hAnsi="Times New Roman" w:cs="Times New Roman"/>
          <w:sz w:val="22"/>
          <w:szCs w:val="22"/>
          <w:lang w:val="en-GB"/>
        </w:rPr>
        <w:t xml:space="preserve">the </w:t>
      </w:r>
      <w:r w:rsidR="00DE216A" w:rsidRPr="004A29F9">
        <w:rPr>
          <w:rFonts w:ascii="Times New Roman" w:hAnsi="Times New Roman" w:cs="Times New Roman"/>
          <w:sz w:val="22"/>
          <w:szCs w:val="22"/>
          <w:lang w:val="en-GB"/>
        </w:rPr>
        <w:t>oPt</w:t>
      </w:r>
      <w:r w:rsidR="00892645" w:rsidRPr="004A29F9">
        <w:rPr>
          <w:rFonts w:ascii="Times New Roman" w:hAnsi="Times New Roman" w:cs="Times New Roman"/>
          <w:sz w:val="22"/>
          <w:szCs w:val="22"/>
          <w:lang w:val="en-GB"/>
        </w:rPr>
        <w:t>.</w:t>
      </w:r>
    </w:p>
    <w:p w:rsidR="00BD7B38" w:rsidRDefault="00BD7B38" w:rsidP="00FB6759">
      <w:pPr>
        <w:spacing w:after="0" w:line="240" w:lineRule="auto"/>
        <w:jc w:val="both"/>
        <w:rPr>
          <w:rFonts w:ascii="Times New Roman" w:hAnsi="Times New Roman" w:cs="Times New Roman"/>
          <w:sz w:val="22"/>
          <w:szCs w:val="22"/>
          <w:lang w:val="en-GB"/>
        </w:rPr>
      </w:pPr>
    </w:p>
    <w:p w:rsidR="001417F1" w:rsidRPr="004A29F9" w:rsidRDefault="008E54F4"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UNDP was</w:t>
      </w:r>
      <w:r w:rsidR="00892645" w:rsidRPr="004A29F9">
        <w:rPr>
          <w:rFonts w:ascii="Times New Roman" w:hAnsi="Times New Roman" w:cs="Times New Roman"/>
          <w:sz w:val="22"/>
          <w:szCs w:val="22"/>
          <w:lang w:val="en-GB"/>
        </w:rPr>
        <w:t xml:space="preserve"> also </w:t>
      </w:r>
      <w:r w:rsidRPr="004A29F9">
        <w:rPr>
          <w:rFonts w:ascii="Times New Roman" w:hAnsi="Times New Roman" w:cs="Times New Roman"/>
          <w:sz w:val="22"/>
          <w:szCs w:val="22"/>
          <w:lang w:val="en-GB"/>
        </w:rPr>
        <w:t>able to contra</w:t>
      </w:r>
      <w:r w:rsidR="005F3109">
        <w:rPr>
          <w:rFonts w:ascii="Times New Roman" w:hAnsi="Times New Roman" w:cs="Times New Roman"/>
          <w:sz w:val="22"/>
          <w:szCs w:val="22"/>
          <w:lang w:val="en-GB"/>
        </w:rPr>
        <w:t xml:space="preserve">ct an expert </w:t>
      </w:r>
      <w:r w:rsidRPr="004A29F9">
        <w:rPr>
          <w:rFonts w:ascii="Times New Roman" w:hAnsi="Times New Roman" w:cs="Times New Roman"/>
          <w:sz w:val="22"/>
          <w:szCs w:val="22"/>
          <w:lang w:val="en-GB"/>
        </w:rPr>
        <w:t xml:space="preserve">to </w:t>
      </w:r>
      <w:r w:rsidR="000A2905" w:rsidRPr="004A29F9">
        <w:rPr>
          <w:rFonts w:ascii="Times New Roman" w:hAnsi="Times New Roman" w:cs="Times New Roman"/>
          <w:sz w:val="22"/>
          <w:szCs w:val="22"/>
          <w:lang w:val="en-GB"/>
        </w:rPr>
        <w:t>undertake</w:t>
      </w:r>
      <w:r w:rsidR="001417F1" w:rsidRPr="004A29F9">
        <w:rPr>
          <w:rFonts w:ascii="Times New Roman" w:hAnsi="Times New Roman" w:cs="Times New Roman"/>
          <w:sz w:val="22"/>
          <w:szCs w:val="22"/>
          <w:lang w:val="en-GB"/>
        </w:rPr>
        <w:t xml:space="preserve"> a study documenting the specifi</w:t>
      </w:r>
      <w:r w:rsidR="005F3109">
        <w:rPr>
          <w:rFonts w:ascii="Times New Roman" w:hAnsi="Times New Roman" w:cs="Times New Roman"/>
          <w:sz w:val="22"/>
          <w:szCs w:val="22"/>
          <w:lang w:val="en-GB"/>
        </w:rPr>
        <w:t xml:space="preserve">c ways that Israel’s </w:t>
      </w:r>
      <w:r w:rsidR="001417F1" w:rsidRPr="004A29F9">
        <w:rPr>
          <w:rFonts w:ascii="Times New Roman" w:hAnsi="Times New Roman" w:cs="Times New Roman"/>
          <w:sz w:val="22"/>
          <w:szCs w:val="22"/>
          <w:lang w:val="en-GB"/>
        </w:rPr>
        <w:t xml:space="preserve">movement </w:t>
      </w:r>
      <w:r w:rsidR="005F3109">
        <w:rPr>
          <w:rFonts w:ascii="Times New Roman" w:hAnsi="Times New Roman" w:cs="Times New Roman"/>
          <w:sz w:val="22"/>
          <w:szCs w:val="22"/>
          <w:lang w:val="en-GB"/>
        </w:rPr>
        <w:t xml:space="preserve">and access </w:t>
      </w:r>
      <w:r w:rsidR="001417F1" w:rsidRPr="004A29F9">
        <w:rPr>
          <w:rFonts w:ascii="Times New Roman" w:hAnsi="Times New Roman" w:cs="Times New Roman"/>
          <w:sz w:val="22"/>
          <w:szCs w:val="22"/>
          <w:lang w:val="en-GB"/>
        </w:rPr>
        <w:t>restrictions hinder the functioning of t</w:t>
      </w:r>
      <w:r w:rsidR="005F3109">
        <w:rPr>
          <w:rFonts w:ascii="Times New Roman" w:hAnsi="Times New Roman" w:cs="Times New Roman"/>
          <w:sz w:val="22"/>
          <w:szCs w:val="22"/>
          <w:lang w:val="en-GB"/>
        </w:rPr>
        <w:t xml:space="preserve">he Palestinian justice sector. </w:t>
      </w:r>
      <w:r w:rsidR="001417F1" w:rsidRPr="004A29F9">
        <w:rPr>
          <w:rFonts w:ascii="Times New Roman" w:hAnsi="Times New Roman" w:cs="Times New Roman"/>
          <w:sz w:val="22"/>
          <w:szCs w:val="22"/>
          <w:lang w:val="en-GB"/>
        </w:rPr>
        <w:t>The goal is for this study to provi</w:t>
      </w:r>
      <w:r w:rsidR="005F3109">
        <w:rPr>
          <w:rFonts w:ascii="Times New Roman" w:hAnsi="Times New Roman" w:cs="Times New Roman"/>
          <w:sz w:val="22"/>
          <w:szCs w:val="22"/>
          <w:lang w:val="en-GB"/>
        </w:rPr>
        <w:t>de an empirical basis for the MO</w:t>
      </w:r>
      <w:r w:rsidR="001417F1" w:rsidRPr="004A29F9">
        <w:rPr>
          <w:rFonts w:ascii="Times New Roman" w:hAnsi="Times New Roman" w:cs="Times New Roman"/>
          <w:sz w:val="22"/>
          <w:szCs w:val="22"/>
          <w:lang w:val="en-GB"/>
        </w:rPr>
        <w:t>J to use as it looks for ways to provide much-needed justice services in Areas B and C.</w:t>
      </w:r>
      <w:r w:rsidR="001417F1" w:rsidRPr="004A29F9">
        <w:rPr>
          <w:rStyle w:val="FootnoteReference"/>
          <w:rFonts w:ascii="Times New Roman" w:hAnsi="Times New Roman" w:cs="Times New Roman"/>
          <w:sz w:val="22"/>
          <w:szCs w:val="22"/>
          <w:lang w:val="en-GB"/>
        </w:rPr>
        <w:footnoteReference w:id="77"/>
      </w:r>
      <w:r w:rsidR="001417F1" w:rsidRPr="004A29F9">
        <w:rPr>
          <w:rFonts w:ascii="Times New Roman" w:hAnsi="Times New Roman" w:cs="Times New Roman"/>
          <w:sz w:val="22"/>
          <w:szCs w:val="22"/>
          <w:lang w:val="en-GB"/>
        </w:rPr>
        <w:t xml:space="preserve">The Deputy Minister of Justice chairs the Joint Legal Committee delegation that might be a basis of coordination in this area. </w:t>
      </w:r>
    </w:p>
    <w:p w:rsidR="00BD7B38" w:rsidRDefault="00BD7B38" w:rsidP="00FB6759">
      <w:pPr>
        <w:spacing w:after="0" w:line="240" w:lineRule="auto"/>
        <w:jc w:val="both"/>
        <w:rPr>
          <w:rFonts w:ascii="Times New Roman" w:hAnsi="Times New Roman" w:cs="Times New Roman"/>
          <w:sz w:val="22"/>
          <w:szCs w:val="22"/>
          <w:lang w:val="en-GB"/>
        </w:rPr>
      </w:pPr>
    </w:p>
    <w:p w:rsidR="006E1AE4" w:rsidRDefault="002E7552"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UNDP’s experts have </w:t>
      </w:r>
      <w:r w:rsidR="001417F1" w:rsidRPr="004A29F9">
        <w:rPr>
          <w:rFonts w:ascii="Times New Roman" w:hAnsi="Times New Roman" w:cs="Times New Roman"/>
          <w:sz w:val="22"/>
          <w:szCs w:val="22"/>
          <w:lang w:val="en-GB"/>
        </w:rPr>
        <w:t xml:space="preserve">also </w:t>
      </w:r>
      <w:r w:rsidR="005F3109">
        <w:rPr>
          <w:rFonts w:ascii="Times New Roman" w:hAnsi="Times New Roman" w:cs="Times New Roman"/>
          <w:sz w:val="22"/>
          <w:szCs w:val="22"/>
          <w:lang w:val="en-GB"/>
        </w:rPr>
        <w:t xml:space="preserve">significantly advanced MOJ’s work on gender. </w:t>
      </w:r>
      <w:r w:rsidRPr="004A29F9">
        <w:rPr>
          <w:rFonts w:ascii="Times New Roman" w:hAnsi="Times New Roman" w:cs="Times New Roman"/>
          <w:sz w:val="22"/>
          <w:szCs w:val="22"/>
          <w:lang w:val="en-GB"/>
        </w:rPr>
        <w:t>During 2011</w:t>
      </w:r>
      <w:r w:rsidR="005F3109">
        <w:rPr>
          <w:rFonts w:ascii="Times New Roman" w:hAnsi="Times New Roman" w:cs="Times New Roman"/>
          <w:sz w:val="22"/>
          <w:szCs w:val="22"/>
          <w:lang w:val="en-GB"/>
        </w:rPr>
        <w:t>,the MO</w:t>
      </w:r>
      <w:r w:rsidRPr="004A29F9">
        <w:rPr>
          <w:rFonts w:ascii="Times New Roman" w:hAnsi="Times New Roman" w:cs="Times New Roman"/>
          <w:sz w:val="22"/>
          <w:szCs w:val="22"/>
          <w:lang w:val="en-GB"/>
        </w:rPr>
        <w:t xml:space="preserve">J signed </w:t>
      </w:r>
      <w:r w:rsidR="009A65FC" w:rsidRPr="004A29F9">
        <w:rPr>
          <w:rFonts w:ascii="Times New Roman" w:hAnsi="Times New Roman" w:cs="Times New Roman"/>
          <w:sz w:val="22"/>
          <w:szCs w:val="22"/>
          <w:lang w:val="en-GB"/>
        </w:rPr>
        <w:t>a</w:t>
      </w:r>
      <w:r w:rsidR="005F3109">
        <w:rPr>
          <w:rFonts w:ascii="Times New Roman" w:hAnsi="Times New Roman" w:cs="Times New Roman"/>
          <w:sz w:val="22"/>
          <w:szCs w:val="22"/>
          <w:lang w:val="en-GB"/>
        </w:rPr>
        <w:t xml:space="preserve"> MO</w:t>
      </w:r>
      <w:r w:rsidRPr="004A29F9">
        <w:rPr>
          <w:rFonts w:ascii="Times New Roman" w:hAnsi="Times New Roman" w:cs="Times New Roman"/>
          <w:sz w:val="22"/>
          <w:szCs w:val="22"/>
          <w:lang w:val="en-GB"/>
        </w:rPr>
        <w:t xml:space="preserve">U with </w:t>
      </w:r>
      <w:r w:rsidR="006E1AE4">
        <w:rPr>
          <w:rFonts w:ascii="Times New Roman" w:hAnsi="Times New Roman" w:cs="Times New Roman"/>
          <w:sz w:val="22"/>
          <w:szCs w:val="22"/>
          <w:lang w:val="en-GB"/>
        </w:rPr>
        <w:t xml:space="preserve">the </w:t>
      </w:r>
      <w:r w:rsidRPr="004A29F9">
        <w:rPr>
          <w:rFonts w:ascii="Times New Roman" w:hAnsi="Times New Roman" w:cs="Times New Roman"/>
          <w:sz w:val="22"/>
          <w:szCs w:val="22"/>
          <w:lang w:val="en-GB"/>
        </w:rPr>
        <w:t xml:space="preserve">Ministry of </w:t>
      </w:r>
      <w:r w:rsidR="00BB5BC4" w:rsidRPr="004A29F9">
        <w:rPr>
          <w:rFonts w:ascii="Times New Roman" w:hAnsi="Times New Roman" w:cs="Times New Roman"/>
          <w:sz w:val="22"/>
          <w:szCs w:val="22"/>
          <w:lang w:val="en-GB"/>
        </w:rPr>
        <w:t>Women’s</w:t>
      </w:r>
      <w:r w:rsidRPr="004A29F9">
        <w:rPr>
          <w:rFonts w:ascii="Times New Roman" w:hAnsi="Times New Roman" w:cs="Times New Roman"/>
          <w:sz w:val="22"/>
          <w:szCs w:val="22"/>
          <w:lang w:val="en-GB"/>
        </w:rPr>
        <w:t xml:space="preserve"> Affairs to effectively combat violence against women pursuant to the </w:t>
      </w:r>
      <w:r w:rsidR="006E1AE4" w:rsidRPr="00647752">
        <w:rPr>
          <w:rFonts w:ascii="Times New Roman" w:eastAsia="MS Mincho" w:hAnsi="Times New Roman" w:cs="Times New Roman"/>
          <w:sz w:val="22"/>
          <w:szCs w:val="22"/>
          <w:lang w:val="en-GB" w:eastAsia="ja-JP"/>
        </w:rPr>
        <w:t>National Strategy on the Eradication of Violence</w:t>
      </w:r>
      <w:r w:rsidR="006E1AE4">
        <w:rPr>
          <w:rFonts w:ascii="Times New Roman" w:eastAsia="MS Mincho" w:hAnsi="Times New Roman" w:cs="Times New Roman"/>
          <w:sz w:val="22"/>
          <w:szCs w:val="22"/>
          <w:lang w:val="en-GB" w:eastAsia="ja-JP"/>
        </w:rPr>
        <w:t xml:space="preserve"> Against Women</w:t>
      </w:r>
      <w:r w:rsidR="006E1AE4">
        <w:rPr>
          <w:rFonts w:ascii="Times New Roman" w:hAnsi="Times New Roman" w:cs="Times New Roman"/>
          <w:sz w:val="22"/>
          <w:szCs w:val="22"/>
          <w:lang w:val="en-GB"/>
        </w:rPr>
        <w:t>. A variety of units and departments within the MO</w:t>
      </w:r>
      <w:r w:rsidRPr="004A29F9">
        <w:rPr>
          <w:rFonts w:ascii="Times New Roman" w:hAnsi="Times New Roman" w:cs="Times New Roman"/>
          <w:sz w:val="22"/>
          <w:szCs w:val="22"/>
          <w:lang w:val="en-GB"/>
        </w:rPr>
        <w:t xml:space="preserve">J are now better aligned to the PNA’s Gender-Based Violence Strategy as a result of the work of the </w:t>
      </w:r>
      <w:r w:rsidR="006E1AE4">
        <w:rPr>
          <w:rFonts w:ascii="Times New Roman" w:hAnsi="Times New Roman" w:cs="Times New Roman"/>
          <w:sz w:val="22"/>
          <w:szCs w:val="22"/>
          <w:lang w:val="en-GB"/>
        </w:rPr>
        <w:t>embedded gender and juvenile justice expert. The MO</w:t>
      </w:r>
      <w:r w:rsidRPr="004A29F9">
        <w:rPr>
          <w:rFonts w:ascii="Times New Roman" w:hAnsi="Times New Roman" w:cs="Times New Roman"/>
          <w:sz w:val="22"/>
          <w:szCs w:val="22"/>
          <w:lang w:val="en-GB"/>
        </w:rPr>
        <w:t xml:space="preserve">J is now in the process of putting </w:t>
      </w:r>
      <w:r w:rsidR="00FF5463" w:rsidRPr="004A29F9">
        <w:rPr>
          <w:rFonts w:ascii="Times New Roman" w:hAnsi="Times New Roman" w:cs="Times New Roman"/>
          <w:sz w:val="22"/>
          <w:szCs w:val="22"/>
          <w:lang w:val="en-GB"/>
        </w:rPr>
        <w:t xml:space="preserve">in plan </w:t>
      </w:r>
      <w:r w:rsidR="006E1AE4">
        <w:rPr>
          <w:rFonts w:ascii="Times New Roman" w:hAnsi="Times New Roman" w:cs="Times New Roman"/>
          <w:sz w:val="22"/>
          <w:szCs w:val="22"/>
          <w:lang w:val="en-GB"/>
        </w:rPr>
        <w:t>a s</w:t>
      </w:r>
      <w:r w:rsidRPr="004A29F9">
        <w:rPr>
          <w:rFonts w:ascii="Times New Roman" w:hAnsi="Times New Roman" w:cs="Times New Roman"/>
          <w:sz w:val="22"/>
          <w:szCs w:val="22"/>
          <w:lang w:val="en-GB"/>
        </w:rPr>
        <w:t xml:space="preserve">trategy </w:t>
      </w:r>
      <w:r w:rsidR="009A65FC" w:rsidRPr="004A29F9">
        <w:rPr>
          <w:rFonts w:ascii="Times New Roman" w:hAnsi="Times New Roman" w:cs="Times New Roman"/>
          <w:sz w:val="22"/>
          <w:szCs w:val="22"/>
          <w:lang w:val="en-GB"/>
        </w:rPr>
        <w:t xml:space="preserve">to </w:t>
      </w:r>
      <w:r w:rsidRPr="004A29F9">
        <w:rPr>
          <w:rFonts w:ascii="Times New Roman" w:hAnsi="Times New Roman" w:cs="Times New Roman"/>
          <w:sz w:val="22"/>
          <w:szCs w:val="22"/>
          <w:lang w:val="en-GB"/>
        </w:rPr>
        <w:t>address access to jus</w:t>
      </w:r>
      <w:r w:rsidR="006E1AE4">
        <w:rPr>
          <w:rFonts w:ascii="Times New Roman" w:hAnsi="Times New Roman" w:cs="Times New Roman"/>
          <w:sz w:val="22"/>
          <w:szCs w:val="22"/>
          <w:lang w:val="en-GB"/>
        </w:rPr>
        <w:t xml:space="preserve">tice for women and juveniles. </w:t>
      </w:r>
      <w:r w:rsidRPr="004A29F9">
        <w:rPr>
          <w:rFonts w:ascii="Times New Roman" w:hAnsi="Times New Roman" w:cs="Times New Roman"/>
          <w:sz w:val="22"/>
          <w:szCs w:val="22"/>
          <w:lang w:val="en-GB"/>
        </w:rPr>
        <w:t>The UNDP expert is commu</w:t>
      </w:r>
      <w:r w:rsidR="006E1AE4">
        <w:rPr>
          <w:rFonts w:ascii="Times New Roman" w:hAnsi="Times New Roman" w:cs="Times New Roman"/>
          <w:sz w:val="22"/>
          <w:szCs w:val="22"/>
          <w:lang w:val="en-GB"/>
        </w:rPr>
        <w:t>nicating closely with the HJC, the AGO as well as MOWA and MOSA.</w:t>
      </w:r>
    </w:p>
    <w:p w:rsidR="009A65FC" w:rsidRPr="004A29F9" w:rsidRDefault="009A65FC" w:rsidP="00FB6759">
      <w:pPr>
        <w:spacing w:after="0" w:line="240" w:lineRule="auto"/>
        <w:jc w:val="both"/>
        <w:rPr>
          <w:rFonts w:ascii="Times New Roman" w:hAnsi="Times New Roman" w:cs="Times New Roman"/>
          <w:sz w:val="22"/>
          <w:szCs w:val="22"/>
          <w:lang w:val="en-GB"/>
        </w:rPr>
      </w:pPr>
    </w:p>
    <w:p w:rsidR="005D63D5" w:rsidRPr="004A29F9" w:rsidRDefault="00217543"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Since 2011, the </w:t>
      </w:r>
      <w:r w:rsidR="009A65FC" w:rsidRPr="004A29F9">
        <w:rPr>
          <w:rFonts w:ascii="Times New Roman" w:hAnsi="Times New Roman" w:cs="Times New Roman"/>
          <w:sz w:val="22"/>
          <w:szCs w:val="22"/>
          <w:lang w:val="en-GB"/>
        </w:rPr>
        <w:t xml:space="preserve">gender </w:t>
      </w:r>
      <w:r w:rsidR="006E1AE4">
        <w:rPr>
          <w:rFonts w:ascii="Times New Roman" w:hAnsi="Times New Roman" w:cs="Times New Roman"/>
          <w:sz w:val="22"/>
          <w:szCs w:val="22"/>
          <w:lang w:val="en-GB"/>
        </w:rPr>
        <w:t xml:space="preserve">and juvenile justice </w:t>
      </w:r>
      <w:r w:rsidR="002E7552" w:rsidRPr="004A29F9">
        <w:rPr>
          <w:rFonts w:ascii="Times New Roman" w:hAnsi="Times New Roman" w:cs="Times New Roman"/>
          <w:sz w:val="22"/>
          <w:szCs w:val="22"/>
          <w:lang w:val="en-GB"/>
        </w:rPr>
        <w:t xml:space="preserve">expert </w:t>
      </w:r>
      <w:r w:rsidRPr="004A29F9">
        <w:rPr>
          <w:rFonts w:ascii="Times New Roman" w:hAnsi="Times New Roman" w:cs="Times New Roman"/>
          <w:sz w:val="22"/>
          <w:szCs w:val="22"/>
          <w:lang w:val="en-GB"/>
        </w:rPr>
        <w:t xml:space="preserve">has been examining </w:t>
      </w:r>
      <w:r w:rsidR="006E1AE4">
        <w:rPr>
          <w:rFonts w:ascii="Times New Roman" w:hAnsi="Times New Roman" w:cs="Times New Roman"/>
          <w:sz w:val="22"/>
          <w:szCs w:val="22"/>
          <w:lang w:val="en-GB"/>
        </w:rPr>
        <w:t>how the MO</w:t>
      </w:r>
      <w:r w:rsidR="002E7552" w:rsidRPr="004A29F9">
        <w:rPr>
          <w:rFonts w:ascii="Times New Roman" w:hAnsi="Times New Roman" w:cs="Times New Roman"/>
          <w:sz w:val="22"/>
          <w:szCs w:val="22"/>
          <w:lang w:val="en-GB"/>
        </w:rPr>
        <w:t>J can become m</w:t>
      </w:r>
      <w:r w:rsidR="006E1AE4">
        <w:rPr>
          <w:rFonts w:ascii="Times New Roman" w:hAnsi="Times New Roman" w:cs="Times New Roman"/>
          <w:sz w:val="22"/>
          <w:szCs w:val="22"/>
          <w:lang w:val="en-GB"/>
        </w:rPr>
        <w:t xml:space="preserve">ore gender responsive. </w:t>
      </w:r>
      <w:r w:rsidR="009A65FC" w:rsidRPr="004A29F9">
        <w:rPr>
          <w:rFonts w:ascii="Times New Roman" w:hAnsi="Times New Roman" w:cs="Times New Roman"/>
          <w:sz w:val="22"/>
          <w:szCs w:val="22"/>
          <w:lang w:val="en-GB"/>
        </w:rPr>
        <w:t>A key ongoing</w:t>
      </w:r>
      <w:r w:rsidR="006E1AE4">
        <w:rPr>
          <w:rFonts w:ascii="Times New Roman" w:hAnsi="Times New Roman" w:cs="Times New Roman"/>
          <w:sz w:val="22"/>
          <w:szCs w:val="22"/>
          <w:lang w:val="en-GB"/>
        </w:rPr>
        <w:t xml:space="preserve"> challenge at the MO</w:t>
      </w:r>
      <w:r w:rsidR="002E7552" w:rsidRPr="004A29F9">
        <w:rPr>
          <w:rFonts w:ascii="Times New Roman" w:hAnsi="Times New Roman" w:cs="Times New Roman"/>
          <w:sz w:val="22"/>
          <w:szCs w:val="22"/>
          <w:lang w:val="en-GB"/>
        </w:rPr>
        <w:t>J is to retain staff who a</w:t>
      </w:r>
      <w:r w:rsidR="006E1AE4">
        <w:rPr>
          <w:rFonts w:ascii="Times New Roman" w:hAnsi="Times New Roman" w:cs="Times New Roman"/>
          <w:sz w:val="22"/>
          <w:szCs w:val="22"/>
          <w:lang w:val="en-GB"/>
        </w:rPr>
        <w:t xml:space="preserve">re qualified to work on gender justice. </w:t>
      </w:r>
      <w:r w:rsidR="002E7552" w:rsidRPr="004A29F9">
        <w:rPr>
          <w:rFonts w:ascii="Times New Roman" w:hAnsi="Times New Roman" w:cs="Times New Roman"/>
          <w:sz w:val="22"/>
          <w:szCs w:val="22"/>
          <w:lang w:val="en-GB"/>
        </w:rPr>
        <w:t>UNDP</w:t>
      </w:r>
      <w:r w:rsidR="006E1AE4">
        <w:rPr>
          <w:rFonts w:ascii="Times New Roman" w:hAnsi="Times New Roman" w:cs="Times New Roman"/>
          <w:sz w:val="22"/>
          <w:szCs w:val="22"/>
          <w:lang w:val="en-GB"/>
        </w:rPr>
        <w:t xml:space="preserve"> has been trying to work with MO</w:t>
      </w:r>
      <w:r w:rsidR="002E7552" w:rsidRPr="004A29F9">
        <w:rPr>
          <w:rFonts w:ascii="Times New Roman" w:hAnsi="Times New Roman" w:cs="Times New Roman"/>
          <w:sz w:val="22"/>
          <w:szCs w:val="22"/>
          <w:lang w:val="en-GB"/>
        </w:rPr>
        <w:t>J t</w:t>
      </w:r>
      <w:r w:rsidR="006E1AE4">
        <w:rPr>
          <w:rFonts w:ascii="Times New Roman" w:hAnsi="Times New Roman" w:cs="Times New Roman"/>
          <w:sz w:val="22"/>
          <w:szCs w:val="22"/>
          <w:lang w:val="en-GB"/>
        </w:rPr>
        <w:t xml:space="preserve">o achieve dedicated resources. </w:t>
      </w:r>
      <w:r w:rsidR="002E7552" w:rsidRPr="004A29F9">
        <w:rPr>
          <w:rFonts w:ascii="Times New Roman" w:hAnsi="Times New Roman" w:cs="Times New Roman"/>
          <w:sz w:val="22"/>
          <w:szCs w:val="22"/>
          <w:lang w:val="en-GB"/>
        </w:rPr>
        <w:t xml:space="preserve">As part of the </w:t>
      </w:r>
      <w:r w:rsidR="00CF7554">
        <w:rPr>
          <w:rFonts w:ascii="Times New Roman" w:hAnsi="Times New Roman" w:cs="Times New Roman"/>
          <w:sz w:val="22"/>
          <w:szCs w:val="22"/>
          <w:lang w:val="en-GB"/>
        </w:rPr>
        <w:lastRenderedPageBreak/>
        <w:t>Legal Skills D</w:t>
      </w:r>
      <w:r w:rsidR="002E7552" w:rsidRPr="004A29F9">
        <w:rPr>
          <w:rFonts w:ascii="Times New Roman" w:hAnsi="Times New Roman" w:cs="Times New Roman"/>
          <w:sz w:val="22"/>
          <w:szCs w:val="22"/>
          <w:lang w:val="en-GB"/>
        </w:rPr>
        <w:t>iploma</w:t>
      </w:r>
      <w:r w:rsidR="00746198" w:rsidRPr="004A29F9">
        <w:rPr>
          <w:rFonts w:ascii="Times New Roman" w:hAnsi="Times New Roman" w:cs="Times New Roman"/>
          <w:sz w:val="22"/>
          <w:szCs w:val="22"/>
          <w:lang w:val="en-GB"/>
        </w:rPr>
        <w:t xml:space="preserve"> discussed below</w:t>
      </w:r>
      <w:r w:rsidR="00CF7554">
        <w:rPr>
          <w:rFonts w:ascii="Times New Roman" w:hAnsi="Times New Roman" w:cs="Times New Roman"/>
          <w:sz w:val="22"/>
          <w:szCs w:val="22"/>
          <w:lang w:val="en-GB"/>
        </w:rPr>
        <w:t>, UNDP experts have trained MO</w:t>
      </w:r>
      <w:r w:rsidR="002E7552" w:rsidRPr="004A29F9">
        <w:rPr>
          <w:rFonts w:ascii="Times New Roman" w:hAnsi="Times New Roman" w:cs="Times New Roman"/>
          <w:sz w:val="22"/>
          <w:szCs w:val="22"/>
          <w:lang w:val="en-GB"/>
        </w:rPr>
        <w:t>J</w:t>
      </w:r>
      <w:r w:rsidR="00CF7554">
        <w:rPr>
          <w:rFonts w:ascii="Times New Roman" w:hAnsi="Times New Roman" w:cs="Times New Roman"/>
          <w:sz w:val="22"/>
          <w:szCs w:val="22"/>
          <w:lang w:val="en-GB"/>
        </w:rPr>
        <w:t xml:space="preserve"> staff to become responsive to gender. </w:t>
      </w:r>
      <w:r w:rsidR="005D63D5" w:rsidRPr="004A29F9">
        <w:rPr>
          <w:rFonts w:ascii="Times New Roman" w:hAnsi="Times New Roman" w:cs="Times New Roman"/>
          <w:sz w:val="22"/>
          <w:szCs w:val="22"/>
          <w:lang w:val="en-GB"/>
        </w:rPr>
        <w:t>In 2012, UNDP effectively convinced the AGO to incorporate gender elemen</w:t>
      </w:r>
      <w:r w:rsidR="00CF7554">
        <w:rPr>
          <w:rFonts w:ascii="Times New Roman" w:hAnsi="Times New Roman" w:cs="Times New Roman"/>
          <w:sz w:val="22"/>
          <w:szCs w:val="22"/>
          <w:lang w:val="en-GB"/>
        </w:rPr>
        <w:t>ts in its work plan for 2013. The donor relations officer</w:t>
      </w:r>
      <w:r w:rsidR="005D63D5" w:rsidRPr="004A29F9">
        <w:rPr>
          <w:rFonts w:ascii="Times New Roman" w:hAnsi="Times New Roman" w:cs="Times New Roman"/>
          <w:sz w:val="22"/>
          <w:szCs w:val="22"/>
          <w:lang w:val="en-GB"/>
        </w:rPr>
        <w:t xml:space="preserve"> at the AGO </w:t>
      </w:r>
      <w:r w:rsidR="009A65FC" w:rsidRPr="004A29F9">
        <w:rPr>
          <w:rFonts w:ascii="Times New Roman" w:hAnsi="Times New Roman" w:cs="Times New Roman"/>
          <w:sz w:val="22"/>
          <w:szCs w:val="22"/>
          <w:lang w:val="en-GB"/>
        </w:rPr>
        <w:t xml:space="preserve">has also </w:t>
      </w:r>
      <w:r w:rsidR="00CF7554">
        <w:rPr>
          <w:rFonts w:ascii="Times New Roman" w:hAnsi="Times New Roman" w:cs="Times New Roman"/>
          <w:sz w:val="22"/>
          <w:szCs w:val="22"/>
          <w:lang w:val="en-GB"/>
        </w:rPr>
        <w:t>effectively liaised with the gender and juvenile justice expert based at the MO</w:t>
      </w:r>
      <w:r w:rsidR="005D63D5" w:rsidRPr="004A29F9">
        <w:rPr>
          <w:rFonts w:ascii="Times New Roman" w:hAnsi="Times New Roman" w:cs="Times New Roman"/>
          <w:sz w:val="22"/>
          <w:szCs w:val="22"/>
          <w:lang w:val="en-GB"/>
        </w:rPr>
        <w:t xml:space="preserve">J for this purpose. </w:t>
      </w:r>
      <w:r w:rsidR="00712BD7" w:rsidRPr="004A29F9">
        <w:rPr>
          <w:rFonts w:ascii="Times New Roman" w:hAnsi="Times New Roman" w:cs="Times New Roman"/>
          <w:sz w:val="22"/>
          <w:szCs w:val="22"/>
          <w:lang w:val="en-GB"/>
        </w:rPr>
        <w:t xml:space="preserve">UNDP support to gender </w:t>
      </w:r>
      <w:r w:rsidR="00CF7554">
        <w:rPr>
          <w:rFonts w:ascii="Times New Roman" w:hAnsi="Times New Roman" w:cs="Times New Roman"/>
          <w:sz w:val="22"/>
          <w:szCs w:val="22"/>
          <w:lang w:val="en-GB"/>
        </w:rPr>
        <w:t>legislation is discussed under o</w:t>
      </w:r>
      <w:r w:rsidR="00712BD7" w:rsidRPr="004A29F9">
        <w:rPr>
          <w:rFonts w:ascii="Times New Roman" w:hAnsi="Times New Roman" w:cs="Times New Roman"/>
          <w:sz w:val="22"/>
          <w:szCs w:val="22"/>
          <w:lang w:val="en-GB"/>
        </w:rPr>
        <w:t>ut</w:t>
      </w:r>
      <w:r w:rsidR="00CF7554">
        <w:rPr>
          <w:rFonts w:ascii="Times New Roman" w:hAnsi="Times New Roman" w:cs="Times New Roman"/>
          <w:sz w:val="22"/>
          <w:szCs w:val="22"/>
          <w:lang w:val="en-GB"/>
        </w:rPr>
        <w:t>come</w:t>
      </w:r>
      <w:r w:rsidR="00712BD7" w:rsidRPr="004A29F9">
        <w:rPr>
          <w:rFonts w:ascii="Times New Roman" w:hAnsi="Times New Roman" w:cs="Times New Roman"/>
          <w:sz w:val="22"/>
          <w:szCs w:val="22"/>
          <w:lang w:val="en-GB"/>
        </w:rPr>
        <w:t xml:space="preserve"> 3. </w:t>
      </w:r>
    </w:p>
    <w:p w:rsidR="00CF7554" w:rsidRDefault="00CF7554" w:rsidP="00FB6759">
      <w:pPr>
        <w:spacing w:after="0" w:line="240" w:lineRule="auto"/>
        <w:jc w:val="both"/>
        <w:rPr>
          <w:rFonts w:ascii="Times New Roman" w:hAnsi="Times New Roman" w:cs="Times New Roman"/>
          <w:sz w:val="22"/>
          <w:szCs w:val="22"/>
          <w:lang w:val="en-GB"/>
        </w:rPr>
      </w:pPr>
    </w:p>
    <w:p w:rsidR="00CF7554" w:rsidRDefault="00B47DD3"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 Minister of Justice suggests that going forward</w:t>
      </w:r>
      <w:r w:rsidR="006D25D9" w:rsidRPr="004A29F9">
        <w:rPr>
          <w:rFonts w:ascii="Times New Roman" w:hAnsi="Times New Roman" w:cs="Times New Roman"/>
          <w:sz w:val="22"/>
          <w:szCs w:val="22"/>
          <w:lang w:val="en-GB"/>
        </w:rPr>
        <w:t xml:space="preserve">, </w:t>
      </w:r>
      <w:r w:rsidRPr="004A29F9">
        <w:rPr>
          <w:rFonts w:ascii="Times New Roman" w:hAnsi="Times New Roman" w:cs="Times New Roman"/>
          <w:sz w:val="22"/>
          <w:szCs w:val="22"/>
          <w:lang w:val="en-GB"/>
        </w:rPr>
        <w:t>developing</w:t>
      </w:r>
      <w:r w:rsidR="00FD3C19">
        <w:rPr>
          <w:rFonts w:ascii="Times New Roman" w:hAnsi="Times New Roman" w:cs="Times New Roman"/>
          <w:sz w:val="22"/>
          <w:szCs w:val="22"/>
          <w:lang w:val="en-GB"/>
        </w:rPr>
        <w:t xml:space="preserve"> </w:t>
      </w:r>
      <w:r w:rsidRPr="004A29F9">
        <w:rPr>
          <w:rFonts w:ascii="Times New Roman" w:hAnsi="Times New Roman" w:cs="Times New Roman"/>
          <w:sz w:val="22"/>
          <w:szCs w:val="22"/>
          <w:lang w:val="en-GB"/>
        </w:rPr>
        <w:t>the capacity of legal</w:t>
      </w:r>
      <w:r w:rsidR="00CF7554">
        <w:rPr>
          <w:rFonts w:ascii="Times New Roman" w:hAnsi="Times New Roman" w:cs="Times New Roman"/>
          <w:sz w:val="22"/>
          <w:szCs w:val="22"/>
          <w:lang w:val="en-GB"/>
        </w:rPr>
        <w:t xml:space="preserve"> staff working in different government </w:t>
      </w:r>
      <w:r w:rsidRPr="004A29F9">
        <w:rPr>
          <w:rFonts w:ascii="Times New Roman" w:hAnsi="Times New Roman" w:cs="Times New Roman"/>
          <w:sz w:val="22"/>
          <w:szCs w:val="22"/>
          <w:lang w:val="en-GB"/>
        </w:rPr>
        <w:t>instit</w:t>
      </w:r>
      <w:r w:rsidR="00CF7554">
        <w:rPr>
          <w:rFonts w:ascii="Times New Roman" w:hAnsi="Times New Roman" w:cs="Times New Roman"/>
          <w:sz w:val="22"/>
          <w:szCs w:val="22"/>
          <w:lang w:val="en-GB"/>
        </w:rPr>
        <w:t xml:space="preserve">utions is a critical priority. </w:t>
      </w:r>
      <w:r w:rsidRPr="004A29F9">
        <w:rPr>
          <w:rFonts w:ascii="Times New Roman" w:hAnsi="Times New Roman" w:cs="Times New Roman"/>
          <w:sz w:val="22"/>
          <w:szCs w:val="22"/>
          <w:lang w:val="en-GB"/>
        </w:rPr>
        <w:t>Currently</w:t>
      </w:r>
      <w:r w:rsidR="00CF7554">
        <w:rPr>
          <w:rFonts w:ascii="Times New Roman" w:hAnsi="Times New Roman" w:cs="Times New Roman"/>
          <w:sz w:val="22"/>
          <w:szCs w:val="22"/>
          <w:lang w:val="en-GB"/>
        </w:rPr>
        <w:t>,</w:t>
      </w:r>
      <w:r w:rsidRPr="004A29F9">
        <w:rPr>
          <w:rFonts w:ascii="Times New Roman" w:hAnsi="Times New Roman" w:cs="Times New Roman"/>
          <w:sz w:val="22"/>
          <w:szCs w:val="22"/>
          <w:lang w:val="en-GB"/>
        </w:rPr>
        <w:t xml:space="preserve"> there is a weakness in the administrative decision-making abilities of the top offic</w:t>
      </w:r>
      <w:r w:rsidR="00CF7554">
        <w:rPr>
          <w:rFonts w:ascii="Times New Roman" w:hAnsi="Times New Roman" w:cs="Times New Roman"/>
          <w:sz w:val="22"/>
          <w:szCs w:val="22"/>
          <w:lang w:val="en-GB"/>
        </w:rPr>
        <w:t xml:space="preserve">ials </w:t>
      </w:r>
      <w:r w:rsidRPr="004A29F9">
        <w:rPr>
          <w:rFonts w:ascii="Times New Roman" w:hAnsi="Times New Roman" w:cs="Times New Roman"/>
          <w:sz w:val="22"/>
          <w:szCs w:val="22"/>
          <w:lang w:val="en-GB"/>
        </w:rPr>
        <w:t xml:space="preserve">because </w:t>
      </w:r>
      <w:r w:rsidR="007706A6" w:rsidRPr="004A29F9">
        <w:rPr>
          <w:rFonts w:ascii="Times New Roman" w:hAnsi="Times New Roman" w:cs="Times New Roman"/>
          <w:sz w:val="22"/>
          <w:szCs w:val="22"/>
          <w:lang w:val="en-GB"/>
        </w:rPr>
        <w:t xml:space="preserve">the </w:t>
      </w:r>
      <w:r w:rsidRPr="004A29F9">
        <w:rPr>
          <w:rFonts w:ascii="Times New Roman" w:hAnsi="Times New Roman" w:cs="Times New Roman"/>
          <w:sz w:val="22"/>
          <w:szCs w:val="22"/>
          <w:lang w:val="en-GB"/>
        </w:rPr>
        <w:t>system lacks strength and decisions are challenged and contested a</w:t>
      </w:r>
      <w:r w:rsidR="00CF7554">
        <w:rPr>
          <w:rFonts w:ascii="Times New Roman" w:hAnsi="Times New Roman" w:cs="Times New Roman"/>
          <w:sz w:val="22"/>
          <w:szCs w:val="22"/>
          <w:lang w:val="en-GB"/>
        </w:rPr>
        <w:t>nd then reversed in the courts.</w:t>
      </w:r>
    </w:p>
    <w:p w:rsidR="00CF7554" w:rsidRDefault="00CF7554" w:rsidP="00FB6759">
      <w:pPr>
        <w:spacing w:after="0" w:line="240" w:lineRule="auto"/>
        <w:jc w:val="both"/>
        <w:rPr>
          <w:rFonts w:ascii="Times New Roman" w:hAnsi="Times New Roman" w:cs="Times New Roman"/>
          <w:sz w:val="22"/>
          <w:szCs w:val="22"/>
          <w:lang w:val="en-GB"/>
        </w:rPr>
      </w:pPr>
    </w:p>
    <w:p w:rsidR="00AE2405" w:rsidRPr="004A29F9" w:rsidRDefault="00CF7554"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For the first time, the MO</w:t>
      </w:r>
      <w:r w:rsidR="00B47DD3" w:rsidRPr="004A29F9">
        <w:rPr>
          <w:rFonts w:ascii="Times New Roman" w:hAnsi="Times New Roman" w:cs="Times New Roman"/>
          <w:sz w:val="22"/>
          <w:szCs w:val="22"/>
          <w:lang w:val="en-GB"/>
        </w:rPr>
        <w:t>J has suggested that its role should include developing the legal capacities across different departments and institutions. This c</w:t>
      </w:r>
      <w:r>
        <w:rPr>
          <w:rFonts w:ascii="Times New Roman" w:hAnsi="Times New Roman" w:cs="Times New Roman"/>
          <w:sz w:val="22"/>
          <w:szCs w:val="22"/>
          <w:lang w:val="en-GB"/>
        </w:rPr>
        <w:t>an be done by: holding specialis</w:t>
      </w:r>
      <w:r w:rsidR="00B47DD3" w:rsidRPr="004A29F9">
        <w:rPr>
          <w:rFonts w:ascii="Times New Roman" w:hAnsi="Times New Roman" w:cs="Times New Roman"/>
          <w:sz w:val="22"/>
          <w:szCs w:val="22"/>
          <w:lang w:val="en-GB"/>
        </w:rPr>
        <w:t>ed workshops and seminars on legal and advisory matters, creating solid mechanisms and standard operating procedures</w:t>
      </w:r>
      <w:r>
        <w:rPr>
          <w:rFonts w:ascii="Times New Roman" w:hAnsi="Times New Roman" w:cs="Times New Roman"/>
          <w:sz w:val="22"/>
          <w:szCs w:val="22"/>
          <w:lang w:val="en-GB"/>
        </w:rPr>
        <w:t>; and harmonis</w:t>
      </w:r>
      <w:r w:rsidR="00B47DD3" w:rsidRPr="004A29F9">
        <w:rPr>
          <w:rFonts w:ascii="Times New Roman" w:hAnsi="Times New Roman" w:cs="Times New Roman"/>
          <w:sz w:val="22"/>
          <w:szCs w:val="22"/>
          <w:lang w:val="en-GB"/>
        </w:rPr>
        <w:t xml:space="preserve">ing the administrative decision making </w:t>
      </w:r>
      <w:r>
        <w:rPr>
          <w:rFonts w:ascii="Times New Roman" w:hAnsi="Times New Roman" w:cs="Times New Roman"/>
          <w:sz w:val="22"/>
          <w:szCs w:val="22"/>
          <w:lang w:val="en-GB"/>
        </w:rPr>
        <w:t xml:space="preserve">process </w:t>
      </w:r>
      <w:r w:rsidR="00B47DD3" w:rsidRPr="004A29F9">
        <w:rPr>
          <w:rFonts w:ascii="Times New Roman" w:hAnsi="Times New Roman" w:cs="Times New Roman"/>
          <w:sz w:val="22"/>
          <w:szCs w:val="22"/>
          <w:lang w:val="en-GB"/>
        </w:rPr>
        <w:t xml:space="preserve">to ensure soundness of decisions. UNDP can </w:t>
      </w:r>
      <w:r w:rsidR="00F20F82" w:rsidRPr="004A29F9">
        <w:rPr>
          <w:rFonts w:ascii="Times New Roman" w:hAnsi="Times New Roman" w:cs="Times New Roman"/>
          <w:sz w:val="22"/>
          <w:szCs w:val="22"/>
          <w:lang w:val="en-GB"/>
        </w:rPr>
        <w:t xml:space="preserve">continue to </w:t>
      </w:r>
      <w:r w:rsidR="00B47DD3" w:rsidRPr="004A29F9">
        <w:rPr>
          <w:rFonts w:ascii="Times New Roman" w:hAnsi="Times New Roman" w:cs="Times New Roman"/>
          <w:sz w:val="22"/>
          <w:szCs w:val="22"/>
          <w:lang w:val="en-GB"/>
        </w:rPr>
        <w:t xml:space="preserve">support training activities and help create standards, </w:t>
      </w:r>
      <w:r w:rsidR="00C37442" w:rsidRPr="004A29F9">
        <w:rPr>
          <w:rFonts w:ascii="Times New Roman" w:hAnsi="Times New Roman" w:cs="Times New Roman"/>
          <w:sz w:val="22"/>
          <w:szCs w:val="22"/>
          <w:lang w:val="en-GB"/>
        </w:rPr>
        <w:t>criteria</w:t>
      </w:r>
      <w:r w:rsidR="00B47DD3" w:rsidRPr="004A29F9">
        <w:rPr>
          <w:rFonts w:ascii="Times New Roman" w:hAnsi="Times New Roman" w:cs="Times New Roman"/>
          <w:sz w:val="22"/>
          <w:szCs w:val="22"/>
          <w:lang w:val="en-GB"/>
        </w:rPr>
        <w:t xml:space="preserve"> and indicators as well as standard operating procedures.</w:t>
      </w:r>
      <w:r>
        <w:rPr>
          <w:rFonts w:ascii="Times New Roman" w:hAnsi="Times New Roman" w:cs="Times New Roman"/>
          <w:sz w:val="22"/>
          <w:szCs w:val="22"/>
          <w:lang w:val="en-GB"/>
        </w:rPr>
        <w:t xml:space="preserve"> In fact, the p</w:t>
      </w:r>
      <w:r w:rsidR="00F20F82" w:rsidRPr="004A29F9">
        <w:rPr>
          <w:rFonts w:ascii="Times New Roman" w:hAnsi="Times New Roman" w:cs="Times New Roman"/>
          <w:sz w:val="22"/>
          <w:szCs w:val="22"/>
          <w:lang w:val="en-GB"/>
        </w:rPr>
        <w:t xml:space="preserve">rogramme already contributes to </w:t>
      </w:r>
      <w:r>
        <w:rPr>
          <w:rFonts w:ascii="Times New Roman" w:hAnsi="Times New Roman" w:cs="Times New Roman"/>
          <w:sz w:val="22"/>
          <w:szCs w:val="22"/>
          <w:lang w:val="en-GB"/>
        </w:rPr>
        <w:t>this goal through offering the L</w:t>
      </w:r>
      <w:r w:rsidR="00F20F82" w:rsidRPr="004A29F9">
        <w:rPr>
          <w:rFonts w:ascii="Times New Roman" w:hAnsi="Times New Roman" w:cs="Times New Roman"/>
          <w:sz w:val="22"/>
          <w:szCs w:val="22"/>
          <w:lang w:val="en-GB"/>
        </w:rPr>
        <w:t>egal</w:t>
      </w:r>
      <w:r>
        <w:rPr>
          <w:rFonts w:ascii="Times New Roman" w:hAnsi="Times New Roman" w:cs="Times New Roman"/>
          <w:sz w:val="22"/>
          <w:szCs w:val="22"/>
          <w:lang w:val="en-GB"/>
        </w:rPr>
        <w:t xml:space="preserve"> Skills D</w:t>
      </w:r>
      <w:r w:rsidR="00F20F82" w:rsidRPr="004A29F9">
        <w:rPr>
          <w:rFonts w:ascii="Times New Roman" w:hAnsi="Times New Roman" w:cs="Times New Roman"/>
          <w:sz w:val="22"/>
          <w:szCs w:val="22"/>
          <w:lang w:val="en-GB"/>
        </w:rPr>
        <w:t xml:space="preserve">iploma to </w:t>
      </w:r>
      <w:r>
        <w:rPr>
          <w:rFonts w:ascii="Times New Roman" w:hAnsi="Times New Roman" w:cs="Times New Roman"/>
          <w:sz w:val="22"/>
          <w:szCs w:val="22"/>
          <w:lang w:val="en-GB"/>
        </w:rPr>
        <w:t xml:space="preserve">legal staff from other ministries. </w:t>
      </w:r>
      <w:r w:rsidR="00F20F82" w:rsidRPr="004A29F9">
        <w:rPr>
          <w:rFonts w:ascii="Times New Roman" w:hAnsi="Times New Roman" w:cs="Times New Roman"/>
          <w:sz w:val="22"/>
          <w:szCs w:val="22"/>
          <w:lang w:val="en-GB"/>
        </w:rPr>
        <w:t>This would also be a good mechanism for continuing cross-ministry capacity building in the second phase.</w:t>
      </w:r>
    </w:p>
    <w:p w:rsidR="0068626B" w:rsidRPr="004A29F9" w:rsidRDefault="0068626B" w:rsidP="00FB6759">
      <w:pPr>
        <w:spacing w:after="0" w:line="240" w:lineRule="auto"/>
        <w:jc w:val="both"/>
        <w:rPr>
          <w:rFonts w:ascii="Times New Roman" w:hAnsi="Times New Roman" w:cs="Times New Roman"/>
          <w:sz w:val="22"/>
          <w:szCs w:val="22"/>
          <w:lang w:val="en-GB"/>
        </w:rPr>
      </w:pPr>
    </w:p>
    <w:p w:rsidR="00550767" w:rsidRPr="00CF7554" w:rsidRDefault="00CF7554" w:rsidP="00FB6759">
      <w:pPr>
        <w:spacing w:after="0" w:line="240" w:lineRule="auto"/>
        <w:jc w:val="both"/>
        <w:rPr>
          <w:rFonts w:ascii="Times New Roman" w:hAnsi="Times New Roman" w:cs="Times New Roman"/>
          <w:i/>
          <w:sz w:val="22"/>
          <w:szCs w:val="22"/>
          <w:lang w:val="en-GB"/>
        </w:rPr>
      </w:pPr>
      <w:r w:rsidRPr="00CF7554">
        <w:rPr>
          <w:rFonts w:ascii="Times New Roman" w:hAnsi="Times New Roman" w:cs="Times New Roman"/>
          <w:i/>
          <w:sz w:val="22"/>
          <w:szCs w:val="22"/>
          <w:lang w:val="en-GB"/>
        </w:rPr>
        <w:t>Output 1.2: Support to the MO</w:t>
      </w:r>
      <w:r w:rsidR="006256A2" w:rsidRPr="00CF7554">
        <w:rPr>
          <w:rFonts w:ascii="Times New Roman" w:hAnsi="Times New Roman" w:cs="Times New Roman"/>
          <w:i/>
          <w:sz w:val="22"/>
          <w:szCs w:val="22"/>
          <w:lang w:val="en-GB"/>
        </w:rPr>
        <w:t>J to lead the drafting of a new justice sector strategy provided</w:t>
      </w:r>
    </w:p>
    <w:p w:rsidR="00CF7554" w:rsidRDefault="00CF7554" w:rsidP="00FB6759">
      <w:pPr>
        <w:spacing w:after="0" w:line="240" w:lineRule="auto"/>
        <w:jc w:val="both"/>
        <w:rPr>
          <w:rFonts w:ascii="Times New Roman" w:hAnsi="Times New Roman" w:cs="Times New Roman"/>
          <w:sz w:val="22"/>
          <w:szCs w:val="22"/>
          <w:lang w:val="en-GB"/>
        </w:rPr>
      </w:pPr>
    </w:p>
    <w:p w:rsidR="006F284D" w:rsidRPr="004A29F9" w:rsidRDefault="00881549"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Work </w:t>
      </w:r>
      <w:r w:rsidR="0092379C" w:rsidRPr="004A29F9">
        <w:rPr>
          <w:rFonts w:ascii="Times New Roman" w:hAnsi="Times New Roman" w:cs="Times New Roman"/>
          <w:sz w:val="22"/>
          <w:szCs w:val="22"/>
          <w:lang w:val="en-GB"/>
        </w:rPr>
        <w:t xml:space="preserve">on the </w:t>
      </w:r>
      <w:r w:rsidR="00CF7554">
        <w:rPr>
          <w:rFonts w:ascii="Times New Roman" w:hAnsi="Times New Roman" w:cs="Times New Roman"/>
          <w:sz w:val="22"/>
          <w:szCs w:val="22"/>
          <w:lang w:val="en-GB"/>
        </w:rPr>
        <w:t>justice sector s</w:t>
      </w:r>
      <w:r w:rsidRPr="004A29F9">
        <w:rPr>
          <w:rFonts w:ascii="Times New Roman" w:hAnsi="Times New Roman" w:cs="Times New Roman"/>
          <w:sz w:val="22"/>
          <w:szCs w:val="22"/>
          <w:lang w:val="en-GB"/>
        </w:rPr>
        <w:t>trategy</w:t>
      </w:r>
      <w:r w:rsidR="0092379C" w:rsidRPr="004A29F9">
        <w:rPr>
          <w:rFonts w:ascii="Times New Roman" w:hAnsi="Times New Roman" w:cs="Times New Roman"/>
          <w:sz w:val="22"/>
          <w:szCs w:val="22"/>
          <w:lang w:val="en-GB"/>
        </w:rPr>
        <w:t xml:space="preserve"> had already be</w:t>
      </w:r>
      <w:r w:rsidR="00CF7554">
        <w:rPr>
          <w:rFonts w:ascii="Times New Roman" w:hAnsi="Times New Roman" w:cs="Times New Roman"/>
          <w:sz w:val="22"/>
          <w:szCs w:val="22"/>
          <w:lang w:val="en-GB"/>
        </w:rPr>
        <w:t>gun before the Programme D</w:t>
      </w:r>
      <w:r w:rsidR="009B7A92" w:rsidRPr="004A29F9">
        <w:rPr>
          <w:rFonts w:ascii="Times New Roman" w:hAnsi="Times New Roman" w:cs="Times New Roman"/>
          <w:sz w:val="22"/>
          <w:szCs w:val="22"/>
          <w:lang w:val="en-GB"/>
        </w:rPr>
        <w:t>ocument was signed</w:t>
      </w:r>
      <w:r w:rsidR="00CF7554">
        <w:rPr>
          <w:rFonts w:ascii="Times New Roman" w:hAnsi="Times New Roman" w:cs="Times New Roman"/>
          <w:sz w:val="22"/>
          <w:szCs w:val="22"/>
          <w:lang w:val="en-GB"/>
        </w:rPr>
        <w:t>. However,</w:t>
      </w:r>
      <w:r w:rsidR="00FD3C19">
        <w:rPr>
          <w:rFonts w:ascii="Times New Roman" w:hAnsi="Times New Roman" w:cs="Times New Roman"/>
          <w:sz w:val="22"/>
          <w:szCs w:val="22"/>
          <w:lang w:val="en-GB"/>
        </w:rPr>
        <w:t xml:space="preserve"> </w:t>
      </w:r>
      <w:r w:rsidR="00B702AC" w:rsidRPr="004A29F9">
        <w:rPr>
          <w:rFonts w:ascii="Times New Roman" w:hAnsi="Times New Roman" w:cs="Times New Roman"/>
          <w:sz w:val="22"/>
          <w:szCs w:val="22"/>
          <w:lang w:val="en-GB"/>
        </w:rPr>
        <w:t>UNDP</w:t>
      </w:r>
      <w:r w:rsidR="009B7A92" w:rsidRPr="004A29F9">
        <w:rPr>
          <w:rFonts w:ascii="Times New Roman" w:hAnsi="Times New Roman" w:cs="Times New Roman"/>
          <w:sz w:val="22"/>
          <w:szCs w:val="22"/>
          <w:lang w:val="en-GB"/>
        </w:rPr>
        <w:t xml:space="preserve"> has made an effort to align its programming with the Strategy</w:t>
      </w:r>
      <w:r w:rsidR="00CF7554">
        <w:rPr>
          <w:rFonts w:ascii="Times New Roman" w:hAnsi="Times New Roman" w:cs="Times New Roman"/>
          <w:sz w:val="22"/>
          <w:szCs w:val="22"/>
          <w:lang w:val="en-GB"/>
        </w:rPr>
        <w:t xml:space="preserve"> during the</w:t>
      </w:r>
      <w:r w:rsidR="0030603D" w:rsidRPr="004A29F9">
        <w:rPr>
          <w:rFonts w:ascii="Times New Roman" w:hAnsi="Times New Roman" w:cs="Times New Roman"/>
          <w:sz w:val="22"/>
          <w:szCs w:val="22"/>
          <w:lang w:val="en-GB"/>
        </w:rPr>
        <w:t xml:space="preserve"> programming period.</w:t>
      </w:r>
      <w:r w:rsidR="00D063E2" w:rsidRPr="004A29F9">
        <w:rPr>
          <w:rFonts w:ascii="Times New Roman" w:hAnsi="Times New Roman" w:cs="Times New Roman"/>
          <w:sz w:val="22"/>
          <w:szCs w:val="22"/>
          <w:lang w:val="en-GB"/>
        </w:rPr>
        <w:t xml:space="preserve"> UNDP </w:t>
      </w:r>
      <w:r w:rsidRPr="004A29F9">
        <w:rPr>
          <w:rFonts w:ascii="Times New Roman" w:hAnsi="Times New Roman" w:cs="Times New Roman"/>
          <w:sz w:val="22"/>
          <w:szCs w:val="22"/>
          <w:lang w:val="en-GB"/>
        </w:rPr>
        <w:t xml:space="preserve">experts advised the </w:t>
      </w:r>
      <w:r w:rsidR="00CF7554">
        <w:rPr>
          <w:rFonts w:ascii="Times New Roman" w:hAnsi="Times New Roman" w:cs="Times New Roman"/>
          <w:sz w:val="22"/>
          <w:szCs w:val="22"/>
          <w:lang w:val="en-GB"/>
        </w:rPr>
        <w:t xml:space="preserve">Technical Advisory </w:t>
      </w:r>
      <w:r w:rsidR="00D063E2" w:rsidRPr="004A29F9">
        <w:rPr>
          <w:rFonts w:ascii="Times New Roman" w:hAnsi="Times New Roman" w:cs="Times New Roman"/>
          <w:sz w:val="22"/>
          <w:szCs w:val="22"/>
          <w:lang w:val="en-GB"/>
        </w:rPr>
        <w:t xml:space="preserve">Unit at </w:t>
      </w:r>
      <w:r w:rsidR="00CF7554">
        <w:rPr>
          <w:rFonts w:ascii="Times New Roman" w:hAnsi="Times New Roman" w:cs="Times New Roman"/>
          <w:sz w:val="22"/>
          <w:szCs w:val="22"/>
          <w:lang w:val="en-GB"/>
        </w:rPr>
        <w:t>the MO</w:t>
      </w:r>
      <w:r w:rsidR="00D063E2" w:rsidRPr="004A29F9">
        <w:rPr>
          <w:rFonts w:ascii="Times New Roman" w:hAnsi="Times New Roman" w:cs="Times New Roman"/>
          <w:sz w:val="22"/>
          <w:szCs w:val="22"/>
          <w:lang w:val="en-GB"/>
        </w:rPr>
        <w:t>J</w:t>
      </w:r>
      <w:r w:rsidRPr="004A29F9">
        <w:rPr>
          <w:rFonts w:ascii="Times New Roman" w:hAnsi="Times New Roman" w:cs="Times New Roman"/>
          <w:sz w:val="22"/>
          <w:szCs w:val="22"/>
          <w:lang w:val="en-GB"/>
        </w:rPr>
        <w:t xml:space="preserve"> to</w:t>
      </w:r>
      <w:r w:rsidR="00FD3C19">
        <w:rPr>
          <w:rFonts w:ascii="Times New Roman" w:hAnsi="Times New Roman" w:cs="Times New Roman"/>
          <w:sz w:val="22"/>
          <w:szCs w:val="22"/>
          <w:lang w:val="en-GB"/>
        </w:rPr>
        <w:t xml:space="preserve"> </w:t>
      </w:r>
      <w:r w:rsidR="00DE3881" w:rsidRPr="004A29F9">
        <w:rPr>
          <w:rFonts w:ascii="Times New Roman" w:hAnsi="Times New Roman" w:cs="Times New Roman"/>
          <w:sz w:val="22"/>
          <w:szCs w:val="22"/>
          <w:lang w:val="en-GB"/>
        </w:rPr>
        <w:t>design a</w:t>
      </w:r>
      <w:r w:rsidRPr="004A29F9">
        <w:rPr>
          <w:rFonts w:ascii="Times New Roman" w:hAnsi="Times New Roman" w:cs="Times New Roman"/>
          <w:sz w:val="22"/>
          <w:szCs w:val="22"/>
          <w:lang w:val="en-GB"/>
        </w:rPr>
        <w:t xml:space="preserve"> new</w:t>
      </w:r>
      <w:r w:rsidR="00CF7554">
        <w:rPr>
          <w:rFonts w:ascii="Times New Roman" w:hAnsi="Times New Roman" w:cs="Times New Roman"/>
          <w:sz w:val="22"/>
          <w:szCs w:val="22"/>
          <w:lang w:val="en-GB"/>
        </w:rPr>
        <w:t xml:space="preserve"> strategic p</w:t>
      </w:r>
      <w:r w:rsidR="00D063E2" w:rsidRPr="004A29F9">
        <w:rPr>
          <w:rFonts w:ascii="Times New Roman" w:hAnsi="Times New Roman" w:cs="Times New Roman"/>
          <w:sz w:val="22"/>
          <w:szCs w:val="22"/>
          <w:lang w:val="en-GB"/>
        </w:rPr>
        <w:t xml:space="preserve">lan </w:t>
      </w:r>
      <w:r w:rsidRPr="004A29F9">
        <w:rPr>
          <w:rFonts w:ascii="Times New Roman" w:hAnsi="Times New Roman" w:cs="Times New Roman"/>
          <w:sz w:val="22"/>
          <w:szCs w:val="22"/>
          <w:lang w:val="en-GB"/>
        </w:rPr>
        <w:t xml:space="preserve">for </w:t>
      </w:r>
      <w:r w:rsidR="00CF7554">
        <w:rPr>
          <w:rFonts w:ascii="Times New Roman" w:hAnsi="Times New Roman" w:cs="Times New Roman"/>
          <w:sz w:val="22"/>
          <w:szCs w:val="22"/>
          <w:lang w:val="en-GB"/>
        </w:rPr>
        <w:t xml:space="preserve">2012-2014. </w:t>
      </w:r>
      <w:r w:rsidR="00D063E2" w:rsidRPr="004A29F9">
        <w:rPr>
          <w:rFonts w:ascii="Times New Roman" w:hAnsi="Times New Roman" w:cs="Times New Roman"/>
          <w:sz w:val="22"/>
          <w:szCs w:val="22"/>
          <w:lang w:val="en-GB"/>
        </w:rPr>
        <w:t xml:space="preserve">A </w:t>
      </w:r>
      <w:r w:rsidRPr="004A29F9">
        <w:rPr>
          <w:rFonts w:ascii="Times New Roman" w:hAnsi="Times New Roman" w:cs="Times New Roman"/>
          <w:sz w:val="22"/>
          <w:szCs w:val="22"/>
          <w:lang w:val="en-GB"/>
        </w:rPr>
        <w:t>ten-day</w:t>
      </w:r>
      <w:r w:rsidR="00D063E2" w:rsidRPr="004A29F9">
        <w:rPr>
          <w:rFonts w:ascii="Times New Roman" w:hAnsi="Times New Roman" w:cs="Times New Roman"/>
          <w:sz w:val="22"/>
          <w:szCs w:val="22"/>
          <w:lang w:val="en-GB"/>
        </w:rPr>
        <w:t xml:space="preserve"> workshop was held in Jericho </w:t>
      </w:r>
      <w:r w:rsidRPr="004A29F9">
        <w:rPr>
          <w:rFonts w:ascii="Times New Roman" w:hAnsi="Times New Roman" w:cs="Times New Roman"/>
          <w:sz w:val="22"/>
          <w:szCs w:val="22"/>
          <w:lang w:val="en-GB"/>
        </w:rPr>
        <w:t xml:space="preserve">for this purpose, </w:t>
      </w:r>
      <w:r w:rsidR="00D063E2" w:rsidRPr="004A29F9">
        <w:rPr>
          <w:rFonts w:ascii="Times New Roman" w:hAnsi="Times New Roman" w:cs="Times New Roman"/>
          <w:sz w:val="22"/>
          <w:szCs w:val="22"/>
          <w:lang w:val="en-GB"/>
        </w:rPr>
        <w:t>followed by consultativ</w:t>
      </w:r>
      <w:r w:rsidR="00CF7554">
        <w:rPr>
          <w:rFonts w:ascii="Times New Roman" w:hAnsi="Times New Roman" w:cs="Times New Roman"/>
          <w:sz w:val="22"/>
          <w:szCs w:val="22"/>
          <w:lang w:val="en-GB"/>
        </w:rPr>
        <w:t xml:space="preserve">e workshops </w:t>
      </w:r>
      <w:r w:rsidR="00D063E2" w:rsidRPr="004A29F9">
        <w:rPr>
          <w:rFonts w:ascii="Times New Roman" w:hAnsi="Times New Roman" w:cs="Times New Roman"/>
          <w:sz w:val="22"/>
          <w:szCs w:val="22"/>
          <w:lang w:val="en-GB"/>
        </w:rPr>
        <w:t>with</w:t>
      </w:r>
      <w:r w:rsidR="00CF7554">
        <w:rPr>
          <w:rFonts w:ascii="Times New Roman" w:hAnsi="Times New Roman" w:cs="Times New Roman"/>
          <w:sz w:val="22"/>
          <w:szCs w:val="22"/>
          <w:lang w:val="en-GB"/>
        </w:rPr>
        <w:t xml:space="preserve"> both middle management and executive staff</w:t>
      </w:r>
      <w:r w:rsidR="00D063E2" w:rsidRPr="004A29F9">
        <w:rPr>
          <w:rFonts w:ascii="Times New Roman" w:hAnsi="Times New Roman" w:cs="Times New Roman"/>
          <w:sz w:val="22"/>
          <w:szCs w:val="22"/>
          <w:lang w:val="en-GB"/>
        </w:rPr>
        <w:t xml:space="preserve"> wherein UNDP succeeded in collecting their views and</w:t>
      </w:r>
      <w:r w:rsidR="00CF7554">
        <w:rPr>
          <w:rFonts w:ascii="Times New Roman" w:hAnsi="Times New Roman" w:cs="Times New Roman"/>
          <w:sz w:val="22"/>
          <w:szCs w:val="22"/>
          <w:lang w:val="en-GB"/>
        </w:rPr>
        <w:t xml:space="preserve"> participation in drafting the strategic p</w:t>
      </w:r>
      <w:r w:rsidR="00D063E2" w:rsidRPr="004A29F9">
        <w:rPr>
          <w:rFonts w:ascii="Times New Roman" w:hAnsi="Times New Roman" w:cs="Times New Roman"/>
          <w:sz w:val="22"/>
          <w:szCs w:val="22"/>
          <w:lang w:val="en-GB"/>
        </w:rPr>
        <w:t xml:space="preserve">lan. </w:t>
      </w:r>
      <w:r w:rsidR="002E7552" w:rsidRPr="004A29F9">
        <w:rPr>
          <w:rFonts w:ascii="Times New Roman" w:hAnsi="Times New Roman" w:cs="Times New Roman"/>
          <w:sz w:val="22"/>
          <w:szCs w:val="22"/>
          <w:lang w:val="en-GB"/>
        </w:rPr>
        <w:t>The strategic pla</w:t>
      </w:r>
      <w:r w:rsidRPr="004A29F9">
        <w:rPr>
          <w:rFonts w:ascii="Times New Roman" w:hAnsi="Times New Roman" w:cs="Times New Roman"/>
          <w:sz w:val="22"/>
          <w:szCs w:val="22"/>
          <w:lang w:val="en-GB"/>
        </w:rPr>
        <w:t xml:space="preserve">n </w:t>
      </w:r>
      <w:r w:rsidR="002E7552" w:rsidRPr="004A29F9">
        <w:rPr>
          <w:rFonts w:ascii="Times New Roman" w:hAnsi="Times New Roman" w:cs="Times New Roman"/>
          <w:sz w:val="22"/>
          <w:szCs w:val="22"/>
          <w:lang w:val="en-GB"/>
        </w:rPr>
        <w:t xml:space="preserve">is especially </w:t>
      </w:r>
      <w:r w:rsidRPr="004A29F9">
        <w:rPr>
          <w:rFonts w:ascii="Times New Roman" w:hAnsi="Times New Roman" w:cs="Times New Roman"/>
          <w:sz w:val="22"/>
          <w:szCs w:val="22"/>
          <w:lang w:val="en-GB"/>
        </w:rPr>
        <w:t xml:space="preserve">important </w:t>
      </w:r>
      <w:r w:rsidR="002E7552" w:rsidRPr="004A29F9">
        <w:rPr>
          <w:rFonts w:ascii="Times New Roman" w:hAnsi="Times New Roman" w:cs="Times New Roman"/>
          <w:sz w:val="22"/>
          <w:szCs w:val="22"/>
          <w:lang w:val="en-GB"/>
        </w:rPr>
        <w:t xml:space="preserve">for the </w:t>
      </w:r>
      <w:r w:rsidRPr="004A29F9">
        <w:rPr>
          <w:rFonts w:ascii="Times New Roman" w:hAnsi="Times New Roman" w:cs="Times New Roman"/>
          <w:sz w:val="22"/>
          <w:szCs w:val="22"/>
          <w:lang w:val="en-GB"/>
        </w:rPr>
        <w:t xml:space="preserve">work of the </w:t>
      </w:r>
      <w:r w:rsidR="00CF7554">
        <w:rPr>
          <w:rFonts w:ascii="Times New Roman" w:hAnsi="Times New Roman" w:cs="Times New Roman"/>
          <w:sz w:val="22"/>
          <w:szCs w:val="22"/>
          <w:lang w:val="en-GB"/>
        </w:rPr>
        <w:t>legal units at the MO</w:t>
      </w:r>
      <w:r w:rsidR="002E7552" w:rsidRPr="004A29F9">
        <w:rPr>
          <w:rFonts w:ascii="Times New Roman" w:hAnsi="Times New Roman" w:cs="Times New Roman"/>
          <w:sz w:val="22"/>
          <w:szCs w:val="22"/>
          <w:lang w:val="en-GB"/>
        </w:rPr>
        <w:t>J</w:t>
      </w:r>
      <w:r w:rsidRPr="004A29F9">
        <w:rPr>
          <w:rFonts w:ascii="Times New Roman" w:hAnsi="Times New Roman" w:cs="Times New Roman"/>
          <w:sz w:val="22"/>
          <w:szCs w:val="22"/>
          <w:lang w:val="en-GB"/>
        </w:rPr>
        <w:t xml:space="preserve">, as </w:t>
      </w:r>
      <w:r w:rsidR="00351DAE" w:rsidRPr="004A29F9">
        <w:rPr>
          <w:rFonts w:ascii="Times New Roman" w:hAnsi="Times New Roman" w:cs="Times New Roman"/>
          <w:sz w:val="22"/>
          <w:szCs w:val="22"/>
          <w:lang w:val="en-GB"/>
        </w:rPr>
        <w:t xml:space="preserve">they previously </w:t>
      </w:r>
      <w:r w:rsidRPr="004A29F9">
        <w:rPr>
          <w:rFonts w:ascii="Times New Roman" w:hAnsi="Times New Roman" w:cs="Times New Roman"/>
          <w:sz w:val="22"/>
          <w:szCs w:val="22"/>
          <w:lang w:val="en-GB"/>
        </w:rPr>
        <w:t>had no planning tools.</w:t>
      </w:r>
    </w:p>
    <w:p w:rsidR="00CF7554" w:rsidRDefault="00CF7554" w:rsidP="00FB6759">
      <w:pPr>
        <w:spacing w:after="0" w:line="240" w:lineRule="auto"/>
        <w:jc w:val="both"/>
        <w:rPr>
          <w:rFonts w:ascii="Times New Roman" w:hAnsi="Times New Roman" w:cs="Times New Roman"/>
          <w:sz w:val="22"/>
          <w:szCs w:val="22"/>
          <w:lang w:val="en-GB"/>
        </w:rPr>
      </w:pPr>
    </w:p>
    <w:p w:rsidR="00EE62D0" w:rsidRPr="004A29F9" w:rsidRDefault="002E7552"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 other aspect of the contribution of UNDP is that the plan for capacity building was developed.</w:t>
      </w:r>
      <w:r w:rsidR="006F284D" w:rsidRPr="004A29F9">
        <w:rPr>
          <w:rFonts w:ascii="Times New Roman" w:hAnsi="Times New Roman" w:cs="Times New Roman"/>
          <w:sz w:val="22"/>
          <w:szCs w:val="22"/>
          <w:lang w:val="en-GB"/>
        </w:rPr>
        <w:t xml:space="preserve"> This resulted from</w:t>
      </w:r>
      <w:r w:rsidR="00D063E2" w:rsidRPr="004A29F9">
        <w:rPr>
          <w:rFonts w:ascii="Times New Roman" w:hAnsi="Times New Roman" w:cs="Times New Roman"/>
          <w:sz w:val="22"/>
          <w:szCs w:val="22"/>
          <w:lang w:val="en-GB"/>
        </w:rPr>
        <w:t xml:space="preserve"> a highly participatory process involving the widest possible spectrum</w:t>
      </w:r>
      <w:r w:rsidR="00881549" w:rsidRPr="004A29F9">
        <w:rPr>
          <w:rFonts w:ascii="Times New Roman" w:hAnsi="Times New Roman" w:cs="Times New Roman"/>
          <w:sz w:val="22"/>
          <w:szCs w:val="22"/>
          <w:lang w:val="en-GB"/>
        </w:rPr>
        <w:t xml:space="preserve"> of stakeholders.  </w:t>
      </w:r>
      <w:r w:rsidR="00D063E2" w:rsidRPr="004A29F9">
        <w:rPr>
          <w:rFonts w:ascii="Times New Roman" w:hAnsi="Times New Roman" w:cs="Times New Roman"/>
          <w:sz w:val="22"/>
          <w:szCs w:val="22"/>
          <w:lang w:val="en-GB"/>
        </w:rPr>
        <w:t xml:space="preserve"> UNDP advisors </w:t>
      </w:r>
      <w:r w:rsidR="00881549" w:rsidRPr="004A29F9">
        <w:rPr>
          <w:rFonts w:ascii="Times New Roman" w:hAnsi="Times New Roman" w:cs="Times New Roman"/>
          <w:sz w:val="22"/>
          <w:szCs w:val="22"/>
          <w:lang w:val="en-GB"/>
        </w:rPr>
        <w:t>held</w:t>
      </w:r>
      <w:r w:rsidR="00D063E2" w:rsidRPr="004A29F9">
        <w:rPr>
          <w:rFonts w:ascii="Times New Roman" w:hAnsi="Times New Roman" w:cs="Times New Roman"/>
          <w:sz w:val="22"/>
          <w:szCs w:val="22"/>
          <w:lang w:val="en-GB"/>
        </w:rPr>
        <w:t xml:space="preserve"> bi-monthly </w:t>
      </w:r>
      <w:r w:rsidR="00881549" w:rsidRPr="004A29F9">
        <w:rPr>
          <w:rFonts w:ascii="Times New Roman" w:hAnsi="Times New Roman" w:cs="Times New Roman"/>
          <w:sz w:val="22"/>
          <w:szCs w:val="22"/>
          <w:lang w:val="en-GB"/>
        </w:rPr>
        <w:t>meetings and were</w:t>
      </w:r>
      <w:r w:rsidR="00D063E2" w:rsidRPr="004A29F9">
        <w:rPr>
          <w:rFonts w:ascii="Times New Roman" w:hAnsi="Times New Roman" w:cs="Times New Roman"/>
          <w:sz w:val="22"/>
          <w:szCs w:val="22"/>
          <w:lang w:val="en-GB"/>
        </w:rPr>
        <w:t xml:space="preserve"> in daily contact by phone </w:t>
      </w:r>
      <w:r w:rsidR="00881549" w:rsidRPr="004A29F9">
        <w:rPr>
          <w:rFonts w:ascii="Times New Roman" w:hAnsi="Times New Roman" w:cs="Times New Roman"/>
          <w:sz w:val="22"/>
          <w:szCs w:val="22"/>
          <w:lang w:val="en-GB"/>
        </w:rPr>
        <w:t>to establish</w:t>
      </w:r>
      <w:r w:rsidR="00D063E2" w:rsidRPr="004A29F9">
        <w:rPr>
          <w:rFonts w:ascii="Times New Roman" w:hAnsi="Times New Roman" w:cs="Times New Roman"/>
          <w:sz w:val="22"/>
          <w:szCs w:val="22"/>
          <w:lang w:val="en-GB"/>
        </w:rPr>
        <w:t xml:space="preserve"> close working relationships</w:t>
      </w:r>
      <w:r w:rsidR="00881549" w:rsidRPr="004A29F9">
        <w:rPr>
          <w:rFonts w:ascii="Times New Roman" w:hAnsi="Times New Roman" w:cs="Times New Roman"/>
          <w:sz w:val="22"/>
          <w:szCs w:val="22"/>
          <w:lang w:val="en-GB"/>
        </w:rPr>
        <w:t xml:space="preserve"> with other justice actors</w:t>
      </w:r>
      <w:r w:rsidR="00785065">
        <w:rPr>
          <w:rFonts w:ascii="Times New Roman" w:hAnsi="Times New Roman" w:cs="Times New Roman"/>
          <w:sz w:val="22"/>
          <w:szCs w:val="22"/>
          <w:lang w:val="en-GB"/>
        </w:rPr>
        <w:t xml:space="preserve">. </w:t>
      </w:r>
      <w:r w:rsidR="00D063E2" w:rsidRPr="004A29F9">
        <w:rPr>
          <w:rFonts w:ascii="Times New Roman" w:hAnsi="Times New Roman" w:cs="Times New Roman"/>
          <w:sz w:val="22"/>
          <w:szCs w:val="22"/>
          <w:lang w:val="en-GB"/>
        </w:rPr>
        <w:t xml:space="preserve">UNDP has </w:t>
      </w:r>
      <w:r w:rsidR="00881549" w:rsidRPr="004A29F9">
        <w:rPr>
          <w:rFonts w:ascii="Times New Roman" w:hAnsi="Times New Roman" w:cs="Times New Roman"/>
          <w:sz w:val="22"/>
          <w:szCs w:val="22"/>
          <w:lang w:val="en-GB"/>
        </w:rPr>
        <w:t xml:space="preserve">also hosted </w:t>
      </w:r>
      <w:r w:rsidR="00D063E2" w:rsidRPr="004A29F9">
        <w:rPr>
          <w:rFonts w:ascii="Times New Roman" w:hAnsi="Times New Roman" w:cs="Times New Roman"/>
          <w:sz w:val="22"/>
          <w:szCs w:val="22"/>
          <w:lang w:val="en-GB"/>
        </w:rPr>
        <w:t xml:space="preserve">plenary team meetings </w:t>
      </w:r>
      <w:r w:rsidRPr="004A29F9">
        <w:rPr>
          <w:rFonts w:ascii="Times New Roman" w:hAnsi="Times New Roman" w:cs="Times New Roman"/>
          <w:sz w:val="22"/>
          <w:szCs w:val="22"/>
          <w:lang w:val="en-GB"/>
        </w:rPr>
        <w:t xml:space="preserve">and </w:t>
      </w:r>
      <w:r w:rsidR="00D063E2" w:rsidRPr="004A29F9">
        <w:rPr>
          <w:rFonts w:ascii="Times New Roman" w:hAnsi="Times New Roman" w:cs="Times New Roman"/>
          <w:sz w:val="22"/>
          <w:szCs w:val="22"/>
          <w:lang w:val="en-GB"/>
        </w:rPr>
        <w:t xml:space="preserve">justice </w:t>
      </w:r>
      <w:r w:rsidR="00785065">
        <w:rPr>
          <w:rFonts w:ascii="Times New Roman" w:hAnsi="Times New Roman" w:cs="Times New Roman"/>
          <w:sz w:val="22"/>
          <w:szCs w:val="22"/>
          <w:lang w:val="en-GB"/>
        </w:rPr>
        <w:t xml:space="preserve">sector coordination meetings. </w:t>
      </w:r>
      <w:r w:rsidRPr="004A29F9">
        <w:rPr>
          <w:rFonts w:ascii="Times New Roman" w:hAnsi="Times New Roman" w:cs="Times New Roman"/>
          <w:sz w:val="22"/>
          <w:szCs w:val="22"/>
          <w:lang w:val="en-GB"/>
        </w:rPr>
        <w:t>Although initially these were</w:t>
      </w:r>
      <w:r w:rsidR="00785065">
        <w:rPr>
          <w:rFonts w:ascii="Times New Roman" w:hAnsi="Times New Roman" w:cs="Times New Roman"/>
          <w:sz w:val="22"/>
          <w:szCs w:val="22"/>
          <w:lang w:val="en-GB"/>
        </w:rPr>
        <w:t xml:space="preserve"> heavily focused on the MO</w:t>
      </w:r>
      <w:r w:rsidR="00D063E2" w:rsidRPr="004A29F9">
        <w:rPr>
          <w:rFonts w:ascii="Times New Roman" w:hAnsi="Times New Roman" w:cs="Times New Roman"/>
          <w:sz w:val="22"/>
          <w:szCs w:val="22"/>
          <w:lang w:val="en-GB"/>
        </w:rPr>
        <w:t xml:space="preserve">J, this has evolved to </w:t>
      </w:r>
      <w:r w:rsidRPr="004A29F9">
        <w:rPr>
          <w:rFonts w:ascii="Times New Roman" w:hAnsi="Times New Roman" w:cs="Times New Roman"/>
          <w:sz w:val="22"/>
          <w:szCs w:val="22"/>
          <w:lang w:val="en-GB"/>
        </w:rPr>
        <w:t xml:space="preserve">include </w:t>
      </w:r>
      <w:r w:rsidR="00D063E2" w:rsidRPr="004A29F9">
        <w:rPr>
          <w:rFonts w:ascii="Times New Roman" w:hAnsi="Times New Roman" w:cs="Times New Roman"/>
          <w:sz w:val="22"/>
          <w:szCs w:val="22"/>
          <w:lang w:val="en-GB"/>
        </w:rPr>
        <w:t xml:space="preserve">cooperation with the </w:t>
      </w:r>
      <w:r w:rsidR="00785065">
        <w:rPr>
          <w:rFonts w:ascii="Times New Roman" w:hAnsi="Times New Roman" w:cs="Times New Roman"/>
          <w:sz w:val="22"/>
          <w:szCs w:val="22"/>
          <w:lang w:val="en-GB"/>
        </w:rPr>
        <w:t>HJC and the AGO.</w:t>
      </w:r>
    </w:p>
    <w:p w:rsidR="00CF7554" w:rsidRDefault="00CF7554" w:rsidP="00FB6759">
      <w:pPr>
        <w:spacing w:after="0" w:line="240" w:lineRule="auto"/>
        <w:jc w:val="both"/>
        <w:rPr>
          <w:rFonts w:ascii="Times New Roman" w:hAnsi="Times New Roman" w:cs="Times New Roman"/>
          <w:sz w:val="22"/>
          <w:szCs w:val="22"/>
          <w:lang w:val="en-GB"/>
        </w:rPr>
      </w:pPr>
    </w:p>
    <w:p w:rsidR="00E25050" w:rsidRPr="004A29F9" w:rsidRDefault="00B47DD3"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The </w:t>
      </w:r>
      <w:r w:rsidR="00C37442" w:rsidRPr="004A29F9">
        <w:rPr>
          <w:rFonts w:ascii="Times New Roman" w:hAnsi="Times New Roman" w:cs="Times New Roman"/>
          <w:sz w:val="22"/>
          <w:szCs w:val="22"/>
          <w:lang w:val="en-GB"/>
        </w:rPr>
        <w:t xml:space="preserve">new </w:t>
      </w:r>
      <w:r w:rsidRPr="004A29F9">
        <w:rPr>
          <w:rFonts w:ascii="Times New Roman" w:hAnsi="Times New Roman" w:cs="Times New Roman"/>
          <w:sz w:val="22"/>
          <w:szCs w:val="22"/>
          <w:lang w:val="en-GB"/>
        </w:rPr>
        <w:t xml:space="preserve">Minister of Justice has recently presented a </w:t>
      </w:r>
      <w:r w:rsidR="00C37442" w:rsidRPr="004A29F9">
        <w:rPr>
          <w:rFonts w:ascii="Times New Roman" w:hAnsi="Times New Roman" w:cs="Times New Roman"/>
          <w:sz w:val="22"/>
          <w:szCs w:val="22"/>
          <w:lang w:val="en-GB"/>
        </w:rPr>
        <w:t>15-point</w:t>
      </w:r>
      <w:r w:rsidRPr="004A29F9">
        <w:rPr>
          <w:rFonts w:ascii="Times New Roman" w:hAnsi="Times New Roman" w:cs="Times New Roman"/>
          <w:sz w:val="22"/>
          <w:szCs w:val="22"/>
          <w:lang w:val="en-GB"/>
        </w:rPr>
        <w:t xml:space="preserve"> reform </w:t>
      </w:r>
      <w:r w:rsidR="00785065">
        <w:rPr>
          <w:rFonts w:ascii="Times New Roman" w:hAnsi="Times New Roman" w:cs="Times New Roman"/>
          <w:sz w:val="22"/>
          <w:szCs w:val="22"/>
          <w:lang w:val="en-GB"/>
        </w:rPr>
        <w:t>package submitted to the Council of Ministers</w:t>
      </w:r>
      <w:r w:rsidRPr="004A29F9">
        <w:rPr>
          <w:rFonts w:ascii="Times New Roman" w:hAnsi="Times New Roman" w:cs="Times New Roman"/>
          <w:sz w:val="22"/>
          <w:szCs w:val="22"/>
          <w:lang w:val="en-GB"/>
        </w:rPr>
        <w:t xml:space="preserve"> including areas such as the establishment of constitutional and administrative courts and introduction of legislation to regulate the judicial sector including the judicial authority. This is contained in a package of law: court formation law and criminal code and criminal procedural codes. This also includes enforceable amendments to the Judicial Authority law. There are some conceptual amendments to this law including recommending a further enhanced relationship/partnership with civil society, </w:t>
      </w:r>
      <w:r w:rsidR="007706A6" w:rsidRPr="004A29F9">
        <w:rPr>
          <w:rFonts w:ascii="Times New Roman" w:hAnsi="Times New Roman" w:cs="Times New Roman"/>
          <w:sz w:val="22"/>
          <w:szCs w:val="22"/>
          <w:lang w:val="en-GB"/>
        </w:rPr>
        <w:t xml:space="preserve">a </w:t>
      </w:r>
      <w:r w:rsidRPr="004A29F9">
        <w:rPr>
          <w:rFonts w:ascii="Times New Roman" w:hAnsi="Times New Roman" w:cs="Times New Roman"/>
          <w:sz w:val="22"/>
          <w:szCs w:val="22"/>
          <w:lang w:val="en-GB"/>
        </w:rPr>
        <w:t xml:space="preserve">more developed military judiciary </w:t>
      </w:r>
      <w:r w:rsidR="00C37442" w:rsidRPr="004A29F9">
        <w:rPr>
          <w:rFonts w:ascii="Times New Roman" w:hAnsi="Times New Roman" w:cs="Times New Roman"/>
          <w:sz w:val="22"/>
          <w:szCs w:val="22"/>
          <w:lang w:val="en-GB"/>
        </w:rPr>
        <w:t>and termination</w:t>
      </w:r>
      <w:r w:rsidRPr="004A29F9">
        <w:rPr>
          <w:rFonts w:ascii="Times New Roman" w:hAnsi="Times New Roman" w:cs="Times New Roman"/>
          <w:sz w:val="22"/>
          <w:szCs w:val="22"/>
          <w:lang w:val="en-GB"/>
        </w:rPr>
        <w:t xml:space="preserve"> of the military prosecution of civilians, developing the </w:t>
      </w:r>
      <w:r w:rsidR="00272AAE" w:rsidRPr="00272AAE">
        <w:rPr>
          <w:rFonts w:ascii="Times New Roman" w:hAnsi="Times New Roman" w:cs="Times New Roman"/>
          <w:i/>
          <w:sz w:val="22"/>
          <w:szCs w:val="22"/>
          <w:lang w:val="en-GB"/>
        </w:rPr>
        <w:t>s</w:t>
      </w:r>
      <w:r w:rsidR="000C369C" w:rsidRPr="00272AAE">
        <w:rPr>
          <w:rFonts w:ascii="Times New Roman" w:hAnsi="Times New Roman" w:cs="Times New Roman"/>
          <w:i/>
          <w:sz w:val="22"/>
          <w:szCs w:val="22"/>
          <w:lang w:val="en-GB"/>
        </w:rPr>
        <w:t>hari’a</w:t>
      </w:r>
      <w:r w:rsidRPr="004A29F9">
        <w:rPr>
          <w:rFonts w:ascii="Times New Roman" w:hAnsi="Times New Roman" w:cs="Times New Roman"/>
          <w:sz w:val="22"/>
          <w:szCs w:val="22"/>
          <w:lang w:val="en-GB"/>
        </w:rPr>
        <w:t xml:space="preserve"> judiciary or family </w:t>
      </w:r>
      <w:r w:rsidR="00C37442" w:rsidRPr="004A29F9">
        <w:rPr>
          <w:rFonts w:ascii="Times New Roman" w:hAnsi="Times New Roman" w:cs="Times New Roman"/>
          <w:sz w:val="22"/>
          <w:szCs w:val="22"/>
          <w:lang w:val="en-GB"/>
        </w:rPr>
        <w:t>courts that</w:t>
      </w:r>
      <w:r w:rsidRPr="004A29F9">
        <w:rPr>
          <w:rFonts w:ascii="Times New Roman" w:hAnsi="Times New Roman" w:cs="Times New Roman"/>
          <w:sz w:val="22"/>
          <w:szCs w:val="22"/>
          <w:lang w:val="en-GB"/>
        </w:rPr>
        <w:t xml:space="preserve"> need to be updated. </w:t>
      </w:r>
      <w:r w:rsidR="00C37442" w:rsidRPr="004A29F9">
        <w:rPr>
          <w:rFonts w:ascii="Times New Roman" w:hAnsi="Times New Roman" w:cs="Times New Roman"/>
          <w:sz w:val="22"/>
          <w:szCs w:val="22"/>
          <w:lang w:val="en-GB"/>
        </w:rPr>
        <w:t>A key question for UNDP and donors, however, will be to what extent the new 15-point pla</w:t>
      </w:r>
      <w:r w:rsidR="00272AAE">
        <w:rPr>
          <w:rFonts w:ascii="Times New Roman" w:hAnsi="Times New Roman" w:cs="Times New Roman"/>
          <w:sz w:val="22"/>
          <w:szCs w:val="22"/>
          <w:lang w:val="en-GB"/>
        </w:rPr>
        <w:t xml:space="preserve">n departs (if at all) from the strategic plan for </w:t>
      </w:r>
      <w:r w:rsidR="00C37442" w:rsidRPr="004A29F9">
        <w:rPr>
          <w:rFonts w:ascii="Times New Roman" w:hAnsi="Times New Roman" w:cs="Times New Roman"/>
          <w:sz w:val="22"/>
          <w:szCs w:val="22"/>
          <w:lang w:val="en-GB"/>
        </w:rPr>
        <w:t xml:space="preserve">which donors spent substantial resources developing. </w:t>
      </w:r>
    </w:p>
    <w:p w:rsidR="00CF7554" w:rsidRDefault="00CF7554" w:rsidP="00FB6759">
      <w:pPr>
        <w:spacing w:after="0" w:line="240" w:lineRule="auto"/>
        <w:jc w:val="both"/>
        <w:rPr>
          <w:rFonts w:ascii="Times New Roman" w:hAnsi="Times New Roman" w:cs="Times New Roman"/>
          <w:sz w:val="22"/>
          <w:szCs w:val="22"/>
          <w:lang w:val="en-GB"/>
        </w:rPr>
      </w:pPr>
    </w:p>
    <w:p w:rsidR="00272AAE" w:rsidRDefault="00272AAE" w:rsidP="00FB6759">
      <w:pPr>
        <w:spacing w:after="0" w:line="240" w:lineRule="auto"/>
        <w:jc w:val="both"/>
        <w:rPr>
          <w:rFonts w:ascii="Times New Roman" w:hAnsi="Times New Roman" w:cs="Times New Roman"/>
          <w:b/>
          <w:i/>
          <w:sz w:val="22"/>
          <w:szCs w:val="22"/>
          <w:lang w:val="en-GB"/>
        </w:rPr>
      </w:pPr>
    </w:p>
    <w:p w:rsidR="00272AAE" w:rsidRDefault="00272AAE">
      <w:pPr>
        <w:rPr>
          <w:rFonts w:ascii="Times New Roman" w:hAnsi="Times New Roman" w:cs="Times New Roman"/>
          <w:i/>
          <w:sz w:val="22"/>
          <w:szCs w:val="22"/>
          <w:lang w:val="en-GB"/>
        </w:rPr>
      </w:pPr>
      <w:r>
        <w:rPr>
          <w:rFonts w:ascii="Times New Roman" w:hAnsi="Times New Roman" w:cs="Times New Roman"/>
          <w:i/>
          <w:sz w:val="22"/>
          <w:szCs w:val="22"/>
          <w:lang w:val="en-GB"/>
        </w:rPr>
        <w:br w:type="page"/>
      </w:r>
    </w:p>
    <w:p w:rsidR="006256A2" w:rsidRPr="00CF7554" w:rsidRDefault="00CF7554" w:rsidP="00FB6759">
      <w:pPr>
        <w:spacing w:after="0" w:line="240" w:lineRule="auto"/>
        <w:jc w:val="both"/>
        <w:rPr>
          <w:rFonts w:ascii="Times New Roman" w:hAnsi="Times New Roman" w:cs="Times New Roman"/>
          <w:i/>
          <w:sz w:val="22"/>
          <w:szCs w:val="22"/>
          <w:lang w:val="en-GB"/>
        </w:rPr>
      </w:pPr>
      <w:r>
        <w:rPr>
          <w:rFonts w:ascii="Times New Roman" w:hAnsi="Times New Roman" w:cs="Times New Roman"/>
          <w:i/>
          <w:sz w:val="22"/>
          <w:szCs w:val="22"/>
          <w:lang w:val="en-GB"/>
        </w:rPr>
        <w:lastRenderedPageBreak/>
        <w:t>Output 1.3: Implementation of the MO</w:t>
      </w:r>
      <w:r w:rsidR="006256A2" w:rsidRPr="00CF7554">
        <w:rPr>
          <w:rFonts w:ascii="Times New Roman" w:hAnsi="Times New Roman" w:cs="Times New Roman"/>
          <w:i/>
          <w:sz w:val="22"/>
          <w:szCs w:val="22"/>
          <w:lang w:val="en-GB"/>
        </w:rPr>
        <w:t>J’s ‘Justice for the Future’ project ensured</w:t>
      </w:r>
    </w:p>
    <w:p w:rsidR="00CF7554" w:rsidRDefault="00CF7554" w:rsidP="00FB6759">
      <w:pPr>
        <w:spacing w:after="0" w:line="240" w:lineRule="auto"/>
        <w:jc w:val="both"/>
        <w:rPr>
          <w:rFonts w:ascii="Times New Roman" w:hAnsi="Times New Roman" w:cs="Times New Roman"/>
          <w:sz w:val="22"/>
          <w:szCs w:val="22"/>
          <w:lang w:val="en-GB"/>
        </w:rPr>
      </w:pPr>
    </w:p>
    <w:p w:rsidR="00D46E3D" w:rsidRDefault="000606E0"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 discussion o</w:t>
      </w:r>
      <w:r w:rsidR="00272AAE">
        <w:rPr>
          <w:rFonts w:ascii="Times New Roman" w:hAnsi="Times New Roman" w:cs="Times New Roman"/>
          <w:sz w:val="22"/>
          <w:szCs w:val="22"/>
          <w:lang w:val="en-GB"/>
        </w:rPr>
        <w:t>f o</w:t>
      </w:r>
      <w:r w:rsidR="00122A03" w:rsidRPr="004A29F9">
        <w:rPr>
          <w:rFonts w:ascii="Times New Roman" w:hAnsi="Times New Roman" w:cs="Times New Roman"/>
          <w:sz w:val="22"/>
          <w:szCs w:val="22"/>
          <w:lang w:val="en-GB"/>
        </w:rPr>
        <w:t>utput 1.1 touched on training for existing</w:t>
      </w:r>
      <w:r w:rsidR="00272AAE">
        <w:rPr>
          <w:rFonts w:ascii="Times New Roman" w:hAnsi="Times New Roman" w:cs="Times New Roman"/>
          <w:sz w:val="22"/>
          <w:szCs w:val="22"/>
          <w:lang w:val="en-GB"/>
        </w:rPr>
        <w:t xml:space="preserve"> MOJ</w:t>
      </w:r>
      <w:r w:rsidR="00550767" w:rsidRPr="004A29F9">
        <w:rPr>
          <w:rFonts w:ascii="Times New Roman" w:hAnsi="Times New Roman" w:cs="Times New Roman"/>
          <w:sz w:val="22"/>
          <w:szCs w:val="22"/>
          <w:lang w:val="en-GB"/>
        </w:rPr>
        <w:t xml:space="preserve"> staff, which is essential for meeting current n</w:t>
      </w:r>
      <w:r w:rsidR="00272AAE">
        <w:rPr>
          <w:rFonts w:ascii="Times New Roman" w:hAnsi="Times New Roman" w:cs="Times New Roman"/>
          <w:sz w:val="22"/>
          <w:szCs w:val="22"/>
          <w:lang w:val="en-GB"/>
        </w:rPr>
        <w:t xml:space="preserve">eeds of the justice apparatus. </w:t>
      </w:r>
      <w:r w:rsidR="00550767" w:rsidRPr="004A29F9">
        <w:rPr>
          <w:rFonts w:ascii="Times New Roman" w:hAnsi="Times New Roman" w:cs="Times New Roman"/>
          <w:sz w:val="22"/>
          <w:szCs w:val="22"/>
          <w:lang w:val="en-GB"/>
        </w:rPr>
        <w:t>I</w:t>
      </w:r>
      <w:r w:rsidR="00272AAE">
        <w:rPr>
          <w:rFonts w:ascii="Times New Roman" w:hAnsi="Times New Roman" w:cs="Times New Roman"/>
          <w:sz w:val="22"/>
          <w:szCs w:val="22"/>
          <w:lang w:val="en-GB"/>
        </w:rPr>
        <w:t>n the longer-</w:t>
      </w:r>
      <w:r w:rsidR="00122A03" w:rsidRPr="004A29F9">
        <w:rPr>
          <w:rFonts w:ascii="Times New Roman" w:hAnsi="Times New Roman" w:cs="Times New Roman"/>
          <w:sz w:val="22"/>
          <w:szCs w:val="22"/>
          <w:lang w:val="en-GB"/>
        </w:rPr>
        <w:t xml:space="preserve">term, </w:t>
      </w:r>
      <w:r w:rsidRPr="004A29F9">
        <w:rPr>
          <w:rFonts w:ascii="Times New Roman" w:hAnsi="Times New Roman" w:cs="Times New Roman"/>
          <w:sz w:val="22"/>
          <w:szCs w:val="22"/>
          <w:lang w:val="en-GB"/>
        </w:rPr>
        <w:t xml:space="preserve">however, </w:t>
      </w:r>
      <w:r w:rsidR="00550767" w:rsidRPr="004A29F9">
        <w:rPr>
          <w:rFonts w:ascii="Times New Roman" w:hAnsi="Times New Roman" w:cs="Times New Roman"/>
          <w:sz w:val="22"/>
          <w:szCs w:val="22"/>
          <w:lang w:val="en-GB"/>
        </w:rPr>
        <w:t xml:space="preserve">Palestinian society will need </w:t>
      </w:r>
      <w:r w:rsidR="00122A03" w:rsidRPr="004A29F9">
        <w:rPr>
          <w:rFonts w:ascii="Times New Roman" w:hAnsi="Times New Roman" w:cs="Times New Roman"/>
          <w:sz w:val="22"/>
          <w:szCs w:val="22"/>
          <w:lang w:val="en-GB"/>
        </w:rPr>
        <w:t xml:space="preserve">well-trained </w:t>
      </w:r>
      <w:r w:rsidRPr="004A29F9">
        <w:rPr>
          <w:rFonts w:ascii="Times New Roman" w:hAnsi="Times New Roman" w:cs="Times New Roman"/>
          <w:sz w:val="22"/>
          <w:szCs w:val="22"/>
          <w:lang w:val="en-GB"/>
        </w:rPr>
        <w:t xml:space="preserve">young </w:t>
      </w:r>
      <w:r w:rsidR="00272AAE">
        <w:rPr>
          <w:rFonts w:ascii="Times New Roman" w:hAnsi="Times New Roman" w:cs="Times New Roman"/>
          <w:sz w:val="22"/>
          <w:szCs w:val="22"/>
          <w:lang w:val="en-GB"/>
        </w:rPr>
        <w:t xml:space="preserve">legal professionals </w:t>
      </w:r>
      <w:r w:rsidR="00122A03" w:rsidRPr="004A29F9">
        <w:rPr>
          <w:rFonts w:ascii="Times New Roman" w:hAnsi="Times New Roman" w:cs="Times New Roman"/>
          <w:sz w:val="22"/>
          <w:szCs w:val="22"/>
          <w:lang w:val="en-GB"/>
        </w:rPr>
        <w:t>to ensure the permane</w:t>
      </w:r>
      <w:r w:rsidR="00272AAE">
        <w:rPr>
          <w:rFonts w:ascii="Times New Roman" w:hAnsi="Times New Roman" w:cs="Times New Roman"/>
          <w:sz w:val="22"/>
          <w:szCs w:val="22"/>
          <w:lang w:val="en-GB"/>
        </w:rPr>
        <w:t>nt effectiveness of the MOJ</w:t>
      </w:r>
      <w:r w:rsidR="00122A03" w:rsidRPr="004A29F9">
        <w:rPr>
          <w:rFonts w:ascii="Times New Roman" w:hAnsi="Times New Roman" w:cs="Times New Roman"/>
          <w:sz w:val="22"/>
          <w:szCs w:val="22"/>
          <w:lang w:val="en-GB"/>
        </w:rPr>
        <w:t xml:space="preserve"> and </w:t>
      </w:r>
      <w:r w:rsidR="00550767" w:rsidRPr="004A29F9">
        <w:rPr>
          <w:rFonts w:ascii="Times New Roman" w:hAnsi="Times New Roman" w:cs="Times New Roman"/>
          <w:sz w:val="22"/>
          <w:szCs w:val="22"/>
          <w:lang w:val="en-GB"/>
        </w:rPr>
        <w:t xml:space="preserve">of </w:t>
      </w:r>
      <w:r w:rsidR="00272AAE">
        <w:rPr>
          <w:rFonts w:ascii="Times New Roman" w:hAnsi="Times New Roman" w:cs="Times New Roman"/>
          <w:sz w:val="22"/>
          <w:szCs w:val="22"/>
          <w:lang w:val="en-GB"/>
        </w:rPr>
        <w:t xml:space="preserve">the justice sector at large. </w:t>
      </w:r>
      <w:r w:rsidR="00122A03" w:rsidRPr="004A29F9">
        <w:rPr>
          <w:rFonts w:ascii="Times New Roman" w:hAnsi="Times New Roman" w:cs="Times New Roman"/>
          <w:sz w:val="22"/>
          <w:szCs w:val="22"/>
          <w:lang w:val="en-GB"/>
        </w:rPr>
        <w:t xml:space="preserve">At present, the </w:t>
      </w:r>
      <w:r w:rsidR="00272AAE">
        <w:rPr>
          <w:rFonts w:ascii="Times New Roman" w:hAnsi="Times New Roman" w:cs="Times New Roman"/>
          <w:sz w:val="22"/>
          <w:szCs w:val="22"/>
          <w:lang w:val="en-GB"/>
        </w:rPr>
        <w:t>MO</w:t>
      </w:r>
      <w:r w:rsidR="00FE43A5" w:rsidRPr="004A29F9">
        <w:rPr>
          <w:rFonts w:ascii="Times New Roman" w:hAnsi="Times New Roman" w:cs="Times New Roman"/>
          <w:sz w:val="22"/>
          <w:szCs w:val="22"/>
          <w:lang w:val="en-GB"/>
        </w:rPr>
        <w:t>J</w:t>
      </w:r>
      <w:r w:rsidR="00122A03" w:rsidRPr="004A29F9">
        <w:rPr>
          <w:rFonts w:ascii="Times New Roman" w:hAnsi="Times New Roman" w:cs="Times New Roman"/>
          <w:sz w:val="22"/>
          <w:szCs w:val="22"/>
          <w:lang w:val="en-GB"/>
        </w:rPr>
        <w:t xml:space="preserve"> and other institutions suffer from a lack of qualified personnel serving in the judiciary</w:t>
      </w:r>
      <w:r w:rsidR="00AB402A" w:rsidRPr="004A29F9">
        <w:rPr>
          <w:rFonts w:ascii="Times New Roman" w:hAnsi="Times New Roman" w:cs="Times New Roman"/>
          <w:sz w:val="22"/>
          <w:szCs w:val="22"/>
          <w:lang w:val="en-GB"/>
        </w:rPr>
        <w:t>, and training program</w:t>
      </w:r>
      <w:r w:rsidR="00272AAE">
        <w:rPr>
          <w:rFonts w:ascii="Times New Roman" w:hAnsi="Times New Roman" w:cs="Times New Roman"/>
          <w:sz w:val="22"/>
          <w:szCs w:val="22"/>
          <w:lang w:val="en-GB"/>
        </w:rPr>
        <w:t>me</w:t>
      </w:r>
      <w:r w:rsidR="00AB402A" w:rsidRPr="004A29F9">
        <w:rPr>
          <w:rFonts w:ascii="Times New Roman" w:hAnsi="Times New Roman" w:cs="Times New Roman"/>
          <w:sz w:val="22"/>
          <w:szCs w:val="22"/>
          <w:lang w:val="en-GB"/>
        </w:rPr>
        <w:t>s have not historically been well coordinated or properly financed.</w:t>
      </w:r>
      <w:r w:rsidR="00122A03" w:rsidRPr="004A29F9">
        <w:rPr>
          <w:rStyle w:val="FootnoteReference"/>
          <w:rFonts w:ascii="Times New Roman" w:hAnsi="Times New Roman" w:cs="Times New Roman"/>
          <w:sz w:val="22"/>
          <w:szCs w:val="22"/>
          <w:lang w:val="en-GB"/>
        </w:rPr>
        <w:footnoteReference w:id="78"/>
      </w:r>
      <w:r w:rsidRPr="004A29F9">
        <w:rPr>
          <w:rFonts w:ascii="Times New Roman" w:hAnsi="Times New Roman" w:cs="Times New Roman"/>
          <w:sz w:val="22"/>
          <w:szCs w:val="22"/>
          <w:lang w:val="en-GB"/>
        </w:rPr>
        <w:t xml:space="preserve">In recognition of this fact, the </w:t>
      </w:r>
      <w:r w:rsidR="00272AAE">
        <w:rPr>
          <w:rFonts w:ascii="Times New Roman" w:hAnsi="Times New Roman" w:cs="Times New Roman"/>
          <w:sz w:val="22"/>
          <w:szCs w:val="22"/>
          <w:lang w:val="en-GB"/>
        </w:rPr>
        <w:t xml:space="preserve">current </w:t>
      </w:r>
      <w:r w:rsidRPr="004A29F9">
        <w:rPr>
          <w:rFonts w:ascii="Times New Roman" w:hAnsi="Times New Roman" w:cs="Times New Roman"/>
          <w:sz w:val="22"/>
          <w:szCs w:val="22"/>
          <w:lang w:val="en-GB"/>
        </w:rPr>
        <w:t xml:space="preserve">National Development Plan calls for </w:t>
      </w:r>
      <w:r w:rsidR="001C10C5" w:rsidRPr="004A29F9">
        <w:rPr>
          <w:rFonts w:ascii="Times New Roman" w:hAnsi="Times New Roman" w:cs="Times New Roman"/>
          <w:sz w:val="22"/>
          <w:szCs w:val="22"/>
          <w:lang w:val="en-GB"/>
        </w:rPr>
        <w:t xml:space="preserve">a consolidated strategy to </w:t>
      </w:r>
      <w:r w:rsidRPr="004A29F9">
        <w:rPr>
          <w:rFonts w:ascii="Times New Roman" w:hAnsi="Times New Roman" w:cs="Times New Roman"/>
          <w:sz w:val="22"/>
          <w:szCs w:val="22"/>
          <w:lang w:val="en-GB"/>
        </w:rPr>
        <w:t>improve</w:t>
      </w:r>
      <w:r w:rsidR="001C10C5" w:rsidRPr="004A29F9">
        <w:rPr>
          <w:rFonts w:ascii="Times New Roman" w:hAnsi="Times New Roman" w:cs="Times New Roman"/>
          <w:sz w:val="22"/>
          <w:szCs w:val="22"/>
          <w:lang w:val="en-GB"/>
        </w:rPr>
        <w:t xml:space="preserve"> the technical skills of the judicial and legal professions, including the introduct</w:t>
      </w:r>
      <w:r w:rsidR="00272AAE">
        <w:rPr>
          <w:rFonts w:ascii="Times New Roman" w:hAnsi="Times New Roman" w:cs="Times New Roman"/>
          <w:sz w:val="22"/>
          <w:szCs w:val="22"/>
          <w:lang w:val="en-GB"/>
        </w:rPr>
        <w:t>ion of more formal and specialis</w:t>
      </w:r>
      <w:r w:rsidR="001C10C5" w:rsidRPr="004A29F9">
        <w:rPr>
          <w:rFonts w:ascii="Times New Roman" w:hAnsi="Times New Roman" w:cs="Times New Roman"/>
          <w:sz w:val="22"/>
          <w:szCs w:val="22"/>
          <w:lang w:val="en-GB"/>
        </w:rPr>
        <w:t>ed training requirements.</w:t>
      </w:r>
      <w:r w:rsidR="001C10C5" w:rsidRPr="004A29F9">
        <w:rPr>
          <w:rStyle w:val="FootnoteReference"/>
          <w:rFonts w:ascii="Times New Roman" w:hAnsi="Times New Roman" w:cs="Times New Roman"/>
          <w:sz w:val="22"/>
          <w:szCs w:val="22"/>
          <w:lang w:val="en-GB"/>
        </w:rPr>
        <w:footnoteReference w:id="79"/>
      </w:r>
    </w:p>
    <w:p w:rsidR="00272AAE" w:rsidRPr="004A29F9" w:rsidRDefault="00272AAE" w:rsidP="00FB6759">
      <w:pPr>
        <w:spacing w:after="0" w:line="240" w:lineRule="auto"/>
        <w:jc w:val="both"/>
        <w:rPr>
          <w:rFonts w:ascii="Times New Roman" w:hAnsi="Times New Roman" w:cs="Times New Roman"/>
          <w:sz w:val="22"/>
          <w:szCs w:val="22"/>
          <w:lang w:val="en-GB"/>
        </w:rPr>
      </w:pPr>
    </w:p>
    <w:p w:rsidR="001914BE" w:rsidRPr="004A29F9" w:rsidRDefault="00762AF9"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In order to meet these important long-term needs, t</w:t>
      </w:r>
      <w:r w:rsidR="006E50F5" w:rsidRPr="004A29F9">
        <w:rPr>
          <w:rFonts w:ascii="Times New Roman" w:hAnsi="Times New Roman" w:cs="Times New Roman"/>
          <w:sz w:val="22"/>
          <w:szCs w:val="22"/>
          <w:lang w:val="en-GB"/>
        </w:rPr>
        <w:t xml:space="preserve">he </w:t>
      </w:r>
      <w:r w:rsidR="00272AAE">
        <w:rPr>
          <w:rFonts w:ascii="Times New Roman" w:hAnsi="Times New Roman" w:cs="Times New Roman"/>
          <w:sz w:val="22"/>
          <w:szCs w:val="22"/>
          <w:lang w:val="en-GB"/>
        </w:rPr>
        <w:t>MO</w:t>
      </w:r>
      <w:r w:rsidR="00FE43A5" w:rsidRPr="004A29F9">
        <w:rPr>
          <w:rFonts w:ascii="Times New Roman" w:hAnsi="Times New Roman" w:cs="Times New Roman"/>
          <w:sz w:val="22"/>
          <w:szCs w:val="22"/>
          <w:lang w:val="en-GB"/>
        </w:rPr>
        <w:t>J</w:t>
      </w:r>
      <w:r w:rsidR="006E50F5" w:rsidRPr="004A29F9">
        <w:rPr>
          <w:rFonts w:ascii="Times New Roman" w:hAnsi="Times New Roman" w:cs="Times New Roman"/>
          <w:sz w:val="22"/>
          <w:szCs w:val="22"/>
          <w:lang w:val="en-GB"/>
        </w:rPr>
        <w:t xml:space="preserve"> launched its </w:t>
      </w:r>
      <w:r w:rsidRPr="004A29F9">
        <w:rPr>
          <w:rFonts w:ascii="Times New Roman" w:hAnsi="Times New Roman" w:cs="Times New Roman"/>
          <w:sz w:val="22"/>
          <w:szCs w:val="22"/>
          <w:lang w:val="en-GB"/>
        </w:rPr>
        <w:t>“</w:t>
      </w:r>
      <w:r w:rsidR="006E50F5" w:rsidRPr="004A29F9">
        <w:rPr>
          <w:rFonts w:ascii="Times New Roman" w:hAnsi="Times New Roman" w:cs="Times New Roman"/>
          <w:sz w:val="22"/>
          <w:szCs w:val="22"/>
          <w:lang w:val="en-GB"/>
        </w:rPr>
        <w:t>Justice for the Future</w:t>
      </w:r>
      <w:r w:rsidRPr="004A29F9">
        <w:rPr>
          <w:rFonts w:ascii="Times New Roman" w:hAnsi="Times New Roman" w:cs="Times New Roman"/>
          <w:sz w:val="22"/>
          <w:szCs w:val="22"/>
          <w:lang w:val="en-GB"/>
        </w:rPr>
        <w:t>”</w:t>
      </w:r>
      <w:r w:rsidR="00272AAE">
        <w:rPr>
          <w:rFonts w:ascii="Times New Roman" w:hAnsi="Times New Roman" w:cs="Times New Roman"/>
          <w:sz w:val="22"/>
          <w:szCs w:val="22"/>
          <w:lang w:val="en-GB"/>
        </w:rPr>
        <w:t xml:space="preserve"> project, an initiative</w:t>
      </w:r>
      <w:r w:rsidR="00FD3C19">
        <w:rPr>
          <w:rFonts w:ascii="Times New Roman" w:hAnsi="Times New Roman" w:cs="Times New Roman"/>
          <w:sz w:val="22"/>
          <w:szCs w:val="22"/>
          <w:lang w:val="en-GB"/>
        </w:rPr>
        <w:t xml:space="preserve"> </w:t>
      </w:r>
      <w:r w:rsidRPr="004A29F9">
        <w:rPr>
          <w:rFonts w:ascii="Times New Roman" w:hAnsi="Times New Roman" w:cs="Times New Roman"/>
          <w:sz w:val="22"/>
          <w:szCs w:val="22"/>
          <w:lang w:val="en-GB"/>
        </w:rPr>
        <w:t>aimed at fostering the next generation of high-quality legal professionals through academic scho</w:t>
      </w:r>
      <w:r w:rsidR="00272AAE">
        <w:rPr>
          <w:rFonts w:ascii="Times New Roman" w:hAnsi="Times New Roman" w:cs="Times New Roman"/>
          <w:sz w:val="22"/>
          <w:szCs w:val="22"/>
          <w:lang w:val="en-GB"/>
        </w:rPr>
        <w:t>larships, professional training</w:t>
      </w:r>
      <w:r w:rsidRPr="004A29F9">
        <w:rPr>
          <w:rFonts w:ascii="Times New Roman" w:hAnsi="Times New Roman" w:cs="Times New Roman"/>
          <w:sz w:val="22"/>
          <w:szCs w:val="22"/>
          <w:lang w:val="en-GB"/>
        </w:rPr>
        <w:t xml:space="preserve"> and </w:t>
      </w:r>
      <w:r w:rsidR="006E50F5" w:rsidRPr="004A29F9">
        <w:rPr>
          <w:rFonts w:ascii="Times New Roman" w:hAnsi="Times New Roman" w:cs="Times New Roman"/>
          <w:sz w:val="22"/>
          <w:szCs w:val="22"/>
          <w:lang w:val="en-GB"/>
        </w:rPr>
        <w:t>legal internships</w:t>
      </w:r>
      <w:r w:rsidR="00272AAE">
        <w:rPr>
          <w:rFonts w:ascii="Times New Roman" w:hAnsi="Times New Roman" w:cs="Times New Roman"/>
          <w:sz w:val="22"/>
          <w:szCs w:val="22"/>
          <w:lang w:val="en-GB"/>
        </w:rPr>
        <w:t>.</w:t>
      </w:r>
      <w:r w:rsidR="00FD3C19">
        <w:rPr>
          <w:rFonts w:ascii="Times New Roman" w:hAnsi="Times New Roman" w:cs="Times New Roman"/>
          <w:sz w:val="22"/>
          <w:szCs w:val="22"/>
          <w:lang w:val="en-GB"/>
        </w:rPr>
        <w:t xml:space="preserve"> </w:t>
      </w:r>
      <w:r w:rsidR="00272AAE">
        <w:rPr>
          <w:rFonts w:ascii="Times New Roman" w:hAnsi="Times New Roman" w:cs="Times New Roman"/>
          <w:sz w:val="22"/>
          <w:szCs w:val="22"/>
          <w:lang w:val="en-GB"/>
        </w:rPr>
        <w:t>As part of the first batch, 30 students from disadvantaged socioeconomic groups that are currently underrepresented in the legal profession participated in the project.</w:t>
      </w:r>
      <w:r w:rsidR="006E50F5" w:rsidRPr="004A29F9">
        <w:rPr>
          <w:rStyle w:val="FootnoteReference"/>
          <w:rFonts w:ascii="Times New Roman" w:hAnsi="Times New Roman" w:cs="Times New Roman"/>
          <w:sz w:val="22"/>
          <w:szCs w:val="22"/>
          <w:lang w:val="en-GB"/>
        </w:rPr>
        <w:footnoteReference w:id="80"/>
      </w:r>
      <w:r w:rsidR="00272AAE">
        <w:rPr>
          <w:rFonts w:ascii="Times New Roman" w:hAnsi="Times New Roman" w:cs="Times New Roman"/>
          <w:sz w:val="22"/>
          <w:szCs w:val="22"/>
          <w:lang w:val="en-GB"/>
        </w:rPr>
        <w:t xml:space="preserve"> While this project</w:t>
      </w:r>
      <w:r w:rsidRPr="004A29F9">
        <w:rPr>
          <w:rFonts w:ascii="Times New Roman" w:hAnsi="Times New Roman" w:cs="Times New Roman"/>
          <w:sz w:val="22"/>
          <w:szCs w:val="22"/>
          <w:lang w:val="en-GB"/>
        </w:rPr>
        <w:t xml:space="preserve"> was launched in the West Bank (with students receiving internship placement directly within justice</w:t>
      </w:r>
      <w:r w:rsidR="00272AAE">
        <w:rPr>
          <w:rFonts w:ascii="Times New Roman" w:hAnsi="Times New Roman" w:cs="Times New Roman"/>
          <w:sz w:val="22"/>
          <w:szCs w:val="22"/>
          <w:lang w:val="en-GB"/>
        </w:rPr>
        <w:t xml:space="preserve"> institutions there), plans are</w:t>
      </w:r>
      <w:r w:rsidRPr="004A29F9">
        <w:rPr>
          <w:rFonts w:ascii="Times New Roman" w:hAnsi="Times New Roman" w:cs="Times New Roman"/>
          <w:sz w:val="22"/>
          <w:szCs w:val="22"/>
          <w:lang w:val="en-GB"/>
        </w:rPr>
        <w:t xml:space="preserve"> in place to launch a similar p</w:t>
      </w:r>
      <w:r w:rsidR="00272AAE">
        <w:rPr>
          <w:rFonts w:ascii="Times New Roman" w:hAnsi="Times New Roman" w:cs="Times New Roman"/>
          <w:sz w:val="22"/>
          <w:szCs w:val="22"/>
          <w:lang w:val="en-GB"/>
        </w:rPr>
        <w:t>roject in the Gaza Strip</w:t>
      </w:r>
      <w:r w:rsidRPr="004A29F9">
        <w:rPr>
          <w:rFonts w:ascii="Times New Roman" w:hAnsi="Times New Roman" w:cs="Times New Roman"/>
          <w:sz w:val="22"/>
          <w:szCs w:val="22"/>
          <w:lang w:val="en-GB"/>
        </w:rPr>
        <w:t>.</w:t>
      </w:r>
      <w:r w:rsidRPr="004A29F9">
        <w:rPr>
          <w:rStyle w:val="FootnoteReference"/>
          <w:rFonts w:ascii="Times New Roman" w:hAnsi="Times New Roman" w:cs="Times New Roman"/>
          <w:sz w:val="22"/>
          <w:szCs w:val="22"/>
          <w:lang w:val="en-GB"/>
        </w:rPr>
        <w:footnoteReference w:id="81"/>
      </w:r>
      <w:r w:rsidR="00C225E3" w:rsidRPr="004A29F9">
        <w:rPr>
          <w:rFonts w:ascii="Times New Roman" w:hAnsi="Times New Roman" w:cs="Times New Roman"/>
          <w:sz w:val="22"/>
          <w:szCs w:val="22"/>
          <w:lang w:val="en-GB"/>
        </w:rPr>
        <w:t xml:space="preserve">This is significant, when one considers that at the </w:t>
      </w:r>
      <w:r w:rsidR="00272AAE">
        <w:rPr>
          <w:rFonts w:ascii="Times New Roman" w:hAnsi="Times New Roman" w:cs="Times New Roman"/>
          <w:sz w:val="22"/>
          <w:szCs w:val="22"/>
          <w:lang w:val="en-GB"/>
        </w:rPr>
        <w:t>outset of the p</w:t>
      </w:r>
      <w:r w:rsidR="00C225E3" w:rsidRPr="004A29F9">
        <w:rPr>
          <w:rFonts w:ascii="Times New Roman" w:hAnsi="Times New Roman" w:cs="Times New Roman"/>
          <w:sz w:val="22"/>
          <w:szCs w:val="22"/>
          <w:lang w:val="en-GB"/>
        </w:rPr>
        <w:t xml:space="preserve">rogramme, the </w:t>
      </w:r>
      <w:r w:rsidR="00BB5BC4" w:rsidRPr="004A29F9">
        <w:rPr>
          <w:rFonts w:ascii="Times New Roman" w:hAnsi="Times New Roman" w:cs="Times New Roman"/>
          <w:sz w:val="22"/>
          <w:szCs w:val="22"/>
          <w:lang w:val="en-GB"/>
        </w:rPr>
        <w:t xml:space="preserve">HJC and </w:t>
      </w:r>
      <w:r w:rsidR="00272AAE">
        <w:rPr>
          <w:rFonts w:ascii="Times New Roman" w:hAnsi="Times New Roman" w:cs="Times New Roman"/>
          <w:sz w:val="22"/>
          <w:szCs w:val="22"/>
          <w:lang w:val="en-GB"/>
        </w:rPr>
        <w:t xml:space="preserve">the </w:t>
      </w:r>
      <w:r w:rsidR="00BB5BC4" w:rsidRPr="004A29F9">
        <w:rPr>
          <w:rFonts w:ascii="Times New Roman" w:hAnsi="Times New Roman" w:cs="Times New Roman"/>
          <w:sz w:val="22"/>
          <w:szCs w:val="22"/>
          <w:lang w:val="en-GB"/>
        </w:rPr>
        <w:t>AGO</w:t>
      </w:r>
      <w:r w:rsidR="00C225E3" w:rsidRPr="004A29F9">
        <w:rPr>
          <w:rFonts w:ascii="Times New Roman" w:hAnsi="Times New Roman" w:cs="Times New Roman"/>
          <w:sz w:val="22"/>
          <w:szCs w:val="22"/>
          <w:lang w:val="en-GB"/>
        </w:rPr>
        <w:t xml:space="preserve"> had </w:t>
      </w:r>
      <w:r w:rsidR="00155776" w:rsidRPr="004A29F9">
        <w:rPr>
          <w:rFonts w:ascii="Times New Roman" w:hAnsi="Times New Roman" w:cs="Times New Roman"/>
          <w:sz w:val="22"/>
          <w:szCs w:val="22"/>
          <w:lang w:val="en-GB"/>
        </w:rPr>
        <w:t xml:space="preserve">previously </w:t>
      </w:r>
      <w:r w:rsidR="00C225E3" w:rsidRPr="004A29F9">
        <w:rPr>
          <w:rFonts w:ascii="Times New Roman" w:hAnsi="Times New Roman" w:cs="Times New Roman"/>
          <w:sz w:val="22"/>
          <w:szCs w:val="22"/>
          <w:lang w:val="en-GB"/>
        </w:rPr>
        <w:t>been resistant to the idea of accepting interns</w:t>
      </w:r>
      <w:r w:rsidR="00272AAE">
        <w:rPr>
          <w:rFonts w:ascii="Times New Roman" w:hAnsi="Times New Roman" w:cs="Times New Roman"/>
          <w:sz w:val="22"/>
          <w:szCs w:val="22"/>
          <w:lang w:val="en-GB"/>
        </w:rPr>
        <w:t xml:space="preserve"> in connection with a UNDP supported MO</w:t>
      </w:r>
      <w:r w:rsidR="00155776" w:rsidRPr="004A29F9">
        <w:rPr>
          <w:rFonts w:ascii="Times New Roman" w:hAnsi="Times New Roman" w:cs="Times New Roman"/>
          <w:sz w:val="22"/>
          <w:szCs w:val="22"/>
          <w:lang w:val="en-GB"/>
        </w:rPr>
        <w:t>J project</w:t>
      </w:r>
      <w:r w:rsidR="00272AAE">
        <w:rPr>
          <w:rFonts w:ascii="Times New Roman" w:hAnsi="Times New Roman" w:cs="Times New Roman"/>
          <w:sz w:val="22"/>
          <w:szCs w:val="22"/>
          <w:lang w:val="en-GB"/>
        </w:rPr>
        <w:t xml:space="preserve">. </w:t>
      </w:r>
      <w:r w:rsidR="00C225E3" w:rsidRPr="004A29F9">
        <w:rPr>
          <w:rFonts w:ascii="Times New Roman" w:hAnsi="Times New Roman" w:cs="Times New Roman"/>
          <w:sz w:val="22"/>
          <w:szCs w:val="22"/>
          <w:lang w:val="en-GB"/>
        </w:rPr>
        <w:t>UNDP sec</w:t>
      </w:r>
      <w:r w:rsidR="00272AAE">
        <w:rPr>
          <w:rFonts w:ascii="Times New Roman" w:hAnsi="Times New Roman" w:cs="Times New Roman"/>
          <w:sz w:val="22"/>
          <w:szCs w:val="22"/>
          <w:lang w:val="en-GB"/>
        </w:rPr>
        <w:t>onded experts at the HJC and the AGO</w:t>
      </w:r>
      <w:r w:rsidR="00C225E3" w:rsidRPr="004A29F9">
        <w:rPr>
          <w:rFonts w:ascii="Times New Roman" w:hAnsi="Times New Roman" w:cs="Times New Roman"/>
          <w:sz w:val="22"/>
          <w:szCs w:val="22"/>
          <w:lang w:val="en-GB"/>
        </w:rPr>
        <w:t xml:space="preserve"> played a key role in facilitating this process.</w:t>
      </w:r>
    </w:p>
    <w:p w:rsidR="00272AAE" w:rsidRDefault="00272AAE" w:rsidP="00FB6759">
      <w:pPr>
        <w:spacing w:after="0" w:line="240" w:lineRule="auto"/>
        <w:jc w:val="both"/>
        <w:rPr>
          <w:rFonts w:ascii="Times New Roman" w:hAnsi="Times New Roman" w:cs="Times New Roman"/>
          <w:sz w:val="22"/>
          <w:szCs w:val="22"/>
          <w:lang w:val="en-GB"/>
        </w:rPr>
      </w:pPr>
    </w:p>
    <w:p w:rsidR="00BA358D" w:rsidRPr="004A29F9" w:rsidRDefault="00272AAE"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In a similar vein, </w:t>
      </w:r>
      <w:r w:rsidR="00BA358D" w:rsidRPr="004A29F9">
        <w:rPr>
          <w:rFonts w:ascii="Times New Roman" w:hAnsi="Times New Roman" w:cs="Times New Roman"/>
          <w:sz w:val="22"/>
          <w:szCs w:val="22"/>
          <w:lang w:val="en-GB"/>
        </w:rPr>
        <w:t xml:space="preserve">UNDP also supported </w:t>
      </w:r>
      <w:r w:rsidR="00BB5BC4" w:rsidRPr="004A29F9">
        <w:rPr>
          <w:rFonts w:ascii="Times New Roman" w:hAnsi="Times New Roman" w:cs="Times New Roman"/>
          <w:sz w:val="22"/>
          <w:szCs w:val="22"/>
          <w:lang w:val="en-GB"/>
        </w:rPr>
        <w:t>three</w:t>
      </w:r>
      <w:r w:rsidR="00BA358D" w:rsidRPr="004A29F9">
        <w:rPr>
          <w:rFonts w:ascii="Times New Roman" w:hAnsi="Times New Roman" w:cs="Times New Roman"/>
          <w:sz w:val="22"/>
          <w:szCs w:val="22"/>
          <w:lang w:val="en-GB"/>
        </w:rPr>
        <w:t xml:space="preserve"> universities’ efforts to place law</w:t>
      </w:r>
      <w:r>
        <w:rPr>
          <w:rFonts w:ascii="Times New Roman" w:hAnsi="Times New Roman" w:cs="Times New Roman"/>
          <w:sz w:val="22"/>
          <w:szCs w:val="22"/>
          <w:lang w:val="en-GB"/>
        </w:rPr>
        <w:t xml:space="preserve"> students with legal aid organis</w:t>
      </w:r>
      <w:r w:rsidR="00BA358D" w:rsidRPr="004A29F9">
        <w:rPr>
          <w:rFonts w:ascii="Times New Roman" w:hAnsi="Times New Roman" w:cs="Times New Roman"/>
          <w:sz w:val="22"/>
          <w:szCs w:val="22"/>
          <w:lang w:val="en-GB"/>
        </w:rPr>
        <w:t xml:space="preserve">ations in disadvantaged communities, enabling the students to obtain valuable practical experience while learning about the specific needs of the poor and </w:t>
      </w:r>
      <w:r>
        <w:rPr>
          <w:rFonts w:ascii="Times New Roman" w:hAnsi="Times New Roman" w:cs="Times New Roman"/>
          <w:sz w:val="22"/>
          <w:szCs w:val="22"/>
          <w:lang w:val="en-GB"/>
        </w:rPr>
        <w:t>marginalis</w:t>
      </w:r>
      <w:r w:rsidR="005F0B0E" w:rsidRPr="004A29F9">
        <w:rPr>
          <w:rFonts w:ascii="Times New Roman" w:hAnsi="Times New Roman" w:cs="Times New Roman"/>
          <w:sz w:val="22"/>
          <w:szCs w:val="22"/>
          <w:lang w:val="en-GB"/>
        </w:rPr>
        <w:t>ed</w:t>
      </w:r>
      <w:r w:rsidR="00BA358D" w:rsidRPr="004A29F9">
        <w:rPr>
          <w:rFonts w:ascii="Times New Roman" w:hAnsi="Times New Roman" w:cs="Times New Roman"/>
          <w:sz w:val="22"/>
          <w:szCs w:val="22"/>
          <w:lang w:val="en-GB"/>
        </w:rPr>
        <w:t>, and ways in which the law can be applied to alleviate the deprivations they face.</w:t>
      </w:r>
      <w:r w:rsidR="00BA358D" w:rsidRPr="004A29F9">
        <w:rPr>
          <w:rStyle w:val="FootnoteReference"/>
          <w:rFonts w:ascii="Times New Roman" w:hAnsi="Times New Roman" w:cs="Times New Roman"/>
          <w:sz w:val="22"/>
          <w:szCs w:val="22"/>
          <w:lang w:val="en-GB"/>
        </w:rPr>
        <w:footnoteReference w:id="82"/>
      </w:r>
    </w:p>
    <w:p w:rsidR="00272AAE" w:rsidRDefault="00272AAE" w:rsidP="00FB6759">
      <w:pPr>
        <w:spacing w:after="0" w:line="240" w:lineRule="auto"/>
        <w:jc w:val="both"/>
        <w:rPr>
          <w:rFonts w:ascii="Times New Roman" w:hAnsi="Times New Roman" w:cs="Times New Roman"/>
          <w:sz w:val="22"/>
          <w:szCs w:val="22"/>
          <w:lang w:val="en-GB"/>
        </w:rPr>
      </w:pPr>
    </w:p>
    <w:p w:rsidR="00C225E3" w:rsidRPr="004A29F9" w:rsidRDefault="00272AAE"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In conjunction with the e</w:t>
      </w:r>
      <w:r w:rsidR="00C225E3" w:rsidRPr="004A29F9">
        <w:rPr>
          <w:rFonts w:ascii="Times New Roman" w:hAnsi="Times New Roman" w:cs="Times New Roman"/>
          <w:sz w:val="22"/>
          <w:szCs w:val="22"/>
          <w:lang w:val="en-GB"/>
        </w:rPr>
        <w:t xml:space="preserve">valuation, UNDP assembled a focus group discussion involving 16 beneficiaries of the </w:t>
      </w:r>
      <w:r>
        <w:rPr>
          <w:rFonts w:ascii="Times New Roman" w:hAnsi="Times New Roman" w:cs="Times New Roman"/>
          <w:sz w:val="22"/>
          <w:szCs w:val="22"/>
          <w:lang w:val="en-GB"/>
        </w:rPr>
        <w:t>“</w:t>
      </w:r>
      <w:r w:rsidR="00C225E3" w:rsidRPr="004A29F9">
        <w:rPr>
          <w:rFonts w:ascii="Times New Roman" w:hAnsi="Times New Roman" w:cs="Times New Roman"/>
          <w:sz w:val="22"/>
          <w:szCs w:val="22"/>
          <w:lang w:val="en-GB"/>
        </w:rPr>
        <w:t>Justice for the Future</w:t>
      </w:r>
      <w:r>
        <w:rPr>
          <w:rFonts w:ascii="Times New Roman" w:hAnsi="Times New Roman" w:cs="Times New Roman"/>
          <w:sz w:val="22"/>
          <w:szCs w:val="22"/>
          <w:lang w:val="en-GB"/>
        </w:rPr>
        <w:t>” project</w:t>
      </w:r>
      <w:r w:rsidR="00C225E3" w:rsidRPr="004A29F9">
        <w:rPr>
          <w:rFonts w:ascii="Times New Roman" w:hAnsi="Times New Roman" w:cs="Times New Roman"/>
          <w:sz w:val="22"/>
          <w:szCs w:val="22"/>
          <w:lang w:val="en-GB"/>
        </w:rPr>
        <w:t xml:space="preserve"> with the purpose of evaluating the initiative from the students’ perspective; discussing how the students </w:t>
      </w:r>
      <w:r>
        <w:rPr>
          <w:rFonts w:ascii="Times New Roman" w:hAnsi="Times New Roman" w:cs="Times New Roman"/>
          <w:sz w:val="22"/>
          <w:szCs w:val="22"/>
          <w:lang w:val="en-GB"/>
        </w:rPr>
        <w:t>had benefited from the project and how the project could be improved (out of the participants 5</w:t>
      </w:r>
      <w:r w:rsidR="00C225E3" w:rsidRPr="004A29F9">
        <w:rPr>
          <w:rFonts w:ascii="Times New Roman" w:hAnsi="Times New Roman" w:cs="Times New Roman"/>
          <w:sz w:val="22"/>
          <w:szCs w:val="22"/>
          <w:lang w:val="en-GB"/>
        </w:rPr>
        <w:t xml:space="preserve"> c</w:t>
      </w:r>
      <w:r>
        <w:rPr>
          <w:rFonts w:ascii="Times New Roman" w:hAnsi="Times New Roman" w:cs="Times New Roman"/>
          <w:sz w:val="22"/>
          <w:szCs w:val="22"/>
          <w:lang w:val="en-GB"/>
        </w:rPr>
        <w:t>ompleted internships with the MO</w:t>
      </w:r>
      <w:r w:rsidR="00C225E3" w:rsidRPr="004A29F9">
        <w:rPr>
          <w:rFonts w:ascii="Times New Roman" w:hAnsi="Times New Roman" w:cs="Times New Roman"/>
          <w:sz w:val="22"/>
          <w:szCs w:val="22"/>
          <w:lang w:val="en-GB"/>
        </w:rPr>
        <w:t>J, 6 at the AGO including district offices and the rest at the HJC i</w:t>
      </w:r>
      <w:r>
        <w:rPr>
          <w:rFonts w:ascii="Times New Roman" w:hAnsi="Times New Roman" w:cs="Times New Roman"/>
          <w:sz w:val="22"/>
          <w:szCs w:val="22"/>
          <w:lang w:val="en-GB"/>
        </w:rPr>
        <w:t>ncluding in the district courts</w:t>
      </w:r>
      <w:r w:rsidR="00C225E3" w:rsidRPr="004A29F9">
        <w:rPr>
          <w:rFonts w:ascii="Times New Roman" w:hAnsi="Times New Roman" w:cs="Times New Roman"/>
          <w:sz w:val="22"/>
          <w:szCs w:val="22"/>
          <w:lang w:val="en-GB"/>
        </w:rPr>
        <w:t>)</w:t>
      </w:r>
      <w:r w:rsidR="008217CB" w:rsidRPr="004A29F9">
        <w:rPr>
          <w:rFonts w:ascii="Times New Roman" w:hAnsi="Times New Roman" w:cs="Times New Roman"/>
          <w:sz w:val="22"/>
          <w:szCs w:val="22"/>
          <w:lang w:val="en-GB"/>
        </w:rPr>
        <w:t xml:space="preserve">. </w:t>
      </w:r>
      <w:r w:rsidR="00C225E3" w:rsidRPr="004A29F9">
        <w:rPr>
          <w:rFonts w:ascii="Times New Roman" w:hAnsi="Times New Roman" w:cs="Times New Roman"/>
          <w:sz w:val="22"/>
          <w:szCs w:val="22"/>
          <w:lang w:val="en-GB"/>
        </w:rPr>
        <w:t>Overall, participants strong</w:t>
      </w:r>
      <w:r>
        <w:rPr>
          <w:rFonts w:ascii="Times New Roman" w:hAnsi="Times New Roman" w:cs="Times New Roman"/>
          <w:sz w:val="22"/>
          <w:szCs w:val="22"/>
          <w:lang w:val="en-GB"/>
        </w:rPr>
        <w:t>ly agreed that the project</w:t>
      </w:r>
      <w:r w:rsidR="00C225E3" w:rsidRPr="004A29F9">
        <w:rPr>
          <w:rFonts w:ascii="Times New Roman" w:hAnsi="Times New Roman" w:cs="Times New Roman"/>
          <w:sz w:val="22"/>
          <w:szCs w:val="22"/>
          <w:lang w:val="en-GB"/>
        </w:rPr>
        <w:t xml:space="preserve"> had enhanced their knowledg</w:t>
      </w:r>
      <w:r>
        <w:rPr>
          <w:rFonts w:ascii="Times New Roman" w:hAnsi="Times New Roman" w:cs="Times New Roman"/>
          <w:sz w:val="22"/>
          <w:szCs w:val="22"/>
          <w:lang w:val="en-GB"/>
        </w:rPr>
        <w:t>e and understanding of how the three</w:t>
      </w:r>
      <w:r w:rsidR="00C225E3" w:rsidRPr="004A29F9">
        <w:rPr>
          <w:rFonts w:ascii="Times New Roman" w:hAnsi="Times New Roman" w:cs="Times New Roman"/>
          <w:sz w:val="22"/>
          <w:szCs w:val="22"/>
          <w:lang w:val="en-GB"/>
        </w:rPr>
        <w:t xml:space="preserve"> core justice institutions work. The internships provided an opportunity to obtain valuable experience within a justice institution.</w:t>
      </w:r>
    </w:p>
    <w:p w:rsidR="00272AAE" w:rsidRDefault="00272AAE" w:rsidP="00FB6759">
      <w:pPr>
        <w:spacing w:after="0" w:line="240" w:lineRule="auto"/>
        <w:jc w:val="both"/>
        <w:rPr>
          <w:rFonts w:ascii="Times New Roman" w:hAnsi="Times New Roman" w:cs="Times New Roman"/>
          <w:sz w:val="22"/>
          <w:szCs w:val="22"/>
          <w:lang w:val="en-GB"/>
        </w:rPr>
      </w:pPr>
    </w:p>
    <w:p w:rsidR="00C225E3" w:rsidRPr="004A29F9" w:rsidRDefault="00C225E3"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The practical training had the largest impact in increasing the awareness of students in relation to the functions and work of the core justice institutions. A key strength of the training was that it matched practical with theoretical aspects. </w:t>
      </w:r>
      <w:r w:rsidR="00741913">
        <w:rPr>
          <w:rFonts w:ascii="Times New Roman" w:hAnsi="Times New Roman" w:cs="Times New Roman"/>
          <w:sz w:val="22"/>
          <w:szCs w:val="22"/>
          <w:lang w:val="en-GB"/>
        </w:rPr>
        <w:t xml:space="preserve">The </w:t>
      </w:r>
      <w:r w:rsidRPr="004A29F9">
        <w:rPr>
          <w:rFonts w:ascii="Times New Roman" w:hAnsi="Times New Roman" w:cs="Times New Roman"/>
          <w:sz w:val="22"/>
          <w:szCs w:val="22"/>
          <w:lang w:val="en-GB"/>
        </w:rPr>
        <w:t>training also contributed to developing legal and a</w:t>
      </w:r>
      <w:r w:rsidR="00741913">
        <w:rPr>
          <w:rFonts w:ascii="Times New Roman" w:hAnsi="Times New Roman" w:cs="Times New Roman"/>
          <w:sz w:val="22"/>
          <w:szCs w:val="22"/>
          <w:lang w:val="en-GB"/>
        </w:rPr>
        <w:t xml:space="preserve">dministrative skills </w:t>
      </w:r>
      <w:r w:rsidRPr="004A29F9">
        <w:rPr>
          <w:rFonts w:ascii="Times New Roman" w:hAnsi="Times New Roman" w:cs="Times New Roman"/>
          <w:sz w:val="22"/>
          <w:szCs w:val="22"/>
          <w:lang w:val="en-GB"/>
        </w:rPr>
        <w:t>that equipped the s</w:t>
      </w:r>
      <w:r w:rsidR="00741913">
        <w:rPr>
          <w:rFonts w:ascii="Times New Roman" w:hAnsi="Times New Roman" w:cs="Times New Roman"/>
          <w:sz w:val="22"/>
          <w:szCs w:val="22"/>
          <w:lang w:val="en-GB"/>
        </w:rPr>
        <w:t xml:space="preserve">tudents for their internships. </w:t>
      </w:r>
      <w:r w:rsidRPr="004A29F9">
        <w:rPr>
          <w:rFonts w:ascii="Times New Roman" w:hAnsi="Times New Roman" w:cs="Times New Roman"/>
          <w:sz w:val="22"/>
          <w:szCs w:val="22"/>
          <w:lang w:val="en-GB"/>
        </w:rPr>
        <w:t>Overall, the courses provided information that was very relevant and specific to the realities of work</w:t>
      </w:r>
      <w:r w:rsidR="00741913">
        <w:rPr>
          <w:rFonts w:ascii="Times New Roman" w:hAnsi="Times New Roman" w:cs="Times New Roman"/>
          <w:sz w:val="22"/>
          <w:szCs w:val="22"/>
          <w:lang w:val="en-GB"/>
        </w:rPr>
        <w:t>ing within justice institutions;</w:t>
      </w:r>
      <w:r w:rsidRPr="004A29F9">
        <w:rPr>
          <w:rFonts w:ascii="Times New Roman" w:hAnsi="Times New Roman" w:cs="Times New Roman"/>
          <w:sz w:val="22"/>
          <w:szCs w:val="22"/>
          <w:lang w:val="en-GB"/>
        </w:rPr>
        <w:t xml:space="preserve"> thus they were felt to be o</w:t>
      </w:r>
      <w:r w:rsidR="00741913">
        <w:rPr>
          <w:rFonts w:ascii="Times New Roman" w:hAnsi="Times New Roman" w:cs="Times New Roman"/>
          <w:sz w:val="22"/>
          <w:szCs w:val="22"/>
          <w:lang w:val="en-GB"/>
        </w:rPr>
        <w:t>f real benefit to the students.</w:t>
      </w:r>
    </w:p>
    <w:p w:rsidR="00272AAE" w:rsidRDefault="00272AAE" w:rsidP="00FB6759">
      <w:pPr>
        <w:spacing w:after="0" w:line="240" w:lineRule="auto"/>
        <w:jc w:val="both"/>
        <w:rPr>
          <w:rFonts w:ascii="Times New Roman" w:hAnsi="Times New Roman" w:cs="Times New Roman"/>
          <w:sz w:val="22"/>
          <w:szCs w:val="22"/>
          <w:lang w:val="en-GB"/>
        </w:rPr>
      </w:pPr>
    </w:p>
    <w:p w:rsidR="00C225E3" w:rsidRPr="004A29F9" w:rsidRDefault="00C225E3"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In relation to the training aspect of the programme, participants were asked to estimate what percentage of all knowledge they had gained throughout a lifetime of learning, they had acquired</w:t>
      </w:r>
      <w:r w:rsidR="00741913">
        <w:rPr>
          <w:rFonts w:ascii="Times New Roman" w:hAnsi="Times New Roman" w:cs="Times New Roman"/>
          <w:sz w:val="22"/>
          <w:szCs w:val="22"/>
          <w:lang w:val="en-GB"/>
        </w:rPr>
        <w:t xml:space="preserve"> from having undertaking the “Justice for the Future”</w:t>
      </w:r>
      <w:r w:rsidRPr="004A29F9">
        <w:rPr>
          <w:rFonts w:ascii="Times New Roman" w:hAnsi="Times New Roman" w:cs="Times New Roman"/>
          <w:sz w:val="22"/>
          <w:szCs w:val="22"/>
          <w:lang w:val="en-GB"/>
        </w:rPr>
        <w:t xml:space="preserve"> courses. The average response was 20%</w:t>
      </w:r>
      <w:r w:rsidR="00741913">
        <w:rPr>
          <w:rFonts w:ascii="Times New Roman" w:hAnsi="Times New Roman" w:cs="Times New Roman"/>
          <w:sz w:val="22"/>
          <w:szCs w:val="22"/>
          <w:lang w:val="en-GB"/>
        </w:rPr>
        <w:t>,</w:t>
      </w:r>
      <w:r w:rsidRPr="004A29F9">
        <w:rPr>
          <w:rFonts w:ascii="Times New Roman" w:hAnsi="Times New Roman" w:cs="Times New Roman"/>
          <w:sz w:val="22"/>
          <w:szCs w:val="22"/>
          <w:lang w:val="en-GB"/>
        </w:rPr>
        <w:t xml:space="preserve"> which is quite a high percentage of total learning that par</w:t>
      </w:r>
      <w:r w:rsidR="00741913">
        <w:rPr>
          <w:rFonts w:ascii="Times New Roman" w:hAnsi="Times New Roman" w:cs="Times New Roman"/>
          <w:sz w:val="22"/>
          <w:szCs w:val="22"/>
          <w:lang w:val="en-GB"/>
        </w:rPr>
        <w:t xml:space="preserve">ticipants’ attribute to the “Justice for the Future” </w:t>
      </w:r>
      <w:r w:rsidRPr="004A29F9">
        <w:rPr>
          <w:rFonts w:ascii="Times New Roman" w:hAnsi="Times New Roman" w:cs="Times New Roman"/>
          <w:sz w:val="22"/>
          <w:szCs w:val="22"/>
          <w:lang w:val="en-GB"/>
        </w:rPr>
        <w:t xml:space="preserve">courses provided. </w:t>
      </w:r>
    </w:p>
    <w:p w:rsidR="00C225E3" w:rsidRDefault="00C225E3"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lastRenderedPageBreak/>
        <w:t>Participants were also asked to gauge the degree of positive or negative impa</w:t>
      </w:r>
      <w:r w:rsidR="00741913">
        <w:rPr>
          <w:rFonts w:ascii="Times New Roman" w:hAnsi="Times New Roman" w:cs="Times New Roman"/>
          <w:sz w:val="22"/>
          <w:szCs w:val="22"/>
          <w:lang w:val="en-GB"/>
        </w:rPr>
        <w:t>ct that participating in the project</w:t>
      </w:r>
      <w:r w:rsidRPr="004A29F9">
        <w:rPr>
          <w:rFonts w:ascii="Times New Roman" w:hAnsi="Times New Roman" w:cs="Times New Roman"/>
          <w:sz w:val="22"/>
          <w:szCs w:val="22"/>
          <w:lang w:val="en-GB"/>
        </w:rPr>
        <w:t xml:space="preserve"> had brought to them overall, taking into account personal, academic and professional development dimensions of their participation and taking into account the financial support, training and int</w:t>
      </w:r>
      <w:r w:rsidR="00741913">
        <w:rPr>
          <w:rFonts w:ascii="Times New Roman" w:hAnsi="Times New Roman" w:cs="Times New Roman"/>
          <w:sz w:val="22"/>
          <w:szCs w:val="22"/>
          <w:lang w:val="en-GB"/>
        </w:rPr>
        <w:t xml:space="preserve">ernship aspects of the project. </w:t>
      </w:r>
      <w:r w:rsidRPr="004A29F9">
        <w:rPr>
          <w:rFonts w:ascii="Times New Roman" w:hAnsi="Times New Roman" w:cs="Times New Roman"/>
          <w:sz w:val="22"/>
          <w:szCs w:val="22"/>
          <w:lang w:val="en-GB"/>
        </w:rPr>
        <w:t>Participants estimated that approximately 40% of all learning, personal satisfaction and professional development opportunities they had received throughout their lives, had been reali</w:t>
      </w:r>
      <w:r w:rsidR="00741913">
        <w:rPr>
          <w:rFonts w:ascii="Times New Roman" w:hAnsi="Times New Roman" w:cs="Times New Roman"/>
          <w:sz w:val="22"/>
          <w:szCs w:val="22"/>
          <w:lang w:val="en-GB"/>
        </w:rPr>
        <w:t>s</w:t>
      </w:r>
      <w:r w:rsidRPr="004A29F9">
        <w:rPr>
          <w:rFonts w:ascii="Times New Roman" w:hAnsi="Times New Roman" w:cs="Times New Roman"/>
          <w:sz w:val="22"/>
          <w:szCs w:val="22"/>
          <w:lang w:val="en-GB"/>
        </w:rPr>
        <w:t>ed via this programme. Thus overall, participants highly value the programme and feel that it has made a substantial contribution to their lives by providing them with opportunities they</w:t>
      </w:r>
      <w:r w:rsidR="00741913">
        <w:rPr>
          <w:rFonts w:ascii="Times New Roman" w:hAnsi="Times New Roman" w:cs="Times New Roman"/>
          <w:sz w:val="22"/>
          <w:szCs w:val="22"/>
          <w:lang w:val="en-GB"/>
        </w:rPr>
        <w:t xml:space="preserve"> otherwise would not have had.</w:t>
      </w:r>
    </w:p>
    <w:p w:rsidR="00741913" w:rsidRPr="004A29F9" w:rsidRDefault="00741913" w:rsidP="00FB6759">
      <w:pPr>
        <w:spacing w:after="0" w:line="240" w:lineRule="auto"/>
        <w:jc w:val="both"/>
        <w:rPr>
          <w:rFonts w:ascii="Times New Roman" w:hAnsi="Times New Roman" w:cs="Times New Roman"/>
          <w:sz w:val="22"/>
          <w:szCs w:val="22"/>
          <w:lang w:val="en-GB"/>
        </w:rPr>
      </w:pPr>
    </w:p>
    <w:p w:rsidR="00C225E3" w:rsidRPr="004A29F9" w:rsidRDefault="00C225E3"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On a personal level, students felt that they </w:t>
      </w:r>
      <w:r w:rsidR="00741913">
        <w:rPr>
          <w:rFonts w:ascii="Times New Roman" w:hAnsi="Times New Roman" w:cs="Times New Roman"/>
          <w:sz w:val="22"/>
          <w:szCs w:val="22"/>
          <w:lang w:val="en-GB"/>
        </w:rPr>
        <w:t>had benefited from the project because they had acquired skills in areas such as organis</w:t>
      </w:r>
      <w:r w:rsidRPr="004A29F9">
        <w:rPr>
          <w:rFonts w:ascii="Times New Roman" w:hAnsi="Times New Roman" w:cs="Times New Roman"/>
          <w:sz w:val="22"/>
          <w:szCs w:val="22"/>
          <w:lang w:val="en-GB"/>
        </w:rPr>
        <w:t>ation, interpersonal skills and communication which they felt would be useful in whatever job or field they chose to work. They also felt that being selecte</w:t>
      </w:r>
      <w:r w:rsidR="00741913">
        <w:rPr>
          <w:rFonts w:ascii="Times New Roman" w:hAnsi="Times New Roman" w:cs="Times New Roman"/>
          <w:sz w:val="22"/>
          <w:szCs w:val="22"/>
          <w:lang w:val="en-GB"/>
        </w:rPr>
        <w:t>d to be part of the project</w:t>
      </w:r>
      <w:r w:rsidRPr="004A29F9">
        <w:rPr>
          <w:rFonts w:ascii="Times New Roman" w:hAnsi="Times New Roman" w:cs="Times New Roman"/>
          <w:sz w:val="22"/>
          <w:szCs w:val="22"/>
          <w:lang w:val="en-GB"/>
        </w:rPr>
        <w:t xml:space="preserve"> had given them a personal </w:t>
      </w:r>
      <w:r w:rsidR="000759D7" w:rsidRPr="004A29F9">
        <w:rPr>
          <w:rFonts w:ascii="Times New Roman" w:hAnsi="Times New Roman" w:cs="Times New Roman"/>
          <w:sz w:val="22"/>
          <w:szCs w:val="22"/>
          <w:lang w:val="en-GB"/>
        </w:rPr>
        <w:t>‘</w:t>
      </w:r>
      <w:r w:rsidRPr="004A29F9">
        <w:rPr>
          <w:rFonts w:ascii="Times New Roman" w:hAnsi="Times New Roman" w:cs="Times New Roman"/>
          <w:sz w:val="22"/>
          <w:szCs w:val="22"/>
          <w:lang w:val="en-GB"/>
        </w:rPr>
        <w:t>morale boost</w:t>
      </w:r>
      <w:r w:rsidR="000759D7" w:rsidRPr="004A29F9">
        <w:rPr>
          <w:rFonts w:ascii="Times New Roman" w:hAnsi="Times New Roman" w:cs="Times New Roman"/>
          <w:sz w:val="22"/>
          <w:szCs w:val="22"/>
          <w:lang w:val="en-GB"/>
        </w:rPr>
        <w:t>’</w:t>
      </w:r>
      <w:r w:rsidRPr="004A29F9">
        <w:rPr>
          <w:rFonts w:ascii="Times New Roman" w:hAnsi="Times New Roman" w:cs="Times New Roman"/>
          <w:sz w:val="22"/>
          <w:szCs w:val="22"/>
          <w:lang w:val="en-GB"/>
        </w:rPr>
        <w:t xml:space="preserve"> and given them more confidence and energy for their studies. </w:t>
      </w:r>
    </w:p>
    <w:p w:rsidR="00741913" w:rsidRDefault="00741913" w:rsidP="00FB6759">
      <w:pPr>
        <w:spacing w:after="0" w:line="240" w:lineRule="auto"/>
        <w:jc w:val="both"/>
        <w:rPr>
          <w:rFonts w:ascii="Times New Roman" w:hAnsi="Times New Roman" w:cs="Times New Roman"/>
          <w:sz w:val="22"/>
          <w:szCs w:val="22"/>
          <w:lang w:val="en-GB"/>
        </w:rPr>
      </w:pPr>
    </w:p>
    <w:p w:rsidR="00C225E3" w:rsidRPr="004A29F9" w:rsidRDefault="00C225E3"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All of the students present had performed well academically (this needs to be independently confirmed through university records). Students felt that having been awarded a scholarship motivated them to succeed academically in order to make the most of the opportuni</w:t>
      </w:r>
      <w:r w:rsidR="00741913">
        <w:rPr>
          <w:rFonts w:ascii="Times New Roman" w:hAnsi="Times New Roman" w:cs="Times New Roman"/>
          <w:sz w:val="22"/>
          <w:szCs w:val="22"/>
          <w:lang w:val="en-GB"/>
        </w:rPr>
        <w:t>ty being provided. The project</w:t>
      </w:r>
      <w:r w:rsidRPr="004A29F9">
        <w:rPr>
          <w:rFonts w:ascii="Times New Roman" w:hAnsi="Times New Roman" w:cs="Times New Roman"/>
          <w:sz w:val="22"/>
          <w:szCs w:val="22"/>
          <w:lang w:val="en-GB"/>
        </w:rPr>
        <w:t xml:space="preserve"> contributed to the ability of the students to study diligently and achieve strong academic results b</w:t>
      </w:r>
      <w:r w:rsidR="001706AF" w:rsidRPr="004A29F9">
        <w:rPr>
          <w:rFonts w:ascii="Times New Roman" w:hAnsi="Times New Roman" w:cs="Times New Roman"/>
          <w:sz w:val="22"/>
          <w:szCs w:val="22"/>
          <w:lang w:val="en-GB"/>
        </w:rPr>
        <w:t>y</w:t>
      </w:r>
      <w:r w:rsidRPr="004A29F9">
        <w:rPr>
          <w:rFonts w:ascii="Times New Roman" w:hAnsi="Times New Roman" w:cs="Times New Roman"/>
          <w:sz w:val="22"/>
          <w:szCs w:val="22"/>
          <w:lang w:val="en-GB"/>
        </w:rPr>
        <w:t xml:space="preserve"> providing an appropriate environment and support for study by reducing the pressure of tuition fees. Participants confirmed that the financial support had made the difference as to whether or not they were able to continue with their l</w:t>
      </w:r>
      <w:r w:rsidR="00741913">
        <w:rPr>
          <w:rFonts w:ascii="Times New Roman" w:hAnsi="Times New Roman" w:cs="Times New Roman"/>
          <w:sz w:val="22"/>
          <w:szCs w:val="22"/>
          <w:lang w:val="en-GB"/>
        </w:rPr>
        <w:t>aw studies. The lump-</w:t>
      </w:r>
      <w:r w:rsidRPr="004A29F9">
        <w:rPr>
          <w:rFonts w:ascii="Times New Roman" w:hAnsi="Times New Roman" w:cs="Times New Roman"/>
          <w:sz w:val="22"/>
          <w:szCs w:val="22"/>
          <w:lang w:val="en-GB"/>
        </w:rPr>
        <w:t>sum helped to pay for tuition and contributed to living costs that freed the students to bette</w:t>
      </w:r>
      <w:r w:rsidR="00741913">
        <w:rPr>
          <w:rFonts w:ascii="Times New Roman" w:hAnsi="Times New Roman" w:cs="Times New Roman"/>
          <w:sz w:val="22"/>
          <w:szCs w:val="22"/>
          <w:lang w:val="en-GB"/>
        </w:rPr>
        <w:t>r concentrate on their studies.</w:t>
      </w:r>
    </w:p>
    <w:p w:rsidR="00741913" w:rsidRDefault="00741913" w:rsidP="00FB6759">
      <w:pPr>
        <w:spacing w:after="0" w:line="240" w:lineRule="auto"/>
        <w:jc w:val="both"/>
        <w:rPr>
          <w:rFonts w:ascii="Times New Roman" w:hAnsi="Times New Roman" w:cs="Times New Roman"/>
          <w:sz w:val="22"/>
          <w:szCs w:val="22"/>
          <w:lang w:val="en-GB"/>
        </w:rPr>
      </w:pPr>
    </w:p>
    <w:p w:rsidR="00C225E3" w:rsidRPr="004A29F9" w:rsidRDefault="00C225E3"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Many of the s</w:t>
      </w:r>
      <w:r w:rsidR="00741913">
        <w:rPr>
          <w:rFonts w:ascii="Times New Roman" w:hAnsi="Times New Roman" w:cs="Times New Roman"/>
          <w:sz w:val="22"/>
          <w:szCs w:val="22"/>
          <w:lang w:val="en-GB"/>
        </w:rPr>
        <w:t>tudents agreed that the payment</w:t>
      </w:r>
      <w:r w:rsidRPr="004A29F9">
        <w:rPr>
          <w:rFonts w:ascii="Times New Roman" w:hAnsi="Times New Roman" w:cs="Times New Roman"/>
          <w:sz w:val="22"/>
          <w:szCs w:val="22"/>
          <w:lang w:val="en-GB"/>
        </w:rPr>
        <w:t xml:space="preserve"> system via the</w:t>
      </w:r>
      <w:r w:rsidR="00741913">
        <w:rPr>
          <w:rFonts w:ascii="Times New Roman" w:hAnsi="Times New Roman" w:cs="Times New Roman"/>
          <w:sz w:val="22"/>
          <w:szCs w:val="22"/>
          <w:lang w:val="en-GB"/>
        </w:rPr>
        <w:t xml:space="preserve"> university finance departments was very slow </w:t>
      </w:r>
      <w:r w:rsidR="001706AF" w:rsidRPr="004A29F9">
        <w:rPr>
          <w:rFonts w:ascii="Times New Roman" w:hAnsi="Times New Roman" w:cs="Times New Roman"/>
          <w:sz w:val="22"/>
          <w:szCs w:val="22"/>
          <w:lang w:val="en-GB"/>
        </w:rPr>
        <w:t>and cumbersome</w:t>
      </w:r>
      <w:r w:rsidR="00741913">
        <w:rPr>
          <w:rFonts w:ascii="Times New Roman" w:hAnsi="Times New Roman" w:cs="Times New Roman"/>
          <w:sz w:val="22"/>
          <w:szCs w:val="22"/>
          <w:lang w:val="en-GB"/>
        </w:rPr>
        <w:t>. Lump-</w:t>
      </w:r>
      <w:r w:rsidRPr="004A29F9">
        <w:rPr>
          <w:rFonts w:ascii="Times New Roman" w:hAnsi="Times New Roman" w:cs="Times New Roman"/>
          <w:sz w:val="22"/>
          <w:szCs w:val="22"/>
          <w:lang w:val="en-GB"/>
        </w:rPr>
        <w:t>sum payments had generally been delayed especially in relation to Al</w:t>
      </w:r>
      <w:r w:rsidR="000759D7" w:rsidRPr="004A29F9">
        <w:rPr>
          <w:rFonts w:ascii="Times New Roman" w:hAnsi="Times New Roman" w:cs="Times New Roman"/>
          <w:sz w:val="22"/>
          <w:szCs w:val="22"/>
          <w:lang w:val="en-GB"/>
        </w:rPr>
        <w:t>-</w:t>
      </w:r>
      <w:r w:rsidRPr="004A29F9">
        <w:rPr>
          <w:rFonts w:ascii="Times New Roman" w:hAnsi="Times New Roman" w:cs="Times New Roman"/>
          <w:sz w:val="22"/>
          <w:szCs w:val="22"/>
          <w:lang w:val="en-GB"/>
        </w:rPr>
        <w:t xml:space="preserve">Quds </w:t>
      </w:r>
      <w:r w:rsidR="00741913">
        <w:rPr>
          <w:rFonts w:ascii="Times New Roman" w:hAnsi="Times New Roman" w:cs="Times New Roman"/>
          <w:sz w:val="22"/>
          <w:szCs w:val="22"/>
          <w:lang w:val="en-GB"/>
        </w:rPr>
        <w:t xml:space="preserve">University </w:t>
      </w:r>
      <w:r w:rsidRPr="004A29F9">
        <w:rPr>
          <w:rFonts w:ascii="Times New Roman" w:hAnsi="Times New Roman" w:cs="Times New Roman"/>
          <w:sz w:val="22"/>
          <w:szCs w:val="22"/>
          <w:lang w:val="en-GB"/>
        </w:rPr>
        <w:t>and An-Najah</w:t>
      </w:r>
      <w:r w:rsidR="00227679">
        <w:rPr>
          <w:rFonts w:ascii="Times New Roman" w:hAnsi="Times New Roman" w:cs="Times New Roman"/>
          <w:sz w:val="22"/>
          <w:szCs w:val="22"/>
          <w:lang w:val="en-GB"/>
        </w:rPr>
        <w:t xml:space="preserve"> </w:t>
      </w:r>
      <w:r w:rsidR="000759D7" w:rsidRPr="004A29F9">
        <w:rPr>
          <w:rFonts w:ascii="Times New Roman" w:hAnsi="Times New Roman" w:cs="Times New Roman"/>
          <w:sz w:val="22"/>
          <w:szCs w:val="22"/>
          <w:lang w:val="en-GB"/>
        </w:rPr>
        <w:t>U</w:t>
      </w:r>
      <w:r w:rsidR="00741913">
        <w:rPr>
          <w:rFonts w:ascii="Times New Roman" w:hAnsi="Times New Roman" w:cs="Times New Roman"/>
          <w:sz w:val="22"/>
          <w:szCs w:val="22"/>
          <w:lang w:val="en-GB"/>
        </w:rPr>
        <w:t>niversity</w:t>
      </w:r>
      <w:r w:rsidRPr="004A29F9">
        <w:rPr>
          <w:rFonts w:ascii="Times New Roman" w:hAnsi="Times New Roman" w:cs="Times New Roman"/>
          <w:sz w:val="22"/>
          <w:szCs w:val="22"/>
          <w:lang w:val="en-GB"/>
        </w:rPr>
        <w:t>, although the situation was somewhat better with Birzeit</w:t>
      </w:r>
      <w:r w:rsidR="00227679">
        <w:rPr>
          <w:rFonts w:ascii="Times New Roman" w:hAnsi="Times New Roman" w:cs="Times New Roman"/>
          <w:sz w:val="22"/>
          <w:szCs w:val="22"/>
          <w:lang w:val="en-GB"/>
        </w:rPr>
        <w:t xml:space="preserve"> </w:t>
      </w:r>
      <w:r w:rsidR="000759D7" w:rsidRPr="004A29F9">
        <w:rPr>
          <w:rFonts w:ascii="Times New Roman" w:hAnsi="Times New Roman" w:cs="Times New Roman"/>
          <w:sz w:val="22"/>
          <w:szCs w:val="22"/>
          <w:lang w:val="en-GB"/>
        </w:rPr>
        <w:t>U</w:t>
      </w:r>
      <w:r w:rsidRPr="004A29F9">
        <w:rPr>
          <w:rFonts w:ascii="Times New Roman" w:hAnsi="Times New Roman" w:cs="Times New Roman"/>
          <w:sz w:val="22"/>
          <w:szCs w:val="22"/>
          <w:lang w:val="en-GB"/>
        </w:rPr>
        <w:t>niversity. Students felt strongly that it would be better to pay each of them directly rather than via the university administrations. A small number of students have still not received the full payments and a meeting is needed with Al</w:t>
      </w:r>
      <w:r w:rsidR="00266952" w:rsidRPr="004A29F9">
        <w:rPr>
          <w:rFonts w:ascii="Times New Roman" w:hAnsi="Times New Roman" w:cs="Times New Roman"/>
          <w:sz w:val="22"/>
          <w:szCs w:val="22"/>
          <w:lang w:val="en-GB"/>
        </w:rPr>
        <w:t>-</w:t>
      </w:r>
      <w:r w:rsidR="004F2FAA">
        <w:rPr>
          <w:rFonts w:ascii="Times New Roman" w:hAnsi="Times New Roman" w:cs="Times New Roman"/>
          <w:sz w:val="22"/>
          <w:szCs w:val="22"/>
          <w:lang w:val="en-GB"/>
        </w:rPr>
        <w:t>Quds U</w:t>
      </w:r>
      <w:r w:rsidRPr="004A29F9">
        <w:rPr>
          <w:rFonts w:ascii="Times New Roman" w:hAnsi="Times New Roman" w:cs="Times New Roman"/>
          <w:sz w:val="22"/>
          <w:szCs w:val="22"/>
          <w:lang w:val="en-GB"/>
        </w:rPr>
        <w:t xml:space="preserve">niversity to sort this out as soon as possible. </w:t>
      </w:r>
    </w:p>
    <w:p w:rsidR="00741913" w:rsidRDefault="00741913" w:rsidP="00FB6759">
      <w:pPr>
        <w:spacing w:after="0" w:line="240" w:lineRule="auto"/>
        <w:jc w:val="both"/>
        <w:rPr>
          <w:rFonts w:ascii="Times New Roman" w:hAnsi="Times New Roman" w:cs="Times New Roman"/>
          <w:sz w:val="22"/>
          <w:szCs w:val="22"/>
          <w:lang w:val="en-GB"/>
        </w:rPr>
      </w:pPr>
    </w:p>
    <w:p w:rsidR="00C225E3" w:rsidRPr="004A29F9" w:rsidRDefault="00C225E3"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Participants suggested that some of the trainings were still too theoretical and not practical enough in nature. Participants suggested that the courses and trainings should be intensified and run better, in terms of the coordination between the training venues and </w:t>
      </w:r>
      <w:r w:rsidR="004F2FAA">
        <w:rPr>
          <w:rFonts w:ascii="Times New Roman" w:hAnsi="Times New Roman" w:cs="Times New Roman"/>
          <w:sz w:val="22"/>
          <w:szCs w:val="22"/>
          <w:lang w:val="en-GB"/>
        </w:rPr>
        <w:t>the MO</w:t>
      </w:r>
      <w:r w:rsidR="00C2380B" w:rsidRPr="004A29F9">
        <w:rPr>
          <w:rFonts w:ascii="Times New Roman" w:hAnsi="Times New Roman" w:cs="Times New Roman"/>
          <w:sz w:val="22"/>
          <w:szCs w:val="22"/>
          <w:lang w:val="en-GB"/>
        </w:rPr>
        <w:t>J</w:t>
      </w:r>
      <w:r w:rsidR="004F2FAA">
        <w:rPr>
          <w:rFonts w:ascii="Times New Roman" w:hAnsi="Times New Roman" w:cs="Times New Roman"/>
          <w:sz w:val="22"/>
          <w:szCs w:val="22"/>
          <w:lang w:val="en-GB"/>
        </w:rPr>
        <w:t xml:space="preserve">. </w:t>
      </w:r>
      <w:r w:rsidRPr="004A29F9">
        <w:rPr>
          <w:rFonts w:ascii="Times New Roman" w:hAnsi="Times New Roman" w:cs="Times New Roman"/>
          <w:sz w:val="22"/>
          <w:szCs w:val="22"/>
          <w:lang w:val="en-GB"/>
        </w:rPr>
        <w:t>Some transportation costs to and from the courses had not been paid. There were four scheduled trainings that were not completed during the course of the academic year. Participants urged that these still be completed. Participants felt that using Facebook was a good way of staying in touch with the s</w:t>
      </w:r>
      <w:r w:rsidR="004F2FAA">
        <w:rPr>
          <w:rFonts w:ascii="Times New Roman" w:hAnsi="Times New Roman" w:cs="Times New Roman"/>
          <w:sz w:val="22"/>
          <w:szCs w:val="22"/>
          <w:lang w:val="en-GB"/>
        </w:rPr>
        <w:t>tudents throughout the project</w:t>
      </w:r>
      <w:r w:rsidRPr="004A29F9">
        <w:rPr>
          <w:rFonts w:ascii="Times New Roman" w:hAnsi="Times New Roman" w:cs="Times New Roman"/>
          <w:sz w:val="22"/>
          <w:szCs w:val="22"/>
          <w:lang w:val="en-GB"/>
        </w:rPr>
        <w:t xml:space="preserve">, although most participants felt that more </w:t>
      </w:r>
      <w:r w:rsidR="00C2380B" w:rsidRPr="004A29F9">
        <w:rPr>
          <w:rFonts w:ascii="Times New Roman" w:hAnsi="Times New Roman" w:cs="Times New Roman"/>
          <w:sz w:val="22"/>
          <w:szCs w:val="22"/>
          <w:lang w:val="en-GB"/>
        </w:rPr>
        <w:t>face-to-face</w:t>
      </w:r>
      <w:r w:rsidRPr="004A29F9">
        <w:rPr>
          <w:rFonts w:ascii="Times New Roman" w:hAnsi="Times New Roman" w:cs="Times New Roman"/>
          <w:sz w:val="22"/>
          <w:szCs w:val="22"/>
          <w:lang w:val="en-GB"/>
        </w:rPr>
        <w:t xml:space="preserve"> meetings between the students and the project coordinator woul</w:t>
      </w:r>
      <w:r w:rsidR="004F2FAA">
        <w:rPr>
          <w:rFonts w:ascii="Times New Roman" w:hAnsi="Times New Roman" w:cs="Times New Roman"/>
          <w:sz w:val="22"/>
          <w:szCs w:val="22"/>
          <w:lang w:val="en-GB"/>
        </w:rPr>
        <w:t>d benefit them and the project.</w:t>
      </w:r>
    </w:p>
    <w:p w:rsidR="00741913" w:rsidRDefault="00741913" w:rsidP="00FB6759">
      <w:pPr>
        <w:spacing w:after="0" w:line="240" w:lineRule="auto"/>
        <w:jc w:val="both"/>
        <w:rPr>
          <w:rFonts w:ascii="Times New Roman" w:hAnsi="Times New Roman" w:cs="Times New Roman"/>
          <w:sz w:val="22"/>
          <w:szCs w:val="22"/>
          <w:lang w:val="en-GB"/>
        </w:rPr>
      </w:pPr>
    </w:p>
    <w:p w:rsidR="00C225E3" w:rsidRPr="004A29F9" w:rsidRDefault="00C225E3"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In terms of the internships, while the student</w:t>
      </w:r>
      <w:r w:rsidR="004F2FAA">
        <w:rPr>
          <w:rFonts w:ascii="Times New Roman" w:hAnsi="Times New Roman" w:cs="Times New Roman"/>
          <w:sz w:val="22"/>
          <w:szCs w:val="22"/>
          <w:lang w:val="en-GB"/>
        </w:rPr>
        <w:t>s</w:t>
      </w:r>
      <w:r w:rsidRPr="004A29F9">
        <w:rPr>
          <w:rFonts w:ascii="Times New Roman" w:hAnsi="Times New Roman" w:cs="Times New Roman"/>
          <w:sz w:val="22"/>
          <w:szCs w:val="22"/>
          <w:lang w:val="en-GB"/>
        </w:rPr>
        <w:t xml:space="preserve"> felt they had offered them very valuable opportunities, it was</w:t>
      </w:r>
      <w:r w:rsidR="004F2FAA">
        <w:rPr>
          <w:rFonts w:ascii="Times New Roman" w:hAnsi="Times New Roman" w:cs="Times New Roman"/>
          <w:sz w:val="22"/>
          <w:szCs w:val="22"/>
          <w:lang w:val="en-GB"/>
        </w:rPr>
        <w:t xml:space="preserve"> the first year of the project</w:t>
      </w:r>
      <w:r w:rsidRPr="004A29F9">
        <w:rPr>
          <w:rFonts w:ascii="Times New Roman" w:hAnsi="Times New Roman" w:cs="Times New Roman"/>
          <w:sz w:val="22"/>
          <w:szCs w:val="22"/>
          <w:lang w:val="en-GB"/>
        </w:rPr>
        <w:t xml:space="preserve"> and so the justice institutions weren’t equally equipped to absorb the students and provide them with meaningful work experience and learning opportunities. Participants reported varied experiences. Some received adequate supervision and support and others found that they had to try to carve out a role for </w:t>
      </w:r>
      <w:r w:rsidR="001706AF" w:rsidRPr="004A29F9">
        <w:rPr>
          <w:rFonts w:ascii="Times New Roman" w:hAnsi="Times New Roman" w:cs="Times New Roman"/>
          <w:sz w:val="22"/>
          <w:szCs w:val="22"/>
          <w:lang w:val="en-GB"/>
        </w:rPr>
        <w:t>themselves, which</w:t>
      </w:r>
      <w:r w:rsidRPr="004A29F9">
        <w:rPr>
          <w:rFonts w:ascii="Times New Roman" w:hAnsi="Times New Roman" w:cs="Times New Roman"/>
          <w:sz w:val="22"/>
          <w:szCs w:val="22"/>
          <w:lang w:val="en-GB"/>
        </w:rPr>
        <w:t xml:space="preserve"> was not always easy. </w:t>
      </w:r>
    </w:p>
    <w:p w:rsidR="0068626B" w:rsidRPr="004A29F9" w:rsidRDefault="0068626B" w:rsidP="00FB6759">
      <w:pPr>
        <w:spacing w:after="0" w:line="240" w:lineRule="auto"/>
        <w:jc w:val="both"/>
        <w:rPr>
          <w:rFonts w:ascii="Times New Roman" w:hAnsi="Times New Roman" w:cs="Times New Roman"/>
          <w:sz w:val="22"/>
          <w:szCs w:val="22"/>
          <w:lang w:val="en-GB"/>
        </w:rPr>
      </w:pPr>
    </w:p>
    <w:p w:rsidR="00E70D75" w:rsidRPr="00741913" w:rsidRDefault="006256A2" w:rsidP="00FB6759">
      <w:pPr>
        <w:spacing w:after="0" w:line="240" w:lineRule="auto"/>
        <w:jc w:val="both"/>
        <w:rPr>
          <w:rFonts w:ascii="Times New Roman" w:hAnsi="Times New Roman" w:cs="Times New Roman"/>
          <w:i/>
          <w:sz w:val="22"/>
          <w:szCs w:val="22"/>
          <w:lang w:val="en-GB"/>
        </w:rPr>
      </w:pPr>
      <w:r w:rsidRPr="00741913">
        <w:rPr>
          <w:rFonts w:ascii="Times New Roman" w:hAnsi="Times New Roman" w:cs="Times New Roman"/>
          <w:i/>
          <w:sz w:val="22"/>
          <w:szCs w:val="22"/>
          <w:lang w:val="en-GB"/>
        </w:rPr>
        <w:t>Output 1.4: Development and implementation of a legal aid policy supported</w:t>
      </w:r>
    </w:p>
    <w:p w:rsidR="00741913" w:rsidRDefault="00741913" w:rsidP="00FB6759">
      <w:pPr>
        <w:spacing w:after="0" w:line="240" w:lineRule="auto"/>
        <w:jc w:val="both"/>
        <w:rPr>
          <w:rFonts w:ascii="Times New Roman" w:hAnsi="Times New Roman" w:cs="Times New Roman"/>
          <w:sz w:val="22"/>
          <w:szCs w:val="22"/>
          <w:lang w:val="en-GB"/>
        </w:rPr>
      </w:pPr>
    </w:p>
    <w:p w:rsidR="0031449C" w:rsidRPr="004A29F9" w:rsidRDefault="00E70D75"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UNDP has played a crucial role in moving the </w:t>
      </w:r>
      <w:r w:rsidR="0031449C" w:rsidRPr="004A29F9">
        <w:rPr>
          <w:rFonts w:ascii="Times New Roman" w:hAnsi="Times New Roman" w:cs="Times New Roman"/>
          <w:sz w:val="22"/>
          <w:szCs w:val="22"/>
          <w:lang w:val="en-GB"/>
        </w:rPr>
        <w:t xml:space="preserve">justice actors and from a point of virtually zero discussion </w:t>
      </w:r>
      <w:r w:rsidR="004F2FAA">
        <w:rPr>
          <w:rFonts w:ascii="Times New Roman" w:hAnsi="Times New Roman" w:cs="Times New Roman"/>
          <w:sz w:val="22"/>
          <w:szCs w:val="22"/>
          <w:lang w:val="en-GB"/>
        </w:rPr>
        <w:t>of concepts of legal aid in 2010</w:t>
      </w:r>
      <w:r w:rsidR="0031449C" w:rsidRPr="004A29F9">
        <w:rPr>
          <w:rFonts w:ascii="Times New Roman" w:hAnsi="Times New Roman" w:cs="Times New Roman"/>
          <w:sz w:val="22"/>
          <w:szCs w:val="22"/>
          <w:lang w:val="en-GB"/>
        </w:rPr>
        <w:t xml:space="preserve"> to an extremely robust debate involving all justice sector actors on how best to address this i</w:t>
      </w:r>
      <w:r w:rsidR="004F2FAA">
        <w:rPr>
          <w:rFonts w:ascii="Times New Roman" w:hAnsi="Times New Roman" w:cs="Times New Roman"/>
          <w:sz w:val="22"/>
          <w:szCs w:val="22"/>
          <w:lang w:val="en-GB"/>
        </w:rPr>
        <w:t xml:space="preserve">ssue. </w:t>
      </w:r>
      <w:r w:rsidR="0031449C" w:rsidRPr="004A29F9">
        <w:rPr>
          <w:rFonts w:ascii="Times New Roman" w:hAnsi="Times New Roman" w:cs="Times New Roman"/>
          <w:sz w:val="22"/>
          <w:szCs w:val="22"/>
          <w:lang w:val="en-GB"/>
        </w:rPr>
        <w:t>In response to a clear need for a more cohesive legal aid</w:t>
      </w:r>
      <w:r w:rsidR="004F2FAA">
        <w:rPr>
          <w:rFonts w:ascii="Times New Roman" w:hAnsi="Times New Roman" w:cs="Times New Roman"/>
          <w:sz w:val="22"/>
          <w:szCs w:val="22"/>
          <w:lang w:val="en-GB"/>
        </w:rPr>
        <w:t xml:space="preserve"> policy, UNDP worked with the MO</w:t>
      </w:r>
      <w:r w:rsidR="0031449C" w:rsidRPr="004A29F9">
        <w:rPr>
          <w:rFonts w:ascii="Times New Roman" w:hAnsi="Times New Roman" w:cs="Times New Roman"/>
          <w:sz w:val="22"/>
          <w:szCs w:val="22"/>
          <w:lang w:val="en-GB"/>
        </w:rPr>
        <w:t>J to develop a comprehensive approac</w:t>
      </w:r>
      <w:r w:rsidR="004F2FAA">
        <w:rPr>
          <w:rFonts w:ascii="Times New Roman" w:hAnsi="Times New Roman" w:cs="Times New Roman"/>
          <w:sz w:val="22"/>
          <w:szCs w:val="22"/>
          <w:lang w:val="en-GB"/>
        </w:rPr>
        <w:t xml:space="preserve">h to providing access to </w:t>
      </w:r>
      <w:r w:rsidR="0031449C" w:rsidRPr="004A29F9">
        <w:rPr>
          <w:rFonts w:ascii="Times New Roman" w:hAnsi="Times New Roman" w:cs="Times New Roman"/>
          <w:sz w:val="22"/>
          <w:szCs w:val="22"/>
          <w:lang w:val="en-GB"/>
        </w:rPr>
        <w:t xml:space="preserve">justice for under-served </w:t>
      </w:r>
      <w:r w:rsidR="004F2FAA">
        <w:rPr>
          <w:rFonts w:ascii="Times New Roman" w:hAnsi="Times New Roman" w:cs="Times New Roman"/>
          <w:sz w:val="22"/>
          <w:szCs w:val="22"/>
          <w:lang w:val="en-GB"/>
        </w:rPr>
        <w:lastRenderedPageBreak/>
        <w:t>citizens. With the assistance of the programme, the MO</w:t>
      </w:r>
      <w:r w:rsidR="0031449C" w:rsidRPr="004A29F9">
        <w:rPr>
          <w:rFonts w:ascii="Times New Roman" w:hAnsi="Times New Roman" w:cs="Times New Roman"/>
          <w:sz w:val="22"/>
          <w:szCs w:val="22"/>
          <w:lang w:val="en-GB"/>
        </w:rPr>
        <w:t>J has embedded legal aid experts; a new Legal Aid Unit; a mapping study of PNA-provided legal aid; a strategy for engagement on legal aid; and a draft legal aid law at the national level.</w:t>
      </w:r>
      <w:r w:rsidR="0031449C" w:rsidRPr="004A29F9">
        <w:rPr>
          <w:rStyle w:val="FootnoteReference"/>
          <w:rFonts w:ascii="Times New Roman" w:hAnsi="Times New Roman" w:cs="Times New Roman"/>
          <w:sz w:val="22"/>
          <w:szCs w:val="22"/>
          <w:lang w:val="en-GB"/>
        </w:rPr>
        <w:footnoteReference w:id="83"/>
      </w:r>
    </w:p>
    <w:p w:rsidR="00741913" w:rsidRDefault="00741913" w:rsidP="00FB6759">
      <w:pPr>
        <w:spacing w:after="0" w:line="240" w:lineRule="auto"/>
        <w:jc w:val="both"/>
        <w:rPr>
          <w:rFonts w:ascii="Times New Roman" w:hAnsi="Times New Roman" w:cs="Times New Roman"/>
          <w:sz w:val="22"/>
          <w:szCs w:val="22"/>
          <w:lang w:val="en-GB"/>
        </w:rPr>
      </w:pPr>
    </w:p>
    <w:p w:rsidR="00760C61" w:rsidRPr="004A29F9" w:rsidRDefault="0031449C" w:rsidP="00FB6759">
      <w:pPr>
        <w:spacing w:after="0" w:line="240" w:lineRule="auto"/>
        <w:jc w:val="both"/>
        <w:rPr>
          <w:rFonts w:ascii="Times New Roman" w:hAnsi="Times New Roman" w:cs="Times New Roman"/>
          <w:b/>
          <w:i/>
          <w:sz w:val="22"/>
          <w:szCs w:val="22"/>
          <w:lang w:val="en-GB"/>
        </w:rPr>
      </w:pPr>
      <w:r w:rsidRPr="004A29F9">
        <w:rPr>
          <w:rFonts w:ascii="Times New Roman" w:hAnsi="Times New Roman" w:cs="Times New Roman"/>
          <w:sz w:val="22"/>
          <w:szCs w:val="22"/>
          <w:lang w:val="en-GB"/>
        </w:rPr>
        <w:t>In large part</w:t>
      </w:r>
      <w:r w:rsidR="00712BD7" w:rsidRPr="004A29F9">
        <w:rPr>
          <w:rFonts w:ascii="Times New Roman" w:hAnsi="Times New Roman" w:cs="Times New Roman"/>
          <w:sz w:val="22"/>
          <w:szCs w:val="22"/>
          <w:lang w:val="en-GB"/>
        </w:rPr>
        <w:t xml:space="preserve"> due</w:t>
      </w:r>
      <w:r w:rsidRPr="004A29F9">
        <w:rPr>
          <w:rFonts w:ascii="Times New Roman" w:hAnsi="Times New Roman" w:cs="Times New Roman"/>
          <w:sz w:val="22"/>
          <w:szCs w:val="22"/>
          <w:lang w:val="en-GB"/>
        </w:rPr>
        <w:t xml:space="preserve"> to UNDP support</w:t>
      </w:r>
      <w:r w:rsidR="00712BD7" w:rsidRPr="004A29F9">
        <w:rPr>
          <w:rFonts w:ascii="Times New Roman" w:hAnsi="Times New Roman" w:cs="Times New Roman"/>
          <w:sz w:val="22"/>
          <w:szCs w:val="22"/>
          <w:lang w:val="en-GB"/>
        </w:rPr>
        <w:t>,</w:t>
      </w:r>
      <w:r w:rsidR="004F2FAA">
        <w:rPr>
          <w:rFonts w:ascii="Times New Roman" w:hAnsi="Times New Roman" w:cs="Times New Roman"/>
          <w:sz w:val="22"/>
          <w:szCs w:val="22"/>
          <w:lang w:val="en-GB"/>
        </w:rPr>
        <w:t xml:space="preserve"> legal a</w:t>
      </w:r>
      <w:r w:rsidR="001914BE" w:rsidRPr="004A29F9">
        <w:rPr>
          <w:rFonts w:ascii="Times New Roman" w:hAnsi="Times New Roman" w:cs="Times New Roman"/>
          <w:sz w:val="22"/>
          <w:szCs w:val="22"/>
          <w:lang w:val="en-GB"/>
        </w:rPr>
        <w:t xml:space="preserve">id is </w:t>
      </w:r>
      <w:r w:rsidRPr="004A29F9">
        <w:rPr>
          <w:rFonts w:ascii="Times New Roman" w:hAnsi="Times New Roman" w:cs="Times New Roman"/>
          <w:sz w:val="22"/>
          <w:szCs w:val="22"/>
          <w:lang w:val="en-GB"/>
        </w:rPr>
        <w:t xml:space="preserve">now </w:t>
      </w:r>
      <w:r w:rsidR="001914BE" w:rsidRPr="004A29F9">
        <w:rPr>
          <w:rFonts w:ascii="Times New Roman" w:hAnsi="Times New Roman" w:cs="Times New Roman"/>
          <w:sz w:val="22"/>
          <w:szCs w:val="22"/>
          <w:lang w:val="en-GB"/>
        </w:rPr>
        <w:t xml:space="preserve">a critical focus of the </w:t>
      </w:r>
      <w:r w:rsidR="004F2FAA">
        <w:rPr>
          <w:rFonts w:ascii="Times New Roman" w:hAnsi="Times New Roman" w:cs="Times New Roman"/>
          <w:sz w:val="22"/>
          <w:szCs w:val="22"/>
          <w:lang w:val="en-GB"/>
        </w:rPr>
        <w:t>MO</w:t>
      </w:r>
      <w:r w:rsidRPr="004A29F9">
        <w:rPr>
          <w:rFonts w:ascii="Times New Roman" w:hAnsi="Times New Roman" w:cs="Times New Roman"/>
          <w:sz w:val="22"/>
          <w:szCs w:val="22"/>
          <w:lang w:val="en-GB"/>
        </w:rPr>
        <w:t xml:space="preserve">J </w:t>
      </w:r>
      <w:r w:rsidR="00760C61" w:rsidRPr="004A29F9">
        <w:rPr>
          <w:rFonts w:ascii="Times New Roman" w:hAnsi="Times New Roman" w:cs="Times New Roman"/>
          <w:sz w:val="22"/>
          <w:szCs w:val="22"/>
          <w:lang w:val="en-GB"/>
        </w:rPr>
        <w:t>and the PNA</w:t>
      </w:r>
      <w:r w:rsidR="004F2FAA">
        <w:rPr>
          <w:rFonts w:ascii="Times New Roman" w:hAnsi="Times New Roman" w:cs="Times New Roman"/>
          <w:sz w:val="22"/>
          <w:szCs w:val="22"/>
          <w:lang w:val="en-GB"/>
        </w:rPr>
        <w:t xml:space="preserve"> at large. The government has recognis</w:t>
      </w:r>
      <w:r w:rsidR="00760C61" w:rsidRPr="004A29F9">
        <w:rPr>
          <w:rFonts w:ascii="Times New Roman" w:hAnsi="Times New Roman" w:cs="Times New Roman"/>
          <w:sz w:val="22"/>
          <w:szCs w:val="22"/>
          <w:lang w:val="en-GB"/>
        </w:rPr>
        <w:t xml:space="preserve">ed </w:t>
      </w:r>
      <w:r w:rsidR="001914BE" w:rsidRPr="004A29F9">
        <w:rPr>
          <w:rFonts w:ascii="Times New Roman" w:hAnsi="Times New Roman" w:cs="Times New Roman"/>
          <w:sz w:val="22"/>
          <w:szCs w:val="22"/>
          <w:lang w:val="en-GB"/>
        </w:rPr>
        <w:t xml:space="preserve">the need for improved mechanisms for delivering legal services and advice </w:t>
      </w:r>
      <w:r w:rsidR="00760C61" w:rsidRPr="004A29F9">
        <w:rPr>
          <w:rFonts w:ascii="Times New Roman" w:hAnsi="Times New Roman" w:cs="Times New Roman"/>
          <w:sz w:val="22"/>
          <w:szCs w:val="22"/>
          <w:lang w:val="en-GB"/>
        </w:rPr>
        <w:t>so that citizens can have more equitable and reliable access to justice.</w:t>
      </w:r>
      <w:r w:rsidR="00FB63A0" w:rsidRPr="004A29F9">
        <w:rPr>
          <w:rStyle w:val="FootnoteReference"/>
          <w:rFonts w:ascii="Times New Roman" w:hAnsi="Times New Roman" w:cs="Times New Roman"/>
          <w:sz w:val="22"/>
          <w:szCs w:val="22"/>
          <w:lang w:val="en-GB"/>
        </w:rPr>
        <w:footnoteReference w:id="84"/>
      </w:r>
      <w:r w:rsidR="004F2FAA">
        <w:rPr>
          <w:rFonts w:ascii="Times New Roman" w:hAnsi="Times New Roman" w:cs="Times New Roman"/>
          <w:sz w:val="22"/>
          <w:szCs w:val="22"/>
          <w:lang w:val="en-GB"/>
        </w:rPr>
        <w:t xml:space="preserve"> A</w:t>
      </w:r>
      <w:r w:rsidR="00760C61" w:rsidRPr="004A29F9">
        <w:rPr>
          <w:rFonts w:ascii="Times New Roman" w:hAnsi="Times New Roman" w:cs="Times New Roman"/>
          <w:sz w:val="22"/>
          <w:szCs w:val="22"/>
          <w:lang w:val="en-GB"/>
        </w:rPr>
        <w:t xml:space="preserve">ccording to a 2011 UNDP study, </w:t>
      </w:r>
      <w:r w:rsidR="00AA1E93" w:rsidRPr="004A29F9">
        <w:rPr>
          <w:rFonts w:ascii="Times New Roman" w:hAnsi="Times New Roman" w:cs="Times New Roman"/>
          <w:sz w:val="22"/>
          <w:szCs w:val="22"/>
          <w:lang w:val="en-GB"/>
        </w:rPr>
        <w:t>current government-provided</w:t>
      </w:r>
      <w:r w:rsidR="00882079" w:rsidRPr="004A29F9">
        <w:rPr>
          <w:rFonts w:ascii="Times New Roman" w:hAnsi="Times New Roman" w:cs="Times New Roman"/>
          <w:sz w:val="22"/>
          <w:szCs w:val="22"/>
          <w:lang w:val="en-GB"/>
        </w:rPr>
        <w:t xml:space="preserve"> legal </w:t>
      </w:r>
      <w:r w:rsidR="00760C61" w:rsidRPr="004A29F9">
        <w:rPr>
          <w:rFonts w:ascii="Times New Roman" w:hAnsi="Times New Roman" w:cs="Times New Roman"/>
          <w:sz w:val="22"/>
          <w:szCs w:val="22"/>
          <w:lang w:val="en-GB"/>
        </w:rPr>
        <w:t xml:space="preserve">aid services </w:t>
      </w:r>
      <w:r w:rsidRPr="004A29F9">
        <w:rPr>
          <w:rFonts w:ascii="Times New Roman" w:hAnsi="Times New Roman" w:cs="Times New Roman"/>
          <w:sz w:val="22"/>
          <w:szCs w:val="22"/>
          <w:lang w:val="en-GB"/>
        </w:rPr>
        <w:t xml:space="preserve">still </w:t>
      </w:r>
      <w:r w:rsidR="00760C61" w:rsidRPr="004A29F9">
        <w:rPr>
          <w:rFonts w:ascii="Times New Roman" w:hAnsi="Times New Roman" w:cs="Times New Roman"/>
          <w:sz w:val="22"/>
          <w:szCs w:val="22"/>
          <w:lang w:val="en-GB"/>
        </w:rPr>
        <w:t xml:space="preserve">lack coordination and </w:t>
      </w:r>
      <w:r w:rsidR="00882079" w:rsidRPr="004A29F9">
        <w:rPr>
          <w:rFonts w:ascii="Times New Roman" w:hAnsi="Times New Roman" w:cs="Times New Roman"/>
          <w:sz w:val="22"/>
          <w:szCs w:val="22"/>
          <w:lang w:val="en-GB"/>
        </w:rPr>
        <w:t>regulation</w:t>
      </w:r>
      <w:r w:rsidR="00760C61" w:rsidRPr="004A29F9">
        <w:rPr>
          <w:rFonts w:ascii="Times New Roman" w:hAnsi="Times New Roman" w:cs="Times New Roman"/>
          <w:sz w:val="22"/>
          <w:szCs w:val="22"/>
          <w:lang w:val="en-GB"/>
        </w:rPr>
        <w:t>,</w:t>
      </w:r>
      <w:r w:rsidR="00882079" w:rsidRPr="004A29F9">
        <w:rPr>
          <w:rFonts w:ascii="Times New Roman" w:hAnsi="Times New Roman" w:cs="Times New Roman"/>
          <w:sz w:val="22"/>
          <w:szCs w:val="22"/>
          <w:lang w:val="en-GB"/>
        </w:rPr>
        <w:t xml:space="preserve"> an</w:t>
      </w:r>
      <w:r w:rsidR="00760C61" w:rsidRPr="004A29F9">
        <w:rPr>
          <w:rFonts w:ascii="Times New Roman" w:hAnsi="Times New Roman" w:cs="Times New Roman"/>
          <w:sz w:val="22"/>
          <w:szCs w:val="22"/>
          <w:lang w:val="en-GB"/>
        </w:rPr>
        <w:t xml:space="preserve">d are largely </w:t>
      </w:r>
      <w:r w:rsidR="00760C61" w:rsidRPr="004F2FAA">
        <w:rPr>
          <w:rFonts w:ascii="Times New Roman" w:hAnsi="Times New Roman" w:cs="Times New Roman"/>
          <w:i/>
          <w:sz w:val="22"/>
          <w:szCs w:val="22"/>
          <w:lang w:val="en-GB"/>
        </w:rPr>
        <w:t xml:space="preserve">ad hoc </w:t>
      </w:r>
      <w:r w:rsidR="00760C61" w:rsidRPr="004A29F9">
        <w:rPr>
          <w:rFonts w:ascii="Times New Roman" w:hAnsi="Times New Roman" w:cs="Times New Roman"/>
          <w:sz w:val="22"/>
          <w:szCs w:val="22"/>
          <w:lang w:val="en-GB"/>
        </w:rPr>
        <w:t>in nature.</w:t>
      </w:r>
      <w:r w:rsidR="00760C61" w:rsidRPr="004A29F9">
        <w:rPr>
          <w:rStyle w:val="FootnoteReference"/>
          <w:rFonts w:ascii="Times New Roman" w:hAnsi="Times New Roman" w:cs="Times New Roman"/>
          <w:sz w:val="22"/>
          <w:szCs w:val="22"/>
          <w:lang w:val="en-GB"/>
        </w:rPr>
        <w:footnoteReference w:id="85"/>
      </w:r>
      <w:r w:rsidR="00B11C22" w:rsidRPr="004A29F9">
        <w:rPr>
          <w:rFonts w:ascii="Times New Roman" w:hAnsi="Times New Roman" w:cs="Times New Roman"/>
          <w:sz w:val="22"/>
          <w:szCs w:val="22"/>
          <w:lang w:val="en-GB"/>
        </w:rPr>
        <w:t>According</w:t>
      </w:r>
      <w:r w:rsidR="00DD230C" w:rsidRPr="004A29F9">
        <w:rPr>
          <w:rFonts w:ascii="Times New Roman" w:hAnsi="Times New Roman" w:cs="Times New Roman"/>
          <w:sz w:val="22"/>
          <w:szCs w:val="22"/>
          <w:lang w:val="en-GB"/>
        </w:rPr>
        <w:t xml:space="preserve"> to the Deputy Minister of Justice, legal aid will be a</w:t>
      </w:r>
      <w:r w:rsidR="004F2FAA">
        <w:rPr>
          <w:rFonts w:ascii="Times New Roman" w:hAnsi="Times New Roman" w:cs="Times New Roman"/>
          <w:sz w:val="22"/>
          <w:szCs w:val="22"/>
          <w:lang w:val="en-GB"/>
        </w:rPr>
        <w:t xml:space="preserve"> continuing priority in 2013. The rule of law conference scheduled for later this year</w:t>
      </w:r>
      <w:r w:rsidR="00DD230C" w:rsidRPr="004A29F9">
        <w:rPr>
          <w:rFonts w:ascii="Times New Roman" w:hAnsi="Times New Roman" w:cs="Times New Roman"/>
          <w:sz w:val="22"/>
          <w:szCs w:val="22"/>
          <w:lang w:val="en-GB"/>
        </w:rPr>
        <w:t xml:space="preserve"> is hoped to be a turning point for this issue.</w:t>
      </w:r>
    </w:p>
    <w:p w:rsidR="00741913" w:rsidRDefault="00741913" w:rsidP="00FB6759">
      <w:pPr>
        <w:spacing w:after="0" w:line="240" w:lineRule="auto"/>
        <w:jc w:val="both"/>
        <w:rPr>
          <w:rFonts w:ascii="Times New Roman" w:hAnsi="Times New Roman" w:cs="Times New Roman"/>
          <w:sz w:val="22"/>
          <w:szCs w:val="22"/>
          <w:lang w:val="en-GB"/>
        </w:rPr>
      </w:pPr>
    </w:p>
    <w:p w:rsidR="003B000D" w:rsidRPr="004A29F9" w:rsidRDefault="00532CB2"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UNDP has </w:t>
      </w:r>
      <w:r w:rsidR="004F2FAA">
        <w:rPr>
          <w:rFonts w:ascii="Times New Roman" w:hAnsi="Times New Roman" w:cs="Times New Roman"/>
          <w:sz w:val="22"/>
          <w:szCs w:val="22"/>
          <w:lang w:val="en-GB"/>
        </w:rPr>
        <w:t xml:space="preserve">also </w:t>
      </w:r>
      <w:r w:rsidRPr="004A29F9">
        <w:rPr>
          <w:rFonts w:ascii="Times New Roman" w:hAnsi="Times New Roman" w:cs="Times New Roman"/>
          <w:sz w:val="22"/>
          <w:szCs w:val="22"/>
          <w:lang w:val="en-GB"/>
        </w:rPr>
        <w:t>supported the process of pass</w:t>
      </w:r>
      <w:r w:rsidR="00E70D75" w:rsidRPr="004A29F9">
        <w:rPr>
          <w:rFonts w:ascii="Times New Roman" w:hAnsi="Times New Roman" w:cs="Times New Roman"/>
          <w:sz w:val="22"/>
          <w:szCs w:val="22"/>
          <w:lang w:val="en-GB"/>
        </w:rPr>
        <w:t xml:space="preserve">age </w:t>
      </w:r>
      <w:r w:rsidR="004F2FAA">
        <w:rPr>
          <w:rFonts w:ascii="Times New Roman" w:hAnsi="Times New Roman" w:cs="Times New Roman"/>
          <w:sz w:val="22"/>
          <w:szCs w:val="22"/>
          <w:lang w:val="en-GB"/>
        </w:rPr>
        <w:t>of the Legal Aid Law</w:t>
      </w:r>
      <w:r w:rsidRPr="004A29F9">
        <w:rPr>
          <w:rFonts w:ascii="Times New Roman" w:hAnsi="Times New Roman" w:cs="Times New Roman"/>
          <w:sz w:val="22"/>
          <w:szCs w:val="22"/>
          <w:lang w:val="en-GB"/>
        </w:rPr>
        <w:t xml:space="preserve"> that guarantees </w:t>
      </w:r>
      <w:r w:rsidR="00944FCA" w:rsidRPr="004A29F9">
        <w:rPr>
          <w:rFonts w:ascii="Times New Roman" w:hAnsi="Times New Roman" w:cs="Times New Roman"/>
          <w:sz w:val="22"/>
          <w:szCs w:val="22"/>
          <w:lang w:val="en-GB"/>
        </w:rPr>
        <w:t xml:space="preserve">a </w:t>
      </w:r>
      <w:r w:rsidR="004F2FAA">
        <w:rPr>
          <w:rFonts w:ascii="Times New Roman" w:hAnsi="Times New Roman" w:cs="Times New Roman"/>
          <w:sz w:val="22"/>
          <w:szCs w:val="22"/>
          <w:lang w:val="en-GB"/>
        </w:rPr>
        <w:t>right of free criminal defens</w:t>
      </w:r>
      <w:r w:rsidRPr="004A29F9">
        <w:rPr>
          <w:rFonts w:ascii="Times New Roman" w:hAnsi="Times New Roman" w:cs="Times New Roman"/>
          <w:sz w:val="22"/>
          <w:szCs w:val="22"/>
          <w:lang w:val="en-GB"/>
        </w:rPr>
        <w:t>e i</w:t>
      </w:r>
      <w:r w:rsidR="004F2FAA">
        <w:rPr>
          <w:rFonts w:ascii="Times New Roman" w:hAnsi="Times New Roman" w:cs="Times New Roman"/>
          <w:sz w:val="22"/>
          <w:szCs w:val="22"/>
          <w:lang w:val="en-GB"/>
        </w:rPr>
        <w:t xml:space="preserve">n certain categories of crimes </w:t>
      </w:r>
      <w:r w:rsidRPr="004A29F9">
        <w:rPr>
          <w:rFonts w:ascii="Times New Roman" w:hAnsi="Times New Roman" w:cs="Times New Roman"/>
          <w:sz w:val="22"/>
          <w:szCs w:val="22"/>
          <w:lang w:val="en-GB"/>
        </w:rPr>
        <w:t xml:space="preserve">(felonies and misdemeanours carrying sentence of </w:t>
      </w:r>
      <w:r w:rsidR="00944FCA" w:rsidRPr="004A29F9">
        <w:rPr>
          <w:rFonts w:ascii="Times New Roman" w:hAnsi="Times New Roman" w:cs="Times New Roman"/>
          <w:sz w:val="22"/>
          <w:szCs w:val="22"/>
          <w:lang w:val="en-GB"/>
        </w:rPr>
        <w:t>one year or more</w:t>
      </w:r>
      <w:r w:rsidRPr="004A29F9">
        <w:rPr>
          <w:rFonts w:ascii="Times New Roman" w:hAnsi="Times New Roman" w:cs="Times New Roman"/>
          <w:sz w:val="22"/>
          <w:szCs w:val="22"/>
          <w:lang w:val="en-GB"/>
        </w:rPr>
        <w:t>) in a reliable sy</w:t>
      </w:r>
      <w:r w:rsidR="00944FCA" w:rsidRPr="004A29F9">
        <w:rPr>
          <w:rFonts w:ascii="Times New Roman" w:hAnsi="Times New Roman" w:cs="Times New Roman"/>
          <w:sz w:val="22"/>
          <w:szCs w:val="22"/>
          <w:lang w:val="en-GB"/>
        </w:rPr>
        <w:t xml:space="preserve">stem funded by the </w:t>
      </w:r>
      <w:r w:rsidR="00836BE4" w:rsidRPr="004A29F9">
        <w:rPr>
          <w:rFonts w:ascii="Times New Roman" w:hAnsi="Times New Roman" w:cs="Times New Roman"/>
          <w:sz w:val="22"/>
          <w:szCs w:val="22"/>
          <w:lang w:val="en-GB"/>
        </w:rPr>
        <w:t>PNA</w:t>
      </w:r>
      <w:r w:rsidR="004F2FAA">
        <w:rPr>
          <w:rFonts w:ascii="Times New Roman" w:hAnsi="Times New Roman" w:cs="Times New Roman"/>
          <w:sz w:val="22"/>
          <w:szCs w:val="22"/>
          <w:lang w:val="en-GB"/>
        </w:rPr>
        <w:t xml:space="preserve">. </w:t>
      </w:r>
      <w:r w:rsidR="00944FCA" w:rsidRPr="004A29F9">
        <w:rPr>
          <w:rFonts w:ascii="Times New Roman" w:hAnsi="Times New Roman" w:cs="Times New Roman"/>
          <w:sz w:val="22"/>
          <w:szCs w:val="22"/>
          <w:lang w:val="en-GB"/>
        </w:rPr>
        <w:t xml:space="preserve">According to UNDP, the draft law is </w:t>
      </w:r>
      <w:r w:rsidRPr="004A29F9">
        <w:rPr>
          <w:rFonts w:ascii="Times New Roman" w:hAnsi="Times New Roman" w:cs="Times New Roman"/>
          <w:sz w:val="22"/>
          <w:szCs w:val="22"/>
          <w:lang w:val="en-GB"/>
        </w:rPr>
        <w:t xml:space="preserve">still not in compliance with international standards and </w:t>
      </w:r>
      <w:r w:rsidR="00944FCA" w:rsidRPr="004A29F9">
        <w:rPr>
          <w:rFonts w:ascii="Times New Roman" w:hAnsi="Times New Roman" w:cs="Times New Roman"/>
          <w:sz w:val="22"/>
          <w:szCs w:val="22"/>
          <w:lang w:val="en-GB"/>
        </w:rPr>
        <w:t>UNDP has arg</w:t>
      </w:r>
      <w:r w:rsidRPr="004A29F9">
        <w:rPr>
          <w:rFonts w:ascii="Times New Roman" w:hAnsi="Times New Roman" w:cs="Times New Roman"/>
          <w:sz w:val="22"/>
          <w:szCs w:val="22"/>
          <w:lang w:val="en-GB"/>
        </w:rPr>
        <w:t xml:space="preserve">ued for legal aid </w:t>
      </w:r>
      <w:r w:rsidR="00944FCA" w:rsidRPr="004A29F9">
        <w:rPr>
          <w:rFonts w:ascii="Times New Roman" w:hAnsi="Times New Roman" w:cs="Times New Roman"/>
          <w:sz w:val="22"/>
          <w:szCs w:val="22"/>
          <w:lang w:val="en-GB"/>
        </w:rPr>
        <w:t xml:space="preserve">to be available </w:t>
      </w:r>
      <w:r w:rsidRPr="004A29F9">
        <w:rPr>
          <w:rFonts w:ascii="Times New Roman" w:hAnsi="Times New Roman" w:cs="Times New Roman"/>
          <w:sz w:val="22"/>
          <w:szCs w:val="22"/>
          <w:lang w:val="en-GB"/>
        </w:rPr>
        <w:t xml:space="preserve">at all stages of the criminal </w:t>
      </w:r>
      <w:r w:rsidR="00897990" w:rsidRPr="004A29F9">
        <w:rPr>
          <w:rFonts w:ascii="Times New Roman" w:hAnsi="Times New Roman" w:cs="Times New Roman"/>
          <w:sz w:val="22"/>
          <w:szCs w:val="22"/>
          <w:lang w:val="en-GB"/>
        </w:rPr>
        <w:t xml:space="preserve">justice </w:t>
      </w:r>
      <w:r w:rsidRPr="004A29F9">
        <w:rPr>
          <w:rFonts w:ascii="Times New Roman" w:hAnsi="Times New Roman" w:cs="Times New Roman"/>
          <w:sz w:val="22"/>
          <w:szCs w:val="22"/>
          <w:lang w:val="en-GB"/>
        </w:rPr>
        <w:t>process (i.e. police detention; pre-trial custody, etc</w:t>
      </w:r>
      <w:r w:rsidR="00944FCA" w:rsidRPr="004A29F9">
        <w:rPr>
          <w:rFonts w:ascii="Times New Roman" w:hAnsi="Times New Roman" w:cs="Times New Roman"/>
          <w:sz w:val="22"/>
          <w:szCs w:val="22"/>
          <w:lang w:val="en-GB"/>
        </w:rPr>
        <w:t>.)</w:t>
      </w:r>
      <w:r w:rsidR="006B226A" w:rsidRPr="004A29F9">
        <w:rPr>
          <w:rFonts w:ascii="Times New Roman" w:hAnsi="Times New Roman" w:cs="Times New Roman"/>
          <w:sz w:val="22"/>
          <w:szCs w:val="22"/>
          <w:lang w:val="en-GB"/>
        </w:rPr>
        <w:t xml:space="preserve"> and that definitions of eligibility be expanded to victims of crime an</w:t>
      </w:r>
      <w:r w:rsidR="004F2FAA">
        <w:rPr>
          <w:rFonts w:ascii="Times New Roman" w:hAnsi="Times New Roman" w:cs="Times New Roman"/>
          <w:sz w:val="22"/>
          <w:szCs w:val="22"/>
          <w:lang w:val="en-GB"/>
        </w:rPr>
        <w:t xml:space="preserve">d priority civil areas such as </w:t>
      </w:r>
      <w:r w:rsidR="004F2FAA" w:rsidRPr="004F2FAA">
        <w:rPr>
          <w:rFonts w:ascii="Times New Roman" w:hAnsi="Times New Roman" w:cs="Times New Roman"/>
          <w:i/>
          <w:sz w:val="22"/>
          <w:szCs w:val="22"/>
          <w:lang w:val="en-GB"/>
        </w:rPr>
        <w:t>s</w:t>
      </w:r>
      <w:r w:rsidR="006B226A" w:rsidRPr="004F2FAA">
        <w:rPr>
          <w:rFonts w:ascii="Times New Roman" w:hAnsi="Times New Roman" w:cs="Times New Roman"/>
          <w:i/>
          <w:sz w:val="22"/>
          <w:szCs w:val="22"/>
          <w:lang w:val="en-GB"/>
        </w:rPr>
        <w:t>hari’a</w:t>
      </w:r>
      <w:r w:rsidR="004F2FAA">
        <w:rPr>
          <w:rFonts w:ascii="Times New Roman" w:hAnsi="Times New Roman" w:cs="Times New Roman"/>
          <w:sz w:val="22"/>
          <w:szCs w:val="22"/>
          <w:lang w:val="en-GB"/>
        </w:rPr>
        <w:t xml:space="preserve"> court proceedings and</w:t>
      </w:r>
      <w:r w:rsidR="006B226A" w:rsidRPr="004A29F9">
        <w:rPr>
          <w:rFonts w:ascii="Times New Roman" w:hAnsi="Times New Roman" w:cs="Times New Roman"/>
          <w:sz w:val="22"/>
          <w:szCs w:val="22"/>
          <w:lang w:val="en-GB"/>
        </w:rPr>
        <w:t xml:space="preserve"> housing, land and property violations related to the Israeli occupation</w:t>
      </w:r>
      <w:r w:rsidR="004F2FAA">
        <w:rPr>
          <w:rFonts w:ascii="Times New Roman" w:hAnsi="Times New Roman" w:cs="Times New Roman"/>
          <w:sz w:val="22"/>
          <w:szCs w:val="22"/>
          <w:lang w:val="en-GB"/>
        </w:rPr>
        <w:t xml:space="preserve">. </w:t>
      </w:r>
      <w:r w:rsidR="006B226A" w:rsidRPr="004A29F9">
        <w:rPr>
          <w:rFonts w:ascii="Times New Roman" w:hAnsi="Times New Roman" w:cs="Times New Roman"/>
          <w:sz w:val="22"/>
          <w:szCs w:val="22"/>
          <w:lang w:val="en-GB"/>
        </w:rPr>
        <w:t>Aside from eligibility of cases, there are also issues around the exclusion of CSOs in both the development</w:t>
      </w:r>
      <w:r w:rsidR="004F2FAA">
        <w:rPr>
          <w:rFonts w:ascii="Times New Roman" w:hAnsi="Times New Roman" w:cs="Times New Roman"/>
          <w:sz w:val="22"/>
          <w:szCs w:val="22"/>
          <w:lang w:val="en-GB"/>
        </w:rPr>
        <w:t xml:space="preserve"> of the draft law and from the b</w:t>
      </w:r>
      <w:r w:rsidR="006B226A" w:rsidRPr="004A29F9">
        <w:rPr>
          <w:rFonts w:ascii="Times New Roman" w:hAnsi="Times New Roman" w:cs="Times New Roman"/>
          <w:sz w:val="22"/>
          <w:szCs w:val="22"/>
          <w:lang w:val="en-GB"/>
        </w:rPr>
        <w:t xml:space="preserve">oard established under the draft law plus also issues around who is eligible to be a legal aid provider </w:t>
      </w:r>
      <w:r w:rsidR="004F2FAA">
        <w:rPr>
          <w:rFonts w:ascii="Times New Roman" w:hAnsi="Times New Roman" w:cs="Times New Roman"/>
          <w:sz w:val="22"/>
          <w:szCs w:val="22"/>
          <w:lang w:val="en-GB"/>
        </w:rPr>
        <w:t xml:space="preserve">(at present it assumes only </w:t>
      </w:r>
      <w:r w:rsidR="006B226A" w:rsidRPr="004A29F9">
        <w:rPr>
          <w:rFonts w:ascii="Times New Roman" w:hAnsi="Times New Roman" w:cs="Times New Roman"/>
          <w:sz w:val="22"/>
          <w:szCs w:val="22"/>
          <w:lang w:val="en-GB"/>
        </w:rPr>
        <w:t>private lawyers but not CSOs or even PBA lawyers employed by CSOs and no consideration</w:t>
      </w:r>
      <w:r w:rsidR="004F2FAA">
        <w:rPr>
          <w:rFonts w:ascii="Times New Roman" w:hAnsi="Times New Roman" w:cs="Times New Roman"/>
          <w:sz w:val="22"/>
          <w:szCs w:val="22"/>
          <w:lang w:val="en-GB"/>
        </w:rPr>
        <w:t xml:space="preserve"> given to university clinics. </w:t>
      </w:r>
      <w:r w:rsidR="00944FCA" w:rsidRPr="004A29F9">
        <w:rPr>
          <w:rFonts w:ascii="Times New Roman" w:hAnsi="Times New Roman" w:cs="Times New Roman"/>
          <w:sz w:val="22"/>
          <w:szCs w:val="22"/>
          <w:lang w:val="en-GB"/>
        </w:rPr>
        <w:t>Many CSOs have not engaged heavily on issues related to the draft law as yet</w:t>
      </w:r>
      <w:r w:rsidR="006B226A" w:rsidRPr="004A29F9">
        <w:rPr>
          <w:rFonts w:ascii="Times New Roman" w:hAnsi="Times New Roman" w:cs="Times New Roman"/>
          <w:sz w:val="22"/>
          <w:szCs w:val="22"/>
          <w:lang w:val="en-GB"/>
        </w:rPr>
        <w:t>.</w:t>
      </w:r>
    </w:p>
    <w:p w:rsidR="00741913" w:rsidRDefault="00741913" w:rsidP="00FB6759">
      <w:pPr>
        <w:spacing w:after="0" w:line="240" w:lineRule="auto"/>
        <w:jc w:val="both"/>
        <w:rPr>
          <w:rFonts w:ascii="Times New Roman" w:hAnsi="Times New Roman" w:cs="Times New Roman"/>
          <w:sz w:val="22"/>
          <w:szCs w:val="22"/>
          <w:lang w:val="en-GB"/>
        </w:rPr>
      </w:pPr>
    </w:p>
    <w:p w:rsidR="00532CB2" w:rsidRPr="004A29F9" w:rsidRDefault="004F2FAA"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There is a clear need for MO</w:t>
      </w:r>
      <w:r w:rsidR="00944FCA" w:rsidRPr="004A29F9">
        <w:rPr>
          <w:rFonts w:ascii="Times New Roman" w:hAnsi="Times New Roman" w:cs="Times New Roman"/>
          <w:sz w:val="22"/>
          <w:szCs w:val="22"/>
          <w:lang w:val="en-GB"/>
        </w:rPr>
        <w:t>J to more carefully consider the sustainability issues of such a legal aid system and take into account internatio</w:t>
      </w:r>
      <w:r>
        <w:rPr>
          <w:rFonts w:ascii="Times New Roman" w:hAnsi="Times New Roman" w:cs="Times New Roman"/>
          <w:sz w:val="22"/>
          <w:szCs w:val="22"/>
          <w:lang w:val="en-GB"/>
        </w:rPr>
        <w:t xml:space="preserve">nal best practice and models. </w:t>
      </w:r>
      <w:r w:rsidR="00944FCA" w:rsidRPr="004A29F9">
        <w:rPr>
          <w:rFonts w:ascii="Times New Roman" w:hAnsi="Times New Roman" w:cs="Times New Roman"/>
          <w:sz w:val="22"/>
          <w:szCs w:val="22"/>
          <w:lang w:val="en-GB"/>
        </w:rPr>
        <w:t xml:space="preserve">As </w:t>
      </w:r>
      <w:r>
        <w:rPr>
          <w:rFonts w:ascii="Times New Roman" w:hAnsi="Times New Roman" w:cs="Times New Roman"/>
          <w:sz w:val="22"/>
          <w:szCs w:val="22"/>
          <w:lang w:val="en-GB"/>
        </w:rPr>
        <w:t>of 2012, UNDP’s work with the MO</w:t>
      </w:r>
      <w:r w:rsidR="00944FCA" w:rsidRPr="004A29F9">
        <w:rPr>
          <w:rFonts w:ascii="Times New Roman" w:hAnsi="Times New Roman" w:cs="Times New Roman"/>
          <w:sz w:val="22"/>
          <w:szCs w:val="22"/>
          <w:lang w:val="en-GB"/>
        </w:rPr>
        <w:t>J and t</w:t>
      </w:r>
      <w:r>
        <w:rPr>
          <w:rFonts w:ascii="Times New Roman" w:hAnsi="Times New Roman" w:cs="Times New Roman"/>
          <w:sz w:val="22"/>
          <w:szCs w:val="22"/>
          <w:lang w:val="en-GB"/>
        </w:rPr>
        <w:t>he PBA</w:t>
      </w:r>
      <w:r w:rsidR="00944FCA" w:rsidRPr="004A29F9">
        <w:rPr>
          <w:rFonts w:ascii="Times New Roman" w:hAnsi="Times New Roman" w:cs="Times New Roman"/>
          <w:sz w:val="22"/>
          <w:szCs w:val="22"/>
          <w:lang w:val="en-GB"/>
        </w:rPr>
        <w:t xml:space="preserve"> had begun to create the beginnings of </w:t>
      </w:r>
      <w:r w:rsidR="0015403D" w:rsidRPr="004A29F9">
        <w:rPr>
          <w:rFonts w:ascii="Times New Roman" w:hAnsi="Times New Roman" w:cs="Times New Roman"/>
          <w:sz w:val="22"/>
          <w:szCs w:val="22"/>
          <w:lang w:val="en-GB"/>
        </w:rPr>
        <w:t xml:space="preserve">a </w:t>
      </w:r>
      <w:r w:rsidR="0015403D" w:rsidRPr="004A29F9">
        <w:rPr>
          <w:rFonts w:ascii="Times New Roman" w:hAnsi="Times New Roman" w:cs="Times New Roman"/>
          <w:i/>
          <w:sz w:val="22"/>
          <w:szCs w:val="22"/>
          <w:lang w:val="en-GB"/>
        </w:rPr>
        <w:t>pro bono</w:t>
      </w:r>
      <w:r>
        <w:rPr>
          <w:rFonts w:ascii="Times New Roman" w:hAnsi="Times New Roman" w:cs="Times New Roman"/>
          <w:sz w:val="22"/>
          <w:szCs w:val="22"/>
          <w:lang w:val="en-GB"/>
        </w:rPr>
        <w:t xml:space="preserve"> l</w:t>
      </w:r>
      <w:r w:rsidR="00532CB2" w:rsidRPr="004A29F9">
        <w:rPr>
          <w:rFonts w:ascii="Times New Roman" w:hAnsi="Times New Roman" w:cs="Times New Roman"/>
          <w:sz w:val="22"/>
          <w:szCs w:val="22"/>
          <w:lang w:val="en-GB"/>
        </w:rPr>
        <w:t>egal culture</w:t>
      </w:r>
      <w:r w:rsidR="00B11C22" w:rsidRPr="004A29F9">
        <w:rPr>
          <w:rFonts w:ascii="Times New Roman" w:hAnsi="Times New Roman" w:cs="Times New Roman"/>
          <w:sz w:val="22"/>
          <w:szCs w:val="22"/>
          <w:lang w:val="en-GB"/>
        </w:rPr>
        <w:t xml:space="preserve"> in</w:t>
      </w:r>
      <w:r w:rsidR="00227679">
        <w:rPr>
          <w:rFonts w:ascii="Times New Roman" w:hAnsi="Times New Roman" w:cs="Times New Roman"/>
          <w:sz w:val="22"/>
          <w:szCs w:val="22"/>
          <w:lang w:val="en-GB"/>
        </w:rPr>
        <w:t xml:space="preserve"> </w:t>
      </w:r>
      <w:r>
        <w:rPr>
          <w:rFonts w:ascii="Times New Roman" w:hAnsi="Times New Roman" w:cs="Times New Roman"/>
          <w:sz w:val="22"/>
          <w:szCs w:val="22"/>
          <w:lang w:val="en-GB"/>
        </w:rPr>
        <w:t xml:space="preserve">the </w:t>
      </w:r>
      <w:r w:rsidR="00DE216A" w:rsidRPr="004A29F9">
        <w:rPr>
          <w:rFonts w:ascii="Times New Roman" w:hAnsi="Times New Roman" w:cs="Times New Roman"/>
          <w:sz w:val="22"/>
          <w:szCs w:val="22"/>
          <w:lang w:val="en-GB"/>
        </w:rPr>
        <w:t>oPt</w:t>
      </w:r>
      <w:r w:rsidR="00944FCA" w:rsidRPr="004A29F9">
        <w:rPr>
          <w:rFonts w:ascii="Times New Roman" w:hAnsi="Times New Roman" w:cs="Times New Roman"/>
          <w:sz w:val="22"/>
          <w:szCs w:val="22"/>
          <w:lang w:val="en-GB"/>
        </w:rPr>
        <w:t>.</w:t>
      </w:r>
      <w:r w:rsidR="00227679">
        <w:rPr>
          <w:rFonts w:ascii="Times New Roman" w:hAnsi="Times New Roman" w:cs="Times New Roman"/>
          <w:sz w:val="22"/>
          <w:szCs w:val="22"/>
          <w:lang w:val="en-GB"/>
        </w:rPr>
        <w:t xml:space="preserve"> </w:t>
      </w:r>
      <w:r w:rsidR="003B000D" w:rsidRPr="004A29F9">
        <w:rPr>
          <w:rFonts w:ascii="Times New Roman" w:hAnsi="Times New Roman" w:cs="Times New Roman"/>
          <w:sz w:val="22"/>
          <w:szCs w:val="22"/>
          <w:lang w:val="en-GB"/>
        </w:rPr>
        <w:t>UNDP</w:t>
      </w:r>
      <w:r>
        <w:rPr>
          <w:rFonts w:ascii="Times New Roman" w:hAnsi="Times New Roman" w:cs="Times New Roman"/>
          <w:sz w:val="22"/>
          <w:szCs w:val="22"/>
          <w:lang w:val="en-GB"/>
        </w:rPr>
        <w:t>’</w:t>
      </w:r>
      <w:r w:rsidR="003B000D" w:rsidRPr="004A29F9">
        <w:rPr>
          <w:rFonts w:ascii="Times New Roman" w:hAnsi="Times New Roman" w:cs="Times New Roman"/>
          <w:sz w:val="22"/>
          <w:szCs w:val="22"/>
          <w:lang w:val="en-GB"/>
        </w:rPr>
        <w:t xml:space="preserve">s support to the </w:t>
      </w:r>
      <w:r w:rsidR="00532CB2" w:rsidRPr="004A29F9">
        <w:rPr>
          <w:rFonts w:ascii="Times New Roman" w:hAnsi="Times New Roman" w:cs="Times New Roman"/>
          <w:sz w:val="22"/>
          <w:szCs w:val="22"/>
          <w:lang w:val="en-GB"/>
        </w:rPr>
        <w:t xml:space="preserve">“Justice for the Future” </w:t>
      </w:r>
      <w:r w:rsidR="00B11C22" w:rsidRPr="004A29F9">
        <w:rPr>
          <w:rFonts w:ascii="Times New Roman" w:hAnsi="Times New Roman" w:cs="Times New Roman"/>
          <w:sz w:val="22"/>
          <w:szCs w:val="22"/>
          <w:lang w:val="en-GB"/>
        </w:rPr>
        <w:t>project and</w:t>
      </w:r>
      <w:r w:rsidR="003B000D" w:rsidRPr="004A29F9">
        <w:rPr>
          <w:rFonts w:ascii="Times New Roman" w:hAnsi="Times New Roman" w:cs="Times New Roman"/>
          <w:sz w:val="22"/>
          <w:szCs w:val="22"/>
          <w:lang w:val="en-GB"/>
        </w:rPr>
        <w:t xml:space="preserve"> law clinics is also part of this process.</w:t>
      </w:r>
      <w:r w:rsidR="00FD3C19">
        <w:rPr>
          <w:rFonts w:ascii="Times New Roman" w:hAnsi="Times New Roman" w:cs="Times New Roman"/>
          <w:sz w:val="22"/>
          <w:szCs w:val="22"/>
          <w:lang w:val="en-GB"/>
        </w:rPr>
        <w:t xml:space="preserve"> </w:t>
      </w:r>
      <w:r w:rsidR="003B000D" w:rsidRPr="004A29F9">
        <w:rPr>
          <w:rFonts w:ascii="Times New Roman" w:hAnsi="Times New Roman" w:cs="Times New Roman"/>
          <w:sz w:val="22"/>
          <w:szCs w:val="22"/>
          <w:lang w:val="en-GB"/>
        </w:rPr>
        <w:t>Going forward, m</w:t>
      </w:r>
      <w:r w:rsidR="00532CB2" w:rsidRPr="004A29F9">
        <w:rPr>
          <w:rFonts w:ascii="Times New Roman" w:hAnsi="Times New Roman" w:cs="Times New Roman"/>
          <w:sz w:val="22"/>
          <w:szCs w:val="22"/>
          <w:lang w:val="en-GB"/>
        </w:rPr>
        <w:t xml:space="preserve">ore work needs to be done on how the legal profession </w:t>
      </w:r>
      <w:r w:rsidR="00532CB2" w:rsidRPr="004A29F9">
        <w:rPr>
          <w:rFonts w:ascii="Times New Roman" w:hAnsi="Times New Roman" w:cs="Times New Roman"/>
          <w:i/>
          <w:sz w:val="22"/>
          <w:szCs w:val="22"/>
          <w:lang w:val="en-GB"/>
        </w:rPr>
        <w:t xml:space="preserve">itself </w:t>
      </w:r>
      <w:r w:rsidR="00532CB2" w:rsidRPr="004A29F9">
        <w:rPr>
          <w:rFonts w:ascii="Times New Roman" w:hAnsi="Times New Roman" w:cs="Times New Roman"/>
          <w:sz w:val="22"/>
          <w:szCs w:val="22"/>
          <w:lang w:val="en-GB"/>
        </w:rPr>
        <w:t>can contribute to sustainability</w:t>
      </w:r>
      <w:r w:rsidR="0085061C" w:rsidRPr="004A29F9">
        <w:rPr>
          <w:rFonts w:ascii="Times New Roman" w:hAnsi="Times New Roman" w:cs="Times New Roman"/>
          <w:sz w:val="22"/>
          <w:szCs w:val="22"/>
          <w:lang w:val="en-GB"/>
        </w:rPr>
        <w:t xml:space="preserve">, with issues of oversight and quality control of </w:t>
      </w:r>
      <w:r w:rsidR="0085061C" w:rsidRPr="004F2FAA">
        <w:rPr>
          <w:rFonts w:ascii="Times New Roman" w:hAnsi="Times New Roman" w:cs="Times New Roman"/>
          <w:i/>
          <w:sz w:val="22"/>
          <w:szCs w:val="22"/>
          <w:lang w:val="en-GB"/>
        </w:rPr>
        <w:t>pro bono</w:t>
      </w:r>
      <w:r w:rsidR="0085061C" w:rsidRPr="004A29F9">
        <w:rPr>
          <w:rFonts w:ascii="Times New Roman" w:hAnsi="Times New Roman" w:cs="Times New Roman"/>
          <w:sz w:val="22"/>
          <w:szCs w:val="22"/>
          <w:lang w:val="en-GB"/>
        </w:rPr>
        <w:t xml:space="preserve"> assistance being critical</w:t>
      </w:r>
      <w:r w:rsidR="00532CB2" w:rsidRPr="004A29F9">
        <w:rPr>
          <w:rFonts w:ascii="Times New Roman" w:hAnsi="Times New Roman" w:cs="Times New Roman"/>
          <w:sz w:val="22"/>
          <w:szCs w:val="22"/>
          <w:lang w:val="en-GB"/>
        </w:rPr>
        <w:t xml:space="preserve">.      </w:t>
      </w:r>
    </w:p>
    <w:p w:rsidR="00741913" w:rsidRDefault="00741913" w:rsidP="00FB6759">
      <w:pPr>
        <w:spacing w:after="0" w:line="240" w:lineRule="auto"/>
        <w:jc w:val="both"/>
        <w:rPr>
          <w:rFonts w:ascii="Times New Roman" w:hAnsi="Times New Roman" w:cs="Times New Roman"/>
          <w:sz w:val="22"/>
          <w:szCs w:val="22"/>
          <w:lang w:val="en-GB"/>
        </w:rPr>
      </w:pPr>
    </w:p>
    <w:p w:rsidR="00B93A83" w:rsidRDefault="00F25120"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There remains very little free legal aid in </w:t>
      </w:r>
      <w:r w:rsidR="004F2FAA">
        <w:rPr>
          <w:rFonts w:ascii="Times New Roman" w:hAnsi="Times New Roman" w:cs="Times New Roman"/>
          <w:sz w:val="22"/>
          <w:szCs w:val="22"/>
          <w:lang w:val="en-GB"/>
        </w:rPr>
        <w:t xml:space="preserve">the </w:t>
      </w:r>
      <w:r w:rsidR="00DE216A" w:rsidRPr="004A29F9">
        <w:rPr>
          <w:rFonts w:ascii="Times New Roman" w:hAnsi="Times New Roman" w:cs="Times New Roman"/>
          <w:sz w:val="22"/>
          <w:szCs w:val="22"/>
          <w:lang w:val="en-GB"/>
        </w:rPr>
        <w:t>oPt</w:t>
      </w:r>
      <w:r w:rsidR="004F2FAA">
        <w:rPr>
          <w:rFonts w:ascii="Times New Roman" w:hAnsi="Times New Roman" w:cs="Times New Roman"/>
          <w:sz w:val="22"/>
          <w:szCs w:val="22"/>
          <w:lang w:val="en-GB"/>
        </w:rPr>
        <w:t xml:space="preserve">. According to the 2011 UNDP </w:t>
      </w:r>
      <w:r w:rsidRPr="004A29F9">
        <w:rPr>
          <w:rFonts w:ascii="Times New Roman" w:hAnsi="Times New Roman" w:cs="Times New Roman"/>
          <w:sz w:val="22"/>
          <w:szCs w:val="22"/>
          <w:lang w:val="en-GB"/>
        </w:rPr>
        <w:t>study</w:t>
      </w:r>
      <w:r w:rsidR="004F2FAA">
        <w:rPr>
          <w:rFonts w:ascii="Times New Roman" w:hAnsi="Times New Roman" w:cs="Times New Roman"/>
          <w:sz w:val="22"/>
          <w:szCs w:val="22"/>
          <w:lang w:val="en-GB"/>
        </w:rPr>
        <w:t>,</w:t>
      </w:r>
      <w:r w:rsidRPr="004A29F9">
        <w:rPr>
          <w:rFonts w:ascii="Times New Roman" w:hAnsi="Times New Roman" w:cs="Times New Roman"/>
          <w:sz w:val="22"/>
          <w:szCs w:val="22"/>
          <w:lang w:val="en-GB"/>
        </w:rPr>
        <w:t xml:space="preserve"> the number of beneficiaries is still very low.</w:t>
      </w:r>
      <w:r w:rsidR="004F2FAA">
        <w:rPr>
          <w:rFonts w:ascii="Times New Roman" w:hAnsi="Times New Roman" w:cs="Times New Roman"/>
          <w:sz w:val="22"/>
          <w:szCs w:val="22"/>
          <w:lang w:val="en-GB"/>
        </w:rPr>
        <w:t xml:space="preserve"> The Legal Aid L</w:t>
      </w:r>
      <w:r w:rsidR="00B93A83" w:rsidRPr="004A29F9">
        <w:rPr>
          <w:rFonts w:ascii="Times New Roman" w:hAnsi="Times New Roman" w:cs="Times New Roman"/>
          <w:sz w:val="22"/>
          <w:szCs w:val="22"/>
          <w:lang w:val="en-GB"/>
        </w:rPr>
        <w:t>aw</w:t>
      </w:r>
      <w:r w:rsidRPr="004A29F9">
        <w:rPr>
          <w:rFonts w:ascii="Times New Roman" w:hAnsi="Times New Roman" w:cs="Times New Roman"/>
          <w:sz w:val="22"/>
          <w:szCs w:val="22"/>
          <w:lang w:val="en-GB"/>
        </w:rPr>
        <w:t>, however,</w:t>
      </w:r>
      <w:r w:rsidR="004F2FAA">
        <w:rPr>
          <w:rFonts w:ascii="Times New Roman" w:hAnsi="Times New Roman" w:cs="Times New Roman"/>
          <w:sz w:val="22"/>
          <w:szCs w:val="22"/>
          <w:lang w:val="en-GB"/>
        </w:rPr>
        <w:t xml:space="preserve"> has not yet been enacted</w:t>
      </w:r>
      <w:r w:rsidR="00B93A83" w:rsidRPr="004A29F9">
        <w:rPr>
          <w:rFonts w:ascii="Times New Roman" w:hAnsi="Times New Roman" w:cs="Times New Roman"/>
          <w:sz w:val="22"/>
          <w:szCs w:val="22"/>
          <w:lang w:val="en-GB"/>
        </w:rPr>
        <w:t>.</w:t>
      </w:r>
      <w:r w:rsidR="00E20236" w:rsidRPr="004A29F9">
        <w:rPr>
          <w:rStyle w:val="FootnoteReference"/>
          <w:rFonts w:ascii="Times New Roman" w:hAnsi="Times New Roman" w:cs="Times New Roman"/>
          <w:sz w:val="22"/>
          <w:szCs w:val="22"/>
          <w:lang w:val="en-GB"/>
        </w:rPr>
        <w:footnoteReference w:id="86"/>
      </w:r>
      <w:r w:rsidR="00B93A83" w:rsidRPr="004A29F9">
        <w:rPr>
          <w:rFonts w:ascii="Times New Roman" w:hAnsi="Times New Roman" w:cs="Times New Roman"/>
          <w:sz w:val="22"/>
          <w:szCs w:val="22"/>
          <w:lang w:val="en-GB"/>
        </w:rPr>
        <w:t xml:space="preserve">UNDP’s recent support to </w:t>
      </w:r>
      <w:r w:rsidR="004F2FAA">
        <w:rPr>
          <w:rFonts w:ascii="Times New Roman" w:hAnsi="Times New Roman" w:cs="Times New Roman"/>
          <w:sz w:val="22"/>
          <w:szCs w:val="22"/>
          <w:lang w:val="en-GB"/>
        </w:rPr>
        <w:t>the national legal aid c</w:t>
      </w:r>
      <w:r w:rsidR="009B0D6C" w:rsidRPr="004A29F9">
        <w:rPr>
          <w:rFonts w:ascii="Times New Roman" w:hAnsi="Times New Roman" w:cs="Times New Roman"/>
          <w:sz w:val="22"/>
          <w:szCs w:val="22"/>
          <w:lang w:val="en-GB"/>
        </w:rPr>
        <w:t>onference has helped to galva</w:t>
      </w:r>
      <w:r w:rsidR="004F2FAA">
        <w:rPr>
          <w:rFonts w:ascii="Times New Roman" w:hAnsi="Times New Roman" w:cs="Times New Roman"/>
          <w:sz w:val="22"/>
          <w:szCs w:val="22"/>
          <w:lang w:val="en-GB"/>
        </w:rPr>
        <w:t>nise the MO</w:t>
      </w:r>
      <w:r w:rsidR="009B0D6C" w:rsidRPr="004A29F9">
        <w:rPr>
          <w:rFonts w:ascii="Times New Roman" w:hAnsi="Times New Roman" w:cs="Times New Roman"/>
          <w:sz w:val="22"/>
          <w:szCs w:val="22"/>
          <w:lang w:val="en-GB"/>
        </w:rPr>
        <w:t>J and other rule of law stake</w:t>
      </w:r>
      <w:r w:rsidR="004F2FAA">
        <w:rPr>
          <w:rFonts w:ascii="Times New Roman" w:hAnsi="Times New Roman" w:cs="Times New Roman"/>
          <w:sz w:val="22"/>
          <w:szCs w:val="22"/>
          <w:lang w:val="en-GB"/>
        </w:rPr>
        <w:t>holders around the draft law</w:t>
      </w:r>
      <w:r w:rsidR="009B0D6C" w:rsidRPr="004A29F9">
        <w:rPr>
          <w:rFonts w:ascii="Times New Roman" w:hAnsi="Times New Roman" w:cs="Times New Roman"/>
          <w:sz w:val="22"/>
          <w:szCs w:val="22"/>
          <w:lang w:val="en-GB"/>
        </w:rPr>
        <w:t xml:space="preserve"> and laid the foundation f</w:t>
      </w:r>
      <w:r w:rsidR="004F2FAA">
        <w:rPr>
          <w:rFonts w:ascii="Times New Roman" w:hAnsi="Times New Roman" w:cs="Times New Roman"/>
          <w:sz w:val="22"/>
          <w:szCs w:val="22"/>
          <w:lang w:val="en-GB"/>
        </w:rPr>
        <w:t>or a comprehensive strategy on free legal a</w:t>
      </w:r>
      <w:r w:rsidR="009B0D6C" w:rsidRPr="004A29F9">
        <w:rPr>
          <w:rFonts w:ascii="Times New Roman" w:hAnsi="Times New Roman" w:cs="Times New Roman"/>
          <w:sz w:val="22"/>
          <w:szCs w:val="22"/>
          <w:lang w:val="en-GB"/>
        </w:rPr>
        <w:t>id going forward</w:t>
      </w:r>
      <w:r w:rsidR="004F2FAA">
        <w:rPr>
          <w:rFonts w:ascii="Times New Roman" w:hAnsi="Times New Roman" w:cs="Times New Roman"/>
          <w:sz w:val="22"/>
          <w:szCs w:val="22"/>
          <w:lang w:val="en-GB"/>
        </w:rPr>
        <w:t xml:space="preserve">. </w:t>
      </w:r>
      <w:r w:rsidR="00C664EA" w:rsidRPr="004A29F9">
        <w:rPr>
          <w:rFonts w:ascii="Times New Roman" w:hAnsi="Times New Roman" w:cs="Times New Roman"/>
          <w:sz w:val="22"/>
          <w:szCs w:val="22"/>
          <w:lang w:val="en-GB"/>
        </w:rPr>
        <w:t>The key recommendation of the conference was that a national committee on legal aid be established to develop a national legal aid policy.</w:t>
      </w:r>
    </w:p>
    <w:p w:rsidR="004F2FAA" w:rsidRPr="004A29F9" w:rsidRDefault="004F2FAA" w:rsidP="00FB6759">
      <w:pPr>
        <w:spacing w:after="0" w:line="240" w:lineRule="auto"/>
        <w:jc w:val="both"/>
        <w:rPr>
          <w:rFonts w:ascii="Times New Roman" w:hAnsi="Times New Roman" w:cs="Times New Roman"/>
          <w:sz w:val="22"/>
          <w:szCs w:val="22"/>
          <w:lang w:val="en-GB"/>
        </w:rPr>
      </w:pPr>
    </w:p>
    <w:p w:rsidR="002B00DE" w:rsidRDefault="00E20236"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The work of the </w:t>
      </w:r>
      <w:r w:rsidR="004F2FAA">
        <w:rPr>
          <w:rFonts w:ascii="Times New Roman" w:hAnsi="Times New Roman" w:cs="Times New Roman"/>
          <w:sz w:val="22"/>
          <w:szCs w:val="22"/>
          <w:lang w:val="en-GB"/>
        </w:rPr>
        <w:t>human rights u</w:t>
      </w:r>
      <w:r w:rsidR="00AD64A0" w:rsidRPr="004A29F9">
        <w:rPr>
          <w:rFonts w:ascii="Times New Roman" w:hAnsi="Times New Roman" w:cs="Times New Roman"/>
          <w:sz w:val="22"/>
          <w:szCs w:val="22"/>
          <w:lang w:val="en-GB"/>
        </w:rPr>
        <w:t>nit</w:t>
      </w:r>
      <w:r w:rsidR="004F2FAA">
        <w:rPr>
          <w:rFonts w:ascii="Times New Roman" w:hAnsi="Times New Roman" w:cs="Times New Roman"/>
          <w:sz w:val="22"/>
          <w:szCs w:val="22"/>
          <w:lang w:val="en-GB"/>
        </w:rPr>
        <w:t xml:space="preserve"> at the MO</w:t>
      </w:r>
      <w:r w:rsidRPr="004A29F9">
        <w:rPr>
          <w:rFonts w:ascii="Times New Roman" w:hAnsi="Times New Roman" w:cs="Times New Roman"/>
          <w:sz w:val="22"/>
          <w:szCs w:val="22"/>
          <w:lang w:val="en-GB"/>
        </w:rPr>
        <w:t>J has also b</w:t>
      </w:r>
      <w:r w:rsidR="004F2FAA">
        <w:rPr>
          <w:rFonts w:ascii="Times New Roman" w:hAnsi="Times New Roman" w:cs="Times New Roman"/>
          <w:sz w:val="22"/>
          <w:szCs w:val="22"/>
          <w:lang w:val="en-GB"/>
        </w:rPr>
        <w:t xml:space="preserve">een supported by the programme. </w:t>
      </w:r>
      <w:r w:rsidR="00AD64A0" w:rsidRPr="004A29F9">
        <w:rPr>
          <w:rFonts w:ascii="Times New Roman" w:hAnsi="Times New Roman" w:cs="Times New Roman"/>
          <w:sz w:val="22"/>
          <w:szCs w:val="22"/>
          <w:lang w:val="en-GB"/>
        </w:rPr>
        <w:t>The unit has a role in mon</w:t>
      </w:r>
      <w:r w:rsidR="004F2FAA">
        <w:rPr>
          <w:rFonts w:ascii="Times New Roman" w:hAnsi="Times New Roman" w:cs="Times New Roman"/>
          <w:sz w:val="22"/>
          <w:szCs w:val="22"/>
          <w:lang w:val="en-GB"/>
        </w:rPr>
        <w:t xml:space="preserve">itoring places of detention. </w:t>
      </w:r>
      <w:r w:rsidR="00AD64A0" w:rsidRPr="004A29F9">
        <w:rPr>
          <w:rFonts w:ascii="Times New Roman" w:hAnsi="Times New Roman" w:cs="Times New Roman"/>
          <w:sz w:val="22"/>
          <w:szCs w:val="22"/>
          <w:lang w:val="en-GB"/>
        </w:rPr>
        <w:t xml:space="preserve">While other donors such as Italy have engaged in capacity building for prisons in </w:t>
      </w:r>
      <w:r w:rsidR="002B00DE">
        <w:rPr>
          <w:rFonts w:ascii="Times New Roman" w:hAnsi="Times New Roman" w:cs="Times New Roman"/>
          <w:sz w:val="22"/>
          <w:szCs w:val="22"/>
          <w:lang w:val="en-GB"/>
        </w:rPr>
        <w:t xml:space="preserve">the </w:t>
      </w:r>
      <w:r w:rsidR="00AD64A0" w:rsidRPr="004A29F9">
        <w:rPr>
          <w:rFonts w:ascii="Times New Roman" w:hAnsi="Times New Roman" w:cs="Times New Roman"/>
          <w:sz w:val="22"/>
          <w:szCs w:val="22"/>
          <w:lang w:val="en-GB"/>
        </w:rPr>
        <w:t>oPt, it di</w:t>
      </w:r>
      <w:r w:rsidR="002B00DE">
        <w:rPr>
          <w:rFonts w:ascii="Times New Roman" w:hAnsi="Times New Roman" w:cs="Times New Roman"/>
          <w:sz w:val="22"/>
          <w:szCs w:val="22"/>
          <w:lang w:val="en-GB"/>
        </w:rPr>
        <w:t xml:space="preserve">d not lead to durable results. </w:t>
      </w:r>
      <w:r w:rsidR="00AD64A0" w:rsidRPr="004A29F9">
        <w:rPr>
          <w:rFonts w:ascii="Times New Roman" w:hAnsi="Times New Roman" w:cs="Times New Roman"/>
          <w:sz w:val="22"/>
          <w:szCs w:val="22"/>
          <w:lang w:val="en-GB"/>
        </w:rPr>
        <w:t>Thus, the pris</w:t>
      </w:r>
      <w:r w:rsidR="002B00DE">
        <w:rPr>
          <w:rFonts w:ascii="Times New Roman" w:hAnsi="Times New Roman" w:cs="Times New Roman"/>
          <w:sz w:val="22"/>
          <w:szCs w:val="22"/>
          <w:lang w:val="en-GB"/>
        </w:rPr>
        <w:t>ons inspection function of the human rights u</w:t>
      </w:r>
      <w:r w:rsidR="00AD64A0" w:rsidRPr="004A29F9">
        <w:rPr>
          <w:rFonts w:ascii="Times New Roman" w:hAnsi="Times New Roman" w:cs="Times New Roman"/>
          <w:sz w:val="22"/>
          <w:szCs w:val="22"/>
          <w:lang w:val="en-GB"/>
        </w:rPr>
        <w:t>nit</w:t>
      </w:r>
      <w:r w:rsidRPr="004A29F9">
        <w:rPr>
          <w:rFonts w:ascii="Times New Roman" w:hAnsi="Times New Roman" w:cs="Times New Roman"/>
          <w:sz w:val="22"/>
          <w:szCs w:val="22"/>
          <w:lang w:val="en-GB"/>
        </w:rPr>
        <w:t xml:space="preserve"> could be a possible area of heightened engagement going forward</w:t>
      </w:r>
      <w:r w:rsidR="002B00DE">
        <w:rPr>
          <w:rFonts w:ascii="Times New Roman" w:hAnsi="Times New Roman" w:cs="Times New Roman"/>
          <w:sz w:val="22"/>
          <w:szCs w:val="22"/>
          <w:lang w:val="en-GB"/>
        </w:rPr>
        <w:t>,</w:t>
      </w:r>
      <w:r w:rsidRPr="004A29F9">
        <w:rPr>
          <w:rFonts w:ascii="Times New Roman" w:hAnsi="Times New Roman" w:cs="Times New Roman"/>
          <w:sz w:val="22"/>
          <w:szCs w:val="22"/>
          <w:lang w:val="en-GB"/>
        </w:rPr>
        <w:t xml:space="preserve"> as this involves a point at which the civil justice and the military just</w:t>
      </w:r>
      <w:r w:rsidR="002B00DE">
        <w:rPr>
          <w:rFonts w:ascii="Times New Roman" w:hAnsi="Times New Roman" w:cs="Times New Roman"/>
          <w:sz w:val="22"/>
          <w:szCs w:val="22"/>
          <w:lang w:val="en-GB"/>
        </w:rPr>
        <w:t>ice systems intersect.</w:t>
      </w:r>
    </w:p>
    <w:p w:rsidR="006256A2" w:rsidRPr="002B00DE" w:rsidRDefault="006256A2" w:rsidP="00FB6759">
      <w:pPr>
        <w:spacing w:after="0" w:line="240" w:lineRule="auto"/>
        <w:jc w:val="both"/>
        <w:rPr>
          <w:rFonts w:ascii="Times New Roman" w:hAnsi="Times New Roman" w:cs="Times New Roman"/>
          <w:i/>
          <w:sz w:val="22"/>
          <w:szCs w:val="22"/>
          <w:lang w:val="en-GB"/>
        </w:rPr>
      </w:pPr>
      <w:r w:rsidRPr="002B00DE">
        <w:rPr>
          <w:rFonts w:ascii="Times New Roman" w:hAnsi="Times New Roman" w:cs="Times New Roman"/>
          <w:i/>
          <w:sz w:val="22"/>
          <w:szCs w:val="22"/>
          <w:lang w:val="en-GB"/>
        </w:rPr>
        <w:lastRenderedPageBreak/>
        <w:t xml:space="preserve">Output 1.5: </w:t>
      </w:r>
      <w:r w:rsidR="002B00DE">
        <w:rPr>
          <w:rFonts w:ascii="Times New Roman" w:hAnsi="Times New Roman" w:cs="Times New Roman"/>
          <w:i/>
          <w:sz w:val="22"/>
          <w:szCs w:val="22"/>
          <w:lang w:val="en-GB"/>
        </w:rPr>
        <w:t xml:space="preserve">Legislative </w:t>
      </w:r>
      <w:r w:rsidR="00DE4DF1" w:rsidRPr="002B00DE">
        <w:rPr>
          <w:rFonts w:ascii="Times New Roman" w:hAnsi="Times New Roman" w:cs="Times New Roman"/>
          <w:i/>
          <w:sz w:val="22"/>
          <w:szCs w:val="22"/>
          <w:lang w:val="en-GB"/>
        </w:rPr>
        <w:t>drafting</w:t>
      </w:r>
      <w:r w:rsidRPr="002B00DE">
        <w:rPr>
          <w:rFonts w:ascii="Times New Roman" w:hAnsi="Times New Roman" w:cs="Times New Roman"/>
          <w:i/>
          <w:sz w:val="22"/>
          <w:szCs w:val="22"/>
          <w:lang w:val="en-GB"/>
        </w:rPr>
        <w:t xml:space="preserve"> skills enhanced</w:t>
      </w:r>
    </w:p>
    <w:p w:rsidR="002B00DE" w:rsidRDefault="002B00DE" w:rsidP="00FB6759">
      <w:pPr>
        <w:spacing w:after="0" w:line="240" w:lineRule="auto"/>
        <w:jc w:val="both"/>
        <w:rPr>
          <w:rFonts w:ascii="Times New Roman" w:hAnsi="Times New Roman" w:cs="Times New Roman"/>
          <w:sz w:val="22"/>
          <w:szCs w:val="22"/>
          <w:lang w:val="en-GB"/>
        </w:rPr>
      </w:pPr>
    </w:p>
    <w:p w:rsidR="002B00DE" w:rsidRDefault="00033B65"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 complex legal history of the oPt, combined with the effects of the Israeli occupation, has cr</w:t>
      </w:r>
      <w:r w:rsidR="002B00DE">
        <w:rPr>
          <w:rFonts w:ascii="Times New Roman" w:hAnsi="Times New Roman" w:cs="Times New Roman"/>
          <w:sz w:val="22"/>
          <w:szCs w:val="22"/>
          <w:lang w:val="en-GB"/>
        </w:rPr>
        <w:t>eated an intricate, overlapping</w:t>
      </w:r>
      <w:r w:rsidRPr="004A29F9">
        <w:rPr>
          <w:rFonts w:ascii="Times New Roman" w:hAnsi="Times New Roman" w:cs="Times New Roman"/>
          <w:sz w:val="22"/>
          <w:szCs w:val="22"/>
          <w:lang w:val="en-GB"/>
        </w:rPr>
        <w:t xml:space="preserve"> and confusing (if not conflict</w:t>
      </w:r>
      <w:r w:rsidR="002B00DE">
        <w:rPr>
          <w:rFonts w:ascii="Times New Roman" w:hAnsi="Times New Roman" w:cs="Times New Roman"/>
          <w:sz w:val="22"/>
          <w:szCs w:val="22"/>
          <w:lang w:val="en-GB"/>
        </w:rPr>
        <w:t xml:space="preserve">ing) system of laws. </w:t>
      </w:r>
      <w:r w:rsidRPr="004A29F9">
        <w:rPr>
          <w:rFonts w:ascii="Times New Roman" w:hAnsi="Times New Roman" w:cs="Times New Roman"/>
          <w:sz w:val="22"/>
          <w:szCs w:val="22"/>
          <w:lang w:val="en-GB"/>
        </w:rPr>
        <w:t>Historically, British Mandate laws, Jordanian laws (in the West Bank), Egyptian laws (in the Gaza Strip), Israeli military orders, and even centuries</w:t>
      </w:r>
      <w:r w:rsidR="00E01EB7" w:rsidRPr="004A29F9">
        <w:rPr>
          <w:rFonts w:ascii="Times New Roman" w:hAnsi="Times New Roman" w:cs="Times New Roman"/>
          <w:sz w:val="22"/>
          <w:szCs w:val="22"/>
          <w:lang w:val="en-GB"/>
        </w:rPr>
        <w:t xml:space="preserve">-old Ottoman law have been layered on top of one another, making it </w:t>
      </w:r>
      <w:r w:rsidR="0090333F" w:rsidRPr="004A29F9">
        <w:rPr>
          <w:rFonts w:ascii="Times New Roman" w:hAnsi="Times New Roman" w:cs="Times New Roman"/>
          <w:sz w:val="22"/>
          <w:szCs w:val="22"/>
          <w:lang w:val="en-GB"/>
        </w:rPr>
        <w:t xml:space="preserve">difficult to establish a clear baseline </w:t>
      </w:r>
      <w:r w:rsidR="00E01EB7" w:rsidRPr="004A29F9">
        <w:rPr>
          <w:rFonts w:ascii="Times New Roman" w:hAnsi="Times New Roman" w:cs="Times New Roman"/>
          <w:sz w:val="22"/>
          <w:szCs w:val="22"/>
          <w:lang w:val="en-GB"/>
        </w:rPr>
        <w:t>for the rule of law</w:t>
      </w:r>
      <w:r w:rsidR="00751D40" w:rsidRPr="004A29F9">
        <w:rPr>
          <w:rFonts w:ascii="Times New Roman" w:hAnsi="Times New Roman" w:cs="Times New Roman"/>
          <w:sz w:val="22"/>
          <w:szCs w:val="22"/>
          <w:lang w:val="en-GB"/>
        </w:rPr>
        <w:t>.</w:t>
      </w:r>
      <w:r w:rsidR="00B845DE" w:rsidRPr="004A29F9">
        <w:rPr>
          <w:rStyle w:val="FootnoteReference"/>
          <w:rFonts w:ascii="Times New Roman" w:hAnsi="Times New Roman" w:cs="Times New Roman"/>
          <w:sz w:val="22"/>
          <w:szCs w:val="22"/>
          <w:lang w:val="en-GB"/>
        </w:rPr>
        <w:footnoteReference w:id="87"/>
      </w:r>
    </w:p>
    <w:p w:rsidR="002B00DE" w:rsidRDefault="002B00DE" w:rsidP="00FB6759">
      <w:pPr>
        <w:spacing w:after="0" w:line="240" w:lineRule="auto"/>
        <w:jc w:val="both"/>
        <w:rPr>
          <w:rFonts w:ascii="Times New Roman" w:hAnsi="Times New Roman" w:cs="Times New Roman"/>
          <w:sz w:val="22"/>
          <w:szCs w:val="22"/>
          <w:lang w:val="en-GB"/>
        </w:rPr>
      </w:pPr>
    </w:p>
    <w:p w:rsidR="001C10C5" w:rsidRPr="004A29F9" w:rsidRDefault="00751D40"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 absence of a functioning</w:t>
      </w:r>
      <w:r w:rsidR="002B00DE">
        <w:rPr>
          <w:rFonts w:ascii="Times New Roman" w:hAnsi="Times New Roman" w:cs="Times New Roman"/>
          <w:sz w:val="22"/>
          <w:szCs w:val="22"/>
          <w:lang w:val="en-GB"/>
        </w:rPr>
        <w:t xml:space="preserve"> PLC</w:t>
      </w:r>
      <w:r w:rsidRPr="004A29F9">
        <w:rPr>
          <w:rFonts w:ascii="Times New Roman" w:hAnsi="Times New Roman" w:cs="Times New Roman"/>
          <w:sz w:val="22"/>
          <w:szCs w:val="22"/>
          <w:lang w:val="en-GB"/>
        </w:rPr>
        <w:t xml:space="preserve"> has meant that the process of developing and enacting legislation has become</w:t>
      </w:r>
      <w:r w:rsidR="002B00DE">
        <w:rPr>
          <w:rFonts w:ascii="Times New Roman" w:hAnsi="Times New Roman" w:cs="Times New Roman"/>
          <w:sz w:val="22"/>
          <w:szCs w:val="22"/>
          <w:lang w:val="en-GB"/>
        </w:rPr>
        <w:t xml:space="preserve"> largely</w:t>
      </w:r>
      <w:r w:rsidR="00FD3C19">
        <w:rPr>
          <w:rFonts w:ascii="Times New Roman" w:hAnsi="Times New Roman" w:cs="Times New Roman"/>
          <w:sz w:val="22"/>
          <w:szCs w:val="22"/>
          <w:lang w:val="en-GB"/>
        </w:rPr>
        <w:t xml:space="preserve"> </w:t>
      </w:r>
      <w:r w:rsidRPr="004A29F9">
        <w:rPr>
          <w:rFonts w:ascii="Times New Roman" w:hAnsi="Times New Roman" w:cs="Times New Roman"/>
          <w:i/>
          <w:sz w:val="22"/>
          <w:szCs w:val="22"/>
          <w:lang w:val="en-GB"/>
        </w:rPr>
        <w:t>ad hoc</w:t>
      </w:r>
      <w:r w:rsidRPr="004A29F9">
        <w:rPr>
          <w:rFonts w:ascii="Times New Roman" w:hAnsi="Times New Roman" w:cs="Times New Roman"/>
          <w:sz w:val="22"/>
          <w:szCs w:val="22"/>
          <w:lang w:val="en-GB"/>
        </w:rPr>
        <w:t>, making it diffi</w:t>
      </w:r>
      <w:r w:rsidR="002B00DE">
        <w:rPr>
          <w:rFonts w:ascii="Times New Roman" w:hAnsi="Times New Roman" w:cs="Times New Roman"/>
          <w:sz w:val="22"/>
          <w:szCs w:val="22"/>
          <w:lang w:val="en-GB"/>
        </w:rPr>
        <w:t>cult for the MOJ</w:t>
      </w:r>
      <w:r w:rsidRPr="004A29F9">
        <w:rPr>
          <w:rFonts w:ascii="Times New Roman" w:hAnsi="Times New Roman" w:cs="Times New Roman"/>
          <w:sz w:val="22"/>
          <w:szCs w:val="22"/>
          <w:lang w:val="en-GB"/>
        </w:rPr>
        <w:t xml:space="preserve"> to contribute effectively.</w:t>
      </w:r>
      <w:r w:rsidRPr="004A29F9">
        <w:rPr>
          <w:rStyle w:val="FootnoteReference"/>
          <w:rFonts w:ascii="Times New Roman" w:hAnsi="Times New Roman" w:cs="Times New Roman"/>
          <w:sz w:val="22"/>
          <w:szCs w:val="22"/>
          <w:lang w:val="en-GB"/>
        </w:rPr>
        <w:footnoteReference w:id="88"/>
      </w:r>
      <w:r w:rsidR="0090333F" w:rsidRPr="004A29F9">
        <w:rPr>
          <w:rFonts w:ascii="Times New Roman" w:hAnsi="Times New Roman" w:cs="Times New Roman"/>
          <w:sz w:val="22"/>
          <w:szCs w:val="22"/>
          <w:lang w:val="en-GB"/>
        </w:rPr>
        <w:t>This is one of the major challenges to governance in the oPt, and t</w:t>
      </w:r>
      <w:r w:rsidR="00E01EB7" w:rsidRPr="004A29F9">
        <w:rPr>
          <w:rFonts w:ascii="Times New Roman" w:hAnsi="Times New Roman" w:cs="Times New Roman"/>
          <w:sz w:val="22"/>
          <w:szCs w:val="22"/>
          <w:lang w:val="en-GB"/>
        </w:rPr>
        <w:t>he n</w:t>
      </w:r>
      <w:r w:rsidR="002B00DE">
        <w:rPr>
          <w:rFonts w:ascii="Times New Roman" w:hAnsi="Times New Roman" w:cs="Times New Roman"/>
          <w:sz w:val="22"/>
          <w:szCs w:val="22"/>
          <w:lang w:val="en-GB"/>
        </w:rPr>
        <w:t>ational government has prioritis</w:t>
      </w:r>
      <w:r w:rsidR="00E01EB7" w:rsidRPr="004A29F9">
        <w:rPr>
          <w:rFonts w:ascii="Times New Roman" w:hAnsi="Times New Roman" w:cs="Times New Roman"/>
          <w:sz w:val="22"/>
          <w:szCs w:val="22"/>
          <w:lang w:val="en-GB"/>
        </w:rPr>
        <w:t xml:space="preserve">ed </w:t>
      </w:r>
      <w:r w:rsidR="001C10C5" w:rsidRPr="004A29F9">
        <w:rPr>
          <w:rFonts w:ascii="Times New Roman" w:hAnsi="Times New Roman" w:cs="Times New Roman"/>
          <w:sz w:val="22"/>
          <w:szCs w:val="22"/>
          <w:lang w:val="en-GB"/>
        </w:rPr>
        <w:t xml:space="preserve">a comprehensive review of </w:t>
      </w:r>
      <w:r w:rsidR="002B00DE">
        <w:rPr>
          <w:rFonts w:ascii="Times New Roman" w:hAnsi="Times New Roman" w:cs="Times New Roman"/>
          <w:sz w:val="22"/>
          <w:szCs w:val="22"/>
          <w:lang w:val="en-GB"/>
        </w:rPr>
        <w:t xml:space="preserve">the </w:t>
      </w:r>
      <w:r w:rsidR="00DE216A" w:rsidRPr="004A29F9">
        <w:rPr>
          <w:rFonts w:ascii="Times New Roman" w:hAnsi="Times New Roman" w:cs="Times New Roman"/>
          <w:sz w:val="22"/>
          <w:szCs w:val="22"/>
          <w:lang w:val="en-GB"/>
        </w:rPr>
        <w:t>oPt</w:t>
      </w:r>
      <w:r w:rsidR="00EF6C41" w:rsidRPr="004A29F9">
        <w:rPr>
          <w:rFonts w:ascii="Times New Roman" w:hAnsi="Times New Roman" w:cs="Times New Roman"/>
          <w:sz w:val="22"/>
          <w:szCs w:val="22"/>
          <w:lang w:val="en-GB"/>
        </w:rPr>
        <w:t xml:space="preserve">’s legal codes with </w:t>
      </w:r>
      <w:r w:rsidR="00E01EB7" w:rsidRPr="004A29F9">
        <w:rPr>
          <w:rFonts w:ascii="Times New Roman" w:hAnsi="Times New Roman" w:cs="Times New Roman"/>
          <w:sz w:val="22"/>
          <w:szCs w:val="22"/>
          <w:lang w:val="en-GB"/>
        </w:rPr>
        <w:t xml:space="preserve">an eye towards the implementation of </w:t>
      </w:r>
      <w:r w:rsidR="002B00DE">
        <w:rPr>
          <w:rFonts w:ascii="Times New Roman" w:hAnsi="Times New Roman" w:cs="Times New Roman"/>
          <w:sz w:val="22"/>
          <w:szCs w:val="22"/>
          <w:lang w:val="en-GB"/>
        </w:rPr>
        <w:t>a plan to ensure modernis</w:t>
      </w:r>
      <w:r w:rsidR="001C10C5" w:rsidRPr="004A29F9">
        <w:rPr>
          <w:rFonts w:ascii="Times New Roman" w:hAnsi="Times New Roman" w:cs="Times New Roman"/>
          <w:sz w:val="22"/>
          <w:szCs w:val="22"/>
          <w:lang w:val="en-GB"/>
        </w:rPr>
        <w:t>ation</w:t>
      </w:r>
      <w:r w:rsidR="002B00DE">
        <w:rPr>
          <w:rFonts w:ascii="Times New Roman" w:hAnsi="Times New Roman" w:cs="Times New Roman"/>
          <w:sz w:val="22"/>
          <w:szCs w:val="22"/>
          <w:lang w:val="en-GB"/>
        </w:rPr>
        <w:t xml:space="preserve"> and consistency of legislation</w:t>
      </w:r>
      <w:r w:rsidR="00E01EB7" w:rsidRPr="004A29F9">
        <w:rPr>
          <w:rFonts w:ascii="Times New Roman" w:hAnsi="Times New Roman" w:cs="Times New Roman"/>
          <w:sz w:val="22"/>
          <w:szCs w:val="22"/>
          <w:lang w:val="en-GB"/>
        </w:rPr>
        <w:t>.</w:t>
      </w:r>
      <w:r w:rsidR="001C10C5" w:rsidRPr="004A29F9">
        <w:rPr>
          <w:rStyle w:val="FootnoteReference"/>
          <w:rFonts w:ascii="Times New Roman" w:hAnsi="Times New Roman" w:cs="Times New Roman"/>
          <w:sz w:val="22"/>
          <w:szCs w:val="22"/>
          <w:lang w:val="en-GB"/>
        </w:rPr>
        <w:footnoteReference w:id="89"/>
      </w:r>
      <w:r w:rsidR="00417C13" w:rsidRPr="004A29F9">
        <w:rPr>
          <w:rFonts w:ascii="Times New Roman" w:hAnsi="Times New Roman" w:cs="Times New Roman"/>
          <w:sz w:val="22"/>
          <w:szCs w:val="22"/>
          <w:lang w:val="en-GB"/>
        </w:rPr>
        <w:t>Under these c</w:t>
      </w:r>
      <w:r w:rsidR="002B00DE">
        <w:rPr>
          <w:rFonts w:ascii="Times New Roman" w:hAnsi="Times New Roman" w:cs="Times New Roman"/>
          <w:sz w:val="22"/>
          <w:szCs w:val="22"/>
          <w:lang w:val="en-GB"/>
        </w:rPr>
        <w:t>ircumstances, it has been the MO</w:t>
      </w:r>
      <w:r w:rsidR="00417C13" w:rsidRPr="004A29F9">
        <w:rPr>
          <w:rFonts w:ascii="Times New Roman" w:hAnsi="Times New Roman" w:cs="Times New Roman"/>
          <w:sz w:val="22"/>
          <w:szCs w:val="22"/>
          <w:lang w:val="en-GB"/>
        </w:rPr>
        <w:t>J that has assumed the role of a legal reference body for the PNA.</w:t>
      </w:r>
    </w:p>
    <w:p w:rsidR="002B00DE" w:rsidRDefault="002B00DE" w:rsidP="00FB6759">
      <w:pPr>
        <w:spacing w:after="0" w:line="240" w:lineRule="auto"/>
        <w:jc w:val="both"/>
        <w:rPr>
          <w:rFonts w:ascii="Times New Roman" w:hAnsi="Times New Roman" w:cs="Times New Roman"/>
          <w:sz w:val="22"/>
          <w:szCs w:val="22"/>
          <w:lang w:val="en-GB"/>
        </w:rPr>
      </w:pPr>
    </w:p>
    <w:p w:rsidR="00B11AD3" w:rsidRDefault="0049432B"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In an ef</w:t>
      </w:r>
      <w:r w:rsidR="002B00DE">
        <w:rPr>
          <w:rFonts w:ascii="Times New Roman" w:hAnsi="Times New Roman" w:cs="Times New Roman"/>
          <w:sz w:val="22"/>
          <w:szCs w:val="22"/>
          <w:lang w:val="en-GB"/>
        </w:rPr>
        <w:t>fort to build the capacity of MOJ legal staff</w:t>
      </w:r>
      <w:r w:rsidRPr="004A29F9">
        <w:rPr>
          <w:rFonts w:ascii="Times New Roman" w:hAnsi="Times New Roman" w:cs="Times New Roman"/>
          <w:sz w:val="22"/>
          <w:szCs w:val="22"/>
          <w:lang w:val="en-GB"/>
        </w:rPr>
        <w:t xml:space="preserve"> and other ministries’ abilities to </w:t>
      </w:r>
      <w:r w:rsidR="00483E05" w:rsidRPr="004A29F9">
        <w:rPr>
          <w:rFonts w:ascii="Times New Roman" w:hAnsi="Times New Roman" w:cs="Times New Roman"/>
          <w:sz w:val="22"/>
          <w:szCs w:val="22"/>
          <w:lang w:val="en-GB"/>
        </w:rPr>
        <w:t xml:space="preserve">draft legislation and effectively administer their </w:t>
      </w:r>
      <w:r w:rsidR="00B11AD3">
        <w:rPr>
          <w:rFonts w:ascii="Times New Roman" w:hAnsi="Times New Roman" w:cs="Times New Roman"/>
          <w:sz w:val="22"/>
          <w:szCs w:val="22"/>
          <w:lang w:val="en-GB"/>
        </w:rPr>
        <w:t>institutions, UNDP developed a Legal Skills Diploma</w:t>
      </w:r>
      <w:r w:rsidR="002B00DE">
        <w:rPr>
          <w:rFonts w:ascii="Times New Roman" w:hAnsi="Times New Roman" w:cs="Times New Roman"/>
          <w:sz w:val="22"/>
          <w:szCs w:val="22"/>
          <w:lang w:val="en-GB"/>
        </w:rPr>
        <w:t xml:space="preserve"> in partnership with the Birzei</w:t>
      </w:r>
      <w:r w:rsidR="00483E05" w:rsidRPr="004A29F9">
        <w:rPr>
          <w:rFonts w:ascii="Times New Roman" w:hAnsi="Times New Roman" w:cs="Times New Roman"/>
          <w:sz w:val="22"/>
          <w:szCs w:val="22"/>
          <w:lang w:val="en-GB"/>
        </w:rPr>
        <w:t>t</w:t>
      </w:r>
      <w:r w:rsidR="00227679">
        <w:rPr>
          <w:rFonts w:ascii="Times New Roman" w:hAnsi="Times New Roman" w:cs="Times New Roman"/>
          <w:sz w:val="22"/>
          <w:szCs w:val="22"/>
          <w:lang w:val="en-GB"/>
        </w:rPr>
        <w:t xml:space="preserve"> </w:t>
      </w:r>
      <w:r w:rsidR="00D20809" w:rsidRPr="004A29F9">
        <w:rPr>
          <w:rFonts w:ascii="Times New Roman" w:hAnsi="Times New Roman" w:cs="Times New Roman"/>
          <w:sz w:val="22"/>
          <w:szCs w:val="22"/>
          <w:lang w:val="en-GB"/>
        </w:rPr>
        <w:t>University</w:t>
      </w:r>
      <w:r w:rsidR="002B00DE">
        <w:rPr>
          <w:rFonts w:ascii="Times New Roman" w:hAnsi="Times New Roman" w:cs="Times New Roman"/>
          <w:sz w:val="22"/>
          <w:szCs w:val="22"/>
          <w:lang w:val="en-GB"/>
        </w:rPr>
        <w:t>’s</w:t>
      </w:r>
      <w:r w:rsidR="00D20809" w:rsidRPr="004A29F9">
        <w:rPr>
          <w:rFonts w:ascii="Times New Roman" w:hAnsi="Times New Roman" w:cs="Times New Roman"/>
          <w:sz w:val="22"/>
          <w:szCs w:val="22"/>
          <w:lang w:val="en-GB"/>
        </w:rPr>
        <w:t xml:space="preserve"> Institute</w:t>
      </w:r>
      <w:r w:rsidR="002B00DE">
        <w:rPr>
          <w:rFonts w:ascii="Times New Roman" w:hAnsi="Times New Roman" w:cs="Times New Roman"/>
          <w:sz w:val="22"/>
          <w:szCs w:val="22"/>
          <w:lang w:val="en-GB"/>
        </w:rPr>
        <w:t xml:space="preserve"> of Law. </w:t>
      </w:r>
      <w:r w:rsidR="00633D96" w:rsidRPr="004A29F9">
        <w:rPr>
          <w:rFonts w:ascii="Times New Roman" w:hAnsi="Times New Roman" w:cs="Times New Roman"/>
          <w:sz w:val="22"/>
          <w:szCs w:val="22"/>
          <w:lang w:val="en-GB"/>
        </w:rPr>
        <w:t xml:space="preserve">This created a stable educational and training environment and was the first </w:t>
      </w:r>
      <w:r w:rsidR="00D20809" w:rsidRPr="004A29F9">
        <w:rPr>
          <w:rFonts w:ascii="Times New Roman" w:hAnsi="Times New Roman" w:cs="Times New Roman"/>
          <w:sz w:val="22"/>
          <w:szCs w:val="22"/>
          <w:lang w:val="en-GB"/>
        </w:rPr>
        <w:t>long-term</w:t>
      </w:r>
      <w:r w:rsidR="00FD3C19">
        <w:rPr>
          <w:rFonts w:ascii="Times New Roman" w:hAnsi="Times New Roman" w:cs="Times New Roman"/>
          <w:sz w:val="22"/>
          <w:szCs w:val="22"/>
          <w:lang w:val="en-GB"/>
        </w:rPr>
        <w:t xml:space="preserve"> </w:t>
      </w:r>
      <w:r w:rsidR="00633D96" w:rsidRPr="004A29F9">
        <w:rPr>
          <w:rFonts w:ascii="Times New Roman" w:hAnsi="Times New Roman" w:cs="Times New Roman"/>
          <w:sz w:val="22"/>
          <w:szCs w:val="22"/>
          <w:lang w:val="en-GB"/>
        </w:rPr>
        <w:t>program</w:t>
      </w:r>
      <w:r w:rsidR="00B11AD3">
        <w:rPr>
          <w:rFonts w:ascii="Times New Roman" w:hAnsi="Times New Roman" w:cs="Times New Roman"/>
          <w:sz w:val="22"/>
          <w:szCs w:val="22"/>
          <w:lang w:val="en-GB"/>
        </w:rPr>
        <w:t>me</w:t>
      </w:r>
      <w:r w:rsidR="00633D96" w:rsidRPr="004A29F9">
        <w:rPr>
          <w:rFonts w:ascii="Times New Roman" w:hAnsi="Times New Roman" w:cs="Times New Roman"/>
          <w:sz w:val="22"/>
          <w:szCs w:val="22"/>
          <w:lang w:val="en-GB"/>
        </w:rPr>
        <w:t xml:space="preserve"> of its kind in </w:t>
      </w:r>
      <w:r w:rsidR="00B11AD3">
        <w:rPr>
          <w:rFonts w:ascii="Times New Roman" w:hAnsi="Times New Roman" w:cs="Times New Roman"/>
          <w:sz w:val="22"/>
          <w:szCs w:val="22"/>
          <w:lang w:val="en-GB"/>
        </w:rPr>
        <w:t xml:space="preserve">the </w:t>
      </w:r>
      <w:r w:rsidR="00DE216A" w:rsidRPr="004A29F9">
        <w:rPr>
          <w:rFonts w:ascii="Times New Roman" w:hAnsi="Times New Roman" w:cs="Times New Roman"/>
          <w:sz w:val="22"/>
          <w:szCs w:val="22"/>
          <w:lang w:val="en-GB"/>
        </w:rPr>
        <w:t>oPt</w:t>
      </w:r>
      <w:r w:rsidR="00633D96" w:rsidRPr="004A29F9">
        <w:rPr>
          <w:rFonts w:ascii="Times New Roman" w:hAnsi="Times New Roman" w:cs="Times New Roman"/>
          <w:sz w:val="22"/>
          <w:szCs w:val="22"/>
          <w:lang w:val="en-GB"/>
        </w:rPr>
        <w:t xml:space="preserve">. All previous ones were </w:t>
      </w:r>
      <w:r w:rsidR="00633D96" w:rsidRPr="00B11AD3">
        <w:rPr>
          <w:rFonts w:ascii="Times New Roman" w:hAnsi="Times New Roman" w:cs="Times New Roman"/>
          <w:i/>
          <w:sz w:val="22"/>
          <w:szCs w:val="22"/>
          <w:lang w:val="en-GB"/>
        </w:rPr>
        <w:t>ad hoc</w:t>
      </w:r>
      <w:r w:rsidR="00633D96" w:rsidRPr="004A29F9">
        <w:rPr>
          <w:rFonts w:ascii="Times New Roman" w:hAnsi="Times New Roman" w:cs="Times New Roman"/>
          <w:sz w:val="22"/>
          <w:szCs w:val="22"/>
          <w:lang w:val="en-GB"/>
        </w:rPr>
        <w:t xml:space="preserve"> and seasonal. </w:t>
      </w:r>
      <w:r w:rsidR="006743EE" w:rsidRPr="004A29F9">
        <w:rPr>
          <w:rFonts w:ascii="Times New Roman" w:hAnsi="Times New Roman" w:cs="Times New Roman"/>
          <w:sz w:val="22"/>
          <w:szCs w:val="22"/>
          <w:lang w:val="en-GB"/>
        </w:rPr>
        <w:t>The aim was t</w:t>
      </w:r>
      <w:r w:rsidR="00633D96" w:rsidRPr="004A29F9">
        <w:rPr>
          <w:rFonts w:ascii="Times New Roman" w:hAnsi="Times New Roman" w:cs="Times New Roman"/>
          <w:sz w:val="22"/>
          <w:szCs w:val="22"/>
          <w:lang w:val="en-GB"/>
        </w:rPr>
        <w:t>o put those und</w:t>
      </w:r>
      <w:r w:rsidR="00B11AD3">
        <w:rPr>
          <w:rFonts w:ascii="Times New Roman" w:hAnsi="Times New Roman" w:cs="Times New Roman"/>
          <w:sz w:val="22"/>
          <w:szCs w:val="22"/>
          <w:lang w:val="en-GB"/>
        </w:rPr>
        <w:t xml:space="preserve">erdeveloped staff </w:t>
      </w:r>
      <w:r w:rsidR="00633D96" w:rsidRPr="004A29F9">
        <w:rPr>
          <w:rFonts w:ascii="Times New Roman" w:hAnsi="Times New Roman" w:cs="Times New Roman"/>
          <w:sz w:val="22"/>
          <w:szCs w:val="22"/>
          <w:lang w:val="en-GB"/>
        </w:rPr>
        <w:t xml:space="preserve">back on track </w:t>
      </w:r>
      <w:r w:rsidR="00B11AD3">
        <w:rPr>
          <w:rFonts w:ascii="Times New Roman" w:hAnsi="Times New Roman" w:cs="Times New Roman"/>
          <w:sz w:val="22"/>
          <w:szCs w:val="22"/>
          <w:lang w:val="en-GB"/>
        </w:rPr>
        <w:t xml:space="preserve">by </w:t>
      </w:r>
      <w:r w:rsidR="00633D96" w:rsidRPr="004A29F9">
        <w:rPr>
          <w:rFonts w:ascii="Times New Roman" w:hAnsi="Times New Roman" w:cs="Times New Roman"/>
          <w:sz w:val="22"/>
          <w:szCs w:val="22"/>
          <w:lang w:val="en-GB"/>
        </w:rPr>
        <w:t>provid</w:t>
      </w:r>
      <w:r w:rsidR="006743EE" w:rsidRPr="004A29F9">
        <w:rPr>
          <w:rFonts w:ascii="Times New Roman" w:hAnsi="Times New Roman" w:cs="Times New Roman"/>
          <w:sz w:val="22"/>
          <w:szCs w:val="22"/>
          <w:lang w:val="en-GB"/>
        </w:rPr>
        <w:t>ing</w:t>
      </w:r>
      <w:r w:rsidR="00633D96" w:rsidRPr="004A29F9">
        <w:rPr>
          <w:rFonts w:ascii="Times New Roman" w:hAnsi="Times New Roman" w:cs="Times New Roman"/>
          <w:sz w:val="22"/>
          <w:szCs w:val="22"/>
          <w:lang w:val="en-GB"/>
        </w:rPr>
        <w:t xml:space="preserve"> them </w:t>
      </w:r>
      <w:r w:rsidR="00B11AD3">
        <w:rPr>
          <w:rFonts w:ascii="Times New Roman" w:hAnsi="Times New Roman" w:cs="Times New Roman"/>
          <w:sz w:val="22"/>
          <w:szCs w:val="22"/>
          <w:lang w:val="en-GB"/>
        </w:rPr>
        <w:t>with high quality training. This</w:t>
      </w:r>
      <w:r w:rsidR="00633D96" w:rsidRPr="004A29F9">
        <w:rPr>
          <w:rFonts w:ascii="Times New Roman" w:hAnsi="Times New Roman" w:cs="Times New Roman"/>
          <w:sz w:val="22"/>
          <w:szCs w:val="22"/>
          <w:lang w:val="en-GB"/>
        </w:rPr>
        <w:t xml:space="preserve"> program</w:t>
      </w:r>
      <w:r w:rsidR="00B11AD3">
        <w:rPr>
          <w:rFonts w:ascii="Times New Roman" w:hAnsi="Times New Roman" w:cs="Times New Roman"/>
          <w:sz w:val="22"/>
          <w:szCs w:val="22"/>
          <w:lang w:val="en-GB"/>
        </w:rPr>
        <w:t>me</w:t>
      </w:r>
      <w:r w:rsidR="00633D96" w:rsidRPr="004A29F9">
        <w:rPr>
          <w:rFonts w:ascii="Times New Roman" w:hAnsi="Times New Roman" w:cs="Times New Roman"/>
          <w:sz w:val="22"/>
          <w:szCs w:val="22"/>
          <w:lang w:val="en-GB"/>
        </w:rPr>
        <w:t xml:space="preserve"> has given strength to bridge all the gaps in the training of the previous period to bri</w:t>
      </w:r>
      <w:r w:rsidR="00B11AD3">
        <w:rPr>
          <w:rFonts w:ascii="Times New Roman" w:hAnsi="Times New Roman" w:cs="Times New Roman"/>
          <w:sz w:val="22"/>
          <w:szCs w:val="22"/>
          <w:lang w:val="en-GB"/>
        </w:rPr>
        <w:t>ng staff up to standards other core justice</w:t>
      </w:r>
      <w:r w:rsidR="00633D96" w:rsidRPr="004A29F9">
        <w:rPr>
          <w:rFonts w:ascii="Times New Roman" w:hAnsi="Times New Roman" w:cs="Times New Roman"/>
          <w:sz w:val="22"/>
          <w:szCs w:val="22"/>
          <w:lang w:val="en-GB"/>
        </w:rPr>
        <w:t xml:space="preserve"> institutions have achieved. </w:t>
      </w:r>
      <w:r w:rsidR="009433D0">
        <w:rPr>
          <w:rFonts w:ascii="Times New Roman" w:hAnsi="Times New Roman" w:cs="Times New Roman"/>
          <w:sz w:val="22"/>
          <w:szCs w:val="22"/>
          <w:lang w:val="en-GB"/>
        </w:rPr>
        <w:t>It is</w:t>
      </w:r>
      <w:r w:rsidR="00B11AD3">
        <w:rPr>
          <w:rFonts w:ascii="Times New Roman" w:hAnsi="Times New Roman" w:cs="Times New Roman"/>
          <w:sz w:val="22"/>
          <w:szCs w:val="22"/>
          <w:lang w:val="en-GB"/>
        </w:rPr>
        <w:t xml:space="preserve"> important to note that the Legal Skills Diploma also addresses administrative skills: the MOJ is a ministry of law </w:t>
      </w:r>
      <w:r w:rsidR="00633D96" w:rsidRPr="004A29F9">
        <w:rPr>
          <w:rFonts w:ascii="Times New Roman" w:hAnsi="Times New Roman" w:cs="Times New Roman"/>
          <w:sz w:val="22"/>
          <w:szCs w:val="22"/>
          <w:lang w:val="en-GB"/>
        </w:rPr>
        <w:t xml:space="preserve">but </w:t>
      </w:r>
      <w:r w:rsidR="00B11AD3">
        <w:rPr>
          <w:rFonts w:ascii="Times New Roman" w:hAnsi="Times New Roman" w:cs="Times New Roman"/>
          <w:sz w:val="22"/>
          <w:szCs w:val="22"/>
          <w:lang w:val="en-GB"/>
        </w:rPr>
        <w:t>it also requires strong administrative capacity to build ‘legal leadership’.</w:t>
      </w:r>
    </w:p>
    <w:p w:rsidR="00B11AD3" w:rsidRDefault="00B11AD3" w:rsidP="00FB6759">
      <w:pPr>
        <w:spacing w:after="0" w:line="240" w:lineRule="auto"/>
        <w:jc w:val="both"/>
        <w:rPr>
          <w:rFonts w:ascii="Times New Roman" w:hAnsi="Times New Roman" w:cs="Times New Roman"/>
          <w:sz w:val="22"/>
          <w:szCs w:val="22"/>
          <w:lang w:val="en-GB"/>
        </w:rPr>
      </w:pPr>
    </w:p>
    <w:p w:rsidR="00B11AD3" w:rsidRDefault="00AE002F"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As</w:t>
      </w:r>
      <w:r w:rsidR="00B11AD3">
        <w:rPr>
          <w:rFonts w:ascii="Times New Roman" w:hAnsi="Times New Roman" w:cs="Times New Roman"/>
          <w:sz w:val="22"/>
          <w:szCs w:val="22"/>
          <w:lang w:val="en-GB"/>
        </w:rPr>
        <w:t xml:space="preserve"> part of the e</w:t>
      </w:r>
      <w:r w:rsidRPr="004A29F9">
        <w:rPr>
          <w:rFonts w:ascii="Times New Roman" w:hAnsi="Times New Roman" w:cs="Times New Roman"/>
          <w:sz w:val="22"/>
          <w:szCs w:val="22"/>
          <w:lang w:val="en-GB"/>
        </w:rPr>
        <w:t xml:space="preserve">valuation, UNDP assembled a </w:t>
      </w:r>
      <w:r w:rsidR="00B11AD3">
        <w:rPr>
          <w:rFonts w:ascii="Times New Roman" w:hAnsi="Times New Roman" w:cs="Times New Roman"/>
          <w:sz w:val="22"/>
          <w:szCs w:val="22"/>
          <w:lang w:val="en-GB"/>
        </w:rPr>
        <w:t xml:space="preserve">focus group comprised of </w:t>
      </w:r>
      <w:r w:rsidRPr="004A29F9">
        <w:rPr>
          <w:rFonts w:ascii="Times New Roman" w:hAnsi="Times New Roman" w:cs="Times New Roman"/>
          <w:sz w:val="22"/>
          <w:szCs w:val="22"/>
          <w:lang w:val="en-GB"/>
        </w:rPr>
        <w:t>16 res</w:t>
      </w:r>
      <w:r w:rsidR="00B11AD3">
        <w:rPr>
          <w:rFonts w:ascii="Times New Roman" w:hAnsi="Times New Roman" w:cs="Times New Roman"/>
          <w:sz w:val="22"/>
          <w:szCs w:val="22"/>
          <w:lang w:val="en-GB"/>
        </w:rPr>
        <w:t>pondents from the Legal Skills Diploma as well as</w:t>
      </w:r>
      <w:r w:rsidR="00FD3C19">
        <w:rPr>
          <w:rFonts w:ascii="Times New Roman" w:hAnsi="Times New Roman" w:cs="Times New Roman"/>
          <w:sz w:val="22"/>
          <w:szCs w:val="22"/>
          <w:lang w:val="en-GB"/>
        </w:rPr>
        <w:t xml:space="preserve"> </w:t>
      </w:r>
      <w:r w:rsidR="00B11AD3">
        <w:rPr>
          <w:rFonts w:ascii="Times New Roman" w:hAnsi="Times New Roman" w:cs="Times New Roman"/>
          <w:sz w:val="22"/>
          <w:szCs w:val="22"/>
          <w:lang w:val="en-GB"/>
        </w:rPr>
        <w:t xml:space="preserve">the Legislative Drafting Diploma and the Middle Management Certificate in order to document the impact of the initiative on their work. </w:t>
      </w:r>
      <w:r w:rsidR="00417C13" w:rsidRPr="004A29F9">
        <w:rPr>
          <w:rFonts w:ascii="Times New Roman" w:hAnsi="Times New Roman" w:cs="Times New Roman"/>
          <w:sz w:val="22"/>
          <w:szCs w:val="22"/>
          <w:lang w:val="en-GB"/>
        </w:rPr>
        <w:t>The participants</w:t>
      </w:r>
      <w:r w:rsidRPr="004A29F9">
        <w:rPr>
          <w:rFonts w:ascii="Times New Roman" w:hAnsi="Times New Roman" w:cs="Times New Roman"/>
          <w:sz w:val="22"/>
          <w:szCs w:val="22"/>
          <w:lang w:val="en-GB"/>
        </w:rPr>
        <w:t xml:space="preserve"> confirmed the benefit of the UNDP supported training in their work at</w:t>
      </w:r>
      <w:r w:rsidR="00B11AD3">
        <w:rPr>
          <w:rFonts w:ascii="Times New Roman" w:hAnsi="Times New Roman" w:cs="Times New Roman"/>
          <w:sz w:val="22"/>
          <w:szCs w:val="22"/>
          <w:lang w:val="en-GB"/>
        </w:rPr>
        <w:t xml:space="preserve"> their respective units and departments.</w:t>
      </w:r>
    </w:p>
    <w:p w:rsidR="00B11AD3" w:rsidRDefault="00B11AD3" w:rsidP="00FB6759">
      <w:pPr>
        <w:spacing w:after="0" w:line="240" w:lineRule="auto"/>
        <w:jc w:val="both"/>
        <w:rPr>
          <w:rFonts w:ascii="Times New Roman" w:hAnsi="Times New Roman" w:cs="Times New Roman"/>
          <w:sz w:val="22"/>
          <w:szCs w:val="22"/>
          <w:lang w:val="en-GB"/>
        </w:rPr>
      </w:pPr>
    </w:p>
    <w:p w:rsidR="00F26CFE" w:rsidRPr="004A29F9" w:rsidRDefault="00AE002F"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 training was reported by beneficiari</w:t>
      </w:r>
      <w:r w:rsidR="00B11AD3">
        <w:rPr>
          <w:rFonts w:ascii="Times New Roman" w:hAnsi="Times New Roman" w:cs="Times New Roman"/>
          <w:sz w:val="22"/>
          <w:szCs w:val="22"/>
          <w:lang w:val="en-GB"/>
        </w:rPr>
        <w:t xml:space="preserve">es to be practical in nature. </w:t>
      </w:r>
      <w:r w:rsidRPr="004A29F9">
        <w:rPr>
          <w:rFonts w:ascii="Times New Roman" w:hAnsi="Times New Roman" w:cs="Times New Roman"/>
          <w:sz w:val="22"/>
          <w:szCs w:val="22"/>
          <w:lang w:val="en-GB"/>
        </w:rPr>
        <w:t>It was generally perceived to be effective, i</w:t>
      </w:r>
      <w:r w:rsidR="00B11AD3">
        <w:rPr>
          <w:rFonts w:ascii="Times New Roman" w:hAnsi="Times New Roman" w:cs="Times New Roman"/>
          <w:sz w:val="22"/>
          <w:szCs w:val="22"/>
          <w:lang w:val="en-GB"/>
        </w:rPr>
        <w:t>nteresting and valuable; h</w:t>
      </w:r>
      <w:r w:rsidRPr="004A29F9">
        <w:rPr>
          <w:rFonts w:ascii="Times New Roman" w:hAnsi="Times New Roman" w:cs="Times New Roman"/>
          <w:sz w:val="22"/>
          <w:szCs w:val="22"/>
          <w:lang w:val="en-GB"/>
        </w:rPr>
        <w:t xml:space="preserve">owever, there is room for </w:t>
      </w:r>
      <w:r w:rsidR="00F26CFE" w:rsidRPr="004A29F9">
        <w:rPr>
          <w:rFonts w:ascii="Times New Roman" w:hAnsi="Times New Roman" w:cs="Times New Roman"/>
          <w:sz w:val="22"/>
          <w:szCs w:val="22"/>
          <w:lang w:val="en-GB"/>
        </w:rPr>
        <w:t>improvement.</w:t>
      </w:r>
      <w:r w:rsidR="00FD3C19">
        <w:rPr>
          <w:rFonts w:ascii="Times New Roman" w:hAnsi="Times New Roman" w:cs="Times New Roman"/>
          <w:sz w:val="22"/>
          <w:szCs w:val="22"/>
          <w:lang w:val="en-GB"/>
        </w:rPr>
        <w:t xml:space="preserve"> </w:t>
      </w:r>
      <w:r w:rsidRPr="004A29F9">
        <w:rPr>
          <w:rFonts w:ascii="Times New Roman" w:hAnsi="Times New Roman" w:cs="Times New Roman"/>
          <w:sz w:val="22"/>
          <w:szCs w:val="22"/>
          <w:lang w:val="en-GB"/>
        </w:rPr>
        <w:t xml:space="preserve">At least one legal advisor at the </w:t>
      </w:r>
      <w:r w:rsidR="00B11AD3">
        <w:rPr>
          <w:rFonts w:ascii="Times New Roman" w:hAnsi="Times New Roman" w:cs="Times New Roman"/>
          <w:sz w:val="22"/>
          <w:szCs w:val="22"/>
          <w:lang w:val="en-GB"/>
        </w:rPr>
        <w:t>MO</w:t>
      </w:r>
      <w:r w:rsidR="006F73F3" w:rsidRPr="004A29F9">
        <w:rPr>
          <w:rFonts w:ascii="Times New Roman" w:hAnsi="Times New Roman" w:cs="Times New Roman"/>
          <w:sz w:val="22"/>
          <w:szCs w:val="22"/>
          <w:lang w:val="en-GB"/>
        </w:rPr>
        <w:t>J stated</w:t>
      </w:r>
      <w:r w:rsidRPr="004A29F9">
        <w:rPr>
          <w:rFonts w:ascii="Times New Roman" w:hAnsi="Times New Roman" w:cs="Times New Roman"/>
          <w:sz w:val="22"/>
          <w:szCs w:val="22"/>
          <w:lang w:val="en-GB"/>
        </w:rPr>
        <w:t xml:space="preserve"> that he felt that the materials could have attained</w:t>
      </w:r>
      <w:r w:rsidR="00B11AD3">
        <w:rPr>
          <w:rFonts w:ascii="Times New Roman" w:hAnsi="Times New Roman" w:cs="Times New Roman"/>
          <w:sz w:val="22"/>
          <w:szCs w:val="22"/>
          <w:lang w:val="en-GB"/>
        </w:rPr>
        <w:t xml:space="preserve"> an even higher level of detail - </w:t>
      </w:r>
      <w:r w:rsidRPr="004A29F9">
        <w:rPr>
          <w:rFonts w:ascii="Times New Roman" w:hAnsi="Times New Roman" w:cs="Times New Roman"/>
          <w:sz w:val="22"/>
          <w:szCs w:val="22"/>
          <w:lang w:val="en-GB"/>
        </w:rPr>
        <w:t>especially given the fact that he already possessed an LL.M.</w:t>
      </w:r>
      <w:r w:rsidR="00B11AD3">
        <w:rPr>
          <w:rFonts w:ascii="Times New Roman" w:hAnsi="Times New Roman" w:cs="Times New Roman"/>
          <w:sz w:val="22"/>
          <w:szCs w:val="22"/>
          <w:lang w:val="en-GB"/>
        </w:rPr>
        <w:t xml:space="preserve"> degree. Overall, the</w:t>
      </w:r>
      <w:r w:rsidR="00664464">
        <w:rPr>
          <w:rFonts w:ascii="Times New Roman" w:hAnsi="Times New Roman" w:cs="Times New Roman"/>
          <w:sz w:val="22"/>
          <w:szCs w:val="22"/>
          <w:lang w:val="en-GB"/>
        </w:rPr>
        <w:t xml:space="preserve"> legal team</w:t>
      </w:r>
      <w:r w:rsidRPr="004A29F9">
        <w:rPr>
          <w:rFonts w:ascii="Times New Roman" w:hAnsi="Times New Roman" w:cs="Times New Roman"/>
          <w:sz w:val="22"/>
          <w:szCs w:val="22"/>
          <w:lang w:val="en-GB"/>
        </w:rPr>
        <w:t xml:space="preserve"> praised the programme as having upgraded their legal res</w:t>
      </w:r>
      <w:r w:rsidR="00B11AD3">
        <w:rPr>
          <w:rFonts w:ascii="Times New Roman" w:hAnsi="Times New Roman" w:cs="Times New Roman"/>
          <w:sz w:val="22"/>
          <w:szCs w:val="22"/>
          <w:lang w:val="en-GB"/>
        </w:rPr>
        <w:t xml:space="preserve">earch and writing skills. </w:t>
      </w:r>
      <w:r w:rsidRPr="004A29F9">
        <w:rPr>
          <w:rFonts w:ascii="Times New Roman" w:hAnsi="Times New Roman" w:cs="Times New Roman"/>
          <w:sz w:val="22"/>
          <w:szCs w:val="22"/>
          <w:lang w:val="en-GB"/>
        </w:rPr>
        <w:t>Other partici</w:t>
      </w:r>
      <w:r w:rsidR="00664464">
        <w:rPr>
          <w:rFonts w:ascii="Times New Roman" w:hAnsi="Times New Roman" w:cs="Times New Roman"/>
          <w:sz w:val="22"/>
          <w:szCs w:val="22"/>
          <w:lang w:val="en-GB"/>
        </w:rPr>
        <w:t>pants in the training, (i.e. a s</w:t>
      </w:r>
      <w:r w:rsidRPr="004A29F9">
        <w:rPr>
          <w:rFonts w:ascii="Times New Roman" w:hAnsi="Times New Roman" w:cs="Times New Roman"/>
          <w:sz w:val="22"/>
          <w:szCs w:val="22"/>
          <w:lang w:val="en-GB"/>
        </w:rPr>
        <w:t xml:space="preserve">pecialist from the Joint </w:t>
      </w:r>
      <w:r w:rsidR="00266952" w:rsidRPr="004A29F9">
        <w:rPr>
          <w:rFonts w:ascii="Times New Roman" w:hAnsi="Times New Roman" w:cs="Times New Roman"/>
          <w:sz w:val="22"/>
          <w:szCs w:val="22"/>
          <w:lang w:val="en-GB"/>
        </w:rPr>
        <w:t xml:space="preserve">Legal </w:t>
      </w:r>
      <w:r w:rsidRPr="004A29F9">
        <w:rPr>
          <w:rFonts w:ascii="Times New Roman" w:hAnsi="Times New Roman" w:cs="Times New Roman"/>
          <w:sz w:val="22"/>
          <w:szCs w:val="22"/>
          <w:lang w:val="en-GB"/>
        </w:rPr>
        <w:t>Committee and a forensic pathologist</w:t>
      </w:r>
      <w:r w:rsidR="00C51D3C" w:rsidRPr="004A29F9">
        <w:rPr>
          <w:rFonts w:ascii="Times New Roman" w:hAnsi="Times New Roman" w:cs="Times New Roman"/>
          <w:sz w:val="22"/>
          <w:szCs w:val="22"/>
          <w:lang w:val="en-GB"/>
        </w:rPr>
        <w:t>)</w:t>
      </w:r>
      <w:r w:rsidRPr="004A29F9">
        <w:rPr>
          <w:rFonts w:ascii="Times New Roman" w:hAnsi="Times New Roman" w:cs="Times New Roman"/>
          <w:sz w:val="22"/>
          <w:szCs w:val="22"/>
          <w:lang w:val="en-GB"/>
        </w:rPr>
        <w:t xml:space="preserve"> stated that the legal training had helped them to understand the cri</w:t>
      </w:r>
      <w:r w:rsidR="00664464">
        <w:rPr>
          <w:rFonts w:ascii="Times New Roman" w:hAnsi="Times New Roman" w:cs="Times New Roman"/>
          <w:sz w:val="22"/>
          <w:szCs w:val="22"/>
          <w:lang w:val="en-GB"/>
        </w:rPr>
        <w:t>minal justice system better.</w:t>
      </w:r>
    </w:p>
    <w:p w:rsidR="002B00DE" w:rsidRDefault="002B00DE" w:rsidP="00FB6759">
      <w:pPr>
        <w:spacing w:after="0" w:line="240" w:lineRule="auto"/>
        <w:jc w:val="both"/>
        <w:rPr>
          <w:rFonts w:ascii="Times New Roman" w:hAnsi="Times New Roman" w:cs="Times New Roman"/>
          <w:sz w:val="22"/>
          <w:szCs w:val="22"/>
          <w:lang w:val="en-GB"/>
        </w:rPr>
      </w:pPr>
    </w:p>
    <w:p w:rsidR="00EB10E5" w:rsidRPr="004A29F9" w:rsidRDefault="00AE002F"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Members of the focus group from the </w:t>
      </w:r>
      <w:r w:rsidR="006F73F3" w:rsidRPr="004A29F9">
        <w:rPr>
          <w:rFonts w:ascii="Times New Roman" w:hAnsi="Times New Roman" w:cs="Times New Roman"/>
          <w:sz w:val="22"/>
          <w:szCs w:val="22"/>
          <w:lang w:val="en-GB"/>
        </w:rPr>
        <w:t>Middle</w:t>
      </w:r>
      <w:r w:rsidR="00FD3C19">
        <w:rPr>
          <w:rFonts w:ascii="Times New Roman" w:hAnsi="Times New Roman" w:cs="Times New Roman"/>
          <w:sz w:val="22"/>
          <w:szCs w:val="22"/>
          <w:lang w:val="en-GB"/>
        </w:rPr>
        <w:t xml:space="preserve"> </w:t>
      </w:r>
      <w:r w:rsidR="00266952" w:rsidRPr="004A29F9">
        <w:rPr>
          <w:rFonts w:ascii="Times New Roman" w:hAnsi="Times New Roman" w:cs="Times New Roman"/>
          <w:sz w:val="22"/>
          <w:szCs w:val="22"/>
          <w:lang w:val="en-GB"/>
        </w:rPr>
        <w:t>M</w:t>
      </w:r>
      <w:r w:rsidRPr="004A29F9">
        <w:rPr>
          <w:rFonts w:ascii="Times New Roman" w:hAnsi="Times New Roman" w:cs="Times New Roman"/>
          <w:sz w:val="22"/>
          <w:szCs w:val="22"/>
          <w:lang w:val="en-GB"/>
        </w:rPr>
        <w:t xml:space="preserve">anagement </w:t>
      </w:r>
      <w:r w:rsidR="00266952" w:rsidRPr="004A29F9">
        <w:rPr>
          <w:rFonts w:ascii="Times New Roman" w:hAnsi="Times New Roman" w:cs="Times New Roman"/>
          <w:sz w:val="22"/>
          <w:szCs w:val="22"/>
          <w:lang w:val="en-GB"/>
        </w:rPr>
        <w:t>C</w:t>
      </w:r>
      <w:r w:rsidR="00664464">
        <w:rPr>
          <w:rFonts w:ascii="Times New Roman" w:hAnsi="Times New Roman" w:cs="Times New Roman"/>
          <w:sz w:val="22"/>
          <w:szCs w:val="22"/>
          <w:lang w:val="en-GB"/>
        </w:rPr>
        <w:t xml:space="preserve">ertificate </w:t>
      </w:r>
      <w:r w:rsidRPr="004A29F9">
        <w:rPr>
          <w:rFonts w:ascii="Times New Roman" w:hAnsi="Times New Roman" w:cs="Times New Roman"/>
          <w:sz w:val="22"/>
          <w:szCs w:val="22"/>
          <w:lang w:val="en-GB"/>
        </w:rPr>
        <w:t>all stated that the training had greatly improved their communication, negotiation and writing skill</w:t>
      </w:r>
      <w:r w:rsidR="00664464">
        <w:rPr>
          <w:rFonts w:ascii="Times New Roman" w:hAnsi="Times New Roman" w:cs="Times New Roman"/>
          <w:sz w:val="22"/>
          <w:szCs w:val="22"/>
          <w:lang w:val="en-GB"/>
        </w:rPr>
        <w:t>s, increasing their ability</w:t>
      </w:r>
      <w:r w:rsidRPr="004A29F9">
        <w:rPr>
          <w:rFonts w:ascii="Times New Roman" w:hAnsi="Times New Roman" w:cs="Times New Roman"/>
          <w:sz w:val="22"/>
          <w:szCs w:val="22"/>
          <w:lang w:val="en-GB"/>
        </w:rPr>
        <w:t xml:space="preserve"> to communicate more effectively within their</w:t>
      </w:r>
      <w:r w:rsidR="00664464">
        <w:rPr>
          <w:rFonts w:ascii="Times New Roman" w:hAnsi="Times New Roman" w:cs="Times New Roman"/>
          <w:sz w:val="22"/>
          <w:szCs w:val="22"/>
          <w:lang w:val="en-GB"/>
        </w:rPr>
        <w:t xml:space="preserve"> own ministries and with other governmental entities. </w:t>
      </w:r>
      <w:r w:rsidRPr="004A29F9">
        <w:rPr>
          <w:rFonts w:ascii="Times New Roman" w:hAnsi="Times New Roman" w:cs="Times New Roman"/>
          <w:sz w:val="22"/>
          <w:szCs w:val="22"/>
          <w:lang w:val="en-GB"/>
        </w:rPr>
        <w:t>The Head of the Gender U</w:t>
      </w:r>
      <w:r w:rsidR="00664464">
        <w:rPr>
          <w:rFonts w:ascii="Times New Roman" w:hAnsi="Times New Roman" w:cs="Times New Roman"/>
          <w:sz w:val="22"/>
          <w:szCs w:val="22"/>
          <w:lang w:val="en-GB"/>
        </w:rPr>
        <w:t>nit at the MO</w:t>
      </w:r>
      <w:r w:rsidRPr="004A29F9">
        <w:rPr>
          <w:rFonts w:ascii="Times New Roman" w:hAnsi="Times New Roman" w:cs="Times New Roman"/>
          <w:sz w:val="22"/>
          <w:szCs w:val="22"/>
          <w:lang w:val="en-GB"/>
        </w:rPr>
        <w:t xml:space="preserve">J reported that she had taken part in the Legislative </w:t>
      </w:r>
      <w:r w:rsidR="00C51D3C" w:rsidRPr="004A29F9">
        <w:rPr>
          <w:rFonts w:ascii="Times New Roman" w:hAnsi="Times New Roman" w:cs="Times New Roman"/>
          <w:sz w:val="22"/>
          <w:szCs w:val="22"/>
          <w:lang w:val="en-GB"/>
        </w:rPr>
        <w:t>Drafting</w:t>
      </w:r>
      <w:r w:rsidR="00664464">
        <w:rPr>
          <w:rFonts w:ascii="Times New Roman" w:hAnsi="Times New Roman" w:cs="Times New Roman"/>
          <w:sz w:val="22"/>
          <w:szCs w:val="22"/>
          <w:lang w:val="en-GB"/>
        </w:rPr>
        <w:t xml:space="preserve"> D</w:t>
      </w:r>
      <w:r w:rsidRPr="004A29F9">
        <w:rPr>
          <w:rFonts w:ascii="Times New Roman" w:hAnsi="Times New Roman" w:cs="Times New Roman"/>
          <w:sz w:val="22"/>
          <w:szCs w:val="22"/>
          <w:lang w:val="en-GB"/>
        </w:rPr>
        <w:t>iploma course that had enabled her to cope with legal tests and to prepare le</w:t>
      </w:r>
      <w:r w:rsidR="00664464">
        <w:rPr>
          <w:rFonts w:ascii="Times New Roman" w:hAnsi="Times New Roman" w:cs="Times New Roman"/>
          <w:sz w:val="22"/>
          <w:szCs w:val="22"/>
          <w:lang w:val="en-GB"/>
        </w:rPr>
        <w:t xml:space="preserve">gislative impact statements.  Other </w:t>
      </w:r>
      <w:r w:rsidRPr="004A29F9">
        <w:rPr>
          <w:rFonts w:ascii="Times New Roman" w:hAnsi="Times New Roman" w:cs="Times New Roman"/>
          <w:sz w:val="22"/>
          <w:szCs w:val="22"/>
          <w:lang w:val="en-GB"/>
        </w:rPr>
        <w:t>trainings were held for staff members on computer fundamentals and English language that now enables them to communicate more effectively in English and research comparative legal materials more q</w:t>
      </w:r>
      <w:r w:rsidR="00633D96" w:rsidRPr="004A29F9">
        <w:rPr>
          <w:rFonts w:ascii="Times New Roman" w:hAnsi="Times New Roman" w:cs="Times New Roman"/>
          <w:sz w:val="22"/>
          <w:szCs w:val="22"/>
          <w:lang w:val="en-GB"/>
        </w:rPr>
        <w:t>uickly.</w:t>
      </w:r>
    </w:p>
    <w:p w:rsidR="006E50F5" w:rsidRDefault="00B502F9"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lastRenderedPageBreak/>
        <w:t xml:space="preserve">At </w:t>
      </w:r>
      <w:r w:rsidR="004B6A07" w:rsidRPr="004A29F9">
        <w:rPr>
          <w:rFonts w:ascii="Times New Roman" w:hAnsi="Times New Roman" w:cs="Times New Roman"/>
          <w:sz w:val="22"/>
          <w:szCs w:val="22"/>
          <w:lang w:val="en-GB"/>
        </w:rPr>
        <w:t>a substantive level</w:t>
      </w:r>
      <w:r w:rsidR="00664464">
        <w:rPr>
          <w:rFonts w:ascii="Times New Roman" w:hAnsi="Times New Roman" w:cs="Times New Roman"/>
          <w:sz w:val="22"/>
          <w:szCs w:val="22"/>
          <w:lang w:val="en-GB"/>
        </w:rPr>
        <w:t>, UNDP staff</w:t>
      </w:r>
      <w:r w:rsidR="005263CA" w:rsidRPr="004A29F9">
        <w:rPr>
          <w:rFonts w:ascii="Times New Roman" w:hAnsi="Times New Roman" w:cs="Times New Roman"/>
          <w:sz w:val="22"/>
          <w:szCs w:val="22"/>
          <w:lang w:val="en-GB"/>
        </w:rPr>
        <w:t xml:space="preserve"> have been engaged with </w:t>
      </w:r>
      <w:r w:rsidR="00A22FB3" w:rsidRPr="004A29F9">
        <w:rPr>
          <w:rFonts w:ascii="Times New Roman" w:hAnsi="Times New Roman" w:cs="Times New Roman"/>
          <w:sz w:val="22"/>
          <w:szCs w:val="22"/>
          <w:lang w:val="en-GB"/>
        </w:rPr>
        <w:t xml:space="preserve">the creation of </w:t>
      </w:r>
      <w:r w:rsidR="004B6A07" w:rsidRPr="004A29F9">
        <w:rPr>
          <w:rFonts w:ascii="Times New Roman" w:hAnsi="Times New Roman" w:cs="Times New Roman"/>
          <w:sz w:val="22"/>
          <w:szCs w:val="22"/>
          <w:lang w:val="en-GB"/>
        </w:rPr>
        <w:t xml:space="preserve">a number of </w:t>
      </w:r>
      <w:r w:rsidR="005263CA" w:rsidRPr="004A29F9">
        <w:rPr>
          <w:rFonts w:ascii="Times New Roman" w:hAnsi="Times New Roman" w:cs="Times New Roman"/>
          <w:sz w:val="22"/>
          <w:szCs w:val="22"/>
          <w:lang w:val="en-GB"/>
        </w:rPr>
        <w:t xml:space="preserve">substantive </w:t>
      </w:r>
      <w:r w:rsidR="00A22FB3" w:rsidRPr="004A29F9">
        <w:rPr>
          <w:rFonts w:ascii="Times New Roman" w:hAnsi="Times New Roman" w:cs="Times New Roman"/>
          <w:sz w:val="22"/>
          <w:szCs w:val="22"/>
          <w:lang w:val="en-GB"/>
        </w:rPr>
        <w:t>laws, including</w:t>
      </w:r>
      <w:r w:rsidR="00FD3C19">
        <w:rPr>
          <w:rFonts w:ascii="Times New Roman" w:hAnsi="Times New Roman" w:cs="Times New Roman"/>
          <w:sz w:val="22"/>
          <w:szCs w:val="22"/>
          <w:lang w:val="en-GB"/>
        </w:rPr>
        <w:t xml:space="preserve"> </w:t>
      </w:r>
      <w:r w:rsidR="00E43242" w:rsidRPr="004A29F9">
        <w:rPr>
          <w:rFonts w:ascii="Times New Roman" w:hAnsi="Times New Roman" w:cs="Times New Roman"/>
          <w:sz w:val="22"/>
          <w:szCs w:val="22"/>
          <w:lang w:val="en-GB"/>
        </w:rPr>
        <w:t xml:space="preserve">a new </w:t>
      </w:r>
      <w:r w:rsidR="00CD463B" w:rsidRPr="004A29F9">
        <w:rPr>
          <w:rFonts w:ascii="Times New Roman" w:hAnsi="Times New Roman" w:cs="Times New Roman"/>
          <w:sz w:val="22"/>
          <w:szCs w:val="22"/>
          <w:lang w:val="en-GB"/>
        </w:rPr>
        <w:t xml:space="preserve">draft </w:t>
      </w:r>
      <w:r w:rsidR="00E43242" w:rsidRPr="004A29F9">
        <w:rPr>
          <w:rFonts w:ascii="Times New Roman" w:hAnsi="Times New Roman" w:cs="Times New Roman"/>
          <w:sz w:val="22"/>
          <w:szCs w:val="22"/>
          <w:lang w:val="en-GB"/>
        </w:rPr>
        <w:t>Palestinian Penal Code</w:t>
      </w:r>
      <w:r w:rsidR="00A22FB3" w:rsidRPr="004A29F9">
        <w:rPr>
          <w:rFonts w:ascii="Times New Roman" w:hAnsi="Times New Roman" w:cs="Times New Roman"/>
          <w:sz w:val="22"/>
          <w:szCs w:val="22"/>
          <w:lang w:val="en-GB"/>
        </w:rPr>
        <w:t>.</w:t>
      </w:r>
      <w:r w:rsidR="00E43242" w:rsidRPr="004A29F9">
        <w:rPr>
          <w:rStyle w:val="FootnoteReference"/>
          <w:rFonts w:ascii="Times New Roman" w:hAnsi="Times New Roman" w:cs="Times New Roman"/>
          <w:sz w:val="22"/>
          <w:szCs w:val="22"/>
          <w:lang w:val="en-GB"/>
        </w:rPr>
        <w:footnoteReference w:id="90"/>
      </w:r>
      <w:r w:rsidR="00A22FB3" w:rsidRPr="004A29F9">
        <w:rPr>
          <w:rFonts w:ascii="Times New Roman" w:hAnsi="Times New Roman" w:cs="Times New Roman"/>
          <w:sz w:val="22"/>
          <w:szCs w:val="22"/>
          <w:lang w:val="en-GB"/>
        </w:rPr>
        <w:t xml:space="preserve">The </w:t>
      </w:r>
      <w:r w:rsidR="00664464">
        <w:rPr>
          <w:rFonts w:ascii="Times New Roman" w:hAnsi="Times New Roman" w:cs="Times New Roman"/>
          <w:sz w:val="22"/>
          <w:szCs w:val="22"/>
          <w:lang w:val="en-GB"/>
        </w:rPr>
        <w:t>MO</w:t>
      </w:r>
      <w:r w:rsidR="00FE43A5" w:rsidRPr="004A29F9">
        <w:rPr>
          <w:rFonts w:ascii="Times New Roman" w:hAnsi="Times New Roman" w:cs="Times New Roman"/>
          <w:sz w:val="22"/>
          <w:szCs w:val="22"/>
          <w:lang w:val="en-GB"/>
        </w:rPr>
        <w:t>J</w:t>
      </w:r>
      <w:r w:rsidR="00A22FB3" w:rsidRPr="004A29F9">
        <w:rPr>
          <w:rFonts w:ascii="Times New Roman" w:hAnsi="Times New Roman" w:cs="Times New Roman"/>
          <w:sz w:val="22"/>
          <w:szCs w:val="22"/>
          <w:lang w:val="en-GB"/>
        </w:rPr>
        <w:t xml:space="preserve"> itself </w:t>
      </w:r>
      <w:r w:rsidR="00B53DE7" w:rsidRPr="004A29F9">
        <w:rPr>
          <w:rFonts w:ascii="Times New Roman" w:hAnsi="Times New Roman" w:cs="Times New Roman"/>
          <w:sz w:val="22"/>
          <w:szCs w:val="22"/>
          <w:lang w:val="en-GB"/>
        </w:rPr>
        <w:t xml:space="preserve">in 2012 alone </w:t>
      </w:r>
      <w:r w:rsidR="006E50F5" w:rsidRPr="004A29F9">
        <w:rPr>
          <w:rFonts w:ascii="Times New Roman" w:hAnsi="Times New Roman" w:cs="Times New Roman"/>
          <w:sz w:val="22"/>
          <w:szCs w:val="22"/>
          <w:lang w:val="en-GB"/>
        </w:rPr>
        <w:t>contributed to the drafting of 2</w:t>
      </w:r>
      <w:r w:rsidR="00746952" w:rsidRPr="004A29F9">
        <w:rPr>
          <w:rFonts w:ascii="Times New Roman" w:hAnsi="Times New Roman" w:cs="Times New Roman"/>
          <w:sz w:val="22"/>
          <w:szCs w:val="22"/>
          <w:lang w:val="en-GB"/>
        </w:rPr>
        <w:t>4</w:t>
      </w:r>
      <w:r w:rsidR="006E50F5" w:rsidRPr="004A29F9">
        <w:rPr>
          <w:rFonts w:ascii="Times New Roman" w:hAnsi="Times New Roman" w:cs="Times New Roman"/>
          <w:sz w:val="22"/>
          <w:szCs w:val="22"/>
          <w:lang w:val="en-GB"/>
        </w:rPr>
        <w:t xml:space="preserve"> laws</w:t>
      </w:r>
      <w:r w:rsidR="00746952" w:rsidRPr="004A29F9">
        <w:rPr>
          <w:rFonts w:ascii="Times New Roman" w:hAnsi="Times New Roman" w:cs="Times New Roman"/>
          <w:sz w:val="22"/>
          <w:szCs w:val="22"/>
          <w:lang w:val="en-GB"/>
        </w:rPr>
        <w:t xml:space="preserve"> and</w:t>
      </w:r>
      <w:r w:rsidR="00A4214D" w:rsidRPr="004A29F9">
        <w:rPr>
          <w:rFonts w:ascii="Times New Roman" w:hAnsi="Times New Roman" w:cs="Times New Roman"/>
          <w:sz w:val="22"/>
          <w:szCs w:val="22"/>
          <w:lang w:val="en-GB"/>
        </w:rPr>
        <w:t xml:space="preserve"> 16 regulations</w:t>
      </w:r>
      <w:r w:rsidR="00664464">
        <w:rPr>
          <w:rFonts w:ascii="Times New Roman" w:hAnsi="Times New Roman" w:cs="Times New Roman"/>
          <w:sz w:val="22"/>
          <w:szCs w:val="22"/>
          <w:lang w:val="en-GB"/>
        </w:rPr>
        <w:t>. The UNDP rule of law advisor</w:t>
      </w:r>
      <w:r w:rsidR="00372098" w:rsidRPr="004A29F9">
        <w:rPr>
          <w:rFonts w:ascii="Times New Roman" w:hAnsi="Times New Roman" w:cs="Times New Roman"/>
          <w:sz w:val="22"/>
          <w:szCs w:val="22"/>
          <w:lang w:val="en-GB"/>
        </w:rPr>
        <w:t xml:space="preserve"> made a major contribution to many of these la</w:t>
      </w:r>
      <w:r w:rsidR="00664464">
        <w:rPr>
          <w:rFonts w:ascii="Times New Roman" w:hAnsi="Times New Roman" w:cs="Times New Roman"/>
          <w:sz w:val="22"/>
          <w:szCs w:val="22"/>
          <w:lang w:val="en-GB"/>
        </w:rPr>
        <w:t>ws, as did UNDP’s g</w:t>
      </w:r>
      <w:r w:rsidR="00372098" w:rsidRPr="004A29F9">
        <w:rPr>
          <w:rFonts w:ascii="Times New Roman" w:hAnsi="Times New Roman" w:cs="Times New Roman"/>
          <w:sz w:val="22"/>
          <w:szCs w:val="22"/>
          <w:lang w:val="en-GB"/>
        </w:rPr>
        <w:t>end</w:t>
      </w:r>
      <w:r w:rsidR="00664464">
        <w:rPr>
          <w:rFonts w:ascii="Times New Roman" w:hAnsi="Times New Roman" w:cs="Times New Roman"/>
          <w:sz w:val="22"/>
          <w:szCs w:val="22"/>
          <w:lang w:val="en-GB"/>
        </w:rPr>
        <w:t>er and juvenile justice expert. UNDP also utilis</w:t>
      </w:r>
      <w:r w:rsidR="00372098" w:rsidRPr="004A29F9">
        <w:rPr>
          <w:rFonts w:ascii="Times New Roman" w:hAnsi="Times New Roman" w:cs="Times New Roman"/>
          <w:sz w:val="22"/>
          <w:szCs w:val="22"/>
          <w:lang w:val="en-GB"/>
        </w:rPr>
        <w:t>ed two</w:t>
      </w:r>
      <w:r w:rsidR="00664464">
        <w:rPr>
          <w:rFonts w:ascii="Times New Roman" w:hAnsi="Times New Roman" w:cs="Times New Roman"/>
          <w:sz w:val="22"/>
          <w:szCs w:val="22"/>
          <w:lang w:val="en-GB"/>
        </w:rPr>
        <w:t xml:space="preserve"> Stabilis</w:t>
      </w:r>
      <w:r w:rsidR="00372098" w:rsidRPr="004A29F9">
        <w:rPr>
          <w:rFonts w:ascii="Times New Roman" w:hAnsi="Times New Roman" w:cs="Times New Roman"/>
          <w:sz w:val="22"/>
          <w:szCs w:val="22"/>
          <w:lang w:val="en-GB"/>
        </w:rPr>
        <w:t>ation</w:t>
      </w:r>
      <w:r w:rsidR="00664464">
        <w:rPr>
          <w:rFonts w:ascii="Times New Roman" w:hAnsi="Times New Roman" w:cs="Times New Roman"/>
          <w:sz w:val="22"/>
          <w:szCs w:val="22"/>
          <w:lang w:val="en-GB"/>
        </w:rPr>
        <w:t xml:space="preserve"> Fund financed lawyers in the MO</w:t>
      </w:r>
      <w:r w:rsidR="00372098" w:rsidRPr="004A29F9">
        <w:rPr>
          <w:rFonts w:ascii="Times New Roman" w:hAnsi="Times New Roman" w:cs="Times New Roman"/>
          <w:sz w:val="22"/>
          <w:szCs w:val="22"/>
          <w:lang w:val="en-GB"/>
        </w:rPr>
        <w:t>J unit responsible for drafting for this purpose resulting in a con</w:t>
      </w:r>
      <w:r w:rsidR="00664464">
        <w:rPr>
          <w:rFonts w:ascii="Times New Roman" w:hAnsi="Times New Roman" w:cs="Times New Roman"/>
          <w:sz w:val="22"/>
          <w:szCs w:val="22"/>
          <w:lang w:val="en-GB"/>
        </w:rPr>
        <w:t>siderable contribution to the MO</w:t>
      </w:r>
      <w:r w:rsidR="00372098" w:rsidRPr="004A29F9">
        <w:rPr>
          <w:rFonts w:ascii="Times New Roman" w:hAnsi="Times New Roman" w:cs="Times New Roman"/>
          <w:sz w:val="22"/>
          <w:szCs w:val="22"/>
          <w:lang w:val="en-GB"/>
        </w:rPr>
        <w:t>J’s legislative drafting capacity</w:t>
      </w:r>
      <w:r w:rsidR="006E50F5" w:rsidRPr="004A29F9">
        <w:rPr>
          <w:rFonts w:ascii="Times New Roman" w:hAnsi="Times New Roman" w:cs="Times New Roman"/>
          <w:sz w:val="22"/>
          <w:szCs w:val="22"/>
          <w:lang w:val="en-GB"/>
        </w:rPr>
        <w:t>.</w:t>
      </w:r>
      <w:r w:rsidR="00372098" w:rsidRPr="004A29F9">
        <w:rPr>
          <w:rFonts w:ascii="Times New Roman" w:hAnsi="Times New Roman" w:cs="Times New Roman"/>
          <w:sz w:val="22"/>
          <w:szCs w:val="22"/>
          <w:lang w:val="en-GB"/>
        </w:rPr>
        <w:t xml:space="preserve"> It is also</w:t>
      </w:r>
      <w:r w:rsidR="00FD3C19">
        <w:rPr>
          <w:rFonts w:ascii="Times New Roman" w:hAnsi="Times New Roman" w:cs="Times New Roman"/>
          <w:sz w:val="22"/>
          <w:szCs w:val="22"/>
          <w:lang w:val="en-GB"/>
        </w:rPr>
        <w:t xml:space="preserve"> </w:t>
      </w:r>
      <w:r w:rsidR="00372098" w:rsidRPr="004A29F9">
        <w:rPr>
          <w:rFonts w:ascii="Times New Roman" w:hAnsi="Times New Roman" w:cs="Times New Roman"/>
          <w:sz w:val="22"/>
          <w:szCs w:val="22"/>
          <w:lang w:val="en-GB"/>
        </w:rPr>
        <w:t>c</w:t>
      </w:r>
      <w:r w:rsidR="00664464">
        <w:rPr>
          <w:rFonts w:ascii="Times New Roman" w:hAnsi="Times New Roman" w:cs="Times New Roman"/>
          <w:sz w:val="22"/>
          <w:szCs w:val="22"/>
          <w:lang w:val="en-GB"/>
        </w:rPr>
        <w:t>lear that UNDP seconded</w:t>
      </w:r>
      <w:r w:rsidR="00FD3C19">
        <w:rPr>
          <w:rFonts w:ascii="Times New Roman" w:hAnsi="Times New Roman" w:cs="Times New Roman"/>
          <w:sz w:val="22"/>
          <w:szCs w:val="22"/>
          <w:lang w:val="en-GB"/>
        </w:rPr>
        <w:t xml:space="preserve"> </w:t>
      </w:r>
      <w:r w:rsidR="00664464">
        <w:rPr>
          <w:rFonts w:ascii="Times New Roman" w:hAnsi="Times New Roman" w:cs="Times New Roman"/>
          <w:sz w:val="22"/>
          <w:szCs w:val="22"/>
          <w:lang w:val="en-GB"/>
        </w:rPr>
        <w:t>experts worked closely with the MOSA</w:t>
      </w:r>
      <w:r w:rsidR="00FD3C19">
        <w:rPr>
          <w:rFonts w:ascii="Times New Roman" w:hAnsi="Times New Roman" w:cs="Times New Roman"/>
          <w:sz w:val="22"/>
          <w:szCs w:val="22"/>
          <w:lang w:val="en-GB"/>
        </w:rPr>
        <w:t xml:space="preserve"> </w:t>
      </w:r>
      <w:r w:rsidR="00A22FB3" w:rsidRPr="004A29F9">
        <w:rPr>
          <w:rFonts w:ascii="Times New Roman" w:hAnsi="Times New Roman" w:cs="Times New Roman"/>
          <w:sz w:val="22"/>
          <w:szCs w:val="22"/>
          <w:lang w:val="en-GB"/>
        </w:rPr>
        <w:t xml:space="preserve">to help develop </w:t>
      </w:r>
      <w:r w:rsidR="008E4410" w:rsidRPr="004A29F9">
        <w:rPr>
          <w:rFonts w:ascii="Times New Roman" w:hAnsi="Times New Roman" w:cs="Times New Roman"/>
          <w:sz w:val="22"/>
          <w:szCs w:val="22"/>
          <w:lang w:val="en-GB"/>
        </w:rPr>
        <w:t xml:space="preserve">the Juvenile Justice Law, the Law to Combat Violence Against Women, </w:t>
      </w:r>
      <w:r w:rsidR="00A22FB3" w:rsidRPr="004A29F9">
        <w:rPr>
          <w:rFonts w:ascii="Times New Roman" w:hAnsi="Times New Roman" w:cs="Times New Roman"/>
          <w:sz w:val="22"/>
          <w:szCs w:val="22"/>
          <w:lang w:val="en-GB"/>
        </w:rPr>
        <w:t xml:space="preserve">as well as provisions </w:t>
      </w:r>
      <w:r w:rsidR="008E4410" w:rsidRPr="004A29F9">
        <w:rPr>
          <w:rFonts w:ascii="Times New Roman" w:hAnsi="Times New Roman" w:cs="Times New Roman"/>
          <w:sz w:val="22"/>
          <w:szCs w:val="22"/>
          <w:lang w:val="en-GB"/>
        </w:rPr>
        <w:t xml:space="preserve">abolishing </w:t>
      </w:r>
      <w:r w:rsidR="00CD463B" w:rsidRPr="004A29F9">
        <w:rPr>
          <w:rFonts w:ascii="Times New Roman" w:hAnsi="Times New Roman" w:cs="Times New Roman"/>
          <w:sz w:val="22"/>
          <w:szCs w:val="22"/>
          <w:lang w:val="en-GB"/>
        </w:rPr>
        <w:t xml:space="preserve">some aspects of </w:t>
      </w:r>
      <w:r w:rsidR="008E4410" w:rsidRPr="004A29F9">
        <w:rPr>
          <w:rFonts w:ascii="Times New Roman" w:hAnsi="Times New Roman" w:cs="Times New Roman"/>
          <w:sz w:val="22"/>
          <w:szCs w:val="22"/>
          <w:lang w:val="en-GB"/>
        </w:rPr>
        <w:t xml:space="preserve">‘honour crime’ as a </w:t>
      </w:r>
      <w:r w:rsidR="003809F2" w:rsidRPr="004A29F9">
        <w:rPr>
          <w:rFonts w:ascii="Times New Roman" w:hAnsi="Times New Roman" w:cs="Times New Roman"/>
          <w:sz w:val="22"/>
          <w:szCs w:val="22"/>
          <w:lang w:val="en-GB"/>
        </w:rPr>
        <w:t>defense</w:t>
      </w:r>
      <w:r w:rsidR="008E4410" w:rsidRPr="004A29F9">
        <w:rPr>
          <w:rFonts w:ascii="Times New Roman" w:hAnsi="Times New Roman" w:cs="Times New Roman"/>
          <w:sz w:val="22"/>
          <w:szCs w:val="22"/>
          <w:lang w:val="en-GB"/>
        </w:rPr>
        <w:t xml:space="preserve"> for murder in the Penal Code.</w:t>
      </w:r>
      <w:r w:rsidR="008E4410" w:rsidRPr="004A29F9">
        <w:rPr>
          <w:rStyle w:val="FootnoteReference"/>
          <w:rFonts w:ascii="Times New Roman" w:hAnsi="Times New Roman" w:cs="Times New Roman"/>
          <w:sz w:val="22"/>
          <w:szCs w:val="22"/>
          <w:lang w:val="en-GB"/>
        </w:rPr>
        <w:footnoteReference w:id="91"/>
      </w:r>
    </w:p>
    <w:p w:rsidR="00664464" w:rsidRPr="004A29F9" w:rsidRDefault="00664464" w:rsidP="00FB6759">
      <w:pPr>
        <w:spacing w:after="0" w:line="240" w:lineRule="auto"/>
        <w:jc w:val="both"/>
        <w:rPr>
          <w:rFonts w:ascii="Times New Roman" w:hAnsi="Times New Roman" w:cs="Times New Roman"/>
          <w:sz w:val="22"/>
          <w:szCs w:val="22"/>
          <w:lang w:val="en-GB"/>
        </w:rPr>
      </w:pPr>
    </w:p>
    <w:p w:rsidR="006A739E" w:rsidRPr="004A29F9" w:rsidRDefault="004429D8"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The MOJ</w:t>
      </w:r>
      <w:r w:rsidR="00EB10E5" w:rsidRPr="004A29F9">
        <w:rPr>
          <w:rFonts w:ascii="Times New Roman" w:hAnsi="Times New Roman" w:cs="Times New Roman"/>
          <w:sz w:val="22"/>
          <w:szCs w:val="22"/>
          <w:lang w:val="en-GB"/>
        </w:rPr>
        <w:t xml:space="preserve"> has also</w:t>
      </w:r>
      <w:r w:rsidR="00A4214D" w:rsidRPr="004A29F9">
        <w:rPr>
          <w:rFonts w:ascii="Times New Roman" w:hAnsi="Times New Roman" w:cs="Times New Roman"/>
          <w:sz w:val="22"/>
          <w:szCs w:val="22"/>
          <w:lang w:val="en-GB"/>
        </w:rPr>
        <w:t>,</w:t>
      </w:r>
      <w:r w:rsidR="00EB10E5" w:rsidRPr="004A29F9">
        <w:rPr>
          <w:rFonts w:ascii="Times New Roman" w:hAnsi="Times New Roman" w:cs="Times New Roman"/>
          <w:sz w:val="22"/>
          <w:szCs w:val="22"/>
          <w:lang w:val="en-GB"/>
        </w:rPr>
        <w:t xml:space="preserve"> with UNDP support</w:t>
      </w:r>
      <w:r w:rsidR="00A4214D" w:rsidRPr="004A29F9">
        <w:rPr>
          <w:rFonts w:ascii="Times New Roman" w:hAnsi="Times New Roman" w:cs="Times New Roman"/>
          <w:sz w:val="22"/>
          <w:szCs w:val="22"/>
          <w:lang w:val="en-GB"/>
        </w:rPr>
        <w:t>,</w:t>
      </w:r>
      <w:r w:rsidR="00EB10E5" w:rsidRPr="004A29F9">
        <w:rPr>
          <w:rFonts w:ascii="Times New Roman" w:hAnsi="Times New Roman" w:cs="Times New Roman"/>
          <w:sz w:val="22"/>
          <w:szCs w:val="22"/>
          <w:lang w:val="en-GB"/>
        </w:rPr>
        <w:t xml:space="preserve"> developed a legislative plan</w:t>
      </w:r>
      <w:r w:rsidR="006A739E" w:rsidRPr="004A29F9">
        <w:rPr>
          <w:rFonts w:ascii="Times New Roman" w:hAnsi="Times New Roman" w:cs="Times New Roman"/>
          <w:sz w:val="22"/>
          <w:szCs w:val="22"/>
          <w:lang w:val="en-GB"/>
        </w:rPr>
        <w:t xml:space="preserve"> that has now been approved by the Council of Ministers</w:t>
      </w:r>
      <w:r w:rsidR="00944FCA" w:rsidRPr="004A29F9">
        <w:rPr>
          <w:rFonts w:ascii="Times New Roman" w:hAnsi="Times New Roman" w:cs="Times New Roman"/>
          <w:sz w:val="22"/>
          <w:szCs w:val="22"/>
          <w:lang w:val="en-GB"/>
        </w:rPr>
        <w:t>.</w:t>
      </w:r>
      <w:r>
        <w:rPr>
          <w:rFonts w:ascii="Times New Roman" w:hAnsi="Times New Roman" w:cs="Times New Roman"/>
          <w:sz w:val="22"/>
          <w:szCs w:val="22"/>
          <w:lang w:val="en-GB"/>
        </w:rPr>
        <w:t xml:space="preserve"> A UNDP seconded expert to the MO</w:t>
      </w:r>
      <w:r w:rsidR="006A739E" w:rsidRPr="004A29F9">
        <w:rPr>
          <w:rFonts w:ascii="Times New Roman" w:hAnsi="Times New Roman" w:cs="Times New Roman"/>
          <w:sz w:val="22"/>
          <w:szCs w:val="22"/>
          <w:lang w:val="en-GB"/>
        </w:rPr>
        <w:t>J was the main author of a legislative drafting manual as part of an OECD funded project that</w:t>
      </w:r>
      <w:r w:rsidR="00EB10E5" w:rsidRPr="004A29F9">
        <w:rPr>
          <w:rFonts w:ascii="Times New Roman" w:hAnsi="Times New Roman" w:cs="Times New Roman"/>
          <w:sz w:val="22"/>
          <w:szCs w:val="22"/>
          <w:lang w:val="en-GB"/>
        </w:rPr>
        <w:t xml:space="preserve"> involved a consolidation of the legislative process. </w:t>
      </w:r>
      <w:r w:rsidR="006A739E" w:rsidRPr="004A29F9">
        <w:rPr>
          <w:rFonts w:ascii="Times New Roman" w:hAnsi="Times New Roman" w:cs="Times New Roman"/>
          <w:sz w:val="22"/>
          <w:szCs w:val="22"/>
          <w:lang w:val="en-GB"/>
        </w:rPr>
        <w:t xml:space="preserve">With UNDP support, the </w:t>
      </w:r>
      <w:r>
        <w:rPr>
          <w:rFonts w:ascii="Times New Roman" w:hAnsi="Times New Roman" w:cs="Times New Roman"/>
          <w:sz w:val="22"/>
          <w:szCs w:val="22"/>
          <w:lang w:val="en-GB"/>
        </w:rPr>
        <w:t>MO</w:t>
      </w:r>
      <w:r w:rsidR="00D20809" w:rsidRPr="004A29F9">
        <w:rPr>
          <w:rFonts w:ascii="Times New Roman" w:hAnsi="Times New Roman" w:cs="Times New Roman"/>
          <w:sz w:val="22"/>
          <w:szCs w:val="22"/>
          <w:lang w:val="en-GB"/>
        </w:rPr>
        <w:t xml:space="preserve">J </w:t>
      </w:r>
      <w:r w:rsidR="006A739E" w:rsidRPr="004A29F9">
        <w:rPr>
          <w:rFonts w:ascii="Times New Roman" w:hAnsi="Times New Roman" w:cs="Times New Roman"/>
          <w:sz w:val="22"/>
          <w:szCs w:val="22"/>
          <w:lang w:val="en-GB"/>
        </w:rPr>
        <w:t>involved</w:t>
      </w:r>
      <w:r w:rsidR="00EB10E5" w:rsidRPr="004A29F9">
        <w:rPr>
          <w:rFonts w:ascii="Times New Roman" w:hAnsi="Times New Roman" w:cs="Times New Roman"/>
          <w:sz w:val="22"/>
          <w:szCs w:val="22"/>
          <w:lang w:val="en-GB"/>
        </w:rPr>
        <w:t xml:space="preserve"> legislators</w:t>
      </w:r>
      <w:r w:rsidR="006A739E" w:rsidRPr="004A29F9">
        <w:rPr>
          <w:rFonts w:ascii="Times New Roman" w:hAnsi="Times New Roman" w:cs="Times New Roman"/>
          <w:sz w:val="22"/>
          <w:szCs w:val="22"/>
          <w:lang w:val="en-GB"/>
        </w:rPr>
        <w:t xml:space="preserve"> in</w:t>
      </w:r>
      <w:r w:rsidR="00EB10E5" w:rsidRPr="004A29F9">
        <w:rPr>
          <w:rFonts w:ascii="Times New Roman" w:hAnsi="Times New Roman" w:cs="Times New Roman"/>
          <w:sz w:val="22"/>
          <w:szCs w:val="22"/>
          <w:lang w:val="en-GB"/>
        </w:rPr>
        <w:t xml:space="preserve"> a training pertaining to other countries’ legislative procedures</w:t>
      </w:r>
      <w:r w:rsidR="00D20809" w:rsidRPr="004A29F9">
        <w:rPr>
          <w:rFonts w:ascii="Times New Roman" w:hAnsi="Times New Roman" w:cs="Times New Roman"/>
          <w:sz w:val="22"/>
          <w:szCs w:val="22"/>
          <w:lang w:val="en-GB"/>
        </w:rPr>
        <w:t xml:space="preserve"> and five</w:t>
      </w:r>
      <w:r w:rsidR="00EB10E5" w:rsidRPr="004A29F9">
        <w:rPr>
          <w:rFonts w:ascii="Times New Roman" w:hAnsi="Times New Roman" w:cs="Times New Roman"/>
          <w:sz w:val="22"/>
          <w:szCs w:val="22"/>
          <w:lang w:val="en-GB"/>
        </w:rPr>
        <w:t xml:space="preserve"> study tours took place </w:t>
      </w:r>
      <w:r w:rsidR="00266952" w:rsidRPr="004A29F9">
        <w:rPr>
          <w:rFonts w:ascii="Times New Roman" w:hAnsi="Times New Roman" w:cs="Times New Roman"/>
          <w:sz w:val="22"/>
          <w:szCs w:val="22"/>
          <w:lang w:val="en-GB"/>
        </w:rPr>
        <w:t>(</w:t>
      </w:r>
      <w:r w:rsidR="00EB10E5" w:rsidRPr="004A29F9">
        <w:rPr>
          <w:rFonts w:ascii="Times New Roman" w:hAnsi="Times New Roman" w:cs="Times New Roman"/>
          <w:sz w:val="22"/>
          <w:szCs w:val="22"/>
          <w:lang w:val="en-GB"/>
        </w:rPr>
        <w:t xml:space="preserve">Jordan, </w:t>
      </w:r>
      <w:r>
        <w:rPr>
          <w:rFonts w:ascii="Times New Roman" w:hAnsi="Times New Roman" w:cs="Times New Roman"/>
          <w:sz w:val="22"/>
          <w:szCs w:val="22"/>
          <w:lang w:val="en-GB"/>
        </w:rPr>
        <w:t xml:space="preserve">Egypt, </w:t>
      </w:r>
      <w:r w:rsidR="00EB10E5" w:rsidRPr="004A29F9">
        <w:rPr>
          <w:rFonts w:ascii="Times New Roman" w:hAnsi="Times New Roman" w:cs="Times New Roman"/>
          <w:sz w:val="22"/>
          <w:szCs w:val="22"/>
          <w:lang w:val="en-GB"/>
        </w:rPr>
        <w:t>U</w:t>
      </w:r>
      <w:r>
        <w:rPr>
          <w:rFonts w:ascii="Times New Roman" w:hAnsi="Times New Roman" w:cs="Times New Roman"/>
          <w:sz w:val="22"/>
          <w:szCs w:val="22"/>
          <w:lang w:val="en-GB"/>
        </w:rPr>
        <w:t xml:space="preserve">nited Arab Emirates, United Kingdom and </w:t>
      </w:r>
      <w:r w:rsidR="00EB10E5" w:rsidRPr="004A29F9">
        <w:rPr>
          <w:rFonts w:ascii="Times New Roman" w:hAnsi="Times New Roman" w:cs="Times New Roman"/>
          <w:sz w:val="22"/>
          <w:szCs w:val="22"/>
          <w:lang w:val="en-GB"/>
        </w:rPr>
        <w:t>German</w:t>
      </w:r>
      <w:r>
        <w:rPr>
          <w:rFonts w:ascii="Times New Roman" w:hAnsi="Times New Roman" w:cs="Times New Roman"/>
          <w:sz w:val="22"/>
          <w:szCs w:val="22"/>
          <w:lang w:val="en-GB"/>
        </w:rPr>
        <w:t xml:space="preserve">y). </w:t>
      </w:r>
      <w:r w:rsidR="00EB10E5" w:rsidRPr="004A29F9">
        <w:rPr>
          <w:rFonts w:ascii="Times New Roman" w:hAnsi="Times New Roman" w:cs="Times New Roman"/>
          <w:sz w:val="22"/>
          <w:szCs w:val="22"/>
          <w:lang w:val="en-GB"/>
        </w:rPr>
        <w:t xml:space="preserve">These study tours are perceived to have increased </w:t>
      </w:r>
      <w:r w:rsidR="00D20809" w:rsidRPr="004A29F9">
        <w:rPr>
          <w:rFonts w:ascii="Times New Roman" w:hAnsi="Times New Roman" w:cs="Times New Roman"/>
          <w:sz w:val="22"/>
          <w:szCs w:val="22"/>
          <w:lang w:val="en-GB"/>
        </w:rPr>
        <w:t xml:space="preserve">the legislators’ </w:t>
      </w:r>
      <w:r w:rsidR="00EB10E5" w:rsidRPr="004A29F9">
        <w:rPr>
          <w:rFonts w:ascii="Times New Roman" w:hAnsi="Times New Roman" w:cs="Times New Roman"/>
          <w:sz w:val="22"/>
          <w:szCs w:val="22"/>
          <w:lang w:val="en-GB"/>
        </w:rPr>
        <w:t>capacit</w:t>
      </w:r>
      <w:r w:rsidR="00D20809" w:rsidRPr="004A29F9">
        <w:rPr>
          <w:rFonts w:ascii="Times New Roman" w:hAnsi="Times New Roman" w:cs="Times New Roman"/>
          <w:sz w:val="22"/>
          <w:szCs w:val="22"/>
          <w:lang w:val="en-GB"/>
        </w:rPr>
        <w:t>ies</w:t>
      </w:r>
      <w:r>
        <w:rPr>
          <w:rFonts w:ascii="Times New Roman" w:hAnsi="Times New Roman" w:cs="Times New Roman"/>
          <w:sz w:val="22"/>
          <w:szCs w:val="22"/>
          <w:lang w:val="en-GB"/>
        </w:rPr>
        <w:t xml:space="preserve">, particularly in relation to rehabilitative approaches to juvenile justice </w:t>
      </w:r>
      <w:r w:rsidR="006A739E" w:rsidRPr="004A29F9">
        <w:rPr>
          <w:rFonts w:ascii="Times New Roman" w:hAnsi="Times New Roman" w:cs="Times New Roman"/>
          <w:sz w:val="22"/>
          <w:szCs w:val="22"/>
          <w:lang w:val="en-GB"/>
        </w:rPr>
        <w:t xml:space="preserve">and non-custodial sentencing.  </w:t>
      </w:r>
    </w:p>
    <w:p w:rsidR="00664464" w:rsidRDefault="00664464" w:rsidP="00FB6759">
      <w:pPr>
        <w:spacing w:after="0" w:line="240" w:lineRule="auto"/>
        <w:jc w:val="both"/>
        <w:rPr>
          <w:rFonts w:ascii="Times New Roman" w:hAnsi="Times New Roman" w:cs="Times New Roman"/>
          <w:sz w:val="22"/>
          <w:szCs w:val="22"/>
          <w:lang w:val="en-GB"/>
        </w:rPr>
      </w:pPr>
    </w:p>
    <w:p w:rsidR="00EB10E5" w:rsidRPr="004A29F9" w:rsidRDefault="00EB10E5"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UNDP seco</w:t>
      </w:r>
      <w:r w:rsidR="004429D8">
        <w:rPr>
          <w:rFonts w:ascii="Times New Roman" w:hAnsi="Times New Roman" w:cs="Times New Roman"/>
          <w:sz w:val="22"/>
          <w:szCs w:val="22"/>
          <w:lang w:val="en-GB"/>
        </w:rPr>
        <w:t>nded staff also assisted the MO</w:t>
      </w:r>
      <w:r w:rsidRPr="004A29F9">
        <w:rPr>
          <w:rFonts w:ascii="Times New Roman" w:hAnsi="Times New Roman" w:cs="Times New Roman"/>
          <w:sz w:val="22"/>
          <w:szCs w:val="22"/>
          <w:lang w:val="en-GB"/>
        </w:rPr>
        <w:t xml:space="preserve">J </w:t>
      </w:r>
      <w:r w:rsidR="00156289" w:rsidRPr="004A29F9">
        <w:rPr>
          <w:rFonts w:ascii="Times New Roman" w:hAnsi="Times New Roman" w:cs="Times New Roman"/>
          <w:sz w:val="22"/>
          <w:szCs w:val="22"/>
          <w:lang w:val="en-GB"/>
        </w:rPr>
        <w:t xml:space="preserve">amend eight </w:t>
      </w:r>
      <w:r w:rsidR="00D20809" w:rsidRPr="004A29F9">
        <w:rPr>
          <w:rFonts w:ascii="Times New Roman" w:hAnsi="Times New Roman" w:cs="Times New Roman"/>
          <w:sz w:val="22"/>
          <w:szCs w:val="22"/>
          <w:lang w:val="en-GB"/>
        </w:rPr>
        <w:t>laws;</w:t>
      </w:r>
      <w:r w:rsidRPr="004A29F9">
        <w:rPr>
          <w:rFonts w:ascii="Times New Roman" w:hAnsi="Times New Roman" w:cs="Times New Roman"/>
          <w:sz w:val="22"/>
          <w:szCs w:val="22"/>
          <w:lang w:val="en-GB"/>
        </w:rPr>
        <w:t xml:space="preserve"> the most important of which </w:t>
      </w:r>
      <w:r w:rsidR="00156289" w:rsidRPr="004A29F9">
        <w:rPr>
          <w:rFonts w:ascii="Times New Roman" w:hAnsi="Times New Roman" w:cs="Times New Roman"/>
          <w:sz w:val="22"/>
          <w:szCs w:val="22"/>
          <w:lang w:val="en-GB"/>
        </w:rPr>
        <w:t xml:space="preserve">are </w:t>
      </w:r>
      <w:r w:rsidR="004429D8">
        <w:rPr>
          <w:rFonts w:ascii="Times New Roman" w:hAnsi="Times New Roman" w:cs="Times New Roman"/>
          <w:sz w:val="22"/>
          <w:szCs w:val="22"/>
          <w:lang w:val="en-GB"/>
        </w:rPr>
        <w:t>the c</w:t>
      </w:r>
      <w:r w:rsidRPr="004A29F9">
        <w:rPr>
          <w:rFonts w:ascii="Times New Roman" w:hAnsi="Times New Roman" w:cs="Times New Roman"/>
          <w:sz w:val="22"/>
          <w:szCs w:val="22"/>
          <w:lang w:val="en-GB"/>
        </w:rPr>
        <w:t>r</w:t>
      </w:r>
      <w:r w:rsidR="004429D8">
        <w:rPr>
          <w:rFonts w:ascii="Times New Roman" w:hAnsi="Times New Roman" w:cs="Times New Roman"/>
          <w:sz w:val="22"/>
          <w:szCs w:val="22"/>
          <w:lang w:val="en-GB"/>
        </w:rPr>
        <w:t>iminal and c</w:t>
      </w:r>
      <w:r w:rsidR="00D20809" w:rsidRPr="004A29F9">
        <w:rPr>
          <w:rFonts w:ascii="Times New Roman" w:hAnsi="Times New Roman" w:cs="Times New Roman"/>
          <w:sz w:val="22"/>
          <w:szCs w:val="22"/>
          <w:lang w:val="en-GB"/>
        </w:rPr>
        <w:t xml:space="preserve">ivil procedure laws; </w:t>
      </w:r>
      <w:r w:rsidRPr="004A29F9">
        <w:rPr>
          <w:rFonts w:ascii="Times New Roman" w:hAnsi="Times New Roman" w:cs="Times New Roman"/>
          <w:sz w:val="22"/>
          <w:szCs w:val="22"/>
          <w:lang w:val="en-GB"/>
        </w:rPr>
        <w:t>the Law for the Establishment of Courts and the draft Penal Code</w:t>
      </w:r>
      <w:r w:rsidR="004429D8">
        <w:rPr>
          <w:rFonts w:ascii="Times New Roman" w:hAnsi="Times New Roman" w:cs="Times New Roman"/>
          <w:sz w:val="22"/>
          <w:szCs w:val="22"/>
          <w:lang w:val="en-GB"/>
        </w:rPr>
        <w:t xml:space="preserve">. </w:t>
      </w:r>
      <w:r w:rsidR="005F348F" w:rsidRPr="004A29F9">
        <w:rPr>
          <w:rFonts w:ascii="Times New Roman" w:hAnsi="Times New Roman" w:cs="Times New Roman"/>
          <w:sz w:val="22"/>
          <w:szCs w:val="22"/>
          <w:lang w:val="en-GB"/>
        </w:rPr>
        <w:t>As of 2012, these</w:t>
      </w:r>
      <w:r w:rsidRPr="004A29F9">
        <w:rPr>
          <w:rFonts w:ascii="Times New Roman" w:hAnsi="Times New Roman" w:cs="Times New Roman"/>
          <w:sz w:val="22"/>
          <w:szCs w:val="22"/>
          <w:lang w:val="en-GB"/>
        </w:rPr>
        <w:t xml:space="preserve"> laws are serving as a basis for </w:t>
      </w:r>
      <w:r w:rsidR="004429D8">
        <w:rPr>
          <w:rFonts w:ascii="Times New Roman" w:hAnsi="Times New Roman" w:cs="Times New Roman"/>
          <w:sz w:val="22"/>
          <w:szCs w:val="22"/>
          <w:lang w:val="en-GB"/>
        </w:rPr>
        <w:t>access to j</w:t>
      </w:r>
      <w:r w:rsidR="005F348F" w:rsidRPr="004A29F9">
        <w:rPr>
          <w:rFonts w:ascii="Times New Roman" w:hAnsi="Times New Roman" w:cs="Times New Roman"/>
          <w:sz w:val="22"/>
          <w:szCs w:val="22"/>
          <w:lang w:val="en-GB"/>
        </w:rPr>
        <w:t>ustice</w:t>
      </w:r>
      <w:r w:rsidRPr="004A29F9">
        <w:rPr>
          <w:rFonts w:ascii="Times New Roman" w:hAnsi="Times New Roman" w:cs="Times New Roman"/>
          <w:sz w:val="22"/>
          <w:szCs w:val="22"/>
          <w:lang w:val="en-GB"/>
        </w:rPr>
        <w:t xml:space="preserve"> in </w:t>
      </w:r>
      <w:r w:rsidR="004429D8">
        <w:rPr>
          <w:rFonts w:ascii="Times New Roman" w:hAnsi="Times New Roman" w:cs="Times New Roman"/>
          <w:sz w:val="22"/>
          <w:szCs w:val="22"/>
          <w:lang w:val="en-GB"/>
        </w:rPr>
        <w:t xml:space="preserve">the </w:t>
      </w:r>
      <w:r w:rsidR="00DE216A" w:rsidRPr="004A29F9">
        <w:rPr>
          <w:rFonts w:ascii="Times New Roman" w:hAnsi="Times New Roman" w:cs="Times New Roman"/>
          <w:sz w:val="22"/>
          <w:szCs w:val="22"/>
          <w:lang w:val="en-GB"/>
        </w:rPr>
        <w:t>oPt</w:t>
      </w:r>
      <w:r w:rsidRPr="004A29F9">
        <w:rPr>
          <w:rFonts w:ascii="Times New Roman" w:hAnsi="Times New Roman" w:cs="Times New Roman"/>
          <w:sz w:val="22"/>
          <w:szCs w:val="22"/>
          <w:lang w:val="en-GB"/>
        </w:rPr>
        <w:t>.</w:t>
      </w:r>
      <w:r w:rsidR="00227679">
        <w:rPr>
          <w:rFonts w:ascii="Times New Roman" w:hAnsi="Times New Roman" w:cs="Times New Roman"/>
          <w:sz w:val="22"/>
          <w:szCs w:val="22"/>
          <w:lang w:val="en-GB"/>
        </w:rPr>
        <w:t xml:space="preserve"> </w:t>
      </w:r>
      <w:r w:rsidRPr="004A29F9">
        <w:rPr>
          <w:rFonts w:ascii="Times New Roman" w:hAnsi="Times New Roman" w:cs="Times New Roman"/>
          <w:sz w:val="22"/>
          <w:szCs w:val="22"/>
          <w:lang w:val="en-GB"/>
        </w:rPr>
        <w:t xml:space="preserve">All the draft laws supported by UNDP are now </w:t>
      </w:r>
      <w:r w:rsidR="00304558" w:rsidRPr="004A29F9">
        <w:rPr>
          <w:rFonts w:ascii="Times New Roman" w:hAnsi="Times New Roman" w:cs="Times New Roman"/>
          <w:sz w:val="22"/>
          <w:szCs w:val="22"/>
          <w:lang w:val="en-GB"/>
        </w:rPr>
        <w:t>before</w:t>
      </w:r>
      <w:r w:rsidR="004429D8">
        <w:rPr>
          <w:rFonts w:ascii="Times New Roman" w:hAnsi="Times New Roman" w:cs="Times New Roman"/>
          <w:sz w:val="22"/>
          <w:szCs w:val="22"/>
          <w:lang w:val="en-GB"/>
        </w:rPr>
        <w:t xml:space="preserve"> the e</w:t>
      </w:r>
      <w:r w:rsidRPr="004A29F9">
        <w:rPr>
          <w:rFonts w:ascii="Times New Roman" w:hAnsi="Times New Roman" w:cs="Times New Roman"/>
          <w:sz w:val="22"/>
          <w:szCs w:val="22"/>
          <w:lang w:val="en-GB"/>
        </w:rPr>
        <w:t>xecutive ready to be adopted.</w:t>
      </w:r>
      <w:r w:rsidR="00944FCA" w:rsidRPr="004A29F9">
        <w:rPr>
          <w:rFonts w:ascii="Times New Roman" w:hAnsi="Times New Roman" w:cs="Times New Roman"/>
          <w:sz w:val="22"/>
          <w:szCs w:val="22"/>
          <w:lang w:val="en-GB"/>
        </w:rPr>
        <w:t xml:space="preserve"> UNDP </w:t>
      </w:r>
      <w:r w:rsidR="006B0429" w:rsidRPr="004A29F9">
        <w:rPr>
          <w:rFonts w:ascii="Times New Roman" w:hAnsi="Times New Roman" w:cs="Times New Roman"/>
          <w:sz w:val="22"/>
          <w:szCs w:val="22"/>
          <w:lang w:val="en-GB"/>
        </w:rPr>
        <w:t>urged</w:t>
      </w:r>
      <w:r w:rsidR="00944FCA" w:rsidRPr="004A29F9">
        <w:rPr>
          <w:rFonts w:ascii="Times New Roman" w:hAnsi="Times New Roman" w:cs="Times New Roman"/>
          <w:sz w:val="22"/>
          <w:szCs w:val="22"/>
          <w:lang w:val="en-GB"/>
        </w:rPr>
        <w:t xml:space="preserve"> the new Minister of Justice to consult with the j</w:t>
      </w:r>
      <w:r w:rsidR="004429D8">
        <w:rPr>
          <w:rFonts w:ascii="Times New Roman" w:hAnsi="Times New Roman" w:cs="Times New Roman"/>
          <w:sz w:val="22"/>
          <w:szCs w:val="22"/>
          <w:lang w:val="en-GB"/>
        </w:rPr>
        <w:t xml:space="preserve">ustice sector on his vision (i.e. the 15-point agenda). </w:t>
      </w:r>
      <w:r w:rsidR="006B0429" w:rsidRPr="004A29F9">
        <w:rPr>
          <w:rFonts w:ascii="Times New Roman" w:hAnsi="Times New Roman" w:cs="Times New Roman"/>
          <w:sz w:val="22"/>
          <w:szCs w:val="22"/>
          <w:lang w:val="en-GB"/>
        </w:rPr>
        <w:t>A key criticism of the justice institution</w:t>
      </w:r>
      <w:r w:rsidR="004429D8">
        <w:rPr>
          <w:rFonts w:ascii="Times New Roman" w:hAnsi="Times New Roman" w:cs="Times New Roman"/>
          <w:sz w:val="22"/>
          <w:szCs w:val="22"/>
          <w:lang w:val="en-GB"/>
        </w:rPr>
        <w:t>s, CSOs and donors is that the m</w:t>
      </w:r>
      <w:r w:rsidR="006B0429" w:rsidRPr="004A29F9">
        <w:rPr>
          <w:rFonts w:ascii="Times New Roman" w:hAnsi="Times New Roman" w:cs="Times New Roman"/>
          <w:sz w:val="22"/>
          <w:szCs w:val="22"/>
          <w:lang w:val="en-GB"/>
        </w:rPr>
        <w:t xml:space="preserve">inister didn’t consult on </w:t>
      </w:r>
      <w:r w:rsidR="004429D8">
        <w:rPr>
          <w:rFonts w:ascii="Times New Roman" w:hAnsi="Times New Roman" w:cs="Times New Roman"/>
          <w:sz w:val="22"/>
          <w:szCs w:val="22"/>
          <w:lang w:val="en-GB"/>
        </w:rPr>
        <w:t>the 15-</w:t>
      </w:r>
      <w:r w:rsidR="006B0429" w:rsidRPr="004A29F9">
        <w:rPr>
          <w:rFonts w:ascii="Times New Roman" w:hAnsi="Times New Roman" w:cs="Times New Roman"/>
          <w:sz w:val="22"/>
          <w:szCs w:val="22"/>
          <w:lang w:val="en-GB"/>
        </w:rPr>
        <w:t>point plan</w:t>
      </w:r>
      <w:r w:rsidR="001B1568" w:rsidRPr="004A29F9">
        <w:rPr>
          <w:rFonts w:ascii="Times New Roman" w:hAnsi="Times New Roman" w:cs="Times New Roman"/>
          <w:sz w:val="22"/>
          <w:szCs w:val="22"/>
          <w:lang w:val="en-GB"/>
        </w:rPr>
        <w:t>.</w:t>
      </w:r>
    </w:p>
    <w:p w:rsidR="00664464" w:rsidRDefault="00664464" w:rsidP="00FB6759">
      <w:pPr>
        <w:spacing w:after="0" w:line="240" w:lineRule="auto"/>
        <w:jc w:val="both"/>
        <w:rPr>
          <w:rFonts w:ascii="Times New Roman" w:hAnsi="Times New Roman" w:cs="Times New Roman"/>
          <w:sz w:val="22"/>
          <w:szCs w:val="22"/>
          <w:lang w:val="en-GB"/>
        </w:rPr>
      </w:pPr>
    </w:p>
    <w:p w:rsidR="00485756" w:rsidRPr="004A29F9" w:rsidRDefault="004429D8"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Perhaps most importantly, the p</w:t>
      </w:r>
      <w:r w:rsidR="00675883" w:rsidRPr="004A29F9">
        <w:rPr>
          <w:rFonts w:ascii="Times New Roman" w:hAnsi="Times New Roman" w:cs="Times New Roman"/>
          <w:sz w:val="22"/>
          <w:szCs w:val="22"/>
          <w:lang w:val="en-GB"/>
        </w:rPr>
        <w:t xml:space="preserve">rogramme supported long-term technical initiatives that will impact legislation in the future, such as Birzeit University’s </w:t>
      </w:r>
      <w:r w:rsidR="00675883" w:rsidRPr="004A29F9">
        <w:rPr>
          <w:rFonts w:ascii="Times New Roman" w:hAnsi="Times New Roman" w:cs="Times New Roman"/>
          <w:i/>
          <w:sz w:val="22"/>
          <w:szCs w:val="22"/>
          <w:lang w:val="en-GB"/>
        </w:rPr>
        <w:t>Al-Muqtafi</w:t>
      </w:r>
      <w:r w:rsidR="00675883" w:rsidRPr="004A29F9">
        <w:rPr>
          <w:rFonts w:ascii="Times New Roman" w:hAnsi="Times New Roman" w:cs="Times New Roman"/>
          <w:sz w:val="22"/>
          <w:szCs w:val="22"/>
          <w:lang w:val="en-GB"/>
        </w:rPr>
        <w:t xml:space="preserve"> website, which serve</w:t>
      </w:r>
      <w:r w:rsidR="005677BE" w:rsidRPr="004A29F9">
        <w:rPr>
          <w:rFonts w:ascii="Times New Roman" w:hAnsi="Times New Roman" w:cs="Times New Roman"/>
          <w:sz w:val="22"/>
          <w:szCs w:val="22"/>
          <w:lang w:val="en-GB"/>
        </w:rPr>
        <w:t>s</w:t>
      </w:r>
      <w:r w:rsidR="00675883" w:rsidRPr="004A29F9">
        <w:rPr>
          <w:rFonts w:ascii="Times New Roman" w:hAnsi="Times New Roman" w:cs="Times New Roman"/>
          <w:sz w:val="22"/>
          <w:szCs w:val="22"/>
          <w:lang w:val="en-GB"/>
        </w:rPr>
        <w:t xml:space="preserve"> as a central repository for Palestinian legislation, case law, and expert opinions.</w:t>
      </w:r>
      <w:r w:rsidR="00675883" w:rsidRPr="004A29F9">
        <w:rPr>
          <w:rStyle w:val="FootnoteReference"/>
          <w:rFonts w:ascii="Times New Roman" w:hAnsi="Times New Roman" w:cs="Times New Roman"/>
          <w:sz w:val="22"/>
          <w:szCs w:val="22"/>
          <w:lang w:val="en-GB"/>
        </w:rPr>
        <w:footnoteReference w:id="92"/>
      </w:r>
      <w:r w:rsidR="00675883" w:rsidRPr="004A29F9">
        <w:rPr>
          <w:rFonts w:ascii="Times New Roman" w:hAnsi="Times New Roman" w:cs="Times New Roman"/>
          <w:sz w:val="22"/>
          <w:szCs w:val="22"/>
          <w:lang w:val="en-GB"/>
        </w:rPr>
        <w:t xml:space="preserve">These kinds of broad information resources are a fundamental element of any sustainable modern justice system; common standards are equally important technical goals. </w:t>
      </w:r>
    </w:p>
    <w:p w:rsidR="00664464" w:rsidRDefault="00664464" w:rsidP="00FB6759">
      <w:pPr>
        <w:spacing w:after="0" w:line="240" w:lineRule="auto"/>
        <w:jc w:val="both"/>
        <w:rPr>
          <w:rFonts w:ascii="Times New Roman" w:hAnsi="Times New Roman" w:cs="Times New Roman"/>
          <w:sz w:val="22"/>
          <w:szCs w:val="22"/>
          <w:lang w:val="en-GB"/>
        </w:rPr>
      </w:pPr>
    </w:p>
    <w:p w:rsidR="00664464" w:rsidRDefault="00675883"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The average daily users of the </w:t>
      </w:r>
      <w:r w:rsidRPr="004A29F9">
        <w:rPr>
          <w:rFonts w:ascii="Times New Roman" w:hAnsi="Times New Roman" w:cs="Times New Roman"/>
          <w:i/>
          <w:sz w:val="22"/>
          <w:szCs w:val="22"/>
          <w:lang w:val="en-GB"/>
        </w:rPr>
        <w:t>Al-Muqtafi</w:t>
      </w:r>
      <w:r w:rsidRPr="004A29F9">
        <w:rPr>
          <w:rFonts w:ascii="Times New Roman" w:hAnsi="Times New Roman" w:cs="Times New Roman"/>
          <w:sz w:val="22"/>
          <w:szCs w:val="22"/>
          <w:lang w:val="en-GB"/>
        </w:rPr>
        <w:t xml:space="preserve"> website, as well as average daily hits, have continued to steadily increase since 2010.These numbers are expected to increase by around thirty p</w:t>
      </w:r>
      <w:r w:rsidR="004429D8">
        <w:rPr>
          <w:rFonts w:ascii="Times New Roman" w:hAnsi="Times New Roman" w:cs="Times New Roman"/>
          <w:sz w:val="22"/>
          <w:szCs w:val="22"/>
          <w:lang w:val="en-GB"/>
        </w:rPr>
        <w:t>ercent by the end of the programme’s first phase, as f</w:t>
      </w:r>
      <w:r w:rsidRPr="004A29F9">
        <w:rPr>
          <w:rFonts w:ascii="Times New Roman" w:hAnsi="Times New Roman" w:cs="Times New Roman"/>
          <w:sz w:val="22"/>
          <w:szCs w:val="22"/>
          <w:lang w:val="en-GB"/>
        </w:rPr>
        <w:t>amily courts’ judgments have been added as well. In addition, the project has ado</w:t>
      </w:r>
      <w:r w:rsidR="004429D8">
        <w:rPr>
          <w:rFonts w:ascii="Times New Roman" w:hAnsi="Times New Roman" w:cs="Times New Roman"/>
          <w:sz w:val="22"/>
          <w:szCs w:val="22"/>
          <w:lang w:val="en-GB"/>
        </w:rPr>
        <w:t>pted the Akoma</w:t>
      </w:r>
      <w:r w:rsidR="00227679">
        <w:rPr>
          <w:rFonts w:ascii="Times New Roman" w:hAnsi="Times New Roman" w:cs="Times New Roman"/>
          <w:sz w:val="22"/>
          <w:szCs w:val="22"/>
          <w:lang w:val="en-GB"/>
        </w:rPr>
        <w:t xml:space="preserve"> </w:t>
      </w:r>
      <w:r w:rsidR="004429D8">
        <w:rPr>
          <w:rFonts w:ascii="Times New Roman" w:hAnsi="Times New Roman" w:cs="Times New Roman"/>
          <w:sz w:val="22"/>
          <w:szCs w:val="22"/>
          <w:lang w:val="en-GB"/>
        </w:rPr>
        <w:t>Ntoso</w:t>
      </w:r>
      <w:r w:rsidRPr="004A29F9">
        <w:rPr>
          <w:rFonts w:ascii="Times New Roman" w:hAnsi="Times New Roman" w:cs="Times New Roman"/>
          <w:sz w:val="22"/>
          <w:szCs w:val="22"/>
          <w:lang w:val="en-GB"/>
        </w:rPr>
        <w:t xml:space="preserve"> standard, which is a system for better classifying and organising all the materials on the database for their ease of use for the public.</w:t>
      </w:r>
    </w:p>
    <w:p w:rsidR="00675883" w:rsidRPr="004A29F9" w:rsidRDefault="00675883" w:rsidP="00FB6759">
      <w:pPr>
        <w:spacing w:after="0" w:line="240" w:lineRule="auto"/>
        <w:jc w:val="both"/>
        <w:rPr>
          <w:rFonts w:ascii="Times New Roman" w:hAnsi="Times New Roman" w:cs="Times New Roman"/>
          <w:sz w:val="22"/>
          <w:szCs w:val="22"/>
          <w:lang w:val="en-GB"/>
        </w:rPr>
      </w:pPr>
    </w:p>
    <w:tbl>
      <w:tblPr>
        <w:tblStyle w:val="TableGrid"/>
        <w:tblW w:w="0" w:type="auto"/>
        <w:jc w:val="center"/>
        <w:tblInd w:w="108" w:type="dxa"/>
        <w:tblLayout w:type="fixed"/>
        <w:tblLook w:val="04A0"/>
      </w:tblPr>
      <w:tblGrid>
        <w:gridCol w:w="2727"/>
        <w:gridCol w:w="2430"/>
        <w:gridCol w:w="2250"/>
        <w:gridCol w:w="2007"/>
      </w:tblGrid>
      <w:tr w:rsidR="00675883" w:rsidRPr="004A29F9" w:rsidTr="009433D0">
        <w:trPr>
          <w:jc w:val="center"/>
        </w:trPr>
        <w:tc>
          <w:tcPr>
            <w:tcW w:w="9414" w:type="dxa"/>
            <w:gridSpan w:val="4"/>
            <w:shd w:val="clear" w:color="auto" w:fill="D9D9D9" w:themeFill="background1" w:themeFillShade="D9"/>
            <w:vAlign w:val="center"/>
          </w:tcPr>
          <w:p w:rsidR="00675883" w:rsidRPr="004A29F9" w:rsidRDefault="00675883" w:rsidP="00FB6759">
            <w:pPr>
              <w:contextualSpacing/>
              <w:rPr>
                <w:rFonts w:ascii="Times New Roman" w:hAnsi="Times New Roman" w:cs="Times New Roman"/>
                <w:b/>
                <w:sz w:val="22"/>
                <w:szCs w:val="22"/>
                <w:lang w:val="en-GB"/>
              </w:rPr>
            </w:pPr>
            <w:r w:rsidRPr="004A29F9">
              <w:rPr>
                <w:rFonts w:ascii="Times New Roman" w:hAnsi="Times New Roman" w:cs="Times New Roman"/>
                <w:b/>
                <w:i/>
                <w:sz w:val="22"/>
                <w:szCs w:val="22"/>
                <w:lang w:val="en-GB"/>
              </w:rPr>
              <w:t>Al Muqtafi</w:t>
            </w:r>
            <w:r w:rsidRPr="004A29F9">
              <w:rPr>
                <w:rFonts w:ascii="Times New Roman" w:hAnsi="Times New Roman" w:cs="Times New Roman"/>
                <w:b/>
                <w:sz w:val="22"/>
                <w:szCs w:val="22"/>
                <w:lang w:val="en-GB"/>
              </w:rPr>
              <w:t xml:space="preserve"> website  </w:t>
            </w:r>
            <w:r w:rsidRPr="004A29F9">
              <w:rPr>
                <w:rFonts w:ascii="Times New Roman" w:hAnsi="Times New Roman" w:cs="Times New Roman"/>
                <w:sz w:val="22"/>
                <w:szCs w:val="22"/>
                <w:lang w:val="en-GB"/>
              </w:rPr>
              <w:t>(source: UNDP survey)</w:t>
            </w:r>
          </w:p>
        </w:tc>
      </w:tr>
      <w:tr w:rsidR="00675883" w:rsidRPr="004A29F9" w:rsidTr="00AF4A02">
        <w:trPr>
          <w:jc w:val="center"/>
        </w:trPr>
        <w:tc>
          <w:tcPr>
            <w:tcW w:w="2727" w:type="dxa"/>
            <w:vAlign w:val="center"/>
          </w:tcPr>
          <w:p w:rsidR="00675883" w:rsidRPr="009433D0" w:rsidRDefault="00675883" w:rsidP="00FB6759">
            <w:pPr>
              <w:contextualSpacing/>
              <w:rPr>
                <w:rFonts w:ascii="Times New Roman" w:hAnsi="Times New Roman" w:cs="Times New Roman"/>
                <w:i/>
                <w:sz w:val="22"/>
                <w:szCs w:val="22"/>
                <w:lang w:val="en-GB"/>
              </w:rPr>
            </w:pPr>
            <w:r w:rsidRPr="009433D0">
              <w:rPr>
                <w:rFonts w:ascii="Times New Roman" w:hAnsi="Times New Roman" w:cs="Times New Roman"/>
                <w:i/>
                <w:sz w:val="22"/>
                <w:szCs w:val="22"/>
                <w:lang w:val="en-GB"/>
              </w:rPr>
              <w:t>Year</w:t>
            </w:r>
          </w:p>
        </w:tc>
        <w:tc>
          <w:tcPr>
            <w:tcW w:w="2430" w:type="dxa"/>
            <w:vAlign w:val="center"/>
          </w:tcPr>
          <w:p w:rsidR="00675883" w:rsidRPr="004A29F9" w:rsidRDefault="00675883" w:rsidP="004429D8">
            <w:pPr>
              <w:contextualSpacing/>
              <w:jc w:val="center"/>
              <w:rPr>
                <w:rFonts w:ascii="Times New Roman" w:hAnsi="Times New Roman" w:cs="Times New Roman"/>
                <w:sz w:val="22"/>
                <w:szCs w:val="22"/>
                <w:lang w:val="en-GB"/>
              </w:rPr>
            </w:pPr>
            <w:r w:rsidRPr="004A29F9">
              <w:rPr>
                <w:rFonts w:ascii="Times New Roman" w:hAnsi="Times New Roman" w:cs="Times New Roman"/>
                <w:sz w:val="22"/>
                <w:szCs w:val="22"/>
                <w:lang w:val="en-GB"/>
              </w:rPr>
              <w:t>2010</w:t>
            </w:r>
          </w:p>
        </w:tc>
        <w:tc>
          <w:tcPr>
            <w:tcW w:w="2250" w:type="dxa"/>
            <w:vAlign w:val="center"/>
          </w:tcPr>
          <w:p w:rsidR="00675883" w:rsidRPr="004A29F9" w:rsidRDefault="00675883" w:rsidP="004429D8">
            <w:pPr>
              <w:contextualSpacing/>
              <w:jc w:val="center"/>
              <w:rPr>
                <w:rFonts w:ascii="Times New Roman" w:hAnsi="Times New Roman" w:cs="Times New Roman"/>
                <w:sz w:val="22"/>
                <w:szCs w:val="22"/>
                <w:lang w:val="en-GB"/>
              </w:rPr>
            </w:pPr>
            <w:r w:rsidRPr="004A29F9">
              <w:rPr>
                <w:rFonts w:ascii="Times New Roman" w:hAnsi="Times New Roman" w:cs="Times New Roman"/>
                <w:sz w:val="22"/>
                <w:szCs w:val="22"/>
                <w:lang w:val="en-GB"/>
              </w:rPr>
              <w:t>2011</w:t>
            </w:r>
          </w:p>
        </w:tc>
        <w:tc>
          <w:tcPr>
            <w:tcW w:w="2007" w:type="dxa"/>
            <w:vAlign w:val="center"/>
          </w:tcPr>
          <w:p w:rsidR="00675883" w:rsidRPr="004A29F9" w:rsidRDefault="00675883" w:rsidP="004429D8">
            <w:pPr>
              <w:contextualSpacing/>
              <w:jc w:val="center"/>
              <w:rPr>
                <w:rFonts w:ascii="Times New Roman" w:hAnsi="Times New Roman" w:cs="Times New Roman"/>
                <w:sz w:val="22"/>
                <w:szCs w:val="22"/>
                <w:lang w:val="en-GB"/>
              </w:rPr>
            </w:pPr>
            <w:r w:rsidRPr="004A29F9">
              <w:rPr>
                <w:rFonts w:ascii="Times New Roman" w:hAnsi="Times New Roman" w:cs="Times New Roman"/>
                <w:sz w:val="22"/>
                <w:szCs w:val="22"/>
                <w:lang w:val="en-GB"/>
              </w:rPr>
              <w:t>2012</w:t>
            </w:r>
          </w:p>
        </w:tc>
      </w:tr>
      <w:tr w:rsidR="00675883" w:rsidRPr="004A29F9" w:rsidTr="00AF4A02">
        <w:trPr>
          <w:jc w:val="center"/>
        </w:trPr>
        <w:tc>
          <w:tcPr>
            <w:tcW w:w="2727" w:type="dxa"/>
            <w:vAlign w:val="center"/>
          </w:tcPr>
          <w:p w:rsidR="00675883" w:rsidRPr="009433D0" w:rsidRDefault="004429D8" w:rsidP="00FB6759">
            <w:pPr>
              <w:contextualSpacing/>
              <w:rPr>
                <w:rFonts w:ascii="Times New Roman" w:hAnsi="Times New Roman" w:cs="Times New Roman"/>
                <w:i/>
                <w:sz w:val="22"/>
                <w:szCs w:val="22"/>
                <w:lang w:val="en-GB"/>
              </w:rPr>
            </w:pPr>
            <w:r w:rsidRPr="009433D0">
              <w:rPr>
                <w:rFonts w:ascii="Times New Roman" w:hAnsi="Times New Roman" w:cs="Times New Roman"/>
                <w:i/>
                <w:sz w:val="22"/>
                <w:szCs w:val="22"/>
                <w:lang w:val="en-GB"/>
              </w:rPr>
              <w:t>Average daily u</w:t>
            </w:r>
            <w:r w:rsidR="00675883" w:rsidRPr="009433D0">
              <w:rPr>
                <w:rFonts w:ascii="Times New Roman" w:hAnsi="Times New Roman" w:cs="Times New Roman"/>
                <w:i/>
                <w:sz w:val="22"/>
                <w:szCs w:val="22"/>
                <w:lang w:val="en-GB"/>
              </w:rPr>
              <w:t>sers</w:t>
            </w:r>
          </w:p>
        </w:tc>
        <w:tc>
          <w:tcPr>
            <w:tcW w:w="2430" w:type="dxa"/>
            <w:vAlign w:val="center"/>
          </w:tcPr>
          <w:p w:rsidR="00675883" w:rsidRPr="004A29F9" w:rsidRDefault="00675883" w:rsidP="004429D8">
            <w:pPr>
              <w:contextualSpacing/>
              <w:jc w:val="center"/>
              <w:rPr>
                <w:rFonts w:ascii="Times New Roman" w:hAnsi="Times New Roman" w:cs="Times New Roman"/>
                <w:sz w:val="22"/>
                <w:szCs w:val="22"/>
                <w:lang w:val="en-GB"/>
              </w:rPr>
            </w:pPr>
            <w:r w:rsidRPr="004A29F9">
              <w:rPr>
                <w:rFonts w:ascii="Times New Roman" w:hAnsi="Times New Roman" w:cs="Times New Roman"/>
                <w:sz w:val="22"/>
                <w:szCs w:val="22"/>
                <w:lang w:val="en-GB"/>
              </w:rPr>
              <w:t>1</w:t>
            </w:r>
            <w:r w:rsidR="004429D8">
              <w:rPr>
                <w:rFonts w:ascii="Times New Roman" w:hAnsi="Times New Roman" w:cs="Times New Roman"/>
                <w:sz w:val="22"/>
                <w:szCs w:val="22"/>
                <w:lang w:val="en-GB"/>
              </w:rPr>
              <w:t>,</w:t>
            </w:r>
            <w:r w:rsidRPr="004A29F9">
              <w:rPr>
                <w:rFonts w:ascii="Times New Roman" w:hAnsi="Times New Roman" w:cs="Times New Roman"/>
                <w:sz w:val="22"/>
                <w:szCs w:val="22"/>
                <w:lang w:val="en-GB"/>
              </w:rPr>
              <w:t>477</w:t>
            </w:r>
          </w:p>
        </w:tc>
        <w:tc>
          <w:tcPr>
            <w:tcW w:w="2250" w:type="dxa"/>
            <w:vAlign w:val="center"/>
          </w:tcPr>
          <w:p w:rsidR="00675883" w:rsidRPr="004A29F9" w:rsidRDefault="00675883" w:rsidP="004429D8">
            <w:pPr>
              <w:contextualSpacing/>
              <w:jc w:val="center"/>
              <w:rPr>
                <w:rFonts w:ascii="Times New Roman" w:hAnsi="Times New Roman" w:cs="Times New Roman"/>
                <w:sz w:val="22"/>
                <w:szCs w:val="22"/>
                <w:lang w:val="en-GB"/>
              </w:rPr>
            </w:pPr>
            <w:r w:rsidRPr="004A29F9">
              <w:rPr>
                <w:rFonts w:ascii="Times New Roman" w:hAnsi="Times New Roman" w:cs="Times New Roman"/>
                <w:sz w:val="22"/>
                <w:szCs w:val="22"/>
                <w:lang w:val="en-GB"/>
              </w:rPr>
              <w:t>1</w:t>
            </w:r>
            <w:r w:rsidR="004429D8">
              <w:rPr>
                <w:rFonts w:ascii="Times New Roman" w:hAnsi="Times New Roman" w:cs="Times New Roman"/>
                <w:sz w:val="22"/>
                <w:szCs w:val="22"/>
                <w:lang w:val="en-GB"/>
              </w:rPr>
              <w:t>,</w:t>
            </w:r>
            <w:r w:rsidRPr="004A29F9">
              <w:rPr>
                <w:rFonts w:ascii="Times New Roman" w:hAnsi="Times New Roman" w:cs="Times New Roman"/>
                <w:sz w:val="22"/>
                <w:szCs w:val="22"/>
                <w:lang w:val="en-GB"/>
              </w:rPr>
              <w:t>580</w:t>
            </w:r>
          </w:p>
        </w:tc>
        <w:tc>
          <w:tcPr>
            <w:tcW w:w="2007" w:type="dxa"/>
            <w:vAlign w:val="center"/>
          </w:tcPr>
          <w:p w:rsidR="00675883" w:rsidRPr="004A29F9" w:rsidRDefault="00675883" w:rsidP="004429D8">
            <w:pPr>
              <w:contextualSpacing/>
              <w:jc w:val="center"/>
              <w:rPr>
                <w:rFonts w:ascii="Times New Roman" w:hAnsi="Times New Roman" w:cs="Times New Roman"/>
                <w:sz w:val="22"/>
                <w:szCs w:val="22"/>
                <w:lang w:val="en-GB"/>
              </w:rPr>
            </w:pPr>
            <w:r w:rsidRPr="004A29F9">
              <w:rPr>
                <w:rFonts w:ascii="Times New Roman" w:hAnsi="Times New Roman" w:cs="Times New Roman"/>
                <w:sz w:val="22"/>
                <w:szCs w:val="22"/>
                <w:lang w:val="en-GB"/>
              </w:rPr>
              <w:t>1</w:t>
            </w:r>
            <w:r w:rsidR="004429D8">
              <w:rPr>
                <w:rFonts w:ascii="Times New Roman" w:hAnsi="Times New Roman" w:cs="Times New Roman"/>
                <w:sz w:val="22"/>
                <w:szCs w:val="22"/>
                <w:lang w:val="en-GB"/>
              </w:rPr>
              <w:t>,</w:t>
            </w:r>
            <w:r w:rsidRPr="004A29F9">
              <w:rPr>
                <w:rFonts w:ascii="Times New Roman" w:hAnsi="Times New Roman" w:cs="Times New Roman"/>
                <w:sz w:val="22"/>
                <w:szCs w:val="22"/>
                <w:lang w:val="en-GB"/>
              </w:rPr>
              <w:t>702</w:t>
            </w:r>
          </w:p>
        </w:tc>
      </w:tr>
      <w:tr w:rsidR="00675883" w:rsidRPr="004A29F9" w:rsidTr="00AF4A02">
        <w:trPr>
          <w:jc w:val="center"/>
        </w:trPr>
        <w:tc>
          <w:tcPr>
            <w:tcW w:w="2727" w:type="dxa"/>
            <w:vAlign w:val="center"/>
          </w:tcPr>
          <w:p w:rsidR="00675883" w:rsidRPr="009433D0" w:rsidRDefault="004429D8" w:rsidP="00FB6759">
            <w:pPr>
              <w:contextualSpacing/>
              <w:rPr>
                <w:rFonts w:ascii="Times New Roman" w:hAnsi="Times New Roman" w:cs="Times New Roman"/>
                <w:i/>
                <w:sz w:val="22"/>
                <w:szCs w:val="22"/>
                <w:lang w:val="en-GB"/>
              </w:rPr>
            </w:pPr>
            <w:r w:rsidRPr="009433D0">
              <w:rPr>
                <w:rFonts w:ascii="Times New Roman" w:hAnsi="Times New Roman" w:cs="Times New Roman"/>
                <w:i/>
                <w:sz w:val="22"/>
                <w:szCs w:val="22"/>
                <w:lang w:val="en-GB"/>
              </w:rPr>
              <w:t>Average daily h</w:t>
            </w:r>
            <w:r w:rsidR="00675883" w:rsidRPr="009433D0">
              <w:rPr>
                <w:rFonts w:ascii="Times New Roman" w:hAnsi="Times New Roman" w:cs="Times New Roman"/>
                <w:i/>
                <w:sz w:val="22"/>
                <w:szCs w:val="22"/>
                <w:lang w:val="en-GB"/>
              </w:rPr>
              <w:t>its</w:t>
            </w:r>
          </w:p>
        </w:tc>
        <w:tc>
          <w:tcPr>
            <w:tcW w:w="2430" w:type="dxa"/>
            <w:vAlign w:val="center"/>
          </w:tcPr>
          <w:p w:rsidR="00675883" w:rsidRPr="004A29F9" w:rsidRDefault="00675883" w:rsidP="004429D8">
            <w:pPr>
              <w:contextualSpacing/>
              <w:jc w:val="center"/>
              <w:rPr>
                <w:rFonts w:ascii="Times New Roman" w:hAnsi="Times New Roman" w:cs="Times New Roman"/>
                <w:sz w:val="22"/>
                <w:szCs w:val="22"/>
                <w:lang w:val="en-GB"/>
              </w:rPr>
            </w:pPr>
            <w:r w:rsidRPr="004A29F9">
              <w:rPr>
                <w:rFonts w:ascii="Times New Roman" w:hAnsi="Times New Roman" w:cs="Times New Roman"/>
                <w:sz w:val="22"/>
                <w:szCs w:val="22"/>
                <w:lang w:val="en-GB"/>
              </w:rPr>
              <w:t>197,000</w:t>
            </w:r>
          </w:p>
        </w:tc>
        <w:tc>
          <w:tcPr>
            <w:tcW w:w="2250" w:type="dxa"/>
            <w:vAlign w:val="center"/>
          </w:tcPr>
          <w:p w:rsidR="00675883" w:rsidRPr="004A29F9" w:rsidRDefault="00675883" w:rsidP="004429D8">
            <w:pPr>
              <w:contextualSpacing/>
              <w:jc w:val="center"/>
              <w:rPr>
                <w:rFonts w:ascii="Times New Roman" w:hAnsi="Times New Roman" w:cs="Times New Roman"/>
                <w:sz w:val="22"/>
                <w:szCs w:val="22"/>
                <w:lang w:val="en-GB"/>
              </w:rPr>
            </w:pPr>
            <w:r w:rsidRPr="004A29F9">
              <w:rPr>
                <w:rFonts w:ascii="Times New Roman" w:hAnsi="Times New Roman" w:cs="Times New Roman"/>
                <w:sz w:val="22"/>
                <w:szCs w:val="22"/>
                <w:lang w:val="en-GB"/>
              </w:rPr>
              <w:t>216,000</w:t>
            </w:r>
          </w:p>
        </w:tc>
        <w:tc>
          <w:tcPr>
            <w:tcW w:w="2007" w:type="dxa"/>
            <w:vAlign w:val="center"/>
          </w:tcPr>
          <w:p w:rsidR="00675883" w:rsidRPr="004A29F9" w:rsidRDefault="00675883" w:rsidP="004429D8">
            <w:pPr>
              <w:contextualSpacing/>
              <w:jc w:val="center"/>
              <w:rPr>
                <w:rFonts w:ascii="Times New Roman" w:hAnsi="Times New Roman" w:cs="Times New Roman"/>
                <w:sz w:val="22"/>
                <w:szCs w:val="22"/>
                <w:lang w:val="en-GB"/>
              </w:rPr>
            </w:pPr>
            <w:r w:rsidRPr="004A29F9">
              <w:rPr>
                <w:rFonts w:ascii="Times New Roman" w:hAnsi="Times New Roman" w:cs="Times New Roman"/>
                <w:sz w:val="22"/>
                <w:szCs w:val="22"/>
                <w:lang w:val="en-GB"/>
              </w:rPr>
              <w:t>248,000</w:t>
            </w:r>
          </w:p>
        </w:tc>
      </w:tr>
    </w:tbl>
    <w:p w:rsidR="00675883" w:rsidRPr="004A29F9" w:rsidRDefault="00675883" w:rsidP="00FB6759">
      <w:pPr>
        <w:spacing w:after="0" w:line="240" w:lineRule="auto"/>
        <w:jc w:val="both"/>
        <w:rPr>
          <w:rFonts w:ascii="Times New Roman" w:hAnsi="Times New Roman" w:cs="Times New Roman"/>
          <w:sz w:val="22"/>
          <w:szCs w:val="22"/>
          <w:lang w:val="en-GB"/>
        </w:rPr>
      </w:pPr>
    </w:p>
    <w:p w:rsidR="00DD230C" w:rsidRPr="004A29F9" w:rsidRDefault="00AF4A02"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The e</w:t>
      </w:r>
      <w:r w:rsidR="00675883" w:rsidRPr="004A29F9">
        <w:rPr>
          <w:rFonts w:ascii="Times New Roman" w:hAnsi="Times New Roman" w:cs="Times New Roman"/>
          <w:sz w:val="22"/>
          <w:szCs w:val="22"/>
          <w:lang w:val="en-GB"/>
        </w:rPr>
        <w:t xml:space="preserve">valuation also captured a number of testimonials from justice sector institution staff, private lawyers, academia and civil society attesting both to the popularity and utility of the </w:t>
      </w:r>
      <w:r w:rsidR="00675883" w:rsidRPr="00AF4A02">
        <w:rPr>
          <w:rFonts w:ascii="Times New Roman" w:hAnsi="Times New Roman" w:cs="Times New Roman"/>
          <w:i/>
          <w:sz w:val="22"/>
          <w:szCs w:val="22"/>
          <w:lang w:val="en-GB"/>
        </w:rPr>
        <w:t>Al-Muqtafi</w:t>
      </w:r>
      <w:r w:rsidR="00675883" w:rsidRPr="004A29F9">
        <w:rPr>
          <w:rFonts w:ascii="Times New Roman" w:hAnsi="Times New Roman" w:cs="Times New Roman"/>
          <w:sz w:val="22"/>
          <w:szCs w:val="22"/>
          <w:lang w:val="en-GB"/>
        </w:rPr>
        <w:t xml:space="preserve"> website.    Lawyers report using </w:t>
      </w:r>
      <w:r>
        <w:rPr>
          <w:rFonts w:ascii="Times New Roman" w:hAnsi="Times New Roman" w:cs="Times New Roman"/>
          <w:i/>
          <w:sz w:val="22"/>
          <w:szCs w:val="22"/>
          <w:lang w:val="en-GB"/>
        </w:rPr>
        <w:t>Al-</w:t>
      </w:r>
      <w:r w:rsidR="00675883" w:rsidRPr="004A29F9">
        <w:rPr>
          <w:rFonts w:ascii="Times New Roman" w:hAnsi="Times New Roman" w:cs="Times New Roman"/>
          <w:i/>
          <w:sz w:val="22"/>
          <w:szCs w:val="22"/>
          <w:lang w:val="en-GB"/>
        </w:rPr>
        <w:t>Muqtafi</w:t>
      </w:r>
      <w:r w:rsidR="00675883" w:rsidRPr="004A29F9">
        <w:rPr>
          <w:rFonts w:ascii="Times New Roman" w:hAnsi="Times New Roman" w:cs="Times New Roman"/>
          <w:sz w:val="22"/>
          <w:szCs w:val="22"/>
          <w:lang w:val="en-GB"/>
        </w:rPr>
        <w:t xml:space="preserve"> on a daily</w:t>
      </w:r>
      <w:r>
        <w:rPr>
          <w:rFonts w:ascii="Times New Roman" w:hAnsi="Times New Roman" w:cs="Times New Roman"/>
          <w:sz w:val="22"/>
          <w:szCs w:val="22"/>
          <w:lang w:val="en-GB"/>
        </w:rPr>
        <w:t xml:space="preserve"> basis and attest that the data</w:t>
      </w:r>
      <w:r w:rsidR="00675883" w:rsidRPr="004A29F9">
        <w:rPr>
          <w:rFonts w:ascii="Times New Roman" w:hAnsi="Times New Roman" w:cs="Times New Roman"/>
          <w:sz w:val="22"/>
          <w:szCs w:val="22"/>
          <w:lang w:val="en-GB"/>
        </w:rPr>
        <w:t>base has allowed them to research statutes, court decisions and sentencing guidelines pertaining to their cases and client</w:t>
      </w:r>
      <w:r>
        <w:rPr>
          <w:rFonts w:ascii="Times New Roman" w:hAnsi="Times New Roman" w:cs="Times New Roman"/>
          <w:sz w:val="22"/>
          <w:szCs w:val="22"/>
          <w:lang w:val="en-GB"/>
        </w:rPr>
        <w:t xml:space="preserve">s (see annex). </w:t>
      </w:r>
      <w:r w:rsidR="00675883" w:rsidRPr="004A29F9">
        <w:rPr>
          <w:rFonts w:ascii="Times New Roman" w:hAnsi="Times New Roman" w:cs="Times New Roman"/>
          <w:sz w:val="22"/>
          <w:szCs w:val="22"/>
          <w:lang w:val="en-GB"/>
        </w:rPr>
        <w:t xml:space="preserve">The </w:t>
      </w:r>
      <w:r w:rsidR="00675883" w:rsidRPr="004A29F9">
        <w:rPr>
          <w:rFonts w:ascii="Times New Roman" w:hAnsi="Times New Roman" w:cs="Times New Roman"/>
          <w:sz w:val="22"/>
          <w:szCs w:val="22"/>
          <w:lang w:val="en-GB"/>
        </w:rPr>
        <w:lastRenderedPageBreak/>
        <w:t>existence of such databases also substantially contributes to</w:t>
      </w:r>
      <w:r>
        <w:rPr>
          <w:rFonts w:ascii="Times New Roman" w:hAnsi="Times New Roman" w:cs="Times New Roman"/>
          <w:sz w:val="22"/>
          <w:szCs w:val="22"/>
          <w:lang w:val="en-GB"/>
        </w:rPr>
        <w:t xml:space="preserve"> public awareness of the law </w:t>
      </w:r>
      <w:r w:rsidR="00675883" w:rsidRPr="004A29F9">
        <w:rPr>
          <w:rFonts w:ascii="Times New Roman" w:hAnsi="Times New Roman" w:cs="Times New Roman"/>
          <w:sz w:val="22"/>
          <w:szCs w:val="22"/>
          <w:lang w:val="en-GB"/>
        </w:rPr>
        <w:t xml:space="preserve">and provides an open window to the entire world on the jurisprudence and legislation of the PNA. </w:t>
      </w:r>
    </w:p>
    <w:p w:rsidR="000E2CF3" w:rsidRPr="004A29F9" w:rsidRDefault="000E2CF3" w:rsidP="00FB6759">
      <w:pPr>
        <w:spacing w:after="0" w:line="240" w:lineRule="auto"/>
        <w:jc w:val="both"/>
        <w:rPr>
          <w:rFonts w:ascii="Times New Roman" w:hAnsi="Times New Roman" w:cs="Times New Roman"/>
          <w:sz w:val="22"/>
          <w:szCs w:val="22"/>
          <w:lang w:val="en-GB"/>
        </w:rPr>
      </w:pPr>
    </w:p>
    <w:p w:rsidR="00EE62D0" w:rsidRPr="00AF4A02" w:rsidRDefault="006256A2" w:rsidP="00FB6759">
      <w:pPr>
        <w:spacing w:after="0" w:line="240" w:lineRule="auto"/>
        <w:jc w:val="both"/>
        <w:rPr>
          <w:rFonts w:ascii="Times New Roman" w:hAnsi="Times New Roman" w:cs="Times New Roman"/>
          <w:i/>
          <w:sz w:val="22"/>
          <w:szCs w:val="22"/>
          <w:lang w:val="en-GB"/>
        </w:rPr>
      </w:pPr>
      <w:r w:rsidRPr="00AF4A02">
        <w:rPr>
          <w:rFonts w:ascii="Times New Roman" w:hAnsi="Times New Roman" w:cs="Times New Roman"/>
          <w:i/>
          <w:sz w:val="22"/>
          <w:szCs w:val="22"/>
          <w:lang w:val="en-GB"/>
        </w:rPr>
        <w:t>Ou</w:t>
      </w:r>
      <w:r w:rsidR="005F02C4" w:rsidRPr="00AF4A02">
        <w:rPr>
          <w:rFonts w:ascii="Times New Roman" w:hAnsi="Times New Roman" w:cs="Times New Roman"/>
          <w:i/>
          <w:sz w:val="22"/>
          <w:szCs w:val="22"/>
          <w:lang w:val="en-GB"/>
        </w:rPr>
        <w:t xml:space="preserve">tput 1.6: Raised public awareness with regard to the work of </w:t>
      </w:r>
      <w:r w:rsidR="00AF4A02">
        <w:rPr>
          <w:rFonts w:ascii="Times New Roman" w:hAnsi="Times New Roman" w:cs="Times New Roman"/>
          <w:i/>
          <w:sz w:val="22"/>
          <w:szCs w:val="22"/>
          <w:lang w:val="en-GB"/>
        </w:rPr>
        <w:t>MO</w:t>
      </w:r>
      <w:r w:rsidR="00FE43A5" w:rsidRPr="00AF4A02">
        <w:rPr>
          <w:rFonts w:ascii="Times New Roman" w:hAnsi="Times New Roman" w:cs="Times New Roman"/>
          <w:i/>
          <w:sz w:val="22"/>
          <w:szCs w:val="22"/>
          <w:lang w:val="en-GB"/>
        </w:rPr>
        <w:t>J</w:t>
      </w:r>
      <w:r w:rsidRPr="00AF4A02">
        <w:rPr>
          <w:rFonts w:ascii="Times New Roman" w:hAnsi="Times New Roman" w:cs="Times New Roman"/>
          <w:i/>
          <w:sz w:val="22"/>
          <w:szCs w:val="22"/>
          <w:lang w:val="en-GB"/>
        </w:rPr>
        <w:t xml:space="preserve"> and </w:t>
      </w:r>
      <w:r w:rsidR="005F02C4" w:rsidRPr="00AF4A02">
        <w:rPr>
          <w:rFonts w:ascii="Times New Roman" w:hAnsi="Times New Roman" w:cs="Times New Roman"/>
          <w:i/>
          <w:sz w:val="22"/>
          <w:szCs w:val="22"/>
          <w:lang w:val="en-GB"/>
        </w:rPr>
        <w:t xml:space="preserve">increased </w:t>
      </w:r>
      <w:r w:rsidRPr="00AF4A02">
        <w:rPr>
          <w:rFonts w:ascii="Times New Roman" w:hAnsi="Times New Roman" w:cs="Times New Roman"/>
          <w:i/>
          <w:sz w:val="22"/>
          <w:szCs w:val="22"/>
          <w:lang w:val="en-GB"/>
        </w:rPr>
        <w:t xml:space="preserve">access to relevant legal information by </w:t>
      </w:r>
      <w:r w:rsidR="00D23448" w:rsidRPr="00AF4A02">
        <w:rPr>
          <w:rFonts w:ascii="Times New Roman" w:hAnsi="Times New Roman" w:cs="Times New Roman"/>
          <w:i/>
          <w:sz w:val="22"/>
          <w:szCs w:val="22"/>
          <w:lang w:val="en-GB"/>
        </w:rPr>
        <w:t>the public</w:t>
      </w:r>
    </w:p>
    <w:p w:rsidR="00AF4A02" w:rsidRPr="004A29F9" w:rsidRDefault="00AF4A02" w:rsidP="00FB6759">
      <w:pPr>
        <w:spacing w:after="0" w:line="240" w:lineRule="auto"/>
        <w:jc w:val="both"/>
        <w:rPr>
          <w:rFonts w:ascii="Times New Roman" w:hAnsi="Times New Roman" w:cs="Times New Roman"/>
          <w:b/>
          <w:i/>
          <w:sz w:val="22"/>
          <w:szCs w:val="22"/>
          <w:lang w:val="en-GB"/>
        </w:rPr>
      </w:pPr>
    </w:p>
    <w:p w:rsidR="00DD230C" w:rsidRDefault="00A1654D"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A la</w:t>
      </w:r>
      <w:r w:rsidR="0099768C" w:rsidRPr="004A29F9">
        <w:rPr>
          <w:rFonts w:ascii="Times New Roman" w:hAnsi="Times New Roman" w:cs="Times New Roman"/>
          <w:sz w:val="22"/>
          <w:szCs w:val="22"/>
          <w:lang w:val="en-GB"/>
        </w:rPr>
        <w:t xml:space="preserve">ck of public trust is an endemic result of the </w:t>
      </w:r>
      <w:r w:rsidR="00FE35D8">
        <w:rPr>
          <w:rFonts w:ascii="Times New Roman" w:hAnsi="Times New Roman" w:cs="Times New Roman"/>
          <w:sz w:val="22"/>
          <w:szCs w:val="22"/>
          <w:lang w:val="en-GB"/>
        </w:rPr>
        <w:t>challenges faced by the MOJ</w:t>
      </w:r>
      <w:r w:rsidR="0099768C" w:rsidRPr="004A29F9">
        <w:rPr>
          <w:rFonts w:ascii="Times New Roman" w:hAnsi="Times New Roman" w:cs="Times New Roman"/>
          <w:sz w:val="22"/>
          <w:szCs w:val="22"/>
          <w:lang w:val="en-GB"/>
        </w:rPr>
        <w:t xml:space="preserve"> and the justice sector as a whole</w:t>
      </w:r>
      <w:r w:rsidR="00D46E3D" w:rsidRPr="004A29F9">
        <w:rPr>
          <w:rFonts w:ascii="Times New Roman" w:hAnsi="Times New Roman" w:cs="Times New Roman"/>
          <w:sz w:val="22"/>
          <w:szCs w:val="22"/>
          <w:lang w:val="en-GB"/>
        </w:rPr>
        <w:t>.</w:t>
      </w:r>
      <w:r w:rsidR="00D46E3D" w:rsidRPr="004A29F9">
        <w:rPr>
          <w:rStyle w:val="FootnoteReference"/>
          <w:rFonts w:ascii="Times New Roman" w:hAnsi="Times New Roman" w:cs="Times New Roman"/>
          <w:sz w:val="22"/>
          <w:szCs w:val="22"/>
          <w:lang w:val="en-GB"/>
        </w:rPr>
        <w:footnoteReference w:id="93"/>
      </w:r>
      <w:r w:rsidR="0099768C" w:rsidRPr="004A29F9">
        <w:rPr>
          <w:rFonts w:ascii="Times New Roman" w:hAnsi="Times New Roman" w:cs="Times New Roman"/>
          <w:sz w:val="22"/>
          <w:szCs w:val="22"/>
          <w:lang w:val="en-GB"/>
        </w:rPr>
        <w:t xml:space="preserve"> In order to stimulate </w:t>
      </w:r>
      <w:r w:rsidR="008E4410" w:rsidRPr="004A29F9">
        <w:rPr>
          <w:rFonts w:ascii="Times New Roman" w:hAnsi="Times New Roman" w:cs="Times New Roman"/>
          <w:sz w:val="22"/>
          <w:szCs w:val="22"/>
          <w:lang w:val="en-GB"/>
        </w:rPr>
        <w:t>public awareness on rule o</w:t>
      </w:r>
      <w:r w:rsidR="0099768C" w:rsidRPr="004A29F9">
        <w:rPr>
          <w:rFonts w:ascii="Times New Roman" w:hAnsi="Times New Roman" w:cs="Times New Roman"/>
          <w:sz w:val="22"/>
          <w:szCs w:val="22"/>
          <w:lang w:val="en-GB"/>
        </w:rPr>
        <w:t xml:space="preserve">f law issues, </w:t>
      </w:r>
      <w:r w:rsidR="008E4410" w:rsidRPr="004A29F9">
        <w:rPr>
          <w:rFonts w:ascii="Times New Roman" w:hAnsi="Times New Roman" w:cs="Times New Roman"/>
          <w:sz w:val="22"/>
          <w:szCs w:val="22"/>
          <w:lang w:val="en-GB"/>
        </w:rPr>
        <w:t xml:space="preserve">the </w:t>
      </w:r>
      <w:r w:rsidR="00FE35D8">
        <w:rPr>
          <w:rFonts w:ascii="Times New Roman" w:hAnsi="Times New Roman" w:cs="Times New Roman"/>
          <w:sz w:val="22"/>
          <w:szCs w:val="22"/>
          <w:lang w:val="en-GB"/>
        </w:rPr>
        <w:t>MO</w:t>
      </w:r>
      <w:r w:rsidR="00FE43A5" w:rsidRPr="004A29F9">
        <w:rPr>
          <w:rFonts w:ascii="Times New Roman" w:hAnsi="Times New Roman" w:cs="Times New Roman"/>
          <w:sz w:val="22"/>
          <w:szCs w:val="22"/>
          <w:lang w:val="en-GB"/>
        </w:rPr>
        <w:t>J</w:t>
      </w:r>
      <w:r w:rsidR="00FE35D8">
        <w:rPr>
          <w:rFonts w:ascii="Times New Roman" w:hAnsi="Times New Roman" w:cs="Times New Roman"/>
          <w:sz w:val="22"/>
          <w:szCs w:val="22"/>
          <w:lang w:val="en-GB"/>
        </w:rPr>
        <w:t xml:space="preserve"> has established a</w:t>
      </w:r>
      <w:r w:rsidR="0099768C" w:rsidRPr="004A29F9">
        <w:rPr>
          <w:rFonts w:ascii="Times New Roman" w:hAnsi="Times New Roman" w:cs="Times New Roman"/>
          <w:sz w:val="22"/>
          <w:szCs w:val="22"/>
          <w:lang w:val="en-GB"/>
        </w:rPr>
        <w:t xml:space="preserve"> Justice Information Centre to serve as an infor</w:t>
      </w:r>
      <w:r w:rsidR="00FE35D8">
        <w:rPr>
          <w:rFonts w:ascii="Times New Roman" w:hAnsi="Times New Roman" w:cs="Times New Roman"/>
          <w:sz w:val="22"/>
          <w:szCs w:val="22"/>
          <w:lang w:val="en-GB"/>
        </w:rPr>
        <w:t xml:space="preserve">mation and public relations </w:t>
      </w:r>
      <w:r w:rsidR="008E4410" w:rsidRPr="004A29F9">
        <w:rPr>
          <w:rFonts w:ascii="Times New Roman" w:hAnsi="Times New Roman" w:cs="Times New Roman"/>
          <w:sz w:val="22"/>
          <w:szCs w:val="22"/>
          <w:lang w:val="en-GB"/>
        </w:rPr>
        <w:t>resource for the justice sector</w:t>
      </w:r>
      <w:r w:rsidR="00FE35D8">
        <w:rPr>
          <w:rFonts w:ascii="Times New Roman" w:hAnsi="Times New Roman" w:cs="Times New Roman"/>
          <w:sz w:val="22"/>
          <w:szCs w:val="22"/>
          <w:lang w:val="en-GB"/>
        </w:rPr>
        <w:t xml:space="preserve"> as a whole.</w:t>
      </w:r>
      <w:r w:rsidR="00FD3C19">
        <w:rPr>
          <w:rFonts w:ascii="Times New Roman" w:hAnsi="Times New Roman" w:cs="Times New Roman"/>
          <w:sz w:val="22"/>
          <w:szCs w:val="22"/>
          <w:lang w:val="en-GB"/>
        </w:rPr>
        <w:t xml:space="preserve"> </w:t>
      </w:r>
      <w:r w:rsidR="008E4410" w:rsidRPr="004A29F9">
        <w:rPr>
          <w:rFonts w:ascii="Times New Roman" w:hAnsi="Times New Roman" w:cs="Times New Roman"/>
          <w:sz w:val="22"/>
          <w:szCs w:val="22"/>
          <w:lang w:val="en-GB"/>
        </w:rPr>
        <w:t>With UNDP’s support, it has already become remarkably productive, having conducted trainings for journalists; produced regular press releases and television programmes; launched a justice sector magazine; disseminated legal research and brochures on the Ministry’s public services; and set-up a new user-friendly, regularly updated website. The impact of these efforts is clear</w:t>
      </w:r>
      <w:r w:rsidR="00FE35D8">
        <w:rPr>
          <w:rFonts w:ascii="Times New Roman" w:hAnsi="Times New Roman" w:cs="Times New Roman"/>
          <w:sz w:val="22"/>
          <w:szCs w:val="22"/>
          <w:lang w:val="en-GB"/>
        </w:rPr>
        <w:t>: monthly visits to the MOJ</w:t>
      </w:r>
      <w:r w:rsidR="008E4410" w:rsidRPr="004A29F9">
        <w:rPr>
          <w:rFonts w:ascii="Times New Roman" w:hAnsi="Times New Roman" w:cs="Times New Roman"/>
          <w:sz w:val="22"/>
          <w:szCs w:val="22"/>
          <w:lang w:val="en-GB"/>
        </w:rPr>
        <w:t xml:space="preserve"> website jumped from </w:t>
      </w:r>
      <w:r w:rsidR="00F17097" w:rsidRPr="004A29F9">
        <w:rPr>
          <w:rFonts w:ascii="Times New Roman" w:hAnsi="Times New Roman" w:cs="Times New Roman"/>
          <w:sz w:val="22"/>
          <w:szCs w:val="22"/>
          <w:lang w:val="en-GB"/>
        </w:rPr>
        <w:t>an average of 7,345 hits per month in 2011</w:t>
      </w:r>
      <w:r w:rsidR="008E4410" w:rsidRPr="004A29F9">
        <w:rPr>
          <w:rFonts w:ascii="Times New Roman" w:hAnsi="Times New Roman" w:cs="Times New Roman"/>
          <w:sz w:val="22"/>
          <w:szCs w:val="22"/>
          <w:lang w:val="en-GB"/>
        </w:rPr>
        <w:t xml:space="preserve"> to </w:t>
      </w:r>
      <w:r w:rsidR="00F17097" w:rsidRPr="004A29F9">
        <w:rPr>
          <w:rFonts w:ascii="Times New Roman" w:hAnsi="Times New Roman" w:cs="Times New Roman"/>
          <w:sz w:val="22"/>
          <w:szCs w:val="22"/>
          <w:lang w:val="en-GB"/>
        </w:rPr>
        <w:t>an average of 16,164 hits per month in 2012</w:t>
      </w:r>
      <w:r w:rsidR="008E4410" w:rsidRPr="004A29F9">
        <w:rPr>
          <w:rFonts w:ascii="Times New Roman" w:hAnsi="Times New Roman" w:cs="Times New Roman"/>
          <w:sz w:val="22"/>
          <w:szCs w:val="22"/>
          <w:lang w:val="en-GB"/>
        </w:rPr>
        <w:t>.</w:t>
      </w:r>
      <w:r w:rsidR="00923E2F" w:rsidRPr="004A29F9">
        <w:rPr>
          <w:rStyle w:val="FootnoteReference"/>
          <w:rFonts w:ascii="Times New Roman" w:hAnsi="Times New Roman" w:cs="Times New Roman"/>
          <w:sz w:val="22"/>
          <w:szCs w:val="22"/>
          <w:lang w:val="en-GB"/>
        </w:rPr>
        <w:footnoteReference w:id="94"/>
      </w:r>
    </w:p>
    <w:p w:rsidR="00AF4A02" w:rsidRPr="004A29F9" w:rsidRDefault="00AF4A02" w:rsidP="00FB6759">
      <w:pPr>
        <w:spacing w:after="0" w:line="240" w:lineRule="auto"/>
        <w:jc w:val="both"/>
        <w:rPr>
          <w:rFonts w:ascii="Times New Roman" w:hAnsi="Times New Roman" w:cs="Times New Roman"/>
          <w:sz w:val="22"/>
          <w:szCs w:val="22"/>
          <w:lang w:val="en-GB"/>
        </w:rPr>
      </w:pPr>
    </w:p>
    <w:p w:rsidR="00B47DD3" w:rsidRPr="004A29F9" w:rsidRDefault="00B47DD3" w:rsidP="00FB6759">
      <w:pPr>
        <w:spacing w:after="0" w:line="240" w:lineRule="auto"/>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The Minister of Justice </w:t>
      </w:r>
      <w:r w:rsidR="00FE35D8">
        <w:rPr>
          <w:rFonts w:ascii="Times New Roman" w:hAnsi="Times New Roman" w:cs="Times New Roman"/>
          <w:sz w:val="22"/>
          <w:szCs w:val="22"/>
          <w:lang w:val="en-GB"/>
        </w:rPr>
        <w:t xml:space="preserve">notes that the MOJ is </w:t>
      </w:r>
      <w:r w:rsidRPr="004A29F9">
        <w:rPr>
          <w:rFonts w:ascii="Times New Roman" w:hAnsi="Times New Roman" w:cs="Times New Roman"/>
          <w:sz w:val="22"/>
          <w:szCs w:val="22"/>
          <w:lang w:val="en-GB"/>
        </w:rPr>
        <w:t>turning from an administrative institution to a more service-orien</w:t>
      </w:r>
      <w:r w:rsidR="00FE35D8">
        <w:rPr>
          <w:rFonts w:ascii="Times New Roman" w:hAnsi="Times New Roman" w:cs="Times New Roman"/>
          <w:sz w:val="22"/>
          <w:szCs w:val="22"/>
          <w:lang w:val="en-GB"/>
        </w:rPr>
        <w:t>tated ministry. Currently the MOJ provides five</w:t>
      </w:r>
      <w:r w:rsidRPr="004A29F9">
        <w:rPr>
          <w:rFonts w:ascii="Times New Roman" w:hAnsi="Times New Roman" w:cs="Times New Roman"/>
          <w:sz w:val="22"/>
          <w:szCs w:val="22"/>
          <w:lang w:val="en-GB"/>
        </w:rPr>
        <w:t xml:space="preserve"> key services:</w:t>
      </w:r>
    </w:p>
    <w:p w:rsidR="00B47DD3" w:rsidRPr="004A29F9" w:rsidRDefault="00B47DD3" w:rsidP="00FB6759">
      <w:pPr>
        <w:spacing w:after="0" w:line="240" w:lineRule="auto"/>
        <w:contextualSpacing/>
        <w:jc w:val="both"/>
        <w:rPr>
          <w:rFonts w:ascii="Times New Roman" w:hAnsi="Times New Roman" w:cs="Times New Roman"/>
          <w:sz w:val="22"/>
          <w:szCs w:val="22"/>
          <w:lang w:val="en-GB"/>
        </w:rPr>
      </w:pPr>
    </w:p>
    <w:p w:rsidR="00FE35D8" w:rsidRDefault="00B47DD3" w:rsidP="00FB6759">
      <w:pPr>
        <w:pStyle w:val="ListParagraph"/>
        <w:numPr>
          <w:ilvl w:val="0"/>
          <w:numId w:val="163"/>
        </w:numPr>
        <w:spacing w:after="0" w:line="240" w:lineRule="auto"/>
        <w:contextualSpacing/>
        <w:jc w:val="both"/>
        <w:rPr>
          <w:rFonts w:ascii="Times New Roman" w:hAnsi="Times New Roman" w:cs="Times New Roman"/>
          <w:sz w:val="22"/>
          <w:szCs w:val="22"/>
          <w:lang w:val="en-GB"/>
        </w:rPr>
      </w:pPr>
      <w:r w:rsidRPr="00FE35D8">
        <w:rPr>
          <w:rFonts w:ascii="Times New Roman" w:hAnsi="Times New Roman" w:cs="Times New Roman"/>
          <w:sz w:val="22"/>
          <w:szCs w:val="22"/>
          <w:lang w:val="en-GB"/>
        </w:rPr>
        <w:t>Authentication</w:t>
      </w:r>
    </w:p>
    <w:p w:rsidR="00FE35D8" w:rsidRDefault="00B47DD3" w:rsidP="00FB6759">
      <w:pPr>
        <w:pStyle w:val="ListParagraph"/>
        <w:numPr>
          <w:ilvl w:val="0"/>
          <w:numId w:val="163"/>
        </w:numPr>
        <w:spacing w:after="0" w:line="240" w:lineRule="auto"/>
        <w:contextualSpacing/>
        <w:jc w:val="both"/>
        <w:rPr>
          <w:rFonts w:ascii="Times New Roman" w:hAnsi="Times New Roman" w:cs="Times New Roman"/>
          <w:sz w:val="22"/>
          <w:szCs w:val="22"/>
          <w:lang w:val="en-GB"/>
        </w:rPr>
      </w:pPr>
      <w:r w:rsidRPr="00FE35D8">
        <w:rPr>
          <w:rFonts w:ascii="Times New Roman" w:hAnsi="Times New Roman" w:cs="Times New Roman"/>
          <w:sz w:val="22"/>
          <w:szCs w:val="22"/>
          <w:lang w:val="en-GB"/>
        </w:rPr>
        <w:t>Justice records</w:t>
      </w:r>
      <w:r w:rsidR="001B23BE" w:rsidRPr="00FE35D8">
        <w:rPr>
          <w:rFonts w:ascii="Times New Roman" w:hAnsi="Times New Roman" w:cs="Times New Roman"/>
          <w:sz w:val="22"/>
          <w:szCs w:val="22"/>
          <w:lang w:val="en-GB"/>
        </w:rPr>
        <w:t xml:space="preserve"> (certificates of non-conviction)</w:t>
      </w:r>
    </w:p>
    <w:p w:rsidR="00FE35D8" w:rsidRDefault="00B47DD3" w:rsidP="00FB6759">
      <w:pPr>
        <w:pStyle w:val="ListParagraph"/>
        <w:numPr>
          <w:ilvl w:val="0"/>
          <w:numId w:val="163"/>
        </w:numPr>
        <w:spacing w:after="0" w:line="240" w:lineRule="auto"/>
        <w:contextualSpacing/>
        <w:jc w:val="both"/>
        <w:rPr>
          <w:rFonts w:ascii="Times New Roman" w:hAnsi="Times New Roman" w:cs="Times New Roman"/>
          <w:sz w:val="22"/>
          <w:szCs w:val="22"/>
          <w:lang w:val="en-GB"/>
        </w:rPr>
      </w:pPr>
      <w:r w:rsidRPr="00FE35D8">
        <w:rPr>
          <w:rFonts w:ascii="Times New Roman" w:hAnsi="Times New Roman" w:cs="Times New Roman"/>
          <w:sz w:val="22"/>
          <w:szCs w:val="22"/>
          <w:lang w:val="en-GB"/>
        </w:rPr>
        <w:t>Forensic medicine</w:t>
      </w:r>
    </w:p>
    <w:p w:rsidR="00FE35D8" w:rsidRDefault="00B47DD3" w:rsidP="00FB6759">
      <w:pPr>
        <w:pStyle w:val="ListParagraph"/>
        <w:numPr>
          <w:ilvl w:val="0"/>
          <w:numId w:val="163"/>
        </w:numPr>
        <w:spacing w:after="0" w:line="240" w:lineRule="auto"/>
        <w:contextualSpacing/>
        <w:jc w:val="both"/>
        <w:rPr>
          <w:rFonts w:ascii="Times New Roman" w:hAnsi="Times New Roman" w:cs="Times New Roman"/>
          <w:sz w:val="22"/>
          <w:szCs w:val="22"/>
          <w:lang w:val="en-GB"/>
        </w:rPr>
      </w:pPr>
      <w:r w:rsidRPr="00FE35D8">
        <w:rPr>
          <w:rFonts w:ascii="Times New Roman" w:hAnsi="Times New Roman" w:cs="Times New Roman"/>
          <w:sz w:val="22"/>
          <w:szCs w:val="22"/>
          <w:lang w:val="en-GB"/>
        </w:rPr>
        <w:t>Certification of arbitrators</w:t>
      </w:r>
    </w:p>
    <w:p w:rsidR="00B47DD3" w:rsidRPr="00FE35D8" w:rsidRDefault="00B47DD3" w:rsidP="00FB6759">
      <w:pPr>
        <w:pStyle w:val="ListParagraph"/>
        <w:numPr>
          <w:ilvl w:val="0"/>
          <w:numId w:val="163"/>
        </w:numPr>
        <w:spacing w:after="0" w:line="240" w:lineRule="auto"/>
        <w:contextualSpacing/>
        <w:jc w:val="both"/>
        <w:rPr>
          <w:rFonts w:ascii="Times New Roman" w:hAnsi="Times New Roman" w:cs="Times New Roman"/>
          <w:sz w:val="22"/>
          <w:szCs w:val="22"/>
          <w:lang w:val="en-GB"/>
        </w:rPr>
      </w:pPr>
      <w:r w:rsidRPr="00FE35D8">
        <w:rPr>
          <w:rFonts w:ascii="Times New Roman" w:hAnsi="Times New Roman" w:cs="Times New Roman"/>
          <w:sz w:val="22"/>
          <w:szCs w:val="22"/>
          <w:lang w:val="en-GB"/>
        </w:rPr>
        <w:t xml:space="preserve">Certification of translators. </w:t>
      </w:r>
    </w:p>
    <w:p w:rsidR="001B23BE" w:rsidRPr="004A29F9" w:rsidRDefault="001B23BE" w:rsidP="00FB6759">
      <w:pPr>
        <w:spacing w:after="0" w:line="240" w:lineRule="auto"/>
        <w:contextualSpacing/>
        <w:jc w:val="both"/>
        <w:rPr>
          <w:rFonts w:ascii="Times New Roman" w:hAnsi="Times New Roman" w:cs="Times New Roman"/>
          <w:sz w:val="22"/>
          <w:szCs w:val="22"/>
          <w:lang w:val="en-GB"/>
        </w:rPr>
      </w:pPr>
    </w:p>
    <w:p w:rsidR="00B47DD3" w:rsidRPr="004A29F9" w:rsidRDefault="001B23BE" w:rsidP="00FB6759">
      <w:pPr>
        <w:spacing w:after="0" w:line="240" w:lineRule="auto"/>
        <w:contextualSpacing/>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UNDP was responsible in part for an improvement that occurred in the authenticat</w:t>
      </w:r>
      <w:r w:rsidR="00FE35D8">
        <w:rPr>
          <w:rFonts w:ascii="Times New Roman" w:hAnsi="Times New Roman" w:cs="Times New Roman"/>
          <w:sz w:val="22"/>
          <w:szCs w:val="22"/>
          <w:lang w:val="en-GB"/>
        </w:rPr>
        <w:t>ion of justice records at the MOJ (</w:t>
      </w:r>
      <w:r w:rsidRPr="004A29F9">
        <w:rPr>
          <w:rFonts w:ascii="Times New Roman" w:hAnsi="Times New Roman" w:cs="Times New Roman"/>
          <w:sz w:val="22"/>
          <w:szCs w:val="22"/>
          <w:lang w:val="en-GB"/>
        </w:rPr>
        <w:t xml:space="preserve">as a result of the work of three </w:t>
      </w:r>
      <w:r w:rsidR="00FE35D8">
        <w:rPr>
          <w:rFonts w:ascii="Times New Roman" w:hAnsi="Times New Roman" w:cs="Times New Roman"/>
          <w:sz w:val="22"/>
          <w:szCs w:val="22"/>
          <w:lang w:val="en-GB"/>
        </w:rPr>
        <w:t>lawyers provided by the Stabilisation Fund)</w:t>
      </w:r>
      <w:r w:rsidRPr="004A29F9">
        <w:rPr>
          <w:rFonts w:ascii="Times New Roman" w:hAnsi="Times New Roman" w:cs="Times New Roman"/>
          <w:sz w:val="22"/>
          <w:szCs w:val="22"/>
          <w:lang w:val="en-GB"/>
        </w:rPr>
        <w:t>, as well as groundwork in the forensic</w:t>
      </w:r>
      <w:r w:rsidR="00FE35D8">
        <w:rPr>
          <w:rFonts w:ascii="Times New Roman" w:hAnsi="Times New Roman" w:cs="Times New Roman"/>
          <w:sz w:val="22"/>
          <w:szCs w:val="22"/>
          <w:lang w:val="en-GB"/>
        </w:rPr>
        <w:t xml:space="preserve"> medicine capabilities of the MO</w:t>
      </w:r>
      <w:r w:rsidRPr="004A29F9">
        <w:rPr>
          <w:rFonts w:ascii="Times New Roman" w:hAnsi="Times New Roman" w:cs="Times New Roman"/>
          <w:sz w:val="22"/>
          <w:szCs w:val="22"/>
          <w:lang w:val="en-GB"/>
        </w:rPr>
        <w:t>J (via an autopsy technician provided to the Department of</w:t>
      </w:r>
      <w:r w:rsidR="00FE35D8">
        <w:rPr>
          <w:rFonts w:ascii="Times New Roman" w:hAnsi="Times New Roman" w:cs="Times New Roman"/>
          <w:sz w:val="22"/>
          <w:szCs w:val="22"/>
          <w:lang w:val="en-GB"/>
        </w:rPr>
        <w:t xml:space="preserve"> Forensic Medicine by the Stabilisation Fund). </w:t>
      </w:r>
      <w:r w:rsidR="00B47DD3" w:rsidRPr="004A29F9">
        <w:rPr>
          <w:rFonts w:ascii="Times New Roman" w:hAnsi="Times New Roman" w:cs="Times New Roman"/>
          <w:sz w:val="22"/>
          <w:szCs w:val="22"/>
          <w:lang w:val="en-GB"/>
        </w:rPr>
        <w:t>Going forward it</w:t>
      </w:r>
      <w:r w:rsidR="00FE35D8">
        <w:rPr>
          <w:rFonts w:ascii="Times New Roman" w:hAnsi="Times New Roman" w:cs="Times New Roman"/>
          <w:sz w:val="22"/>
          <w:szCs w:val="22"/>
          <w:lang w:val="en-GB"/>
        </w:rPr>
        <w:t xml:space="preserve"> will be important to enhance MO</w:t>
      </w:r>
      <w:r w:rsidR="00B47DD3" w:rsidRPr="004A29F9">
        <w:rPr>
          <w:rFonts w:ascii="Times New Roman" w:hAnsi="Times New Roman" w:cs="Times New Roman"/>
          <w:sz w:val="22"/>
          <w:szCs w:val="22"/>
          <w:lang w:val="en-GB"/>
        </w:rPr>
        <w:t xml:space="preserve">J’s outreach to the public by enhancing the quality of these services.  </w:t>
      </w:r>
    </w:p>
    <w:p w:rsidR="00582326" w:rsidRPr="004A29F9" w:rsidRDefault="00582326" w:rsidP="00FB6759">
      <w:pPr>
        <w:spacing w:after="0" w:line="240" w:lineRule="auto"/>
        <w:jc w:val="both"/>
        <w:rPr>
          <w:rFonts w:ascii="Times New Roman" w:hAnsi="Times New Roman" w:cs="Times New Roman"/>
          <w:sz w:val="22"/>
          <w:szCs w:val="22"/>
          <w:lang w:val="en-GB"/>
        </w:rPr>
      </w:pPr>
    </w:p>
    <w:p w:rsidR="00310B54" w:rsidRPr="00FE35D8" w:rsidRDefault="006256A2" w:rsidP="00FB6759">
      <w:pPr>
        <w:spacing w:after="0" w:line="240" w:lineRule="auto"/>
        <w:jc w:val="both"/>
        <w:rPr>
          <w:rFonts w:ascii="Times New Roman" w:hAnsi="Times New Roman" w:cs="Times New Roman"/>
          <w:i/>
          <w:sz w:val="22"/>
          <w:szCs w:val="22"/>
          <w:lang w:val="en-GB"/>
        </w:rPr>
      </w:pPr>
      <w:r w:rsidRPr="00FE35D8">
        <w:rPr>
          <w:rFonts w:ascii="Times New Roman" w:hAnsi="Times New Roman" w:cs="Times New Roman"/>
          <w:i/>
          <w:sz w:val="22"/>
          <w:szCs w:val="22"/>
          <w:lang w:val="en-GB"/>
        </w:rPr>
        <w:t>Output 1.7: Capacity of the Attorney-General’s Office strengthened specific to planning capacity</w:t>
      </w:r>
    </w:p>
    <w:p w:rsidR="00AF4A02" w:rsidRDefault="00AF4A02" w:rsidP="00FB6759">
      <w:pPr>
        <w:spacing w:after="0" w:line="240" w:lineRule="auto"/>
        <w:jc w:val="both"/>
        <w:rPr>
          <w:rFonts w:ascii="Times New Roman" w:hAnsi="Times New Roman" w:cs="Times New Roman"/>
          <w:sz w:val="22"/>
          <w:szCs w:val="22"/>
          <w:lang w:val="en-GB"/>
        </w:rPr>
      </w:pPr>
    </w:p>
    <w:p w:rsidR="004D68E7" w:rsidRPr="004A29F9" w:rsidRDefault="004D68E7"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 AGO based in Ramallah oversees twelve district offices in the West Bank. The chief substantive function of the AGO is to review case files after completion of an investigation (i.e. to look at the final ind</w:t>
      </w:r>
      <w:r w:rsidR="008107E5">
        <w:rPr>
          <w:rFonts w:ascii="Times New Roman" w:hAnsi="Times New Roman" w:cs="Times New Roman"/>
          <w:sz w:val="22"/>
          <w:szCs w:val="22"/>
          <w:lang w:val="en-GB"/>
        </w:rPr>
        <w:t xml:space="preserve">ictment in a criminal case) and, at its discretion, </w:t>
      </w:r>
      <w:r w:rsidRPr="004A29F9">
        <w:rPr>
          <w:rFonts w:ascii="Times New Roman" w:hAnsi="Times New Roman" w:cs="Times New Roman"/>
          <w:sz w:val="22"/>
          <w:szCs w:val="22"/>
          <w:lang w:val="en-GB"/>
        </w:rPr>
        <w:t>recommend that the matter be prosecuted, invest</w:t>
      </w:r>
      <w:r w:rsidR="008107E5">
        <w:rPr>
          <w:rFonts w:ascii="Times New Roman" w:hAnsi="Times New Roman" w:cs="Times New Roman"/>
          <w:sz w:val="22"/>
          <w:szCs w:val="22"/>
          <w:lang w:val="en-GB"/>
        </w:rPr>
        <w:t>igated further or dismissed. The public p</w:t>
      </w:r>
      <w:r w:rsidRPr="004A29F9">
        <w:rPr>
          <w:rFonts w:ascii="Times New Roman" w:hAnsi="Times New Roman" w:cs="Times New Roman"/>
          <w:sz w:val="22"/>
          <w:szCs w:val="22"/>
          <w:lang w:val="en-GB"/>
        </w:rPr>
        <w:t>rosecutor’s role is subordinate to the</w:t>
      </w:r>
      <w:r w:rsidR="008107E5">
        <w:rPr>
          <w:rFonts w:ascii="Times New Roman" w:hAnsi="Times New Roman" w:cs="Times New Roman"/>
          <w:sz w:val="22"/>
          <w:szCs w:val="22"/>
          <w:lang w:val="en-GB"/>
        </w:rPr>
        <w:t xml:space="preserve"> AGO. The public p</w:t>
      </w:r>
      <w:r w:rsidRPr="004A29F9">
        <w:rPr>
          <w:rFonts w:ascii="Times New Roman" w:hAnsi="Times New Roman" w:cs="Times New Roman"/>
          <w:sz w:val="22"/>
          <w:szCs w:val="22"/>
          <w:lang w:val="en-GB"/>
        </w:rPr>
        <w:t>rosecutor’s mandate is to receive complaints from the public, ini</w:t>
      </w:r>
      <w:r w:rsidR="008107E5">
        <w:rPr>
          <w:rFonts w:ascii="Times New Roman" w:hAnsi="Times New Roman" w:cs="Times New Roman"/>
          <w:sz w:val="22"/>
          <w:szCs w:val="22"/>
          <w:lang w:val="en-GB"/>
        </w:rPr>
        <w:t>tiate investigations, build case files, perform</w:t>
      </w:r>
      <w:r w:rsidRPr="004A29F9">
        <w:rPr>
          <w:rFonts w:ascii="Times New Roman" w:hAnsi="Times New Roman" w:cs="Times New Roman"/>
          <w:sz w:val="22"/>
          <w:szCs w:val="22"/>
          <w:lang w:val="en-GB"/>
        </w:rPr>
        <w:t xml:space="preserve"> interviews and upon determination of probable cause prepare an indictment and send the complete file to the AGO to determine whether or not the </w:t>
      </w:r>
      <w:r w:rsidR="008107E5">
        <w:rPr>
          <w:rFonts w:ascii="Times New Roman" w:hAnsi="Times New Roman" w:cs="Times New Roman"/>
          <w:sz w:val="22"/>
          <w:szCs w:val="22"/>
          <w:lang w:val="en-GB"/>
        </w:rPr>
        <w:t>case should proceed to trial. Even if the public p</w:t>
      </w:r>
      <w:r w:rsidRPr="004A29F9">
        <w:rPr>
          <w:rFonts w:ascii="Times New Roman" w:hAnsi="Times New Roman" w:cs="Times New Roman"/>
          <w:sz w:val="22"/>
          <w:szCs w:val="22"/>
          <w:lang w:val="en-GB"/>
        </w:rPr>
        <w:t>rosecutor finds th</w:t>
      </w:r>
      <w:r w:rsidR="00BB79F3" w:rsidRPr="004A29F9">
        <w:rPr>
          <w:rFonts w:ascii="Times New Roman" w:hAnsi="Times New Roman" w:cs="Times New Roman"/>
          <w:sz w:val="22"/>
          <w:szCs w:val="22"/>
          <w:lang w:val="en-GB"/>
        </w:rPr>
        <w:t>at it lacks sufficient evidence,</w:t>
      </w:r>
      <w:r w:rsidRPr="004A29F9">
        <w:rPr>
          <w:rFonts w:ascii="Times New Roman" w:hAnsi="Times New Roman" w:cs="Times New Roman"/>
          <w:sz w:val="22"/>
          <w:szCs w:val="22"/>
          <w:lang w:val="en-GB"/>
        </w:rPr>
        <w:t xml:space="preserve"> the AGO can still hold the file for later prosecution in the event tha</w:t>
      </w:r>
      <w:r w:rsidR="008107E5">
        <w:rPr>
          <w:rFonts w:ascii="Times New Roman" w:hAnsi="Times New Roman" w:cs="Times New Roman"/>
          <w:sz w:val="22"/>
          <w:szCs w:val="22"/>
          <w:lang w:val="en-GB"/>
        </w:rPr>
        <w:t>t more evidence is obtained.</w:t>
      </w:r>
    </w:p>
    <w:p w:rsidR="00AF4A02" w:rsidRDefault="00AF4A02" w:rsidP="00FB6759">
      <w:pPr>
        <w:spacing w:after="0" w:line="240" w:lineRule="auto"/>
        <w:jc w:val="both"/>
        <w:rPr>
          <w:rFonts w:ascii="Times New Roman" w:hAnsi="Times New Roman" w:cs="Times New Roman"/>
          <w:sz w:val="22"/>
          <w:szCs w:val="22"/>
          <w:lang w:val="en-GB"/>
        </w:rPr>
      </w:pPr>
    </w:p>
    <w:p w:rsidR="000E5326" w:rsidRPr="004A29F9" w:rsidRDefault="000E5326"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The </w:t>
      </w:r>
      <w:r w:rsidR="00FE4FE2" w:rsidRPr="004A29F9">
        <w:rPr>
          <w:rFonts w:ascii="Times New Roman" w:hAnsi="Times New Roman" w:cs="Times New Roman"/>
          <w:sz w:val="22"/>
          <w:szCs w:val="22"/>
          <w:lang w:val="en-GB"/>
        </w:rPr>
        <w:t>Palestinian legal community and the laws themselves have</w:t>
      </w:r>
      <w:r w:rsidRPr="004A29F9">
        <w:rPr>
          <w:rFonts w:ascii="Times New Roman" w:hAnsi="Times New Roman" w:cs="Times New Roman"/>
          <w:sz w:val="22"/>
          <w:szCs w:val="22"/>
          <w:lang w:val="en-GB"/>
        </w:rPr>
        <w:t xml:space="preserve"> tended to lack consistency on whether </w:t>
      </w:r>
      <w:r w:rsidR="00FE4FE2" w:rsidRPr="004A29F9">
        <w:rPr>
          <w:rFonts w:ascii="Times New Roman" w:hAnsi="Times New Roman" w:cs="Times New Roman"/>
          <w:sz w:val="22"/>
          <w:szCs w:val="22"/>
          <w:lang w:val="en-GB"/>
        </w:rPr>
        <w:t xml:space="preserve">the AGO </w:t>
      </w:r>
      <w:r w:rsidR="008107E5">
        <w:rPr>
          <w:rFonts w:ascii="Times New Roman" w:hAnsi="Times New Roman" w:cs="Times New Roman"/>
          <w:sz w:val="22"/>
          <w:szCs w:val="22"/>
          <w:lang w:val="en-GB"/>
        </w:rPr>
        <w:t>is part of the executive or j</w:t>
      </w:r>
      <w:r w:rsidRPr="004A29F9">
        <w:rPr>
          <w:rFonts w:ascii="Times New Roman" w:hAnsi="Times New Roman" w:cs="Times New Roman"/>
          <w:sz w:val="22"/>
          <w:szCs w:val="22"/>
          <w:lang w:val="en-GB"/>
        </w:rPr>
        <w:t>udiciary in its engagement with the development community. The AG</w:t>
      </w:r>
      <w:r w:rsidR="008107E5">
        <w:rPr>
          <w:rFonts w:ascii="Times New Roman" w:hAnsi="Times New Roman" w:cs="Times New Roman"/>
          <w:sz w:val="22"/>
          <w:szCs w:val="22"/>
          <w:lang w:val="en-GB"/>
        </w:rPr>
        <w:t>O’s gravitation away from the MO</w:t>
      </w:r>
      <w:r w:rsidRPr="004A29F9">
        <w:rPr>
          <w:rFonts w:ascii="Times New Roman" w:hAnsi="Times New Roman" w:cs="Times New Roman"/>
          <w:sz w:val="22"/>
          <w:szCs w:val="22"/>
          <w:lang w:val="en-GB"/>
        </w:rPr>
        <w:t>J and towards the HJC raises fundamental questions from a sepa</w:t>
      </w:r>
      <w:r w:rsidR="008107E5">
        <w:rPr>
          <w:rFonts w:ascii="Times New Roman" w:hAnsi="Times New Roman" w:cs="Times New Roman"/>
          <w:sz w:val="22"/>
          <w:szCs w:val="22"/>
          <w:lang w:val="en-GB"/>
        </w:rPr>
        <w:t xml:space="preserve">ration of powers perspective. </w:t>
      </w:r>
      <w:r w:rsidRPr="004A29F9">
        <w:rPr>
          <w:rFonts w:ascii="Times New Roman" w:hAnsi="Times New Roman" w:cs="Times New Roman"/>
          <w:sz w:val="22"/>
          <w:szCs w:val="22"/>
          <w:lang w:val="en-GB"/>
        </w:rPr>
        <w:t xml:space="preserve">While the Palestinian </w:t>
      </w:r>
      <w:r w:rsidR="00FE4FE2" w:rsidRPr="004A29F9">
        <w:rPr>
          <w:rFonts w:ascii="Times New Roman" w:hAnsi="Times New Roman" w:cs="Times New Roman"/>
          <w:sz w:val="22"/>
          <w:szCs w:val="22"/>
          <w:lang w:val="en-GB"/>
        </w:rPr>
        <w:t>Basic Law (2003)</w:t>
      </w:r>
      <w:r w:rsidRPr="004A29F9">
        <w:rPr>
          <w:rFonts w:ascii="Times New Roman" w:hAnsi="Times New Roman" w:cs="Times New Roman"/>
          <w:sz w:val="22"/>
          <w:szCs w:val="22"/>
          <w:lang w:val="en-GB"/>
        </w:rPr>
        <w:t>is not clear on this issue</w:t>
      </w:r>
      <w:r w:rsidR="008107E5">
        <w:rPr>
          <w:rFonts w:ascii="Times New Roman" w:hAnsi="Times New Roman" w:cs="Times New Roman"/>
          <w:sz w:val="22"/>
          <w:szCs w:val="22"/>
          <w:lang w:val="en-GB"/>
        </w:rPr>
        <w:t>, the Judicial Authority Law (</w:t>
      </w:r>
      <w:r w:rsidRPr="004A29F9">
        <w:rPr>
          <w:rFonts w:ascii="Times New Roman" w:hAnsi="Times New Roman" w:cs="Times New Roman"/>
          <w:sz w:val="22"/>
          <w:szCs w:val="22"/>
          <w:lang w:val="en-GB"/>
        </w:rPr>
        <w:t>2002</w:t>
      </w:r>
      <w:r w:rsidR="008107E5">
        <w:rPr>
          <w:rFonts w:ascii="Times New Roman" w:hAnsi="Times New Roman" w:cs="Times New Roman"/>
          <w:sz w:val="22"/>
          <w:szCs w:val="22"/>
          <w:lang w:val="en-GB"/>
        </w:rPr>
        <w:t>)</w:t>
      </w:r>
      <w:r w:rsidRPr="004A29F9">
        <w:rPr>
          <w:rFonts w:ascii="Times New Roman" w:hAnsi="Times New Roman" w:cs="Times New Roman"/>
          <w:sz w:val="22"/>
          <w:szCs w:val="22"/>
          <w:lang w:val="en-GB"/>
        </w:rPr>
        <w:t xml:space="preserve"> regulates the AGO and provides the legal basis for the AGO being linked </w:t>
      </w:r>
      <w:r w:rsidRPr="004A29F9">
        <w:rPr>
          <w:rFonts w:ascii="Times New Roman" w:hAnsi="Times New Roman" w:cs="Times New Roman"/>
          <w:sz w:val="22"/>
          <w:szCs w:val="22"/>
          <w:lang w:val="en-GB"/>
        </w:rPr>
        <w:lastRenderedPageBreak/>
        <w:t>to the courts. As of end-2012, it appeared that some form of political interventi</w:t>
      </w:r>
      <w:r w:rsidR="008107E5">
        <w:rPr>
          <w:rFonts w:ascii="Times New Roman" w:hAnsi="Times New Roman" w:cs="Times New Roman"/>
          <w:sz w:val="22"/>
          <w:szCs w:val="22"/>
          <w:lang w:val="en-GB"/>
        </w:rPr>
        <w:t xml:space="preserve">on from the international community </w:t>
      </w:r>
      <w:r w:rsidRPr="004A29F9">
        <w:rPr>
          <w:rFonts w:ascii="Times New Roman" w:hAnsi="Times New Roman" w:cs="Times New Roman"/>
          <w:sz w:val="22"/>
          <w:szCs w:val="22"/>
          <w:lang w:val="en-GB"/>
        </w:rPr>
        <w:t>might</w:t>
      </w:r>
      <w:r w:rsidR="008107E5">
        <w:rPr>
          <w:rFonts w:ascii="Times New Roman" w:hAnsi="Times New Roman" w:cs="Times New Roman"/>
          <w:sz w:val="22"/>
          <w:szCs w:val="22"/>
          <w:lang w:val="en-GB"/>
        </w:rPr>
        <w:t xml:space="preserve"> be required to encourage the MOJ, the </w:t>
      </w:r>
      <w:r w:rsidRPr="004A29F9">
        <w:rPr>
          <w:rFonts w:ascii="Times New Roman" w:hAnsi="Times New Roman" w:cs="Times New Roman"/>
          <w:sz w:val="22"/>
          <w:szCs w:val="22"/>
          <w:lang w:val="en-GB"/>
        </w:rPr>
        <w:t>HJC</w:t>
      </w:r>
      <w:r w:rsidR="008107E5">
        <w:rPr>
          <w:rFonts w:ascii="Times New Roman" w:hAnsi="Times New Roman" w:cs="Times New Roman"/>
          <w:sz w:val="22"/>
          <w:szCs w:val="22"/>
          <w:lang w:val="en-GB"/>
        </w:rPr>
        <w:t xml:space="preserve"> and the AGO</w:t>
      </w:r>
      <w:r w:rsidRPr="004A29F9">
        <w:rPr>
          <w:rFonts w:ascii="Times New Roman" w:hAnsi="Times New Roman" w:cs="Times New Roman"/>
          <w:sz w:val="22"/>
          <w:szCs w:val="22"/>
          <w:lang w:val="en-GB"/>
        </w:rPr>
        <w:t xml:space="preserve"> to agree on their respective spheres of influence and mandates.</w:t>
      </w:r>
    </w:p>
    <w:p w:rsidR="00AF4A02" w:rsidRDefault="00AF4A02" w:rsidP="00FB6759">
      <w:pPr>
        <w:spacing w:after="0" w:line="240" w:lineRule="auto"/>
        <w:jc w:val="both"/>
        <w:rPr>
          <w:rFonts w:ascii="Times New Roman" w:hAnsi="Times New Roman" w:cs="Times New Roman"/>
          <w:sz w:val="22"/>
          <w:szCs w:val="22"/>
          <w:lang w:val="en-GB"/>
        </w:rPr>
      </w:pPr>
    </w:p>
    <w:p w:rsidR="000E5326" w:rsidRPr="004A29F9" w:rsidRDefault="000E5326"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UNDP has attempted to remain a neutral actor in th</w:t>
      </w:r>
      <w:r w:rsidR="008107E5">
        <w:rPr>
          <w:rFonts w:ascii="Times New Roman" w:hAnsi="Times New Roman" w:cs="Times New Roman"/>
          <w:sz w:val="22"/>
          <w:szCs w:val="22"/>
          <w:lang w:val="en-GB"/>
        </w:rPr>
        <w:t>is debate, using the justice sector s</w:t>
      </w:r>
      <w:r w:rsidRPr="004A29F9">
        <w:rPr>
          <w:rFonts w:ascii="Times New Roman" w:hAnsi="Times New Roman" w:cs="Times New Roman"/>
          <w:sz w:val="22"/>
          <w:szCs w:val="22"/>
          <w:lang w:val="en-GB"/>
        </w:rPr>
        <w:t>trategy as a reference point and supporting the institutions’ capacities within a continuing climate of tension between the justice institutions. UNDP is the only agency that works with all three institutions.</w:t>
      </w:r>
      <w:r w:rsidRPr="004A29F9">
        <w:rPr>
          <w:rStyle w:val="FootnoteReference"/>
          <w:rFonts w:ascii="Times New Roman" w:hAnsi="Times New Roman" w:cs="Times New Roman"/>
          <w:sz w:val="22"/>
          <w:szCs w:val="22"/>
          <w:lang w:val="en-GB"/>
        </w:rPr>
        <w:footnoteReference w:id="95"/>
      </w:r>
      <w:r w:rsidRPr="004A29F9">
        <w:rPr>
          <w:rFonts w:ascii="Times New Roman" w:hAnsi="Times New Roman" w:cs="Times New Roman"/>
          <w:sz w:val="22"/>
          <w:szCs w:val="22"/>
          <w:lang w:val="en-GB"/>
        </w:rPr>
        <w:t>UN</w:t>
      </w:r>
      <w:r w:rsidR="008107E5">
        <w:rPr>
          <w:rFonts w:ascii="Times New Roman" w:hAnsi="Times New Roman" w:cs="Times New Roman"/>
          <w:sz w:val="22"/>
          <w:szCs w:val="22"/>
          <w:lang w:val="en-GB"/>
        </w:rPr>
        <w:t>DP extracted outcomes from the justice sector s</w:t>
      </w:r>
      <w:r w:rsidRPr="004A29F9">
        <w:rPr>
          <w:rFonts w:ascii="Times New Roman" w:hAnsi="Times New Roman" w:cs="Times New Roman"/>
          <w:sz w:val="22"/>
          <w:szCs w:val="22"/>
          <w:lang w:val="en-GB"/>
        </w:rPr>
        <w:t>trategy and</w:t>
      </w:r>
      <w:r w:rsidR="008107E5">
        <w:rPr>
          <w:rFonts w:ascii="Times New Roman" w:hAnsi="Times New Roman" w:cs="Times New Roman"/>
          <w:sz w:val="22"/>
          <w:szCs w:val="22"/>
          <w:lang w:val="en-GB"/>
        </w:rPr>
        <w:t>, in conjunction with the donors,</w:t>
      </w:r>
      <w:r w:rsidRPr="004A29F9">
        <w:rPr>
          <w:rFonts w:ascii="Times New Roman" w:hAnsi="Times New Roman" w:cs="Times New Roman"/>
          <w:sz w:val="22"/>
          <w:szCs w:val="22"/>
          <w:lang w:val="en-GB"/>
        </w:rPr>
        <w:t xml:space="preserve"> redesigned its engagement un</w:t>
      </w:r>
      <w:r w:rsidR="008107E5">
        <w:rPr>
          <w:rFonts w:ascii="Times New Roman" w:hAnsi="Times New Roman" w:cs="Times New Roman"/>
          <w:sz w:val="22"/>
          <w:szCs w:val="22"/>
          <w:lang w:val="en-GB"/>
        </w:rPr>
        <w:t>der Outcome 1 to fit both the HJC and the AGO.</w:t>
      </w:r>
    </w:p>
    <w:p w:rsidR="00AF4A02" w:rsidRDefault="00AF4A02" w:rsidP="00FB6759">
      <w:pPr>
        <w:spacing w:after="0" w:line="240" w:lineRule="auto"/>
        <w:jc w:val="both"/>
        <w:rPr>
          <w:rFonts w:ascii="Times New Roman" w:hAnsi="Times New Roman" w:cs="Times New Roman"/>
          <w:sz w:val="22"/>
          <w:szCs w:val="22"/>
          <w:lang w:val="en-GB"/>
        </w:rPr>
      </w:pPr>
    </w:p>
    <w:p w:rsidR="006230F9" w:rsidRPr="004A29F9" w:rsidRDefault="00BB79F3"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UNDP seconded staff are assigned to </w:t>
      </w:r>
      <w:r w:rsidR="008107E5">
        <w:rPr>
          <w:rFonts w:ascii="Times New Roman" w:hAnsi="Times New Roman" w:cs="Times New Roman"/>
          <w:sz w:val="22"/>
          <w:szCs w:val="22"/>
          <w:lang w:val="en-GB"/>
        </w:rPr>
        <w:t xml:space="preserve">the </w:t>
      </w:r>
      <w:r w:rsidRPr="004A29F9">
        <w:rPr>
          <w:rFonts w:ascii="Times New Roman" w:hAnsi="Times New Roman" w:cs="Times New Roman"/>
          <w:sz w:val="22"/>
          <w:szCs w:val="22"/>
          <w:lang w:val="en-GB"/>
        </w:rPr>
        <w:t>AGO.</w:t>
      </w:r>
      <w:r w:rsidRPr="004A29F9">
        <w:rPr>
          <w:rStyle w:val="FootnoteReference"/>
          <w:rFonts w:ascii="Times New Roman" w:hAnsi="Times New Roman" w:cs="Times New Roman"/>
          <w:sz w:val="22"/>
          <w:szCs w:val="22"/>
          <w:lang w:val="en-GB"/>
        </w:rPr>
        <w:footnoteReference w:id="96"/>
      </w:r>
      <w:r w:rsidRPr="004A29F9">
        <w:rPr>
          <w:rFonts w:ascii="Times New Roman" w:hAnsi="Times New Roman" w:cs="Times New Roman"/>
          <w:sz w:val="22"/>
          <w:szCs w:val="22"/>
          <w:lang w:val="en-GB"/>
        </w:rPr>
        <w:t>Since 2009, UNDP ha</w:t>
      </w:r>
      <w:r w:rsidR="008107E5">
        <w:rPr>
          <w:rFonts w:ascii="Times New Roman" w:hAnsi="Times New Roman" w:cs="Times New Roman"/>
          <w:sz w:val="22"/>
          <w:szCs w:val="22"/>
          <w:lang w:val="en-GB"/>
        </w:rPr>
        <w:t>s focused on four key outputs:</w:t>
      </w:r>
      <w:r w:rsidRPr="004A29F9">
        <w:rPr>
          <w:rFonts w:ascii="Times New Roman" w:hAnsi="Times New Roman" w:cs="Times New Roman"/>
          <w:sz w:val="22"/>
          <w:szCs w:val="22"/>
          <w:lang w:val="en-GB"/>
        </w:rPr>
        <w:t xml:space="preserve"> improving the AGO’s planning unit; improving the functionality and operations of the public prosecutors; strengthening the AGOs coordination donors and effectively use donor resources; and building th</w:t>
      </w:r>
      <w:r w:rsidR="008107E5">
        <w:rPr>
          <w:rFonts w:ascii="Times New Roman" w:hAnsi="Times New Roman" w:cs="Times New Roman"/>
          <w:sz w:val="22"/>
          <w:szCs w:val="22"/>
          <w:lang w:val="en-GB"/>
        </w:rPr>
        <w:t xml:space="preserve">e capacity of the AGO Planning and Project </w:t>
      </w:r>
      <w:r w:rsidRPr="004A29F9">
        <w:rPr>
          <w:rFonts w:ascii="Times New Roman" w:hAnsi="Times New Roman" w:cs="Times New Roman"/>
          <w:sz w:val="22"/>
          <w:szCs w:val="22"/>
          <w:lang w:val="en-GB"/>
        </w:rPr>
        <w:t>Management Unit (P</w:t>
      </w:r>
      <w:r w:rsidR="00FB12F3" w:rsidRPr="004A29F9">
        <w:rPr>
          <w:rFonts w:ascii="Times New Roman" w:hAnsi="Times New Roman" w:cs="Times New Roman"/>
          <w:sz w:val="22"/>
          <w:szCs w:val="22"/>
          <w:lang w:val="en-GB"/>
        </w:rPr>
        <w:t>P</w:t>
      </w:r>
      <w:r w:rsidR="008107E5">
        <w:rPr>
          <w:rFonts w:ascii="Times New Roman" w:hAnsi="Times New Roman" w:cs="Times New Roman"/>
          <w:sz w:val="22"/>
          <w:szCs w:val="22"/>
          <w:lang w:val="en-GB"/>
        </w:rPr>
        <w:t xml:space="preserve">MU). </w:t>
      </w:r>
      <w:r w:rsidR="006230F9" w:rsidRPr="004A29F9">
        <w:rPr>
          <w:rFonts w:ascii="Times New Roman" w:hAnsi="Times New Roman" w:cs="Times New Roman"/>
          <w:sz w:val="22"/>
          <w:szCs w:val="22"/>
          <w:lang w:val="en-GB"/>
        </w:rPr>
        <w:t>UNDP has engaged with the Attorney General’s Office to stre</w:t>
      </w:r>
      <w:r w:rsidR="008107E5">
        <w:rPr>
          <w:rFonts w:ascii="Times New Roman" w:hAnsi="Times New Roman" w:cs="Times New Roman"/>
          <w:sz w:val="22"/>
          <w:szCs w:val="22"/>
          <w:lang w:val="en-GB"/>
        </w:rPr>
        <w:t xml:space="preserve">ngthen its planning capacity. </w:t>
      </w:r>
      <w:r w:rsidR="006230F9" w:rsidRPr="004A29F9">
        <w:rPr>
          <w:rFonts w:ascii="Times New Roman" w:hAnsi="Times New Roman" w:cs="Times New Roman"/>
          <w:sz w:val="22"/>
          <w:szCs w:val="22"/>
          <w:lang w:val="en-GB"/>
        </w:rPr>
        <w:t xml:space="preserve">UNDP support to the </w:t>
      </w:r>
      <w:r w:rsidR="008107E5">
        <w:rPr>
          <w:rFonts w:ascii="Times New Roman" w:hAnsi="Times New Roman" w:cs="Times New Roman"/>
          <w:sz w:val="22"/>
          <w:szCs w:val="22"/>
          <w:lang w:val="en-GB"/>
        </w:rPr>
        <w:t>PPMU</w:t>
      </w:r>
      <w:r w:rsidR="006230F9" w:rsidRPr="004A29F9">
        <w:rPr>
          <w:rFonts w:ascii="Times New Roman" w:hAnsi="Times New Roman" w:cs="Times New Roman"/>
          <w:sz w:val="22"/>
          <w:szCs w:val="22"/>
          <w:lang w:val="en-GB"/>
        </w:rPr>
        <w:t xml:space="preserve"> has increased t</w:t>
      </w:r>
      <w:r w:rsidR="008107E5">
        <w:rPr>
          <w:rFonts w:ascii="Times New Roman" w:hAnsi="Times New Roman" w:cs="Times New Roman"/>
          <w:sz w:val="22"/>
          <w:szCs w:val="22"/>
          <w:lang w:val="en-GB"/>
        </w:rPr>
        <w:t>he ability of the AGO</w:t>
      </w:r>
      <w:r w:rsidR="006230F9" w:rsidRPr="004A29F9">
        <w:rPr>
          <w:rFonts w:ascii="Times New Roman" w:hAnsi="Times New Roman" w:cs="Times New Roman"/>
          <w:sz w:val="22"/>
          <w:szCs w:val="22"/>
          <w:lang w:val="en-GB"/>
        </w:rPr>
        <w:t xml:space="preserve"> to recruit qualified staff and channel donor support in a more </w:t>
      </w:r>
      <w:r w:rsidR="008107E5">
        <w:rPr>
          <w:rFonts w:ascii="Times New Roman" w:hAnsi="Times New Roman" w:cs="Times New Roman"/>
          <w:sz w:val="22"/>
          <w:szCs w:val="22"/>
          <w:lang w:val="en-GB"/>
        </w:rPr>
        <w:t>effective and efficient manner.</w:t>
      </w:r>
    </w:p>
    <w:p w:rsidR="00AF4A02" w:rsidRDefault="00AF4A02" w:rsidP="00FB6759">
      <w:pPr>
        <w:spacing w:after="0" w:line="240" w:lineRule="auto"/>
        <w:jc w:val="both"/>
        <w:rPr>
          <w:rFonts w:ascii="Times New Roman" w:hAnsi="Times New Roman" w:cs="Times New Roman"/>
          <w:sz w:val="22"/>
          <w:szCs w:val="22"/>
          <w:lang w:val="en-GB"/>
        </w:rPr>
      </w:pPr>
    </w:p>
    <w:p w:rsidR="006230F9" w:rsidRPr="004A29F9" w:rsidRDefault="006230F9"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In 2010, UNDP experts </w:t>
      </w:r>
      <w:r w:rsidR="008107E5">
        <w:rPr>
          <w:rFonts w:ascii="Times New Roman" w:hAnsi="Times New Roman" w:cs="Times New Roman"/>
          <w:sz w:val="22"/>
          <w:szCs w:val="22"/>
          <w:lang w:val="en-GB"/>
        </w:rPr>
        <w:t xml:space="preserve">at the AGO </w:t>
      </w:r>
      <w:r w:rsidRPr="004A29F9">
        <w:rPr>
          <w:rFonts w:ascii="Times New Roman" w:hAnsi="Times New Roman" w:cs="Times New Roman"/>
          <w:sz w:val="22"/>
          <w:szCs w:val="22"/>
          <w:lang w:val="en-GB"/>
        </w:rPr>
        <w:t xml:space="preserve">helped with the development of </w:t>
      </w:r>
      <w:r w:rsidR="008107E5">
        <w:rPr>
          <w:rFonts w:ascii="Times New Roman" w:hAnsi="Times New Roman" w:cs="Times New Roman"/>
          <w:sz w:val="22"/>
          <w:szCs w:val="22"/>
          <w:lang w:val="en-GB"/>
        </w:rPr>
        <w:t xml:space="preserve">the current justice sector strategy. </w:t>
      </w:r>
      <w:r w:rsidR="00582326" w:rsidRPr="004A29F9">
        <w:rPr>
          <w:rFonts w:ascii="Times New Roman" w:hAnsi="Times New Roman" w:cs="Times New Roman"/>
          <w:sz w:val="22"/>
          <w:szCs w:val="22"/>
          <w:lang w:val="en-GB"/>
        </w:rPr>
        <w:t>Prior</w:t>
      </w:r>
      <w:r w:rsidRPr="004A29F9">
        <w:rPr>
          <w:rFonts w:ascii="Times New Roman" w:hAnsi="Times New Roman" w:cs="Times New Roman"/>
          <w:sz w:val="22"/>
          <w:szCs w:val="22"/>
          <w:lang w:val="en-GB"/>
        </w:rPr>
        <w:t xml:space="preserve"> to 2010</w:t>
      </w:r>
      <w:r w:rsidR="00582326" w:rsidRPr="004A29F9">
        <w:rPr>
          <w:rFonts w:ascii="Times New Roman" w:hAnsi="Times New Roman" w:cs="Times New Roman"/>
          <w:sz w:val="22"/>
          <w:szCs w:val="22"/>
          <w:lang w:val="en-GB"/>
        </w:rPr>
        <w:t xml:space="preserve">, </w:t>
      </w:r>
      <w:r w:rsidRPr="004A29F9">
        <w:rPr>
          <w:rFonts w:ascii="Times New Roman" w:hAnsi="Times New Roman" w:cs="Times New Roman"/>
          <w:sz w:val="22"/>
          <w:szCs w:val="22"/>
          <w:lang w:val="en-GB"/>
        </w:rPr>
        <w:t xml:space="preserve">the AGO </w:t>
      </w:r>
      <w:r w:rsidR="0072211E" w:rsidRPr="004A29F9">
        <w:rPr>
          <w:rFonts w:ascii="Times New Roman" w:hAnsi="Times New Roman" w:cs="Times New Roman"/>
          <w:sz w:val="22"/>
          <w:szCs w:val="22"/>
          <w:lang w:val="en-GB"/>
        </w:rPr>
        <w:t xml:space="preserve">had no </w:t>
      </w:r>
      <w:r w:rsidR="008107E5">
        <w:rPr>
          <w:rFonts w:ascii="Times New Roman" w:hAnsi="Times New Roman" w:cs="Times New Roman"/>
          <w:sz w:val="22"/>
          <w:szCs w:val="22"/>
          <w:lang w:val="en-GB"/>
        </w:rPr>
        <w:t xml:space="preserve">planning meetings. </w:t>
      </w:r>
      <w:r w:rsidRPr="004A29F9">
        <w:rPr>
          <w:rFonts w:ascii="Times New Roman" w:hAnsi="Times New Roman" w:cs="Times New Roman"/>
          <w:sz w:val="22"/>
          <w:szCs w:val="22"/>
          <w:lang w:val="en-GB"/>
        </w:rPr>
        <w:t xml:space="preserve">This is one of the first things that UNDP experts at AGO </w:t>
      </w:r>
      <w:r w:rsidR="00582326" w:rsidRPr="004A29F9">
        <w:rPr>
          <w:rFonts w:ascii="Times New Roman" w:hAnsi="Times New Roman" w:cs="Times New Roman"/>
          <w:sz w:val="22"/>
          <w:szCs w:val="22"/>
          <w:lang w:val="en-GB"/>
        </w:rPr>
        <w:t>accomplished.</w:t>
      </w:r>
      <w:r w:rsidR="00FD3C19">
        <w:rPr>
          <w:rFonts w:ascii="Times New Roman" w:hAnsi="Times New Roman" w:cs="Times New Roman"/>
          <w:sz w:val="22"/>
          <w:szCs w:val="22"/>
          <w:lang w:val="en-GB"/>
        </w:rPr>
        <w:t xml:space="preserve"> </w:t>
      </w:r>
      <w:r w:rsidRPr="004A29F9">
        <w:rPr>
          <w:rFonts w:ascii="Times New Roman" w:hAnsi="Times New Roman" w:cs="Times New Roman"/>
          <w:sz w:val="22"/>
          <w:szCs w:val="22"/>
          <w:lang w:val="en-GB"/>
        </w:rPr>
        <w:t xml:space="preserve">UNDP experts </w:t>
      </w:r>
      <w:r w:rsidR="00582326" w:rsidRPr="004A29F9">
        <w:rPr>
          <w:rFonts w:ascii="Times New Roman" w:hAnsi="Times New Roman" w:cs="Times New Roman"/>
          <w:sz w:val="22"/>
          <w:szCs w:val="22"/>
          <w:lang w:val="en-GB"/>
        </w:rPr>
        <w:t xml:space="preserve">also </w:t>
      </w:r>
      <w:r w:rsidRPr="004A29F9">
        <w:rPr>
          <w:rFonts w:ascii="Times New Roman" w:hAnsi="Times New Roman" w:cs="Times New Roman"/>
          <w:sz w:val="22"/>
          <w:szCs w:val="22"/>
          <w:lang w:val="en-GB"/>
        </w:rPr>
        <w:t>supported the Chief Public Prosecutor</w:t>
      </w:r>
      <w:r w:rsidR="00860FB6" w:rsidRPr="004A29F9">
        <w:rPr>
          <w:rFonts w:ascii="Times New Roman" w:hAnsi="Times New Roman" w:cs="Times New Roman"/>
          <w:sz w:val="22"/>
          <w:szCs w:val="22"/>
          <w:lang w:val="en-GB"/>
        </w:rPr>
        <w:t xml:space="preserve"> and other prosecutors in identifying and quantifying the needs of their district offices in areas of infrastructure</w:t>
      </w:r>
      <w:r w:rsidR="008107E5">
        <w:rPr>
          <w:rFonts w:ascii="Times New Roman" w:hAnsi="Times New Roman" w:cs="Times New Roman"/>
          <w:sz w:val="22"/>
          <w:szCs w:val="22"/>
          <w:lang w:val="en-GB"/>
        </w:rPr>
        <w:t xml:space="preserve">, human resources and training. </w:t>
      </w:r>
      <w:r w:rsidR="00860FB6" w:rsidRPr="004A29F9">
        <w:rPr>
          <w:rFonts w:ascii="Times New Roman" w:hAnsi="Times New Roman" w:cs="Times New Roman"/>
          <w:sz w:val="22"/>
          <w:szCs w:val="22"/>
          <w:lang w:val="en-GB"/>
        </w:rPr>
        <w:t>This p</w:t>
      </w:r>
      <w:r w:rsidR="008107E5">
        <w:rPr>
          <w:rFonts w:ascii="Times New Roman" w:hAnsi="Times New Roman" w:cs="Times New Roman"/>
          <w:sz w:val="22"/>
          <w:szCs w:val="22"/>
          <w:lang w:val="en-GB"/>
        </w:rPr>
        <w:t>aved the way for a better utilis</w:t>
      </w:r>
      <w:r w:rsidR="00860FB6" w:rsidRPr="004A29F9">
        <w:rPr>
          <w:rFonts w:ascii="Times New Roman" w:hAnsi="Times New Roman" w:cs="Times New Roman"/>
          <w:sz w:val="22"/>
          <w:szCs w:val="22"/>
          <w:lang w:val="en-GB"/>
        </w:rPr>
        <w:t>ation of the support provided by the various development projects that targeted these offices.</w:t>
      </w:r>
    </w:p>
    <w:p w:rsidR="008107E5" w:rsidRDefault="008107E5" w:rsidP="00FB6759">
      <w:pPr>
        <w:spacing w:after="0" w:line="240" w:lineRule="auto"/>
        <w:jc w:val="both"/>
        <w:rPr>
          <w:rFonts w:ascii="Times New Roman" w:hAnsi="Times New Roman" w:cs="Times New Roman"/>
          <w:sz w:val="22"/>
          <w:szCs w:val="22"/>
          <w:lang w:val="en-GB"/>
        </w:rPr>
      </w:pPr>
    </w:p>
    <w:p w:rsidR="00B9302F" w:rsidRPr="004A29F9" w:rsidRDefault="000E5326"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The UNDP experts also worked on </w:t>
      </w:r>
      <w:r w:rsidR="008107E5">
        <w:rPr>
          <w:rFonts w:ascii="Times New Roman" w:hAnsi="Times New Roman" w:cs="Times New Roman"/>
          <w:sz w:val="22"/>
          <w:szCs w:val="22"/>
          <w:lang w:val="en-GB"/>
        </w:rPr>
        <w:t>the functionality of the different</w:t>
      </w:r>
      <w:r w:rsidRPr="004A29F9">
        <w:rPr>
          <w:rFonts w:ascii="Times New Roman" w:hAnsi="Times New Roman" w:cs="Times New Roman"/>
          <w:sz w:val="22"/>
          <w:szCs w:val="22"/>
          <w:lang w:val="en-GB"/>
        </w:rPr>
        <w:t xml:space="preserve"> units by gui</w:t>
      </w:r>
      <w:r w:rsidR="008107E5">
        <w:rPr>
          <w:rFonts w:ascii="Times New Roman" w:hAnsi="Times New Roman" w:cs="Times New Roman"/>
          <w:sz w:val="22"/>
          <w:szCs w:val="22"/>
          <w:lang w:val="en-GB"/>
        </w:rPr>
        <w:t>ding services and operations. These outputs were organis</w:t>
      </w:r>
      <w:r w:rsidRPr="004A29F9">
        <w:rPr>
          <w:rFonts w:ascii="Times New Roman" w:hAnsi="Times New Roman" w:cs="Times New Roman"/>
          <w:sz w:val="22"/>
          <w:szCs w:val="22"/>
          <w:lang w:val="en-GB"/>
        </w:rPr>
        <w:t xml:space="preserve">ed </w:t>
      </w:r>
      <w:r w:rsidR="008107E5">
        <w:rPr>
          <w:rFonts w:ascii="Times New Roman" w:hAnsi="Times New Roman" w:cs="Times New Roman"/>
          <w:sz w:val="22"/>
          <w:szCs w:val="22"/>
          <w:lang w:val="en-GB"/>
        </w:rPr>
        <w:t xml:space="preserve">according to donor projects. </w:t>
      </w:r>
      <w:r w:rsidR="00416993" w:rsidRPr="004A29F9">
        <w:rPr>
          <w:rFonts w:ascii="Times New Roman" w:hAnsi="Times New Roman" w:cs="Times New Roman"/>
          <w:sz w:val="22"/>
          <w:szCs w:val="22"/>
          <w:lang w:val="en-GB"/>
        </w:rPr>
        <w:t>As a res</w:t>
      </w:r>
      <w:r w:rsidR="008107E5">
        <w:rPr>
          <w:rFonts w:ascii="Times New Roman" w:hAnsi="Times New Roman" w:cs="Times New Roman"/>
          <w:sz w:val="22"/>
          <w:szCs w:val="22"/>
          <w:lang w:val="en-GB"/>
        </w:rPr>
        <w:t xml:space="preserve">ult, </w:t>
      </w:r>
      <w:r w:rsidR="00416993" w:rsidRPr="004A29F9">
        <w:rPr>
          <w:rFonts w:ascii="Times New Roman" w:hAnsi="Times New Roman" w:cs="Times New Roman"/>
          <w:sz w:val="22"/>
          <w:szCs w:val="22"/>
          <w:lang w:val="en-GB"/>
        </w:rPr>
        <w:t>the AGO is now able to more efficiently review the cases it receives from the</w:t>
      </w:r>
      <w:r w:rsidR="008107E5">
        <w:rPr>
          <w:rFonts w:ascii="Times New Roman" w:hAnsi="Times New Roman" w:cs="Times New Roman"/>
          <w:sz w:val="22"/>
          <w:szCs w:val="22"/>
          <w:lang w:val="en-GB"/>
        </w:rPr>
        <w:t xml:space="preserve"> district o</w:t>
      </w:r>
      <w:r w:rsidR="003F1E78" w:rsidRPr="004A29F9">
        <w:rPr>
          <w:rFonts w:ascii="Times New Roman" w:hAnsi="Times New Roman" w:cs="Times New Roman"/>
          <w:sz w:val="22"/>
          <w:szCs w:val="22"/>
          <w:lang w:val="en-GB"/>
        </w:rPr>
        <w:t>ffices</w:t>
      </w:r>
      <w:r w:rsidR="00416993" w:rsidRPr="004A29F9">
        <w:rPr>
          <w:rFonts w:ascii="Times New Roman" w:hAnsi="Times New Roman" w:cs="Times New Roman"/>
          <w:sz w:val="22"/>
          <w:szCs w:val="22"/>
          <w:lang w:val="en-GB"/>
        </w:rPr>
        <w:t xml:space="preserve">. </w:t>
      </w:r>
      <w:r w:rsidR="00B9302F" w:rsidRPr="004A29F9">
        <w:rPr>
          <w:rFonts w:ascii="Times New Roman" w:hAnsi="Times New Roman" w:cs="Times New Roman"/>
          <w:sz w:val="22"/>
          <w:szCs w:val="22"/>
          <w:lang w:val="en-GB"/>
        </w:rPr>
        <w:t>Cases are now transported</w:t>
      </w:r>
      <w:r w:rsidR="008107E5">
        <w:rPr>
          <w:rFonts w:ascii="Times New Roman" w:hAnsi="Times New Roman" w:cs="Times New Roman"/>
          <w:sz w:val="22"/>
          <w:szCs w:val="22"/>
          <w:lang w:val="en-GB"/>
        </w:rPr>
        <w:t xml:space="preserve"> by the MIZAN2 e</w:t>
      </w:r>
      <w:r w:rsidR="00A6122B" w:rsidRPr="004A29F9">
        <w:rPr>
          <w:rFonts w:ascii="Times New Roman" w:hAnsi="Times New Roman" w:cs="Times New Roman"/>
          <w:sz w:val="22"/>
          <w:szCs w:val="22"/>
          <w:lang w:val="en-GB"/>
        </w:rPr>
        <w:t>lectronic case management system</w:t>
      </w:r>
      <w:r w:rsidR="008107E5">
        <w:rPr>
          <w:rFonts w:ascii="Times New Roman" w:hAnsi="Times New Roman" w:cs="Times New Roman"/>
          <w:sz w:val="22"/>
          <w:szCs w:val="22"/>
          <w:lang w:val="en-GB"/>
        </w:rPr>
        <w:t>. UNDP experts at the PPMU</w:t>
      </w:r>
      <w:r w:rsidR="00B9302F" w:rsidRPr="004A29F9">
        <w:rPr>
          <w:rFonts w:ascii="Times New Roman" w:hAnsi="Times New Roman" w:cs="Times New Roman"/>
          <w:sz w:val="22"/>
          <w:szCs w:val="22"/>
          <w:lang w:val="en-GB"/>
        </w:rPr>
        <w:t xml:space="preserve"> were </w:t>
      </w:r>
      <w:r w:rsidR="005836DC">
        <w:rPr>
          <w:rFonts w:ascii="Times New Roman" w:hAnsi="Times New Roman" w:cs="Times New Roman"/>
          <w:sz w:val="22"/>
          <w:szCs w:val="22"/>
          <w:lang w:val="en-GB"/>
        </w:rPr>
        <w:t xml:space="preserve">closely </w:t>
      </w:r>
      <w:r w:rsidR="00B9302F" w:rsidRPr="004A29F9">
        <w:rPr>
          <w:rFonts w:ascii="Times New Roman" w:hAnsi="Times New Roman" w:cs="Times New Roman"/>
          <w:sz w:val="22"/>
          <w:szCs w:val="22"/>
          <w:lang w:val="en-GB"/>
        </w:rPr>
        <w:t xml:space="preserve">involved in the </w:t>
      </w:r>
      <w:r w:rsidR="00992ADD">
        <w:rPr>
          <w:rFonts w:ascii="Times New Roman" w:hAnsi="Times New Roman" w:cs="Times New Roman"/>
          <w:sz w:val="22"/>
          <w:szCs w:val="22"/>
          <w:lang w:val="en-GB"/>
        </w:rPr>
        <w:t>process of building and customising MIZAN2</w:t>
      </w:r>
      <w:r w:rsidR="00B9302F" w:rsidRPr="004A29F9">
        <w:rPr>
          <w:rFonts w:ascii="Times New Roman" w:hAnsi="Times New Roman" w:cs="Times New Roman"/>
          <w:sz w:val="22"/>
          <w:szCs w:val="22"/>
          <w:lang w:val="en-GB"/>
        </w:rPr>
        <w:t xml:space="preserve"> to meet the needs of the AGO</w:t>
      </w:r>
      <w:r w:rsidR="00992ADD">
        <w:rPr>
          <w:rFonts w:ascii="Times New Roman" w:hAnsi="Times New Roman" w:cs="Times New Roman"/>
          <w:sz w:val="22"/>
          <w:szCs w:val="22"/>
          <w:lang w:val="en-GB"/>
        </w:rPr>
        <w:t xml:space="preserve">. </w:t>
      </w:r>
      <w:r w:rsidR="00071576" w:rsidRPr="004A29F9">
        <w:rPr>
          <w:rFonts w:ascii="Times New Roman" w:hAnsi="Times New Roman" w:cs="Times New Roman"/>
          <w:sz w:val="22"/>
          <w:szCs w:val="22"/>
          <w:lang w:val="en-GB"/>
        </w:rPr>
        <w:t>The PPMU mainly directed the project towards</w:t>
      </w:r>
      <w:r w:rsidR="00992ADD">
        <w:rPr>
          <w:rFonts w:ascii="Times New Roman" w:hAnsi="Times New Roman" w:cs="Times New Roman"/>
          <w:sz w:val="22"/>
          <w:szCs w:val="22"/>
          <w:lang w:val="en-GB"/>
        </w:rPr>
        <w:t xml:space="preserve"> investing in experts to customise MIZAN2 to fit the specific </w:t>
      </w:r>
      <w:r w:rsidR="00071576" w:rsidRPr="004A29F9">
        <w:rPr>
          <w:rFonts w:ascii="Times New Roman" w:hAnsi="Times New Roman" w:cs="Times New Roman"/>
          <w:sz w:val="22"/>
          <w:szCs w:val="22"/>
          <w:lang w:val="en-GB"/>
        </w:rPr>
        <w:t>needs</w:t>
      </w:r>
      <w:r w:rsidR="00992ADD">
        <w:rPr>
          <w:rFonts w:ascii="Times New Roman" w:hAnsi="Times New Roman" w:cs="Times New Roman"/>
          <w:sz w:val="22"/>
          <w:szCs w:val="22"/>
          <w:lang w:val="en-GB"/>
        </w:rPr>
        <w:t xml:space="preserve"> of the public prosecutor</w:t>
      </w:r>
      <w:r w:rsidR="00071576" w:rsidRPr="004A29F9">
        <w:rPr>
          <w:rFonts w:ascii="Times New Roman" w:hAnsi="Times New Roman" w:cs="Times New Roman"/>
          <w:sz w:val="22"/>
          <w:szCs w:val="22"/>
          <w:lang w:val="en-GB"/>
        </w:rPr>
        <w:t>. The process was a result of building on JSAP project experience in Jenin (2009) and on several workshops and peer mentoring sessions between the IT experts and the data entry clerks in the district offices</w:t>
      </w:r>
      <w:r w:rsidR="00B9302F" w:rsidRPr="004A29F9">
        <w:rPr>
          <w:rFonts w:ascii="Times New Roman" w:hAnsi="Times New Roman" w:cs="Times New Roman"/>
          <w:sz w:val="22"/>
          <w:szCs w:val="22"/>
          <w:lang w:val="en-GB"/>
        </w:rPr>
        <w:t>.</w:t>
      </w:r>
      <w:r w:rsidR="006953DA" w:rsidRPr="004A29F9">
        <w:rPr>
          <w:rStyle w:val="FootnoteReference"/>
          <w:rFonts w:ascii="Times New Roman" w:hAnsi="Times New Roman" w:cs="Times New Roman"/>
          <w:sz w:val="22"/>
          <w:szCs w:val="22"/>
          <w:lang w:val="en-GB"/>
        </w:rPr>
        <w:footnoteReference w:id="97"/>
      </w:r>
    </w:p>
    <w:p w:rsidR="00AF4A02" w:rsidRDefault="00AF4A02" w:rsidP="00FB6759">
      <w:pPr>
        <w:spacing w:after="0" w:line="240" w:lineRule="auto"/>
        <w:jc w:val="both"/>
        <w:rPr>
          <w:rFonts w:ascii="Times New Roman" w:hAnsi="Times New Roman" w:cs="Times New Roman"/>
          <w:sz w:val="22"/>
          <w:szCs w:val="22"/>
          <w:lang w:val="en-GB"/>
        </w:rPr>
      </w:pPr>
    </w:p>
    <w:p w:rsidR="00874D71" w:rsidRDefault="00390005"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AGO had no </w:t>
      </w:r>
      <w:r w:rsidR="00992ADD">
        <w:rPr>
          <w:rFonts w:ascii="Times New Roman" w:hAnsi="Times New Roman" w:cs="Times New Roman"/>
          <w:sz w:val="22"/>
          <w:szCs w:val="22"/>
          <w:lang w:val="en-GB"/>
        </w:rPr>
        <w:t>systematis</w:t>
      </w:r>
      <w:r w:rsidR="003F1E78" w:rsidRPr="004A29F9">
        <w:rPr>
          <w:rFonts w:ascii="Times New Roman" w:hAnsi="Times New Roman" w:cs="Times New Roman"/>
          <w:sz w:val="22"/>
          <w:szCs w:val="22"/>
          <w:lang w:val="en-GB"/>
        </w:rPr>
        <w:t xml:space="preserve">ed </w:t>
      </w:r>
      <w:r w:rsidRPr="004A29F9">
        <w:rPr>
          <w:rFonts w:ascii="Times New Roman" w:hAnsi="Times New Roman" w:cs="Times New Roman"/>
          <w:sz w:val="22"/>
          <w:szCs w:val="22"/>
          <w:lang w:val="en-GB"/>
        </w:rPr>
        <w:t xml:space="preserve">donor coordination function prior to UNDP’s engagement with the institution, nor was AGO effectively reporting to the PNA on an annual basis. </w:t>
      </w:r>
      <w:r w:rsidR="006230F9" w:rsidRPr="004A29F9">
        <w:rPr>
          <w:rFonts w:ascii="Times New Roman" w:hAnsi="Times New Roman" w:cs="Times New Roman"/>
          <w:sz w:val="22"/>
          <w:szCs w:val="22"/>
          <w:lang w:val="en-GB"/>
        </w:rPr>
        <w:t xml:space="preserve">UNDP experts </w:t>
      </w:r>
      <w:r w:rsidRPr="004A29F9">
        <w:rPr>
          <w:rFonts w:ascii="Times New Roman" w:hAnsi="Times New Roman" w:cs="Times New Roman"/>
          <w:sz w:val="22"/>
          <w:szCs w:val="22"/>
          <w:lang w:val="en-GB"/>
        </w:rPr>
        <w:t>have assisted the AGO to improve</w:t>
      </w:r>
      <w:r w:rsidR="006230F9" w:rsidRPr="004A29F9">
        <w:rPr>
          <w:rFonts w:ascii="Times New Roman" w:hAnsi="Times New Roman" w:cs="Times New Roman"/>
          <w:sz w:val="22"/>
          <w:szCs w:val="22"/>
          <w:lang w:val="en-GB"/>
        </w:rPr>
        <w:t xml:space="preserve"> the quality and detail of the AGO</w:t>
      </w:r>
      <w:r w:rsidR="00992ADD">
        <w:rPr>
          <w:rFonts w:ascii="Times New Roman" w:hAnsi="Times New Roman" w:cs="Times New Roman"/>
          <w:sz w:val="22"/>
          <w:szCs w:val="22"/>
          <w:lang w:val="en-GB"/>
        </w:rPr>
        <w:t>’</w:t>
      </w:r>
      <w:r w:rsidR="006230F9" w:rsidRPr="004A29F9">
        <w:rPr>
          <w:rFonts w:ascii="Times New Roman" w:hAnsi="Times New Roman" w:cs="Times New Roman"/>
          <w:sz w:val="22"/>
          <w:szCs w:val="22"/>
          <w:lang w:val="en-GB"/>
        </w:rPr>
        <w:t>s</w:t>
      </w:r>
      <w:r w:rsidR="00992ADD">
        <w:rPr>
          <w:rFonts w:ascii="Times New Roman" w:hAnsi="Times New Roman" w:cs="Times New Roman"/>
          <w:sz w:val="22"/>
          <w:szCs w:val="22"/>
          <w:lang w:val="en-GB"/>
        </w:rPr>
        <w:t xml:space="preserve"> annual work plans and reports. </w:t>
      </w:r>
      <w:r w:rsidR="00D23448" w:rsidRPr="004A29F9">
        <w:rPr>
          <w:rFonts w:ascii="Times New Roman" w:hAnsi="Times New Roman" w:cs="Times New Roman"/>
          <w:sz w:val="22"/>
          <w:szCs w:val="22"/>
          <w:lang w:val="en-GB"/>
        </w:rPr>
        <w:t xml:space="preserve">The UNDP </w:t>
      </w:r>
      <w:r w:rsidR="000E5326" w:rsidRPr="004A29F9">
        <w:rPr>
          <w:rFonts w:ascii="Times New Roman" w:hAnsi="Times New Roman" w:cs="Times New Roman"/>
          <w:sz w:val="22"/>
          <w:szCs w:val="22"/>
          <w:lang w:val="en-GB"/>
        </w:rPr>
        <w:t>experts at</w:t>
      </w:r>
      <w:r w:rsidR="00992ADD">
        <w:rPr>
          <w:rFonts w:ascii="Times New Roman" w:hAnsi="Times New Roman" w:cs="Times New Roman"/>
          <w:sz w:val="22"/>
          <w:szCs w:val="22"/>
          <w:lang w:val="en-GB"/>
        </w:rPr>
        <w:t xml:space="preserve"> the</w:t>
      </w:r>
      <w:r w:rsidR="000E5326" w:rsidRPr="004A29F9">
        <w:rPr>
          <w:rFonts w:ascii="Times New Roman" w:hAnsi="Times New Roman" w:cs="Times New Roman"/>
          <w:sz w:val="22"/>
          <w:szCs w:val="22"/>
          <w:lang w:val="en-GB"/>
        </w:rPr>
        <w:t xml:space="preserve"> AGO </w:t>
      </w:r>
      <w:r w:rsidRPr="004A29F9">
        <w:rPr>
          <w:rFonts w:ascii="Times New Roman" w:hAnsi="Times New Roman" w:cs="Times New Roman"/>
          <w:sz w:val="22"/>
          <w:szCs w:val="22"/>
          <w:lang w:val="en-GB"/>
        </w:rPr>
        <w:t>began</w:t>
      </w:r>
      <w:r w:rsidR="000E5326" w:rsidRPr="004A29F9">
        <w:rPr>
          <w:rFonts w:ascii="Times New Roman" w:hAnsi="Times New Roman" w:cs="Times New Roman"/>
          <w:sz w:val="22"/>
          <w:szCs w:val="22"/>
          <w:lang w:val="en-GB"/>
        </w:rPr>
        <w:t xml:space="preserve"> reporting to </w:t>
      </w:r>
      <w:r w:rsidRPr="004A29F9">
        <w:rPr>
          <w:rFonts w:ascii="Times New Roman" w:hAnsi="Times New Roman" w:cs="Times New Roman"/>
          <w:sz w:val="22"/>
          <w:szCs w:val="22"/>
          <w:lang w:val="en-GB"/>
        </w:rPr>
        <w:t xml:space="preserve">the indicators of </w:t>
      </w:r>
      <w:r w:rsidR="00992ADD">
        <w:rPr>
          <w:rFonts w:ascii="Times New Roman" w:hAnsi="Times New Roman" w:cs="Times New Roman"/>
          <w:sz w:val="22"/>
          <w:szCs w:val="22"/>
          <w:lang w:val="en-GB"/>
        </w:rPr>
        <w:t>Outcome</w:t>
      </w:r>
      <w:r w:rsidR="000E5326" w:rsidRPr="004A29F9">
        <w:rPr>
          <w:rFonts w:ascii="Times New Roman" w:hAnsi="Times New Roman" w:cs="Times New Roman"/>
          <w:sz w:val="22"/>
          <w:szCs w:val="22"/>
          <w:lang w:val="en-GB"/>
        </w:rPr>
        <w:t xml:space="preserve"> 1</w:t>
      </w:r>
      <w:r w:rsidR="00992ADD">
        <w:rPr>
          <w:rFonts w:ascii="Times New Roman" w:hAnsi="Times New Roman" w:cs="Times New Roman"/>
          <w:sz w:val="22"/>
          <w:szCs w:val="22"/>
          <w:lang w:val="en-GB"/>
        </w:rPr>
        <w:t xml:space="preserve"> of its MO</w:t>
      </w:r>
      <w:r w:rsidRPr="004A29F9">
        <w:rPr>
          <w:rFonts w:ascii="Times New Roman" w:hAnsi="Times New Roman" w:cs="Times New Roman"/>
          <w:sz w:val="22"/>
          <w:szCs w:val="22"/>
          <w:lang w:val="en-GB"/>
        </w:rPr>
        <w:t xml:space="preserve">U with UNDP </w:t>
      </w:r>
      <w:r w:rsidR="00992ADD">
        <w:rPr>
          <w:rFonts w:ascii="Times New Roman" w:hAnsi="Times New Roman" w:cs="Times New Roman"/>
          <w:sz w:val="22"/>
          <w:szCs w:val="22"/>
          <w:lang w:val="en-GB"/>
        </w:rPr>
        <w:t xml:space="preserve">in 2011. The </w:t>
      </w:r>
      <w:r w:rsidR="000E5326" w:rsidRPr="004A29F9">
        <w:rPr>
          <w:rFonts w:ascii="Times New Roman" w:hAnsi="Times New Roman" w:cs="Times New Roman"/>
          <w:sz w:val="22"/>
          <w:szCs w:val="22"/>
          <w:lang w:val="en-GB"/>
        </w:rPr>
        <w:t xml:space="preserve">AGO had reported before, but not to clear outcomes. </w:t>
      </w:r>
      <w:r w:rsidR="00992ADD">
        <w:rPr>
          <w:rFonts w:ascii="Times New Roman" w:hAnsi="Times New Roman" w:cs="Times New Roman"/>
          <w:sz w:val="22"/>
          <w:szCs w:val="22"/>
          <w:lang w:val="en-GB"/>
        </w:rPr>
        <w:t>In order to facilitate evidence-</w:t>
      </w:r>
      <w:r w:rsidRPr="004A29F9">
        <w:rPr>
          <w:rFonts w:ascii="Times New Roman" w:hAnsi="Times New Roman" w:cs="Times New Roman"/>
          <w:sz w:val="22"/>
          <w:szCs w:val="22"/>
          <w:lang w:val="en-GB"/>
        </w:rPr>
        <w:t xml:space="preserve">based reporting, </w:t>
      </w:r>
      <w:r w:rsidR="000E5326" w:rsidRPr="004A29F9">
        <w:rPr>
          <w:rFonts w:ascii="Times New Roman" w:hAnsi="Times New Roman" w:cs="Times New Roman"/>
          <w:sz w:val="22"/>
          <w:szCs w:val="22"/>
          <w:lang w:val="en-GB"/>
        </w:rPr>
        <w:t>UNDP experts formulated four detailed sub-outputs</w:t>
      </w:r>
      <w:r w:rsidR="00FD3C19">
        <w:rPr>
          <w:rFonts w:ascii="Times New Roman" w:hAnsi="Times New Roman" w:cs="Times New Roman"/>
          <w:sz w:val="22"/>
          <w:szCs w:val="22"/>
          <w:lang w:val="en-GB"/>
        </w:rPr>
        <w:t xml:space="preserve"> </w:t>
      </w:r>
      <w:r w:rsidR="00D23448" w:rsidRPr="004A29F9">
        <w:rPr>
          <w:rFonts w:ascii="Times New Roman" w:hAnsi="Times New Roman" w:cs="Times New Roman"/>
          <w:sz w:val="22"/>
          <w:szCs w:val="22"/>
          <w:lang w:val="en-GB"/>
        </w:rPr>
        <w:t xml:space="preserve">that </w:t>
      </w:r>
      <w:r w:rsidRPr="004A29F9">
        <w:rPr>
          <w:rFonts w:ascii="Times New Roman" w:hAnsi="Times New Roman" w:cs="Times New Roman"/>
          <w:sz w:val="22"/>
          <w:szCs w:val="22"/>
          <w:lang w:val="en-GB"/>
        </w:rPr>
        <w:t>contain much</w:t>
      </w:r>
      <w:r w:rsidR="000E5326" w:rsidRPr="004A29F9">
        <w:rPr>
          <w:rFonts w:ascii="Times New Roman" w:hAnsi="Times New Roman" w:cs="Times New Roman"/>
          <w:sz w:val="22"/>
          <w:szCs w:val="22"/>
          <w:lang w:val="en-GB"/>
        </w:rPr>
        <w:t xml:space="preserve"> more detailed indicators</w:t>
      </w:r>
      <w:r w:rsidR="00992ADD">
        <w:rPr>
          <w:rFonts w:ascii="Times New Roman" w:hAnsi="Times New Roman" w:cs="Times New Roman"/>
          <w:sz w:val="22"/>
          <w:szCs w:val="22"/>
          <w:lang w:val="en-GB"/>
        </w:rPr>
        <w:t xml:space="preserve"> than the </w:t>
      </w:r>
      <w:r w:rsidRPr="004A29F9">
        <w:rPr>
          <w:rFonts w:ascii="Times New Roman" w:hAnsi="Times New Roman" w:cs="Times New Roman"/>
          <w:sz w:val="22"/>
          <w:szCs w:val="22"/>
          <w:lang w:val="en-GB"/>
        </w:rPr>
        <w:t>Results Resources Framework</w:t>
      </w:r>
      <w:r w:rsidR="00992ADD">
        <w:rPr>
          <w:rFonts w:ascii="Times New Roman" w:hAnsi="Times New Roman" w:cs="Times New Roman"/>
          <w:sz w:val="22"/>
          <w:szCs w:val="22"/>
          <w:lang w:val="en-GB"/>
        </w:rPr>
        <w:t xml:space="preserve"> contained in the Programme Document. UNDP staff</w:t>
      </w:r>
      <w:r w:rsidRPr="004A29F9">
        <w:rPr>
          <w:rFonts w:ascii="Times New Roman" w:hAnsi="Times New Roman" w:cs="Times New Roman"/>
          <w:sz w:val="22"/>
          <w:szCs w:val="22"/>
          <w:lang w:val="en-GB"/>
        </w:rPr>
        <w:t xml:space="preserve"> interviewed stated that in </w:t>
      </w:r>
      <w:r w:rsidRPr="004A29F9">
        <w:rPr>
          <w:rFonts w:ascii="Times New Roman" w:hAnsi="Times New Roman" w:cs="Times New Roman"/>
          <w:sz w:val="22"/>
          <w:szCs w:val="22"/>
          <w:lang w:val="en-GB"/>
        </w:rPr>
        <w:lastRenderedPageBreak/>
        <w:t>their op</w:t>
      </w:r>
      <w:r w:rsidR="00025E75" w:rsidRPr="004A29F9">
        <w:rPr>
          <w:rFonts w:ascii="Times New Roman" w:hAnsi="Times New Roman" w:cs="Times New Roman"/>
          <w:sz w:val="22"/>
          <w:szCs w:val="22"/>
          <w:lang w:val="en-GB"/>
        </w:rPr>
        <w:t>inion</w:t>
      </w:r>
      <w:r w:rsidR="00992ADD">
        <w:rPr>
          <w:rFonts w:ascii="Times New Roman" w:hAnsi="Times New Roman" w:cs="Times New Roman"/>
          <w:sz w:val="22"/>
          <w:szCs w:val="22"/>
          <w:lang w:val="en-GB"/>
        </w:rPr>
        <w:t xml:space="preserve">, </w:t>
      </w:r>
      <w:r w:rsidR="005B5217" w:rsidRPr="004A29F9">
        <w:rPr>
          <w:rFonts w:ascii="Times New Roman" w:hAnsi="Times New Roman" w:cs="Times New Roman"/>
          <w:sz w:val="22"/>
          <w:szCs w:val="22"/>
          <w:lang w:val="en-GB"/>
        </w:rPr>
        <w:t xml:space="preserve">one of the main challenges for UNDP going forward is to tighten and quantify </w:t>
      </w:r>
      <w:r w:rsidRPr="004A29F9">
        <w:rPr>
          <w:rFonts w:ascii="Times New Roman" w:hAnsi="Times New Roman" w:cs="Times New Roman"/>
          <w:sz w:val="22"/>
          <w:szCs w:val="22"/>
          <w:lang w:val="en-GB"/>
        </w:rPr>
        <w:t>the</w:t>
      </w:r>
      <w:r w:rsidR="00992ADD">
        <w:rPr>
          <w:rFonts w:ascii="Times New Roman" w:hAnsi="Times New Roman" w:cs="Times New Roman"/>
          <w:sz w:val="22"/>
          <w:szCs w:val="22"/>
          <w:lang w:val="en-GB"/>
        </w:rPr>
        <w:t xml:space="preserve"> indicators of the P</w:t>
      </w:r>
      <w:r w:rsidR="005B5217" w:rsidRPr="004A29F9">
        <w:rPr>
          <w:rFonts w:ascii="Times New Roman" w:hAnsi="Times New Roman" w:cs="Times New Roman"/>
          <w:sz w:val="22"/>
          <w:szCs w:val="22"/>
          <w:lang w:val="en-GB"/>
        </w:rPr>
        <w:t>rogramme</w:t>
      </w:r>
      <w:r w:rsidR="00FD3C19">
        <w:rPr>
          <w:rFonts w:ascii="Times New Roman" w:hAnsi="Times New Roman" w:cs="Times New Roman"/>
          <w:sz w:val="22"/>
          <w:szCs w:val="22"/>
          <w:lang w:val="en-GB"/>
        </w:rPr>
        <w:t xml:space="preserve"> </w:t>
      </w:r>
      <w:r w:rsidR="00992ADD">
        <w:rPr>
          <w:rFonts w:ascii="Times New Roman" w:hAnsi="Times New Roman" w:cs="Times New Roman"/>
          <w:sz w:val="22"/>
          <w:szCs w:val="22"/>
          <w:lang w:val="en-GB"/>
        </w:rPr>
        <w:t>D</w:t>
      </w:r>
      <w:r w:rsidR="000E5326" w:rsidRPr="004A29F9">
        <w:rPr>
          <w:rFonts w:ascii="Times New Roman" w:hAnsi="Times New Roman" w:cs="Times New Roman"/>
          <w:sz w:val="22"/>
          <w:szCs w:val="22"/>
          <w:lang w:val="en-GB"/>
        </w:rPr>
        <w:t xml:space="preserve">ocument with </w:t>
      </w:r>
      <w:r w:rsidRPr="004A29F9">
        <w:rPr>
          <w:rFonts w:ascii="Times New Roman" w:hAnsi="Times New Roman" w:cs="Times New Roman"/>
          <w:sz w:val="22"/>
          <w:szCs w:val="22"/>
          <w:lang w:val="en-GB"/>
        </w:rPr>
        <w:t xml:space="preserve">much more </w:t>
      </w:r>
      <w:r w:rsidR="000E5326" w:rsidRPr="004A29F9">
        <w:rPr>
          <w:rFonts w:ascii="Times New Roman" w:hAnsi="Times New Roman" w:cs="Times New Roman"/>
          <w:sz w:val="22"/>
          <w:szCs w:val="22"/>
          <w:lang w:val="en-GB"/>
        </w:rPr>
        <w:t>specific targets</w:t>
      </w:r>
      <w:r w:rsidRPr="004A29F9">
        <w:rPr>
          <w:rFonts w:ascii="Times New Roman" w:hAnsi="Times New Roman" w:cs="Times New Roman"/>
          <w:sz w:val="22"/>
          <w:szCs w:val="22"/>
          <w:lang w:val="en-GB"/>
        </w:rPr>
        <w:t>.</w:t>
      </w:r>
    </w:p>
    <w:p w:rsidR="006230F9" w:rsidRPr="004A29F9" w:rsidRDefault="006230F9" w:rsidP="00FB6759">
      <w:pPr>
        <w:spacing w:after="0" w:line="240" w:lineRule="auto"/>
        <w:jc w:val="both"/>
        <w:rPr>
          <w:rFonts w:ascii="Times New Roman" w:hAnsi="Times New Roman" w:cs="Times New Roman"/>
          <w:sz w:val="22"/>
          <w:szCs w:val="22"/>
          <w:lang w:val="en-GB"/>
        </w:rPr>
      </w:pPr>
    </w:p>
    <w:p w:rsidR="000E5326" w:rsidRPr="004A29F9" w:rsidRDefault="005275EF"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 HJC confirmed that the AGO capacity had improved within the past two years, with more support obtaine</w:t>
      </w:r>
      <w:r w:rsidR="00992ADD">
        <w:rPr>
          <w:rFonts w:ascii="Times New Roman" w:hAnsi="Times New Roman" w:cs="Times New Roman"/>
          <w:sz w:val="22"/>
          <w:szCs w:val="22"/>
          <w:lang w:val="en-GB"/>
        </w:rPr>
        <w:t>d from donors and better office</w:t>
      </w:r>
      <w:r w:rsidRPr="004A29F9">
        <w:rPr>
          <w:rFonts w:ascii="Times New Roman" w:hAnsi="Times New Roman" w:cs="Times New Roman"/>
          <w:sz w:val="22"/>
          <w:szCs w:val="22"/>
          <w:lang w:val="en-GB"/>
        </w:rPr>
        <w:t xml:space="preserve"> equipment, training</w:t>
      </w:r>
      <w:r w:rsidR="00200DB2" w:rsidRPr="004A29F9">
        <w:rPr>
          <w:rFonts w:ascii="Times New Roman" w:hAnsi="Times New Roman" w:cs="Times New Roman"/>
          <w:sz w:val="22"/>
          <w:szCs w:val="22"/>
          <w:lang w:val="en-GB"/>
        </w:rPr>
        <w:t xml:space="preserve"> and</w:t>
      </w:r>
      <w:r w:rsidR="00ED55F4" w:rsidRPr="004A29F9">
        <w:rPr>
          <w:rFonts w:ascii="Times New Roman" w:hAnsi="Times New Roman" w:cs="Times New Roman"/>
          <w:sz w:val="22"/>
          <w:szCs w:val="22"/>
          <w:lang w:val="en-GB"/>
        </w:rPr>
        <w:t xml:space="preserve"> M&amp;E</w:t>
      </w:r>
      <w:r w:rsidR="00200DB2" w:rsidRPr="004A29F9">
        <w:rPr>
          <w:rFonts w:ascii="Times New Roman" w:hAnsi="Times New Roman" w:cs="Times New Roman"/>
          <w:sz w:val="22"/>
          <w:szCs w:val="22"/>
          <w:lang w:val="en-GB"/>
        </w:rPr>
        <w:t>,</w:t>
      </w:r>
      <w:r w:rsidRPr="004A29F9">
        <w:rPr>
          <w:rFonts w:ascii="Times New Roman" w:hAnsi="Times New Roman" w:cs="Times New Roman"/>
          <w:sz w:val="22"/>
          <w:szCs w:val="22"/>
          <w:lang w:val="en-GB"/>
        </w:rPr>
        <w:t xml:space="preserve"> etc. Likewi</w:t>
      </w:r>
      <w:r w:rsidR="00992ADD">
        <w:rPr>
          <w:rFonts w:ascii="Times New Roman" w:hAnsi="Times New Roman" w:cs="Times New Roman"/>
          <w:sz w:val="22"/>
          <w:szCs w:val="22"/>
          <w:lang w:val="en-GB"/>
        </w:rPr>
        <w:t xml:space="preserve">se, its </w:t>
      </w:r>
      <w:r w:rsidRPr="004A29F9">
        <w:rPr>
          <w:rFonts w:ascii="Times New Roman" w:hAnsi="Times New Roman" w:cs="Times New Roman"/>
          <w:sz w:val="22"/>
          <w:szCs w:val="22"/>
          <w:lang w:val="en-GB"/>
        </w:rPr>
        <w:t xml:space="preserve">performance in courts is markedly better than before with improved case follow-up and management. </w:t>
      </w:r>
      <w:r w:rsidR="00ED55F4" w:rsidRPr="004A29F9">
        <w:rPr>
          <w:rFonts w:ascii="Times New Roman" w:hAnsi="Times New Roman" w:cs="Times New Roman"/>
          <w:sz w:val="22"/>
          <w:szCs w:val="22"/>
          <w:lang w:val="en-GB"/>
        </w:rPr>
        <w:t xml:space="preserve">According to </w:t>
      </w:r>
      <w:r w:rsidR="00992ADD">
        <w:rPr>
          <w:rFonts w:ascii="Times New Roman" w:hAnsi="Times New Roman" w:cs="Times New Roman"/>
          <w:sz w:val="22"/>
          <w:szCs w:val="22"/>
          <w:lang w:val="en-GB"/>
        </w:rPr>
        <w:t>UNDP staff interviewed for the e</w:t>
      </w:r>
      <w:r w:rsidR="00ED55F4" w:rsidRPr="004A29F9">
        <w:rPr>
          <w:rFonts w:ascii="Times New Roman" w:hAnsi="Times New Roman" w:cs="Times New Roman"/>
          <w:sz w:val="22"/>
          <w:szCs w:val="22"/>
          <w:lang w:val="en-GB"/>
        </w:rPr>
        <w:t>valuation, the PPMU became an “engine room” at the AGO enabling it to better channel donor resources and supporting three major projects at AGO with a new website, online collaborative workspace and engaging with CSOs</w:t>
      </w:r>
      <w:r w:rsidR="00992ADD">
        <w:rPr>
          <w:rFonts w:ascii="Times New Roman" w:hAnsi="Times New Roman" w:cs="Times New Roman"/>
          <w:sz w:val="22"/>
          <w:szCs w:val="22"/>
          <w:lang w:val="en-GB"/>
        </w:rPr>
        <w:t xml:space="preserve"> on gender and other issues. </w:t>
      </w:r>
      <w:r w:rsidR="00ED55F4" w:rsidRPr="004A29F9">
        <w:rPr>
          <w:rFonts w:ascii="Times New Roman" w:hAnsi="Times New Roman" w:cs="Times New Roman"/>
          <w:sz w:val="22"/>
          <w:szCs w:val="22"/>
          <w:lang w:val="en-GB"/>
        </w:rPr>
        <w:t>The P</w:t>
      </w:r>
      <w:r w:rsidR="00992ADD">
        <w:rPr>
          <w:rFonts w:ascii="Times New Roman" w:hAnsi="Times New Roman" w:cs="Times New Roman"/>
          <w:sz w:val="22"/>
          <w:szCs w:val="22"/>
          <w:lang w:val="en-GB"/>
        </w:rPr>
        <w:t xml:space="preserve">PMU also supported the decentralisation of </w:t>
      </w:r>
      <w:r w:rsidR="00ED55F4" w:rsidRPr="004A29F9">
        <w:rPr>
          <w:rFonts w:ascii="Times New Roman" w:hAnsi="Times New Roman" w:cs="Times New Roman"/>
          <w:sz w:val="22"/>
          <w:szCs w:val="22"/>
          <w:lang w:val="en-GB"/>
        </w:rPr>
        <w:t>planning process</w:t>
      </w:r>
      <w:r w:rsidR="00992ADD">
        <w:rPr>
          <w:rFonts w:ascii="Times New Roman" w:hAnsi="Times New Roman" w:cs="Times New Roman"/>
          <w:sz w:val="22"/>
          <w:szCs w:val="22"/>
          <w:lang w:val="en-GB"/>
        </w:rPr>
        <w:t xml:space="preserve">es </w:t>
      </w:r>
      <w:r w:rsidR="00ED55F4" w:rsidRPr="004A29F9">
        <w:rPr>
          <w:rFonts w:ascii="Times New Roman" w:hAnsi="Times New Roman" w:cs="Times New Roman"/>
          <w:sz w:val="22"/>
          <w:szCs w:val="22"/>
          <w:lang w:val="en-GB"/>
        </w:rPr>
        <w:t xml:space="preserve">and </w:t>
      </w:r>
      <w:r w:rsidR="00992ADD">
        <w:rPr>
          <w:rFonts w:ascii="Times New Roman" w:hAnsi="Times New Roman" w:cs="Times New Roman"/>
          <w:sz w:val="22"/>
          <w:szCs w:val="22"/>
          <w:lang w:val="en-GB"/>
        </w:rPr>
        <w:t xml:space="preserve">the </w:t>
      </w:r>
      <w:r w:rsidR="00ED55F4" w:rsidRPr="004A29F9">
        <w:rPr>
          <w:rFonts w:ascii="Times New Roman" w:hAnsi="Times New Roman" w:cs="Times New Roman"/>
          <w:sz w:val="22"/>
          <w:szCs w:val="22"/>
          <w:lang w:val="en-GB"/>
        </w:rPr>
        <w:t>AGO</w:t>
      </w:r>
      <w:r w:rsidR="00992ADD">
        <w:rPr>
          <w:rFonts w:ascii="Times New Roman" w:hAnsi="Times New Roman" w:cs="Times New Roman"/>
          <w:sz w:val="22"/>
          <w:szCs w:val="22"/>
          <w:lang w:val="en-GB"/>
        </w:rPr>
        <w:t>’</w:t>
      </w:r>
      <w:r w:rsidR="00ED55F4" w:rsidRPr="004A29F9">
        <w:rPr>
          <w:rFonts w:ascii="Times New Roman" w:hAnsi="Times New Roman" w:cs="Times New Roman"/>
          <w:sz w:val="22"/>
          <w:szCs w:val="22"/>
          <w:lang w:val="en-GB"/>
        </w:rPr>
        <w:t>s engagement with oth</w:t>
      </w:r>
      <w:r w:rsidR="00992ADD">
        <w:rPr>
          <w:rFonts w:ascii="Times New Roman" w:hAnsi="Times New Roman" w:cs="Times New Roman"/>
          <w:sz w:val="22"/>
          <w:szCs w:val="22"/>
          <w:lang w:val="en-GB"/>
        </w:rPr>
        <w:t>er justice sector institutions.</w:t>
      </w:r>
    </w:p>
    <w:p w:rsidR="00874D71" w:rsidRDefault="00874D71" w:rsidP="00FB6759">
      <w:pPr>
        <w:spacing w:after="0" w:line="240" w:lineRule="auto"/>
        <w:jc w:val="both"/>
        <w:rPr>
          <w:rFonts w:ascii="Times New Roman" w:hAnsi="Times New Roman" w:cs="Times New Roman"/>
          <w:sz w:val="22"/>
          <w:szCs w:val="22"/>
          <w:lang w:val="en-GB"/>
        </w:rPr>
      </w:pPr>
    </w:p>
    <w:p w:rsidR="00ED55F4" w:rsidRPr="004A29F9" w:rsidRDefault="00DC7C5A"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Going forward, UNDP should continue to engage with the </w:t>
      </w:r>
      <w:r w:rsidR="004112BA" w:rsidRPr="004A29F9">
        <w:rPr>
          <w:rFonts w:ascii="Times New Roman" w:hAnsi="Times New Roman" w:cs="Times New Roman"/>
          <w:sz w:val="22"/>
          <w:szCs w:val="22"/>
          <w:lang w:val="en-GB"/>
        </w:rPr>
        <w:t>AGO to build its</w:t>
      </w:r>
      <w:r w:rsidRPr="004A29F9">
        <w:rPr>
          <w:rFonts w:ascii="Times New Roman" w:hAnsi="Times New Roman" w:cs="Times New Roman"/>
          <w:sz w:val="22"/>
          <w:szCs w:val="22"/>
          <w:lang w:val="en-GB"/>
        </w:rPr>
        <w:t xml:space="preserve"> capacities, while at the same time bringing </w:t>
      </w:r>
      <w:r w:rsidR="00B22782" w:rsidRPr="004A29F9">
        <w:rPr>
          <w:rFonts w:ascii="Times New Roman" w:hAnsi="Times New Roman" w:cs="Times New Roman"/>
          <w:sz w:val="22"/>
          <w:szCs w:val="22"/>
          <w:lang w:val="en-GB"/>
        </w:rPr>
        <w:t xml:space="preserve">a heightened level of </w:t>
      </w:r>
      <w:r w:rsidRPr="004A29F9">
        <w:rPr>
          <w:rFonts w:ascii="Times New Roman" w:hAnsi="Times New Roman" w:cs="Times New Roman"/>
          <w:sz w:val="22"/>
          <w:szCs w:val="22"/>
          <w:lang w:val="en-GB"/>
        </w:rPr>
        <w:t>leadership to the debate in terms of raising sensitive issues such as separation of powers</w:t>
      </w:r>
      <w:r w:rsidR="006E3D8A" w:rsidRPr="004A29F9">
        <w:rPr>
          <w:rFonts w:ascii="Times New Roman" w:hAnsi="Times New Roman" w:cs="Times New Roman"/>
          <w:sz w:val="22"/>
          <w:szCs w:val="22"/>
          <w:lang w:val="en-GB"/>
        </w:rPr>
        <w:t xml:space="preserve"> in a constructive dialogue</w:t>
      </w:r>
      <w:r w:rsidR="00992ADD">
        <w:rPr>
          <w:rFonts w:ascii="Times New Roman" w:hAnsi="Times New Roman" w:cs="Times New Roman"/>
          <w:sz w:val="22"/>
          <w:szCs w:val="22"/>
          <w:lang w:val="en-GB"/>
        </w:rPr>
        <w:t xml:space="preserve">. Arguably, </w:t>
      </w:r>
      <w:r w:rsidR="00ED55F4" w:rsidRPr="004A29F9">
        <w:rPr>
          <w:rFonts w:ascii="Times New Roman" w:hAnsi="Times New Roman" w:cs="Times New Roman"/>
          <w:sz w:val="22"/>
          <w:szCs w:val="22"/>
          <w:lang w:val="en-GB"/>
        </w:rPr>
        <w:t xml:space="preserve">the AGO is the most </w:t>
      </w:r>
      <w:r w:rsidR="00992ADD">
        <w:rPr>
          <w:rFonts w:ascii="Times New Roman" w:hAnsi="Times New Roman" w:cs="Times New Roman"/>
          <w:sz w:val="22"/>
          <w:szCs w:val="22"/>
          <w:lang w:val="en-GB"/>
        </w:rPr>
        <w:t>under-</w:t>
      </w:r>
      <w:r w:rsidR="00ED55F4" w:rsidRPr="004A29F9">
        <w:rPr>
          <w:rFonts w:ascii="Times New Roman" w:hAnsi="Times New Roman" w:cs="Times New Roman"/>
          <w:sz w:val="22"/>
          <w:szCs w:val="22"/>
          <w:lang w:val="en-GB"/>
        </w:rPr>
        <w:t>resourced justice institution (despite t</w:t>
      </w:r>
      <w:r w:rsidR="00992ADD">
        <w:rPr>
          <w:rFonts w:ascii="Times New Roman" w:hAnsi="Times New Roman" w:cs="Times New Roman"/>
          <w:sz w:val="22"/>
          <w:szCs w:val="22"/>
          <w:lang w:val="en-GB"/>
        </w:rPr>
        <w:t>he claims of the HJC). The work</w:t>
      </w:r>
      <w:r w:rsidR="00ED55F4" w:rsidRPr="004A29F9">
        <w:rPr>
          <w:rFonts w:ascii="Times New Roman" w:hAnsi="Times New Roman" w:cs="Times New Roman"/>
          <w:sz w:val="22"/>
          <w:szCs w:val="22"/>
          <w:lang w:val="en-GB"/>
        </w:rPr>
        <w:t>lo</w:t>
      </w:r>
      <w:r w:rsidR="00992ADD">
        <w:rPr>
          <w:rFonts w:ascii="Times New Roman" w:hAnsi="Times New Roman" w:cs="Times New Roman"/>
          <w:sz w:val="22"/>
          <w:szCs w:val="22"/>
          <w:lang w:val="en-GB"/>
        </w:rPr>
        <w:t>ad of prosecutors is very heavy and</w:t>
      </w:r>
      <w:r w:rsidR="00ED55F4" w:rsidRPr="004A29F9">
        <w:rPr>
          <w:rFonts w:ascii="Times New Roman" w:hAnsi="Times New Roman" w:cs="Times New Roman"/>
          <w:sz w:val="22"/>
          <w:szCs w:val="22"/>
          <w:lang w:val="en-GB"/>
        </w:rPr>
        <w:t xml:space="preserve"> there is a dire lack of permanent staff to build inst</w:t>
      </w:r>
      <w:r w:rsidR="00992ADD">
        <w:rPr>
          <w:rFonts w:ascii="Times New Roman" w:hAnsi="Times New Roman" w:cs="Times New Roman"/>
          <w:sz w:val="22"/>
          <w:szCs w:val="22"/>
          <w:lang w:val="en-GB"/>
        </w:rPr>
        <w:t>itutional capacity of admin/</w:t>
      </w:r>
      <w:r w:rsidR="00ED55F4" w:rsidRPr="004A29F9">
        <w:rPr>
          <w:rFonts w:ascii="Times New Roman" w:hAnsi="Times New Roman" w:cs="Times New Roman"/>
          <w:sz w:val="22"/>
          <w:szCs w:val="22"/>
          <w:lang w:val="en-GB"/>
        </w:rPr>
        <w:t>finance staf</w:t>
      </w:r>
      <w:r w:rsidR="00992ADD">
        <w:rPr>
          <w:rFonts w:ascii="Times New Roman" w:hAnsi="Times New Roman" w:cs="Times New Roman"/>
          <w:sz w:val="22"/>
          <w:szCs w:val="22"/>
          <w:lang w:val="en-GB"/>
        </w:rPr>
        <w:t>f and middle managers</w:t>
      </w:r>
      <w:r w:rsidR="00ED55F4" w:rsidRPr="004A29F9">
        <w:rPr>
          <w:rFonts w:ascii="Times New Roman" w:hAnsi="Times New Roman" w:cs="Times New Roman"/>
          <w:sz w:val="22"/>
          <w:szCs w:val="22"/>
          <w:lang w:val="en-GB"/>
        </w:rPr>
        <w:t>.</w:t>
      </w:r>
    </w:p>
    <w:p w:rsidR="00874D71" w:rsidRDefault="00874D71" w:rsidP="00FB6759">
      <w:pPr>
        <w:spacing w:after="0" w:line="240" w:lineRule="auto"/>
        <w:jc w:val="both"/>
        <w:rPr>
          <w:rFonts w:ascii="Times New Roman" w:hAnsi="Times New Roman" w:cs="Times New Roman"/>
          <w:sz w:val="22"/>
          <w:szCs w:val="22"/>
          <w:lang w:val="en-GB"/>
        </w:rPr>
      </w:pPr>
    </w:p>
    <w:p w:rsidR="00ED55F4" w:rsidRPr="004A29F9" w:rsidRDefault="00ED55F4"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As of 2012, the continuing challenges for the AGO office inclu</w:t>
      </w:r>
      <w:r w:rsidR="00992ADD">
        <w:rPr>
          <w:rFonts w:ascii="Times New Roman" w:hAnsi="Times New Roman" w:cs="Times New Roman"/>
          <w:sz w:val="22"/>
          <w:szCs w:val="22"/>
          <w:lang w:val="en-GB"/>
        </w:rPr>
        <w:t>de properly staffing its organis</w:t>
      </w:r>
      <w:r w:rsidRPr="004A29F9">
        <w:rPr>
          <w:rFonts w:ascii="Times New Roman" w:hAnsi="Times New Roman" w:cs="Times New Roman"/>
          <w:sz w:val="22"/>
          <w:szCs w:val="22"/>
          <w:lang w:val="en-GB"/>
        </w:rPr>
        <w:t>ational structure with qual</w:t>
      </w:r>
      <w:r w:rsidR="00992ADD">
        <w:rPr>
          <w:rFonts w:ascii="Times New Roman" w:hAnsi="Times New Roman" w:cs="Times New Roman"/>
          <w:sz w:val="22"/>
          <w:szCs w:val="22"/>
          <w:lang w:val="en-GB"/>
        </w:rPr>
        <w:t xml:space="preserve">ified personnel and resources. </w:t>
      </w:r>
      <w:r w:rsidRPr="004A29F9">
        <w:rPr>
          <w:rFonts w:ascii="Times New Roman" w:hAnsi="Times New Roman" w:cs="Times New Roman"/>
          <w:sz w:val="22"/>
          <w:szCs w:val="22"/>
          <w:lang w:val="en-GB"/>
        </w:rPr>
        <w:t xml:space="preserve">Another challenge is frequent changes of </w:t>
      </w:r>
      <w:r w:rsidR="00587507">
        <w:rPr>
          <w:rFonts w:ascii="Times New Roman" w:hAnsi="Times New Roman" w:cs="Times New Roman"/>
          <w:sz w:val="22"/>
          <w:szCs w:val="22"/>
          <w:lang w:val="en-GB"/>
        </w:rPr>
        <w:t>top-level management: t</w:t>
      </w:r>
      <w:r w:rsidRPr="004A29F9">
        <w:rPr>
          <w:rFonts w:ascii="Times New Roman" w:hAnsi="Times New Roman" w:cs="Times New Roman"/>
          <w:sz w:val="22"/>
          <w:szCs w:val="22"/>
          <w:lang w:val="en-GB"/>
        </w:rPr>
        <w:t>his recently resulted in a three-month vacancy where the former Attorne</w:t>
      </w:r>
      <w:r w:rsidR="00587507">
        <w:rPr>
          <w:rFonts w:ascii="Times New Roman" w:hAnsi="Times New Roman" w:cs="Times New Roman"/>
          <w:sz w:val="22"/>
          <w:szCs w:val="22"/>
          <w:lang w:val="en-GB"/>
        </w:rPr>
        <w:t xml:space="preserve">y-General had resigned and his deputy became acting </w:t>
      </w:r>
      <w:r w:rsidRPr="004A29F9">
        <w:rPr>
          <w:rFonts w:ascii="Times New Roman" w:hAnsi="Times New Roman" w:cs="Times New Roman"/>
          <w:sz w:val="22"/>
          <w:szCs w:val="22"/>
          <w:lang w:val="en-GB"/>
        </w:rPr>
        <w:t xml:space="preserve">and was </w:t>
      </w:r>
      <w:r w:rsidR="00992ADD">
        <w:rPr>
          <w:rFonts w:ascii="Times New Roman" w:hAnsi="Times New Roman" w:cs="Times New Roman"/>
          <w:sz w:val="22"/>
          <w:szCs w:val="22"/>
          <w:lang w:val="en-GB"/>
        </w:rPr>
        <w:t>then permanently appointed. Additionally, the e</w:t>
      </w:r>
      <w:r w:rsidRPr="004A29F9">
        <w:rPr>
          <w:rFonts w:ascii="Times New Roman" w:hAnsi="Times New Roman" w:cs="Times New Roman"/>
          <w:sz w:val="22"/>
          <w:szCs w:val="22"/>
          <w:lang w:val="en-GB"/>
        </w:rPr>
        <w:t>valuation observes that the issue of the AGO’s place within the j</w:t>
      </w:r>
      <w:r w:rsidR="00992ADD">
        <w:rPr>
          <w:rFonts w:ascii="Times New Roman" w:hAnsi="Times New Roman" w:cs="Times New Roman"/>
          <w:sz w:val="22"/>
          <w:szCs w:val="22"/>
          <w:lang w:val="en-GB"/>
        </w:rPr>
        <w:t>ustice system (i.e. under the MO</w:t>
      </w:r>
      <w:r w:rsidRPr="004A29F9">
        <w:rPr>
          <w:rFonts w:ascii="Times New Roman" w:hAnsi="Times New Roman" w:cs="Times New Roman"/>
          <w:sz w:val="22"/>
          <w:szCs w:val="22"/>
          <w:lang w:val="en-GB"/>
        </w:rPr>
        <w:t xml:space="preserve">J or the HJC) should be firmly resolved </w:t>
      </w:r>
      <w:r w:rsidR="00992ADD">
        <w:rPr>
          <w:rFonts w:ascii="Times New Roman" w:hAnsi="Times New Roman" w:cs="Times New Roman"/>
          <w:sz w:val="22"/>
          <w:szCs w:val="22"/>
          <w:lang w:val="en-GB"/>
        </w:rPr>
        <w:t xml:space="preserve">and debated once and for all. </w:t>
      </w:r>
      <w:r w:rsidRPr="004A29F9">
        <w:rPr>
          <w:rFonts w:ascii="Times New Roman" w:hAnsi="Times New Roman" w:cs="Times New Roman"/>
          <w:sz w:val="22"/>
          <w:szCs w:val="22"/>
          <w:lang w:val="en-GB"/>
        </w:rPr>
        <w:t xml:space="preserve">Solving the </w:t>
      </w:r>
      <w:r w:rsidR="002D1EE7" w:rsidRPr="004A29F9">
        <w:rPr>
          <w:rFonts w:ascii="Times New Roman" w:hAnsi="Times New Roman" w:cs="Times New Roman"/>
          <w:sz w:val="22"/>
          <w:szCs w:val="22"/>
          <w:lang w:val="en-GB"/>
        </w:rPr>
        <w:t>on-going</w:t>
      </w:r>
      <w:r w:rsidRPr="004A29F9">
        <w:rPr>
          <w:rFonts w:ascii="Times New Roman" w:hAnsi="Times New Roman" w:cs="Times New Roman"/>
          <w:sz w:val="22"/>
          <w:szCs w:val="22"/>
          <w:lang w:val="en-GB"/>
        </w:rPr>
        <w:t xml:space="preserve"> debate about the position of the public prosecution will allow for greater focus of resource and efforts on the development of the institution and its identity</w:t>
      </w:r>
      <w:r w:rsidR="00992ADD">
        <w:rPr>
          <w:rFonts w:ascii="Times New Roman" w:hAnsi="Times New Roman" w:cs="Times New Roman"/>
          <w:sz w:val="22"/>
          <w:szCs w:val="22"/>
          <w:lang w:val="en-GB"/>
        </w:rPr>
        <w:t>.</w:t>
      </w:r>
    </w:p>
    <w:p w:rsidR="00BF5AC9" w:rsidRPr="004A29F9" w:rsidRDefault="00BF5AC9" w:rsidP="00FB6759">
      <w:pPr>
        <w:spacing w:after="0" w:line="240" w:lineRule="auto"/>
        <w:rPr>
          <w:rFonts w:ascii="Times New Roman" w:hAnsi="Times New Roman" w:cs="Times New Roman"/>
          <w:sz w:val="22"/>
          <w:szCs w:val="22"/>
          <w:lang w:val="en-GB"/>
        </w:rPr>
      </w:pPr>
    </w:p>
    <w:p w:rsidR="00F457B0" w:rsidRPr="00874D71" w:rsidRDefault="00E53FC6" w:rsidP="00FB6759">
      <w:pPr>
        <w:spacing w:after="0" w:line="240" w:lineRule="auto"/>
        <w:jc w:val="both"/>
        <w:rPr>
          <w:rFonts w:ascii="Times New Roman" w:hAnsi="Times New Roman" w:cs="Times New Roman"/>
          <w:i/>
          <w:sz w:val="22"/>
          <w:szCs w:val="22"/>
          <w:lang w:val="en-GB"/>
        </w:rPr>
      </w:pPr>
      <w:r w:rsidRPr="00874D71">
        <w:rPr>
          <w:rFonts w:ascii="Times New Roman" w:hAnsi="Times New Roman" w:cs="Times New Roman"/>
          <w:i/>
          <w:sz w:val="22"/>
          <w:szCs w:val="22"/>
          <w:lang w:val="en-GB"/>
        </w:rPr>
        <w:t>Output 1.8 Capacit</w:t>
      </w:r>
      <w:r w:rsidR="00A2725E">
        <w:rPr>
          <w:rFonts w:ascii="Times New Roman" w:hAnsi="Times New Roman" w:cs="Times New Roman"/>
          <w:i/>
          <w:sz w:val="22"/>
          <w:szCs w:val="22"/>
          <w:lang w:val="en-GB"/>
        </w:rPr>
        <w:t>y of the High Judicial Council s</w:t>
      </w:r>
      <w:r w:rsidRPr="00874D71">
        <w:rPr>
          <w:rFonts w:ascii="Times New Roman" w:hAnsi="Times New Roman" w:cs="Times New Roman"/>
          <w:i/>
          <w:sz w:val="22"/>
          <w:szCs w:val="22"/>
          <w:lang w:val="en-GB"/>
        </w:rPr>
        <w:t>trengthened</w:t>
      </w:r>
    </w:p>
    <w:p w:rsidR="00874D71" w:rsidRDefault="00874D71" w:rsidP="00FB6759">
      <w:pPr>
        <w:spacing w:after="0" w:line="240" w:lineRule="auto"/>
        <w:jc w:val="both"/>
        <w:rPr>
          <w:rFonts w:ascii="Times New Roman" w:hAnsi="Times New Roman" w:cs="Times New Roman"/>
          <w:i/>
          <w:sz w:val="22"/>
          <w:szCs w:val="22"/>
          <w:lang w:val="en-GB"/>
        </w:rPr>
      </w:pPr>
    </w:p>
    <w:p w:rsidR="000F1850" w:rsidRPr="004A29F9" w:rsidRDefault="000F1850" w:rsidP="00FB6759">
      <w:pPr>
        <w:spacing w:after="0" w:line="240" w:lineRule="auto"/>
        <w:jc w:val="both"/>
        <w:rPr>
          <w:rFonts w:ascii="Times New Roman" w:hAnsi="Times New Roman" w:cs="Times New Roman"/>
          <w:i/>
          <w:sz w:val="22"/>
          <w:szCs w:val="22"/>
          <w:lang w:val="en-GB"/>
        </w:rPr>
      </w:pPr>
      <w:r w:rsidRPr="004A29F9">
        <w:rPr>
          <w:rFonts w:ascii="Times New Roman" w:hAnsi="Times New Roman" w:cs="Times New Roman"/>
          <w:i/>
          <w:sz w:val="22"/>
          <w:szCs w:val="22"/>
          <w:lang w:val="en-GB"/>
        </w:rPr>
        <w:t xml:space="preserve">Overall impact of UNDP assistance, </w:t>
      </w:r>
      <w:r w:rsidR="000F70BB" w:rsidRPr="004A29F9">
        <w:rPr>
          <w:rFonts w:ascii="Times New Roman" w:hAnsi="Times New Roman" w:cs="Times New Roman"/>
          <w:i/>
          <w:sz w:val="22"/>
          <w:szCs w:val="22"/>
          <w:lang w:val="en-GB"/>
        </w:rPr>
        <w:t>support to HJC strategic planning and training of staff</w:t>
      </w:r>
    </w:p>
    <w:p w:rsidR="00874D71" w:rsidRDefault="00874D71" w:rsidP="00FB6759">
      <w:pPr>
        <w:spacing w:after="0" w:line="240" w:lineRule="auto"/>
        <w:jc w:val="both"/>
        <w:rPr>
          <w:rFonts w:ascii="Times New Roman" w:hAnsi="Times New Roman" w:cs="Times New Roman"/>
          <w:sz w:val="22"/>
          <w:szCs w:val="22"/>
          <w:lang w:val="en-GB"/>
        </w:rPr>
      </w:pPr>
    </w:p>
    <w:p w:rsidR="00017193" w:rsidRPr="004A29F9" w:rsidRDefault="00017193"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UNDP’s overall i</w:t>
      </w:r>
      <w:r w:rsidR="00A2725E">
        <w:rPr>
          <w:rFonts w:ascii="Times New Roman" w:hAnsi="Times New Roman" w:cs="Times New Roman"/>
          <w:sz w:val="22"/>
          <w:szCs w:val="22"/>
          <w:lang w:val="en-GB"/>
        </w:rPr>
        <w:t xml:space="preserve">mpact upon the courts </w:t>
      </w:r>
      <w:r w:rsidRPr="004A29F9">
        <w:rPr>
          <w:rFonts w:ascii="Times New Roman" w:hAnsi="Times New Roman" w:cs="Times New Roman"/>
          <w:sz w:val="22"/>
          <w:szCs w:val="22"/>
          <w:lang w:val="en-GB"/>
        </w:rPr>
        <w:t xml:space="preserve">has been strong. UNDP </w:t>
      </w:r>
      <w:r w:rsidR="00A2725E">
        <w:rPr>
          <w:rFonts w:ascii="Times New Roman" w:hAnsi="Times New Roman" w:cs="Times New Roman"/>
          <w:sz w:val="22"/>
          <w:szCs w:val="22"/>
          <w:lang w:val="en-GB"/>
        </w:rPr>
        <w:t>support to the PPMU</w:t>
      </w:r>
      <w:r w:rsidR="00FD3C19">
        <w:rPr>
          <w:rFonts w:ascii="Times New Roman" w:hAnsi="Times New Roman" w:cs="Times New Roman"/>
          <w:sz w:val="22"/>
          <w:szCs w:val="22"/>
          <w:lang w:val="en-GB"/>
        </w:rPr>
        <w:t xml:space="preserve"> </w:t>
      </w:r>
      <w:r w:rsidR="00A2725E">
        <w:rPr>
          <w:rFonts w:ascii="Times New Roman" w:hAnsi="Times New Roman" w:cs="Times New Roman"/>
          <w:sz w:val="22"/>
          <w:szCs w:val="22"/>
          <w:lang w:val="en-GB"/>
        </w:rPr>
        <w:t xml:space="preserve">at the HJC </w:t>
      </w:r>
      <w:r w:rsidRPr="004A29F9">
        <w:rPr>
          <w:rFonts w:ascii="Times New Roman" w:hAnsi="Times New Roman" w:cs="Times New Roman"/>
          <w:sz w:val="22"/>
          <w:szCs w:val="22"/>
          <w:lang w:val="en-GB"/>
        </w:rPr>
        <w:t>started in 2008 pr</w:t>
      </w:r>
      <w:r w:rsidR="00A2725E">
        <w:rPr>
          <w:rFonts w:ascii="Times New Roman" w:hAnsi="Times New Roman" w:cs="Times New Roman"/>
          <w:sz w:val="22"/>
          <w:szCs w:val="22"/>
          <w:lang w:val="en-GB"/>
        </w:rPr>
        <w:t xml:space="preserve">ior to the establishment of </w:t>
      </w:r>
      <w:r w:rsidRPr="004A29F9">
        <w:rPr>
          <w:rFonts w:ascii="Times New Roman" w:hAnsi="Times New Roman" w:cs="Times New Roman"/>
          <w:sz w:val="22"/>
          <w:szCs w:val="22"/>
          <w:lang w:val="en-GB"/>
        </w:rPr>
        <w:t>UNDP</w:t>
      </w:r>
      <w:r w:rsidR="00A2725E">
        <w:rPr>
          <w:rFonts w:ascii="Times New Roman" w:hAnsi="Times New Roman" w:cs="Times New Roman"/>
          <w:sz w:val="22"/>
          <w:szCs w:val="22"/>
          <w:lang w:val="en-GB"/>
        </w:rPr>
        <w:t>/PAPP’s Rule of Law &amp;</w:t>
      </w:r>
      <w:r w:rsidRPr="004A29F9">
        <w:rPr>
          <w:rFonts w:ascii="Times New Roman" w:hAnsi="Times New Roman" w:cs="Times New Roman"/>
          <w:sz w:val="22"/>
          <w:szCs w:val="22"/>
          <w:lang w:val="en-GB"/>
        </w:rPr>
        <w:t xml:space="preserve"> Access to Justice Programme. The HJC was the first institution to have such a department in the justice sector and UNDP played a key role in strategic planning and project management. The PPMU remains the key department in the HJC respo</w:t>
      </w:r>
      <w:r w:rsidR="00A2725E">
        <w:rPr>
          <w:rFonts w:ascii="Times New Roman" w:hAnsi="Times New Roman" w:cs="Times New Roman"/>
          <w:sz w:val="22"/>
          <w:szCs w:val="22"/>
          <w:lang w:val="en-GB"/>
        </w:rPr>
        <w:t xml:space="preserve">nsible for </w:t>
      </w:r>
      <w:r w:rsidRPr="004A29F9">
        <w:rPr>
          <w:rFonts w:ascii="Times New Roman" w:hAnsi="Times New Roman" w:cs="Times New Roman"/>
          <w:sz w:val="22"/>
          <w:szCs w:val="22"/>
          <w:lang w:val="en-GB"/>
        </w:rPr>
        <w:t>strategic planning</w:t>
      </w:r>
      <w:r w:rsidR="00A2725E">
        <w:rPr>
          <w:rFonts w:ascii="Times New Roman" w:hAnsi="Times New Roman" w:cs="Times New Roman"/>
          <w:sz w:val="22"/>
          <w:szCs w:val="22"/>
          <w:lang w:val="en-GB"/>
        </w:rPr>
        <w:t>, donor project</w:t>
      </w:r>
      <w:r w:rsidRPr="004A29F9">
        <w:rPr>
          <w:rFonts w:ascii="Times New Roman" w:hAnsi="Times New Roman" w:cs="Times New Roman"/>
          <w:sz w:val="22"/>
          <w:szCs w:val="22"/>
          <w:lang w:val="en-GB"/>
        </w:rPr>
        <w:t xml:space="preserve"> and coordination with other justice institutions. Earlier UNDP provided infrastructure support with equipment</w:t>
      </w:r>
      <w:r w:rsidR="00BF5AC9" w:rsidRPr="004A29F9">
        <w:rPr>
          <w:rFonts w:ascii="Times New Roman" w:hAnsi="Times New Roman" w:cs="Times New Roman"/>
          <w:sz w:val="22"/>
          <w:szCs w:val="22"/>
          <w:lang w:val="en-GB"/>
        </w:rPr>
        <w:t>,</w:t>
      </w:r>
      <w:r w:rsidRPr="004A29F9">
        <w:rPr>
          <w:rFonts w:ascii="Times New Roman" w:hAnsi="Times New Roman" w:cs="Times New Roman"/>
          <w:sz w:val="22"/>
          <w:szCs w:val="22"/>
          <w:lang w:val="en-GB"/>
        </w:rPr>
        <w:t xml:space="preserve"> etc. UNDP’s assistance is now more focused upon capacitating the PPMU staff. </w:t>
      </w:r>
    </w:p>
    <w:p w:rsidR="00874D71" w:rsidRDefault="00874D71" w:rsidP="00FB6759">
      <w:pPr>
        <w:spacing w:after="0" w:line="240" w:lineRule="auto"/>
        <w:jc w:val="both"/>
        <w:rPr>
          <w:rFonts w:ascii="Times New Roman" w:hAnsi="Times New Roman" w:cs="Times New Roman"/>
          <w:sz w:val="22"/>
          <w:szCs w:val="22"/>
          <w:lang w:val="en-GB"/>
        </w:rPr>
      </w:pPr>
    </w:p>
    <w:p w:rsidR="0032068D" w:rsidRPr="004A29F9" w:rsidRDefault="00017193"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The idea of seconding UNDP employees to the PPMU was based on the concept or assumption that the UNDP employees could train HJC staff to take their place. UNDP hasn’t been able to fully achieve this goal due to capacity deficiencies among the HJC staff </w:t>
      </w:r>
      <w:r w:rsidR="00137620" w:rsidRPr="004A29F9">
        <w:rPr>
          <w:rFonts w:ascii="Times New Roman" w:hAnsi="Times New Roman" w:cs="Times New Roman"/>
          <w:sz w:val="22"/>
          <w:szCs w:val="22"/>
          <w:lang w:val="en-GB"/>
        </w:rPr>
        <w:t>that</w:t>
      </w:r>
      <w:r w:rsidRPr="004A29F9">
        <w:rPr>
          <w:rFonts w:ascii="Times New Roman" w:hAnsi="Times New Roman" w:cs="Times New Roman"/>
          <w:sz w:val="22"/>
          <w:szCs w:val="22"/>
          <w:lang w:val="en-GB"/>
        </w:rPr>
        <w:t xml:space="preserve"> continue to need a diverse range of cont</w:t>
      </w:r>
      <w:r w:rsidR="00A2725E">
        <w:rPr>
          <w:rFonts w:ascii="Times New Roman" w:hAnsi="Times New Roman" w:cs="Times New Roman"/>
          <w:sz w:val="22"/>
          <w:szCs w:val="22"/>
          <w:lang w:val="en-GB"/>
        </w:rPr>
        <w:t xml:space="preserve">inuing education and training. </w:t>
      </w:r>
      <w:r w:rsidRPr="004A29F9">
        <w:rPr>
          <w:rFonts w:ascii="Times New Roman" w:hAnsi="Times New Roman" w:cs="Times New Roman"/>
          <w:sz w:val="22"/>
          <w:szCs w:val="22"/>
          <w:lang w:val="en-GB"/>
        </w:rPr>
        <w:t>Nonetheless, UNDP staff within the PPMU have made significant contributions to the HJC’s work i</w:t>
      </w:r>
      <w:r w:rsidR="00A2725E">
        <w:rPr>
          <w:rFonts w:ascii="Times New Roman" w:hAnsi="Times New Roman" w:cs="Times New Roman"/>
          <w:sz w:val="22"/>
          <w:szCs w:val="22"/>
          <w:lang w:val="en-GB"/>
        </w:rPr>
        <w:t xml:space="preserve">n many ways - </w:t>
      </w:r>
      <w:r w:rsidR="008B6D51" w:rsidRPr="004A29F9">
        <w:rPr>
          <w:rFonts w:ascii="Times New Roman" w:hAnsi="Times New Roman" w:cs="Times New Roman"/>
          <w:sz w:val="22"/>
          <w:szCs w:val="22"/>
          <w:lang w:val="en-GB"/>
        </w:rPr>
        <w:t>especially with more permanent staff at the PPMU.</w:t>
      </w:r>
    </w:p>
    <w:p w:rsidR="00874D71" w:rsidRDefault="00874D71" w:rsidP="00FB6759">
      <w:pPr>
        <w:spacing w:after="0" w:line="240" w:lineRule="auto"/>
        <w:jc w:val="both"/>
        <w:rPr>
          <w:rFonts w:ascii="Times New Roman" w:hAnsi="Times New Roman" w:cs="Times New Roman"/>
          <w:sz w:val="22"/>
          <w:szCs w:val="22"/>
          <w:lang w:val="en-GB"/>
        </w:rPr>
      </w:pPr>
    </w:p>
    <w:p w:rsidR="008135C1" w:rsidRPr="004A29F9" w:rsidRDefault="00A2725E"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The </w:t>
      </w:r>
      <w:r w:rsidR="00017193" w:rsidRPr="004A29F9">
        <w:rPr>
          <w:rFonts w:ascii="Times New Roman" w:hAnsi="Times New Roman" w:cs="Times New Roman"/>
          <w:sz w:val="22"/>
          <w:szCs w:val="22"/>
          <w:lang w:val="en-GB"/>
        </w:rPr>
        <w:t>UNDP</w:t>
      </w:r>
      <w:r>
        <w:rPr>
          <w:rFonts w:ascii="Times New Roman" w:hAnsi="Times New Roman" w:cs="Times New Roman"/>
          <w:sz w:val="22"/>
          <w:szCs w:val="22"/>
          <w:lang w:val="en-GB"/>
        </w:rPr>
        <w:t xml:space="preserve"> secondments have</w:t>
      </w:r>
      <w:r w:rsidR="00017193" w:rsidRPr="004A29F9">
        <w:rPr>
          <w:rFonts w:ascii="Times New Roman" w:hAnsi="Times New Roman" w:cs="Times New Roman"/>
          <w:sz w:val="22"/>
          <w:szCs w:val="22"/>
          <w:lang w:val="en-GB"/>
        </w:rPr>
        <w:t xml:space="preserve"> been able to establish good relations with all the departments </w:t>
      </w:r>
      <w:r w:rsidR="0032068D" w:rsidRPr="004A29F9">
        <w:rPr>
          <w:rFonts w:ascii="Times New Roman" w:hAnsi="Times New Roman" w:cs="Times New Roman"/>
          <w:sz w:val="22"/>
          <w:szCs w:val="22"/>
          <w:lang w:val="en-GB"/>
        </w:rPr>
        <w:t xml:space="preserve">in HJC </w:t>
      </w:r>
      <w:r w:rsidR="00017193" w:rsidRPr="004A29F9">
        <w:rPr>
          <w:rFonts w:ascii="Times New Roman" w:hAnsi="Times New Roman" w:cs="Times New Roman"/>
          <w:sz w:val="22"/>
          <w:szCs w:val="22"/>
          <w:lang w:val="en-GB"/>
        </w:rPr>
        <w:t>and good connections with the donors</w:t>
      </w:r>
      <w:r>
        <w:rPr>
          <w:rFonts w:ascii="Times New Roman" w:hAnsi="Times New Roman" w:cs="Times New Roman"/>
          <w:sz w:val="22"/>
          <w:szCs w:val="22"/>
          <w:lang w:val="en-GB"/>
        </w:rPr>
        <w:t xml:space="preserve">. </w:t>
      </w:r>
      <w:r w:rsidR="0032068D" w:rsidRPr="004A29F9">
        <w:rPr>
          <w:rFonts w:ascii="Times New Roman" w:hAnsi="Times New Roman" w:cs="Times New Roman"/>
          <w:sz w:val="22"/>
          <w:szCs w:val="22"/>
          <w:lang w:val="en-GB"/>
        </w:rPr>
        <w:t>UNDP has also facilitated an increased level of communication between t</w:t>
      </w:r>
      <w:r>
        <w:rPr>
          <w:rFonts w:ascii="Times New Roman" w:hAnsi="Times New Roman" w:cs="Times New Roman"/>
          <w:sz w:val="22"/>
          <w:szCs w:val="22"/>
          <w:lang w:val="en-GB"/>
        </w:rPr>
        <w:t xml:space="preserve">he three justice institutions. </w:t>
      </w:r>
      <w:r w:rsidR="0032068D" w:rsidRPr="004A29F9">
        <w:rPr>
          <w:rFonts w:ascii="Times New Roman" w:hAnsi="Times New Roman" w:cs="Times New Roman"/>
          <w:sz w:val="22"/>
          <w:szCs w:val="22"/>
          <w:lang w:val="en-GB"/>
        </w:rPr>
        <w:t xml:space="preserve">Although </w:t>
      </w:r>
      <w:r w:rsidR="00907F83" w:rsidRPr="004A29F9">
        <w:rPr>
          <w:rFonts w:ascii="Times New Roman" w:hAnsi="Times New Roman" w:cs="Times New Roman"/>
          <w:sz w:val="22"/>
          <w:szCs w:val="22"/>
          <w:lang w:val="en-GB"/>
        </w:rPr>
        <w:t>a criticism raised by the H</w:t>
      </w:r>
      <w:r w:rsidR="00BF5AC9" w:rsidRPr="004A29F9">
        <w:rPr>
          <w:rFonts w:ascii="Times New Roman" w:hAnsi="Times New Roman" w:cs="Times New Roman"/>
          <w:sz w:val="22"/>
          <w:szCs w:val="22"/>
          <w:lang w:val="en-GB"/>
        </w:rPr>
        <w:t>JC</w:t>
      </w:r>
      <w:r w:rsidR="00907F83" w:rsidRPr="004A29F9">
        <w:rPr>
          <w:rFonts w:ascii="Times New Roman" w:hAnsi="Times New Roman" w:cs="Times New Roman"/>
          <w:sz w:val="22"/>
          <w:szCs w:val="22"/>
          <w:lang w:val="en-GB"/>
        </w:rPr>
        <w:t xml:space="preserve"> is that </w:t>
      </w:r>
      <w:r w:rsidR="0032068D" w:rsidRPr="004A29F9">
        <w:rPr>
          <w:rFonts w:ascii="Times New Roman" w:hAnsi="Times New Roman" w:cs="Times New Roman"/>
          <w:sz w:val="22"/>
          <w:szCs w:val="22"/>
          <w:lang w:val="en-GB"/>
        </w:rPr>
        <w:t>this</w:t>
      </w:r>
      <w:r w:rsidR="00FD3C19">
        <w:rPr>
          <w:rFonts w:ascii="Times New Roman" w:hAnsi="Times New Roman" w:cs="Times New Roman"/>
          <w:sz w:val="22"/>
          <w:szCs w:val="22"/>
          <w:lang w:val="en-GB"/>
        </w:rPr>
        <w:t xml:space="preserve"> </w:t>
      </w:r>
      <w:r w:rsidR="0086217E" w:rsidRPr="004A29F9">
        <w:rPr>
          <w:rFonts w:ascii="Times New Roman" w:hAnsi="Times New Roman" w:cs="Times New Roman"/>
          <w:sz w:val="22"/>
          <w:szCs w:val="22"/>
          <w:lang w:val="en-GB"/>
        </w:rPr>
        <w:t xml:space="preserve">communication has </w:t>
      </w:r>
      <w:r w:rsidR="0032068D" w:rsidRPr="004A29F9">
        <w:rPr>
          <w:rFonts w:ascii="Times New Roman" w:hAnsi="Times New Roman" w:cs="Times New Roman"/>
          <w:sz w:val="22"/>
          <w:szCs w:val="22"/>
          <w:lang w:val="en-GB"/>
        </w:rPr>
        <w:t xml:space="preserve">mainly </w:t>
      </w:r>
      <w:r w:rsidR="00907F83" w:rsidRPr="004A29F9">
        <w:rPr>
          <w:rFonts w:ascii="Times New Roman" w:hAnsi="Times New Roman" w:cs="Times New Roman"/>
          <w:sz w:val="22"/>
          <w:szCs w:val="22"/>
          <w:lang w:val="en-GB"/>
        </w:rPr>
        <w:t>taken place</w:t>
      </w:r>
      <w:r w:rsidR="0032068D" w:rsidRPr="004A29F9">
        <w:rPr>
          <w:rFonts w:ascii="Times New Roman" w:hAnsi="Times New Roman" w:cs="Times New Roman"/>
          <w:sz w:val="22"/>
          <w:szCs w:val="22"/>
          <w:lang w:val="en-GB"/>
        </w:rPr>
        <w:t xml:space="preserve"> through the PPMUs</w:t>
      </w:r>
      <w:r w:rsidR="008B6D51" w:rsidRPr="004A29F9">
        <w:rPr>
          <w:rFonts w:ascii="Times New Roman" w:hAnsi="Times New Roman" w:cs="Times New Roman"/>
          <w:sz w:val="22"/>
          <w:szCs w:val="22"/>
          <w:lang w:val="en-GB"/>
        </w:rPr>
        <w:t xml:space="preserve"> (i.e. the employees seconded by UNDP to work in the three justice institutions)</w:t>
      </w:r>
      <w:r w:rsidR="00907F83" w:rsidRPr="004A29F9">
        <w:rPr>
          <w:rFonts w:ascii="Times New Roman" w:hAnsi="Times New Roman" w:cs="Times New Roman"/>
          <w:sz w:val="22"/>
          <w:szCs w:val="22"/>
          <w:lang w:val="en-GB"/>
        </w:rPr>
        <w:t xml:space="preserve"> to date and is not y</w:t>
      </w:r>
      <w:r>
        <w:rPr>
          <w:rFonts w:ascii="Times New Roman" w:hAnsi="Times New Roman" w:cs="Times New Roman"/>
          <w:sz w:val="22"/>
          <w:szCs w:val="22"/>
          <w:lang w:val="en-GB"/>
        </w:rPr>
        <w:t>et wholly institutionalis</w:t>
      </w:r>
      <w:r w:rsidR="00907F83" w:rsidRPr="004A29F9">
        <w:rPr>
          <w:rFonts w:ascii="Times New Roman" w:hAnsi="Times New Roman" w:cs="Times New Roman"/>
          <w:sz w:val="22"/>
          <w:szCs w:val="22"/>
          <w:lang w:val="en-GB"/>
        </w:rPr>
        <w:t>ed</w:t>
      </w:r>
      <w:r w:rsidR="0032068D" w:rsidRPr="004A29F9">
        <w:rPr>
          <w:rFonts w:ascii="Times New Roman" w:hAnsi="Times New Roman" w:cs="Times New Roman"/>
          <w:sz w:val="22"/>
          <w:szCs w:val="22"/>
          <w:lang w:val="en-GB"/>
        </w:rPr>
        <w:t xml:space="preserve">. </w:t>
      </w:r>
      <w:r w:rsidR="00907F83" w:rsidRPr="004A29F9">
        <w:rPr>
          <w:rFonts w:ascii="Times New Roman" w:hAnsi="Times New Roman" w:cs="Times New Roman"/>
          <w:sz w:val="22"/>
          <w:szCs w:val="22"/>
          <w:lang w:val="en-GB"/>
        </w:rPr>
        <w:t xml:space="preserve">UNDP </w:t>
      </w:r>
      <w:r w:rsidR="0032068D" w:rsidRPr="004A29F9">
        <w:rPr>
          <w:rFonts w:ascii="Times New Roman" w:hAnsi="Times New Roman" w:cs="Times New Roman"/>
          <w:sz w:val="22"/>
          <w:szCs w:val="22"/>
          <w:lang w:val="en-GB"/>
        </w:rPr>
        <w:t xml:space="preserve">justice sector-wide activities </w:t>
      </w:r>
      <w:r w:rsidR="00907F83" w:rsidRPr="004A29F9">
        <w:rPr>
          <w:rFonts w:ascii="Times New Roman" w:hAnsi="Times New Roman" w:cs="Times New Roman"/>
          <w:sz w:val="22"/>
          <w:szCs w:val="22"/>
          <w:lang w:val="en-GB"/>
        </w:rPr>
        <w:lastRenderedPageBreak/>
        <w:t xml:space="preserve">although viewed as extremely valuable in terms of content, have not yet translated into better relations between </w:t>
      </w:r>
      <w:r w:rsidR="008135C1" w:rsidRPr="004A29F9">
        <w:rPr>
          <w:rFonts w:ascii="Times New Roman" w:hAnsi="Times New Roman" w:cs="Times New Roman"/>
          <w:sz w:val="22"/>
          <w:szCs w:val="22"/>
          <w:lang w:val="en-GB"/>
        </w:rPr>
        <w:t xml:space="preserve">all three </w:t>
      </w:r>
      <w:r w:rsidR="00907F83" w:rsidRPr="004A29F9">
        <w:rPr>
          <w:rFonts w:ascii="Times New Roman" w:hAnsi="Times New Roman" w:cs="Times New Roman"/>
          <w:sz w:val="22"/>
          <w:szCs w:val="22"/>
          <w:lang w:val="en-GB"/>
        </w:rPr>
        <w:t xml:space="preserve">justice institutions </w:t>
      </w:r>
      <w:r w:rsidR="0086217E" w:rsidRPr="004A29F9">
        <w:rPr>
          <w:rFonts w:ascii="Times New Roman" w:hAnsi="Times New Roman" w:cs="Times New Roman"/>
          <w:sz w:val="22"/>
          <w:szCs w:val="22"/>
          <w:lang w:val="en-GB"/>
        </w:rPr>
        <w:t xml:space="preserve">at the </w:t>
      </w:r>
      <w:r w:rsidR="00907F83" w:rsidRPr="004A29F9">
        <w:rPr>
          <w:rFonts w:ascii="Times New Roman" w:hAnsi="Times New Roman" w:cs="Times New Roman"/>
          <w:sz w:val="22"/>
          <w:szCs w:val="22"/>
          <w:lang w:val="en-GB"/>
        </w:rPr>
        <w:t>political level</w:t>
      </w:r>
      <w:r w:rsidR="0032068D" w:rsidRPr="004A29F9">
        <w:rPr>
          <w:rFonts w:ascii="Times New Roman" w:hAnsi="Times New Roman" w:cs="Times New Roman"/>
          <w:sz w:val="22"/>
          <w:szCs w:val="22"/>
          <w:lang w:val="en-GB"/>
        </w:rPr>
        <w:t>.</w:t>
      </w:r>
    </w:p>
    <w:p w:rsidR="00874D71" w:rsidRDefault="00874D71" w:rsidP="00FB6759">
      <w:pPr>
        <w:spacing w:after="0" w:line="240" w:lineRule="auto"/>
        <w:jc w:val="both"/>
        <w:rPr>
          <w:rFonts w:ascii="Times New Roman" w:hAnsi="Times New Roman" w:cs="Times New Roman"/>
          <w:sz w:val="22"/>
          <w:szCs w:val="22"/>
          <w:lang w:val="en-GB"/>
        </w:rPr>
      </w:pPr>
    </w:p>
    <w:p w:rsidR="008135C1" w:rsidRPr="004A29F9" w:rsidRDefault="00907F83"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Nonetheless, the HJC </w:t>
      </w:r>
      <w:r w:rsidR="00025E75" w:rsidRPr="004A29F9">
        <w:rPr>
          <w:rFonts w:ascii="Times New Roman" w:hAnsi="Times New Roman" w:cs="Times New Roman"/>
          <w:sz w:val="22"/>
          <w:szCs w:val="22"/>
          <w:lang w:val="en-GB"/>
        </w:rPr>
        <w:t>c</w:t>
      </w:r>
      <w:r w:rsidRPr="004A29F9">
        <w:rPr>
          <w:rFonts w:ascii="Times New Roman" w:hAnsi="Times New Roman" w:cs="Times New Roman"/>
          <w:sz w:val="22"/>
          <w:szCs w:val="22"/>
          <w:lang w:val="en-GB"/>
        </w:rPr>
        <w:t>i</w:t>
      </w:r>
      <w:r w:rsidR="00713510">
        <w:rPr>
          <w:rFonts w:ascii="Times New Roman" w:hAnsi="Times New Roman" w:cs="Times New Roman"/>
          <w:sz w:val="22"/>
          <w:szCs w:val="22"/>
          <w:lang w:val="en-GB"/>
        </w:rPr>
        <w:t>tes incidences where HJC-MO</w:t>
      </w:r>
      <w:r w:rsidRPr="004A29F9">
        <w:rPr>
          <w:rFonts w:ascii="Times New Roman" w:hAnsi="Times New Roman" w:cs="Times New Roman"/>
          <w:sz w:val="22"/>
          <w:szCs w:val="22"/>
          <w:lang w:val="en-GB"/>
        </w:rPr>
        <w:t>J com</w:t>
      </w:r>
      <w:r w:rsidR="00713510">
        <w:rPr>
          <w:rFonts w:ascii="Times New Roman" w:hAnsi="Times New Roman" w:cs="Times New Roman"/>
          <w:sz w:val="22"/>
          <w:szCs w:val="22"/>
          <w:lang w:val="en-GB"/>
        </w:rPr>
        <w:t>munication has taken place (e.g.</w:t>
      </w:r>
      <w:r w:rsidRPr="004A29F9">
        <w:rPr>
          <w:rFonts w:ascii="Times New Roman" w:hAnsi="Times New Roman" w:cs="Times New Roman"/>
          <w:sz w:val="22"/>
          <w:szCs w:val="22"/>
          <w:lang w:val="en-GB"/>
        </w:rPr>
        <w:t xml:space="preserve"> solving an issue related to release of criminal records to the public) and </w:t>
      </w:r>
      <w:r w:rsidR="00713510">
        <w:rPr>
          <w:rFonts w:ascii="Times New Roman" w:hAnsi="Times New Roman" w:cs="Times New Roman"/>
          <w:sz w:val="22"/>
          <w:szCs w:val="22"/>
          <w:lang w:val="en-GB"/>
        </w:rPr>
        <w:t xml:space="preserve">one of </w:t>
      </w:r>
      <w:r w:rsidRPr="004A29F9">
        <w:rPr>
          <w:rFonts w:ascii="Times New Roman" w:hAnsi="Times New Roman" w:cs="Times New Roman"/>
          <w:sz w:val="22"/>
          <w:szCs w:val="22"/>
          <w:lang w:val="en-GB"/>
        </w:rPr>
        <w:t>the UNDP seconded expert</w:t>
      </w:r>
      <w:r w:rsidR="00713510">
        <w:rPr>
          <w:rFonts w:ascii="Times New Roman" w:hAnsi="Times New Roman" w:cs="Times New Roman"/>
          <w:sz w:val="22"/>
          <w:szCs w:val="22"/>
          <w:lang w:val="en-GB"/>
        </w:rPr>
        <w:t>s</w:t>
      </w:r>
      <w:r w:rsidRPr="004A29F9">
        <w:rPr>
          <w:rFonts w:ascii="Times New Roman" w:hAnsi="Times New Roman" w:cs="Times New Roman"/>
          <w:sz w:val="22"/>
          <w:szCs w:val="22"/>
          <w:lang w:val="en-GB"/>
        </w:rPr>
        <w:t xml:space="preserve"> at </w:t>
      </w:r>
      <w:r w:rsidR="00713510">
        <w:rPr>
          <w:rFonts w:ascii="Times New Roman" w:hAnsi="Times New Roman" w:cs="Times New Roman"/>
          <w:sz w:val="22"/>
          <w:szCs w:val="22"/>
          <w:lang w:val="en-GB"/>
        </w:rPr>
        <w:t xml:space="preserve">the </w:t>
      </w:r>
      <w:r w:rsidRPr="004A29F9">
        <w:rPr>
          <w:rFonts w:ascii="Times New Roman" w:hAnsi="Times New Roman" w:cs="Times New Roman"/>
          <w:sz w:val="22"/>
          <w:szCs w:val="22"/>
          <w:lang w:val="en-GB"/>
        </w:rPr>
        <w:t xml:space="preserve">HJC represents </w:t>
      </w:r>
      <w:r w:rsidR="00713510">
        <w:rPr>
          <w:rFonts w:ascii="Times New Roman" w:hAnsi="Times New Roman" w:cs="Times New Roman"/>
          <w:sz w:val="22"/>
          <w:szCs w:val="22"/>
          <w:lang w:val="en-GB"/>
        </w:rPr>
        <w:t xml:space="preserve">the </w:t>
      </w:r>
      <w:r w:rsidRPr="004A29F9">
        <w:rPr>
          <w:rFonts w:ascii="Times New Roman" w:hAnsi="Times New Roman" w:cs="Times New Roman"/>
          <w:sz w:val="22"/>
          <w:szCs w:val="22"/>
          <w:lang w:val="en-GB"/>
        </w:rPr>
        <w:t xml:space="preserve">HJC on the </w:t>
      </w:r>
      <w:r w:rsidR="00713510">
        <w:rPr>
          <w:rFonts w:ascii="Times New Roman" w:hAnsi="Times New Roman" w:cs="Times New Roman"/>
          <w:sz w:val="22"/>
          <w:szCs w:val="22"/>
          <w:lang w:val="en-GB"/>
        </w:rPr>
        <w:t>MO</w:t>
      </w:r>
      <w:r w:rsidR="00A2725E">
        <w:rPr>
          <w:rFonts w:ascii="Times New Roman" w:hAnsi="Times New Roman" w:cs="Times New Roman"/>
          <w:sz w:val="22"/>
          <w:szCs w:val="22"/>
          <w:lang w:val="en-GB"/>
        </w:rPr>
        <w:t xml:space="preserve">J’s Human Rights Committee. </w:t>
      </w:r>
      <w:r w:rsidRPr="004A29F9">
        <w:rPr>
          <w:rFonts w:ascii="Times New Roman" w:hAnsi="Times New Roman" w:cs="Times New Roman"/>
          <w:sz w:val="22"/>
          <w:szCs w:val="22"/>
          <w:lang w:val="en-GB"/>
        </w:rPr>
        <w:t xml:space="preserve">The frequency of communication fluctuates, based upon </w:t>
      </w:r>
      <w:r w:rsidR="008135C1" w:rsidRPr="004A29F9">
        <w:rPr>
          <w:rFonts w:ascii="Times New Roman" w:hAnsi="Times New Roman" w:cs="Times New Roman"/>
          <w:sz w:val="22"/>
          <w:szCs w:val="22"/>
          <w:lang w:val="en-GB"/>
        </w:rPr>
        <w:t>the particular projec</w:t>
      </w:r>
      <w:r w:rsidR="00713510">
        <w:rPr>
          <w:rFonts w:ascii="Times New Roman" w:hAnsi="Times New Roman" w:cs="Times New Roman"/>
          <w:sz w:val="22"/>
          <w:szCs w:val="22"/>
          <w:lang w:val="en-GB"/>
        </w:rPr>
        <w:t xml:space="preserve">ts that are being implemented. </w:t>
      </w:r>
      <w:r w:rsidR="008135C1" w:rsidRPr="004A29F9">
        <w:rPr>
          <w:rFonts w:ascii="Times New Roman" w:hAnsi="Times New Roman" w:cs="Times New Roman"/>
          <w:sz w:val="22"/>
          <w:szCs w:val="22"/>
          <w:lang w:val="en-GB"/>
        </w:rPr>
        <w:t xml:space="preserve">HJC feels that the mechanisms of communication will </w:t>
      </w:r>
      <w:r w:rsidR="00713510">
        <w:rPr>
          <w:rFonts w:ascii="Times New Roman" w:hAnsi="Times New Roman" w:cs="Times New Roman"/>
          <w:sz w:val="22"/>
          <w:szCs w:val="22"/>
          <w:lang w:val="en-GB"/>
        </w:rPr>
        <w:t>not become truly institutionalis</w:t>
      </w:r>
      <w:r w:rsidR="008135C1" w:rsidRPr="004A29F9">
        <w:rPr>
          <w:rFonts w:ascii="Times New Roman" w:hAnsi="Times New Roman" w:cs="Times New Roman"/>
          <w:sz w:val="22"/>
          <w:szCs w:val="22"/>
          <w:lang w:val="en-GB"/>
        </w:rPr>
        <w:t xml:space="preserve">ed until more of the UNDP supported staff and experts are transitioned to civil service contracts. HJC reports that it has very good relations </w:t>
      </w:r>
      <w:r w:rsidR="005275EF" w:rsidRPr="004A29F9">
        <w:rPr>
          <w:rFonts w:ascii="Times New Roman" w:hAnsi="Times New Roman" w:cs="Times New Roman"/>
          <w:sz w:val="22"/>
          <w:szCs w:val="22"/>
          <w:lang w:val="en-GB"/>
        </w:rPr>
        <w:t>with the AGO</w:t>
      </w:r>
      <w:r w:rsidR="008135C1" w:rsidRPr="004A29F9">
        <w:rPr>
          <w:rFonts w:ascii="Times New Roman" w:hAnsi="Times New Roman" w:cs="Times New Roman"/>
          <w:sz w:val="22"/>
          <w:szCs w:val="22"/>
          <w:lang w:val="en-GB"/>
        </w:rPr>
        <w:t>. Coordination on all levels is continuing</w:t>
      </w:r>
      <w:r w:rsidR="00713510">
        <w:rPr>
          <w:rFonts w:ascii="Times New Roman" w:hAnsi="Times New Roman" w:cs="Times New Roman"/>
          <w:sz w:val="22"/>
          <w:szCs w:val="22"/>
          <w:lang w:val="en-GB"/>
        </w:rPr>
        <w:t>.</w:t>
      </w:r>
    </w:p>
    <w:p w:rsidR="00874D71" w:rsidRDefault="00874D71" w:rsidP="00FB6759">
      <w:pPr>
        <w:spacing w:after="0" w:line="240" w:lineRule="auto"/>
        <w:jc w:val="both"/>
        <w:rPr>
          <w:rFonts w:ascii="Times New Roman" w:hAnsi="Times New Roman" w:cs="Times New Roman"/>
          <w:sz w:val="22"/>
          <w:szCs w:val="22"/>
          <w:lang w:val="en-GB"/>
        </w:rPr>
      </w:pPr>
    </w:p>
    <w:p w:rsidR="0014429F" w:rsidRPr="004A29F9" w:rsidRDefault="008135C1"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 HJC views UNDP’s support to the strategic planning processes for the justice se</w:t>
      </w:r>
      <w:r w:rsidR="00713510">
        <w:rPr>
          <w:rFonts w:ascii="Times New Roman" w:hAnsi="Times New Roman" w:cs="Times New Roman"/>
          <w:sz w:val="22"/>
          <w:szCs w:val="22"/>
          <w:lang w:val="en-GB"/>
        </w:rPr>
        <w:t xml:space="preserve">ctor as particularly valuable. </w:t>
      </w:r>
      <w:r w:rsidRPr="004A29F9">
        <w:rPr>
          <w:rFonts w:ascii="Times New Roman" w:hAnsi="Times New Roman" w:cs="Times New Roman"/>
          <w:sz w:val="22"/>
          <w:szCs w:val="22"/>
          <w:lang w:val="en-GB"/>
        </w:rPr>
        <w:t xml:space="preserve">UNDP has worked closely with the HJC </w:t>
      </w:r>
      <w:r w:rsidR="00137620" w:rsidRPr="004A29F9">
        <w:rPr>
          <w:rFonts w:ascii="Times New Roman" w:hAnsi="Times New Roman" w:cs="Times New Roman"/>
          <w:sz w:val="22"/>
          <w:szCs w:val="22"/>
          <w:lang w:val="en-GB"/>
        </w:rPr>
        <w:t>to develop</w:t>
      </w:r>
      <w:r w:rsidRPr="004A29F9">
        <w:rPr>
          <w:rFonts w:ascii="Times New Roman" w:hAnsi="Times New Roman" w:cs="Times New Roman"/>
          <w:sz w:val="22"/>
          <w:szCs w:val="22"/>
          <w:lang w:val="en-GB"/>
        </w:rPr>
        <w:t xml:space="preserve"> work plans for each </w:t>
      </w:r>
      <w:r w:rsidR="00713510">
        <w:rPr>
          <w:rFonts w:ascii="Times New Roman" w:hAnsi="Times New Roman" w:cs="Times New Roman"/>
          <w:sz w:val="22"/>
          <w:szCs w:val="22"/>
          <w:lang w:val="en-GB"/>
        </w:rPr>
        <w:t xml:space="preserve">unit and </w:t>
      </w:r>
      <w:r w:rsidRPr="004A29F9">
        <w:rPr>
          <w:rFonts w:ascii="Times New Roman" w:hAnsi="Times New Roman" w:cs="Times New Roman"/>
          <w:sz w:val="22"/>
          <w:szCs w:val="22"/>
          <w:lang w:val="en-GB"/>
        </w:rPr>
        <w:t>department and is now working on the evaluation of what w</w:t>
      </w:r>
      <w:r w:rsidR="00713510">
        <w:rPr>
          <w:rFonts w:ascii="Times New Roman" w:hAnsi="Times New Roman" w:cs="Times New Roman"/>
          <w:sz w:val="22"/>
          <w:szCs w:val="22"/>
          <w:lang w:val="en-GB"/>
        </w:rPr>
        <w:t xml:space="preserve">as achieved under the latest </w:t>
      </w:r>
      <w:r w:rsidRPr="004A29F9">
        <w:rPr>
          <w:rFonts w:ascii="Times New Roman" w:hAnsi="Times New Roman" w:cs="Times New Roman"/>
          <w:sz w:val="22"/>
          <w:szCs w:val="22"/>
          <w:lang w:val="en-GB"/>
        </w:rPr>
        <w:t>strategic plan</w:t>
      </w:r>
      <w:r w:rsidR="00713510">
        <w:rPr>
          <w:rFonts w:ascii="Times New Roman" w:hAnsi="Times New Roman" w:cs="Times New Roman"/>
          <w:sz w:val="22"/>
          <w:szCs w:val="22"/>
          <w:lang w:val="en-GB"/>
        </w:rPr>
        <w:t xml:space="preserve"> (2010-2013).</w:t>
      </w:r>
    </w:p>
    <w:p w:rsidR="00874D71" w:rsidRDefault="00874D71" w:rsidP="00FB6759">
      <w:pPr>
        <w:spacing w:after="0" w:line="240" w:lineRule="auto"/>
        <w:jc w:val="both"/>
        <w:rPr>
          <w:rFonts w:ascii="Times New Roman" w:hAnsi="Times New Roman" w:cs="Times New Roman"/>
          <w:sz w:val="22"/>
          <w:szCs w:val="22"/>
          <w:lang w:val="en-GB"/>
        </w:rPr>
      </w:pPr>
    </w:p>
    <w:p w:rsidR="00621E8A" w:rsidRPr="004A29F9" w:rsidRDefault="00F457B0"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UNDP seconded staff also delivered one-to-one training for employees within the PPMU on strategic planning and cooperated also in developing a training program</w:t>
      </w:r>
      <w:r w:rsidR="00713510">
        <w:rPr>
          <w:rFonts w:ascii="Times New Roman" w:hAnsi="Times New Roman" w:cs="Times New Roman"/>
          <w:sz w:val="22"/>
          <w:szCs w:val="22"/>
          <w:lang w:val="en-GB"/>
        </w:rPr>
        <w:t xml:space="preserve">me for </w:t>
      </w:r>
      <w:r w:rsidRPr="004A29F9">
        <w:rPr>
          <w:rFonts w:ascii="Times New Roman" w:hAnsi="Times New Roman" w:cs="Times New Roman"/>
          <w:sz w:val="22"/>
          <w:szCs w:val="22"/>
          <w:lang w:val="en-GB"/>
        </w:rPr>
        <w:t xml:space="preserve">HJC staff on project planning.   While much still needs to be done to build the capacities of the staff, </w:t>
      </w:r>
      <w:r w:rsidR="00713510">
        <w:rPr>
          <w:rFonts w:ascii="Times New Roman" w:hAnsi="Times New Roman" w:cs="Times New Roman"/>
          <w:sz w:val="22"/>
          <w:szCs w:val="22"/>
          <w:lang w:val="en-GB"/>
        </w:rPr>
        <w:t xml:space="preserve">the </w:t>
      </w:r>
      <w:r w:rsidRPr="004A29F9">
        <w:rPr>
          <w:rFonts w:ascii="Times New Roman" w:hAnsi="Times New Roman" w:cs="Times New Roman"/>
          <w:sz w:val="22"/>
          <w:szCs w:val="22"/>
          <w:lang w:val="en-GB"/>
        </w:rPr>
        <w:t>HJC attests to many areas of improvement in the performance of staff attributable to UNDP; such as improved analytical skills; knowing what to search for and what kinds of questions need to be asked. As of 2012, there is noticeable improvement in the staff members’ abilities to draft high quality reports in Arabic (capacities to draft in English are still to be developed).</w:t>
      </w:r>
    </w:p>
    <w:p w:rsidR="00874D71" w:rsidRDefault="00874D71" w:rsidP="00FB6759">
      <w:pPr>
        <w:spacing w:after="0" w:line="240" w:lineRule="auto"/>
        <w:jc w:val="both"/>
        <w:rPr>
          <w:rFonts w:ascii="Times New Roman" w:hAnsi="Times New Roman" w:cs="Times New Roman"/>
          <w:sz w:val="22"/>
          <w:szCs w:val="22"/>
          <w:lang w:val="en-GB"/>
        </w:rPr>
      </w:pPr>
    </w:p>
    <w:p w:rsidR="006865F1" w:rsidRPr="004A29F9" w:rsidRDefault="00713510"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Most judges </w:t>
      </w:r>
      <w:r w:rsidR="00621E8A" w:rsidRPr="004A29F9">
        <w:rPr>
          <w:rFonts w:ascii="Times New Roman" w:hAnsi="Times New Roman" w:cs="Times New Roman"/>
          <w:sz w:val="22"/>
          <w:szCs w:val="22"/>
          <w:lang w:val="en-GB"/>
        </w:rPr>
        <w:t>come from the diploma course at the Palestinian Judicial Institute</w:t>
      </w:r>
      <w:r>
        <w:rPr>
          <w:rFonts w:ascii="Times New Roman" w:hAnsi="Times New Roman" w:cs="Times New Roman"/>
          <w:sz w:val="22"/>
          <w:szCs w:val="22"/>
          <w:lang w:val="en-GB"/>
        </w:rPr>
        <w:t xml:space="preserve"> (PJI)</w:t>
      </w:r>
      <w:r w:rsidR="00621E8A" w:rsidRPr="004A29F9">
        <w:rPr>
          <w:rFonts w:ascii="Times New Roman" w:hAnsi="Times New Roman" w:cs="Times New Roman"/>
          <w:sz w:val="22"/>
          <w:szCs w:val="22"/>
          <w:lang w:val="en-GB"/>
        </w:rPr>
        <w:t xml:space="preserve">, so at </w:t>
      </w:r>
      <w:r w:rsidR="00543D55" w:rsidRPr="004A29F9">
        <w:rPr>
          <w:rFonts w:ascii="Times New Roman" w:hAnsi="Times New Roman" w:cs="Times New Roman"/>
          <w:sz w:val="22"/>
          <w:szCs w:val="22"/>
          <w:lang w:val="en-GB"/>
        </w:rPr>
        <w:t>entry they</w:t>
      </w:r>
      <w:r w:rsidR="00621E8A" w:rsidRPr="004A29F9">
        <w:rPr>
          <w:rFonts w:ascii="Times New Roman" w:hAnsi="Times New Roman" w:cs="Times New Roman"/>
          <w:sz w:val="22"/>
          <w:szCs w:val="22"/>
          <w:lang w:val="en-GB"/>
        </w:rPr>
        <w:t xml:space="preserve"> alr</w:t>
      </w:r>
      <w:r>
        <w:rPr>
          <w:rFonts w:ascii="Times New Roman" w:hAnsi="Times New Roman" w:cs="Times New Roman"/>
          <w:sz w:val="22"/>
          <w:szCs w:val="22"/>
          <w:lang w:val="en-GB"/>
        </w:rPr>
        <w:t xml:space="preserve">eady have three years of training. </w:t>
      </w:r>
      <w:r w:rsidR="00621E8A" w:rsidRPr="004A29F9">
        <w:rPr>
          <w:rFonts w:ascii="Times New Roman" w:hAnsi="Times New Roman" w:cs="Times New Roman"/>
          <w:sz w:val="22"/>
          <w:szCs w:val="22"/>
          <w:lang w:val="en-GB"/>
        </w:rPr>
        <w:t>Such judges stil</w:t>
      </w:r>
      <w:r>
        <w:rPr>
          <w:rFonts w:ascii="Times New Roman" w:hAnsi="Times New Roman" w:cs="Times New Roman"/>
          <w:sz w:val="22"/>
          <w:szCs w:val="22"/>
          <w:lang w:val="en-GB"/>
        </w:rPr>
        <w:t xml:space="preserve">l require continuous training. </w:t>
      </w:r>
      <w:r w:rsidR="00621E8A" w:rsidRPr="004A29F9">
        <w:rPr>
          <w:rFonts w:ascii="Times New Roman" w:hAnsi="Times New Roman" w:cs="Times New Roman"/>
          <w:sz w:val="22"/>
          <w:szCs w:val="22"/>
          <w:lang w:val="en-GB"/>
        </w:rPr>
        <w:t>In addition</w:t>
      </w:r>
      <w:r>
        <w:rPr>
          <w:rFonts w:ascii="Times New Roman" w:hAnsi="Times New Roman" w:cs="Times New Roman"/>
          <w:sz w:val="22"/>
          <w:szCs w:val="22"/>
          <w:lang w:val="en-GB"/>
        </w:rPr>
        <w:t>,</w:t>
      </w:r>
      <w:r w:rsidR="00621E8A" w:rsidRPr="004A29F9">
        <w:rPr>
          <w:rFonts w:ascii="Times New Roman" w:hAnsi="Times New Roman" w:cs="Times New Roman"/>
          <w:sz w:val="22"/>
          <w:szCs w:val="22"/>
          <w:lang w:val="en-GB"/>
        </w:rPr>
        <w:t xml:space="preserve"> members of the judiciary who </w:t>
      </w:r>
      <w:r>
        <w:rPr>
          <w:rFonts w:ascii="Times New Roman" w:hAnsi="Times New Roman" w:cs="Times New Roman"/>
          <w:sz w:val="22"/>
          <w:szCs w:val="22"/>
          <w:lang w:val="en-GB"/>
        </w:rPr>
        <w:t xml:space="preserve">did not benefit from the three-year </w:t>
      </w:r>
      <w:r w:rsidR="00621E8A" w:rsidRPr="004A29F9">
        <w:rPr>
          <w:rFonts w:ascii="Times New Roman" w:hAnsi="Times New Roman" w:cs="Times New Roman"/>
          <w:sz w:val="22"/>
          <w:szCs w:val="22"/>
          <w:lang w:val="en-GB"/>
        </w:rPr>
        <w:t>PJI programme al</w:t>
      </w:r>
      <w:r>
        <w:rPr>
          <w:rFonts w:ascii="Times New Roman" w:hAnsi="Times New Roman" w:cs="Times New Roman"/>
          <w:sz w:val="22"/>
          <w:szCs w:val="22"/>
          <w:lang w:val="en-GB"/>
        </w:rPr>
        <w:t>so require intensive training. In terms of</w:t>
      </w:r>
      <w:r w:rsidR="00621E8A" w:rsidRPr="004A29F9">
        <w:rPr>
          <w:rFonts w:ascii="Times New Roman" w:hAnsi="Times New Roman" w:cs="Times New Roman"/>
          <w:sz w:val="22"/>
          <w:szCs w:val="22"/>
          <w:lang w:val="en-GB"/>
        </w:rPr>
        <w:t xml:space="preserve"> continuous training</w:t>
      </w:r>
      <w:r>
        <w:rPr>
          <w:rFonts w:ascii="Times New Roman" w:hAnsi="Times New Roman" w:cs="Times New Roman"/>
          <w:sz w:val="22"/>
          <w:szCs w:val="22"/>
          <w:lang w:val="en-GB"/>
        </w:rPr>
        <w:t>,</w:t>
      </w:r>
      <w:r w:rsidR="00FD3C19">
        <w:rPr>
          <w:rFonts w:ascii="Times New Roman" w:hAnsi="Times New Roman" w:cs="Times New Roman"/>
          <w:sz w:val="22"/>
          <w:szCs w:val="22"/>
          <w:lang w:val="en-GB"/>
        </w:rPr>
        <w:t xml:space="preserve"> </w:t>
      </w:r>
      <w:r>
        <w:rPr>
          <w:rFonts w:ascii="Times New Roman" w:hAnsi="Times New Roman" w:cs="Times New Roman"/>
          <w:sz w:val="22"/>
          <w:szCs w:val="22"/>
          <w:lang w:val="en-GB"/>
        </w:rPr>
        <w:t xml:space="preserve">the </w:t>
      </w:r>
      <w:r w:rsidR="00621E8A" w:rsidRPr="004A29F9">
        <w:rPr>
          <w:rFonts w:ascii="Times New Roman" w:hAnsi="Times New Roman" w:cs="Times New Roman"/>
          <w:sz w:val="22"/>
          <w:szCs w:val="22"/>
          <w:lang w:val="en-GB"/>
        </w:rPr>
        <w:t xml:space="preserve">HJC has an annual training programme developed by </w:t>
      </w:r>
      <w:r>
        <w:rPr>
          <w:rFonts w:ascii="Times New Roman" w:hAnsi="Times New Roman" w:cs="Times New Roman"/>
          <w:sz w:val="22"/>
          <w:szCs w:val="22"/>
          <w:lang w:val="en-GB"/>
        </w:rPr>
        <w:t xml:space="preserve">a </w:t>
      </w:r>
      <w:r w:rsidR="00621E8A" w:rsidRPr="004A29F9">
        <w:rPr>
          <w:rFonts w:ascii="Times New Roman" w:hAnsi="Times New Roman" w:cs="Times New Roman"/>
          <w:sz w:val="22"/>
          <w:szCs w:val="22"/>
          <w:lang w:val="en-GB"/>
        </w:rPr>
        <w:t xml:space="preserve">training committee of the judges, but </w:t>
      </w:r>
      <w:r>
        <w:rPr>
          <w:rFonts w:ascii="Times New Roman" w:hAnsi="Times New Roman" w:cs="Times New Roman"/>
          <w:sz w:val="22"/>
          <w:szCs w:val="22"/>
          <w:lang w:val="en-GB"/>
        </w:rPr>
        <w:t xml:space="preserve">the </w:t>
      </w:r>
      <w:r w:rsidR="00621E8A" w:rsidRPr="004A29F9">
        <w:rPr>
          <w:rFonts w:ascii="Times New Roman" w:hAnsi="Times New Roman" w:cs="Times New Roman"/>
          <w:sz w:val="22"/>
          <w:szCs w:val="22"/>
          <w:lang w:val="en-GB"/>
        </w:rPr>
        <w:t>HJC states that it needs overall support for the whole programme and more training program</w:t>
      </w:r>
      <w:r>
        <w:rPr>
          <w:rFonts w:ascii="Times New Roman" w:hAnsi="Times New Roman" w:cs="Times New Roman"/>
          <w:sz w:val="22"/>
          <w:szCs w:val="22"/>
          <w:lang w:val="en-GB"/>
        </w:rPr>
        <w:t xml:space="preserve">mes for court staff. In addition, the </w:t>
      </w:r>
      <w:r w:rsidR="00621E8A" w:rsidRPr="004A29F9">
        <w:rPr>
          <w:rFonts w:ascii="Times New Roman" w:hAnsi="Times New Roman" w:cs="Times New Roman"/>
          <w:sz w:val="22"/>
          <w:szCs w:val="22"/>
          <w:lang w:val="en-GB"/>
        </w:rPr>
        <w:t>HJC has a continuing need to diversify its training curriculum for new emplo</w:t>
      </w:r>
      <w:r w:rsidR="00A34EF4" w:rsidRPr="004A29F9">
        <w:rPr>
          <w:rFonts w:ascii="Times New Roman" w:hAnsi="Times New Roman" w:cs="Times New Roman"/>
          <w:sz w:val="22"/>
          <w:szCs w:val="22"/>
          <w:lang w:val="en-GB"/>
        </w:rPr>
        <w:t>yees and mid-level court staff and to include new courses such as banking law, labo</w:t>
      </w:r>
      <w:r>
        <w:rPr>
          <w:rFonts w:ascii="Times New Roman" w:hAnsi="Times New Roman" w:cs="Times New Roman"/>
          <w:sz w:val="22"/>
          <w:szCs w:val="22"/>
          <w:lang w:val="en-GB"/>
        </w:rPr>
        <w:t xml:space="preserve">ur law and juvenile justice. The </w:t>
      </w:r>
      <w:r w:rsidR="00A34EF4" w:rsidRPr="004A29F9">
        <w:rPr>
          <w:rFonts w:ascii="Times New Roman" w:hAnsi="Times New Roman" w:cs="Times New Roman"/>
          <w:sz w:val="22"/>
          <w:szCs w:val="22"/>
          <w:lang w:val="en-GB"/>
        </w:rPr>
        <w:t xml:space="preserve">HJC also needs to </w:t>
      </w:r>
      <w:r w:rsidR="002B63D8" w:rsidRPr="004A29F9">
        <w:rPr>
          <w:rFonts w:ascii="Times New Roman" w:hAnsi="Times New Roman" w:cs="Times New Roman"/>
          <w:sz w:val="22"/>
          <w:szCs w:val="22"/>
          <w:lang w:val="en-GB"/>
        </w:rPr>
        <w:t>further develop</w:t>
      </w:r>
      <w:r>
        <w:rPr>
          <w:rFonts w:ascii="Times New Roman" w:hAnsi="Times New Roman" w:cs="Times New Roman"/>
          <w:sz w:val="22"/>
          <w:szCs w:val="22"/>
          <w:lang w:val="en-GB"/>
        </w:rPr>
        <w:t xml:space="preserve"> the capacity of its specialis</w:t>
      </w:r>
      <w:r w:rsidR="00A34EF4" w:rsidRPr="004A29F9">
        <w:rPr>
          <w:rFonts w:ascii="Times New Roman" w:hAnsi="Times New Roman" w:cs="Times New Roman"/>
          <w:sz w:val="22"/>
          <w:szCs w:val="22"/>
          <w:lang w:val="en-GB"/>
        </w:rPr>
        <w:t xml:space="preserve">ed benches for juveniles and </w:t>
      </w:r>
      <w:r>
        <w:rPr>
          <w:rFonts w:ascii="Times New Roman" w:hAnsi="Times New Roman" w:cs="Times New Roman"/>
          <w:sz w:val="22"/>
          <w:szCs w:val="22"/>
          <w:lang w:val="en-GB"/>
        </w:rPr>
        <w:t xml:space="preserve">to develop </w:t>
      </w:r>
      <w:r w:rsidR="00A34EF4" w:rsidRPr="004A29F9">
        <w:rPr>
          <w:rFonts w:ascii="Times New Roman" w:hAnsi="Times New Roman" w:cs="Times New Roman"/>
          <w:sz w:val="22"/>
          <w:szCs w:val="22"/>
          <w:lang w:val="en-GB"/>
        </w:rPr>
        <w:t xml:space="preserve">rules of procedure for each court. </w:t>
      </w:r>
    </w:p>
    <w:p w:rsidR="00874D71" w:rsidRDefault="00874D71" w:rsidP="00FB6759">
      <w:pPr>
        <w:spacing w:after="0" w:line="240" w:lineRule="auto"/>
        <w:jc w:val="both"/>
        <w:rPr>
          <w:rFonts w:ascii="Times New Roman" w:hAnsi="Times New Roman" w:cs="Times New Roman"/>
          <w:sz w:val="22"/>
          <w:szCs w:val="22"/>
          <w:lang w:val="en-GB"/>
        </w:rPr>
      </w:pPr>
    </w:p>
    <w:p w:rsidR="00713510" w:rsidRDefault="00543D55"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In general</w:t>
      </w:r>
      <w:r w:rsidR="00713510">
        <w:rPr>
          <w:rFonts w:ascii="Times New Roman" w:hAnsi="Times New Roman" w:cs="Times New Roman"/>
          <w:sz w:val="22"/>
          <w:szCs w:val="22"/>
          <w:lang w:val="en-GB"/>
        </w:rPr>
        <w:t>,</w:t>
      </w:r>
      <w:r w:rsidRPr="004A29F9">
        <w:rPr>
          <w:rFonts w:ascii="Times New Roman" w:hAnsi="Times New Roman" w:cs="Times New Roman"/>
          <w:sz w:val="22"/>
          <w:szCs w:val="22"/>
          <w:lang w:val="en-GB"/>
        </w:rPr>
        <w:t xml:space="preserve"> the differen</w:t>
      </w:r>
      <w:r w:rsidR="00713510">
        <w:rPr>
          <w:rFonts w:ascii="Times New Roman" w:hAnsi="Times New Roman" w:cs="Times New Roman"/>
          <w:sz w:val="22"/>
          <w:szCs w:val="22"/>
          <w:lang w:val="en-GB"/>
        </w:rPr>
        <w:t xml:space="preserve">t departments within the HJC </w:t>
      </w:r>
      <w:r w:rsidRPr="004A29F9">
        <w:rPr>
          <w:rFonts w:ascii="Times New Roman" w:hAnsi="Times New Roman" w:cs="Times New Roman"/>
          <w:sz w:val="22"/>
          <w:szCs w:val="22"/>
          <w:lang w:val="en-GB"/>
        </w:rPr>
        <w:t xml:space="preserve">all fall under the supervision of the Chief Justice. There has been much progress on the work of registries, notary public and enforcements departments, and the impact of the </w:t>
      </w:r>
      <w:r w:rsidR="0086217E" w:rsidRPr="004A29F9">
        <w:rPr>
          <w:rFonts w:ascii="Times New Roman" w:hAnsi="Times New Roman" w:cs="Times New Roman"/>
          <w:sz w:val="22"/>
          <w:szCs w:val="22"/>
          <w:lang w:val="en-GB"/>
        </w:rPr>
        <w:t xml:space="preserve">programme </w:t>
      </w:r>
      <w:r w:rsidRPr="004A29F9">
        <w:rPr>
          <w:rFonts w:ascii="Times New Roman" w:hAnsi="Times New Roman" w:cs="Times New Roman"/>
          <w:sz w:val="22"/>
          <w:szCs w:val="22"/>
          <w:lang w:val="en-GB"/>
        </w:rPr>
        <w:t>is being felt by people who come and use the services of these departments. However</w:t>
      </w:r>
      <w:r w:rsidR="00713510">
        <w:rPr>
          <w:rFonts w:ascii="Times New Roman" w:hAnsi="Times New Roman" w:cs="Times New Roman"/>
          <w:sz w:val="22"/>
          <w:szCs w:val="22"/>
          <w:lang w:val="en-GB"/>
        </w:rPr>
        <w:t>,</w:t>
      </w:r>
      <w:r w:rsidRPr="004A29F9">
        <w:rPr>
          <w:rFonts w:ascii="Times New Roman" w:hAnsi="Times New Roman" w:cs="Times New Roman"/>
          <w:sz w:val="22"/>
          <w:szCs w:val="22"/>
          <w:lang w:val="en-GB"/>
        </w:rPr>
        <w:t xml:space="preserve"> HJC and the courts are challenged by a lack of sp</w:t>
      </w:r>
      <w:r w:rsidR="00713510">
        <w:rPr>
          <w:rFonts w:ascii="Times New Roman" w:hAnsi="Times New Roman" w:cs="Times New Roman"/>
          <w:sz w:val="22"/>
          <w:szCs w:val="22"/>
          <w:lang w:val="en-GB"/>
        </w:rPr>
        <w:t xml:space="preserve">ace. </w:t>
      </w:r>
      <w:r w:rsidRPr="004A29F9">
        <w:rPr>
          <w:rFonts w:ascii="Times New Roman" w:hAnsi="Times New Roman" w:cs="Times New Roman"/>
          <w:sz w:val="22"/>
          <w:szCs w:val="22"/>
          <w:lang w:val="en-GB"/>
        </w:rPr>
        <w:t>Many of the court buildings are not purpose-built, but are</w:t>
      </w:r>
      <w:r w:rsidR="00713510">
        <w:rPr>
          <w:rFonts w:ascii="Times New Roman" w:hAnsi="Times New Roman" w:cs="Times New Roman"/>
          <w:sz w:val="22"/>
          <w:szCs w:val="22"/>
          <w:lang w:val="en-GB"/>
        </w:rPr>
        <w:t xml:space="preserve"> former residential buildings.</w:t>
      </w:r>
    </w:p>
    <w:p w:rsidR="00713510" w:rsidRDefault="00713510" w:rsidP="00FB6759">
      <w:pPr>
        <w:spacing w:after="0" w:line="240" w:lineRule="auto"/>
        <w:jc w:val="both"/>
        <w:rPr>
          <w:rFonts w:ascii="Times New Roman" w:hAnsi="Times New Roman" w:cs="Times New Roman"/>
          <w:sz w:val="22"/>
          <w:szCs w:val="22"/>
          <w:lang w:val="en-GB"/>
        </w:rPr>
      </w:pPr>
    </w:p>
    <w:p w:rsidR="00543D55" w:rsidRPr="004A29F9" w:rsidRDefault="00713510"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The PPMU’s work is </w:t>
      </w:r>
      <w:r w:rsidR="008A6ED8" w:rsidRPr="004A29F9">
        <w:rPr>
          <w:rFonts w:ascii="Times New Roman" w:hAnsi="Times New Roman" w:cs="Times New Roman"/>
          <w:sz w:val="22"/>
          <w:szCs w:val="22"/>
          <w:lang w:val="en-GB"/>
        </w:rPr>
        <w:t>being felt throughout many departments and units, but most especially IT which i</w:t>
      </w:r>
      <w:r>
        <w:rPr>
          <w:rFonts w:ascii="Times New Roman" w:hAnsi="Times New Roman" w:cs="Times New Roman"/>
          <w:sz w:val="22"/>
          <w:szCs w:val="22"/>
          <w:lang w:val="en-GB"/>
        </w:rPr>
        <w:t>s headed by a UNDP supported expert</w:t>
      </w:r>
      <w:r w:rsidR="008A6ED8" w:rsidRPr="004A29F9">
        <w:rPr>
          <w:rFonts w:ascii="Times New Roman" w:hAnsi="Times New Roman" w:cs="Times New Roman"/>
          <w:sz w:val="22"/>
          <w:szCs w:val="22"/>
          <w:lang w:val="en-GB"/>
        </w:rPr>
        <w:t xml:space="preserve">. </w:t>
      </w:r>
      <w:r w:rsidR="00543D55" w:rsidRPr="004A29F9">
        <w:rPr>
          <w:rFonts w:ascii="Times New Roman" w:hAnsi="Times New Roman" w:cs="Times New Roman"/>
          <w:sz w:val="22"/>
          <w:szCs w:val="22"/>
          <w:lang w:val="en-GB"/>
        </w:rPr>
        <w:t>In the court reg</w:t>
      </w:r>
      <w:r>
        <w:rPr>
          <w:rFonts w:ascii="Times New Roman" w:hAnsi="Times New Roman" w:cs="Times New Roman"/>
          <w:sz w:val="22"/>
          <w:szCs w:val="22"/>
          <w:lang w:val="en-GB"/>
        </w:rPr>
        <w:t>istry, the files are more organis</w:t>
      </w:r>
      <w:r w:rsidR="00543D55" w:rsidRPr="004A29F9">
        <w:rPr>
          <w:rFonts w:ascii="Times New Roman" w:hAnsi="Times New Roman" w:cs="Times New Roman"/>
          <w:sz w:val="22"/>
          <w:szCs w:val="22"/>
          <w:lang w:val="en-GB"/>
        </w:rPr>
        <w:t>ed and safer than before</w:t>
      </w:r>
      <w:r>
        <w:rPr>
          <w:rFonts w:ascii="Times New Roman" w:hAnsi="Times New Roman" w:cs="Times New Roman"/>
          <w:sz w:val="22"/>
          <w:szCs w:val="22"/>
          <w:lang w:val="en-GB"/>
        </w:rPr>
        <w:t>,</w:t>
      </w:r>
      <w:r w:rsidR="00FD3C19">
        <w:rPr>
          <w:rFonts w:ascii="Times New Roman" w:hAnsi="Times New Roman" w:cs="Times New Roman"/>
          <w:sz w:val="22"/>
          <w:szCs w:val="22"/>
          <w:lang w:val="en-GB"/>
        </w:rPr>
        <w:t xml:space="preserve"> </w:t>
      </w:r>
      <w:r w:rsidR="00AC228C" w:rsidRPr="004A29F9">
        <w:rPr>
          <w:rFonts w:ascii="Times New Roman" w:hAnsi="Times New Roman" w:cs="Times New Roman"/>
          <w:sz w:val="22"/>
          <w:szCs w:val="22"/>
          <w:lang w:val="en-GB"/>
        </w:rPr>
        <w:t xml:space="preserve">partially </w:t>
      </w:r>
      <w:r w:rsidR="00543D55" w:rsidRPr="004A29F9">
        <w:rPr>
          <w:rFonts w:ascii="Times New Roman" w:hAnsi="Times New Roman" w:cs="Times New Roman"/>
          <w:sz w:val="22"/>
          <w:szCs w:val="22"/>
          <w:lang w:val="en-GB"/>
        </w:rPr>
        <w:t xml:space="preserve">as a result of UNDP support. </w:t>
      </w:r>
      <w:r>
        <w:rPr>
          <w:rFonts w:ascii="Times New Roman" w:hAnsi="Times New Roman" w:cs="Times New Roman"/>
          <w:sz w:val="22"/>
          <w:szCs w:val="22"/>
          <w:lang w:val="en-GB"/>
        </w:rPr>
        <w:t xml:space="preserve">The </w:t>
      </w:r>
      <w:r w:rsidR="00543D55" w:rsidRPr="004A29F9">
        <w:rPr>
          <w:rFonts w:ascii="Times New Roman" w:hAnsi="Times New Roman" w:cs="Times New Roman"/>
          <w:sz w:val="22"/>
          <w:szCs w:val="22"/>
          <w:lang w:val="en-GB"/>
        </w:rPr>
        <w:t>HJC reports that previously it was c</w:t>
      </w:r>
      <w:r>
        <w:rPr>
          <w:rFonts w:ascii="Times New Roman" w:hAnsi="Times New Roman" w:cs="Times New Roman"/>
          <w:sz w:val="22"/>
          <w:szCs w:val="22"/>
          <w:lang w:val="en-GB"/>
        </w:rPr>
        <w:t xml:space="preserve">ommon to have misplaced files. Now all cases are </w:t>
      </w:r>
      <w:r w:rsidR="00543D55" w:rsidRPr="004A29F9">
        <w:rPr>
          <w:rFonts w:ascii="Times New Roman" w:hAnsi="Times New Roman" w:cs="Times New Roman"/>
          <w:sz w:val="22"/>
          <w:szCs w:val="22"/>
          <w:lang w:val="en-GB"/>
        </w:rPr>
        <w:t>entered within the</w:t>
      </w:r>
      <w:r>
        <w:rPr>
          <w:rFonts w:ascii="Times New Roman" w:hAnsi="Times New Roman" w:cs="Times New Roman"/>
          <w:sz w:val="22"/>
          <w:szCs w:val="22"/>
          <w:lang w:val="en-GB"/>
        </w:rPr>
        <w:t xml:space="preserve"> MIZAN2 s</w:t>
      </w:r>
      <w:r w:rsidR="00543D55" w:rsidRPr="004A29F9">
        <w:rPr>
          <w:rFonts w:ascii="Times New Roman" w:hAnsi="Times New Roman" w:cs="Times New Roman"/>
          <w:sz w:val="22"/>
          <w:szCs w:val="22"/>
          <w:lang w:val="en-GB"/>
        </w:rPr>
        <w:t>ystem (discussed below) and the manual filing registry has also been improved.</w:t>
      </w:r>
    </w:p>
    <w:p w:rsidR="00874D71" w:rsidRDefault="00874D71" w:rsidP="00FB6759">
      <w:pPr>
        <w:spacing w:after="0" w:line="240" w:lineRule="auto"/>
        <w:jc w:val="both"/>
        <w:rPr>
          <w:rFonts w:ascii="Times New Roman" w:hAnsi="Times New Roman" w:cs="Times New Roman"/>
          <w:sz w:val="22"/>
          <w:szCs w:val="22"/>
          <w:lang w:val="en-GB"/>
        </w:rPr>
      </w:pPr>
    </w:p>
    <w:p w:rsidR="00543D55" w:rsidRPr="004A29F9" w:rsidRDefault="00713510"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The </w:t>
      </w:r>
      <w:r w:rsidR="00543D55" w:rsidRPr="004A29F9">
        <w:rPr>
          <w:rFonts w:ascii="Times New Roman" w:hAnsi="Times New Roman" w:cs="Times New Roman"/>
          <w:sz w:val="22"/>
          <w:szCs w:val="22"/>
          <w:lang w:val="en-GB"/>
        </w:rPr>
        <w:t xml:space="preserve">HJC reports that thus far it has not been </w:t>
      </w:r>
      <w:r>
        <w:rPr>
          <w:rFonts w:ascii="Times New Roman" w:hAnsi="Times New Roman" w:cs="Times New Roman"/>
          <w:sz w:val="22"/>
          <w:szCs w:val="22"/>
          <w:lang w:val="en-GB"/>
        </w:rPr>
        <w:t xml:space="preserve">entirely </w:t>
      </w:r>
      <w:r w:rsidR="00543D55" w:rsidRPr="004A29F9">
        <w:rPr>
          <w:rFonts w:ascii="Times New Roman" w:hAnsi="Times New Roman" w:cs="Times New Roman"/>
          <w:sz w:val="22"/>
          <w:szCs w:val="22"/>
          <w:lang w:val="en-GB"/>
        </w:rPr>
        <w:t xml:space="preserve">satisfied with the overall level of UNDP and donor funding to the courts. </w:t>
      </w:r>
      <w:r w:rsidR="005C15D5" w:rsidRPr="004A29F9">
        <w:rPr>
          <w:rFonts w:ascii="Times New Roman" w:hAnsi="Times New Roman" w:cs="Times New Roman"/>
          <w:sz w:val="22"/>
          <w:szCs w:val="22"/>
          <w:lang w:val="en-GB"/>
        </w:rPr>
        <w:t xml:space="preserve">According to the HJC, despite its </w:t>
      </w:r>
      <w:r w:rsidR="00543D55" w:rsidRPr="004A29F9">
        <w:rPr>
          <w:rFonts w:ascii="Times New Roman" w:hAnsi="Times New Roman" w:cs="Times New Roman"/>
          <w:sz w:val="22"/>
          <w:szCs w:val="22"/>
          <w:lang w:val="en-GB"/>
        </w:rPr>
        <w:t xml:space="preserve">repeated requests for more funding, HJC has to date received much less support </w:t>
      </w:r>
      <w:r w:rsidR="005C15D5" w:rsidRPr="004A29F9">
        <w:rPr>
          <w:rFonts w:ascii="Times New Roman" w:hAnsi="Times New Roman" w:cs="Times New Roman"/>
          <w:sz w:val="22"/>
          <w:szCs w:val="22"/>
          <w:lang w:val="en-GB"/>
        </w:rPr>
        <w:t xml:space="preserve">from UNDP </w:t>
      </w:r>
      <w:r w:rsidR="00543D55" w:rsidRPr="004A29F9">
        <w:rPr>
          <w:rFonts w:ascii="Times New Roman" w:hAnsi="Times New Roman" w:cs="Times New Roman"/>
          <w:sz w:val="22"/>
          <w:szCs w:val="22"/>
          <w:lang w:val="en-GB"/>
        </w:rPr>
        <w:t xml:space="preserve">than </w:t>
      </w:r>
      <w:r w:rsidR="005C15D5" w:rsidRPr="004A29F9">
        <w:rPr>
          <w:rFonts w:ascii="Times New Roman" w:hAnsi="Times New Roman" w:cs="Times New Roman"/>
          <w:sz w:val="22"/>
          <w:szCs w:val="22"/>
          <w:lang w:val="en-GB"/>
        </w:rPr>
        <w:t xml:space="preserve">has </w:t>
      </w:r>
      <w:r w:rsidR="00543D55" w:rsidRPr="004A29F9">
        <w:rPr>
          <w:rFonts w:ascii="Times New Roman" w:hAnsi="Times New Roman" w:cs="Times New Roman"/>
          <w:sz w:val="22"/>
          <w:szCs w:val="22"/>
          <w:lang w:val="en-GB"/>
        </w:rPr>
        <w:t xml:space="preserve">the </w:t>
      </w:r>
      <w:r>
        <w:rPr>
          <w:rFonts w:ascii="Times New Roman" w:hAnsi="Times New Roman" w:cs="Times New Roman"/>
          <w:sz w:val="22"/>
          <w:szCs w:val="22"/>
          <w:lang w:val="en-GB"/>
        </w:rPr>
        <w:t>MO</w:t>
      </w:r>
      <w:r w:rsidR="005C15D5" w:rsidRPr="004A29F9">
        <w:rPr>
          <w:rFonts w:ascii="Times New Roman" w:hAnsi="Times New Roman" w:cs="Times New Roman"/>
          <w:sz w:val="22"/>
          <w:szCs w:val="22"/>
          <w:lang w:val="en-GB"/>
        </w:rPr>
        <w:t>J, but still more than the AGO’s office</w:t>
      </w:r>
      <w:r w:rsidR="00543D55" w:rsidRPr="004A29F9">
        <w:rPr>
          <w:rFonts w:ascii="Times New Roman" w:hAnsi="Times New Roman" w:cs="Times New Roman"/>
          <w:sz w:val="22"/>
          <w:szCs w:val="22"/>
          <w:lang w:val="en-GB"/>
        </w:rPr>
        <w:t>. HJC has to manage 12 courthouses across the West Bank. The HJC is responsible for 850 judges and staff compared to 452 prosecutors and sta</w:t>
      </w:r>
      <w:r>
        <w:rPr>
          <w:rFonts w:ascii="Times New Roman" w:hAnsi="Times New Roman" w:cs="Times New Roman"/>
          <w:sz w:val="22"/>
          <w:szCs w:val="22"/>
          <w:lang w:val="en-GB"/>
        </w:rPr>
        <w:t>ff at the AGO and over 200 MO</w:t>
      </w:r>
      <w:r w:rsidR="00543D55" w:rsidRPr="004A29F9">
        <w:rPr>
          <w:rFonts w:ascii="Times New Roman" w:hAnsi="Times New Roman" w:cs="Times New Roman"/>
          <w:sz w:val="22"/>
          <w:szCs w:val="22"/>
          <w:lang w:val="en-GB"/>
        </w:rPr>
        <w:t>J staff</w:t>
      </w:r>
      <w:r w:rsidR="005C15D5" w:rsidRPr="004A29F9">
        <w:rPr>
          <w:rFonts w:ascii="Times New Roman" w:hAnsi="Times New Roman" w:cs="Times New Roman"/>
          <w:sz w:val="22"/>
          <w:szCs w:val="22"/>
          <w:lang w:val="en-GB"/>
        </w:rPr>
        <w:t xml:space="preserve"> including Gaza staff</w:t>
      </w:r>
      <w:r w:rsidR="00CF6F28" w:rsidRPr="004A29F9">
        <w:rPr>
          <w:rFonts w:ascii="Times New Roman" w:hAnsi="Times New Roman" w:cs="Times New Roman"/>
          <w:sz w:val="22"/>
          <w:szCs w:val="22"/>
          <w:lang w:val="en-GB"/>
        </w:rPr>
        <w:t>.</w:t>
      </w:r>
      <w:r w:rsidR="00FD3C19">
        <w:rPr>
          <w:rFonts w:ascii="Times New Roman" w:hAnsi="Times New Roman" w:cs="Times New Roman"/>
          <w:sz w:val="22"/>
          <w:szCs w:val="22"/>
          <w:lang w:val="en-GB"/>
        </w:rPr>
        <w:t xml:space="preserve"> </w:t>
      </w:r>
      <w:r w:rsidR="005C15D5" w:rsidRPr="004A29F9">
        <w:rPr>
          <w:rFonts w:ascii="Times New Roman" w:hAnsi="Times New Roman" w:cs="Times New Roman"/>
          <w:sz w:val="22"/>
          <w:szCs w:val="22"/>
          <w:lang w:val="en-GB"/>
        </w:rPr>
        <w:t>Courts often lack sufficient personnel to efficie</w:t>
      </w:r>
      <w:r>
        <w:rPr>
          <w:rFonts w:ascii="Times New Roman" w:hAnsi="Times New Roman" w:cs="Times New Roman"/>
          <w:sz w:val="22"/>
          <w:szCs w:val="22"/>
          <w:lang w:val="en-GB"/>
        </w:rPr>
        <w:t xml:space="preserve">ntly process their case loads. </w:t>
      </w:r>
      <w:r w:rsidR="00543D55" w:rsidRPr="004A29F9">
        <w:rPr>
          <w:rFonts w:ascii="Times New Roman" w:hAnsi="Times New Roman" w:cs="Times New Roman"/>
          <w:sz w:val="22"/>
          <w:szCs w:val="22"/>
          <w:lang w:val="en-GB"/>
        </w:rPr>
        <w:t xml:space="preserve">The HJC is a large workforce </w:t>
      </w:r>
      <w:r w:rsidR="00543D55" w:rsidRPr="004A29F9">
        <w:rPr>
          <w:rFonts w:ascii="Times New Roman" w:hAnsi="Times New Roman" w:cs="Times New Roman"/>
          <w:sz w:val="22"/>
          <w:szCs w:val="22"/>
          <w:lang w:val="en-GB"/>
        </w:rPr>
        <w:lastRenderedPageBreak/>
        <w:t>representing two thirds of the justice sector, but the assistance from donors to the HJC is less than one quarter of the assistance p</w:t>
      </w:r>
      <w:r>
        <w:rPr>
          <w:rFonts w:ascii="Times New Roman" w:hAnsi="Times New Roman" w:cs="Times New Roman"/>
          <w:sz w:val="22"/>
          <w:szCs w:val="22"/>
          <w:lang w:val="en-GB"/>
        </w:rPr>
        <w:t xml:space="preserve">rovided to the justice sector. </w:t>
      </w:r>
      <w:r w:rsidR="00543D55" w:rsidRPr="004A29F9">
        <w:rPr>
          <w:rFonts w:ascii="Times New Roman" w:hAnsi="Times New Roman" w:cs="Times New Roman"/>
          <w:sz w:val="22"/>
          <w:szCs w:val="22"/>
          <w:lang w:val="en-GB"/>
        </w:rPr>
        <w:t xml:space="preserve">HJC requests that going forward, there be a focal point for UNDP support and </w:t>
      </w:r>
      <w:r w:rsidR="0086217E" w:rsidRPr="004A29F9">
        <w:rPr>
          <w:rFonts w:ascii="Times New Roman" w:hAnsi="Times New Roman" w:cs="Times New Roman"/>
          <w:sz w:val="22"/>
          <w:szCs w:val="22"/>
          <w:lang w:val="en-GB"/>
        </w:rPr>
        <w:t xml:space="preserve">that </w:t>
      </w:r>
      <w:r w:rsidR="00543D55" w:rsidRPr="004A29F9">
        <w:rPr>
          <w:rFonts w:ascii="Times New Roman" w:hAnsi="Times New Roman" w:cs="Times New Roman"/>
          <w:sz w:val="22"/>
          <w:szCs w:val="22"/>
          <w:lang w:val="en-GB"/>
        </w:rPr>
        <w:t>UNDP and donor funding become more balanced, providing the same relative levels of support to al</w:t>
      </w:r>
      <w:r w:rsidR="00AF39D9">
        <w:rPr>
          <w:rFonts w:ascii="Times New Roman" w:hAnsi="Times New Roman" w:cs="Times New Roman"/>
          <w:sz w:val="22"/>
          <w:szCs w:val="22"/>
          <w:lang w:val="en-GB"/>
        </w:rPr>
        <w:t xml:space="preserve">l of the justice institutions. </w:t>
      </w:r>
      <w:r w:rsidR="00543D55" w:rsidRPr="004A29F9">
        <w:rPr>
          <w:rFonts w:ascii="Times New Roman" w:hAnsi="Times New Roman" w:cs="Times New Roman"/>
          <w:sz w:val="22"/>
          <w:szCs w:val="22"/>
          <w:lang w:val="en-GB"/>
        </w:rPr>
        <w:t xml:space="preserve">HJC recommends that emphasis be placed on those institutions that have the most direct and daily relations with the public such as the courts. </w:t>
      </w:r>
    </w:p>
    <w:p w:rsidR="00874D71" w:rsidRDefault="00874D71" w:rsidP="00FB6759">
      <w:pPr>
        <w:spacing w:after="0" w:line="240" w:lineRule="auto"/>
        <w:jc w:val="both"/>
        <w:rPr>
          <w:rFonts w:ascii="Times New Roman" w:hAnsi="Times New Roman" w:cs="Times New Roman"/>
          <w:sz w:val="22"/>
          <w:szCs w:val="22"/>
          <w:lang w:val="en-GB"/>
        </w:rPr>
      </w:pPr>
    </w:p>
    <w:p w:rsidR="00543D55" w:rsidRPr="004A29F9" w:rsidRDefault="00543D55"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 financial crisis has resulted in donors reducing their levels of support to the judicial sector, which impacts upon all aspects of HJC’s functions</w:t>
      </w:r>
      <w:r w:rsidR="00AF39D9">
        <w:rPr>
          <w:rFonts w:ascii="Times New Roman" w:hAnsi="Times New Roman" w:cs="Times New Roman"/>
          <w:sz w:val="22"/>
          <w:szCs w:val="22"/>
          <w:lang w:val="en-GB"/>
        </w:rPr>
        <w:t>,</w:t>
      </w:r>
      <w:r w:rsidRPr="004A29F9">
        <w:rPr>
          <w:rFonts w:ascii="Times New Roman" w:hAnsi="Times New Roman" w:cs="Times New Roman"/>
          <w:sz w:val="22"/>
          <w:szCs w:val="22"/>
          <w:lang w:val="en-GB"/>
        </w:rPr>
        <w:t xml:space="preserve"> including its training programmes. For example, HJC reports that the EU currently does not plan to renew its support for the HJC and </w:t>
      </w:r>
      <w:r w:rsidR="00AF39D9">
        <w:rPr>
          <w:rFonts w:ascii="Times New Roman" w:hAnsi="Times New Roman" w:cs="Times New Roman"/>
          <w:sz w:val="22"/>
          <w:szCs w:val="22"/>
          <w:lang w:val="en-GB"/>
        </w:rPr>
        <w:t xml:space="preserve">that </w:t>
      </w:r>
      <w:r w:rsidRPr="004A29F9">
        <w:rPr>
          <w:rFonts w:ascii="Times New Roman" w:hAnsi="Times New Roman" w:cs="Times New Roman"/>
          <w:sz w:val="22"/>
          <w:szCs w:val="22"/>
          <w:lang w:val="en-GB"/>
        </w:rPr>
        <w:t>USAID support to the judicial sector is waning. This affects all areas including infrastructure and training.</w:t>
      </w:r>
      <w:r w:rsidRPr="004A29F9">
        <w:rPr>
          <w:rStyle w:val="FootnoteReference"/>
          <w:rFonts w:ascii="Times New Roman" w:hAnsi="Times New Roman" w:cs="Times New Roman"/>
          <w:sz w:val="22"/>
          <w:szCs w:val="22"/>
          <w:lang w:val="en-GB"/>
        </w:rPr>
        <w:footnoteReference w:id="98"/>
      </w:r>
    </w:p>
    <w:p w:rsidR="00874D71" w:rsidRDefault="00874D71" w:rsidP="00FB6759">
      <w:pPr>
        <w:spacing w:after="0" w:line="240" w:lineRule="auto"/>
        <w:jc w:val="both"/>
        <w:rPr>
          <w:rFonts w:ascii="Times New Roman" w:hAnsi="Times New Roman" w:cs="Times New Roman"/>
          <w:sz w:val="22"/>
          <w:szCs w:val="22"/>
          <w:lang w:val="en-GB"/>
        </w:rPr>
      </w:pPr>
    </w:p>
    <w:p w:rsidR="00543D55" w:rsidRPr="004A29F9" w:rsidRDefault="00820CF5"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 Minister of Justice believes that going forward U</w:t>
      </w:r>
      <w:r w:rsidR="00AF39D9">
        <w:rPr>
          <w:rFonts w:ascii="Times New Roman" w:hAnsi="Times New Roman" w:cs="Times New Roman"/>
          <w:sz w:val="22"/>
          <w:szCs w:val="22"/>
          <w:lang w:val="en-GB"/>
        </w:rPr>
        <w:t>NDP should support the specialis</w:t>
      </w:r>
      <w:r w:rsidRPr="004A29F9">
        <w:rPr>
          <w:rFonts w:ascii="Times New Roman" w:hAnsi="Times New Roman" w:cs="Times New Roman"/>
          <w:sz w:val="22"/>
          <w:szCs w:val="22"/>
          <w:lang w:val="en-GB"/>
        </w:rPr>
        <w:t>ed administrative and constitutional courts via workshops and conferences in cooperation with the justice sectors institutions and civil society</w:t>
      </w:r>
      <w:r w:rsidR="00AF39D9">
        <w:rPr>
          <w:rFonts w:ascii="Times New Roman" w:hAnsi="Times New Roman" w:cs="Times New Roman"/>
          <w:sz w:val="22"/>
          <w:szCs w:val="22"/>
          <w:lang w:val="en-GB"/>
        </w:rPr>
        <w:t xml:space="preserve">. </w:t>
      </w:r>
      <w:r w:rsidRPr="004A29F9">
        <w:rPr>
          <w:rFonts w:ascii="Times New Roman" w:hAnsi="Times New Roman" w:cs="Times New Roman"/>
          <w:sz w:val="22"/>
          <w:szCs w:val="22"/>
          <w:lang w:val="en-GB"/>
        </w:rPr>
        <w:t xml:space="preserve">UNDP can play a valuable role in creating indicators and evaluation tools. There </w:t>
      </w:r>
      <w:r w:rsidR="00303F57" w:rsidRPr="004A29F9">
        <w:rPr>
          <w:rFonts w:ascii="Times New Roman" w:hAnsi="Times New Roman" w:cs="Times New Roman"/>
          <w:sz w:val="22"/>
          <w:szCs w:val="22"/>
          <w:lang w:val="en-GB"/>
        </w:rPr>
        <w:t>was historically</w:t>
      </w:r>
      <w:r w:rsidRPr="004A29F9">
        <w:rPr>
          <w:rFonts w:ascii="Times New Roman" w:hAnsi="Times New Roman" w:cs="Times New Roman"/>
          <w:sz w:val="22"/>
          <w:szCs w:val="22"/>
          <w:lang w:val="en-GB"/>
        </w:rPr>
        <w:t xml:space="preserve"> a lack of proper evaluation </w:t>
      </w:r>
      <w:r w:rsidR="00543D55" w:rsidRPr="004A29F9">
        <w:rPr>
          <w:rFonts w:ascii="Times New Roman" w:hAnsi="Times New Roman" w:cs="Times New Roman"/>
          <w:sz w:val="22"/>
          <w:szCs w:val="22"/>
          <w:lang w:val="en-GB"/>
        </w:rPr>
        <w:t xml:space="preserve">that </w:t>
      </w:r>
      <w:r w:rsidRPr="004A29F9">
        <w:rPr>
          <w:rFonts w:ascii="Times New Roman" w:hAnsi="Times New Roman" w:cs="Times New Roman"/>
          <w:sz w:val="22"/>
          <w:szCs w:val="22"/>
          <w:lang w:val="en-GB"/>
        </w:rPr>
        <w:t>result</w:t>
      </w:r>
      <w:r w:rsidR="00303F57" w:rsidRPr="004A29F9">
        <w:rPr>
          <w:rFonts w:ascii="Times New Roman" w:hAnsi="Times New Roman" w:cs="Times New Roman"/>
          <w:sz w:val="22"/>
          <w:szCs w:val="22"/>
          <w:lang w:val="en-GB"/>
        </w:rPr>
        <w:t>ed</w:t>
      </w:r>
      <w:r w:rsidRPr="004A29F9">
        <w:rPr>
          <w:rFonts w:ascii="Times New Roman" w:hAnsi="Times New Roman" w:cs="Times New Roman"/>
          <w:sz w:val="22"/>
          <w:szCs w:val="22"/>
          <w:lang w:val="en-GB"/>
        </w:rPr>
        <w:t xml:space="preserve"> in</w:t>
      </w:r>
      <w:r w:rsidR="00543D55" w:rsidRPr="004A29F9">
        <w:rPr>
          <w:rFonts w:ascii="Times New Roman" w:hAnsi="Times New Roman" w:cs="Times New Roman"/>
          <w:sz w:val="22"/>
          <w:szCs w:val="22"/>
          <w:lang w:val="en-GB"/>
        </w:rPr>
        <w:t xml:space="preserve"> an</w:t>
      </w:r>
      <w:r w:rsidRPr="004A29F9">
        <w:rPr>
          <w:rFonts w:ascii="Times New Roman" w:hAnsi="Times New Roman" w:cs="Times New Roman"/>
          <w:sz w:val="22"/>
          <w:szCs w:val="22"/>
          <w:lang w:val="en-GB"/>
        </w:rPr>
        <w:t xml:space="preserve"> inability </w:t>
      </w:r>
      <w:r w:rsidR="00303F57" w:rsidRPr="004A29F9">
        <w:rPr>
          <w:rFonts w:ascii="Times New Roman" w:hAnsi="Times New Roman" w:cs="Times New Roman"/>
          <w:sz w:val="22"/>
          <w:szCs w:val="22"/>
          <w:lang w:val="en-GB"/>
        </w:rPr>
        <w:t>of the HJC to identify its</w:t>
      </w:r>
      <w:r w:rsidRPr="004A29F9">
        <w:rPr>
          <w:rFonts w:ascii="Times New Roman" w:hAnsi="Times New Roman" w:cs="Times New Roman"/>
          <w:sz w:val="22"/>
          <w:szCs w:val="22"/>
          <w:lang w:val="en-GB"/>
        </w:rPr>
        <w:t xml:space="preserve"> actual needs </w:t>
      </w:r>
      <w:r w:rsidR="00303F57" w:rsidRPr="004A29F9">
        <w:rPr>
          <w:rFonts w:ascii="Times New Roman" w:hAnsi="Times New Roman" w:cs="Times New Roman"/>
          <w:sz w:val="22"/>
          <w:szCs w:val="22"/>
          <w:lang w:val="en-GB"/>
        </w:rPr>
        <w:t>regarding</w:t>
      </w:r>
      <w:r w:rsidRPr="004A29F9">
        <w:rPr>
          <w:rFonts w:ascii="Times New Roman" w:hAnsi="Times New Roman" w:cs="Times New Roman"/>
          <w:sz w:val="22"/>
          <w:szCs w:val="22"/>
          <w:lang w:val="en-GB"/>
        </w:rPr>
        <w:t xml:space="preserve"> the performance of the judicia</w:t>
      </w:r>
      <w:r w:rsidR="00525E46" w:rsidRPr="004A29F9">
        <w:rPr>
          <w:rFonts w:ascii="Times New Roman" w:hAnsi="Times New Roman" w:cs="Times New Roman"/>
          <w:sz w:val="22"/>
          <w:szCs w:val="22"/>
          <w:lang w:val="en-GB"/>
        </w:rPr>
        <w:t>ry</w:t>
      </w:r>
      <w:r w:rsidRPr="004A29F9">
        <w:rPr>
          <w:rFonts w:ascii="Times New Roman" w:hAnsi="Times New Roman" w:cs="Times New Roman"/>
          <w:sz w:val="22"/>
          <w:szCs w:val="22"/>
          <w:lang w:val="en-GB"/>
        </w:rPr>
        <w:t xml:space="preserve"> and the prosecution service.</w:t>
      </w:r>
      <w:r w:rsidR="00071E5C" w:rsidRPr="004A29F9">
        <w:rPr>
          <w:rStyle w:val="FootnoteReference"/>
          <w:rFonts w:ascii="Times New Roman" w:hAnsi="Times New Roman" w:cs="Times New Roman"/>
          <w:sz w:val="22"/>
          <w:szCs w:val="22"/>
          <w:lang w:val="en-GB"/>
        </w:rPr>
        <w:footnoteReference w:id="99"/>
      </w:r>
    </w:p>
    <w:p w:rsidR="00874D71" w:rsidRDefault="00874D71" w:rsidP="00FB6759">
      <w:pPr>
        <w:spacing w:after="0" w:line="240" w:lineRule="auto"/>
        <w:jc w:val="both"/>
        <w:rPr>
          <w:rFonts w:ascii="Times New Roman" w:hAnsi="Times New Roman" w:cs="Times New Roman"/>
          <w:sz w:val="22"/>
          <w:szCs w:val="22"/>
          <w:lang w:val="en-GB"/>
        </w:rPr>
      </w:pPr>
    </w:p>
    <w:p w:rsidR="00820CF5" w:rsidRPr="004A29F9" w:rsidRDefault="00820CF5"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For the military judiciary, justice is an inclusive concept that cannot be separated</w:t>
      </w:r>
      <w:r w:rsidR="00543D55" w:rsidRPr="004A29F9">
        <w:rPr>
          <w:rFonts w:ascii="Times New Roman" w:hAnsi="Times New Roman" w:cs="Times New Roman"/>
          <w:sz w:val="22"/>
          <w:szCs w:val="22"/>
          <w:lang w:val="en-GB"/>
        </w:rPr>
        <w:t xml:space="preserve"> from the civilian sector completely</w:t>
      </w:r>
      <w:r w:rsidRPr="004A29F9">
        <w:rPr>
          <w:rFonts w:ascii="Times New Roman" w:hAnsi="Times New Roman" w:cs="Times New Roman"/>
          <w:sz w:val="22"/>
          <w:szCs w:val="22"/>
          <w:lang w:val="en-GB"/>
        </w:rPr>
        <w:t>. One of the challenges is to restore or bring back the military justice system into the overall civil justice system.</w:t>
      </w:r>
      <w:r w:rsidR="00FD3C19">
        <w:rPr>
          <w:rFonts w:ascii="Times New Roman" w:hAnsi="Times New Roman" w:cs="Times New Roman"/>
          <w:sz w:val="22"/>
          <w:szCs w:val="22"/>
          <w:lang w:val="en-GB"/>
        </w:rPr>
        <w:t xml:space="preserve"> </w:t>
      </w:r>
      <w:r w:rsidRPr="004A29F9">
        <w:rPr>
          <w:rFonts w:ascii="Times New Roman" w:hAnsi="Times New Roman" w:cs="Times New Roman"/>
          <w:sz w:val="22"/>
          <w:szCs w:val="22"/>
          <w:lang w:val="en-GB"/>
        </w:rPr>
        <w:t>This includes defining who are the persons or subjects of military prosecution that fall within the juris</w:t>
      </w:r>
      <w:r w:rsidR="00AF39D9">
        <w:rPr>
          <w:rFonts w:ascii="Times New Roman" w:hAnsi="Times New Roman" w:cs="Times New Roman"/>
          <w:sz w:val="22"/>
          <w:szCs w:val="22"/>
          <w:lang w:val="en-GB"/>
        </w:rPr>
        <w:t>diction of these courts and</w:t>
      </w:r>
      <w:r w:rsidRPr="004A29F9">
        <w:rPr>
          <w:rFonts w:ascii="Times New Roman" w:hAnsi="Times New Roman" w:cs="Times New Roman"/>
          <w:sz w:val="22"/>
          <w:szCs w:val="22"/>
          <w:lang w:val="en-GB"/>
        </w:rPr>
        <w:t xml:space="preserve"> ensuring fair trial and due process safeguards in compliance with contemp</w:t>
      </w:r>
      <w:r w:rsidR="00AF39D9">
        <w:rPr>
          <w:rFonts w:ascii="Times New Roman" w:hAnsi="Times New Roman" w:cs="Times New Roman"/>
          <w:sz w:val="22"/>
          <w:szCs w:val="22"/>
          <w:lang w:val="en-GB"/>
        </w:rPr>
        <w:t xml:space="preserve">orary human rights principles. </w:t>
      </w:r>
      <w:r w:rsidR="00844394" w:rsidRPr="004A29F9">
        <w:rPr>
          <w:rFonts w:ascii="Times New Roman" w:hAnsi="Times New Roman" w:cs="Times New Roman"/>
          <w:sz w:val="22"/>
          <w:szCs w:val="22"/>
          <w:lang w:val="en-GB"/>
        </w:rPr>
        <w:t>While there</w:t>
      </w:r>
      <w:r w:rsidR="00AF39D9">
        <w:rPr>
          <w:rFonts w:ascii="Times New Roman" w:hAnsi="Times New Roman" w:cs="Times New Roman"/>
          <w:sz w:val="22"/>
          <w:szCs w:val="22"/>
          <w:lang w:val="en-GB"/>
        </w:rPr>
        <w:t xml:space="preserve"> is undoubtedly a need </w:t>
      </w:r>
      <w:r w:rsidRPr="004A29F9">
        <w:rPr>
          <w:rFonts w:ascii="Times New Roman" w:hAnsi="Times New Roman" w:cs="Times New Roman"/>
          <w:sz w:val="22"/>
          <w:szCs w:val="22"/>
          <w:lang w:val="en-GB"/>
        </w:rPr>
        <w:t xml:space="preserve">for </w:t>
      </w:r>
      <w:r w:rsidR="00844394" w:rsidRPr="004A29F9">
        <w:rPr>
          <w:rFonts w:ascii="Times New Roman" w:hAnsi="Times New Roman" w:cs="Times New Roman"/>
          <w:sz w:val="22"/>
          <w:szCs w:val="22"/>
          <w:lang w:val="en-GB"/>
        </w:rPr>
        <w:t>the PNA to address topics related to</w:t>
      </w:r>
      <w:r w:rsidRPr="004A29F9">
        <w:rPr>
          <w:rFonts w:ascii="Times New Roman" w:hAnsi="Times New Roman" w:cs="Times New Roman"/>
          <w:sz w:val="22"/>
          <w:szCs w:val="22"/>
          <w:lang w:val="en-GB"/>
        </w:rPr>
        <w:t xml:space="preserve"> military jurisdiction</w:t>
      </w:r>
      <w:r w:rsidR="00844394" w:rsidRPr="004A29F9">
        <w:rPr>
          <w:rFonts w:ascii="Times New Roman" w:hAnsi="Times New Roman" w:cs="Times New Roman"/>
          <w:sz w:val="22"/>
          <w:szCs w:val="22"/>
          <w:lang w:val="en-GB"/>
        </w:rPr>
        <w:t xml:space="preserve">, military justice and </w:t>
      </w:r>
      <w:r w:rsidR="005D07AE" w:rsidRPr="004A29F9">
        <w:rPr>
          <w:rFonts w:ascii="Times New Roman" w:hAnsi="Times New Roman" w:cs="Times New Roman"/>
          <w:sz w:val="22"/>
          <w:szCs w:val="22"/>
          <w:lang w:val="en-GB"/>
        </w:rPr>
        <w:t>jurisdiction</w:t>
      </w:r>
      <w:r w:rsidR="00FD3C19">
        <w:rPr>
          <w:rFonts w:ascii="Times New Roman" w:hAnsi="Times New Roman" w:cs="Times New Roman"/>
          <w:sz w:val="22"/>
          <w:szCs w:val="22"/>
          <w:lang w:val="en-GB"/>
        </w:rPr>
        <w:t xml:space="preserve"> </w:t>
      </w:r>
      <w:r w:rsidR="005D07AE" w:rsidRPr="004A29F9">
        <w:rPr>
          <w:rFonts w:ascii="Times New Roman" w:hAnsi="Times New Roman" w:cs="Times New Roman"/>
          <w:sz w:val="22"/>
          <w:szCs w:val="22"/>
          <w:lang w:val="en-GB"/>
        </w:rPr>
        <w:t>are</w:t>
      </w:r>
      <w:r w:rsidR="00844394" w:rsidRPr="004A29F9">
        <w:rPr>
          <w:rFonts w:ascii="Times New Roman" w:hAnsi="Times New Roman" w:cs="Times New Roman"/>
          <w:sz w:val="22"/>
          <w:szCs w:val="22"/>
          <w:lang w:val="en-GB"/>
        </w:rPr>
        <w:t xml:space="preserve"> vast area</w:t>
      </w:r>
      <w:r w:rsidR="005D07AE" w:rsidRPr="004A29F9">
        <w:rPr>
          <w:rFonts w:ascii="Times New Roman" w:hAnsi="Times New Roman" w:cs="Times New Roman"/>
          <w:sz w:val="22"/>
          <w:szCs w:val="22"/>
          <w:lang w:val="en-GB"/>
        </w:rPr>
        <w:t>s</w:t>
      </w:r>
      <w:r w:rsidR="00844394" w:rsidRPr="004A29F9">
        <w:rPr>
          <w:rFonts w:ascii="Times New Roman" w:hAnsi="Times New Roman" w:cs="Times New Roman"/>
          <w:sz w:val="22"/>
          <w:szCs w:val="22"/>
          <w:lang w:val="en-GB"/>
        </w:rPr>
        <w:t xml:space="preserve"> that will require a lot of additional </w:t>
      </w:r>
      <w:r w:rsidR="005D07AE" w:rsidRPr="004A29F9">
        <w:rPr>
          <w:rFonts w:ascii="Times New Roman" w:hAnsi="Times New Roman" w:cs="Times New Roman"/>
          <w:sz w:val="22"/>
          <w:szCs w:val="22"/>
          <w:lang w:val="en-GB"/>
        </w:rPr>
        <w:t xml:space="preserve">programming </w:t>
      </w:r>
      <w:r w:rsidR="00AF39D9">
        <w:rPr>
          <w:rFonts w:ascii="Times New Roman" w:hAnsi="Times New Roman" w:cs="Times New Roman"/>
          <w:sz w:val="22"/>
          <w:szCs w:val="22"/>
          <w:lang w:val="en-GB"/>
        </w:rPr>
        <w:t>resources. It is not clear to the evaluation if</w:t>
      </w:r>
      <w:r w:rsidR="00844394" w:rsidRPr="004A29F9">
        <w:rPr>
          <w:rFonts w:ascii="Times New Roman" w:hAnsi="Times New Roman" w:cs="Times New Roman"/>
          <w:sz w:val="22"/>
          <w:szCs w:val="22"/>
          <w:lang w:val="en-GB"/>
        </w:rPr>
        <w:t xml:space="preserve"> UNDP can or should tak</w:t>
      </w:r>
      <w:r w:rsidR="00AF39D9">
        <w:rPr>
          <w:rFonts w:ascii="Times New Roman" w:hAnsi="Times New Roman" w:cs="Times New Roman"/>
          <w:sz w:val="22"/>
          <w:szCs w:val="22"/>
          <w:lang w:val="en-GB"/>
        </w:rPr>
        <w:t xml:space="preserve">e this area on as part of the programme’s second phase. </w:t>
      </w:r>
      <w:r w:rsidR="00844394" w:rsidRPr="004A29F9">
        <w:rPr>
          <w:rFonts w:ascii="Times New Roman" w:hAnsi="Times New Roman" w:cs="Times New Roman"/>
          <w:sz w:val="22"/>
          <w:szCs w:val="22"/>
          <w:lang w:val="en-GB"/>
        </w:rPr>
        <w:t>This said,</w:t>
      </w:r>
      <w:r w:rsidRPr="004A29F9">
        <w:rPr>
          <w:rFonts w:ascii="Times New Roman" w:hAnsi="Times New Roman" w:cs="Times New Roman"/>
          <w:sz w:val="22"/>
          <w:szCs w:val="22"/>
          <w:lang w:val="en-GB"/>
        </w:rPr>
        <w:t xml:space="preserve"> UNDP </w:t>
      </w:r>
      <w:r w:rsidR="00844394" w:rsidRPr="004A29F9">
        <w:rPr>
          <w:rFonts w:ascii="Times New Roman" w:hAnsi="Times New Roman" w:cs="Times New Roman"/>
          <w:sz w:val="22"/>
          <w:szCs w:val="22"/>
          <w:lang w:val="en-GB"/>
        </w:rPr>
        <w:t>may be able</w:t>
      </w:r>
      <w:r w:rsidRPr="004A29F9">
        <w:rPr>
          <w:rFonts w:ascii="Times New Roman" w:hAnsi="Times New Roman" w:cs="Times New Roman"/>
          <w:sz w:val="22"/>
          <w:szCs w:val="22"/>
          <w:lang w:val="en-GB"/>
        </w:rPr>
        <w:t xml:space="preserve"> contribute to</w:t>
      </w:r>
      <w:r w:rsidR="00844394" w:rsidRPr="004A29F9">
        <w:rPr>
          <w:rFonts w:ascii="Times New Roman" w:hAnsi="Times New Roman" w:cs="Times New Roman"/>
          <w:sz w:val="22"/>
          <w:szCs w:val="22"/>
          <w:lang w:val="en-GB"/>
        </w:rPr>
        <w:t xml:space="preserve"> creating forums for discussion of military jurisdiction and include </w:t>
      </w:r>
      <w:r w:rsidRPr="004A29F9">
        <w:rPr>
          <w:rFonts w:ascii="Times New Roman" w:hAnsi="Times New Roman" w:cs="Times New Roman"/>
          <w:sz w:val="22"/>
          <w:szCs w:val="22"/>
          <w:lang w:val="en-GB"/>
        </w:rPr>
        <w:t>staff working in the military prosecution and judiciary</w:t>
      </w:r>
      <w:r w:rsidR="00844394" w:rsidRPr="004A29F9">
        <w:rPr>
          <w:rFonts w:ascii="Times New Roman" w:hAnsi="Times New Roman" w:cs="Times New Roman"/>
          <w:sz w:val="22"/>
          <w:szCs w:val="22"/>
          <w:lang w:val="en-GB"/>
        </w:rPr>
        <w:t xml:space="preserve"> in some trainings and capacity building initiatives</w:t>
      </w:r>
      <w:r w:rsidRPr="004A29F9">
        <w:rPr>
          <w:rFonts w:ascii="Times New Roman" w:hAnsi="Times New Roman" w:cs="Times New Roman"/>
          <w:sz w:val="22"/>
          <w:szCs w:val="22"/>
          <w:lang w:val="en-GB"/>
        </w:rPr>
        <w:t>.</w:t>
      </w:r>
    </w:p>
    <w:p w:rsidR="006865F1" w:rsidRPr="004A29F9" w:rsidRDefault="006865F1" w:rsidP="00FB6759">
      <w:pPr>
        <w:spacing w:after="0" w:line="240" w:lineRule="auto"/>
        <w:jc w:val="both"/>
        <w:rPr>
          <w:rFonts w:ascii="Times New Roman" w:hAnsi="Times New Roman" w:cs="Times New Roman"/>
          <w:i/>
          <w:sz w:val="22"/>
          <w:szCs w:val="22"/>
          <w:lang w:val="en-GB"/>
        </w:rPr>
      </w:pPr>
    </w:p>
    <w:p w:rsidR="00391AA2" w:rsidRPr="004A29F9" w:rsidRDefault="00AF39D9" w:rsidP="00FB6759">
      <w:pPr>
        <w:spacing w:after="0" w:line="240" w:lineRule="auto"/>
        <w:jc w:val="both"/>
        <w:rPr>
          <w:rFonts w:ascii="Times New Roman" w:hAnsi="Times New Roman" w:cs="Times New Roman"/>
          <w:i/>
          <w:sz w:val="22"/>
          <w:szCs w:val="22"/>
          <w:lang w:val="en-GB"/>
        </w:rPr>
      </w:pPr>
      <w:r>
        <w:rPr>
          <w:rFonts w:ascii="Times New Roman" w:hAnsi="Times New Roman" w:cs="Times New Roman"/>
          <w:i/>
          <w:sz w:val="22"/>
          <w:szCs w:val="22"/>
          <w:lang w:val="en-GB"/>
        </w:rPr>
        <w:t>Improving c</w:t>
      </w:r>
      <w:r w:rsidR="00391AA2" w:rsidRPr="004A29F9">
        <w:rPr>
          <w:rFonts w:ascii="Times New Roman" w:hAnsi="Times New Roman" w:cs="Times New Roman"/>
          <w:i/>
          <w:sz w:val="22"/>
          <w:szCs w:val="22"/>
          <w:lang w:val="en-GB"/>
        </w:rPr>
        <w:t>a</w:t>
      </w:r>
      <w:r>
        <w:rPr>
          <w:rFonts w:ascii="Times New Roman" w:hAnsi="Times New Roman" w:cs="Times New Roman"/>
          <w:i/>
          <w:sz w:val="22"/>
          <w:szCs w:val="22"/>
          <w:lang w:val="en-GB"/>
        </w:rPr>
        <w:t>se management systems: MIZAN2</w:t>
      </w:r>
    </w:p>
    <w:p w:rsidR="00874D71" w:rsidRDefault="00874D71" w:rsidP="00FB6759">
      <w:pPr>
        <w:spacing w:after="0" w:line="240" w:lineRule="auto"/>
        <w:jc w:val="both"/>
        <w:rPr>
          <w:rFonts w:ascii="Times New Roman" w:hAnsi="Times New Roman" w:cs="Times New Roman"/>
          <w:sz w:val="22"/>
          <w:szCs w:val="22"/>
          <w:lang w:val="en-GB"/>
        </w:rPr>
      </w:pPr>
    </w:p>
    <w:p w:rsidR="00AF39D9" w:rsidRDefault="00052D03"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UNDP was the first institution to assist the justice sector to develop a case management system</w:t>
      </w:r>
      <w:r w:rsidR="00AF39D9">
        <w:rPr>
          <w:rFonts w:ascii="Times New Roman" w:hAnsi="Times New Roman" w:cs="Times New Roman"/>
          <w:sz w:val="22"/>
          <w:szCs w:val="22"/>
          <w:lang w:val="en-GB"/>
        </w:rPr>
        <w:t>, i.e. t</w:t>
      </w:r>
      <w:r w:rsidRPr="004A29F9">
        <w:rPr>
          <w:rFonts w:ascii="Times New Roman" w:hAnsi="Times New Roman" w:cs="Times New Roman"/>
          <w:sz w:val="22"/>
          <w:szCs w:val="22"/>
          <w:lang w:val="en-GB"/>
        </w:rPr>
        <w:t>he</w:t>
      </w:r>
      <w:r w:rsidR="00AF39D9">
        <w:rPr>
          <w:rFonts w:ascii="Times New Roman" w:hAnsi="Times New Roman" w:cs="Times New Roman"/>
          <w:sz w:val="22"/>
          <w:szCs w:val="22"/>
          <w:lang w:val="en-GB"/>
        </w:rPr>
        <w:t xml:space="preserve"> MIZAN data</w:t>
      </w:r>
      <w:r w:rsidR="0086217E" w:rsidRPr="004A29F9">
        <w:rPr>
          <w:rFonts w:ascii="Times New Roman" w:hAnsi="Times New Roman" w:cs="Times New Roman"/>
          <w:sz w:val="22"/>
          <w:szCs w:val="22"/>
          <w:lang w:val="en-GB"/>
        </w:rPr>
        <w:t>base</w:t>
      </w:r>
      <w:r w:rsidR="00FD3C19">
        <w:rPr>
          <w:rFonts w:ascii="Times New Roman" w:hAnsi="Times New Roman" w:cs="Times New Roman"/>
          <w:sz w:val="22"/>
          <w:szCs w:val="22"/>
          <w:lang w:val="en-GB"/>
        </w:rPr>
        <w:t xml:space="preserve"> </w:t>
      </w:r>
      <w:r w:rsidR="00391AA2" w:rsidRPr="004A29F9">
        <w:rPr>
          <w:rFonts w:ascii="Times New Roman" w:hAnsi="Times New Roman" w:cs="Times New Roman"/>
          <w:sz w:val="22"/>
          <w:szCs w:val="22"/>
          <w:lang w:val="en-GB"/>
        </w:rPr>
        <w:t xml:space="preserve">established in 2007 </w:t>
      </w:r>
      <w:r w:rsidRPr="004A29F9">
        <w:rPr>
          <w:rFonts w:ascii="Times New Roman" w:hAnsi="Times New Roman" w:cs="Times New Roman"/>
          <w:sz w:val="22"/>
          <w:szCs w:val="22"/>
          <w:lang w:val="en-GB"/>
        </w:rPr>
        <w:t>at the request of</w:t>
      </w:r>
      <w:r w:rsidR="00391AA2" w:rsidRPr="004A29F9">
        <w:rPr>
          <w:rFonts w:ascii="Times New Roman" w:hAnsi="Times New Roman" w:cs="Times New Roman"/>
          <w:sz w:val="22"/>
          <w:szCs w:val="22"/>
          <w:lang w:val="en-GB"/>
        </w:rPr>
        <w:t xml:space="preserve"> the justice institutions</w:t>
      </w:r>
      <w:r w:rsidRPr="004A29F9">
        <w:rPr>
          <w:rFonts w:ascii="Times New Roman" w:hAnsi="Times New Roman" w:cs="Times New Roman"/>
          <w:sz w:val="22"/>
          <w:szCs w:val="22"/>
          <w:lang w:val="en-GB"/>
        </w:rPr>
        <w:t xml:space="preserve"> themselves</w:t>
      </w:r>
      <w:r w:rsidR="00AF39D9">
        <w:rPr>
          <w:rFonts w:ascii="Times New Roman" w:hAnsi="Times New Roman" w:cs="Times New Roman"/>
          <w:sz w:val="22"/>
          <w:szCs w:val="22"/>
          <w:lang w:val="en-GB"/>
        </w:rPr>
        <w:t xml:space="preserve">. </w:t>
      </w:r>
      <w:r w:rsidRPr="004A29F9">
        <w:rPr>
          <w:rFonts w:ascii="Times New Roman" w:hAnsi="Times New Roman" w:cs="Times New Roman"/>
          <w:sz w:val="22"/>
          <w:szCs w:val="22"/>
          <w:lang w:val="en-GB"/>
        </w:rPr>
        <w:t>It is a</w:t>
      </w:r>
      <w:r w:rsidR="00391AA2" w:rsidRPr="004A29F9">
        <w:rPr>
          <w:rFonts w:ascii="Times New Roman" w:hAnsi="Times New Roman" w:cs="Times New Roman"/>
          <w:sz w:val="22"/>
          <w:szCs w:val="22"/>
          <w:lang w:val="en-GB"/>
        </w:rPr>
        <w:t xml:space="preserve"> case file management system to monitor cases through the justice chain. </w:t>
      </w:r>
      <w:r w:rsidR="00B44AEA" w:rsidRPr="004A29F9">
        <w:rPr>
          <w:rFonts w:ascii="Times New Roman" w:hAnsi="Times New Roman" w:cs="Times New Roman"/>
          <w:sz w:val="22"/>
          <w:szCs w:val="22"/>
          <w:lang w:val="en-GB"/>
        </w:rPr>
        <w:t>T</w:t>
      </w:r>
      <w:r w:rsidR="00AF39D9">
        <w:rPr>
          <w:rFonts w:ascii="Times New Roman" w:hAnsi="Times New Roman" w:cs="Times New Roman"/>
          <w:sz w:val="22"/>
          <w:szCs w:val="22"/>
          <w:lang w:val="en-GB"/>
        </w:rPr>
        <w:t>he database is owned by the HJC</w:t>
      </w:r>
      <w:r w:rsidR="00B44AEA" w:rsidRPr="004A29F9">
        <w:rPr>
          <w:rFonts w:ascii="Times New Roman" w:hAnsi="Times New Roman" w:cs="Times New Roman"/>
          <w:sz w:val="22"/>
          <w:szCs w:val="22"/>
          <w:lang w:val="en-GB"/>
        </w:rPr>
        <w:t xml:space="preserve"> but it is shared with AGO </w:t>
      </w:r>
      <w:r w:rsidR="00AF39D9">
        <w:rPr>
          <w:rFonts w:ascii="Times New Roman" w:hAnsi="Times New Roman" w:cs="Times New Roman"/>
          <w:sz w:val="22"/>
          <w:szCs w:val="22"/>
          <w:lang w:val="en-GB"/>
        </w:rPr>
        <w:t xml:space="preserve">and will soon be implemented in </w:t>
      </w:r>
      <w:r w:rsidR="00392F95" w:rsidRPr="004A29F9">
        <w:rPr>
          <w:rFonts w:ascii="Times New Roman" w:hAnsi="Times New Roman" w:cs="Times New Roman"/>
          <w:sz w:val="22"/>
          <w:szCs w:val="22"/>
          <w:lang w:val="en-GB"/>
        </w:rPr>
        <w:t xml:space="preserve">justice and security institutions across </w:t>
      </w:r>
      <w:r w:rsidR="00AF39D9">
        <w:rPr>
          <w:rFonts w:ascii="Times New Roman" w:hAnsi="Times New Roman" w:cs="Times New Roman"/>
          <w:sz w:val="22"/>
          <w:szCs w:val="22"/>
          <w:lang w:val="en-GB"/>
        </w:rPr>
        <w:t xml:space="preserve">the West Bank. </w:t>
      </w:r>
      <w:r w:rsidR="0086217E" w:rsidRPr="004A29F9">
        <w:rPr>
          <w:rFonts w:ascii="Times New Roman" w:hAnsi="Times New Roman" w:cs="Times New Roman"/>
          <w:sz w:val="22"/>
          <w:szCs w:val="22"/>
          <w:lang w:val="en-GB"/>
        </w:rPr>
        <w:t xml:space="preserve">UNDP supported </w:t>
      </w:r>
      <w:r w:rsidRPr="004A29F9">
        <w:rPr>
          <w:rFonts w:ascii="Times New Roman" w:hAnsi="Times New Roman" w:cs="Times New Roman"/>
          <w:sz w:val="22"/>
          <w:szCs w:val="22"/>
          <w:lang w:val="en-GB"/>
        </w:rPr>
        <w:t>the establishment of the</w:t>
      </w:r>
      <w:r w:rsidR="00391AA2" w:rsidRPr="004A29F9">
        <w:rPr>
          <w:rFonts w:ascii="Times New Roman" w:hAnsi="Times New Roman" w:cs="Times New Roman"/>
          <w:sz w:val="22"/>
          <w:szCs w:val="22"/>
          <w:lang w:val="en-GB"/>
        </w:rPr>
        <w:t xml:space="preserve"> system in the </w:t>
      </w:r>
      <w:r w:rsidR="00AF39D9">
        <w:rPr>
          <w:rFonts w:ascii="Times New Roman" w:hAnsi="Times New Roman" w:cs="Times New Roman"/>
          <w:sz w:val="22"/>
          <w:szCs w:val="22"/>
          <w:lang w:val="en-GB"/>
        </w:rPr>
        <w:t>courthouses;</w:t>
      </w:r>
      <w:r w:rsidR="00FD3C19">
        <w:rPr>
          <w:rFonts w:ascii="Times New Roman" w:hAnsi="Times New Roman" w:cs="Times New Roman"/>
          <w:sz w:val="22"/>
          <w:szCs w:val="22"/>
          <w:lang w:val="en-GB"/>
        </w:rPr>
        <w:t xml:space="preserve"> </w:t>
      </w:r>
      <w:r w:rsidR="00AF39D9">
        <w:rPr>
          <w:rFonts w:ascii="Times New Roman" w:hAnsi="Times New Roman" w:cs="Times New Roman"/>
          <w:sz w:val="22"/>
          <w:szCs w:val="22"/>
          <w:lang w:val="en-GB"/>
        </w:rPr>
        <w:t>o</w:t>
      </w:r>
      <w:r w:rsidR="00B44AEA" w:rsidRPr="004A29F9">
        <w:rPr>
          <w:rFonts w:ascii="Times New Roman" w:hAnsi="Times New Roman" w:cs="Times New Roman"/>
          <w:sz w:val="22"/>
          <w:szCs w:val="22"/>
          <w:lang w:val="en-GB"/>
        </w:rPr>
        <w:t>ther institutions have now duplicated the system</w:t>
      </w:r>
      <w:r w:rsidR="00AF39D9">
        <w:rPr>
          <w:rFonts w:ascii="Times New Roman" w:hAnsi="Times New Roman" w:cs="Times New Roman"/>
          <w:sz w:val="22"/>
          <w:szCs w:val="22"/>
          <w:lang w:val="en-GB"/>
        </w:rPr>
        <w:t>.</w:t>
      </w:r>
    </w:p>
    <w:p w:rsidR="00AF39D9" w:rsidRDefault="00AF39D9" w:rsidP="00FB6759">
      <w:pPr>
        <w:spacing w:after="0" w:line="240" w:lineRule="auto"/>
        <w:jc w:val="both"/>
        <w:rPr>
          <w:rFonts w:ascii="Times New Roman" w:hAnsi="Times New Roman" w:cs="Times New Roman"/>
          <w:sz w:val="22"/>
          <w:szCs w:val="22"/>
          <w:lang w:val="en-GB"/>
        </w:rPr>
      </w:pPr>
    </w:p>
    <w:p w:rsidR="00AF39D9" w:rsidRDefault="00052D03"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UNDP has facilitated the negotiation of</w:t>
      </w:r>
      <w:r w:rsidR="00AF39D9">
        <w:rPr>
          <w:rFonts w:ascii="Times New Roman" w:hAnsi="Times New Roman" w:cs="Times New Roman"/>
          <w:sz w:val="22"/>
          <w:szCs w:val="22"/>
          <w:lang w:val="en-GB"/>
        </w:rPr>
        <w:t xml:space="preserve"> MO</w:t>
      </w:r>
      <w:r w:rsidR="00391AA2" w:rsidRPr="004A29F9">
        <w:rPr>
          <w:rFonts w:ascii="Times New Roman" w:hAnsi="Times New Roman" w:cs="Times New Roman"/>
          <w:sz w:val="22"/>
          <w:szCs w:val="22"/>
          <w:lang w:val="en-GB"/>
        </w:rPr>
        <w:t>Us between different agencies to facilitate cooperation on data sharing and use of</w:t>
      </w:r>
      <w:r w:rsidR="00AF39D9">
        <w:rPr>
          <w:rFonts w:ascii="Times New Roman" w:hAnsi="Times New Roman" w:cs="Times New Roman"/>
          <w:sz w:val="22"/>
          <w:szCs w:val="22"/>
          <w:lang w:val="en-GB"/>
        </w:rPr>
        <w:t xml:space="preserve"> MIZAN/MIZAN2; e</w:t>
      </w:r>
      <w:r w:rsidRPr="004A29F9">
        <w:rPr>
          <w:rFonts w:ascii="Times New Roman" w:hAnsi="Times New Roman" w:cs="Times New Roman"/>
          <w:sz w:val="22"/>
          <w:szCs w:val="22"/>
          <w:lang w:val="en-GB"/>
        </w:rPr>
        <w:t>ach institution cust</w:t>
      </w:r>
      <w:r w:rsidR="00AF39D9">
        <w:rPr>
          <w:rFonts w:ascii="Times New Roman" w:hAnsi="Times New Roman" w:cs="Times New Roman"/>
          <w:sz w:val="22"/>
          <w:szCs w:val="22"/>
          <w:lang w:val="en-GB"/>
        </w:rPr>
        <w:t>omis</w:t>
      </w:r>
      <w:r w:rsidRPr="004A29F9">
        <w:rPr>
          <w:rFonts w:ascii="Times New Roman" w:hAnsi="Times New Roman" w:cs="Times New Roman"/>
          <w:sz w:val="22"/>
          <w:szCs w:val="22"/>
          <w:lang w:val="en-GB"/>
        </w:rPr>
        <w:t xml:space="preserve">es the </w:t>
      </w:r>
      <w:r w:rsidR="00391AA2" w:rsidRPr="004A29F9">
        <w:rPr>
          <w:rFonts w:ascii="Times New Roman" w:hAnsi="Times New Roman" w:cs="Times New Roman"/>
          <w:sz w:val="22"/>
          <w:szCs w:val="22"/>
          <w:lang w:val="en-GB"/>
        </w:rPr>
        <w:t>database to its own needs.</w:t>
      </w:r>
    </w:p>
    <w:p w:rsidR="00E522B6" w:rsidRPr="004A29F9" w:rsidRDefault="00E522B6" w:rsidP="00FB6759">
      <w:pPr>
        <w:spacing w:after="0" w:line="240" w:lineRule="auto"/>
        <w:jc w:val="both"/>
        <w:rPr>
          <w:rFonts w:ascii="Times New Roman" w:hAnsi="Times New Roman" w:cs="Times New Roman"/>
          <w:sz w:val="22"/>
          <w:szCs w:val="22"/>
          <w:lang w:val="en-GB"/>
        </w:rPr>
      </w:pPr>
    </w:p>
    <w:p w:rsidR="00391AA2" w:rsidRPr="004A29F9" w:rsidRDefault="00052D03"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lastRenderedPageBreak/>
        <w:t>With UNDP support</w:t>
      </w:r>
      <w:r w:rsidR="00AF39D9">
        <w:rPr>
          <w:rFonts w:ascii="Times New Roman" w:hAnsi="Times New Roman" w:cs="Times New Roman"/>
          <w:sz w:val="22"/>
          <w:szCs w:val="22"/>
          <w:lang w:val="en-GB"/>
        </w:rPr>
        <w:t>, the</w:t>
      </w:r>
      <w:r w:rsidR="00FD3C19">
        <w:rPr>
          <w:rFonts w:ascii="Times New Roman" w:hAnsi="Times New Roman" w:cs="Times New Roman"/>
          <w:sz w:val="22"/>
          <w:szCs w:val="22"/>
          <w:lang w:val="en-GB"/>
        </w:rPr>
        <w:t xml:space="preserve"> </w:t>
      </w:r>
      <w:r w:rsidR="00391AA2" w:rsidRPr="004A29F9">
        <w:rPr>
          <w:rFonts w:ascii="Times New Roman" w:hAnsi="Times New Roman" w:cs="Times New Roman"/>
          <w:sz w:val="22"/>
          <w:szCs w:val="22"/>
          <w:lang w:val="en-GB"/>
        </w:rPr>
        <w:t xml:space="preserve">HJC </w:t>
      </w:r>
      <w:r w:rsidRPr="004A29F9">
        <w:rPr>
          <w:rFonts w:ascii="Times New Roman" w:hAnsi="Times New Roman" w:cs="Times New Roman"/>
          <w:sz w:val="22"/>
          <w:szCs w:val="22"/>
          <w:lang w:val="en-GB"/>
        </w:rPr>
        <w:t>also</w:t>
      </w:r>
      <w:r w:rsidR="00AF39D9">
        <w:rPr>
          <w:rFonts w:ascii="Times New Roman" w:hAnsi="Times New Roman" w:cs="Times New Roman"/>
          <w:sz w:val="22"/>
          <w:szCs w:val="22"/>
          <w:lang w:val="en-GB"/>
        </w:rPr>
        <w:t xml:space="preserve"> entered into MO</w:t>
      </w:r>
      <w:r w:rsidR="00391AA2" w:rsidRPr="004A29F9">
        <w:rPr>
          <w:rFonts w:ascii="Times New Roman" w:hAnsi="Times New Roman" w:cs="Times New Roman"/>
          <w:sz w:val="22"/>
          <w:szCs w:val="22"/>
          <w:lang w:val="en-GB"/>
        </w:rPr>
        <w:t xml:space="preserve">Us with universities to archive the cases and to </w:t>
      </w:r>
      <w:r w:rsidR="00AF39D9">
        <w:rPr>
          <w:rFonts w:ascii="Times New Roman" w:hAnsi="Times New Roman" w:cs="Times New Roman"/>
          <w:sz w:val="22"/>
          <w:szCs w:val="22"/>
          <w:lang w:val="en-GB"/>
        </w:rPr>
        <w:t>utilis</w:t>
      </w:r>
      <w:r w:rsidR="00D20CD5" w:rsidRPr="004A29F9">
        <w:rPr>
          <w:rFonts w:ascii="Times New Roman" w:hAnsi="Times New Roman" w:cs="Times New Roman"/>
          <w:sz w:val="22"/>
          <w:szCs w:val="22"/>
          <w:lang w:val="en-GB"/>
        </w:rPr>
        <w:t>e</w:t>
      </w:r>
      <w:r w:rsidRPr="004A29F9">
        <w:rPr>
          <w:rFonts w:ascii="Times New Roman" w:hAnsi="Times New Roman" w:cs="Times New Roman"/>
          <w:sz w:val="22"/>
          <w:szCs w:val="22"/>
          <w:lang w:val="en-GB"/>
        </w:rPr>
        <w:t xml:space="preserve"> the database for law schools</w:t>
      </w:r>
      <w:r w:rsidR="00AF39D9">
        <w:rPr>
          <w:rFonts w:ascii="Times New Roman" w:hAnsi="Times New Roman" w:cs="Times New Roman"/>
          <w:sz w:val="22"/>
          <w:szCs w:val="22"/>
          <w:lang w:val="en-GB"/>
        </w:rPr>
        <w:t>. In addition, c</w:t>
      </w:r>
      <w:r w:rsidR="00E522B6" w:rsidRPr="004A29F9">
        <w:rPr>
          <w:rFonts w:ascii="Times New Roman" w:hAnsi="Times New Roman" w:cs="Times New Roman"/>
          <w:sz w:val="22"/>
          <w:szCs w:val="22"/>
          <w:lang w:val="en-GB"/>
        </w:rPr>
        <w:t xml:space="preserve">ourt judgments are now electronically forwarded to </w:t>
      </w:r>
      <w:r w:rsidR="00AF39D9">
        <w:rPr>
          <w:rFonts w:ascii="Times New Roman" w:hAnsi="Times New Roman" w:cs="Times New Roman"/>
          <w:i/>
          <w:sz w:val="22"/>
          <w:szCs w:val="22"/>
          <w:lang w:val="en-GB"/>
        </w:rPr>
        <w:t>Al-</w:t>
      </w:r>
      <w:r w:rsidR="00E522B6" w:rsidRPr="00AF39D9">
        <w:rPr>
          <w:rFonts w:ascii="Times New Roman" w:hAnsi="Times New Roman" w:cs="Times New Roman"/>
          <w:i/>
          <w:sz w:val="22"/>
          <w:szCs w:val="22"/>
          <w:lang w:val="en-GB"/>
        </w:rPr>
        <w:t>Muqtafi</w:t>
      </w:r>
      <w:r w:rsidR="005D1E32">
        <w:rPr>
          <w:rFonts w:ascii="Times New Roman" w:hAnsi="Times New Roman" w:cs="Times New Roman"/>
          <w:sz w:val="22"/>
          <w:szCs w:val="22"/>
          <w:lang w:val="en-GB"/>
        </w:rPr>
        <w:t xml:space="preserve">. </w:t>
      </w:r>
      <w:r w:rsidRPr="004A29F9">
        <w:rPr>
          <w:rFonts w:ascii="Times New Roman" w:hAnsi="Times New Roman" w:cs="Times New Roman"/>
          <w:sz w:val="22"/>
          <w:szCs w:val="22"/>
          <w:lang w:val="en-GB"/>
        </w:rPr>
        <w:t>As a result of this support as of 2012, all justice actors now use the</w:t>
      </w:r>
      <w:r w:rsidR="00FD3C19">
        <w:rPr>
          <w:rFonts w:ascii="Times New Roman" w:hAnsi="Times New Roman" w:cs="Times New Roman"/>
          <w:sz w:val="22"/>
          <w:szCs w:val="22"/>
          <w:lang w:val="en-GB"/>
        </w:rPr>
        <w:t xml:space="preserve"> </w:t>
      </w:r>
      <w:r w:rsidRPr="004A29F9">
        <w:rPr>
          <w:rFonts w:ascii="Times New Roman" w:hAnsi="Times New Roman" w:cs="Times New Roman"/>
          <w:sz w:val="22"/>
          <w:szCs w:val="22"/>
          <w:lang w:val="en-GB"/>
        </w:rPr>
        <w:t>database</w:t>
      </w:r>
      <w:r w:rsidR="005D1E32">
        <w:rPr>
          <w:rFonts w:ascii="Times New Roman" w:hAnsi="Times New Roman" w:cs="Times New Roman"/>
          <w:sz w:val="22"/>
          <w:szCs w:val="22"/>
          <w:lang w:val="en-GB"/>
        </w:rPr>
        <w:t xml:space="preserve">. The </w:t>
      </w:r>
      <w:r w:rsidR="00391AA2" w:rsidRPr="004A29F9">
        <w:rPr>
          <w:rFonts w:ascii="Times New Roman" w:hAnsi="Times New Roman" w:cs="Times New Roman"/>
          <w:sz w:val="22"/>
          <w:szCs w:val="22"/>
          <w:lang w:val="en-GB"/>
        </w:rPr>
        <w:t>HJC has established a committee to meet the needs of other institutions</w:t>
      </w:r>
      <w:r w:rsidRPr="004A29F9">
        <w:rPr>
          <w:rFonts w:ascii="Times New Roman" w:hAnsi="Times New Roman" w:cs="Times New Roman"/>
          <w:sz w:val="22"/>
          <w:szCs w:val="22"/>
          <w:lang w:val="en-GB"/>
        </w:rPr>
        <w:t xml:space="preserve"> and actively shares its own information with the </w:t>
      </w:r>
      <w:r w:rsidR="005D1E32">
        <w:rPr>
          <w:rFonts w:ascii="Times New Roman" w:hAnsi="Times New Roman" w:cs="Times New Roman"/>
          <w:sz w:val="22"/>
          <w:szCs w:val="22"/>
          <w:lang w:val="en-GB"/>
        </w:rPr>
        <w:t xml:space="preserve">PCP, AGO, </w:t>
      </w:r>
      <w:r w:rsidRPr="004A29F9">
        <w:rPr>
          <w:rFonts w:ascii="Times New Roman" w:hAnsi="Times New Roman" w:cs="Times New Roman"/>
          <w:sz w:val="22"/>
          <w:szCs w:val="22"/>
          <w:lang w:val="en-GB"/>
        </w:rPr>
        <w:t>etc</w:t>
      </w:r>
      <w:r w:rsidR="005D1E32">
        <w:rPr>
          <w:rFonts w:ascii="Times New Roman" w:hAnsi="Times New Roman" w:cs="Times New Roman"/>
          <w:sz w:val="22"/>
          <w:szCs w:val="22"/>
          <w:lang w:val="en-GB"/>
        </w:rPr>
        <w:t>.</w:t>
      </w:r>
      <w:r w:rsidR="00FD3C19">
        <w:rPr>
          <w:rFonts w:ascii="Times New Roman" w:hAnsi="Times New Roman" w:cs="Times New Roman"/>
          <w:sz w:val="22"/>
          <w:szCs w:val="22"/>
          <w:lang w:val="en-GB"/>
        </w:rPr>
        <w:t xml:space="preserve"> </w:t>
      </w:r>
      <w:r w:rsidR="004E0BD3" w:rsidRPr="004A29F9">
        <w:rPr>
          <w:rFonts w:ascii="Times New Roman" w:hAnsi="Times New Roman" w:cs="Times New Roman"/>
          <w:sz w:val="22"/>
          <w:szCs w:val="22"/>
          <w:lang w:val="en-GB"/>
        </w:rPr>
        <w:t xml:space="preserve">As of early-2013, UNDP was </w:t>
      </w:r>
      <w:r w:rsidRPr="004A29F9">
        <w:rPr>
          <w:rFonts w:ascii="Times New Roman" w:hAnsi="Times New Roman" w:cs="Times New Roman"/>
          <w:sz w:val="22"/>
          <w:szCs w:val="22"/>
          <w:lang w:val="en-GB"/>
        </w:rPr>
        <w:t xml:space="preserve">in the process of engaging </w:t>
      </w:r>
      <w:r w:rsidR="00391AA2" w:rsidRPr="004A29F9">
        <w:rPr>
          <w:rFonts w:ascii="Times New Roman" w:hAnsi="Times New Roman" w:cs="Times New Roman"/>
          <w:sz w:val="22"/>
          <w:szCs w:val="22"/>
          <w:lang w:val="en-GB"/>
        </w:rPr>
        <w:t xml:space="preserve">software </w:t>
      </w:r>
      <w:r w:rsidRPr="004A29F9">
        <w:rPr>
          <w:rFonts w:ascii="Times New Roman" w:hAnsi="Times New Roman" w:cs="Times New Roman"/>
          <w:sz w:val="22"/>
          <w:szCs w:val="22"/>
          <w:lang w:val="en-GB"/>
        </w:rPr>
        <w:t xml:space="preserve">developers to </w:t>
      </w:r>
      <w:r w:rsidR="005D1E32">
        <w:rPr>
          <w:rFonts w:ascii="Times New Roman" w:hAnsi="Times New Roman" w:cs="Times New Roman"/>
          <w:sz w:val="22"/>
          <w:szCs w:val="22"/>
          <w:lang w:val="en-GB"/>
        </w:rPr>
        <w:t xml:space="preserve">further </w:t>
      </w:r>
      <w:r w:rsidRPr="004A29F9">
        <w:rPr>
          <w:rFonts w:ascii="Times New Roman" w:hAnsi="Times New Roman" w:cs="Times New Roman"/>
          <w:sz w:val="22"/>
          <w:szCs w:val="22"/>
          <w:lang w:val="en-GB"/>
        </w:rPr>
        <w:t>expand the system</w:t>
      </w:r>
      <w:r w:rsidR="005D1E32">
        <w:rPr>
          <w:rFonts w:ascii="Times New Roman" w:hAnsi="Times New Roman" w:cs="Times New Roman"/>
          <w:sz w:val="22"/>
          <w:szCs w:val="22"/>
          <w:lang w:val="en-GB"/>
        </w:rPr>
        <w:t>.</w:t>
      </w:r>
    </w:p>
    <w:p w:rsidR="005D1E32" w:rsidRDefault="005D1E32" w:rsidP="00FB6759">
      <w:pPr>
        <w:spacing w:after="0" w:line="240" w:lineRule="auto"/>
        <w:jc w:val="both"/>
        <w:rPr>
          <w:rFonts w:ascii="Times New Roman" w:hAnsi="Times New Roman" w:cs="Times New Roman"/>
          <w:sz w:val="22"/>
          <w:szCs w:val="22"/>
          <w:lang w:val="en-GB"/>
        </w:rPr>
      </w:pPr>
    </w:p>
    <w:p w:rsidR="005D1E32" w:rsidRDefault="005D1E32"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MIZAN’s s</w:t>
      </w:r>
      <w:r w:rsidR="001506C3" w:rsidRPr="004A29F9">
        <w:rPr>
          <w:rFonts w:ascii="Times New Roman" w:hAnsi="Times New Roman" w:cs="Times New Roman"/>
          <w:sz w:val="22"/>
          <w:szCs w:val="22"/>
          <w:lang w:val="en-GB"/>
        </w:rPr>
        <w:t>uccess</w:t>
      </w:r>
      <w:r>
        <w:rPr>
          <w:rFonts w:ascii="Times New Roman" w:hAnsi="Times New Roman" w:cs="Times New Roman"/>
          <w:sz w:val="22"/>
          <w:szCs w:val="22"/>
          <w:lang w:val="en-GB"/>
        </w:rPr>
        <w:t>ful evolution in recent years</w:t>
      </w:r>
      <w:r w:rsidR="001506C3" w:rsidRPr="004A29F9">
        <w:rPr>
          <w:rFonts w:ascii="Times New Roman" w:hAnsi="Times New Roman" w:cs="Times New Roman"/>
          <w:sz w:val="22"/>
          <w:szCs w:val="22"/>
          <w:lang w:val="en-GB"/>
        </w:rPr>
        <w:t xml:space="preserve"> is in a large measure due to the fact that it was developed organically by the institutions themselves and not im</w:t>
      </w:r>
      <w:r>
        <w:rPr>
          <w:rFonts w:ascii="Times New Roman" w:hAnsi="Times New Roman" w:cs="Times New Roman"/>
          <w:sz w:val="22"/>
          <w:szCs w:val="22"/>
          <w:lang w:val="en-GB"/>
        </w:rPr>
        <w:t xml:space="preserve">posed as a software input from donors. </w:t>
      </w:r>
      <w:r w:rsidR="002523ED" w:rsidRPr="004A29F9">
        <w:rPr>
          <w:rFonts w:ascii="Times New Roman" w:hAnsi="Times New Roman" w:cs="Times New Roman"/>
          <w:sz w:val="22"/>
          <w:szCs w:val="22"/>
          <w:lang w:val="en-GB"/>
        </w:rPr>
        <w:t>The</w:t>
      </w:r>
      <w:r w:rsidR="00391AA2" w:rsidRPr="004A29F9">
        <w:rPr>
          <w:rFonts w:ascii="Times New Roman" w:hAnsi="Times New Roman" w:cs="Times New Roman"/>
          <w:sz w:val="22"/>
          <w:szCs w:val="22"/>
          <w:lang w:val="en-GB"/>
        </w:rPr>
        <w:t xml:space="preserve"> database </w:t>
      </w:r>
      <w:r w:rsidR="002523ED" w:rsidRPr="004A29F9">
        <w:rPr>
          <w:rFonts w:ascii="Times New Roman" w:hAnsi="Times New Roman" w:cs="Times New Roman"/>
          <w:sz w:val="22"/>
          <w:szCs w:val="22"/>
          <w:lang w:val="en-GB"/>
        </w:rPr>
        <w:t xml:space="preserve">is widely used outside the judicial sector as well. For example, </w:t>
      </w:r>
      <w:r>
        <w:rPr>
          <w:rFonts w:ascii="Times New Roman" w:hAnsi="Times New Roman" w:cs="Times New Roman"/>
          <w:sz w:val="22"/>
          <w:szCs w:val="22"/>
          <w:lang w:val="en-GB"/>
        </w:rPr>
        <w:t>the PMF</w:t>
      </w:r>
      <w:r w:rsidR="00FD3C19">
        <w:rPr>
          <w:rFonts w:ascii="Times New Roman" w:hAnsi="Times New Roman" w:cs="Times New Roman"/>
          <w:sz w:val="22"/>
          <w:szCs w:val="22"/>
          <w:lang w:val="en-GB"/>
        </w:rPr>
        <w:t xml:space="preserve"> </w:t>
      </w:r>
      <w:r w:rsidR="0086217E" w:rsidRPr="004A29F9">
        <w:rPr>
          <w:rFonts w:ascii="Times New Roman" w:hAnsi="Times New Roman" w:cs="Times New Roman"/>
          <w:sz w:val="22"/>
          <w:szCs w:val="22"/>
          <w:lang w:val="en-GB"/>
        </w:rPr>
        <w:t xml:space="preserve">uses the </w:t>
      </w:r>
      <w:r w:rsidR="002523ED" w:rsidRPr="004A29F9">
        <w:rPr>
          <w:rFonts w:ascii="Times New Roman" w:hAnsi="Times New Roman" w:cs="Times New Roman"/>
          <w:sz w:val="22"/>
          <w:szCs w:val="22"/>
          <w:lang w:val="en-GB"/>
        </w:rPr>
        <w:t>database</w:t>
      </w:r>
      <w:r w:rsidR="00391AA2" w:rsidRPr="004A29F9">
        <w:rPr>
          <w:rFonts w:ascii="Times New Roman" w:hAnsi="Times New Roman" w:cs="Times New Roman"/>
          <w:sz w:val="22"/>
          <w:szCs w:val="22"/>
          <w:lang w:val="en-GB"/>
        </w:rPr>
        <w:t xml:space="preserve"> to access cases and keep track </w:t>
      </w:r>
      <w:r w:rsidR="002523ED" w:rsidRPr="004A29F9">
        <w:rPr>
          <w:rFonts w:ascii="Times New Roman" w:hAnsi="Times New Roman" w:cs="Times New Roman"/>
          <w:sz w:val="22"/>
          <w:szCs w:val="22"/>
          <w:lang w:val="en-GB"/>
        </w:rPr>
        <w:t xml:space="preserve">of court decisions. </w:t>
      </w:r>
      <w:r>
        <w:rPr>
          <w:rFonts w:ascii="Times New Roman" w:hAnsi="Times New Roman" w:cs="Times New Roman"/>
          <w:sz w:val="22"/>
          <w:szCs w:val="22"/>
          <w:lang w:val="en-GB"/>
        </w:rPr>
        <w:t>Another example of MIZAN</w:t>
      </w:r>
      <w:r w:rsidR="002523ED" w:rsidRPr="004A29F9">
        <w:rPr>
          <w:rFonts w:ascii="Times New Roman" w:hAnsi="Times New Roman" w:cs="Times New Roman"/>
          <w:sz w:val="22"/>
          <w:szCs w:val="22"/>
          <w:lang w:val="en-GB"/>
        </w:rPr>
        <w:t>’s</w:t>
      </w:r>
      <w:r w:rsidR="00391AA2" w:rsidRPr="004A29F9">
        <w:rPr>
          <w:rFonts w:ascii="Times New Roman" w:hAnsi="Times New Roman" w:cs="Times New Roman"/>
          <w:sz w:val="22"/>
          <w:szCs w:val="22"/>
          <w:lang w:val="en-GB"/>
        </w:rPr>
        <w:t xml:space="preserve"> success </w:t>
      </w:r>
      <w:r w:rsidR="002523ED" w:rsidRPr="004A29F9">
        <w:rPr>
          <w:rFonts w:ascii="Times New Roman" w:hAnsi="Times New Roman" w:cs="Times New Roman"/>
          <w:sz w:val="22"/>
          <w:szCs w:val="22"/>
          <w:lang w:val="en-GB"/>
        </w:rPr>
        <w:t xml:space="preserve">is the fact that it is </w:t>
      </w:r>
      <w:r w:rsidR="00391AA2" w:rsidRPr="004A29F9">
        <w:rPr>
          <w:rFonts w:ascii="Times New Roman" w:hAnsi="Times New Roman" w:cs="Times New Roman"/>
          <w:sz w:val="22"/>
          <w:szCs w:val="22"/>
          <w:lang w:val="en-GB"/>
        </w:rPr>
        <w:t>facilitating research on various sector</w:t>
      </w:r>
      <w:r>
        <w:rPr>
          <w:rFonts w:ascii="Times New Roman" w:hAnsi="Times New Roman" w:cs="Times New Roman"/>
          <w:sz w:val="22"/>
          <w:szCs w:val="22"/>
          <w:lang w:val="en-GB"/>
        </w:rPr>
        <w:t xml:space="preserve">s of the law; academic research </w:t>
      </w:r>
      <w:r w:rsidR="002523ED" w:rsidRPr="004A29F9">
        <w:rPr>
          <w:rFonts w:ascii="Times New Roman" w:hAnsi="Times New Roman" w:cs="Times New Roman"/>
          <w:sz w:val="22"/>
          <w:szCs w:val="22"/>
          <w:lang w:val="en-GB"/>
        </w:rPr>
        <w:t>has been broadly enhanced as a result</w:t>
      </w:r>
      <w:r w:rsidR="00391AA2" w:rsidRPr="004A29F9">
        <w:rPr>
          <w:rFonts w:ascii="Times New Roman" w:hAnsi="Times New Roman" w:cs="Times New Roman"/>
          <w:sz w:val="22"/>
          <w:szCs w:val="22"/>
          <w:lang w:val="en-GB"/>
        </w:rPr>
        <w:t xml:space="preserve">.   </w:t>
      </w:r>
    </w:p>
    <w:p w:rsidR="005D1E32" w:rsidRDefault="005D1E32" w:rsidP="00FB6759">
      <w:pPr>
        <w:spacing w:after="0" w:line="240" w:lineRule="auto"/>
        <w:jc w:val="both"/>
        <w:rPr>
          <w:rFonts w:ascii="Times New Roman" w:hAnsi="Times New Roman" w:cs="Times New Roman"/>
          <w:sz w:val="22"/>
          <w:szCs w:val="22"/>
          <w:lang w:val="en-GB"/>
        </w:rPr>
      </w:pPr>
    </w:p>
    <w:p w:rsidR="00391AA2" w:rsidRPr="004A29F9" w:rsidRDefault="002523ED"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Finally</w:t>
      </w:r>
      <w:r w:rsidR="005D1E32">
        <w:rPr>
          <w:rFonts w:ascii="Times New Roman" w:hAnsi="Times New Roman" w:cs="Times New Roman"/>
          <w:sz w:val="22"/>
          <w:szCs w:val="22"/>
          <w:lang w:val="en-GB"/>
        </w:rPr>
        <w:t>, MIZAN is c</w:t>
      </w:r>
      <w:r w:rsidRPr="004A29F9">
        <w:rPr>
          <w:rFonts w:ascii="Times New Roman" w:hAnsi="Times New Roman" w:cs="Times New Roman"/>
          <w:sz w:val="22"/>
          <w:szCs w:val="22"/>
          <w:lang w:val="en-GB"/>
        </w:rPr>
        <w:t>ontributing to access to justice, transparency and timely resolution of disputes.     Law</w:t>
      </w:r>
      <w:r w:rsidR="005D1E32">
        <w:rPr>
          <w:rFonts w:ascii="Times New Roman" w:hAnsi="Times New Roman" w:cs="Times New Roman"/>
          <w:sz w:val="22"/>
          <w:szCs w:val="22"/>
          <w:lang w:val="en-GB"/>
        </w:rPr>
        <w:t xml:space="preserve">yers can access data quickly. </w:t>
      </w:r>
      <w:r w:rsidRPr="004A29F9">
        <w:rPr>
          <w:rFonts w:ascii="Times New Roman" w:hAnsi="Times New Roman" w:cs="Times New Roman"/>
          <w:sz w:val="22"/>
          <w:szCs w:val="22"/>
          <w:lang w:val="en-GB"/>
        </w:rPr>
        <w:t>A lawyer or a citizen only</w:t>
      </w:r>
      <w:r w:rsidR="00391AA2" w:rsidRPr="004A29F9">
        <w:rPr>
          <w:rFonts w:ascii="Times New Roman" w:hAnsi="Times New Roman" w:cs="Times New Roman"/>
          <w:sz w:val="22"/>
          <w:szCs w:val="22"/>
          <w:lang w:val="en-GB"/>
        </w:rPr>
        <w:t xml:space="preserve"> needs </w:t>
      </w:r>
      <w:r w:rsidRPr="004A29F9">
        <w:rPr>
          <w:rFonts w:ascii="Times New Roman" w:hAnsi="Times New Roman" w:cs="Times New Roman"/>
          <w:sz w:val="22"/>
          <w:szCs w:val="22"/>
          <w:lang w:val="en-GB"/>
        </w:rPr>
        <w:t>a</w:t>
      </w:r>
      <w:r w:rsidR="00391AA2" w:rsidRPr="004A29F9">
        <w:rPr>
          <w:rFonts w:ascii="Times New Roman" w:hAnsi="Times New Roman" w:cs="Times New Roman"/>
          <w:sz w:val="22"/>
          <w:szCs w:val="22"/>
          <w:lang w:val="en-GB"/>
        </w:rPr>
        <w:t xml:space="preserve"> case file number and then the entire </w:t>
      </w:r>
      <w:r w:rsidRPr="004A29F9">
        <w:rPr>
          <w:rFonts w:ascii="Times New Roman" w:hAnsi="Times New Roman" w:cs="Times New Roman"/>
          <w:sz w:val="22"/>
          <w:szCs w:val="22"/>
          <w:lang w:val="en-GB"/>
        </w:rPr>
        <w:t xml:space="preserve">history of the </w:t>
      </w:r>
      <w:r w:rsidR="005D1E32">
        <w:rPr>
          <w:rFonts w:ascii="Times New Roman" w:hAnsi="Times New Roman" w:cs="Times New Roman"/>
          <w:sz w:val="22"/>
          <w:szCs w:val="22"/>
          <w:lang w:val="en-GB"/>
        </w:rPr>
        <w:t xml:space="preserve">case shows up. </w:t>
      </w:r>
      <w:r w:rsidR="00391AA2" w:rsidRPr="004A29F9">
        <w:rPr>
          <w:rFonts w:ascii="Times New Roman" w:hAnsi="Times New Roman" w:cs="Times New Roman"/>
          <w:sz w:val="22"/>
          <w:szCs w:val="22"/>
          <w:lang w:val="en-GB"/>
        </w:rPr>
        <w:t xml:space="preserve">This has </w:t>
      </w:r>
      <w:r w:rsidRPr="004A29F9">
        <w:rPr>
          <w:rFonts w:ascii="Times New Roman" w:hAnsi="Times New Roman" w:cs="Times New Roman"/>
          <w:sz w:val="22"/>
          <w:szCs w:val="22"/>
          <w:lang w:val="en-GB"/>
        </w:rPr>
        <w:t xml:space="preserve">even </w:t>
      </w:r>
      <w:r w:rsidR="00391AA2" w:rsidRPr="004A29F9">
        <w:rPr>
          <w:rFonts w:ascii="Times New Roman" w:hAnsi="Times New Roman" w:cs="Times New Roman"/>
          <w:sz w:val="22"/>
          <w:szCs w:val="22"/>
          <w:lang w:val="en-GB"/>
        </w:rPr>
        <w:t xml:space="preserve">resulted in an improvement in the quality of </w:t>
      </w:r>
      <w:r w:rsidRPr="004A29F9">
        <w:rPr>
          <w:rFonts w:ascii="Times New Roman" w:hAnsi="Times New Roman" w:cs="Times New Roman"/>
          <w:sz w:val="22"/>
          <w:szCs w:val="22"/>
          <w:lang w:val="en-GB"/>
        </w:rPr>
        <w:t xml:space="preserve">some </w:t>
      </w:r>
      <w:r w:rsidR="0086217E" w:rsidRPr="004A29F9">
        <w:rPr>
          <w:rFonts w:ascii="Times New Roman" w:hAnsi="Times New Roman" w:cs="Times New Roman"/>
          <w:sz w:val="22"/>
          <w:szCs w:val="22"/>
          <w:lang w:val="en-GB"/>
        </w:rPr>
        <w:t xml:space="preserve">agencies’ </w:t>
      </w:r>
      <w:r w:rsidR="00391AA2" w:rsidRPr="004A29F9">
        <w:rPr>
          <w:rFonts w:ascii="Times New Roman" w:hAnsi="Times New Roman" w:cs="Times New Roman"/>
          <w:sz w:val="22"/>
          <w:szCs w:val="22"/>
          <w:lang w:val="en-GB"/>
        </w:rPr>
        <w:t xml:space="preserve">strategic plans. </w:t>
      </w:r>
      <w:r w:rsidRPr="004A29F9">
        <w:rPr>
          <w:rFonts w:ascii="Times New Roman" w:hAnsi="Times New Roman" w:cs="Times New Roman"/>
          <w:sz w:val="22"/>
          <w:szCs w:val="22"/>
          <w:lang w:val="en-GB"/>
        </w:rPr>
        <w:t>The system a</w:t>
      </w:r>
      <w:r w:rsidR="005D1E32">
        <w:rPr>
          <w:rFonts w:ascii="Times New Roman" w:hAnsi="Times New Roman" w:cs="Times New Roman"/>
          <w:sz w:val="22"/>
          <w:szCs w:val="22"/>
          <w:lang w:val="en-GB"/>
        </w:rPr>
        <w:t xml:space="preserve">lso allows citizens </w:t>
      </w:r>
      <w:r w:rsidRPr="004A29F9">
        <w:rPr>
          <w:rFonts w:ascii="Times New Roman" w:hAnsi="Times New Roman" w:cs="Times New Roman"/>
          <w:sz w:val="22"/>
          <w:szCs w:val="22"/>
          <w:lang w:val="en-GB"/>
        </w:rPr>
        <w:t>to access data an</w:t>
      </w:r>
      <w:r w:rsidR="005D1E32">
        <w:rPr>
          <w:rFonts w:ascii="Times New Roman" w:hAnsi="Times New Roman" w:cs="Times New Roman"/>
          <w:sz w:val="22"/>
          <w:szCs w:val="22"/>
          <w:lang w:val="en-GB"/>
        </w:rPr>
        <w:t xml:space="preserve">d documents from the court. </w:t>
      </w:r>
      <w:r w:rsidRPr="004A29F9">
        <w:rPr>
          <w:rFonts w:ascii="Times New Roman" w:hAnsi="Times New Roman" w:cs="Times New Roman"/>
          <w:sz w:val="22"/>
          <w:szCs w:val="22"/>
          <w:lang w:val="en-GB"/>
        </w:rPr>
        <w:t>Citizens can now apply online for doc</w:t>
      </w:r>
      <w:r w:rsidR="004E0BD3" w:rsidRPr="004A29F9">
        <w:rPr>
          <w:rFonts w:ascii="Times New Roman" w:hAnsi="Times New Roman" w:cs="Times New Roman"/>
          <w:sz w:val="22"/>
          <w:szCs w:val="22"/>
          <w:lang w:val="en-GB"/>
        </w:rPr>
        <w:t>ument</w:t>
      </w:r>
      <w:r w:rsidRPr="004A29F9">
        <w:rPr>
          <w:rFonts w:ascii="Times New Roman" w:hAnsi="Times New Roman" w:cs="Times New Roman"/>
          <w:sz w:val="22"/>
          <w:szCs w:val="22"/>
          <w:lang w:val="en-GB"/>
        </w:rPr>
        <w:t>s.</w:t>
      </w:r>
    </w:p>
    <w:p w:rsidR="00874D71" w:rsidRDefault="00874D71" w:rsidP="00FB6759">
      <w:pPr>
        <w:spacing w:after="0" w:line="240" w:lineRule="auto"/>
        <w:jc w:val="both"/>
        <w:rPr>
          <w:rFonts w:ascii="Times New Roman" w:hAnsi="Times New Roman" w:cs="Times New Roman"/>
          <w:sz w:val="22"/>
          <w:szCs w:val="22"/>
          <w:lang w:val="en-GB"/>
        </w:rPr>
      </w:pPr>
    </w:p>
    <w:p w:rsidR="00414243" w:rsidRPr="004A29F9" w:rsidRDefault="00F43AD5"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A </w:t>
      </w:r>
      <w:r w:rsidR="00513F4E" w:rsidRPr="004A29F9">
        <w:rPr>
          <w:rFonts w:ascii="Times New Roman" w:hAnsi="Times New Roman" w:cs="Times New Roman"/>
          <w:sz w:val="22"/>
          <w:szCs w:val="22"/>
          <w:lang w:val="en-GB"/>
        </w:rPr>
        <w:t>2012</w:t>
      </w:r>
      <w:r w:rsidRPr="004A29F9">
        <w:rPr>
          <w:rFonts w:ascii="Times New Roman" w:hAnsi="Times New Roman" w:cs="Times New Roman"/>
          <w:sz w:val="22"/>
          <w:szCs w:val="22"/>
          <w:lang w:val="en-GB"/>
        </w:rPr>
        <w:t xml:space="preserve"> survey</w:t>
      </w:r>
      <w:r w:rsidR="00513F4E" w:rsidRPr="004A29F9">
        <w:rPr>
          <w:rFonts w:ascii="Times New Roman" w:hAnsi="Times New Roman" w:cs="Times New Roman"/>
          <w:sz w:val="22"/>
          <w:szCs w:val="22"/>
          <w:lang w:val="en-GB"/>
        </w:rPr>
        <w:t xml:space="preserve"> conducted</w:t>
      </w:r>
      <w:r w:rsidRPr="004A29F9">
        <w:rPr>
          <w:rFonts w:ascii="Times New Roman" w:hAnsi="Times New Roman" w:cs="Times New Roman"/>
          <w:sz w:val="22"/>
          <w:szCs w:val="22"/>
          <w:lang w:val="en-GB"/>
        </w:rPr>
        <w:t xml:space="preserve"> by UNDP of</w:t>
      </w:r>
      <w:r w:rsidR="005D1E32">
        <w:rPr>
          <w:rFonts w:ascii="Times New Roman" w:hAnsi="Times New Roman" w:cs="Times New Roman"/>
          <w:sz w:val="22"/>
          <w:szCs w:val="22"/>
          <w:lang w:val="en-GB"/>
        </w:rPr>
        <w:t xml:space="preserve"> MIZAN2 users evidences </w:t>
      </w:r>
      <w:r w:rsidRPr="004A29F9">
        <w:rPr>
          <w:rFonts w:ascii="Times New Roman" w:hAnsi="Times New Roman" w:cs="Times New Roman"/>
          <w:sz w:val="22"/>
          <w:szCs w:val="22"/>
          <w:lang w:val="en-GB"/>
        </w:rPr>
        <w:t>the fact that the system</w:t>
      </w:r>
      <w:r w:rsidR="005D1E32">
        <w:rPr>
          <w:rFonts w:ascii="Times New Roman" w:hAnsi="Times New Roman" w:cs="Times New Roman"/>
          <w:sz w:val="22"/>
          <w:szCs w:val="22"/>
          <w:lang w:val="en-GB"/>
        </w:rPr>
        <w:t xml:space="preserve"> is well-known and highly utilis</w:t>
      </w:r>
      <w:r w:rsidRPr="004A29F9">
        <w:rPr>
          <w:rFonts w:ascii="Times New Roman" w:hAnsi="Times New Roman" w:cs="Times New Roman"/>
          <w:sz w:val="22"/>
          <w:szCs w:val="22"/>
          <w:lang w:val="en-GB"/>
        </w:rPr>
        <w:t xml:space="preserve">ed by justice actors in </w:t>
      </w:r>
      <w:r w:rsidR="005D1E32">
        <w:rPr>
          <w:rFonts w:ascii="Times New Roman" w:hAnsi="Times New Roman" w:cs="Times New Roman"/>
          <w:sz w:val="22"/>
          <w:szCs w:val="22"/>
          <w:lang w:val="en-GB"/>
        </w:rPr>
        <w:t xml:space="preserve">the </w:t>
      </w:r>
      <w:r w:rsidR="00DE216A" w:rsidRPr="004A29F9">
        <w:rPr>
          <w:rFonts w:ascii="Times New Roman" w:hAnsi="Times New Roman" w:cs="Times New Roman"/>
          <w:sz w:val="22"/>
          <w:szCs w:val="22"/>
          <w:lang w:val="en-GB"/>
        </w:rPr>
        <w:t>oPt</w:t>
      </w:r>
      <w:r w:rsidR="005D1E32">
        <w:rPr>
          <w:rFonts w:ascii="Times New Roman" w:hAnsi="Times New Roman" w:cs="Times New Roman"/>
          <w:sz w:val="22"/>
          <w:szCs w:val="22"/>
          <w:lang w:val="en-GB"/>
        </w:rPr>
        <w:t>.</w:t>
      </w:r>
      <w:r w:rsidR="00227679">
        <w:rPr>
          <w:rFonts w:ascii="Times New Roman" w:hAnsi="Times New Roman" w:cs="Times New Roman"/>
          <w:sz w:val="22"/>
          <w:szCs w:val="22"/>
          <w:lang w:val="en-GB"/>
        </w:rPr>
        <w:t xml:space="preserve"> </w:t>
      </w:r>
      <w:r w:rsidRPr="004A29F9">
        <w:rPr>
          <w:rFonts w:ascii="Times New Roman" w:hAnsi="Times New Roman" w:cs="Times New Roman"/>
          <w:sz w:val="22"/>
          <w:szCs w:val="22"/>
          <w:lang w:val="en-GB"/>
        </w:rPr>
        <w:t>The survey included 91 first instan</w:t>
      </w:r>
      <w:r w:rsidR="005D1E32">
        <w:rPr>
          <w:rFonts w:ascii="Times New Roman" w:hAnsi="Times New Roman" w:cs="Times New Roman"/>
          <w:sz w:val="22"/>
          <w:szCs w:val="22"/>
          <w:lang w:val="en-GB"/>
        </w:rPr>
        <w:t>ce and reconciliation judges; o</w:t>
      </w:r>
      <w:r w:rsidR="00513F4E" w:rsidRPr="004A29F9">
        <w:rPr>
          <w:rFonts w:ascii="Times New Roman" w:hAnsi="Times New Roman" w:cs="Times New Roman"/>
          <w:sz w:val="22"/>
          <w:szCs w:val="22"/>
          <w:lang w:val="en-GB"/>
        </w:rPr>
        <w:t>verall satisfaction with</w:t>
      </w:r>
      <w:r w:rsidR="005D1E32">
        <w:rPr>
          <w:rFonts w:ascii="Times New Roman" w:hAnsi="Times New Roman" w:cs="Times New Roman"/>
          <w:sz w:val="22"/>
          <w:szCs w:val="22"/>
          <w:lang w:val="en-GB"/>
        </w:rPr>
        <w:t xml:space="preserve"> MIZAN2 is high. </w:t>
      </w:r>
      <w:r w:rsidRPr="004A29F9">
        <w:rPr>
          <w:rFonts w:ascii="Times New Roman" w:hAnsi="Times New Roman" w:cs="Times New Roman"/>
          <w:sz w:val="22"/>
          <w:szCs w:val="22"/>
          <w:lang w:val="en-GB"/>
        </w:rPr>
        <w:t>Approximately 90% of judges surveyed reported that their knowledge of the database and how to use it ranged from good to excellent</w:t>
      </w:r>
      <w:r w:rsidR="005D1E32">
        <w:rPr>
          <w:rFonts w:ascii="Times New Roman" w:hAnsi="Times New Roman" w:cs="Times New Roman"/>
          <w:sz w:val="22"/>
          <w:szCs w:val="22"/>
          <w:lang w:val="en-GB"/>
        </w:rPr>
        <w:t xml:space="preserve">, while the overwhelming majority of judges </w:t>
      </w:r>
      <w:r w:rsidR="00E16C73" w:rsidRPr="004A29F9">
        <w:rPr>
          <w:rFonts w:ascii="Times New Roman" w:hAnsi="Times New Roman" w:cs="Times New Roman"/>
          <w:sz w:val="22"/>
          <w:szCs w:val="22"/>
          <w:lang w:val="en-GB"/>
        </w:rPr>
        <w:t>responded that the database</w:t>
      </w:r>
      <w:r w:rsidR="00513F4E" w:rsidRPr="004A29F9">
        <w:rPr>
          <w:rFonts w:ascii="Times New Roman" w:hAnsi="Times New Roman" w:cs="Times New Roman"/>
          <w:sz w:val="22"/>
          <w:szCs w:val="22"/>
          <w:lang w:val="en-GB"/>
        </w:rPr>
        <w:t xml:space="preserve"> had spe</w:t>
      </w:r>
      <w:r w:rsidR="005D1E32">
        <w:rPr>
          <w:rFonts w:ascii="Times New Roman" w:hAnsi="Times New Roman" w:cs="Times New Roman"/>
          <w:sz w:val="22"/>
          <w:szCs w:val="22"/>
          <w:lang w:val="en-GB"/>
        </w:rPr>
        <w:t xml:space="preserve">d up the processing of cases. </w:t>
      </w:r>
      <w:r w:rsidR="00F80D4E" w:rsidRPr="004A29F9">
        <w:rPr>
          <w:rFonts w:ascii="Times New Roman" w:hAnsi="Times New Roman" w:cs="Times New Roman"/>
          <w:sz w:val="22"/>
          <w:szCs w:val="22"/>
          <w:lang w:val="en-GB"/>
        </w:rPr>
        <w:t>Moreover</w:t>
      </w:r>
      <w:r w:rsidR="005D1E32">
        <w:rPr>
          <w:rFonts w:ascii="Times New Roman" w:hAnsi="Times New Roman" w:cs="Times New Roman"/>
          <w:sz w:val="22"/>
          <w:szCs w:val="22"/>
          <w:lang w:val="en-GB"/>
        </w:rPr>
        <w:t>,</w:t>
      </w:r>
      <w:r w:rsidR="00F80D4E" w:rsidRPr="004A29F9">
        <w:rPr>
          <w:rFonts w:ascii="Times New Roman" w:hAnsi="Times New Roman" w:cs="Times New Roman"/>
          <w:sz w:val="22"/>
          <w:szCs w:val="22"/>
          <w:lang w:val="en-GB"/>
        </w:rPr>
        <w:t xml:space="preserve"> over 90% of those judges surveyed felt that the system offered a high level of data protection. </w:t>
      </w:r>
    </w:p>
    <w:p w:rsidR="00874D71" w:rsidRDefault="00874D71" w:rsidP="00FB6759">
      <w:pPr>
        <w:spacing w:after="0" w:line="240" w:lineRule="auto"/>
        <w:jc w:val="both"/>
        <w:rPr>
          <w:rFonts w:ascii="Times New Roman" w:hAnsi="Times New Roman" w:cs="Times New Roman"/>
          <w:sz w:val="22"/>
          <w:szCs w:val="22"/>
          <w:lang w:val="en-GB"/>
        </w:rPr>
      </w:pPr>
    </w:p>
    <w:p w:rsidR="005D1E32" w:rsidRPr="005D1E32" w:rsidRDefault="00647AC2"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 results of the above survey and additional te</w:t>
      </w:r>
      <w:r w:rsidR="005D1E32">
        <w:rPr>
          <w:rFonts w:ascii="Times New Roman" w:hAnsi="Times New Roman" w:cs="Times New Roman"/>
          <w:sz w:val="22"/>
          <w:szCs w:val="22"/>
          <w:lang w:val="en-GB"/>
        </w:rPr>
        <w:t xml:space="preserve">stimonials from Palestinian </w:t>
      </w:r>
      <w:r w:rsidRPr="004A29F9">
        <w:rPr>
          <w:rFonts w:ascii="Times New Roman" w:hAnsi="Times New Roman" w:cs="Times New Roman"/>
          <w:sz w:val="22"/>
          <w:szCs w:val="22"/>
          <w:lang w:val="en-GB"/>
        </w:rPr>
        <w:t>lawyers as to the overall impact o</w:t>
      </w:r>
      <w:r w:rsidR="005D1E32">
        <w:rPr>
          <w:rFonts w:ascii="Times New Roman" w:hAnsi="Times New Roman" w:cs="Times New Roman"/>
          <w:sz w:val="22"/>
          <w:szCs w:val="22"/>
          <w:lang w:val="en-GB"/>
        </w:rPr>
        <w:t xml:space="preserve">f MIZAN2 is annexed to this report. </w:t>
      </w:r>
      <w:r w:rsidR="00ED36DF" w:rsidRPr="004A29F9">
        <w:rPr>
          <w:rFonts w:ascii="Times New Roman" w:hAnsi="Times New Roman" w:cs="Times New Roman"/>
          <w:sz w:val="22"/>
          <w:szCs w:val="22"/>
          <w:lang w:val="en-GB"/>
        </w:rPr>
        <w:t xml:space="preserve">The main criticism of the database </w:t>
      </w:r>
      <w:r w:rsidR="00414243" w:rsidRPr="004A29F9">
        <w:rPr>
          <w:rFonts w:ascii="Times New Roman" w:hAnsi="Times New Roman" w:cs="Times New Roman"/>
          <w:sz w:val="22"/>
          <w:szCs w:val="22"/>
          <w:lang w:val="en-GB"/>
        </w:rPr>
        <w:t xml:space="preserve">expressed by lawyers and academics </w:t>
      </w:r>
      <w:r w:rsidR="00ED36DF" w:rsidRPr="004A29F9">
        <w:rPr>
          <w:rFonts w:ascii="Times New Roman" w:hAnsi="Times New Roman" w:cs="Times New Roman"/>
          <w:sz w:val="22"/>
          <w:szCs w:val="22"/>
          <w:lang w:val="en-GB"/>
        </w:rPr>
        <w:t>is that the software needs to be updated more freq</w:t>
      </w:r>
      <w:r w:rsidR="005D1E32">
        <w:rPr>
          <w:rFonts w:ascii="Times New Roman" w:hAnsi="Times New Roman" w:cs="Times New Roman"/>
          <w:sz w:val="22"/>
          <w:szCs w:val="22"/>
          <w:lang w:val="en-GB"/>
        </w:rPr>
        <w:t xml:space="preserve">uently and is sometimes slow. </w:t>
      </w:r>
      <w:r w:rsidR="00ED36DF" w:rsidRPr="004A29F9">
        <w:rPr>
          <w:rFonts w:ascii="Times New Roman" w:hAnsi="Times New Roman" w:cs="Times New Roman"/>
          <w:sz w:val="22"/>
          <w:szCs w:val="22"/>
          <w:lang w:val="en-GB"/>
        </w:rPr>
        <w:t>As noted above, UNDP is actively supporting the next phase of the system</w:t>
      </w:r>
      <w:r w:rsidR="005D1E32">
        <w:rPr>
          <w:rFonts w:ascii="Times New Roman" w:hAnsi="Times New Roman" w:cs="Times New Roman"/>
          <w:sz w:val="22"/>
          <w:szCs w:val="22"/>
          <w:lang w:val="en-GB"/>
        </w:rPr>
        <w:t>, MIZAN2. The e</w:t>
      </w:r>
      <w:r w:rsidR="00DF2F09" w:rsidRPr="004A29F9">
        <w:rPr>
          <w:rFonts w:ascii="Times New Roman" w:hAnsi="Times New Roman" w:cs="Times New Roman"/>
          <w:sz w:val="22"/>
          <w:szCs w:val="22"/>
          <w:lang w:val="en-GB"/>
        </w:rPr>
        <w:t xml:space="preserve">valuation received full demonstrations of both </w:t>
      </w:r>
      <w:r w:rsidR="005D1E32">
        <w:rPr>
          <w:rFonts w:ascii="Times New Roman" w:hAnsi="Times New Roman" w:cs="Times New Roman"/>
          <w:sz w:val="22"/>
          <w:szCs w:val="22"/>
          <w:lang w:val="en-GB"/>
        </w:rPr>
        <w:t xml:space="preserve">the MIZAN2 and </w:t>
      </w:r>
      <w:r w:rsidR="005D1E32">
        <w:rPr>
          <w:rFonts w:ascii="Times New Roman" w:hAnsi="Times New Roman" w:cs="Times New Roman"/>
          <w:i/>
          <w:sz w:val="22"/>
          <w:szCs w:val="22"/>
          <w:lang w:val="en-GB"/>
        </w:rPr>
        <w:t>Al-Muqtafi</w:t>
      </w:r>
      <w:r w:rsidR="005D1E32">
        <w:rPr>
          <w:rFonts w:ascii="Times New Roman" w:hAnsi="Times New Roman" w:cs="Times New Roman"/>
          <w:sz w:val="22"/>
          <w:szCs w:val="22"/>
          <w:lang w:val="en-GB"/>
        </w:rPr>
        <w:t xml:space="preserve"> databases from the IT department at the HJC and the software development team at Birzeit University, respectively.</w:t>
      </w:r>
    </w:p>
    <w:p w:rsidR="00C37442" w:rsidRPr="004A29F9" w:rsidRDefault="00C37442" w:rsidP="00FB6759">
      <w:pPr>
        <w:spacing w:after="0" w:line="240" w:lineRule="auto"/>
        <w:jc w:val="both"/>
        <w:rPr>
          <w:rFonts w:ascii="Times New Roman" w:hAnsi="Times New Roman" w:cs="Times New Roman"/>
          <w:sz w:val="22"/>
          <w:szCs w:val="22"/>
          <w:lang w:val="en-GB"/>
        </w:rPr>
      </w:pPr>
    </w:p>
    <w:p w:rsidR="0014429F" w:rsidRPr="004A29F9" w:rsidRDefault="0014429F" w:rsidP="00FB6759">
      <w:pPr>
        <w:spacing w:after="0" w:line="240" w:lineRule="auto"/>
        <w:jc w:val="both"/>
        <w:rPr>
          <w:rFonts w:ascii="Times New Roman" w:hAnsi="Times New Roman" w:cs="Times New Roman"/>
          <w:i/>
          <w:sz w:val="22"/>
          <w:szCs w:val="22"/>
          <w:lang w:val="en-GB"/>
        </w:rPr>
      </w:pPr>
      <w:r w:rsidRPr="004A29F9">
        <w:rPr>
          <w:rFonts w:ascii="Times New Roman" w:hAnsi="Times New Roman" w:cs="Times New Roman"/>
          <w:i/>
          <w:sz w:val="22"/>
          <w:szCs w:val="22"/>
          <w:lang w:val="en-GB"/>
        </w:rPr>
        <w:t>Court information points</w:t>
      </w:r>
    </w:p>
    <w:p w:rsidR="00874D71" w:rsidRDefault="00874D71" w:rsidP="00FB6759">
      <w:pPr>
        <w:spacing w:after="0" w:line="240" w:lineRule="auto"/>
        <w:jc w:val="both"/>
        <w:rPr>
          <w:rFonts w:ascii="Times New Roman" w:hAnsi="Times New Roman" w:cs="Times New Roman"/>
          <w:sz w:val="22"/>
          <w:szCs w:val="22"/>
          <w:lang w:val="en-GB"/>
        </w:rPr>
      </w:pPr>
    </w:p>
    <w:p w:rsidR="00391AA2" w:rsidRPr="004A29F9" w:rsidRDefault="0014429F"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UNDP in partnership with EUPOL COPPS also pursued innovative work in the court system such as establishing court information points in five Palestinian courthouses as first points of contact for citizens and referral mechanisms for legal aid.</w:t>
      </w:r>
      <w:r w:rsidRPr="004A29F9">
        <w:rPr>
          <w:rStyle w:val="FootnoteReference"/>
          <w:rFonts w:ascii="Times New Roman" w:hAnsi="Times New Roman" w:cs="Times New Roman"/>
          <w:sz w:val="22"/>
          <w:szCs w:val="22"/>
          <w:lang w:val="en-GB"/>
        </w:rPr>
        <w:footnoteReference w:id="100"/>
      </w:r>
      <w:r w:rsidRPr="004A29F9">
        <w:rPr>
          <w:rFonts w:ascii="Times New Roman" w:hAnsi="Times New Roman" w:cs="Times New Roman"/>
          <w:sz w:val="22"/>
          <w:szCs w:val="22"/>
          <w:lang w:val="en-GB"/>
        </w:rPr>
        <w:t xml:space="preserve">In addition, UNDP supported trainings for journalists, publications and a website to facilitate discussions on further consolidating </w:t>
      </w:r>
      <w:r w:rsidR="003A5FCB">
        <w:rPr>
          <w:rFonts w:ascii="Times New Roman" w:hAnsi="Times New Roman" w:cs="Times New Roman"/>
          <w:sz w:val="22"/>
          <w:szCs w:val="22"/>
          <w:lang w:val="en-GB"/>
        </w:rPr>
        <w:t xml:space="preserve">the </w:t>
      </w:r>
      <w:r w:rsidRPr="004A29F9">
        <w:rPr>
          <w:rFonts w:ascii="Times New Roman" w:hAnsi="Times New Roman" w:cs="Times New Roman"/>
          <w:sz w:val="22"/>
          <w:szCs w:val="22"/>
          <w:lang w:val="en-GB"/>
        </w:rPr>
        <w:t xml:space="preserve">rule of law in </w:t>
      </w:r>
      <w:r w:rsidR="003A5FCB">
        <w:rPr>
          <w:rFonts w:ascii="Times New Roman" w:hAnsi="Times New Roman" w:cs="Times New Roman"/>
          <w:sz w:val="22"/>
          <w:szCs w:val="22"/>
          <w:lang w:val="en-GB"/>
        </w:rPr>
        <w:t xml:space="preserve">the </w:t>
      </w:r>
      <w:r w:rsidR="00DE216A" w:rsidRPr="004A29F9">
        <w:rPr>
          <w:rFonts w:ascii="Times New Roman" w:hAnsi="Times New Roman" w:cs="Times New Roman"/>
          <w:sz w:val="22"/>
          <w:szCs w:val="22"/>
          <w:lang w:val="en-GB"/>
        </w:rPr>
        <w:t>oPt</w:t>
      </w:r>
      <w:r w:rsidRPr="004A29F9">
        <w:rPr>
          <w:rFonts w:ascii="Times New Roman" w:hAnsi="Times New Roman" w:cs="Times New Roman"/>
          <w:sz w:val="22"/>
          <w:szCs w:val="22"/>
          <w:lang w:val="en-GB"/>
        </w:rPr>
        <w:t xml:space="preserve"> and stimulating public debate and knowledge of justice sector reform proposals.</w:t>
      </w:r>
      <w:r w:rsidRPr="004A29F9">
        <w:rPr>
          <w:rStyle w:val="FootnoteReference"/>
          <w:rFonts w:ascii="Times New Roman" w:hAnsi="Times New Roman" w:cs="Times New Roman"/>
          <w:sz w:val="22"/>
          <w:szCs w:val="22"/>
          <w:lang w:val="en-GB"/>
        </w:rPr>
        <w:footnoteReference w:id="101"/>
      </w:r>
    </w:p>
    <w:p w:rsidR="00874D71" w:rsidRDefault="00874D71" w:rsidP="00FB6759">
      <w:pPr>
        <w:spacing w:after="0" w:line="240" w:lineRule="auto"/>
        <w:jc w:val="both"/>
        <w:rPr>
          <w:rFonts w:ascii="Times New Roman" w:hAnsi="Times New Roman" w:cs="Times New Roman"/>
          <w:sz w:val="22"/>
          <w:szCs w:val="22"/>
          <w:lang w:val="en-GB"/>
        </w:rPr>
      </w:pPr>
    </w:p>
    <w:p w:rsidR="003444D4" w:rsidRPr="004A29F9" w:rsidRDefault="003444D4"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 HJC sta</w:t>
      </w:r>
      <w:r w:rsidR="003A5FCB">
        <w:rPr>
          <w:rFonts w:ascii="Times New Roman" w:hAnsi="Times New Roman" w:cs="Times New Roman"/>
          <w:sz w:val="22"/>
          <w:szCs w:val="22"/>
          <w:lang w:val="en-GB"/>
        </w:rPr>
        <w:t>tes that the court information p</w:t>
      </w:r>
      <w:r w:rsidRPr="004A29F9">
        <w:rPr>
          <w:rFonts w:ascii="Times New Roman" w:hAnsi="Times New Roman" w:cs="Times New Roman"/>
          <w:sz w:val="22"/>
          <w:szCs w:val="22"/>
          <w:lang w:val="en-GB"/>
        </w:rPr>
        <w:t>oints were a</w:t>
      </w:r>
      <w:r w:rsidR="001506C3" w:rsidRPr="004A29F9">
        <w:rPr>
          <w:rFonts w:ascii="Times New Roman" w:hAnsi="Times New Roman" w:cs="Times New Roman"/>
          <w:sz w:val="22"/>
          <w:szCs w:val="22"/>
          <w:lang w:val="en-GB"/>
        </w:rPr>
        <w:t xml:space="preserve"> very important project for HJC, but the implementation took </w:t>
      </w:r>
      <w:r w:rsidRPr="004A29F9">
        <w:rPr>
          <w:rFonts w:ascii="Times New Roman" w:hAnsi="Times New Roman" w:cs="Times New Roman"/>
          <w:sz w:val="22"/>
          <w:szCs w:val="22"/>
          <w:lang w:val="en-GB"/>
        </w:rPr>
        <w:t>much longer than initially estimated</w:t>
      </w:r>
      <w:r w:rsidR="001506C3" w:rsidRPr="004A29F9">
        <w:rPr>
          <w:rFonts w:ascii="Times New Roman" w:hAnsi="Times New Roman" w:cs="Times New Roman"/>
          <w:sz w:val="22"/>
          <w:szCs w:val="22"/>
          <w:lang w:val="en-GB"/>
        </w:rPr>
        <w:t>.</w:t>
      </w:r>
      <w:r w:rsidR="00FD3C19">
        <w:rPr>
          <w:rFonts w:ascii="Times New Roman" w:hAnsi="Times New Roman" w:cs="Times New Roman"/>
          <w:sz w:val="22"/>
          <w:szCs w:val="22"/>
          <w:lang w:val="en-GB"/>
        </w:rPr>
        <w:t xml:space="preserve"> </w:t>
      </w:r>
      <w:r w:rsidRPr="004A29F9">
        <w:rPr>
          <w:rFonts w:ascii="Times New Roman" w:hAnsi="Times New Roman" w:cs="Times New Roman"/>
          <w:sz w:val="22"/>
          <w:szCs w:val="22"/>
          <w:lang w:val="en-GB"/>
        </w:rPr>
        <w:t>There</w:t>
      </w:r>
      <w:r w:rsidR="001506C3" w:rsidRPr="004A29F9">
        <w:rPr>
          <w:rFonts w:ascii="Times New Roman" w:hAnsi="Times New Roman" w:cs="Times New Roman"/>
          <w:sz w:val="22"/>
          <w:szCs w:val="22"/>
          <w:lang w:val="en-GB"/>
        </w:rPr>
        <w:t xml:space="preserve"> were </w:t>
      </w:r>
      <w:r w:rsidRPr="004A29F9">
        <w:rPr>
          <w:rFonts w:ascii="Times New Roman" w:hAnsi="Times New Roman" w:cs="Times New Roman"/>
          <w:sz w:val="22"/>
          <w:szCs w:val="22"/>
          <w:lang w:val="en-GB"/>
        </w:rPr>
        <w:t xml:space="preserve">also some </w:t>
      </w:r>
      <w:r w:rsidR="001506C3" w:rsidRPr="004A29F9">
        <w:rPr>
          <w:rFonts w:ascii="Times New Roman" w:hAnsi="Times New Roman" w:cs="Times New Roman"/>
          <w:sz w:val="22"/>
          <w:szCs w:val="22"/>
          <w:lang w:val="en-GB"/>
        </w:rPr>
        <w:t>problems with</w:t>
      </w:r>
      <w:r w:rsidRPr="004A29F9">
        <w:rPr>
          <w:rFonts w:ascii="Times New Roman" w:hAnsi="Times New Roman" w:cs="Times New Roman"/>
          <w:sz w:val="22"/>
          <w:szCs w:val="22"/>
          <w:lang w:val="en-GB"/>
        </w:rPr>
        <w:t xml:space="preserve"> the </w:t>
      </w:r>
      <w:r w:rsidR="002A0701" w:rsidRPr="004A29F9">
        <w:rPr>
          <w:rFonts w:ascii="Times New Roman" w:hAnsi="Times New Roman" w:cs="Times New Roman"/>
          <w:sz w:val="22"/>
          <w:szCs w:val="22"/>
          <w:lang w:val="en-GB"/>
        </w:rPr>
        <w:t>HJC</w:t>
      </w:r>
      <w:r w:rsidR="00FD3C19">
        <w:rPr>
          <w:rFonts w:ascii="Times New Roman" w:hAnsi="Times New Roman" w:cs="Times New Roman"/>
          <w:sz w:val="22"/>
          <w:szCs w:val="22"/>
          <w:lang w:val="en-GB"/>
        </w:rPr>
        <w:t xml:space="preserve"> </w:t>
      </w:r>
      <w:r w:rsidR="001506C3" w:rsidRPr="004A29F9">
        <w:rPr>
          <w:rFonts w:ascii="Times New Roman" w:hAnsi="Times New Roman" w:cs="Times New Roman"/>
          <w:sz w:val="22"/>
          <w:szCs w:val="22"/>
          <w:lang w:val="en-GB"/>
        </w:rPr>
        <w:t>contractors who performed the work</w:t>
      </w:r>
      <w:r w:rsidRPr="004A29F9">
        <w:rPr>
          <w:rFonts w:ascii="Times New Roman" w:hAnsi="Times New Roman" w:cs="Times New Roman"/>
          <w:sz w:val="22"/>
          <w:szCs w:val="22"/>
          <w:lang w:val="en-GB"/>
        </w:rPr>
        <w:t xml:space="preserve"> (i.e. </w:t>
      </w:r>
      <w:r w:rsidR="001506C3" w:rsidRPr="004A29F9">
        <w:rPr>
          <w:rFonts w:ascii="Times New Roman" w:hAnsi="Times New Roman" w:cs="Times New Roman"/>
          <w:sz w:val="22"/>
          <w:szCs w:val="22"/>
          <w:lang w:val="en-GB"/>
        </w:rPr>
        <w:t>with printing items fo</w:t>
      </w:r>
      <w:r w:rsidRPr="004A29F9">
        <w:rPr>
          <w:rFonts w:ascii="Times New Roman" w:hAnsi="Times New Roman" w:cs="Times New Roman"/>
          <w:sz w:val="22"/>
          <w:szCs w:val="22"/>
          <w:lang w:val="en-GB"/>
        </w:rPr>
        <w:t>r u</w:t>
      </w:r>
      <w:r w:rsidR="003A5FCB">
        <w:rPr>
          <w:rFonts w:ascii="Times New Roman" w:hAnsi="Times New Roman" w:cs="Times New Roman"/>
          <w:sz w:val="22"/>
          <w:szCs w:val="22"/>
          <w:lang w:val="en-GB"/>
        </w:rPr>
        <w:t xml:space="preserve">se in the information points). </w:t>
      </w:r>
      <w:r w:rsidRPr="004A29F9">
        <w:rPr>
          <w:rFonts w:ascii="Times New Roman" w:hAnsi="Times New Roman" w:cs="Times New Roman"/>
          <w:sz w:val="22"/>
          <w:szCs w:val="22"/>
          <w:lang w:val="en-GB"/>
        </w:rPr>
        <w:t xml:space="preserve">Yet, overall, </w:t>
      </w:r>
      <w:r w:rsidR="001506C3" w:rsidRPr="004A29F9">
        <w:rPr>
          <w:rFonts w:ascii="Times New Roman" w:hAnsi="Times New Roman" w:cs="Times New Roman"/>
          <w:sz w:val="22"/>
          <w:szCs w:val="22"/>
          <w:lang w:val="en-GB"/>
        </w:rPr>
        <w:t xml:space="preserve">the training </w:t>
      </w:r>
      <w:r w:rsidRPr="004A29F9">
        <w:rPr>
          <w:rFonts w:ascii="Times New Roman" w:hAnsi="Times New Roman" w:cs="Times New Roman"/>
          <w:sz w:val="22"/>
          <w:szCs w:val="22"/>
          <w:lang w:val="en-GB"/>
        </w:rPr>
        <w:t xml:space="preserve">provided with UNDP support </w:t>
      </w:r>
      <w:r w:rsidR="001506C3" w:rsidRPr="004A29F9">
        <w:rPr>
          <w:rFonts w:ascii="Times New Roman" w:hAnsi="Times New Roman" w:cs="Times New Roman"/>
          <w:sz w:val="22"/>
          <w:szCs w:val="22"/>
          <w:lang w:val="en-GB"/>
        </w:rPr>
        <w:t xml:space="preserve">went very well and the information </w:t>
      </w:r>
      <w:r w:rsidRPr="004A29F9">
        <w:rPr>
          <w:rFonts w:ascii="Times New Roman" w:hAnsi="Times New Roman" w:cs="Times New Roman"/>
          <w:sz w:val="22"/>
          <w:szCs w:val="22"/>
          <w:lang w:val="en-GB"/>
        </w:rPr>
        <w:t>points</w:t>
      </w:r>
      <w:r w:rsidR="001506C3" w:rsidRPr="004A29F9">
        <w:rPr>
          <w:rFonts w:ascii="Times New Roman" w:hAnsi="Times New Roman" w:cs="Times New Roman"/>
          <w:sz w:val="22"/>
          <w:szCs w:val="22"/>
          <w:lang w:val="en-GB"/>
        </w:rPr>
        <w:t xml:space="preserve"> are now up and running at three courts</w:t>
      </w:r>
      <w:r w:rsidRPr="004A29F9">
        <w:rPr>
          <w:rFonts w:ascii="Times New Roman" w:hAnsi="Times New Roman" w:cs="Times New Roman"/>
          <w:sz w:val="22"/>
          <w:szCs w:val="22"/>
          <w:lang w:val="en-GB"/>
        </w:rPr>
        <w:t>: Ramallah, Nablus and Jenin.</w:t>
      </w:r>
    </w:p>
    <w:p w:rsidR="00874D71" w:rsidRDefault="00874D71" w:rsidP="00FB6759">
      <w:pPr>
        <w:spacing w:after="0" w:line="240" w:lineRule="auto"/>
        <w:jc w:val="both"/>
        <w:rPr>
          <w:rFonts w:ascii="Times New Roman" w:hAnsi="Times New Roman" w:cs="Times New Roman"/>
          <w:sz w:val="22"/>
          <w:szCs w:val="22"/>
          <w:lang w:val="en-GB"/>
        </w:rPr>
      </w:pPr>
    </w:p>
    <w:p w:rsidR="00D403DE" w:rsidRPr="004A29F9" w:rsidRDefault="00D403DE"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lastRenderedPageBreak/>
        <w:t>The information points have resulted in alleviating the burden on judges and other court staff of supplyi</w:t>
      </w:r>
      <w:r w:rsidR="003A5FCB">
        <w:rPr>
          <w:rFonts w:ascii="Times New Roman" w:hAnsi="Times New Roman" w:cs="Times New Roman"/>
          <w:sz w:val="22"/>
          <w:szCs w:val="22"/>
          <w:lang w:val="en-GB"/>
        </w:rPr>
        <w:t>ng information to the public. The e</w:t>
      </w:r>
      <w:r w:rsidR="003444D4" w:rsidRPr="004A29F9">
        <w:rPr>
          <w:rFonts w:ascii="Times New Roman" w:hAnsi="Times New Roman" w:cs="Times New Roman"/>
          <w:sz w:val="22"/>
          <w:szCs w:val="22"/>
          <w:lang w:val="en-GB"/>
        </w:rPr>
        <w:t xml:space="preserve">valuation was able to verify that </w:t>
      </w:r>
      <w:r w:rsidR="00AF6628" w:rsidRPr="004A29F9">
        <w:rPr>
          <w:rFonts w:ascii="Times New Roman" w:hAnsi="Times New Roman" w:cs="Times New Roman"/>
          <w:sz w:val="22"/>
          <w:szCs w:val="22"/>
          <w:lang w:val="en-GB"/>
        </w:rPr>
        <w:t xml:space="preserve">as of 2012 </w:t>
      </w:r>
      <w:r w:rsidR="003444D4" w:rsidRPr="004A29F9">
        <w:rPr>
          <w:rFonts w:ascii="Times New Roman" w:hAnsi="Times New Roman" w:cs="Times New Roman"/>
          <w:sz w:val="22"/>
          <w:szCs w:val="22"/>
          <w:lang w:val="en-GB"/>
        </w:rPr>
        <w:t>citizens are making good u</w:t>
      </w:r>
      <w:r w:rsidR="003A5FCB">
        <w:rPr>
          <w:rFonts w:ascii="Times New Roman" w:hAnsi="Times New Roman" w:cs="Times New Roman"/>
          <w:sz w:val="22"/>
          <w:szCs w:val="22"/>
          <w:lang w:val="en-GB"/>
        </w:rPr>
        <w:t xml:space="preserve">se of the information points. </w:t>
      </w:r>
      <w:r w:rsidR="00AF6628" w:rsidRPr="004A29F9">
        <w:rPr>
          <w:rFonts w:ascii="Times New Roman" w:hAnsi="Times New Roman" w:cs="Times New Roman"/>
          <w:sz w:val="22"/>
          <w:szCs w:val="22"/>
          <w:lang w:val="en-GB"/>
        </w:rPr>
        <w:t xml:space="preserve">For example, </w:t>
      </w:r>
      <w:r w:rsidR="002A0701" w:rsidRPr="004A29F9">
        <w:rPr>
          <w:rFonts w:ascii="Times New Roman" w:hAnsi="Times New Roman" w:cs="Times New Roman"/>
          <w:sz w:val="22"/>
          <w:szCs w:val="22"/>
          <w:lang w:val="en-GB"/>
        </w:rPr>
        <w:t xml:space="preserve">according to UNDP, </w:t>
      </w:r>
      <w:r w:rsidR="00AF6628" w:rsidRPr="004A29F9">
        <w:rPr>
          <w:rFonts w:ascii="Times New Roman" w:hAnsi="Times New Roman" w:cs="Times New Roman"/>
          <w:sz w:val="22"/>
          <w:szCs w:val="22"/>
          <w:lang w:val="en-GB"/>
        </w:rPr>
        <w:t>a</w:t>
      </w:r>
      <w:r w:rsidR="003444D4" w:rsidRPr="004A29F9">
        <w:rPr>
          <w:rFonts w:ascii="Times New Roman" w:hAnsi="Times New Roman" w:cs="Times New Roman"/>
          <w:sz w:val="22"/>
          <w:szCs w:val="22"/>
          <w:lang w:val="en-GB"/>
        </w:rPr>
        <w:t xml:space="preserve">fter starting </w:t>
      </w:r>
      <w:r w:rsidR="00AF6628" w:rsidRPr="004A29F9">
        <w:rPr>
          <w:rFonts w:ascii="Times New Roman" w:hAnsi="Times New Roman" w:cs="Times New Roman"/>
          <w:sz w:val="22"/>
          <w:szCs w:val="22"/>
          <w:lang w:val="en-GB"/>
        </w:rPr>
        <w:t xml:space="preserve">only </w:t>
      </w:r>
      <w:r w:rsidR="003A5FCB">
        <w:rPr>
          <w:rFonts w:ascii="Times New Roman" w:hAnsi="Times New Roman" w:cs="Times New Roman"/>
          <w:sz w:val="22"/>
          <w:szCs w:val="22"/>
          <w:lang w:val="en-GB"/>
        </w:rPr>
        <w:t>recently the c</w:t>
      </w:r>
      <w:r w:rsidR="003444D4" w:rsidRPr="004A29F9">
        <w:rPr>
          <w:rFonts w:ascii="Times New Roman" w:hAnsi="Times New Roman" w:cs="Times New Roman"/>
          <w:sz w:val="22"/>
          <w:szCs w:val="22"/>
          <w:lang w:val="en-GB"/>
        </w:rPr>
        <w:t xml:space="preserve">ourt </w:t>
      </w:r>
      <w:r w:rsidR="003A5FCB">
        <w:rPr>
          <w:rFonts w:ascii="Times New Roman" w:hAnsi="Times New Roman" w:cs="Times New Roman"/>
          <w:sz w:val="22"/>
          <w:szCs w:val="22"/>
          <w:lang w:val="en-GB"/>
        </w:rPr>
        <w:t>i</w:t>
      </w:r>
      <w:r w:rsidR="00AF6628" w:rsidRPr="004A29F9">
        <w:rPr>
          <w:rFonts w:ascii="Times New Roman" w:hAnsi="Times New Roman" w:cs="Times New Roman"/>
          <w:sz w:val="22"/>
          <w:szCs w:val="22"/>
          <w:lang w:val="en-GB"/>
        </w:rPr>
        <w:t>nformation</w:t>
      </w:r>
      <w:r w:rsidR="003A5FCB">
        <w:rPr>
          <w:rFonts w:ascii="Times New Roman" w:hAnsi="Times New Roman" w:cs="Times New Roman"/>
          <w:sz w:val="22"/>
          <w:szCs w:val="22"/>
          <w:lang w:val="en-GB"/>
        </w:rPr>
        <w:t xml:space="preserve"> p</w:t>
      </w:r>
      <w:r w:rsidR="003444D4" w:rsidRPr="004A29F9">
        <w:rPr>
          <w:rFonts w:ascii="Times New Roman" w:hAnsi="Times New Roman" w:cs="Times New Roman"/>
          <w:sz w:val="22"/>
          <w:szCs w:val="22"/>
          <w:lang w:val="en-GB"/>
        </w:rPr>
        <w:t xml:space="preserve">oint </w:t>
      </w:r>
      <w:r w:rsidR="003A5FCB">
        <w:rPr>
          <w:rFonts w:ascii="Times New Roman" w:hAnsi="Times New Roman" w:cs="Times New Roman"/>
          <w:sz w:val="22"/>
          <w:szCs w:val="22"/>
          <w:lang w:val="en-GB"/>
        </w:rPr>
        <w:t xml:space="preserve">at the courthouse in </w:t>
      </w:r>
      <w:r w:rsidR="003444D4" w:rsidRPr="004A29F9">
        <w:rPr>
          <w:rFonts w:ascii="Times New Roman" w:hAnsi="Times New Roman" w:cs="Times New Roman"/>
          <w:sz w:val="22"/>
          <w:szCs w:val="22"/>
          <w:lang w:val="en-GB"/>
        </w:rPr>
        <w:t>Jenin has had 8,000 visitors</w:t>
      </w:r>
      <w:r w:rsidR="00AF6628" w:rsidRPr="004A29F9">
        <w:rPr>
          <w:rFonts w:ascii="Times New Roman" w:hAnsi="Times New Roman" w:cs="Times New Roman"/>
          <w:sz w:val="22"/>
          <w:szCs w:val="22"/>
          <w:lang w:val="en-GB"/>
        </w:rPr>
        <w:t xml:space="preserve"> seeking information</w:t>
      </w:r>
      <w:r w:rsidR="003444D4" w:rsidRPr="004A29F9">
        <w:rPr>
          <w:rFonts w:ascii="Times New Roman" w:hAnsi="Times New Roman" w:cs="Times New Roman"/>
          <w:sz w:val="22"/>
          <w:szCs w:val="22"/>
          <w:lang w:val="en-GB"/>
        </w:rPr>
        <w:t>. Nablus</w:t>
      </w:r>
      <w:r w:rsidR="002A0701" w:rsidRPr="004A29F9">
        <w:rPr>
          <w:rFonts w:ascii="Times New Roman" w:hAnsi="Times New Roman" w:cs="Times New Roman"/>
          <w:sz w:val="22"/>
          <w:szCs w:val="22"/>
          <w:lang w:val="en-GB"/>
        </w:rPr>
        <w:t xml:space="preserve">, which </w:t>
      </w:r>
      <w:r w:rsidR="003444D4" w:rsidRPr="004A29F9">
        <w:rPr>
          <w:rFonts w:ascii="Times New Roman" w:hAnsi="Times New Roman" w:cs="Times New Roman"/>
          <w:sz w:val="22"/>
          <w:szCs w:val="22"/>
          <w:lang w:val="en-GB"/>
        </w:rPr>
        <w:t xml:space="preserve">has been only running for </w:t>
      </w:r>
      <w:r w:rsidR="002A0701" w:rsidRPr="004A29F9">
        <w:rPr>
          <w:rFonts w:ascii="Times New Roman" w:hAnsi="Times New Roman" w:cs="Times New Roman"/>
          <w:sz w:val="22"/>
          <w:szCs w:val="22"/>
          <w:lang w:val="en-GB"/>
        </w:rPr>
        <w:t>three</w:t>
      </w:r>
      <w:r w:rsidR="00FD3C19">
        <w:rPr>
          <w:rFonts w:ascii="Times New Roman" w:hAnsi="Times New Roman" w:cs="Times New Roman"/>
          <w:sz w:val="22"/>
          <w:szCs w:val="22"/>
          <w:lang w:val="en-GB"/>
        </w:rPr>
        <w:t xml:space="preserve"> </w:t>
      </w:r>
      <w:r w:rsidR="003444D4" w:rsidRPr="004A29F9">
        <w:rPr>
          <w:rFonts w:ascii="Times New Roman" w:hAnsi="Times New Roman" w:cs="Times New Roman"/>
          <w:sz w:val="22"/>
          <w:szCs w:val="22"/>
          <w:lang w:val="en-GB"/>
        </w:rPr>
        <w:t>months</w:t>
      </w:r>
      <w:r w:rsidR="002A0701" w:rsidRPr="004A29F9">
        <w:rPr>
          <w:rFonts w:ascii="Times New Roman" w:hAnsi="Times New Roman" w:cs="Times New Roman"/>
          <w:sz w:val="22"/>
          <w:szCs w:val="22"/>
          <w:lang w:val="en-GB"/>
        </w:rPr>
        <w:t xml:space="preserve"> has already documented </w:t>
      </w:r>
      <w:r w:rsidR="003A5FCB">
        <w:rPr>
          <w:rFonts w:ascii="Times New Roman" w:hAnsi="Times New Roman" w:cs="Times New Roman"/>
          <w:sz w:val="22"/>
          <w:szCs w:val="22"/>
          <w:lang w:val="en-GB"/>
        </w:rPr>
        <w:t>over 1,789 visitors. The information p</w:t>
      </w:r>
      <w:r w:rsidR="002A0701" w:rsidRPr="004A29F9">
        <w:rPr>
          <w:rFonts w:ascii="Times New Roman" w:hAnsi="Times New Roman" w:cs="Times New Roman"/>
          <w:sz w:val="22"/>
          <w:szCs w:val="22"/>
          <w:lang w:val="en-GB"/>
        </w:rPr>
        <w:t xml:space="preserve">oint in </w:t>
      </w:r>
      <w:r w:rsidR="003444D4" w:rsidRPr="004A29F9">
        <w:rPr>
          <w:rFonts w:ascii="Times New Roman" w:hAnsi="Times New Roman" w:cs="Times New Roman"/>
          <w:sz w:val="22"/>
          <w:szCs w:val="22"/>
          <w:lang w:val="en-GB"/>
        </w:rPr>
        <w:t xml:space="preserve">Ramallah </w:t>
      </w:r>
      <w:r w:rsidR="002A0701" w:rsidRPr="004A29F9">
        <w:rPr>
          <w:rFonts w:ascii="Times New Roman" w:hAnsi="Times New Roman" w:cs="Times New Roman"/>
          <w:sz w:val="22"/>
          <w:szCs w:val="22"/>
          <w:lang w:val="en-GB"/>
        </w:rPr>
        <w:t>has only recently begun operations as a result of on-going rehabilitation and construction at the court house that delayed its start.</w:t>
      </w:r>
    </w:p>
    <w:p w:rsidR="00874D71" w:rsidRDefault="00874D71" w:rsidP="00FB6759">
      <w:pPr>
        <w:spacing w:after="0" w:line="240" w:lineRule="auto"/>
        <w:jc w:val="both"/>
        <w:rPr>
          <w:rFonts w:ascii="Times New Roman" w:hAnsi="Times New Roman" w:cs="Times New Roman"/>
          <w:sz w:val="22"/>
          <w:szCs w:val="22"/>
          <w:lang w:val="en-GB"/>
        </w:rPr>
      </w:pPr>
    </w:p>
    <w:p w:rsidR="00736AE9" w:rsidRPr="004A29F9" w:rsidRDefault="003A5FCB"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The e</w:t>
      </w:r>
      <w:r w:rsidR="00D403DE" w:rsidRPr="004A29F9">
        <w:rPr>
          <w:rFonts w:ascii="Times New Roman" w:hAnsi="Times New Roman" w:cs="Times New Roman"/>
          <w:sz w:val="22"/>
          <w:szCs w:val="22"/>
          <w:lang w:val="en-GB"/>
        </w:rPr>
        <w:t>valuation’s visit to the court information point in Jenin confirmed that citizens are approaching the court information points to obtain in</w:t>
      </w:r>
      <w:r>
        <w:rPr>
          <w:rFonts w:ascii="Times New Roman" w:hAnsi="Times New Roman" w:cs="Times New Roman"/>
          <w:sz w:val="22"/>
          <w:szCs w:val="22"/>
          <w:lang w:val="en-GB"/>
        </w:rPr>
        <w:t xml:space="preserve">formation about their cases. </w:t>
      </w:r>
      <w:r w:rsidR="000F7FA9" w:rsidRPr="004A29F9">
        <w:rPr>
          <w:rFonts w:ascii="Times New Roman" w:hAnsi="Times New Roman" w:cs="Times New Roman"/>
          <w:sz w:val="22"/>
          <w:szCs w:val="22"/>
          <w:lang w:val="en-GB"/>
        </w:rPr>
        <w:t>The information point at Jenin demonstrated that it is able to quickly direct citizens to the proper floor of the court and advise them on their case</w:t>
      </w:r>
      <w:r>
        <w:rPr>
          <w:rFonts w:ascii="Times New Roman" w:hAnsi="Times New Roman" w:cs="Times New Roman"/>
          <w:sz w:val="22"/>
          <w:szCs w:val="22"/>
          <w:lang w:val="en-GB"/>
        </w:rPr>
        <w:t xml:space="preserve">s and what process to follow. </w:t>
      </w:r>
      <w:r w:rsidR="000F7FA9" w:rsidRPr="004A29F9">
        <w:rPr>
          <w:rFonts w:ascii="Times New Roman" w:hAnsi="Times New Roman" w:cs="Times New Roman"/>
          <w:sz w:val="22"/>
          <w:szCs w:val="22"/>
          <w:lang w:val="en-GB"/>
        </w:rPr>
        <w:t>Yet,</w:t>
      </w:r>
      <w:r w:rsidR="00D403DE" w:rsidRPr="004A29F9">
        <w:rPr>
          <w:rFonts w:ascii="Times New Roman" w:hAnsi="Times New Roman" w:cs="Times New Roman"/>
          <w:sz w:val="22"/>
          <w:szCs w:val="22"/>
          <w:lang w:val="en-GB"/>
        </w:rPr>
        <w:t xml:space="preserve"> the physical space </w:t>
      </w:r>
      <w:r w:rsidR="000F7FA9" w:rsidRPr="004A29F9">
        <w:rPr>
          <w:rFonts w:ascii="Times New Roman" w:hAnsi="Times New Roman" w:cs="Times New Roman"/>
          <w:sz w:val="22"/>
          <w:szCs w:val="22"/>
          <w:lang w:val="en-GB"/>
        </w:rPr>
        <w:t xml:space="preserve">itself </w:t>
      </w:r>
      <w:r w:rsidR="00D403DE" w:rsidRPr="004A29F9">
        <w:rPr>
          <w:rFonts w:ascii="Times New Roman" w:hAnsi="Times New Roman" w:cs="Times New Roman"/>
          <w:sz w:val="22"/>
          <w:szCs w:val="22"/>
          <w:lang w:val="en-GB"/>
        </w:rPr>
        <w:t xml:space="preserve">was </w:t>
      </w:r>
      <w:r w:rsidR="00D403DE" w:rsidRPr="004A29F9">
        <w:rPr>
          <w:rFonts w:ascii="Times New Roman" w:hAnsi="Times New Roman" w:cs="Times New Roman"/>
          <w:i/>
          <w:sz w:val="22"/>
          <w:szCs w:val="22"/>
          <w:lang w:val="en-GB"/>
        </w:rPr>
        <w:t>underutilized</w:t>
      </w:r>
      <w:r w:rsidR="00D403DE" w:rsidRPr="004A29F9">
        <w:rPr>
          <w:rFonts w:ascii="Times New Roman" w:hAnsi="Times New Roman" w:cs="Times New Roman"/>
          <w:sz w:val="22"/>
          <w:szCs w:val="22"/>
          <w:lang w:val="en-GB"/>
        </w:rPr>
        <w:t xml:space="preserve"> in te</w:t>
      </w:r>
      <w:r>
        <w:rPr>
          <w:rFonts w:ascii="Times New Roman" w:hAnsi="Times New Roman" w:cs="Times New Roman"/>
          <w:sz w:val="22"/>
          <w:szCs w:val="22"/>
          <w:lang w:val="en-GB"/>
        </w:rPr>
        <w:t xml:space="preserve">rms of available information. </w:t>
      </w:r>
      <w:r w:rsidR="00D403DE" w:rsidRPr="004A29F9">
        <w:rPr>
          <w:rFonts w:ascii="Times New Roman" w:hAnsi="Times New Roman" w:cs="Times New Roman"/>
          <w:sz w:val="22"/>
          <w:szCs w:val="22"/>
          <w:lang w:val="en-GB"/>
        </w:rPr>
        <w:t>No hard copy materials (</w:t>
      </w:r>
      <w:r w:rsidR="00A63A20" w:rsidRPr="004A29F9">
        <w:rPr>
          <w:rFonts w:ascii="Times New Roman" w:hAnsi="Times New Roman" w:cs="Times New Roman"/>
          <w:sz w:val="22"/>
          <w:szCs w:val="22"/>
          <w:lang w:val="en-GB"/>
        </w:rPr>
        <w:t>i.e.,</w:t>
      </w:r>
      <w:r w:rsidR="00D403DE" w:rsidRPr="004A29F9">
        <w:rPr>
          <w:rFonts w:ascii="Times New Roman" w:hAnsi="Times New Roman" w:cs="Times New Roman"/>
          <w:sz w:val="22"/>
          <w:szCs w:val="22"/>
          <w:lang w:val="en-GB"/>
        </w:rPr>
        <w:t xml:space="preserve"> posters, brochures, pamphlets, copies of key court rules/filing procedures or laws) were avail</w:t>
      </w:r>
      <w:r>
        <w:rPr>
          <w:rFonts w:ascii="Times New Roman" w:hAnsi="Times New Roman" w:cs="Times New Roman"/>
          <w:sz w:val="22"/>
          <w:szCs w:val="22"/>
          <w:lang w:val="en-GB"/>
        </w:rPr>
        <w:t xml:space="preserve">able at the information point. </w:t>
      </w:r>
      <w:r w:rsidR="00D403DE" w:rsidRPr="004A29F9">
        <w:rPr>
          <w:rFonts w:ascii="Times New Roman" w:hAnsi="Times New Roman" w:cs="Times New Roman"/>
          <w:sz w:val="22"/>
          <w:szCs w:val="22"/>
          <w:lang w:val="en-GB"/>
        </w:rPr>
        <w:t>The sign i</w:t>
      </w:r>
      <w:r>
        <w:rPr>
          <w:rFonts w:ascii="Times New Roman" w:hAnsi="Times New Roman" w:cs="Times New Roman"/>
          <w:sz w:val="22"/>
          <w:szCs w:val="22"/>
          <w:lang w:val="en-GB"/>
        </w:rPr>
        <w:t xml:space="preserve">n front was also very small. </w:t>
      </w:r>
      <w:r w:rsidR="00D403DE" w:rsidRPr="004A29F9">
        <w:rPr>
          <w:rFonts w:ascii="Times New Roman" w:hAnsi="Times New Roman" w:cs="Times New Roman"/>
          <w:sz w:val="22"/>
          <w:szCs w:val="22"/>
          <w:lang w:val="en-GB"/>
        </w:rPr>
        <w:t xml:space="preserve">This is likely due to some of the problems </w:t>
      </w:r>
      <w:r w:rsidR="005B7A65" w:rsidRPr="004A29F9">
        <w:rPr>
          <w:rFonts w:ascii="Times New Roman" w:hAnsi="Times New Roman" w:cs="Times New Roman"/>
          <w:sz w:val="22"/>
          <w:szCs w:val="22"/>
          <w:lang w:val="en-GB"/>
        </w:rPr>
        <w:t>the HJC</w:t>
      </w:r>
      <w:r w:rsidR="00D403DE" w:rsidRPr="004A29F9">
        <w:rPr>
          <w:rFonts w:ascii="Times New Roman" w:hAnsi="Times New Roman" w:cs="Times New Roman"/>
          <w:sz w:val="22"/>
          <w:szCs w:val="22"/>
          <w:lang w:val="en-GB"/>
        </w:rPr>
        <w:t xml:space="preserve"> experienced with local contractors </w:t>
      </w:r>
      <w:r w:rsidR="000F7FA9" w:rsidRPr="004A29F9">
        <w:rPr>
          <w:rFonts w:ascii="Times New Roman" w:hAnsi="Times New Roman" w:cs="Times New Roman"/>
          <w:sz w:val="22"/>
          <w:szCs w:val="22"/>
          <w:lang w:val="en-GB"/>
        </w:rPr>
        <w:t>as</w:t>
      </w:r>
      <w:r>
        <w:rPr>
          <w:rFonts w:ascii="Times New Roman" w:hAnsi="Times New Roman" w:cs="Times New Roman"/>
          <w:sz w:val="22"/>
          <w:szCs w:val="22"/>
          <w:lang w:val="en-GB"/>
        </w:rPr>
        <w:t xml:space="preserve"> noted above. </w:t>
      </w:r>
      <w:r w:rsidR="00D403DE" w:rsidRPr="004A29F9">
        <w:rPr>
          <w:rFonts w:ascii="Times New Roman" w:hAnsi="Times New Roman" w:cs="Times New Roman"/>
          <w:sz w:val="22"/>
          <w:szCs w:val="22"/>
          <w:lang w:val="en-GB"/>
        </w:rPr>
        <w:t>Going forward UNDP should explore ways in which ensure that the cou</w:t>
      </w:r>
      <w:r>
        <w:rPr>
          <w:rFonts w:ascii="Times New Roman" w:hAnsi="Times New Roman" w:cs="Times New Roman"/>
          <w:sz w:val="22"/>
          <w:szCs w:val="22"/>
          <w:lang w:val="en-GB"/>
        </w:rPr>
        <w:t>rt information points are utilis</w:t>
      </w:r>
      <w:r w:rsidR="00D403DE" w:rsidRPr="004A29F9">
        <w:rPr>
          <w:rFonts w:ascii="Times New Roman" w:hAnsi="Times New Roman" w:cs="Times New Roman"/>
          <w:sz w:val="22"/>
          <w:szCs w:val="22"/>
          <w:lang w:val="en-GB"/>
        </w:rPr>
        <w:t xml:space="preserve">ed to their maximum potential as distribution points for a wide range of information and knowledge products about the courts and the law. </w:t>
      </w:r>
    </w:p>
    <w:p w:rsidR="006865F1" w:rsidRPr="004A29F9" w:rsidRDefault="006865F1" w:rsidP="00FB6759">
      <w:pPr>
        <w:spacing w:after="0" w:line="240" w:lineRule="auto"/>
        <w:jc w:val="both"/>
        <w:rPr>
          <w:rFonts w:ascii="Times New Roman" w:hAnsi="Times New Roman" w:cs="Times New Roman"/>
          <w:sz w:val="22"/>
          <w:szCs w:val="22"/>
          <w:lang w:val="en-GB"/>
        </w:rPr>
      </w:pPr>
    </w:p>
    <w:p w:rsidR="006865F1" w:rsidRPr="004A29F9" w:rsidRDefault="00874D71" w:rsidP="00FB6759">
      <w:pPr>
        <w:spacing w:after="0" w:line="240" w:lineRule="auto"/>
        <w:jc w:val="both"/>
        <w:rPr>
          <w:rFonts w:ascii="Times New Roman" w:hAnsi="Times New Roman" w:cs="Times New Roman"/>
          <w:sz w:val="22"/>
          <w:szCs w:val="22"/>
          <w:lang w:val="en-GB"/>
        </w:rPr>
      </w:pPr>
      <w:r>
        <w:rPr>
          <w:rFonts w:ascii="Times New Roman" w:hAnsi="Times New Roman" w:cs="Times New Roman"/>
          <w:i/>
          <w:sz w:val="22"/>
          <w:szCs w:val="22"/>
          <w:lang w:val="en-GB"/>
        </w:rPr>
        <w:t>Enforcement of j</w:t>
      </w:r>
      <w:r w:rsidR="006865F1" w:rsidRPr="004A29F9">
        <w:rPr>
          <w:rFonts w:ascii="Times New Roman" w:hAnsi="Times New Roman" w:cs="Times New Roman"/>
          <w:i/>
          <w:sz w:val="22"/>
          <w:szCs w:val="22"/>
          <w:lang w:val="en-GB"/>
        </w:rPr>
        <w:t>udgments</w:t>
      </w:r>
    </w:p>
    <w:p w:rsidR="00874D71" w:rsidRDefault="00874D71" w:rsidP="00FB6759">
      <w:pPr>
        <w:spacing w:after="0" w:line="240" w:lineRule="auto"/>
        <w:jc w:val="both"/>
        <w:rPr>
          <w:rFonts w:ascii="Times New Roman" w:hAnsi="Times New Roman" w:cs="Times New Roman"/>
          <w:sz w:val="22"/>
          <w:szCs w:val="22"/>
          <w:lang w:val="en-GB"/>
        </w:rPr>
      </w:pPr>
    </w:p>
    <w:p w:rsidR="006865F1" w:rsidRPr="004A29F9" w:rsidRDefault="006865F1"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The volume of cases in the civil and </w:t>
      </w:r>
      <w:r w:rsidR="003A5FCB" w:rsidRPr="003A5FCB">
        <w:rPr>
          <w:rFonts w:ascii="Times New Roman" w:hAnsi="Times New Roman" w:cs="Times New Roman"/>
          <w:i/>
          <w:sz w:val="22"/>
          <w:szCs w:val="22"/>
          <w:lang w:val="en-GB"/>
        </w:rPr>
        <w:t>s</w:t>
      </w:r>
      <w:r w:rsidR="000C369C" w:rsidRPr="003A5FCB">
        <w:rPr>
          <w:rFonts w:ascii="Times New Roman" w:hAnsi="Times New Roman" w:cs="Times New Roman"/>
          <w:i/>
          <w:sz w:val="22"/>
          <w:szCs w:val="22"/>
          <w:lang w:val="en-GB"/>
        </w:rPr>
        <w:t>hari’a</w:t>
      </w:r>
      <w:r w:rsidRPr="004A29F9">
        <w:rPr>
          <w:rFonts w:ascii="Times New Roman" w:hAnsi="Times New Roman" w:cs="Times New Roman"/>
          <w:sz w:val="22"/>
          <w:szCs w:val="22"/>
          <w:lang w:val="en-GB"/>
        </w:rPr>
        <w:t xml:space="preserve"> courts in </w:t>
      </w:r>
      <w:r w:rsidR="003A5FCB">
        <w:rPr>
          <w:rFonts w:ascii="Times New Roman" w:hAnsi="Times New Roman" w:cs="Times New Roman"/>
          <w:sz w:val="22"/>
          <w:szCs w:val="22"/>
          <w:lang w:val="en-GB"/>
        </w:rPr>
        <w:t xml:space="preserve">the </w:t>
      </w:r>
      <w:r w:rsidR="00DE216A" w:rsidRPr="004A29F9">
        <w:rPr>
          <w:rFonts w:ascii="Times New Roman" w:hAnsi="Times New Roman" w:cs="Times New Roman"/>
          <w:sz w:val="22"/>
          <w:szCs w:val="22"/>
          <w:lang w:val="en-GB"/>
        </w:rPr>
        <w:t>oPt</w:t>
      </w:r>
      <w:r w:rsidRPr="004A29F9">
        <w:rPr>
          <w:rFonts w:ascii="Times New Roman" w:hAnsi="Times New Roman" w:cs="Times New Roman"/>
          <w:sz w:val="22"/>
          <w:szCs w:val="22"/>
          <w:lang w:val="en-GB"/>
        </w:rPr>
        <w:t xml:space="preserve"> has grown dramatically over the past four years (which in and of itself is evidence that citizens are having a greater lev</w:t>
      </w:r>
      <w:r w:rsidR="003A5FCB">
        <w:rPr>
          <w:rFonts w:ascii="Times New Roman" w:hAnsi="Times New Roman" w:cs="Times New Roman"/>
          <w:sz w:val="22"/>
          <w:szCs w:val="22"/>
          <w:lang w:val="en-GB"/>
        </w:rPr>
        <w:t xml:space="preserve">el of trust in the court system - </w:t>
      </w:r>
      <w:r w:rsidRPr="004A29F9">
        <w:rPr>
          <w:rFonts w:ascii="Times New Roman" w:hAnsi="Times New Roman" w:cs="Times New Roman"/>
          <w:sz w:val="22"/>
          <w:szCs w:val="22"/>
          <w:lang w:val="en-GB"/>
        </w:rPr>
        <w:t>something for whi</w:t>
      </w:r>
      <w:r w:rsidR="003A5FCB">
        <w:rPr>
          <w:rFonts w:ascii="Times New Roman" w:hAnsi="Times New Roman" w:cs="Times New Roman"/>
          <w:sz w:val="22"/>
          <w:szCs w:val="22"/>
          <w:lang w:val="en-GB"/>
        </w:rPr>
        <w:t xml:space="preserve">ch UNDP can take some credit). </w:t>
      </w:r>
      <w:r w:rsidRPr="004A29F9">
        <w:rPr>
          <w:rFonts w:ascii="Times New Roman" w:hAnsi="Times New Roman" w:cs="Times New Roman"/>
          <w:sz w:val="22"/>
          <w:szCs w:val="22"/>
          <w:lang w:val="en-GB"/>
        </w:rPr>
        <w:t xml:space="preserve">But the increased caseload has compounded an already inefficient system of enforcement and execution of judgments in </w:t>
      </w:r>
      <w:r w:rsidR="00DE216A" w:rsidRPr="004A29F9">
        <w:rPr>
          <w:rFonts w:ascii="Times New Roman" w:hAnsi="Times New Roman" w:cs="Times New Roman"/>
          <w:sz w:val="22"/>
          <w:szCs w:val="22"/>
          <w:lang w:val="en-GB"/>
        </w:rPr>
        <w:t>oPt</w:t>
      </w:r>
      <w:r w:rsidR="003A5FCB">
        <w:rPr>
          <w:rFonts w:ascii="Times New Roman" w:hAnsi="Times New Roman" w:cs="Times New Roman"/>
          <w:sz w:val="22"/>
          <w:szCs w:val="22"/>
          <w:lang w:val="en-GB"/>
        </w:rPr>
        <w:t>.</w:t>
      </w:r>
      <w:r w:rsidR="00227679">
        <w:rPr>
          <w:rFonts w:ascii="Times New Roman" w:hAnsi="Times New Roman" w:cs="Times New Roman"/>
          <w:sz w:val="22"/>
          <w:szCs w:val="22"/>
          <w:lang w:val="en-GB"/>
        </w:rPr>
        <w:t xml:space="preserve"> </w:t>
      </w:r>
      <w:r w:rsidRPr="004A29F9">
        <w:rPr>
          <w:rFonts w:ascii="Times New Roman" w:hAnsi="Times New Roman" w:cs="Times New Roman"/>
          <w:sz w:val="22"/>
          <w:szCs w:val="22"/>
          <w:lang w:val="en-GB"/>
        </w:rPr>
        <w:t xml:space="preserve">The courts need to find a solution for this and UNDP can support this effort going forward.  </w:t>
      </w:r>
    </w:p>
    <w:p w:rsidR="00874D71" w:rsidRDefault="00874D71" w:rsidP="00FB6759">
      <w:pPr>
        <w:spacing w:after="0" w:line="240" w:lineRule="auto"/>
        <w:jc w:val="both"/>
        <w:rPr>
          <w:rFonts w:ascii="Times New Roman" w:hAnsi="Times New Roman" w:cs="Times New Roman"/>
          <w:sz w:val="22"/>
          <w:szCs w:val="22"/>
          <w:lang w:val="en-GB"/>
        </w:rPr>
      </w:pPr>
    </w:p>
    <w:p w:rsidR="006865F1" w:rsidRPr="004A29F9" w:rsidRDefault="006865F1"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A major issue is that under Palestinian civil procedure law, if a </w:t>
      </w:r>
      <w:r w:rsidR="003A5FCB">
        <w:rPr>
          <w:rFonts w:ascii="Times New Roman" w:hAnsi="Times New Roman" w:cs="Times New Roman"/>
          <w:sz w:val="22"/>
          <w:szCs w:val="22"/>
          <w:lang w:val="en-GB"/>
        </w:rPr>
        <w:t>judgment is not executed after six</w:t>
      </w:r>
      <w:r w:rsidRPr="004A29F9">
        <w:rPr>
          <w:rFonts w:ascii="Times New Roman" w:hAnsi="Times New Roman" w:cs="Times New Roman"/>
          <w:sz w:val="22"/>
          <w:szCs w:val="22"/>
          <w:lang w:val="en-GB"/>
        </w:rPr>
        <w:t xml:space="preserve"> months, the judgment is “frozen” for 15 years, unless the plaintiff renew</w:t>
      </w:r>
      <w:r w:rsidR="003A5FCB">
        <w:rPr>
          <w:rFonts w:ascii="Times New Roman" w:hAnsi="Times New Roman" w:cs="Times New Roman"/>
          <w:sz w:val="22"/>
          <w:szCs w:val="22"/>
          <w:lang w:val="en-GB"/>
        </w:rPr>
        <w:t>s the judgment by visiting the execution d</w:t>
      </w:r>
      <w:r w:rsidRPr="004A29F9">
        <w:rPr>
          <w:rFonts w:ascii="Times New Roman" w:hAnsi="Times New Roman" w:cs="Times New Roman"/>
          <w:sz w:val="22"/>
          <w:szCs w:val="22"/>
          <w:lang w:val="en-GB"/>
        </w:rPr>
        <w:t>epartment of the civil c</w:t>
      </w:r>
      <w:r w:rsidR="003A5FCB">
        <w:rPr>
          <w:rFonts w:ascii="Times New Roman" w:hAnsi="Times New Roman" w:cs="Times New Roman"/>
          <w:sz w:val="22"/>
          <w:szCs w:val="22"/>
          <w:lang w:val="en-GB"/>
        </w:rPr>
        <w:t>ourt</w:t>
      </w:r>
      <w:r w:rsidRPr="004A29F9">
        <w:rPr>
          <w:rFonts w:ascii="Times New Roman" w:hAnsi="Times New Roman" w:cs="Times New Roman"/>
          <w:sz w:val="22"/>
          <w:szCs w:val="22"/>
          <w:lang w:val="en-GB"/>
        </w:rPr>
        <w:t>, providing an additional period of time in which it c</w:t>
      </w:r>
      <w:r w:rsidR="003A5FCB">
        <w:rPr>
          <w:rFonts w:ascii="Times New Roman" w:hAnsi="Times New Roman" w:cs="Times New Roman"/>
          <w:sz w:val="22"/>
          <w:szCs w:val="22"/>
          <w:lang w:val="en-GB"/>
        </w:rPr>
        <w:t xml:space="preserve">an be executed and enforced. </w:t>
      </w:r>
      <w:r w:rsidRPr="004A29F9">
        <w:rPr>
          <w:rFonts w:ascii="Times New Roman" w:hAnsi="Times New Roman" w:cs="Times New Roman"/>
          <w:sz w:val="22"/>
          <w:szCs w:val="22"/>
          <w:lang w:val="en-GB"/>
        </w:rPr>
        <w:t>This was a major point raised by many s</w:t>
      </w:r>
      <w:r w:rsidR="003A5FCB">
        <w:rPr>
          <w:rFonts w:ascii="Times New Roman" w:hAnsi="Times New Roman" w:cs="Times New Roman"/>
          <w:sz w:val="22"/>
          <w:szCs w:val="22"/>
          <w:lang w:val="en-GB"/>
        </w:rPr>
        <w:t xml:space="preserve">takeholders interviewed by the evaluation, </w:t>
      </w:r>
      <w:r w:rsidRPr="004A29F9">
        <w:rPr>
          <w:rFonts w:ascii="Times New Roman" w:hAnsi="Times New Roman" w:cs="Times New Roman"/>
          <w:sz w:val="22"/>
          <w:szCs w:val="22"/>
          <w:lang w:val="en-GB"/>
        </w:rPr>
        <w:t>including the enforcement offi</w:t>
      </w:r>
      <w:r w:rsidR="003A5FCB">
        <w:rPr>
          <w:rFonts w:ascii="Times New Roman" w:hAnsi="Times New Roman" w:cs="Times New Roman"/>
          <w:sz w:val="22"/>
          <w:szCs w:val="22"/>
          <w:lang w:val="en-GB"/>
        </w:rPr>
        <w:t xml:space="preserve">cers of the courts themselves. </w:t>
      </w:r>
      <w:r w:rsidRPr="004A29F9">
        <w:rPr>
          <w:rFonts w:ascii="Times New Roman" w:hAnsi="Times New Roman" w:cs="Times New Roman"/>
          <w:sz w:val="22"/>
          <w:szCs w:val="22"/>
          <w:lang w:val="en-GB"/>
        </w:rPr>
        <w:t>Currently</w:t>
      </w:r>
      <w:r w:rsidR="003A5FCB">
        <w:rPr>
          <w:rFonts w:ascii="Times New Roman" w:hAnsi="Times New Roman" w:cs="Times New Roman"/>
          <w:sz w:val="22"/>
          <w:szCs w:val="22"/>
          <w:lang w:val="en-GB"/>
        </w:rPr>
        <w:t>,</w:t>
      </w:r>
      <w:r w:rsidRPr="004A29F9">
        <w:rPr>
          <w:rFonts w:ascii="Times New Roman" w:hAnsi="Times New Roman" w:cs="Times New Roman"/>
          <w:sz w:val="22"/>
          <w:szCs w:val="22"/>
          <w:lang w:val="en-GB"/>
        </w:rPr>
        <w:t xml:space="preserve"> the HJC has </w:t>
      </w:r>
      <w:r w:rsidR="003809F2" w:rsidRPr="004A29F9">
        <w:rPr>
          <w:rFonts w:ascii="Times New Roman" w:hAnsi="Times New Roman" w:cs="Times New Roman"/>
          <w:sz w:val="22"/>
          <w:szCs w:val="22"/>
          <w:lang w:val="en-GB"/>
        </w:rPr>
        <w:t xml:space="preserve">only a </w:t>
      </w:r>
      <w:r w:rsidR="00282DC6" w:rsidRPr="004A29F9">
        <w:rPr>
          <w:rFonts w:ascii="Times New Roman" w:hAnsi="Times New Roman" w:cs="Times New Roman"/>
          <w:sz w:val="22"/>
          <w:szCs w:val="22"/>
          <w:lang w:val="en-GB"/>
        </w:rPr>
        <w:t xml:space="preserve">nine </w:t>
      </w:r>
      <w:r w:rsidRPr="004A29F9">
        <w:rPr>
          <w:rFonts w:ascii="Times New Roman" w:hAnsi="Times New Roman" w:cs="Times New Roman"/>
          <w:sz w:val="22"/>
          <w:szCs w:val="22"/>
          <w:lang w:val="en-GB"/>
        </w:rPr>
        <w:t>enforcement officers for the entire court system</w:t>
      </w:r>
      <w:r w:rsidR="00282DC6" w:rsidRPr="004A29F9">
        <w:rPr>
          <w:rFonts w:ascii="Times New Roman" w:hAnsi="Times New Roman" w:cs="Times New Roman"/>
          <w:sz w:val="22"/>
          <w:szCs w:val="22"/>
          <w:lang w:val="en-GB"/>
        </w:rPr>
        <w:t xml:space="preserve"> in the West Bank</w:t>
      </w:r>
      <w:r w:rsidRPr="004A29F9">
        <w:rPr>
          <w:rFonts w:ascii="Times New Roman" w:hAnsi="Times New Roman" w:cs="Times New Roman"/>
          <w:sz w:val="22"/>
          <w:szCs w:val="22"/>
          <w:lang w:val="en-GB"/>
        </w:rPr>
        <w:t xml:space="preserve">. </w:t>
      </w:r>
    </w:p>
    <w:p w:rsidR="00874D71" w:rsidRDefault="00874D71" w:rsidP="00FB6759">
      <w:pPr>
        <w:spacing w:after="0" w:line="240" w:lineRule="auto"/>
        <w:jc w:val="both"/>
        <w:rPr>
          <w:rFonts w:ascii="Times New Roman" w:hAnsi="Times New Roman" w:cs="Times New Roman"/>
          <w:sz w:val="22"/>
          <w:szCs w:val="22"/>
          <w:lang w:val="en-GB"/>
        </w:rPr>
      </w:pPr>
    </w:p>
    <w:p w:rsidR="00820CF5" w:rsidRPr="004A29F9" w:rsidRDefault="003A5FCB"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At present, only the civil courts have execution offices. </w:t>
      </w:r>
      <w:r w:rsidR="006865F1" w:rsidRPr="004A29F9">
        <w:rPr>
          <w:rFonts w:ascii="Times New Roman" w:hAnsi="Times New Roman" w:cs="Times New Roman"/>
          <w:sz w:val="22"/>
          <w:szCs w:val="22"/>
          <w:lang w:val="en-GB"/>
        </w:rPr>
        <w:t xml:space="preserve">The </w:t>
      </w:r>
      <w:r w:rsidRPr="003A5FCB">
        <w:rPr>
          <w:rFonts w:ascii="Times New Roman" w:hAnsi="Times New Roman" w:cs="Times New Roman"/>
          <w:i/>
          <w:sz w:val="22"/>
          <w:szCs w:val="22"/>
          <w:lang w:val="en-GB"/>
        </w:rPr>
        <w:t>s</w:t>
      </w:r>
      <w:r w:rsidR="000C369C" w:rsidRPr="003A5FCB">
        <w:rPr>
          <w:rFonts w:ascii="Times New Roman" w:hAnsi="Times New Roman" w:cs="Times New Roman"/>
          <w:i/>
          <w:sz w:val="22"/>
          <w:szCs w:val="22"/>
          <w:lang w:val="en-GB"/>
        </w:rPr>
        <w:t>hari’a</w:t>
      </w:r>
      <w:r>
        <w:rPr>
          <w:rFonts w:ascii="Times New Roman" w:hAnsi="Times New Roman" w:cs="Times New Roman"/>
          <w:sz w:val="22"/>
          <w:szCs w:val="22"/>
          <w:lang w:val="en-GB"/>
        </w:rPr>
        <w:t xml:space="preserve"> c</w:t>
      </w:r>
      <w:r w:rsidR="006865F1" w:rsidRPr="004A29F9">
        <w:rPr>
          <w:rFonts w:ascii="Times New Roman" w:hAnsi="Times New Roman" w:cs="Times New Roman"/>
          <w:sz w:val="22"/>
          <w:szCs w:val="22"/>
          <w:lang w:val="en-GB"/>
        </w:rPr>
        <w:t>ourts (which as discussed below play a major role in family law and have a nexus with domestic violence and women’s’ right</w:t>
      </w:r>
      <w:r>
        <w:rPr>
          <w:rFonts w:ascii="Times New Roman" w:hAnsi="Times New Roman" w:cs="Times New Roman"/>
          <w:sz w:val="22"/>
          <w:szCs w:val="22"/>
          <w:lang w:val="en-GB"/>
        </w:rPr>
        <w:t xml:space="preserve">s) have no execution capacity. </w:t>
      </w:r>
      <w:r w:rsidR="006865F1" w:rsidRPr="004A29F9">
        <w:rPr>
          <w:rFonts w:ascii="Times New Roman" w:hAnsi="Times New Roman" w:cs="Times New Roman"/>
          <w:sz w:val="22"/>
          <w:szCs w:val="22"/>
          <w:lang w:val="en-GB"/>
        </w:rPr>
        <w:t xml:space="preserve">Thus, a woman who receives a judgment from a </w:t>
      </w:r>
      <w:r w:rsidRPr="003A5FCB">
        <w:rPr>
          <w:rFonts w:ascii="Times New Roman" w:hAnsi="Times New Roman" w:cs="Times New Roman"/>
          <w:i/>
          <w:sz w:val="22"/>
          <w:szCs w:val="22"/>
          <w:lang w:val="en-GB"/>
        </w:rPr>
        <w:t>s</w:t>
      </w:r>
      <w:r w:rsidR="000C369C" w:rsidRPr="003A5FCB">
        <w:rPr>
          <w:rFonts w:ascii="Times New Roman" w:hAnsi="Times New Roman" w:cs="Times New Roman"/>
          <w:i/>
          <w:sz w:val="22"/>
          <w:szCs w:val="22"/>
          <w:lang w:val="en-GB"/>
        </w:rPr>
        <w:t>hari’a</w:t>
      </w:r>
      <w:r w:rsidR="006865F1" w:rsidRPr="004A29F9">
        <w:rPr>
          <w:rFonts w:ascii="Times New Roman" w:hAnsi="Times New Roman" w:cs="Times New Roman"/>
          <w:sz w:val="22"/>
          <w:szCs w:val="22"/>
          <w:lang w:val="en-GB"/>
        </w:rPr>
        <w:t xml:space="preserve"> court is forced to go to another court (i.e. civil court) to have t</w:t>
      </w:r>
      <w:r>
        <w:rPr>
          <w:rFonts w:ascii="Times New Roman" w:hAnsi="Times New Roman" w:cs="Times New Roman"/>
          <w:sz w:val="22"/>
          <w:szCs w:val="22"/>
          <w:lang w:val="en-GB"/>
        </w:rPr>
        <w:t xml:space="preserve">he judgment executed/enforced. </w:t>
      </w:r>
      <w:r w:rsidR="006865F1" w:rsidRPr="004A29F9">
        <w:rPr>
          <w:rFonts w:ascii="Times New Roman" w:hAnsi="Times New Roman" w:cs="Times New Roman"/>
          <w:sz w:val="22"/>
          <w:szCs w:val="22"/>
          <w:lang w:val="en-GB"/>
        </w:rPr>
        <w:t xml:space="preserve">This takes time and resources and results in many judgments of the </w:t>
      </w:r>
      <w:r w:rsidRPr="003A5FCB">
        <w:rPr>
          <w:rFonts w:ascii="Times New Roman" w:hAnsi="Times New Roman" w:cs="Times New Roman"/>
          <w:i/>
          <w:sz w:val="22"/>
          <w:szCs w:val="22"/>
          <w:lang w:val="en-GB"/>
        </w:rPr>
        <w:t>s</w:t>
      </w:r>
      <w:r w:rsidR="000C369C" w:rsidRPr="003A5FCB">
        <w:rPr>
          <w:rFonts w:ascii="Times New Roman" w:hAnsi="Times New Roman" w:cs="Times New Roman"/>
          <w:i/>
          <w:sz w:val="22"/>
          <w:szCs w:val="22"/>
          <w:lang w:val="en-GB"/>
        </w:rPr>
        <w:t>hari’a</w:t>
      </w:r>
      <w:r w:rsidR="006865F1" w:rsidRPr="004A29F9">
        <w:rPr>
          <w:rFonts w:ascii="Times New Roman" w:hAnsi="Times New Roman" w:cs="Times New Roman"/>
          <w:sz w:val="22"/>
          <w:szCs w:val="22"/>
          <w:lang w:val="en-GB"/>
        </w:rPr>
        <w:t xml:space="preserve"> courts lapsing. </w:t>
      </w:r>
      <w:r w:rsidR="00282DC6" w:rsidRPr="004A29F9">
        <w:rPr>
          <w:rFonts w:ascii="Times New Roman" w:hAnsi="Times New Roman" w:cs="Times New Roman"/>
          <w:sz w:val="22"/>
          <w:szCs w:val="22"/>
          <w:lang w:val="en-GB"/>
        </w:rPr>
        <w:t xml:space="preserve">And even if a litigant does all this, the lack of enforcement officers will cause lengthy delays or no result at all; this is especially problematic for decisions concerning custody of children and other cases where human relations are of the essence. </w:t>
      </w:r>
    </w:p>
    <w:p w:rsidR="00C37442" w:rsidRPr="004A29F9" w:rsidRDefault="00C37442" w:rsidP="00FB6759">
      <w:pPr>
        <w:spacing w:after="0" w:line="240" w:lineRule="auto"/>
        <w:jc w:val="both"/>
        <w:rPr>
          <w:rFonts w:ascii="Times New Roman" w:hAnsi="Times New Roman" w:cs="Times New Roman"/>
          <w:sz w:val="22"/>
          <w:szCs w:val="22"/>
          <w:lang w:val="en-GB"/>
        </w:rPr>
      </w:pPr>
    </w:p>
    <w:p w:rsidR="00E4284D" w:rsidRPr="004A29F9" w:rsidRDefault="00874D71" w:rsidP="00FB6759">
      <w:pPr>
        <w:spacing w:after="0" w:line="240" w:lineRule="auto"/>
        <w:jc w:val="both"/>
        <w:rPr>
          <w:rFonts w:ascii="Times New Roman" w:hAnsi="Times New Roman" w:cs="Times New Roman"/>
          <w:i/>
          <w:sz w:val="22"/>
          <w:szCs w:val="22"/>
          <w:lang w:val="en-GB"/>
        </w:rPr>
      </w:pPr>
      <w:r>
        <w:rPr>
          <w:rFonts w:ascii="Times New Roman" w:hAnsi="Times New Roman" w:cs="Times New Roman"/>
          <w:i/>
          <w:sz w:val="22"/>
          <w:szCs w:val="22"/>
          <w:lang w:val="en-GB"/>
        </w:rPr>
        <w:t xml:space="preserve">Jurisdiction of the courts over </w:t>
      </w:r>
      <w:r w:rsidR="00E4284D" w:rsidRPr="004A29F9">
        <w:rPr>
          <w:rFonts w:ascii="Times New Roman" w:hAnsi="Times New Roman" w:cs="Times New Roman"/>
          <w:i/>
          <w:sz w:val="22"/>
          <w:szCs w:val="22"/>
          <w:lang w:val="en-GB"/>
        </w:rPr>
        <w:t>Areas A, B and C</w:t>
      </w:r>
    </w:p>
    <w:p w:rsidR="00874D71" w:rsidRDefault="00874D71" w:rsidP="00FB6759">
      <w:pPr>
        <w:spacing w:after="0" w:line="240" w:lineRule="auto"/>
        <w:jc w:val="both"/>
        <w:rPr>
          <w:rFonts w:ascii="Times New Roman" w:hAnsi="Times New Roman" w:cs="Times New Roman"/>
          <w:sz w:val="22"/>
          <w:szCs w:val="22"/>
          <w:lang w:val="en-GB"/>
        </w:rPr>
      </w:pPr>
    </w:p>
    <w:p w:rsidR="00D71306" w:rsidRDefault="00E4284D"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UNDP </w:t>
      </w:r>
      <w:r w:rsidR="00D71306" w:rsidRPr="004A29F9">
        <w:rPr>
          <w:rFonts w:ascii="Times New Roman" w:hAnsi="Times New Roman" w:cs="Times New Roman"/>
          <w:sz w:val="22"/>
          <w:szCs w:val="22"/>
          <w:lang w:val="en-GB"/>
        </w:rPr>
        <w:t>has supported</w:t>
      </w:r>
      <w:r w:rsidR="003A5FCB">
        <w:rPr>
          <w:rFonts w:ascii="Times New Roman" w:hAnsi="Times New Roman" w:cs="Times New Roman"/>
          <w:sz w:val="22"/>
          <w:szCs w:val="22"/>
          <w:lang w:val="en-GB"/>
        </w:rPr>
        <w:t xml:space="preserve"> both </w:t>
      </w:r>
      <w:r w:rsidRPr="004A29F9">
        <w:rPr>
          <w:rFonts w:ascii="Times New Roman" w:hAnsi="Times New Roman" w:cs="Times New Roman"/>
          <w:sz w:val="22"/>
          <w:szCs w:val="22"/>
          <w:lang w:val="en-GB"/>
        </w:rPr>
        <w:t xml:space="preserve">legal aid </w:t>
      </w:r>
      <w:r w:rsidR="003A5FCB">
        <w:rPr>
          <w:rFonts w:ascii="Times New Roman" w:hAnsi="Times New Roman" w:cs="Times New Roman"/>
          <w:sz w:val="22"/>
          <w:szCs w:val="22"/>
          <w:lang w:val="en-GB"/>
        </w:rPr>
        <w:t xml:space="preserve">and advocacy </w:t>
      </w:r>
      <w:r w:rsidRPr="004A29F9">
        <w:rPr>
          <w:rFonts w:ascii="Times New Roman" w:hAnsi="Times New Roman" w:cs="Times New Roman"/>
          <w:sz w:val="22"/>
          <w:szCs w:val="22"/>
          <w:lang w:val="en-GB"/>
        </w:rPr>
        <w:t>throu</w:t>
      </w:r>
      <w:r w:rsidR="003A5FCB">
        <w:rPr>
          <w:rFonts w:ascii="Times New Roman" w:hAnsi="Times New Roman" w:cs="Times New Roman"/>
          <w:sz w:val="22"/>
          <w:szCs w:val="22"/>
          <w:lang w:val="en-GB"/>
        </w:rPr>
        <w:t xml:space="preserve">gh its CSI, targeting, </w:t>
      </w:r>
      <w:r w:rsidR="003A5FCB">
        <w:rPr>
          <w:rFonts w:ascii="Times New Roman" w:hAnsi="Times New Roman" w:cs="Times New Roman"/>
          <w:i/>
          <w:sz w:val="22"/>
          <w:szCs w:val="22"/>
          <w:lang w:val="en-GB"/>
        </w:rPr>
        <w:t>inter alia</w:t>
      </w:r>
      <w:r w:rsidR="003A5FCB">
        <w:rPr>
          <w:rFonts w:ascii="Times New Roman" w:hAnsi="Times New Roman" w:cs="Times New Roman"/>
          <w:sz w:val="22"/>
          <w:szCs w:val="22"/>
          <w:lang w:val="en-GB"/>
        </w:rPr>
        <w:t xml:space="preserve">, Palestinian communities impacted by the Israeli occupation. </w:t>
      </w:r>
      <w:r w:rsidR="008B239D" w:rsidRPr="004A29F9">
        <w:rPr>
          <w:rFonts w:ascii="Times New Roman" w:hAnsi="Times New Roman" w:cs="Times New Roman"/>
          <w:sz w:val="22"/>
          <w:szCs w:val="22"/>
          <w:lang w:val="en-GB"/>
        </w:rPr>
        <w:t>Yet, the HJC reports continuing</w:t>
      </w:r>
      <w:r w:rsidR="00D71306" w:rsidRPr="004A29F9">
        <w:rPr>
          <w:rFonts w:ascii="Times New Roman" w:hAnsi="Times New Roman" w:cs="Times New Roman"/>
          <w:sz w:val="22"/>
          <w:szCs w:val="22"/>
          <w:lang w:val="en-GB"/>
        </w:rPr>
        <w:t xml:space="preserve"> legal</w:t>
      </w:r>
      <w:r w:rsidR="008B239D" w:rsidRPr="004A29F9">
        <w:rPr>
          <w:rFonts w:ascii="Times New Roman" w:hAnsi="Times New Roman" w:cs="Times New Roman"/>
          <w:sz w:val="22"/>
          <w:szCs w:val="22"/>
          <w:lang w:val="en-GB"/>
        </w:rPr>
        <w:t xml:space="preserve"> issues with</w:t>
      </w:r>
      <w:r w:rsidR="003A5FCB">
        <w:rPr>
          <w:rFonts w:ascii="Times New Roman" w:hAnsi="Times New Roman" w:cs="Times New Roman"/>
          <w:sz w:val="22"/>
          <w:szCs w:val="22"/>
          <w:lang w:val="en-GB"/>
        </w:rPr>
        <w:t xml:space="preserve"> the jurisdiction of the courts - </w:t>
      </w:r>
      <w:r w:rsidR="002E29E3">
        <w:rPr>
          <w:rFonts w:ascii="Times New Roman" w:hAnsi="Times New Roman" w:cs="Times New Roman"/>
          <w:sz w:val="22"/>
          <w:szCs w:val="22"/>
          <w:lang w:val="en-GB"/>
        </w:rPr>
        <w:t xml:space="preserve">especially with regard to </w:t>
      </w:r>
      <w:r w:rsidR="008B239D" w:rsidRPr="004A29F9">
        <w:rPr>
          <w:rFonts w:ascii="Times New Roman" w:hAnsi="Times New Roman" w:cs="Times New Roman"/>
          <w:sz w:val="22"/>
          <w:szCs w:val="22"/>
          <w:lang w:val="en-GB"/>
        </w:rPr>
        <w:t>Area C</w:t>
      </w:r>
      <w:r w:rsidR="002E29E3">
        <w:rPr>
          <w:rFonts w:ascii="Times New Roman" w:hAnsi="Times New Roman" w:cs="Times New Roman"/>
          <w:sz w:val="22"/>
          <w:szCs w:val="22"/>
          <w:lang w:val="en-GB"/>
        </w:rPr>
        <w:t xml:space="preserve"> and East Jerusalem. </w:t>
      </w:r>
    </w:p>
    <w:p w:rsidR="00874D71" w:rsidRPr="004A29F9" w:rsidRDefault="00874D71" w:rsidP="00FB6759">
      <w:pPr>
        <w:spacing w:after="0" w:line="240" w:lineRule="auto"/>
        <w:jc w:val="both"/>
        <w:rPr>
          <w:rFonts w:ascii="Times New Roman" w:hAnsi="Times New Roman" w:cs="Times New Roman"/>
          <w:sz w:val="22"/>
          <w:szCs w:val="22"/>
          <w:lang w:val="en-GB"/>
        </w:rPr>
      </w:pPr>
    </w:p>
    <w:p w:rsidR="00E4284D" w:rsidRPr="004A29F9" w:rsidRDefault="002E29E3"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For example, </w:t>
      </w:r>
      <w:r w:rsidR="00D71306" w:rsidRPr="004A29F9">
        <w:rPr>
          <w:rFonts w:ascii="Times New Roman" w:hAnsi="Times New Roman" w:cs="Times New Roman"/>
          <w:sz w:val="22"/>
          <w:szCs w:val="22"/>
          <w:lang w:val="en-GB"/>
        </w:rPr>
        <w:t>East Jerusalem as a city is solely under the jurisdiction of Israeli authorities, but the</w:t>
      </w:r>
      <w:r w:rsidR="00E4284D" w:rsidRPr="004A29F9">
        <w:rPr>
          <w:rFonts w:ascii="Times New Roman" w:hAnsi="Times New Roman" w:cs="Times New Roman"/>
          <w:sz w:val="22"/>
          <w:szCs w:val="22"/>
          <w:lang w:val="en-GB"/>
        </w:rPr>
        <w:t xml:space="preserve"> Jerusalem Governorate </w:t>
      </w:r>
      <w:r w:rsidR="00D71306" w:rsidRPr="004A29F9">
        <w:rPr>
          <w:rFonts w:ascii="Times New Roman" w:hAnsi="Times New Roman" w:cs="Times New Roman"/>
          <w:sz w:val="22"/>
          <w:szCs w:val="22"/>
          <w:lang w:val="en-GB"/>
        </w:rPr>
        <w:t xml:space="preserve">(surrounding area) </w:t>
      </w:r>
      <w:r w:rsidR="00E4284D" w:rsidRPr="004A29F9">
        <w:rPr>
          <w:rFonts w:ascii="Times New Roman" w:hAnsi="Times New Roman" w:cs="Times New Roman"/>
          <w:sz w:val="22"/>
          <w:szCs w:val="22"/>
          <w:lang w:val="en-GB"/>
        </w:rPr>
        <w:t>comprise</w:t>
      </w:r>
      <w:r w:rsidR="00D71306" w:rsidRPr="004A29F9">
        <w:rPr>
          <w:rFonts w:ascii="Times New Roman" w:hAnsi="Times New Roman" w:cs="Times New Roman"/>
          <w:sz w:val="22"/>
          <w:szCs w:val="22"/>
          <w:lang w:val="en-GB"/>
        </w:rPr>
        <w:t>s</w:t>
      </w:r>
      <w:r w:rsidR="00E4284D" w:rsidRPr="004A29F9">
        <w:rPr>
          <w:rFonts w:ascii="Times New Roman" w:hAnsi="Times New Roman" w:cs="Times New Roman"/>
          <w:sz w:val="22"/>
          <w:szCs w:val="22"/>
          <w:lang w:val="en-GB"/>
        </w:rPr>
        <w:t xml:space="preserve"> 15 villages that are under the jurisdiction of </w:t>
      </w:r>
      <w:r w:rsidR="00D71306" w:rsidRPr="004A29F9">
        <w:rPr>
          <w:rFonts w:ascii="Times New Roman" w:hAnsi="Times New Roman" w:cs="Times New Roman"/>
          <w:sz w:val="22"/>
          <w:szCs w:val="22"/>
          <w:lang w:val="en-GB"/>
        </w:rPr>
        <w:t>the PNA</w:t>
      </w:r>
      <w:r>
        <w:rPr>
          <w:rFonts w:ascii="Times New Roman" w:hAnsi="Times New Roman" w:cs="Times New Roman"/>
          <w:sz w:val="22"/>
          <w:szCs w:val="22"/>
          <w:lang w:val="en-GB"/>
        </w:rPr>
        <w:t xml:space="preserve">. </w:t>
      </w:r>
      <w:r w:rsidR="00D71306" w:rsidRPr="004A29F9">
        <w:rPr>
          <w:rFonts w:ascii="Times New Roman" w:hAnsi="Times New Roman" w:cs="Times New Roman"/>
          <w:sz w:val="22"/>
          <w:szCs w:val="22"/>
          <w:lang w:val="en-GB"/>
        </w:rPr>
        <w:t xml:space="preserve">These villages lie </w:t>
      </w:r>
      <w:r w:rsidR="00F6291F" w:rsidRPr="004A29F9">
        <w:rPr>
          <w:rFonts w:ascii="Times New Roman" w:hAnsi="Times New Roman" w:cs="Times New Roman"/>
          <w:sz w:val="22"/>
          <w:szCs w:val="22"/>
          <w:lang w:val="en-GB"/>
        </w:rPr>
        <w:t>within Area C</w:t>
      </w:r>
      <w:r w:rsidR="00D71306" w:rsidRPr="004A29F9">
        <w:rPr>
          <w:rFonts w:ascii="Times New Roman" w:hAnsi="Times New Roman" w:cs="Times New Roman"/>
          <w:sz w:val="22"/>
          <w:szCs w:val="22"/>
          <w:lang w:val="en-GB"/>
        </w:rPr>
        <w:t xml:space="preserve">. In these areas the courts have jurisdiction, but no or very </w:t>
      </w:r>
      <w:r w:rsidR="00D71306" w:rsidRPr="004A29F9">
        <w:rPr>
          <w:rFonts w:ascii="Times New Roman" w:hAnsi="Times New Roman" w:cs="Times New Roman"/>
          <w:sz w:val="22"/>
          <w:szCs w:val="22"/>
          <w:lang w:val="en-GB"/>
        </w:rPr>
        <w:lastRenderedPageBreak/>
        <w:t>restricted access and encounter problems</w:t>
      </w:r>
      <w:r w:rsidR="00E4284D" w:rsidRPr="004A29F9">
        <w:rPr>
          <w:rFonts w:ascii="Times New Roman" w:hAnsi="Times New Roman" w:cs="Times New Roman"/>
          <w:sz w:val="22"/>
          <w:szCs w:val="22"/>
          <w:lang w:val="en-GB"/>
        </w:rPr>
        <w:t xml:space="preserve"> getting permission to enter </w:t>
      </w:r>
      <w:r w:rsidR="00D71306" w:rsidRPr="004A29F9">
        <w:rPr>
          <w:rFonts w:ascii="Times New Roman" w:hAnsi="Times New Roman" w:cs="Times New Roman"/>
          <w:sz w:val="22"/>
          <w:szCs w:val="22"/>
          <w:lang w:val="en-GB"/>
        </w:rPr>
        <w:t xml:space="preserve">the village </w:t>
      </w:r>
      <w:r w:rsidR="00E4284D" w:rsidRPr="004A29F9">
        <w:rPr>
          <w:rFonts w:ascii="Times New Roman" w:hAnsi="Times New Roman" w:cs="Times New Roman"/>
          <w:sz w:val="22"/>
          <w:szCs w:val="22"/>
          <w:lang w:val="en-GB"/>
        </w:rPr>
        <w:t xml:space="preserve">for </w:t>
      </w:r>
      <w:r w:rsidR="00D71306" w:rsidRPr="004A29F9">
        <w:rPr>
          <w:rFonts w:ascii="Times New Roman" w:hAnsi="Times New Roman" w:cs="Times New Roman"/>
          <w:sz w:val="22"/>
          <w:szCs w:val="22"/>
          <w:lang w:val="en-GB"/>
        </w:rPr>
        <w:t xml:space="preserve">purposes of </w:t>
      </w:r>
      <w:r w:rsidR="00E4284D" w:rsidRPr="004A29F9">
        <w:rPr>
          <w:rFonts w:ascii="Times New Roman" w:hAnsi="Times New Roman" w:cs="Times New Roman"/>
          <w:sz w:val="22"/>
          <w:szCs w:val="22"/>
          <w:lang w:val="en-GB"/>
        </w:rPr>
        <w:t xml:space="preserve">providing </w:t>
      </w:r>
      <w:r w:rsidR="00D71306" w:rsidRPr="004A29F9">
        <w:rPr>
          <w:rFonts w:ascii="Times New Roman" w:hAnsi="Times New Roman" w:cs="Times New Roman"/>
          <w:sz w:val="22"/>
          <w:szCs w:val="22"/>
          <w:lang w:val="en-GB"/>
        </w:rPr>
        <w:t xml:space="preserve">court </w:t>
      </w:r>
      <w:r w:rsidR="00E4284D" w:rsidRPr="004A29F9">
        <w:rPr>
          <w:rFonts w:ascii="Times New Roman" w:hAnsi="Times New Roman" w:cs="Times New Roman"/>
          <w:sz w:val="22"/>
          <w:szCs w:val="22"/>
          <w:lang w:val="en-GB"/>
        </w:rPr>
        <w:t>notifications</w:t>
      </w:r>
      <w:r w:rsidR="00D71306" w:rsidRPr="004A29F9">
        <w:rPr>
          <w:rFonts w:ascii="Times New Roman" w:hAnsi="Times New Roman" w:cs="Times New Roman"/>
          <w:sz w:val="22"/>
          <w:szCs w:val="22"/>
          <w:lang w:val="en-GB"/>
        </w:rPr>
        <w:t xml:space="preserve"> and service of process</w:t>
      </w:r>
      <w:r>
        <w:rPr>
          <w:rFonts w:ascii="Times New Roman" w:hAnsi="Times New Roman" w:cs="Times New Roman"/>
          <w:sz w:val="22"/>
          <w:szCs w:val="22"/>
          <w:lang w:val="en-GB"/>
        </w:rPr>
        <w:t xml:space="preserve">. </w:t>
      </w:r>
      <w:r w:rsidR="00E4284D" w:rsidRPr="004A29F9">
        <w:rPr>
          <w:rFonts w:ascii="Times New Roman" w:hAnsi="Times New Roman" w:cs="Times New Roman"/>
          <w:sz w:val="22"/>
          <w:szCs w:val="22"/>
          <w:lang w:val="en-GB"/>
        </w:rPr>
        <w:t xml:space="preserve">As a consequence, </w:t>
      </w:r>
      <w:r w:rsidR="00D71306" w:rsidRPr="004A29F9">
        <w:rPr>
          <w:rFonts w:ascii="Times New Roman" w:hAnsi="Times New Roman" w:cs="Times New Roman"/>
          <w:sz w:val="22"/>
          <w:szCs w:val="22"/>
          <w:lang w:val="en-GB"/>
        </w:rPr>
        <w:t>process servers</w:t>
      </w:r>
      <w:r w:rsidR="00E4284D" w:rsidRPr="004A29F9">
        <w:rPr>
          <w:rFonts w:ascii="Times New Roman" w:hAnsi="Times New Roman" w:cs="Times New Roman"/>
          <w:sz w:val="22"/>
          <w:szCs w:val="22"/>
          <w:lang w:val="en-GB"/>
        </w:rPr>
        <w:t xml:space="preserve"> have to take risks and go unofficially. </w:t>
      </w:r>
      <w:r w:rsidR="00D71306" w:rsidRPr="004A29F9">
        <w:rPr>
          <w:rFonts w:ascii="Times New Roman" w:hAnsi="Times New Roman" w:cs="Times New Roman"/>
          <w:sz w:val="22"/>
          <w:szCs w:val="22"/>
          <w:lang w:val="en-GB"/>
        </w:rPr>
        <w:t xml:space="preserve">The </w:t>
      </w:r>
      <w:r>
        <w:rPr>
          <w:rFonts w:ascii="Times New Roman" w:hAnsi="Times New Roman" w:cs="Times New Roman"/>
          <w:sz w:val="22"/>
          <w:szCs w:val="22"/>
          <w:lang w:val="en-GB"/>
        </w:rPr>
        <w:t xml:space="preserve">Office of the </w:t>
      </w:r>
      <w:r w:rsidR="00D71306" w:rsidRPr="004A29F9">
        <w:rPr>
          <w:rFonts w:ascii="Times New Roman" w:hAnsi="Times New Roman" w:cs="Times New Roman"/>
          <w:sz w:val="22"/>
          <w:szCs w:val="22"/>
          <w:lang w:val="en-GB"/>
        </w:rPr>
        <w:t xml:space="preserve">Quartet </w:t>
      </w:r>
      <w:r>
        <w:rPr>
          <w:rFonts w:ascii="Times New Roman" w:hAnsi="Times New Roman" w:cs="Times New Roman"/>
          <w:sz w:val="22"/>
          <w:szCs w:val="22"/>
          <w:lang w:val="en-GB"/>
        </w:rPr>
        <w:t xml:space="preserve">Representative (OQR) </w:t>
      </w:r>
      <w:r w:rsidR="00D71306" w:rsidRPr="004A29F9">
        <w:rPr>
          <w:rFonts w:ascii="Times New Roman" w:hAnsi="Times New Roman" w:cs="Times New Roman"/>
          <w:sz w:val="22"/>
          <w:szCs w:val="22"/>
          <w:lang w:val="en-GB"/>
        </w:rPr>
        <w:t>did some work on movement of judges and suggested the production of a special card at the checkpoints although the Israelis haven’t agreed to this yet</w:t>
      </w:r>
      <w:r>
        <w:rPr>
          <w:rFonts w:ascii="Times New Roman" w:hAnsi="Times New Roman" w:cs="Times New Roman"/>
          <w:sz w:val="22"/>
          <w:szCs w:val="22"/>
          <w:lang w:val="en-GB"/>
        </w:rPr>
        <w:t>.</w:t>
      </w:r>
      <w:r w:rsidR="00D71306" w:rsidRPr="004A29F9">
        <w:rPr>
          <w:rFonts w:ascii="Times New Roman" w:hAnsi="Times New Roman" w:cs="Times New Roman"/>
          <w:sz w:val="22"/>
          <w:szCs w:val="22"/>
          <w:lang w:val="en-GB"/>
        </w:rPr>
        <w:t xml:space="preserve"> The AGO also has major problems with coordinating with the Israelis to be granted access to Area C.  </w:t>
      </w:r>
    </w:p>
    <w:p w:rsidR="00874D71" w:rsidRDefault="00874D71" w:rsidP="00FB6759">
      <w:pPr>
        <w:spacing w:after="0" w:line="240" w:lineRule="auto"/>
        <w:jc w:val="both"/>
        <w:rPr>
          <w:rFonts w:ascii="Times New Roman" w:hAnsi="Times New Roman" w:cs="Times New Roman"/>
          <w:sz w:val="22"/>
          <w:szCs w:val="22"/>
          <w:lang w:val="en-GB"/>
        </w:rPr>
      </w:pPr>
    </w:p>
    <w:p w:rsidR="006A0734" w:rsidRDefault="006A0734"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Annex 4 of the Oslo Accords</w:t>
      </w:r>
      <w:r w:rsidR="00463ED4" w:rsidRPr="004A29F9">
        <w:rPr>
          <w:rFonts w:ascii="Times New Roman" w:hAnsi="Times New Roman" w:cs="Times New Roman"/>
          <w:sz w:val="22"/>
          <w:szCs w:val="22"/>
          <w:lang w:val="en-GB"/>
        </w:rPr>
        <w:t xml:space="preserve"> provides for legal</w:t>
      </w:r>
      <w:r w:rsidR="002E29E3">
        <w:rPr>
          <w:rFonts w:ascii="Times New Roman" w:hAnsi="Times New Roman" w:cs="Times New Roman"/>
          <w:sz w:val="22"/>
          <w:szCs w:val="22"/>
          <w:lang w:val="en-GB"/>
        </w:rPr>
        <w:t xml:space="preserve"> cooperation between </w:t>
      </w:r>
      <w:r w:rsidR="00463ED4" w:rsidRPr="004A29F9">
        <w:rPr>
          <w:rFonts w:ascii="Times New Roman" w:hAnsi="Times New Roman" w:cs="Times New Roman"/>
          <w:sz w:val="22"/>
          <w:szCs w:val="22"/>
          <w:lang w:val="en-GB"/>
        </w:rPr>
        <w:t xml:space="preserve">the </w:t>
      </w:r>
      <w:r w:rsidR="002E29E3">
        <w:rPr>
          <w:rFonts w:ascii="Times New Roman" w:hAnsi="Times New Roman" w:cs="Times New Roman"/>
          <w:sz w:val="22"/>
          <w:szCs w:val="22"/>
          <w:lang w:val="en-GB"/>
        </w:rPr>
        <w:t xml:space="preserve">GOI and the </w:t>
      </w:r>
      <w:r w:rsidR="00463ED4" w:rsidRPr="004A29F9">
        <w:rPr>
          <w:rFonts w:ascii="Times New Roman" w:hAnsi="Times New Roman" w:cs="Times New Roman"/>
          <w:sz w:val="22"/>
          <w:szCs w:val="22"/>
          <w:lang w:val="en-GB"/>
        </w:rPr>
        <w:t>PNA</w:t>
      </w:r>
      <w:r w:rsidRPr="004A29F9">
        <w:rPr>
          <w:rFonts w:ascii="Times New Roman" w:hAnsi="Times New Roman" w:cs="Times New Roman"/>
          <w:sz w:val="22"/>
          <w:szCs w:val="22"/>
          <w:lang w:val="en-GB"/>
        </w:rPr>
        <w:t xml:space="preserve">, </w:t>
      </w:r>
      <w:r w:rsidR="00463ED4" w:rsidRPr="004A29F9">
        <w:rPr>
          <w:rFonts w:ascii="Times New Roman" w:hAnsi="Times New Roman" w:cs="Times New Roman"/>
          <w:sz w:val="22"/>
          <w:szCs w:val="22"/>
          <w:lang w:val="en-GB"/>
        </w:rPr>
        <w:t>but this</w:t>
      </w:r>
      <w:r w:rsidRPr="004A29F9">
        <w:rPr>
          <w:rFonts w:ascii="Times New Roman" w:hAnsi="Times New Roman" w:cs="Times New Roman"/>
          <w:sz w:val="22"/>
          <w:szCs w:val="22"/>
          <w:lang w:val="en-GB"/>
        </w:rPr>
        <w:t xml:space="preserve"> is not happening in practice. UNDP </w:t>
      </w:r>
      <w:r w:rsidR="00463ED4" w:rsidRPr="004A29F9">
        <w:rPr>
          <w:rFonts w:ascii="Times New Roman" w:hAnsi="Times New Roman" w:cs="Times New Roman"/>
          <w:sz w:val="22"/>
          <w:szCs w:val="22"/>
          <w:lang w:val="en-GB"/>
        </w:rPr>
        <w:t xml:space="preserve">recently </w:t>
      </w:r>
      <w:r w:rsidRPr="004A29F9">
        <w:rPr>
          <w:rFonts w:ascii="Times New Roman" w:hAnsi="Times New Roman" w:cs="Times New Roman"/>
          <w:sz w:val="22"/>
          <w:szCs w:val="22"/>
          <w:lang w:val="en-GB"/>
        </w:rPr>
        <w:t>carried out a “restriction</w:t>
      </w:r>
      <w:r w:rsidR="002E29E3">
        <w:rPr>
          <w:rFonts w:ascii="Times New Roman" w:hAnsi="Times New Roman" w:cs="Times New Roman"/>
          <w:sz w:val="22"/>
          <w:szCs w:val="22"/>
          <w:lang w:val="en-GB"/>
        </w:rPr>
        <w:t>s</w:t>
      </w:r>
      <w:r w:rsidRPr="004A29F9">
        <w:rPr>
          <w:rFonts w:ascii="Times New Roman" w:hAnsi="Times New Roman" w:cs="Times New Roman"/>
          <w:sz w:val="22"/>
          <w:szCs w:val="22"/>
          <w:lang w:val="en-GB"/>
        </w:rPr>
        <w:t xml:space="preserve"> study” to see how Israeli’s are </w:t>
      </w:r>
      <w:r w:rsidR="00463ED4" w:rsidRPr="004A29F9">
        <w:rPr>
          <w:rFonts w:ascii="Times New Roman" w:hAnsi="Times New Roman" w:cs="Times New Roman"/>
          <w:sz w:val="22"/>
          <w:szCs w:val="22"/>
          <w:lang w:val="en-GB"/>
        </w:rPr>
        <w:t>restricting</w:t>
      </w:r>
      <w:r w:rsidRPr="004A29F9">
        <w:rPr>
          <w:rFonts w:ascii="Times New Roman" w:hAnsi="Times New Roman" w:cs="Times New Roman"/>
          <w:sz w:val="22"/>
          <w:szCs w:val="22"/>
          <w:lang w:val="en-GB"/>
        </w:rPr>
        <w:t xml:space="preserve"> access. Also, there are many cases of police being </w:t>
      </w:r>
      <w:r w:rsidR="00463ED4" w:rsidRPr="004A29F9">
        <w:rPr>
          <w:rFonts w:ascii="Times New Roman" w:hAnsi="Times New Roman" w:cs="Times New Roman"/>
          <w:sz w:val="22"/>
          <w:szCs w:val="22"/>
          <w:lang w:val="en-GB"/>
        </w:rPr>
        <w:t>attacked</w:t>
      </w:r>
      <w:r w:rsidRPr="004A29F9">
        <w:rPr>
          <w:rFonts w:ascii="Times New Roman" w:hAnsi="Times New Roman" w:cs="Times New Roman"/>
          <w:sz w:val="22"/>
          <w:szCs w:val="22"/>
          <w:lang w:val="en-GB"/>
        </w:rPr>
        <w:t xml:space="preserve"> by settlers while trying to do the</w:t>
      </w:r>
      <w:r w:rsidR="00567888" w:rsidRPr="004A29F9">
        <w:rPr>
          <w:rFonts w:ascii="Times New Roman" w:hAnsi="Times New Roman" w:cs="Times New Roman"/>
          <w:sz w:val="22"/>
          <w:szCs w:val="22"/>
          <w:lang w:val="en-GB"/>
        </w:rPr>
        <w:t>ir</w:t>
      </w:r>
      <w:r w:rsidR="002E29E3">
        <w:rPr>
          <w:rFonts w:ascii="Times New Roman" w:hAnsi="Times New Roman" w:cs="Times New Roman"/>
          <w:sz w:val="22"/>
          <w:szCs w:val="22"/>
          <w:lang w:val="en-GB"/>
        </w:rPr>
        <w:t xml:space="preserve"> jobs. </w:t>
      </w:r>
      <w:r w:rsidRPr="004A29F9">
        <w:rPr>
          <w:rFonts w:ascii="Times New Roman" w:hAnsi="Times New Roman" w:cs="Times New Roman"/>
          <w:sz w:val="22"/>
          <w:szCs w:val="22"/>
          <w:lang w:val="en-GB"/>
        </w:rPr>
        <w:t>Furthermore, the continued denial of access to Area C (and re</w:t>
      </w:r>
      <w:r w:rsidR="002E29E3">
        <w:rPr>
          <w:rFonts w:ascii="Times New Roman" w:hAnsi="Times New Roman" w:cs="Times New Roman"/>
          <w:sz w:val="22"/>
          <w:szCs w:val="22"/>
          <w:lang w:val="en-GB"/>
        </w:rPr>
        <w:t xml:space="preserve">stricted movements into Area B) </w:t>
      </w:r>
      <w:r w:rsidR="00463ED4" w:rsidRPr="004A29F9">
        <w:rPr>
          <w:rFonts w:ascii="Times New Roman" w:hAnsi="Times New Roman" w:cs="Times New Roman"/>
          <w:sz w:val="22"/>
          <w:szCs w:val="22"/>
          <w:lang w:val="en-GB"/>
        </w:rPr>
        <w:t>enables</w:t>
      </w:r>
      <w:r w:rsidRPr="004A29F9">
        <w:rPr>
          <w:rFonts w:ascii="Times New Roman" w:hAnsi="Times New Roman" w:cs="Times New Roman"/>
          <w:sz w:val="22"/>
          <w:szCs w:val="22"/>
          <w:lang w:val="en-GB"/>
        </w:rPr>
        <w:t xml:space="preserve"> Palestinian </w:t>
      </w:r>
      <w:r w:rsidR="00463ED4" w:rsidRPr="004A29F9">
        <w:rPr>
          <w:rFonts w:ascii="Times New Roman" w:hAnsi="Times New Roman" w:cs="Times New Roman"/>
          <w:sz w:val="22"/>
          <w:szCs w:val="22"/>
          <w:lang w:val="en-GB"/>
        </w:rPr>
        <w:t xml:space="preserve">criminals to commit crimes in area A and then </w:t>
      </w:r>
      <w:r w:rsidRPr="004A29F9">
        <w:rPr>
          <w:rFonts w:ascii="Times New Roman" w:hAnsi="Times New Roman" w:cs="Times New Roman"/>
          <w:sz w:val="22"/>
          <w:szCs w:val="22"/>
          <w:lang w:val="en-GB"/>
        </w:rPr>
        <w:t xml:space="preserve">hide in </w:t>
      </w:r>
      <w:r w:rsidR="00463ED4" w:rsidRPr="004A29F9">
        <w:rPr>
          <w:rFonts w:ascii="Times New Roman" w:hAnsi="Times New Roman" w:cs="Times New Roman"/>
          <w:sz w:val="22"/>
          <w:szCs w:val="22"/>
          <w:lang w:val="en-GB"/>
        </w:rPr>
        <w:t>areas B and C.</w:t>
      </w:r>
    </w:p>
    <w:p w:rsidR="002E29E3" w:rsidRPr="004A29F9" w:rsidRDefault="002E29E3" w:rsidP="00FB6759">
      <w:pPr>
        <w:spacing w:after="0" w:line="240" w:lineRule="auto"/>
        <w:jc w:val="both"/>
        <w:rPr>
          <w:rFonts w:ascii="Times New Roman" w:hAnsi="Times New Roman" w:cs="Times New Roman"/>
          <w:sz w:val="22"/>
          <w:szCs w:val="22"/>
          <w:lang w:val="en-GB"/>
        </w:rPr>
      </w:pPr>
    </w:p>
    <w:p w:rsidR="00D71306" w:rsidRPr="004A29F9" w:rsidRDefault="000F4530"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Both the H</w:t>
      </w:r>
      <w:r w:rsidR="002E29E3">
        <w:rPr>
          <w:rFonts w:ascii="Times New Roman" w:hAnsi="Times New Roman" w:cs="Times New Roman"/>
          <w:sz w:val="22"/>
          <w:szCs w:val="22"/>
          <w:lang w:val="en-GB"/>
        </w:rPr>
        <w:t>JC and CSOs interviewed by the e</w:t>
      </w:r>
      <w:r w:rsidRPr="004A29F9">
        <w:rPr>
          <w:rFonts w:ascii="Times New Roman" w:hAnsi="Times New Roman" w:cs="Times New Roman"/>
          <w:sz w:val="22"/>
          <w:szCs w:val="22"/>
          <w:lang w:val="en-GB"/>
        </w:rPr>
        <w:t xml:space="preserve">valuation suggested that going forward, </w:t>
      </w:r>
      <w:r w:rsidR="00A34EF4" w:rsidRPr="004A29F9">
        <w:rPr>
          <w:rFonts w:ascii="Times New Roman" w:hAnsi="Times New Roman" w:cs="Times New Roman"/>
          <w:sz w:val="22"/>
          <w:szCs w:val="22"/>
          <w:lang w:val="en-GB"/>
        </w:rPr>
        <w:t>UNDP should continue to explore ways to foster dialogue on the issue of Area C jurisdictio</w:t>
      </w:r>
      <w:r w:rsidR="002E29E3">
        <w:rPr>
          <w:rFonts w:ascii="Times New Roman" w:hAnsi="Times New Roman" w:cs="Times New Roman"/>
          <w:sz w:val="22"/>
          <w:szCs w:val="22"/>
          <w:lang w:val="en-GB"/>
        </w:rPr>
        <w:t>n, not only in terms of</w:t>
      </w:r>
      <w:r w:rsidR="00A34EF4" w:rsidRPr="004A29F9">
        <w:rPr>
          <w:rFonts w:ascii="Times New Roman" w:hAnsi="Times New Roman" w:cs="Times New Roman"/>
          <w:sz w:val="22"/>
          <w:szCs w:val="22"/>
          <w:lang w:val="en-GB"/>
        </w:rPr>
        <w:t xml:space="preserve"> civil society advocacy and</w:t>
      </w:r>
      <w:r w:rsidR="002E29E3">
        <w:rPr>
          <w:rFonts w:ascii="Times New Roman" w:hAnsi="Times New Roman" w:cs="Times New Roman"/>
          <w:sz w:val="22"/>
          <w:szCs w:val="22"/>
          <w:lang w:val="en-GB"/>
        </w:rPr>
        <w:t>/or</w:t>
      </w:r>
      <w:r w:rsidR="00A34EF4" w:rsidRPr="004A29F9">
        <w:rPr>
          <w:rFonts w:ascii="Times New Roman" w:hAnsi="Times New Roman" w:cs="Times New Roman"/>
          <w:sz w:val="22"/>
          <w:szCs w:val="22"/>
          <w:lang w:val="en-GB"/>
        </w:rPr>
        <w:t xml:space="preserve"> strategic litigation, but </w:t>
      </w:r>
      <w:r w:rsidR="002E29E3">
        <w:rPr>
          <w:rFonts w:ascii="Times New Roman" w:hAnsi="Times New Roman" w:cs="Times New Roman"/>
          <w:sz w:val="22"/>
          <w:szCs w:val="22"/>
          <w:lang w:val="en-GB"/>
        </w:rPr>
        <w:t xml:space="preserve">also by promoting coordination amongst the </w:t>
      </w:r>
      <w:r w:rsidR="00A34EF4" w:rsidRPr="004A29F9">
        <w:rPr>
          <w:rFonts w:ascii="Times New Roman" w:hAnsi="Times New Roman" w:cs="Times New Roman"/>
          <w:sz w:val="22"/>
          <w:szCs w:val="22"/>
          <w:lang w:val="en-GB"/>
        </w:rPr>
        <w:t xml:space="preserve">three PNA </w:t>
      </w:r>
      <w:r w:rsidR="002E29E3">
        <w:rPr>
          <w:rFonts w:ascii="Times New Roman" w:hAnsi="Times New Roman" w:cs="Times New Roman"/>
          <w:sz w:val="22"/>
          <w:szCs w:val="22"/>
          <w:lang w:val="en-GB"/>
        </w:rPr>
        <w:t>justice institutions.</w:t>
      </w:r>
    </w:p>
    <w:p w:rsidR="00874D71" w:rsidRDefault="00874D71" w:rsidP="00FB6759">
      <w:pPr>
        <w:spacing w:after="0" w:line="240" w:lineRule="auto"/>
        <w:jc w:val="both"/>
        <w:rPr>
          <w:rFonts w:ascii="Times New Roman" w:hAnsi="Times New Roman" w:cs="Times New Roman"/>
          <w:i/>
          <w:sz w:val="22"/>
          <w:szCs w:val="22"/>
          <w:lang w:val="en-GB"/>
        </w:rPr>
      </w:pPr>
    </w:p>
    <w:p w:rsidR="005F4635" w:rsidRPr="004A29F9" w:rsidRDefault="00874D71" w:rsidP="00FB6759">
      <w:pPr>
        <w:spacing w:after="0" w:line="240" w:lineRule="auto"/>
        <w:jc w:val="both"/>
        <w:rPr>
          <w:rFonts w:ascii="Times New Roman" w:hAnsi="Times New Roman" w:cs="Times New Roman"/>
          <w:i/>
          <w:sz w:val="22"/>
          <w:szCs w:val="22"/>
          <w:lang w:val="en-GB"/>
        </w:rPr>
      </w:pPr>
      <w:r>
        <w:rPr>
          <w:rFonts w:ascii="Times New Roman" w:hAnsi="Times New Roman" w:cs="Times New Roman"/>
          <w:i/>
          <w:sz w:val="22"/>
          <w:szCs w:val="22"/>
          <w:lang w:val="en-GB"/>
        </w:rPr>
        <w:t xml:space="preserve">The </w:t>
      </w:r>
      <w:r w:rsidRPr="002E29E3">
        <w:rPr>
          <w:rFonts w:ascii="Times New Roman" w:hAnsi="Times New Roman" w:cs="Times New Roman"/>
          <w:sz w:val="22"/>
          <w:szCs w:val="22"/>
          <w:lang w:val="en-GB"/>
        </w:rPr>
        <w:t>s</w:t>
      </w:r>
      <w:r w:rsidR="00F6291F" w:rsidRPr="002E29E3">
        <w:rPr>
          <w:rFonts w:ascii="Times New Roman" w:hAnsi="Times New Roman" w:cs="Times New Roman"/>
          <w:sz w:val="22"/>
          <w:szCs w:val="22"/>
          <w:lang w:val="en-GB"/>
        </w:rPr>
        <w:t>hari</w:t>
      </w:r>
      <w:r w:rsidR="00567888" w:rsidRPr="002E29E3">
        <w:rPr>
          <w:rFonts w:ascii="Times New Roman" w:hAnsi="Times New Roman" w:cs="Times New Roman"/>
          <w:sz w:val="22"/>
          <w:szCs w:val="22"/>
          <w:lang w:val="en-GB"/>
        </w:rPr>
        <w:t>’</w:t>
      </w:r>
      <w:r w:rsidR="00F6291F" w:rsidRPr="002E29E3">
        <w:rPr>
          <w:rFonts w:ascii="Times New Roman" w:hAnsi="Times New Roman" w:cs="Times New Roman"/>
          <w:sz w:val="22"/>
          <w:szCs w:val="22"/>
          <w:lang w:val="en-GB"/>
        </w:rPr>
        <w:t>a</w:t>
      </w:r>
      <w:r w:rsidR="00227679">
        <w:rPr>
          <w:rFonts w:ascii="Times New Roman" w:hAnsi="Times New Roman" w:cs="Times New Roman"/>
          <w:sz w:val="22"/>
          <w:szCs w:val="22"/>
          <w:lang w:val="en-GB"/>
        </w:rPr>
        <w:t xml:space="preserve"> </w:t>
      </w:r>
      <w:r>
        <w:rPr>
          <w:rFonts w:ascii="Times New Roman" w:hAnsi="Times New Roman" w:cs="Times New Roman"/>
          <w:i/>
          <w:sz w:val="22"/>
          <w:szCs w:val="22"/>
          <w:lang w:val="en-GB"/>
        </w:rPr>
        <w:t>c</w:t>
      </w:r>
      <w:r w:rsidR="00391AA2" w:rsidRPr="004A29F9">
        <w:rPr>
          <w:rFonts w:ascii="Times New Roman" w:hAnsi="Times New Roman" w:cs="Times New Roman"/>
          <w:i/>
          <w:sz w:val="22"/>
          <w:szCs w:val="22"/>
          <w:lang w:val="en-GB"/>
        </w:rPr>
        <w:t>ourts</w:t>
      </w:r>
      <w:r w:rsidR="00762F0C" w:rsidRPr="004A29F9">
        <w:rPr>
          <w:rFonts w:ascii="Times New Roman" w:hAnsi="Times New Roman" w:cs="Times New Roman"/>
          <w:i/>
          <w:sz w:val="22"/>
          <w:szCs w:val="22"/>
          <w:lang w:val="en-GB"/>
        </w:rPr>
        <w:t xml:space="preserve"> and the</w:t>
      </w:r>
      <w:r>
        <w:rPr>
          <w:rFonts w:ascii="Times New Roman" w:hAnsi="Times New Roman" w:cs="Times New Roman"/>
          <w:i/>
          <w:sz w:val="22"/>
          <w:szCs w:val="22"/>
          <w:lang w:val="en-GB"/>
        </w:rPr>
        <w:t>ir fundamental importance to access to j</w:t>
      </w:r>
      <w:r w:rsidR="00762F0C" w:rsidRPr="004A29F9">
        <w:rPr>
          <w:rFonts w:ascii="Times New Roman" w:hAnsi="Times New Roman" w:cs="Times New Roman"/>
          <w:i/>
          <w:sz w:val="22"/>
          <w:szCs w:val="22"/>
          <w:lang w:val="en-GB"/>
        </w:rPr>
        <w:t xml:space="preserve">ustice in </w:t>
      </w:r>
      <w:r>
        <w:rPr>
          <w:rFonts w:ascii="Times New Roman" w:hAnsi="Times New Roman" w:cs="Times New Roman"/>
          <w:i/>
          <w:sz w:val="22"/>
          <w:szCs w:val="22"/>
          <w:lang w:val="en-GB"/>
        </w:rPr>
        <w:t xml:space="preserve">the </w:t>
      </w:r>
      <w:r w:rsidR="00DE216A" w:rsidRPr="004A29F9">
        <w:rPr>
          <w:rFonts w:ascii="Times New Roman" w:hAnsi="Times New Roman" w:cs="Times New Roman"/>
          <w:i/>
          <w:sz w:val="22"/>
          <w:szCs w:val="22"/>
          <w:lang w:val="en-GB"/>
        </w:rPr>
        <w:t>oPt</w:t>
      </w:r>
    </w:p>
    <w:p w:rsidR="00874D71" w:rsidRDefault="00874D71" w:rsidP="00FB6759">
      <w:pPr>
        <w:spacing w:after="0" w:line="240" w:lineRule="auto"/>
        <w:jc w:val="both"/>
        <w:rPr>
          <w:rFonts w:ascii="Times New Roman" w:hAnsi="Times New Roman" w:cs="Times New Roman"/>
          <w:sz w:val="22"/>
          <w:szCs w:val="22"/>
          <w:lang w:val="en-GB"/>
        </w:rPr>
      </w:pPr>
    </w:p>
    <w:p w:rsidR="000E09F1" w:rsidRDefault="00A41D1A"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During the programme’s first phase, </w:t>
      </w:r>
      <w:r w:rsidR="003670F6" w:rsidRPr="004A29F9">
        <w:rPr>
          <w:rFonts w:ascii="Times New Roman" w:hAnsi="Times New Roman" w:cs="Times New Roman"/>
          <w:sz w:val="22"/>
          <w:szCs w:val="22"/>
          <w:lang w:val="en-GB"/>
        </w:rPr>
        <w:t xml:space="preserve">UNDP programmed </w:t>
      </w:r>
      <w:r w:rsidR="00302231" w:rsidRPr="004A29F9">
        <w:rPr>
          <w:rFonts w:ascii="Times New Roman" w:hAnsi="Times New Roman" w:cs="Times New Roman"/>
          <w:sz w:val="22"/>
          <w:szCs w:val="22"/>
          <w:lang w:val="en-GB"/>
        </w:rPr>
        <w:t xml:space="preserve">only indirectly with the </w:t>
      </w:r>
      <w:r w:rsidRPr="00A41D1A">
        <w:rPr>
          <w:rFonts w:ascii="Times New Roman" w:hAnsi="Times New Roman" w:cs="Times New Roman"/>
          <w:i/>
          <w:sz w:val="22"/>
          <w:szCs w:val="22"/>
          <w:lang w:val="en-GB"/>
        </w:rPr>
        <w:t>s</w:t>
      </w:r>
      <w:r w:rsidR="000C369C" w:rsidRPr="00A41D1A">
        <w:rPr>
          <w:rFonts w:ascii="Times New Roman" w:hAnsi="Times New Roman" w:cs="Times New Roman"/>
          <w:i/>
          <w:sz w:val="22"/>
          <w:szCs w:val="22"/>
          <w:lang w:val="en-GB"/>
        </w:rPr>
        <w:t>hari’a</w:t>
      </w:r>
      <w:r>
        <w:rPr>
          <w:rFonts w:ascii="Times New Roman" w:hAnsi="Times New Roman" w:cs="Times New Roman"/>
          <w:sz w:val="22"/>
          <w:szCs w:val="22"/>
          <w:lang w:val="en-GB"/>
        </w:rPr>
        <w:t xml:space="preserve"> courts, </w:t>
      </w:r>
      <w:r w:rsidR="00302231" w:rsidRPr="004A29F9">
        <w:rPr>
          <w:rFonts w:ascii="Times New Roman" w:hAnsi="Times New Roman" w:cs="Times New Roman"/>
          <w:sz w:val="22"/>
          <w:szCs w:val="22"/>
          <w:lang w:val="en-GB"/>
        </w:rPr>
        <w:t>in the form of a conference held in partnership with the Birzeit University</w:t>
      </w:r>
      <w:r>
        <w:rPr>
          <w:rFonts w:ascii="Times New Roman" w:hAnsi="Times New Roman" w:cs="Times New Roman"/>
          <w:sz w:val="22"/>
          <w:szCs w:val="22"/>
          <w:lang w:val="en-GB"/>
        </w:rPr>
        <w:t>’s Institute of Women’s Studies</w:t>
      </w:r>
      <w:r w:rsidR="00302231" w:rsidRPr="004A29F9">
        <w:rPr>
          <w:rFonts w:ascii="Times New Roman" w:hAnsi="Times New Roman" w:cs="Times New Roman"/>
          <w:sz w:val="22"/>
          <w:szCs w:val="22"/>
          <w:lang w:val="en-GB"/>
        </w:rPr>
        <w:t xml:space="preserve"> (discussed below). </w:t>
      </w:r>
      <w:r w:rsidR="003670F6" w:rsidRPr="004A29F9">
        <w:rPr>
          <w:rFonts w:ascii="Times New Roman" w:hAnsi="Times New Roman" w:cs="Times New Roman"/>
          <w:sz w:val="22"/>
          <w:szCs w:val="22"/>
          <w:lang w:val="en-GB"/>
        </w:rPr>
        <w:t xml:space="preserve">There has tended to be a misconception among the international community that the </w:t>
      </w:r>
      <w:r w:rsidRPr="00A41D1A">
        <w:rPr>
          <w:rFonts w:ascii="Times New Roman" w:hAnsi="Times New Roman" w:cs="Times New Roman"/>
          <w:i/>
          <w:sz w:val="22"/>
          <w:szCs w:val="22"/>
          <w:lang w:val="en-GB"/>
        </w:rPr>
        <w:t>s</w:t>
      </w:r>
      <w:r w:rsidR="000C369C" w:rsidRPr="00A41D1A">
        <w:rPr>
          <w:rFonts w:ascii="Times New Roman" w:hAnsi="Times New Roman" w:cs="Times New Roman"/>
          <w:i/>
          <w:sz w:val="22"/>
          <w:szCs w:val="22"/>
          <w:lang w:val="en-GB"/>
        </w:rPr>
        <w:t>hari’a</w:t>
      </w:r>
      <w:r w:rsidR="003670F6" w:rsidRPr="004A29F9">
        <w:rPr>
          <w:rFonts w:ascii="Times New Roman" w:hAnsi="Times New Roman" w:cs="Times New Roman"/>
          <w:sz w:val="22"/>
          <w:szCs w:val="22"/>
          <w:lang w:val="en-GB"/>
        </w:rPr>
        <w:t xml:space="preserve"> courts are religious courts applying draconian punishments in contravention of international human rights. In fact, the </w:t>
      </w:r>
      <w:r w:rsidRPr="00A41D1A">
        <w:rPr>
          <w:rFonts w:ascii="Times New Roman" w:hAnsi="Times New Roman" w:cs="Times New Roman"/>
          <w:i/>
          <w:sz w:val="22"/>
          <w:szCs w:val="22"/>
          <w:lang w:val="en-GB"/>
        </w:rPr>
        <w:t>s</w:t>
      </w:r>
      <w:r w:rsidR="000C369C" w:rsidRPr="00A41D1A">
        <w:rPr>
          <w:rFonts w:ascii="Times New Roman" w:hAnsi="Times New Roman" w:cs="Times New Roman"/>
          <w:i/>
          <w:sz w:val="22"/>
          <w:szCs w:val="22"/>
          <w:lang w:val="en-GB"/>
        </w:rPr>
        <w:t>hari’a</w:t>
      </w:r>
      <w:r w:rsidR="003670F6" w:rsidRPr="004A29F9">
        <w:rPr>
          <w:rFonts w:ascii="Times New Roman" w:hAnsi="Times New Roman" w:cs="Times New Roman"/>
          <w:sz w:val="22"/>
          <w:szCs w:val="22"/>
          <w:lang w:val="en-GB"/>
        </w:rPr>
        <w:t xml:space="preserve"> courts play a vital role in the lives of </w:t>
      </w:r>
      <w:r w:rsidR="00923627" w:rsidRPr="004A29F9">
        <w:rPr>
          <w:rFonts w:ascii="Times New Roman" w:hAnsi="Times New Roman" w:cs="Times New Roman"/>
          <w:sz w:val="22"/>
          <w:szCs w:val="22"/>
          <w:lang w:val="en-GB"/>
        </w:rPr>
        <w:t>all Palestinians,</w:t>
      </w:r>
      <w:r w:rsidR="00FD3C19">
        <w:rPr>
          <w:rFonts w:ascii="Times New Roman" w:hAnsi="Times New Roman" w:cs="Times New Roman"/>
          <w:sz w:val="22"/>
          <w:szCs w:val="22"/>
          <w:lang w:val="en-GB"/>
        </w:rPr>
        <w:t xml:space="preserve"> </w:t>
      </w:r>
      <w:r w:rsidR="00923627" w:rsidRPr="004A29F9">
        <w:rPr>
          <w:rFonts w:ascii="Times New Roman" w:hAnsi="Times New Roman" w:cs="Times New Roman"/>
          <w:sz w:val="22"/>
          <w:szCs w:val="22"/>
          <w:lang w:val="en-GB"/>
        </w:rPr>
        <w:t xml:space="preserve">especially </w:t>
      </w:r>
      <w:r w:rsidR="003670F6" w:rsidRPr="004A29F9">
        <w:rPr>
          <w:rFonts w:ascii="Times New Roman" w:hAnsi="Times New Roman" w:cs="Times New Roman"/>
          <w:sz w:val="22"/>
          <w:szCs w:val="22"/>
          <w:lang w:val="en-GB"/>
        </w:rPr>
        <w:t xml:space="preserve">Palestinian </w:t>
      </w:r>
      <w:r w:rsidR="009C13AF" w:rsidRPr="004A29F9">
        <w:rPr>
          <w:rFonts w:ascii="Times New Roman" w:hAnsi="Times New Roman" w:cs="Times New Roman"/>
          <w:sz w:val="22"/>
          <w:szCs w:val="22"/>
          <w:lang w:val="en-GB"/>
        </w:rPr>
        <w:t>women,</w:t>
      </w:r>
      <w:r w:rsidR="003670F6" w:rsidRPr="004A29F9">
        <w:rPr>
          <w:rFonts w:ascii="Times New Roman" w:hAnsi="Times New Roman" w:cs="Times New Roman"/>
          <w:sz w:val="22"/>
          <w:szCs w:val="22"/>
          <w:lang w:val="en-GB"/>
        </w:rPr>
        <w:t xml:space="preserve"> as they are in fact the </w:t>
      </w:r>
      <w:r w:rsidR="003670F6" w:rsidRPr="00A41D1A">
        <w:rPr>
          <w:rFonts w:ascii="Times New Roman" w:hAnsi="Times New Roman" w:cs="Times New Roman"/>
          <w:i/>
          <w:sz w:val="22"/>
          <w:szCs w:val="22"/>
          <w:lang w:val="en-GB"/>
        </w:rPr>
        <w:t>dedicated courts</w:t>
      </w:r>
      <w:r w:rsidR="003670F6" w:rsidRPr="004A29F9">
        <w:rPr>
          <w:rFonts w:ascii="Times New Roman" w:hAnsi="Times New Roman" w:cs="Times New Roman"/>
          <w:sz w:val="22"/>
          <w:szCs w:val="22"/>
          <w:lang w:val="en-GB"/>
        </w:rPr>
        <w:t xml:space="preserve"> for family law, child support, cu</w:t>
      </w:r>
      <w:r w:rsidR="00CB085F">
        <w:rPr>
          <w:rFonts w:ascii="Times New Roman" w:hAnsi="Times New Roman" w:cs="Times New Roman"/>
          <w:sz w:val="22"/>
          <w:szCs w:val="22"/>
          <w:lang w:val="en-GB"/>
        </w:rPr>
        <w:t>stody issues and domestic abuse</w:t>
      </w:r>
      <w:r w:rsidR="00E06E4C" w:rsidRPr="004A29F9">
        <w:rPr>
          <w:rFonts w:ascii="Times New Roman" w:hAnsi="Times New Roman" w:cs="Times New Roman"/>
          <w:sz w:val="22"/>
          <w:szCs w:val="22"/>
          <w:lang w:val="en-GB"/>
        </w:rPr>
        <w:t xml:space="preserve">. </w:t>
      </w:r>
      <w:r w:rsidR="00584572" w:rsidRPr="004A29F9">
        <w:rPr>
          <w:rFonts w:ascii="Times New Roman" w:hAnsi="Times New Roman" w:cs="Times New Roman"/>
          <w:sz w:val="22"/>
          <w:szCs w:val="22"/>
          <w:lang w:val="en-GB"/>
        </w:rPr>
        <w:t xml:space="preserve">As a </w:t>
      </w:r>
      <w:r w:rsidR="00CB085F" w:rsidRPr="00CB085F">
        <w:rPr>
          <w:rFonts w:ascii="Times New Roman" w:hAnsi="Times New Roman" w:cs="Times New Roman"/>
          <w:i/>
          <w:sz w:val="22"/>
          <w:szCs w:val="22"/>
          <w:lang w:val="en-GB"/>
        </w:rPr>
        <w:t>s</w:t>
      </w:r>
      <w:r w:rsidR="000C369C" w:rsidRPr="00CB085F">
        <w:rPr>
          <w:rFonts w:ascii="Times New Roman" w:hAnsi="Times New Roman" w:cs="Times New Roman"/>
          <w:i/>
          <w:sz w:val="22"/>
          <w:szCs w:val="22"/>
          <w:lang w:val="en-GB"/>
        </w:rPr>
        <w:t>hari’a</w:t>
      </w:r>
      <w:r w:rsidR="00CB085F">
        <w:rPr>
          <w:rFonts w:ascii="Times New Roman" w:hAnsi="Times New Roman" w:cs="Times New Roman"/>
          <w:sz w:val="22"/>
          <w:szCs w:val="22"/>
          <w:lang w:val="en-GB"/>
        </w:rPr>
        <w:t xml:space="preserve"> court judge related to the evaluation, </w:t>
      </w:r>
      <w:r w:rsidR="00584572" w:rsidRPr="004A29F9">
        <w:rPr>
          <w:rFonts w:ascii="Times New Roman" w:hAnsi="Times New Roman" w:cs="Times New Roman"/>
          <w:sz w:val="22"/>
          <w:szCs w:val="22"/>
          <w:lang w:val="en-GB"/>
        </w:rPr>
        <w:t>“It is possible in Palestine for a person to live their entire lives without ever going to a civil court, but it is virtually impossible to live your entire life in Palestine without at some point finding yourself</w:t>
      </w:r>
      <w:r w:rsidR="00304444" w:rsidRPr="004A29F9">
        <w:rPr>
          <w:rFonts w:ascii="Times New Roman" w:hAnsi="Times New Roman" w:cs="Times New Roman"/>
          <w:sz w:val="22"/>
          <w:szCs w:val="22"/>
          <w:lang w:val="en-GB"/>
        </w:rPr>
        <w:t xml:space="preserve"> (</w:t>
      </w:r>
      <w:r w:rsidR="00584572" w:rsidRPr="004A29F9">
        <w:rPr>
          <w:rFonts w:ascii="Times New Roman" w:hAnsi="Times New Roman" w:cs="Times New Roman"/>
          <w:sz w:val="22"/>
          <w:szCs w:val="22"/>
          <w:lang w:val="en-GB"/>
        </w:rPr>
        <w:t>or your estate</w:t>
      </w:r>
      <w:r w:rsidR="00304444" w:rsidRPr="004A29F9">
        <w:rPr>
          <w:rFonts w:ascii="Times New Roman" w:hAnsi="Times New Roman" w:cs="Times New Roman"/>
          <w:sz w:val="22"/>
          <w:szCs w:val="22"/>
          <w:lang w:val="en-GB"/>
        </w:rPr>
        <w:t>)</w:t>
      </w:r>
      <w:r w:rsidR="00584572" w:rsidRPr="004A29F9">
        <w:rPr>
          <w:rFonts w:ascii="Times New Roman" w:hAnsi="Times New Roman" w:cs="Times New Roman"/>
          <w:sz w:val="22"/>
          <w:szCs w:val="22"/>
          <w:lang w:val="en-GB"/>
        </w:rPr>
        <w:t xml:space="preserve"> before a </w:t>
      </w:r>
      <w:r w:rsidR="00CB085F" w:rsidRPr="00CB085F">
        <w:rPr>
          <w:rFonts w:ascii="Times New Roman" w:hAnsi="Times New Roman" w:cs="Times New Roman"/>
          <w:i/>
          <w:sz w:val="22"/>
          <w:szCs w:val="22"/>
          <w:lang w:val="en-GB"/>
        </w:rPr>
        <w:t>s</w:t>
      </w:r>
      <w:r w:rsidR="000C369C" w:rsidRPr="00CB085F">
        <w:rPr>
          <w:rFonts w:ascii="Times New Roman" w:hAnsi="Times New Roman" w:cs="Times New Roman"/>
          <w:i/>
          <w:sz w:val="22"/>
          <w:szCs w:val="22"/>
          <w:lang w:val="en-GB"/>
        </w:rPr>
        <w:t>hari’a</w:t>
      </w:r>
      <w:r w:rsidR="00584572" w:rsidRPr="004A29F9">
        <w:rPr>
          <w:rFonts w:ascii="Times New Roman" w:hAnsi="Times New Roman" w:cs="Times New Roman"/>
          <w:sz w:val="22"/>
          <w:szCs w:val="22"/>
          <w:lang w:val="en-GB"/>
        </w:rPr>
        <w:t xml:space="preserve"> court.”</w:t>
      </w:r>
    </w:p>
    <w:p w:rsidR="00874D71" w:rsidRPr="004A29F9" w:rsidRDefault="00874D71" w:rsidP="00FB6759">
      <w:pPr>
        <w:spacing w:after="0" w:line="240" w:lineRule="auto"/>
        <w:jc w:val="both"/>
        <w:rPr>
          <w:rFonts w:ascii="Times New Roman" w:hAnsi="Times New Roman" w:cs="Times New Roman"/>
          <w:sz w:val="22"/>
          <w:szCs w:val="22"/>
          <w:lang w:val="en-GB"/>
        </w:rPr>
      </w:pPr>
    </w:p>
    <w:p w:rsidR="003670F6" w:rsidRPr="004A29F9" w:rsidRDefault="00E06E4C"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In </w:t>
      </w:r>
      <w:r w:rsidR="00CB085F">
        <w:rPr>
          <w:rFonts w:ascii="Times New Roman" w:hAnsi="Times New Roman" w:cs="Times New Roman"/>
          <w:sz w:val="22"/>
          <w:szCs w:val="22"/>
          <w:lang w:val="en-GB"/>
        </w:rPr>
        <w:t xml:space="preserve">the </w:t>
      </w:r>
      <w:r w:rsidR="00DE216A" w:rsidRPr="004A29F9">
        <w:rPr>
          <w:rFonts w:ascii="Times New Roman" w:hAnsi="Times New Roman" w:cs="Times New Roman"/>
          <w:sz w:val="22"/>
          <w:szCs w:val="22"/>
          <w:lang w:val="en-GB"/>
        </w:rPr>
        <w:t>oPt</w:t>
      </w:r>
      <w:r w:rsidRPr="004A29F9">
        <w:rPr>
          <w:rFonts w:ascii="Times New Roman" w:hAnsi="Times New Roman" w:cs="Times New Roman"/>
          <w:sz w:val="22"/>
          <w:szCs w:val="22"/>
          <w:lang w:val="en-GB"/>
        </w:rPr>
        <w:t xml:space="preserve">, the </w:t>
      </w:r>
      <w:r w:rsidR="00FD2C98" w:rsidRPr="004A29F9">
        <w:rPr>
          <w:rFonts w:ascii="Times New Roman" w:hAnsi="Times New Roman" w:cs="Times New Roman"/>
          <w:sz w:val="22"/>
          <w:szCs w:val="22"/>
          <w:lang w:val="en-GB"/>
        </w:rPr>
        <w:t xml:space="preserve">principal </w:t>
      </w:r>
      <w:r w:rsidRPr="004A29F9">
        <w:rPr>
          <w:rFonts w:ascii="Times New Roman" w:hAnsi="Times New Roman" w:cs="Times New Roman"/>
          <w:sz w:val="22"/>
          <w:szCs w:val="22"/>
          <w:lang w:val="en-GB"/>
        </w:rPr>
        <w:t>jurisdictional</w:t>
      </w:r>
      <w:r w:rsidR="003670F6" w:rsidRPr="004A29F9">
        <w:rPr>
          <w:rFonts w:ascii="Times New Roman" w:hAnsi="Times New Roman" w:cs="Times New Roman"/>
          <w:sz w:val="22"/>
          <w:szCs w:val="22"/>
          <w:lang w:val="en-GB"/>
        </w:rPr>
        <w:t xml:space="preserve"> basis of </w:t>
      </w:r>
      <w:r w:rsidR="00CB085F" w:rsidRPr="00CB085F">
        <w:rPr>
          <w:rFonts w:ascii="Times New Roman" w:hAnsi="Times New Roman" w:cs="Times New Roman"/>
          <w:i/>
          <w:sz w:val="22"/>
          <w:szCs w:val="22"/>
          <w:lang w:val="en-GB"/>
        </w:rPr>
        <w:t>s</w:t>
      </w:r>
      <w:r w:rsidR="000C369C" w:rsidRPr="00CB085F">
        <w:rPr>
          <w:rFonts w:ascii="Times New Roman" w:hAnsi="Times New Roman" w:cs="Times New Roman"/>
          <w:i/>
          <w:sz w:val="22"/>
          <w:szCs w:val="22"/>
          <w:lang w:val="en-GB"/>
        </w:rPr>
        <w:t>hari’a</w:t>
      </w:r>
      <w:r w:rsidR="00227679">
        <w:rPr>
          <w:rFonts w:ascii="Times New Roman" w:hAnsi="Times New Roman" w:cs="Times New Roman"/>
          <w:i/>
          <w:sz w:val="22"/>
          <w:szCs w:val="22"/>
          <w:lang w:val="en-GB"/>
        </w:rPr>
        <w:t xml:space="preserve"> </w:t>
      </w:r>
      <w:r w:rsidR="00CB085F">
        <w:rPr>
          <w:rFonts w:ascii="Times New Roman" w:hAnsi="Times New Roman" w:cs="Times New Roman"/>
          <w:sz w:val="22"/>
          <w:szCs w:val="22"/>
          <w:lang w:val="en-GB"/>
        </w:rPr>
        <w:t>c</w:t>
      </w:r>
      <w:r w:rsidR="003670F6" w:rsidRPr="004A29F9">
        <w:rPr>
          <w:rFonts w:ascii="Times New Roman" w:hAnsi="Times New Roman" w:cs="Times New Roman"/>
          <w:sz w:val="22"/>
          <w:szCs w:val="22"/>
          <w:lang w:val="en-GB"/>
        </w:rPr>
        <w:t>ourt jurisdiction is</w:t>
      </w:r>
      <w:r w:rsidRPr="004A29F9">
        <w:rPr>
          <w:rFonts w:ascii="Times New Roman" w:hAnsi="Times New Roman" w:cs="Times New Roman"/>
          <w:sz w:val="22"/>
          <w:szCs w:val="22"/>
          <w:lang w:val="en-GB"/>
        </w:rPr>
        <w:t xml:space="preserve"> not the Koran, but</w:t>
      </w:r>
      <w:r w:rsidR="003670F6" w:rsidRPr="004A29F9">
        <w:rPr>
          <w:rFonts w:ascii="Times New Roman" w:hAnsi="Times New Roman" w:cs="Times New Roman"/>
          <w:sz w:val="22"/>
          <w:szCs w:val="22"/>
          <w:lang w:val="en-GB"/>
        </w:rPr>
        <w:t xml:space="preserve"> the Law on Personal Status. Thus, </w:t>
      </w:r>
      <w:r w:rsidR="00CB085F" w:rsidRPr="00CB085F">
        <w:rPr>
          <w:rFonts w:ascii="Times New Roman" w:hAnsi="Times New Roman" w:cs="Times New Roman"/>
          <w:i/>
          <w:sz w:val="22"/>
          <w:szCs w:val="22"/>
          <w:lang w:val="en-GB"/>
        </w:rPr>
        <w:t>s</w:t>
      </w:r>
      <w:r w:rsidR="000C369C" w:rsidRPr="00CB085F">
        <w:rPr>
          <w:rFonts w:ascii="Times New Roman" w:hAnsi="Times New Roman" w:cs="Times New Roman"/>
          <w:i/>
          <w:sz w:val="22"/>
          <w:szCs w:val="22"/>
          <w:lang w:val="en-GB"/>
        </w:rPr>
        <w:t>hari’a</w:t>
      </w:r>
      <w:r w:rsidR="00227679">
        <w:rPr>
          <w:rFonts w:ascii="Times New Roman" w:hAnsi="Times New Roman" w:cs="Times New Roman"/>
          <w:i/>
          <w:sz w:val="22"/>
          <w:szCs w:val="22"/>
          <w:lang w:val="en-GB"/>
        </w:rPr>
        <w:t xml:space="preserve"> </w:t>
      </w:r>
      <w:r w:rsidR="00CB085F">
        <w:rPr>
          <w:rFonts w:ascii="Times New Roman" w:hAnsi="Times New Roman" w:cs="Times New Roman"/>
          <w:sz w:val="22"/>
          <w:szCs w:val="22"/>
          <w:lang w:val="en-GB"/>
        </w:rPr>
        <w:t>c</w:t>
      </w:r>
      <w:r w:rsidR="003670F6" w:rsidRPr="004A29F9">
        <w:rPr>
          <w:rFonts w:ascii="Times New Roman" w:hAnsi="Times New Roman" w:cs="Times New Roman"/>
          <w:sz w:val="22"/>
          <w:szCs w:val="22"/>
          <w:lang w:val="en-GB"/>
        </w:rPr>
        <w:t>ourt jurisdiction is not exclusive to Muslims, but includes Christians in cases of inhe</w:t>
      </w:r>
      <w:r w:rsidR="00D34022" w:rsidRPr="004A29F9">
        <w:rPr>
          <w:rFonts w:ascii="Times New Roman" w:hAnsi="Times New Roman" w:cs="Times New Roman"/>
          <w:sz w:val="22"/>
          <w:szCs w:val="22"/>
          <w:lang w:val="en-GB"/>
        </w:rPr>
        <w:t xml:space="preserve">ritance and mixed marriages.  </w:t>
      </w:r>
      <w:r w:rsidR="00FD2C98" w:rsidRPr="004A29F9">
        <w:rPr>
          <w:rFonts w:ascii="Times New Roman" w:hAnsi="Times New Roman" w:cs="Times New Roman"/>
          <w:sz w:val="22"/>
          <w:szCs w:val="22"/>
          <w:lang w:val="en-GB"/>
        </w:rPr>
        <w:t>The Personal Status Law was last amended in 1975.  There are other overlapping historical bases of jurisdiction includi</w:t>
      </w:r>
      <w:r w:rsidR="00CB085F">
        <w:rPr>
          <w:rFonts w:ascii="Times New Roman" w:hAnsi="Times New Roman" w:cs="Times New Roman"/>
          <w:sz w:val="22"/>
          <w:szCs w:val="22"/>
          <w:lang w:val="en-GB"/>
        </w:rPr>
        <w:t>ng Jordanian laws</w:t>
      </w:r>
      <w:r w:rsidR="00FD2C98" w:rsidRPr="004A29F9">
        <w:rPr>
          <w:rFonts w:ascii="Times New Roman" w:hAnsi="Times New Roman" w:cs="Times New Roman"/>
          <w:sz w:val="22"/>
          <w:szCs w:val="22"/>
          <w:lang w:val="en-GB"/>
        </w:rPr>
        <w:t xml:space="preserve"> (in the West Bank); the Ottoman </w:t>
      </w:r>
      <w:r w:rsidR="00CB085F">
        <w:rPr>
          <w:rFonts w:ascii="Times New Roman" w:hAnsi="Times New Roman" w:cs="Times New Roman"/>
          <w:sz w:val="22"/>
          <w:szCs w:val="22"/>
          <w:lang w:val="en-GB"/>
        </w:rPr>
        <w:t xml:space="preserve">Family Status Law (in Gaza); </w:t>
      </w:r>
      <w:r w:rsidR="00FD2C98" w:rsidRPr="004A29F9">
        <w:rPr>
          <w:rFonts w:ascii="Times New Roman" w:hAnsi="Times New Roman" w:cs="Times New Roman"/>
          <w:sz w:val="22"/>
          <w:szCs w:val="22"/>
          <w:lang w:val="en-GB"/>
        </w:rPr>
        <w:t xml:space="preserve">and other more current Jordanian laws (applied by </w:t>
      </w:r>
      <w:r w:rsidR="00CB085F" w:rsidRPr="00CB085F">
        <w:rPr>
          <w:rFonts w:ascii="Times New Roman" w:hAnsi="Times New Roman" w:cs="Times New Roman"/>
          <w:i/>
          <w:sz w:val="22"/>
          <w:szCs w:val="22"/>
          <w:lang w:val="en-GB"/>
        </w:rPr>
        <w:t>s</w:t>
      </w:r>
      <w:r w:rsidR="000C369C" w:rsidRPr="00CB085F">
        <w:rPr>
          <w:rFonts w:ascii="Times New Roman" w:hAnsi="Times New Roman" w:cs="Times New Roman"/>
          <w:i/>
          <w:sz w:val="22"/>
          <w:szCs w:val="22"/>
          <w:lang w:val="en-GB"/>
        </w:rPr>
        <w:t>hari’a</w:t>
      </w:r>
      <w:r w:rsidR="00CB085F">
        <w:rPr>
          <w:rFonts w:ascii="Times New Roman" w:hAnsi="Times New Roman" w:cs="Times New Roman"/>
          <w:sz w:val="22"/>
          <w:szCs w:val="22"/>
          <w:lang w:val="en-GB"/>
        </w:rPr>
        <w:t xml:space="preserve"> courts in Jerusalem, since they are still </w:t>
      </w:r>
      <w:r w:rsidR="00FD2C98" w:rsidRPr="004A29F9">
        <w:rPr>
          <w:rFonts w:ascii="Times New Roman" w:hAnsi="Times New Roman" w:cs="Times New Roman"/>
          <w:sz w:val="22"/>
          <w:szCs w:val="22"/>
          <w:lang w:val="en-GB"/>
        </w:rPr>
        <w:t>affilia</w:t>
      </w:r>
      <w:r w:rsidR="00CB085F">
        <w:rPr>
          <w:rFonts w:ascii="Times New Roman" w:hAnsi="Times New Roman" w:cs="Times New Roman"/>
          <w:sz w:val="22"/>
          <w:szCs w:val="22"/>
          <w:lang w:val="en-GB"/>
        </w:rPr>
        <w:t xml:space="preserve">ted with the Jordanian courts. </w:t>
      </w:r>
      <w:r w:rsidR="00FD2C98" w:rsidRPr="004A29F9">
        <w:rPr>
          <w:rFonts w:ascii="Times New Roman" w:hAnsi="Times New Roman" w:cs="Times New Roman"/>
          <w:sz w:val="22"/>
          <w:szCs w:val="22"/>
          <w:lang w:val="en-GB"/>
        </w:rPr>
        <w:t>The UNDP supported “Broken Fam</w:t>
      </w:r>
      <w:r w:rsidR="00CB085F">
        <w:rPr>
          <w:rFonts w:ascii="Times New Roman" w:hAnsi="Times New Roman" w:cs="Times New Roman"/>
          <w:sz w:val="22"/>
          <w:szCs w:val="22"/>
          <w:lang w:val="en-GB"/>
        </w:rPr>
        <w:t>ilies” project</w:t>
      </w:r>
      <w:r w:rsidR="00FD2C98" w:rsidRPr="004A29F9">
        <w:rPr>
          <w:rFonts w:ascii="Times New Roman" w:hAnsi="Times New Roman" w:cs="Times New Roman"/>
          <w:sz w:val="22"/>
          <w:szCs w:val="22"/>
          <w:lang w:val="en-GB"/>
        </w:rPr>
        <w:t xml:space="preserve"> has tried to address the impact of this patchwork of jurisdiction</w:t>
      </w:r>
      <w:r w:rsidR="00E23F6D" w:rsidRPr="004A29F9">
        <w:rPr>
          <w:rFonts w:ascii="Times New Roman" w:hAnsi="Times New Roman" w:cs="Times New Roman"/>
          <w:sz w:val="22"/>
          <w:szCs w:val="22"/>
          <w:lang w:val="en-GB"/>
        </w:rPr>
        <w:t xml:space="preserve"> to some extent, but there is a need for the donors to devote re</w:t>
      </w:r>
      <w:r w:rsidR="00CB085F">
        <w:rPr>
          <w:rFonts w:ascii="Times New Roman" w:hAnsi="Times New Roman" w:cs="Times New Roman"/>
          <w:sz w:val="22"/>
          <w:szCs w:val="22"/>
          <w:lang w:val="en-GB"/>
        </w:rPr>
        <w:t>sources to the issue of harmonis</w:t>
      </w:r>
      <w:r w:rsidR="00E23F6D" w:rsidRPr="004A29F9">
        <w:rPr>
          <w:rFonts w:ascii="Times New Roman" w:hAnsi="Times New Roman" w:cs="Times New Roman"/>
          <w:sz w:val="22"/>
          <w:szCs w:val="22"/>
          <w:lang w:val="en-GB"/>
        </w:rPr>
        <w:t xml:space="preserve">ation of </w:t>
      </w:r>
      <w:r w:rsidR="00CB085F" w:rsidRPr="00CB085F">
        <w:rPr>
          <w:rFonts w:ascii="Times New Roman" w:hAnsi="Times New Roman" w:cs="Times New Roman"/>
          <w:i/>
          <w:sz w:val="22"/>
          <w:szCs w:val="22"/>
          <w:lang w:val="en-GB"/>
        </w:rPr>
        <w:t>s</w:t>
      </w:r>
      <w:r w:rsidR="000C369C" w:rsidRPr="00CB085F">
        <w:rPr>
          <w:rFonts w:ascii="Times New Roman" w:hAnsi="Times New Roman" w:cs="Times New Roman"/>
          <w:i/>
          <w:sz w:val="22"/>
          <w:szCs w:val="22"/>
          <w:lang w:val="en-GB"/>
        </w:rPr>
        <w:t>hari’a</w:t>
      </w:r>
      <w:r w:rsidR="00CB085F">
        <w:rPr>
          <w:rFonts w:ascii="Times New Roman" w:hAnsi="Times New Roman" w:cs="Times New Roman"/>
          <w:sz w:val="22"/>
          <w:szCs w:val="22"/>
          <w:lang w:val="en-GB"/>
        </w:rPr>
        <w:t xml:space="preserve"> c</w:t>
      </w:r>
      <w:r w:rsidR="00E23F6D" w:rsidRPr="004A29F9">
        <w:rPr>
          <w:rFonts w:ascii="Times New Roman" w:hAnsi="Times New Roman" w:cs="Times New Roman"/>
          <w:sz w:val="22"/>
          <w:szCs w:val="22"/>
          <w:lang w:val="en-GB"/>
        </w:rPr>
        <w:t xml:space="preserve">ourt jurisdiction with the participation of the </w:t>
      </w:r>
      <w:r w:rsidR="00CB085F" w:rsidRPr="00CB085F">
        <w:rPr>
          <w:rFonts w:ascii="Times New Roman" w:hAnsi="Times New Roman" w:cs="Times New Roman"/>
          <w:i/>
          <w:sz w:val="22"/>
          <w:szCs w:val="22"/>
          <w:lang w:val="en-GB"/>
        </w:rPr>
        <w:t>s</w:t>
      </w:r>
      <w:r w:rsidR="000C369C" w:rsidRPr="00CB085F">
        <w:rPr>
          <w:rFonts w:ascii="Times New Roman" w:hAnsi="Times New Roman" w:cs="Times New Roman"/>
          <w:i/>
          <w:sz w:val="22"/>
          <w:szCs w:val="22"/>
          <w:lang w:val="en-GB"/>
        </w:rPr>
        <w:t>hari’a</w:t>
      </w:r>
      <w:r w:rsidR="00227679">
        <w:rPr>
          <w:rFonts w:ascii="Times New Roman" w:hAnsi="Times New Roman" w:cs="Times New Roman"/>
          <w:i/>
          <w:sz w:val="22"/>
          <w:szCs w:val="22"/>
          <w:lang w:val="en-GB"/>
        </w:rPr>
        <w:t xml:space="preserve"> </w:t>
      </w:r>
      <w:r w:rsidR="00E23F6D" w:rsidRPr="004A29F9">
        <w:rPr>
          <w:rFonts w:ascii="Times New Roman" w:hAnsi="Times New Roman" w:cs="Times New Roman"/>
          <w:sz w:val="22"/>
          <w:szCs w:val="22"/>
          <w:lang w:val="en-GB"/>
        </w:rPr>
        <w:t>court staff.</w:t>
      </w:r>
    </w:p>
    <w:p w:rsidR="00874D71" w:rsidRDefault="00874D71" w:rsidP="00FB6759">
      <w:pPr>
        <w:spacing w:after="0" w:line="240" w:lineRule="auto"/>
        <w:jc w:val="both"/>
        <w:rPr>
          <w:rFonts w:ascii="Times New Roman" w:hAnsi="Times New Roman" w:cs="Times New Roman"/>
          <w:sz w:val="22"/>
          <w:szCs w:val="22"/>
          <w:lang w:val="en-GB"/>
        </w:rPr>
      </w:pPr>
    </w:p>
    <w:p w:rsidR="00C56E07" w:rsidRPr="004A29F9" w:rsidRDefault="00C56E07"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While the civil courts have the HJC, the </w:t>
      </w:r>
      <w:r w:rsidR="00CB085F" w:rsidRPr="00CB085F">
        <w:rPr>
          <w:rFonts w:ascii="Times New Roman" w:hAnsi="Times New Roman" w:cs="Times New Roman"/>
          <w:i/>
          <w:sz w:val="22"/>
          <w:szCs w:val="22"/>
          <w:lang w:val="en-GB"/>
        </w:rPr>
        <w:t>s</w:t>
      </w:r>
      <w:r w:rsidR="000C369C" w:rsidRPr="00CB085F">
        <w:rPr>
          <w:rFonts w:ascii="Times New Roman" w:hAnsi="Times New Roman" w:cs="Times New Roman"/>
          <w:i/>
          <w:sz w:val="22"/>
          <w:szCs w:val="22"/>
          <w:lang w:val="en-GB"/>
        </w:rPr>
        <w:t>hari’a</w:t>
      </w:r>
      <w:r w:rsidRPr="004A29F9">
        <w:rPr>
          <w:rFonts w:ascii="Times New Roman" w:hAnsi="Times New Roman" w:cs="Times New Roman"/>
          <w:sz w:val="22"/>
          <w:szCs w:val="22"/>
          <w:lang w:val="en-GB"/>
        </w:rPr>
        <w:t xml:space="preserve"> courts have </w:t>
      </w:r>
      <w:r w:rsidR="007157DC" w:rsidRPr="004A29F9">
        <w:rPr>
          <w:rFonts w:ascii="Times New Roman" w:hAnsi="Times New Roman" w:cs="Times New Roman"/>
          <w:sz w:val="22"/>
          <w:szCs w:val="22"/>
          <w:lang w:val="en-GB"/>
        </w:rPr>
        <w:t>High</w:t>
      </w:r>
      <w:r w:rsidRPr="004A29F9">
        <w:rPr>
          <w:rFonts w:ascii="Times New Roman" w:hAnsi="Times New Roman" w:cs="Times New Roman"/>
          <w:sz w:val="22"/>
          <w:szCs w:val="22"/>
          <w:lang w:val="en-GB"/>
        </w:rPr>
        <w:t xml:space="preserve"> Judicial Council for the </w:t>
      </w:r>
      <w:r w:rsidR="000C369C" w:rsidRPr="00CB085F">
        <w:rPr>
          <w:rFonts w:ascii="Times New Roman" w:hAnsi="Times New Roman" w:cs="Times New Roman"/>
          <w:i/>
          <w:sz w:val="22"/>
          <w:szCs w:val="22"/>
          <w:lang w:val="en-GB"/>
        </w:rPr>
        <w:t>Shari’a</w:t>
      </w:r>
      <w:r w:rsidRPr="004A29F9">
        <w:rPr>
          <w:rFonts w:ascii="Times New Roman" w:hAnsi="Times New Roman" w:cs="Times New Roman"/>
          <w:sz w:val="22"/>
          <w:szCs w:val="22"/>
          <w:lang w:val="en-GB"/>
        </w:rPr>
        <w:t xml:space="preserve"> Courts and a Supreme </w:t>
      </w:r>
      <w:r w:rsidR="000C369C" w:rsidRPr="00CB085F">
        <w:rPr>
          <w:rFonts w:ascii="Times New Roman" w:hAnsi="Times New Roman" w:cs="Times New Roman"/>
          <w:i/>
          <w:sz w:val="22"/>
          <w:szCs w:val="22"/>
          <w:lang w:val="en-GB"/>
        </w:rPr>
        <w:t>Shari’a</w:t>
      </w:r>
      <w:r w:rsidRPr="004A29F9">
        <w:rPr>
          <w:rFonts w:ascii="Times New Roman" w:hAnsi="Times New Roman" w:cs="Times New Roman"/>
          <w:sz w:val="22"/>
          <w:szCs w:val="22"/>
          <w:lang w:val="en-GB"/>
        </w:rPr>
        <w:t xml:space="preserve"> Judge (which is</w:t>
      </w:r>
      <w:r w:rsidR="00CB085F">
        <w:rPr>
          <w:rFonts w:ascii="Times New Roman" w:hAnsi="Times New Roman" w:cs="Times New Roman"/>
          <w:sz w:val="22"/>
          <w:szCs w:val="22"/>
          <w:lang w:val="en-GB"/>
        </w:rPr>
        <w:t xml:space="preserve"> equivalent to the </w:t>
      </w:r>
      <w:r w:rsidR="007B17D6" w:rsidRPr="004A29F9">
        <w:rPr>
          <w:rFonts w:ascii="Times New Roman" w:hAnsi="Times New Roman" w:cs="Times New Roman"/>
          <w:sz w:val="22"/>
          <w:szCs w:val="22"/>
          <w:lang w:val="en-GB"/>
        </w:rPr>
        <w:t>Chief</w:t>
      </w:r>
      <w:r w:rsidR="00CB085F">
        <w:rPr>
          <w:rFonts w:ascii="Times New Roman" w:hAnsi="Times New Roman" w:cs="Times New Roman"/>
          <w:sz w:val="22"/>
          <w:szCs w:val="22"/>
          <w:lang w:val="en-GB"/>
        </w:rPr>
        <w:t xml:space="preserve"> Justice). </w:t>
      </w:r>
      <w:r w:rsidRPr="004A29F9">
        <w:rPr>
          <w:rFonts w:ascii="Times New Roman" w:hAnsi="Times New Roman" w:cs="Times New Roman"/>
          <w:sz w:val="22"/>
          <w:szCs w:val="22"/>
          <w:lang w:val="en-GB"/>
        </w:rPr>
        <w:t xml:space="preserve">There are currently </w:t>
      </w:r>
      <w:r w:rsidR="00923627" w:rsidRPr="004A29F9">
        <w:rPr>
          <w:rFonts w:ascii="Times New Roman" w:hAnsi="Times New Roman" w:cs="Times New Roman"/>
          <w:sz w:val="22"/>
          <w:szCs w:val="22"/>
          <w:lang w:val="en-GB"/>
        </w:rPr>
        <w:t xml:space="preserve">only very limited </w:t>
      </w:r>
      <w:r w:rsidRPr="004A29F9">
        <w:rPr>
          <w:rFonts w:ascii="Times New Roman" w:hAnsi="Times New Roman" w:cs="Times New Roman"/>
          <w:sz w:val="22"/>
          <w:szCs w:val="22"/>
          <w:lang w:val="en-GB"/>
        </w:rPr>
        <w:t xml:space="preserve">links between the </w:t>
      </w:r>
      <w:r w:rsidR="00CB085F">
        <w:rPr>
          <w:rFonts w:ascii="Times New Roman" w:hAnsi="Times New Roman" w:cs="Times New Roman"/>
          <w:sz w:val="22"/>
          <w:szCs w:val="22"/>
          <w:lang w:val="en-GB"/>
        </w:rPr>
        <w:t xml:space="preserve">civil courts and the </w:t>
      </w:r>
      <w:r w:rsidR="00CB085F" w:rsidRPr="00CB085F">
        <w:rPr>
          <w:rFonts w:ascii="Times New Roman" w:hAnsi="Times New Roman" w:cs="Times New Roman"/>
          <w:i/>
          <w:sz w:val="22"/>
          <w:szCs w:val="22"/>
          <w:lang w:val="en-GB"/>
        </w:rPr>
        <w:t>s</w:t>
      </w:r>
      <w:r w:rsidR="000C369C" w:rsidRPr="00CB085F">
        <w:rPr>
          <w:rFonts w:ascii="Times New Roman" w:hAnsi="Times New Roman" w:cs="Times New Roman"/>
          <w:i/>
          <w:sz w:val="22"/>
          <w:szCs w:val="22"/>
          <w:lang w:val="en-GB"/>
        </w:rPr>
        <w:t>hari’a</w:t>
      </w:r>
      <w:r w:rsidR="00227679">
        <w:rPr>
          <w:rFonts w:ascii="Times New Roman" w:hAnsi="Times New Roman" w:cs="Times New Roman"/>
          <w:i/>
          <w:sz w:val="22"/>
          <w:szCs w:val="22"/>
          <w:lang w:val="en-GB"/>
        </w:rPr>
        <w:t xml:space="preserve"> </w:t>
      </w:r>
      <w:r w:rsidR="00CB085F">
        <w:rPr>
          <w:rFonts w:ascii="Times New Roman" w:hAnsi="Times New Roman" w:cs="Times New Roman"/>
          <w:sz w:val="22"/>
          <w:szCs w:val="22"/>
          <w:lang w:val="en-GB"/>
        </w:rPr>
        <w:t>court;</w:t>
      </w:r>
      <w:r w:rsidR="00227679">
        <w:rPr>
          <w:rFonts w:ascii="Times New Roman" w:hAnsi="Times New Roman" w:cs="Times New Roman"/>
          <w:sz w:val="22"/>
          <w:szCs w:val="22"/>
          <w:lang w:val="en-GB"/>
        </w:rPr>
        <w:t xml:space="preserve"> </w:t>
      </w:r>
      <w:r w:rsidR="00CB085F">
        <w:rPr>
          <w:rFonts w:ascii="Times New Roman" w:hAnsi="Times New Roman" w:cs="Times New Roman"/>
          <w:sz w:val="22"/>
          <w:szCs w:val="22"/>
          <w:lang w:val="en-GB"/>
        </w:rPr>
        <w:t>f</w:t>
      </w:r>
      <w:r w:rsidR="00866924" w:rsidRPr="004A29F9">
        <w:rPr>
          <w:rFonts w:ascii="Times New Roman" w:hAnsi="Times New Roman" w:cs="Times New Roman"/>
          <w:sz w:val="22"/>
          <w:szCs w:val="22"/>
          <w:lang w:val="en-GB"/>
        </w:rPr>
        <w:t>or example</w:t>
      </w:r>
      <w:r w:rsidR="00CB085F">
        <w:rPr>
          <w:rFonts w:ascii="Times New Roman" w:hAnsi="Times New Roman" w:cs="Times New Roman"/>
          <w:sz w:val="22"/>
          <w:szCs w:val="22"/>
          <w:lang w:val="en-GB"/>
        </w:rPr>
        <w:t>,</w:t>
      </w:r>
      <w:r w:rsidR="00866924" w:rsidRPr="004A29F9">
        <w:rPr>
          <w:rFonts w:ascii="Times New Roman" w:hAnsi="Times New Roman" w:cs="Times New Roman"/>
          <w:sz w:val="22"/>
          <w:szCs w:val="22"/>
          <w:lang w:val="en-GB"/>
        </w:rPr>
        <w:t xml:space="preserve"> the </w:t>
      </w:r>
      <w:r w:rsidR="00CB085F" w:rsidRPr="00CB085F">
        <w:rPr>
          <w:rFonts w:ascii="Times New Roman" w:hAnsi="Times New Roman" w:cs="Times New Roman"/>
          <w:i/>
          <w:sz w:val="22"/>
          <w:szCs w:val="22"/>
          <w:lang w:val="en-GB"/>
        </w:rPr>
        <w:t>s</w:t>
      </w:r>
      <w:r w:rsidR="002B260B" w:rsidRPr="00CB085F">
        <w:rPr>
          <w:rFonts w:ascii="Times New Roman" w:hAnsi="Times New Roman" w:cs="Times New Roman"/>
          <w:i/>
          <w:sz w:val="22"/>
          <w:szCs w:val="22"/>
          <w:lang w:val="en-GB"/>
        </w:rPr>
        <w:t>hari’a</w:t>
      </w:r>
      <w:r w:rsidR="00CB085F">
        <w:rPr>
          <w:rFonts w:ascii="Times New Roman" w:hAnsi="Times New Roman" w:cs="Times New Roman"/>
          <w:sz w:val="22"/>
          <w:szCs w:val="22"/>
          <w:lang w:val="en-GB"/>
        </w:rPr>
        <w:t xml:space="preserve"> courts do sit on the MIZAN2 Task Force </w:t>
      </w:r>
      <w:r w:rsidR="00866924" w:rsidRPr="004A29F9">
        <w:rPr>
          <w:rFonts w:ascii="Times New Roman" w:hAnsi="Times New Roman" w:cs="Times New Roman"/>
          <w:sz w:val="22"/>
          <w:szCs w:val="22"/>
          <w:lang w:val="en-GB"/>
        </w:rPr>
        <w:t>but can’t benefit f</w:t>
      </w:r>
      <w:r w:rsidR="00CB085F">
        <w:rPr>
          <w:rFonts w:ascii="Times New Roman" w:hAnsi="Times New Roman" w:cs="Times New Roman"/>
          <w:sz w:val="22"/>
          <w:szCs w:val="22"/>
          <w:lang w:val="en-GB"/>
        </w:rPr>
        <w:t>rom it due to lack of computerisation.</w:t>
      </w:r>
      <w:r w:rsidR="00227679">
        <w:rPr>
          <w:rFonts w:ascii="Times New Roman" w:hAnsi="Times New Roman" w:cs="Times New Roman"/>
          <w:sz w:val="22"/>
          <w:szCs w:val="22"/>
          <w:lang w:val="en-GB"/>
        </w:rPr>
        <w:t xml:space="preserve"> </w:t>
      </w:r>
      <w:r w:rsidR="000C369C" w:rsidRPr="00CB085F">
        <w:rPr>
          <w:rFonts w:ascii="Times New Roman" w:hAnsi="Times New Roman" w:cs="Times New Roman"/>
          <w:i/>
          <w:sz w:val="22"/>
          <w:szCs w:val="22"/>
          <w:lang w:val="en-GB"/>
        </w:rPr>
        <w:t>Shari’a</w:t>
      </w:r>
      <w:r w:rsidRPr="004A29F9">
        <w:rPr>
          <w:rFonts w:ascii="Times New Roman" w:hAnsi="Times New Roman" w:cs="Times New Roman"/>
          <w:sz w:val="22"/>
          <w:szCs w:val="22"/>
          <w:lang w:val="en-GB"/>
        </w:rPr>
        <w:t xml:space="preserve"> courts do, however, have informal and </w:t>
      </w:r>
      <w:r w:rsidRPr="004A29F9">
        <w:rPr>
          <w:rFonts w:ascii="Times New Roman" w:hAnsi="Times New Roman" w:cs="Times New Roman"/>
          <w:i/>
          <w:sz w:val="22"/>
          <w:szCs w:val="22"/>
          <w:lang w:val="en-GB"/>
        </w:rPr>
        <w:t>ad hoc</w:t>
      </w:r>
      <w:r w:rsidRPr="004A29F9">
        <w:rPr>
          <w:rFonts w:ascii="Times New Roman" w:hAnsi="Times New Roman" w:cs="Times New Roman"/>
          <w:sz w:val="22"/>
          <w:szCs w:val="22"/>
          <w:lang w:val="en-GB"/>
        </w:rPr>
        <w:t xml:space="preserve"> communication mechanisms with the</w:t>
      </w:r>
      <w:r w:rsidR="00CB085F">
        <w:rPr>
          <w:rFonts w:ascii="Times New Roman" w:hAnsi="Times New Roman" w:cs="Times New Roman"/>
          <w:sz w:val="22"/>
          <w:szCs w:val="22"/>
          <w:lang w:val="en-GB"/>
        </w:rPr>
        <w:t xml:space="preserve"> PCP (i.e., the family protection u</w:t>
      </w:r>
      <w:r w:rsidRPr="004A29F9">
        <w:rPr>
          <w:rFonts w:ascii="Times New Roman" w:hAnsi="Times New Roman" w:cs="Times New Roman"/>
          <w:sz w:val="22"/>
          <w:szCs w:val="22"/>
          <w:lang w:val="en-GB"/>
        </w:rPr>
        <w:t>nits) and wit</w:t>
      </w:r>
      <w:r w:rsidR="00CB085F">
        <w:rPr>
          <w:rFonts w:ascii="Times New Roman" w:hAnsi="Times New Roman" w:cs="Times New Roman"/>
          <w:sz w:val="22"/>
          <w:szCs w:val="22"/>
          <w:lang w:val="en-GB"/>
        </w:rPr>
        <w:t>h the MOSA</w:t>
      </w:r>
      <w:r w:rsidRPr="004A29F9">
        <w:rPr>
          <w:rFonts w:ascii="Times New Roman" w:hAnsi="Times New Roman" w:cs="Times New Roman"/>
          <w:sz w:val="22"/>
          <w:szCs w:val="22"/>
          <w:lang w:val="en-GB"/>
        </w:rPr>
        <w:t xml:space="preserve"> that could be exploited and deepened going forward.     </w:t>
      </w:r>
    </w:p>
    <w:p w:rsidR="00874D71" w:rsidRDefault="00874D71" w:rsidP="00FB6759">
      <w:pPr>
        <w:spacing w:after="0" w:line="240" w:lineRule="auto"/>
        <w:jc w:val="both"/>
        <w:rPr>
          <w:rFonts w:ascii="Times New Roman" w:hAnsi="Times New Roman" w:cs="Times New Roman"/>
          <w:sz w:val="22"/>
          <w:szCs w:val="22"/>
          <w:lang w:val="en-GB"/>
        </w:rPr>
      </w:pPr>
    </w:p>
    <w:p w:rsidR="00C56E07" w:rsidRPr="004A29F9" w:rsidRDefault="000C369C" w:rsidP="00FB6759">
      <w:pPr>
        <w:spacing w:after="0" w:line="240" w:lineRule="auto"/>
        <w:jc w:val="both"/>
        <w:rPr>
          <w:rFonts w:ascii="Times New Roman" w:hAnsi="Times New Roman" w:cs="Times New Roman"/>
          <w:sz w:val="22"/>
          <w:szCs w:val="22"/>
          <w:lang w:val="en-GB"/>
        </w:rPr>
      </w:pPr>
      <w:r w:rsidRPr="00CB085F">
        <w:rPr>
          <w:rFonts w:ascii="Times New Roman" w:hAnsi="Times New Roman" w:cs="Times New Roman"/>
          <w:i/>
          <w:sz w:val="22"/>
          <w:szCs w:val="22"/>
          <w:lang w:val="en-GB"/>
        </w:rPr>
        <w:t>Shari’a</w:t>
      </w:r>
      <w:r w:rsidR="0095604D" w:rsidRPr="004A29F9">
        <w:rPr>
          <w:rFonts w:ascii="Times New Roman" w:hAnsi="Times New Roman" w:cs="Times New Roman"/>
          <w:sz w:val="22"/>
          <w:szCs w:val="22"/>
          <w:lang w:val="en-GB"/>
        </w:rPr>
        <w:t xml:space="preserve"> courts are</w:t>
      </w:r>
      <w:r w:rsidR="00C56E07" w:rsidRPr="004A29F9">
        <w:rPr>
          <w:rFonts w:ascii="Times New Roman" w:hAnsi="Times New Roman" w:cs="Times New Roman"/>
          <w:sz w:val="22"/>
          <w:szCs w:val="22"/>
          <w:lang w:val="en-GB"/>
        </w:rPr>
        <w:t xml:space="preserve"> quickly</w:t>
      </w:r>
      <w:r w:rsidR="0095604D" w:rsidRPr="004A29F9">
        <w:rPr>
          <w:rFonts w:ascii="Times New Roman" w:hAnsi="Times New Roman" w:cs="Times New Roman"/>
          <w:sz w:val="22"/>
          <w:szCs w:val="22"/>
          <w:lang w:val="en-GB"/>
        </w:rPr>
        <w:t xml:space="preserve"> emerg</w:t>
      </w:r>
      <w:r w:rsidR="00CB085F">
        <w:rPr>
          <w:rFonts w:ascii="Times New Roman" w:hAnsi="Times New Roman" w:cs="Times New Roman"/>
          <w:sz w:val="22"/>
          <w:szCs w:val="22"/>
          <w:lang w:val="en-GB"/>
        </w:rPr>
        <w:t>ing as a justice vehicle in the oPt</w:t>
      </w:r>
      <w:r w:rsidR="0095604D" w:rsidRPr="004A29F9">
        <w:rPr>
          <w:rFonts w:ascii="Times New Roman" w:hAnsi="Times New Roman" w:cs="Times New Roman"/>
          <w:sz w:val="22"/>
          <w:szCs w:val="22"/>
          <w:lang w:val="en-GB"/>
        </w:rPr>
        <w:t xml:space="preserve"> with eight new </w:t>
      </w:r>
      <w:r w:rsidR="0095604D" w:rsidRPr="00CB085F">
        <w:rPr>
          <w:rFonts w:ascii="Times New Roman" w:hAnsi="Times New Roman" w:cs="Times New Roman"/>
          <w:i/>
          <w:sz w:val="22"/>
          <w:szCs w:val="22"/>
          <w:lang w:val="en-GB"/>
        </w:rPr>
        <w:t>shari</w:t>
      </w:r>
      <w:r w:rsidR="009433D0">
        <w:rPr>
          <w:rFonts w:ascii="Times New Roman" w:hAnsi="Times New Roman" w:cs="Times New Roman"/>
          <w:i/>
          <w:sz w:val="22"/>
          <w:szCs w:val="22"/>
          <w:lang w:val="en-GB"/>
        </w:rPr>
        <w:t>’</w:t>
      </w:r>
      <w:r w:rsidR="0095604D" w:rsidRPr="00CB085F">
        <w:rPr>
          <w:rFonts w:ascii="Times New Roman" w:hAnsi="Times New Roman" w:cs="Times New Roman"/>
          <w:i/>
          <w:sz w:val="22"/>
          <w:szCs w:val="22"/>
          <w:lang w:val="en-GB"/>
        </w:rPr>
        <w:t>a</w:t>
      </w:r>
      <w:r w:rsidR="0095604D" w:rsidRPr="004A29F9">
        <w:rPr>
          <w:rFonts w:ascii="Times New Roman" w:hAnsi="Times New Roman" w:cs="Times New Roman"/>
          <w:sz w:val="22"/>
          <w:szCs w:val="22"/>
          <w:lang w:val="en-GB"/>
        </w:rPr>
        <w:t xml:space="preserve"> courts recently opened in the West Bank and Gaza Strip; including eleven judges with the first two female judges in</w:t>
      </w:r>
      <w:r w:rsidR="00431A92">
        <w:rPr>
          <w:rFonts w:ascii="Times New Roman" w:hAnsi="Times New Roman" w:cs="Times New Roman"/>
          <w:sz w:val="22"/>
          <w:szCs w:val="22"/>
          <w:lang w:val="en-GB"/>
        </w:rPr>
        <w:t xml:space="preserve"> the</w:t>
      </w:r>
      <w:r w:rsidR="00227679">
        <w:rPr>
          <w:rFonts w:ascii="Times New Roman" w:hAnsi="Times New Roman" w:cs="Times New Roman"/>
          <w:sz w:val="22"/>
          <w:szCs w:val="22"/>
          <w:lang w:val="en-GB"/>
        </w:rPr>
        <w:t xml:space="preserve"> </w:t>
      </w:r>
      <w:r w:rsidR="00DE216A" w:rsidRPr="004A29F9">
        <w:rPr>
          <w:rFonts w:ascii="Times New Roman" w:hAnsi="Times New Roman" w:cs="Times New Roman"/>
          <w:sz w:val="22"/>
          <w:szCs w:val="22"/>
          <w:lang w:val="en-GB"/>
        </w:rPr>
        <w:t>oPt</w:t>
      </w:r>
      <w:r w:rsidR="0095604D" w:rsidRPr="004A29F9">
        <w:rPr>
          <w:rFonts w:ascii="Times New Roman" w:hAnsi="Times New Roman" w:cs="Times New Roman"/>
          <w:sz w:val="22"/>
          <w:szCs w:val="22"/>
          <w:lang w:val="en-GB"/>
        </w:rPr>
        <w:t>.</w:t>
      </w:r>
      <w:r w:rsidR="0095604D" w:rsidRPr="004A29F9">
        <w:rPr>
          <w:rStyle w:val="FootnoteReference"/>
          <w:rFonts w:ascii="Times New Roman" w:hAnsi="Times New Roman" w:cs="Times New Roman"/>
          <w:sz w:val="22"/>
          <w:szCs w:val="22"/>
          <w:lang w:val="en-GB"/>
        </w:rPr>
        <w:footnoteReference w:id="102"/>
      </w:r>
      <w:r w:rsidR="00227679">
        <w:rPr>
          <w:rFonts w:ascii="Times New Roman" w:hAnsi="Times New Roman" w:cs="Times New Roman"/>
          <w:sz w:val="22"/>
          <w:szCs w:val="22"/>
          <w:lang w:val="en-GB"/>
        </w:rPr>
        <w:t xml:space="preserve"> </w:t>
      </w:r>
      <w:r w:rsidR="00866924" w:rsidRPr="004A29F9">
        <w:rPr>
          <w:rFonts w:ascii="Times New Roman" w:hAnsi="Times New Roman" w:cs="Times New Roman"/>
          <w:sz w:val="22"/>
          <w:szCs w:val="22"/>
          <w:lang w:val="en-GB"/>
        </w:rPr>
        <w:t>They</w:t>
      </w:r>
      <w:r w:rsidR="00431A92">
        <w:rPr>
          <w:rFonts w:ascii="Times New Roman" w:hAnsi="Times New Roman" w:cs="Times New Roman"/>
          <w:sz w:val="22"/>
          <w:szCs w:val="22"/>
          <w:lang w:val="en-GB"/>
        </w:rPr>
        <w:t xml:space="preserve"> are in fact, the first female </w:t>
      </w:r>
      <w:r w:rsidR="00431A92" w:rsidRPr="00431A92">
        <w:rPr>
          <w:rFonts w:ascii="Times New Roman" w:hAnsi="Times New Roman" w:cs="Times New Roman"/>
          <w:i/>
          <w:sz w:val="22"/>
          <w:szCs w:val="22"/>
          <w:lang w:val="en-GB"/>
        </w:rPr>
        <w:t>s</w:t>
      </w:r>
      <w:r w:rsidR="00866924" w:rsidRPr="00431A92">
        <w:rPr>
          <w:rFonts w:ascii="Times New Roman" w:hAnsi="Times New Roman" w:cs="Times New Roman"/>
          <w:i/>
          <w:sz w:val="22"/>
          <w:szCs w:val="22"/>
          <w:lang w:val="en-GB"/>
        </w:rPr>
        <w:t>hari’a</w:t>
      </w:r>
      <w:r w:rsidR="00227679">
        <w:rPr>
          <w:rFonts w:ascii="Times New Roman" w:hAnsi="Times New Roman" w:cs="Times New Roman"/>
          <w:i/>
          <w:sz w:val="22"/>
          <w:szCs w:val="22"/>
          <w:lang w:val="en-GB"/>
        </w:rPr>
        <w:t xml:space="preserve"> </w:t>
      </w:r>
      <w:r w:rsidR="00866924" w:rsidRPr="004A29F9">
        <w:rPr>
          <w:rFonts w:ascii="Times New Roman" w:hAnsi="Times New Roman" w:cs="Times New Roman"/>
          <w:sz w:val="22"/>
          <w:szCs w:val="22"/>
          <w:lang w:val="en-GB"/>
        </w:rPr>
        <w:t>judges in the Middle East.</w:t>
      </w:r>
      <w:r w:rsidR="00227679">
        <w:rPr>
          <w:rFonts w:ascii="Times New Roman" w:hAnsi="Times New Roman" w:cs="Times New Roman"/>
          <w:sz w:val="22"/>
          <w:szCs w:val="22"/>
          <w:lang w:val="en-GB"/>
        </w:rPr>
        <w:t xml:space="preserve"> </w:t>
      </w:r>
      <w:r w:rsidR="00E25050" w:rsidRPr="004A29F9">
        <w:rPr>
          <w:rFonts w:ascii="Times New Roman" w:hAnsi="Times New Roman" w:cs="Times New Roman"/>
          <w:sz w:val="22"/>
          <w:szCs w:val="22"/>
          <w:lang w:val="en-GB"/>
        </w:rPr>
        <w:t xml:space="preserve">There are now 18 </w:t>
      </w:r>
      <w:r w:rsidR="00431A92" w:rsidRPr="00431A92">
        <w:rPr>
          <w:rFonts w:ascii="Times New Roman" w:hAnsi="Times New Roman" w:cs="Times New Roman"/>
          <w:i/>
          <w:sz w:val="22"/>
          <w:szCs w:val="22"/>
          <w:lang w:val="en-GB"/>
        </w:rPr>
        <w:t>s</w:t>
      </w:r>
      <w:r w:rsidRPr="00431A92">
        <w:rPr>
          <w:rFonts w:ascii="Times New Roman" w:hAnsi="Times New Roman" w:cs="Times New Roman"/>
          <w:i/>
          <w:sz w:val="22"/>
          <w:szCs w:val="22"/>
          <w:lang w:val="en-GB"/>
        </w:rPr>
        <w:t>hari’a</w:t>
      </w:r>
      <w:r w:rsidR="00431A92">
        <w:rPr>
          <w:rFonts w:ascii="Times New Roman" w:hAnsi="Times New Roman" w:cs="Times New Roman"/>
          <w:sz w:val="22"/>
          <w:szCs w:val="22"/>
          <w:lang w:val="en-GB"/>
        </w:rPr>
        <w:t xml:space="preserve"> </w:t>
      </w:r>
      <w:r w:rsidR="00431A92">
        <w:rPr>
          <w:rFonts w:ascii="Times New Roman" w:hAnsi="Times New Roman" w:cs="Times New Roman"/>
          <w:sz w:val="22"/>
          <w:szCs w:val="22"/>
          <w:lang w:val="en-GB"/>
        </w:rPr>
        <w:lastRenderedPageBreak/>
        <w:t>c</w:t>
      </w:r>
      <w:r w:rsidR="00E25050" w:rsidRPr="004A29F9">
        <w:rPr>
          <w:rFonts w:ascii="Times New Roman" w:hAnsi="Times New Roman" w:cs="Times New Roman"/>
          <w:sz w:val="22"/>
          <w:szCs w:val="22"/>
          <w:lang w:val="en-GB"/>
        </w:rPr>
        <w:t xml:space="preserve">ourts in </w:t>
      </w:r>
      <w:r w:rsidR="00DE216A" w:rsidRPr="004A29F9">
        <w:rPr>
          <w:rFonts w:ascii="Times New Roman" w:hAnsi="Times New Roman" w:cs="Times New Roman"/>
          <w:sz w:val="22"/>
          <w:szCs w:val="22"/>
          <w:lang w:val="en-GB"/>
        </w:rPr>
        <w:t>oPt</w:t>
      </w:r>
      <w:r w:rsidR="00E25050" w:rsidRPr="004A29F9">
        <w:rPr>
          <w:rFonts w:ascii="Times New Roman" w:hAnsi="Times New Roman" w:cs="Times New Roman"/>
          <w:sz w:val="22"/>
          <w:szCs w:val="22"/>
          <w:lang w:val="en-GB"/>
        </w:rPr>
        <w:t>.</w:t>
      </w:r>
      <w:r w:rsidR="00227679">
        <w:rPr>
          <w:rFonts w:ascii="Times New Roman" w:hAnsi="Times New Roman" w:cs="Times New Roman"/>
          <w:sz w:val="22"/>
          <w:szCs w:val="22"/>
          <w:lang w:val="en-GB"/>
        </w:rPr>
        <w:t xml:space="preserve"> </w:t>
      </w:r>
      <w:r w:rsidR="00D34022" w:rsidRPr="004A29F9">
        <w:rPr>
          <w:rFonts w:ascii="Times New Roman" w:hAnsi="Times New Roman" w:cs="Times New Roman"/>
          <w:sz w:val="22"/>
          <w:szCs w:val="22"/>
          <w:lang w:val="en-GB"/>
        </w:rPr>
        <w:t xml:space="preserve">Contrary to the unfortunate misperceptions held by </w:t>
      </w:r>
      <w:r w:rsidR="00923627" w:rsidRPr="004A29F9">
        <w:rPr>
          <w:rFonts w:ascii="Times New Roman" w:hAnsi="Times New Roman" w:cs="Times New Roman"/>
          <w:sz w:val="22"/>
          <w:szCs w:val="22"/>
          <w:lang w:val="en-GB"/>
        </w:rPr>
        <w:t xml:space="preserve">some in </w:t>
      </w:r>
      <w:r w:rsidR="00D34022" w:rsidRPr="004A29F9">
        <w:rPr>
          <w:rFonts w:ascii="Times New Roman" w:hAnsi="Times New Roman" w:cs="Times New Roman"/>
          <w:sz w:val="22"/>
          <w:szCs w:val="22"/>
          <w:lang w:val="en-GB"/>
        </w:rPr>
        <w:t xml:space="preserve">the international community, </w:t>
      </w:r>
      <w:r w:rsidR="0095604D" w:rsidRPr="004A29F9">
        <w:rPr>
          <w:rFonts w:ascii="Times New Roman" w:hAnsi="Times New Roman" w:cs="Times New Roman"/>
          <w:sz w:val="22"/>
          <w:szCs w:val="22"/>
          <w:lang w:val="en-GB"/>
        </w:rPr>
        <w:t>“</w:t>
      </w:r>
      <w:r w:rsidR="00D34022" w:rsidRPr="004A29F9">
        <w:rPr>
          <w:rFonts w:ascii="Times New Roman" w:hAnsi="Times New Roman" w:cs="Times New Roman"/>
          <w:sz w:val="22"/>
          <w:szCs w:val="22"/>
          <w:lang w:val="en-GB"/>
        </w:rPr>
        <w:t>[s]</w:t>
      </w:r>
      <w:r w:rsidR="0095604D" w:rsidRPr="004A29F9">
        <w:rPr>
          <w:rFonts w:ascii="Times New Roman" w:hAnsi="Times New Roman" w:cs="Times New Roman"/>
          <w:sz w:val="22"/>
          <w:szCs w:val="22"/>
          <w:lang w:val="en-GB"/>
        </w:rPr>
        <w:t xml:space="preserve">tudies have found that the </w:t>
      </w:r>
      <w:r w:rsidR="0095604D" w:rsidRPr="00431A92">
        <w:rPr>
          <w:rFonts w:ascii="Times New Roman" w:hAnsi="Times New Roman" w:cs="Times New Roman"/>
          <w:i/>
          <w:sz w:val="22"/>
          <w:szCs w:val="22"/>
          <w:lang w:val="en-GB"/>
        </w:rPr>
        <w:t>shari</w:t>
      </w:r>
      <w:r w:rsidR="00431A92">
        <w:rPr>
          <w:rFonts w:ascii="Times New Roman" w:hAnsi="Times New Roman" w:cs="Times New Roman"/>
          <w:i/>
          <w:sz w:val="22"/>
          <w:szCs w:val="22"/>
          <w:lang w:val="en-GB"/>
        </w:rPr>
        <w:t>’</w:t>
      </w:r>
      <w:r w:rsidR="0095604D" w:rsidRPr="00431A92">
        <w:rPr>
          <w:rFonts w:ascii="Times New Roman" w:hAnsi="Times New Roman" w:cs="Times New Roman"/>
          <w:i/>
          <w:sz w:val="22"/>
          <w:szCs w:val="22"/>
          <w:lang w:val="en-GB"/>
        </w:rPr>
        <w:t>a</w:t>
      </w:r>
      <w:r w:rsidR="0095604D" w:rsidRPr="004A29F9">
        <w:rPr>
          <w:rFonts w:ascii="Times New Roman" w:hAnsi="Times New Roman" w:cs="Times New Roman"/>
          <w:sz w:val="22"/>
          <w:szCs w:val="22"/>
          <w:lang w:val="en-GB"/>
        </w:rPr>
        <w:t xml:space="preserve"> courts are legally and socially dynamic, and that judges, lawyers and litigants are able to achieve positive outcomes for women</w:t>
      </w:r>
      <w:r w:rsidR="00431A92">
        <w:rPr>
          <w:rFonts w:ascii="Times New Roman" w:hAnsi="Times New Roman" w:cs="Times New Roman"/>
          <w:sz w:val="22"/>
          <w:szCs w:val="22"/>
          <w:lang w:val="en-GB"/>
        </w:rPr>
        <w:t>,</w:t>
      </w:r>
      <w:r w:rsidR="0095604D" w:rsidRPr="004A29F9">
        <w:rPr>
          <w:rFonts w:ascii="Times New Roman" w:hAnsi="Times New Roman" w:cs="Times New Roman"/>
          <w:sz w:val="22"/>
          <w:szCs w:val="22"/>
          <w:lang w:val="en-GB"/>
        </w:rPr>
        <w:t xml:space="preserve"> even in the absence of human rights-compliant legislation.”</w:t>
      </w:r>
      <w:r w:rsidR="0095604D" w:rsidRPr="004A29F9">
        <w:rPr>
          <w:rStyle w:val="FootnoteReference"/>
          <w:rFonts w:ascii="Times New Roman" w:hAnsi="Times New Roman" w:cs="Times New Roman"/>
          <w:sz w:val="22"/>
          <w:szCs w:val="22"/>
          <w:lang w:val="en-GB"/>
        </w:rPr>
        <w:footnoteReference w:id="103"/>
      </w:r>
    </w:p>
    <w:p w:rsidR="00874D71" w:rsidRDefault="00874D71" w:rsidP="00FB6759">
      <w:pPr>
        <w:spacing w:after="0" w:line="240" w:lineRule="auto"/>
        <w:jc w:val="both"/>
        <w:rPr>
          <w:rFonts w:ascii="Times New Roman" w:hAnsi="Times New Roman" w:cs="Times New Roman"/>
          <w:sz w:val="22"/>
          <w:szCs w:val="22"/>
          <w:lang w:val="en-GB"/>
        </w:rPr>
      </w:pPr>
    </w:p>
    <w:p w:rsidR="00C56E07" w:rsidRPr="004A29F9" w:rsidRDefault="00C56E07"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As of 2</w:t>
      </w:r>
      <w:r w:rsidR="00431A92">
        <w:rPr>
          <w:rFonts w:ascii="Times New Roman" w:hAnsi="Times New Roman" w:cs="Times New Roman"/>
          <w:sz w:val="22"/>
          <w:szCs w:val="22"/>
          <w:lang w:val="en-GB"/>
        </w:rPr>
        <w:t xml:space="preserve">012, the total backlog </w:t>
      </w:r>
      <w:r w:rsidRPr="004A29F9">
        <w:rPr>
          <w:rFonts w:ascii="Times New Roman" w:hAnsi="Times New Roman" w:cs="Times New Roman"/>
          <w:sz w:val="22"/>
          <w:szCs w:val="22"/>
          <w:lang w:val="en-GB"/>
        </w:rPr>
        <w:t xml:space="preserve">before the </w:t>
      </w:r>
      <w:r w:rsidR="00431A92" w:rsidRPr="00431A92">
        <w:rPr>
          <w:rFonts w:ascii="Times New Roman" w:hAnsi="Times New Roman" w:cs="Times New Roman"/>
          <w:i/>
          <w:sz w:val="22"/>
          <w:szCs w:val="22"/>
          <w:lang w:val="en-GB"/>
        </w:rPr>
        <w:t>s</w:t>
      </w:r>
      <w:r w:rsidR="000C369C" w:rsidRPr="00431A92">
        <w:rPr>
          <w:rFonts w:ascii="Times New Roman" w:hAnsi="Times New Roman" w:cs="Times New Roman"/>
          <w:i/>
          <w:sz w:val="22"/>
          <w:szCs w:val="22"/>
          <w:lang w:val="en-GB"/>
        </w:rPr>
        <w:t>hari’a</w:t>
      </w:r>
      <w:r w:rsidR="00227679">
        <w:rPr>
          <w:rFonts w:ascii="Times New Roman" w:hAnsi="Times New Roman" w:cs="Times New Roman"/>
          <w:i/>
          <w:sz w:val="22"/>
          <w:szCs w:val="22"/>
          <w:lang w:val="en-GB"/>
        </w:rPr>
        <w:t xml:space="preserve"> </w:t>
      </w:r>
      <w:r w:rsidRPr="004A29F9">
        <w:rPr>
          <w:rFonts w:ascii="Times New Roman" w:hAnsi="Times New Roman" w:cs="Times New Roman"/>
          <w:sz w:val="22"/>
          <w:szCs w:val="22"/>
          <w:lang w:val="en-GB"/>
        </w:rPr>
        <w:t xml:space="preserve">courts totals approximately 90,000 cases. </w:t>
      </w:r>
      <w:r w:rsidR="003670F6" w:rsidRPr="004A29F9">
        <w:rPr>
          <w:rFonts w:ascii="Times New Roman" w:hAnsi="Times New Roman" w:cs="Times New Roman"/>
          <w:sz w:val="22"/>
          <w:szCs w:val="22"/>
          <w:lang w:val="en-GB"/>
        </w:rPr>
        <w:t xml:space="preserve">Yet, </w:t>
      </w:r>
      <w:r w:rsidR="00EE318D" w:rsidRPr="004A29F9">
        <w:rPr>
          <w:rFonts w:ascii="Times New Roman" w:hAnsi="Times New Roman" w:cs="Times New Roman"/>
          <w:sz w:val="22"/>
          <w:szCs w:val="22"/>
          <w:lang w:val="en-GB"/>
        </w:rPr>
        <w:t xml:space="preserve">to </w:t>
      </w:r>
      <w:r w:rsidR="00431A92">
        <w:rPr>
          <w:rFonts w:ascii="Times New Roman" w:hAnsi="Times New Roman" w:cs="Times New Roman"/>
          <w:sz w:val="22"/>
          <w:szCs w:val="22"/>
          <w:lang w:val="en-GB"/>
        </w:rPr>
        <w:t xml:space="preserve">date, the </w:t>
      </w:r>
      <w:r w:rsidR="003670F6" w:rsidRPr="004A29F9">
        <w:rPr>
          <w:rFonts w:ascii="Times New Roman" w:hAnsi="Times New Roman" w:cs="Times New Roman"/>
          <w:sz w:val="22"/>
          <w:szCs w:val="22"/>
          <w:lang w:val="en-GB"/>
        </w:rPr>
        <w:t xml:space="preserve">Ministry of Planning has not included the </w:t>
      </w:r>
      <w:r w:rsidR="00431A92" w:rsidRPr="00431A92">
        <w:rPr>
          <w:rFonts w:ascii="Times New Roman" w:hAnsi="Times New Roman" w:cs="Times New Roman"/>
          <w:i/>
          <w:sz w:val="22"/>
          <w:szCs w:val="22"/>
          <w:lang w:val="en-GB"/>
        </w:rPr>
        <w:t>s</w:t>
      </w:r>
      <w:r w:rsidR="000C369C" w:rsidRPr="00431A92">
        <w:rPr>
          <w:rFonts w:ascii="Times New Roman" w:hAnsi="Times New Roman" w:cs="Times New Roman"/>
          <w:i/>
          <w:sz w:val="22"/>
          <w:szCs w:val="22"/>
          <w:lang w:val="en-GB"/>
        </w:rPr>
        <w:t>hari’a</w:t>
      </w:r>
      <w:r w:rsidR="003670F6" w:rsidRPr="004A29F9">
        <w:rPr>
          <w:rFonts w:ascii="Times New Roman" w:hAnsi="Times New Roman" w:cs="Times New Roman"/>
          <w:sz w:val="22"/>
          <w:szCs w:val="22"/>
          <w:lang w:val="en-GB"/>
        </w:rPr>
        <w:t xml:space="preserve"> court</w:t>
      </w:r>
      <w:r w:rsidR="00431A92">
        <w:rPr>
          <w:rFonts w:ascii="Times New Roman" w:hAnsi="Times New Roman" w:cs="Times New Roman"/>
          <w:sz w:val="22"/>
          <w:szCs w:val="22"/>
          <w:lang w:val="en-GB"/>
        </w:rPr>
        <w:t>s in its justice s</w:t>
      </w:r>
      <w:r w:rsidR="003670F6" w:rsidRPr="004A29F9">
        <w:rPr>
          <w:rFonts w:ascii="Times New Roman" w:hAnsi="Times New Roman" w:cs="Times New Roman"/>
          <w:sz w:val="22"/>
          <w:szCs w:val="22"/>
          <w:lang w:val="en-GB"/>
        </w:rPr>
        <w:t>ector planning</w:t>
      </w:r>
      <w:r w:rsidR="00EE318D" w:rsidRPr="004A29F9">
        <w:rPr>
          <w:rFonts w:ascii="Times New Roman" w:hAnsi="Times New Roman" w:cs="Times New Roman"/>
          <w:sz w:val="22"/>
          <w:szCs w:val="22"/>
          <w:lang w:val="en-GB"/>
        </w:rPr>
        <w:t xml:space="preserve"> or provided any assistance to the </w:t>
      </w:r>
      <w:r w:rsidR="00431A92" w:rsidRPr="00431A92">
        <w:rPr>
          <w:rFonts w:ascii="Times New Roman" w:hAnsi="Times New Roman" w:cs="Times New Roman"/>
          <w:i/>
          <w:sz w:val="22"/>
          <w:szCs w:val="22"/>
          <w:lang w:val="en-GB"/>
        </w:rPr>
        <w:t>s</w:t>
      </w:r>
      <w:r w:rsidR="000C369C" w:rsidRPr="00431A92">
        <w:rPr>
          <w:rFonts w:ascii="Times New Roman" w:hAnsi="Times New Roman" w:cs="Times New Roman"/>
          <w:i/>
          <w:sz w:val="22"/>
          <w:szCs w:val="22"/>
          <w:lang w:val="en-GB"/>
        </w:rPr>
        <w:t>hari’a</w:t>
      </w:r>
      <w:r w:rsidR="00EE318D" w:rsidRPr="004A29F9">
        <w:rPr>
          <w:rFonts w:ascii="Times New Roman" w:hAnsi="Times New Roman" w:cs="Times New Roman"/>
          <w:sz w:val="22"/>
          <w:szCs w:val="22"/>
          <w:lang w:val="en-GB"/>
        </w:rPr>
        <w:t xml:space="preserve"> courts to upgrade infrastructure, build capacit</w:t>
      </w:r>
      <w:r w:rsidR="00431A92">
        <w:rPr>
          <w:rFonts w:ascii="Times New Roman" w:hAnsi="Times New Roman" w:cs="Times New Roman"/>
          <w:sz w:val="22"/>
          <w:szCs w:val="22"/>
          <w:lang w:val="en-GB"/>
        </w:rPr>
        <w:t>y of staff and become computeris</w:t>
      </w:r>
      <w:r w:rsidR="00EE318D" w:rsidRPr="004A29F9">
        <w:rPr>
          <w:rFonts w:ascii="Times New Roman" w:hAnsi="Times New Roman" w:cs="Times New Roman"/>
          <w:sz w:val="22"/>
          <w:szCs w:val="22"/>
          <w:lang w:val="en-GB"/>
        </w:rPr>
        <w:t xml:space="preserve">ed. </w:t>
      </w:r>
      <w:r w:rsidRPr="004A29F9">
        <w:rPr>
          <w:rFonts w:ascii="Times New Roman" w:hAnsi="Times New Roman" w:cs="Times New Roman"/>
          <w:sz w:val="22"/>
          <w:szCs w:val="22"/>
          <w:lang w:val="en-GB"/>
        </w:rPr>
        <w:t xml:space="preserve">The </w:t>
      </w:r>
      <w:r w:rsidR="00431A92" w:rsidRPr="00431A92">
        <w:rPr>
          <w:rFonts w:ascii="Times New Roman" w:hAnsi="Times New Roman" w:cs="Times New Roman"/>
          <w:i/>
          <w:sz w:val="22"/>
          <w:szCs w:val="22"/>
          <w:lang w:val="en-GB"/>
        </w:rPr>
        <w:t>s</w:t>
      </w:r>
      <w:r w:rsidR="000C369C" w:rsidRPr="00431A92">
        <w:rPr>
          <w:rFonts w:ascii="Times New Roman" w:hAnsi="Times New Roman" w:cs="Times New Roman"/>
          <w:i/>
          <w:sz w:val="22"/>
          <w:szCs w:val="22"/>
          <w:lang w:val="en-GB"/>
        </w:rPr>
        <w:t>hari’a</w:t>
      </w:r>
      <w:r w:rsidRPr="004A29F9">
        <w:rPr>
          <w:rFonts w:ascii="Times New Roman" w:hAnsi="Times New Roman" w:cs="Times New Roman"/>
          <w:sz w:val="22"/>
          <w:szCs w:val="22"/>
          <w:lang w:val="en-GB"/>
        </w:rPr>
        <w:t xml:space="preserve"> courts are not connected to the</w:t>
      </w:r>
      <w:r w:rsidR="00431A92">
        <w:rPr>
          <w:rFonts w:ascii="Times New Roman" w:hAnsi="Times New Roman" w:cs="Times New Roman"/>
          <w:sz w:val="22"/>
          <w:szCs w:val="22"/>
          <w:lang w:val="en-GB"/>
        </w:rPr>
        <w:t xml:space="preserve"> MIZAN2 d</w:t>
      </w:r>
      <w:r w:rsidRPr="004A29F9">
        <w:rPr>
          <w:rFonts w:ascii="Times New Roman" w:hAnsi="Times New Roman" w:cs="Times New Roman"/>
          <w:sz w:val="22"/>
          <w:szCs w:val="22"/>
          <w:lang w:val="en-GB"/>
        </w:rPr>
        <w:t>at</w:t>
      </w:r>
      <w:r w:rsidR="00431A92">
        <w:rPr>
          <w:rFonts w:ascii="Times New Roman" w:hAnsi="Times New Roman" w:cs="Times New Roman"/>
          <w:sz w:val="22"/>
          <w:szCs w:val="22"/>
          <w:lang w:val="en-GB"/>
        </w:rPr>
        <w:t>abase as they are not computeris</w:t>
      </w:r>
      <w:r w:rsidRPr="004A29F9">
        <w:rPr>
          <w:rFonts w:ascii="Times New Roman" w:hAnsi="Times New Roman" w:cs="Times New Roman"/>
          <w:sz w:val="22"/>
          <w:szCs w:val="22"/>
          <w:lang w:val="en-GB"/>
        </w:rPr>
        <w:t xml:space="preserve">ed. This fact hinders the </w:t>
      </w:r>
      <w:r w:rsidR="00431A92" w:rsidRPr="00431A92">
        <w:rPr>
          <w:rFonts w:ascii="Times New Roman" w:hAnsi="Times New Roman" w:cs="Times New Roman"/>
          <w:i/>
          <w:sz w:val="22"/>
          <w:szCs w:val="22"/>
          <w:lang w:val="en-GB"/>
        </w:rPr>
        <w:t>s</w:t>
      </w:r>
      <w:r w:rsidR="000C369C" w:rsidRPr="00431A92">
        <w:rPr>
          <w:rFonts w:ascii="Times New Roman" w:hAnsi="Times New Roman" w:cs="Times New Roman"/>
          <w:i/>
          <w:sz w:val="22"/>
          <w:szCs w:val="22"/>
          <w:lang w:val="en-GB"/>
        </w:rPr>
        <w:t>hari’a</w:t>
      </w:r>
      <w:r w:rsidRPr="004A29F9">
        <w:rPr>
          <w:rFonts w:ascii="Times New Roman" w:hAnsi="Times New Roman" w:cs="Times New Roman"/>
          <w:sz w:val="22"/>
          <w:szCs w:val="22"/>
          <w:lang w:val="en-GB"/>
        </w:rPr>
        <w:t xml:space="preserve"> courts abilities to keep track of marriages and divorces, which results in a lack of capacity for the </w:t>
      </w:r>
      <w:r w:rsidR="00431A92" w:rsidRPr="00431A92">
        <w:rPr>
          <w:rFonts w:ascii="Times New Roman" w:hAnsi="Times New Roman" w:cs="Times New Roman"/>
          <w:i/>
          <w:sz w:val="22"/>
          <w:szCs w:val="22"/>
          <w:lang w:val="en-GB"/>
        </w:rPr>
        <w:t>s</w:t>
      </w:r>
      <w:r w:rsidR="000C369C" w:rsidRPr="00431A92">
        <w:rPr>
          <w:rFonts w:ascii="Times New Roman" w:hAnsi="Times New Roman" w:cs="Times New Roman"/>
          <w:i/>
          <w:sz w:val="22"/>
          <w:szCs w:val="22"/>
          <w:lang w:val="en-GB"/>
        </w:rPr>
        <w:t>hari’a</w:t>
      </w:r>
      <w:r w:rsidRPr="004A29F9">
        <w:rPr>
          <w:rFonts w:ascii="Times New Roman" w:hAnsi="Times New Roman" w:cs="Times New Roman"/>
          <w:sz w:val="22"/>
          <w:szCs w:val="22"/>
          <w:lang w:val="en-GB"/>
        </w:rPr>
        <w:t xml:space="preserve"> courts to review cases of polygamy as they have no mechanisms to match or cross-check the courts’ manual records. </w:t>
      </w:r>
      <w:r w:rsidR="00431A92">
        <w:rPr>
          <w:rFonts w:ascii="Times New Roman" w:hAnsi="Times New Roman" w:cs="Times New Roman"/>
          <w:sz w:val="22"/>
          <w:szCs w:val="22"/>
          <w:lang w:val="en-GB"/>
        </w:rPr>
        <w:t xml:space="preserve">Additionally, the </w:t>
      </w:r>
      <w:r w:rsidR="00E06E4C" w:rsidRPr="004A29F9">
        <w:rPr>
          <w:rFonts w:ascii="Times New Roman" w:hAnsi="Times New Roman" w:cs="Times New Roman"/>
          <w:sz w:val="22"/>
          <w:szCs w:val="22"/>
          <w:lang w:val="en-GB"/>
        </w:rPr>
        <w:t xml:space="preserve">archive of </w:t>
      </w:r>
      <w:r w:rsidR="00431A92" w:rsidRPr="00431A92">
        <w:rPr>
          <w:rFonts w:ascii="Times New Roman" w:hAnsi="Times New Roman" w:cs="Times New Roman"/>
          <w:i/>
          <w:sz w:val="22"/>
          <w:szCs w:val="22"/>
          <w:lang w:val="en-GB"/>
        </w:rPr>
        <w:t>s</w:t>
      </w:r>
      <w:r w:rsidR="000C369C" w:rsidRPr="00431A92">
        <w:rPr>
          <w:rFonts w:ascii="Times New Roman" w:hAnsi="Times New Roman" w:cs="Times New Roman"/>
          <w:i/>
          <w:sz w:val="22"/>
          <w:szCs w:val="22"/>
          <w:lang w:val="en-GB"/>
        </w:rPr>
        <w:t>hari’a</w:t>
      </w:r>
      <w:r w:rsidR="00E06E4C" w:rsidRPr="004A29F9">
        <w:rPr>
          <w:rFonts w:ascii="Times New Roman" w:hAnsi="Times New Roman" w:cs="Times New Roman"/>
          <w:sz w:val="22"/>
          <w:szCs w:val="22"/>
          <w:lang w:val="en-GB"/>
        </w:rPr>
        <w:t xml:space="preserve"> court decisions has 400 years of court judgements and needs to be indexed and archived.  </w:t>
      </w:r>
    </w:p>
    <w:p w:rsidR="00874D71" w:rsidRDefault="00874D71" w:rsidP="00FB6759">
      <w:pPr>
        <w:spacing w:after="0" w:line="240" w:lineRule="auto"/>
        <w:jc w:val="both"/>
        <w:rPr>
          <w:rFonts w:ascii="Times New Roman" w:hAnsi="Times New Roman" w:cs="Times New Roman"/>
          <w:sz w:val="22"/>
          <w:szCs w:val="22"/>
          <w:lang w:val="en-GB"/>
        </w:rPr>
      </w:pPr>
    </w:p>
    <w:p w:rsidR="001F041B" w:rsidRPr="004A29F9" w:rsidRDefault="004C7395"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Under the Palestinian justice system as currently configured, </w:t>
      </w:r>
      <w:r w:rsidR="00F6291F" w:rsidRPr="004A29F9">
        <w:rPr>
          <w:rFonts w:ascii="Times New Roman" w:hAnsi="Times New Roman" w:cs="Times New Roman"/>
          <w:sz w:val="22"/>
          <w:szCs w:val="22"/>
          <w:lang w:val="en-GB"/>
        </w:rPr>
        <w:t xml:space="preserve">the </w:t>
      </w:r>
      <w:r w:rsidR="00431A92" w:rsidRPr="00431A92">
        <w:rPr>
          <w:rFonts w:ascii="Times New Roman" w:hAnsi="Times New Roman" w:cs="Times New Roman"/>
          <w:i/>
          <w:sz w:val="22"/>
          <w:szCs w:val="22"/>
          <w:lang w:val="en-GB"/>
        </w:rPr>
        <w:t>s</w:t>
      </w:r>
      <w:r w:rsidR="002B260B" w:rsidRPr="00431A92">
        <w:rPr>
          <w:rFonts w:ascii="Times New Roman" w:hAnsi="Times New Roman" w:cs="Times New Roman"/>
          <w:i/>
          <w:sz w:val="22"/>
          <w:szCs w:val="22"/>
          <w:lang w:val="en-GB"/>
        </w:rPr>
        <w:t>hari’a</w:t>
      </w:r>
      <w:r w:rsidR="00F6291F" w:rsidRPr="004A29F9">
        <w:rPr>
          <w:rFonts w:ascii="Times New Roman" w:hAnsi="Times New Roman" w:cs="Times New Roman"/>
          <w:sz w:val="22"/>
          <w:szCs w:val="22"/>
          <w:lang w:val="en-GB"/>
        </w:rPr>
        <w:t xml:space="preserve"> courts </w:t>
      </w:r>
      <w:r w:rsidR="00D34022" w:rsidRPr="004A29F9">
        <w:rPr>
          <w:rFonts w:ascii="Times New Roman" w:hAnsi="Times New Roman" w:cs="Times New Roman"/>
          <w:sz w:val="22"/>
          <w:szCs w:val="22"/>
          <w:lang w:val="en-GB"/>
        </w:rPr>
        <w:t>lack any capacity to enforce or execute their own judgments</w:t>
      </w:r>
      <w:r w:rsidRPr="004A29F9">
        <w:rPr>
          <w:rFonts w:ascii="Times New Roman" w:hAnsi="Times New Roman" w:cs="Times New Roman"/>
          <w:sz w:val="22"/>
          <w:szCs w:val="22"/>
          <w:lang w:val="en-GB"/>
        </w:rPr>
        <w:t xml:space="preserve"> and have no separate execution departments of their own</w:t>
      </w:r>
      <w:r w:rsidR="00D34022" w:rsidRPr="004A29F9">
        <w:rPr>
          <w:rFonts w:ascii="Times New Roman" w:hAnsi="Times New Roman" w:cs="Times New Roman"/>
          <w:sz w:val="22"/>
          <w:szCs w:val="22"/>
          <w:lang w:val="en-GB"/>
        </w:rPr>
        <w:t>.</w:t>
      </w:r>
      <w:r w:rsidR="00227679">
        <w:rPr>
          <w:rFonts w:ascii="Times New Roman" w:hAnsi="Times New Roman" w:cs="Times New Roman"/>
          <w:sz w:val="22"/>
          <w:szCs w:val="22"/>
          <w:lang w:val="en-GB"/>
        </w:rPr>
        <w:t xml:space="preserve"> </w:t>
      </w:r>
      <w:r w:rsidR="00431A92" w:rsidRPr="00431A92">
        <w:rPr>
          <w:rFonts w:ascii="Times New Roman" w:hAnsi="Times New Roman" w:cs="Times New Roman"/>
          <w:i/>
          <w:sz w:val="22"/>
          <w:szCs w:val="22"/>
          <w:lang w:val="en-GB"/>
        </w:rPr>
        <w:t>S</w:t>
      </w:r>
      <w:r w:rsidR="000C369C" w:rsidRPr="00431A92">
        <w:rPr>
          <w:rFonts w:ascii="Times New Roman" w:hAnsi="Times New Roman" w:cs="Times New Roman"/>
          <w:i/>
          <w:sz w:val="22"/>
          <w:szCs w:val="22"/>
          <w:lang w:val="en-GB"/>
        </w:rPr>
        <w:t>hari’a</w:t>
      </w:r>
      <w:r w:rsidR="00227679">
        <w:rPr>
          <w:rFonts w:ascii="Times New Roman" w:hAnsi="Times New Roman" w:cs="Times New Roman"/>
          <w:i/>
          <w:sz w:val="22"/>
          <w:szCs w:val="22"/>
          <w:lang w:val="en-GB"/>
        </w:rPr>
        <w:t xml:space="preserve"> </w:t>
      </w:r>
      <w:r w:rsidR="00D34022" w:rsidRPr="004A29F9">
        <w:rPr>
          <w:rFonts w:ascii="Times New Roman" w:hAnsi="Times New Roman" w:cs="Times New Roman"/>
          <w:sz w:val="22"/>
          <w:szCs w:val="22"/>
          <w:lang w:val="en-GB"/>
        </w:rPr>
        <w:t xml:space="preserve">courts </w:t>
      </w:r>
      <w:r w:rsidRPr="004A29F9">
        <w:rPr>
          <w:rFonts w:ascii="Times New Roman" w:hAnsi="Times New Roman" w:cs="Times New Roman"/>
          <w:sz w:val="22"/>
          <w:szCs w:val="22"/>
          <w:lang w:val="en-GB"/>
        </w:rPr>
        <w:t xml:space="preserve">must </w:t>
      </w:r>
      <w:r w:rsidR="00D34022" w:rsidRPr="004A29F9">
        <w:rPr>
          <w:rFonts w:ascii="Times New Roman" w:hAnsi="Times New Roman" w:cs="Times New Roman"/>
          <w:sz w:val="22"/>
          <w:szCs w:val="22"/>
          <w:lang w:val="en-GB"/>
        </w:rPr>
        <w:t>refer</w:t>
      </w:r>
      <w:r w:rsidRPr="004A29F9">
        <w:rPr>
          <w:rFonts w:ascii="Times New Roman" w:hAnsi="Times New Roman" w:cs="Times New Roman"/>
          <w:sz w:val="22"/>
          <w:szCs w:val="22"/>
          <w:lang w:val="en-GB"/>
        </w:rPr>
        <w:t xml:space="preserve"> their judgments </w:t>
      </w:r>
      <w:r w:rsidR="00D34022" w:rsidRPr="004A29F9">
        <w:rPr>
          <w:rFonts w:ascii="Times New Roman" w:hAnsi="Times New Roman" w:cs="Times New Roman"/>
          <w:sz w:val="22"/>
          <w:szCs w:val="22"/>
          <w:lang w:val="en-GB"/>
        </w:rPr>
        <w:t xml:space="preserve">to a civil court magistrate judge in the regular court system </w:t>
      </w:r>
      <w:r w:rsidRPr="004A29F9">
        <w:rPr>
          <w:rFonts w:ascii="Times New Roman" w:hAnsi="Times New Roman" w:cs="Times New Roman"/>
          <w:sz w:val="22"/>
          <w:szCs w:val="22"/>
          <w:lang w:val="en-GB"/>
        </w:rPr>
        <w:t>that</w:t>
      </w:r>
      <w:r w:rsidR="00D34022" w:rsidRPr="004A29F9">
        <w:rPr>
          <w:rFonts w:ascii="Times New Roman" w:hAnsi="Times New Roman" w:cs="Times New Roman"/>
          <w:sz w:val="22"/>
          <w:szCs w:val="22"/>
          <w:lang w:val="en-GB"/>
        </w:rPr>
        <w:t xml:space="preserve"> enforces and executes </w:t>
      </w:r>
      <w:r w:rsidRPr="004A29F9">
        <w:rPr>
          <w:rFonts w:ascii="Times New Roman" w:hAnsi="Times New Roman" w:cs="Times New Roman"/>
          <w:sz w:val="22"/>
          <w:szCs w:val="22"/>
          <w:lang w:val="en-GB"/>
        </w:rPr>
        <w:t>those rulings</w:t>
      </w:r>
      <w:r w:rsidR="00D34022" w:rsidRPr="004A29F9">
        <w:rPr>
          <w:rFonts w:ascii="Times New Roman" w:hAnsi="Times New Roman" w:cs="Times New Roman"/>
          <w:sz w:val="22"/>
          <w:szCs w:val="22"/>
          <w:lang w:val="en-GB"/>
        </w:rPr>
        <w:t xml:space="preserve"> of both civil courts and </w:t>
      </w:r>
      <w:r w:rsidR="00431A92" w:rsidRPr="00431A92">
        <w:rPr>
          <w:rFonts w:ascii="Times New Roman" w:hAnsi="Times New Roman" w:cs="Times New Roman"/>
          <w:i/>
          <w:sz w:val="22"/>
          <w:szCs w:val="22"/>
          <w:lang w:val="en-GB"/>
        </w:rPr>
        <w:t>s</w:t>
      </w:r>
      <w:r w:rsidR="000C369C" w:rsidRPr="00431A92">
        <w:rPr>
          <w:rFonts w:ascii="Times New Roman" w:hAnsi="Times New Roman" w:cs="Times New Roman"/>
          <w:i/>
          <w:sz w:val="22"/>
          <w:szCs w:val="22"/>
          <w:lang w:val="en-GB"/>
        </w:rPr>
        <w:t>hari’a</w:t>
      </w:r>
      <w:r w:rsidR="00D34022" w:rsidRPr="004A29F9">
        <w:rPr>
          <w:rFonts w:ascii="Times New Roman" w:hAnsi="Times New Roman" w:cs="Times New Roman"/>
          <w:sz w:val="22"/>
          <w:szCs w:val="22"/>
          <w:lang w:val="en-GB"/>
        </w:rPr>
        <w:t xml:space="preserve"> courts. </w:t>
      </w:r>
      <w:r w:rsidRPr="004A29F9">
        <w:rPr>
          <w:rFonts w:ascii="Times New Roman" w:hAnsi="Times New Roman" w:cs="Times New Roman"/>
          <w:sz w:val="22"/>
          <w:szCs w:val="22"/>
          <w:lang w:val="en-GB"/>
        </w:rPr>
        <w:t>Historically, the civil courts were under</w:t>
      </w:r>
      <w:r w:rsidR="00431A92">
        <w:rPr>
          <w:rFonts w:ascii="Times New Roman" w:hAnsi="Times New Roman" w:cs="Times New Roman"/>
          <w:sz w:val="22"/>
          <w:szCs w:val="22"/>
          <w:lang w:val="en-GB"/>
        </w:rPr>
        <w:t xml:space="preserve"> the influence of the Israeli MO</w:t>
      </w:r>
      <w:r w:rsidRPr="004A29F9">
        <w:rPr>
          <w:rFonts w:ascii="Times New Roman" w:hAnsi="Times New Roman" w:cs="Times New Roman"/>
          <w:sz w:val="22"/>
          <w:szCs w:val="22"/>
          <w:lang w:val="en-GB"/>
        </w:rPr>
        <w:t xml:space="preserve">J, but the </w:t>
      </w:r>
      <w:r w:rsidR="00431A92" w:rsidRPr="00431A92">
        <w:rPr>
          <w:rFonts w:ascii="Times New Roman" w:hAnsi="Times New Roman" w:cs="Times New Roman"/>
          <w:i/>
          <w:sz w:val="22"/>
          <w:szCs w:val="22"/>
          <w:lang w:val="en-GB"/>
        </w:rPr>
        <w:t>s</w:t>
      </w:r>
      <w:r w:rsidR="000C369C" w:rsidRPr="00431A92">
        <w:rPr>
          <w:rFonts w:ascii="Times New Roman" w:hAnsi="Times New Roman" w:cs="Times New Roman"/>
          <w:i/>
          <w:sz w:val="22"/>
          <w:szCs w:val="22"/>
          <w:lang w:val="en-GB"/>
        </w:rPr>
        <w:t>hari’a</w:t>
      </w:r>
      <w:r w:rsidRPr="004A29F9">
        <w:rPr>
          <w:rFonts w:ascii="Times New Roman" w:hAnsi="Times New Roman" w:cs="Times New Roman"/>
          <w:sz w:val="22"/>
          <w:szCs w:val="22"/>
          <w:lang w:val="en-GB"/>
        </w:rPr>
        <w:t xml:space="preserve"> courts were under the supervision of Jordan and they rejected the fact that their rulings should be subject to the juris</w:t>
      </w:r>
      <w:r w:rsidR="00431A92">
        <w:rPr>
          <w:rFonts w:ascii="Times New Roman" w:hAnsi="Times New Roman" w:cs="Times New Roman"/>
          <w:sz w:val="22"/>
          <w:szCs w:val="22"/>
          <w:lang w:val="en-GB"/>
        </w:rPr>
        <w:t xml:space="preserve">diction of the Israeli courts. </w:t>
      </w:r>
      <w:r w:rsidR="00C60D32" w:rsidRPr="004A29F9">
        <w:rPr>
          <w:rFonts w:ascii="Times New Roman" w:hAnsi="Times New Roman" w:cs="Times New Roman"/>
          <w:sz w:val="22"/>
          <w:szCs w:val="22"/>
          <w:lang w:val="en-GB"/>
        </w:rPr>
        <w:t xml:space="preserve">The execution of </w:t>
      </w:r>
      <w:r w:rsidR="00431A92" w:rsidRPr="00431A92">
        <w:rPr>
          <w:rFonts w:ascii="Times New Roman" w:hAnsi="Times New Roman" w:cs="Times New Roman"/>
          <w:i/>
          <w:sz w:val="22"/>
          <w:szCs w:val="22"/>
          <w:lang w:val="en-GB"/>
        </w:rPr>
        <w:t>s</w:t>
      </w:r>
      <w:r w:rsidR="000C369C" w:rsidRPr="00431A92">
        <w:rPr>
          <w:rFonts w:ascii="Times New Roman" w:hAnsi="Times New Roman" w:cs="Times New Roman"/>
          <w:i/>
          <w:sz w:val="22"/>
          <w:szCs w:val="22"/>
          <w:lang w:val="en-GB"/>
        </w:rPr>
        <w:t>hari’a</w:t>
      </w:r>
      <w:r w:rsidR="00C60D32" w:rsidRPr="004A29F9">
        <w:rPr>
          <w:rFonts w:ascii="Times New Roman" w:hAnsi="Times New Roman" w:cs="Times New Roman"/>
          <w:sz w:val="22"/>
          <w:szCs w:val="22"/>
          <w:lang w:val="en-GB"/>
        </w:rPr>
        <w:t xml:space="preserve"> judgments by civil courts is a huge area of weakness as the orders are often not carried out and this leaves a very bad impression on people that </w:t>
      </w:r>
      <w:r w:rsidR="00431A92" w:rsidRPr="00431A92">
        <w:rPr>
          <w:rFonts w:ascii="Times New Roman" w:hAnsi="Times New Roman" w:cs="Times New Roman"/>
          <w:i/>
          <w:sz w:val="22"/>
          <w:szCs w:val="22"/>
          <w:lang w:val="en-GB"/>
        </w:rPr>
        <w:t>s</w:t>
      </w:r>
      <w:r w:rsidR="000C369C" w:rsidRPr="00431A92">
        <w:rPr>
          <w:rFonts w:ascii="Times New Roman" w:hAnsi="Times New Roman" w:cs="Times New Roman"/>
          <w:i/>
          <w:sz w:val="22"/>
          <w:szCs w:val="22"/>
          <w:lang w:val="en-GB"/>
        </w:rPr>
        <w:t>hari’a</w:t>
      </w:r>
      <w:r w:rsidR="00C60D32" w:rsidRPr="004A29F9">
        <w:rPr>
          <w:rFonts w:ascii="Times New Roman" w:hAnsi="Times New Roman" w:cs="Times New Roman"/>
          <w:sz w:val="22"/>
          <w:szCs w:val="22"/>
          <w:lang w:val="en-GB"/>
        </w:rPr>
        <w:t xml:space="preserve"> courts rulings are not executed and therefore not effective. </w:t>
      </w:r>
      <w:r w:rsidR="00431A92">
        <w:rPr>
          <w:rFonts w:ascii="Times New Roman" w:hAnsi="Times New Roman" w:cs="Times New Roman"/>
          <w:sz w:val="22"/>
          <w:szCs w:val="22"/>
          <w:lang w:val="en-GB"/>
        </w:rPr>
        <w:t>A lack of specialis</w:t>
      </w:r>
      <w:r w:rsidR="00A362C8" w:rsidRPr="004A29F9">
        <w:rPr>
          <w:rFonts w:ascii="Times New Roman" w:hAnsi="Times New Roman" w:cs="Times New Roman"/>
          <w:sz w:val="22"/>
          <w:szCs w:val="22"/>
          <w:lang w:val="en-GB"/>
        </w:rPr>
        <w:t xml:space="preserve">ed training of </w:t>
      </w:r>
      <w:r w:rsidR="00431A92">
        <w:rPr>
          <w:rFonts w:ascii="Times New Roman" w:hAnsi="Times New Roman" w:cs="Times New Roman"/>
          <w:i/>
          <w:sz w:val="22"/>
          <w:szCs w:val="22"/>
          <w:lang w:val="en-GB"/>
        </w:rPr>
        <w:t>s</w:t>
      </w:r>
      <w:r w:rsidR="002B260B" w:rsidRPr="00431A92">
        <w:rPr>
          <w:rFonts w:ascii="Times New Roman" w:hAnsi="Times New Roman" w:cs="Times New Roman"/>
          <w:i/>
          <w:sz w:val="22"/>
          <w:szCs w:val="22"/>
          <w:lang w:val="en-GB"/>
        </w:rPr>
        <w:t>hari’a</w:t>
      </w:r>
      <w:r w:rsidR="00A362C8" w:rsidRPr="004A29F9">
        <w:rPr>
          <w:rFonts w:ascii="Times New Roman" w:hAnsi="Times New Roman" w:cs="Times New Roman"/>
          <w:sz w:val="22"/>
          <w:szCs w:val="22"/>
          <w:lang w:val="en-GB"/>
        </w:rPr>
        <w:t xml:space="preserve"> judges means </w:t>
      </w:r>
      <w:r w:rsidR="00431A92" w:rsidRPr="00431A92">
        <w:rPr>
          <w:rFonts w:ascii="Times New Roman" w:hAnsi="Times New Roman" w:cs="Times New Roman"/>
          <w:i/>
          <w:sz w:val="22"/>
          <w:szCs w:val="22"/>
          <w:lang w:val="en-GB"/>
        </w:rPr>
        <w:t>s</w:t>
      </w:r>
      <w:r w:rsidR="002B260B" w:rsidRPr="00431A92">
        <w:rPr>
          <w:rFonts w:ascii="Times New Roman" w:hAnsi="Times New Roman" w:cs="Times New Roman"/>
          <w:i/>
          <w:sz w:val="22"/>
          <w:szCs w:val="22"/>
          <w:lang w:val="en-GB"/>
        </w:rPr>
        <w:t>hari’a</w:t>
      </w:r>
      <w:r w:rsidR="00227679">
        <w:rPr>
          <w:rFonts w:ascii="Times New Roman" w:hAnsi="Times New Roman" w:cs="Times New Roman"/>
          <w:i/>
          <w:sz w:val="22"/>
          <w:szCs w:val="22"/>
          <w:lang w:val="en-GB"/>
        </w:rPr>
        <w:t xml:space="preserve"> </w:t>
      </w:r>
      <w:r w:rsidR="00A362C8" w:rsidRPr="004A29F9">
        <w:rPr>
          <w:rFonts w:ascii="Times New Roman" w:hAnsi="Times New Roman" w:cs="Times New Roman"/>
          <w:sz w:val="22"/>
          <w:szCs w:val="22"/>
          <w:lang w:val="en-GB"/>
        </w:rPr>
        <w:t>court decisions are often “humanitarian” in nature and sometimes insensitively and illegally executed (i.e. through using physical force to separate a teenage girl from her mother when custody has</w:t>
      </w:r>
      <w:r w:rsidR="00431A92">
        <w:rPr>
          <w:rFonts w:ascii="Times New Roman" w:hAnsi="Times New Roman" w:cs="Times New Roman"/>
          <w:sz w:val="22"/>
          <w:szCs w:val="22"/>
          <w:lang w:val="en-GB"/>
        </w:rPr>
        <w:t xml:space="preserve"> been awarded to her father). </w:t>
      </w:r>
      <w:r w:rsidR="00A362C8" w:rsidRPr="004A29F9">
        <w:rPr>
          <w:rFonts w:ascii="Times New Roman" w:hAnsi="Times New Roman" w:cs="Times New Roman"/>
          <w:sz w:val="22"/>
          <w:szCs w:val="22"/>
          <w:lang w:val="en-GB"/>
        </w:rPr>
        <w:t xml:space="preserve">As a result, </w:t>
      </w:r>
      <w:r w:rsidR="00431A92" w:rsidRPr="00431A92">
        <w:rPr>
          <w:rFonts w:ascii="Times New Roman" w:hAnsi="Times New Roman" w:cs="Times New Roman"/>
          <w:i/>
          <w:sz w:val="22"/>
          <w:szCs w:val="22"/>
          <w:lang w:val="en-GB"/>
        </w:rPr>
        <w:t>s</w:t>
      </w:r>
      <w:r w:rsidR="000C369C" w:rsidRPr="00431A92">
        <w:rPr>
          <w:rFonts w:ascii="Times New Roman" w:hAnsi="Times New Roman" w:cs="Times New Roman"/>
          <w:i/>
          <w:sz w:val="22"/>
          <w:szCs w:val="22"/>
          <w:lang w:val="en-GB"/>
        </w:rPr>
        <w:t>hari’a</w:t>
      </w:r>
      <w:r w:rsidR="00C60D32" w:rsidRPr="004A29F9">
        <w:rPr>
          <w:rFonts w:ascii="Times New Roman" w:hAnsi="Times New Roman" w:cs="Times New Roman"/>
          <w:sz w:val="22"/>
          <w:szCs w:val="22"/>
          <w:lang w:val="en-GB"/>
        </w:rPr>
        <w:t xml:space="preserve"> courts are now requesting the power to execute their own judgments.  </w:t>
      </w:r>
    </w:p>
    <w:p w:rsidR="00874D71" w:rsidRDefault="00874D71" w:rsidP="00FB6759">
      <w:pPr>
        <w:spacing w:after="0" w:line="240" w:lineRule="auto"/>
        <w:jc w:val="both"/>
        <w:rPr>
          <w:rFonts w:ascii="Times New Roman" w:hAnsi="Times New Roman" w:cs="Times New Roman"/>
          <w:sz w:val="22"/>
          <w:szCs w:val="22"/>
          <w:lang w:val="en-GB"/>
        </w:rPr>
      </w:pPr>
    </w:p>
    <w:p w:rsidR="00D46C0C" w:rsidRPr="004A29F9" w:rsidRDefault="00EE4564"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The </w:t>
      </w:r>
      <w:r w:rsidR="00431A92" w:rsidRPr="00431A92">
        <w:rPr>
          <w:rFonts w:ascii="Times New Roman" w:hAnsi="Times New Roman" w:cs="Times New Roman"/>
          <w:i/>
          <w:sz w:val="22"/>
          <w:szCs w:val="22"/>
          <w:lang w:val="en-GB"/>
        </w:rPr>
        <w:t>s</w:t>
      </w:r>
      <w:r w:rsidR="000C369C" w:rsidRPr="00431A92">
        <w:rPr>
          <w:rFonts w:ascii="Times New Roman" w:hAnsi="Times New Roman" w:cs="Times New Roman"/>
          <w:i/>
          <w:sz w:val="22"/>
          <w:szCs w:val="22"/>
          <w:lang w:val="en-GB"/>
        </w:rPr>
        <w:t>hari’a</w:t>
      </w:r>
      <w:r w:rsidR="00227679">
        <w:rPr>
          <w:rFonts w:ascii="Times New Roman" w:hAnsi="Times New Roman" w:cs="Times New Roman"/>
          <w:i/>
          <w:sz w:val="22"/>
          <w:szCs w:val="22"/>
          <w:lang w:val="en-GB"/>
        </w:rPr>
        <w:t xml:space="preserve"> </w:t>
      </w:r>
      <w:r w:rsidRPr="004A29F9">
        <w:rPr>
          <w:rFonts w:ascii="Times New Roman" w:hAnsi="Times New Roman" w:cs="Times New Roman"/>
          <w:sz w:val="22"/>
          <w:szCs w:val="22"/>
          <w:lang w:val="en-GB"/>
        </w:rPr>
        <w:t>courts hear many cases of domestic abuse, family disputes, divorce, separation, custody, partition of marital property, do</w:t>
      </w:r>
      <w:r w:rsidR="00431A92">
        <w:rPr>
          <w:rFonts w:ascii="Times New Roman" w:hAnsi="Times New Roman" w:cs="Times New Roman"/>
          <w:sz w:val="22"/>
          <w:szCs w:val="22"/>
          <w:lang w:val="en-GB"/>
        </w:rPr>
        <w:t xml:space="preserve">wry, inheritance and marriage. </w:t>
      </w:r>
      <w:r w:rsidRPr="004A29F9">
        <w:rPr>
          <w:rFonts w:ascii="Times New Roman" w:hAnsi="Times New Roman" w:cs="Times New Roman"/>
          <w:sz w:val="22"/>
          <w:szCs w:val="22"/>
          <w:lang w:val="en-GB"/>
        </w:rPr>
        <w:t xml:space="preserve">Many indigent women approach the </w:t>
      </w:r>
      <w:r w:rsidR="00431A92">
        <w:rPr>
          <w:rFonts w:ascii="Times New Roman" w:hAnsi="Times New Roman" w:cs="Times New Roman"/>
          <w:i/>
          <w:sz w:val="22"/>
          <w:szCs w:val="22"/>
          <w:lang w:val="en-GB"/>
        </w:rPr>
        <w:t>s</w:t>
      </w:r>
      <w:r w:rsidR="000C369C" w:rsidRPr="00431A92">
        <w:rPr>
          <w:rFonts w:ascii="Times New Roman" w:hAnsi="Times New Roman" w:cs="Times New Roman"/>
          <w:i/>
          <w:sz w:val="22"/>
          <w:szCs w:val="22"/>
          <w:lang w:val="en-GB"/>
        </w:rPr>
        <w:t>hari’a</w:t>
      </w:r>
      <w:r w:rsidR="00227679">
        <w:rPr>
          <w:rFonts w:ascii="Times New Roman" w:hAnsi="Times New Roman" w:cs="Times New Roman"/>
          <w:i/>
          <w:sz w:val="22"/>
          <w:szCs w:val="22"/>
          <w:lang w:val="en-GB"/>
        </w:rPr>
        <w:t xml:space="preserve"> </w:t>
      </w:r>
      <w:r w:rsidRPr="004A29F9">
        <w:rPr>
          <w:rFonts w:ascii="Times New Roman" w:hAnsi="Times New Roman" w:cs="Times New Roman"/>
          <w:sz w:val="22"/>
          <w:szCs w:val="22"/>
          <w:lang w:val="en-GB"/>
        </w:rPr>
        <w:t>courts each year seeking mediation, protection, shel</w:t>
      </w:r>
      <w:r w:rsidR="00431A92">
        <w:rPr>
          <w:rFonts w:ascii="Times New Roman" w:hAnsi="Times New Roman" w:cs="Times New Roman"/>
          <w:sz w:val="22"/>
          <w:szCs w:val="22"/>
          <w:lang w:val="en-GB"/>
        </w:rPr>
        <w:t xml:space="preserve">ter and even social services. </w:t>
      </w:r>
      <w:r w:rsidRPr="004A29F9">
        <w:rPr>
          <w:rFonts w:ascii="Times New Roman" w:hAnsi="Times New Roman" w:cs="Times New Roman"/>
          <w:sz w:val="22"/>
          <w:szCs w:val="22"/>
          <w:lang w:val="en-GB"/>
        </w:rPr>
        <w:t>Some of these women have been utterly</w:t>
      </w:r>
      <w:r w:rsidR="00431A92">
        <w:rPr>
          <w:rFonts w:ascii="Times New Roman" w:hAnsi="Times New Roman" w:cs="Times New Roman"/>
          <w:sz w:val="22"/>
          <w:szCs w:val="22"/>
          <w:lang w:val="en-GB"/>
        </w:rPr>
        <w:t xml:space="preserve"> abandoned by their families. </w:t>
      </w:r>
      <w:r w:rsidR="009B3497" w:rsidRPr="004A29F9">
        <w:rPr>
          <w:rFonts w:ascii="Times New Roman" w:hAnsi="Times New Roman" w:cs="Times New Roman"/>
          <w:sz w:val="22"/>
          <w:szCs w:val="22"/>
          <w:lang w:val="en-GB"/>
        </w:rPr>
        <w:t xml:space="preserve">[Note: </w:t>
      </w:r>
      <w:r w:rsidR="00431A92">
        <w:rPr>
          <w:rFonts w:ascii="Times New Roman" w:hAnsi="Times New Roman" w:cs="Times New Roman"/>
          <w:sz w:val="22"/>
          <w:szCs w:val="22"/>
          <w:lang w:val="en-GB"/>
        </w:rPr>
        <w:t>the annex</w:t>
      </w:r>
      <w:r w:rsidRPr="004A29F9">
        <w:rPr>
          <w:rFonts w:ascii="Times New Roman" w:hAnsi="Times New Roman" w:cs="Times New Roman"/>
          <w:sz w:val="22"/>
          <w:szCs w:val="22"/>
          <w:lang w:val="en-GB"/>
        </w:rPr>
        <w:t xml:space="preserve"> of this repor</w:t>
      </w:r>
      <w:r w:rsidR="00431A92">
        <w:rPr>
          <w:rFonts w:ascii="Times New Roman" w:hAnsi="Times New Roman" w:cs="Times New Roman"/>
          <w:sz w:val="22"/>
          <w:szCs w:val="22"/>
          <w:lang w:val="en-GB"/>
        </w:rPr>
        <w:t>t contains a transcript of the e</w:t>
      </w:r>
      <w:r w:rsidRPr="004A29F9">
        <w:rPr>
          <w:rFonts w:ascii="Times New Roman" w:hAnsi="Times New Roman" w:cs="Times New Roman"/>
          <w:sz w:val="22"/>
          <w:szCs w:val="22"/>
          <w:lang w:val="en-GB"/>
        </w:rPr>
        <w:t xml:space="preserve">valuation’s interview of </w:t>
      </w:r>
      <w:r w:rsidR="009B3497" w:rsidRPr="004A29F9">
        <w:rPr>
          <w:rFonts w:ascii="Times New Roman" w:hAnsi="Times New Roman" w:cs="Times New Roman"/>
          <w:sz w:val="22"/>
          <w:szCs w:val="22"/>
          <w:lang w:val="en-GB"/>
        </w:rPr>
        <w:t xml:space="preserve">a </w:t>
      </w:r>
      <w:r w:rsidR="00431A92" w:rsidRPr="00431A92">
        <w:rPr>
          <w:rFonts w:ascii="Times New Roman" w:hAnsi="Times New Roman" w:cs="Times New Roman"/>
          <w:i/>
          <w:sz w:val="22"/>
          <w:szCs w:val="22"/>
          <w:lang w:val="en-GB"/>
        </w:rPr>
        <w:t>s</w:t>
      </w:r>
      <w:r w:rsidR="000C369C" w:rsidRPr="00431A92">
        <w:rPr>
          <w:rFonts w:ascii="Times New Roman" w:hAnsi="Times New Roman" w:cs="Times New Roman"/>
          <w:i/>
          <w:sz w:val="22"/>
          <w:szCs w:val="22"/>
          <w:lang w:val="en-GB"/>
        </w:rPr>
        <w:t>hari’a</w:t>
      </w:r>
      <w:r w:rsidRPr="004A29F9">
        <w:rPr>
          <w:rFonts w:ascii="Times New Roman" w:hAnsi="Times New Roman" w:cs="Times New Roman"/>
          <w:sz w:val="22"/>
          <w:szCs w:val="22"/>
          <w:lang w:val="en-GB"/>
        </w:rPr>
        <w:t xml:space="preserve"> court judge</w:t>
      </w:r>
      <w:r w:rsidR="009B3497" w:rsidRPr="004A29F9">
        <w:rPr>
          <w:rFonts w:ascii="Times New Roman" w:hAnsi="Times New Roman" w:cs="Times New Roman"/>
          <w:sz w:val="22"/>
          <w:szCs w:val="22"/>
          <w:lang w:val="en-GB"/>
        </w:rPr>
        <w:t xml:space="preserve"> who detailed her experiences dealing with a few such cases</w:t>
      </w:r>
      <w:r w:rsidR="00975724" w:rsidRPr="004A29F9">
        <w:rPr>
          <w:rFonts w:ascii="Times New Roman" w:hAnsi="Times New Roman" w:cs="Times New Roman"/>
          <w:sz w:val="22"/>
          <w:szCs w:val="22"/>
          <w:lang w:val="en-GB"/>
        </w:rPr>
        <w:t>.</w:t>
      </w:r>
      <w:r w:rsidR="009B3497" w:rsidRPr="004A29F9">
        <w:rPr>
          <w:rFonts w:ascii="Times New Roman" w:hAnsi="Times New Roman" w:cs="Times New Roman"/>
          <w:sz w:val="22"/>
          <w:szCs w:val="22"/>
          <w:lang w:val="en-GB"/>
        </w:rPr>
        <w:t>].</w:t>
      </w:r>
    </w:p>
    <w:p w:rsidR="00874D71" w:rsidRDefault="00874D71" w:rsidP="00FB6759">
      <w:pPr>
        <w:spacing w:after="0" w:line="240" w:lineRule="auto"/>
        <w:jc w:val="both"/>
        <w:rPr>
          <w:rFonts w:ascii="Times New Roman" w:hAnsi="Times New Roman" w:cs="Times New Roman"/>
          <w:sz w:val="22"/>
          <w:szCs w:val="22"/>
          <w:lang w:val="en-GB"/>
        </w:rPr>
      </w:pPr>
    </w:p>
    <w:p w:rsidR="000E09F1" w:rsidRPr="004A29F9" w:rsidRDefault="002D4C79"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A</w:t>
      </w:r>
      <w:r w:rsidR="00D46C0C" w:rsidRPr="004A29F9">
        <w:rPr>
          <w:rFonts w:ascii="Times New Roman" w:hAnsi="Times New Roman" w:cs="Times New Roman"/>
          <w:sz w:val="22"/>
          <w:szCs w:val="22"/>
          <w:lang w:val="en-GB"/>
        </w:rPr>
        <w:t>nother</w:t>
      </w:r>
      <w:r w:rsidRPr="004A29F9">
        <w:rPr>
          <w:rFonts w:ascii="Times New Roman" w:hAnsi="Times New Roman" w:cs="Times New Roman"/>
          <w:sz w:val="22"/>
          <w:szCs w:val="22"/>
          <w:lang w:val="en-GB"/>
        </w:rPr>
        <w:t xml:space="preserve"> key function of the </w:t>
      </w:r>
      <w:r w:rsidR="00431A92" w:rsidRPr="00431A92">
        <w:rPr>
          <w:rFonts w:ascii="Times New Roman" w:hAnsi="Times New Roman" w:cs="Times New Roman"/>
          <w:i/>
          <w:sz w:val="22"/>
          <w:szCs w:val="22"/>
          <w:lang w:val="en-GB"/>
        </w:rPr>
        <w:t>s</w:t>
      </w:r>
      <w:r w:rsidR="000C369C" w:rsidRPr="00431A92">
        <w:rPr>
          <w:rFonts w:ascii="Times New Roman" w:hAnsi="Times New Roman" w:cs="Times New Roman"/>
          <w:i/>
          <w:sz w:val="22"/>
          <w:szCs w:val="22"/>
          <w:lang w:val="en-GB"/>
        </w:rPr>
        <w:t>hari’a</w:t>
      </w:r>
      <w:r w:rsidRPr="004A29F9">
        <w:rPr>
          <w:rFonts w:ascii="Times New Roman" w:hAnsi="Times New Roman" w:cs="Times New Roman"/>
          <w:sz w:val="22"/>
          <w:szCs w:val="22"/>
          <w:lang w:val="en-GB"/>
        </w:rPr>
        <w:t xml:space="preserve"> courts is to manage the</w:t>
      </w:r>
      <w:r w:rsidR="00431A92">
        <w:rPr>
          <w:rFonts w:ascii="Times New Roman" w:hAnsi="Times New Roman" w:cs="Times New Roman"/>
          <w:sz w:val="22"/>
          <w:szCs w:val="22"/>
          <w:lang w:val="en-GB"/>
        </w:rPr>
        <w:t xml:space="preserve"> funds of orphans and minors. </w:t>
      </w:r>
      <w:r w:rsidR="000E09F1" w:rsidRPr="004A29F9">
        <w:rPr>
          <w:rFonts w:ascii="Times New Roman" w:hAnsi="Times New Roman" w:cs="Times New Roman"/>
          <w:sz w:val="22"/>
          <w:szCs w:val="22"/>
          <w:lang w:val="en-GB"/>
        </w:rPr>
        <w:t xml:space="preserve">The </w:t>
      </w:r>
      <w:r w:rsidR="00431A92" w:rsidRPr="00431A92">
        <w:rPr>
          <w:rFonts w:ascii="Times New Roman" w:hAnsi="Times New Roman" w:cs="Times New Roman"/>
          <w:i/>
          <w:sz w:val="22"/>
          <w:szCs w:val="22"/>
          <w:lang w:val="en-GB"/>
        </w:rPr>
        <w:t>s</w:t>
      </w:r>
      <w:r w:rsidR="000C369C" w:rsidRPr="00431A92">
        <w:rPr>
          <w:rFonts w:ascii="Times New Roman" w:hAnsi="Times New Roman" w:cs="Times New Roman"/>
          <w:i/>
          <w:sz w:val="22"/>
          <w:szCs w:val="22"/>
          <w:lang w:val="en-GB"/>
        </w:rPr>
        <w:t>hari’a</w:t>
      </w:r>
      <w:r w:rsidR="00227679">
        <w:rPr>
          <w:rFonts w:ascii="Times New Roman" w:hAnsi="Times New Roman" w:cs="Times New Roman"/>
          <w:i/>
          <w:sz w:val="22"/>
          <w:szCs w:val="22"/>
          <w:lang w:val="en-GB"/>
        </w:rPr>
        <w:t xml:space="preserve"> </w:t>
      </w:r>
      <w:r w:rsidR="000E09F1" w:rsidRPr="004A29F9">
        <w:rPr>
          <w:rFonts w:ascii="Times New Roman" w:hAnsi="Times New Roman" w:cs="Times New Roman"/>
          <w:sz w:val="22"/>
          <w:szCs w:val="22"/>
          <w:lang w:val="en-GB"/>
        </w:rPr>
        <w:t>c</w:t>
      </w:r>
      <w:r w:rsidR="00431A92">
        <w:rPr>
          <w:rFonts w:ascii="Times New Roman" w:hAnsi="Times New Roman" w:cs="Times New Roman"/>
          <w:sz w:val="22"/>
          <w:szCs w:val="22"/>
          <w:lang w:val="en-GB"/>
        </w:rPr>
        <w:t xml:space="preserve">ourts are a member of the central adoption committee in the West Bank. </w:t>
      </w:r>
      <w:r w:rsidRPr="004A29F9">
        <w:rPr>
          <w:rFonts w:ascii="Times New Roman" w:hAnsi="Times New Roman" w:cs="Times New Roman"/>
          <w:sz w:val="22"/>
          <w:szCs w:val="22"/>
          <w:lang w:val="en-GB"/>
        </w:rPr>
        <w:t>All m</w:t>
      </w:r>
      <w:r w:rsidR="00431A92">
        <w:rPr>
          <w:rFonts w:ascii="Times New Roman" w:hAnsi="Times New Roman" w:cs="Times New Roman"/>
          <w:sz w:val="22"/>
          <w:szCs w:val="22"/>
          <w:lang w:val="en-GB"/>
        </w:rPr>
        <w:t>inors and orphans</w:t>
      </w:r>
      <w:r w:rsidRPr="004A29F9">
        <w:rPr>
          <w:rFonts w:ascii="Times New Roman" w:hAnsi="Times New Roman" w:cs="Times New Roman"/>
          <w:sz w:val="22"/>
          <w:szCs w:val="22"/>
          <w:lang w:val="en-GB"/>
        </w:rPr>
        <w:t xml:space="preserve"> come under the authority of the </w:t>
      </w:r>
      <w:r w:rsidR="00431A92" w:rsidRPr="00431A92">
        <w:rPr>
          <w:rFonts w:ascii="Times New Roman" w:hAnsi="Times New Roman" w:cs="Times New Roman"/>
          <w:i/>
          <w:sz w:val="22"/>
          <w:szCs w:val="22"/>
          <w:lang w:val="en-GB"/>
        </w:rPr>
        <w:t>s</w:t>
      </w:r>
      <w:r w:rsidR="000C369C" w:rsidRPr="00431A92">
        <w:rPr>
          <w:rFonts w:ascii="Times New Roman" w:hAnsi="Times New Roman" w:cs="Times New Roman"/>
          <w:i/>
          <w:sz w:val="22"/>
          <w:szCs w:val="22"/>
          <w:lang w:val="en-GB"/>
        </w:rPr>
        <w:t>hari’a</w:t>
      </w:r>
      <w:r w:rsidR="00431A92">
        <w:rPr>
          <w:rFonts w:ascii="Times New Roman" w:hAnsi="Times New Roman" w:cs="Times New Roman"/>
          <w:sz w:val="22"/>
          <w:szCs w:val="22"/>
          <w:lang w:val="en-GB"/>
        </w:rPr>
        <w:t xml:space="preserve"> courts. </w:t>
      </w:r>
      <w:r w:rsidRPr="004A29F9">
        <w:rPr>
          <w:rFonts w:ascii="Times New Roman" w:hAnsi="Times New Roman" w:cs="Times New Roman"/>
          <w:sz w:val="22"/>
          <w:szCs w:val="22"/>
          <w:lang w:val="en-GB"/>
        </w:rPr>
        <w:t xml:space="preserve">Not one dollar can be spent by the guardian of a minor without the approval of a </w:t>
      </w:r>
      <w:r w:rsidR="00AA08C5" w:rsidRPr="00AA08C5">
        <w:rPr>
          <w:rFonts w:ascii="Times New Roman" w:hAnsi="Times New Roman" w:cs="Times New Roman"/>
          <w:i/>
          <w:sz w:val="22"/>
          <w:szCs w:val="22"/>
          <w:lang w:val="en-GB"/>
        </w:rPr>
        <w:t>s</w:t>
      </w:r>
      <w:r w:rsidR="000C369C" w:rsidRPr="00AA08C5">
        <w:rPr>
          <w:rFonts w:ascii="Times New Roman" w:hAnsi="Times New Roman" w:cs="Times New Roman"/>
          <w:i/>
          <w:sz w:val="22"/>
          <w:szCs w:val="22"/>
          <w:lang w:val="en-GB"/>
        </w:rPr>
        <w:t>hari’a</w:t>
      </w:r>
      <w:r w:rsidR="00431A92">
        <w:rPr>
          <w:rFonts w:ascii="Times New Roman" w:hAnsi="Times New Roman" w:cs="Times New Roman"/>
          <w:sz w:val="22"/>
          <w:szCs w:val="22"/>
          <w:lang w:val="en-GB"/>
        </w:rPr>
        <w:t xml:space="preserve"> court judge. </w:t>
      </w:r>
      <w:r w:rsidRPr="004A29F9">
        <w:rPr>
          <w:rFonts w:ascii="Times New Roman" w:hAnsi="Times New Roman" w:cs="Times New Roman"/>
          <w:sz w:val="22"/>
          <w:szCs w:val="22"/>
          <w:lang w:val="en-GB"/>
        </w:rPr>
        <w:t>The court can exert very harsh punishments on the guardian if he or she breac</w:t>
      </w:r>
      <w:r w:rsidR="00431A92">
        <w:rPr>
          <w:rFonts w:ascii="Times New Roman" w:hAnsi="Times New Roman" w:cs="Times New Roman"/>
          <w:sz w:val="22"/>
          <w:szCs w:val="22"/>
          <w:lang w:val="en-GB"/>
        </w:rPr>
        <w:t xml:space="preserve">hes their fiduciary duties. </w:t>
      </w:r>
      <w:r w:rsidRPr="004A29F9">
        <w:rPr>
          <w:rFonts w:ascii="Times New Roman" w:hAnsi="Times New Roman" w:cs="Times New Roman"/>
          <w:sz w:val="22"/>
          <w:szCs w:val="22"/>
          <w:lang w:val="en-GB"/>
        </w:rPr>
        <w:t xml:space="preserve">Thus, the rulings of the </w:t>
      </w:r>
      <w:r w:rsidR="00AA08C5" w:rsidRPr="00AA08C5">
        <w:rPr>
          <w:rFonts w:ascii="Times New Roman" w:hAnsi="Times New Roman" w:cs="Times New Roman"/>
          <w:i/>
          <w:sz w:val="22"/>
          <w:szCs w:val="22"/>
          <w:lang w:val="en-GB"/>
        </w:rPr>
        <w:t>s</w:t>
      </w:r>
      <w:r w:rsidR="000C369C" w:rsidRPr="00AA08C5">
        <w:rPr>
          <w:rFonts w:ascii="Times New Roman" w:hAnsi="Times New Roman" w:cs="Times New Roman"/>
          <w:i/>
          <w:sz w:val="22"/>
          <w:szCs w:val="22"/>
          <w:lang w:val="en-GB"/>
        </w:rPr>
        <w:t>hari’a</w:t>
      </w:r>
      <w:r w:rsidRPr="004A29F9">
        <w:rPr>
          <w:rFonts w:ascii="Times New Roman" w:hAnsi="Times New Roman" w:cs="Times New Roman"/>
          <w:sz w:val="22"/>
          <w:szCs w:val="22"/>
          <w:lang w:val="en-GB"/>
        </w:rPr>
        <w:t xml:space="preserve"> courts also have a human rights impact (i.e. the visitation rights of </w:t>
      </w:r>
      <w:r w:rsidR="009D2848">
        <w:rPr>
          <w:rFonts w:ascii="Times New Roman" w:hAnsi="Times New Roman" w:cs="Times New Roman"/>
          <w:sz w:val="22"/>
          <w:szCs w:val="22"/>
          <w:lang w:val="en-GB"/>
        </w:rPr>
        <w:t>the parents who are divorced). Sometimes parents can’t agree;</w:t>
      </w:r>
      <w:r w:rsidRPr="004A29F9">
        <w:rPr>
          <w:rFonts w:ascii="Times New Roman" w:hAnsi="Times New Roman" w:cs="Times New Roman"/>
          <w:sz w:val="22"/>
          <w:szCs w:val="22"/>
          <w:lang w:val="en-GB"/>
        </w:rPr>
        <w:t xml:space="preserve"> therefore the issue is left to the </w:t>
      </w:r>
      <w:r w:rsidR="009D2848" w:rsidRPr="009D2848">
        <w:rPr>
          <w:rFonts w:ascii="Times New Roman" w:hAnsi="Times New Roman" w:cs="Times New Roman"/>
          <w:i/>
          <w:sz w:val="22"/>
          <w:szCs w:val="22"/>
          <w:lang w:val="en-GB"/>
        </w:rPr>
        <w:t>s</w:t>
      </w:r>
      <w:r w:rsidR="000C369C" w:rsidRPr="009D2848">
        <w:rPr>
          <w:rFonts w:ascii="Times New Roman" w:hAnsi="Times New Roman" w:cs="Times New Roman"/>
          <w:i/>
          <w:sz w:val="22"/>
          <w:szCs w:val="22"/>
          <w:lang w:val="en-GB"/>
        </w:rPr>
        <w:t>hari’a</w:t>
      </w:r>
      <w:r w:rsidR="00227679">
        <w:rPr>
          <w:rFonts w:ascii="Times New Roman" w:hAnsi="Times New Roman" w:cs="Times New Roman"/>
          <w:i/>
          <w:sz w:val="22"/>
          <w:szCs w:val="22"/>
          <w:lang w:val="en-GB"/>
        </w:rPr>
        <w:t xml:space="preserve"> </w:t>
      </w:r>
      <w:r w:rsidR="009D2848">
        <w:rPr>
          <w:rFonts w:ascii="Times New Roman" w:hAnsi="Times New Roman" w:cs="Times New Roman"/>
          <w:sz w:val="22"/>
          <w:szCs w:val="22"/>
          <w:lang w:val="en-GB"/>
        </w:rPr>
        <w:t xml:space="preserve">court judge. </w:t>
      </w:r>
      <w:r w:rsidR="000C369C" w:rsidRPr="009D2848">
        <w:rPr>
          <w:rFonts w:ascii="Times New Roman" w:hAnsi="Times New Roman" w:cs="Times New Roman"/>
          <w:i/>
          <w:sz w:val="22"/>
          <w:szCs w:val="22"/>
          <w:lang w:val="en-GB"/>
        </w:rPr>
        <w:t>Shari’a</w:t>
      </w:r>
      <w:r w:rsidRPr="004A29F9">
        <w:rPr>
          <w:rFonts w:ascii="Times New Roman" w:hAnsi="Times New Roman" w:cs="Times New Roman"/>
          <w:sz w:val="22"/>
          <w:szCs w:val="22"/>
          <w:lang w:val="en-GB"/>
        </w:rPr>
        <w:t xml:space="preserve"> courts </w:t>
      </w:r>
      <w:r w:rsidR="00410A90" w:rsidRPr="004A29F9">
        <w:rPr>
          <w:rFonts w:ascii="Times New Roman" w:hAnsi="Times New Roman" w:cs="Times New Roman"/>
          <w:sz w:val="22"/>
          <w:szCs w:val="22"/>
          <w:lang w:val="en-GB"/>
        </w:rPr>
        <w:t xml:space="preserve">(and the civil court execution departments as well) have sometimes </w:t>
      </w:r>
      <w:r w:rsidRPr="004A29F9">
        <w:rPr>
          <w:rFonts w:ascii="Times New Roman" w:hAnsi="Times New Roman" w:cs="Times New Roman"/>
          <w:sz w:val="22"/>
          <w:szCs w:val="22"/>
          <w:lang w:val="en-GB"/>
        </w:rPr>
        <w:t>become the venue for the</w:t>
      </w:r>
      <w:r w:rsidR="00410A90" w:rsidRPr="004A29F9">
        <w:rPr>
          <w:rFonts w:ascii="Times New Roman" w:hAnsi="Times New Roman" w:cs="Times New Roman"/>
          <w:sz w:val="22"/>
          <w:szCs w:val="22"/>
          <w:lang w:val="en-GB"/>
        </w:rPr>
        <w:t>se</w:t>
      </w:r>
      <w:r w:rsidRPr="004A29F9">
        <w:rPr>
          <w:rFonts w:ascii="Times New Roman" w:hAnsi="Times New Roman" w:cs="Times New Roman"/>
          <w:sz w:val="22"/>
          <w:szCs w:val="22"/>
          <w:lang w:val="en-GB"/>
        </w:rPr>
        <w:t xml:space="preserve"> visitations to take place</w:t>
      </w:r>
      <w:r w:rsidR="00410A90" w:rsidRPr="004A29F9">
        <w:rPr>
          <w:rFonts w:ascii="Times New Roman" w:hAnsi="Times New Roman" w:cs="Times New Roman"/>
          <w:sz w:val="22"/>
          <w:szCs w:val="22"/>
          <w:lang w:val="en-GB"/>
        </w:rPr>
        <w:t>. This is not optimal for the children and families and</w:t>
      </w:r>
      <w:r w:rsidRPr="004A29F9">
        <w:rPr>
          <w:rFonts w:ascii="Times New Roman" w:hAnsi="Times New Roman" w:cs="Times New Roman"/>
          <w:sz w:val="22"/>
          <w:szCs w:val="22"/>
          <w:lang w:val="en-GB"/>
        </w:rPr>
        <w:t xml:space="preserve"> there is a need for better </w:t>
      </w:r>
      <w:r w:rsidR="00410A90" w:rsidRPr="004A29F9">
        <w:rPr>
          <w:rFonts w:ascii="Times New Roman" w:hAnsi="Times New Roman" w:cs="Times New Roman"/>
          <w:sz w:val="22"/>
          <w:szCs w:val="22"/>
          <w:lang w:val="en-GB"/>
        </w:rPr>
        <w:t>facilities.</w:t>
      </w:r>
      <w:r w:rsidR="00410A90" w:rsidRPr="004A29F9">
        <w:rPr>
          <w:rStyle w:val="FootnoteReference"/>
          <w:rFonts w:ascii="Times New Roman" w:hAnsi="Times New Roman" w:cs="Times New Roman"/>
          <w:sz w:val="22"/>
          <w:szCs w:val="22"/>
          <w:lang w:val="en-GB"/>
        </w:rPr>
        <w:footnoteReference w:id="104"/>
      </w:r>
    </w:p>
    <w:p w:rsidR="00874D71" w:rsidRDefault="00874D71" w:rsidP="00FB6759">
      <w:pPr>
        <w:spacing w:after="0" w:line="240" w:lineRule="auto"/>
        <w:jc w:val="both"/>
        <w:rPr>
          <w:rFonts w:ascii="Times New Roman" w:hAnsi="Times New Roman" w:cs="Times New Roman"/>
          <w:sz w:val="22"/>
          <w:szCs w:val="22"/>
          <w:lang w:val="en-GB"/>
        </w:rPr>
      </w:pPr>
    </w:p>
    <w:p w:rsidR="00874D71" w:rsidRDefault="00302231"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As part of its robust partnersh</w:t>
      </w:r>
      <w:r w:rsidR="009D2848">
        <w:rPr>
          <w:rFonts w:ascii="Times New Roman" w:hAnsi="Times New Roman" w:cs="Times New Roman"/>
          <w:sz w:val="22"/>
          <w:szCs w:val="22"/>
          <w:lang w:val="en-GB"/>
        </w:rPr>
        <w:t>ip</w:t>
      </w:r>
      <w:r w:rsidRPr="004A29F9">
        <w:rPr>
          <w:rFonts w:ascii="Times New Roman" w:hAnsi="Times New Roman" w:cs="Times New Roman"/>
          <w:sz w:val="22"/>
          <w:szCs w:val="22"/>
          <w:lang w:val="en-GB"/>
        </w:rPr>
        <w:t xml:space="preserve"> with Birzeit University, UNDP supported two workshops on </w:t>
      </w:r>
      <w:r w:rsidR="009D2848" w:rsidRPr="009D2848">
        <w:rPr>
          <w:rFonts w:ascii="Times New Roman" w:hAnsi="Times New Roman" w:cs="Times New Roman"/>
          <w:i/>
          <w:sz w:val="22"/>
          <w:szCs w:val="22"/>
          <w:lang w:val="en-GB"/>
        </w:rPr>
        <w:t>s</w:t>
      </w:r>
      <w:r w:rsidR="00E55032" w:rsidRPr="009D2848">
        <w:rPr>
          <w:rFonts w:ascii="Times New Roman" w:hAnsi="Times New Roman" w:cs="Times New Roman"/>
          <w:i/>
          <w:sz w:val="22"/>
          <w:szCs w:val="22"/>
          <w:lang w:val="en-GB"/>
        </w:rPr>
        <w:t>hari’a</w:t>
      </w:r>
      <w:r w:rsidRPr="004A29F9">
        <w:rPr>
          <w:rFonts w:ascii="Times New Roman" w:hAnsi="Times New Roman" w:cs="Times New Roman"/>
          <w:sz w:val="22"/>
          <w:szCs w:val="22"/>
          <w:lang w:val="en-GB"/>
        </w:rPr>
        <w:t xml:space="preserve"> law that were the only forum for brin</w:t>
      </w:r>
      <w:r w:rsidR="00923627" w:rsidRPr="004A29F9">
        <w:rPr>
          <w:rFonts w:ascii="Times New Roman" w:hAnsi="Times New Roman" w:cs="Times New Roman"/>
          <w:sz w:val="22"/>
          <w:szCs w:val="22"/>
          <w:lang w:val="en-GB"/>
        </w:rPr>
        <w:t>g</w:t>
      </w:r>
      <w:r w:rsidRPr="004A29F9">
        <w:rPr>
          <w:rFonts w:ascii="Times New Roman" w:hAnsi="Times New Roman" w:cs="Times New Roman"/>
          <w:sz w:val="22"/>
          <w:szCs w:val="22"/>
          <w:lang w:val="en-GB"/>
        </w:rPr>
        <w:t xml:space="preserve">ing the </w:t>
      </w:r>
      <w:r w:rsidR="009D2848" w:rsidRPr="009D2848">
        <w:rPr>
          <w:rFonts w:ascii="Times New Roman" w:hAnsi="Times New Roman" w:cs="Times New Roman"/>
          <w:i/>
          <w:sz w:val="22"/>
          <w:szCs w:val="22"/>
          <w:lang w:val="en-GB"/>
        </w:rPr>
        <w:t>s</w:t>
      </w:r>
      <w:r w:rsidR="000C369C" w:rsidRPr="009D2848">
        <w:rPr>
          <w:rFonts w:ascii="Times New Roman" w:hAnsi="Times New Roman" w:cs="Times New Roman"/>
          <w:i/>
          <w:sz w:val="22"/>
          <w:szCs w:val="22"/>
          <w:lang w:val="en-GB"/>
        </w:rPr>
        <w:t>hari’a</w:t>
      </w:r>
      <w:r w:rsidRPr="004A29F9">
        <w:rPr>
          <w:rFonts w:ascii="Times New Roman" w:hAnsi="Times New Roman" w:cs="Times New Roman"/>
          <w:sz w:val="22"/>
          <w:szCs w:val="22"/>
          <w:lang w:val="en-GB"/>
        </w:rPr>
        <w:t xml:space="preserve"> court judges from all over </w:t>
      </w:r>
      <w:r w:rsidR="009D2848">
        <w:rPr>
          <w:rFonts w:ascii="Times New Roman" w:hAnsi="Times New Roman" w:cs="Times New Roman"/>
          <w:sz w:val="22"/>
          <w:szCs w:val="22"/>
          <w:lang w:val="en-GB"/>
        </w:rPr>
        <w:t>the West Bank</w:t>
      </w:r>
      <w:r w:rsidRPr="004A29F9">
        <w:rPr>
          <w:rFonts w:ascii="Times New Roman" w:hAnsi="Times New Roman" w:cs="Times New Roman"/>
          <w:sz w:val="22"/>
          <w:szCs w:val="22"/>
          <w:lang w:val="en-GB"/>
        </w:rPr>
        <w:t xml:space="preserve"> to</w:t>
      </w:r>
      <w:r w:rsidR="009D2848">
        <w:rPr>
          <w:rFonts w:ascii="Times New Roman" w:hAnsi="Times New Roman" w:cs="Times New Roman"/>
          <w:sz w:val="22"/>
          <w:szCs w:val="22"/>
          <w:lang w:val="en-GB"/>
        </w:rPr>
        <w:t xml:space="preserve">gether in a single conference. </w:t>
      </w:r>
      <w:r w:rsidRPr="004A29F9">
        <w:rPr>
          <w:rFonts w:ascii="Times New Roman" w:hAnsi="Times New Roman" w:cs="Times New Roman"/>
          <w:sz w:val="22"/>
          <w:szCs w:val="22"/>
          <w:lang w:val="en-GB"/>
        </w:rPr>
        <w:t xml:space="preserve">The judges need to be consulted about different interpretations of the law and need to </w:t>
      </w:r>
      <w:r w:rsidRPr="004A29F9">
        <w:rPr>
          <w:rFonts w:ascii="Times New Roman" w:hAnsi="Times New Roman" w:cs="Times New Roman"/>
          <w:sz w:val="22"/>
          <w:szCs w:val="22"/>
          <w:lang w:val="en-GB"/>
        </w:rPr>
        <w:lastRenderedPageBreak/>
        <w:t>be</w:t>
      </w:r>
      <w:r w:rsidR="009D2848">
        <w:rPr>
          <w:rFonts w:ascii="Times New Roman" w:hAnsi="Times New Roman" w:cs="Times New Roman"/>
          <w:sz w:val="22"/>
          <w:szCs w:val="22"/>
          <w:lang w:val="en-GB"/>
        </w:rPr>
        <w:t xml:space="preserve"> in contact with the AGO</w:t>
      </w:r>
      <w:r w:rsidRPr="004A29F9">
        <w:rPr>
          <w:rFonts w:ascii="Times New Roman" w:hAnsi="Times New Roman" w:cs="Times New Roman"/>
          <w:sz w:val="22"/>
          <w:szCs w:val="22"/>
          <w:lang w:val="en-GB"/>
        </w:rPr>
        <w:t xml:space="preserve"> and also to receive training. The Supreme </w:t>
      </w:r>
      <w:r w:rsidR="009D2848" w:rsidRPr="009D2848">
        <w:rPr>
          <w:rFonts w:ascii="Times New Roman" w:hAnsi="Times New Roman" w:cs="Times New Roman"/>
          <w:i/>
          <w:sz w:val="22"/>
          <w:szCs w:val="22"/>
          <w:lang w:val="en-GB"/>
        </w:rPr>
        <w:t>Shari</w:t>
      </w:r>
      <w:r w:rsidR="009D2848">
        <w:rPr>
          <w:rFonts w:ascii="Times New Roman" w:hAnsi="Times New Roman" w:cs="Times New Roman"/>
          <w:i/>
          <w:sz w:val="22"/>
          <w:szCs w:val="22"/>
          <w:lang w:val="en-GB"/>
        </w:rPr>
        <w:t>’</w:t>
      </w:r>
      <w:r w:rsidR="009D2848" w:rsidRPr="009D2848">
        <w:rPr>
          <w:rFonts w:ascii="Times New Roman" w:hAnsi="Times New Roman" w:cs="Times New Roman"/>
          <w:i/>
          <w:sz w:val="22"/>
          <w:szCs w:val="22"/>
          <w:lang w:val="en-GB"/>
        </w:rPr>
        <w:t>a</w:t>
      </w:r>
      <w:r w:rsidR="009D2848">
        <w:rPr>
          <w:rFonts w:ascii="Times New Roman" w:hAnsi="Times New Roman" w:cs="Times New Roman"/>
          <w:sz w:val="22"/>
          <w:szCs w:val="22"/>
          <w:lang w:val="en-GB"/>
        </w:rPr>
        <w:t xml:space="preserve"> J</w:t>
      </w:r>
      <w:r w:rsidRPr="009D2848">
        <w:rPr>
          <w:rFonts w:ascii="Times New Roman" w:hAnsi="Times New Roman" w:cs="Times New Roman"/>
          <w:sz w:val="22"/>
          <w:szCs w:val="22"/>
          <w:lang w:val="en-GB"/>
        </w:rPr>
        <w:t>udge</w:t>
      </w:r>
      <w:r w:rsidR="00227679">
        <w:rPr>
          <w:rFonts w:ascii="Times New Roman" w:hAnsi="Times New Roman" w:cs="Times New Roman"/>
          <w:sz w:val="22"/>
          <w:szCs w:val="22"/>
          <w:lang w:val="en-GB"/>
        </w:rPr>
        <w:t xml:space="preserve"> </w:t>
      </w:r>
      <w:r w:rsidR="000E0FD9" w:rsidRPr="004A29F9">
        <w:rPr>
          <w:rFonts w:ascii="Times New Roman" w:hAnsi="Times New Roman" w:cs="Times New Roman"/>
          <w:sz w:val="22"/>
          <w:szCs w:val="22"/>
          <w:lang w:val="en-GB"/>
        </w:rPr>
        <w:t>was</w:t>
      </w:r>
      <w:r w:rsidR="009D2848">
        <w:rPr>
          <w:rFonts w:ascii="Times New Roman" w:hAnsi="Times New Roman" w:cs="Times New Roman"/>
          <w:sz w:val="22"/>
          <w:szCs w:val="22"/>
          <w:lang w:val="en-GB"/>
        </w:rPr>
        <w:t xml:space="preserve"> present. The conference </w:t>
      </w:r>
      <w:r w:rsidRPr="004A29F9">
        <w:rPr>
          <w:rFonts w:ascii="Times New Roman" w:hAnsi="Times New Roman" w:cs="Times New Roman"/>
          <w:sz w:val="22"/>
          <w:szCs w:val="22"/>
          <w:lang w:val="en-GB"/>
        </w:rPr>
        <w:t xml:space="preserve">was directly influential on the Supreme </w:t>
      </w:r>
      <w:r w:rsidR="009D2848">
        <w:rPr>
          <w:rFonts w:ascii="Times New Roman" w:hAnsi="Times New Roman" w:cs="Times New Roman"/>
          <w:i/>
          <w:sz w:val="22"/>
          <w:szCs w:val="22"/>
          <w:lang w:val="en-GB"/>
        </w:rPr>
        <w:t>Shari’a</w:t>
      </w:r>
      <w:r w:rsidR="00227679">
        <w:rPr>
          <w:rFonts w:ascii="Times New Roman" w:hAnsi="Times New Roman" w:cs="Times New Roman"/>
          <w:i/>
          <w:sz w:val="22"/>
          <w:szCs w:val="22"/>
          <w:lang w:val="en-GB"/>
        </w:rPr>
        <w:t xml:space="preserve"> </w:t>
      </w:r>
      <w:r w:rsidRPr="004A29F9">
        <w:rPr>
          <w:rFonts w:ascii="Times New Roman" w:hAnsi="Times New Roman" w:cs="Times New Roman"/>
          <w:sz w:val="22"/>
          <w:szCs w:val="22"/>
          <w:lang w:val="en-GB"/>
        </w:rPr>
        <w:t>Judge’s decision to issue changes on the interpretation of</w:t>
      </w:r>
      <w:r w:rsidR="00227679">
        <w:rPr>
          <w:rFonts w:ascii="Times New Roman" w:hAnsi="Times New Roman" w:cs="Times New Roman"/>
          <w:sz w:val="22"/>
          <w:szCs w:val="22"/>
          <w:lang w:val="en-GB"/>
        </w:rPr>
        <w:t xml:space="preserve"> </w:t>
      </w:r>
      <w:r w:rsidR="00880412">
        <w:rPr>
          <w:rFonts w:ascii="Times New Roman" w:hAnsi="Times New Roman" w:cs="Times New Roman"/>
          <w:i/>
          <w:sz w:val="22"/>
          <w:szCs w:val="22"/>
          <w:lang w:val="en-GB"/>
        </w:rPr>
        <w:t>sh</w:t>
      </w:r>
      <w:r w:rsidR="000C369C" w:rsidRPr="009D2848">
        <w:rPr>
          <w:rFonts w:ascii="Times New Roman" w:hAnsi="Times New Roman" w:cs="Times New Roman"/>
          <w:i/>
          <w:sz w:val="22"/>
          <w:szCs w:val="22"/>
          <w:lang w:val="en-GB"/>
        </w:rPr>
        <w:t>ari’a</w:t>
      </w:r>
      <w:r w:rsidRPr="004A29F9">
        <w:rPr>
          <w:rFonts w:ascii="Times New Roman" w:hAnsi="Times New Roman" w:cs="Times New Roman"/>
          <w:sz w:val="22"/>
          <w:szCs w:val="22"/>
          <w:lang w:val="en-GB"/>
        </w:rPr>
        <w:t xml:space="preserve"> law in </w:t>
      </w:r>
      <w:r w:rsidR="009D2848">
        <w:rPr>
          <w:rFonts w:ascii="Times New Roman" w:hAnsi="Times New Roman" w:cs="Times New Roman"/>
          <w:sz w:val="22"/>
          <w:szCs w:val="22"/>
          <w:lang w:val="en-GB"/>
        </w:rPr>
        <w:t xml:space="preserve">the </w:t>
      </w:r>
      <w:r w:rsidR="00DE216A" w:rsidRPr="004A29F9">
        <w:rPr>
          <w:rFonts w:ascii="Times New Roman" w:hAnsi="Times New Roman" w:cs="Times New Roman"/>
          <w:sz w:val="22"/>
          <w:szCs w:val="22"/>
          <w:lang w:val="en-GB"/>
        </w:rPr>
        <w:t>oPt</w:t>
      </w:r>
      <w:r w:rsidR="009D2848">
        <w:rPr>
          <w:rFonts w:ascii="Times New Roman" w:hAnsi="Times New Roman" w:cs="Times New Roman"/>
          <w:sz w:val="22"/>
          <w:szCs w:val="22"/>
          <w:lang w:val="en-GB"/>
        </w:rPr>
        <w:t>, instituting a waiting time of four</w:t>
      </w:r>
      <w:r w:rsidRPr="004A29F9">
        <w:rPr>
          <w:rFonts w:ascii="Times New Roman" w:hAnsi="Times New Roman" w:cs="Times New Roman"/>
          <w:sz w:val="22"/>
          <w:szCs w:val="22"/>
          <w:lang w:val="en-GB"/>
        </w:rPr>
        <w:t xml:space="preserve"> months minimum after a parent’s death before issues of inheritance can be discussed and then the property must be registered and the disposition of property occur in a supervised manner. This is a great improvement because formerly brothers would approach a sister immediately after the father’s death and convince the sister to give up all property and there was no registration of the property or supervision by the </w:t>
      </w:r>
      <w:r w:rsidR="009D2848" w:rsidRPr="009D2848">
        <w:rPr>
          <w:rFonts w:ascii="Times New Roman" w:hAnsi="Times New Roman" w:cs="Times New Roman"/>
          <w:i/>
          <w:sz w:val="22"/>
          <w:szCs w:val="22"/>
          <w:lang w:val="en-GB"/>
        </w:rPr>
        <w:t>s</w:t>
      </w:r>
      <w:r w:rsidR="000C369C" w:rsidRPr="009D2848">
        <w:rPr>
          <w:rFonts w:ascii="Times New Roman" w:hAnsi="Times New Roman" w:cs="Times New Roman"/>
          <w:i/>
          <w:sz w:val="22"/>
          <w:szCs w:val="22"/>
          <w:lang w:val="en-GB"/>
        </w:rPr>
        <w:t>hari’a</w:t>
      </w:r>
      <w:r w:rsidRPr="004A29F9">
        <w:rPr>
          <w:rFonts w:ascii="Times New Roman" w:hAnsi="Times New Roman" w:cs="Times New Roman"/>
          <w:sz w:val="22"/>
          <w:szCs w:val="22"/>
          <w:lang w:val="en-GB"/>
        </w:rPr>
        <w:t xml:space="preserve"> court</w:t>
      </w:r>
      <w:r w:rsidR="003E0B11" w:rsidRPr="004A29F9">
        <w:rPr>
          <w:rFonts w:ascii="Times New Roman" w:hAnsi="Times New Roman" w:cs="Times New Roman"/>
          <w:sz w:val="22"/>
          <w:szCs w:val="22"/>
          <w:lang w:val="en-GB"/>
        </w:rPr>
        <w:t>. Now</w:t>
      </w:r>
      <w:r w:rsidRPr="004A29F9">
        <w:rPr>
          <w:rFonts w:ascii="Times New Roman" w:hAnsi="Times New Roman" w:cs="Times New Roman"/>
          <w:sz w:val="22"/>
          <w:szCs w:val="22"/>
          <w:lang w:val="en-GB"/>
        </w:rPr>
        <w:t xml:space="preserve"> women ha</w:t>
      </w:r>
      <w:r w:rsidR="00923627" w:rsidRPr="004A29F9">
        <w:rPr>
          <w:rFonts w:ascii="Times New Roman" w:hAnsi="Times New Roman" w:cs="Times New Roman"/>
          <w:sz w:val="22"/>
          <w:szCs w:val="22"/>
          <w:lang w:val="en-GB"/>
        </w:rPr>
        <w:t xml:space="preserve">ve </w:t>
      </w:r>
      <w:r w:rsidRPr="004A29F9">
        <w:rPr>
          <w:rFonts w:ascii="Times New Roman" w:hAnsi="Times New Roman" w:cs="Times New Roman"/>
          <w:sz w:val="22"/>
          <w:szCs w:val="22"/>
          <w:lang w:val="en-GB"/>
        </w:rPr>
        <w:t>the right to be informed</w:t>
      </w:r>
      <w:r w:rsidR="009D2848">
        <w:rPr>
          <w:rFonts w:ascii="Times New Roman" w:hAnsi="Times New Roman" w:cs="Times New Roman"/>
          <w:sz w:val="22"/>
          <w:szCs w:val="22"/>
          <w:lang w:val="en-GB"/>
        </w:rPr>
        <w:t xml:space="preserve"> and are able to make an informed decision. </w:t>
      </w:r>
      <w:r w:rsidRPr="004A29F9">
        <w:rPr>
          <w:rFonts w:ascii="Times New Roman" w:hAnsi="Times New Roman" w:cs="Times New Roman"/>
          <w:sz w:val="22"/>
          <w:szCs w:val="22"/>
          <w:lang w:val="en-GB"/>
        </w:rPr>
        <w:t>There were a num</w:t>
      </w:r>
      <w:r w:rsidR="009D2848">
        <w:rPr>
          <w:rFonts w:ascii="Times New Roman" w:hAnsi="Times New Roman" w:cs="Times New Roman"/>
          <w:sz w:val="22"/>
          <w:szCs w:val="22"/>
          <w:lang w:val="en-GB"/>
        </w:rPr>
        <w:t>ber of other reforms introduced as well.</w:t>
      </w:r>
    </w:p>
    <w:p w:rsidR="00302231" w:rsidRPr="004A29F9" w:rsidRDefault="00302231" w:rsidP="00FB6759">
      <w:pPr>
        <w:spacing w:after="0" w:line="240" w:lineRule="auto"/>
        <w:jc w:val="both"/>
        <w:rPr>
          <w:rFonts w:ascii="Times New Roman" w:hAnsi="Times New Roman" w:cs="Times New Roman"/>
          <w:sz w:val="22"/>
          <w:szCs w:val="22"/>
          <w:lang w:val="en-GB"/>
        </w:rPr>
      </w:pPr>
    </w:p>
    <w:p w:rsidR="00302231" w:rsidRPr="004A29F9" w:rsidRDefault="00397FDE"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Another important outcome of the UNDP supported research and works</w:t>
      </w:r>
      <w:r>
        <w:rPr>
          <w:rFonts w:ascii="Times New Roman" w:hAnsi="Times New Roman" w:cs="Times New Roman"/>
          <w:sz w:val="22"/>
          <w:szCs w:val="22"/>
          <w:lang w:val="en-GB"/>
        </w:rPr>
        <w:t>hops was the fact that the</w:t>
      </w:r>
      <w:r w:rsidR="00227679">
        <w:rPr>
          <w:rFonts w:ascii="Times New Roman" w:hAnsi="Times New Roman" w:cs="Times New Roman"/>
          <w:sz w:val="22"/>
          <w:szCs w:val="22"/>
          <w:lang w:val="en-GB"/>
        </w:rPr>
        <w:t xml:space="preserve"> </w:t>
      </w:r>
      <w:r>
        <w:rPr>
          <w:rFonts w:ascii="Times New Roman" w:hAnsi="Times New Roman" w:cs="Times New Roman"/>
          <w:i/>
          <w:sz w:val="22"/>
          <w:szCs w:val="22"/>
          <w:lang w:val="en-GB"/>
        </w:rPr>
        <w:t>shari’a</w:t>
      </w:r>
      <w:r w:rsidR="00227679">
        <w:rPr>
          <w:rFonts w:ascii="Times New Roman" w:hAnsi="Times New Roman" w:cs="Times New Roman"/>
          <w:i/>
          <w:sz w:val="22"/>
          <w:szCs w:val="22"/>
          <w:lang w:val="en-GB"/>
        </w:rPr>
        <w:t xml:space="preserve"> </w:t>
      </w:r>
      <w:r>
        <w:rPr>
          <w:rFonts w:ascii="Times New Roman" w:hAnsi="Times New Roman" w:cs="Times New Roman"/>
          <w:sz w:val="22"/>
          <w:szCs w:val="22"/>
          <w:lang w:val="en-GB"/>
        </w:rPr>
        <w:t xml:space="preserve">court </w:t>
      </w:r>
      <w:r w:rsidRPr="004A29F9">
        <w:rPr>
          <w:rFonts w:ascii="Times New Roman" w:hAnsi="Times New Roman" w:cs="Times New Roman"/>
          <w:sz w:val="22"/>
          <w:szCs w:val="22"/>
          <w:lang w:val="en-GB"/>
        </w:rPr>
        <w:t xml:space="preserve">judges </w:t>
      </w:r>
      <w:r>
        <w:rPr>
          <w:rFonts w:ascii="Times New Roman" w:hAnsi="Times New Roman" w:cs="Times New Roman"/>
          <w:sz w:val="22"/>
          <w:szCs w:val="22"/>
          <w:lang w:val="en-GB"/>
        </w:rPr>
        <w:t>realis</w:t>
      </w:r>
      <w:r w:rsidRPr="004A29F9">
        <w:rPr>
          <w:rFonts w:ascii="Times New Roman" w:hAnsi="Times New Roman" w:cs="Times New Roman"/>
          <w:sz w:val="22"/>
          <w:szCs w:val="22"/>
          <w:lang w:val="en-GB"/>
        </w:rPr>
        <w:t xml:space="preserve">ed that there was a lack of uniformity of application of </w:t>
      </w:r>
      <w:r w:rsidRPr="009D2848">
        <w:rPr>
          <w:rFonts w:ascii="Times New Roman" w:hAnsi="Times New Roman" w:cs="Times New Roman"/>
          <w:i/>
          <w:sz w:val="22"/>
          <w:szCs w:val="22"/>
          <w:lang w:val="en-GB"/>
        </w:rPr>
        <w:t>shari’a</w:t>
      </w:r>
      <w:r w:rsidRPr="004A29F9">
        <w:rPr>
          <w:rFonts w:ascii="Times New Roman" w:hAnsi="Times New Roman" w:cs="Times New Roman"/>
          <w:sz w:val="22"/>
          <w:szCs w:val="22"/>
          <w:lang w:val="en-GB"/>
        </w:rPr>
        <w:t xml:space="preserve"> law and also how widely social context h</w:t>
      </w:r>
      <w:r>
        <w:rPr>
          <w:rFonts w:ascii="Times New Roman" w:hAnsi="Times New Roman" w:cs="Times New Roman"/>
          <w:sz w:val="22"/>
          <w:szCs w:val="22"/>
          <w:lang w:val="en-GB"/>
        </w:rPr>
        <w:t>ad influenced their decisions. This was a stunning realisation for most of the</w:t>
      </w:r>
      <w:r w:rsidRPr="004A29F9">
        <w:rPr>
          <w:rFonts w:ascii="Times New Roman" w:hAnsi="Times New Roman" w:cs="Times New Roman"/>
          <w:sz w:val="22"/>
          <w:szCs w:val="22"/>
          <w:lang w:val="en-GB"/>
        </w:rPr>
        <w:t xml:space="preserve"> judges. UNDP supported workshops also r</w:t>
      </w:r>
      <w:r>
        <w:rPr>
          <w:rFonts w:ascii="Times New Roman" w:hAnsi="Times New Roman" w:cs="Times New Roman"/>
          <w:sz w:val="22"/>
          <w:szCs w:val="22"/>
          <w:lang w:val="en-GB"/>
        </w:rPr>
        <w:t xml:space="preserve">esulted in impact on the PMF, raising awareness of the PMF amongst </w:t>
      </w:r>
      <w:r>
        <w:rPr>
          <w:rFonts w:ascii="Times New Roman" w:hAnsi="Times New Roman" w:cs="Times New Roman"/>
          <w:i/>
          <w:sz w:val="22"/>
          <w:szCs w:val="22"/>
          <w:lang w:val="en-GB"/>
        </w:rPr>
        <w:t>shari’a</w:t>
      </w:r>
      <w:r>
        <w:rPr>
          <w:rFonts w:ascii="Times New Roman" w:hAnsi="Times New Roman" w:cs="Times New Roman"/>
          <w:sz w:val="22"/>
          <w:szCs w:val="22"/>
          <w:lang w:val="en-GB"/>
        </w:rPr>
        <w:t xml:space="preserve"> court judges. N</w:t>
      </w:r>
      <w:r w:rsidRPr="004A29F9">
        <w:rPr>
          <w:rFonts w:ascii="Times New Roman" w:hAnsi="Times New Roman" w:cs="Times New Roman"/>
          <w:sz w:val="22"/>
          <w:szCs w:val="22"/>
          <w:lang w:val="en-GB"/>
        </w:rPr>
        <w:t xml:space="preserve">ow the </w:t>
      </w:r>
      <w:r w:rsidRPr="009D2848">
        <w:rPr>
          <w:rFonts w:ascii="Times New Roman" w:hAnsi="Times New Roman" w:cs="Times New Roman"/>
          <w:i/>
          <w:sz w:val="22"/>
          <w:szCs w:val="22"/>
          <w:lang w:val="en-GB"/>
        </w:rPr>
        <w:t>shari’a</w:t>
      </w:r>
      <w:r w:rsidRPr="004A29F9">
        <w:rPr>
          <w:rFonts w:ascii="Times New Roman" w:hAnsi="Times New Roman" w:cs="Times New Roman"/>
          <w:sz w:val="22"/>
          <w:szCs w:val="22"/>
          <w:lang w:val="en-GB"/>
        </w:rPr>
        <w:t xml:space="preserve"> courts are much faster in making decisi</w:t>
      </w:r>
      <w:r>
        <w:rPr>
          <w:rFonts w:ascii="Times New Roman" w:hAnsi="Times New Roman" w:cs="Times New Roman"/>
          <w:sz w:val="22"/>
          <w:szCs w:val="22"/>
          <w:lang w:val="en-GB"/>
        </w:rPr>
        <w:t xml:space="preserve">ons re: custody; </w:t>
      </w:r>
      <w:r w:rsidRPr="004A29F9">
        <w:rPr>
          <w:rFonts w:ascii="Times New Roman" w:hAnsi="Times New Roman" w:cs="Times New Roman"/>
          <w:sz w:val="22"/>
          <w:szCs w:val="22"/>
          <w:lang w:val="en-GB"/>
        </w:rPr>
        <w:t>judgments are ren</w:t>
      </w:r>
      <w:r>
        <w:rPr>
          <w:rFonts w:ascii="Times New Roman" w:hAnsi="Times New Roman" w:cs="Times New Roman"/>
          <w:sz w:val="22"/>
          <w:szCs w:val="22"/>
          <w:lang w:val="en-GB"/>
        </w:rPr>
        <w:t xml:space="preserve">dered in less than two weeks. </w:t>
      </w:r>
      <w:r w:rsidRPr="004A29F9">
        <w:rPr>
          <w:rFonts w:ascii="Times New Roman" w:hAnsi="Times New Roman" w:cs="Times New Roman"/>
          <w:sz w:val="22"/>
          <w:szCs w:val="22"/>
          <w:lang w:val="en-GB"/>
        </w:rPr>
        <w:t xml:space="preserve">This has encouraged women to use the </w:t>
      </w:r>
      <w:r w:rsidRPr="009D2848">
        <w:rPr>
          <w:rFonts w:ascii="Times New Roman" w:hAnsi="Times New Roman" w:cs="Times New Roman"/>
          <w:i/>
          <w:sz w:val="22"/>
          <w:szCs w:val="22"/>
          <w:lang w:val="en-GB"/>
        </w:rPr>
        <w:t>shari’a</w:t>
      </w:r>
      <w:r w:rsidR="00227679">
        <w:rPr>
          <w:rFonts w:ascii="Times New Roman" w:hAnsi="Times New Roman" w:cs="Times New Roman"/>
          <w:i/>
          <w:sz w:val="22"/>
          <w:szCs w:val="22"/>
          <w:lang w:val="en-GB"/>
        </w:rPr>
        <w:t xml:space="preserve"> </w:t>
      </w:r>
      <w:r w:rsidRPr="004A29F9">
        <w:rPr>
          <w:rFonts w:ascii="Times New Roman" w:hAnsi="Times New Roman" w:cs="Times New Roman"/>
          <w:sz w:val="22"/>
          <w:szCs w:val="22"/>
          <w:lang w:val="en-GB"/>
        </w:rPr>
        <w:t>courts</w:t>
      </w:r>
      <w:r w:rsidR="00302231" w:rsidRPr="004A29F9">
        <w:rPr>
          <w:rFonts w:ascii="Times New Roman" w:hAnsi="Times New Roman" w:cs="Times New Roman"/>
          <w:sz w:val="22"/>
          <w:szCs w:val="22"/>
          <w:lang w:val="en-GB"/>
        </w:rPr>
        <w:t xml:space="preserve">. </w:t>
      </w:r>
    </w:p>
    <w:p w:rsidR="002D4C79" w:rsidRPr="004A29F9" w:rsidRDefault="002D4C79" w:rsidP="00FB6759">
      <w:pPr>
        <w:spacing w:after="0" w:line="240" w:lineRule="auto"/>
        <w:jc w:val="both"/>
        <w:rPr>
          <w:rFonts w:ascii="Times New Roman" w:hAnsi="Times New Roman" w:cs="Times New Roman"/>
          <w:sz w:val="22"/>
          <w:szCs w:val="22"/>
          <w:lang w:val="en-GB"/>
        </w:rPr>
      </w:pPr>
    </w:p>
    <w:p w:rsidR="000429E0" w:rsidRPr="004A29F9" w:rsidRDefault="00302231"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All of this is compelling evidence for </w:t>
      </w:r>
      <w:r w:rsidR="004E1049" w:rsidRPr="004E1049">
        <w:rPr>
          <w:rFonts w:ascii="Times New Roman" w:hAnsi="Times New Roman" w:cs="Times New Roman"/>
          <w:i/>
          <w:sz w:val="22"/>
          <w:szCs w:val="22"/>
          <w:lang w:val="en-GB"/>
        </w:rPr>
        <w:t>s</w:t>
      </w:r>
      <w:r w:rsidR="000C369C" w:rsidRPr="004E1049">
        <w:rPr>
          <w:rFonts w:ascii="Times New Roman" w:hAnsi="Times New Roman" w:cs="Times New Roman"/>
          <w:i/>
          <w:sz w:val="22"/>
          <w:szCs w:val="22"/>
          <w:lang w:val="en-GB"/>
        </w:rPr>
        <w:t>hari’a</w:t>
      </w:r>
      <w:r w:rsidR="004E1049">
        <w:rPr>
          <w:rFonts w:ascii="Times New Roman" w:hAnsi="Times New Roman" w:cs="Times New Roman"/>
          <w:sz w:val="22"/>
          <w:szCs w:val="22"/>
          <w:lang w:val="en-GB"/>
        </w:rPr>
        <w:t xml:space="preserve"> courts to be included in the second phase of the programme.</w:t>
      </w:r>
    </w:p>
    <w:p w:rsidR="007F0E90" w:rsidRPr="004A29F9" w:rsidRDefault="007F0E90" w:rsidP="00FB6759">
      <w:pPr>
        <w:spacing w:after="0" w:line="240" w:lineRule="auto"/>
        <w:jc w:val="both"/>
        <w:rPr>
          <w:rFonts w:ascii="Times New Roman" w:hAnsi="Times New Roman" w:cs="Times New Roman"/>
          <w:sz w:val="22"/>
          <w:szCs w:val="22"/>
          <w:lang w:val="en-GB"/>
        </w:rPr>
      </w:pPr>
    </w:p>
    <w:p w:rsidR="00D42A4F" w:rsidRPr="004A29F9" w:rsidRDefault="00874D71" w:rsidP="00FB6759">
      <w:pPr>
        <w:spacing w:after="0" w:line="240" w:lineRule="auto"/>
        <w:rPr>
          <w:rFonts w:ascii="Times New Roman" w:hAnsi="Times New Roman" w:cs="Times New Roman"/>
          <w:i/>
          <w:sz w:val="22"/>
          <w:szCs w:val="22"/>
          <w:lang w:val="en-GB"/>
        </w:rPr>
      </w:pPr>
      <w:r>
        <w:rPr>
          <w:rFonts w:ascii="Times New Roman" w:hAnsi="Times New Roman" w:cs="Times New Roman"/>
          <w:i/>
          <w:sz w:val="22"/>
          <w:szCs w:val="22"/>
          <w:lang w:val="en-GB"/>
        </w:rPr>
        <w:t>Closing the loop in the criminal justice secto</w:t>
      </w:r>
      <w:r w:rsidR="004E1049">
        <w:rPr>
          <w:rFonts w:ascii="Times New Roman" w:hAnsi="Times New Roman" w:cs="Times New Roman"/>
          <w:i/>
          <w:sz w:val="22"/>
          <w:szCs w:val="22"/>
          <w:lang w:val="en-GB"/>
        </w:rPr>
        <w:t>r: UNDP support to the PCP and the PACC/CCC</w:t>
      </w:r>
    </w:p>
    <w:p w:rsidR="00874D71" w:rsidRDefault="00874D71" w:rsidP="00FB6759">
      <w:pPr>
        <w:spacing w:after="0" w:line="240" w:lineRule="auto"/>
        <w:jc w:val="both"/>
        <w:rPr>
          <w:rFonts w:ascii="Times New Roman" w:hAnsi="Times New Roman" w:cs="Times New Roman"/>
          <w:sz w:val="22"/>
          <w:szCs w:val="22"/>
          <w:lang w:val="en-GB"/>
        </w:rPr>
      </w:pPr>
    </w:p>
    <w:p w:rsidR="00EC5E8F" w:rsidRPr="004A29F9" w:rsidRDefault="004E1049"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While not formally part of </w:t>
      </w:r>
      <w:r w:rsidR="006A0734" w:rsidRPr="004A29F9">
        <w:rPr>
          <w:rFonts w:ascii="Times New Roman" w:hAnsi="Times New Roman" w:cs="Times New Roman"/>
          <w:sz w:val="22"/>
          <w:szCs w:val="22"/>
          <w:lang w:val="en-GB"/>
        </w:rPr>
        <w:t>UNDP</w:t>
      </w:r>
      <w:r>
        <w:rPr>
          <w:rFonts w:ascii="Times New Roman" w:hAnsi="Times New Roman" w:cs="Times New Roman"/>
          <w:sz w:val="22"/>
          <w:szCs w:val="22"/>
          <w:lang w:val="en-GB"/>
        </w:rPr>
        <w:t>/PAPP’s Rule of Law &amp;</w:t>
      </w:r>
      <w:r w:rsidR="006A0734" w:rsidRPr="004A29F9">
        <w:rPr>
          <w:rFonts w:ascii="Times New Roman" w:hAnsi="Times New Roman" w:cs="Times New Roman"/>
          <w:sz w:val="22"/>
          <w:szCs w:val="22"/>
          <w:lang w:val="en-GB"/>
        </w:rPr>
        <w:t xml:space="preserve">Access to Justice Programme, UNDP’s support to the Palestinian Civil Police (PCP), </w:t>
      </w:r>
      <w:r>
        <w:rPr>
          <w:rFonts w:ascii="Times New Roman" w:hAnsi="Times New Roman" w:cs="Times New Roman"/>
          <w:sz w:val="22"/>
          <w:szCs w:val="22"/>
          <w:lang w:val="en-GB"/>
        </w:rPr>
        <w:t xml:space="preserve">the </w:t>
      </w:r>
      <w:r w:rsidR="006A0734" w:rsidRPr="004A29F9">
        <w:rPr>
          <w:rFonts w:ascii="Times New Roman" w:hAnsi="Times New Roman" w:cs="Times New Roman"/>
          <w:sz w:val="22"/>
          <w:szCs w:val="22"/>
          <w:lang w:val="en-GB"/>
        </w:rPr>
        <w:t>Palestinian Anti-Corruption Commission (</w:t>
      </w:r>
      <w:r>
        <w:rPr>
          <w:rFonts w:ascii="Times New Roman" w:hAnsi="Times New Roman" w:cs="Times New Roman"/>
          <w:sz w:val="22"/>
          <w:szCs w:val="22"/>
          <w:lang w:val="en-GB"/>
        </w:rPr>
        <w:t>P</w:t>
      </w:r>
      <w:r w:rsidR="006A0734" w:rsidRPr="004A29F9">
        <w:rPr>
          <w:rFonts w:ascii="Times New Roman" w:hAnsi="Times New Roman" w:cs="Times New Roman"/>
          <w:sz w:val="22"/>
          <w:szCs w:val="22"/>
          <w:lang w:val="en-GB"/>
        </w:rPr>
        <w:t xml:space="preserve">ACC) and </w:t>
      </w:r>
      <w:r>
        <w:rPr>
          <w:rFonts w:ascii="Times New Roman" w:hAnsi="Times New Roman" w:cs="Times New Roman"/>
          <w:sz w:val="22"/>
          <w:szCs w:val="22"/>
          <w:lang w:val="en-GB"/>
        </w:rPr>
        <w:t xml:space="preserve">the </w:t>
      </w:r>
      <w:r w:rsidR="006A0734" w:rsidRPr="004A29F9">
        <w:rPr>
          <w:rFonts w:ascii="Times New Roman" w:hAnsi="Times New Roman" w:cs="Times New Roman"/>
          <w:sz w:val="22"/>
          <w:szCs w:val="22"/>
          <w:lang w:val="en-GB"/>
        </w:rPr>
        <w:t xml:space="preserve">Corruption Crimes Court (CCC) via the UNDP/EUPOL COPPS </w:t>
      </w:r>
      <w:r w:rsidR="00567888" w:rsidRPr="004A29F9">
        <w:rPr>
          <w:rFonts w:ascii="Times New Roman" w:hAnsi="Times New Roman" w:cs="Times New Roman"/>
          <w:sz w:val="22"/>
          <w:szCs w:val="22"/>
          <w:lang w:val="en-GB"/>
        </w:rPr>
        <w:t>Joint P</w:t>
      </w:r>
      <w:r w:rsidR="006A0734" w:rsidRPr="004A29F9">
        <w:rPr>
          <w:rFonts w:ascii="Times New Roman" w:hAnsi="Times New Roman" w:cs="Times New Roman"/>
          <w:sz w:val="22"/>
          <w:szCs w:val="22"/>
          <w:lang w:val="en-GB"/>
        </w:rPr>
        <w:t xml:space="preserve">rogramme is serving to close the loop in the criminal justice sector. </w:t>
      </w:r>
      <w:r w:rsidR="00FE1CC6" w:rsidRPr="004A29F9">
        <w:rPr>
          <w:rFonts w:ascii="Times New Roman" w:hAnsi="Times New Roman" w:cs="Times New Roman"/>
          <w:sz w:val="22"/>
          <w:szCs w:val="22"/>
          <w:lang w:val="en-GB"/>
        </w:rPr>
        <w:t>The overall effort is to br</w:t>
      </w:r>
      <w:r>
        <w:rPr>
          <w:rFonts w:ascii="Times New Roman" w:hAnsi="Times New Roman" w:cs="Times New Roman"/>
          <w:sz w:val="22"/>
          <w:szCs w:val="22"/>
          <w:lang w:val="en-GB"/>
        </w:rPr>
        <w:t>ing justice and security organis</w:t>
      </w:r>
      <w:r w:rsidR="00FE1CC6" w:rsidRPr="004A29F9">
        <w:rPr>
          <w:rFonts w:ascii="Times New Roman" w:hAnsi="Times New Roman" w:cs="Times New Roman"/>
          <w:sz w:val="22"/>
          <w:szCs w:val="22"/>
          <w:lang w:val="en-GB"/>
        </w:rPr>
        <w:t>ations together in the rule of law approach instead of a sector approach. UNDP’s expertise has been particularly valuable in</w:t>
      </w:r>
      <w:r>
        <w:rPr>
          <w:rFonts w:ascii="Times New Roman" w:hAnsi="Times New Roman" w:cs="Times New Roman"/>
          <w:sz w:val="22"/>
          <w:szCs w:val="22"/>
          <w:lang w:val="en-GB"/>
        </w:rPr>
        <w:t xml:space="preserve"> the support of the P</w:t>
      </w:r>
      <w:r w:rsidR="00FE1CC6" w:rsidRPr="004A29F9">
        <w:rPr>
          <w:rFonts w:ascii="Times New Roman" w:hAnsi="Times New Roman" w:cs="Times New Roman"/>
          <w:sz w:val="22"/>
          <w:szCs w:val="22"/>
          <w:lang w:val="en-GB"/>
        </w:rPr>
        <w:t>ACC</w:t>
      </w:r>
      <w:r>
        <w:rPr>
          <w:rFonts w:ascii="Times New Roman" w:hAnsi="Times New Roman" w:cs="Times New Roman"/>
          <w:sz w:val="22"/>
          <w:szCs w:val="22"/>
          <w:lang w:val="en-GB"/>
        </w:rPr>
        <w:t>/CCC</w:t>
      </w:r>
      <w:r w:rsidR="00FE1CC6" w:rsidRPr="004A29F9">
        <w:rPr>
          <w:rFonts w:ascii="Times New Roman" w:hAnsi="Times New Roman" w:cs="Times New Roman"/>
          <w:sz w:val="22"/>
          <w:szCs w:val="22"/>
          <w:lang w:val="en-GB"/>
        </w:rPr>
        <w:t xml:space="preserve">.   </w:t>
      </w:r>
    </w:p>
    <w:p w:rsidR="00874D71" w:rsidRDefault="00874D71" w:rsidP="00FB6759">
      <w:pPr>
        <w:spacing w:after="0" w:line="240" w:lineRule="auto"/>
        <w:jc w:val="both"/>
        <w:rPr>
          <w:rFonts w:ascii="Times New Roman" w:hAnsi="Times New Roman" w:cs="Times New Roman"/>
          <w:sz w:val="22"/>
          <w:szCs w:val="22"/>
          <w:lang w:val="en-GB"/>
        </w:rPr>
      </w:pPr>
    </w:p>
    <w:p w:rsidR="006A0734" w:rsidRPr="004A29F9" w:rsidRDefault="00FE1CC6"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Both </w:t>
      </w:r>
      <w:r w:rsidR="00EC5E8F" w:rsidRPr="004A29F9">
        <w:rPr>
          <w:rFonts w:ascii="Times New Roman" w:hAnsi="Times New Roman" w:cs="Times New Roman"/>
          <w:sz w:val="22"/>
          <w:szCs w:val="22"/>
          <w:lang w:val="en-GB"/>
        </w:rPr>
        <w:t>UNDP</w:t>
      </w:r>
      <w:r w:rsidR="00FD3C19">
        <w:rPr>
          <w:rFonts w:ascii="Times New Roman" w:hAnsi="Times New Roman" w:cs="Times New Roman"/>
          <w:sz w:val="22"/>
          <w:szCs w:val="22"/>
          <w:lang w:val="en-GB"/>
        </w:rPr>
        <w:t xml:space="preserve"> </w:t>
      </w:r>
      <w:r w:rsidR="004E1049">
        <w:rPr>
          <w:rFonts w:ascii="Times New Roman" w:hAnsi="Times New Roman" w:cs="Times New Roman"/>
          <w:sz w:val="22"/>
          <w:szCs w:val="22"/>
          <w:lang w:val="en-GB"/>
        </w:rPr>
        <w:t xml:space="preserve">and EUPOL COPPS </w:t>
      </w:r>
      <w:r w:rsidRPr="004A29F9">
        <w:rPr>
          <w:rFonts w:ascii="Times New Roman" w:hAnsi="Times New Roman" w:cs="Times New Roman"/>
          <w:sz w:val="22"/>
          <w:szCs w:val="22"/>
          <w:lang w:val="en-GB"/>
        </w:rPr>
        <w:t>are equally addressing civil society and EU</w:t>
      </w:r>
      <w:r w:rsidR="00567888" w:rsidRPr="004A29F9">
        <w:rPr>
          <w:rFonts w:ascii="Times New Roman" w:hAnsi="Times New Roman" w:cs="Times New Roman"/>
          <w:sz w:val="22"/>
          <w:szCs w:val="22"/>
          <w:lang w:val="en-GB"/>
        </w:rPr>
        <w:t>POL COPPS</w:t>
      </w:r>
      <w:r w:rsidRPr="004A29F9">
        <w:rPr>
          <w:rFonts w:ascii="Times New Roman" w:hAnsi="Times New Roman" w:cs="Times New Roman"/>
          <w:sz w:val="22"/>
          <w:szCs w:val="22"/>
          <w:lang w:val="en-GB"/>
        </w:rPr>
        <w:t xml:space="preserve"> provides the technical expertise to the police. The police advisors already en</w:t>
      </w:r>
      <w:r w:rsidR="004E1049">
        <w:rPr>
          <w:rFonts w:ascii="Times New Roman" w:hAnsi="Times New Roman" w:cs="Times New Roman"/>
          <w:sz w:val="22"/>
          <w:szCs w:val="22"/>
          <w:lang w:val="en-GB"/>
        </w:rPr>
        <w:t>gage with the PCP and the r</w:t>
      </w:r>
      <w:r w:rsidRPr="004A29F9">
        <w:rPr>
          <w:rFonts w:ascii="Times New Roman" w:hAnsi="Times New Roman" w:cs="Times New Roman"/>
          <w:sz w:val="22"/>
          <w:szCs w:val="22"/>
          <w:lang w:val="en-GB"/>
        </w:rPr>
        <w:t>ul</w:t>
      </w:r>
      <w:r w:rsidR="004E1049">
        <w:rPr>
          <w:rFonts w:ascii="Times New Roman" w:hAnsi="Times New Roman" w:cs="Times New Roman"/>
          <w:sz w:val="22"/>
          <w:szCs w:val="22"/>
          <w:lang w:val="en-GB"/>
        </w:rPr>
        <w:t>e of law section</w:t>
      </w:r>
      <w:r w:rsidRPr="004A29F9">
        <w:rPr>
          <w:rFonts w:ascii="Times New Roman" w:hAnsi="Times New Roman" w:cs="Times New Roman"/>
          <w:sz w:val="22"/>
          <w:szCs w:val="22"/>
          <w:lang w:val="en-GB"/>
        </w:rPr>
        <w:t xml:space="preserve"> interacts with the </w:t>
      </w:r>
      <w:r w:rsidR="00567888" w:rsidRPr="004A29F9">
        <w:rPr>
          <w:rFonts w:ascii="Times New Roman" w:hAnsi="Times New Roman" w:cs="Times New Roman"/>
          <w:sz w:val="22"/>
          <w:szCs w:val="22"/>
          <w:lang w:val="en-GB"/>
        </w:rPr>
        <w:t>P</w:t>
      </w:r>
      <w:r w:rsidR="006A0734" w:rsidRPr="004A29F9">
        <w:rPr>
          <w:rFonts w:ascii="Times New Roman" w:hAnsi="Times New Roman" w:cs="Times New Roman"/>
          <w:sz w:val="22"/>
          <w:szCs w:val="22"/>
          <w:lang w:val="en-GB"/>
        </w:rPr>
        <w:t xml:space="preserve">ACC and </w:t>
      </w:r>
      <w:r w:rsidR="004E1049">
        <w:rPr>
          <w:rFonts w:ascii="Times New Roman" w:hAnsi="Times New Roman" w:cs="Times New Roman"/>
          <w:sz w:val="22"/>
          <w:szCs w:val="22"/>
          <w:lang w:val="en-GB"/>
        </w:rPr>
        <w:t xml:space="preserve">the </w:t>
      </w:r>
      <w:r w:rsidR="006A0734" w:rsidRPr="004A29F9">
        <w:rPr>
          <w:rFonts w:ascii="Times New Roman" w:hAnsi="Times New Roman" w:cs="Times New Roman"/>
          <w:sz w:val="22"/>
          <w:szCs w:val="22"/>
          <w:lang w:val="en-GB"/>
        </w:rPr>
        <w:t>CCC</w:t>
      </w:r>
      <w:r w:rsidRPr="004A29F9">
        <w:rPr>
          <w:rFonts w:ascii="Times New Roman" w:hAnsi="Times New Roman" w:cs="Times New Roman"/>
          <w:sz w:val="22"/>
          <w:szCs w:val="22"/>
          <w:lang w:val="en-GB"/>
        </w:rPr>
        <w:t xml:space="preserve">. The citizen is viewed at the </w:t>
      </w:r>
      <w:r w:rsidR="00EC5E8F" w:rsidRPr="004A29F9">
        <w:rPr>
          <w:rFonts w:ascii="Times New Roman" w:hAnsi="Times New Roman" w:cs="Times New Roman"/>
          <w:sz w:val="22"/>
          <w:szCs w:val="22"/>
          <w:lang w:val="en-GB"/>
        </w:rPr>
        <w:t>centre</w:t>
      </w:r>
      <w:r w:rsidR="004E1049">
        <w:rPr>
          <w:rFonts w:ascii="Times New Roman" w:hAnsi="Times New Roman" w:cs="Times New Roman"/>
          <w:sz w:val="22"/>
          <w:szCs w:val="22"/>
          <w:lang w:val="en-GB"/>
        </w:rPr>
        <w:t xml:space="preserve"> of the programme (i.e. awareness - </w:t>
      </w:r>
      <w:r w:rsidRPr="004A29F9">
        <w:rPr>
          <w:rFonts w:ascii="Times New Roman" w:hAnsi="Times New Roman" w:cs="Times New Roman"/>
          <w:sz w:val="22"/>
          <w:szCs w:val="22"/>
          <w:lang w:val="en-GB"/>
        </w:rPr>
        <w:t xml:space="preserve">leads to </w:t>
      </w:r>
      <w:r w:rsidR="006A0734" w:rsidRPr="004A29F9">
        <w:rPr>
          <w:rFonts w:ascii="Times New Roman" w:hAnsi="Times New Roman" w:cs="Times New Roman"/>
          <w:sz w:val="22"/>
          <w:szCs w:val="22"/>
          <w:lang w:val="en-GB"/>
        </w:rPr>
        <w:t xml:space="preserve">the </w:t>
      </w:r>
      <w:r w:rsidR="004E1049">
        <w:rPr>
          <w:rFonts w:ascii="Times New Roman" w:hAnsi="Times New Roman" w:cs="Times New Roman"/>
          <w:sz w:val="22"/>
          <w:szCs w:val="22"/>
          <w:lang w:val="en-GB"/>
        </w:rPr>
        <w:t xml:space="preserve">filing of a complaint - </w:t>
      </w:r>
      <w:r w:rsidR="006A0734" w:rsidRPr="004A29F9">
        <w:rPr>
          <w:rFonts w:ascii="Times New Roman" w:hAnsi="Times New Roman" w:cs="Times New Roman"/>
          <w:sz w:val="22"/>
          <w:szCs w:val="22"/>
          <w:lang w:val="en-GB"/>
        </w:rPr>
        <w:t xml:space="preserve">that </w:t>
      </w:r>
      <w:r w:rsidRPr="004A29F9">
        <w:rPr>
          <w:rFonts w:ascii="Times New Roman" w:hAnsi="Times New Roman" w:cs="Times New Roman"/>
          <w:sz w:val="22"/>
          <w:szCs w:val="22"/>
          <w:lang w:val="en-GB"/>
        </w:rPr>
        <w:t>leads to a closed cycle of police accountability and conviction</w:t>
      </w:r>
      <w:r w:rsidR="006A0734" w:rsidRPr="004A29F9">
        <w:rPr>
          <w:rFonts w:ascii="Times New Roman" w:hAnsi="Times New Roman" w:cs="Times New Roman"/>
          <w:sz w:val="22"/>
          <w:szCs w:val="22"/>
          <w:lang w:val="en-GB"/>
        </w:rPr>
        <w:t>)</w:t>
      </w:r>
      <w:r w:rsidRPr="004A29F9">
        <w:rPr>
          <w:rFonts w:ascii="Times New Roman" w:hAnsi="Times New Roman" w:cs="Times New Roman"/>
          <w:sz w:val="22"/>
          <w:szCs w:val="22"/>
          <w:lang w:val="en-GB"/>
        </w:rPr>
        <w:t>.</w:t>
      </w:r>
      <w:r w:rsidR="006A0734" w:rsidRPr="004A29F9">
        <w:rPr>
          <w:rFonts w:ascii="Times New Roman" w:hAnsi="Times New Roman" w:cs="Times New Roman"/>
          <w:sz w:val="22"/>
          <w:szCs w:val="22"/>
          <w:lang w:val="en-GB"/>
        </w:rPr>
        <w:t>Meanwhile, the programme is working with the PCP to strengthen internal police accountability. EUPOL CO</w:t>
      </w:r>
      <w:r w:rsidR="00E55032" w:rsidRPr="004A29F9">
        <w:rPr>
          <w:rFonts w:ascii="Times New Roman" w:hAnsi="Times New Roman" w:cs="Times New Roman"/>
          <w:sz w:val="22"/>
          <w:szCs w:val="22"/>
          <w:lang w:val="en-GB"/>
        </w:rPr>
        <w:t>P</w:t>
      </w:r>
      <w:r w:rsidR="006A0734" w:rsidRPr="004A29F9">
        <w:rPr>
          <w:rFonts w:ascii="Times New Roman" w:hAnsi="Times New Roman" w:cs="Times New Roman"/>
          <w:sz w:val="22"/>
          <w:szCs w:val="22"/>
          <w:lang w:val="en-GB"/>
        </w:rPr>
        <w:t>P</w:t>
      </w:r>
      <w:r w:rsidR="00567888" w:rsidRPr="004A29F9">
        <w:rPr>
          <w:rFonts w:ascii="Times New Roman" w:hAnsi="Times New Roman" w:cs="Times New Roman"/>
          <w:sz w:val="22"/>
          <w:szCs w:val="22"/>
          <w:lang w:val="en-GB"/>
        </w:rPr>
        <w:t>S</w:t>
      </w:r>
      <w:r w:rsidR="006A0734" w:rsidRPr="004A29F9">
        <w:rPr>
          <w:rFonts w:ascii="Times New Roman" w:hAnsi="Times New Roman" w:cs="Times New Roman"/>
          <w:sz w:val="22"/>
          <w:szCs w:val="22"/>
          <w:lang w:val="en-GB"/>
        </w:rPr>
        <w:t xml:space="preserve"> will eventually exp</w:t>
      </w:r>
      <w:r w:rsidR="004E1049">
        <w:rPr>
          <w:rFonts w:ascii="Times New Roman" w:hAnsi="Times New Roman" w:cs="Times New Roman"/>
          <w:sz w:val="22"/>
          <w:szCs w:val="22"/>
          <w:lang w:val="en-GB"/>
        </w:rPr>
        <w:t>lore engaging with Palestinian military j</w:t>
      </w:r>
      <w:r w:rsidR="006A0734" w:rsidRPr="004A29F9">
        <w:rPr>
          <w:rFonts w:ascii="Times New Roman" w:hAnsi="Times New Roman" w:cs="Times New Roman"/>
          <w:sz w:val="22"/>
          <w:szCs w:val="22"/>
          <w:lang w:val="en-GB"/>
        </w:rPr>
        <w:t xml:space="preserve">ustice, as the military </w:t>
      </w:r>
      <w:r w:rsidR="004E1049">
        <w:rPr>
          <w:rFonts w:ascii="Times New Roman" w:hAnsi="Times New Roman" w:cs="Times New Roman"/>
          <w:sz w:val="22"/>
          <w:szCs w:val="22"/>
          <w:lang w:val="en-GB"/>
        </w:rPr>
        <w:t xml:space="preserve">(still) </w:t>
      </w:r>
      <w:r w:rsidR="006A0734" w:rsidRPr="004A29F9">
        <w:rPr>
          <w:rFonts w:ascii="Times New Roman" w:hAnsi="Times New Roman" w:cs="Times New Roman"/>
          <w:sz w:val="22"/>
          <w:szCs w:val="22"/>
          <w:lang w:val="en-GB"/>
        </w:rPr>
        <w:t xml:space="preserve">has the jurisdiction over the PCP.     </w:t>
      </w:r>
    </w:p>
    <w:p w:rsidR="00874D71" w:rsidRDefault="00874D71" w:rsidP="00FB6759">
      <w:pPr>
        <w:spacing w:after="0" w:line="240" w:lineRule="auto"/>
        <w:jc w:val="both"/>
        <w:rPr>
          <w:rFonts w:ascii="Times New Roman" w:hAnsi="Times New Roman" w:cs="Times New Roman"/>
          <w:sz w:val="22"/>
          <w:szCs w:val="22"/>
          <w:lang w:val="en-GB"/>
        </w:rPr>
      </w:pPr>
    </w:p>
    <w:p w:rsidR="006A0734" w:rsidRPr="004A29F9" w:rsidRDefault="004E1049"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CCC is a specialis</w:t>
      </w:r>
      <w:r w:rsidR="00EC5E8F" w:rsidRPr="004A29F9">
        <w:rPr>
          <w:rFonts w:ascii="Times New Roman" w:hAnsi="Times New Roman" w:cs="Times New Roman"/>
          <w:sz w:val="22"/>
          <w:szCs w:val="22"/>
          <w:lang w:val="en-GB"/>
        </w:rPr>
        <w:t>ed court. It is under the jurisdiction of t</w:t>
      </w:r>
      <w:r>
        <w:rPr>
          <w:rFonts w:ascii="Times New Roman" w:hAnsi="Times New Roman" w:cs="Times New Roman"/>
          <w:sz w:val="22"/>
          <w:szCs w:val="22"/>
          <w:lang w:val="en-GB"/>
        </w:rPr>
        <w:t>he HJC</w:t>
      </w:r>
      <w:r w:rsidR="00EC5E8F" w:rsidRPr="004A29F9">
        <w:rPr>
          <w:rFonts w:ascii="Times New Roman" w:hAnsi="Times New Roman" w:cs="Times New Roman"/>
          <w:sz w:val="22"/>
          <w:szCs w:val="22"/>
          <w:lang w:val="en-GB"/>
        </w:rPr>
        <w:t>.  HJC has been instrumental in taking the tra</w:t>
      </w:r>
      <w:r>
        <w:rPr>
          <w:rFonts w:ascii="Times New Roman" w:hAnsi="Times New Roman" w:cs="Times New Roman"/>
          <w:sz w:val="22"/>
          <w:szCs w:val="22"/>
          <w:lang w:val="en-GB"/>
        </w:rPr>
        <w:t xml:space="preserve">ining and support forward. </w:t>
      </w:r>
      <w:r w:rsidR="006A0734" w:rsidRPr="004A29F9">
        <w:rPr>
          <w:rFonts w:ascii="Times New Roman" w:hAnsi="Times New Roman" w:cs="Times New Roman"/>
          <w:sz w:val="22"/>
          <w:szCs w:val="22"/>
          <w:lang w:val="en-GB"/>
        </w:rPr>
        <w:t xml:space="preserve">The </w:t>
      </w:r>
      <w:r w:rsidR="00EC5E8F" w:rsidRPr="004A29F9">
        <w:rPr>
          <w:rFonts w:ascii="Times New Roman" w:hAnsi="Times New Roman" w:cs="Times New Roman"/>
          <w:sz w:val="22"/>
          <w:szCs w:val="22"/>
          <w:lang w:val="en-GB"/>
        </w:rPr>
        <w:t>CCC</w:t>
      </w:r>
      <w:r w:rsidR="006A0734" w:rsidRPr="004A29F9">
        <w:rPr>
          <w:rFonts w:ascii="Times New Roman" w:hAnsi="Times New Roman" w:cs="Times New Roman"/>
          <w:sz w:val="22"/>
          <w:szCs w:val="22"/>
          <w:lang w:val="en-GB"/>
        </w:rPr>
        <w:t xml:space="preserve"> currently has </w:t>
      </w:r>
      <w:r>
        <w:rPr>
          <w:rFonts w:ascii="Times New Roman" w:hAnsi="Times New Roman" w:cs="Times New Roman"/>
          <w:sz w:val="22"/>
          <w:szCs w:val="22"/>
          <w:lang w:val="en-GB"/>
        </w:rPr>
        <w:t xml:space="preserve">approximately </w:t>
      </w:r>
      <w:r w:rsidR="006A0734" w:rsidRPr="004A29F9">
        <w:rPr>
          <w:rFonts w:ascii="Times New Roman" w:hAnsi="Times New Roman" w:cs="Times New Roman"/>
          <w:sz w:val="22"/>
          <w:szCs w:val="22"/>
          <w:lang w:val="en-GB"/>
        </w:rPr>
        <w:t xml:space="preserve">30 cases on the </w:t>
      </w:r>
      <w:r w:rsidR="00F6291F" w:rsidRPr="004A29F9">
        <w:rPr>
          <w:rFonts w:ascii="Times New Roman" w:hAnsi="Times New Roman" w:cs="Times New Roman"/>
          <w:sz w:val="22"/>
          <w:szCs w:val="22"/>
          <w:lang w:val="en-GB"/>
        </w:rPr>
        <w:t>docket involving</w:t>
      </w:r>
      <w:r>
        <w:rPr>
          <w:rFonts w:ascii="Times New Roman" w:hAnsi="Times New Roman" w:cs="Times New Roman"/>
          <w:sz w:val="22"/>
          <w:szCs w:val="22"/>
          <w:lang w:val="en-GB"/>
        </w:rPr>
        <w:t xml:space="preserve"> a number of</w:t>
      </w:r>
      <w:r w:rsidR="00FD3C19">
        <w:rPr>
          <w:rFonts w:ascii="Times New Roman" w:hAnsi="Times New Roman" w:cs="Times New Roman"/>
          <w:sz w:val="22"/>
          <w:szCs w:val="22"/>
          <w:lang w:val="en-GB"/>
        </w:rPr>
        <w:t xml:space="preserve"> </w:t>
      </w:r>
      <w:r w:rsidR="00EC5E8F" w:rsidRPr="004A29F9">
        <w:rPr>
          <w:rFonts w:ascii="Times New Roman" w:hAnsi="Times New Roman" w:cs="Times New Roman"/>
          <w:sz w:val="22"/>
          <w:szCs w:val="22"/>
          <w:lang w:val="en-GB"/>
        </w:rPr>
        <w:t>high-ranking</w:t>
      </w:r>
      <w:r w:rsidR="006A0734" w:rsidRPr="004A29F9">
        <w:rPr>
          <w:rFonts w:ascii="Times New Roman" w:hAnsi="Times New Roman" w:cs="Times New Roman"/>
          <w:sz w:val="22"/>
          <w:szCs w:val="22"/>
          <w:lang w:val="en-GB"/>
        </w:rPr>
        <w:t xml:space="preserve"> officials</w:t>
      </w:r>
      <w:r>
        <w:rPr>
          <w:rFonts w:ascii="Times New Roman" w:hAnsi="Times New Roman" w:cs="Times New Roman"/>
          <w:sz w:val="22"/>
          <w:szCs w:val="22"/>
          <w:lang w:val="en-GB"/>
        </w:rPr>
        <w:t xml:space="preserve">. </w:t>
      </w:r>
      <w:r w:rsidR="006A0734" w:rsidRPr="004A29F9">
        <w:rPr>
          <w:rFonts w:ascii="Times New Roman" w:hAnsi="Times New Roman" w:cs="Times New Roman"/>
          <w:sz w:val="22"/>
          <w:szCs w:val="22"/>
          <w:lang w:val="en-GB"/>
        </w:rPr>
        <w:t xml:space="preserve">UNDP supports the court via its </w:t>
      </w:r>
      <w:r w:rsidR="00315E05" w:rsidRPr="004A29F9">
        <w:rPr>
          <w:rFonts w:ascii="Times New Roman" w:hAnsi="Times New Roman" w:cs="Times New Roman"/>
          <w:sz w:val="22"/>
          <w:szCs w:val="22"/>
          <w:lang w:val="en-GB"/>
        </w:rPr>
        <w:t>UNDP/EUPOL COPPS Joint</w:t>
      </w:r>
      <w:r w:rsidR="00FD3C19">
        <w:rPr>
          <w:rFonts w:ascii="Times New Roman" w:hAnsi="Times New Roman" w:cs="Times New Roman"/>
          <w:sz w:val="22"/>
          <w:szCs w:val="22"/>
          <w:lang w:val="en-GB"/>
        </w:rPr>
        <w:t xml:space="preserve"> </w:t>
      </w:r>
      <w:r w:rsidR="00F6291F" w:rsidRPr="004A29F9">
        <w:rPr>
          <w:rFonts w:ascii="Times New Roman" w:hAnsi="Times New Roman" w:cs="Times New Roman"/>
          <w:sz w:val="22"/>
          <w:szCs w:val="22"/>
          <w:lang w:val="en-GB"/>
        </w:rPr>
        <w:t xml:space="preserve">Programme to </w:t>
      </w:r>
      <w:r w:rsidR="006A0734" w:rsidRPr="004A29F9">
        <w:rPr>
          <w:rFonts w:ascii="Times New Roman" w:hAnsi="Times New Roman" w:cs="Times New Roman"/>
          <w:sz w:val="22"/>
          <w:szCs w:val="22"/>
          <w:lang w:val="en-GB"/>
        </w:rPr>
        <w:t>strengthen its procedures and provid</w:t>
      </w:r>
      <w:r w:rsidR="00EC5E8F" w:rsidRPr="004A29F9">
        <w:rPr>
          <w:rFonts w:ascii="Times New Roman" w:hAnsi="Times New Roman" w:cs="Times New Roman"/>
          <w:sz w:val="22"/>
          <w:szCs w:val="22"/>
          <w:lang w:val="en-GB"/>
        </w:rPr>
        <w:t xml:space="preserve">e </w:t>
      </w:r>
      <w:r w:rsidR="006A0734" w:rsidRPr="004A29F9">
        <w:rPr>
          <w:rFonts w:ascii="Times New Roman" w:hAnsi="Times New Roman" w:cs="Times New Roman"/>
          <w:sz w:val="22"/>
          <w:szCs w:val="22"/>
          <w:lang w:val="en-GB"/>
        </w:rPr>
        <w:t>equipment.  For example, UNDP has entered into a partnership with Bi</w:t>
      </w:r>
      <w:r w:rsidR="00315E05" w:rsidRPr="004A29F9">
        <w:rPr>
          <w:rFonts w:ascii="Times New Roman" w:hAnsi="Times New Roman" w:cs="Times New Roman"/>
          <w:sz w:val="22"/>
          <w:szCs w:val="22"/>
          <w:lang w:val="en-GB"/>
        </w:rPr>
        <w:t>rzeit</w:t>
      </w:r>
      <w:r w:rsidR="006A0734" w:rsidRPr="004A29F9">
        <w:rPr>
          <w:rFonts w:ascii="Times New Roman" w:hAnsi="Times New Roman" w:cs="Times New Roman"/>
          <w:sz w:val="22"/>
          <w:szCs w:val="22"/>
          <w:lang w:val="en-GB"/>
        </w:rPr>
        <w:t xml:space="preserve"> University to develop a training curriculum for CCC </w:t>
      </w:r>
      <w:r>
        <w:rPr>
          <w:rFonts w:ascii="Times New Roman" w:hAnsi="Times New Roman" w:cs="Times New Roman"/>
          <w:sz w:val="22"/>
          <w:szCs w:val="22"/>
          <w:lang w:val="en-GB"/>
        </w:rPr>
        <w:t>judges and court staff</w:t>
      </w:r>
      <w:r w:rsidR="006A0734" w:rsidRPr="004A29F9">
        <w:rPr>
          <w:rFonts w:ascii="Times New Roman" w:hAnsi="Times New Roman" w:cs="Times New Roman"/>
          <w:sz w:val="22"/>
          <w:szCs w:val="22"/>
          <w:lang w:val="en-GB"/>
        </w:rPr>
        <w:t xml:space="preserve">. </w:t>
      </w:r>
    </w:p>
    <w:p w:rsidR="00874D71" w:rsidRDefault="00874D71" w:rsidP="00FB6759">
      <w:pPr>
        <w:spacing w:after="0" w:line="240" w:lineRule="auto"/>
        <w:jc w:val="both"/>
        <w:rPr>
          <w:rFonts w:ascii="Times New Roman" w:hAnsi="Times New Roman" w:cs="Times New Roman"/>
          <w:sz w:val="22"/>
          <w:szCs w:val="22"/>
          <w:lang w:val="en-GB"/>
        </w:rPr>
      </w:pPr>
    </w:p>
    <w:p w:rsidR="00EC5E8F" w:rsidRPr="004A29F9" w:rsidRDefault="006A0734"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UNDP has effectively brought</w:t>
      </w:r>
      <w:r w:rsidR="004E1049">
        <w:rPr>
          <w:rFonts w:ascii="Times New Roman" w:hAnsi="Times New Roman" w:cs="Times New Roman"/>
          <w:sz w:val="22"/>
          <w:szCs w:val="22"/>
          <w:lang w:val="en-GB"/>
        </w:rPr>
        <w:t xml:space="preserve"> to the table the long-</w:t>
      </w:r>
      <w:r w:rsidRPr="004A29F9">
        <w:rPr>
          <w:rFonts w:ascii="Times New Roman" w:hAnsi="Times New Roman" w:cs="Times New Roman"/>
          <w:sz w:val="22"/>
          <w:szCs w:val="22"/>
          <w:lang w:val="en-GB"/>
        </w:rPr>
        <w:t xml:space="preserve">term development view that EUPOL </w:t>
      </w:r>
      <w:r w:rsidR="00315E05" w:rsidRPr="004A29F9">
        <w:rPr>
          <w:rFonts w:ascii="Times New Roman" w:hAnsi="Times New Roman" w:cs="Times New Roman"/>
          <w:sz w:val="22"/>
          <w:szCs w:val="22"/>
          <w:lang w:val="en-GB"/>
        </w:rPr>
        <w:t xml:space="preserve">COPPS </w:t>
      </w:r>
      <w:r w:rsidR="00EC5E8F" w:rsidRPr="004A29F9">
        <w:rPr>
          <w:rFonts w:ascii="Times New Roman" w:hAnsi="Times New Roman" w:cs="Times New Roman"/>
          <w:sz w:val="22"/>
          <w:szCs w:val="22"/>
          <w:lang w:val="en-GB"/>
        </w:rPr>
        <w:t>was missing</w:t>
      </w:r>
      <w:r w:rsidR="004E1049">
        <w:rPr>
          <w:rFonts w:ascii="Times New Roman" w:hAnsi="Times New Roman" w:cs="Times New Roman"/>
          <w:sz w:val="22"/>
          <w:szCs w:val="22"/>
          <w:lang w:val="en-GB"/>
        </w:rPr>
        <w:t xml:space="preserve">. </w:t>
      </w:r>
      <w:r w:rsidRPr="004A29F9">
        <w:rPr>
          <w:rFonts w:ascii="Times New Roman" w:hAnsi="Times New Roman" w:cs="Times New Roman"/>
          <w:sz w:val="22"/>
          <w:szCs w:val="22"/>
          <w:lang w:val="en-GB"/>
        </w:rPr>
        <w:t>Without UNDP’s contacts in the justi</w:t>
      </w:r>
      <w:r w:rsidR="004E1049">
        <w:rPr>
          <w:rFonts w:ascii="Times New Roman" w:hAnsi="Times New Roman" w:cs="Times New Roman"/>
          <w:sz w:val="22"/>
          <w:szCs w:val="22"/>
          <w:lang w:val="en-GB"/>
        </w:rPr>
        <w:t>ce sector that the p</w:t>
      </w:r>
      <w:r w:rsidRPr="004A29F9">
        <w:rPr>
          <w:rFonts w:ascii="Times New Roman" w:hAnsi="Times New Roman" w:cs="Times New Roman"/>
          <w:sz w:val="22"/>
          <w:szCs w:val="22"/>
          <w:lang w:val="en-GB"/>
        </w:rPr>
        <w:t xml:space="preserve">rogramme developed over the past years, the </w:t>
      </w:r>
      <w:r w:rsidR="00315E05" w:rsidRPr="004A29F9">
        <w:rPr>
          <w:rFonts w:ascii="Times New Roman" w:hAnsi="Times New Roman" w:cs="Times New Roman"/>
          <w:sz w:val="22"/>
          <w:szCs w:val="22"/>
          <w:lang w:val="en-GB"/>
        </w:rPr>
        <w:t>UNDP/</w:t>
      </w:r>
      <w:r w:rsidRPr="004A29F9">
        <w:rPr>
          <w:rFonts w:ascii="Times New Roman" w:hAnsi="Times New Roman" w:cs="Times New Roman"/>
          <w:sz w:val="22"/>
          <w:szCs w:val="22"/>
          <w:lang w:val="en-GB"/>
        </w:rPr>
        <w:t xml:space="preserve">EUPOL COPPS </w:t>
      </w:r>
      <w:r w:rsidR="00315E05" w:rsidRPr="004A29F9">
        <w:rPr>
          <w:rFonts w:ascii="Times New Roman" w:hAnsi="Times New Roman" w:cs="Times New Roman"/>
          <w:sz w:val="22"/>
          <w:szCs w:val="22"/>
          <w:lang w:val="en-GB"/>
        </w:rPr>
        <w:t xml:space="preserve">Joint Programme </w:t>
      </w:r>
      <w:r w:rsidRPr="004A29F9">
        <w:rPr>
          <w:rFonts w:ascii="Times New Roman" w:hAnsi="Times New Roman" w:cs="Times New Roman"/>
          <w:sz w:val="22"/>
          <w:szCs w:val="22"/>
          <w:lang w:val="en-GB"/>
        </w:rPr>
        <w:t xml:space="preserve">wouldn’t </w:t>
      </w:r>
      <w:r w:rsidR="00315E05" w:rsidRPr="004A29F9">
        <w:rPr>
          <w:rFonts w:ascii="Times New Roman" w:hAnsi="Times New Roman" w:cs="Times New Roman"/>
          <w:sz w:val="22"/>
          <w:szCs w:val="22"/>
          <w:lang w:val="en-GB"/>
        </w:rPr>
        <w:t xml:space="preserve">have </w:t>
      </w:r>
      <w:r w:rsidRPr="004A29F9">
        <w:rPr>
          <w:rFonts w:ascii="Times New Roman" w:hAnsi="Times New Roman" w:cs="Times New Roman"/>
          <w:sz w:val="22"/>
          <w:szCs w:val="22"/>
          <w:lang w:val="en-GB"/>
        </w:rPr>
        <w:t>be</w:t>
      </w:r>
      <w:r w:rsidR="00315E05" w:rsidRPr="004A29F9">
        <w:rPr>
          <w:rFonts w:ascii="Times New Roman" w:hAnsi="Times New Roman" w:cs="Times New Roman"/>
          <w:sz w:val="22"/>
          <w:szCs w:val="22"/>
          <w:lang w:val="en-GB"/>
        </w:rPr>
        <w:t>en</w:t>
      </w:r>
      <w:r w:rsidRPr="004A29F9">
        <w:rPr>
          <w:rFonts w:ascii="Times New Roman" w:hAnsi="Times New Roman" w:cs="Times New Roman"/>
          <w:sz w:val="22"/>
          <w:szCs w:val="22"/>
          <w:lang w:val="en-GB"/>
        </w:rPr>
        <w:t xml:space="preserve"> possible. UNDP is value added. EUPOL CO</w:t>
      </w:r>
      <w:r w:rsidR="00E55032" w:rsidRPr="004A29F9">
        <w:rPr>
          <w:rFonts w:ascii="Times New Roman" w:hAnsi="Times New Roman" w:cs="Times New Roman"/>
          <w:sz w:val="22"/>
          <w:szCs w:val="22"/>
          <w:lang w:val="en-GB"/>
        </w:rPr>
        <w:t>P</w:t>
      </w:r>
      <w:r w:rsidRPr="004A29F9">
        <w:rPr>
          <w:rFonts w:ascii="Times New Roman" w:hAnsi="Times New Roman" w:cs="Times New Roman"/>
          <w:sz w:val="22"/>
          <w:szCs w:val="22"/>
          <w:lang w:val="en-GB"/>
        </w:rPr>
        <w:t xml:space="preserve">PS completes another part of the justice chain, linking justice and security. </w:t>
      </w:r>
      <w:r w:rsidR="00EC5E8F" w:rsidRPr="004A29F9">
        <w:rPr>
          <w:rFonts w:ascii="Times New Roman" w:hAnsi="Times New Roman" w:cs="Times New Roman"/>
          <w:sz w:val="22"/>
          <w:szCs w:val="22"/>
          <w:lang w:val="en-GB"/>
        </w:rPr>
        <w:t xml:space="preserve">In </w:t>
      </w:r>
      <w:r w:rsidRPr="004A29F9">
        <w:rPr>
          <w:rFonts w:ascii="Times New Roman" w:hAnsi="Times New Roman" w:cs="Times New Roman"/>
          <w:sz w:val="22"/>
          <w:szCs w:val="22"/>
          <w:lang w:val="en-GB"/>
        </w:rPr>
        <w:t xml:space="preserve">terms of sustainability, this will depend on the future continued ability of the </w:t>
      </w:r>
      <w:r w:rsidR="00836BE4" w:rsidRPr="004A29F9">
        <w:rPr>
          <w:rFonts w:ascii="Times New Roman" w:hAnsi="Times New Roman" w:cs="Times New Roman"/>
          <w:sz w:val="22"/>
          <w:szCs w:val="22"/>
          <w:lang w:val="en-GB"/>
        </w:rPr>
        <w:t>PNA</w:t>
      </w:r>
      <w:r w:rsidR="004E1049">
        <w:rPr>
          <w:rFonts w:ascii="Times New Roman" w:hAnsi="Times New Roman" w:cs="Times New Roman"/>
          <w:sz w:val="22"/>
          <w:szCs w:val="22"/>
          <w:lang w:val="en-GB"/>
        </w:rPr>
        <w:t xml:space="preserve"> to fund itself. </w:t>
      </w:r>
      <w:r w:rsidRPr="004A29F9">
        <w:rPr>
          <w:rFonts w:ascii="Times New Roman" w:hAnsi="Times New Roman" w:cs="Times New Roman"/>
          <w:sz w:val="22"/>
          <w:szCs w:val="22"/>
          <w:lang w:val="en-GB"/>
        </w:rPr>
        <w:t xml:space="preserve">It is very difficult for </w:t>
      </w:r>
      <w:r w:rsidR="00836BE4" w:rsidRPr="004A29F9">
        <w:rPr>
          <w:rFonts w:ascii="Times New Roman" w:hAnsi="Times New Roman" w:cs="Times New Roman"/>
          <w:sz w:val="22"/>
          <w:szCs w:val="22"/>
          <w:lang w:val="en-GB"/>
        </w:rPr>
        <w:t>PNA</w:t>
      </w:r>
      <w:r w:rsidRPr="004A29F9">
        <w:rPr>
          <w:rFonts w:ascii="Times New Roman" w:hAnsi="Times New Roman" w:cs="Times New Roman"/>
          <w:sz w:val="22"/>
          <w:szCs w:val="22"/>
          <w:lang w:val="en-GB"/>
        </w:rPr>
        <w:t xml:space="preserve"> to develop an econo</w:t>
      </w:r>
      <w:r w:rsidR="004E1049">
        <w:rPr>
          <w:rFonts w:ascii="Times New Roman" w:hAnsi="Times New Roman" w:cs="Times New Roman"/>
          <w:sz w:val="22"/>
          <w:szCs w:val="22"/>
          <w:lang w:val="en-GB"/>
        </w:rPr>
        <w:t xml:space="preserve">my under occupation. </w:t>
      </w:r>
      <w:r w:rsidRPr="004A29F9">
        <w:rPr>
          <w:rFonts w:ascii="Times New Roman" w:hAnsi="Times New Roman" w:cs="Times New Roman"/>
          <w:sz w:val="22"/>
          <w:szCs w:val="22"/>
          <w:lang w:val="en-GB"/>
        </w:rPr>
        <w:t xml:space="preserve">An overarching </w:t>
      </w:r>
      <w:r w:rsidR="00EC5E8F" w:rsidRPr="004A29F9">
        <w:rPr>
          <w:rFonts w:ascii="Times New Roman" w:hAnsi="Times New Roman" w:cs="Times New Roman"/>
          <w:sz w:val="22"/>
          <w:szCs w:val="22"/>
          <w:lang w:val="en-GB"/>
        </w:rPr>
        <w:t>issue</w:t>
      </w:r>
      <w:r w:rsidRPr="004A29F9">
        <w:rPr>
          <w:rFonts w:ascii="Times New Roman" w:hAnsi="Times New Roman" w:cs="Times New Roman"/>
          <w:sz w:val="22"/>
          <w:szCs w:val="22"/>
          <w:lang w:val="en-GB"/>
        </w:rPr>
        <w:t xml:space="preserve"> is therefore the </w:t>
      </w:r>
      <w:r w:rsidR="00EC5E8F" w:rsidRPr="004A29F9">
        <w:rPr>
          <w:rFonts w:ascii="Times New Roman" w:hAnsi="Times New Roman" w:cs="Times New Roman"/>
          <w:sz w:val="22"/>
          <w:szCs w:val="22"/>
          <w:lang w:val="en-GB"/>
        </w:rPr>
        <w:t>long-term</w:t>
      </w:r>
      <w:r w:rsidRPr="004A29F9">
        <w:rPr>
          <w:rFonts w:ascii="Times New Roman" w:hAnsi="Times New Roman" w:cs="Times New Roman"/>
          <w:sz w:val="22"/>
          <w:szCs w:val="22"/>
          <w:lang w:val="en-GB"/>
        </w:rPr>
        <w:t xml:space="preserve"> sustainability of the </w:t>
      </w:r>
      <w:r w:rsidR="00836BE4" w:rsidRPr="004A29F9">
        <w:rPr>
          <w:rFonts w:ascii="Times New Roman" w:hAnsi="Times New Roman" w:cs="Times New Roman"/>
          <w:sz w:val="22"/>
          <w:szCs w:val="22"/>
          <w:lang w:val="en-GB"/>
        </w:rPr>
        <w:t>PNA</w:t>
      </w:r>
      <w:r w:rsidR="00EC5E8F" w:rsidRPr="004A29F9">
        <w:rPr>
          <w:rFonts w:ascii="Times New Roman" w:hAnsi="Times New Roman" w:cs="Times New Roman"/>
          <w:sz w:val="22"/>
          <w:szCs w:val="22"/>
          <w:lang w:val="en-GB"/>
        </w:rPr>
        <w:t>.</w:t>
      </w:r>
    </w:p>
    <w:p w:rsidR="00874D71" w:rsidRDefault="00874D71" w:rsidP="00FB6759">
      <w:pPr>
        <w:spacing w:after="0" w:line="240" w:lineRule="auto"/>
        <w:jc w:val="both"/>
        <w:rPr>
          <w:rFonts w:ascii="Times New Roman" w:hAnsi="Times New Roman" w:cs="Times New Roman"/>
          <w:sz w:val="22"/>
          <w:szCs w:val="22"/>
          <w:lang w:val="en-GB"/>
        </w:rPr>
      </w:pPr>
    </w:p>
    <w:p w:rsidR="006A0734" w:rsidRPr="004A29F9" w:rsidRDefault="00EC5E8F"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lastRenderedPageBreak/>
        <w:t xml:space="preserve">UNDP has also worked to engage </w:t>
      </w:r>
      <w:r w:rsidR="006A0734" w:rsidRPr="004A29F9">
        <w:rPr>
          <w:rFonts w:ascii="Times New Roman" w:hAnsi="Times New Roman" w:cs="Times New Roman"/>
          <w:sz w:val="22"/>
          <w:szCs w:val="22"/>
          <w:lang w:val="en-GB"/>
        </w:rPr>
        <w:t xml:space="preserve">Palestinian civil society in oversight </w:t>
      </w:r>
      <w:r w:rsidRPr="004A29F9">
        <w:rPr>
          <w:rFonts w:ascii="Times New Roman" w:hAnsi="Times New Roman" w:cs="Times New Roman"/>
          <w:sz w:val="22"/>
          <w:szCs w:val="22"/>
          <w:lang w:val="en-GB"/>
        </w:rPr>
        <w:t xml:space="preserve">of the </w:t>
      </w:r>
      <w:r w:rsidR="006A0734" w:rsidRPr="004A29F9">
        <w:rPr>
          <w:rFonts w:ascii="Times New Roman" w:hAnsi="Times New Roman" w:cs="Times New Roman"/>
          <w:sz w:val="22"/>
          <w:szCs w:val="22"/>
          <w:lang w:val="en-GB"/>
        </w:rPr>
        <w:t xml:space="preserve">police. UNDP has </w:t>
      </w:r>
      <w:r w:rsidRPr="004A29F9">
        <w:rPr>
          <w:rFonts w:ascii="Times New Roman" w:hAnsi="Times New Roman" w:cs="Times New Roman"/>
          <w:sz w:val="22"/>
          <w:szCs w:val="22"/>
          <w:lang w:val="en-GB"/>
        </w:rPr>
        <w:t>commissioned</w:t>
      </w:r>
      <w:r w:rsidR="006A0734" w:rsidRPr="004A29F9">
        <w:rPr>
          <w:rFonts w:ascii="Times New Roman" w:hAnsi="Times New Roman" w:cs="Times New Roman"/>
          <w:sz w:val="22"/>
          <w:szCs w:val="22"/>
          <w:lang w:val="en-GB"/>
        </w:rPr>
        <w:t xml:space="preserve"> a </w:t>
      </w:r>
      <w:r w:rsidR="00315E05" w:rsidRPr="004A29F9">
        <w:rPr>
          <w:rFonts w:ascii="Times New Roman" w:hAnsi="Times New Roman" w:cs="Times New Roman"/>
          <w:sz w:val="22"/>
          <w:szCs w:val="22"/>
          <w:lang w:val="en-GB"/>
        </w:rPr>
        <w:t>CSO</w:t>
      </w:r>
      <w:r w:rsidR="006A0734" w:rsidRPr="004A29F9">
        <w:rPr>
          <w:rFonts w:ascii="Times New Roman" w:hAnsi="Times New Roman" w:cs="Times New Roman"/>
          <w:sz w:val="22"/>
          <w:szCs w:val="22"/>
          <w:lang w:val="en-GB"/>
        </w:rPr>
        <w:t xml:space="preserve"> mapping study</w:t>
      </w:r>
      <w:r w:rsidR="00315E05" w:rsidRPr="004A29F9">
        <w:rPr>
          <w:rFonts w:ascii="Times New Roman" w:hAnsi="Times New Roman" w:cs="Times New Roman"/>
          <w:sz w:val="22"/>
          <w:szCs w:val="22"/>
          <w:lang w:val="en-GB"/>
        </w:rPr>
        <w:t>/engagement strategy</w:t>
      </w:r>
      <w:r w:rsidR="006A0734" w:rsidRPr="004A29F9">
        <w:rPr>
          <w:rFonts w:ascii="Times New Roman" w:hAnsi="Times New Roman" w:cs="Times New Roman"/>
          <w:sz w:val="22"/>
          <w:szCs w:val="22"/>
          <w:lang w:val="en-GB"/>
        </w:rPr>
        <w:t xml:space="preserve"> to determine how to develop this component of the pro</w:t>
      </w:r>
      <w:r w:rsidR="00315E05" w:rsidRPr="004A29F9">
        <w:rPr>
          <w:rFonts w:ascii="Times New Roman" w:hAnsi="Times New Roman" w:cs="Times New Roman"/>
          <w:sz w:val="22"/>
          <w:szCs w:val="22"/>
          <w:lang w:val="en-GB"/>
        </w:rPr>
        <w:t>gramme</w:t>
      </w:r>
      <w:r w:rsidR="006A0734" w:rsidRPr="004A29F9">
        <w:rPr>
          <w:rFonts w:ascii="Times New Roman" w:hAnsi="Times New Roman" w:cs="Times New Roman"/>
          <w:sz w:val="22"/>
          <w:szCs w:val="22"/>
          <w:lang w:val="en-GB"/>
        </w:rPr>
        <w:t xml:space="preserve">. Donors are funding civil society in different ways, so UNDP has </w:t>
      </w:r>
      <w:r w:rsidRPr="004A29F9">
        <w:rPr>
          <w:rFonts w:ascii="Times New Roman" w:hAnsi="Times New Roman" w:cs="Times New Roman"/>
          <w:sz w:val="22"/>
          <w:szCs w:val="22"/>
          <w:lang w:val="en-GB"/>
        </w:rPr>
        <w:t>recruited</w:t>
      </w:r>
      <w:r w:rsidR="006A0734" w:rsidRPr="004A29F9">
        <w:rPr>
          <w:rFonts w:ascii="Times New Roman" w:hAnsi="Times New Roman" w:cs="Times New Roman"/>
          <w:sz w:val="22"/>
          <w:szCs w:val="22"/>
          <w:lang w:val="en-GB"/>
        </w:rPr>
        <w:t xml:space="preserve"> a Palestinian expert to develop this component.  </w:t>
      </w:r>
    </w:p>
    <w:p w:rsidR="00874D71" w:rsidRDefault="00874D71" w:rsidP="00FB6759">
      <w:pPr>
        <w:spacing w:after="0" w:line="240" w:lineRule="auto"/>
        <w:jc w:val="both"/>
        <w:rPr>
          <w:rFonts w:ascii="Times New Roman" w:hAnsi="Times New Roman" w:cs="Times New Roman"/>
          <w:sz w:val="22"/>
          <w:szCs w:val="22"/>
          <w:lang w:val="en-GB"/>
        </w:rPr>
      </w:pPr>
    </w:p>
    <w:p w:rsidR="006A0734" w:rsidRPr="004A29F9" w:rsidRDefault="00EC5E8F"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Most significantly, UNDP s</w:t>
      </w:r>
      <w:r w:rsidR="004E1049">
        <w:rPr>
          <w:rFonts w:ascii="Times New Roman" w:hAnsi="Times New Roman" w:cs="Times New Roman"/>
          <w:sz w:val="22"/>
          <w:szCs w:val="22"/>
          <w:lang w:val="en-GB"/>
        </w:rPr>
        <w:t>upported the development of an accountability s</w:t>
      </w:r>
      <w:r w:rsidRPr="004A29F9">
        <w:rPr>
          <w:rFonts w:ascii="Times New Roman" w:hAnsi="Times New Roman" w:cs="Times New Roman"/>
          <w:sz w:val="22"/>
          <w:szCs w:val="22"/>
          <w:lang w:val="en-GB"/>
        </w:rPr>
        <w:t xml:space="preserve">trategy for </w:t>
      </w:r>
      <w:r w:rsidR="00315E05" w:rsidRPr="004A29F9">
        <w:rPr>
          <w:rFonts w:ascii="Times New Roman" w:hAnsi="Times New Roman" w:cs="Times New Roman"/>
          <w:sz w:val="22"/>
          <w:szCs w:val="22"/>
          <w:lang w:val="en-GB"/>
        </w:rPr>
        <w:t xml:space="preserve">the </w:t>
      </w:r>
      <w:r w:rsidR="004E1049">
        <w:rPr>
          <w:rFonts w:ascii="Times New Roman" w:hAnsi="Times New Roman" w:cs="Times New Roman"/>
          <w:sz w:val="22"/>
          <w:szCs w:val="22"/>
          <w:lang w:val="en-GB"/>
        </w:rPr>
        <w:t xml:space="preserve">PCP. </w:t>
      </w:r>
      <w:r w:rsidR="00263407" w:rsidRPr="004A29F9">
        <w:rPr>
          <w:rFonts w:ascii="Times New Roman" w:hAnsi="Times New Roman" w:cs="Times New Roman"/>
          <w:sz w:val="22"/>
          <w:szCs w:val="22"/>
          <w:lang w:val="en-GB"/>
        </w:rPr>
        <w:t xml:space="preserve">The </w:t>
      </w:r>
      <w:r w:rsidR="004E1049">
        <w:rPr>
          <w:rFonts w:ascii="Times New Roman" w:hAnsi="Times New Roman" w:cs="Times New Roman"/>
          <w:sz w:val="22"/>
          <w:szCs w:val="22"/>
          <w:lang w:val="en-GB"/>
        </w:rPr>
        <w:t>accountability s</w:t>
      </w:r>
      <w:r w:rsidR="00F6291F" w:rsidRPr="004A29F9">
        <w:rPr>
          <w:rFonts w:ascii="Times New Roman" w:hAnsi="Times New Roman" w:cs="Times New Roman"/>
          <w:sz w:val="22"/>
          <w:szCs w:val="22"/>
          <w:lang w:val="en-GB"/>
        </w:rPr>
        <w:t xml:space="preserve">trategy </w:t>
      </w:r>
      <w:r w:rsidR="006A0734" w:rsidRPr="004A29F9">
        <w:rPr>
          <w:rFonts w:ascii="Times New Roman" w:hAnsi="Times New Roman" w:cs="Times New Roman"/>
          <w:sz w:val="22"/>
          <w:szCs w:val="22"/>
          <w:lang w:val="en-GB"/>
        </w:rPr>
        <w:t>provides a roadmap towards ensuring transparent and accountable police service delivery. Following a final round of consultations (including with civil society), the strategy is expected to be formally endorsed by the Minister of the Interior and the Chief of Police in the next few months.</w:t>
      </w:r>
    </w:p>
    <w:p w:rsidR="004E1049" w:rsidRDefault="004E1049" w:rsidP="00FB6759">
      <w:pPr>
        <w:spacing w:after="0" w:line="240" w:lineRule="auto"/>
        <w:jc w:val="both"/>
        <w:rPr>
          <w:rFonts w:ascii="Times New Roman" w:hAnsi="Times New Roman" w:cs="Times New Roman"/>
          <w:sz w:val="22"/>
          <w:szCs w:val="22"/>
          <w:lang w:val="en-GB"/>
        </w:rPr>
      </w:pPr>
    </w:p>
    <w:p w:rsidR="00251ABA" w:rsidRPr="004A29F9" w:rsidRDefault="006A0734" w:rsidP="00FB6759">
      <w:pPr>
        <w:spacing w:after="0" w:line="240" w:lineRule="auto"/>
        <w:jc w:val="both"/>
        <w:rPr>
          <w:rFonts w:ascii="Times New Roman" w:hAnsi="Times New Roman" w:cs="Times New Roman"/>
          <w:b/>
          <w:sz w:val="22"/>
          <w:szCs w:val="22"/>
          <w:lang w:val="en-GB"/>
        </w:rPr>
      </w:pPr>
      <w:r w:rsidRPr="004A29F9">
        <w:rPr>
          <w:rFonts w:ascii="Times New Roman" w:hAnsi="Times New Roman" w:cs="Times New Roman"/>
          <w:sz w:val="22"/>
          <w:szCs w:val="22"/>
          <w:lang w:val="en-GB"/>
        </w:rPr>
        <w:t>Another key deliverable of the programme has been the development of a comprehensive police code of conduct. Based on the UN Code of Conduct for Law Enforcement Officials and in line with the principles set out in the European Code of Police Ethics, the code of conduct is aimed at guiding members of the PCP in the performance of their daily tasks and, ultimately, contributing to delivering professional, fair, impartial and effective police services. As such, the code sets forth the ethical and conduct standards to which all members of the PCP are to adhere.</w:t>
      </w:r>
    </w:p>
    <w:p w:rsidR="00874D71" w:rsidRDefault="00874D71" w:rsidP="00FB6759">
      <w:pPr>
        <w:spacing w:after="0" w:line="240" w:lineRule="auto"/>
        <w:jc w:val="both"/>
        <w:rPr>
          <w:rFonts w:ascii="Times New Roman" w:hAnsi="Times New Roman" w:cs="Times New Roman"/>
          <w:sz w:val="22"/>
          <w:szCs w:val="22"/>
          <w:lang w:val="en-GB"/>
        </w:rPr>
      </w:pPr>
    </w:p>
    <w:p w:rsidR="00874D71" w:rsidRDefault="009E1BD6" w:rsidP="00874D71">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Going forward, UNDP should consider merging some elements of the </w:t>
      </w:r>
      <w:r w:rsidR="004E1049">
        <w:rPr>
          <w:rFonts w:ascii="Times New Roman" w:hAnsi="Times New Roman" w:cs="Times New Roman"/>
          <w:sz w:val="22"/>
          <w:szCs w:val="22"/>
          <w:lang w:val="en-GB"/>
        </w:rPr>
        <w:t>UNDP/</w:t>
      </w:r>
      <w:r w:rsidRPr="004A29F9">
        <w:rPr>
          <w:rFonts w:ascii="Times New Roman" w:hAnsi="Times New Roman" w:cs="Times New Roman"/>
          <w:sz w:val="22"/>
          <w:szCs w:val="22"/>
          <w:lang w:val="en-GB"/>
        </w:rPr>
        <w:t>E</w:t>
      </w:r>
      <w:r w:rsidR="004E1049">
        <w:rPr>
          <w:rFonts w:ascii="Times New Roman" w:hAnsi="Times New Roman" w:cs="Times New Roman"/>
          <w:sz w:val="22"/>
          <w:szCs w:val="22"/>
          <w:lang w:val="en-GB"/>
        </w:rPr>
        <w:t>UPOL COPPS Joint P</w:t>
      </w:r>
      <w:r w:rsidRPr="004A29F9">
        <w:rPr>
          <w:rFonts w:ascii="Times New Roman" w:hAnsi="Times New Roman" w:cs="Times New Roman"/>
          <w:sz w:val="22"/>
          <w:szCs w:val="22"/>
          <w:lang w:val="en-GB"/>
        </w:rPr>
        <w:t xml:space="preserve">rogramme with the </w:t>
      </w:r>
      <w:r w:rsidR="004E1049">
        <w:rPr>
          <w:rFonts w:ascii="Times New Roman" w:hAnsi="Times New Roman" w:cs="Times New Roman"/>
          <w:sz w:val="22"/>
          <w:szCs w:val="22"/>
          <w:lang w:val="en-GB"/>
        </w:rPr>
        <w:t xml:space="preserve">larger </w:t>
      </w:r>
      <w:r w:rsidRPr="004A29F9">
        <w:rPr>
          <w:rFonts w:ascii="Times New Roman" w:hAnsi="Times New Roman" w:cs="Times New Roman"/>
          <w:sz w:val="22"/>
          <w:szCs w:val="22"/>
          <w:lang w:val="en-GB"/>
        </w:rPr>
        <w:t xml:space="preserve">UNDP </w:t>
      </w:r>
      <w:r w:rsidR="004E1049">
        <w:rPr>
          <w:rFonts w:ascii="Times New Roman" w:hAnsi="Times New Roman" w:cs="Times New Roman"/>
          <w:sz w:val="22"/>
          <w:szCs w:val="22"/>
          <w:lang w:val="en-GB"/>
        </w:rPr>
        <w:t>Rule of Law &amp;</w:t>
      </w:r>
      <w:r w:rsidRPr="004A29F9">
        <w:rPr>
          <w:rFonts w:ascii="Times New Roman" w:hAnsi="Times New Roman" w:cs="Times New Roman"/>
          <w:sz w:val="22"/>
          <w:szCs w:val="22"/>
          <w:lang w:val="en-GB"/>
        </w:rPr>
        <w:t>Access to Justice Programme. UNDP must strengthen it engagement w</w:t>
      </w:r>
      <w:r w:rsidR="004E1049">
        <w:rPr>
          <w:rFonts w:ascii="Times New Roman" w:hAnsi="Times New Roman" w:cs="Times New Roman"/>
          <w:sz w:val="22"/>
          <w:szCs w:val="22"/>
          <w:lang w:val="en-GB"/>
        </w:rPr>
        <w:t xml:space="preserve">ith the criminal justice sector - </w:t>
      </w:r>
      <w:r w:rsidRPr="004A29F9">
        <w:rPr>
          <w:rFonts w:ascii="Times New Roman" w:hAnsi="Times New Roman" w:cs="Times New Roman"/>
          <w:sz w:val="22"/>
          <w:szCs w:val="22"/>
          <w:lang w:val="en-GB"/>
        </w:rPr>
        <w:t xml:space="preserve">especially the courts, while maintaining </w:t>
      </w:r>
      <w:bookmarkStart w:id="17" w:name="_Toc231801801"/>
      <w:r w:rsidR="00874D71">
        <w:rPr>
          <w:rFonts w:ascii="Times New Roman" w:hAnsi="Times New Roman" w:cs="Times New Roman"/>
          <w:sz w:val="22"/>
          <w:szCs w:val="22"/>
          <w:lang w:val="en-GB"/>
        </w:rPr>
        <w:t>its focus on women and children.</w:t>
      </w:r>
    </w:p>
    <w:p w:rsidR="00874D71" w:rsidRDefault="00874D71" w:rsidP="00874D71">
      <w:pPr>
        <w:spacing w:after="0" w:line="240" w:lineRule="auto"/>
        <w:jc w:val="both"/>
        <w:rPr>
          <w:rFonts w:ascii="Times New Roman" w:hAnsi="Times New Roman" w:cs="Times New Roman"/>
          <w:sz w:val="22"/>
          <w:szCs w:val="22"/>
          <w:lang w:val="en-GB"/>
        </w:rPr>
      </w:pPr>
    </w:p>
    <w:p w:rsidR="0023683A" w:rsidRPr="001E4281" w:rsidRDefault="0023683A" w:rsidP="00874D71">
      <w:pPr>
        <w:spacing w:after="0" w:line="240" w:lineRule="auto"/>
        <w:jc w:val="both"/>
        <w:rPr>
          <w:rFonts w:ascii="Times New Roman" w:hAnsi="Times New Roman" w:cs="Times New Roman"/>
          <w:b/>
          <w:i/>
          <w:sz w:val="22"/>
          <w:szCs w:val="22"/>
          <w:lang w:val="en-GB"/>
        </w:rPr>
      </w:pPr>
      <w:r w:rsidRPr="001E4281">
        <w:rPr>
          <w:rFonts w:ascii="Times New Roman" w:hAnsi="Times New Roman" w:cs="Times New Roman"/>
          <w:b/>
          <w:i/>
          <w:sz w:val="22"/>
          <w:szCs w:val="22"/>
          <w:lang w:val="en-GB"/>
        </w:rPr>
        <w:t>Outcome 2:  Access to justice at local and grassroots level enhanced</w:t>
      </w:r>
      <w:bookmarkEnd w:id="17"/>
    </w:p>
    <w:p w:rsidR="00874D71" w:rsidRPr="004A29F9" w:rsidRDefault="00874D71" w:rsidP="00874D71">
      <w:pPr>
        <w:spacing w:after="0" w:line="240" w:lineRule="auto"/>
        <w:jc w:val="both"/>
        <w:rPr>
          <w:rFonts w:ascii="Times New Roman" w:hAnsi="Times New Roman" w:cs="Times New Roman"/>
          <w:sz w:val="22"/>
          <w:szCs w:val="22"/>
          <w:lang w:val="en-GB"/>
        </w:rPr>
      </w:pPr>
    </w:p>
    <w:p w:rsidR="00A669B3" w:rsidRPr="004A29F9" w:rsidRDefault="00A669B3"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PNA support to access to ju</w:t>
      </w:r>
      <w:r w:rsidR="004E1049">
        <w:rPr>
          <w:rFonts w:ascii="Times New Roman" w:hAnsi="Times New Roman" w:cs="Times New Roman"/>
          <w:sz w:val="22"/>
          <w:szCs w:val="22"/>
          <w:lang w:val="en-GB"/>
        </w:rPr>
        <w:t xml:space="preserve">stice and legal aid has existed - and still exists - </w:t>
      </w:r>
      <w:r w:rsidRPr="004A29F9">
        <w:rPr>
          <w:rFonts w:ascii="Times New Roman" w:hAnsi="Times New Roman" w:cs="Times New Roman"/>
          <w:sz w:val="22"/>
          <w:szCs w:val="22"/>
          <w:lang w:val="en-GB"/>
        </w:rPr>
        <w:t>in the form of a patchwork of laws that provide for limited legal aid to different groups of beneficiaries and categories of disputes.</w:t>
      </w:r>
      <w:r w:rsidRPr="004A29F9">
        <w:rPr>
          <w:rStyle w:val="FootnoteReference"/>
          <w:rFonts w:ascii="Times New Roman" w:hAnsi="Times New Roman" w:cs="Times New Roman"/>
          <w:sz w:val="22"/>
          <w:szCs w:val="22"/>
          <w:lang w:val="en-GB"/>
        </w:rPr>
        <w:footnoteReference w:id="105"/>
      </w:r>
      <w:r w:rsidRPr="004A29F9">
        <w:rPr>
          <w:rFonts w:ascii="Times New Roman" w:hAnsi="Times New Roman" w:cs="Times New Roman"/>
          <w:sz w:val="22"/>
          <w:szCs w:val="22"/>
          <w:lang w:val="en-GB"/>
        </w:rPr>
        <w:t xml:space="preserve">    UNDP’s interventions in the sector since 2010 have, however, shifted the debate and resulted in greater coherence amongst key justice institutions with regard to free legal aid</w:t>
      </w:r>
      <w:r w:rsidR="0034179F">
        <w:rPr>
          <w:rFonts w:ascii="Times New Roman" w:hAnsi="Times New Roman" w:cs="Times New Roman"/>
          <w:sz w:val="22"/>
          <w:szCs w:val="22"/>
          <w:lang w:val="en-GB"/>
        </w:rPr>
        <w:t>; an enhanced capacity of the MO</w:t>
      </w:r>
      <w:r w:rsidRPr="004A29F9">
        <w:rPr>
          <w:rFonts w:ascii="Times New Roman" w:hAnsi="Times New Roman" w:cs="Times New Roman"/>
          <w:sz w:val="22"/>
          <w:szCs w:val="22"/>
          <w:lang w:val="en-GB"/>
        </w:rPr>
        <w:t xml:space="preserve">J in this regard; and increased coverage by CSOs, the Bar Association and law schools to end-beneficiaries.  </w:t>
      </w:r>
    </w:p>
    <w:p w:rsidR="00A669B3" w:rsidRPr="004A29F9" w:rsidRDefault="00A669B3"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These efforts have impacted the lives of thousands of Palesti</w:t>
      </w:r>
      <w:r w:rsidR="0034179F">
        <w:rPr>
          <w:rFonts w:ascii="Times New Roman" w:hAnsi="Times New Roman" w:cs="Times New Roman"/>
          <w:sz w:val="22"/>
          <w:szCs w:val="22"/>
          <w:lang w:val="en-GB"/>
        </w:rPr>
        <w:t xml:space="preserve">nians in the West Bank and Gaza - </w:t>
      </w:r>
      <w:r w:rsidRPr="004A29F9">
        <w:rPr>
          <w:rFonts w:ascii="Times New Roman" w:hAnsi="Times New Roman" w:cs="Times New Roman"/>
          <w:sz w:val="22"/>
          <w:szCs w:val="22"/>
          <w:lang w:val="en-GB"/>
        </w:rPr>
        <w:t>especially women</w:t>
      </w:r>
      <w:r w:rsidR="00197759" w:rsidRPr="004A29F9">
        <w:rPr>
          <w:rFonts w:ascii="Times New Roman" w:hAnsi="Times New Roman" w:cs="Times New Roman"/>
          <w:sz w:val="22"/>
          <w:szCs w:val="22"/>
          <w:lang w:val="en-GB"/>
        </w:rPr>
        <w:t>, juveniles</w:t>
      </w:r>
      <w:r w:rsidR="0034179F">
        <w:rPr>
          <w:rFonts w:ascii="Times New Roman" w:hAnsi="Times New Roman" w:cs="Times New Roman"/>
          <w:sz w:val="22"/>
          <w:szCs w:val="22"/>
          <w:lang w:val="en-GB"/>
        </w:rPr>
        <w:t xml:space="preserve"> and other vulnerable groups. </w:t>
      </w:r>
      <w:r w:rsidRPr="004A29F9">
        <w:rPr>
          <w:rFonts w:ascii="Times New Roman" w:hAnsi="Times New Roman" w:cs="Times New Roman"/>
          <w:sz w:val="22"/>
          <w:szCs w:val="22"/>
          <w:lang w:val="en-GB"/>
        </w:rPr>
        <w:t>As a result of UNDP’s efforts a new draft law for legal aid is on the table and a comprehensive strategy for legal aid is now in the formative sta</w:t>
      </w:r>
      <w:r w:rsidR="0034179F">
        <w:rPr>
          <w:rFonts w:ascii="Times New Roman" w:hAnsi="Times New Roman" w:cs="Times New Roman"/>
          <w:sz w:val="22"/>
          <w:szCs w:val="22"/>
          <w:lang w:val="en-GB"/>
        </w:rPr>
        <w:t>ge (as discussed above in Outcome</w:t>
      </w:r>
      <w:r w:rsidRPr="004A29F9">
        <w:rPr>
          <w:rFonts w:ascii="Times New Roman" w:hAnsi="Times New Roman" w:cs="Times New Roman"/>
          <w:sz w:val="22"/>
          <w:szCs w:val="22"/>
          <w:lang w:val="en-GB"/>
        </w:rPr>
        <w:t xml:space="preserve"> 1). U</w:t>
      </w:r>
      <w:r w:rsidR="0034179F">
        <w:rPr>
          <w:rFonts w:ascii="Times New Roman" w:hAnsi="Times New Roman" w:cs="Times New Roman"/>
          <w:sz w:val="22"/>
          <w:szCs w:val="22"/>
          <w:lang w:val="en-GB"/>
        </w:rPr>
        <w:t xml:space="preserve">NDP’s work in the West Bank, including </w:t>
      </w:r>
      <w:r w:rsidRPr="004A29F9">
        <w:rPr>
          <w:rFonts w:ascii="Times New Roman" w:hAnsi="Times New Roman" w:cs="Times New Roman"/>
          <w:sz w:val="22"/>
          <w:szCs w:val="22"/>
          <w:lang w:val="en-GB"/>
        </w:rPr>
        <w:t>East Jerusalem</w:t>
      </w:r>
      <w:r w:rsidR="0034179F">
        <w:rPr>
          <w:rFonts w:ascii="Times New Roman" w:hAnsi="Times New Roman" w:cs="Times New Roman"/>
          <w:sz w:val="22"/>
          <w:szCs w:val="22"/>
          <w:lang w:val="en-GB"/>
        </w:rPr>
        <w:t>,</w:t>
      </w:r>
      <w:r w:rsidRPr="004A29F9">
        <w:rPr>
          <w:rFonts w:ascii="Times New Roman" w:hAnsi="Times New Roman" w:cs="Times New Roman"/>
          <w:sz w:val="22"/>
          <w:szCs w:val="22"/>
          <w:lang w:val="en-GB"/>
        </w:rPr>
        <w:t xml:space="preserve"> is</w:t>
      </w:r>
      <w:r w:rsidR="0034179F">
        <w:rPr>
          <w:rFonts w:ascii="Times New Roman" w:hAnsi="Times New Roman" w:cs="Times New Roman"/>
          <w:sz w:val="22"/>
          <w:szCs w:val="22"/>
          <w:lang w:val="en-GB"/>
        </w:rPr>
        <w:t xml:space="preserve"> discussed, herein, under Outcome 2. </w:t>
      </w:r>
      <w:r w:rsidRPr="004A29F9">
        <w:rPr>
          <w:rFonts w:ascii="Times New Roman" w:hAnsi="Times New Roman" w:cs="Times New Roman"/>
          <w:sz w:val="22"/>
          <w:szCs w:val="22"/>
          <w:lang w:val="en-GB"/>
        </w:rPr>
        <w:t xml:space="preserve">UNDP’s initiatives for access to justice at the local and grassroots level in Gaza </w:t>
      </w:r>
      <w:r w:rsidR="0034179F">
        <w:rPr>
          <w:rFonts w:ascii="Times New Roman" w:hAnsi="Times New Roman" w:cs="Times New Roman"/>
          <w:sz w:val="22"/>
          <w:szCs w:val="22"/>
          <w:lang w:val="en-GB"/>
        </w:rPr>
        <w:t>are discussed below under Outcome</w:t>
      </w:r>
      <w:r w:rsidRPr="004A29F9">
        <w:rPr>
          <w:rFonts w:ascii="Times New Roman" w:hAnsi="Times New Roman" w:cs="Times New Roman"/>
          <w:sz w:val="22"/>
          <w:szCs w:val="22"/>
          <w:lang w:val="en-GB"/>
        </w:rPr>
        <w:t xml:space="preserve"> 4. </w:t>
      </w:r>
      <w:r w:rsidR="0034179F">
        <w:rPr>
          <w:rFonts w:ascii="Times New Roman" w:hAnsi="Times New Roman" w:cs="Times New Roman"/>
          <w:sz w:val="22"/>
          <w:szCs w:val="22"/>
          <w:lang w:val="en-GB"/>
        </w:rPr>
        <w:t xml:space="preserve">Elements of both Outcome 2 and Outcome 4 intersect with Outcome 3: </w:t>
      </w:r>
      <w:r w:rsidR="009A1FBB" w:rsidRPr="004A29F9">
        <w:rPr>
          <w:rFonts w:ascii="Times New Roman" w:hAnsi="Times New Roman" w:cs="Times New Roman"/>
          <w:sz w:val="22"/>
          <w:szCs w:val="22"/>
          <w:lang w:val="en-GB"/>
        </w:rPr>
        <w:t xml:space="preserve">gender </w:t>
      </w:r>
      <w:r w:rsidR="0034179F">
        <w:rPr>
          <w:rFonts w:ascii="Times New Roman" w:hAnsi="Times New Roman" w:cs="Times New Roman"/>
          <w:sz w:val="22"/>
          <w:szCs w:val="22"/>
          <w:lang w:val="en-GB"/>
        </w:rPr>
        <w:t>and juvenile justice improved</w:t>
      </w:r>
      <w:r w:rsidR="00197759" w:rsidRPr="004A29F9">
        <w:rPr>
          <w:rFonts w:ascii="Times New Roman" w:hAnsi="Times New Roman" w:cs="Times New Roman"/>
          <w:sz w:val="22"/>
          <w:szCs w:val="22"/>
          <w:lang w:val="en-GB"/>
        </w:rPr>
        <w:t>.</w:t>
      </w:r>
      <w:r w:rsidR="009A1FBB" w:rsidRPr="004A29F9">
        <w:rPr>
          <w:rStyle w:val="FootnoteReference"/>
          <w:rFonts w:ascii="Times New Roman" w:hAnsi="Times New Roman" w:cs="Times New Roman"/>
          <w:sz w:val="22"/>
          <w:szCs w:val="22"/>
          <w:lang w:val="en-GB"/>
        </w:rPr>
        <w:footnoteReference w:id="106"/>
      </w:r>
    </w:p>
    <w:p w:rsidR="00DC33E6" w:rsidRPr="004A29F9" w:rsidRDefault="00DC33E6" w:rsidP="00FB6759">
      <w:pPr>
        <w:spacing w:after="0" w:line="240" w:lineRule="auto"/>
        <w:jc w:val="both"/>
        <w:rPr>
          <w:rFonts w:ascii="Times New Roman" w:hAnsi="Times New Roman" w:cs="Times New Roman"/>
          <w:sz w:val="22"/>
          <w:szCs w:val="22"/>
          <w:lang w:val="en-GB"/>
        </w:rPr>
      </w:pPr>
    </w:p>
    <w:p w:rsidR="00395555" w:rsidRDefault="0034179F" w:rsidP="00FB6759">
      <w:pPr>
        <w:spacing w:after="0" w:line="240" w:lineRule="auto"/>
        <w:jc w:val="both"/>
        <w:rPr>
          <w:rFonts w:ascii="Times New Roman" w:hAnsi="Times New Roman" w:cs="Times New Roman"/>
          <w:i/>
          <w:sz w:val="22"/>
          <w:szCs w:val="22"/>
          <w:lang w:val="en-GB"/>
        </w:rPr>
      </w:pPr>
      <w:r>
        <w:rPr>
          <w:rFonts w:ascii="Times New Roman" w:hAnsi="Times New Roman" w:cs="Times New Roman"/>
          <w:i/>
          <w:sz w:val="22"/>
          <w:szCs w:val="22"/>
          <w:lang w:val="en-GB"/>
        </w:rPr>
        <w:t xml:space="preserve">Baselines as of </w:t>
      </w:r>
      <w:r w:rsidR="00395555" w:rsidRPr="004A29F9">
        <w:rPr>
          <w:rFonts w:ascii="Times New Roman" w:hAnsi="Times New Roman" w:cs="Times New Roman"/>
          <w:i/>
          <w:sz w:val="22"/>
          <w:szCs w:val="22"/>
          <w:lang w:val="en-GB"/>
        </w:rPr>
        <w:t>2010</w:t>
      </w:r>
    </w:p>
    <w:p w:rsidR="0034179F" w:rsidRPr="004A29F9" w:rsidRDefault="0034179F" w:rsidP="00FB6759">
      <w:pPr>
        <w:spacing w:after="0" w:line="240" w:lineRule="auto"/>
        <w:jc w:val="both"/>
        <w:rPr>
          <w:rFonts w:ascii="Times New Roman" w:hAnsi="Times New Roman" w:cs="Times New Roman"/>
          <w:i/>
          <w:sz w:val="22"/>
          <w:szCs w:val="22"/>
          <w:lang w:val="en-GB"/>
        </w:rPr>
      </w:pPr>
    </w:p>
    <w:p w:rsidR="00F73C9C" w:rsidRDefault="00041E90"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As discussed in the “UNDP Mapping Study of Legal Aid Services Provided by the Palestinian Authority” (2011), PNA legal initiatives grew mainly as a result of a response to the Second </w:t>
      </w:r>
      <w:r w:rsidRPr="0034179F">
        <w:rPr>
          <w:rFonts w:ascii="Times New Roman" w:hAnsi="Times New Roman" w:cs="Times New Roman"/>
          <w:i/>
          <w:sz w:val="22"/>
          <w:szCs w:val="22"/>
          <w:lang w:val="en-GB"/>
        </w:rPr>
        <w:t>Intifada</w:t>
      </w:r>
      <w:r w:rsidR="0034179F">
        <w:rPr>
          <w:rFonts w:ascii="Times New Roman" w:hAnsi="Times New Roman" w:cs="Times New Roman"/>
          <w:sz w:val="22"/>
          <w:szCs w:val="22"/>
          <w:lang w:val="en-GB"/>
        </w:rPr>
        <w:t xml:space="preserve">. </w:t>
      </w:r>
      <w:r w:rsidRPr="004A29F9">
        <w:rPr>
          <w:rFonts w:ascii="Times New Roman" w:hAnsi="Times New Roman" w:cs="Times New Roman"/>
          <w:sz w:val="22"/>
          <w:szCs w:val="22"/>
          <w:lang w:val="en-GB"/>
        </w:rPr>
        <w:t>Thus, the assistance was largely geared towards the issues of</w:t>
      </w:r>
      <w:r w:rsidR="0034179F">
        <w:rPr>
          <w:rFonts w:ascii="Times New Roman" w:hAnsi="Times New Roman" w:cs="Times New Roman"/>
          <w:sz w:val="22"/>
          <w:szCs w:val="22"/>
          <w:lang w:val="en-GB"/>
        </w:rPr>
        <w:t xml:space="preserve"> prisoner and detainee rights. </w:t>
      </w:r>
      <w:r w:rsidRPr="004A29F9">
        <w:rPr>
          <w:rFonts w:ascii="Times New Roman" w:hAnsi="Times New Roman" w:cs="Times New Roman"/>
          <w:sz w:val="22"/>
          <w:szCs w:val="22"/>
          <w:lang w:val="en-GB"/>
        </w:rPr>
        <w:t>Beyond this, PNA legal initiatives have arisen in response to th</w:t>
      </w:r>
      <w:r w:rsidR="0034179F">
        <w:rPr>
          <w:rFonts w:ascii="Times New Roman" w:hAnsi="Times New Roman" w:cs="Times New Roman"/>
          <w:sz w:val="22"/>
          <w:szCs w:val="22"/>
          <w:lang w:val="en-GB"/>
        </w:rPr>
        <w:t>e Israeli o</w:t>
      </w:r>
      <w:r w:rsidRPr="004A29F9">
        <w:rPr>
          <w:rFonts w:ascii="Times New Roman" w:hAnsi="Times New Roman" w:cs="Times New Roman"/>
          <w:sz w:val="22"/>
          <w:szCs w:val="22"/>
          <w:lang w:val="en-GB"/>
        </w:rPr>
        <w:t>ccupation at large and its negative impacts upo</w:t>
      </w:r>
      <w:r w:rsidR="0034179F">
        <w:rPr>
          <w:rFonts w:ascii="Times New Roman" w:hAnsi="Times New Roman" w:cs="Times New Roman"/>
          <w:sz w:val="22"/>
          <w:szCs w:val="22"/>
          <w:lang w:val="en-GB"/>
        </w:rPr>
        <w:t>n the lives of Palestinians.  For example, the so-called Prisoners Club</w:t>
      </w:r>
      <w:r w:rsidRPr="004A29F9">
        <w:rPr>
          <w:rFonts w:ascii="Times New Roman" w:hAnsi="Times New Roman" w:cs="Times New Roman"/>
          <w:sz w:val="22"/>
          <w:szCs w:val="22"/>
          <w:lang w:val="en-GB"/>
        </w:rPr>
        <w:t xml:space="preserve"> had 29 lawyers on annual contracts as of 2010 </w:t>
      </w:r>
      <w:r w:rsidRPr="004A29F9">
        <w:rPr>
          <w:rFonts w:ascii="Times New Roman" w:hAnsi="Times New Roman" w:cs="Times New Roman"/>
          <w:sz w:val="22"/>
          <w:szCs w:val="22"/>
          <w:lang w:val="en-GB"/>
        </w:rPr>
        <w:lastRenderedPageBreak/>
        <w:t>and the Ministry of Detainees and Ex-Detainees emplo</w:t>
      </w:r>
      <w:r w:rsidR="004E1049">
        <w:rPr>
          <w:rFonts w:ascii="Times New Roman" w:hAnsi="Times New Roman" w:cs="Times New Roman"/>
          <w:sz w:val="22"/>
          <w:szCs w:val="22"/>
          <w:lang w:val="en-GB"/>
        </w:rPr>
        <w:t xml:space="preserve">yed 38 lawyers. </w:t>
      </w:r>
      <w:r w:rsidRPr="004A29F9">
        <w:rPr>
          <w:rFonts w:ascii="Times New Roman" w:hAnsi="Times New Roman" w:cs="Times New Roman"/>
          <w:sz w:val="22"/>
          <w:szCs w:val="22"/>
          <w:lang w:val="en-GB"/>
        </w:rPr>
        <w:t>Together, both entities handled a total of 980 det</w:t>
      </w:r>
      <w:r w:rsidR="004E1049">
        <w:rPr>
          <w:rFonts w:ascii="Times New Roman" w:hAnsi="Times New Roman" w:cs="Times New Roman"/>
          <w:sz w:val="22"/>
          <w:szCs w:val="22"/>
          <w:lang w:val="en-GB"/>
        </w:rPr>
        <w:t>ention related cases in 2010.</w:t>
      </w:r>
    </w:p>
    <w:p w:rsidR="004E1049" w:rsidRPr="004A29F9" w:rsidRDefault="004E1049" w:rsidP="00FB6759">
      <w:pPr>
        <w:spacing w:after="0" w:line="240" w:lineRule="auto"/>
        <w:jc w:val="both"/>
        <w:rPr>
          <w:rFonts w:ascii="Times New Roman" w:hAnsi="Times New Roman" w:cs="Times New Roman"/>
          <w:sz w:val="22"/>
          <w:szCs w:val="22"/>
          <w:lang w:val="en-GB"/>
        </w:rPr>
      </w:pPr>
    </w:p>
    <w:p w:rsidR="00041E90" w:rsidRPr="004A29F9" w:rsidRDefault="0034179F"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Meanwhile, as of 2010, the Wall and Settlements Unit</w:t>
      </w:r>
      <w:r w:rsidR="00041E90" w:rsidRPr="004A29F9">
        <w:rPr>
          <w:rFonts w:ascii="Times New Roman" w:hAnsi="Times New Roman" w:cs="Times New Roman"/>
          <w:sz w:val="22"/>
          <w:szCs w:val="22"/>
          <w:lang w:val="en-GB"/>
        </w:rPr>
        <w:t xml:space="preserve"> (established in </w:t>
      </w:r>
      <w:r>
        <w:rPr>
          <w:rFonts w:ascii="Times New Roman" w:hAnsi="Times New Roman" w:cs="Times New Roman"/>
          <w:sz w:val="22"/>
          <w:szCs w:val="22"/>
          <w:lang w:val="en-GB"/>
        </w:rPr>
        <w:t>2004 within the Prime Minister’s Office) maintained six</w:t>
      </w:r>
      <w:r w:rsidR="00041E90" w:rsidRPr="004A29F9">
        <w:rPr>
          <w:rFonts w:ascii="Times New Roman" w:hAnsi="Times New Roman" w:cs="Times New Roman"/>
          <w:sz w:val="22"/>
          <w:szCs w:val="22"/>
          <w:lang w:val="en-GB"/>
        </w:rPr>
        <w:t xml:space="preserve"> private lawyers on contract to address cases of land confiscation in the West Ban</w:t>
      </w:r>
      <w:r>
        <w:rPr>
          <w:rFonts w:ascii="Times New Roman" w:hAnsi="Times New Roman" w:cs="Times New Roman"/>
          <w:sz w:val="22"/>
          <w:szCs w:val="22"/>
          <w:lang w:val="en-GB"/>
        </w:rPr>
        <w:t>k (excluding East Jerusalem). The Wall and Settlements Unit</w:t>
      </w:r>
      <w:r w:rsidR="00FD3C19">
        <w:rPr>
          <w:rFonts w:ascii="Times New Roman" w:hAnsi="Times New Roman" w:cs="Times New Roman"/>
          <w:sz w:val="22"/>
          <w:szCs w:val="22"/>
          <w:lang w:val="en-GB"/>
        </w:rPr>
        <w:t xml:space="preserve"> </w:t>
      </w:r>
      <w:r w:rsidR="00590ED1" w:rsidRPr="004A29F9">
        <w:rPr>
          <w:rFonts w:ascii="Times New Roman" w:hAnsi="Times New Roman" w:cs="Times New Roman"/>
          <w:sz w:val="22"/>
          <w:szCs w:val="22"/>
          <w:lang w:val="en-GB"/>
        </w:rPr>
        <w:t xml:space="preserve">with the assistance of CSO legal aid providers </w:t>
      </w:r>
      <w:r>
        <w:rPr>
          <w:rFonts w:ascii="Times New Roman" w:hAnsi="Times New Roman" w:cs="Times New Roman"/>
          <w:sz w:val="22"/>
          <w:szCs w:val="22"/>
          <w:lang w:val="en-GB"/>
        </w:rPr>
        <w:t>supported by the Norwegian Refug</w:t>
      </w:r>
      <w:r w:rsidR="00590ED1" w:rsidRPr="004A29F9">
        <w:rPr>
          <w:rFonts w:ascii="Times New Roman" w:hAnsi="Times New Roman" w:cs="Times New Roman"/>
          <w:sz w:val="22"/>
          <w:szCs w:val="22"/>
          <w:lang w:val="en-GB"/>
        </w:rPr>
        <w:t xml:space="preserve">ee Council </w:t>
      </w:r>
      <w:r w:rsidR="00041E90" w:rsidRPr="004A29F9">
        <w:rPr>
          <w:rFonts w:ascii="Times New Roman" w:hAnsi="Times New Roman" w:cs="Times New Roman"/>
          <w:sz w:val="22"/>
          <w:szCs w:val="22"/>
          <w:lang w:val="en-GB"/>
        </w:rPr>
        <w:t>was able to ha</w:t>
      </w:r>
      <w:r>
        <w:rPr>
          <w:rFonts w:ascii="Times New Roman" w:hAnsi="Times New Roman" w:cs="Times New Roman"/>
          <w:sz w:val="22"/>
          <w:szCs w:val="22"/>
          <w:lang w:val="en-GB"/>
        </w:rPr>
        <w:t xml:space="preserve">ndle 1,100 such cases in 2010. </w:t>
      </w:r>
      <w:r w:rsidR="00041E90" w:rsidRPr="004A29F9">
        <w:rPr>
          <w:rFonts w:ascii="Times New Roman" w:hAnsi="Times New Roman" w:cs="Times New Roman"/>
          <w:sz w:val="22"/>
          <w:szCs w:val="22"/>
          <w:lang w:val="en-GB"/>
        </w:rPr>
        <w:t xml:space="preserve">This represented approximately 90% of cases involving land confiscation, leaving an estimated 10% of cases that were handled by private lawyers hired by individual citizens. </w:t>
      </w:r>
      <w:r w:rsidR="008A2090" w:rsidRPr="004A29F9">
        <w:rPr>
          <w:rFonts w:ascii="Times New Roman" w:hAnsi="Times New Roman" w:cs="Times New Roman"/>
          <w:sz w:val="22"/>
          <w:szCs w:val="22"/>
          <w:lang w:val="en-GB"/>
        </w:rPr>
        <w:t>The</w:t>
      </w:r>
      <w:r>
        <w:rPr>
          <w:rFonts w:ascii="Times New Roman" w:hAnsi="Times New Roman" w:cs="Times New Roman"/>
          <w:sz w:val="22"/>
          <w:szCs w:val="22"/>
          <w:lang w:val="en-GB"/>
        </w:rPr>
        <w:t xml:space="preserve"> lawyers were criticis</w:t>
      </w:r>
      <w:r w:rsidR="00413711" w:rsidRPr="004A29F9">
        <w:rPr>
          <w:rFonts w:ascii="Times New Roman" w:hAnsi="Times New Roman" w:cs="Times New Roman"/>
          <w:sz w:val="22"/>
          <w:szCs w:val="22"/>
          <w:lang w:val="en-GB"/>
        </w:rPr>
        <w:t xml:space="preserve">ed by beneficiaries, however, as for their unwillingness to challenge inflated charges and their tendency to </w:t>
      </w:r>
      <w:r>
        <w:rPr>
          <w:rFonts w:ascii="Times New Roman" w:hAnsi="Times New Roman" w:cs="Times New Roman"/>
          <w:sz w:val="22"/>
          <w:szCs w:val="22"/>
          <w:lang w:val="en-GB"/>
        </w:rPr>
        <w:t xml:space="preserve">over-utilise plea bargains. </w:t>
      </w:r>
      <w:r w:rsidR="0048525D" w:rsidRPr="004A29F9">
        <w:rPr>
          <w:rFonts w:ascii="Times New Roman" w:hAnsi="Times New Roman" w:cs="Times New Roman"/>
          <w:sz w:val="22"/>
          <w:szCs w:val="22"/>
          <w:lang w:val="en-GB"/>
        </w:rPr>
        <w:t>Furthermore, benefic</w:t>
      </w:r>
      <w:r>
        <w:rPr>
          <w:rFonts w:ascii="Times New Roman" w:hAnsi="Times New Roman" w:cs="Times New Roman"/>
          <w:sz w:val="22"/>
          <w:szCs w:val="22"/>
          <w:lang w:val="en-GB"/>
        </w:rPr>
        <w:t xml:space="preserve">iaries also noted a lack of </w:t>
      </w:r>
      <w:r w:rsidR="0048525D" w:rsidRPr="004A29F9">
        <w:rPr>
          <w:rFonts w:ascii="Times New Roman" w:hAnsi="Times New Roman" w:cs="Times New Roman"/>
          <w:sz w:val="22"/>
          <w:szCs w:val="22"/>
          <w:lang w:val="en-GB"/>
        </w:rPr>
        <w:t>political leaders</w:t>
      </w:r>
      <w:r>
        <w:rPr>
          <w:rFonts w:ascii="Times New Roman" w:hAnsi="Times New Roman" w:cs="Times New Roman"/>
          <w:sz w:val="22"/>
          <w:szCs w:val="22"/>
          <w:lang w:val="en-GB"/>
        </w:rPr>
        <w:t xml:space="preserve">hip </w:t>
      </w:r>
      <w:r w:rsidR="0048525D" w:rsidRPr="004A29F9">
        <w:rPr>
          <w:rFonts w:ascii="Times New Roman" w:hAnsi="Times New Roman" w:cs="Times New Roman"/>
          <w:sz w:val="22"/>
          <w:szCs w:val="22"/>
          <w:lang w:val="en-GB"/>
        </w:rPr>
        <w:t>on what plea bargains are appropriate and what are not.</w:t>
      </w:r>
      <w:r w:rsidR="0048525D" w:rsidRPr="004A29F9">
        <w:rPr>
          <w:rStyle w:val="FootnoteReference"/>
          <w:rFonts w:ascii="Times New Roman" w:hAnsi="Times New Roman" w:cs="Times New Roman"/>
          <w:sz w:val="22"/>
          <w:szCs w:val="22"/>
          <w:lang w:val="en-GB"/>
        </w:rPr>
        <w:footnoteReference w:id="107"/>
      </w:r>
    </w:p>
    <w:p w:rsidR="004E1049" w:rsidRDefault="004E1049" w:rsidP="00FB6759">
      <w:pPr>
        <w:spacing w:after="0" w:line="240" w:lineRule="auto"/>
        <w:jc w:val="both"/>
        <w:rPr>
          <w:rFonts w:ascii="Times New Roman" w:hAnsi="Times New Roman" w:cs="Times New Roman"/>
          <w:sz w:val="22"/>
          <w:szCs w:val="22"/>
          <w:lang w:val="en-GB"/>
        </w:rPr>
      </w:pPr>
    </w:p>
    <w:p w:rsidR="00041E90" w:rsidRPr="004A29F9" w:rsidRDefault="00041E90"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Prior to 2009, the PNA had attempted to challenge home demolitions, evictions and land confiscation in East Jerusalem via a</w:t>
      </w:r>
      <w:r w:rsidR="00647610">
        <w:rPr>
          <w:rFonts w:ascii="Times New Roman" w:hAnsi="Times New Roman" w:cs="Times New Roman"/>
          <w:sz w:val="22"/>
          <w:szCs w:val="22"/>
          <w:lang w:val="en-GB"/>
        </w:rPr>
        <w:t xml:space="preserve"> variety of NGOs and agencies. </w:t>
      </w:r>
      <w:r w:rsidRPr="004A29F9">
        <w:rPr>
          <w:rFonts w:ascii="Times New Roman" w:hAnsi="Times New Roman" w:cs="Times New Roman"/>
          <w:sz w:val="22"/>
          <w:szCs w:val="22"/>
          <w:lang w:val="en-GB"/>
        </w:rPr>
        <w:t xml:space="preserve">This assistance came to an end in 2009, but the situation continued to be addressed by the </w:t>
      </w:r>
      <w:r w:rsidR="00647610">
        <w:rPr>
          <w:rFonts w:ascii="Times New Roman" w:hAnsi="Times New Roman" w:cs="Times New Roman"/>
          <w:sz w:val="22"/>
          <w:szCs w:val="22"/>
          <w:lang w:val="en-GB"/>
        </w:rPr>
        <w:t xml:space="preserve">so-called </w:t>
      </w:r>
      <w:r w:rsidRPr="004A29F9">
        <w:rPr>
          <w:rFonts w:ascii="Times New Roman" w:hAnsi="Times New Roman" w:cs="Times New Roman"/>
          <w:sz w:val="22"/>
          <w:szCs w:val="22"/>
          <w:lang w:val="en-GB"/>
        </w:rPr>
        <w:t>Jerusalem Unit of the President’s Office, the PLO’s Governor of Jerusalem and the P</w:t>
      </w:r>
      <w:r w:rsidR="00647610">
        <w:rPr>
          <w:rFonts w:ascii="Times New Roman" w:hAnsi="Times New Roman" w:cs="Times New Roman"/>
          <w:sz w:val="22"/>
          <w:szCs w:val="22"/>
          <w:lang w:val="en-GB"/>
        </w:rPr>
        <w:t>N</w:t>
      </w:r>
      <w:r w:rsidRPr="004A29F9">
        <w:rPr>
          <w:rFonts w:ascii="Times New Roman" w:hAnsi="Times New Roman" w:cs="Times New Roman"/>
          <w:sz w:val="22"/>
          <w:szCs w:val="22"/>
          <w:lang w:val="en-GB"/>
        </w:rPr>
        <w:t>A’s M</w:t>
      </w:r>
      <w:r w:rsidR="00647610">
        <w:rPr>
          <w:rFonts w:ascii="Times New Roman" w:hAnsi="Times New Roman" w:cs="Times New Roman"/>
          <w:sz w:val="22"/>
          <w:szCs w:val="22"/>
          <w:lang w:val="en-GB"/>
        </w:rPr>
        <w:t xml:space="preserve">inistry of Jerusalem Affairs. </w:t>
      </w:r>
      <w:r w:rsidRPr="004A29F9">
        <w:rPr>
          <w:rFonts w:ascii="Times New Roman" w:hAnsi="Times New Roman" w:cs="Times New Roman"/>
          <w:sz w:val="22"/>
          <w:szCs w:val="22"/>
          <w:lang w:val="en-GB"/>
        </w:rPr>
        <w:t xml:space="preserve">In 2011, these </w:t>
      </w:r>
      <w:r w:rsidR="00647610">
        <w:rPr>
          <w:rFonts w:ascii="Times New Roman" w:hAnsi="Times New Roman" w:cs="Times New Roman"/>
          <w:sz w:val="22"/>
          <w:szCs w:val="22"/>
          <w:lang w:val="en-GB"/>
        </w:rPr>
        <w:t xml:space="preserve">actors were combined in the newly established </w:t>
      </w:r>
      <w:r w:rsidRPr="004A29F9">
        <w:rPr>
          <w:rFonts w:ascii="Times New Roman" w:hAnsi="Times New Roman" w:cs="Times New Roman"/>
          <w:sz w:val="22"/>
          <w:szCs w:val="22"/>
          <w:lang w:val="en-GB"/>
        </w:rPr>
        <w:t>Legal Affairs Unit wit</w:t>
      </w:r>
      <w:r w:rsidR="00647610">
        <w:rPr>
          <w:rFonts w:ascii="Times New Roman" w:hAnsi="Times New Roman" w:cs="Times New Roman"/>
          <w:sz w:val="22"/>
          <w:szCs w:val="22"/>
          <w:lang w:val="en-GB"/>
        </w:rPr>
        <w:t>hin the Prime Minister’s Office</w:t>
      </w:r>
      <w:r w:rsidRPr="004A29F9">
        <w:rPr>
          <w:rFonts w:ascii="Times New Roman" w:hAnsi="Times New Roman" w:cs="Times New Roman"/>
          <w:sz w:val="22"/>
          <w:szCs w:val="22"/>
          <w:lang w:val="en-GB"/>
        </w:rPr>
        <w:t xml:space="preserve"> and the Jerusalem Unit of the Presi</w:t>
      </w:r>
      <w:r w:rsidR="00647610">
        <w:rPr>
          <w:rFonts w:ascii="Times New Roman" w:hAnsi="Times New Roman" w:cs="Times New Roman"/>
          <w:sz w:val="22"/>
          <w:szCs w:val="22"/>
          <w:lang w:val="en-GB"/>
        </w:rPr>
        <w:t xml:space="preserve">dent’s Office was disbanded. </w:t>
      </w:r>
      <w:r w:rsidRPr="004A29F9">
        <w:rPr>
          <w:rFonts w:ascii="Times New Roman" w:hAnsi="Times New Roman" w:cs="Times New Roman"/>
          <w:sz w:val="22"/>
          <w:szCs w:val="22"/>
          <w:lang w:val="en-GB"/>
        </w:rPr>
        <w:t>Legal assistance is limited to protection of homes from demolition and preventing eviction of</w:t>
      </w:r>
      <w:r w:rsidR="00647610">
        <w:rPr>
          <w:rFonts w:ascii="Times New Roman" w:hAnsi="Times New Roman" w:cs="Times New Roman"/>
          <w:sz w:val="22"/>
          <w:szCs w:val="22"/>
          <w:lang w:val="en-GB"/>
        </w:rPr>
        <w:t xml:space="preserve"> Palestinians from their homes.</w:t>
      </w:r>
    </w:p>
    <w:p w:rsidR="004E1049" w:rsidRDefault="004E1049" w:rsidP="00FB6759">
      <w:pPr>
        <w:spacing w:after="0" w:line="240" w:lineRule="auto"/>
        <w:jc w:val="both"/>
        <w:rPr>
          <w:rFonts w:ascii="Times New Roman" w:hAnsi="Times New Roman" w:cs="Times New Roman"/>
          <w:sz w:val="22"/>
          <w:szCs w:val="22"/>
          <w:lang w:val="en-GB"/>
        </w:rPr>
      </w:pPr>
    </w:p>
    <w:p w:rsidR="00041E90" w:rsidRPr="004A29F9" w:rsidRDefault="00041E90"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For citizens </w:t>
      </w:r>
      <w:r w:rsidR="00F6291F" w:rsidRPr="004A29F9">
        <w:rPr>
          <w:rFonts w:ascii="Times New Roman" w:hAnsi="Times New Roman" w:cs="Times New Roman"/>
          <w:sz w:val="22"/>
          <w:szCs w:val="22"/>
          <w:lang w:val="en-GB"/>
        </w:rPr>
        <w:t xml:space="preserve">with criminal </w:t>
      </w:r>
      <w:r w:rsidR="00647610">
        <w:rPr>
          <w:rFonts w:ascii="Times New Roman" w:hAnsi="Times New Roman" w:cs="Times New Roman"/>
          <w:sz w:val="22"/>
          <w:szCs w:val="22"/>
          <w:lang w:val="en-GB"/>
        </w:rPr>
        <w:t>cases before the Palestinian c</w:t>
      </w:r>
      <w:r w:rsidRPr="004A29F9">
        <w:rPr>
          <w:rFonts w:ascii="Times New Roman" w:hAnsi="Times New Roman" w:cs="Times New Roman"/>
          <w:sz w:val="22"/>
          <w:szCs w:val="22"/>
          <w:lang w:val="en-GB"/>
        </w:rPr>
        <w:t>ourts, the Law on the Legal Profession No. 3 (1999)</w:t>
      </w:r>
      <w:r w:rsidRPr="004A29F9">
        <w:rPr>
          <w:rStyle w:val="FootnoteReference"/>
          <w:rFonts w:ascii="Times New Roman" w:hAnsi="Times New Roman" w:cs="Times New Roman"/>
          <w:sz w:val="22"/>
          <w:szCs w:val="22"/>
          <w:lang w:val="en-GB"/>
        </w:rPr>
        <w:footnoteReference w:id="108"/>
      </w:r>
      <w:r w:rsidRPr="004A29F9">
        <w:rPr>
          <w:rFonts w:ascii="Times New Roman" w:hAnsi="Times New Roman" w:cs="Times New Roman"/>
          <w:sz w:val="22"/>
          <w:szCs w:val="22"/>
          <w:lang w:val="en-GB"/>
        </w:rPr>
        <w:t xml:space="preserve"> sets forth a process whereby a defendant who cannot afford legal counsel makes a request to the judge for the</w:t>
      </w:r>
      <w:r w:rsidR="00647610">
        <w:rPr>
          <w:rFonts w:ascii="Times New Roman" w:hAnsi="Times New Roman" w:cs="Times New Roman"/>
          <w:sz w:val="22"/>
          <w:szCs w:val="22"/>
          <w:lang w:val="en-GB"/>
        </w:rPr>
        <w:t xml:space="preserve"> appointment of legal counsel. </w:t>
      </w:r>
      <w:r w:rsidRPr="004A29F9">
        <w:rPr>
          <w:rFonts w:ascii="Times New Roman" w:hAnsi="Times New Roman" w:cs="Times New Roman"/>
          <w:sz w:val="22"/>
          <w:szCs w:val="22"/>
          <w:lang w:val="en-GB"/>
        </w:rPr>
        <w:t>Upon certifying the defendant’s indigent status (which is done automatically in most cases) the judge refers the case to t</w:t>
      </w:r>
      <w:r w:rsidR="00647610">
        <w:rPr>
          <w:rFonts w:ascii="Times New Roman" w:hAnsi="Times New Roman" w:cs="Times New Roman"/>
          <w:sz w:val="22"/>
          <w:szCs w:val="22"/>
          <w:lang w:val="en-GB"/>
        </w:rPr>
        <w:t>he PBA</w:t>
      </w:r>
      <w:r w:rsidRPr="004A29F9">
        <w:rPr>
          <w:rFonts w:ascii="Times New Roman" w:hAnsi="Times New Roman" w:cs="Times New Roman"/>
          <w:sz w:val="22"/>
          <w:szCs w:val="22"/>
          <w:lang w:val="en-GB"/>
        </w:rPr>
        <w:t xml:space="preserve"> whereupon the Chairman of the PBA appoints a lawyer to repre</w:t>
      </w:r>
      <w:r w:rsidR="00647610">
        <w:rPr>
          <w:rFonts w:ascii="Times New Roman" w:hAnsi="Times New Roman" w:cs="Times New Roman"/>
          <w:sz w:val="22"/>
          <w:szCs w:val="22"/>
          <w:lang w:val="en-GB"/>
        </w:rPr>
        <w:t>sent the indigent defendant. According to the UNDP mapping s</w:t>
      </w:r>
      <w:r w:rsidRPr="004A29F9">
        <w:rPr>
          <w:rFonts w:ascii="Times New Roman" w:hAnsi="Times New Roman" w:cs="Times New Roman"/>
          <w:sz w:val="22"/>
          <w:szCs w:val="22"/>
          <w:lang w:val="en-GB"/>
        </w:rPr>
        <w:t>tudy, however, the PBA had managed to meet only a fraction of the total demand for s</w:t>
      </w:r>
      <w:r w:rsidR="00647610">
        <w:rPr>
          <w:rFonts w:ascii="Times New Roman" w:hAnsi="Times New Roman" w:cs="Times New Roman"/>
          <w:sz w:val="22"/>
          <w:szCs w:val="22"/>
          <w:lang w:val="en-GB"/>
        </w:rPr>
        <w:t xml:space="preserve">uch services as of 2009/2010. </w:t>
      </w:r>
      <w:r w:rsidRPr="004A29F9">
        <w:rPr>
          <w:rFonts w:ascii="Times New Roman" w:hAnsi="Times New Roman" w:cs="Times New Roman"/>
          <w:sz w:val="22"/>
          <w:szCs w:val="22"/>
          <w:lang w:val="en-GB"/>
        </w:rPr>
        <w:t>For example, there were an estimated 23,357 criminal cases in the West Bank in 2009 and an estimated 15,422 criminal cases in 2010. Yet</w:t>
      </w:r>
      <w:r w:rsidR="00647610">
        <w:rPr>
          <w:rFonts w:ascii="Times New Roman" w:hAnsi="Times New Roman" w:cs="Times New Roman"/>
          <w:sz w:val="22"/>
          <w:szCs w:val="22"/>
          <w:lang w:val="en-GB"/>
        </w:rPr>
        <w:t>,</w:t>
      </w:r>
      <w:r w:rsidRPr="004A29F9">
        <w:rPr>
          <w:rFonts w:ascii="Times New Roman" w:hAnsi="Times New Roman" w:cs="Times New Roman"/>
          <w:sz w:val="22"/>
          <w:szCs w:val="22"/>
          <w:lang w:val="en-GB"/>
        </w:rPr>
        <w:t xml:space="preserve"> the PBA funded lawyers in only 80 cases for both of these years combined (equivalent to a total of approximately US</w:t>
      </w:r>
      <w:r w:rsidR="00FC7AC0" w:rsidRPr="004A29F9">
        <w:rPr>
          <w:rFonts w:ascii="Times New Roman" w:hAnsi="Times New Roman" w:cs="Times New Roman"/>
          <w:sz w:val="22"/>
          <w:szCs w:val="22"/>
          <w:lang w:val="en-GB"/>
        </w:rPr>
        <w:t>$</w:t>
      </w:r>
      <w:r w:rsidRPr="004A29F9">
        <w:rPr>
          <w:rFonts w:ascii="Times New Roman" w:hAnsi="Times New Roman" w:cs="Times New Roman"/>
          <w:sz w:val="22"/>
          <w:szCs w:val="22"/>
          <w:lang w:val="en-GB"/>
        </w:rPr>
        <w:t xml:space="preserve"> 28,740).</w:t>
      </w:r>
      <w:r w:rsidRPr="004A29F9">
        <w:rPr>
          <w:rStyle w:val="FootnoteReference"/>
          <w:rFonts w:ascii="Times New Roman" w:hAnsi="Times New Roman" w:cs="Times New Roman"/>
          <w:sz w:val="22"/>
          <w:szCs w:val="22"/>
          <w:lang w:val="en-GB"/>
        </w:rPr>
        <w:footnoteReference w:id="109"/>
      </w:r>
    </w:p>
    <w:p w:rsidR="004E1049" w:rsidRDefault="004E1049" w:rsidP="00FB6759">
      <w:pPr>
        <w:spacing w:after="0" w:line="240" w:lineRule="auto"/>
        <w:jc w:val="both"/>
        <w:rPr>
          <w:rFonts w:ascii="Times New Roman" w:hAnsi="Times New Roman" w:cs="Times New Roman"/>
          <w:sz w:val="22"/>
          <w:szCs w:val="22"/>
          <w:lang w:val="en-GB"/>
        </w:rPr>
      </w:pPr>
    </w:p>
    <w:p w:rsidR="008A2090" w:rsidRPr="004A29F9" w:rsidRDefault="000C4D17"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 Independent Commission on Human Rights (ICHR) is a semi-governmental institution mostly funded by external donors to ensure that PNA institu</w:t>
      </w:r>
      <w:r w:rsidR="00647610">
        <w:rPr>
          <w:rFonts w:ascii="Times New Roman" w:hAnsi="Times New Roman" w:cs="Times New Roman"/>
          <w:sz w:val="22"/>
          <w:szCs w:val="22"/>
          <w:lang w:val="en-GB"/>
        </w:rPr>
        <w:t xml:space="preserve">tions safeguard human rights. </w:t>
      </w:r>
      <w:r w:rsidRPr="004A29F9">
        <w:rPr>
          <w:rFonts w:ascii="Times New Roman" w:hAnsi="Times New Roman" w:cs="Times New Roman"/>
          <w:sz w:val="22"/>
          <w:szCs w:val="22"/>
          <w:lang w:val="en-GB"/>
        </w:rPr>
        <w:t xml:space="preserve">ICHR monitors </w:t>
      </w:r>
      <w:r w:rsidR="00FC7AC0" w:rsidRPr="004A29F9">
        <w:rPr>
          <w:rFonts w:ascii="Times New Roman" w:hAnsi="Times New Roman" w:cs="Times New Roman"/>
          <w:sz w:val="22"/>
          <w:szCs w:val="22"/>
          <w:lang w:val="en-GB"/>
        </w:rPr>
        <w:t xml:space="preserve">the </w:t>
      </w:r>
      <w:r w:rsidRPr="004A29F9">
        <w:rPr>
          <w:rFonts w:ascii="Times New Roman" w:hAnsi="Times New Roman" w:cs="Times New Roman"/>
          <w:sz w:val="22"/>
          <w:szCs w:val="22"/>
          <w:lang w:val="en-GB"/>
        </w:rPr>
        <w:t>PNA and its security institutions and provides free legal assistance to persons whose human rights have been violated by these state institutions. ICHR is staffed by two lawyers who resolve the majority of complaints outside of the court system by lobbying government.</w:t>
      </w:r>
      <w:r w:rsidR="0035583A" w:rsidRPr="004A29F9">
        <w:rPr>
          <w:rFonts w:ascii="Times New Roman" w:hAnsi="Times New Roman" w:cs="Times New Roman"/>
          <w:sz w:val="22"/>
          <w:szCs w:val="22"/>
          <w:lang w:val="en-GB"/>
        </w:rPr>
        <w:t xml:space="preserve"> Such cases included arbitrary detention, non-execution of court judgments, denial of civil service jobs to Palestinians on security grounds, as well as challenges to the death penalty in Gaza and the use of Palestinian military courts to prosecute civilian</w:t>
      </w:r>
      <w:r w:rsidR="00647610">
        <w:rPr>
          <w:rFonts w:ascii="Times New Roman" w:hAnsi="Times New Roman" w:cs="Times New Roman"/>
          <w:sz w:val="22"/>
          <w:szCs w:val="22"/>
          <w:lang w:val="en-GB"/>
        </w:rPr>
        <w:t>s</w:t>
      </w:r>
      <w:r w:rsidR="0035583A" w:rsidRPr="004A29F9">
        <w:rPr>
          <w:rFonts w:ascii="Times New Roman" w:hAnsi="Times New Roman" w:cs="Times New Roman"/>
          <w:sz w:val="22"/>
          <w:szCs w:val="22"/>
          <w:lang w:val="en-GB"/>
        </w:rPr>
        <w:t>.</w:t>
      </w:r>
      <w:r w:rsidR="0035583A" w:rsidRPr="004A29F9">
        <w:rPr>
          <w:rStyle w:val="FootnoteReference"/>
          <w:rFonts w:ascii="Times New Roman" w:hAnsi="Times New Roman" w:cs="Times New Roman"/>
          <w:sz w:val="22"/>
          <w:szCs w:val="22"/>
          <w:lang w:val="en-GB"/>
        </w:rPr>
        <w:footnoteReference w:id="110"/>
      </w:r>
      <w:r w:rsidR="00117BC6" w:rsidRPr="004A29F9">
        <w:rPr>
          <w:rFonts w:ascii="Times New Roman" w:hAnsi="Times New Roman" w:cs="Times New Roman"/>
          <w:sz w:val="22"/>
          <w:szCs w:val="22"/>
          <w:lang w:val="en-GB"/>
        </w:rPr>
        <w:t xml:space="preserve">ICHR does not provide legal aid to cases between individuals or private institutions. </w:t>
      </w:r>
    </w:p>
    <w:p w:rsidR="004E1049" w:rsidRDefault="004E1049" w:rsidP="00FB6759">
      <w:pPr>
        <w:spacing w:after="0" w:line="240" w:lineRule="auto"/>
        <w:jc w:val="both"/>
        <w:rPr>
          <w:rFonts w:ascii="Times New Roman" w:hAnsi="Times New Roman" w:cs="Times New Roman"/>
          <w:sz w:val="22"/>
          <w:szCs w:val="22"/>
          <w:lang w:val="en-GB"/>
        </w:rPr>
      </w:pPr>
    </w:p>
    <w:p w:rsidR="008863B3" w:rsidRPr="004A29F9" w:rsidRDefault="00647610"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As further noted in the UNDP mapping s</w:t>
      </w:r>
      <w:r w:rsidR="008863B3" w:rsidRPr="004A29F9">
        <w:rPr>
          <w:rFonts w:ascii="Times New Roman" w:hAnsi="Times New Roman" w:cs="Times New Roman"/>
          <w:sz w:val="22"/>
          <w:szCs w:val="22"/>
          <w:lang w:val="en-GB"/>
        </w:rPr>
        <w:t>tudy, Palestinian law makes no provision for assistance of Palestinians seeking redress in Israeli courts, despite the fact that the majority of PNA legal assistance is directed towards cases before the Israeli legal system, rath</w:t>
      </w:r>
      <w:r>
        <w:rPr>
          <w:rFonts w:ascii="Times New Roman" w:hAnsi="Times New Roman" w:cs="Times New Roman"/>
          <w:sz w:val="22"/>
          <w:szCs w:val="22"/>
          <w:lang w:val="en-GB"/>
        </w:rPr>
        <w:t xml:space="preserve">er than the Palestinian one. </w:t>
      </w:r>
      <w:r w:rsidR="008863B3" w:rsidRPr="004A29F9">
        <w:rPr>
          <w:rFonts w:ascii="Times New Roman" w:hAnsi="Times New Roman" w:cs="Times New Roman"/>
          <w:sz w:val="22"/>
          <w:szCs w:val="22"/>
          <w:lang w:val="en-GB"/>
        </w:rPr>
        <w:t xml:space="preserve">“In the Israeli court system, the Office of the Public Defender provides legal assistance for accused persons appearing before Israeli civilian courts. However, there is no public defender system for defendants charged in the military courts. The military defender system only provides legal defence for soldiers charged with military </w:t>
      </w:r>
      <w:r w:rsidR="008863B3" w:rsidRPr="004A29F9">
        <w:rPr>
          <w:rFonts w:ascii="Times New Roman" w:hAnsi="Times New Roman" w:cs="Times New Roman"/>
          <w:sz w:val="22"/>
          <w:szCs w:val="22"/>
          <w:lang w:val="en-GB"/>
        </w:rPr>
        <w:lastRenderedPageBreak/>
        <w:t>offenses. Although some of the suspects and defendants are unrepresented, military judges only appoint private attorneys to serve as defence counsel in a small number of cases.”</w:t>
      </w:r>
      <w:r w:rsidR="008863B3" w:rsidRPr="004A29F9">
        <w:rPr>
          <w:rStyle w:val="FootnoteReference"/>
          <w:rFonts w:ascii="Times New Roman" w:hAnsi="Times New Roman" w:cs="Times New Roman"/>
          <w:sz w:val="22"/>
          <w:szCs w:val="22"/>
          <w:lang w:val="en-GB"/>
        </w:rPr>
        <w:footnoteReference w:id="111"/>
      </w:r>
    </w:p>
    <w:p w:rsidR="004E1049" w:rsidRDefault="004E1049" w:rsidP="00FB6759">
      <w:pPr>
        <w:spacing w:after="0" w:line="240" w:lineRule="auto"/>
        <w:jc w:val="both"/>
        <w:rPr>
          <w:rFonts w:ascii="Times New Roman" w:hAnsi="Times New Roman" w:cs="Times New Roman"/>
          <w:sz w:val="22"/>
          <w:szCs w:val="22"/>
          <w:lang w:val="en-GB"/>
        </w:rPr>
      </w:pPr>
    </w:p>
    <w:p w:rsidR="00DC33E6" w:rsidRPr="004A29F9" w:rsidRDefault="00041E90"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The situation for </w:t>
      </w:r>
      <w:r w:rsidR="00A96A8E">
        <w:rPr>
          <w:rFonts w:ascii="Times New Roman" w:hAnsi="Times New Roman" w:cs="Times New Roman"/>
          <w:sz w:val="22"/>
          <w:szCs w:val="22"/>
          <w:lang w:val="en-GB"/>
        </w:rPr>
        <w:t>private individuals -</w:t>
      </w:r>
      <w:r w:rsidR="00117BC6" w:rsidRPr="004A29F9">
        <w:rPr>
          <w:rFonts w:ascii="Times New Roman" w:hAnsi="Times New Roman" w:cs="Times New Roman"/>
          <w:sz w:val="22"/>
          <w:szCs w:val="22"/>
          <w:lang w:val="en-GB"/>
        </w:rPr>
        <w:t xml:space="preserve"> including </w:t>
      </w:r>
      <w:r w:rsidRPr="004A29F9">
        <w:rPr>
          <w:rFonts w:ascii="Times New Roman" w:hAnsi="Times New Roman" w:cs="Times New Roman"/>
          <w:sz w:val="22"/>
          <w:szCs w:val="22"/>
          <w:lang w:val="en-GB"/>
        </w:rPr>
        <w:t xml:space="preserve">vulnerable groups such as abused women, children and </w:t>
      </w:r>
      <w:r w:rsidR="0016666C" w:rsidRPr="004A29F9">
        <w:rPr>
          <w:rFonts w:ascii="Times New Roman" w:hAnsi="Times New Roman" w:cs="Times New Roman"/>
          <w:sz w:val="22"/>
          <w:szCs w:val="22"/>
          <w:lang w:val="en-GB"/>
        </w:rPr>
        <w:t>the poor in need of legal services and representation</w:t>
      </w:r>
      <w:r w:rsidR="00A96A8E">
        <w:rPr>
          <w:rFonts w:ascii="Times New Roman" w:hAnsi="Times New Roman" w:cs="Times New Roman"/>
          <w:sz w:val="22"/>
          <w:szCs w:val="22"/>
          <w:lang w:val="en-GB"/>
        </w:rPr>
        <w:t xml:space="preserve"> -</w:t>
      </w:r>
      <w:r w:rsidR="0016666C" w:rsidRPr="004A29F9">
        <w:rPr>
          <w:rFonts w:ascii="Times New Roman" w:hAnsi="Times New Roman" w:cs="Times New Roman"/>
          <w:sz w:val="22"/>
          <w:szCs w:val="22"/>
          <w:lang w:val="en-GB"/>
        </w:rPr>
        <w:t>was even more desperate as of 2009/2010. Such individuals were virtually left out of the PNA’s legal aid frameworks</w:t>
      </w:r>
      <w:r w:rsidR="006A1515" w:rsidRPr="004A29F9">
        <w:rPr>
          <w:rFonts w:ascii="Times New Roman" w:hAnsi="Times New Roman" w:cs="Times New Roman"/>
          <w:sz w:val="22"/>
          <w:szCs w:val="22"/>
          <w:lang w:val="en-GB"/>
        </w:rPr>
        <w:t xml:space="preserve"> altogether con</w:t>
      </w:r>
      <w:r w:rsidR="00A96A8E">
        <w:rPr>
          <w:rFonts w:ascii="Times New Roman" w:hAnsi="Times New Roman" w:cs="Times New Roman"/>
          <w:sz w:val="22"/>
          <w:szCs w:val="22"/>
          <w:lang w:val="en-GB"/>
        </w:rPr>
        <w:t xml:space="preserve">stituting thousands of persons. </w:t>
      </w:r>
      <w:r w:rsidR="00A30DBD" w:rsidRPr="004A29F9">
        <w:rPr>
          <w:rFonts w:ascii="Times New Roman" w:hAnsi="Times New Roman" w:cs="Times New Roman"/>
          <w:sz w:val="22"/>
          <w:szCs w:val="22"/>
          <w:lang w:val="en-GB"/>
        </w:rPr>
        <w:t>Poverty rates and low levels of legal awareness also co</w:t>
      </w:r>
      <w:r w:rsidR="00A96A8E">
        <w:rPr>
          <w:rFonts w:ascii="Times New Roman" w:hAnsi="Times New Roman" w:cs="Times New Roman"/>
          <w:sz w:val="22"/>
          <w:szCs w:val="22"/>
          <w:lang w:val="en-GB"/>
        </w:rPr>
        <w:t>ntribute to low levels of utilis</w:t>
      </w:r>
      <w:r w:rsidR="00A30DBD" w:rsidRPr="004A29F9">
        <w:rPr>
          <w:rFonts w:ascii="Times New Roman" w:hAnsi="Times New Roman" w:cs="Times New Roman"/>
          <w:sz w:val="22"/>
          <w:szCs w:val="22"/>
          <w:lang w:val="en-GB"/>
        </w:rPr>
        <w:t>ation of the justice s</w:t>
      </w:r>
      <w:r w:rsidR="00A96A8E">
        <w:rPr>
          <w:rFonts w:ascii="Times New Roman" w:hAnsi="Times New Roman" w:cs="Times New Roman"/>
          <w:sz w:val="22"/>
          <w:szCs w:val="22"/>
          <w:lang w:val="en-GB"/>
        </w:rPr>
        <w:t xml:space="preserve">ystem. </w:t>
      </w:r>
      <w:r w:rsidR="00A30DBD" w:rsidRPr="004A29F9">
        <w:rPr>
          <w:rFonts w:ascii="Times New Roman" w:hAnsi="Times New Roman" w:cs="Times New Roman"/>
          <w:sz w:val="22"/>
          <w:szCs w:val="22"/>
          <w:lang w:val="en-GB"/>
        </w:rPr>
        <w:t xml:space="preserve">Beyond this, many Palestinians still prefer to have their disputes settled by traditional </w:t>
      </w:r>
      <w:r w:rsidR="00B8748D" w:rsidRPr="004A29F9">
        <w:rPr>
          <w:rFonts w:ascii="Times New Roman" w:hAnsi="Times New Roman" w:cs="Times New Roman"/>
          <w:sz w:val="22"/>
          <w:szCs w:val="22"/>
          <w:lang w:val="en-GB"/>
        </w:rPr>
        <w:t xml:space="preserve">clan-based </w:t>
      </w:r>
      <w:r w:rsidR="00A30DBD" w:rsidRPr="004A29F9">
        <w:rPr>
          <w:rFonts w:ascii="Times New Roman" w:hAnsi="Times New Roman" w:cs="Times New Roman"/>
          <w:sz w:val="22"/>
          <w:szCs w:val="22"/>
          <w:lang w:val="en-GB"/>
        </w:rPr>
        <w:t>authorities, rather than seek redress in the formal justice system.</w:t>
      </w:r>
      <w:r w:rsidR="00A30DBD" w:rsidRPr="004A29F9">
        <w:rPr>
          <w:rStyle w:val="FootnoteReference"/>
          <w:rFonts w:ascii="Times New Roman" w:hAnsi="Times New Roman" w:cs="Times New Roman"/>
          <w:sz w:val="22"/>
          <w:szCs w:val="22"/>
          <w:lang w:val="en-GB"/>
        </w:rPr>
        <w:footnoteReference w:id="112"/>
      </w:r>
      <w:r w:rsidR="00B8748D" w:rsidRPr="004A29F9">
        <w:rPr>
          <w:rFonts w:ascii="Times New Roman" w:hAnsi="Times New Roman" w:cs="Times New Roman"/>
          <w:sz w:val="22"/>
          <w:szCs w:val="22"/>
          <w:lang w:val="en-GB"/>
        </w:rPr>
        <w:t>It is to these vulnerable individuals</w:t>
      </w:r>
      <w:r w:rsidR="00A96A8E">
        <w:rPr>
          <w:rFonts w:ascii="Times New Roman" w:hAnsi="Times New Roman" w:cs="Times New Roman"/>
          <w:sz w:val="22"/>
          <w:szCs w:val="22"/>
          <w:lang w:val="en-GB"/>
        </w:rPr>
        <w:t xml:space="preserve"> - </w:t>
      </w:r>
      <w:r w:rsidR="00B96F7A" w:rsidRPr="004A29F9">
        <w:rPr>
          <w:rFonts w:ascii="Times New Roman" w:hAnsi="Times New Roman" w:cs="Times New Roman"/>
          <w:sz w:val="22"/>
          <w:szCs w:val="22"/>
          <w:lang w:val="en-GB"/>
        </w:rPr>
        <w:t xml:space="preserve">largely forgotten by </w:t>
      </w:r>
      <w:r w:rsidR="007752E6" w:rsidRPr="004A29F9">
        <w:rPr>
          <w:rFonts w:ascii="Times New Roman" w:hAnsi="Times New Roman" w:cs="Times New Roman"/>
          <w:sz w:val="22"/>
          <w:szCs w:val="22"/>
          <w:lang w:val="en-GB"/>
        </w:rPr>
        <w:t xml:space="preserve">both Israel and </w:t>
      </w:r>
      <w:r w:rsidR="00B96F7A" w:rsidRPr="004A29F9">
        <w:rPr>
          <w:rFonts w:ascii="Times New Roman" w:hAnsi="Times New Roman" w:cs="Times New Roman"/>
          <w:sz w:val="22"/>
          <w:szCs w:val="22"/>
          <w:lang w:val="en-GB"/>
        </w:rPr>
        <w:t>the</w:t>
      </w:r>
      <w:r w:rsidR="00A96A8E">
        <w:rPr>
          <w:rFonts w:ascii="Times New Roman" w:hAnsi="Times New Roman" w:cs="Times New Roman"/>
          <w:sz w:val="22"/>
          <w:szCs w:val="22"/>
          <w:lang w:val="en-GB"/>
        </w:rPr>
        <w:t xml:space="preserve"> PNA - </w:t>
      </w:r>
      <w:r w:rsidR="00B8748D" w:rsidRPr="004A29F9">
        <w:rPr>
          <w:rFonts w:ascii="Times New Roman" w:hAnsi="Times New Roman" w:cs="Times New Roman"/>
          <w:sz w:val="22"/>
          <w:szCs w:val="22"/>
          <w:lang w:val="en-GB"/>
        </w:rPr>
        <w:t xml:space="preserve">that UNDP has directed the bulk of its </w:t>
      </w:r>
      <w:r w:rsidR="003E29C5" w:rsidRPr="004A29F9">
        <w:rPr>
          <w:rFonts w:ascii="Times New Roman" w:hAnsi="Times New Roman" w:cs="Times New Roman"/>
          <w:sz w:val="22"/>
          <w:szCs w:val="22"/>
          <w:lang w:val="en-GB"/>
        </w:rPr>
        <w:t xml:space="preserve">legal aid </w:t>
      </w:r>
      <w:r w:rsidR="00A96A8E">
        <w:rPr>
          <w:rFonts w:ascii="Times New Roman" w:hAnsi="Times New Roman" w:cs="Times New Roman"/>
          <w:sz w:val="22"/>
          <w:szCs w:val="22"/>
          <w:lang w:val="en-GB"/>
        </w:rPr>
        <w:t>and advocacy work</w:t>
      </w:r>
      <w:r w:rsidR="00B8748D" w:rsidRPr="004A29F9">
        <w:rPr>
          <w:rFonts w:ascii="Times New Roman" w:hAnsi="Times New Roman" w:cs="Times New Roman"/>
          <w:sz w:val="22"/>
          <w:szCs w:val="22"/>
          <w:lang w:val="en-GB"/>
        </w:rPr>
        <w:t>.</w:t>
      </w:r>
    </w:p>
    <w:p w:rsidR="00DC33E6" w:rsidRPr="004A29F9" w:rsidRDefault="00DC33E6" w:rsidP="00FB6759">
      <w:pPr>
        <w:spacing w:after="0" w:line="240" w:lineRule="auto"/>
        <w:jc w:val="both"/>
        <w:rPr>
          <w:rFonts w:ascii="Times New Roman" w:hAnsi="Times New Roman" w:cs="Times New Roman"/>
          <w:sz w:val="22"/>
          <w:szCs w:val="22"/>
          <w:lang w:val="en-GB"/>
        </w:rPr>
      </w:pPr>
    </w:p>
    <w:p w:rsidR="00DC33E6" w:rsidRPr="004A29F9" w:rsidRDefault="00B75508" w:rsidP="00FB6759">
      <w:pPr>
        <w:spacing w:after="0" w:line="240" w:lineRule="auto"/>
        <w:jc w:val="both"/>
        <w:rPr>
          <w:rFonts w:ascii="Times New Roman" w:hAnsi="Times New Roman" w:cs="Times New Roman"/>
          <w:i/>
          <w:sz w:val="22"/>
          <w:szCs w:val="22"/>
          <w:lang w:val="en-GB"/>
        </w:rPr>
      </w:pPr>
      <w:r w:rsidRPr="004A29F9">
        <w:rPr>
          <w:rFonts w:ascii="Times New Roman" w:hAnsi="Times New Roman" w:cs="Times New Roman"/>
          <w:i/>
          <w:sz w:val="22"/>
          <w:szCs w:val="22"/>
          <w:lang w:val="en-GB"/>
        </w:rPr>
        <w:t>Ci</w:t>
      </w:r>
      <w:r w:rsidR="004E1049">
        <w:rPr>
          <w:rFonts w:ascii="Times New Roman" w:hAnsi="Times New Roman" w:cs="Times New Roman"/>
          <w:i/>
          <w:sz w:val="22"/>
          <w:szCs w:val="22"/>
          <w:lang w:val="en-GB"/>
        </w:rPr>
        <w:t>vil Society Initiative</w:t>
      </w:r>
    </w:p>
    <w:p w:rsidR="004E1049" w:rsidRDefault="004E1049" w:rsidP="00FB6759">
      <w:pPr>
        <w:spacing w:after="0" w:line="240" w:lineRule="auto"/>
        <w:jc w:val="both"/>
        <w:rPr>
          <w:rFonts w:ascii="Times New Roman" w:hAnsi="Times New Roman" w:cs="Times New Roman"/>
          <w:sz w:val="22"/>
          <w:szCs w:val="22"/>
          <w:lang w:val="en-GB"/>
        </w:rPr>
      </w:pPr>
    </w:p>
    <w:p w:rsidR="00DC33E6" w:rsidRPr="004A29F9" w:rsidRDefault="00DC33E6"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Occupying the bulk of UNDP’s assistance </w:t>
      </w:r>
      <w:r w:rsidR="00A96A8E">
        <w:rPr>
          <w:rFonts w:ascii="Times New Roman" w:hAnsi="Times New Roman" w:cs="Times New Roman"/>
          <w:sz w:val="22"/>
          <w:szCs w:val="22"/>
          <w:lang w:val="en-GB"/>
        </w:rPr>
        <w:t>under Outcome</w:t>
      </w:r>
      <w:r w:rsidR="00B75508" w:rsidRPr="004A29F9">
        <w:rPr>
          <w:rFonts w:ascii="Times New Roman" w:hAnsi="Times New Roman" w:cs="Times New Roman"/>
          <w:sz w:val="22"/>
          <w:szCs w:val="22"/>
          <w:lang w:val="en-GB"/>
        </w:rPr>
        <w:t xml:space="preserve"> 2 </w:t>
      </w:r>
      <w:r w:rsidRPr="004A29F9">
        <w:rPr>
          <w:rFonts w:ascii="Times New Roman" w:hAnsi="Times New Roman" w:cs="Times New Roman"/>
          <w:sz w:val="22"/>
          <w:szCs w:val="22"/>
          <w:lang w:val="en-GB"/>
        </w:rPr>
        <w:t>was its Civil Society Init</w:t>
      </w:r>
      <w:r w:rsidR="00A96A8E">
        <w:rPr>
          <w:rFonts w:ascii="Times New Roman" w:hAnsi="Times New Roman" w:cs="Times New Roman"/>
          <w:sz w:val="22"/>
          <w:szCs w:val="22"/>
          <w:lang w:val="en-GB"/>
        </w:rPr>
        <w:t xml:space="preserve">iative launched in July of 2010.As part of the </w:t>
      </w:r>
      <w:r w:rsidRPr="004A29F9">
        <w:rPr>
          <w:rFonts w:ascii="Times New Roman" w:hAnsi="Times New Roman" w:cs="Times New Roman"/>
          <w:sz w:val="22"/>
          <w:szCs w:val="22"/>
          <w:lang w:val="en-GB"/>
        </w:rPr>
        <w:t>Civil Society Initiative</w:t>
      </w:r>
      <w:r w:rsidR="00A96A8E">
        <w:rPr>
          <w:rFonts w:ascii="Times New Roman" w:hAnsi="Times New Roman" w:cs="Times New Roman"/>
          <w:sz w:val="22"/>
          <w:szCs w:val="22"/>
          <w:lang w:val="en-GB"/>
        </w:rPr>
        <w:t>, UNDP</w:t>
      </w:r>
      <w:r w:rsidRPr="004A29F9">
        <w:rPr>
          <w:rFonts w:ascii="Times New Roman" w:hAnsi="Times New Roman" w:cs="Times New Roman"/>
          <w:sz w:val="22"/>
          <w:szCs w:val="22"/>
          <w:lang w:val="en-GB"/>
        </w:rPr>
        <w:t xml:space="preserve"> selected 42 CSO partners that re</w:t>
      </w:r>
      <w:r w:rsidR="00A96A8E">
        <w:rPr>
          <w:rFonts w:ascii="Times New Roman" w:hAnsi="Times New Roman" w:cs="Times New Roman"/>
          <w:sz w:val="22"/>
          <w:szCs w:val="22"/>
          <w:lang w:val="en-GB"/>
        </w:rPr>
        <w:t xml:space="preserve">ceived grants to perform </w:t>
      </w:r>
      <w:r w:rsidRPr="004A29F9">
        <w:rPr>
          <w:rFonts w:ascii="Times New Roman" w:hAnsi="Times New Roman" w:cs="Times New Roman"/>
          <w:sz w:val="22"/>
          <w:szCs w:val="22"/>
          <w:lang w:val="en-GB"/>
        </w:rPr>
        <w:t>legal aid</w:t>
      </w:r>
      <w:r w:rsidR="007A6AAE" w:rsidRPr="004A29F9">
        <w:rPr>
          <w:rFonts w:ascii="Times New Roman" w:hAnsi="Times New Roman" w:cs="Times New Roman"/>
          <w:sz w:val="22"/>
          <w:szCs w:val="22"/>
          <w:lang w:val="en-GB"/>
        </w:rPr>
        <w:t>,</w:t>
      </w:r>
      <w:r w:rsidRPr="004A29F9">
        <w:rPr>
          <w:rFonts w:ascii="Times New Roman" w:hAnsi="Times New Roman" w:cs="Times New Roman"/>
          <w:sz w:val="22"/>
          <w:szCs w:val="22"/>
          <w:lang w:val="en-GB"/>
        </w:rPr>
        <w:t xml:space="preserve"> advocacy</w:t>
      </w:r>
      <w:r w:rsidR="007A6AAE" w:rsidRPr="004A29F9">
        <w:rPr>
          <w:rFonts w:ascii="Times New Roman" w:hAnsi="Times New Roman" w:cs="Times New Roman"/>
          <w:sz w:val="22"/>
          <w:szCs w:val="22"/>
          <w:lang w:val="en-GB"/>
        </w:rPr>
        <w:t xml:space="preserve"> and monitoring of the justice system</w:t>
      </w:r>
      <w:r w:rsidR="00A96A8E">
        <w:rPr>
          <w:rFonts w:ascii="Times New Roman" w:hAnsi="Times New Roman" w:cs="Times New Roman"/>
          <w:sz w:val="22"/>
          <w:szCs w:val="22"/>
          <w:lang w:val="en-GB"/>
        </w:rPr>
        <w:t xml:space="preserve">. </w:t>
      </w:r>
      <w:r w:rsidRPr="004A29F9">
        <w:rPr>
          <w:rFonts w:ascii="Times New Roman" w:hAnsi="Times New Roman" w:cs="Times New Roman"/>
          <w:sz w:val="22"/>
          <w:szCs w:val="22"/>
          <w:lang w:val="en-GB"/>
        </w:rPr>
        <w:t xml:space="preserve">UNDP also established a roster of legal aid and advocacy partners. </w:t>
      </w:r>
      <w:r w:rsidR="007A6AAE" w:rsidRPr="004A29F9">
        <w:rPr>
          <w:rFonts w:ascii="Times New Roman" w:hAnsi="Times New Roman" w:cs="Times New Roman"/>
          <w:sz w:val="22"/>
          <w:szCs w:val="22"/>
          <w:lang w:val="en-GB"/>
        </w:rPr>
        <w:t xml:space="preserve">Agreements </w:t>
      </w:r>
      <w:r w:rsidRPr="004A29F9">
        <w:rPr>
          <w:rFonts w:ascii="Times New Roman" w:hAnsi="Times New Roman" w:cs="Times New Roman"/>
          <w:sz w:val="22"/>
          <w:szCs w:val="22"/>
          <w:lang w:val="en-GB"/>
        </w:rPr>
        <w:t xml:space="preserve">were ultimately entered into with </w:t>
      </w:r>
      <w:r w:rsidR="003809F2" w:rsidRPr="004A29F9">
        <w:rPr>
          <w:rFonts w:ascii="Times New Roman" w:hAnsi="Times New Roman" w:cs="Times New Roman"/>
          <w:sz w:val="22"/>
          <w:szCs w:val="22"/>
          <w:lang w:val="en-GB"/>
        </w:rPr>
        <w:t xml:space="preserve">many </w:t>
      </w:r>
      <w:r w:rsidR="00A96A8E">
        <w:rPr>
          <w:rFonts w:ascii="Times New Roman" w:hAnsi="Times New Roman" w:cs="Times New Roman"/>
          <w:sz w:val="22"/>
          <w:szCs w:val="22"/>
          <w:lang w:val="en-GB"/>
        </w:rPr>
        <w:t>of these organisations. Most of these organis</w:t>
      </w:r>
      <w:r w:rsidRPr="004A29F9">
        <w:rPr>
          <w:rFonts w:ascii="Times New Roman" w:hAnsi="Times New Roman" w:cs="Times New Roman"/>
          <w:sz w:val="22"/>
          <w:szCs w:val="22"/>
          <w:lang w:val="en-GB"/>
        </w:rPr>
        <w:t>ations provide legal aid to vulnerable communities and provide legal capacity building and training to key professional groups including lawyers, law students, media professionals, trade unions and pol</w:t>
      </w:r>
      <w:r w:rsidR="00A96A8E">
        <w:rPr>
          <w:rFonts w:ascii="Times New Roman" w:hAnsi="Times New Roman" w:cs="Times New Roman"/>
          <w:sz w:val="22"/>
          <w:szCs w:val="22"/>
          <w:lang w:val="en-GB"/>
        </w:rPr>
        <w:t xml:space="preserve">ice, among many others. </w:t>
      </w:r>
      <w:r w:rsidRPr="004A29F9">
        <w:rPr>
          <w:rFonts w:ascii="Times New Roman" w:hAnsi="Times New Roman" w:cs="Times New Roman"/>
          <w:sz w:val="22"/>
          <w:szCs w:val="22"/>
          <w:lang w:val="en-GB"/>
        </w:rPr>
        <w:t>UNDP also built upon its strategic re</w:t>
      </w:r>
      <w:r w:rsidR="00A96A8E">
        <w:rPr>
          <w:rFonts w:ascii="Times New Roman" w:hAnsi="Times New Roman" w:cs="Times New Roman"/>
          <w:sz w:val="22"/>
          <w:szCs w:val="22"/>
          <w:lang w:val="en-GB"/>
        </w:rPr>
        <w:t xml:space="preserve">lationship with the </w:t>
      </w:r>
      <w:r w:rsidRPr="004A29F9">
        <w:rPr>
          <w:rFonts w:ascii="Times New Roman" w:hAnsi="Times New Roman" w:cs="Times New Roman"/>
          <w:sz w:val="22"/>
          <w:szCs w:val="22"/>
          <w:lang w:val="en-GB"/>
        </w:rPr>
        <w:t xml:space="preserve">West Bank branch </w:t>
      </w:r>
      <w:r w:rsidR="00A96A8E">
        <w:rPr>
          <w:rFonts w:ascii="Times New Roman" w:hAnsi="Times New Roman" w:cs="Times New Roman"/>
          <w:sz w:val="22"/>
          <w:szCs w:val="22"/>
          <w:lang w:val="en-GB"/>
        </w:rPr>
        <w:t xml:space="preserve">of the PBA </w:t>
      </w:r>
      <w:r w:rsidRPr="004A29F9">
        <w:rPr>
          <w:rFonts w:ascii="Times New Roman" w:hAnsi="Times New Roman" w:cs="Times New Roman"/>
          <w:sz w:val="22"/>
          <w:szCs w:val="22"/>
          <w:lang w:val="en-GB"/>
        </w:rPr>
        <w:t xml:space="preserve">and </w:t>
      </w:r>
      <w:r w:rsidR="00F6291F" w:rsidRPr="004A29F9">
        <w:rPr>
          <w:rFonts w:ascii="Times New Roman" w:hAnsi="Times New Roman" w:cs="Times New Roman"/>
          <w:sz w:val="22"/>
          <w:szCs w:val="22"/>
          <w:lang w:val="en-GB"/>
        </w:rPr>
        <w:t xml:space="preserve">is </w:t>
      </w:r>
      <w:r w:rsidR="007A6AAE" w:rsidRPr="004A29F9">
        <w:rPr>
          <w:rFonts w:ascii="Times New Roman" w:hAnsi="Times New Roman" w:cs="Times New Roman"/>
          <w:sz w:val="22"/>
          <w:szCs w:val="22"/>
          <w:lang w:val="en-GB"/>
        </w:rPr>
        <w:t xml:space="preserve">in the process of negotiating an agreement with the PBA </w:t>
      </w:r>
      <w:r w:rsidR="00F6291F" w:rsidRPr="004A29F9">
        <w:rPr>
          <w:rFonts w:ascii="Times New Roman" w:hAnsi="Times New Roman" w:cs="Times New Roman"/>
          <w:sz w:val="22"/>
          <w:szCs w:val="22"/>
          <w:lang w:val="en-GB"/>
        </w:rPr>
        <w:t xml:space="preserve">to build its </w:t>
      </w:r>
      <w:r w:rsidRPr="004A29F9">
        <w:rPr>
          <w:rFonts w:ascii="Times New Roman" w:hAnsi="Times New Roman" w:cs="Times New Roman"/>
          <w:sz w:val="22"/>
          <w:szCs w:val="22"/>
          <w:lang w:val="en-GB"/>
        </w:rPr>
        <w:t>cap</w:t>
      </w:r>
      <w:r w:rsidR="00A96A8E">
        <w:rPr>
          <w:rFonts w:ascii="Times New Roman" w:hAnsi="Times New Roman" w:cs="Times New Roman"/>
          <w:sz w:val="22"/>
          <w:szCs w:val="22"/>
          <w:lang w:val="en-GB"/>
        </w:rPr>
        <w:t xml:space="preserve">acity to take a leadership role </w:t>
      </w:r>
      <w:r w:rsidRPr="004A29F9">
        <w:rPr>
          <w:rFonts w:ascii="Times New Roman" w:hAnsi="Times New Roman" w:cs="Times New Roman"/>
          <w:sz w:val="22"/>
          <w:szCs w:val="22"/>
          <w:lang w:val="en-GB"/>
        </w:rPr>
        <w:t xml:space="preserve">in establishing a legal aid network inclusive </w:t>
      </w:r>
      <w:r w:rsidR="00A96A8E">
        <w:rPr>
          <w:rFonts w:ascii="Times New Roman" w:hAnsi="Times New Roman" w:cs="Times New Roman"/>
          <w:sz w:val="22"/>
          <w:szCs w:val="22"/>
          <w:lang w:val="en-GB"/>
        </w:rPr>
        <w:t>of NGO legal aid providers and u</w:t>
      </w:r>
      <w:r w:rsidRPr="004A29F9">
        <w:rPr>
          <w:rFonts w:ascii="Times New Roman" w:hAnsi="Times New Roman" w:cs="Times New Roman"/>
          <w:sz w:val="22"/>
          <w:szCs w:val="22"/>
          <w:lang w:val="en-GB"/>
        </w:rPr>
        <w:t>niversity</w:t>
      </w:r>
      <w:r w:rsidR="00A96A8E">
        <w:rPr>
          <w:rFonts w:ascii="Times New Roman" w:hAnsi="Times New Roman" w:cs="Times New Roman"/>
          <w:sz w:val="22"/>
          <w:szCs w:val="22"/>
          <w:lang w:val="en-GB"/>
        </w:rPr>
        <w:t>-based legal aid</w:t>
      </w:r>
      <w:r w:rsidRPr="004A29F9">
        <w:rPr>
          <w:rFonts w:ascii="Times New Roman" w:hAnsi="Times New Roman" w:cs="Times New Roman"/>
          <w:sz w:val="22"/>
          <w:szCs w:val="22"/>
          <w:lang w:val="en-GB"/>
        </w:rPr>
        <w:t xml:space="preserve"> clinics.</w:t>
      </w:r>
      <w:r w:rsidRPr="004A29F9">
        <w:rPr>
          <w:rStyle w:val="FootnoteReference"/>
          <w:rFonts w:ascii="Times New Roman" w:hAnsi="Times New Roman" w:cs="Times New Roman"/>
          <w:sz w:val="22"/>
          <w:szCs w:val="22"/>
          <w:lang w:val="en-GB"/>
        </w:rPr>
        <w:footnoteReference w:id="113"/>
      </w:r>
      <w:r w:rsidR="00A96A8E">
        <w:rPr>
          <w:rFonts w:ascii="Times New Roman" w:hAnsi="Times New Roman" w:cs="Times New Roman"/>
          <w:sz w:val="22"/>
          <w:szCs w:val="22"/>
          <w:lang w:val="en-GB"/>
        </w:rPr>
        <w:t xml:space="preserve"> A chart prepared by UNDP at the request of the evaluation listing each of the 42 CSOs </w:t>
      </w:r>
      <w:r w:rsidRPr="004A29F9">
        <w:rPr>
          <w:rFonts w:ascii="Times New Roman" w:hAnsi="Times New Roman" w:cs="Times New Roman"/>
          <w:sz w:val="22"/>
          <w:szCs w:val="22"/>
          <w:lang w:val="en-GB"/>
        </w:rPr>
        <w:t>that</w:t>
      </w:r>
      <w:r w:rsidR="00A96A8E">
        <w:rPr>
          <w:rFonts w:ascii="Times New Roman" w:hAnsi="Times New Roman" w:cs="Times New Roman"/>
          <w:sz w:val="22"/>
          <w:szCs w:val="22"/>
          <w:lang w:val="en-GB"/>
        </w:rPr>
        <w:t xml:space="preserve"> received grants under </w:t>
      </w:r>
      <w:r w:rsidR="003E0754">
        <w:rPr>
          <w:rFonts w:ascii="Times New Roman" w:hAnsi="Times New Roman" w:cs="Times New Roman"/>
          <w:sz w:val="22"/>
          <w:szCs w:val="22"/>
          <w:lang w:val="en-GB"/>
        </w:rPr>
        <w:t xml:space="preserve">the </w:t>
      </w:r>
      <w:r w:rsidR="00A96A8E">
        <w:rPr>
          <w:rFonts w:ascii="Times New Roman" w:hAnsi="Times New Roman" w:cs="Times New Roman"/>
          <w:sz w:val="22"/>
          <w:szCs w:val="22"/>
          <w:lang w:val="en-GB"/>
        </w:rPr>
        <w:t xml:space="preserve">CSI is annexed to this report; the charts also includes </w:t>
      </w:r>
      <w:r w:rsidRPr="004A29F9">
        <w:rPr>
          <w:rFonts w:ascii="Times New Roman" w:hAnsi="Times New Roman" w:cs="Times New Roman"/>
          <w:sz w:val="22"/>
          <w:szCs w:val="22"/>
          <w:lang w:val="en-GB"/>
        </w:rPr>
        <w:t>the outputs that e</w:t>
      </w:r>
      <w:r w:rsidR="00A96A8E">
        <w:rPr>
          <w:rFonts w:ascii="Times New Roman" w:hAnsi="Times New Roman" w:cs="Times New Roman"/>
          <w:sz w:val="22"/>
          <w:szCs w:val="22"/>
          <w:lang w:val="en-GB"/>
        </w:rPr>
        <w:t>ach CSO committed to in their MOU with UNDP.</w:t>
      </w:r>
    </w:p>
    <w:p w:rsidR="004E1049" w:rsidRDefault="004E1049" w:rsidP="00FB6759">
      <w:pPr>
        <w:spacing w:after="0" w:line="240" w:lineRule="auto"/>
        <w:jc w:val="both"/>
        <w:rPr>
          <w:rFonts w:ascii="Times New Roman" w:hAnsi="Times New Roman" w:cs="Times New Roman"/>
          <w:sz w:val="22"/>
          <w:szCs w:val="22"/>
          <w:lang w:val="en-GB"/>
        </w:rPr>
      </w:pPr>
    </w:p>
    <w:p w:rsidR="00DC33E6" w:rsidRPr="004A29F9" w:rsidRDefault="00DC33E6"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 sheer number of the CSO</w:t>
      </w:r>
      <w:r w:rsidR="00B75508" w:rsidRPr="004A29F9">
        <w:rPr>
          <w:rFonts w:ascii="Times New Roman" w:hAnsi="Times New Roman" w:cs="Times New Roman"/>
          <w:sz w:val="22"/>
          <w:szCs w:val="22"/>
          <w:lang w:val="en-GB"/>
        </w:rPr>
        <w:t xml:space="preserve">s and the variety </w:t>
      </w:r>
      <w:r w:rsidRPr="004A29F9">
        <w:rPr>
          <w:rFonts w:ascii="Times New Roman" w:hAnsi="Times New Roman" w:cs="Times New Roman"/>
          <w:sz w:val="22"/>
          <w:szCs w:val="22"/>
          <w:lang w:val="en-GB"/>
        </w:rPr>
        <w:t xml:space="preserve">of </w:t>
      </w:r>
      <w:r w:rsidR="00B75508" w:rsidRPr="004A29F9">
        <w:rPr>
          <w:rFonts w:ascii="Times New Roman" w:hAnsi="Times New Roman" w:cs="Times New Roman"/>
          <w:sz w:val="22"/>
          <w:szCs w:val="22"/>
          <w:lang w:val="en-GB"/>
        </w:rPr>
        <w:t>outputs listed for each of them</w:t>
      </w:r>
      <w:r w:rsidR="003E0754">
        <w:rPr>
          <w:rFonts w:ascii="Times New Roman" w:hAnsi="Times New Roman" w:cs="Times New Roman"/>
          <w:sz w:val="22"/>
          <w:szCs w:val="22"/>
          <w:lang w:val="en-GB"/>
        </w:rPr>
        <w:t xml:space="preserve"> presented a challenge for the e</w:t>
      </w:r>
      <w:r w:rsidRPr="004A29F9">
        <w:rPr>
          <w:rFonts w:ascii="Times New Roman" w:hAnsi="Times New Roman" w:cs="Times New Roman"/>
          <w:sz w:val="22"/>
          <w:szCs w:val="22"/>
          <w:lang w:val="en-GB"/>
        </w:rPr>
        <w:t>valuation. It was beyond the capacity of t</w:t>
      </w:r>
      <w:r w:rsidR="003E0754">
        <w:rPr>
          <w:rFonts w:ascii="Times New Roman" w:hAnsi="Times New Roman" w:cs="Times New Roman"/>
          <w:sz w:val="22"/>
          <w:szCs w:val="22"/>
          <w:lang w:val="en-GB"/>
        </w:rPr>
        <w:t>he e</w:t>
      </w:r>
      <w:r w:rsidRPr="004A29F9">
        <w:rPr>
          <w:rFonts w:ascii="Times New Roman" w:hAnsi="Times New Roman" w:cs="Times New Roman"/>
          <w:sz w:val="22"/>
          <w:szCs w:val="22"/>
          <w:lang w:val="en-GB"/>
        </w:rPr>
        <w:t>valuat</w:t>
      </w:r>
      <w:r w:rsidR="003E0754">
        <w:rPr>
          <w:rFonts w:ascii="Times New Roman" w:hAnsi="Times New Roman" w:cs="Times New Roman"/>
          <w:sz w:val="22"/>
          <w:szCs w:val="22"/>
          <w:lang w:val="en-GB"/>
        </w:rPr>
        <w:t>ion to interview all 42</w:t>
      </w:r>
      <w:r w:rsidRPr="004A29F9">
        <w:rPr>
          <w:rFonts w:ascii="Times New Roman" w:hAnsi="Times New Roman" w:cs="Times New Roman"/>
          <w:sz w:val="22"/>
          <w:szCs w:val="22"/>
          <w:lang w:val="en-GB"/>
        </w:rPr>
        <w:t xml:space="preserve"> CSOs t</w:t>
      </w:r>
      <w:r w:rsidR="003E0754">
        <w:rPr>
          <w:rFonts w:ascii="Times New Roman" w:hAnsi="Times New Roman" w:cs="Times New Roman"/>
          <w:sz w:val="22"/>
          <w:szCs w:val="22"/>
          <w:lang w:val="en-GB"/>
        </w:rPr>
        <w:t>hat received grants. Thus, the e</w:t>
      </w:r>
      <w:r w:rsidRPr="004A29F9">
        <w:rPr>
          <w:rFonts w:ascii="Times New Roman" w:hAnsi="Times New Roman" w:cs="Times New Roman"/>
          <w:sz w:val="22"/>
          <w:szCs w:val="22"/>
          <w:lang w:val="en-GB"/>
        </w:rPr>
        <w:t>valuation with the assistance of UNDP selected a sample of the grant recipi</w:t>
      </w:r>
      <w:r w:rsidR="003E0754">
        <w:rPr>
          <w:rFonts w:ascii="Times New Roman" w:hAnsi="Times New Roman" w:cs="Times New Roman"/>
          <w:sz w:val="22"/>
          <w:szCs w:val="22"/>
          <w:lang w:val="en-GB"/>
        </w:rPr>
        <w:t xml:space="preserve">ents including both </w:t>
      </w:r>
      <w:r w:rsidRPr="004A29F9">
        <w:rPr>
          <w:rFonts w:ascii="Times New Roman" w:hAnsi="Times New Roman" w:cs="Times New Roman"/>
          <w:sz w:val="22"/>
          <w:szCs w:val="22"/>
          <w:lang w:val="en-GB"/>
        </w:rPr>
        <w:t xml:space="preserve">Palestinian </w:t>
      </w:r>
      <w:r w:rsidR="003E0754">
        <w:rPr>
          <w:rFonts w:ascii="Times New Roman" w:hAnsi="Times New Roman" w:cs="Times New Roman"/>
          <w:sz w:val="22"/>
          <w:szCs w:val="22"/>
          <w:lang w:val="en-GB"/>
        </w:rPr>
        <w:t xml:space="preserve">and Israeli </w:t>
      </w:r>
      <w:r w:rsidRPr="004A29F9">
        <w:rPr>
          <w:rFonts w:ascii="Times New Roman" w:hAnsi="Times New Roman" w:cs="Times New Roman"/>
          <w:sz w:val="22"/>
          <w:szCs w:val="22"/>
          <w:lang w:val="en-GB"/>
        </w:rPr>
        <w:t xml:space="preserve">CSOs and INGOs that had delivered legal assistance, conducted awareness-raising activities and developed publications or a combination of all three of these areas. These included </w:t>
      </w:r>
      <w:r w:rsidR="003B262C" w:rsidRPr="004A29F9">
        <w:rPr>
          <w:rFonts w:ascii="Times New Roman" w:hAnsi="Times New Roman" w:cs="Times New Roman"/>
          <w:sz w:val="22"/>
          <w:szCs w:val="22"/>
          <w:lang w:val="en-GB"/>
        </w:rPr>
        <w:t xml:space="preserve">high capacity organisations eligible for </w:t>
      </w:r>
      <w:r w:rsidRPr="004A29F9">
        <w:rPr>
          <w:rFonts w:ascii="Times New Roman" w:hAnsi="Times New Roman" w:cs="Times New Roman"/>
          <w:sz w:val="22"/>
          <w:szCs w:val="22"/>
          <w:lang w:val="en-GB"/>
        </w:rPr>
        <w:t xml:space="preserve">large grants in the range of </w:t>
      </w:r>
      <w:r w:rsidR="009663C6">
        <w:rPr>
          <w:rFonts w:ascii="Times New Roman" w:hAnsi="Times New Roman" w:cs="Times New Roman"/>
          <w:sz w:val="22"/>
          <w:szCs w:val="22"/>
          <w:lang w:val="en-GB"/>
        </w:rPr>
        <w:t>US</w:t>
      </w:r>
      <w:r w:rsidRPr="004A29F9">
        <w:rPr>
          <w:rFonts w:ascii="Times New Roman" w:hAnsi="Times New Roman" w:cs="Times New Roman"/>
          <w:sz w:val="22"/>
          <w:szCs w:val="22"/>
          <w:lang w:val="en-GB"/>
        </w:rPr>
        <w:t>$</w:t>
      </w:r>
      <w:r w:rsidR="003B262C" w:rsidRPr="004A29F9">
        <w:rPr>
          <w:rFonts w:ascii="Times New Roman" w:hAnsi="Times New Roman" w:cs="Times New Roman"/>
          <w:sz w:val="22"/>
          <w:szCs w:val="22"/>
          <w:lang w:val="en-GB"/>
        </w:rPr>
        <w:t>2</w:t>
      </w:r>
      <w:r w:rsidRPr="004A29F9">
        <w:rPr>
          <w:rFonts w:ascii="Times New Roman" w:hAnsi="Times New Roman" w:cs="Times New Roman"/>
          <w:sz w:val="22"/>
          <w:szCs w:val="22"/>
          <w:lang w:val="en-GB"/>
        </w:rPr>
        <w:t>00K</w:t>
      </w:r>
      <w:r w:rsidR="003B262C" w:rsidRPr="004A29F9">
        <w:rPr>
          <w:rFonts w:ascii="Times New Roman" w:hAnsi="Times New Roman" w:cs="Times New Roman"/>
          <w:sz w:val="22"/>
          <w:szCs w:val="22"/>
          <w:lang w:val="en-GB"/>
        </w:rPr>
        <w:t xml:space="preserve"> annually</w:t>
      </w:r>
      <w:r w:rsidRPr="004A29F9">
        <w:rPr>
          <w:rFonts w:ascii="Times New Roman" w:hAnsi="Times New Roman" w:cs="Times New Roman"/>
          <w:sz w:val="22"/>
          <w:szCs w:val="22"/>
          <w:lang w:val="en-GB"/>
        </w:rPr>
        <w:t xml:space="preserve">, </w:t>
      </w:r>
      <w:r w:rsidR="009663C6">
        <w:rPr>
          <w:rFonts w:ascii="Times New Roman" w:hAnsi="Times New Roman" w:cs="Times New Roman"/>
          <w:sz w:val="22"/>
          <w:szCs w:val="22"/>
          <w:lang w:val="en-GB"/>
        </w:rPr>
        <w:t>moderate capacity CSOs</w:t>
      </w:r>
      <w:r w:rsidR="003B262C" w:rsidRPr="004A29F9">
        <w:rPr>
          <w:rFonts w:ascii="Times New Roman" w:hAnsi="Times New Roman" w:cs="Times New Roman"/>
          <w:sz w:val="22"/>
          <w:szCs w:val="22"/>
          <w:lang w:val="en-GB"/>
        </w:rPr>
        <w:t xml:space="preserve"> eligible for </w:t>
      </w:r>
      <w:r w:rsidRPr="004A29F9">
        <w:rPr>
          <w:rFonts w:ascii="Times New Roman" w:hAnsi="Times New Roman" w:cs="Times New Roman"/>
          <w:sz w:val="22"/>
          <w:szCs w:val="22"/>
          <w:lang w:val="en-GB"/>
        </w:rPr>
        <w:t xml:space="preserve">medium sized grants of </w:t>
      </w:r>
      <w:r w:rsidR="009663C6">
        <w:rPr>
          <w:rFonts w:ascii="Times New Roman" w:hAnsi="Times New Roman" w:cs="Times New Roman"/>
          <w:sz w:val="22"/>
          <w:szCs w:val="22"/>
          <w:lang w:val="en-GB"/>
        </w:rPr>
        <w:t>US</w:t>
      </w:r>
      <w:r w:rsidRPr="004A29F9">
        <w:rPr>
          <w:rFonts w:ascii="Times New Roman" w:hAnsi="Times New Roman" w:cs="Times New Roman"/>
          <w:sz w:val="22"/>
          <w:szCs w:val="22"/>
          <w:lang w:val="en-GB"/>
        </w:rPr>
        <w:t>$</w:t>
      </w:r>
      <w:r w:rsidR="003B262C" w:rsidRPr="004A29F9">
        <w:rPr>
          <w:rFonts w:ascii="Times New Roman" w:hAnsi="Times New Roman" w:cs="Times New Roman"/>
          <w:sz w:val="22"/>
          <w:szCs w:val="22"/>
          <w:lang w:val="en-GB"/>
        </w:rPr>
        <w:t>10</w:t>
      </w:r>
      <w:r w:rsidRPr="004A29F9">
        <w:rPr>
          <w:rFonts w:ascii="Times New Roman" w:hAnsi="Times New Roman" w:cs="Times New Roman"/>
          <w:sz w:val="22"/>
          <w:szCs w:val="22"/>
          <w:lang w:val="en-GB"/>
        </w:rPr>
        <w:t>0K</w:t>
      </w:r>
      <w:r w:rsidR="003B262C" w:rsidRPr="004A29F9">
        <w:rPr>
          <w:rFonts w:ascii="Times New Roman" w:hAnsi="Times New Roman" w:cs="Times New Roman"/>
          <w:sz w:val="22"/>
          <w:szCs w:val="22"/>
          <w:lang w:val="en-GB"/>
        </w:rPr>
        <w:t xml:space="preserve"> annually</w:t>
      </w:r>
      <w:r w:rsidRPr="004A29F9">
        <w:rPr>
          <w:rFonts w:ascii="Times New Roman" w:hAnsi="Times New Roman" w:cs="Times New Roman"/>
          <w:sz w:val="22"/>
          <w:szCs w:val="22"/>
          <w:lang w:val="en-GB"/>
        </w:rPr>
        <w:t xml:space="preserve"> and </w:t>
      </w:r>
      <w:r w:rsidR="003B262C" w:rsidRPr="004A29F9">
        <w:rPr>
          <w:rFonts w:ascii="Times New Roman" w:hAnsi="Times New Roman" w:cs="Times New Roman"/>
          <w:sz w:val="22"/>
          <w:szCs w:val="22"/>
          <w:lang w:val="en-GB"/>
        </w:rPr>
        <w:t xml:space="preserve">CSOs with more limited </w:t>
      </w:r>
      <w:r w:rsidR="009663C6">
        <w:rPr>
          <w:rFonts w:ascii="Times New Roman" w:hAnsi="Times New Roman" w:cs="Times New Roman"/>
          <w:sz w:val="22"/>
          <w:szCs w:val="22"/>
          <w:lang w:val="en-GB"/>
        </w:rPr>
        <w:t>capacity eligible for up to US$ 50K</w:t>
      </w:r>
      <w:r w:rsidR="003B262C" w:rsidRPr="004A29F9">
        <w:rPr>
          <w:rFonts w:ascii="Times New Roman" w:hAnsi="Times New Roman" w:cs="Times New Roman"/>
          <w:sz w:val="22"/>
          <w:szCs w:val="22"/>
          <w:lang w:val="en-GB"/>
        </w:rPr>
        <w:t xml:space="preserve"> per year.</w:t>
      </w:r>
    </w:p>
    <w:p w:rsidR="004E1049" w:rsidRDefault="004E1049" w:rsidP="00FB6759">
      <w:pPr>
        <w:spacing w:after="0" w:line="240" w:lineRule="auto"/>
        <w:jc w:val="both"/>
        <w:rPr>
          <w:rFonts w:ascii="Times New Roman" w:hAnsi="Times New Roman" w:cs="Times New Roman"/>
          <w:sz w:val="22"/>
          <w:szCs w:val="22"/>
          <w:lang w:val="en-GB"/>
        </w:rPr>
      </w:pPr>
    </w:p>
    <w:p w:rsidR="00BC16F2" w:rsidRPr="004A29F9" w:rsidRDefault="00BC16F2"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According to UNDP</w:t>
      </w:r>
      <w:r w:rsidR="009663C6">
        <w:rPr>
          <w:rFonts w:ascii="Times New Roman" w:hAnsi="Times New Roman" w:cs="Times New Roman"/>
          <w:sz w:val="22"/>
          <w:szCs w:val="22"/>
          <w:lang w:val="en-GB"/>
        </w:rPr>
        <w:t>,</w:t>
      </w:r>
      <w:r w:rsidRPr="004A29F9">
        <w:rPr>
          <w:rFonts w:ascii="Times New Roman" w:hAnsi="Times New Roman" w:cs="Times New Roman"/>
          <w:sz w:val="22"/>
          <w:szCs w:val="22"/>
          <w:lang w:val="en-GB"/>
        </w:rPr>
        <w:t xml:space="preserve"> its process of awarding grants was indeed strateg</w:t>
      </w:r>
      <w:r w:rsidR="009663C6">
        <w:rPr>
          <w:rFonts w:ascii="Times New Roman" w:hAnsi="Times New Roman" w:cs="Times New Roman"/>
          <w:sz w:val="22"/>
          <w:szCs w:val="22"/>
          <w:lang w:val="en-GB"/>
        </w:rPr>
        <w:t>ic and designed to support the o</w:t>
      </w:r>
      <w:r w:rsidRPr="004A29F9">
        <w:rPr>
          <w:rFonts w:ascii="Times New Roman" w:hAnsi="Times New Roman" w:cs="Times New Roman"/>
          <w:sz w:val="22"/>
          <w:szCs w:val="22"/>
          <w:lang w:val="en-GB"/>
        </w:rPr>
        <w:t>utc</w:t>
      </w:r>
      <w:r w:rsidR="009663C6">
        <w:rPr>
          <w:rFonts w:ascii="Times New Roman" w:hAnsi="Times New Roman" w:cs="Times New Roman"/>
          <w:sz w:val="22"/>
          <w:szCs w:val="22"/>
          <w:lang w:val="en-GB"/>
        </w:rPr>
        <w:t>omes of UNDP/PAPP’s Rule of Law &amp;</w:t>
      </w:r>
      <w:r w:rsidRPr="004A29F9">
        <w:rPr>
          <w:rFonts w:ascii="Times New Roman" w:hAnsi="Times New Roman" w:cs="Times New Roman"/>
          <w:sz w:val="22"/>
          <w:szCs w:val="22"/>
          <w:lang w:val="en-GB"/>
        </w:rPr>
        <w:t xml:space="preserve"> Acce</w:t>
      </w:r>
      <w:r w:rsidR="009663C6">
        <w:rPr>
          <w:rFonts w:ascii="Times New Roman" w:hAnsi="Times New Roman" w:cs="Times New Roman"/>
          <w:sz w:val="22"/>
          <w:szCs w:val="22"/>
          <w:lang w:val="en-GB"/>
        </w:rPr>
        <w:t>ss to Justice Programme. UNDP informed the e</w:t>
      </w:r>
      <w:r w:rsidRPr="004A29F9">
        <w:rPr>
          <w:rFonts w:ascii="Times New Roman" w:hAnsi="Times New Roman" w:cs="Times New Roman"/>
          <w:sz w:val="22"/>
          <w:szCs w:val="22"/>
          <w:lang w:val="en-GB"/>
        </w:rPr>
        <w:t>valuation that it met with all the grant recipients at the outse</w:t>
      </w:r>
      <w:r w:rsidR="009663C6">
        <w:rPr>
          <w:rFonts w:ascii="Times New Roman" w:hAnsi="Times New Roman" w:cs="Times New Roman"/>
          <w:sz w:val="22"/>
          <w:szCs w:val="22"/>
          <w:lang w:val="en-GB"/>
        </w:rPr>
        <w:t>t to speak with them about the p</w:t>
      </w:r>
      <w:r w:rsidRPr="004A29F9">
        <w:rPr>
          <w:rFonts w:ascii="Times New Roman" w:hAnsi="Times New Roman" w:cs="Times New Roman"/>
          <w:sz w:val="22"/>
          <w:szCs w:val="22"/>
          <w:lang w:val="en-GB"/>
        </w:rPr>
        <w:t>r</w:t>
      </w:r>
      <w:r w:rsidR="009663C6">
        <w:rPr>
          <w:rFonts w:ascii="Times New Roman" w:hAnsi="Times New Roman" w:cs="Times New Roman"/>
          <w:sz w:val="22"/>
          <w:szCs w:val="22"/>
          <w:lang w:val="en-GB"/>
        </w:rPr>
        <w:t>ogramme and required all organis</w:t>
      </w:r>
      <w:r w:rsidRPr="004A29F9">
        <w:rPr>
          <w:rFonts w:ascii="Times New Roman" w:hAnsi="Times New Roman" w:cs="Times New Roman"/>
          <w:sz w:val="22"/>
          <w:szCs w:val="22"/>
          <w:lang w:val="en-GB"/>
        </w:rPr>
        <w:t xml:space="preserve">ations applying for UNDP grants </w:t>
      </w:r>
      <w:r w:rsidR="003B262C" w:rsidRPr="004A29F9">
        <w:rPr>
          <w:rFonts w:ascii="Times New Roman" w:hAnsi="Times New Roman" w:cs="Times New Roman"/>
          <w:sz w:val="22"/>
          <w:szCs w:val="22"/>
          <w:lang w:val="en-GB"/>
        </w:rPr>
        <w:t xml:space="preserve">to </w:t>
      </w:r>
      <w:r w:rsidRPr="004A29F9">
        <w:rPr>
          <w:rFonts w:ascii="Times New Roman" w:hAnsi="Times New Roman" w:cs="Times New Roman"/>
          <w:sz w:val="22"/>
          <w:szCs w:val="22"/>
          <w:lang w:val="en-GB"/>
        </w:rPr>
        <w:t>submit a full proposal. The CSOs interviewed in</w:t>
      </w:r>
      <w:r w:rsidR="009663C6">
        <w:rPr>
          <w:rFonts w:ascii="Times New Roman" w:hAnsi="Times New Roman" w:cs="Times New Roman"/>
          <w:sz w:val="22"/>
          <w:szCs w:val="22"/>
          <w:lang w:val="en-GB"/>
        </w:rPr>
        <w:t>dependently interviewed by the e</w:t>
      </w:r>
      <w:r w:rsidRPr="004A29F9">
        <w:rPr>
          <w:rFonts w:ascii="Times New Roman" w:hAnsi="Times New Roman" w:cs="Times New Roman"/>
          <w:sz w:val="22"/>
          <w:szCs w:val="22"/>
          <w:lang w:val="en-GB"/>
        </w:rPr>
        <w:t>valuation confirmed that t</w:t>
      </w:r>
      <w:r w:rsidR="009663C6">
        <w:rPr>
          <w:rFonts w:ascii="Times New Roman" w:hAnsi="Times New Roman" w:cs="Times New Roman"/>
          <w:sz w:val="22"/>
          <w:szCs w:val="22"/>
          <w:lang w:val="en-GB"/>
        </w:rPr>
        <w:t>he application process was rigo</w:t>
      </w:r>
      <w:r w:rsidRPr="004A29F9">
        <w:rPr>
          <w:rFonts w:ascii="Times New Roman" w:hAnsi="Times New Roman" w:cs="Times New Roman"/>
          <w:sz w:val="22"/>
          <w:szCs w:val="22"/>
          <w:lang w:val="en-GB"/>
        </w:rPr>
        <w:t>r</w:t>
      </w:r>
      <w:r w:rsidR="003B262C" w:rsidRPr="004A29F9">
        <w:rPr>
          <w:rFonts w:ascii="Times New Roman" w:hAnsi="Times New Roman" w:cs="Times New Roman"/>
          <w:sz w:val="22"/>
          <w:szCs w:val="22"/>
          <w:lang w:val="en-GB"/>
        </w:rPr>
        <w:t>ou</w:t>
      </w:r>
      <w:r w:rsidR="009663C6">
        <w:rPr>
          <w:rFonts w:ascii="Times New Roman" w:hAnsi="Times New Roman" w:cs="Times New Roman"/>
          <w:sz w:val="22"/>
          <w:szCs w:val="22"/>
          <w:lang w:val="en-GB"/>
        </w:rPr>
        <w:t xml:space="preserve">s. </w:t>
      </w:r>
      <w:r w:rsidRPr="004A29F9">
        <w:rPr>
          <w:rFonts w:ascii="Times New Roman" w:hAnsi="Times New Roman" w:cs="Times New Roman"/>
          <w:sz w:val="22"/>
          <w:szCs w:val="22"/>
          <w:lang w:val="en-GB"/>
        </w:rPr>
        <w:t>CSOs interviewed also confirmed that UNDP has required them to submit semi</w:t>
      </w:r>
      <w:r w:rsidR="009663C6">
        <w:rPr>
          <w:rFonts w:ascii="Times New Roman" w:hAnsi="Times New Roman" w:cs="Times New Roman"/>
          <w:sz w:val="22"/>
          <w:szCs w:val="22"/>
          <w:lang w:val="en-GB"/>
        </w:rPr>
        <w:t>-annual progress reports every six</w:t>
      </w:r>
      <w:r w:rsidRPr="004A29F9">
        <w:rPr>
          <w:rFonts w:ascii="Times New Roman" w:hAnsi="Times New Roman" w:cs="Times New Roman"/>
          <w:sz w:val="22"/>
          <w:szCs w:val="22"/>
          <w:lang w:val="en-GB"/>
        </w:rPr>
        <w:t xml:space="preserve"> months and has periodically gathered the CSOs together to discuss issues and progress. </w:t>
      </w:r>
    </w:p>
    <w:p w:rsidR="004E1049" w:rsidRDefault="004E1049" w:rsidP="00FB6759">
      <w:pPr>
        <w:spacing w:after="0" w:line="240" w:lineRule="auto"/>
        <w:jc w:val="both"/>
        <w:rPr>
          <w:rFonts w:ascii="Times New Roman" w:hAnsi="Times New Roman" w:cs="Times New Roman"/>
          <w:sz w:val="22"/>
          <w:szCs w:val="22"/>
          <w:lang w:val="en-GB"/>
        </w:rPr>
      </w:pPr>
    </w:p>
    <w:p w:rsidR="00DC33E6" w:rsidRPr="004A29F9" w:rsidRDefault="00DC33E6"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The </w:t>
      </w:r>
      <w:r w:rsidR="00B75508" w:rsidRPr="004A29F9">
        <w:rPr>
          <w:rFonts w:ascii="Times New Roman" w:hAnsi="Times New Roman" w:cs="Times New Roman"/>
          <w:sz w:val="22"/>
          <w:szCs w:val="22"/>
          <w:lang w:val="en-GB"/>
        </w:rPr>
        <w:t xml:space="preserve">impact of the </w:t>
      </w:r>
      <w:r w:rsidRPr="004A29F9">
        <w:rPr>
          <w:rFonts w:ascii="Times New Roman" w:hAnsi="Times New Roman" w:cs="Times New Roman"/>
          <w:sz w:val="22"/>
          <w:szCs w:val="22"/>
          <w:lang w:val="en-GB"/>
        </w:rPr>
        <w:t>legal aid component</w:t>
      </w:r>
      <w:r w:rsidR="00B75508" w:rsidRPr="004A29F9">
        <w:rPr>
          <w:rFonts w:ascii="Times New Roman" w:hAnsi="Times New Roman" w:cs="Times New Roman"/>
          <w:sz w:val="22"/>
          <w:szCs w:val="22"/>
          <w:lang w:val="en-GB"/>
        </w:rPr>
        <w:t>s</w:t>
      </w:r>
      <w:r w:rsidR="009663C6">
        <w:rPr>
          <w:rFonts w:ascii="Times New Roman" w:hAnsi="Times New Roman" w:cs="Times New Roman"/>
          <w:sz w:val="22"/>
          <w:szCs w:val="22"/>
          <w:lang w:val="en-GB"/>
        </w:rPr>
        <w:t xml:space="preserve"> of the CSI</w:t>
      </w:r>
      <w:r w:rsidR="00FD3C19">
        <w:rPr>
          <w:rFonts w:ascii="Times New Roman" w:hAnsi="Times New Roman" w:cs="Times New Roman"/>
          <w:sz w:val="22"/>
          <w:szCs w:val="22"/>
          <w:lang w:val="en-GB"/>
        </w:rPr>
        <w:t xml:space="preserve"> </w:t>
      </w:r>
      <w:r w:rsidR="00B75508" w:rsidRPr="004A29F9">
        <w:rPr>
          <w:rFonts w:ascii="Times New Roman" w:hAnsi="Times New Roman" w:cs="Times New Roman"/>
          <w:sz w:val="22"/>
          <w:szCs w:val="22"/>
          <w:lang w:val="en-GB"/>
        </w:rPr>
        <w:t>were</w:t>
      </w:r>
      <w:r w:rsidRPr="004A29F9">
        <w:rPr>
          <w:rFonts w:ascii="Times New Roman" w:hAnsi="Times New Roman" w:cs="Times New Roman"/>
          <w:sz w:val="22"/>
          <w:szCs w:val="22"/>
          <w:lang w:val="en-GB"/>
        </w:rPr>
        <w:t xml:space="preserve"> easier </w:t>
      </w:r>
      <w:r w:rsidR="00B75508" w:rsidRPr="004A29F9">
        <w:rPr>
          <w:rFonts w:ascii="Times New Roman" w:hAnsi="Times New Roman" w:cs="Times New Roman"/>
          <w:sz w:val="22"/>
          <w:szCs w:val="22"/>
          <w:lang w:val="en-GB"/>
        </w:rPr>
        <w:t>to assess</w:t>
      </w:r>
      <w:r w:rsidRPr="004A29F9">
        <w:rPr>
          <w:rFonts w:ascii="Times New Roman" w:hAnsi="Times New Roman" w:cs="Times New Roman"/>
          <w:sz w:val="22"/>
          <w:szCs w:val="22"/>
          <w:lang w:val="en-GB"/>
        </w:rPr>
        <w:t xml:space="preserve"> due to the fact that UNDP and th</w:t>
      </w:r>
      <w:r w:rsidR="009663C6">
        <w:rPr>
          <w:rFonts w:ascii="Times New Roman" w:hAnsi="Times New Roman" w:cs="Times New Roman"/>
          <w:sz w:val="22"/>
          <w:szCs w:val="22"/>
          <w:lang w:val="en-GB"/>
        </w:rPr>
        <w:t>e CSOs themselves provided the e</w:t>
      </w:r>
      <w:r w:rsidRPr="004A29F9">
        <w:rPr>
          <w:rFonts w:ascii="Times New Roman" w:hAnsi="Times New Roman" w:cs="Times New Roman"/>
          <w:sz w:val="22"/>
          <w:szCs w:val="22"/>
          <w:lang w:val="en-GB"/>
        </w:rPr>
        <w:t>valuation with statistics on total numbers of clients served.</w:t>
      </w:r>
      <w:r w:rsidR="009663C6">
        <w:rPr>
          <w:rFonts w:ascii="Times New Roman" w:hAnsi="Times New Roman" w:cs="Times New Roman"/>
          <w:sz w:val="22"/>
          <w:szCs w:val="22"/>
          <w:lang w:val="en-GB"/>
        </w:rPr>
        <w:t xml:space="preserve"> In addition, the e</w:t>
      </w:r>
      <w:r w:rsidRPr="004A29F9">
        <w:rPr>
          <w:rFonts w:ascii="Times New Roman" w:hAnsi="Times New Roman" w:cs="Times New Roman"/>
          <w:sz w:val="22"/>
          <w:szCs w:val="22"/>
          <w:lang w:val="en-GB"/>
        </w:rPr>
        <w:t xml:space="preserve">valuation was able to interview individual clients; and in the case of law school legal aid clinics the </w:t>
      </w:r>
      <w:r w:rsidRPr="004A29F9">
        <w:rPr>
          <w:rFonts w:ascii="Times New Roman" w:hAnsi="Times New Roman" w:cs="Times New Roman"/>
          <w:sz w:val="22"/>
          <w:szCs w:val="22"/>
          <w:lang w:val="en-GB"/>
        </w:rPr>
        <w:lastRenderedPageBreak/>
        <w:t xml:space="preserve">students enrolled in the courses. </w:t>
      </w:r>
      <w:r w:rsidR="009663C6">
        <w:rPr>
          <w:rFonts w:ascii="Times New Roman" w:hAnsi="Times New Roman" w:cs="Times New Roman"/>
          <w:sz w:val="22"/>
          <w:szCs w:val="22"/>
          <w:lang w:val="en-GB"/>
        </w:rPr>
        <w:t>T</w:t>
      </w:r>
      <w:r w:rsidRPr="004A29F9">
        <w:rPr>
          <w:rFonts w:ascii="Times New Roman" w:hAnsi="Times New Roman" w:cs="Times New Roman"/>
          <w:sz w:val="22"/>
          <w:szCs w:val="22"/>
          <w:lang w:val="en-GB"/>
        </w:rPr>
        <w:t>estimonials from both CSO legal aid providers an</w:t>
      </w:r>
      <w:r w:rsidR="009663C6">
        <w:rPr>
          <w:rFonts w:ascii="Times New Roman" w:hAnsi="Times New Roman" w:cs="Times New Roman"/>
          <w:sz w:val="22"/>
          <w:szCs w:val="22"/>
          <w:lang w:val="en-GB"/>
        </w:rPr>
        <w:t xml:space="preserve">d their beneficiaries as well as the number of legal aid beneficiaries supported per year by UNDP are annexed to this report. </w:t>
      </w:r>
      <w:r w:rsidRPr="004A29F9">
        <w:rPr>
          <w:rFonts w:ascii="Times New Roman" w:hAnsi="Times New Roman" w:cs="Times New Roman"/>
          <w:sz w:val="22"/>
          <w:szCs w:val="22"/>
          <w:lang w:val="en-GB"/>
        </w:rPr>
        <w:t>These figures were collected by UNDP both in the course of its regular reporting</w:t>
      </w:r>
      <w:r w:rsidR="009663C6">
        <w:rPr>
          <w:rFonts w:ascii="Times New Roman" w:hAnsi="Times New Roman" w:cs="Times New Roman"/>
          <w:sz w:val="22"/>
          <w:szCs w:val="22"/>
          <w:lang w:val="en-GB"/>
        </w:rPr>
        <w:t xml:space="preserve"> and during the course of this e</w:t>
      </w:r>
      <w:r w:rsidRPr="004A29F9">
        <w:rPr>
          <w:rFonts w:ascii="Times New Roman" w:hAnsi="Times New Roman" w:cs="Times New Roman"/>
          <w:sz w:val="22"/>
          <w:szCs w:val="22"/>
          <w:lang w:val="en-GB"/>
        </w:rPr>
        <w:t>valuation and document that UNDP has managed to effectively provide legal aid and advice to thousands of ind</w:t>
      </w:r>
      <w:r w:rsidR="009663C6">
        <w:rPr>
          <w:rFonts w:ascii="Times New Roman" w:hAnsi="Times New Roman" w:cs="Times New Roman"/>
          <w:sz w:val="22"/>
          <w:szCs w:val="22"/>
          <w:lang w:val="en-GB"/>
        </w:rPr>
        <w:t xml:space="preserve">igent Palestinians - mostly women - </w:t>
      </w:r>
      <w:r w:rsidRPr="004A29F9">
        <w:rPr>
          <w:rFonts w:ascii="Times New Roman" w:hAnsi="Times New Roman" w:cs="Times New Roman"/>
          <w:sz w:val="22"/>
          <w:szCs w:val="22"/>
          <w:lang w:val="en-GB"/>
        </w:rPr>
        <w:t xml:space="preserve">during 2010-2012. </w:t>
      </w:r>
    </w:p>
    <w:p w:rsidR="004E1049" w:rsidRDefault="004E1049" w:rsidP="00FB6759">
      <w:pPr>
        <w:spacing w:after="0" w:line="240" w:lineRule="auto"/>
        <w:jc w:val="both"/>
        <w:rPr>
          <w:rFonts w:ascii="Times New Roman" w:hAnsi="Times New Roman" w:cs="Times New Roman"/>
          <w:sz w:val="22"/>
          <w:szCs w:val="22"/>
          <w:lang w:val="en-GB"/>
        </w:rPr>
      </w:pPr>
    </w:p>
    <w:p w:rsidR="00C81B83" w:rsidRPr="004A29F9" w:rsidRDefault="00B75508"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 impact of the awareness-raising</w:t>
      </w:r>
      <w:r w:rsidR="009663C6">
        <w:rPr>
          <w:rFonts w:ascii="Times New Roman" w:hAnsi="Times New Roman" w:cs="Times New Roman"/>
          <w:sz w:val="22"/>
          <w:szCs w:val="22"/>
          <w:lang w:val="en-GB"/>
        </w:rPr>
        <w:t xml:space="preserve"> and advocacy components of the CSI</w:t>
      </w:r>
      <w:r w:rsidRPr="004A29F9">
        <w:rPr>
          <w:rFonts w:ascii="Times New Roman" w:hAnsi="Times New Roman" w:cs="Times New Roman"/>
          <w:sz w:val="22"/>
          <w:szCs w:val="22"/>
          <w:lang w:val="en-GB"/>
        </w:rPr>
        <w:t xml:space="preserve"> is, however, </w:t>
      </w:r>
      <w:r w:rsidR="00780B14" w:rsidRPr="004A29F9">
        <w:rPr>
          <w:rFonts w:ascii="Times New Roman" w:hAnsi="Times New Roman" w:cs="Times New Roman"/>
          <w:sz w:val="22"/>
          <w:szCs w:val="22"/>
          <w:lang w:val="en-GB"/>
        </w:rPr>
        <w:t xml:space="preserve">by its very nature </w:t>
      </w:r>
      <w:r w:rsidRPr="004A29F9">
        <w:rPr>
          <w:rFonts w:ascii="Times New Roman" w:hAnsi="Times New Roman" w:cs="Times New Roman"/>
          <w:sz w:val="22"/>
          <w:szCs w:val="22"/>
          <w:lang w:val="en-GB"/>
        </w:rPr>
        <w:t>less tangible</w:t>
      </w:r>
      <w:r w:rsidR="00BE1A6B" w:rsidRPr="004A29F9">
        <w:rPr>
          <w:rFonts w:ascii="Times New Roman" w:hAnsi="Times New Roman" w:cs="Times New Roman"/>
          <w:sz w:val="22"/>
          <w:szCs w:val="22"/>
          <w:lang w:val="en-GB"/>
        </w:rPr>
        <w:t xml:space="preserve"> and</w:t>
      </w:r>
      <w:r w:rsidR="00780B14" w:rsidRPr="004A29F9">
        <w:rPr>
          <w:rFonts w:ascii="Times New Roman" w:hAnsi="Times New Roman" w:cs="Times New Roman"/>
          <w:sz w:val="22"/>
          <w:szCs w:val="22"/>
          <w:lang w:val="en-GB"/>
        </w:rPr>
        <w:t>, therefore,</w:t>
      </w:r>
      <w:r w:rsidR="00FD3C19">
        <w:rPr>
          <w:rFonts w:ascii="Times New Roman" w:hAnsi="Times New Roman" w:cs="Times New Roman"/>
          <w:sz w:val="22"/>
          <w:szCs w:val="22"/>
          <w:lang w:val="en-GB"/>
        </w:rPr>
        <w:t xml:space="preserve"> </w:t>
      </w:r>
      <w:r w:rsidR="00BC16F2" w:rsidRPr="004A29F9">
        <w:rPr>
          <w:rFonts w:ascii="Times New Roman" w:hAnsi="Times New Roman" w:cs="Times New Roman"/>
          <w:sz w:val="22"/>
          <w:szCs w:val="22"/>
          <w:lang w:val="en-GB"/>
        </w:rPr>
        <w:t>more difficult to assess</w:t>
      </w:r>
      <w:r w:rsidR="009663C6">
        <w:rPr>
          <w:rFonts w:ascii="Times New Roman" w:hAnsi="Times New Roman" w:cs="Times New Roman"/>
          <w:sz w:val="22"/>
          <w:szCs w:val="22"/>
          <w:lang w:val="en-GB"/>
        </w:rPr>
        <w:t xml:space="preserve">. </w:t>
      </w:r>
      <w:r w:rsidR="007C5C05" w:rsidRPr="004A29F9">
        <w:rPr>
          <w:rFonts w:ascii="Times New Roman" w:hAnsi="Times New Roman" w:cs="Times New Roman"/>
          <w:sz w:val="22"/>
          <w:szCs w:val="22"/>
          <w:lang w:val="en-GB"/>
        </w:rPr>
        <w:t>As evidenced by the</w:t>
      </w:r>
      <w:r w:rsidR="009663C6">
        <w:rPr>
          <w:rFonts w:ascii="Times New Roman" w:hAnsi="Times New Roman" w:cs="Times New Roman"/>
          <w:sz w:val="22"/>
          <w:szCs w:val="22"/>
          <w:lang w:val="en-GB"/>
        </w:rPr>
        <w:t xml:space="preserve"> annexed table</w:t>
      </w:r>
      <w:r w:rsidR="007C5C05" w:rsidRPr="004A29F9">
        <w:rPr>
          <w:rFonts w:ascii="Times New Roman" w:hAnsi="Times New Roman" w:cs="Times New Roman"/>
          <w:sz w:val="22"/>
          <w:szCs w:val="22"/>
          <w:lang w:val="en-GB"/>
        </w:rPr>
        <w:t xml:space="preserve">, </w:t>
      </w:r>
      <w:r w:rsidR="009663C6">
        <w:rPr>
          <w:rFonts w:ascii="Times New Roman" w:hAnsi="Times New Roman" w:cs="Times New Roman"/>
          <w:sz w:val="22"/>
          <w:szCs w:val="22"/>
          <w:lang w:val="en-GB"/>
        </w:rPr>
        <w:t>n</w:t>
      </w:r>
      <w:r w:rsidRPr="004A29F9">
        <w:rPr>
          <w:rFonts w:ascii="Times New Roman" w:hAnsi="Times New Roman" w:cs="Times New Roman"/>
          <w:sz w:val="22"/>
          <w:szCs w:val="22"/>
          <w:lang w:val="en-GB"/>
        </w:rPr>
        <w:t xml:space="preserve">early </w:t>
      </w:r>
      <w:r w:rsidRPr="004A29F9">
        <w:rPr>
          <w:rFonts w:ascii="Times New Roman" w:hAnsi="Times New Roman" w:cs="Times New Roman"/>
          <w:i/>
          <w:sz w:val="22"/>
          <w:szCs w:val="22"/>
          <w:lang w:val="en-GB"/>
        </w:rPr>
        <w:t>all</w:t>
      </w:r>
      <w:r w:rsidR="009663C6">
        <w:rPr>
          <w:rFonts w:ascii="Times New Roman" w:hAnsi="Times New Roman" w:cs="Times New Roman"/>
          <w:sz w:val="22"/>
          <w:szCs w:val="22"/>
          <w:lang w:val="en-GB"/>
        </w:rPr>
        <w:t xml:space="preserve">42 </w:t>
      </w:r>
      <w:r w:rsidRPr="004A29F9">
        <w:rPr>
          <w:rFonts w:ascii="Times New Roman" w:hAnsi="Times New Roman" w:cs="Times New Roman"/>
          <w:sz w:val="22"/>
          <w:szCs w:val="22"/>
          <w:lang w:val="en-GB"/>
        </w:rPr>
        <w:t xml:space="preserve">grant recipients engaged in some form of </w:t>
      </w:r>
      <w:r w:rsidR="00461977" w:rsidRPr="004A29F9">
        <w:rPr>
          <w:rFonts w:ascii="Times New Roman" w:hAnsi="Times New Roman" w:cs="Times New Roman"/>
          <w:sz w:val="22"/>
          <w:szCs w:val="22"/>
          <w:lang w:val="en-GB"/>
        </w:rPr>
        <w:t>awareness raising</w:t>
      </w:r>
      <w:r w:rsidRPr="004A29F9">
        <w:rPr>
          <w:rFonts w:ascii="Times New Roman" w:hAnsi="Times New Roman" w:cs="Times New Roman"/>
          <w:sz w:val="22"/>
          <w:szCs w:val="22"/>
          <w:lang w:val="en-GB"/>
        </w:rPr>
        <w:t xml:space="preserve"> and advocacy</w:t>
      </w:r>
      <w:r w:rsidR="00FD3C19">
        <w:rPr>
          <w:rFonts w:ascii="Times New Roman" w:hAnsi="Times New Roman" w:cs="Times New Roman"/>
          <w:sz w:val="22"/>
          <w:szCs w:val="22"/>
          <w:lang w:val="en-GB"/>
        </w:rPr>
        <w:t xml:space="preserve"> </w:t>
      </w:r>
      <w:r w:rsidR="00032DC2" w:rsidRPr="004A29F9">
        <w:rPr>
          <w:rFonts w:ascii="Times New Roman" w:hAnsi="Times New Roman" w:cs="Times New Roman"/>
          <w:sz w:val="22"/>
          <w:szCs w:val="22"/>
          <w:lang w:val="en-GB"/>
        </w:rPr>
        <w:t xml:space="preserve">as an entry point for legal aid provision; </w:t>
      </w:r>
      <w:r w:rsidR="007C5C05" w:rsidRPr="004A29F9">
        <w:rPr>
          <w:rFonts w:ascii="Times New Roman" w:hAnsi="Times New Roman" w:cs="Times New Roman"/>
          <w:sz w:val="22"/>
          <w:szCs w:val="22"/>
          <w:lang w:val="en-GB"/>
        </w:rPr>
        <w:t xml:space="preserve">and many of these created publications (i.e. reports, brochures, </w:t>
      </w:r>
      <w:r w:rsidR="009663C6">
        <w:rPr>
          <w:rFonts w:ascii="Times New Roman" w:hAnsi="Times New Roman" w:cs="Times New Roman"/>
          <w:sz w:val="22"/>
          <w:szCs w:val="22"/>
          <w:lang w:val="en-GB"/>
        </w:rPr>
        <w:t xml:space="preserve">leaflets </w:t>
      </w:r>
      <w:r w:rsidR="007C5C05" w:rsidRPr="004A29F9">
        <w:rPr>
          <w:rFonts w:ascii="Times New Roman" w:hAnsi="Times New Roman" w:cs="Times New Roman"/>
          <w:sz w:val="22"/>
          <w:szCs w:val="22"/>
          <w:lang w:val="en-GB"/>
        </w:rPr>
        <w:t>etc.)</w:t>
      </w:r>
      <w:r w:rsidR="009663C6">
        <w:rPr>
          <w:rFonts w:ascii="Times New Roman" w:hAnsi="Times New Roman" w:cs="Times New Roman"/>
          <w:sz w:val="22"/>
          <w:szCs w:val="22"/>
          <w:lang w:val="en-GB"/>
        </w:rPr>
        <w:t xml:space="preserve">. </w:t>
      </w:r>
      <w:r w:rsidR="00314B10" w:rsidRPr="004A29F9">
        <w:rPr>
          <w:rFonts w:ascii="Times New Roman" w:hAnsi="Times New Roman" w:cs="Times New Roman"/>
          <w:sz w:val="22"/>
          <w:szCs w:val="22"/>
          <w:lang w:val="en-GB"/>
        </w:rPr>
        <w:t>Out of 42</w:t>
      </w:r>
      <w:r w:rsidR="004C11A6" w:rsidRPr="004A29F9">
        <w:rPr>
          <w:rFonts w:ascii="Times New Roman" w:hAnsi="Times New Roman" w:cs="Times New Roman"/>
          <w:sz w:val="22"/>
          <w:szCs w:val="22"/>
          <w:lang w:val="en-GB"/>
        </w:rPr>
        <w:t xml:space="preserve"> total CSOs f</w:t>
      </w:r>
      <w:r w:rsidR="009663C6">
        <w:rPr>
          <w:rFonts w:ascii="Times New Roman" w:hAnsi="Times New Roman" w:cs="Times New Roman"/>
          <w:sz w:val="22"/>
          <w:szCs w:val="22"/>
          <w:lang w:val="en-GB"/>
        </w:rPr>
        <w:t>unded by UNDP approximately</w:t>
      </w:r>
      <w:r w:rsidR="004C11A6" w:rsidRPr="004A29F9">
        <w:rPr>
          <w:rFonts w:ascii="Times New Roman" w:hAnsi="Times New Roman" w:cs="Times New Roman"/>
          <w:sz w:val="22"/>
          <w:szCs w:val="22"/>
          <w:lang w:val="en-GB"/>
        </w:rPr>
        <w:t xml:space="preserve"> 80-85% are engaged in both awareness raising and advocacy/legal services and the remaining 15-20% are engaged primarily in monitoring of the justice system and/or research (i.e. think tanks).</w:t>
      </w:r>
    </w:p>
    <w:p w:rsidR="004E1049" w:rsidRDefault="004E1049" w:rsidP="00FB6759">
      <w:pPr>
        <w:spacing w:after="0" w:line="240" w:lineRule="auto"/>
        <w:jc w:val="both"/>
        <w:rPr>
          <w:rFonts w:ascii="Times New Roman" w:hAnsi="Times New Roman" w:cs="Times New Roman"/>
          <w:sz w:val="22"/>
          <w:szCs w:val="22"/>
          <w:lang w:val="en-GB"/>
        </w:rPr>
      </w:pPr>
    </w:p>
    <w:p w:rsidR="00C81B83" w:rsidRPr="004A29F9" w:rsidRDefault="009663C6"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Those CSOs interviewed by the e</w:t>
      </w:r>
      <w:r w:rsidR="00BE1A6B" w:rsidRPr="004A29F9">
        <w:rPr>
          <w:rFonts w:ascii="Times New Roman" w:hAnsi="Times New Roman" w:cs="Times New Roman"/>
          <w:sz w:val="22"/>
          <w:szCs w:val="22"/>
          <w:lang w:val="en-GB"/>
        </w:rPr>
        <w:t>valuation that conducted awareness raising and advocacy were able to produce a high-level of documentation of their activities (i.e. at several CSOs in b</w:t>
      </w:r>
      <w:r>
        <w:rPr>
          <w:rFonts w:ascii="Times New Roman" w:hAnsi="Times New Roman" w:cs="Times New Roman"/>
          <w:sz w:val="22"/>
          <w:szCs w:val="22"/>
          <w:lang w:val="en-GB"/>
        </w:rPr>
        <w:t>oth the West Bank and Gaza the e</w:t>
      </w:r>
      <w:r w:rsidR="00BE1A6B" w:rsidRPr="004A29F9">
        <w:rPr>
          <w:rFonts w:ascii="Times New Roman" w:hAnsi="Times New Roman" w:cs="Times New Roman"/>
          <w:sz w:val="22"/>
          <w:szCs w:val="22"/>
          <w:lang w:val="en-GB"/>
        </w:rPr>
        <w:t>valuation was shown detailed files and binders including photos of awareness-raising sessions and participants a</w:t>
      </w:r>
      <w:r>
        <w:rPr>
          <w:rFonts w:ascii="Times New Roman" w:hAnsi="Times New Roman" w:cs="Times New Roman"/>
          <w:sz w:val="22"/>
          <w:szCs w:val="22"/>
          <w:lang w:val="en-GB"/>
        </w:rPr>
        <w:t xml:space="preserve">nd agendas). In addition, most </w:t>
      </w:r>
      <w:r w:rsidR="00BE1A6B" w:rsidRPr="004A29F9">
        <w:rPr>
          <w:rFonts w:ascii="Times New Roman" w:hAnsi="Times New Roman" w:cs="Times New Roman"/>
          <w:sz w:val="22"/>
          <w:szCs w:val="22"/>
          <w:lang w:val="en-GB"/>
        </w:rPr>
        <w:t xml:space="preserve">CSOs interviewed readily produced copies of their publications. </w:t>
      </w:r>
      <w:r>
        <w:rPr>
          <w:rFonts w:ascii="Times New Roman" w:hAnsi="Times New Roman" w:cs="Times New Roman"/>
          <w:sz w:val="22"/>
          <w:szCs w:val="22"/>
          <w:lang w:val="en-GB"/>
        </w:rPr>
        <w:t>The e</w:t>
      </w:r>
      <w:r w:rsidR="00BC16F2" w:rsidRPr="004A29F9">
        <w:rPr>
          <w:rFonts w:ascii="Times New Roman" w:hAnsi="Times New Roman" w:cs="Times New Roman"/>
          <w:sz w:val="22"/>
          <w:szCs w:val="22"/>
          <w:lang w:val="en-GB"/>
        </w:rPr>
        <w:t>valuation held</w:t>
      </w:r>
      <w:r w:rsidR="00C81B83" w:rsidRPr="004A29F9">
        <w:rPr>
          <w:rFonts w:ascii="Times New Roman" w:hAnsi="Times New Roman" w:cs="Times New Roman"/>
          <w:sz w:val="22"/>
          <w:szCs w:val="22"/>
          <w:lang w:val="en-GB"/>
        </w:rPr>
        <w:t xml:space="preserve"> several</w:t>
      </w:r>
      <w:r w:rsidR="00BC16F2" w:rsidRPr="004A29F9">
        <w:rPr>
          <w:rFonts w:ascii="Times New Roman" w:hAnsi="Times New Roman" w:cs="Times New Roman"/>
          <w:sz w:val="22"/>
          <w:szCs w:val="22"/>
          <w:lang w:val="en-GB"/>
        </w:rPr>
        <w:t xml:space="preserve"> focus groups with beneficiaries of </w:t>
      </w:r>
      <w:r w:rsidR="00C81B83" w:rsidRPr="004A29F9">
        <w:rPr>
          <w:rFonts w:ascii="Times New Roman" w:hAnsi="Times New Roman" w:cs="Times New Roman"/>
          <w:sz w:val="22"/>
          <w:szCs w:val="22"/>
          <w:lang w:val="en-GB"/>
        </w:rPr>
        <w:t>such awareness-</w:t>
      </w:r>
      <w:r w:rsidR="00BC16F2" w:rsidRPr="004A29F9">
        <w:rPr>
          <w:rFonts w:ascii="Times New Roman" w:hAnsi="Times New Roman" w:cs="Times New Roman"/>
          <w:sz w:val="22"/>
          <w:szCs w:val="22"/>
          <w:lang w:val="en-GB"/>
        </w:rPr>
        <w:t>raising activities who claimed that their awareness and knowledge of issues had been substantially increased as a result</w:t>
      </w:r>
      <w:r w:rsidR="00C81B83" w:rsidRPr="004A29F9">
        <w:rPr>
          <w:rFonts w:ascii="Times New Roman" w:hAnsi="Times New Roman" w:cs="Times New Roman"/>
          <w:sz w:val="22"/>
          <w:szCs w:val="22"/>
          <w:lang w:val="en-GB"/>
        </w:rPr>
        <w:t xml:space="preserve">. Yet, </w:t>
      </w:r>
      <w:r w:rsidR="00AC625D" w:rsidRPr="004A29F9">
        <w:rPr>
          <w:rFonts w:ascii="Times New Roman" w:hAnsi="Times New Roman" w:cs="Times New Roman"/>
          <w:sz w:val="22"/>
          <w:szCs w:val="22"/>
          <w:lang w:val="en-GB"/>
        </w:rPr>
        <w:t xml:space="preserve">evidencing a link between UNDP </w:t>
      </w:r>
      <w:r w:rsidR="00FC7AC0" w:rsidRPr="004A29F9">
        <w:rPr>
          <w:rFonts w:ascii="Times New Roman" w:hAnsi="Times New Roman" w:cs="Times New Roman"/>
          <w:sz w:val="22"/>
          <w:szCs w:val="22"/>
          <w:lang w:val="en-GB"/>
        </w:rPr>
        <w:t>advocacy</w:t>
      </w:r>
      <w:r w:rsidR="00AC625D" w:rsidRPr="004A29F9">
        <w:rPr>
          <w:rFonts w:ascii="Times New Roman" w:hAnsi="Times New Roman" w:cs="Times New Roman"/>
          <w:sz w:val="22"/>
          <w:szCs w:val="22"/>
          <w:lang w:val="en-GB"/>
        </w:rPr>
        <w:t xml:space="preserve"> activities and shifts </w:t>
      </w:r>
      <w:r w:rsidR="003B262C" w:rsidRPr="004A29F9">
        <w:rPr>
          <w:rFonts w:ascii="Times New Roman" w:hAnsi="Times New Roman" w:cs="Times New Roman"/>
          <w:sz w:val="22"/>
          <w:szCs w:val="22"/>
          <w:lang w:val="en-GB"/>
        </w:rPr>
        <w:t xml:space="preserve">in </w:t>
      </w:r>
      <w:r w:rsidR="00AC625D" w:rsidRPr="004A29F9">
        <w:rPr>
          <w:rFonts w:ascii="Times New Roman" w:hAnsi="Times New Roman" w:cs="Times New Roman"/>
          <w:sz w:val="22"/>
          <w:szCs w:val="22"/>
          <w:lang w:val="en-GB"/>
        </w:rPr>
        <w:t>policy and the legal system</w:t>
      </w:r>
      <w:r>
        <w:rPr>
          <w:rFonts w:ascii="Times New Roman" w:hAnsi="Times New Roman" w:cs="Times New Roman"/>
          <w:sz w:val="22"/>
          <w:szCs w:val="22"/>
          <w:lang w:val="en-GB"/>
        </w:rPr>
        <w:t xml:space="preserve"> at the outcome-level </w:t>
      </w:r>
      <w:r w:rsidR="00C81B83" w:rsidRPr="004A29F9">
        <w:rPr>
          <w:rFonts w:ascii="Times New Roman" w:hAnsi="Times New Roman" w:cs="Times New Roman"/>
          <w:sz w:val="22"/>
          <w:szCs w:val="22"/>
          <w:lang w:val="en-GB"/>
        </w:rPr>
        <w:t>remains difficult. By contrast in Gaza</w:t>
      </w:r>
      <w:r>
        <w:rPr>
          <w:rFonts w:ascii="Times New Roman" w:hAnsi="Times New Roman" w:cs="Times New Roman"/>
          <w:sz w:val="22"/>
          <w:szCs w:val="22"/>
          <w:lang w:val="en-GB"/>
        </w:rPr>
        <w:t>(as discussed below under Outcome</w:t>
      </w:r>
      <w:r w:rsidR="00461977" w:rsidRPr="004A29F9">
        <w:rPr>
          <w:rFonts w:ascii="Times New Roman" w:hAnsi="Times New Roman" w:cs="Times New Roman"/>
          <w:sz w:val="22"/>
          <w:szCs w:val="22"/>
          <w:lang w:val="en-GB"/>
        </w:rPr>
        <w:t xml:space="preserve"> 4)</w:t>
      </w:r>
      <w:r>
        <w:rPr>
          <w:rFonts w:ascii="Times New Roman" w:hAnsi="Times New Roman" w:cs="Times New Roman"/>
          <w:sz w:val="22"/>
          <w:szCs w:val="22"/>
          <w:lang w:val="en-GB"/>
        </w:rPr>
        <w:t xml:space="preserve"> it was much easier for the e</w:t>
      </w:r>
      <w:r w:rsidR="00461977" w:rsidRPr="004A29F9">
        <w:rPr>
          <w:rFonts w:ascii="Times New Roman" w:hAnsi="Times New Roman" w:cs="Times New Roman"/>
          <w:sz w:val="22"/>
          <w:szCs w:val="22"/>
          <w:lang w:val="en-GB"/>
        </w:rPr>
        <w:t xml:space="preserve">valuation to identify a link between UNDP supported awareness raising and advocacy and demand for client-based legal services.     </w:t>
      </w:r>
    </w:p>
    <w:p w:rsidR="004E1049" w:rsidRDefault="004E1049" w:rsidP="00FB6759">
      <w:pPr>
        <w:spacing w:after="0" w:line="240" w:lineRule="auto"/>
        <w:jc w:val="both"/>
        <w:rPr>
          <w:rFonts w:ascii="Times New Roman" w:hAnsi="Times New Roman" w:cs="Times New Roman"/>
          <w:sz w:val="22"/>
          <w:szCs w:val="22"/>
          <w:lang w:val="en-GB"/>
        </w:rPr>
      </w:pPr>
    </w:p>
    <w:p w:rsidR="008607E6" w:rsidRPr="004A29F9" w:rsidRDefault="007752F4"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UNDP is well aware of </w:t>
      </w:r>
      <w:r w:rsidR="006C2077" w:rsidRPr="004A29F9">
        <w:rPr>
          <w:rFonts w:ascii="Times New Roman" w:hAnsi="Times New Roman" w:cs="Times New Roman"/>
          <w:sz w:val="22"/>
          <w:szCs w:val="22"/>
          <w:lang w:val="en-GB"/>
        </w:rPr>
        <w:t xml:space="preserve">and readily admits </w:t>
      </w:r>
      <w:r w:rsidRPr="004A29F9">
        <w:rPr>
          <w:rFonts w:ascii="Times New Roman" w:hAnsi="Times New Roman" w:cs="Times New Roman"/>
          <w:sz w:val="22"/>
          <w:szCs w:val="22"/>
          <w:lang w:val="en-GB"/>
        </w:rPr>
        <w:t xml:space="preserve">the </w:t>
      </w:r>
      <w:r w:rsidR="006C2077" w:rsidRPr="004A29F9">
        <w:rPr>
          <w:rFonts w:ascii="Times New Roman" w:hAnsi="Times New Roman" w:cs="Times New Roman"/>
          <w:sz w:val="22"/>
          <w:szCs w:val="22"/>
          <w:lang w:val="en-GB"/>
        </w:rPr>
        <w:t>intangible nature of many of these activities</w:t>
      </w:r>
      <w:r w:rsidR="009663C6">
        <w:rPr>
          <w:rFonts w:ascii="Times New Roman" w:hAnsi="Times New Roman" w:cs="Times New Roman"/>
          <w:sz w:val="22"/>
          <w:szCs w:val="22"/>
          <w:lang w:val="en-GB"/>
        </w:rPr>
        <w:t>, but</w:t>
      </w:r>
      <w:r w:rsidR="00FD3C19">
        <w:rPr>
          <w:rFonts w:ascii="Times New Roman" w:hAnsi="Times New Roman" w:cs="Times New Roman"/>
          <w:sz w:val="22"/>
          <w:szCs w:val="22"/>
          <w:lang w:val="en-GB"/>
        </w:rPr>
        <w:t xml:space="preserve"> </w:t>
      </w:r>
      <w:r w:rsidRPr="004A29F9">
        <w:rPr>
          <w:rFonts w:ascii="Times New Roman" w:hAnsi="Times New Roman" w:cs="Times New Roman"/>
          <w:sz w:val="22"/>
          <w:szCs w:val="22"/>
          <w:lang w:val="en-GB"/>
        </w:rPr>
        <w:t>correctly points out that many of its awareness raising activities are quasi-paralegal in nature</w:t>
      </w:r>
      <w:r w:rsidR="00DF5516" w:rsidRPr="004A29F9">
        <w:rPr>
          <w:rFonts w:ascii="Times New Roman" w:hAnsi="Times New Roman" w:cs="Times New Roman"/>
          <w:sz w:val="22"/>
          <w:szCs w:val="22"/>
          <w:lang w:val="en-GB"/>
        </w:rPr>
        <w:t xml:space="preserve"> (i.e. where CSO staff provide low-level </w:t>
      </w:r>
      <w:r w:rsidR="007F202F" w:rsidRPr="004A29F9">
        <w:rPr>
          <w:rFonts w:ascii="Times New Roman" w:hAnsi="Times New Roman" w:cs="Times New Roman"/>
          <w:sz w:val="22"/>
          <w:szCs w:val="22"/>
          <w:lang w:val="en-GB"/>
        </w:rPr>
        <w:t>legal counselling to some participants, while at the same time as raising awareness)</w:t>
      </w:r>
      <w:r w:rsidR="00421BD3">
        <w:rPr>
          <w:rFonts w:ascii="Times New Roman" w:hAnsi="Times New Roman" w:cs="Times New Roman"/>
          <w:sz w:val="22"/>
          <w:szCs w:val="22"/>
          <w:lang w:val="en-GB"/>
        </w:rPr>
        <w:t xml:space="preserve">.   Meanwhile, </w:t>
      </w:r>
      <w:r w:rsidRPr="004A29F9">
        <w:rPr>
          <w:rFonts w:ascii="Times New Roman" w:hAnsi="Times New Roman" w:cs="Times New Roman"/>
          <w:sz w:val="22"/>
          <w:szCs w:val="22"/>
          <w:lang w:val="en-GB"/>
        </w:rPr>
        <w:t>awareness raising is effectively an entry-point whereby stakeholders learn about other UNDP supported services</w:t>
      </w:r>
      <w:r w:rsidR="00421BD3">
        <w:rPr>
          <w:rFonts w:ascii="Times New Roman" w:hAnsi="Times New Roman" w:cs="Times New Roman"/>
          <w:sz w:val="22"/>
          <w:szCs w:val="22"/>
          <w:lang w:val="en-GB"/>
        </w:rPr>
        <w:t>,</w:t>
      </w:r>
      <w:r w:rsidRPr="004A29F9">
        <w:rPr>
          <w:rFonts w:ascii="Times New Roman" w:hAnsi="Times New Roman" w:cs="Times New Roman"/>
          <w:sz w:val="22"/>
          <w:szCs w:val="22"/>
          <w:lang w:val="en-GB"/>
        </w:rPr>
        <w:t xml:space="preserve"> such as the existence of legal aid. The awareness raising workshops are also an opportunity to educate stakeholders on</w:t>
      </w:r>
      <w:r w:rsidR="003B262C" w:rsidRPr="004A29F9">
        <w:rPr>
          <w:rFonts w:ascii="Times New Roman" w:hAnsi="Times New Roman" w:cs="Times New Roman"/>
          <w:sz w:val="22"/>
          <w:szCs w:val="22"/>
          <w:lang w:val="en-GB"/>
        </w:rPr>
        <w:t xml:space="preserve"> rights and </w:t>
      </w:r>
      <w:r w:rsidRPr="004A29F9">
        <w:rPr>
          <w:rFonts w:ascii="Times New Roman" w:hAnsi="Times New Roman" w:cs="Times New Roman"/>
          <w:sz w:val="22"/>
          <w:szCs w:val="22"/>
          <w:lang w:val="en-GB"/>
        </w:rPr>
        <w:t xml:space="preserve">new laws.   </w:t>
      </w:r>
    </w:p>
    <w:p w:rsidR="004E1049" w:rsidRDefault="004E1049" w:rsidP="00FB6759">
      <w:pPr>
        <w:spacing w:after="0" w:line="240" w:lineRule="auto"/>
        <w:jc w:val="both"/>
        <w:rPr>
          <w:rFonts w:ascii="Times New Roman" w:hAnsi="Times New Roman" w:cs="Times New Roman"/>
          <w:sz w:val="22"/>
          <w:szCs w:val="22"/>
          <w:lang w:val="en-GB"/>
        </w:rPr>
      </w:pPr>
    </w:p>
    <w:p w:rsidR="007752F4" w:rsidRDefault="0072050B"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While the overall assessment of t</w:t>
      </w:r>
      <w:r w:rsidR="00421BD3">
        <w:rPr>
          <w:rFonts w:ascii="Times New Roman" w:hAnsi="Times New Roman" w:cs="Times New Roman"/>
          <w:sz w:val="22"/>
          <w:szCs w:val="22"/>
          <w:lang w:val="en-GB"/>
        </w:rPr>
        <w:t>he CSI</w:t>
      </w:r>
      <w:r w:rsidRPr="004A29F9">
        <w:rPr>
          <w:rFonts w:ascii="Times New Roman" w:hAnsi="Times New Roman" w:cs="Times New Roman"/>
          <w:sz w:val="22"/>
          <w:szCs w:val="22"/>
          <w:lang w:val="en-GB"/>
        </w:rPr>
        <w:t xml:space="preserve"> is highly favourable,</w:t>
      </w:r>
      <w:r w:rsidR="007752F4" w:rsidRPr="004A29F9">
        <w:rPr>
          <w:rFonts w:ascii="Times New Roman" w:hAnsi="Times New Roman" w:cs="Times New Roman"/>
          <w:sz w:val="22"/>
          <w:szCs w:val="22"/>
          <w:lang w:val="en-GB"/>
        </w:rPr>
        <w:t xml:space="preserve"> key q</w:t>
      </w:r>
      <w:r w:rsidR="00421BD3">
        <w:rPr>
          <w:rFonts w:ascii="Times New Roman" w:hAnsi="Times New Roman" w:cs="Times New Roman"/>
          <w:sz w:val="22"/>
          <w:szCs w:val="22"/>
          <w:lang w:val="en-GB"/>
        </w:rPr>
        <w:t xml:space="preserve">uestions going forward for UNDP </w:t>
      </w:r>
      <w:r w:rsidR="007752F4" w:rsidRPr="004A29F9">
        <w:rPr>
          <w:rFonts w:ascii="Times New Roman" w:hAnsi="Times New Roman" w:cs="Times New Roman"/>
          <w:sz w:val="22"/>
          <w:szCs w:val="22"/>
          <w:lang w:val="en-GB"/>
        </w:rPr>
        <w:t>will be whether such awareness raising activities can be made more strategic; are the most cost-effective use of limited resources; and whether awareness raising should be scaled-down in favour of scaling-up other</w:t>
      </w:r>
      <w:r w:rsidR="00421BD3">
        <w:rPr>
          <w:rFonts w:ascii="Times New Roman" w:hAnsi="Times New Roman" w:cs="Times New Roman"/>
          <w:sz w:val="22"/>
          <w:szCs w:val="22"/>
          <w:lang w:val="en-GB"/>
        </w:rPr>
        <w:t xml:space="preserve"> aspects of the p</w:t>
      </w:r>
      <w:r w:rsidR="007752F4" w:rsidRPr="004A29F9">
        <w:rPr>
          <w:rFonts w:ascii="Times New Roman" w:hAnsi="Times New Roman" w:cs="Times New Roman"/>
          <w:sz w:val="22"/>
          <w:szCs w:val="22"/>
          <w:lang w:val="en-GB"/>
        </w:rPr>
        <w:t xml:space="preserve">rogramme. It is certainly fair to say that not </w:t>
      </w:r>
      <w:r w:rsidR="007752F4" w:rsidRPr="004A29F9">
        <w:rPr>
          <w:rFonts w:ascii="Times New Roman" w:hAnsi="Times New Roman" w:cs="Times New Roman"/>
          <w:i/>
          <w:sz w:val="22"/>
          <w:szCs w:val="22"/>
          <w:lang w:val="en-GB"/>
        </w:rPr>
        <w:t xml:space="preserve">all </w:t>
      </w:r>
      <w:r w:rsidR="007752F4" w:rsidRPr="004A29F9">
        <w:rPr>
          <w:rFonts w:ascii="Times New Roman" w:hAnsi="Times New Roman" w:cs="Times New Roman"/>
          <w:sz w:val="22"/>
          <w:szCs w:val="22"/>
          <w:lang w:val="en-GB"/>
        </w:rPr>
        <w:t xml:space="preserve">CSOs in the programme should be doing </w:t>
      </w:r>
      <w:r w:rsidR="007752F4" w:rsidRPr="004A29F9">
        <w:rPr>
          <w:rFonts w:ascii="Times New Roman" w:hAnsi="Times New Roman" w:cs="Times New Roman"/>
          <w:i/>
          <w:sz w:val="22"/>
          <w:szCs w:val="22"/>
          <w:lang w:val="en-GB"/>
        </w:rPr>
        <w:t xml:space="preserve">all </w:t>
      </w:r>
      <w:r w:rsidR="007752F4" w:rsidRPr="004A29F9">
        <w:rPr>
          <w:rFonts w:ascii="Times New Roman" w:hAnsi="Times New Roman" w:cs="Times New Roman"/>
          <w:sz w:val="22"/>
          <w:szCs w:val="22"/>
          <w:lang w:val="en-GB"/>
        </w:rPr>
        <w:t>things</w:t>
      </w:r>
      <w:r w:rsidR="008607E6" w:rsidRPr="004A29F9">
        <w:rPr>
          <w:rFonts w:ascii="Times New Roman" w:hAnsi="Times New Roman" w:cs="Times New Roman"/>
          <w:sz w:val="22"/>
          <w:szCs w:val="22"/>
          <w:lang w:val="en-GB"/>
        </w:rPr>
        <w:t xml:space="preserve"> (i.e. legal aid, awareness-raising/advocacy </w:t>
      </w:r>
      <w:r w:rsidR="008607E6" w:rsidRPr="004A29F9">
        <w:rPr>
          <w:rFonts w:ascii="Times New Roman" w:hAnsi="Times New Roman" w:cs="Times New Roman"/>
          <w:i/>
          <w:sz w:val="22"/>
          <w:szCs w:val="22"/>
          <w:lang w:val="en-GB"/>
        </w:rPr>
        <w:t>and</w:t>
      </w:r>
      <w:r w:rsidR="008607E6" w:rsidRPr="004A29F9">
        <w:rPr>
          <w:rFonts w:ascii="Times New Roman" w:hAnsi="Times New Roman" w:cs="Times New Roman"/>
          <w:sz w:val="22"/>
          <w:szCs w:val="22"/>
          <w:lang w:val="en-GB"/>
        </w:rPr>
        <w:t xml:space="preserve"> publications)</w:t>
      </w:r>
      <w:r w:rsidR="007752F4" w:rsidRPr="004A29F9">
        <w:rPr>
          <w:rFonts w:ascii="Times New Roman" w:hAnsi="Times New Roman" w:cs="Times New Roman"/>
          <w:sz w:val="22"/>
          <w:szCs w:val="22"/>
          <w:lang w:val="en-GB"/>
        </w:rPr>
        <w:t xml:space="preserve">. </w:t>
      </w:r>
      <w:r w:rsidR="00AA25E0" w:rsidRPr="004A29F9">
        <w:rPr>
          <w:rFonts w:ascii="Times New Roman" w:hAnsi="Times New Roman" w:cs="Times New Roman"/>
          <w:sz w:val="22"/>
          <w:szCs w:val="22"/>
          <w:lang w:val="en-GB"/>
        </w:rPr>
        <w:t>Going forward</w:t>
      </w:r>
      <w:r w:rsidR="00421BD3">
        <w:rPr>
          <w:rFonts w:ascii="Times New Roman" w:hAnsi="Times New Roman" w:cs="Times New Roman"/>
          <w:sz w:val="22"/>
          <w:szCs w:val="22"/>
          <w:lang w:val="en-GB"/>
        </w:rPr>
        <w:t xml:space="preserve">, </w:t>
      </w:r>
      <w:r w:rsidR="00AA25E0" w:rsidRPr="004A29F9">
        <w:rPr>
          <w:rFonts w:ascii="Times New Roman" w:hAnsi="Times New Roman" w:cs="Times New Roman"/>
          <w:sz w:val="22"/>
          <w:szCs w:val="22"/>
          <w:lang w:val="en-GB"/>
        </w:rPr>
        <w:t xml:space="preserve">UNDP </w:t>
      </w:r>
      <w:r w:rsidR="008607E6" w:rsidRPr="004A29F9">
        <w:rPr>
          <w:rFonts w:ascii="Times New Roman" w:hAnsi="Times New Roman" w:cs="Times New Roman"/>
          <w:sz w:val="22"/>
          <w:szCs w:val="22"/>
          <w:lang w:val="en-GB"/>
        </w:rPr>
        <w:t>is encouraged to critically assess in detail the performance of each of the CSO grant recipients, as well as their demonstrated capacities and relative strengths</w:t>
      </w:r>
      <w:r w:rsidR="002A2B30" w:rsidRPr="004A29F9">
        <w:rPr>
          <w:rFonts w:ascii="Times New Roman" w:hAnsi="Times New Roman" w:cs="Times New Roman"/>
          <w:sz w:val="22"/>
          <w:szCs w:val="22"/>
          <w:lang w:val="en-GB"/>
        </w:rPr>
        <w:t xml:space="preserve"> for conducting advocacy</w:t>
      </w:r>
      <w:r w:rsidR="008607E6" w:rsidRPr="004A29F9">
        <w:rPr>
          <w:rFonts w:ascii="Times New Roman" w:hAnsi="Times New Roman" w:cs="Times New Roman"/>
          <w:sz w:val="22"/>
          <w:szCs w:val="22"/>
          <w:lang w:val="en-GB"/>
        </w:rPr>
        <w:t xml:space="preserve">. </w:t>
      </w:r>
      <w:r w:rsidR="003765DA" w:rsidRPr="004A29F9">
        <w:rPr>
          <w:rFonts w:ascii="Times New Roman" w:hAnsi="Times New Roman" w:cs="Times New Roman"/>
          <w:sz w:val="22"/>
          <w:szCs w:val="22"/>
          <w:lang w:val="en-GB"/>
        </w:rPr>
        <w:t xml:space="preserve">Awareness raising and advocacy could also be more focused on UNDP’s development role and keep a clearer distinction between UNDP’s role and </w:t>
      </w:r>
      <w:r w:rsidR="00421BD3">
        <w:rPr>
          <w:rFonts w:ascii="Times New Roman" w:hAnsi="Times New Roman" w:cs="Times New Roman"/>
          <w:sz w:val="22"/>
          <w:szCs w:val="22"/>
          <w:lang w:val="en-GB"/>
        </w:rPr>
        <w:t>the role of human rights organis</w:t>
      </w:r>
      <w:r w:rsidR="003765DA" w:rsidRPr="004A29F9">
        <w:rPr>
          <w:rFonts w:ascii="Times New Roman" w:hAnsi="Times New Roman" w:cs="Times New Roman"/>
          <w:sz w:val="22"/>
          <w:szCs w:val="22"/>
          <w:lang w:val="en-GB"/>
        </w:rPr>
        <w:t xml:space="preserve">ations. UNDP must continue to exercise supervision, mentoring and </w:t>
      </w:r>
      <w:r w:rsidR="0026364C" w:rsidRPr="004A29F9">
        <w:rPr>
          <w:rFonts w:ascii="Times New Roman" w:hAnsi="Times New Roman" w:cs="Times New Roman"/>
          <w:sz w:val="22"/>
          <w:szCs w:val="22"/>
          <w:lang w:val="en-GB"/>
        </w:rPr>
        <w:t xml:space="preserve">accountability standards over smaller </w:t>
      </w:r>
      <w:r w:rsidR="00421BD3">
        <w:rPr>
          <w:rFonts w:ascii="Times New Roman" w:hAnsi="Times New Roman" w:cs="Times New Roman"/>
          <w:sz w:val="22"/>
          <w:szCs w:val="22"/>
          <w:lang w:val="en-GB"/>
        </w:rPr>
        <w:t>grass</w:t>
      </w:r>
      <w:r w:rsidR="0026364C" w:rsidRPr="004A29F9">
        <w:rPr>
          <w:rFonts w:ascii="Times New Roman" w:hAnsi="Times New Roman" w:cs="Times New Roman"/>
          <w:sz w:val="22"/>
          <w:szCs w:val="22"/>
          <w:lang w:val="en-GB"/>
        </w:rPr>
        <w:t>roots C</w:t>
      </w:r>
      <w:r w:rsidR="00421BD3">
        <w:rPr>
          <w:rFonts w:ascii="Times New Roman" w:hAnsi="Times New Roman" w:cs="Times New Roman"/>
          <w:sz w:val="22"/>
          <w:szCs w:val="22"/>
          <w:lang w:val="en-GB"/>
        </w:rPr>
        <w:t>SOs to ensure that these organis</w:t>
      </w:r>
      <w:r w:rsidR="0026364C" w:rsidRPr="004A29F9">
        <w:rPr>
          <w:rFonts w:ascii="Times New Roman" w:hAnsi="Times New Roman" w:cs="Times New Roman"/>
          <w:sz w:val="22"/>
          <w:szCs w:val="22"/>
          <w:lang w:val="en-GB"/>
        </w:rPr>
        <w:t>ations possesses the actual capacity to conduct outputs on the ground (not simply stated capacities on paper).</w:t>
      </w:r>
    </w:p>
    <w:p w:rsidR="00421BD3" w:rsidRPr="004A29F9" w:rsidRDefault="00421BD3" w:rsidP="00FB6759">
      <w:pPr>
        <w:spacing w:after="0" w:line="240" w:lineRule="auto"/>
        <w:jc w:val="both"/>
        <w:rPr>
          <w:rFonts w:ascii="Times New Roman" w:hAnsi="Times New Roman" w:cs="Times New Roman"/>
          <w:sz w:val="22"/>
          <w:szCs w:val="22"/>
          <w:lang w:val="en-GB"/>
        </w:rPr>
      </w:pPr>
    </w:p>
    <w:p w:rsidR="002F20BD" w:rsidRPr="004A29F9" w:rsidRDefault="00421BD3"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The discussion below summaris</w:t>
      </w:r>
      <w:r w:rsidR="00780B14" w:rsidRPr="004A29F9">
        <w:rPr>
          <w:rFonts w:ascii="Times New Roman" w:hAnsi="Times New Roman" w:cs="Times New Roman"/>
          <w:sz w:val="22"/>
          <w:szCs w:val="22"/>
          <w:lang w:val="en-GB"/>
        </w:rPr>
        <w:t xml:space="preserve">es the </w:t>
      </w:r>
      <w:r w:rsidR="00780B14" w:rsidRPr="004A29F9">
        <w:rPr>
          <w:rFonts w:ascii="Times New Roman" w:hAnsi="Times New Roman" w:cs="Times New Roman"/>
          <w:i/>
          <w:sz w:val="22"/>
          <w:szCs w:val="22"/>
          <w:lang w:val="en-GB"/>
        </w:rPr>
        <w:t>substantive nature and impact</w:t>
      </w:r>
      <w:r w:rsidR="00780B14" w:rsidRPr="004A29F9">
        <w:rPr>
          <w:rFonts w:ascii="Times New Roman" w:hAnsi="Times New Roman" w:cs="Times New Roman"/>
          <w:sz w:val="22"/>
          <w:szCs w:val="22"/>
          <w:lang w:val="en-GB"/>
        </w:rPr>
        <w:t xml:space="preserve"> of</w:t>
      </w:r>
      <w:r>
        <w:rPr>
          <w:rFonts w:ascii="Times New Roman" w:hAnsi="Times New Roman" w:cs="Times New Roman"/>
          <w:sz w:val="22"/>
          <w:szCs w:val="22"/>
          <w:lang w:val="en-GB"/>
        </w:rPr>
        <w:t xml:space="preserve"> UNDPs support under Outcome 2</w:t>
      </w:r>
      <w:r w:rsidR="00780B14" w:rsidRPr="004A29F9">
        <w:rPr>
          <w:rFonts w:ascii="Times New Roman" w:hAnsi="Times New Roman" w:cs="Times New Roman"/>
          <w:sz w:val="22"/>
          <w:szCs w:val="22"/>
          <w:lang w:val="en-GB"/>
        </w:rPr>
        <w:t>. UNDP support to similar initiatives i</w:t>
      </w:r>
      <w:r>
        <w:rPr>
          <w:rFonts w:ascii="Times New Roman" w:hAnsi="Times New Roman" w:cs="Times New Roman"/>
          <w:sz w:val="22"/>
          <w:szCs w:val="22"/>
          <w:lang w:val="en-GB"/>
        </w:rPr>
        <w:t>n Gaza is discussed under Outcome 4.</w:t>
      </w:r>
    </w:p>
    <w:p w:rsidR="00030D26" w:rsidRDefault="00030D26" w:rsidP="00FB6759">
      <w:pPr>
        <w:spacing w:after="0" w:line="240" w:lineRule="auto"/>
        <w:jc w:val="both"/>
        <w:rPr>
          <w:rFonts w:ascii="Times New Roman" w:hAnsi="Times New Roman" w:cs="Times New Roman"/>
          <w:sz w:val="22"/>
          <w:szCs w:val="22"/>
          <w:lang w:val="en-GB"/>
        </w:rPr>
      </w:pPr>
    </w:p>
    <w:p w:rsidR="00421BD3" w:rsidRDefault="00421BD3" w:rsidP="00FB6759">
      <w:pPr>
        <w:spacing w:after="0" w:line="240" w:lineRule="auto"/>
        <w:jc w:val="both"/>
        <w:rPr>
          <w:rFonts w:ascii="Times New Roman" w:hAnsi="Times New Roman" w:cs="Times New Roman"/>
          <w:sz w:val="22"/>
          <w:szCs w:val="22"/>
          <w:lang w:val="en-GB"/>
        </w:rPr>
      </w:pPr>
    </w:p>
    <w:p w:rsidR="00421BD3" w:rsidRDefault="00421BD3" w:rsidP="00FB6759">
      <w:pPr>
        <w:spacing w:after="0" w:line="240" w:lineRule="auto"/>
        <w:jc w:val="both"/>
        <w:rPr>
          <w:rFonts w:ascii="Times New Roman" w:hAnsi="Times New Roman" w:cs="Times New Roman"/>
          <w:sz w:val="22"/>
          <w:szCs w:val="22"/>
          <w:lang w:val="en-GB"/>
        </w:rPr>
      </w:pPr>
    </w:p>
    <w:p w:rsidR="00421BD3" w:rsidRPr="004A29F9" w:rsidRDefault="00421BD3" w:rsidP="00FB6759">
      <w:pPr>
        <w:spacing w:after="0" w:line="240" w:lineRule="auto"/>
        <w:jc w:val="both"/>
        <w:rPr>
          <w:rFonts w:ascii="Times New Roman" w:hAnsi="Times New Roman" w:cs="Times New Roman"/>
          <w:sz w:val="22"/>
          <w:szCs w:val="22"/>
          <w:lang w:val="en-GB"/>
        </w:rPr>
      </w:pPr>
    </w:p>
    <w:p w:rsidR="006853A8" w:rsidRPr="004E1049" w:rsidRDefault="006853A8" w:rsidP="00FB6759">
      <w:pPr>
        <w:spacing w:after="0" w:line="240" w:lineRule="auto"/>
        <w:jc w:val="both"/>
        <w:rPr>
          <w:rFonts w:ascii="Times New Roman" w:hAnsi="Times New Roman" w:cs="Times New Roman"/>
          <w:i/>
          <w:sz w:val="22"/>
          <w:szCs w:val="22"/>
          <w:lang w:val="en-GB"/>
        </w:rPr>
      </w:pPr>
      <w:r w:rsidRPr="004E1049">
        <w:rPr>
          <w:rFonts w:ascii="Times New Roman" w:hAnsi="Times New Roman" w:cs="Times New Roman"/>
          <w:i/>
          <w:sz w:val="22"/>
          <w:szCs w:val="22"/>
          <w:lang w:val="en-GB"/>
        </w:rPr>
        <w:lastRenderedPageBreak/>
        <w:t>Output 2.1: Legal aid services provided and strengthened, particularly for the poor and disadvantaged</w:t>
      </w:r>
    </w:p>
    <w:p w:rsidR="004E1049" w:rsidRDefault="004E1049" w:rsidP="00FB6759">
      <w:pPr>
        <w:spacing w:after="0" w:line="240" w:lineRule="auto"/>
        <w:jc w:val="both"/>
        <w:rPr>
          <w:rFonts w:ascii="Times New Roman" w:hAnsi="Times New Roman" w:cs="Times New Roman"/>
          <w:sz w:val="22"/>
          <w:szCs w:val="22"/>
          <w:lang w:val="en-GB"/>
        </w:rPr>
      </w:pPr>
    </w:p>
    <w:p w:rsidR="000E2B0E" w:rsidRDefault="001F07C1"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Even before the UNDP programme was initiated, an absence of strong legal aid services was identified by key stakeholders as a serious obstacle to access to justice in the oPt.</w:t>
      </w:r>
      <w:r w:rsidRPr="004A29F9">
        <w:rPr>
          <w:rStyle w:val="FootnoteReference"/>
          <w:rFonts w:ascii="Times New Roman" w:hAnsi="Times New Roman" w:cs="Times New Roman"/>
          <w:sz w:val="22"/>
          <w:szCs w:val="22"/>
          <w:lang w:val="en-GB"/>
        </w:rPr>
        <w:footnoteReference w:id="114"/>
      </w:r>
      <w:r w:rsidR="00971E36" w:rsidRPr="004A29F9">
        <w:rPr>
          <w:rFonts w:ascii="Times New Roman" w:hAnsi="Times New Roman" w:cs="Times New Roman"/>
          <w:sz w:val="22"/>
          <w:szCs w:val="22"/>
          <w:lang w:val="en-GB"/>
        </w:rPr>
        <w:t>The Ministry of Justice established a Legal Aid Department within th</w:t>
      </w:r>
      <w:r w:rsidR="00555DF4">
        <w:rPr>
          <w:rFonts w:ascii="Times New Roman" w:hAnsi="Times New Roman" w:cs="Times New Roman"/>
          <w:sz w:val="22"/>
          <w:szCs w:val="22"/>
          <w:lang w:val="en-GB"/>
        </w:rPr>
        <w:t xml:space="preserve">e Judicial Affairs Unit in </w:t>
      </w:r>
      <w:r w:rsidR="00971E36" w:rsidRPr="004A29F9">
        <w:rPr>
          <w:rFonts w:ascii="Times New Roman" w:hAnsi="Times New Roman" w:cs="Times New Roman"/>
          <w:sz w:val="22"/>
          <w:szCs w:val="22"/>
          <w:lang w:val="en-GB"/>
        </w:rPr>
        <w:t>2010 and assigned one staff member to it, a lawyer supported by external funds through UNDP.</w:t>
      </w:r>
      <w:r w:rsidR="00971E36" w:rsidRPr="004A29F9">
        <w:rPr>
          <w:rStyle w:val="FootnoteReference"/>
          <w:rFonts w:ascii="Times New Roman" w:hAnsi="Times New Roman" w:cs="Times New Roman"/>
          <w:sz w:val="22"/>
          <w:szCs w:val="22"/>
          <w:lang w:val="en-GB"/>
        </w:rPr>
        <w:footnoteReference w:id="115"/>
      </w:r>
    </w:p>
    <w:p w:rsidR="004E1049" w:rsidRPr="004A29F9" w:rsidRDefault="004E1049" w:rsidP="00FB6759">
      <w:pPr>
        <w:spacing w:after="0" w:line="240" w:lineRule="auto"/>
        <w:jc w:val="both"/>
        <w:rPr>
          <w:rFonts w:ascii="Times New Roman" w:hAnsi="Times New Roman" w:cs="Times New Roman"/>
          <w:sz w:val="22"/>
          <w:szCs w:val="22"/>
          <w:lang w:val="en-GB"/>
        </w:rPr>
      </w:pPr>
    </w:p>
    <w:p w:rsidR="00E3249C" w:rsidRPr="004A29F9" w:rsidRDefault="00C77577" w:rsidP="00FB6759">
      <w:pPr>
        <w:spacing w:after="0" w:line="240" w:lineRule="auto"/>
        <w:jc w:val="both"/>
        <w:rPr>
          <w:rFonts w:ascii="Times New Roman" w:hAnsi="Times New Roman" w:cs="Times New Roman"/>
          <w:i/>
          <w:sz w:val="22"/>
          <w:szCs w:val="22"/>
          <w:lang w:val="en-GB"/>
        </w:rPr>
      </w:pPr>
      <w:r w:rsidRPr="004A29F9">
        <w:rPr>
          <w:rFonts w:ascii="Times New Roman" w:hAnsi="Times New Roman" w:cs="Times New Roman"/>
          <w:sz w:val="22"/>
          <w:szCs w:val="22"/>
          <w:lang w:val="en-GB"/>
        </w:rPr>
        <w:t>According to donors, the</w:t>
      </w:r>
      <w:r w:rsidR="00901073" w:rsidRPr="004A29F9">
        <w:rPr>
          <w:rFonts w:ascii="Times New Roman" w:hAnsi="Times New Roman" w:cs="Times New Roman"/>
          <w:sz w:val="22"/>
          <w:szCs w:val="22"/>
          <w:lang w:val="en-GB"/>
        </w:rPr>
        <w:t xml:space="preserve"> legal aid expert seconded to the </w:t>
      </w:r>
      <w:r w:rsidR="00555DF4">
        <w:rPr>
          <w:rFonts w:ascii="Times New Roman" w:hAnsi="Times New Roman" w:cs="Times New Roman"/>
          <w:sz w:val="22"/>
          <w:szCs w:val="22"/>
          <w:lang w:val="en-GB"/>
        </w:rPr>
        <w:t>MO</w:t>
      </w:r>
      <w:r w:rsidR="00FE43A5" w:rsidRPr="004A29F9">
        <w:rPr>
          <w:rFonts w:ascii="Times New Roman" w:hAnsi="Times New Roman" w:cs="Times New Roman"/>
          <w:sz w:val="22"/>
          <w:szCs w:val="22"/>
          <w:lang w:val="en-GB"/>
        </w:rPr>
        <w:t>J</w:t>
      </w:r>
      <w:r w:rsidR="00901073" w:rsidRPr="004A29F9">
        <w:rPr>
          <w:rFonts w:ascii="Times New Roman" w:hAnsi="Times New Roman" w:cs="Times New Roman"/>
          <w:sz w:val="22"/>
          <w:szCs w:val="22"/>
          <w:lang w:val="en-GB"/>
        </w:rPr>
        <w:t xml:space="preserve"> by UNDP has been instrumental in advancing the legal aid agenda</w:t>
      </w:r>
      <w:r w:rsidRPr="004A29F9">
        <w:rPr>
          <w:rFonts w:ascii="Times New Roman" w:hAnsi="Times New Roman" w:cs="Times New Roman"/>
          <w:sz w:val="22"/>
          <w:szCs w:val="22"/>
          <w:lang w:val="en-GB"/>
        </w:rPr>
        <w:t>.</w:t>
      </w:r>
      <w:r w:rsidR="00901073" w:rsidRPr="004A29F9">
        <w:rPr>
          <w:rStyle w:val="FootnoteReference"/>
          <w:rFonts w:ascii="Times New Roman" w:hAnsi="Times New Roman" w:cs="Times New Roman"/>
          <w:sz w:val="22"/>
          <w:szCs w:val="22"/>
          <w:lang w:val="en-GB"/>
        </w:rPr>
        <w:footnoteReference w:id="116"/>
      </w:r>
      <w:r w:rsidRPr="004A29F9">
        <w:rPr>
          <w:rFonts w:ascii="Times New Roman" w:hAnsi="Times New Roman" w:cs="Times New Roman"/>
          <w:sz w:val="22"/>
          <w:szCs w:val="22"/>
          <w:lang w:val="en-GB"/>
        </w:rPr>
        <w:t xml:space="preserve"> In addition, a senior legal expert was also seconded by UNDP to assist the </w:t>
      </w:r>
      <w:r w:rsidR="00555DF4">
        <w:rPr>
          <w:rFonts w:ascii="Times New Roman" w:hAnsi="Times New Roman" w:cs="Times New Roman"/>
          <w:sz w:val="22"/>
          <w:szCs w:val="22"/>
          <w:lang w:val="en-GB"/>
        </w:rPr>
        <w:t>MO</w:t>
      </w:r>
      <w:r w:rsidR="00FE43A5" w:rsidRPr="004A29F9">
        <w:rPr>
          <w:rFonts w:ascii="Times New Roman" w:hAnsi="Times New Roman" w:cs="Times New Roman"/>
          <w:sz w:val="22"/>
          <w:szCs w:val="22"/>
          <w:lang w:val="en-GB"/>
        </w:rPr>
        <w:t>J</w:t>
      </w:r>
      <w:r w:rsidRPr="004A29F9">
        <w:rPr>
          <w:rFonts w:ascii="Times New Roman" w:hAnsi="Times New Roman" w:cs="Times New Roman"/>
          <w:sz w:val="22"/>
          <w:szCs w:val="22"/>
          <w:lang w:val="en-GB"/>
        </w:rPr>
        <w:t xml:space="preserve"> with the development of a comprehensive national legal aid strategy.</w:t>
      </w:r>
      <w:r w:rsidRPr="004A29F9">
        <w:rPr>
          <w:rStyle w:val="FootnoteReference"/>
          <w:rFonts w:ascii="Times New Roman" w:hAnsi="Times New Roman" w:cs="Times New Roman"/>
          <w:sz w:val="22"/>
          <w:szCs w:val="22"/>
          <w:lang w:val="en-GB"/>
        </w:rPr>
        <w:footnoteReference w:id="117"/>
      </w:r>
      <w:r w:rsidRPr="004A29F9">
        <w:rPr>
          <w:rFonts w:ascii="Times New Roman" w:hAnsi="Times New Roman" w:cs="Times New Roman"/>
          <w:sz w:val="22"/>
          <w:szCs w:val="22"/>
          <w:lang w:val="en-GB"/>
        </w:rPr>
        <w:t>The resulting draft</w:t>
      </w:r>
      <w:r w:rsidR="00923E2F" w:rsidRPr="004A29F9">
        <w:rPr>
          <w:rFonts w:ascii="Times New Roman" w:hAnsi="Times New Roman" w:cs="Times New Roman"/>
          <w:sz w:val="22"/>
          <w:szCs w:val="22"/>
          <w:lang w:val="en-GB"/>
        </w:rPr>
        <w:t xml:space="preserve"> strategy and a draft law on </w:t>
      </w:r>
      <w:r w:rsidRPr="004A29F9">
        <w:rPr>
          <w:rFonts w:ascii="Times New Roman" w:hAnsi="Times New Roman" w:cs="Times New Roman"/>
          <w:sz w:val="22"/>
          <w:szCs w:val="22"/>
          <w:lang w:val="en-GB"/>
        </w:rPr>
        <w:t xml:space="preserve">legal aid are </w:t>
      </w:r>
      <w:r w:rsidR="00923E2F" w:rsidRPr="004A29F9">
        <w:rPr>
          <w:rFonts w:ascii="Times New Roman" w:hAnsi="Times New Roman" w:cs="Times New Roman"/>
          <w:sz w:val="22"/>
          <w:szCs w:val="22"/>
          <w:lang w:val="en-GB"/>
        </w:rPr>
        <w:t>currently under discussion at the Ministry</w:t>
      </w:r>
      <w:r w:rsidR="00582C02" w:rsidRPr="004A29F9">
        <w:rPr>
          <w:rFonts w:ascii="Times New Roman" w:hAnsi="Times New Roman" w:cs="Times New Roman"/>
          <w:sz w:val="22"/>
          <w:szCs w:val="22"/>
          <w:lang w:val="en-GB"/>
        </w:rPr>
        <w:t>.</w:t>
      </w:r>
      <w:r w:rsidR="00C550D4" w:rsidRPr="004A29F9">
        <w:rPr>
          <w:rStyle w:val="FootnoteReference"/>
          <w:rFonts w:ascii="Times New Roman" w:hAnsi="Times New Roman" w:cs="Times New Roman"/>
          <w:sz w:val="22"/>
          <w:szCs w:val="22"/>
          <w:lang w:val="en-GB"/>
        </w:rPr>
        <w:footnoteReference w:id="118"/>
      </w:r>
      <w:r w:rsidR="00582C02" w:rsidRPr="004A29F9">
        <w:rPr>
          <w:rFonts w:ascii="Times New Roman" w:hAnsi="Times New Roman" w:cs="Times New Roman"/>
          <w:sz w:val="22"/>
          <w:szCs w:val="22"/>
          <w:lang w:val="en-GB"/>
        </w:rPr>
        <w:t xml:space="preserve">UNDP states that there is </w:t>
      </w:r>
      <w:r w:rsidR="00086D59" w:rsidRPr="004A29F9">
        <w:rPr>
          <w:rFonts w:ascii="Times New Roman" w:hAnsi="Times New Roman" w:cs="Times New Roman"/>
          <w:sz w:val="22"/>
          <w:szCs w:val="22"/>
          <w:lang w:val="en-GB"/>
        </w:rPr>
        <w:t>much</w:t>
      </w:r>
      <w:r w:rsidR="00582C02" w:rsidRPr="004A29F9">
        <w:rPr>
          <w:rFonts w:ascii="Times New Roman" w:hAnsi="Times New Roman" w:cs="Times New Roman"/>
          <w:sz w:val="22"/>
          <w:szCs w:val="22"/>
          <w:lang w:val="en-GB"/>
        </w:rPr>
        <w:t xml:space="preserve"> more work to be done in this area and to develop a comprehensive legal aid strategy</w:t>
      </w:r>
      <w:r w:rsidR="00923E2F" w:rsidRPr="004A29F9">
        <w:rPr>
          <w:rFonts w:ascii="Times New Roman" w:hAnsi="Times New Roman" w:cs="Times New Roman"/>
          <w:sz w:val="22"/>
          <w:szCs w:val="22"/>
          <w:lang w:val="en-GB"/>
        </w:rPr>
        <w:t>.</w:t>
      </w:r>
      <w:r w:rsidRPr="004A29F9">
        <w:rPr>
          <w:rFonts w:ascii="Times New Roman" w:hAnsi="Times New Roman" w:cs="Times New Roman"/>
          <w:sz w:val="22"/>
          <w:szCs w:val="22"/>
          <w:lang w:val="en-GB"/>
        </w:rPr>
        <w:t xml:space="preserve"> I</w:t>
      </w:r>
      <w:r w:rsidR="00555DF4">
        <w:rPr>
          <w:rFonts w:ascii="Times New Roman" w:hAnsi="Times New Roman" w:cs="Times New Roman"/>
          <w:sz w:val="22"/>
          <w:szCs w:val="22"/>
          <w:lang w:val="en-GB"/>
        </w:rPr>
        <w:t xml:space="preserve">n the event that the PNA </w:t>
      </w:r>
      <w:r w:rsidRPr="004A29F9">
        <w:rPr>
          <w:rFonts w:ascii="Times New Roman" w:hAnsi="Times New Roman" w:cs="Times New Roman"/>
          <w:sz w:val="22"/>
          <w:szCs w:val="22"/>
          <w:lang w:val="en-GB"/>
        </w:rPr>
        <w:t>endorses a legal aid strategy</w:t>
      </w:r>
      <w:r w:rsidR="00555DF4">
        <w:rPr>
          <w:rFonts w:ascii="Times New Roman" w:hAnsi="Times New Roman" w:cs="Times New Roman"/>
          <w:sz w:val="22"/>
          <w:szCs w:val="22"/>
          <w:lang w:val="en-GB"/>
        </w:rPr>
        <w:t>, it is likely that the MOJ</w:t>
      </w:r>
      <w:r w:rsidRPr="004A29F9">
        <w:rPr>
          <w:rFonts w:ascii="Times New Roman" w:hAnsi="Times New Roman" w:cs="Times New Roman"/>
          <w:sz w:val="22"/>
          <w:szCs w:val="22"/>
          <w:lang w:val="en-GB"/>
        </w:rPr>
        <w:t xml:space="preserve"> will require significant d</w:t>
      </w:r>
      <w:r w:rsidR="00555DF4">
        <w:rPr>
          <w:rFonts w:ascii="Times New Roman" w:hAnsi="Times New Roman" w:cs="Times New Roman"/>
          <w:sz w:val="22"/>
          <w:szCs w:val="22"/>
          <w:lang w:val="en-GB"/>
        </w:rPr>
        <w:t xml:space="preserve">onor assistance to implement it - </w:t>
      </w:r>
      <w:r w:rsidRPr="004A29F9">
        <w:rPr>
          <w:rFonts w:ascii="Times New Roman" w:hAnsi="Times New Roman" w:cs="Times New Roman"/>
          <w:sz w:val="22"/>
          <w:szCs w:val="22"/>
          <w:lang w:val="en-GB"/>
        </w:rPr>
        <w:t xml:space="preserve">particularly if the provision of legal aid extends beyond criminal cases to include civil disputes, as called for in the </w:t>
      </w:r>
      <w:r w:rsidR="00555DF4">
        <w:rPr>
          <w:rFonts w:ascii="Times New Roman" w:hAnsi="Times New Roman" w:cs="Times New Roman"/>
          <w:sz w:val="22"/>
          <w:szCs w:val="22"/>
          <w:lang w:val="en-GB"/>
        </w:rPr>
        <w:t>justice sector s</w:t>
      </w:r>
      <w:r w:rsidR="00044516" w:rsidRPr="004A29F9">
        <w:rPr>
          <w:rFonts w:ascii="Times New Roman" w:hAnsi="Times New Roman" w:cs="Times New Roman"/>
          <w:sz w:val="22"/>
          <w:szCs w:val="22"/>
          <w:lang w:val="en-GB"/>
        </w:rPr>
        <w:t>trategy.</w:t>
      </w:r>
      <w:r w:rsidR="00044516" w:rsidRPr="004A29F9">
        <w:rPr>
          <w:rStyle w:val="FootnoteReference"/>
          <w:rFonts w:ascii="Times New Roman" w:hAnsi="Times New Roman" w:cs="Times New Roman"/>
          <w:sz w:val="22"/>
          <w:szCs w:val="22"/>
          <w:lang w:val="en-GB"/>
        </w:rPr>
        <w:footnoteReference w:id="119"/>
      </w:r>
    </w:p>
    <w:p w:rsidR="004E1049" w:rsidRDefault="004E1049" w:rsidP="00FB6759">
      <w:pPr>
        <w:spacing w:after="0" w:line="240" w:lineRule="auto"/>
        <w:jc w:val="both"/>
        <w:rPr>
          <w:rFonts w:ascii="Times New Roman" w:hAnsi="Times New Roman" w:cs="Times New Roman"/>
          <w:sz w:val="22"/>
          <w:szCs w:val="22"/>
          <w:lang w:val="en-GB"/>
        </w:rPr>
      </w:pPr>
    </w:p>
    <w:p w:rsidR="00555DF4" w:rsidRDefault="00115387"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UNDP’s mapping study highlighted the fact that the PNA itself is doing little to pro</w:t>
      </w:r>
      <w:r w:rsidR="00FE0934" w:rsidRPr="004A29F9">
        <w:rPr>
          <w:rFonts w:ascii="Times New Roman" w:hAnsi="Times New Roman" w:cs="Times New Roman"/>
          <w:sz w:val="22"/>
          <w:szCs w:val="22"/>
          <w:lang w:val="en-GB"/>
        </w:rPr>
        <w:t>vide legal aid in Area</w:t>
      </w:r>
      <w:r w:rsidR="00555DF4">
        <w:rPr>
          <w:rFonts w:ascii="Times New Roman" w:hAnsi="Times New Roman" w:cs="Times New Roman"/>
          <w:sz w:val="22"/>
          <w:szCs w:val="22"/>
          <w:lang w:val="en-GB"/>
        </w:rPr>
        <w:t>s</w:t>
      </w:r>
      <w:r w:rsidR="00FE0934" w:rsidRPr="004A29F9">
        <w:rPr>
          <w:rFonts w:ascii="Times New Roman" w:hAnsi="Times New Roman" w:cs="Times New Roman"/>
          <w:sz w:val="22"/>
          <w:szCs w:val="22"/>
          <w:lang w:val="en-GB"/>
        </w:rPr>
        <w:t xml:space="preserve"> A and B.</w:t>
      </w:r>
      <w:r w:rsidR="000B293D" w:rsidRPr="004A29F9">
        <w:rPr>
          <w:rFonts w:ascii="Times New Roman" w:hAnsi="Times New Roman" w:cs="Times New Roman"/>
          <w:sz w:val="22"/>
          <w:szCs w:val="22"/>
          <w:lang w:val="en-GB"/>
        </w:rPr>
        <w:t xml:space="preserve">As noted above, Area C has unique access restrictions that are not being sufficiently challenged by the PNA. </w:t>
      </w:r>
      <w:r w:rsidR="00555DF4">
        <w:rPr>
          <w:rFonts w:ascii="Times New Roman" w:hAnsi="Times New Roman" w:cs="Times New Roman"/>
          <w:sz w:val="22"/>
          <w:szCs w:val="22"/>
          <w:lang w:val="en-GB"/>
        </w:rPr>
        <w:t xml:space="preserve">Given the absence of a national legal aid policy and proper state-sponsored legal aid services, </w:t>
      </w:r>
      <w:r w:rsidR="003B262C" w:rsidRPr="004A29F9">
        <w:rPr>
          <w:rFonts w:ascii="Times New Roman" w:hAnsi="Times New Roman" w:cs="Times New Roman"/>
          <w:sz w:val="22"/>
          <w:szCs w:val="22"/>
          <w:lang w:val="en-GB"/>
        </w:rPr>
        <w:t xml:space="preserve">UNDP </w:t>
      </w:r>
      <w:r w:rsidR="000B293D" w:rsidRPr="004A29F9">
        <w:rPr>
          <w:rFonts w:ascii="Times New Roman" w:hAnsi="Times New Roman" w:cs="Times New Roman"/>
          <w:sz w:val="22"/>
          <w:szCs w:val="22"/>
          <w:lang w:val="en-GB"/>
        </w:rPr>
        <w:t xml:space="preserve">made the strategic </w:t>
      </w:r>
      <w:r w:rsidR="003B262C" w:rsidRPr="004A29F9">
        <w:rPr>
          <w:rFonts w:ascii="Times New Roman" w:hAnsi="Times New Roman" w:cs="Times New Roman"/>
          <w:sz w:val="22"/>
          <w:szCs w:val="22"/>
          <w:lang w:val="en-GB"/>
        </w:rPr>
        <w:t xml:space="preserve">decision to </w:t>
      </w:r>
      <w:r w:rsidR="000B293D" w:rsidRPr="004A29F9">
        <w:rPr>
          <w:rFonts w:ascii="Times New Roman" w:hAnsi="Times New Roman" w:cs="Times New Roman"/>
          <w:sz w:val="22"/>
          <w:szCs w:val="22"/>
          <w:lang w:val="en-GB"/>
        </w:rPr>
        <w:t>support</w:t>
      </w:r>
      <w:r w:rsidR="00555DF4">
        <w:rPr>
          <w:rFonts w:ascii="Times New Roman" w:hAnsi="Times New Roman" w:cs="Times New Roman"/>
          <w:sz w:val="22"/>
          <w:szCs w:val="22"/>
          <w:lang w:val="en-GB"/>
        </w:rPr>
        <w:t xml:space="preserve"> grass</w:t>
      </w:r>
      <w:r w:rsidR="00A83B43" w:rsidRPr="004A29F9">
        <w:rPr>
          <w:rFonts w:ascii="Times New Roman" w:hAnsi="Times New Roman" w:cs="Times New Roman"/>
          <w:sz w:val="22"/>
          <w:szCs w:val="22"/>
          <w:lang w:val="en-GB"/>
        </w:rPr>
        <w:t xml:space="preserve">roots legal aid </w:t>
      </w:r>
      <w:r w:rsidR="00555DF4">
        <w:rPr>
          <w:rFonts w:ascii="Times New Roman" w:hAnsi="Times New Roman" w:cs="Times New Roman"/>
          <w:sz w:val="22"/>
          <w:szCs w:val="22"/>
          <w:lang w:val="en-GB"/>
        </w:rPr>
        <w:t>via its support to CSOs.</w:t>
      </w:r>
    </w:p>
    <w:p w:rsidR="004E1049" w:rsidRDefault="004E1049" w:rsidP="00FB6759">
      <w:pPr>
        <w:spacing w:after="0" w:line="240" w:lineRule="auto"/>
        <w:jc w:val="both"/>
        <w:rPr>
          <w:rFonts w:ascii="Times New Roman" w:hAnsi="Times New Roman" w:cs="Times New Roman"/>
          <w:i/>
          <w:sz w:val="22"/>
          <w:szCs w:val="22"/>
          <w:lang w:val="en-GB"/>
        </w:rPr>
      </w:pPr>
    </w:p>
    <w:p w:rsidR="00D45177" w:rsidRPr="004A29F9" w:rsidRDefault="00D45177" w:rsidP="00FB6759">
      <w:pPr>
        <w:spacing w:after="0" w:line="240" w:lineRule="auto"/>
        <w:jc w:val="both"/>
        <w:rPr>
          <w:rFonts w:ascii="Times New Roman" w:hAnsi="Times New Roman" w:cs="Times New Roman"/>
          <w:i/>
          <w:sz w:val="22"/>
          <w:szCs w:val="22"/>
          <w:lang w:val="en-GB"/>
        </w:rPr>
      </w:pPr>
      <w:r w:rsidRPr="004A29F9">
        <w:rPr>
          <w:rFonts w:ascii="Times New Roman" w:hAnsi="Times New Roman" w:cs="Times New Roman"/>
          <w:i/>
          <w:sz w:val="22"/>
          <w:szCs w:val="22"/>
          <w:lang w:val="en-GB"/>
        </w:rPr>
        <w:t>UNDP</w:t>
      </w:r>
      <w:r w:rsidR="00071CAA">
        <w:rPr>
          <w:rFonts w:ascii="Times New Roman" w:hAnsi="Times New Roman" w:cs="Times New Roman"/>
          <w:i/>
          <w:sz w:val="22"/>
          <w:szCs w:val="22"/>
          <w:lang w:val="en-GB"/>
        </w:rPr>
        <w:t xml:space="preserve"> supported CSO legal assistance </w:t>
      </w:r>
      <w:r w:rsidRPr="004A29F9">
        <w:rPr>
          <w:rFonts w:ascii="Times New Roman" w:hAnsi="Times New Roman" w:cs="Times New Roman"/>
          <w:i/>
          <w:sz w:val="22"/>
          <w:szCs w:val="22"/>
          <w:lang w:val="en-GB"/>
        </w:rPr>
        <w:t xml:space="preserve">and </w:t>
      </w:r>
      <w:r w:rsidR="00A9225D" w:rsidRPr="004A29F9">
        <w:rPr>
          <w:rFonts w:ascii="Times New Roman" w:hAnsi="Times New Roman" w:cs="Times New Roman"/>
          <w:i/>
          <w:sz w:val="22"/>
          <w:szCs w:val="22"/>
          <w:lang w:val="en-GB"/>
        </w:rPr>
        <w:t>representation in</w:t>
      </w:r>
      <w:r w:rsidR="00555DF4">
        <w:rPr>
          <w:rFonts w:ascii="Times New Roman" w:hAnsi="Times New Roman" w:cs="Times New Roman"/>
          <w:i/>
          <w:sz w:val="22"/>
          <w:szCs w:val="22"/>
          <w:lang w:val="en-GB"/>
        </w:rPr>
        <w:t xml:space="preserve"> the </w:t>
      </w:r>
      <w:r w:rsidR="00E4526F" w:rsidRPr="004A29F9">
        <w:rPr>
          <w:rFonts w:ascii="Times New Roman" w:hAnsi="Times New Roman" w:cs="Times New Roman"/>
          <w:i/>
          <w:sz w:val="22"/>
          <w:szCs w:val="22"/>
          <w:lang w:val="en-GB"/>
        </w:rPr>
        <w:t>West Ba</w:t>
      </w:r>
      <w:r w:rsidR="004E1049">
        <w:rPr>
          <w:rFonts w:ascii="Times New Roman" w:hAnsi="Times New Roman" w:cs="Times New Roman"/>
          <w:i/>
          <w:sz w:val="22"/>
          <w:szCs w:val="22"/>
          <w:lang w:val="en-GB"/>
        </w:rPr>
        <w:t>n</w:t>
      </w:r>
      <w:r w:rsidR="00490531">
        <w:rPr>
          <w:rFonts w:ascii="Times New Roman" w:hAnsi="Times New Roman" w:cs="Times New Roman"/>
          <w:i/>
          <w:sz w:val="22"/>
          <w:szCs w:val="22"/>
          <w:lang w:val="en-GB"/>
        </w:rPr>
        <w:t>k</w:t>
      </w:r>
      <w:r w:rsidR="00555DF4">
        <w:rPr>
          <w:rFonts w:ascii="Times New Roman" w:hAnsi="Times New Roman" w:cs="Times New Roman"/>
          <w:i/>
          <w:sz w:val="22"/>
          <w:szCs w:val="22"/>
          <w:lang w:val="en-GB"/>
        </w:rPr>
        <w:t>, including East Jerusalem</w:t>
      </w:r>
    </w:p>
    <w:p w:rsidR="004E1049" w:rsidRDefault="004E1049" w:rsidP="00FB6759">
      <w:pPr>
        <w:spacing w:after="0" w:line="240" w:lineRule="auto"/>
        <w:jc w:val="both"/>
        <w:rPr>
          <w:rFonts w:ascii="Times New Roman" w:hAnsi="Times New Roman" w:cs="Times New Roman"/>
          <w:sz w:val="22"/>
          <w:szCs w:val="22"/>
          <w:lang w:val="en-GB"/>
        </w:rPr>
      </w:pPr>
    </w:p>
    <w:p w:rsidR="00490531" w:rsidRDefault="00555DF4"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It is </w:t>
      </w:r>
      <w:r w:rsidR="00E4526F" w:rsidRPr="004A29F9">
        <w:rPr>
          <w:rFonts w:ascii="Times New Roman" w:hAnsi="Times New Roman" w:cs="Times New Roman"/>
          <w:sz w:val="22"/>
          <w:szCs w:val="22"/>
          <w:lang w:val="en-GB"/>
        </w:rPr>
        <w:t xml:space="preserve">important to note that </w:t>
      </w:r>
      <w:r w:rsidR="009A60FB" w:rsidRPr="004A29F9">
        <w:rPr>
          <w:rFonts w:ascii="Times New Roman" w:hAnsi="Times New Roman" w:cs="Times New Roman"/>
          <w:sz w:val="22"/>
          <w:szCs w:val="22"/>
          <w:lang w:val="en-GB"/>
        </w:rPr>
        <w:t xml:space="preserve">due to the nature of the legal process </w:t>
      </w:r>
      <w:r w:rsidR="00E4526F" w:rsidRPr="004A29F9">
        <w:rPr>
          <w:rFonts w:ascii="Times New Roman" w:hAnsi="Times New Roman" w:cs="Times New Roman"/>
          <w:sz w:val="22"/>
          <w:szCs w:val="22"/>
          <w:lang w:val="en-GB"/>
        </w:rPr>
        <w:t>the impact of the wor</w:t>
      </w:r>
      <w:r>
        <w:rPr>
          <w:rFonts w:ascii="Times New Roman" w:hAnsi="Times New Roman" w:cs="Times New Roman"/>
          <w:sz w:val="22"/>
          <w:szCs w:val="22"/>
          <w:lang w:val="en-GB"/>
        </w:rPr>
        <w:t xml:space="preserve">k done by UNDP supported CSOs </w:t>
      </w:r>
      <w:r w:rsidR="00E4526F" w:rsidRPr="004A29F9">
        <w:rPr>
          <w:rFonts w:ascii="Times New Roman" w:hAnsi="Times New Roman" w:cs="Times New Roman"/>
          <w:sz w:val="22"/>
          <w:szCs w:val="22"/>
          <w:lang w:val="en-GB"/>
        </w:rPr>
        <w:t xml:space="preserve">takes place fundamentally </w:t>
      </w:r>
      <w:r w:rsidR="009A60FB" w:rsidRPr="004A29F9">
        <w:rPr>
          <w:rFonts w:ascii="Times New Roman" w:hAnsi="Times New Roman" w:cs="Times New Roman"/>
          <w:sz w:val="22"/>
          <w:szCs w:val="22"/>
          <w:lang w:val="en-GB"/>
        </w:rPr>
        <w:t xml:space="preserve">at the </w:t>
      </w:r>
      <w:r w:rsidR="00126D98" w:rsidRPr="004A29F9">
        <w:rPr>
          <w:rFonts w:ascii="Times New Roman" w:hAnsi="Times New Roman" w:cs="Times New Roman"/>
          <w:sz w:val="22"/>
          <w:szCs w:val="22"/>
          <w:lang w:val="en-GB"/>
        </w:rPr>
        <w:t>level of individual Palestinian lives</w:t>
      </w:r>
      <w:r w:rsidR="009A60FB" w:rsidRPr="004A29F9">
        <w:rPr>
          <w:rFonts w:ascii="Times New Roman" w:hAnsi="Times New Roman" w:cs="Times New Roman"/>
          <w:sz w:val="22"/>
          <w:szCs w:val="22"/>
          <w:lang w:val="en-GB"/>
        </w:rPr>
        <w:t>. While legal advice, low-level mediations and lower court decisions can often be rendered within a short span of time, many cases before the courts and adminis</w:t>
      </w:r>
      <w:r>
        <w:rPr>
          <w:rFonts w:ascii="Times New Roman" w:hAnsi="Times New Roman" w:cs="Times New Roman"/>
          <w:sz w:val="22"/>
          <w:szCs w:val="22"/>
          <w:lang w:val="en-GB"/>
        </w:rPr>
        <w:t>trative authorities (whether Palestinian</w:t>
      </w:r>
      <w:r w:rsidR="009A60FB" w:rsidRPr="004A29F9">
        <w:rPr>
          <w:rFonts w:ascii="Times New Roman" w:hAnsi="Times New Roman" w:cs="Times New Roman"/>
          <w:sz w:val="22"/>
          <w:szCs w:val="22"/>
          <w:lang w:val="en-GB"/>
        </w:rPr>
        <w:t xml:space="preserve"> or Israeli) can drag on</w:t>
      </w:r>
      <w:r>
        <w:rPr>
          <w:rFonts w:ascii="Times New Roman" w:hAnsi="Times New Roman" w:cs="Times New Roman"/>
          <w:sz w:val="22"/>
          <w:szCs w:val="22"/>
          <w:lang w:val="en-GB"/>
        </w:rPr>
        <w:t xml:space="preserve"> for many months and even years - </w:t>
      </w:r>
      <w:r w:rsidR="009A60FB" w:rsidRPr="004A29F9">
        <w:rPr>
          <w:rFonts w:ascii="Times New Roman" w:hAnsi="Times New Roman" w:cs="Times New Roman"/>
          <w:sz w:val="22"/>
          <w:szCs w:val="22"/>
          <w:lang w:val="en-GB"/>
        </w:rPr>
        <w:t xml:space="preserve">especially if </w:t>
      </w:r>
      <w:r w:rsidR="00126D98" w:rsidRPr="004A29F9">
        <w:rPr>
          <w:rFonts w:ascii="Times New Roman" w:hAnsi="Times New Roman" w:cs="Times New Roman"/>
          <w:sz w:val="22"/>
          <w:szCs w:val="22"/>
          <w:lang w:val="en-GB"/>
        </w:rPr>
        <w:t xml:space="preserve">these involve appeals. Thus, in </w:t>
      </w:r>
      <w:r w:rsidR="009A60FB" w:rsidRPr="004A29F9">
        <w:rPr>
          <w:rFonts w:ascii="Times New Roman" w:hAnsi="Times New Roman" w:cs="Times New Roman"/>
          <w:sz w:val="22"/>
          <w:szCs w:val="22"/>
          <w:lang w:val="en-GB"/>
        </w:rPr>
        <w:t>assessing the effectiveness of UNDPs interventions</w:t>
      </w:r>
      <w:r w:rsidR="00126D98" w:rsidRPr="004A29F9">
        <w:rPr>
          <w:rFonts w:ascii="Times New Roman" w:hAnsi="Times New Roman" w:cs="Times New Roman"/>
          <w:sz w:val="22"/>
          <w:szCs w:val="22"/>
          <w:lang w:val="en-GB"/>
        </w:rPr>
        <w:t xml:space="preserve"> it is important not to focus on numbers alone, but also to keep in mind the potential t</w:t>
      </w:r>
      <w:r>
        <w:rPr>
          <w:rFonts w:ascii="Times New Roman" w:hAnsi="Times New Roman" w:cs="Times New Roman"/>
          <w:sz w:val="22"/>
          <w:szCs w:val="22"/>
          <w:lang w:val="en-GB"/>
        </w:rPr>
        <w:t xml:space="preserve">hat such discrete interventions </w:t>
      </w:r>
      <w:r w:rsidR="00126D98" w:rsidRPr="004A29F9">
        <w:rPr>
          <w:rFonts w:ascii="Times New Roman" w:hAnsi="Times New Roman" w:cs="Times New Roman"/>
          <w:sz w:val="22"/>
          <w:szCs w:val="22"/>
          <w:lang w:val="en-GB"/>
        </w:rPr>
        <w:t>have in the aggregate and over time to change the system.</w:t>
      </w:r>
    </w:p>
    <w:p w:rsidR="005664BD" w:rsidRPr="004A29F9" w:rsidRDefault="005664BD" w:rsidP="00FB6759">
      <w:pPr>
        <w:spacing w:after="0" w:line="240" w:lineRule="auto"/>
        <w:jc w:val="both"/>
        <w:rPr>
          <w:rFonts w:ascii="Times New Roman" w:hAnsi="Times New Roman" w:cs="Times New Roman"/>
          <w:sz w:val="22"/>
          <w:szCs w:val="22"/>
          <w:lang w:val="en-GB"/>
        </w:rPr>
      </w:pPr>
    </w:p>
    <w:p w:rsidR="00071CAA" w:rsidRDefault="00DB1705"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A number </w:t>
      </w:r>
      <w:r w:rsidR="00555DF4">
        <w:rPr>
          <w:rFonts w:ascii="Times New Roman" w:hAnsi="Times New Roman" w:cs="Times New Roman"/>
          <w:sz w:val="22"/>
          <w:szCs w:val="22"/>
          <w:lang w:val="en-GB"/>
        </w:rPr>
        <w:t xml:space="preserve">of UNDP supported CSOs </w:t>
      </w:r>
      <w:r w:rsidRPr="004A29F9">
        <w:rPr>
          <w:rFonts w:ascii="Times New Roman" w:hAnsi="Times New Roman" w:cs="Times New Roman"/>
          <w:sz w:val="22"/>
          <w:szCs w:val="22"/>
          <w:lang w:val="en-GB"/>
        </w:rPr>
        <w:t>have effectively combated the effects of the Israeli occupation and confiscations in East Jerusalem and represented Pal</w:t>
      </w:r>
      <w:r w:rsidR="00D476B3">
        <w:rPr>
          <w:rFonts w:ascii="Times New Roman" w:hAnsi="Times New Roman" w:cs="Times New Roman"/>
          <w:sz w:val="22"/>
          <w:szCs w:val="22"/>
          <w:lang w:val="en-GB"/>
        </w:rPr>
        <w:t>estinians before Israeli courts</w:t>
      </w:r>
      <w:r w:rsidR="00071CAA">
        <w:rPr>
          <w:rFonts w:ascii="Times New Roman" w:hAnsi="Times New Roman" w:cs="Times New Roman"/>
          <w:sz w:val="22"/>
          <w:szCs w:val="22"/>
          <w:lang w:val="en-GB"/>
        </w:rPr>
        <w:t xml:space="preserve">. UNDP’s </w:t>
      </w:r>
      <w:r w:rsidR="000721DA" w:rsidRPr="004A29F9">
        <w:rPr>
          <w:rFonts w:ascii="Times New Roman" w:hAnsi="Times New Roman" w:cs="Times New Roman"/>
          <w:sz w:val="22"/>
          <w:szCs w:val="22"/>
          <w:lang w:val="en-GB"/>
        </w:rPr>
        <w:t xml:space="preserve">focus on Area C and East Jerusalem has </w:t>
      </w:r>
      <w:r w:rsidR="00071CAA">
        <w:rPr>
          <w:rFonts w:ascii="Times New Roman" w:hAnsi="Times New Roman" w:cs="Times New Roman"/>
          <w:sz w:val="22"/>
          <w:szCs w:val="22"/>
          <w:lang w:val="en-GB"/>
        </w:rPr>
        <w:t>steadily increased during the programme’s first phase</w:t>
      </w:r>
      <w:r w:rsidR="000721DA" w:rsidRPr="004A29F9">
        <w:rPr>
          <w:rFonts w:ascii="Times New Roman" w:hAnsi="Times New Roman" w:cs="Times New Roman"/>
          <w:sz w:val="22"/>
          <w:szCs w:val="22"/>
          <w:lang w:val="en-GB"/>
        </w:rPr>
        <w:t>. UNDP estimate</w:t>
      </w:r>
      <w:r w:rsidR="00E53586" w:rsidRPr="004A29F9">
        <w:rPr>
          <w:rFonts w:ascii="Times New Roman" w:hAnsi="Times New Roman" w:cs="Times New Roman"/>
          <w:sz w:val="22"/>
          <w:szCs w:val="22"/>
          <w:lang w:val="en-GB"/>
        </w:rPr>
        <w:t>s</w:t>
      </w:r>
      <w:r w:rsidR="000721DA" w:rsidRPr="004A29F9">
        <w:rPr>
          <w:rFonts w:ascii="Times New Roman" w:hAnsi="Times New Roman" w:cs="Times New Roman"/>
          <w:sz w:val="22"/>
          <w:szCs w:val="22"/>
          <w:lang w:val="en-GB"/>
        </w:rPr>
        <w:t xml:space="preserve"> that </w:t>
      </w:r>
      <w:r w:rsidR="00A9225D" w:rsidRPr="004A29F9">
        <w:rPr>
          <w:rFonts w:ascii="Times New Roman" w:hAnsi="Times New Roman" w:cs="Times New Roman"/>
          <w:sz w:val="22"/>
          <w:szCs w:val="22"/>
          <w:lang w:val="en-GB"/>
        </w:rPr>
        <w:t>in</w:t>
      </w:r>
      <w:r w:rsidR="000721DA" w:rsidRPr="004A29F9">
        <w:rPr>
          <w:rFonts w:ascii="Times New Roman" w:hAnsi="Times New Roman" w:cs="Times New Roman"/>
          <w:sz w:val="22"/>
          <w:szCs w:val="22"/>
          <w:lang w:val="en-GB"/>
        </w:rPr>
        <w:t xml:space="preserve"> 2011, 5% of its legal representation and 5% of legal consultation services were provided in Area C and East Jerusalem. In 2012, this rose to 19.7% of legal representation (5.2% in Area C, 14.5% in East Jerusalem) and 16.5% of legal c</w:t>
      </w:r>
      <w:r w:rsidR="00071CAA">
        <w:rPr>
          <w:rFonts w:ascii="Times New Roman" w:hAnsi="Times New Roman" w:cs="Times New Roman"/>
          <w:sz w:val="22"/>
          <w:szCs w:val="22"/>
          <w:lang w:val="en-GB"/>
        </w:rPr>
        <w:t>onsultation services, (6.5</w:t>
      </w:r>
      <w:r w:rsidR="000721DA" w:rsidRPr="004A29F9">
        <w:rPr>
          <w:rFonts w:ascii="Times New Roman" w:hAnsi="Times New Roman" w:cs="Times New Roman"/>
          <w:sz w:val="22"/>
          <w:szCs w:val="22"/>
          <w:lang w:val="en-GB"/>
        </w:rPr>
        <w:t>% in Area C and 10% in East Jerusalem). In addition, 20.7%, of legal awareness raising beneficiaries in 2012 were fr</w:t>
      </w:r>
      <w:r w:rsidR="00071CAA">
        <w:rPr>
          <w:rFonts w:ascii="Times New Roman" w:hAnsi="Times New Roman" w:cs="Times New Roman"/>
          <w:sz w:val="22"/>
          <w:szCs w:val="22"/>
          <w:lang w:val="en-GB"/>
        </w:rPr>
        <w:t>om Area C or East Jerusalem (4.</w:t>
      </w:r>
      <w:r w:rsidR="000721DA" w:rsidRPr="004A29F9">
        <w:rPr>
          <w:rFonts w:ascii="Times New Roman" w:hAnsi="Times New Roman" w:cs="Times New Roman"/>
          <w:sz w:val="22"/>
          <w:szCs w:val="22"/>
          <w:lang w:val="en-GB"/>
        </w:rPr>
        <w:t>5% in Area C, 16.2% East Jerusalem).</w:t>
      </w:r>
      <w:r w:rsidR="000721DA" w:rsidRPr="004A29F9">
        <w:rPr>
          <w:rStyle w:val="FootnoteReference"/>
          <w:rFonts w:ascii="Times New Roman" w:hAnsi="Times New Roman" w:cs="Times New Roman"/>
          <w:sz w:val="22"/>
          <w:szCs w:val="22"/>
          <w:lang w:val="en-GB"/>
        </w:rPr>
        <w:footnoteReference w:id="120"/>
      </w:r>
    </w:p>
    <w:p w:rsidR="00071CAA" w:rsidRDefault="00071CAA" w:rsidP="00FB6759">
      <w:pPr>
        <w:spacing w:after="0" w:line="240" w:lineRule="auto"/>
        <w:jc w:val="both"/>
        <w:rPr>
          <w:rFonts w:ascii="Times New Roman" w:hAnsi="Times New Roman" w:cs="Times New Roman"/>
          <w:sz w:val="22"/>
          <w:szCs w:val="22"/>
          <w:lang w:val="en-GB"/>
        </w:rPr>
      </w:pPr>
    </w:p>
    <w:p w:rsidR="00490531" w:rsidRDefault="000721DA"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Large numbers of these individuals are women (and estimated 45% of recipients of legal representation and consultation). As of 2012, UNDP had 19 legal aid CSO partners who were working in Area C and East Jerusalem (14 in Area C, 3 in East Jerusalem and 2 partners that operate in both Area C and East </w:t>
      </w:r>
      <w:r w:rsidRPr="004A29F9">
        <w:rPr>
          <w:rFonts w:ascii="Times New Roman" w:hAnsi="Times New Roman" w:cs="Times New Roman"/>
          <w:sz w:val="22"/>
          <w:szCs w:val="22"/>
          <w:lang w:val="en-GB"/>
        </w:rPr>
        <w:lastRenderedPageBreak/>
        <w:t>Jerusalem).</w:t>
      </w:r>
      <w:r w:rsidRPr="004A29F9">
        <w:rPr>
          <w:rStyle w:val="FootnoteReference"/>
          <w:rFonts w:ascii="Times New Roman" w:hAnsi="Times New Roman" w:cs="Times New Roman"/>
          <w:sz w:val="22"/>
          <w:szCs w:val="22"/>
          <w:lang w:val="en-GB"/>
        </w:rPr>
        <w:footnoteReference w:id="121"/>
      </w:r>
      <w:r w:rsidR="00071CAA">
        <w:rPr>
          <w:rFonts w:ascii="Times New Roman" w:hAnsi="Times New Roman" w:cs="Times New Roman"/>
          <w:sz w:val="22"/>
          <w:szCs w:val="22"/>
          <w:lang w:val="en-GB"/>
        </w:rPr>
        <w:t xml:space="preserve"> The e</w:t>
      </w:r>
      <w:r w:rsidR="00A9225D" w:rsidRPr="004A29F9">
        <w:rPr>
          <w:rFonts w:ascii="Times New Roman" w:hAnsi="Times New Roman" w:cs="Times New Roman"/>
          <w:sz w:val="22"/>
          <w:szCs w:val="22"/>
          <w:lang w:val="en-GB"/>
        </w:rPr>
        <w:t xml:space="preserve">valuation’s interviews with the CSOs themselves confirmed this. </w:t>
      </w:r>
      <w:r w:rsidR="00F15CC6" w:rsidRPr="004A29F9">
        <w:rPr>
          <w:rFonts w:ascii="Times New Roman" w:hAnsi="Times New Roman" w:cs="Times New Roman"/>
          <w:sz w:val="22"/>
          <w:szCs w:val="22"/>
          <w:lang w:val="en-GB"/>
        </w:rPr>
        <w:t>A</w:t>
      </w:r>
      <w:r w:rsidR="00071CAA">
        <w:rPr>
          <w:rFonts w:ascii="Times New Roman" w:hAnsi="Times New Roman" w:cs="Times New Roman"/>
          <w:sz w:val="22"/>
          <w:szCs w:val="22"/>
          <w:lang w:val="en-GB"/>
        </w:rPr>
        <w:t>ll the CSOs interviewed by the e</w:t>
      </w:r>
      <w:r w:rsidR="00F15CC6" w:rsidRPr="004A29F9">
        <w:rPr>
          <w:rFonts w:ascii="Times New Roman" w:hAnsi="Times New Roman" w:cs="Times New Roman"/>
          <w:sz w:val="22"/>
          <w:szCs w:val="22"/>
          <w:lang w:val="en-GB"/>
        </w:rPr>
        <w:t xml:space="preserve">valuation confirmed that UNDP has required them to regularly report the progress of their work and maintain records of how the UNDP support </w:t>
      </w:r>
      <w:r w:rsidR="00071CAA">
        <w:rPr>
          <w:rFonts w:ascii="Times New Roman" w:hAnsi="Times New Roman" w:cs="Times New Roman"/>
          <w:sz w:val="22"/>
          <w:szCs w:val="22"/>
          <w:lang w:val="en-GB"/>
        </w:rPr>
        <w:t>was utilis</w:t>
      </w:r>
      <w:r w:rsidR="00F15CC6" w:rsidRPr="004A29F9">
        <w:rPr>
          <w:rFonts w:ascii="Times New Roman" w:hAnsi="Times New Roman" w:cs="Times New Roman"/>
          <w:sz w:val="22"/>
          <w:szCs w:val="22"/>
          <w:lang w:val="en-GB"/>
        </w:rPr>
        <w:t>ed.</w:t>
      </w:r>
    </w:p>
    <w:p w:rsidR="00A9225D" w:rsidRPr="004A29F9" w:rsidRDefault="00A9225D" w:rsidP="00FB6759">
      <w:pPr>
        <w:spacing w:after="0" w:line="240" w:lineRule="auto"/>
        <w:jc w:val="both"/>
        <w:rPr>
          <w:rFonts w:ascii="Times New Roman" w:hAnsi="Times New Roman" w:cs="Times New Roman"/>
          <w:sz w:val="22"/>
          <w:szCs w:val="22"/>
          <w:lang w:val="en-GB"/>
        </w:rPr>
      </w:pPr>
    </w:p>
    <w:p w:rsidR="00DB1705" w:rsidRPr="004A29F9" w:rsidRDefault="00071CAA"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In the environment of the o</w:t>
      </w:r>
      <w:r w:rsidR="0054760B" w:rsidRPr="004A29F9">
        <w:rPr>
          <w:rFonts w:ascii="Times New Roman" w:hAnsi="Times New Roman" w:cs="Times New Roman"/>
          <w:sz w:val="22"/>
          <w:szCs w:val="22"/>
          <w:lang w:val="en-GB"/>
        </w:rPr>
        <w:t xml:space="preserve">ccupation, there is often no ultimate outcome, but it is a question of </w:t>
      </w:r>
      <w:r w:rsidR="0054760B" w:rsidRPr="004A29F9">
        <w:rPr>
          <w:rFonts w:ascii="Times New Roman" w:hAnsi="Times New Roman" w:cs="Times New Roman"/>
          <w:i/>
          <w:sz w:val="22"/>
          <w:szCs w:val="22"/>
          <w:lang w:val="en-GB"/>
        </w:rPr>
        <w:t>delaying the impact</w:t>
      </w:r>
      <w:r>
        <w:rPr>
          <w:rFonts w:ascii="Times New Roman" w:hAnsi="Times New Roman" w:cs="Times New Roman"/>
          <w:sz w:val="22"/>
          <w:szCs w:val="22"/>
          <w:lang w:val="en-GB"/>
        </w:rPr>
        <w:t xml:space="preserve"> of the occupation (e.g.</w:t>
      </w:r>
      <w:r w:rsidR="0054760B" w:rsidRPr="004A29F9">
        <w:rPr>
          <w:rFonts w:ascii="Times New Roman" w:hAnsi="Times New Roman" w:cs="Times New Roman"/>
          <w:sz w:val="22"/>
          <w:szCs w:val="22"/>
          <w:lang w:val="en-GB"/>
        </w:rPr>
        <w:t xml:space="preserve"> a house demolition order). This is a continuous struggle of the CSOs engaged in representation. When a UNDP support</w:t>
      </w:r>
      <w:r w:rsidR="00A20C9A" w:rsidRPr="004A29F9">
        <w:rPr>
          <w:rFonts w:ascii="Times New Roman" w:hAnsi="Times New Roman" w:cs="Times New Roman"/>
          <w:sz w:val="22"/>
          <w:szCs w:val="22"/>
          <w:lang w:val="en-GB"/>
        </w:rPr>
        <w:t>ed</w:t>
      </w:r>
      <w:r w:rsidR="0054760B" w:rsidRPr="004A29F9">
        <w:rPr>
          <w:rFonts w:ascii="Times New Roman" w:hAnsi="Times New Roman" w:cs="Times New Roman"/>
          <w:sz w:val="22"/>
          <w:szCs w:val="22"/>
          <w:lang w:val="en-GB"/>
        </w:rPr>
        <w:t xml:space="preserve"> CSO is effective at imposing such a delay on the system, it opens up politica</w:t>
      </w:r>
      <w:r>
        <w:rPr>
          <w:rFonts w:ascii="Times New Roman" w:hAnsi="Times New Roman" w:cs="Times New Roman"/>
          <w:sz w:val="22"/>
          <w:szCs w:val="22"/>
          <w:lang w:val="en-GB"/>
        </w:rPr>
        <w:t>l space for the international community</w:t>
      </w:r>
      <w:r w:rsidR="0054760B" w:rsidRPr="004A29F9">
        <w:rPr>
          <w:rFonts w:ascii="Times New Roman" w:hAnsi="Times New Roman" w:cs="Times New Roman"/>
          <w:sz w:val="22"/>
          <w:szCs w:val="22"/>
          <w:lang w:val="en-GB"/>
        </w:rPr>
        <w:t xml:space="preserve"> to bring their influence to bear upon the situation.</w:t>
      </w:r>
    </w:p>
    <w:p w:rsidR="00490531" w:rsidRDefault="00490531" w:rsidP="00FB6759">
      <w:pPr>
        <w:spacing w:after="0" w:line="240" w:lineRule="auto"/>
        <w:jc w:val="both"/>
        <w:rPr>
          <w:rFonts w:ascii="Times New Roman" w:hAnsi="Times New Roman" w:cs="Times New Roman"/>
          <w:i/>
          <w:sz w:val="22"/>
          <w:szCs w:val="22"/>
          <w:lang w:val="en-GB"/>
        </w:rPr>
      </w:pPr>
    </w:p>
    <w:p w:rsidR="00D45177" w:rsidRPr="004A29F9" w:rsidRDefault="003F2A8F" w:rsidP="00FB6759">
      <w:pPr>
        <w:spacing w:after="0" w:line="240" w:lineRule="auto"/>
        <w:jc w:val="both"/>
        <w:rPr>
          <w:rFonts w:ascii="Times New Roman" w:hAnsi="Times New Roman" w:cs="Times New Roman"/>
          <w:i/>
          <w:sz w:val="22"/>
          <w:szCs w:val="22"/>
          <w:lang w:val="en-GB"/>
        </w:rPr>
      </w:pPr>
      <w:r w:rsidRPr="004A29F9">
        <w:rPr>
          <w:rFonts w:ascii="Times New Roman" w:hAnsi="Times New Roman" w:cs="Times New Roman"/>
          <w:i/>
          <w:sz w:val="22"/>
          <w:szCs w:val="22"/>
          <w:lang w:val="en-GB"/>
        </w:rPr>
        <w:t>Detainees</w:t>
      </w:r>
      <w:r w:rsidR="00071CAA">
        <w:rPr>
          <w:rFonts w:ascii="Times New Roman" w:hAnsi="Times New Roman" w:cs="Times New Roman"/>
          <w:i/>
          <w:sz w:val="22"/>
          <w:szCs w:val="22"/>
          <w:lang w:val="en-GB"/>
        </w:rPr>
        <w:t xml:space="preserve"> (a</w:t>
      </w:r>
      <w:r w:rsidR="00916AD4" w:rsidRPr="004A29F9">
        <w:rPr>
          <w:rFonts w:ascii="Times New Roman" w:hAnsi="Times New Roman" w:cs="Times New Roman"/>
          <w:i/>
          <w:sz w:val="22"/>
          <w:szCs w:val="22"/>
          <w:lang w:val="en-GB"/>
        </w:rPr>
        <w:t>dults and children)</w:t>
      </w:r>
    </w:p>
    <w:p w:rsidR="00490531" w:rsidRDefault="00490531" w:rsidP="00FB6759">
      <w:pPr>
        <w:spacing w:after="0" w:line="240" w:lineRule="auto"/>
        <w:jc w:val="both"/>
        <w:rPr>
          <w:rFonts w:ascii="Times New Roman" w:hAnsi="Times New Roman" w:cs="Times New Roman"/>
          <w:sz w:val="22"/>
          <w:szCs w:val="22"/>
          <w:lang w:val="en-GB"/>
        </w:rPr>
      </w:pPr>
    </w:p>
    <w:p w:rsidR="00A36950" w:rsidRPr="004A29F9" w:rsidRDefault="00A778A0"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A sizeable portion </w:t>
      </w:r>
      <w:r w:rsidR="0077367F" w:rsidRPr="004A29F9">
        <w:rPr>
          <w:rFonts w:ascii="Times New Roman" w:hAnsi="Times New Roman" w:cs="Times New Roman"/>
          <w:sz w:val="22"/>
          <w:szCs w:val="22"/>
          <w:lang w:val="en-GB"/>
        </w:rPr>
        <w:t>of UN</w:t>
      </w:r>
      <w:r w:rsidR="00071CAA">
        <w:rPr>
          <w:rFonts w:ascii="Times New Roman" w:hAnsi="Times New Roman" w:cs="Times New Roman"/>
          <w:sz w:val="22"/>
          <w:szCs w:val="22"/>
          <w:lang w:val="en-GB"/>
        </w:rPr>
        <w:t xml:space="preserve">DP support </w:t>
      </w:r>
      <w:r w:rsidR="00432CC6" w:rsidRPr="004A29F9">
        <w:rPr>
          <w:rFonts w:ascii="Times New Roman" w:hAnsi="Times New Roman" w:cs="Times New Roman"/>
          <w:sz w:val="22"/>
          <w:szCs w:val="22"/>
          <w:lang w:val="en-GB"/>
        </w:rPr>
        <w:t>in the West Bank was directed toward detention, administrative detention and torture</w:t>
      </w:r>
      <w:r w:rsidRPr="004A29F9">
        <w:rPr>
          <w:rFonts w:ascii="Times New Roman" w:hAnsi="Times New Roman" w:cs="Times New Roman"/>
          <w:sz w:val="22"/>
          <w:szCs w:val="22"/>
          <w:lang w:val="en-GB"/>
        </w:rPr>
        <w:t xml:space="preserve"> predominantly, but not exclusively in the Israeli legal system</w:t>
      </w:r>
      <w:r w:rsidR="00432CC6" w:rsidRPr="004A29F9">
        <w:rPr>
          <w:rFonts w:ascii="Times New Roman" w:hAnsi="Times New Roman" w:cs="Times New Roman"/>
          <w:sz w:val="22"/>
          <w:szCs w:val="22"/>
          <w:lang w:val="en-GB"/>
        </w:rPr>
        <w:t>.</w:t>
      </w:r>
      <w:r w:rsidR="00521C53" w:rsidRPr="004A29F9">
        <w:rPr>
          <w:rFonts w:ascii="Times New Roman" w:hAnsi="Times New Roman" w:cs="Times New Roman"/>
          <w:sz w:val="22"/>
          <w:szCs w:val="22"/>
          <w:lang w:val="en-GB"/>
        </w:rPr>
        <w:t xml:space="preserve"> Juveniles being held with adults and overcrowdi</w:t>
      </w:r>
      <w:r w:rsidR="00071CAA">
        <w:rPr>
          <w:rFonts w:ascii="Times New Roman" w:hAnsi="Times New Roman" w:cs="Times New Roman"/>
          <w:sz w:val="22"/>
          <w:szCs w:val="22"/>
          <w:lang w:val="en-GB"/>
        </w:rPr>
        <w:t>ng in Palestinian</w:t>
      </w:r>
      <w:r w:rsidR="00521C53" w:rsidRPr="004A29F9">
        <w:rPr>
          <w:rFonts w:ascii="Times New Roman" w:hAnsi="Times New Roman" w:cs="Times New Roman"/>
          <w:sz w:val="22"/>
          <w:szCs w:val="22"/>
          <w:lang w:val="en-GB"/>
        </w:rPr>
        <w:t xml:space="preserve"> prisons are major issues. Torture is also a recurring prob</w:t>
      </w:r>
      <w:r w:rsidR="00071CAA">
        <w:rPr>
          <w:rFonts w:ascii="Times New Roman" w:hAnsi="Times New Roman" w:cs="Times New Roman"/>
          <w:sz w:val="22"/>
          <w:szCs w:val="22"/>
          <w:lang w:val="en-GB"/>
        </w:rPr>
        <w:t>lem for the PNA prison system.</w:t>
      </w:r>
    </w:p>
    <w:p w:rsidR="00490531" w:rsidRDefault="00490531" w:rsidP="00FB6759">
      <w:pPr>
        <w:spacing w:after="0" w:line="240" w:lineRule="auto"/>
        <w:jc w:val="both"/>
        <w:rPr>
          <w:rFonts w:ascii="Times New Roman" w:hAnsi="Times New Roman" w:cs="Times New Roman"/>
          <w:sz w:val="22"/>
          <w:szCs w:val="22"/>
          <w:lang w:val="en-GB"/>
        </w:rPr>
      </w:pPr>
    </w:p>
    <w:p w:rsidR="003F2A8F" w:rsidRPr="004A29F9" w:rsidRDefault="00521C53"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UNDP support for example enabled the Public Commi</w:t>
      </w:r>
      <w:r w:rsidR="00071CAA">
        <w:rPr>
          <w:rFonts w:ascii="Times New Roman" w:hAnsi="Times New Roman" w:cs="Times New Roman"/>
          <w:sz w:val="22"/>
          <w:szCs w:val="22"/>
          <w:lang w:val="en-GB"/>
        </w:rPr>
        <w:t>ttee Against Torture in Israel (PCATI)</w:t>
      </w:r>
      <w:r w:rsidRPr="004A29F9">
        <w:rPr>
          <w:rFonts w:ascii="Times New Roman" w:hAnsi="Times New Roman" w:cs="Times New Roman"/>
          <w:sz w:val="22"/>
          <w:szCs w:val="22"/>
          <w:lang w:val="en-GB"/>
        </w:rPr>
        <w:t xml:space="preserve"> to reach into the West Bank</w:t>
      </w:r>
      <w:r w:rsidR="007E7115" w:rsidRPr="004A29F9">
        <w:rPr>
          <w:rFonts w:ascii="Times New Roman" w:hAnsi="Times New Roman" w:cs="Times New Roman"/>
          <w:sz w:val="22"/>
          <w:szCs w:val="22"/>
          <w:lang w:val="en-GB"/>
        </w:rPr>
        <w:t>,</w:t>
      </w:r>
      <w:r w:rsidRPr="004A29F9">
        <w:rPr>
          <w:rFonts w:ascii="Times New Roman" w:hAnsi="Times New Roman" w:cs="Times New Roman"/>
          <w:sz w:val="22"/>
          <w:szCs w:val="22"/>
          <w:lang w:val="en-GB"/>
        </w:rPr>
        <w:t xml:space="preserve"> whereas before the UNDP intervention, this</w:t>
      </w:r>
      <w:r w:rsidR="00C60496" w:rsidRPr="004A29F9">
        <w:rPr>
          <w:rFonts w:ascii="Times New Roman" w:hAnsi="Times New Roman" w:cs="Times New Roman"/>
          <w:sz w:val="22"/>
          <w:szCs w:val="22"/>
          <w:lang w:val="en-GB"/>
        </w:rPr>
        <w:t xml:space="preserve"> was not possible. According to PCATI</w:t>
      </w:r>
      <w:r w:rsidR="00A20C9A" w:rsidRPr="004A29F9">
        <w:rPr>
          <w:rFonts w:ascii="Times New Roman" w:hAnsi="Times New Roman" w:cs="Times New Roman"/>
          <w:sz w:val="22"/>
          <w:szCs w:val="22"/>
          <w:lang w:val="en-GB"/>
        </w:rPr>
        <w:t>,</w:t>
      </w:r>
      <w:r w:rsidR="00C60496" w:rsidRPr="004A29F9">
        <w:rPr>
          <w:rFonts w:ascii="Times New Roman" w:hAnsi="Times New Roman" w:cs="Times New Roman"/>
          <w:sz w:val="22"/>
          <w:szCs w:val="22"/>
          <w:lang w:val="en-GB"/>
        </w:rPr>
        <w:t xml:space="preserve"> the UNDP supported field </w:t>
      </w:r>
      <w:r w:rsidR="00AF493D" w:rsidRPr="004A29F9">
        <w:rPr>
          <w:rFonts w:ascii="Times New Roman" w:hAnsi="Times New Roman" w:cs="Times New Roman"/>
          <w:sz w:val="22"/>
          <w:szCs w:val="22"/>
          <w:lang w:val="en-GB"/>
        </w:rPr>
        <w:t xml:space="preserve">workers were </w:t>
      </w:r>
      <w:r w:rsidR="00C60496" w:rsidRPr="004A29F9">
        <w:rPr>
          <w:rFonts w:ascii="Times New Roman" w:hAnsi="Times New Roman" w:cs="Times New Roman"/>
          <w:sz w:val="22"/>
          <w:szCs w:val="22"/>
          <w:lang w:val="en-GB"/>
        </w:rPr>
        <w:t>in touch with the survivors of torture on a daily basis and document the effects of the torture post confinement and the field workers were able to alert PCATI to cases of torture so that it could act quickly</w:t>
      </w:r>
      <w:r w:rsidR="00A36950" w:rsidRPr="004A29F9">
        <w:rPr>
          <w:rFonts w:ascii="Times New Roman" w:hAnsi="Times New Roman" w:cs="Times New Roman"/>
          <w:sz w:val="22"/>
          <w:szCs w:val="22"/>
          <w:lang w:val="en-GB"/>
        </w:rPr>
        <w:t xml:space="preserve">. As a result, two Palestinian women were freed from detention and the UNDP supported field workers were able to interview them and get informed consent of these two women to track them and their willingness to fight the authorities. </w:t>
      </w:r>
      <w:r w:rsidR="00C60496" w:rsidRPr="004A29F9">
        <w:rPr>
          <w:rFonts w:ascii="Times New Roman" w:hAnsi="Times New Roman" w:cs="Times New Roman"/>
          <w:sz w:val="22"/>
          <w:szCs w:val="22"/>
          <w:lang w:val="en-GB"/>
        </w:rPr>
        <w:t>This had a spin-off effect that enabled PCATI to start two other project</w:t>
      </w:r>
      <w:r w:rsidR="00A36950" w:rsidRPr="004A29F9">
        <w:rPr>
          <w:rFonts w:ascii="Times New Roman" w:hAnsi="Times New Roman" w:cs="Times New Roman"/>
          <w:sz w:val="22"/>
          <w:szCs w:val="22"/>
          <w:lang w:val="en-GB"/>
        </w:rPr>
        <w:t>s</w:t>
      </w:r>
      <w:r w:rsidR="00071CAA">
        <w:rPr>
          <w:rFonts w:ascii="Times New Roman" w:hAnsi="Times New Roman" w:cs="Times New Roman"/>
          <w:sz w:val="22"/>
          <w:szCs w:val="22"/>
          <w:lang w:val="en-GB"/>
        </w:rPr>
        <w:t xml:space="preserve"> (not funded by UNDP) including a</w:t>
      </w:r>
      <w:r w:rsidR="00C60496" w:rsidRPr="004A29F9">
        <w:rPr>
          <w:rFonts w:ascii="Times New Roman" w:hAnsi="Times New Roman" w:cs="Times New Roman"/>
          <w:sz w:val="22"/>
          <w:szCs w:val="22"/>
          <w:lang w:val="en-GB"/>
        </w:rPr>
        <w:t xml:space="preserve"> forensics</w:t>
      </w:r>
      <w:r w:rsidR="00071CAA">
        <w:rPr>
          <w:rFonts w:ascii="Times New Roman" w:hAnsi="Times New Roman" w:cs="Times New Roman"/>
          <w:sz w:val="22"/>
          <w:szCs w:val="22"/>
          <w:lang w:val="en-GB"/>
        </w:rPr>
        <w:t xml:space="preserve"> project </w:t>
      </w:r>
      <w:r w:rsidR="00C60496" w:rsidRPr="004A29F9">
        <w:rPr>
          <w:rFonts w:ascii="Times New Roman" w:hAnsi="Times New Roman" w:cs="Times New Roman"/>
          <w:sz w:val="22"/>
          <w:szCs w:val="22"/>
          <w:lang w:val="en-GB"/>
        </w:rPr>
        <w:t>t</w:t>
      </w:r>
      <w:r w:rsidR="00071CAA">
        <w:rPr>
          <w:rFonts w:ascii="Times New Roman" w:hAnsi="Times New Roman" w:cs="Times New Roman"/>
          <w:sz w:val="22"/>
          <w:szCs w:val="22"/>
          <w:lang w:val="en-GB"/>
        </w:rPr>
        <w:t xml:space="preserve">o get medical examinations and a </w:t>
      </w:r>
      <w:r w:rsidR="00C60496" w:rsidRPr="004A29F9">
        <w:rPr>
          <w:rFonts w:ascii="Times New Roman" w:hAnsi="Times New Roman" w:cs="Times New Roman"/>
          <w:sz w:val="22"/>
          <w:szCs w:val="22"/>
          <w:lang w:val="en-GB"/>
        </w:rPr>
        <w:t>small gender project tha</w:t>
      </w:r>
      <w:r w:rsidR="00071CAA">
        <w:rPr>
          <w:rFonts w:ascii="Times New Roman" w:hAnsi="Times New Roman" w:cs="Times New Roman"/>
          <w:sz w:val="22"/>
          <w:szCs w:val="22"/>
          <w:lang w:val="en-GB"/>
        </w:rPr>
        <w:t>t was enhanced by UNDP support.</w:t>
      </w:r>
    </w:p>
    <w:p w:rsidR="00490531" w:rsidRDefault="00490531" w:rsidP="00FB6759">
      <w:pPr>
        <w:spacing w:after="0" w:line="240" w:lineRule="auto"/>
        <w:jc w:val="both"/>
        <w:rPr>
          <w:rFonts w:ascii="Times New Roman" w:hAnsi="Times New Roman" w:cs="Times New Roman"/>
          <w:sz w:val="22"/>
          <w:szCs w:val="22"/>
          <w:lang w:val="en-GB"/>
        </w:rPr>
      </w:pPr>
    </w:p>
    <w:p w:rsidR="00447F98" w:rsidRPr="004A29F9" w:rsidRDefault="00447F98"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PCATI with UNDP support mapped detentions in May and June 2012 and found that rates of short-term detention were rising</w:t>
      </w:r>
      <w:r w:rsidR="00071CAA">
        <w:rPr>
          <w:rFonts w:ascii="Times New Roman" w:hAnsi="Times New Roman" w:cs="Times New Roman"/>
          <w:sz w:val="22"/>
          <w:szCs w:val="22"/>
          <w:lang w:val="en-GB"/>
        </w:rPr>
        <w:t xml:space="preserve">. </w:t>
      </w:r>
      <w:r w:rsidR="005F580D" w:rsidRPr="004A29F9">
        <w:rPr>
          <w:rFonts w:ascii="Times New Roman" w:hAnsi="Times New Roman" w:cs="Times New Roman"/>
          <w:sz w:val="22"/>
          <w:szCs w:val="22"/>
          <w:lang w:val="en-GB"/>
        </w:rPr>
        <w:t>M</w:t>
      </w:r>
      <w:r w:rsidRPr="004A29F9">
        <w:rPr>
          <w:rFonts w:ascii="Times New Roman" w:hAnsi="Times New Roman" w:cs="Times New Roman"/>
          <w:sz w:val="22"/>
          <w:szCs w:val="22"/>
          <w:lang w:val="en-GB"/>
        </w:rPr>
        <w:t>ost of those detained were youths wh</w:t>
      </w:r>
      <w:r w:rsidR="005F580D" w:rsidRPr="004A29F9">
        <w:rPr>
          <w:rFonts w:ascii="Times New Roman" w:hAnsi="Times New Roman" w:cs="Times New Roman"/>
          <w:sz w:val="22"/>
          <w:szCs w:val="22"/>
          <w:lang w:val="en-GB"/>
        </w:rPr>
        <w:t>o were</w:t>
      </w:r>
      <w:r w:rsidRPr="004A29F9">
        <w:rPr>
          <w:rFonts w:ascii="Times New Roman" w:hAnsi="Times New Roman" w:cs="Times New Roman"/>
          <w:sz w:val="22"/>
          <w:szCs w:val="22"/>
          <w:lang w:val="en-GB"/>
        </w:rPr>
        <w:t xml:space="preserve"> held for periods averaging two to three days and interrogated, but not formally charged or entered in the system. Such short-term detentions without charge are incredibly disruptive for such juveniles and their families. There are also incidences of Palestinians simply disappearing and their families finding out later that they are being held in administrative detention. While rates of arrest by Israel have gone down, the rates of dete</w:t>
      </w:r>
      <w:r w:rsidR="00071CAA">
        <w:rPr>
          <w:rFonts w:ascii="Times New Roman" w:hAnsi="Times New Roman" w:cs="Times New Roman"/>
          <w:sz w:val="22"/>
          <w:szCs w:val="22"/>
          <w:lang w:val="en-GB"/>
        </w:rPr>
        <w:t>ntion by PNA</w:t>
      </w:r>
      <w:r w:rsidRPr="004A29F9">
        <w:rPr>
          <w:rFonts w:ascii="Times New Roman" w:hAnsi="Times New Roman" w:cs="Times New Roman"/>
          <w:sz w:val="22"/>
          <w:szCs w:val="22"/>
          <w:lang w:val="en-GB"/>
        </w:rPr>
        <w:t xml:space="preserve"> have increased. Sometimes the prisoners are individuals who </w:t>
      </w:r>
      <w:r w:rsidR="00AF493D" w:rsidRPr="004A29F9">
        <w:rPr>
          <w:rFonts w:ascii="Times New Roman" w:hAnsi="Times New Roman" w:cs="Times New Roman"/>
          <w:sz w:val="22"/>
          <w:szCs w:val="22"/>
          <w:lang w:val="en-GB"/>
        </w:rPr>
        <w:t>Israel or the P</w:t>
      </w:r>
      <w:r w:rsidR="00071CAA">
        <w:rPr>
          <w:rFonts w:ascii="Times New Roman" w:hAnsi="Times New Roman" w:cs="Times New Roman"/>
          <w:sz w:val="22"/>
          <w:szCs w:val="22"/>
          <w:lang w:val="en-GB"/>
        </w:rPr>
        <w:t>N</w:t>
      </w:r>
      <w:r w:rsidR="00AF493D" w:rsidRPr="004A29F9">
        <w:rPr>
          <w:rFonts w:ascii="Times New Roman" w:hAnsi="Times New Roman" w:cs="Times New Roman"/>
          <w:sz w:val="22"/>
          <w:szCs w:val="22"/>
          <w:lang w:val="en-GB"/>
        </w:rPr>
        <w:t>A cannot arrest</w:t>
      </w:r>
      <w:r w:rsidRPr="004A29F9">
        <w:rPr>
          <w:rFonts w:ascii="Times New Roman" w:hAnsi="Times New Roman" w:cs="Times New Roman"/>
          <w:sz w:val="22"/>
          <w:szCs w:val="22"/>
          <w:lang w:val="en-GB"/>
        </w:rPr>
        <w:t xml:space="preserve"> due to lack of evidence, but who are believed have information that is valuable. In other instances, administrative detention prisoners are detained as a tactic to force someone else to confess to something.     </w:t>
      </w:r>
    </w:p>
    <w:p w:rsidR="00490531" w:rsidRDefault="00490531" w:rsidP="00FB6759">
      <w:pPr>
        <w:spacing w:after="0" w:line="240" w:lineRule="auto"/>
        <w:jc w:val="both"/>
        <w:rPr>
          <w:rFonts w:ascii="Times New Roman" w:hAnsi="Times New Roman" w:cs="Times New Roman"/>
          <w:sz w:val="22"/>
          <w:szCs w:val="22"/>
          <w:lang w:val="en-GB"/>
        </w:rPr>
      </w:pPr>
    </w:p>
    <w:p w:rsidR="00230B27" w:rsidRPr="004A29F9" w:rsidRDefault="00414ACB"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 UNDP supported CSO</w:t>
      </w:r>
      <w:r w:rsidR="00227679">
        <w:rPr>
          <w:rFonts w:ascii="Times New Roman" w:hAnsi="Times New Roman" w:cs="Times New Roman"/>
          <w:sz w:val="22"/>
          <w:szCs w:val="22"/>
          <w:lang w:val="en-GB"/>
        </w:rPr>
        <w:t xml:space="preserve"> </w:t>
      </w:r>
      <w:r w:rsidRPr="00071CAA">
        <w:rPr>
          <w:rFonts w:ascii="Times New Roman" w:hAnsi="Times New Roman" w:cs="Times New Roman"/>
          <w:sz w:val="22"/>
          <w:szCs w:val="22"/>
          <w:lang w:val="en-GB"/>
        </w:rPr>
        <w:t>H</w:t>
      </w:r>
      <w:r w:rsidR="00AF493D" w:rsidRPr="00071CAA">
        <w:rPr>
          <w:rFonts w:ascii="Times New Roman" w:hAnsi="Times New Roman" w:cs="Times New Roman"/>
          <w:sz w:val="22"/>
          <w:szCs w:val="22"/>
          <w:lang w:val="en-GB"/>
        </w:rPr>
        <w:t>a</w:t>
      </w:r>
      <w:r w:rsidRPr="00071CAA">
        <w:rPr>
          <w:rFonts w:ascii="Times New Roman" w:hAnsi="Times New Roman" w:cs="Times New Roman"/>
          <w:sz w:val="22"/>
          <w:szCs w:val="22"/>
          <w:lang w:val="en-GB"/>
        </w:rPr>
        <w:t>moked</w:t>
      </w:r>
      <w:r w:rsidR="00227679">
        <w:rPr>
          <w:rFonts w:ascii="Times New Roman" w:hAnsi="Times New Roman" w:cs="Times New Roman"/>
          <w:sz w:val="22"/>
          <w:szCs w:val="22"/>
          <w:lang w:val="en-GB"/>
        </w:rPr>
        <w:t xml:space="preserve"> </w:t>
      </w:r>
      <w:r w:rsidRPr="004A29F9">
        <w:rPr>
          <w:rFonts w:ascii="Times New Roman" w:hAnsi="Times New Roman" w:cs="Times New Roman"/>
          <w:sz w:val="22"/>
          <w:szCs w:val="22"/>
          <w:lang w:val="en-GB"/>
        </w:rPr>
        <w:t>used its grant from UNDP to review older compensation cases that had gotten stuck in the syst</w:t>
      </w:r>
      <w:r w:rsidR="00071CAA">
        <w:rPr>
          <w:rFonts w:ascii="Times New Roman" w:hAnsi="Times New Roman" w:cs="Times New Roman"/>
          <w:sz w:val="22"/>
          <w:szCs w:val="22"/>
          <w:lang w:val="en-GB"/>
        </w:rPr>
        <w:t xml:space="preserve">em </w:t>
      </w:r>
      <w:r w:rsidRPr="004A29F9">
        <w:rPr>
          <w:rFonts w:ascii="Times New Roman" w:hAnsi="Times New Roman" w:cs="Times New Roman"/>
          <w:sz w:val="22"/>
          <w:szCs w:val="22"/>
          <w:lang w:val="en-GB"/>
        </w:rPr>
        <w:t>and getting witnesses into Israel to testify in such cases. H</w:t>
      </w:r>
      <w:r w:rsidR="00AF493D" w:rsidRPr="004A29F9">
        <w:rPr>
          <w:rFonts w:ascii="Times New Roman" w:hAnsi="Times New Roman" w:cs="Times New Roman"/>
          <w:sz w:val="22"/>
          <w:szCs w:val="22"/>
          <w:lang w:val="en-GB"/>
        </w:rPr>
        <w:t>a</w:t>
      </w:r>
      <w:r w:rsidRPr="004A29F9">
        <w:rPr>
          <w:rFonts w:ascii="Times New Roman" w:hAnsi="Times New Roman" w:cs="Times New Roman"/>
          <w:sz w:val="22"/>
          <w:szCs w:val="22"/>
          <w:lang w:val="en-GB"/>
        </w:rPr>
        <w:t>moked has experienced an increasing need for support to detention and torture cases, as well as an increasing number of incidences of security authorities preventing family members from vis</w:t>
      </w:r>
      <w:r w:rsidR="00071CAA">
        <w:rPr>
          <w:rFonts w:ascii="Times New Roman" w:hAnsi="Times New Roman" w:cs="Times New Roman"/>
          <w:sz w:val="22"/>
          <w:szCs w:val="22"/>
          <w:lang w:val="en-GB"/>
        </w:rPr>
        <w:t>iting relatives in detention. I</w:t>
      </w:r>
      <w:r w:rsidRPr="004A29F9">
        <w:rPr>
          <w:rFonts w:ascii="Times New Roman" w:hAnsi="Times New Roman" w:cs="Times New Roman"/>
          <w:sz w:val="22"/>
          <w:szCs w:val="22"/>
          <w:lang w:val="en-GB"/>
        </w:rPr>
        <w:t xml:space="preserve">n </w:t>
      </w:r>
      <w:r w:rsidR="009433D0" w:rsidRPr="004A29F9">
        <w:rPr>
          <w:rFonts w:ascii="Times New Roman" w:hAnsi="Times New Roman" w:cs="Times New Roman"/>
          <w:i/>
          <w:sz w:val="22"/>
          <w:szCs w:val="22"/>
          <w:lang w:val="en-GB"/>
        </w:rPr>
        <w:t>habeas</w:t>
      </w:r>
      <w:r w:rsidR="00CA1E3B" w:rsidRPr="004A29F9">
        <w:rPr>
          <w:rFonts w:ascii="Times New Roman" w:hAnsi="Times New Roman" w:cs="Times New Roman"/>
          <w:i/>
          <w:sz w:val="22"/>
          <w:szCs w:val="22"/>
          <w:lang w:val="en-GB"/>
        </w:rPr>
        <w:t xml:space="preserve"> corpus</w:t>
      </w:r>
      <w:r w:rsidR="00071CAA">
        <w:rPr>
          <w:rFonts w:ascii="Times New Roman" w:hAnsi="Times New Roman" w:cs="Times New Roman"/>
          <w:sz w:val="22"/>
          <w:szCs w:val="22"/>
          <w:lang w:val="en-GB"/>
        </w:rPr>
        <w:t xml:space="preserve"> cases, Hamoked</w:t>
      </w:r>
      <w:r w:rsidRPr="004A29F9">
        <w:rPr>
          <w:rFonts w:ascii="Times New Roman" w:hAnsi="Times New Roman" w:cs="Times New Roman"/>
          <w:sz w:val="22"/>
          <w:szCs w:val="22"/>
          <w:lang w:val="en-GB"/>
        </w:rPr>
        <w:t xml:space="preserve"> has effectively been able to document periods where inm</w:t>
      </w:r>
      <w:r w:rsidR="00071CAA">
        <w:rPr>
          <w:rFonts w:ascii="Times New Roman" w:hAnsi="Times New Roman" w:cs="Times New Roman"/>
          <w:sz w:val="22"/>
          <w:szCs w:val="22"/>
          <w:lang w:val="en-GB"/>
        </w:rPr>
        <w:t>ates simply could not</w:t>
      </w:r>
      <w:r w:rsidRPr="004A29F9">
        <w:rPr>
          <w:rFonts w:ascii="Times New Roman" w:hAnsi="Times New Roman" w:cs="Times New Roman"/>
          <w:sz w:val="22"/>
          <w:szCs w:val="22"/>
          <w:lang w:val="en-GB"/>
        </w:rPr>
        <w:t xml:space="preserve"> be tracked in the Israeli prison system fo</w:t>
      </w:r>
      <w:r w:rsidR="00071CAA">
        <w:rPr>
          <w:rFonts w:ascii="Times New Roman" w:hAnsi="Times New Roman" w:cs="Times New Roman"/>
          <w:sz w:val="22"/>
          <w:szCs w:val="22"/>
          <w:lang w:val="en-GB"/>
        </w:rPr>
        <w:t>r periods of up to seven days.</w:t>
      </w:r>
    </w:p>
    <w:p w:rsidR="00490531" w:rsidRDefault="00490531" w:rsidP="00FB6759">
      <w:pPr>
        <w:spacing w:after="0" w:line="240" w:lineRule="auto"/>
        <w:jc w:val="both"/>
        <w:rPr>
          <w:rFonts w:ascii="Times New Roman" w:hAnsi="Times New Roman" w:cs="Times New Roman"/>
          <w:sz w:val="22"/>
          <w:szCs w:val="22"/>
          <w:lang w:val="en-GB"/>
        </w:rPr>
      </w:pPr>
    </w:p>
    <w:p w:rsidR="00DF2886" w:rsidRPr="004A29F9" w:rsidRDefault="00071CAA"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UNDP support to </w:t>
      </w:r>
      <w:r w:rsidR="00421A3C" w:rsidRPr="004A29F9">
        <w:rPr>
          <w:rFonts w:ascii="Times New Roman" w:hAnsi="Times New Roman" w:cs="Times New Roman"/>
          <w:sz w:val="22"/>
          <w:szCs w:val="22"/>
          <w:lang w:val="en-GB"/>
        </w:rPr>
        <w:t xml:space="preserve">Physicians for Human </w:t>
      </w:r>
      <w:r w:rsidR="00AF493D" w:rsidRPr="004A29F9">
        <w:rPr>
          <w:rFonts w:ascii="Times New Roman" w:hAnsi="Times New Roman" w:cs="Times New Roman"/>
          <w:sz w:val="22"/>
          <w:szCs w:val="22"/>
          <w:lang w:val="en-GB"/>
        </w:rPr>
        <w:t xml:space="preserve">Rights </w:t>
      </w:r>
      <w:r w:rsidR="00E45882">
        <w:rPr>
          <w:rFonts w:ascii="Times New Roman" w:hAnsi="Times New Roman" w:cs="Times New Roman"/>
          <w:sz w:val="22"/>
          <w:szCs w:val="22"/>
          <w:lang w:val="en-GB"/>
        </w:rPr>
        <w:t xml:space="preserve">(PHR) </w:t>
      </w:r>
      <w:r w:rsidR="00AF493D" w:rsidRPr="004A29F9">
        <w:rPr>
          <w:rFonts w:ascii="Times New Roman" w:hAnsi="Times New Roman" w:cs="Times New Roman"/>
          <w:sz w:val="22"/>
          <w:szCs w:val="22"/>
          <w:lang w:val="en-GB"/>
        </w:rPr>
        <w:t xml:space="preserve">enabled </w:t>
      </w:r>
      <w:r w:rsidR="00820ADB" w:rsidRPr="004A29F9">
        <w:rPr>
          <w:rFonts w:ascii="Times New Roman" w:hAnsi="Times New Roman" w:cs="Times New Roman"/>
          <w:sz w:val="22"/>
          <w:szCs w:val="22"/>
          <w:lang w:val="en-GB"/>
        </w:rPr>
        <w:t>it to have a full compl</w:t>
      </w:r>
      <w:r w:rsidR="00A20C9A" w:rsidRPr="004A29F9">
        <w:rPr>
          <w:rFonts w:ascii="Times New Roman" w:hAnsi="Times New Roman" w:cs="Times New Roman"/>
          <w:sz w:val="22"/>
          <w:szCs w:val="22"/>
          <w:lang w:val="en-GB"/>
        </w:rPr>
        <w:t>e</w:t>
      </w:r>
      <w:r w:rsidR="00820ADB" w:rsidRPr="004A29F9">
        <w:rPr>
          <w:rFonts w:ascii="Times New Roman" w:hAnsi="Times New Roman" w:cs="Times New Roman"/>
          <w:sz w:val="22"/>
          <w:szCs w:val="22"/>
          <w:lang w:val="en-GB"/>
        </w:rPr>
        <w:t xml:space="preserve">ment of trainings for physicians and to conduct outreach activities in the West Bank. Importantly, in 2012 a group of administrative detainees went on hunger strike and PHR used UNDP support to conduct medical examinations, ensure that the detainees were monitored and taken to civilian hospitals </w:t>
      </w:r>
      <w:r>
        <w:rPr>
          <w:rFonts w:ascii="Times New Roman" w:hAnsi="Times New Roman" w:cs="Times New Roman"/>
          <w:sz w:val="22"/>
          <w:szCs w:val="22"/>
          <w:lang w:val="en-GB"/>
        </w:rPr>
        <w:t>when needed.  PHR informed the e</w:t>
      </w:r>
      <w:r w:rsidR="00820ADB" w:rsidRPr="004A29F9">
        <w:rPr>
          <w:rFonts w:ascii="Times New Roman" w:hAnsi="Times New Roman" w:cs="Times New Roman"/>
          <w:sz w:val="22"/>
          <w:szCs w:val="22"/>
          <w:lang w:val="en-GB"/>
        </w:rPr>
        <w:t xml:space="preserve">valuation that it conducted much additional legal work with UNDP support in </w:t>
      </w:r>
      <w:r w:rsidR="00820ADB" w:rsidRPr="004A29F9">
        <w:rPr>
          <w:rFonts w:ascii="Times New Roman" w:hAnsi="Times New Roman" w:cs="Times New Roman"/>
          <w:sz w:val="22"/>
          <w:szCs w:val="22"/>
          <w:lang w:val="en-GB"/>
        </w:rPr>
        <w:lastRenderedPageBreak/>
        <w:t xml:space="preserve">conjunction with </w:t>
      </w:r>
      <w:r w:rsidR="00052AEF" w:rsidRPr="00071CAA">
        <w:rPr>
          <w:rFonts w:ascii="Times New Roman" w:hAnsi="Times New Roman" w:cs="Times New Roman"/>
          <w:sz w:val="22"/>
          <w:szCs w:val="22"/>
          <w:lang w:val="en-GB"/>
        </w:rPr>
        <w:t>A</w:t>
      </w:r>
      <w:r w:rsidR="00820ADB" w:rsidRPr="00071CAA">
        <w:rPr>
          <w:rFonts w:ascii="Times New Roman" w:hAnsi="Times New Roman" w:cs="Times New Roman"/>
          <w:sz w:val="22"/>
          <w:szCs w:val="22"/>
          <w:lang w:val="en-GB"/>
        </w:rPr>
        <w:t>d</w:t>
      </w:r>
      <w:r w:rsidR="00AF493D" w:rsidRPr="00071CAA">
        <w:rPr>
          <w:rFonts w:ascii="Times New Roman" w:hAnsi="Times New Roman" w:cs="Times New Roman"/>
          <w:sz w:val="22"/>
          <w:szCs w:val="22"/>
          <w:lang w:val="en-GB"/>
        </w:rPr>
        <w:t>da</w:t>
      </w:r>
      <w:r w:rsidR="00820ADB" w:rsidRPr="00071CAA">
        <w:rPr>
          <w:rFonts w:ascii="Times New Roman" w:hAnsi="Times New Roman" w:cs="Times New Roman"/>
          <w:sz w:val="22"/>
          <w:szCs w:val="22"/>
          <w:lang w:val="en-GB"/>
        </w:rPr>
        <w:t>meer</w:t>
      </w:r>
      <w:r>
        <w:rPr>
          <w:rFonts w:ascii="Times New Roman" w:hAnsi="Times New Roman" w:cs="Times New Roman"/>
          <w:sz w:val="22"/>
          <w:szCs w:val="22"/>
          <w:lang w:val="en-GB"/>
        </w:rPr>
        <w:t>, resulting</w:t>
      </w:r>
      <w:r w:rsidR="00820ADB" w:rsidRPr="004A29F9">
        <w:rPr>
          <w:rFonts w:ascii="Times New Roman" w:hAnsi="Times New Roman" w:cs="Times New Roman"/>
          <w:sz w:val="22"/>
          <w:szCs w:val="22"/>
          <w:lang w:val="en-GB"/>
        </w:rPr>
        <w:t xml:space="preserve"> in the release of several Palestinian det</w:t>
      </w:r>
      <w:r>
        <w:rPr>
          <w:rFonts w:ascii="Times New Roman" w:hAnsi="Times New Roman" w:cs="Times New Roman"/>
          <w:sz w:val="22"/>
          <w:szCs w:val="22"/>
          <w:lang w:val="en-GB"/>
        </w:rPr>
        <w:t>ainees from detention and serving</w:t>
      </w:r>
      <w:r w:rsidR="00820ADB" w:rsidRPr="004A29F9">
        <w:rPr>
          <w:rFonts w:ascii="Times New Roman" w:hAnsi="Times New Roman" w:cs="Times New Roman"/>
          <w:sz w:val="22"/>
          <w:szCs w:val="22"/>
          <w:lang w:val="en-GB"/>
        </w:rPr>
        <w:t xml:space="preserve"> to create a legal record in eac</w:t>
      </w:r>
      <w:r w:rsidR="00E45882">
        <w:rPr>
          <w:rFonts w:ascii="Times New Roman" w:hAnsi="Times New Roman" w:cs="Times New Roman"/>
          <w:sz w:val="22"/>
          <w:szCs w:val="22"/>
          <w:lang w:val="en-GB"/>
        </w:rPr>
        <w:t>h particular case as well as providing</w:t>
      </w:r>
      <w:r w:rsidR="00820ADB" w:rsidRPr="004A29F9">
        <w:rPr>
          <w:rFonts w:ascii="Times New Roman" w:hAnsi="Times New Roman" w:cs="Times New Roman"/>
          <w:sz w:val="22"/>
          <w:szCs w:val="22"/>
          <w:lang w:val="en-GB"/>
        </w:rPr>
        <w:t xml:space="preserve"> precedents upon which future legal arguments for other detainees can be made. </w:t>
      </w:r>
      <w:r w:rsidR="00B31D56" w:rsidRPr="004A29F9">
        <w:rPr>
          <w:rFonts w:ascii="Times New Roman" w:hAnsi="Times New Roman" w:cs="Times New Roman"/>
          <w:sz w:val="22"/>
          <w:szCs w:val="22"/>
          <w:lang w:val="en-GB"/>
        </w:rPr>
        <w:t xml:space="preserve">PHR states that if </w:t>
      </w:r>
      <w:r w:rsidR="003218D4" w:rsidRPr="004A29F9">
        <w:rPr>
          <w:rFonts w:ascii="Times New Roman" w:hAnsi="Times New Roman" w:cs="Times New Roman"/>
          <w:sz w:val="22"/>
          <w:szCs w:val="22"/>
          <w:lang w:val="en-GB"/>
        </w:rPr>
        <w:t>prison physicians conduct examinations</w:t>
      </w:r>
      <w:r w:rsidR="00B31D56" w:rsidRPr="004A29F9">
        <w:rPr>
          <w:rFonts w:ascii="Times New Roman" w:hAnsi="Times New Roman" w:cs="Times New Roman"/>
          <w:sz w:val="22"/>
          <w:szCs w:val="22"/>
          <w:lang w:val="en-GB"/>
        </w:rPr>
        <w:t>, then they can certify wrongly that a prisoner is fit for interrogation or ignore injuries during their post interrogation physical exam. PHR supported physicians offer an objective exam.PHR with UNDP support is taking on this type of issue with the Israelis</w:t>
      </w:r>
      <w:r w:rsidR="003218D4" w:rsidRPr="004A29F9">
        <w:rPr>
          <w:rFonts w:ascii="Times New Roman" w:hAnsi="Times New Roman" w:cs="Times New Roman"/>
          <w:sz w:val="22"/>
          <w:szCs w:val="22"/>
          <w:lang w:val="en-GB"/>
        </w:rPr>
        <w:t xml:space="preserve"> and</w:t>
      </w:r>
      <w:r w:rsidR="00B31D56" w:rsidRPr="004A29F9">
        <w:rPr>
          <w:rFonts w:ascii="Times New Roman" w:hAnsi="Times New Roman" w:cs="Times New Roman"/>
          <w:sz w:val="22"/>
          <w:szCs w:val="22"/>
          <w:lang w:val="en-GB"/>
        </w:rPr>
        <w:t xml:space="preserve"> trying to remove the medical services </w:t>
      </w:r>
      <w:r w:rsidR="003218D4" w:rsidRPr="004A29F9">
        <w:rPr>
          <w:rFonts w:ascii="Times New Roman" w:hAnsi="Times New Roman" w:cs="Times New Roman"/>
          <w:sz w:val="22"/>
          <w:szCs w:val="22"/>
          <w:lang w:val="en-GB"/>
        </w:rPr>
        <w:t xml:space="preserve">entirely </w:t>
      </w:r>
      <w:r w:rsidR="00B31D56" w:rsidRPr="004A29F9">
        <w:rPr>
          <w:rFonts w:ascii="Times New Roman" w:hAnsi="Times New Roman" w:cs="Times New Roman"/>
          <w:sz w:val="22"/>
          <w:szCs w:val="22"/>
          <w:lang w:val="en-GB"/>
        </w:rPr>
        <w:t>from the auspices of the Israeli prison service</w:t>
      </w:r>
      <w:r w:rsidR="003218D4" w:rsidRPr="004A29F9">
        <w:rPr>
          <w:rFonts w:ascii="Times New Roman" w:hAnsi="Times New Roman" w:cs="Times New Roman"/>
          <w:sz w:val="22"/>
          <w:szCs w:val="22"/>
          <w:lang w:val="en-GB"/>
        </w:rPr>
        <w:t>.</w:t>
      </w:r>
    </w:p>
    <w:p w:rsidR="00490531" w:rsidRDefault="00490531" w:rsidP="00FB6759">
      <w:pPr>
        <w:spacing w:after="0" w:line="240" w:lineRule="auto"/>
        <w:jc w:val="both"/>
        <w:rPr>
          <w:rFonts w:ascii="Times New Roman" w:hAnsi="Times New Roman" w:cs="Times New Roman"/>
          <w:i/>
          <w:sz w:val="22"/>
          <w:szCs w:val="22"/>
          <w:lang w:val="en-GB"/>
        </w:rPr>
      </w:pPr>
    </w:p>
    <w:p w:rsidR="00E45882" w:rsidRDefault="00E45882"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For the last 20 years, Addameer has worked </w:t>
      </w:r>
      <w:r w:rsidR="00686246" w:rsidRPr="00E45882">
        <w:rPr>
          <w:rFonts w:ascii="Times New Roman" w:hAnsi="Times New Roman" w:cs="Times New Roman"/>
          <w:sz w:val="22"/>
          <w:szCs w:val="22"/>
          <w:lang w:val="en-GB"/>
        </w:rPr>
        <w:t>with Palestinian prisoners in the Israeli military courts and for the last several years Ad</w:t>
      </w:r>
      <w:r w:rsidR="00A20C9A" w:rsidRPr="00E45882">
        <w:rPr>
          <w:rFonts w:ascii="Times New Roman" w:hAnsi="Times New Roman" w:cs="Times New Roman"/>
          <w:sz w:val="22"/>
          <w:szCs w:val="22"/>
          <w:lang w:val="en-GB"/>
        </w:rPr>
        <w:t>da</w:t>
      </w:r>
      <w:r w:rsidR="00686246" w:rsidRPr="00E45882">
        <w:rPr>
          <w:rFonts w:ascii="Times New Roman" w:hAnsi="Times New Roman" w:cs="Times New Roman"/>
          <w:sz w:val="22"/>
          <w:szCs w:val="22"/>
          <w:lang w:val="en-GB"/>
        </w:rPr>
        <w:t>meer</w:t>
      </w:r>
      <w:r w:rsidR="00227679">
        <w:rPr>
          <w:rFonts w:ascii="Times New Roman" w:hAnsi="Times New Roman" w:cs="Times New Roman"/>
          <w:sz w:val="22"/>
          <w:szCs w:val="22"/>
          <w:lang w:val="en-GB"/>
        </w:rPr>
        <w:t xml:space="preserve"> </w:t>
      </w:r>
      <w:r>
        <w:rPr>
          <w:rFonts w:ascii="Times New Roman" w:hAnsi="Times New Roman" w:cs="Times New Roman"/>
          <w:sz w:val="22"/>
          <w:szCs w:val="22"/>
          <w:lang w:val="en-GB"/>
        </w:rPr>
        <w:t>has represented prisoners in Palestinian</w:t>
      </w:r>
      <w:r w:rsidR="00686246" w:rsidRPr="00E45882">
        <w:rPr>
          <w:rFonts w:ascii="Times New Roman" w:hAnsi="Times New Roman" w:cs="Times New Roman"/>
          <w:sz w:val="22"/>
          <w:szCs w:val="22"/>
          <w:lang w:val="en-GB"/>
        </w:rPr>
        <w:t xml:space="preserve"> courts. There are in fact only f</w:t>
      </w:r>
      <w:r>
        <w:rPr>
          <w:rFonts w:ascii="Times New Roman" w:hAnsi="Times New Roman" w:cs="Times New Roman"/>
          <w:sz w:val="22"/>
          <w:szCs w:val="22"/>
          <w:lang w:val="en-GB"/>
        </w:rPr>
        <w:t xml:space="preserve">ive or six local </w:t>
      </w:r>
      <w:r w:rsidR="00686246" w:rsidRPr="00E45882">
        <w:rPr>
          <w:rFonts w:ascii="Times New Roman" w:hAnsi="Times New Roman" w:cs="Times New Roman"/>
          <w:sz w:val="22"/>
          <w:szCs w:val="22"/>
          <w:lang w:val="en-GB"/>
        </w:rPr>
        <w:t>CSOs that offer legal aid to prisoners and Ad</w:t>
      </w:r>
      <w:r w:rsidR="00A20C9A" w:rsidRPr="00E45882">
        <w:rPr>
          <w:rFonts w:ascii="Times New Roman" w:hAnsi="Times New Roman" w:cs="Times New Roman"/>
          <w:sz w:val="22"/>
          <w:szCs w:val="22"/>
          <w:lang w:val="en-GB"/>
        </w:rPr>
        <w:t>da</w:t>
      </w:r>
      <w:r w:rsidR="00686246" w:rsidRPr="00E45882">
        <w:rPr>
          <w:rFonts w:ascii="Times New Roman" w:hAnsi="Times New Roman" w:cs="Times New Roman"/>
          <w:sz w:val="22"/>
          <w:szCs w:val="22"/>
          <w:lang w:val="en-GB"/>
        </w:rPr>
        <w:t>meer represents between 400 to 600 prisoners per year. Ad</w:t>
      </w:r>
      <w:r w:rsidR="00A20C9A" w:rsidRPr="00E45882">
        <w:rPr>
          <w:rFonts w:ascii="Times New Roman" w:hAnsi="Times New Roman" w:cs="Times New Roman"/>
          <w:sz w:val="22"/>
          <w:szCs w:val="22"/>
          <w:lang w:val="en-GB"/>
        </w:rPr>
        <w:t>da</w:t>
      </w:r>
      <w:r w:rsidR="00686246" w:rsidRPr="00E45882">
        <w:rPr>
          <w:rFonts w:ascii="Times New Roman" w:hAnsi="Times New Roman" w:cs="Times New Roman"/>
          <w:sz w:val="22"/>
          <w:szCs w:val="22"/>
          <w:lang w:val="en-GB"/>
        </w:rPr>
        <w:t>meer</w:t>
      </w:r>
      <w:r w:rsidR="00227679">
        <w:rPr>
          <w:rFonts w:ascii="Times New Roman" w:hAnsi="Times New Roman" w:cs="Times New Roman"/>
          <w:sz w:val="22"/>
          <w:szCs w:val="22"/>
          <w:lang w:val="en-GB"/>
        </w:rPr>
        <w:t xml:space="preserve"> </w:t>
      </w:r>
      <w:r>
        <w:rPr>
          <w:rFonts w:ascii="Times New Roman" w:hAnsi="Times New Roman" w:cs="Times New Roman"/>
          <w:sz w:val="22"/>
          <w:szCs w:val="22"/>
          <w:lang w:val="en-GB"/>
        </w:rPr>
        <w:t>is a member of</w:t>
      </w:r>
      <w:r w:rsidR="00686246" w:rsidRPr="00E45882">
        <w:rPr>
          <w:rFonts w:ascii="Times New Roman" w:hAnsi="Times New Roman" w:cs="Times New Roman"/>
          <w:sz w:val="22"/>
          <w:szCs w:val="22"/>
          <w:lang w:val="en-GB"/>
        </w:rPr>
        <w:t xml:space="preserve"> the Palestinian Human Rights Coun</w:t>
      </w:r>
      <w:r w:rsidR="00A20C9A" w:rsidRPr="00E45882">
        <w:rPr>
          <w:rFonts w:ascii="Times New Roman" w:hAnsi="Times New Roman" w:cs="Times New Roman"/>
          <w:sz w:val="22"/>
          <w:szCs w:val="22"/>
          <w:lang w:val="en-GB"/>
        </w:rPr>
        <w:t>cil</w:t>
      </w:r>
      <w:r w:rsidR="00686246" w:rsidRPr="00E45882">
        <w:rPr>
          <w:rFonts w:ascii="Times New Roman" w:hAnsi="Times New Roman" w:cs="Times New Roman"/>
          <w:sz w:val="22"/>
          <w:szCs w:val="22"/>
          <w:lang w:val="en-GB"/>
        </w:rPr>
        <w:t xml:space="preserve"> and occupies a position of authority to speak on the issues of a</w:t>
      </w:r>
      <w:r>
        <w:rPr>
          <w:rFonts w:ascii="Times New Roman" w:hAnsi="Times New Roman" w:cs="Times New Roman"/>
          <w:sz w:val="22"/>
          <w:szCs w:val="22"/>
          <w:lang w:val="en-GB"/>
        </w:rPr>
        <w:t>dministrative detention. The support provided by UNDP</w:t>
      </w:r>
      <w:r w:rsidR="00686246" w:rsidRPr="00E45882">
        <w:rPr>
          <w:rFonts w:ascii="Times New Roman" w:hAnsi="Times New Roman" w:cs="Times New Roman"/>
          <w:sz w:val="22"/>
          <w:szCs w:val="22"/>
          <w:lang w:val="en-GB"/>
        </w:rPr>
        <w:t xml:space="preserve"> allowed Ad</w:t>
      </w:r>
      <w:r w:rsidR="00A20C9A" w:rsidRPr="00E45882">
        <w:rPr>
          <w:rFonts w:ascii="Times New Roman" w:hAnsi="Times New Roman" w:cs="Times New Roman"/>
          <w:sz w:val="22"/>
          <w:szCs w:val="22"/>
          <w:lang w:val="en-GB"/>
        </w:rPr>
        <w:t>da</w:t>
      </w:r>
      <w:r w:rsidR="00686246" w:rsidRPr="00E45882">
        <w:rPr>
          <w:rFonts w:ascii="Times New Roman" w:hAnsi="Times New Roman" w:cs="Times New Roman"/>
          <w:sz w:val="22"/>
          <w:szCs w:val="22"/>
          <w:lang w:val="en-GB"/>
        </w:rPr>
        <w:t>meer to track prisoners and provide legal aid to defen</w:t>
      </w:r>
      <w:r>
        <w:rPr>
          <w:rFonts w:ascii="Times New Roman" w:hAnsi="Times New Roman" w:cs="Times New Roman"/>
          <w:sz w:val="22"/>
          <w:szCs w:val="22"/>
          <w:lang w:val="en-GB"/>
        </w:rPr>
        <w:t>dants before both Israeli and Palestinian</w:t>
      </w:r>
      <w:r w:rsidR="00686246" w:rsidRPr="00E45882">
        <w:rPr>
          <w:rFonts w:ascii="Times New Roman" w:hAnsi="Times New Roman" w:cs="Times New Roman"/>
          <w:sz w:val="22"/>
          <w:szCs w:val="22"/>
          <w:lang w:val="en-GB"/>
        </w:rPr>
        <w:t xml:space="preserve"> courts; as well as work on documentation; visits to prison facilitie</w:t>
      </w:r>
      <w:r>
        <w:rPr>
          <w:rFonts w:ascii="Times New Roman" w:hAnsi="Times New Roman" w:cs="Times New Roman"/>
          <w:sz w:val="22"/>
          <w:szCs w:val="22"/>
          <w:lang w:val="en-GB"/>
        </w:rPr>
        <w:t>s as well as outreach.</w:t>
      </w:r>
    </w:p>
    <w:p w:rsidR="00E45882" w:rsidRDefault="00E45882" w:rsidP="00FB6759">
      <w:pPr>
        <w:spacing w:after="0" w:line="240" w:lineRule="auto"/>
        <w:jc w:val="both"/>
        <w:rPr>
          <w:rFonts w:ascii="Times New Roman" w:hAnsi="Times New Roman" w:cs="Times New Roman"/>
          <w:sz w:val="22"/>
          <w:szCs w:val="22"/>
          <w:lang w:val="en-GB"/>
        </w:rPr>
      </w:pPr>
    </w:p>
    <w:p w:rsidR="00313458" w:rsidRPr="00E45882" w:rsidRDefault="00686246" w:rsidP="00FB6759">
      <w:pPr>
        <w:spacing w:after="0" w:line="240" w:lineRule="auto"/>
        <w:jc w:val="both"/>
        <w:rPr>
          <w:rFonts w:ascii="Times New Roman" w:hAnsi="Times New Roman" w:cs="Times New Roman"/>
          <w:sz w:val="22"/>
          <w:szCs w:val="22"/>
          <w:lang w:val="en-GB"/>
        </w:rPr>
      </w:pPr>
      <w:r w:rsidRPr="00E45882">
        <w:rPr>
          <w:rFonts w:ascii="Times New Roman" w:hAnsi="Times New Roman" w:cs="Times New Roman"/>
          <w:sz w:val="22"/>
          <w:szCs w:val="22"/>
          <w:lang w:val="en-GB"/>
        </w:rPr>
        <w:t>In regard to administrative detention in particular, Ad</w:t>
      </w:r>
      <w:r w:rsidR="00A20C9A" w:rsidRPr="00E45882">
        <w:rPr>
          <w:rFonts w:ascii="Times New Roman" w:hAnsi="Times New Roman" w:cs="Times New Roman"/>
          <w:sz w:val="22"/>
          <w:szCs w:val="22"/>
          <w:lang w:val="en-GB"/>
        </w:rPr>
        <w:t>da</w:t>
      </w:r>
      <w:r w:rsidRPr="00E45882">
        <w:rPr>
          <w:rFonts w:ascii="Times New Roman" w:hAnsi="Times New Roman" w:cs="Times New Roman"/>
          <w:sz w:val="22"/>
          <w:szCs w:val="22"/>
          <w:lang w:val="en-GB"/>
        </w:rPr>
        <w:t>meer is dealing more with the international dimension and has petitioned international bodies. Ad</w:t>
      </w:r>
      <w:r w:rsidR="00E45882">
        <w:rPr>
          <w:rFonts w:ascii="Times New Roman" w:hAnsi="Times New Roman" w:cs="Times New Roman"/>
          <w:sz w:val="22"/>
          <w:szCs w:val="22"/>
          <w:lang w:val="en-GB"/>
        </w:rPr>
        <w:t>da</w:t>
      </w:r>
      <w:r w:rsidRPr="00E45882">
        <w:rPr>
          <w:rFonts w:ascii="Times New Roman" w:hAnsi="Times New Roman" w:cs="Times New Roman"/>
          <w:sz w:val="22"/>
          <w:szCs w:val="22"/>
          <w:lang w:val="en-GB"/>
        </w:rPr>
        <w:t>meer states that the UNDP suppor</w:t>
      </w:r>
      <w:r w:rsidR="00E45882">
        <w:rPr>
          <w:rFonts w:ascii="Times New Roman" w:hAnsi="Times New Roman" w:cs="Times New Roman"/>
          <w:sz w:val="22"/>
          <w:szCs w:val="22"/>
          <w:lang w:val="en-GB"/>
        </w:rPr>
        <w:t xml:space="preserve">t is helping it to advance the outcome - </w:t>
      </w:r>
      <w:r w:rsidRPr="00E45882">
        <w:rPr>
          <w:rFonts w:ascii="Times New Roman" w:hAnsi="Times New Roman" w:cs="Times New Roman"/>
          <w:sz w:val="22"/>
          <w:szCs w:val="22"/>
          <w:lang w:val="en-GB"/>
        </w:rPr>
        <w:t>each well-funded case in court, represented by competent legal counsel holds Israel to account and increases the visibility of administrative detention and the detainees. Ad</w:t>
      </w:r>
      <w:r w:rsidR="00A20C9A" w:rsidRPr="00E45882">
        <w:rPr>
          <w:rFonts w:ascii="Times New Roman" w:hAnsi="Times New Roman" w:cs="Times New Roman"/>
          <w:sz w:val="22"/>
          <w:szCs w:val="22"/>
          <w:lang w:val="en-GB"/>
        </w:rPr>
        <w:t>da</w:t>
      </w:r>
      <w:r w:rsidRPr="00E45882">
        <w:rPr>
          <w:rFonts w:ascii="Times New Roman" w:hAnsi="Times New Roman" w:cs="Times New Roman"/>
          <w:sz w:val="22"/>
          <w:szCs w:val="22"/>
          <w:lang w:val="en-GB"/>
        </w:rPr>
        <w:t xml:space="preserve">meer can identify an </w:t>
      </w:r>
      <w:r w:rsidR="005F0B0E" w:rsidRPr="00E45882">
        <w:rPr>
          <w:rFonts w:ascii="Times New Roman" w:hAnsi="Times New Roman" w:cs="Times New Roman"/>
          <w:sz w:val="22"/>
          <w:szCs w:val="22"/>
          <w:lang w:val="en-GB"/>
        </w:rPr>
        <w:t>impact in 2012 especially during</w:t>
      </w:r>
      <w:r w:rsidRPr="00E45882">
        <w:rPr>
          <w:rFonts w:ascii="Times New Roman" w:hAnsi="Times New Roman" w:cs="Times New Roman"/>
          <w:sz w:val="22"/>
          <w:szCs w:val="22"/>
          <w:lang w:val="en-GB"/>
        </w:rPr>
        <w:t xml:space="preserve"> the hunger strikes that </w:t>
      </w:r>
      <w:r w:rsidR="005F0B0E" w:rsidRPr="00E45882">
        <w:rPr>
          <w:rFonts w:ascii="Times New Roman" w:hAnsi="Times New Roman" w:cs="Times New Roman"/>
          <w:sz w:val="22"/>
          <w:szCs w:val="22"/>
          <w:lang w:val="en-GB"/>
        </w:rPr>
        <w:t>occurred</w:t>
      </w:r>
      <w:r w:rsidRPr="00E45882">
        <w:rPr>
          <w:rFonts w:ascii="Times New Roman" w:hAnsi="Times New Roman" w:cs="Times New Roman"/>
          <w:sz w:val="22"/>
          <w:szCs w:val="22"/>
          <w:lang w:val="en-GB"/>
        </w:rPr>
        <w:t>. Ad</w:t>
      </w:r>
      <w:r w:rsidR="00A20C9A" w:rsidRPr="00E45882">
        <w:rPr>
          <w:rFonts w:ascii="Times New Roman" w:hAnsi="Times New Roman" w:cs="Times New Roman"/>
          <w:sz w:val="22"/>
          <w:szCs w:val="22"/>
          <w:lang w:val="en-GB"/>
        </w:rPr>
        <w:t>da</w:t>
      </w:r>
      <w:r w:rsidRPr="00E45882">
        <w:rPr>
          <w:rFonts w:ascii="Times New Roman" w:hAnsi="Times New Roman" w:cs="Times New Roman"/>
          <w:sz w:val="22"/>
          <w:szCs w:val="22"/>
          <w:lang w:val="en-GB"/>
        </w:rPr>
        <w:t xml:space="preserve">meer has used part of the UNDP grant to hire </w:t>
      </w:r>
      <w:r w:rsidR="00A20C9A" w:rsidRPr="00E45882">
        <w:rPr>
          <w:rFonts w:ascii="Times New Roman" w:hAnsi="Times New Roman" w:cs="Times New Roman"/>
          <w:sz w:val="22"/>
          <w:szCs w:val="22"/>
          <w:lang w:val="en-GB"/>
        </w:rPr>
        <w:t xml:space="preserve">an </w:t>
      </w:r>
      <w:r w:rsidRPr="00E45882">
        <w:rPr>
          <w:rFonts w:ascii="Times New Roman" w:hAnsi="Times New Roman" w:cs="Times New Roman"/>
          <w:sz w:val="22"/>
          <w:szCs w:val="22"/>
          <w:lang w:val="en-GB"/>
        </w:rPr>
        <w:t>additional l</w:t>
      </w:r>
      <w:r w:rsidR="00E45882">
        <w:rPr>
          <w:rFonts w:ascii="Times New Roman" w:hAnsi="Times New Roman" w:cs="Times New Roman"/>
          <w:sz w:val="22"/>
          <w:szCs w:val="22"/>
          <w:lang w:val="en-GB"/>
        </w:rPr>
        <w:t>awyer in East Jerusalem</w:t>
      </w:r>
      <w:r w:rsidRPr="00E45882">
        <w:rPr>
          <w:rFonts w:ascii="Times New Roman" w:hAnsi="Times New Roman" w:cs="Times New Roman"/>
          <w:sz w:val="22"/>
          <w:szCs w:val="22"/>
          <w:lang w:val="en-GB"/>
        </w:rPr>
        <w:t>. In one case, the Ad</w:t>
      </w:r>
      <w:r w:rsidR="00A20C9A" w:rsidRPr="00E45882">
        <w:rPr>
          <w:rFonts w:ascii="Times New Roman" w:hAnsi="Times New Roman" w:cs="Times New Roman"/>
          <w:sz w:val="22"/>
          <w:szCs w:val="22"/>
          <w:lang w:val="en-GB"/>
        </w:rPr>
        <w:t>da</w:t>
      </w:r>
      <w:r w:rsidRPr="00E45882">
        <w:rPr>
          <w:rFonts w:ascii="Times New Roman" w:hAnsi="Times New Roman" w:cs="Times New Roman"/>
          <w:sz w:val="22"/>
          <w:szCs w:val="22"/>
          <w:lang w:val="en-GB"/>
        </w:rPr>
        <w:t>meer lawyer was able to obtain the release of over 60 people. Ad</w:t>
      </w:r>
      <w:r w:rsidR="00A20C9A" w:rsidRPr="00E45882">
        <w:rPr>
          <w:rFonts w:ascii="Times New Roman" w:hAnsi="Times New Roman" w:cs="Times New Roman"/>
          <w:sz w:val="22"/>
          <w:szCs w:val="22"/>
          <w:lang w:val="en-GB"/>
        </w:rPr>
        <w:t>da</w:t>
      </w:r>
      <w:r w:rsidRPr="00E45882">
        <w:rPr>
          <w:rFonts w:ascii="Times New Roman" w:hAnsi="Times New Roman" w:cs="Times New Roman"/>
          <w:sz w:val="22"/>
          <w:szCs w:val="22"/>
          <w:lang w:val="en-GB"/>
        </w:rPr>
        <w:t>meer has also been able to effectively engage at the village level through its teams of field workers that in</w:t>
      </w:r>
      <w:r w:rsidR="00E45882">
        <w:rPr>
          <w:rFonts w:ascii="Times New Roman" w:hAnsi="Times New Roman" w:cs="Times New Roman"/>
          <w:sz w:val="22"/>
          <w:szCs w:val="22"/>
          <w:lang w:val="en-GB"/>
        </w:rPr>
        <w:t xml:space="preserve">clude </w:t>
      </w:r>
      <w:r w:rsidRPr="00E45882">
        <w:rPr>
          <w:rFonts w:ascii="Times New Roman" w:hAnsi="Times New Roman" w:cs="Times New Roman"/>
          <w:sz w:val="22"/>
          <w:szCs w:val="22"/>
          <w:lang w:val="en-GB"/>
        </w:rPr>
        <w:t>photographers</w:t>
      </w:r>
      <w:r w:rsidR="00E45882">
        <w:rPr>
          <w:rFonts w:ascii="Times New Roman" w:hAnsi="Times New Roman" w:cs="Times New Roman"/>
          <w:sz w:val="22"/>
          <w:szCs w:val="22"/>
          <w:lang w:val="en-GB"/>
        </w:rPr>
        <w:t xml:space="preserve"> and paralegals</w:t>
      </w:r>
      <w:r w:rsidRPr="00E45882">
        <w:rPr>
          <w:rFonts w:ascii="Times New Roman" w:hAnsi="Times New Roman" w:cs="Times New Roman"/>
          <w:sz w:val="22"/>
          <w:szCs w:val="22"/>
          <w:lang w:val="en-GB"/>
        </w:rPr>
        <w:t xml:space="preserve">. </w:t>
      </w:r>
    </w:p>
    <w:p w:rsidR="00490531" w:rsidRDefault="00490531" w:rsidP="00FB6759">
      <w:pPr>
        <w:spacing w:after="0" w:line="240" w:lineRule="auto"/>
        <w:jc w:val="both"/>
        <w:rPr>
          <w:rFonts w:ascii="Times New Roman" w:hAnsi="Times New Roman" w:cs="Times New Roman"/>
          <w:sz w:val="22"/>
          <w:szCs w:val="22"/>
          <w:lang w:val="en-GB"/>
        </w:rPr>
      </w:pPr>
    </w:p>
    <w:p w:rsidR="00CC4B04" w:rsidRPr="00E45882" w:rsidRDefault="00686246" w:rsidP="00FB6759">
      <w:pPr>
        <w:spacing w:after="0" w:line="240" w:lineRule="auto"/>
        <w:jc w:val="both"/>
        <w:rPr>
          <w:rFonts w:ascii="Times New Roman" w:hAnsi="Times New Roman" w:cs="Times New Roman"/>
          <w:sz w:val="22"/>
          <w:szCs w:val="22"/>
          <w:lang w:val="en-GB"/>
        </w:rPr>
      </w:pPr>
      <w:r w:rsidRPr="00E45882">
        <w:rPr>
          <w:rFonts w:ascii="Times New Roman" w:hAnsi="Times New Roman" w:cs="Times New Roman"/>
          <w:sz w:val="22"/>
          <w:szCs w:val="22"/>
          <w:lang w:val="en-GB"/>
        </w:rPr>
        <w:t xml:space="preserve">Another well-established CSO </w:t>
      </w:r>
      <w:r w:rsidR="00A20C9A" w:rsidRPr="00E45882">
        <w:rPr>
          <w:rFonts w:ascii="Times New Roman" w:hAnsi="Times New Roman" w:cs="Times New Roman"/>
          <w:sz w:val="22"/>
          <w:szCs w:val="22"/>
          <w:lang w:val="en-GB"/>
        </w:rPr>
        <w:t>Al-</w:t>
      </w:r>
      <w:r w:rsidRPr="00E45882">
        <w:rPr>
          <w:rFonts w:ascii="Times New Roman" w:hAnsi="Times New Roman" w:cs="Times New Roman"/>
          <w:sz w:val="22"/>
          <w:szCs w:val="22"/>
          <w:lang w:val="en-GB"/>
        </w:rPr>
        <w:t>Haq</w:t>
      </w:r>
      <w:r w:rsidR="00E45882">
        <w:rPr>
          <w:rFonts w:ascii="Times New Roman" w:hAnsi="Times New Roman" w:cs="Times New Roman"/>
          <w:sz w:val="22"/>
          <w:szCs w:val="22"/>
          <w:lang w:val="en-GB"/>
        </w:rPr>
        <w:t xml:space="preserve"> utilis</w:t>
      </w:r>
      <w:r w:rsidRPr="00E45882">
        <w:rPr>
          <w:rFonts w:ascii="Times New Roman" w:hAnsi="Times New Roman" w:cs="Times New Roman"/>
          <w:sz w:val="22"/>
          <w:szCs w:val="22"/>
          <w:lang w:val="en-GB"/>
        </w:rPr>
        <w:t xml:space="preserve">ed UNDP support to extensively follow-up on issues related to detention and torture. This included engaging with security </w:t>
      </w:r>
      <w:r w:rsidR="00E45882">
        <w:rPr>
          <w:rFonts w:ascii="Times New Roman" w:hAnsi="Times New Roman" w:cs="Times New Roman"/>
          <w:sz w:val="22"/>
          <w:szCs w:val="22"/>
          <w:lang w:val="en-GB"/>
        </w:rPr>
        <w:t xml:space="preserve">agencies and detention centres, </w:t>
      </w:r>
      <w:r w:rsidRPr="00E45882">
        <w:rPr>
          <w:rFonts w:ascii="Times New Roman" w:hAnsi="Times New Roman" w:cs="Times New Roman"/>
          <w:sz w:val="22"/>
          <w:szCs w:val="22"/>
          <w:lang w:val="en-GB"/>
        </w:rPr>
        <w:t>especially with intellig</w:t>
      </w:r>
      <w:r w:rsidR="00E45882">
        <w:rPr>
          <w:rFonts w:ascii="Times New Roman" w:hAnsi="Times New Roman" w:cs="Times New Roman"/>
          <w:sz w:val="22"/>
          <w:szCs w:val="22"/>
          <w:lang w:val="en-GB"/>
        </w:rPr>
        <w:t>ence and preventative detention</w:t>
      </w:r>
      <w:r w:rsidRPr="00E45882">
        <w:rPr>
          <w:rFonts w:ascii="Times New Roman" w:hAnsi="Times New Roman" w:cs="Times New Roman"/>
          <w:sz w:val="22"/>
          <w:szCs w:val="22"/>
          <w:lang w:val="en-GB"/>
        </w:rPr>
        <w:t xml:space="preserve">. Importantly, </w:t>
      </w:r>
      <w:r w:rsidR="00A20C9A" w:rsidRPr="00E45882">
        <w:rPr>
          <w:rFonts w:ascii="Times New Roman" w:hAnsi="Times New Roman" w:cs="Times New Roman"/>
          <w:sz w:val="22"/>
          <w:szCs w:val="22"/>
          <w:lang w:val="en-GB"/>
        </w:rPr>
        <w:t>Al-</w:t>
      </w:r>
      <w:r w:rsidRPr="00E45882">
        <w:rPr>
          <w:rFonts w:ascii="Times New Roman" w:hAnsi="Times New Roman" w:cs="Times New Roman"/>
          <w:sz w:val="22"/>
          <w:szCs w:val="22"/>
          <w:lang w:val="en-GB"/>
        </w:rPr>
        <w:t>Haq also focuses on the military-judicial system in an effort to bring the military legislation in harmony with international standards. A</w:t>
      </w:r>
      <w:r w:rsidR="005664BD" w:rsidRPr="00E45882">
        <w:rPr>
          <w:rFonts w:ascii="Times New Roman" w:hAnsi="Times New Roman" w:cs="Times New Roman"/>
          <w:sz w:val="22"/>
          <w:szCs w:val="22"/>
          <w:lang w:val="en-GB"/>
        </w:rPr>
        <w:t xml:space="preserve">ccording to </w:t>
      </w:r>
      <w:r w:rsidR="00A20C9A" w:rsidRPr="00E45882">
        <w:rPr>
          <w:rFonts w:ascii="Times New Roman" w:hAnsi="Times New Roman" w:cs="Times New Roman"/>
          <w:sz w:val="22"/>
          <w:szCs w:val="22"/>
          <w:lang w:val="en-GB"/>
        </w:rPr>
        <w:t>Al-</w:t>
      </w:r>
      <w:r w:rsidR="005664BD" w:rsidRPr="00E45882">
        <w:rPr>
          <w:rFonts w:ascii="Times New Roman" w:hAnsi="Times New Roman" w:cs="Times New Roman"/>
          <w:sz w:val="22"/>
          <w:szCs w:val="22"/>
          <w:lang w:val="en-GB"/>
        </w:rPr>
        <w:t xml:space="preserve">Haq, this is an area that UNDP should devote more attention to going forward. </w:t>
      </w:r>
    </w:p>
    <w:p w:rsidR="00490531" w:rsidRDefault="00490531" w:rsidP="00FB6759">
      <w:pPr>
        <w:spacing w:after="0" w:line="240" w:lineRule="auto"/>
        <w:jc w:val="both"/>
        <w:rPr>
          <w:rFonts w:ascii="Times New Roman" w:hAnsi="Times New Roman" w:cs="Times New Roman"/>
          <w:sz w:val="22"/>
          <w:szCs w:val="22"/>
          <w:lang w:val="en-GB"/>
        </w:rPr>
      </w:pPr>
    </w:p>
    <w:p w:rsidR="00E45882" w:rsidRDefault="00414ACB" w:rsidP="00FB6759">
      <w:pPr>
        <w:spacing w:after="0" w:line="240" w:lineRule="auto"/>
        <w:jc w:val="both"/>
        <w:rPr>
          <w:rFonts w:ascii="Times New Roman" w:hAnsi="Times New Roman" w:cs="Times New Roman"/>
          <w:sz w:val="22"/>
          <w:szCs w:val="22"/>
          <w:lang w:val="en-GB"/>
        </w:rPr>
      </w:pPr>
      <w:r w:rsidRPr="00E45882">
        <w:rPr>
          <w:rFonts w:ascii="Times New Roman" w:hAnsi="Times New Roman" w:cs="Times New Roman"/>
          <w:sz w:val="22"/>
          <w:szCs w:val="22"/>
          <w:lang w:val="en-GB"/>
        </w:rPr>
        <w:t xml:space="preserve">Meanwhile, </w:t>
      </w:r>
      <w:r w:rsidR="00447F98" w:rsidRPr="00E45882">
        <w:rPr>
          <w:rFonts w:ascii="Times New Roman" w:hAnsi="Times New Roman" w:cs="Times New Roman"/>
          <w:sz w:val="22"/>
          <w:szCs w:val="22"/>
          <w:lang w:val="en-GB"/>
        </w:rPr>
        <w:t xml:space="preserve">Save the </w:t>
      </w:r>
      <w:r w:rsidR="00820831" w:rsidRPr="00E45882">
        <w:rPr>
          <w:rFonts w:ascii="Times New Roman" w:hAnsi="Times New Roman" w:cs="Times New Roman"/>
          <w:sz w:val="22"/>
          <w:szCs w:val="22"/>
          <w:lang w:val="en-GB"/>
        </w:rPr>
        <w:t>Children</w:t>
      </w:r>
      <w:r w:rsidR="00A20C9A" w:rsidRPr="00E45882">
        <w:rPr>
          <w:rFonts w:ascii="Times New Roman" w:hAnsi="Times New Roman" w:cs="Times New Roman"/>
          <w:sz w:val="22"/>
          <w:szCs w:val="22"/>
          <w:lang w:val="en-GB"/>
        </w:rPr>
        <w:t>/</w:t>
      </w:r>
      <w:r w:rsidR="00F21C12" w:rsidRPr="00E45882">
        <w:rPr>
          <w:rFonts w:ascii="Times New Roman" w:hAnsi="Times New Roman" w:cs="Times New Roman"/>
          <w:sz w:val="22"/>
          <w:szCs w:val="22"/>
          <w:lang w:val="en-GB"/>
        </w:rPr>
        <w:t>Sweden</w:t>
      </w:r>
      <w:r w:rsidR="00FD3C19">
        <w:rPr>
          <w:rFonts w:ascii="Times New Roman" w:hAnsi="Times New Roman" w:cs="Times New Roman"/>
          <w:sz w:val="22"/>
          <w:szCs w:val="22"/>
          <w:lang w:val="en-GB"/>
        </w:rPr>
        <w:t xml:space="preserve"> </w:t>
      </w:r>
      <w:r w:rsidR="009C6FB0" w:rsidRPr="00E45882">
        <w:rPr>
          <w:rFonts w:ascii="Times New Roman" w:hAnsi="Times New Roman" w:cs="Times New Roman"/>
          <w:sz w:val="22"/>
          <w:szCs w:val="22"/>
          <w:lang w:val="en-GB"/>
        </w:rPr>
        <w:t>has</w:t>
      </w:r>
      <w:r w:rsidR="00E45882">
        <w:rPr>
          <w:rFonts w:ascii="Times New Roman" w:hAnsi="Times New Roman" w:cs="Times New Roman"/>
          <w:sz w:val="22"/>
          <w:szCs w:val="22"/>
          <w:lang w:val="en-GB"/>
        </w:rPr>
        <w:t xml:space="preserve"> utilis</w:t>
      </w:r>
      <w:r w:rsidRPr="00E45882">
        <w:rPr>
          <w:rFonts w:ascii="Times New Roman" w:hAnsi="Times New Roman" w:cs="Times New Roman"/>
          <w:sz w:val="22"/>
          <w:szCs w:val="22"/>
          <w:lang w:val="en-GB"/>
        </w:rPr>
        <w:t>ed UNDP support to</w:t>
      </w:r>
      <w:r w:rsidR="00FD3C19">
        <w:rPr>
          <w:rFonts w:ascii="Times New Roman" w:hAnsi="Times New Roman" w:cs="Times New Roman"/>
          <w:sz w:val="22"/>
          <w:szCs w:val="22"/>
          <w:lang w:val="en-GB"/>
        </w:rPr>
        <w:t xml:space="preserve"> </w:t>
      </w:r>
      <w:r w:rsidR="00CC4B04" w:rsidRPr="00E45882">
        <w:rPr>
          <w:rFonts w:ascii="Times New Roman" w:hAnsi="Times New Roman" w:cs="Times New Roman"/>
          <w:sz w:val="22"/>
          <w:szCs w:val="22"/>
          <w:lang w:val="en-GB"/>
        </w:rPr>
        <w:t>sustain and intensify its child protection work in East Jerusalem, working with children arrested and detained by</w:t>
      </w:r>
      <w:r w:rsidR="00E45882">
        <w:rPr>
          <w:rFonts w:ascii="Times New Roman" w:hAnsi="Times New Roman" w:cs="Times New Roman"/>
          <w:sz w:val="22"/>
          <w:szCs w:val="22"/>
          <w:lang w:val="en-GB"/>
        </w:rPr>
        <w:t xml:space="preserve"> the Israeli security forces</w:t>
      </w:r>
      <w:r w:rsidR="00CC4B04" w:rsidRPr="00E45882">
        <w:rPr>
          <w:rFonts w:ascii="Times New Roman" w:hAnsi="Times New Roman" w:cs="Times New Roman"/>
          <w:sz w:val="22"/>
          <w:szCs w:val="22"/>
          <w:lang w:val="en-GB"/>
        </w:rPr>
        <w:t>. With UNDP support, Save the Children</w:t>
      </w:r>
      <w:r w:rsidR="00A20C9A" w:rsidRPr="00E45882">
        <w:rPr>
          <w:rFonts w:ascii="Times New Roman" w:hAnsi="Times New Roman" w:cs="Times New Roman"/>
          <w:sz w:val="22"/>
          <w:szCs w:val="22"/>
          <w:lang w:val="en-GB"/>
        </w:rPr>
        <w:t>/Sweden</w:t>
      </w:r>
      <w:r w:rsidR="00CC4B04" w:rsidRPr="00E45882">
        <w:rPr>
          <w:rFonts w:ascii="Times New Roman" w:hAnsi="Times New Roman" w:cs="Times New Roman"/>
          <w:sz w:val="22"/>
          <w:szCs w:val="22"/>
          <w:lang w:val="en-GB"/>
        </w:rPr>
        <w:t xml:space="preserve"> has off</w:t>
      </w:r>
      <w:r w:rsidR="00FD3C19">
        <w:rPr>
          <w:rFonts w:ascii="Times New Roman" w:hAnsi="Times New Roman" w:cs="Times New Roman"/>
          <w:sz w:val="22"/>
          <w:szCs w:val="22"/>
          <w:lang w:val="en-GB"/>
        </w:rPr>
        <w:t xml:space="preserve">ered three kinds of services: </w:t>
      </w:r>
      <w:r w:rsidR="00E45882">
        <w:rPr>
          <w:rFonts w:ascii="Times New Roman" w:hAnsi="Times New Roman" w:cs="Times New Roman"/>
          <w:sz w:val="22"/>
          <w:szCs w:val="22"/>
          <w:lang w:val="en-GB"/>
        </w:rPr>
        <w:t>1</w:t>
      </w:r>
      <w:r w:rsidR="00CC4B04" w:rsidRPr="00E45882">
        <w:rPr>
          <w:rFonts w:ascii="Times New Roman" w:hAnsi="Times New Roman" w:cs="Times New Roman"/>
          <w:sz w:val="22"/>
          <w:szCs w:val="22"/>
          <w:lang w:val="en-GB"/>
        </w:rPr>
        <w:t>) providing a legal d</w:t>
      </w:r>
      <w:r w:rsidR="00E45882">
        <w:rPr>
          <w:rFonts w:ascii="Times New Roman" w:hAnsi="Times New Roman" w:cs="Times New Roman"/>
          <w:sz w:val="22"/>
          <w:szCs w:val="22"/>
          <w:lang w:val="en-GB"/>
        </w:rPr>
        <w:t>efense for arrested children; 2</w:t>
      </w:r>
      <w:r w:rsidR="00CC4B04" w:rsidRPr="00E45882">
        <w:rPr>
          <w:rFonts w:ascii="Times New Roman" w:hAnsi="Times New Roman" w:cs="Times New Roman"/>
          <w:sz w:val="22"/>
          <w:szCs w:val="22"/>
          <w:lang w:val="en-GB"/>
        </w:rPr>
        <w:t>) offering legal consultations fo</w:t>
      </w:r>
      <w:r w:rsidR="00E45882">
        <w:rPr>
          <w:rFonts w:ascii="Times New Roman" w:hAnsi="Times New Roman" w:cs="Times New Roman"/>
          <w:sz w:val="22"/>
          <w:szCs w:val="22"/>
          <w:lang w:val="en-GB"/>
        </w:rPr>
        <w:t>r children and families; and 3</w:t>
      </w:r>
      <w:r w:rsidR="00CC4B04" w:rsidRPr="00E45882">
        <w:rPr>
          <w:rFonts w:ascii="Times New Roman" w:hAnsi="Times New Roman" w:cs="Times New Roman"/>
          <w:sz w:val="22"/>
          <w:szCs w:val="22"/>
          <w:lang w:val="en-GB"/>
        </w:rPr>
        <w:t>) raising awareness on issues of arrests and detention, so that families know what to do and where to go if a chil</w:t>
      </w:r>
      <w:r w:rsidR="00E45882">
        <w:rPr>
          <w:rFonts w:ascii="Times New Roman" w:hAnsi="Times New Roman" w:cs="Times New Roman"/>
          <w:sz w:val="22"/>
          <w:szCs w:val="22"/>
          <w:lang w:val="en-GB"/>
        </w:rPr>
        <w:t>d in their family is arrested.</w:t>
      </w:r>
    </w:p>
    <w:p w:rsidR="00E45882" w:rsidRDefault="00E45882" w:rsidP="00FB6759">
      <w:pPr>
        <w:spacing w:after="0" w:line="240" w:lineRule="auto"/>
        <w:jc w:val="both"/>
        <w:rPr>
          <w:rFonts w:ascii="Times New Roman" w:hAnsi="Times New Roman" w:cs="Times New Roman"/>
          <w:sz w:val="22"/>
          <w:szCs w:val="22"/>
          <w:lang w:val="en-GB"/>
        </w:rPr>
      </w:pPr>
    </w:p>
    <w:p w:rsidR="009C6FB0" w:rsidRPr="00E45882" w:rsidRDefault="00490A7A" w:rsidP="00FB6759">
      <w:pPr>
        <w:spacing w:after="0" w:line="240" w:lineRule="auto"/>
        <w:jc w:val="both"/>
        <w:rPr>
          <w:rFonts w:ascii="Times New Roman" w:hAnsi="Times New Roman" w:cs="Times New Roman"/>
          <w:sz w:val="22"/>
          <w:szCs w:val="22"/>
          <w:lang w:val="en-GB"/>
        </w:rPr>
      </w:pPr>
      <w:r w:rsidRPr="00E45882">
        <w:rPr>
          <w:rFonts w:ascii="Times New Roman" w:hAnsi="Times New Roman" w:cs="Times New Roman"/>
          <w:sz w:val="22"/>
          <w:szCs w:val="22"/>
          <w:lang w:val="en-GB"/>
        </w:rPr>
        <w:t>Save the Children</w:t>
      </w:r>
      <w:r w:rsidR="00A20C9A" w:rsidRPr="00E45882">
        <w:rPr>
          <w:rFonts w:ascii="Times New Roman" w:hAnsi="Times New Roman" w:cs="Times New Roman"/>
          <w:sz w:val="22"/>
          <w:szCs w:val="22"/>
          <w:lang w:val="en-GB"/>
        </w:rPr>
        <w:t>/Sweden</w:t>
      </w:r>
      <w:r w:rsidRPr="00E45882">
        <w:rPr>
          <w:rFonts w:ascii="Times New Roman" w:hAnsi="Times New Roman" w:cs="Times New Roman"/>
          <w:sz w:val="22"/>
          <w:szCs w:val="22"/>
          <w:lang w:val="en-GB"/>
        </w:rPr>
        <w:t xml:space="preserve"> allocated its grant in equal proportions to each of these services. </w:t>
      </w:r>
      <w:r w:rsidR="009C6FB0" w:rsidRPr="00E45882">
        <w:rPr>
          <w:rFonts w:ascii="Times New Roman" w:hAnsi="Times New Roman" w:cs="Times New Roman"/>
          <w:sz w:val="22"/>
          <w:szCs w:val="22"/>
          <w:lang w:val="en-GB"/>
        </w:rPr>
        <w:t xml:space="preserve">Most of these children are detained as a result of </w:t>
      </w:r>
      <w:r w:rsidR="00F21C12" w:rsidRPr="00E45882">
        <w:rPr>
          <w:rFonts w:ascii="Times New Roman" w:hAnsi="Times New Roman" w:cs="Times New Roman"/>
          <w:sz w:val="22"/>
          <w:szCs w:val="22"/>
          <w:lang w:val="en-GB"/>
        </w:rPr>
        <w:t>stone</w:t>
      </w:r>
      <w:r w:rsidR="00E45882">
        <w:rPr>
          <w:rFonts w:ascii="Times New Roman" w:hAnsi="Times New Roman" w:cs="Times New Roman"/>
          <w:sz w:val="22"/>
          <w:szCs w:val="22"/>
          <w:lang w:val="en-GB"/>
        </w:rPr>
        <w:t>-</w:t>
      </w:r>
      <w:r w:rsidR="009C6FB0" w:rsidRPr="00E45882">
        <w:rPr>
          <w:rFonts w:ascii="Times New Roman" w:hAnsi="Times New Roman" w:cs="Times New Roman"/>
          <w:sz w:val="22"/>
          <w:szCs w:val="22"/>
          <w:lang w:val="en-GB"/>
        </w:rPr>
        <w:t xml:space="preserve">throwing. Often children are detained on no evidence but pressured to collaborate by providing names of their friends who are then investigated. Yet, surprisingly, there are no special units </w:t>
      </w:r>
      <w:r w:rsidR="00EC663E" w:rsidRPr="00E45882">
        <w:rPr>
          <w:rFonts w:ascii="Times New Roman" w:hAnsi="Times New Roman" w:cs="Times New Roman"/>
          <w:sz w:val="22"/>
          <w:szCs w:val="22"/>
          <w:lang w:val="en-GB"/>
        </w:rPr>
        <w:t xml:space="preserve">in </w:t>
      </w:r>
      <w:r w:rsidR="00DF39FD" w:rsidRPr="00E45882">
        <w:rPr>
          <w:rFonts w:ascii="Times New Roman" w:hAnsi="Times New Roman" w:cs="Times New Roman"/>
          <w:sz w:val="22"/>
          <w:szCs w:val="22"/>
          <w:lang w:val="en-GB"/>
        </w:rPr>
        <w:t>Israel</w:t>
      </w:r>
      <w:r w:rsidR="00FD3C19">
        <w:rPr>
          <w:rFonts w:ascii="Times New Roman" w:hAnsi="Times New Roman" w:cs="Times New Roman"/>
          <w:sz w:val="22"/>
          <w:szCs w:val="22"/>
          <w:lang w:val="en-GB"/>
        </w:rPr>
        <w:t xml:space="preserve"> </w:t>
      </w:r>
      <w:r w:rsidR="009C6FB0" w:rsidRPr="00E45882">
        <w:rPr>
          <w:rFonts w:ascii="Times New Roman" w:hAnsi="Times New Roman" w:cs="Times New Roman"/>
          <w:sz w:val="22"/>
          <w:szCs w:val="22"/>
          <w:lang w:val="en-GB"/>
        </w:rPr>
        <w:t>deal</w:t>
      </w:r>
      <w:r w:rsidR="00EC663E" w:rsidRPr="00E45882">
        <w:rPr>
          <w:rFonts w:ascii="Times New Roman" w:hAnsi="Times New Roman" w:cs="Times New Roman"/>
          <w:sz w:val="22"/>
          <w:szCs w:val="22"/>
          <w:lang w:val="en-GB"/>
        </w:rPr>
        <w:t>ing</w:t>
      </w:r>
      <w:r w:rsidR="009C6FB0" w:rsidRPr="00E45882">
        <w:rPr>
          <w:rFonts w:ascii="Times New Roman" w:hAnsi="Times New Roman" w:cs="Times New Roman"/>
          <w:sz w:val="22"/>
          <w:szCs w:val="22"/>
          <w:lang w:val="en-GB"/>
        </w:rPr>
        <w:t xml:space="preserve"> with juveniles. Often it</w:t>
      </w:r>
      <w:r w:rsidR="00A20C9A" w:rsidRPr="00E45882">
        <w:rPr>
          <w:rFonts w:ascii="Times New Roman" w:hAnsi="Times New Roman" w:cs="Times New Roman"/>
          <w:sz w:val="22"/>
          <w:szCs w:val="22"/>
          <w:lang w:val="en-GB"/>
        </w:rPr>
        <w:t>’</w:t>
      </w:r>
      <w:r w:rsidR="00E45882">
        <w:rPr>
          <w:rFonts w:ascii="Times New Roman" w:hAnsi="Times New Roman" w:cs="Times New Roman"/>
          <w:sz w:val="22"/>
          <w:szCs w:val="22"/>
          <w:lang w:val="en-GB"/>
        </w:rPr>
        <w:t>s the regular army which</w:t>
      </w:r>
      <w:r w:rsidR="009C6FB0" w:rsidRPr="00E45882">
        <w:rPr>
          <w:rFonts w:ascii="Times New Roman" w:hAnsi="Times New Roman" w:cs="Times New Roman"/>
          <w:sz w:val="22"/>
          <w:szCs w:val="22"/>
          <w:lang w:val="en-GB"/>
        </w:rPr>
        <w:t xml:space="preserve"> arrest</w:t>
      </w:r>
      <w:r w:rsidR="00E45882">
        <w:rPr>
          <w:rFonts w:ascii="Times New Roman" w:hAnsi="Times New Roman" w:cs="Times New Roman"/>
          <w:sz w:val="22"/>
          <w:szCs w:val="22"/>
          <w:lang w:val="en-GB"/>
        </w:rPr>
        <w:t>s the children and they</w:t>
      </w:r>
      <w:r w:rsidR="009C6FB0" w:rsidRPr="00E45882">
        <w:rPr>
          <w:rFonts w:ascii="Times New Roman" w:hAnsi="Times New Roman" w:cs="Times New Roman"/>
          <w:sz w:val="22"/>
          <w:szCs w:val="22"/>
          <w:lang w:val="en-GB"/>
        </w:rPr>
        <w:t xml:space="preserve"> are usually detained with adults. In East Jerusalem it is sometime the ordinary police. In Area C</w:t>
      </w:r>
      <w:r w:rsidR="00A20C9A" w:rsidRPr="00E45882">
        <w:rPr>
          <w:rFonts w:ascii="Times New Roman" w:hAnsi="Times New Roman" w:cs="Times New Roman"/>
          <w:sz w:val="22"/>
          <w:szCs w:val="22"/>
          <w:lang w:val="en-GB"/>
        </w:rPr>
        <w:t>,</w:t>
      </w:r>
      <w:r w:rsidR="009C6FB0" w:rsidRPr="00E45882">
        <w:rPr>
          <w:rFonts w:ascii="Times New Roman" w:hAnsi="Times New Roman" w:cs="Times New Roman"/>
          <w:sz w:val="22"/>
          <w:szCs w:val="22"/>
          <w:lang w:val="en-GB"/>
        </w:rPr>
        <w:t xml:space="preserve"> children are routinely detained by the Israeli military, often in night raids; and are blindfolded, and re</w:t>
      </w:r>
      <w:r w:rsidR="004322C9">
        <w:rPr>
          <w:rFonts w:ascii="Times New Roman" w:hAnsi="Times New Roman" w:cs="Times New Roman"/>
          <w:sz w:val="22"/>
          <w:szCs w:val="22"/>
          <w:lang w:val="en-GB"/>
        </w:rPr>
        <w:t>strained.</w:t>
      </w:r>
    </w:p>
    <w:p w:rsidR="00E45882" w:rsidRDefault="00E45882" w:rsidP="00FB6759">
      <w:pPr>
        <w:spacing w:after="0" w:line="240" w:lineRule="auto"/>
        <w:jc w:val="both"/>
        <w:rPr>
          <w:rFonts w:ascii="Times New Roman" w:hAnsi="Times New Roman" w:cs="Times New Roman"/>
          <w:i/>
          <w:sz w:val="22"/>
          <w:szCs w:val="22"/>
          <w:lang w:val="en-GB"/>
        </w:rPr>
      </w:pPr>
    </w:p>
    <w:p w:rsidR="00A8743B" w:rsidRPr="004322C9" w:rsidRDefault="004322C9"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Defence for Children </w:t>
      </w:r>
      <w:r w:rsidR="00A8743B" w:rsidRPr="004322C9">
        <w:rPr>
          <w:rFonts w:ascii="Times New Roman" w:hAnsi="Times New Roman" w:cs="Times New Roman"/>
          <w:sz w:val="22"/>
          <w:szCs w:val="22"/>
          <w:lang w:val="en-GB"/>
        </w:rPr>
        <w:t>International</w:t>
      </w:r>
      <w:r w:rsidR="00F63D39" w:rsidRPr="004322C9">
        <w:rPr>
          <w:rFonts w:ascii="Times New Roman" w:hAnsi="Times New Roman" w:cs="Times New Roman"/>
          <w:sz w:val="22"/>
          <w:szCs w:val="22"/>
          <w:lang w:val="en-GB"/>
        </w:rPr>
        <w:t>(DCI) used UNDP funding to provide legal aid to children in conflict with P</w:t>
      </w:r>
      <w:r>
        <w:rPr>
          <w:rFonts w:ascii="Times New Roman" w:hAnsi="Times New Roman" w:cs="Times New Roman"/>
          <w:sz w:val="22"/>
          <w:szCs w:val="22"/>
          <w:lang w:val="en-GB"/>
        </w:rPr>
        <w:t>N</w:t>
      </w:r>
      <w:r w:rsidR="00F63D39" w:rsidRPr="004322C9">
        <w:rPr>
          <w:rFonts w:ascii="Times New Roman" w:hAnsi="Times New Roman" w:cs="Times New Roman"/>
          <w:sz w:val="22"/>
          <w:szCs w:val="22"/>
          <w:lang w:val="en-GB"/>
        </w:rPr>
        <w:t>A criminal justice institutions and to conduct advocacy and awareness raising on child justice.  The representation of children has enabled DCI to identify loopholes that exist at the different law enforcement agencies and permits DCI</w:t>
      </w:r>
      <w:r w:rsidR="00FD3C19">
        <w:rPr>
          <w:rFonts w:ascii="Times New Roman" w:hAnsi="Times New Roman" w:cs="Times New Roman"/>
          <w:sz w:val="22"/>
          <w:szCs w:val="22"/>
          <w:lang w:val="en-GB"/>
        </w:rPr>
        <w:t xml:space="preserve"> </w:t>
      </w:r>
      <w:r w:rsidR="00F63D39" w:rsidRPr="004322C9">
        <w:rPr>
          <w:rFonts w:ascii="Times New Roman" w:hAnsi="Times New Roman" w:cs="Times New Roman"/>
          <w:sz w:val="22"/>
          <w:szCs w:val="22"/>
          <w:lang w:val="en-GB"/>
        </w:rPr>
        <w:t xml:space="preserve">to monitor the degree to which these agencies are committed to the implementation of law. For example, in one case last year, UNDP supported lawyers discovered </w:t>
      </w:r>
      <w:r w:rsidR="00F63D39" w:rsidRPr="004322C9">
        <w:rPr>
          <w:rFonts w:ascii="Times New Roman" w:hAnsi="Times New Roman" w:cs="Times New Roman"/>
          <w:sz w:val="22"/>
          <w:szCs w:val="22"/>
          <w:lang w:val="en-GB"/>
        </w:rPr>
        <w:lastRenderedPageBreak/>
        <w:t>abuses against children and the police were taken to account. In other cases, children were being referred to halfway houses that had no</w:t>
      </w:r>
      <w:r w:rsidR="00FD3C19">
        <w:rPr>
          <w:rFonts w:ascii="Times New Roman" w:hAnsi="Times New Roman" w:cs="Times New Roman"/>
          <w:sz w:val="22"/>
          <w:szCs w:val="22"/>
          <w:lang w:val="en-GB"/>
        </w:rPr>
        <w:t xml:space="preserve"> </w:t>
      </w:r>
      <w:r w:rsidR="00F63D39" w:rsidRPr="004322C9">
        <w:rPr>
          <w:rFonts w:ascii="Times New Roman" w:hAnsi="Times New Roman" w:cs="Times New Roman"/>
          <w:sz w:val="22"/>
          <w:szCs w:val="22"/>
          <w:lang w:val="en-GB"/>
        </w:rPr>
        <w:t>capacity. As a result of UNDP supported strategic litigation the conditions at the halfway houses were improved.</w:t>
      </w:r>
    </w:p>
    <w:p w:rsidR="00490531" w:rsidRDefault="00490531" w:rsidP="00FB6759">
      <w:pPr>
        <w:spacing w:after="0" w:line="240" w:lineRule="auto"/>
        <w:jc w:val="both"/>
        <w:rPr>
          <w:rFonts w:ascii="Times New Roman" w:hAnsi="Times New Roman" w:cs="Times New Roman"/>
          <w:sz w:val="22"/>
          <w:szCs w:val="22"/>
          <w:lang w:val="en-GB"/>
        </w:rPr>
      </w:pPr>
    </w:p>
    <w:p w:rsidR="004322C9" w:rsidRDefault="00A8743B" w:rsidP="00FB6759">
      <w:pPr>
        <w:spacing w:after="0" w:line="240" w:lineRule="auto"/>
        <w:jc w:val="both"/>
        <w:rPr>
          <w:rFonts w:ascii="Times New Roman" w:hAnsi="Times New Roman" w:cs="Times New Roman"/>
          <w:sz w:val="22"/>
          <w:szCs w:val="22"/>
          <w:lang w:val="en-GB"/>
        </w:rPr>
      </w:pPr>
      <w:r w:rsidRPr="004322C9">
        <w:rPr>
          <w:rFonts w:ascii="Times New Roman" w:hAnsi="Times New Roman" w:cs="Times New Roman"/>
          <w:sz w:val="22"/>
          <w:szCs w:val="22"/>
          <w:lang w:val="en-GB"/>
        </w:rPr>
        <w:t>As of 2013, c</w:t>
      </w:r>
      <w:r w:rsidR="00490A7A" w:rsidRPr="004322C9">
        <w:rPr>
          <w:rFonts w:ascii="Times New Roman" w:hAnsi="Times New Roman" w:cs="Times New Roman"/>
          <w:sz w:val="22"/>
          <w:szCs w:val="22"/>
          <w:lang w:val="en-GB"/>
        </w:rPr>
        <w:t>hild detention is increasing as a phenomenon</w:t>
      </w:r>
      <w:r w:rsidRPr="004322C9">
        <w:rPr>
          <w:rFonts w:ascii="Times New Roman" w:hAnsi="Times New Roman" w:cs="Times New Roman"/>
          <w:sz w:val="22"/>
          <w:szCs w:val="22"/>
          <w:lang w:val="en-GB"/>
        </w:rPr>
        <w:t xml:space="preserve"> in </w:t>
      </w:r>
      <w:r w:rsidR="004322C9">
        <w:rPr>
          <w:rFonts w:ascii="Times New Roman" w:hAnsi="Times New Roman" w:cs="Times New Roman"/>
          <w:sz w:val="22"/>
          <w:szCs w:val="22"/>
          <w:lang w:val="en-GB"/>
        </w:rPr>
        <w:t xml:space="preserve">the </w:t>
      </w:r>
      <w:r w:rsidR="00DE216A" w:rsidRPr="004322C9">
        <w:rPr>
          <w:rFonts w:ascii="Times New Roman" w:hAnsi="Times New Roman" w:cs="Times New Roman"/>
          <w:sz w:val="22"/>
          <w:szCs w:val="22"/>
          <w:lang w:val="en-GB"/>
        </w:rPr>
        <w:t>oPt</w:t>
      </w:r>
      <w:r w:rsidR="00490A7A" w:rsidRPr="004322C9">
        <w:rPr>
          <w:rFonts w:ascii="Times New Roman" w:hAnsi="Times New Roman" w:cs="Times New Roman"/>
          <w:sz w:val="22"/>
          <w:szCs w:val="22"/>
          <w:lang w:val="en-GB"/>
        </w:rPr>
        <w:t xml:space="preserve">. In East Jerusalem </w:t>
      </w:r>
      <w:r w:rsidRPr="004322C9">
        <w:rPr>
          <w:rFonts w:ascii="Times New Roman" w:hAnsi="Times New Roman" w:cs="Times New Roman"/>
          <w:sz w:val="22"/>
          <w:szCs w:val="22"/>
          <w:lang w:val="en-GB"/>
        </w:rPr>
        <w:t>there remains</w:t>
      </w:r>
      <w:r w:rsidR="00490A7A" w:rsidRPr="004322C9">
        <w:rPr>
          <w:rFonts w:ascii="Times New Roman" w:hAnsi="Times New Roman" w:cs="Times New Roman"/>
          <w:sz w:val="22"/>
          <w:szCs w:val="22"/>
          <w:lang w:val="en-GB"/>
        </w:rPr>
        <w:t xml:space="preserve"> a lack of a comprehensive mechanism to document cases. UNDP support has helped to fill this gap, but cannot fill it enti</w:t>
      </w:r>
      <w:r w:rsidR="004322C9">
        <w:rPr>
          <w:rFonts w:ascii="Times New Roman" w:hAnsi="Times New Roman" w:cs="Times New Roman"/>
          <w:sz w:val="22"/>
          <w:szCs w:val="22"/>
          <w:lang w:val="en-GB"/>
        </w:rPr>
        <w:t xml:space="preserve">rely. There is a continuing </w:t>
      </w:r>
      <w:r w:rsidR="00490A7A" w:rsidRPr="004322C9">
        <w:rPr>
          <w:rFonts w:ascii="Times New Roman" w:hAnsi="Times New Roman" w:cs="Times New Roman"/>
          <w:sz w:val="22"/>
          <w:szCs w:val="22"/>
          <w:lang w:val="en-GB"/>
        </w:rPr>
        <w:t>problem with capturing data on children arrested and detained but then released after a few hours.</w:t>
      </w:r>
      <w:r w:rsidR="00820831" w:rsidRPr="004322C9">
        <w:rPr>
          <w:rStyle w:val="FootnoteReference"/>
          <w:rFonts w:ascii="Times New Roman" w:hAnsi="Times New Roman" w:cs="Times New Roman"/>
          <w:sz w:val="22"/>
          <w:szCs w:val="22"/>
          <w:lang w:val="en-GB"/>
        </w:rPr>
        <w:footnoteReference w:id="122"/>
      </w:r>
      <w:r w:rsidR="00490A7A" w:rsidRPr="004322C9">
        <w:rPr>
          <w:rFonts w:ascii="Times New Roman" w:hAnsi="Times New Roman" w:cs="Times New Roman"/>
          <w:sz w:val="22"/>
          <w:szCs w:val="22"/>
          <w:lang w:val="en-GB"/>
        </w:rPr>
        <w:t xml:space="preserve"> This work also links with Save the Children</w:t>
      </w:r>
      <w:r w:rsidR="004322C9">
        <w:rPr>
          <w:rFonts w:ascii="Times New Roman" w:hAnsi="Times New Roman" w:cs="Times New Roman"/>
          <w:sz w:val="22"/>
          <w:szCs w:val="22"/>
          <w:lang w:val="en-GB"/>
        </w:rPr>
        <w:t>/Sweden</w:t>
      </w:r>
      <w:r w:rsidR="00490A7A" w:rsidRPr="004322C9">
        <w:rPr>
          <w:rFonts w:ascii="Times New Roman" w:hAnsi="Times New Roman" w:cs="Times New Roman"/>
          <w:sz w:val="22"/>
          <w:szCs w:val="22"/>
          <w:lang w:val="en-GB"/>
        </w:rPr>
        <w:t xml:space="preserve">’s broader efforts in child protection. It is closely linked to another of its projects that is </w:t>
      </w:r>
      <w:r w:rsidR="004322C9">
        <w:rPr>
          <w:rFonts w:ascii="Times New Roman" w:hAnsi="Times New Roman" w:cs="Times New Roman"/>
          <w:sz w:val="22"/>
          <w:szCs w:val="22"/>
          <w:lang w:val="en-GB"/>
        </w:rPr>
        <w:t>geared towards creating</w:t>
      </w:r>
      <w:r w:rsidR="00490A7A" w:rsidRPr="004322C9">
        <w:rPr>
          <w:rFonts w:ascii="Times New Roman" w:hAnsi="Times New Roman" w:cs="Times New Roman"/>
          <w:sz w:val="22"/>
          <w:szCs w:val="22"/>
          <w:lang w:val="en-GB"/>
        </w:rPr>
        <w:t xml:space="preserve"> an effective referral system for related services, such as health or psychosocial counselling to help children and families cope with their distress and trauma.</w:t>
      </w:r>
    </w:p>
    <w:p w:rsidR="004322C9" w:rsidRDefault="004322C9" w:rsidP="00FB6759">
      <w:pPr>
        <w:spacing w:after="0" w:line="240" w:lineRule="auto"/>
        <w:jc w:val="both"/>
        <w:rPr>
          <w:rFonts w:ascii="Times New Roman" w:hAnsi="Times New Roman" w:cs="Times New Roman"/>
          <w:sz w:val="22"/>
          <w:szCs w:val="22"/>
          <w:lang w:val="en-GB"/>
        </w:rPr>
      </w:pPr>
    </w:p>
    <w:p w:rsidR="00447F98" w:rsidRPr="004322C9" w:rsidRDefault="00820831" w:rsidP="00FB6759">
      <w:pPr>
        <w:spacing w:after="0" w:line="240" w:lineRule="auto"/>
        <w:jc w:val="both"/>
        <w:rPr>
          <w:rFonts w:ascii="Times New Roman" w:hAnsi="Times New Roman" w:cs="Times New Roman"/>
          <w:sz w:val="22"/>
          <w:szCs w:val="22"/>
          <w:lang w:val="en-GB"/>
        </w:rPr>
      </w:pPr>
      <w:r w:rsidRPr="004322C9">
        <w:rPr>
          <w:rFonts w:ascii="Times New Roman" w:hAnsi="Times New Roman" w:cs="Times New Roman"/>
          <w:sz w:val="22"/>
          <w:szCs w:val="22"/>
          <w:lang w:val="en-GB"/>
        </w:rPr>
        <w:t>As of end of 2012, Save the Children</w:t>
      </w:r>
      <w:r w:rsidR="004322C9">
        <w:rPr>
          <w:rFonts w:ascii="Times New Roman" w:hAnsi="Times New Roman" w:cs="Times New Roman"/>
          <w:sz w:val="22"/>
          <w:szCs w:val="22"/>
          <w:lang w:val="en-GB"/>
        </w:rPr>
        <w:t>/Sweden</w:t>
      </w:r>
      <w:r w:rsidRPr="004322C9">
        <w:rPr>
          <w:rFonts w:ascii="Times New Roman" w:hAnsi="Times New Roman" w:cs="Times New Roman"/>
          <w:sz w:val="22"/>
          <w:szCs w:val="22"/>
          <w:lang w:val="en-GB"/>
        </w:rPr>
        <w:t xml:space="preserve"> had documented 248 arrests of children and had provided legal defence and consultation to 50 arrested children. Most of this work </w:t>
      </w:r>
      <w:r w:rsidR="004322C9">
        <w:rPr>
          <w:rFonts w:ascii="Times New Roman" w:hAnsi="Times New Roman" w:cs="Times New Roman"/>
          <w:sz w:val="22"/>
          <w:szCs w:val="22"/>
          <w:lang w:val="en-GB"/>
        </w:rPr>
        <w:t>was in Area C and East Jerusalem</w:t>
      </w:r>
      <w:r w:rsidRPr="004322C9">
        <w:rPr>
          <w:rFonts w:ascii="Times New Roman" w:hAnsi="Times New Roman" w:cs="Times New Roman"/>
          <w:sz w:val="22"/>
          <w:szCs w:val="22"/>
          <w:lang w:val="en-GB"/>
        </w:rPr>
        <w:t>.</w:t>
      </w:r>
      <w:r w:rsidR="00D46EE5" w:rsidRPr="004322C9">
        <w:rPr>
          <w:rStyle w:val="FootnoteReference"/>
          <w:rFonts w:ascii="Times New Roman" w:hAnsi="Times New Roman" w:cs="Times New Roman"/>
          <w:sz w:val="22"/>
          <w:szCs w:val="22"/>
          <w:lang w:val="en-GB"/>
        </w:rPr>
        <w:footnoteReference w:id="123"/>
      </w:r>
      <w:r w:rsidR="008D622D" w:rsidRPr="004322C9">
        <w:rPr>
          <w:rFonts w:ascii="Times New Roman" w:hAnsi="Times New Roman" w:cs="Times New Roman"/>
          <w:sz w:val="22"/>
          <w:szCs w:val="22"/>
          <w:lang w:val="en-GB"/>
        </w:rPr>
        <w:t xml:space="preserve"> Save the Children</w:t>
      </w:r>
      <w:r w:rsidR="004322C9">
        <w:rPr>
          <w:rFonts w:ascii="Times New Roman" w:hAnsi="Times New Roman" w:cs="Times New Roman"/>
          <w:sz w:val="22"/>
          <w:szCs w:val="22"/>
          <w:lang w:val="en-GB"/>
        </w:rPr>
        <w:t>/Sweden</w:t>
      </w:r>
      <w:r w:rsidR="008D622D" w:rsidRPr="004322C9">
        <w:rPr>
          <w:rFonts w:ascii="Times New Roman" w:hAnsi="Times New Roman" w:cs="Times New Roman"/>
          <w:sz w:val="22"/>
          <w:szCs w:val="22"/>
          <w:lang w:val="en-GB"/>
        </w:rPr>
        <w:t xml:space="preserve"> also used</w:t>
      </w:r>
      <w:r w:rsidR="004322C9">
        <w:rPr>
          <w:rFonts w:ascii="Times New Roman" w:hAnsi="Times New Roman" w:cs="Times New Roman"/>
          <w:sz w:val="22"/>
          <w:szCs w:val="22"/>
          <w:lang w:val="en-GB"/>
        </w:rPr>
        <w:t xml:space="preserve"> UNDP support </w:t>
      </w:r>
      <w:r w:rsidR="008D622D" w:rsidRPr="004322C9">
        <w:rPr>
          <w:rFonts w:ascii="Times New Roman" w:hAnsi="Times New Roman" w:cs="Times New Roman"/>
          <w:sz w:val="22"/>
          <w:szCs w:val="22"/>
          <w:lang w:val="en-GB"/>
        </w:rPr>
        <w:t>to lobby the Israeli authorities on jurisdiction over children confined in the Israeli military system, with</w:t>
      </w:r>
      <w:r w:rsidR="004322C9">
        <w:rPr>
          <w:rFonts w:ascii="Times New Roman" w:hAnsi="Times New Roman" w:cs="Times New Roman"/>
          <w:sz w:val="22"/>
          <w:szCs w:val="22"/>
          <w:lang w:val="en-GB"/>
        </w:rPr>
        <w:t xml:space="preserve"> some success. </w:t>
      </w:r>
      <w:r w:rsidR="008D622D" w:rsidRPr="004322C9">
        <w:rPr>
          <w:rFonts w:ascii="Times New Roman" w:hAnsi="Times New Roman" w:cs="Times New Roman"/>
          <w:sz w:val="22"/>
          <w:szCs w:val="22"/>
          <w:lang w:val="en-GB"/>
        </w:rPr>
        <w:t xml:space="preserve">For example, </w:t>
      </w:r>
      <w:r w:rsidR="00756993" w:rsidRPr="004322C9">
        <w:rPr>
          <w:rFonts w:ascii="Times New Roman" w:hAnsi="Times New Roman" w:cs="Times New Roman"/>
          <w:sz w:val="22"/>
          <w:szCs w:val="22"/>
          <w:lang w:val="en-GB"/>
        </w:rPr>
        <w:t>through th</w:t>
      </w:r>
      <w:r w:rsidR="004322C9">
        <w:rPr>
          <w:rFonts w:ascii="Times New Roman" w:hAnsi="Times New Roman" w:cs="Times New Roman"/>
          <w:sz w:val="22"/>
          <w:szCs w:val="22"/>
          <w:lang w:val="en-GB"/>
        </w:rPr>
        <w:t>e efforts of many NGOs</w:t>
      </w:r>
      <w:r w:rsidR="00756993" w:rsidRPr="004322C9">
        <w:rPr>
          <w:rFonts w:ascii="Times New Roman" w:hAnsi="Times New Roman" w:cs="Times New Roman"/>
          <w:sz w:val="22"/>
          <w:szCs w:val="22"/>
          <w:lang w:val="en-GB"/>
        </w:rPr>
        <w:t>, including Save the Children</w:t>
      </w:r>
      <w:r w:rsidR="004322C9">
        <w:rPr>
          <w:rFonts w:ascii="Times New Roman" w:hAnsi="Times New Roman" w:cs="Times New Roman"/>
          <w:sz w:val="22"/>
          <w:szCs w:val="22"/>
          <w:lang w:val="en-GB"/>
        </w:rPr>
        <w:t>/Sweden</w:t>
      </w:r>
      <w:r w:rsidR="00756993" w:rsidRPr="004322C9">
        <w:rPr>
          <w:rFonts w:ascii="Times New Roman" w:hAnsi="Times New Roman" w:cs="Times New Roman"/>
          <w:sz w:val="22"/>
          <w:szCs w:val="22"/>
          <w:lang w:val="en-GB"/>
        </w:rPr>
        <w:t xml:space="preserve">, </w:t>
      </w:r>
      <w:r w:rsidR="008D622D" w:rsidRPr="004322C9">
        <w:rPr>
          <w:rFonts w:ascii="Times New Roman" w:hAnsi="Times New Roman" w:cs="Times New Roman"/>
          <w:sz w:val="22"/>
          <w:szCs w:val="22"/>
          <w:lang w:val="en-GB"/>
        </w:rPr>
        <w:t>the age of adult criminal responsibility</w:t>
      </w:r>
      <w:r w:rsidR="00756993" w:rsidRPr="004322C9">
        <w:rPr>
          <w:rFonts w:ascii="Times New Roman" w:hAnsi="Times New Roman" w:cs="Times New Roman"/>
          <w:sz w:val="22"/>
          <w:szCs w:val="22"/>
          <w:lang w:val="en-GB"/>
        </w:rPr>
        <w:t xml:space="preserve"> in Israeli military courts</w:t>
      </w:r>
      <w:r w:rsidR="008D622D" w:rsidRPr="004322C9">
        <w:rPr>
          <w:rFonts w:ascii="Times New Roman" w:hAnsi="Times New Roman" w:cs="Times New Roman"/>
          <w:sz w:val="22"/>
          <w:szCs w:val="22"/>
          <w:lang w:val="en-GB"/>
        </w:rPr>
        <w:t xml:space="preserve"> was raised in</w:t>
      </w:r>
      <w:r w:rsidR="004322C9">
        <w:rPr>
          <w:rFonts w:ascii="Times New Roman" w:hAnsi="Times New Roman" w:cs="Times New Roman"/>
          <w:sz w:val="22"/>
          <w:szCs w:val="22"/>
          <w:lang w:val="en-GB"/>
        </w:rPr>
        <w:t xml:space="preserve"> 2012 from 16 to 18 years old. </w:t>
      </w:r>
      <w:r w:rsidR="008D622D" w:rsidRPr="004322C9">
        <w:rPr>
          <w:rFonts w:ascii="Times New Roman" w:hAnsi="Times New Roman" w:cs="Times New Roman"/>
          <w:sz w:val="22"/>
          <w:szCs w:val="22"/>
          <w:lang w:val="en-GB"/>
        </w:rPr>
        <w:t>This was</w:t>
      </w:r>
      <w:r w:rsidR="004322C9">
        <w:rPr>
          <w:rFonts w:ascii="Times New Roman" w:hAnsi="Times New Roman" w:cs="Times New Roman"/>
          <w:sz w:val="22"/>
          <w:szCs w:val="22"/>
          <w:lang w:val="en-GB"/>
        </w:rPr>
        <w:t xml:space="preserve"> a significant legal victory.</w:t>
      </w:r>
    </w:p>
    <w:p w:rsidR="00490531" w:rsidRDefault="00490531" w:rsidP="00FB6759">
      <w:pPr>
        <w:spacing w:after="0" w:line="240" w:lineRule="auto"/>
        <w:jc w:val="both"/>
        <w:rPr>
          <w:rFonts w:ascii="Times New Roman" w:hAnsi="Times New Roman" w:cs="Times New Roman"/>
          <w:sz w:val="22"/>
          <w:szCs w:val="22"/>
          <w:lang w:val="en-GB"/>
        </w:rPr>
      </w:pPr>
    </w:p>
    <w:p w:rsidR="004322C9" w:rsidRDefault="00925114"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 C</w:t>
      </w:r>
      <w:r w:rsidR="004322C9">
        <w:rPr>
          <w:rFonts w:ascii="Times New Roman" w:hAnsi="Times New Roman" w:cs="Times New Roman"/>
          <w:sz w:val="22"/>
          <w:szCs w:val="22"/>
          <w:lang w:val="en-GB"/>
        </w:rPr>
        <w:t>SO community informed the e</w:t>
      </w:r>
      <w:r w:rsidR="0051484C" w:rsidRPr="004A29F9">
        <w:rPr>
          <w:rFonts w:ascii="Times New Roman" w:hAnsi="Times New Roman" w:cs="Times New Roman"/>
          <w:sz w:val="22"/>
          <w:szCs w:val="22"/>
          <w:lang w:val="en-GB"/>
        </w:rPr>
        <w:t>valuation</w:t>
      </w:r>
      <w:r w:rsidRPr="004A29F9">
        <w:rPr>
          <w:rFonts w:ascii="Times New Roman" w:hAnsi="Times New Roman" w:cs="Times New Roman"/>
          <w:sz w:val="22"/>
          <w:szCs w:val="22"/>
          <w:lang w:val="en-GB"/>
        </w:rPr>
        <w:t xml:space="preserve"> that </w:t>
      </w:r>
      <w:r w:rsidR="00DF2886" w:rsidRPr="004A29F9">
        <w:rPr>
          <w:rFonts w:ascii="Times New Roman" w:hAnsi="Times New Roman" w:cs="Times New Roman"/>
          <w:sz w:val="22"/>
          <w:szCs w:val="22"/>
          <w:lang w:val="en-GB"/>
        </w:rPr>
        <w:t xml:space="preserve">continuing to </w:t>
      </w:r>
      <w:r w:rsidRPr="004A29F9">
        <w:rPr>
          <w:rFonts w:ascii="Times New Roman" w:hAnsi="Times New Roman" w:cs="Times New Roman"/>
          <w:sz w:val="22"/>
          <w:szCs w:val="22"/>
          <w:lang w:val="en-GB"/>
        </w:rPr>
        <w:t>challe</w:t>
      </w:r>
      <w:r w:rsidR="00DF2886" w:rsidRPr="004A29F9">
        <w:rPr>
          <w:rFonts w:ascii="Times New Roman" w:hAnsi="Times New Roman" w:cs="Times New Roman"/>
          <w:sz w:val="22"/>
          <w:szCs w:val="22"/>
          <w:lang w:val="en-GB"/>
        </w:rPr>
        <w:t>nge</w:t>
      </w:r>
      <w:r w:rsidRPr="004A29F9">
        <w:rPr>
          <w:rFonts w:ascii="Times New Roman" w:hAnsi="Times New Roman" w:cs="Times New Roman"/>
          <w:sz w:val="22"/>
          <w:szCs w:val="22"/>
          <w:lang w:val="en-GB"/>
        </w:rPr>
        <w:t xml:space="preserve"> Israeli </w:t>
      </w:r>
      <w:r w:rsidR="0058162D" w:rsidRPr="004A29F9">
        <w:rPr>
          <w:rFonts w:ascii="Times New Roman" w:hAnsi="Times New Roman" w:cs="Times New Roman"/>
          <w:sz w:val="22"/>
          <w:szCs w:val="22"/>
          <w:lang w:val="en-GB"/>
        </w:rPr>
        <w:t xml:space="preserve">and </w:t>
      </w:r>
      <w:r w:rsidR="004322C9">
        <w:rPr>
          <w:rFonts w:ascii="Times New Roman" w:hAnsi="Times New Roman" w:cs="Times New Roman"/>
          <w:sz w:val="22"/>
          <w:szCs w:val="22"/>
          <w:lang w:val="en-GB"/>
        </w:rPr>
        <w:t>PNA</w:t>
      </w:r>
      <w:r w:rsidR="00FD3C19">
        <w:rPr>
          <w:rFonts w:ascii="Times New Roman" w:hAnsi="Times New Roman" w:cs="Times New Roman"/>
          <w:sz w:val="22"/>
          <w:szCs w:val="22"/>
          <w:lang w:val="en-GB"/>
        </w:rPr>
        <w:t xml:space="preserve"> </w:t>
      </w:r>
      <w:r w:rsidRPr="004A29F9">
        <w:rPr>
          <w:rFonts w:ascii="Times New Roman" w:hAnsi="Times New Roman" w:cs="Times New Roman"/>
          <w:sz w:val="22"/>
          <w:szCs w:val="22"/>
          <w:lang w:val="en-GB"/>
        </w:rPr>
        <w:t>detention</w:t>
      </w:r>
      <w:r w:rsidR="0058162D" w:rsidRPr="004A29F9">
        <w:rPr>
          <w:rFonts w:ascii="Times New Roman" w:hAnsi="Times New Roman" w:cs="Times New Roman"/>
          <w:sz w:val="22"/>
          <w:szCs w:val="22"/>
          <w:lang w:val="en-GB"/>
        </w:rPr>
        <w:t>s</w:t>
      </w:r>
      <w:r w:rsidRPr="004A29F9">
        <w:rPr>
          <w:rFonts w:ascii="Times New Roman" w:hAnsi="Times New Roman" w:cs="Times New Roman"/>
          <w:sz w:val="22"/>
          <w:szCs w:val="22"/>
          <w:lang w:val="en-GB"/>
        </w:rPr>
        <w:t xml:space="preserve"> and administrative detention</w:t>
      </w:r>
      <w:r w:rsidR="0058162D" w:rsidRPr="004A29F9">
        <w:rPr>
          <w:rFonts w:ascii="Times New Roman" w:hAnsi="Times New Roman" w:cs="Times New Roman"/>
          <w:sz w:val="22"/>
          <w:szCs w:val="22"/>
          <w:lang w:val="en-GB"/>
        </w:rPr>
        <w:t>s</w:t>
      </w:r>
      <w:r w:rsidR="003218D4" w:rsidRPr="004A29F9">
        <w:rPr>
          <w:rFonts w:ascii="Times New Roman" w:hAnsi="Times New Roman" w:cs="Times New Roman"/>
          <w:sz w:val="22"/>
          <w:szCs w:val="22"/>
          <w:lang w:val="en-GB"/>
        </w:rPr>
        <w:t xml:space="preserve"> from both legal and political angles</w:t>
      </w:r>
      <w:r w:rsidR="00FD3C19">
        <w:rPr>
          <w:rFonts w:ascii="Times New Roman" w:hAnsi="Times New Roman" w:cs="Times New Roman"/>
          <w:sz w:val="22"/>
          <w:szCs w:val="22"/>
          <w:lang w:val="en-GB"/>
        </w:rPr>
        <w:t xml:space="preserve"> </w:t>
      </w:r>
      <w:r w:rsidR="00DF2886" w:rsidRPr="004A29F9">
        <w:rPr>
          <w:rFonts w:ascii="Times New Roman" w:hAnsi="Times New Roman" w:cs="Times New Roman"/>
          <w:sz w:val="22"/>
          <w:szCs w:val="22"/>
          <w:lang w:val="en-GB"/>
        </w:rPr>
        <w:t>i</w:t>
      </w:r>
      <w:r w:rsidRPr="004A29F9">
        <w:rPr>
          <w:rFonts w:ascii="Times New Roman" w:hAnsi="Times New Roman" w:cs="Times New Roman"/>
          <w:sz w:val="22"/>
          <w:szCs w:val="22"/>
          <w:lang w:val="en-GB"/>
        </w:rPr>
        <w:t>s crucially important</w:t>
      </w:r>
      <w:r w:rsidR="00B31D56" w:rsidRPr="004A29F9">
        <w:rPr>
          <w:rFonts w:ascii="Times New Roman" w:hAnsi="Times New Roman" w:cs="Times New Roman"/>
          <w:sz w:val="22"/>
          <w:szCs w:val="22"/>
          <w:lang w:val="en-GB"/>
        </w:rPr>
        <w:t xml:space="preserve"> to advance the rule of law</w:t>
      </w:r>
      <w:r w:rsidR="00C23A73" w:rsidRPr="004A29F9">
        <w:rPr>
          <w:rFonts w:ascii="Times New Roman" w:hAnsi="Times New Roman" w:cs="Times New Roman"/>
          <w:sz w:val="22"/>
          <w:szCs w:val="22"/>
          <w:lang w:val="en-GB"/>
        </w:rPr>
        <w:t xml:space="preserve">. </w:t>
      </w:r>
      <w:r w:rsidR="00B85720" w:rsidRPr="004A29F9">
        <w:rPr>
          <w:rFonts w:ascii="Times New Roman" w:hAnsi="Times New Roman" w:cs="Times New Roman"/>
          <w:sz w:val="22"/>
          <w:szCs w:val="22"/>
          <w:lang w:val="en-GB"/>
        </w:rPr>
        <w:t>CSOs also indicated how difficult it is to achieve</w:t>
      </w:r>
      <w:r w:rsidR="004322C9">
        <w:rPr>
          <w:rFonts w:ascii="Times New Roman" w:hAnsi="Times New Roman" w:cs="Times New Roman"/>
          <w:sz w:val="22"/>
          <w:szCs w:val="22"/>
          <w:lang w:val="en-GB"/>
        </w:rPr>
        <w:t xml:space="preserve"> “evidence of impact” for this o</w:t>
      </w:r>
      <w:r w:rsidR="00B85720" w:rsidRPr="004A29F9">
        <w:rPr>
          <w:rFonts w:ascii="Times New Roman" w:hAnsi="Times New Roman" w:cs="Times New Roman"/>
          <w:sz w:val="22"/>
          <w:szCs w:val="22"/>
          <w:lang w:val="en-GB"/>
        </w:rPr>
        <w:t>ut</w:t>
      </w:r>
      <w:r w:rsidR="00303655" w:rsidRPr="004A29F9">
        <w:rPr>
          <w:rFonts w:ascii="Times New Roman" w:hAnsi="Times New Roman" w:cs="Times New Roman"/>
          <w:sz w:val="22"/>
          <w:szCs w:val="22"/>
          <w:lang w:val="en-GB"/>
        </w:rPr>
        <w:t>come in a short period of time. For example, t</w:t>
      </w:r>
      <w:r w:rsidR="00B85720" w:rsidRPr="004A29F9">
        <w:rPr>
          <w:rFonts w:ascii="Times New Roman" w:hAnsi="Times New Roman" w:cs="Times New Roman"/>
          <w:sz w:val="22"/>
          <w:szCs w:val="22"/>
          <w:lang w:val="en-GB"/>
        </w:rPr>
        <w:t>he situation in the Israeli courts has recently become mor</w:t>
      </w:r>
      <w:r w:rsidR="004322C9">
        <w:rPr>
          <w:rFonts w:ascii="Times New Roman" w:hAnsi="Times New Roman" w:cs="Times New Roman"/>
          <w:sz w:val="22"/>
          <w:szCs w:val="22"/>
          <w:lang w:val="en-GB"/>
        </w:rPr>
        <w:t xml:space="preserve">e difficult and time consuming. </w:t>
      </w:r>
      <w:r w:rsidR="00303655" w:rsidRPr="004A29F9">
        <w:rPr>
          <w:rFonts w:ascii="Times New Roman" w:hAnsi="Times New Roman" w:cs="Times New Roman"/>
          <w:sz w:val="22"/>
          <w:szCs w:val="22"/>
          <w:lang w:val="en-GB"/>
        </w:rPr>
        <w:t>The</w:t>
      </w:r>
      <w:r w:rsidR="004322C9">
        <w:rPr>
          <w:rFonts w:ascii="Times New Roman" w:hAnsi="Times New Roman" w:cs="Times New Roman"/>
          <w:sz w:val="22"/>
          <w:szCs w:val="22"/>
          <w:lang w:val="en-GB"/>
        </w:rPr>
        <w:t xml:space="preserve"> new p</w:t>
      </w:r>
      <w:r w:rsidR="00B85720" w:rsidRPr="004A29F9">
        <w:rPr>
          <w:rFonts w:ascii="Times New Roman" w:hAnsi="Times New Roman" w:cs="Times New Roman"/>
          <w:sz w:val="22"/>
          <w:szCs w:val="22"/>
          <w:lang w:val="en-GB"/>
        </w:rPr>
        <w:t xml:space="preserve">resident of the </w:t>
      </w:r>
      <w:r w:rsidR="0003690D" w:rsidRPr="004A29F9">
        <w:rPr>
          <w:rFonts w:ascii="Times New Roman" w:hAnsi="Times New Roman" w:cs="Times New Roman"/>
          <w:sz w:val="22"/>
          <w:szCs w:val="22"/>
          <w:lang w:val="en-GB"/>
        </w:rPr>
        <w:t xml:space="preserve">Israeli </w:t>
      </w:r>
      <w:r w:rsidR="00B85720" w:rsidRPr="004A29F9">
        <w:rPr>
          <w:rFonts w:ascii="Times New Roman" w:hAnsi="Times New Roman" w:cs="Times New Roman"/>
          <w:sz w:val="22"/>
          <w:szCs w:val="22"/>
          <w:lang w:val="en-GB"/>
        </w:rPr>
        <w:t>High Court has informed H</w:t>
      </w:r>
      <w:r w:rsidR="00814EDD" w:rsidRPr="004A29F9">
        <w:rPr>
          <w:rFonts w:ascii="Times New Roman" w:hAnsi="Times New Roman" w:cs="Times New Roman"/>
          <w:sz w:val="22"/>
          <w:szCs w:val="22"/>
          <w:lang w:val="en-GB"/>
        </w:rPr>
        <w:t>a</w:t>
      </w:r>
      <w:r w:rsidR="00B85720" w:rsidRPr="004A29F9">
        <w:rPr>
          <w:rFonts w:ascii="Times New Roman" w:hAnsi="Times New Roman" w:cs="Times New Roman"/>
          <w:sz w:val="22"/>
          <w:szCs w:val="22"/>
          <w:lang w:val="en-GB"/>
        </w:rPr>
        <w:t>moked</w:t>
      </w:r>
      <w:r w:rsidR="00227679">
        <w:rPr>
          <w:rFonts w:ascii="Times New Roman" w:hAnsi="Times New Roman" w:cs="Times New Roman"/>
          <w:sz w:val="22"/>
          <w:szCs w:val="22"/>
          <w:lang w:val="en-GB"/>
        </w:rPr>
        <w:t xml:space="preserve"> </w:t>
      </w:r>
      <w:r w:rsidR="00B85720" w:rsidRPr="004A29F9">
        <w:rPr>
          <w:rFonts w:ascii="Times New Roman" w:hAnsi="Times New Roman" w:cs="Times New Roman"/>
          <w:sz w:val="22"/>
          <w:szCs w:val="22"/>
          <w:lang w:val="en-GB"/>
        </w:rPr>
        <w:t xml:space="preserve">that principal petitions (i.e. grouped claims or class actions) are completely out of place for the </w:t>
      </w:r>
      <w:r w:rsidR="0003690D" w:rsidRPr="004A29F9">
        <w:rPr>
          <w:rFonts w:ascii="Times New Roman" w:hAnsi="Times New Roman" w:cs="Times New Roman"/>
          <w:sz w:val="22"/>
          <w:szCs w:val="22"/>
          <w:lang w:val="en-GB"/>
        </w:rPr>
        <w:t xml:space="preserve">Israeli </w:t>
      </w:r>
      <w:r w:rsidR="00B85720" w:rsidRPr="004A29F9">
        <w:rPr>
          <w:rFonts w:ascii="Times New Roman" w:hAnsi="Times New Roman" w:cs="Times New Roman"/>
          <w:sz w:val="22"/>
          <w:szCs w:val="22"/>
          <w:lang w:val="en-GB"/>
        </w:rPr>
        <w:t>High Court. This means that H</w:t>
      </w:r>
      <w:r w:rsidR="00814EDD" w:rsidRPr="004A29F9">
        <w:rPr>
          <w:rFonts w:ascii="Times New Roman" w:hAnsi="Times New Roman" w:cs="Times New Roman"/>
          <w:sz w:val="22"/>
          <w:szCs w:val="22"/>
          <w:lang w:val="en-GB"/>
        </w:rPr>
        <w:t>a</w:t>
      </w:r>
      <w:r w:rsidR="00B85720" w:rsidRPr="004A29F9">
        <w:rPr>
          <w:rFonts w:ascii="Times New Roman" w:hAnsi="Times New Roman" w:cs="Times New Roman"/>
          <w:sz w:val="22"/>
          <w:szCs w:val="22"/>
          <w:lang w:val="en-GB"/>
        </w:rPr>
        <w:t>moked</w:t>
      </w:r>
      <w:r w:rsidR="00227679">
        <w:rPr>
          <w:rFonts w:ascii="Times New Roman" w:hAnsi="Times New Roman" w:cs="Times New Roman"/>
          <w:sz w:val="22"/>
          <w:szCs w:val="22"/>
          <w:lang w:val="en-GB"/>
        </w:rPr>
        <w:t xml:space="preserve"> </w:t>
      </w:r>
      <w:r w:rsidR="00B85720" w:rsidRPr="004A29F9">
        <w:rPr>
          <w:rFonts w:ascii="Times New Roman" w:hAnsi="Times New Roman" w:cs="Times New Roman"/>
          <w:sz w:val="22"/>
          <w:szCs w:val="22"/>
          <w:lang w:val="en-GB"/>
        </w:rPr>
        <w:t>is forced to submit like claims as individual claims one-by-one and cannot group them.</w:t>
      </w:r>
      <w:r w:rsidR="00450A06" w:rsidRPr="004A29F9">
        <w:rPr>
          <w:rStyle w:val="FootnoteReference"/>
          <w:rFonts w:ascii="Times New Roman" w:hAnsi="Times New Roman" w:cs="Times New Roman"/>
          <w:sz w:val="22"/>
          <w:szCs w:val="22"/>
          <w:lang w:val="en-GB"/>
        </w:rPr>
        <w:footnoteReference w:id="124"/>
      </w:r>
    </w:p>
    <w:p w:rsidR="004322C9" w:rsidRDefault="004322C9" w:rsidP="00FB6759">
      <w:pPr>
        <w:spacing w:after="0" w:line="240" w:lineRule="auto"/>
        <w:jc w:val="both"/>
        <w:rPr>
          <w:rFonts w:ascii="Times New Roman" w:hAnsi="Times New Roman" w:cs="Times New Roman"/>
          <w:sz w:val="22"/>
          <w:szCs w:val="22"/>
          <w:lang w:val="en-GB"/>
        </w:rPr>
      </w:pPr>
    </w:p>
    <w:p w:rsidR="002B74C0" w:rsidRPr="004A29F9" w:rsidRDefault="00B85720"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In order to meet this challenge, PHR has adop</w:t>
      </w:r>
      <w:r w:rsidR="004322C9">
        <w:rPr>
          <w:rFonts w:ascii="Times New Roman" w:hAnsi="Times New Roman" w:cs="Times New Roman"/>
          <w:sz w:val="22"/>
          <w:szCs w:val="22"/>
          <w:lang w:val="en-GB"/>
        </w:rPr>
        <w:t xml:space="preserve">ted the strategy of filing </w:t>
      </w:r>
      <w:r w:rsidRPr="004A29F9">
        <w:rPr>
          <w:rFonts w:ascii="Times New Roman" w:hAnsi="Times New Roman" w:cs="Times New Roman"/>
          <w:sz w:val="22"/>
          <w:szCs w:val="22"/>
          <w:lang w:val="en-GB"/>
        </w:rPr>
        <w:t>claims in short succession and then attempting to join them later or force the court to hear them in short succession, but this takes much more time and effort. Also, the courts have recently added new fees and new procedures designed to deter claims</w:t>
      </w:r>
      <w:r w:rsidR="00303655" w:rsidRPr="004A29F9">
        <w:rPr>
          <w:rFonts w:ascii="Times New Roman" w:hAnsi="Times New Roman" w:cs="Times New Roman"/>
          <w:sz w:val="22"/>
          <w:szCs w:val="22"/>
          <w:lang w:val="en-GB"/>
        </w:rPr>
        <w:t>. Meanwhile, for</w:t>
      </w:r>
      <w:r w:rsidRPr="004A29F9">
        <w:rPr>
          <w:rFonts w:ascii="Times New Roman" w:hAnsi="Times New Roman" w:cs="Times New Roman"/>
          <w:sz w:val="22"/>
          <w:szCs w:val="22"/>
          <w:lang w:val="en-GB"/>
        </w:rPr>
        <w:t xml:space="preserve"> claims of Jerusalem re</w:t>
      </w:r>
      <w:r w:rsidR="004322C9">
        <w:rPr>
          <w:rFonts w:ascii="Times New Roman" w:hAnsi="Times New Roman" w:cs="Times New Roman"/>
          <w:sz w:val="22"/>
          <w:szCs w:val="22"/>
          <w:lang w:val="en-GB"/>
        </w:rPr>
        <w:t>sidence permits there is a new a</w:t>
      </w:r>
      <w:r w:rsidRPr="004A29F9">
        <w:rPr>
          <w:rFonts w:ascii="Times New Roman" w:hAnsi="Times New Roman" w:cs="Times New Roman"/>
          <w:sz w:val="22"/>
          <w:szCs w:val="22"/>
          <w:lang w:val="en-GB"/>
        </w:rPr>
        <w:t>dministrative quasi-judicial panel recently established that adds a new level of jurisdiction to the appeals process.</w:t>
      </w:r>
      <w:r w:rsidR="000063A3">
        <w:rPr>
          <w:rFonts w:ascii="Times New Roman" w:hAnsi="Times New Roman" w:cs="Times New Roman"/>
          <w:sz w:val="22"/>
          <w:szCs w:val="22"/>
          <w:lang w:val="en-GB"/>
        </w:rPr>
        <w:t xml:space="preserve"> </w:t>
      </w:r>
      <w:r w:rsidRPr="004A29F9">
        <w:rPr>
          <w:rFonts w:ascii="Times New Roman" w:hAnsi="Times New Roman" w:cs="Times New Roman"/>
          <w:sz w:val="22"/>
          <w:szCs w:val="22"/>
          <w:lang w:val="en-GB"/>
        </w:rPr>
        <w:t xml:space="preserve">Thus, </w:t>
      </w:r>
      <w:r w:rsidR="00303655" w:rsidRPr="004A29F9">
        <w:rPr>
          <w:rFonts w:ascii="Times New Roman" w:hAnsi="Times New Roman" w:cs="Times New Roman"/>
          <w:sz w:val="22"/>
          <w:szCs w:val="22"/>
          <w:lang w:val="en-GB"/>
        </w:rPr>
        <w:t xml:space="preserve">such </w:t>
      </w:r>
      <w:r w:rsidRPr="004A29F9">
        <w:rPr>
          <w:rFonts w:ascii="Times New Roman" w:hAnsi="Times New Roman" w:cs="Times New Roman"/>
          <w:sz w:val="22"/>
          <w:szCs w:val="22"/>
          <w:lang w:val="en-GB"/>
        </w:rPr>
        <w:t>cases are taking much longer and no private lawyers want to take a case that will take so long with such little pay.</w:t>
      </w:r>
    </w:p>
    <w:p w:rsidR="002B74C0" w:rsidRPr="004A29F9" w:rsidRDefault="002B74C0" w:rsidP="00FB6759">
      <w:pPr>
        <w:spacing w:after="0" w:line="240" w:lineRule="auto"/>
        <w:jc w:val="both"/>
        <w:rPr>
          <w:rFonts w:ascii="Times New Roman" w:hAnsi="Times New Roman" w:cs="Times New Roman"/>
          <w:sz w:val="22"/>
          <w:szCs w:val="22"/>
          <w:lang w:val="en-GB"/>
        </w:rPr>
      </w:pPr>
    </w:p>
    <w:p w:rsidR="00D45177" w:rsidRPr="004A29F9" w:rsidRDefault="00D45177" w:rsidP="00FB6759">
      <w:pPr>
        <w:spacing w:after="0" w:line="240" w:lineRule="auto"/>
        <w:jc w:val="both"/>
        <w:rPr>
          <w:rFonts w:ascii="Times New Roman" w:hAnsi="Times New Roman" w:cs="Times New Roman"/>
          <w:i/>
          <w:sz w:val="22"/>
          <w:szCs w:val="22"/>
          <w:lang w:val="en-GB"/>
        </w:rPr>
      </w:pPr>
      <w:r w:rsidRPr="004A29F9">
        <w:rPr>
          <w:rFonts w:ascii="Times New Roman" w:hAnsi="Times New Roman" w:cs="Times New Roman"/>
          <w:i/>
          <w:sz w:val="22"/>
          <w:szCs w:val="22"/>
          <w:lang w:val="en-GB"/>
        </w:rPr>
        <w:t>Home demolitions, evictions and confiscations in East Jerusalem</w:t>
      </w:r>
      <w:r w:rsidR="0064775F" w:rsidRPr="004A29F9">
        <w:rPr>
          <w:rFonts w:ascii="Times New Roman" w:hAnsi="Times New Roman" w:cs="Times New Roman"/>
          <w:i/>
          <w:sz w:val="22"/>
          <w:szCs w:val="22"/>
          <w:lang w:val="en-GB"/>
        </w:rPr>
        <w:t xml:space="preserve"> and </w:t>
      </w:r>
      <w:r w:rsidR="004322C9">
        <w:rPr>
          <w:rFonts w:ascii="Times New Roman" w:hAnsi="Times New Roman" w:cs="Times New Roman"/>
          <w:i/>
          <w:sz w:val="22"/>
          <w:szCs w:val="22"/>
          <w:lang w:val="en-GB"/>
        </w:rPr>
        <w:t>land c</w:t>
      </w:r>
      <w:r w:rsidR="003F2A8F" w:rsidRPr="004A29F9">
        <w:rPr>
          <w:rFonts w:ascii="Times New Roman" w:hAnsi="Times New Roman" w:cs="Times New Roman"/>
          <w:i/>
          <w:sz w:val="22"/>
          <w:szCs w:val="22"/>
          <w:lang w:val="en-GB"/>
        </w:rPr>
        <w:t>onfiscation</w:t>
      </w:r>
      <w:r w:rsidR="004322C9">
        <w:rPr>
          <w:rFonts w:ascii="Times New Roman" w:hAnsi="Times New Roman" w:cs="Times New Roman"/>
          <w:i/>
          <w:sz w:val="22"/>
          <w:szCs w:val="22"/>
          <w:lang w:val="en-GB"/>
        </w:rPr>
        <w:t xml:space="preserve"> and settler v</w:t>
      </w:r>
      <w:r w:rsidR="0064775F" w:rsidRPr="004A29F9">
        <w:rPr>
          <w:rFonts w:ascii="Times New Roman" w:hAnsi="Times New Roman" w:cs="Times New Roman"/>
          <w:i/>
          <w:sz w:val="22"/>
          <w:szCs w:val="22"/>
          <w:lang w:val="en-GB"/>
        </w:rPr>
        <w:t>iolence</w:t>
      </w:r>
      <w:r w:rsidR="003F2A8F" w:rsidRPr="004A29F9">
        <w:rPr>
          <w:rFonts w:ascii="Times New Roman" w:hAnsi="Times New Roman" w:cs="Times New Roman"/>
          <w:i/>
          <w:sz w:val="22"/>
          <w:szCs w:val="22"/>
          <w:lang w:val="en-GB"/>
        </w:rPr>
        <w:t xml:space="preserve"> in the West Bank</w:t>
      </w:r>
    </w:p>
    <w:p w:rsidR="00490531" w:rsidRDefault="00490531" w:rsidP="00FB6759">
      <w:pPr>
        <w:spacing w:after="0" w:line="240" w:lineRule="auto"/>
        <w:jc w:val="both"/>
        <w:rPr>
          <w:rFonts w:ascii="Times New Roman" w:hAnsi="Times New Roman" w:cs="Times New Roman"/>
          <w:sz w:val="22"/>
          <w:szCs w:val="22"/>
          <w:lang w:val="en-GB"/>
        </w:rPr>
      </w:pPr>
    </w:p>
    <w:p w:rsidR="000A1206" w:rsidRPr="004A29F9" w:rsidRDefault="0064775F"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While the overall situation in</w:t>
      </w:r>
      <w:r w:rsidR="00FD3C19">
        <w:rPr>
          <w:rFonts w:ascii="Times New Roman" w:hAnsi="Times New Roman" w:cs="Times New Roman"/>
          <w:sz w:val="22"/>
          <w:szCs w:val="22"/>
          <w:lang w:val="en-GB"/>
        </w:rPr>
        <w:t xml:space="preserve"> </w:t>
      </w:r>
      <w:r w:rsidRPr="004A29F9">
        <w:rPr>
          <w:rFonts w:ascii="Times New Roman" w:hAnsi="Times New Roman" w:cs="Times New Roman"/>
          <w:sz w:val="22"/>
          <w:szCs w:val="22"/>
          <w:lang w:val="en-GB"/>
        </w:rPr>
        <w:t>t</w:t>
      </w:r>
      <w:r w:rsidR="00E015CA" w:rsidRPr="004A29F9">
        <w:rPr>
          <w:rFonts w:ascii="Times New Roman" w:hAnsi="Times New Roman" w:cs="Times New Roman"/>
          <w:sz w:val="22"/>
          <w:szCs w:val="22"/>
          <w:lang w:val="en-GB"/>
        </w:rPr>
        <w:t xml:space="preserve">he West Bank is much calmer </w:t>
      </w:r>
      <w:r w:rsidR="00FE5437" w:rsidRPr="004A29F9">
        <w:rPr>
          <w:rFonts w:ascii="Times New Roman" w:hAnsi="Times New Roman" w:cs="Times New Roman"/>
          <w:sz w:val="22"/>
          <w:szCs w:val="22"/>
          <w:lang w:val="en-GB"/>
        </w:rPr>
        <w:t xml:space="preserve">now than </w:t>
      </w:r>
      <w:r w:rsidR="00785734" w:rsidRPr="004A29F9">
        <w:rPr>
          <w:rFonts w:ascii="Times New Roman" w:hAnsi="Times New Roman" w:cs="Times New Roman"/>
          <w:sz w:val="22"/>
          <w:szCs w:val="22"/>
          <w:lang w:val="en-GB"/>
        </w:rPr>
        <w:t>it was a few years ago; t</w:t>
      </w:r>
      <w:r w:rsidRPr="004A29F9">
        <w:rPr>
          <w:rFonts w:ascii="Times New Roman" w:hAnsi="Times New Roman" w:cs="Times New Roman"/>
          <w:sz w:val="22"/>
          <w:szCs w:val="22"/>
          <w:lang w:val="en-GB"/>
        </w:rPr>
        <w:t>oday, the human rights violations that are</w:t>
      </w:r>
      <w:r w:rsidR="00785734" w:rsidRPr="004A29F9">
        <w:rPr>
          <w:rFonts w:ascii="Times New Roman" w:hAnsi="Times New Roman" w:cs="Times New Roman"/>
          <w:sz w:val="22"/>
          <w:szCs w:val="22"/>
          <w:lang w:val="en-GB"/>
        </w:rPr>
        <w:t xml:space="preserve"> being perpetrated are</w:t>
      </w:r>
      <w:r w:rsidRPr="004A29F9">
        <w:rPr>
          <w:rFonts w:ascii="Times New Roman" w:hAnsi="Times New Roman" w:cs="Times New Roman"/>
          <w:sz w:val="22"/>
          <w:szCs w:val="22"/>
          <w:lang w:val="en-GB"/>
        </w:rPr>
        <w:t xml:space="preserve"> much </w:t>
      </w:r>
      <w:r w:rsidR="00785734" w:rsidRPr="004A29F9">
        <w:rPr>
          <w:rFonts w:ascii="Times New Roman" w:hAnsi="Times New Roman" w:cs="Times New Roman"/>
          <w:sz w:val="22"/>
          <w:szCs w:val="22"/>
          <w:lang w:val="en-GB"/>
        </w:rPr>
        <w:t>more</w:t>
      </w:r>
      <w:r w:rsidRPr="004A29F9">
        <w:rPr>
          <w:rFonts w:ascii="Times New Roman" w:hAnsi="Times New Roman" w:cs="Times New Roman"/>
          <w:sz w:val="22"/>
          <w:szCs w:val="22"/>
          <w:lang w:val="en-GB"/>
        </w:rPr>
        <w:t xml:space="preserve"> entrenched </w:t>
      </w:r>
      <w:r w:rsidR="00FE5437" w:rsidRPr="004A29F9">
        <w:rPr>
          <w:rFonts w:ascii="Times New Roman" w:hAnsi="Times New Roman" w:cs="Times New Roman"/>
          <w:sz w:val="22"/>
          <w:szCs w:val="22"/>
          <w:lang w:val="en-GB"/>
        </w:rPr>
        <w:t xml:space="preserve">structural </w:t>
      </w:r>
      <w:r w:rsidRPr="004A29F9">
        <w:rPr>
          <w:rFonts w:ascii="Times New Roman" w:hAnsi="Times New Roman" w:cs="Times New Roman"/>
          <w:sz w:val="22"/>
          <w:szCs w:val="22"/>
          <w:lang w:val="en-GB"/>
        </w:rPr>
        <w:t>issues</w:t>
      </w:r>
      <w:r w:rsidR="00785734" w:rsidRPr="004A29F9">
        <w:rPr>
          <w:rFonts w:ascii="Times New Roman" w:hAnsi="Times New Roman" w:cs="Times New Roman"/>
          <w:sz w:val="22"/>
          <w:szCs w:val="22"/>
          <w:lang w:val="en-GB"/>
        </w:rPr>
        <w:t xml:space="preserve"> such </w:t>
      </w:r>
      <w:r w:rsidR="00FE5437" w:rsidRPr="004A29F9">
        <w:rPr>
          <w:rFonts w:ascii="Times New Roman" w:hAnsi="Times New Roman" w:cs="Times New Roman"/>
          <w:sz w:val="22"/>
          <w:szCs w:val="22"/>
          <w:lang w:val="en-GB"/>
        </w:rPr>
        <w:t xml:space="preserve">as control </w:t>
      </w:r>
      <w:r w:rsidR="00785734" w:rsidRPr="004A29F9">
        <w:rPr>
          <w:rFonts w:ascii="Times New Roman" w:hAnsi="Times New Roman" w:cs="Times New Roman"/>
          <w:sz w:val="22"/>
          <w:szCs w:val="22"/>
          <w:lang w:val="en-GB"/>
        </w:rPr>
        <w:t xml:space="preserve">of </w:t>
      </w:r>
      <w:r w:rsidRPr="004A29F9">
        <w:rPr>
          <w:rFonts w:ascii="Times New Roman" w:hAnsi="Times New Roman" w:cs="Times New Roman"/>
          <w:sz w:val="22"/>
          <w:szCs w:val="22"/>
          <w:lang w:val="en-GB"/>
        </w:rPr>
        <w:t>land</w:t>
      </w:r>
      <w:r w:rsidR="00785734" w:rsidRPr="004A29F9">
        <w:rPr>
          <w:rFonts w:ascii="Times New Roman" w:hAnsi="Times New Roman" w:cs="Times New Roman"/>
          <w:sz w:val="22"/>
          <w:szCs w:val="22"/>
          <w:lang w:val="en-GB"/>
        </w:rPr>
        <w:t xml:space="preserve">, water </w:t>
      </w:r>
      <w:r w:rsidR="003617D3" w:rsidRPr="004A29F9">
        <w:rPr>
          <w:rFonts w:ascii="Times New Roman" w:hAnsi="Times New Roman" w:cs="Times New Roman"/>
          <w:sz w:val="22"/>
          <w:szCs w:val="22"/>
          <w:lang w:val="en-GB"/>
        </w:rPr>
        <w:t>and</w:t>
      </w:r>
      <w:r w:rsidRPr="004A29F9">
        <w:rPr>
          <w:rFonts w:ascii="Times New Roman" w:hAnsi="Times New Roman" w:cs="Times New Roman"/>
          <w:sz w:val="22"/>
          <w:szCs w:val="22"/>
          <w:lang w:val="en-GB"/>
        </w:rPr>
        <w:t xml:space="preserve"> other resources</w:t>
      </w:r>
      <w:r w:rsidR="00785734" w:rsidRPr="004A29F9">
        <w:rPr>
          <w:rFonts w:ascii="Times New Roman" w:hAnsi="Times New Roman" w:cs="Times New Roman"/>
          <w:sz w:val="22"/>
          <w:szCs w:val="22"/>
          <w:lang w:val="en-GB"/>
        </w:rPr>
        <w:t xml:space="preserve"> and a</w:t>
      </w:r>
      <w:r w:rsidRPr="004A29F9">
        <w:rPr>
          <w:rFonts w:ascii="Times New Roman" w:hAnsi="Times New Roman" w:cs="Times New Roman"/>
          <w:sz w:val="22"/>
          <w:szCs w:val="22"/>
          <w:lang w:val="en-GB"/>
        </w:rPr>
        <w:t xml:space="preserve"> planning system that prevents Palestinian economic development</w:t>
      </w:r>
      <w:r w:rsidR="00785734" w:rsidRPr="004A29F9">
        <w:rPr>
          <w:rFonts w:ascii="Times New Roman" w:hAnsi="Times New Roman" w:cs="Times New Roman"/>
          <w:sz w:val="22"/>
          <w:szCs w:val="22"/>
          <w:lang w:val="en-GB"/>
        </w:rPr>
        <w:t>.</w:t>
      </w:r>
      <w:r w:rsidR="00FD3C19">
        <w:rPr>
          <w:rFonts w:ascii="Times New Roman" w:hAnsi="Times New Roman" w:cs="Times New Roman"/>
          <w:sz w:val="22"/>
          <w:szCs w:val="22"/>
          <w:lang w:val="en-GB"/>
        </w:rPr>
        <w:t xml:space="preserve"> </w:t>
      </w:r>
      <w:r w:rsidR="00785734" w:rsidRPr="004A29F9">
        <w:rPr>
          <w:rFonts w:ascii="Times New Roman" w:hAnsi="Times New Roman" w:cs="Times New Roman"/>
          <w:sz w:val="22"/>
          <w:szCs w:val="22"/>
          <w:lang w:val="en-GB"/>
        </w:rPr>
        <w:t>The violations take various forms and are often</w:t>
      </w:r>
      <w:r w:rsidRPr="004A29F9">
        <w:rPr>
          <w:rFonts w:ascii="Times New Roman" w:hAnsi="Times New Roman" w:cs="Times New Roman"/>
          <w:sz w:val="22"/>
          <w:szCs w:val="22"/>
          <w:lang w:val="en-GB"/>
        </w:rPr>
        <w:t xml:space="preserve"> the end result </w:t>
      </w:r>
      <w:r w:rsidR="00785734" w:rsidRPr="004A29F9">
        <w:rPr>
          <w:rFonts w:ascii="Times New Roman" w:hAnsi="Times New Roman" w:cs="Times New Roman"/>
          <w:sz w:val="22"/>
          <w:szCs w:val="22"/>
          <w:lang w:val="en-GB"/>
        </w:rPr>
        <w:t xml:space="preserve">of </w:t>
      </w:r>
      <w:r w:rsidR="00FE5437" w:rsidRPr="004A29F9">
        <w:rPr>
          <w:rFonts w:ascii="Times New Roman" w:hAnsi="Times New Roman" w:cs="Times New Roman"/>
          <w:sz w:val="22"/>
          <w:szCs w:val="22"/>
          <w:lang w:val="en-GB"/>
        </w:rPr>
        <w:t xml:space="preserve">a long and </w:t>
      </w:r>
      <w:r w:rsidRPr="004A29F9">
        <w:rPr>
          <w:rFonts w:ascii="Times New Roman" w:hAnsi="Times New Roman" w:cs="Times New Roman"/>
          <w:sz w:val="22"/>
          <w:szCs w:val="22"/>
          <w:lang w:val="en-GB"/>
        </w:rPr>
        <w:t xml:space="preserve">drawn out </w:t>
      </w:r>
      <w:r w:rsidRPr="004A29F9">
        <w:rPr>
          <w:rFonts w:ascii="Times New Roman" w:hAnsi="Times New Roman" w:cs="Times New Roman"/>
          <w:sz w:val="22"/>
          <w:szCs w:val="22"/>
          <w:lang w:val="en-GB"/>
        </w:rPr>
        <w:lastRenderedPageBreak/>
        <w:t>administrative process</w:t>
      </w:r>
      <w:r w:rsidR="00785734" w:rsidRPr="004A29F9">
        <w:rPr>
          <w:rFonts w:ascii="Times New Roman" w:hAnsi="Times New Roman" w:cs="Times New Roman"/>
          <w:sz w:val="22"/>
          <w:szCs w:val="22"/>
          <w:lang w:val="en-GB"/>
        </w:rPr>
        <w:t xml:space="preserve"> (i.e. house demolitions).</w:t>
      </w:r>
      <w:r w:rsidR="000A1206" w:rsidRPr="004A29F9">
        <w:rPr>
          <w:rFonts w:ascii="Times New Roman" w:hAnsi="Times New Roman" w:cs="Times New Roman"/>
          <w:sz w:val="22"/>
          <w:szCs w:val="22"/>
          <w:lang w:val="en-GB"/>
        </w:rPr>
        <w:t>In Area C</w:t>
      </w:r>
      <w:r w:rsidR="004322C9">
        <w:rPr>
          <w:rFonts w:ascii="Times New Roman" w:hAnsi="Times New Roman" w:cs="Times New Roman"/>
          <w:sz w:val="22"/>
          <w:szCs w:val="22"/>
          <w:lang w:val="en-GB"/>
        </w:rPr>
        <w:t>,</w:t>
      </w:r>
      <w:r w:rsidR="000A1206" w:rsidRPr="004A29F9">
        <w:rPr>
          <w:rFonts w:ascii="Times New Roman" w:hAnsi="Times New Roman" w:cs="Times New Roman"/>
          <w:sz w:val="22"/>
          <w:szCs w:val="22"/>
          <w:lang w:val="en-GB"/>
        </w:rPr>
        <w:t xml:space="preserve"> Palestinians have no permits to build; they live in constant state of insecurity and at risk of having </w:t>
      </w:r>
      <w:r w:rsidR="004322C9">
        <w:rPr>
          <w:rFonts w:ascii="Times New Roman" w:hAnsi="Times New Roman" w:cs="Times New Roman"/>
          <w:sz w:val="22"/>
          <w:szCs w:val="22"/>
          <w:lang w:val="en-GB"/>
        </w:rPr>
        <w:t xml:space="preserve">their </w:t>
      </w:r>
      <w:r w:rsidR="000A1206" w:rsidRPr="004A29F9">
        <w:rPr>
          <w:rFonts w:ascii="Times New Roman" w:hAnsi="Times New Roman" w:cs="Times New Roman"/>
          <w:sz w:val="22"/>
          <w:szCs w:val="22"/>
          <w:lang w:val="en-GB"/>
        </w:rPr>
        <w:t xml:space="preserve">house demolished. Sometimes when they get a demolition order, they demolish their own house, as it is too expensive to have Israelis do it. There is no good referral system for dealing with the subsequent social consequences of such trauma such as child abuse, parents unemployed, residency </w:t>
      </w:r>
      <w:r w:rsidR="007B5467" w:rsidRPr="004A29F9">
        <w:rPr>
          <w:rFonts w:ascii="Times New Roman" w:hAnsi="Times New Roman" w:cs="Times New Roman"/>
          <w:i/>
          <w:sz w:val="22"/>
          <w:szCs w:val="22"/>
          <w:lang w:val="en-GB"/>
        </w:rPr>
        <w:t>vs</w:t>
      </w:r>
      <w:r w:rsidR="007B5467" w:rsidRPr="004A29F9">
        <w:rPr>
          <w:rFonts w:ascii="Times New Roman" w:hAnsi="Times New Roman" w:cs="Times New Roman"/>
          <w:sz w:val="22"/>
          <w:szCs w:val="22"/>
          <w:lang w:val="en-GB"/>
        </w:rPr>
        <w:t>.</w:t>
      </w:r>
      <w:r w:rsidR="000A1206" w:rsidRPr="004A29F9">
        <w:rPr>
          <w:rFonts w:ascii="Times New Roman" w:hAnsi="Times New Roman" w:cs="Times New Roman"/>
          <w:sz w:val="22"/>
          <w:szCs w:val="22"/>
          <w:lang w:val="en-GB"/>
        </w:rPr>
        <w:t xml:space="preserve"> citizenship and lack of basic services provided to Palestinians.</w:t>
      </w:r>
    </w:p>
    <w:p w:rsidR="00490531" w:rsidRDefault="00490531" w:rsidP="00FB6759">
      <w:pPr>
        <w:spacing w:after="0" w:line="240" w:lineRule="auto"/>
        <w:jc w:val="both"/>
        <w:rPr>
          <w:rFonts w:ascii="Times New Roman" w:hAnsi="Times New Roman" w:cs="Times New Roman"/>
          <w:sz w:val="22"/>
          <w:szCs w:val="22"/>
          <w:lang w:val="en-GB"/>
        </w:rPr>
      </w:pPr>
    </w:p>
    <w:p w:rsidR="00734E06" w:rsidRDefault="00785734"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Meanwhile,</w:t>
      </w:r>
      <w:r w:rsidR="00734E06">
        <w:rPr>
          <w:rFonts w:ascii="Times New Roman" w:hAnsi="Times New Roman" w:cs="Times New Roman"/>
          <w:sz w:val="22"/>
          <w:szCs w:val="22"/>
          <w:lang w:val="en-GB"/>
        </w:rPr>
        <w:t xml:space="preserve"> the GOI</w:t>
      </w:r>
      <w:r w:rsidR="0064775F" w:rsidRPr="004A29F9">
        <w:rPr>
          <w:rFonts w:ascii="Times New Roman" w:hAnsi="Times New Roman" w:cs="Times New Roman"/>
          <w:sz w:val="22"/>
          <w:szCs w:val="22"/>
          <w:lang w:val="en-GB"/>
        </w:rPr>
        <w:t xml:space="preserve"> perpetuates the myth that there is no longer an occupation in areas A and B</w:t>
      </w:r>
      <w:r w:rsidRPr="004A29F9">
        <w:rPr>
          <w:rFonts w:ascii="Times New Roman" w:hAnsi="Times New Roman" w:cs="Times New Roman"/>
          <w:sz w:val="22"/>
          <w:szCs w:val="22"/>
          <w:lang w:val="en-GB"/>
        </w:rPr>
        <w:t>,</w:t>
      </w:r>
      <w:r w:rsidR="0064775F" w:rsidRPr="004A29F9">
        <w:rPr>
          <w:rFonts w:ascii="Times New Roman" w:hAnsi="Times New Roman" w:cs="Times New Roman"/>
          <w:sz w:val="22"/>
          <w:szCs w:val="22"/>
          <w:lang w:val="en-GB"/>
        </w:rPr>
        <w:t xml:space="preserve"> because </w:t>
      </w:r>
      <w:r w:rsidRPr="004A29F9">
        <w:rPr>
          <w:rFonts w:ascii="Times New Roman" w:hAnsi="Times New Roman" w:cs="Times New Roman"/>
          <w:i/>
          <w:sz w:val="22"/>
          <w:szCs w:val="22"/>
          <w:lang w:val="en-GB"/>
        </w:rPr>
        <w:t xml:space="preserve">de </w:t>
      </w:r>
      <w:r w:rsidR="00FE5437" w:rsidRPr="004A29F9">
        <w:rPr>
          <w:rFonts w:ascii="Times New Roman" w:hAnsi="Times New Roman" w:cs="Times New Roman"/>
          <w:i/>
          <w:sz w:val="22"/>
          <w:szCs w:val="22"/>
          <w:lang w:val="en-GB"/>
        </w:rPr>
        <w:t xml:space="preserve">jure </w:t>
      </w:r>
      <w:r w:rsidR="00FE5437" w:rsidRPr="004A29F9">
        <w:rPr>
          <w:rFonts w:ascii="Times New Roman" w:hAnsi="Times New Roman" w:cs="Times New Roman"/>
          <w:sz w:val="22"/>
          <w:szCs w:val="22"/>
          <w:lang w:val="en-GB"/>
        </w:rPr>
        <w:t>these</w:t>
      </w:r>
      <w:r w:rsidR="0064775F" w:rsidRPr="004A29F9">
        <w:rPr>
          <w:rFonts w:ascii="Times New Roman" w:hAnsi="Times New Roman" w:cs="Times New Roman"/>
          <w:sz w:val="22"/>
          <w:szCs w:val="22"/>
          <w:lang w:val="en-GB"/>
        </w:rPr>
        <w:t xml:space="preserve"> areas are under PA </w:t>
      </w:r>
      <w:r w:rsidRPr="004A29F9">
        <w:rPr>
          <w:rFonts w:ascii="Times New Roman" w:hAnsi="Times New Roman" w:cs="Times New Roman"/>
          <w:sz w:val="22"/>
          <w:szCs w:val="22"/>
          <w:lang w:val="en-GB"/>
        </w:rPr>
        <w:t>authority</w:t>
      </w:r>
      <w:r w:rsidR="0064775F" w:rsidRPr="004A29F9">
        <w:rPr>
          <w:rFonts w:ascii="Times New Roman" w:hAnsi="Times New Roman" w:cs="Times New Roman"/>
          <w:sz w:val="22"/>
          <w:szCs w:val="22"/>
          <w:lang w:val="en-GB"/>
        </w:rPr>
        <w:t xml:space="preserve">. </w:t>
      </w:r>
      <w:r w:rsidR="006A5F5C" w:rsidRPr="004A29F9">
        <w:rPr>
          <w:rFonts w:ascii="Times New Roman" w:hAnsi="Times New Roman" w:cs="Times New Roman"/>
          <w:sz w:val="22"/>
          <w:szCs w:val="22"/>
          <w:lang w:val="en-GB"/>
        </w:rPr>
        <w:t>In</w:t>
      </w:r>
      <w:r w:rsidR="0064775F" w:rsidRPr="004A29F9">
        <w:rPr>
          <w:rFonts w:ascii="Times New Roman" w:hAnsi="Times New Roman" w:cs="Times New Roman"/>
          <w:sz w:val="22"/>
          <w:szCs w:val="22"/>
          <w:lang w:val="en-GB"/>
        </w:rPr>
        <w:t xml:space="preserve"> reality</w:t>
      </w:r>
      <w:r w:rsidR="006A5F5C" w:rsidRPr="004A29F9">
        <w:rPr>
          <w:rFonts w:ascii="Times New Roman" w:hAnsi="Times New Roman" w:cs="Times New Roman"/>
          <w:sz w:val="22"/>
          <w:szCs w:val="22"/>
          <w:lang w:val="en-GB"/>
        </w:rPr>
        <w:t>, however,</w:t>
      </w:r>
      <w:r w:rsidR="0064775F" w:rsidRPr="004A29F9">
        <w:rPr>
          <w:rFonts w:ascii="Times New Roman" w:hAnsi="Times New Roman" w:cs="Times New Roman"/>
          <w:sz w:val="22"/>
          <w:szCs w:val="22"/>
          <w:lang w:val="en-GB"/>
        </w:rPr>
        <w:t xml:space="preserve"> these areas can’t develop </w:t>
      </w:r>
      <w:r w:rsidRPr="004A29F9">
        <w:rPr>
          <w:rFonts w:ascii="Times New Roman" w:hAnsi="Times New Roman" w:cs="Times New Roman"/>
          <w:sz w:val="22"/>
          <w:szCs w:val="22"/>
          <w:lang w:val="en-GB"/>
        </w:rPr>
        <w:t>economically,</w:t>
      </w:r>
      <w:r w:rsidR="0064775F" w:rsidRPr="004A29F9">
        <w:rPr>
          <w:rFonts w:ascii="Times New Roman" w:hAnsi="Times New Roman" w:cs="Times New Roman"/>
          <w:sz w:val="22"/>
          <w:szCs w:val="22"/>
          <w:lang w:val="en-GB"/>
        </w:rPr>
        <w:t xml:space="preserve"> due the fact that they are still dependent upon Israel for permits, etc. (i.e. digging of new wells req</w:t>
      </w:r>
      <w:r w:rsidR="00734E06">
        <w:rPr>
          <w:rFonts w:ascii="Times New Roman" w:hAnsi="Times New Roman" w:cs="Times New Roman"/>
          <w:sz w:val="22"/>
          <w:szCs w:val="22"/>
          <w:lang w:val="en-GB"/>
        </w:rPr>
        <w:t xml:space="preserve">uires an Israeli permit). </w:t>
      </w:r>
      <w:r w:rsidR="0064775F" w:rsidRPr="004A29F9">
        <w:rPr>
          <w:rFonts w:ascii="Times New Roman" w:hAnsi="Times New Roman" w:cs="Times New Roman"/>
          <w:sz w:val="22"/>
          <w:szCs w:val="22"/>
          <w:lang w:val="en-GB"/>
        </w:rPr>
        <w:t xml:space="preserve">Almost all areas of economic development are possible on paper, but in reality the processes are cumbersome and not realistic for </w:t>
      </w:r>
      <w:r w:rsidRPr="004A29F9">
        <w:rPr>
          <w:rFonts w:ascii="Times New Roman" w:hAnsi="Times New Roman" w:cs="Times New Roman"/>
          <w:sz w:val="22"/>
          <w:szCs w:val="22"/>
          <w:lang w:val="en-GB"/>
        </w:rPr>
        <w:t>Palestinians</w:t>
      </w:r>
      <w:r w:rsidR="00734E06">
        <w:rPr>
          <w:rFonts w:ascii="Times New Roman" w:hAnsi="Times New Roman" w:cs="Times New Roman"/>
          <w:sz w:val="22"/>
          <w:szCs w:val="22"/>
          <w:lang w:val="en-GB"/>
        </w:rPr>
        <w:t>.</w:t>
      </w:r>
    </w:p>
    <w:p w:rsidR="00734E06" w:rsidRDefault="00734E06" w:rsidP="00FB6759">
      <w:pPr>
        <w:spacing w:after="0" w:line="240" w:lineRule="auto"/>
        <w:jc w:val="both"/>
        <w:rPr>
          <w:rFonts w:ascii="Times New Roman" w:hAnsi="Times New Roman" w:cs="Times New Roman"/>
          <w:sz w:val="22"/>
          <w:szCs w:val="22"/>
          <w:lang w:val="en-GB"/>
        </w:rPr>
      </w:pPr>
    </w:p>
    <w:p w:rsidR="0064775F" w:rsidRPr="004A29F9" w:rsidRDefault="0064775F"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Palestinians </w:t>
      </w:r>
      <w:r w:rsidR="005D1121" w:rsidRPr="004A29F9">
        <w:rPr>
          <w:rFonts w:ascii="Times New Roman" w:hAnsi="Times New Roman" w:cs="Times New Roman"/>
          <w:sz w:val="22"/>
          <w:szCs w:val="22"/>
          <w:lang w:val="en-GB"/>
        </w:rPr>
        <w:t>in East Jerusalem</w:t>
      </w:r>
      <w:r w:rsidRPr="004A29F9">
        <w:rPr>
          <w:rFonts w:ascii="Times New Roman" w:hAnsi="Times New Roman" w:cs="Times New Roman"/>
          <w:sz w:val="22"/>
          <w:szCs w:val="22"/>
          <w:lang w:val="en-GB"/>
        </w:rPr>
        <w:t xml:space="preserve"> contribute 20% of income municipal taxation income and get </w:t>
      </w:r>
      <w:r w:rsidR="00734E06">
        <w:rPr>
          <w:rFonts w:ascii="Times New Roman" w:hAnsi="Times New Roman" w:cs="Times New Roman"/>
          <w:sz w:val="22"/>
          <w:szCs w:val="22"/>
          <w:lang w:val="en-GB"/>
        </w:rPr>
        <w:t xml:space="preserve">only 4% of this spent on them. </w:t>
      </w:r>
      <w:r w:rsidRPr="004A29F9">
        <w:rPr>
          <w:rFonts w:ascii="Times New Roman" w:hAnsi="Times New Roman" w:cs="Times New Roman"/>
          <w:sz w:val="22"/>
          <w:szCs w:val="22"/>
          <w:lang w:val="en-GB"/>
        </w:rPr>
        <w:t>Also they can’t vote even though they pay taxes</w:t>
      </w:r>
      <w:r w:rsidR="00734E06">
        <w:rPr>
          <w:rFonts w:ascii="Times New Roman" w:hAnsi="Times New Roman" w:cs="Times New Roman"/>
          <w:sz w:val="22"/>
          <w:szCs w:val="22"/>
          <w:lang w:val="en-GB"/>
        </w:rPr>
        <w:t xml:space="preserve">. </w:t>
      </w:r>
      <w:r w:rsidRPr="004A29F9">
        <w:rPr>
          <w:rFonts w:ascii="Times New Roman" w:hAnsi="Times New Roman" w:cs="Times New Roman"/>
          <w:sz w:val="22"/>
          <w:szCs w:val="22"/>
          <w:lang w:val="en-GB"/>
        </w:rPr>
        <w:t>Israelis</w:t>
      </w:r>
      <w:r w:rsidR="00FD3C19">
        <w:rPr>
          <w:rFonts w:ascii="Times New Roman" w:hAnsi="Times New Roman" w:cs="Times New Roman"/>
          <w:sz w:val="22"/>
          <w:szCs w:val="22"/>
          <w:lang w:val="en-GB"/>
        </w:rPr>
        <w:t xml:space="preserve"> </w:t>
      </w:r>
      <w:r w:rsidR="000A1206" w:rsidRPr="004A29F9">
        <w:rPr>
          <w:rFonts w:ascii="Times New Roman" w:hAnsi="Times New Roman" w:cs="Times New Roman"/>
          <w:sz w:val="22"/>
          <w:szCs w:val="22"/>
          <w:lang w:val="en-GB"/>
        </w:rPr>
        <w:t>do not</w:t>
      </w:r>
      <w:r w:rsidRPr="004A29F9">
        <w:rPr>
          <w:rFonts w:ascii="Times New Roman" w:hAnsi="Times New Roman" w:cs="Times New Roman"/>
          <w:sz w:val="22"/>
          <w:szCs w:val="22"/>
          <w:lang w:val="en-GB"/>
        </w:rPr>
        <w:t xml:space="preserve"> build schools in Palestinian areas</w:t>
      </w:r>
      <w:r w:rsidR="00AD365E" w:rsidRPr="004A29F9">
        <w:rPr>
          <w:rFonts w:ascii="Times New Roman" w:hAnsi="Times New Roman" w:cs="Times New Roman"/>
          <w:sz w:val="22"/>
          <w:szCs w:val="22"/>
          <w:lang w:val="en-GB"/>
        </w:rPr>
        <w:t xml:space="preserve"> and</w:t>
      </w:r>
      <w:r w:rsidR="00FD3C19">
        <w:rPr>
          <w:rFonts w:ascii="Times New Roman" w:hAnsi="Times New Roman" w:cs="Times New Roman"/>
          <w:sz w:val="22"/>
          <w:szCs w:val="22"/>
          <w:lang w:val="en-GB"/>
        </w:rPr>
        <w:t xml:space="preserve"> </w:t>
      </w:r>
      <w:r w:rsidR="00AD365E" w:rsidRPr="004A29F9">
        <w:rPr>
          <w:rFonts w:ascii="Times New Roman" w:hAnsi="Times New Roman" w:cs="Times New Roman"/>
          <w:sz w:val="22"/>
          <w:szCs w:val="22"/>
          <w:lang w:val="en-GB"/>
        </w:rPr>
        <w:t xml:space="preserve">overcrowding in the schools is a </w:t>
      </w:r>
      <w:r w:rsidRPr="004A29F9">
        <w:rPr>
          <w:rFonts w:ascii="Times New Roman" w:hAnsi="Times New Roman" w:cs="Times New Roman"/>
          <w:sz w:val="22"/>
          <w:szCs w:val="22"/>
          <w:lang w:val="en-GB"/>
        </w:rPr>
        <w:t>huge issue</w:t>
      </w:r>
      <w:r w:rsidR="00AD365E" w:rsidRPr="004A29F9">
        <w:rPr>
          <w:rFonts w:ascii="Times New Roman" w:hAnsi="Times New Roman" w:cs="Times New Roman"/>
          <w:sz w:val="22"/>
          <w:szCs w:val="22"/>
          <w:lang w:val="en-GB"/>
        </w:rPr>
        <w:t>. C</w:t>
      </w:r>
      <w:r w:rsidR="000A1206" w:rsidRPr="004A29F9">
        <w:rPr>
          <w:rFonts w:ascii="Times New Roman" w:hAnsi="Times New Roman" w:cs="Times New Roman"/>
          <w:sz w:val="22"/>
          <w:szCs w:val="22"/>
          <w:lang w:val="en-GB"/>
        </w:rPr>
        <w:t xml:space="preserve">hildren who remain outside the system are prone to delinquency and </w:t>
      </w:r>
      <w:r w:rsidRPr="004A29F9">
        <w:rPr>
          <w:rFonts w:ascii="Times New Roman" w:hAnsi="Times New Roman" w:cs="Times New Roman"/>
          <w:sz w:val="22"/>
          <w:szCs w:val="22"/>
          <w:lang w:val="en-GB"/>
        </w:rPr>
        <w:t>drug abuse</w:t>
      </w:r>
      <w:r w:rsidR="00734E06">
        <w:rPr>
          <w:rFonts w:ascii="Times New Roman" w:hAnsi="Times New Roman" w:cs="Times New Roman"/>
          <w:sz w:val="22"/>
          <w:szCs w:val="22"/>
          <w:lang w:val="en-GB"/>
        </w:rPr>
        <w:t xml:space="preserve">. </w:t>
      </w:r>
      <w:r w:rsidRPr="004A29F9">
        <w:rPr>
          <w:rFonts w:ascii="Times New Roman" w:hAnsi="Times New Roman" w:cs="Times New Roman"/>
          <w:sz w:val="22"/>
          <w:szCs w:val="22"/>
          <w:lang w:val="en-GB"/>
        </w:rPr>
        <w:t>The whole society and community is broken in different ways</w:t>
      </w:r>
      <w:r w:rsidRPr="004A29F9">
        <w:rPr>
          <w:rFonts w:ascii="Times New Roman" w:hAnsi="Times New Roman" w:cs="Times New Roman"/>
          <w:b/>
          <w:sz w:val="22"/>
          <w:szCs w:val="22"/>
          <w:lang w:val="en-GB"/>
        </w:rPr>
        <w:t>.</w:t>
      </w:r>
    </w:p>
    <w:p w:rsidR="00490531" w:rsidRDefault="00490531" w:rsidP="00FB6759">
      <w:pPr>
        <w:spacing w:after="0" w:line="240" w:lineRule="auto"/>
        <w:jc w:val="both"/>
        <w:rPr>
          <w:rFonts w:ascii="Times New Roman" w:hAnsi="Times New Roman" w:cs="Times New Roman"/>
          <w:sz w:val="22"/>
          <w:szCs w:val="22"/>
          <w:lang w:val="en-GB"/>
        </w:rPr>
      </w:pPr>
    </w:p>
    <w:p w:rsidR="003F2A8F" w:rsidRPr="00734E06" w:rsidRDefault="00E015CA" w:rsidP="00FB6759">
      <w:pPr>
        <w:spacing w:after="0" w:line="240" w:lineRule="auto"/>
        <w:jc w:val="both"/>
        <w:rPr>
          <w:rFonts w:ascii="Times New Roman" w:hAnsi="Times New Roman" w:cs="Times New Roman"/>
          <w:sz w:val="22"/>
          <w:szCs w:val="22"/>
          <w:lang w:val="en-GB"/>
        </w:rPr>
      </w:pPr>
      <w:r w:rsidRPr="00734E06">
        <w:rPr>
          <w:rFonts w:ascii="Times New Roman" w:hAnsi="Times New Roman" w:cs="Times New Roman"/>
          <w:sz w:val="22"/>
          <w:szCs w:val="22"/>
          <w:lang w:val="en-GB"/>
        </w:rPr>
        <w:t>Several of the CSOs funded by UNDP deal direc</w:t>
      </w:r>
      <w:r w:rsidR="00734E06" w:rsidRPr="00734E06">
        <w:rPr>
          <w:rFonts w:ascii="Times New Roman" w:hAnsi="Times New Roman" w:cs="Times New Roman"/>
          <w:sz w:val="22"/>
          <w:szCs w:val="22"/>
          <w:lang w:val="en-GB"/>
        </w:rPr>
        <w:t>tly with the above situatio</w:t>
      </w:r>
      <w:r w:rsidR="00734E06">
        <w:rPr>
          <w:rFonts w:ascii="Times New Roman" w:hAnsi="Times New Roman" w:cs="Times New Roman"/>
          <w:sz w:val="22"/>
          <w:szCs w:val="22"/>
          <w:lang w:val="en-GB"/>
        </w:rPr>
        <w:t xml:space="preserve">n. </w:t>
      </w:r>
      <w:r w:rsidRPr="00734E06">
        <w:rPr>
          <w:rFonts w:ascii="Times New Roman" w:hAnsi="Times New Roman" w:cs="Times New Roman"/>
          <w:sz w:val="22"/>
          <w:szCs w:val="22"/>
          <w:lang w:val="en-GB"/>
        </w:rPr>
        <w:t xml:space="preserve">For example, the CSO Civil Coalition for </w:t>
      </w:r>
      <w:r w:rsidR="00445D4E">
        <w:rPr>
          <w:rFonts w:ascii="Times New Roman" w:hAnsi="Times New Roman" w:cs="Times New Roman"/>
          <w:sz w:val="22"/>
          <w:szCs w:val="22"/>
          <w:lang w:val="en-GB"/>
        </w:rPr>
        <w:t xml:space="preserve">Defending </w:t>
      </w:r>
      <w:r w:rsidRPr="00734E06">
        <w:rPr>
          <w:rFonts w:ascii="Times New Roman" w:hAnsi="Times New Roman" w:cs="Times New Roman"/>
          <w:sz w:val="22"/>
          <w:szCs w:val="22"/>
          <w:lang w:val="en-GB"/>
        </w:rPr>
        <w:t>Palestinian Rights in Jerusalem focuses upon the right</w:t>
      </w:r>
      <w:r w:rsidR="00445D4E">
        <w:rPr>
          <w:rFonts w:ascii="Times New Roman" w:hAnsi="Times New Roman" w:cs="Times New Roman"/>
          <w:sz w:val="22"/>
          <w:szCs w:val="22"/>
          <w:lang w:val="en-GB"/>
        </w:rPr>
        <w:t>s</w:t>
      </w:r>
      <w:r w:rsidRPr="00734E06">
        <w:rPr>
          <w:rFonts w:ascii="Times New Roman" w:hAnsi="Times New Roman" w:cs="Times New Roman"/>
          <w:sz w:val="22"/>
          <w:szCs w:val="22"/>
          <w:lang w:val="en-GB"/>
        </w:rPr>
        <w:t xml:space="preserve"> of the 366,000 Palestinians who are residents of East Jerusalem and Israel’s efforts to divest them of</w:t>
      </w:r>
      <w:r w:rsidR="00734E06">
        <w:rPr>
          <w:rFonts w:ascii="Times New Roman" w:hAnsi="Times New Roman" w:cs="Times New Roman"/>
          <w:sz w:val="22"/>
          <w:szCs w:val="22"/>
          <w:lang w:val="en-GB"/>
        </w:rPr>
        <w:t xml:space="preserve"> their property and residency. </w:t>
      </w:r>
      <w:r w:rsidR="00445D4E">
        <w:rPr>
          <w:rFonts w:ascii="Times New Roman" w:hAnsi="Times New Roman" w:cs="Times New Roman"/>
          <w:sz w:val="22"/>
          <w:szCs w:val="22"/>
          <w:lang w:val="en-GB"/>
        </w:rPr>
        <w:t xml:space="preserve">The </w:t>
      </w:r>
      <w:r w:rsidRPr="00734E06">
        <w:rPr>
          <w:rFonts w:ascii="Times New Roman" w:hAnsi="Times New Roman" w:cs="Times New Roman"/>
          <w:sz w:val="22"/>
          <w:szCs w:val="22"/>
          <w:lang w:val="en-GB"/>
        </w:rPr>
        <w:t>Civil Coalition has used UNDP funds to monitor plans for Israeli settlement expansion; to inform citizens of changes in the law and legislation; and using the Israeli legal system to submit petitions of local Palestinian communities impacted by the expansion</w:t>
      </w:r>
      <w:r w:rsidR="00734E06">
        <w:rPr>
          <w:rFonts w:ascii="Times New Roman" w:hAnsi="Times New Roman" w:cs="Times New Roman"/>
          <w:sz w:val="22"/>
          <w:szCs w:val="22"/>
          <w:lang w:val="en-GB"/>
        </w:rPr>
        <w:t xml:space="preserve"> of the Israeli settlements. </w:t>
      </w:r>
      <w:r w:rsidR="00445D4E">
        <w:rPr>
          <w:rFonts w:ascii="Times New Roman" w:hAnsi="Times New Roman" w:cs="Times New Roman"/>
          <w:sz w:val="22"/>
          <w:szCs w:val="22"/>
          <w:lang w:val="en-GB"/>
        </w:rPr>
        <w:t xml:space="preserve">In addition, the Civic Coalition is using </w:t>
      </w:r>
      <w:r w:rsidRPr="00734E06">
        <w:rPr>
          <w:rFonts w:ascii="Times New Roman" w:hAnsi="Times New Roman" w:cs="Times New Roman"/>
          <w:sz w:val="22"/>
          <w:szCs w:val="22"/>
          <w:lang w:val="en-GB"/>
        </w:rPr>
        <w:t>international avenues to fight such abuse including filing petitions with the Human Rights Council in Geneva and sendin</w:t>
      </w:r>
      <w:r w:rsidR="00445D4E">
        <w:rPr>
          <w:rFonts w:ascii="Times New Roman" w:hAnsi="Times New Roman" w:cs="Times New Roman"/>
          <w:sz w:val="22"/>
          <w:szCs w:val="22"/>
          <w:lang w:val="en-GB"/>
        </w:rPr>
        <w:t>g reports on the settlements.</w:t>
      </w:r>
    </w:p>
    <w:p w:rsidR="00445D4E" w:rsidRDefault="00445D4E" w:rsidP="00FB6759">
      <w:pPr>
        <w:spacing w:after="0" w:line="240" w:lineRule="auto"/>
        <w:jc w:val="both"/>
        <w:rPr>
          <w:rFonts w:ascii="Times New Roman" w:hAnsi="Times New Roman" w:cs="Times New Roman"/>
          <w:sz w:val="22"/>
          <w:szCs w:val="22"/>
          <w:lang w:val="en-GB"/>
        </w:rPr>
      </w:pPr>
    </w:p>
    <w:p w:rsidR="00445D4E" w:rsidRDefault="007B5467" w:rsidP="00FB6759">
      <w:pPr>
        <w:spacing w:after="0" w:line="240" w:lineRule="auto"/>
        <w:jc w:val="both"/>
        <w:rPr>
          <w:rFonts w:ascii="Times New Roman" w:hAnsi="Times New Roman" w:cs="Times New Roman"/>
          <w:sz w:val="22"/>
          <w:szCs w:val="22"/>
          <w:lang w:val="en-GB"/>
        </w:rPr>
      </w:pPr>
      <w:r w:rsidRPr="00445D4E">
        <w:rPr>
          <w:rFonts w:ascii="Times New Roman" w:hAnsi="Times New Roman" w:cs="Times New Roman"/>
          <w:sz w:val="22"/>
          <w:szCs w:val="22"/>
          <w:lang w:val="en-GB"/>
        </w:rPr>
        <w:t>Meanwhile</w:t>
      </w:r>
      <w:r w:rsidR="00445D4E" w:rsidRPr="00445D4E">
        <w:rPr>
          <w:rFonts w:ascii="Times New Roman" w:hAnsi="Times New Roman" w:cs="Times New Roman"/>
          <w:sz w:val="22"/>
          <w:szCs w:val="22"/>
          <w:lang w:val="en-GB"/>
        </w:rPr>
        <w:t>, the Jerusalem Community Advocacy Network (</w:t>
      </w:r>
      <w:r w:rsidR="00FE5437" w:rsidRPr="00445D4E">
        <w:rPr>
          <w:rFonts w:ascii="Times New Roman" w:hAnsi="Times New Roman" w:cs="Times New Roman"/>
          <w:sz w:val="22"/>
          <w:szCs w:val="22"/>
          <w:lang w:val="en-GB"/>
        </w:rPr>
        <w:t>JCAN</w:t>
      </w:r>
      <w:r w:rsidR="00445D4E" w:rsidRPr="00445D4E">
        <w:rPr>
          <w:rFonts w:ascii="Times New Roman" w:hAnsi="Times New Roman" w:cs="Times New Roman"/>
          <w:sz w:val="22"/>
          <w:szCs w:val="22"/>
          <w:lang w:val="en-GB"/>
        </w:rPr>
        <w:t xml:space="preserve">)used </w:t>
      </w:r>
      <w:r w:rsidR="00E22AE4" w:rsidRPr="00445D4E">
        <w:rPr>
          <w:rFonts w:ascii="Times New Roman" w:hAnsi="Times New Roman" w:cs="Times New Roman"/>
          <w:sz w:val="22"/>
          <w:szCs w:val="22"/>
          <w:lang w:val="en-GB"/>
        </w:rPr>
        <w:t xml:space="preserve">UNDP </w:t>
      </w:r>
      <w:r w:rsidR="00445D4E" w:rsidRPr="00445D4E">
        <w:rPr>
          <w:rFonts w:ascii="Times New Roman" w:hAnsi="Times New Roman" w:cs="Times New Roman"/>
          <w:sz w:val="22"/>
          <w:szCs w:val="22"/>
          <w:lang w:val="en-GB"/>
        </w:rPr>
        <w:t xml:space="preserve">funds for a project in </w:t>
      </w:r>
      <w:r w:rsidR="00E22AE4" w:rsidRPr="00445D4E">
        <w:rPr>
          <w:rFonts w:ascii="Times New Roman" w:hAnsi="Times New Roman" w:cs="Times New Roman"/>
          <w:sz w:val="22"/>
          <w:szCs w:val="22"/>
          <w:lang w:val="en-GB"/>
        </w:rPr>
        <w:t xml:space="preserve">Subaher to provide legal aid in opposition to demolition, property </w:t>
      </w:r>
      <w:r w:rsidR="00445D4E" w:rsidRPr="00445D4E">
        <w:rPr>
          <w:rFonts w:ascii="Times New Roman" w:hAnsi="Times New Roman" w:cs="Times New Roman"/>
          <w:sz w:val="22"/>
          <w:szCs w:val="22"/>
          <w:lang w:val="en-GB"/>
        </w:rPr>
        <w:t>issues and residency problems.</w:t>
      </w:r>
      <w:r w:rsidR="00445D4E" w:rsidRPr="00445D4E">
        <w:rPr>
          <w:rStyle w:val="FootnoteReference"/>
          <w:rFonts w:ascii="Times New Roman" w:hAnsi="Times New Roman" w:cs="Times New Roman"/>
          <w:sz w:val="22"/>
          <w:szCs w:val="22"/>
          <w:lang w:val="en-GB"/>
        </w:rPr>
        <w:footnoteReference w:id="125"/>
      </w:r>
      <w:r w:rsidR="00FD3C19">
        <w:rPr>
          <w:rFonts w:ascii="Times New Roman" w:hAnsi="Times New Roman" w:cs="Times New Roman"/>
          <w:sz w:val="22"/>
          <w:szCs w:val="22"/>
          <w:lang w:val="en-GB"/>
        </w:rPr>
        <w:t xml:space="preserve"> </w:t>
      </w:r>
      <w:r w:rsidR="00E22AE4" w:rsidRPr="00445D4E">
        <w:rPr>
          <w:rFonts w:ascii="Times New Roman" w:hAnsi="Times New Roman" w:cs="Times New Roman"/>
          <w:sz w:val="22"/>
          <w:szCs w:val="22"/>
          <w:lang w:val="en-GB"/>
        </w:rPr>
        <w:t>The CSO was successful in helping 400 people to retain their residency</w:t>
      </w:r>
      <w:r w:rsidR="00445D4E">
        <w:rPr>
          <w:rFonts w:ascii="Times New Roman" w:hAnsi="Times New Roman" w:cs="Times New Roman"/>
          <w:sz w:val="22"/>
          <w:szCs w:val="22"/>
          <w:lang w:val="en-GB"/>
        </w:rPr>
        <w:t xml:space="preserve"> and to delay house demolition.</w:t>
      </w:r>
    </w:p>
    <w:p w:rsidR="00445D4E" w:rsidRDefault="00445D4E" w:rsidP="00FB6759">
      <w:pPr>
        <w:spacing w:after="0" w:line="240" w:lineRule="auto"/>
        <w:jc w:val="both"/>
        <w:rPr>
          <w:rFonts w:ascii="Times New Roman" w:hAnsi="Times New Roman" w:cs="Times New Roman"/>
          <w:sz w:val="22"/>
          <w:szCs w:val="22"/>
          <w:lang w:val="en-GB"/>
        </w:rPr>
      </w:pPr>
    </w:p>
    <w:p w:rsidR="002E39AC" w:rsidRPr="004A29F9" w:rsidRDefault="00E22AE4" w:rsidP="00FB6759">
      <w:pPr>
        <w:spacing w:after="0" w:line="240" w:lineRule="auto"/>
        <w:jc w:val="both"/>
        <w:rPr>
          <w:rFonts w:ascii="Times New Roman" w:hAnsi="Times New Roman" w:cs="Times New Roman"/>
          <w:sz w:val="22"/>
          <w:szCs w:val="22"/>
          <w:lang w:val="en-GB"/>
        </w:rPr>
      </w:pPr>
      <w:r w:rsidRPr="00445D4E">
        <w:rPr>
          <w:rFonts w:ascii="Times New Roman" w:hAnsi="Times New Roman" w:cs="Times New Roman"/>
          <w:sz w:val="22"/>
          <w:szCs w:val="22"/>
          <w:lang w:val="en-GB"/>
        </w:rPr>
        <w:t>JCAN maintained an information point to inform people of their legal rights. JCAN faced many challenges in its implementation</w:t>
      </w:r>
      <w:r w:rsidR="00AD228A" w:rsidRPr="00445D4E">
        <w:rPr>
          <w:rFonts w:ascii="Times New Roman" w:hAnsi="Times New Roman" w:cs="Times New Roman"/>
          <w:sz w:val="22"/>
          <w:szCs w:val="22"/>
          <w:lang w:val="en-GB"/>
        </w:rPr>
        <w:t>, first</w:t>
      </w:r>
      <w:r w:rsidRPr="00445D4E">
        <w:rPr>
          <w:rFonts w:ascii="Times New Roman" w:hAnsi="Times New Roman" w:cs="Times New Roman"/>
          <w:sz w:val="22"/>
          <w:szCs w:val="22"/>
          <w:lang w:val="en-GB"/>
        </w:rPr>
        <w:t xml:space="preserve"> and foremost with inhabitants of Su</w:t>
      </w:r>
      <w:r w:rsidR="00CB1D2C" w:rsidRPr="00445D4E">
        <w:rPr>
          <w:rFonts w:ascii="Times New Roman" w:hAnsi="Times New Roman" w:cs="Times New Roman"/>
          <w:sz w:val="22"/>
          <w:szCs w:val="22"/>
          <w:lang w:val="en-GB"/>
        </w:rPr>
        <w:t>b</w:t>
      </w:r>
      <w:r w:rsidR="00445D4E">
        <w:rPr>
          <w:rFonts w:ascii="Times New Roman" w:hAnsi="Times New Roman" w:cs="Times New Roman"/>
          <w:sz w:val="22"/>
          <w:szCs w:val="22"/>
          <w:lang w:val="en-GB"/>
        </w:rPr>
        <w:t xml:space="preserve">aher themselves. </w:t>
      </w:r>
      <w:r w:rsidRPr="00445D4E">
        <w:rPr>
          <w:rFonts w:ascii="Times New Roman" w:hAnsi="Times New Roman" w:cs="Times New Roman"/>
          <w:sz w:val="22"/>
          <w:szCs w:val="22"/>
          <w:lang w:val="en-GB"/>
        </w:rPr>
        <w:t>Su</w:t>
      </w:r>
      <w:r w:rsidR="00CB1D2C" w:rsidRPr="00445D4E">
        <w:rPr>
          <w:rFonts w:ascii="Times New Roman" w:hAnsi="Times New Roman" w:cs="Times New Roman"/>
          <w:sz w:val="22"/>
          <w:szCs w:val="22"/>
          <w:lang w:val="en-GB"/>
        </w:rPr>
        <w:t>b</w:t>
      </w:r>
      <w:r w:rsidRPr="00445D4E">
        <w:rPr>
          <w:rFonts w:ascii="Times New Roman" w:hAnsi="Times New Roman" w:cs="Times New Roman"/>
          <w:sz w:val="22"/>
          <w:szCs w:val="22"/>
          <w:lang w:val="en-GB"/>
        </w:rPr>
        <w:t xml:space="preserve">aher is a closed and small community. JCAN had to establish trust with families to get them to come forward for assistance and worked for </w:t>
      </w:r>
      <w:r w:rsidR="00CB1D2C" w:rsidRPr="00445D4E">
        <w:rPr>
          <w:rFonts w:ascii="Times New Roman" w:hAnsi="Times New Roman" w:cs="Times New Roman"/>
          <w:sz w:val="22"/>
          <w:szCs w:val="22"/>
          <w:lang w:val="en-GB"/>
        </w:rPr>
        <w:t>two</w:t>
      </w:r>
      <w:r w:rsidRPr="00445D4E">
        <w:rPr>
          <w:rFonts w:ascii="Times New Roman" w:hAnsi="Times New Roman" w:cs="Times New Roman"/>
          <w:sz w:val="22"/>
          <w:szCs w:val="22"/>
          <w:lang w:val="en-GB"/>
        </w:rPr>
        <w:t xml:space="preserve"> months recruiting volunteers and doing outreach programmes to build confidence. </w:t>
      </w:r>
      <w:r w:rsidR="00445D4E">
        <w:rPr>
          <w:rFonts w:ascii="Times New Roman" w:hAnsi="Times New Roman" w:cs="Times New Roman"/>
          <w:sz w:val="22"/>
          <w:szCs w:val="22"/>
          <w:lang w:val="en-GB"/>
        </w:rPr>
        <w:t>According to JCAN, m</w:t>
      </w:r>
      <w:r w:rsidRPr="00445D4E">
        <w:rPr>
          <w:rFonts w:ascii="Times New Roman" w:hAnsi="Times New Roman" w:cs="Times New Roman"/>
          <w:sz w:val="22"/>
          <w:szCs w:val="22"/>
          <w:lang w:val="en-GB"/>
        </w:rPr>
        <w:t>any CSOs had opened and closed in Su</w:t>
      </w:r>
      <w:r w:rsidR="00CB1D2C" w:rsidRPr="00445D4E">
        <w:rPr>
          <w:rFonts w:ascii="Times New Roman" w:hAnsi="Times New Roman" w:cs="Times New Roman"/>
          <w:sz w:val="22"/>
          <w:szCs w:val="22"/>
          <w:lang w:val="en-GB"/>
        </w:rPr>
        <w:t>b</w:t>
      </w:r>
      <w:r w:rsidR="00445D4E">
        <w:rPr>
          <w:rFonts w:ascii="Times New Roman" w:hAnsi="Times New Roman" w:cs="Times New Roman"/>
          <w:sz w:val="22"/>
          <w:szCs w:val="22"/>
          <w:lang w:val="en-GB"/>
        </w:rPr>
        <w:t>aher but had not</w:t>
      </w:r>
      <w:r w:rsidRPr="00445D4E">
        <w:rPr>
          <w:rFonts w:ascii="Times New Roman" w:hAnsi="Times New Roman" w:cs="Times New Roman"/>
          <w:sz w:val="22"/>
          <w:szCs w:val="22"/>
          <w:lang w:val="en-GB"/>
        </w:rPr>
        <w:t xml:space="preserve"> helped the community in any way, so building trust was not easy. </w:t>
      </w:r>
      <w:r w:rsidR="00AD228A" w:rsidRPr="00445D4E">
        <w:rPr>
          <w:rFonts w:ascii="Times New Roman" w:hAnsi="Times New Roman" w:cs="Times New Roman"/>
          <w:sz w:val="22"/>
          <w:szCs w:val="22"/>
          <w:lang w:val="en-GB"/>
        </w:rPr>
        <w:t xml:space="preserve">JCAN </w:t>
      </w:r>
      <w:r w:rsidRPr="00445D4E">
        <w:rPr>
          <w:rFonts w:ascii="Times New Roman" w:hAnsi="Times New Roman" w:cs="Times New Roman"/>
          <w:sz w:val="22"/>
          <w:szCs w:val="22"/>
          <w:lang w:val="en-GB"/>
        </w:rPr>
        <w:t>ran empowerment program</w:t>
      </w:r>
      <w:r w:rsidR="00445D4E">
        <w:rPr>
          <w:rFonts w:ascii="Times New Roman" w:hAnsi="Times New Roman" w:cs="Times New Roman"/>
          <w:sz w:val="22"/>
          <w:szCs w:val="22"/>
          <w:lang w:val="en-GB"/>
        </w:rPr>
        <w:t>me</w:t>
      </w:r>
      <w:r w:rsidRPr="00445D4E">
        <w:rPr>
          <w:rFonts w:ascii="Times New Roman" w:hAnsi="Times New Roman" w:cs="Times New Roman"/>
          <w:sz w:val="22"/>
          <w:szCs w:val="22"/>
          <w:lang w:val="en-GB"/>
        </w:rPr>
        <w:t xml:space="preserve">s for women but </w:t>
      </w:r>
      <w:r w:rsidR="00445D4E">
        <w:rPr>
          <w:rFonts w:ascii="Times New Roman" w:hAnsi="Times New Roman" w:cs="Times New Roman"/>
          <w:sz w:val="22"/>
          <w:szCs w:val="22"/>
          <w:lang w:val="en-GB"/>
        </w:rPr>
        <w:t xml:space="preserve">it </w:t>
      </w:r>
      <w:r w:rsidR="00AD228A" w:rsidRPr="00445D4E">
        <w:rPr>
          <w:rFonts w:ascii="Times New Roman" w:hAnsi="Times New Roman" w:cs="Times New Roman"/>
          <w:sz w:val="22"/>
          <w:szCs w:val="22"/>
          <w:lang w:val="en-GB"/>
        </w:rPr>
        <w:t>was difficult</w:t>
      </w:r>
      <w:r w:rsidRPr="00445D4E">
        <w:rPr>
          <w:rFonts w:ascii="Times New Roman" w:hAnsi="Times New Roman" w:cs="Times New Roman"/>
          <w:sz w:val="22"/>
          <w:szCs w:val="22"/>
          <w:lang w:val="en-GB"/>
        </w:rPr>
        <w:t xml:space="preserve"> to get them to come as their husbands want</w:t>
      </w:r>
      <w:r w:rsidR="00445D4E">
        <w:rPr>
          <w:rFonts w:ascii="Times New Roman" w:hAnsi="Times New Roman" w:cs="Times New Roman"/>
          <w:sz w:val="22"/>
          <w:szCs w:val="22"/>
          <w:lang w:val="en-GB"/>
        </w:rPr>
        <w:t>ed</w:t>
      </w:r>
      <w:r w:rsidRPr="00445D4E">
        <w:rPr>
          <w:rFonts w:ascii="Times New Roman" w:hAnsi="Times New Roman" w:cs="Times New Roman"/>
          <w:sz w:val="22"/>
          <w:szCs w:val="22"/>
          <w:lang w:val="en-GB"/>
        </w:rPr>
        <w:t xml:space="preserve"> them to stay at home. Gradually more and more people started to come</w:t>
      </w:r>
      <w:r w:rsidR="00445D4E">
        <w:rPr>
          <w:rFonts w:ascii="Times New Roman" w:hAnsi="Times New Roman" w:cs="Times New Roman"/>
          <w:sz w:val="22"/>
          <w:szCs w:val="22"/>
          <w:lang w:val="en-GB"/>
        </w:rPr>
        <w:t xml:space="preserve"> to its </w:t>
      </w:r>
      <w:r w:rsidR="00AD228A" w:rsidRPr="00445D4E">
        <w:rPr>
          <w:rFonts w:ascii="Times New Roman" w:hAnsi="Times New Roman" w:cs="Times New Roman"/>
          <w:sz w:val="22"/>
          <w:szCs w:val="22"/>
          <w:lang w:val="en-GB"/>
        </w:rPr>
        <w:t>centre and now JCAN reports that it is</w:t>
      </w:r>
      <w:r w:rsidRPr="00445D4E">
        <w:rPr>
          <w:rFonts w:ascii="Times New Roman" w:hAnsi="Times New Roman" w:cs="Times New Roman"/>
          <w:sz w:val="22"/>
          <w:szCs w:val="22"/>
          <w:lang w:val="en-GB"/>
        </w:rPr>
        <w:t xml:space="preserve"> very busy,</w:t>
      </w:r>
      <w:r w:rsidR="00445D4E">
        <w:rPr>
          <w:rFonts w:ascii="Times New Roman" w:hAnsi="Times New Roman" w:cs="Times New Roman"/>
          <w:sz w:val="22"/>
          <w:szCs w:val="22"/>
          <w:lang w:val="en-GB"/>
        </w:rPr>
        <w:t xml:space="preserve"> including with women clients. </w:t>
      </w:r>
      <w:r w:rsidR="00AD228A" w:rsidRPr="00445D4E">
        <w:rPr>
          <w:rFonts w:ascii="Times New Roman" w:hAnsi="Times New Roman" w:cs="Times New Roman"/>
          <w:sz w:val="22"/>
          <w:szCs w:val="22"/>
          <w:lang w:val="en-GB"/>
        </w:rPr>
        <w:t>Additionally, JCAN worked</w:t>
      </w:r>
      <w:r w:rsidRPr="00445D4E">
        <w:rPr>
          <w:rFonts w:ascii="Times New Roman" w:hAnsi="Times New Roman" w:cs="Times New Roman"/>
          <w:sz w:val="22"/>
          <w:szCs w:val="22"/>
          <w:lang w:val="en-GB"/>
        </w:rPr>
        <w:t xml:space="preserve"> closely with </w:t>
      </w:r>
      <w:r w:rsidR="00445D4E">
        <w:rPr>
          <w:rFonts w:ascii="Times New Roman" w:hAnsi="Times New Roman" w:cs="Times New Roman"/>
          <w:sz w:val="22"/>
          <w:szCs w:val="22"/>
          <w:lang w:val="en-GB"/>
        </w:rPr>
        <w:t xml:space="preserve">the </w:t>
      </w:r>
      <w:r w:rsidRPr="00445D4E">
        <w:rPr>
          <w:rFonts w:ascii="Times New Roman" w:hAnsi="Times New Roman" w:cs="Times New Roman"/>
          <w:sz w:val="22"/>
          <w:szCs w:val="22"/>
          <w:lang w:val="en-GB"/>
        </w:rPr>
        <w:t>NRC on house demolition issues</w:t>
      </w:r>
      <w:r w:rsidR="00445D4E">
        <w:rPr>
          <w:rFonts w:ascii="Times New Roman" w:hAnsi="Times New Roman" w:cs="Times New Roman"/>
          <w:sz w:val="22"/>
          <w:szCs w:val="22"/>
          <w:lang w:val="en-GB"/>
        </w:rPr>
        <w:t>.</w:t>
      </w:r>
    </w:p>
    <w:p w:rsidR="00490531" w:rsidRDefault="00490531" w:rsidP="00FB6759">
      <w:pPr>
        <w:spacing w:after="0" w:line="240" w:lineRule="auto"/>
        <w:jc w:val="both"/>
        <w:rPr>
          <w:rFonts w:ascii="Times New Roman" w:hAnsi="Times New Roman" w:cs="Times New Roman"/>
          <w:sz w:val="22"/>
          <w:szCs w:val="22"/>
          <w:lang w:val="en-GB"/>
        </w:rPr>
      </w:pPr>
    </w:p>
    <w:p w:rsidR="00E015CA" w:rsidRDefault="00300A36" w:rsidP="00FB6759">
      <w:pPr>
        <w:spacing w:after="0" w:line="240" w:lineRule="auto"/>
        <w:jc w:val="both"/>
        <w:rPr>
          <w:rFonts w:ascii="Times New Roman" w:hAnsi="Times New Roman" w:cs="Times New Roman"/>
          <w:sz w:val="22"/>
          <w:szCs w:val="22"/>
          <w:lang w:val="en-GB"/>
        </w:rPr>
      </w:pPr>
      <w:r w:rsidRPr="00445D4E">
        <w:rPr>
          <w:rFonts w:ascii="Times New Roman" w:hAnsi="Times New Roman" w:cs="Times New Roman"/>
          <w:sz w:val="22"/>
          <w:szCs w:val="22"/>
          <w:lang w:val="en-GB"/>
        </w:rPr>
        <w:t>UNDP’s funding of anot</w:t>
      </w:r>
      <w:r w:rsidR="00445D4E">
        <w:rPr>
          <w:rFonts w:ascii="Times New Roman" w:hAnsi="Times New Roman" w:cs="Times New Roman"/>
          <w:sz w:val="22"/>
          <w:szCs w:val="22"/>
          <w:lang w:val="en-GB"/>
        </w:rPr>
        <w:t xml:space="preserve">her leading Palestinian-led CSO </w:t>
      </w:r>
      <w:r w:rsidR="00FD3C19">
        <w:rPr>
          <w:rFonts w:ascii="Times New Roman" w:hAnsi="Times New Roman" w:cs="Times New Roman"/>
          <w:sz w:val="22"/>
          <w:szCs w:val="22"/>
          <w:lang w:val="en-GB"/>
        </w:rPr>
        <w:t>–</w:t>
      </w:r>
      <w:r w:rsidR="00445D4E">
        <w:rPr>
          <w:rFonts w:ascii="Times New Roman" w:hAnsi="Times New Roman" w:cs="Times New Roman"/>
          <w:sz w:val="22"/>
          <w:szCs w:val="22"/>
          <w:lang w:val="en-GB"/>
        </w:rPr>
        <w:t xml:space="preserve"> </w:t>
      </w:r>
      <w:r w:rsidRPr="00445D4E">
        <w:rPr>
          <w:rFonts w:ascii="Times New Roman" w:hAnsi="Times New Roman" w:cs="Times New Roman"/>
          <w:sz w:val="22"/>
          <w:szCs w:val="22"/>
          <w:lang w:val="en-GB"/>
        </w:rPr>
        <w:t>the</w:t>
      </w:r>
      <w:r w:rsidR="00FD3C19">
        <w:rPr>
          <w:rFonts w:ascii="Times New Roman" w:hAnsi="Times New Roman" w:cs="Times New Roman"/>
          <w:sz w:val="22"/>
          <w:szCs w:val="22"/>
          <w:lang w:val="en-GB"/>
        </w:rPr>
        <w:t xml:space="preserve"> </w:t>
      </w:r>
      <w:r w:rsidRPr="00445D4E">
        <w:rPr>
          <w:rFonts w:ascii="Times New Roman" w:hAnsi="Times New Roman" w:cs="Times New Roman"/>
          <w:sz w:val="22"/>
          <w:szCs w:val="22"/>
          <w:lang w:val="en-GB"/>
        </w:rPr>
        <w:t>Jerusalem Legal Aid</w:t>
      </w:r>
      <w:r w:rsidR="00FE5437" w:rsidRPr="00445D4E">
        <w:rPr>
          <w:rFonts w:ascii="Times New Roman" w:hAnsi="Times New Roman" w:cs="Times New Roman"/>
          <w:sz w:val="22"/>
          <w:szCs w:val="22"/>
          <w:lang w:val="en-GB"/>
        </w:rPr>
        <w:t xml:space="preserve"> and Human Rights Centre </w:t>
      </w:r>
      <w:r w:rsidRPr="00445D4E">
        <w:rPr>
          <w:rFonts w:ascii="Times New Roman" w:hAnsi="Times New Roman" w:cs="Times New Roman"/>
          <w:sz w:val="22"/>
          <w:szCs w:val="22"/>
          <w:lang w:val="en-GB"/>
        </w:rPr>
        <w:t>(JLAC)</w:t>
      </w:r>
      <w:r w:rsidR="00445D4E">
        <w:rPr>
          <w:rFonts w:ascii="Times New Roman" w:hAnsi="Times New Roman" w:cs="Times New Roman"/>
          <w:sz w:val="22"/>
          <w:szCs w:val="22"/>
          <w:lang w:val="en-GB"/>
        </w:rPr>
        <w:t xml:space="preserve"> -</w:t>
      </w:r>
      <w:r w:rsidRPr="00445D4E">
        <w:rPr>
          <w:rFonts w:ascii="Times New Roman" w:hAnsi="Times New Roman" w:cs="Times New Roman"/>
          <w:sz w:val="22"/>
          <w:szCs w:val="22"/>
          <w:lang w:val="en-GB"/>
        </w:rPr>
        <w:t xml:space="preserve"> was a true example of capacity building of local society. </w:t>
      </w:r>
      <w:r w:rsidR="00B022B1" w:rsidRPr="00445D4E">
        <w:rPr>
          <w:rFonts w:ascii="Times New Roman" w:hAnsi="Times New Roman" w:cs="Times New Roman"/>
          <w:sz w:val="22"/>
          <w:szCs w:val="22"/>
          <w:lang w:val="en-GB"/>
        </w:rPr>
        <w:t>JLAC already had a well-established track record of providing legal aid ac</w:t>
      </w:r>
      <w:r w:rsidR="00445D4E">
        <w:rPr>
          <w:rFonts w:ascii="Times New Roman" w:hAnsi="Times New Roman" w:cs="Times New Roman"/>
          <w:sz w:val="22"/>
          <w:szCs w:val="22"/>
          <w:lang w:val="en-GB"/>
        </w:rPr>
        <w:t xml:space="preserve">ross </w:t>
      </w:r>
      <w:r w:rsidR="00B022B1" w:rsidRPr="00445D4E">
        <w:rPr>
          <w:rFonts w:ascii="Times New Roman" w:hAnsi="Times New Roman" w:cs="Times New Roman"/>
          <w:sz w:val="22"/>
          <w:szCs w:val="22"/>
          <w:lang w:val="en-GB"/>
        </w:rPr>
        <w:t>the West Bank</w:t>
      </w:r>
      <w:r w:rsidR="00445D4E">
        <w:rPr>
          <w:rFonts w:ascii="Times New Roman" w:hAnsi="Times New Roman" w:cs="Times New Roman"/>
          <w:sz w:val="22"/>
          <w:szCs w:val="22"/>
          <w:lang w:val="en-GB"/>
        </w:rPr>
        <w:t xml:space="preserve">, including Area C and East Jerusalem. </w:t>
      </w:r>
      <w:r w:rsidR="00B022B1" w:rsidRPr="00445D4E">
        <w:rPr>
          <w:rFonts w:ascii="Times New Roman" w:hAnsi="Times New Roman" w:cs="Times New Roman"/>
          <w:sz w:val="22"/>
          <w:szCs w:val="22"/>
          <w:lang w:val="en-GB"/>
        </w:rPr>
        <w:t>For example, in 2011 it provided legal assistance to an estimated</w:t>
      </w:r>
      <w:r w:rsidR="0056690E" w:rsidRPr="00445D4E">
        <w:rPr>
          <w:rFonts w:ascii="Times New Roman" w:hAnsi="Times New Roman" w:cs="Times New Roman"/>
          <w:sz w:val="22"/>
          <w:szCs w:val="22"/>
          <w:lang w:val="en-GB"/>
        </w:rPr>
        <w:t xml:space="preserve"> 2</w:t>
      </w:r>
      <w:r w:rsidR="00CB1D2C" w:rsidRPr="00445D4E">
        <w:rPr>
          <w:rFonts w:ascii="Times New Roman" w:hAnsi="Times New Roman" w:cs="Times New Roman"/>
          <w:sz w:val="22"/>
          <w:szCs w:val="22"/>
          <w:lang w:val="en-GB"/>
        </w:rPr>
        <w:t>,</w:t>
      </w:r>
      <w:r w:rsidR="0056690E" w:rsidRPr="00445D4E">
        <w:rPr>
          <w:rFonts w:ascii="Times New Roman" w:hAnsi="Times New Roman" w:cs="Times New Roman"/>
          <w:sz w:val="22"/>
          <w:szCs w:val="22"/>
          <w:lang w:val="en-GB"/>
        </w:rPr>
        <w:t>000 active cases in all types of courts related to housing a</w:t>
      </w:r>
      <w:r w:rsidR="00F97FF2">
        <w:rPr>
          <w:rFonts w:ascii="Times New Roman" w:hAnsi="Times New Roman" w:cs="Times New Roman"/>
          <w:sz w:val="22"/>
          <w:szCs w:val="22"/>
          <w:lang w:val="en-GB"/>
        </w:rPr>
        <w:t xml:space="preserve">s well as </w:t>
      </w:r>
      <w:r w:rsidR="00445D4E">
        <w:rPr>
          <w:rFonts w:ascii="Times New Roman" w:hAnsi="Times New Roman" w:cs="Times New Roman"/>
          <w:sz w:val="22"/>
          <w:szCs w:val="22"/>
          <w:lang w:val="en-GB"/>
        </w:rPr>
        <w:t xml:space="preserve">economic </w:t>
      </w:r>
      <w:r w:rsidR="00F97FF2">
        <w:rPr>
          <w:rFonts w:ascii="Times New Roman" w:hAnsi="Times New Roman" w:cs="Times New Roman"/>
          <w:sz w:val="22"/>
          <w:szCs w:val="22"/>
          <w:lang w:val="en-GB"/>
        </w:rPr>
        <w:t xml:space="preserve">and social </w:t>
      </w:r>
      <w:r w:rsidR="00445D4E">
        <w:rPr>
          <w:rFonts w:ascii="Times New Roman" w:hAnsi="Times New Roman" w:cs="Times New Roman"/>
          <w:sz w:val="22"/>
          <w:szCs w:val="22"/>
          <w:lang w:val="en-GB"/>
        </w:rPr>
        <w:t xml:space="preserve">rights. </w:t>
      </w:r>
      <w:r w:rsidR="0056690E" w:rsidRPr="00445D4E">
        <w:rPr>
          <w:rFonts w:ascii="Times New Roman" w:hAnsi="Times New Roman" w:cs="Times New Roman"/>
          <w:sz w:val="22"/>
          <w:szCs w:val="22"/>
          <w:lang w:val="en-GB"/>
        </w:rPr>
        <w:t>In the P</w:t>
      </w:r>
      <w:r w:rsidR="00F97FF2">
        <w:rPr>
          <w:rFonts w:ascii="Times New Roman" w:hAnsi="Times New Roman" w:cs="Times New Roman"/>
          <w:sz w:val="22"/>
          <w:szCs w:val="22"/>
          <w:lang w:val="en-GB"/>
        </w:rPr>
        <w:t>N</w:t>
      </w:r>
      <w:r w:rsidR="0056690E" w:rsidRPr="00445D4E">
        <w:rPr>
          <w:rFonts w:ascii="Times New Roman" w:hAnsi="Times New Roman" w:cs="Times New Roman"/>
          <w:sz w:val="22"/>
          <w:szCs w:val="22"/>
          <w:lang w:val="en-GB"/>
        </w:rPr>
        <w:t xml:space="preserve">A controlled areas, JLAC’s portfolio included political detention, arbitrary dismissal from the public sector and challenging political retaliation and closings of CSOs. </w:t>
      </w:r>
      <w:r w:rsidRPr="00445D4E">
        <w:rPr>
          <w:rFonts w:ascii="Times New Roman" w:hAnsi="Times New Roman" w:cs="Times New Roman"/>
          <w:sz w:val="22"/>
          <w:szCs w:val="22"/>
          <w:lang w:val="en-GB"/>
        </w:rPr>
        <w:t>On the basis of its preliminary research, UNDP identified s</w:t>
      </w:r>
      <w:r w:rsidR="00364A21" w:rsidRPr="00445D4E">
        <w:rPr>
          <w:rFonts w:ascii="Times New Roman" w:hAnsi="Times New Roman" w:cs="Times New Roman"/>
          <w:sz w:val="22"/>
          <w:szCs w:val="22"/>
          <w:lang w:val="en-GB"/>
        </w:rPr>
        <w:t>ettler violence as an area that had received little attention to date from the Palestinian CSO community</w:t>
      </w:r>
      <w:r w:rsidR="0056690E" w:rsidRPr="00445D4E">
        <w:rPr>
          <w:rFonts w:ascii="Times New Roman" w:hAnsi="Times New Roman" w:cs="Times New Roman"/>
          <w:sz w:val="22"/>
          <w:szCs w:val="22"/>
          <w:lang w:val="en-GB"/>
        </w:rPr>
        <w:t xml:space="preserve"> and</w:t>
      </w:r>
      <w:r w:rsidR="00364A21" w:rsidRPr="00445D4E">
        <w:rPr>
          <w:rFonts w:ascii="Times New Roman" w:hAnsi="Times New Roman" w:cs="Times New Roman"/>
          <w:sz w:val="22"/>
          <w:szCs w:val="22"/>
          <w:lang w:val="en-GB"/>
        </w:rPr>
        <w:t xml:space="preserve"> </w:t>
      </w:r>
      <w:r w:rsidR="00364A21" w:rsidRPr="00445D4E">
        <w:rPr>
          <w:rFonts w:ascii="Times New Roman" w:hAnsi="Times New Roman" w:cs="Times New Roman"/>
          <w:sz w:val="22"/>
          <w:szCs w:val="22"/>
          <w:lang w:val="en-GB"/>
        </w:rPr>
        <w:lastRenderedPageBreak/>
        <w:t xml:space="preserve">encouraged JLAC to </w:t>
      </w:r>
      <w:r w:rsidR="0056690E" w:rsidRPr="00445D4E">
        <w:rPr>
          <w:rFonts w:ascii="Times New Roman" w:hAnsi="Times New Roman" w:cs="Times New Roman"/>
          <w:sz w:val="22"/>
          <w:szCs w:val="22"/>
          <w:lang w:val="en-GB"/>
        </w:rPr>
        <w:t xml:space="preserve">use the grant primarily </w:t>
      </w:r>
      <w:r w:rsidR="00364A21" w:rsidRPr="00445D4E">
        <w:rPr>
          <w:rFonts w:ascii="Times New Roman" w:hAnsi="Times New Roman" w:cs="Times New Roman"/>
          <w:sz w:val="22"/>
          <w:szCs w:val="22"/>
          <w:lang w:val="en-GB"/>
        </w:rPr>
        <w:t xml:space="preserve">on issues related to settler violence. </w:t>
      </w:r>
      <w:r w:rsidR="0056690E" w:rsidRPr="00445D4E">
        <w:rPr>
          <w:rFonts w:ascii="Times New Roman" w:hAnsi="Times New Roman" w:cs="Times New Roman"/>
          <w:sz w:val="22"/>
          <w:szCs w:val="22"/>
          <w:lang w:val="en-GB"/>
        </w:rPr>
        <w:t>This was largely a new area of work for</w:t>
      </w:r>
      <w:r w:rsidR="00FD3C19">
        <w:rPr>
          <w:rFonts w:ascii="Times New Roman" w:hAnsi="Times New Roman" w:cs="Times New Roman"/>
          <w:sz w:val="22"/>
          <w:szCs w:val="22"/>
          <w:lang w:val="en-GB"/>
        </w:rPr>
        <w:t xml:space="preserve"> </w:t>
      </w:r>
      <w:r w:rsidR="00FF6E0A" w:rsidRPr="00445D4E">
        <w:rPr>
          <w:rFonts w:ascii="Times New Roman" w:hAnsi="Times New Roman" w:cs="Times New Roman"/>
          <w:sz w:val="22"/>
          <w:szCs w:val="22"/>
          <w:lang w:val="en-GB"/>
        </w:rPr>
        <w:t>JLAC</w:t>
      </w:r>
      <w:r w:rsidR="0056690E" w:rsidRPr="00445D4E">
        <w:rPr>
          <w:rFonts w:ascii="Times New Roman" w:hAnsi="Times New Roman" w:cs="Times New Roman"/>
          <w:sz w:val="22"/>
          <w:szCs w:val="22"/>
          <w:lang w:val="en-GB"/>
        </w:rPr>
        <w:t>.</w:t>
      </w:r>
    </w:p>
    <w:p w:rsidR="00F97FF2" w:rsidRPr="00445D4E" w:rsidRDefault="00F97FF2" w:rsidP="00FB6759">
      <w:pPr>
        <w:spacing w:after="0" w:line="240" w:lineRule="auto"/>
        <w:jc w:val="both"/>
        <w:rPr>
          <w:rFonts w:ascii="Times New Roman" w:hAnsi="Times New Roman" w:cs="Times New Roman"/>
          <w:sz w:val="22"/>
          <w:szCs w:val="22"/>
          <w:lang w:val="en-GB"/>
        </w:rPr>
      </w:pPr>
    </w:p>
    <w:p w:rsidR="00F97FF2" w:rsidRDefault="00FF6E0A" w:rsidP="00FB6759">
      <w:pPr>
        <w:spacing w:after="0" w:line="240" w:lineRule="auto"/>
        <w:jc w:val="both"/>
        <w:rPr>
          <w:rFonts w:ascii="Times New Roman" w:hAnsi="Times New Roman" w:cs="Times New Roman"/>
          <w:sz w:val="22"/>
          <w:szCs w:val="22"/>
          <w:lang w:val="en-GB"/>
        </w:rPr>
      </w:pPr>
      <w:r w:rsidRPr="00445D4E">
        <w:rPr>
          <w:rFonts w:ascii="Times New Roman" w:hAnsi="Times New Roman" w:cs="Times New Roman"/>
          <w:sz w:val="22"/>
          <w:szCs w:val="22"/>
          <w:lang w:val="en-GB"/>
        </w:rPr>
        <w:t>JLAC</w:t>
      </w:r>
      <w:r w:rsidR="00F97FF2">
        <w:rPr>
          <w:rFonts w:ascii="Times New Roman" w:hAnsi="Times New Roman" w:cs="Times New Roman"/>
          <w:sz w:val="22"/>
          <w:szCs w:val="22"/>
          <w:lang w:val="en-GB"/>
        </w:rPr>
        <w:t xml:space="preserve"> reported to the e</w:t>
      </w:r>
      <w:r w:rsidR="0056690E" w:rsidRPr="00445D4E">
        <w:rPr>
          <w:rFonts w:ascii="Times New Roman" w:hAnsi="Times New Roman" w:cs="Times New Roman"/>
          <w:sz w:val="22"/>
          <w:szCs w:val="22"/>
          <w:lang w:val="en-GB"/>
        </w:rPr>
        <w:t xml:space="preserve">valuation that Palestinians were generally deterred from filing settler violence cases due to a lack of confidence in the Israeli </w:t>
      </w:r>
      <w:r w:rsidR="00CB1D2C" w:rsidRPr="00445D4E">
        <w:rPr>
          <w:rFonts w:ascii="Times New Roman" w:hAnsi="Times New Roman" w:cs="Times New Roman"/>
          <w:sz w:val="22"/>
          <w:szCs w:val="22"/>
          <w:lang w:val="en-GB"/>
        </w:rPr>
        <w:t>legal</w:t>
      </w:r>
      <w:r w:rsidR="0056690E" w:rsidRPr="00445D4E">
        <w:rPr>
          <w:rFonts w:ascii="Times New Roman" w:hAnsi="Times New Roman" w:cs="Times New Roman"/>
          <w:sz w:val="22"/>
          <w:szCs w:val="22"/>
          <w:lang w:val="en-GB"/>
        </w:rPr>
        <w:t xml:space="preserve"> system. </w:t>
      </w:r>
      <w:r w:rsidR="00CF12ED" w:rsidRPr="00445D4E">
        <w:rPr>
          <w:rFonts w:ascii="Times New Roman" w:hAnsi="Times New Roman" w:cs="Times New Roman"/>
          <w:sz w:val="22"/>
          <w:szCs w:val="22"/>
          <w:lang w:val="en-GB"/>
        </w:rPr>
        <w:t>In addition, the Israeli police station</w:t>
      </w:r>
      <w:r w:rsidR="00F66777" w:rsidRPr="00445D4E">
        <w:rPr>
          <w:rFonts w:ascii="Times New Roman" w:hAnsi="Times New Roman" w:cs="Times New Roman"/>
          <w:sz w:val="22"/>
          <w:szCs w:val="22"/>
          <w:lang w:val="en-GB"/>
        </w:rPr>
        <w:t>s</w:t>
      </w:r>
      <w:r w:rsidR="00CF12ED" w:rsidRPr="00445D4E">
        <w:rPr>
          <w:rFonts w:ascii="Times New Roman" w:hAnsi="Times New Roman" w:cs="Times New Roman"/>
          <w:sz w:val="22"/>
          <w:szCs w:val="22"/>
          <w:lang w:val="en-GB"/>
        </w:rPr>
        <w:t xml:space="preserve"> where such complaints must be filed are</w:t>
      </w:r>
      <w:r w:rsidR="00F66777" w:rsidRPr="00445D4E">
        <w:rPr>
          <w:rFonts w:ascii="Times New Roman" w:hAnsi="Times New Roman" w:cs="Times New Roman"/>
          <w:sz w:val="22"/>
          <w:szCs w:val="22"/>
          <w:lang w:val="en-GB"/>
        </w:rPr>
        <w:t xml:space="preserve"> often</w:t>
      </w:r>
      <w:r w:rsidR="00CF12ED" w:rsidRPr="00445D4E">
        <w:rPr>
          <w:rFonts w:ascii="Times New Roman" w:hAnsi="Times New Roman" w:cs="Times New Roman"/>
          <w:sz w:val="22"/>
          <w:szCs w:val="22"/>
          <w:lang w:val="en-GB"/>
        </w:rPr>
        <w:t xml:space="preserve"> located within the </w:t>
      </w:r>
      <w:r w:rsidR="00F66777" w:rsidRPr="00445D4E">
        <w:rPr>
          <w:rFonts w:ascii="Times New Roman" w:hAnsi="Times New Roman" w:cs="Times New Roman"/>
          <w:sz w:val="22"/>
          <w:szCs w:val="22"/>
          <w:lang w:val="en-GB"/>
        </w:rPr>
        <w:t xml:space="preserve">same </w:t>
      </w:r>
      <w:r w:rsidR="00CF12ED" w:rsidRPr="00445D4E">
        <w:rPr>
          <w:rFonts w:ascii="Times New Roman" w:hAnsi="Times New Roman" w:cs="Times New Roman"/>
          <w:sz w:val="22"/>
          <w:szCs w:val="22"/>
          <w:lang w:val="en-GB"/>
        </w:rPr>
        <w:t>settleme</w:t>
      </w:r>
      <w:r w:rsidR="00F66777" w:rsidRPr="00445D4E">
        <w:rPr>
          <w:rFonts w:ascii="Times New Roman" w:hAnsi="Times New Roman" w:cs="Times New Roman"/>
          <w:sz w:val="22"/>
          <w:szCs w:val="22"/>
          <w:lang w:val="en-GB"/>
        </w:rPr>
        <w:t xml:space="preserve">nts where the attackers reside. It is also very difficult for Palestinians to conduct follow-up investigations of settler violence to due lack of access and an inability to collect evidence, interview witnesses, etc. </w:t>
      </w:r>
      <w:r w:rsidRPr="00445D4E">
        <w:rPr>
          <w:rFonts w:ascii="Times New Roman" w:hAnsi="Times New Roman" w:cs="Times New Roman"/>
          <w:sz w:val="22"/>
          <w:szCs w:val="22"/>
          <w:lang w:val="en-GB"/>
        </w:rPr>
        <w:t>JLAC</w:t>
      </w:r>
      <w:r w:rsidR="00F66777" w:rsidRPr="00445D4E">
        <w:rPr>
          <w:rFonts w:ascii="Times New Roman" w:hAnsi="Times New Roman" w:cs="Times New Roman"/>
          <w:sz w:val="22"/>
          <w:szCs w:val="22"/>
          <w:lang w:val="en-GB"/>
        </w:rPr>
        <w:t xml:space="preserve"> estimates that 90% of settler violence cases are closed due to lack of evidence.</w:t>
      </w:r>
      <w:r w:rsidR="00FD3C19">
        <w:rPr>
          <w:rFonts w:ascii="Times New Roman" w:hAnsi="Times New Roman" w:cs="Times New Roman"/>
          <w:sz w:val="22"/>
          <w:szCs w:val="22"/>
          <w:lang w:val="en-GB"/>
        </w:rPr>
        <w:t xml:space="preserve"> </w:t>
      </w:r>
      <w:r w:rsidR="00F66777" w:rsidRPr="00F97FF2">
        <w:rPr>
          <w:rFonts w:ascii="Times New Roman" w:hAnsi="Times New Roman" w:cs="Times New Roman"/>
          <w:sz w:val="22"/>
          <w:szCs w:val="22"/>
          <w:lang w:val="en-GB"/>
        </w:rPr>
        <w:t xml:space="preserve">As a direct result of UNDP funding and technical support, </w:t>
      </w:r>
      <w:r w:rsidRPr="00F97FF2">
        <w:rPr>
          <w:rFonts w:ascii="Times New Roman" w:hAnsi="Times New Roman" w:cs="Times New Roman"/>
          <w:sz w:val="22"/>
          <w:szCs w:val="22"/>
          <w:lang w:val="en-GB"/>
        </w:rPr>
        <w:t>JLAC</w:t>
      </w:r>
      <w:r w:rsidR="00F66777" w:rsidRPr="00F97FF2">
        <w:rPr>
          <w:rFonts w:ascii="Times New Roman" w:hAnsi="Times New Roman" w:cs="Times New Roman"/>
          <w:sz w:val="22"/>
          <w:szCs w:val="22"/>
          <w:lang w:val="en-GB"/>
        </w:rPr>
        <w:t xml:space="preserve"> has been able to expand t</w:t>
      </w:r>
      <w:r w:rsidR="00FE5437" w:rsidRPr="00F97FF2">
        <w:rPr>
          <w:rFonts w:ascii="Times New Roman" w:hAnsi="Times New Roman" w:cs="Times New Roman"/>
          <w:sz w:val="22"/>
          <w:szCs w:val="22"/>
          <w:lang w:val="en-GB"/>
        </w:rPr>
        <w:t>h</w:t>
      </w:r>
      <w:r w:rsidR="00F66777" w:rsidRPr="00F97FF2">
        <w:rPr>
          <w:rFonts w:ascii="Times New Roman" w:hAnsi="Times New Roman" w:cs="Times New Roman"/>
          <w:sz w:val="22"/>
          <w:szCs w:val="22"/>
          <w:lang w:val="en-GB"/>
        </w:rPr>
        <w:t xml:space="preserve">is outreach and establish a new liaison office in </w:t>
      </w:r>
      <w:r w:rsidR="00CB1D2C" w:rsidRPr="00F97FF2">
        <w:rPr>
          <w:rFonts w:ascii="Times New Roman" w:hAnsi="Times New Roman" w:cs="Times New Roman"/>
          <w:sz w:val="22"/>
          <w:szCs w:val="22"/>
          <w:lang w:val="en-GB"/>
        </w:rPr>
        <w:t xml:space="preserve">the </w:t>
      </w:r>
      <w:r w:rsidR="00F66777" w:rsidRPr="00F97FF2">
        <w:rPr>
          <w:rFonts w:ascii="Times New Roman" w:hAnsi="Times New Roman" w:cs="Times New Roman"/>
          <w:sz w:val="22"/>
          <w:szCs w:val="22"/>
          <w:lang w:val="en-GB"/>
        </w:rPr>
        <w:t>Nablus area. It held a series of pu</w:t>
      </w:r>
      <w:r w:rsidR="00F97FF2">
        <w:rPr>
          <w:rFonts w:ascii="Times New Roman" w:hAnsi="Times New Roman" w:cs="Times New Roman"/>
          <w:sz w:val="22"/>
          <w:szCs w:val="22"/>
          <w:lang w:val="en-GB"/>
        </w:rPr>
        <w:t>blic meetings in the villages around</w:t>
      </w:r>
      <w:r w:rsidR="00F66777" w:rsidRPr="00F97FF2">
        <w:rPr>
          <w:rFonts w:ascii="Times New Roman" w:hAnsi="Times New Roman" w:cs="Times New Roman"/>
          <w:sz w:val="22"/>
          <w:szCs w:val="22"/>
          <w:lang w:val="en-GB"/>
        </w:rPr>
        <w:t xml:space="preserve"> Nablus and Salfit and supported a campaign on local radio stations telling people they have the right and the duty to file compl</w:t>
      </w:r>
      <w:r w:rsidR="00F97FF2">
        <w:rPr>
          <w:rFonts w:ascii="Times New Roman" w:hAnsi="Times New Roman" w:cs="Times New Roman"/>
          <w:sz w:val="22"/>
          <w:szCs w:val="22"/>
          <w:lang w:val="en-GB"/>
        </w:rPr>
        <w:t>aints against settler violence.</w:t>
      </w:r>
    </w:p>
    <w:p w:rsidR="00F97FF2" w:rsidRDefault="00F97FF2" w:rsidP="00FB6759">
      <w:pPr>
        <w:spacing w:after="0" w:line="240" w:lineRule="auto"/>
        <w:jc w:val="both"/>
        <w:rPr>
          <w:rFonts w:ascii="Times New Roman" w:hAnsi="Times New Roman" w:cs="Times New Roman"/>
          <w:sz w:val="22"/>
          <w:szCs w:val="22"/>
          <w:lang w:val="en-GB"/>
        </w:rPr>
      </w:pPr>
    </w:p>
    <w:p w:rsidR="00F66777" w:rsidRPr="00F97FF2" w:rsidRDefault="00F66777" w:rsidP="00FB6759">
      <w:pPr>
        <w:spacing w:after="0" w:line="240" w:lineRule="auto"/>
        <w:jc w:val="both"/>
        <w:rPr>
          <w:rFonts w:ascii="Times New Roman" w:hAnsi="Times New Roman" w:cs="Times New Roman"/>
          <w:sz w:val="22"/>
          <w:szCs w:val="22"/>
          <w:lang w:val="en-GB"/>
        </w:rPr>
      </w:pPr>
      <w:r w:rsidRPr="00F97FF2">
        <w:rPr>
          <w:rFonts w:ascii="Times New Roman" w:hAnsi="Times New Roman" w:cs="Times New Roman"/>
          <w:sz w:val="22"/>
          <w:szCs w:val="22"/>
          <w:lang w:val="en-GB"/>
        </w:rPr>
        <w:t>As a result</w:t>
      </w:r>
      <w:r w:rsidR="00FF6E0A" w:rsidRPr="00F97FF2">
        <w:rPr>
          <w:rFonts w:ascii="Times New Roman" w:hAnsi="Times New Roman" w:cs="Times New Roman"/>
          <w:sz w:val="22"/>
          <w:szCs w:val="22"/>
          <w:lang w:val="en-GB"/>
        </w:rPr>
        <w:t>,</w:t>
      </w:r>
      <w:r w:rsidR="00FD3C19">
        <w:rPr>
          <w:rFonts w:ascii="Times New Roman" w:hAnsi="Times New Roman" w:cs="Times New Roman"/>
          <w:sz w:val="22"/>
          <w:szCs w:val="22"/>
          <w:lang w:val="en-GB"/>
        </w:rPr>
        <w:t xml:space="preserve"> </w:t>
      </w:r>
      <w:r w:rsidR="00FF6E0A" w:rsidRPr="00F97FF2">
        <w:rPr>
          <w:rFonts w:ascii="Times New Roman" w:hAnsi="Times New Roman" w:cs="Times New Roman"/>
          <w:sz w:val="22"/>
          <w:szCs w:val="22"/>
          <w:lang w:val="en-GB"/>
        </w:rPr>
        <w:t>JLAC</w:t>
      </w:r>
      <w:r w:rsidRPr="00F97FF2">
        <w:rPr>
          <w:rFonts w:ascii="Times New Roman" w:hAnsi="Times New Roman" w:cs="Times New Roman"/>
          <w:sz w:val="22"/>
          <w:szCs w:val="22"/>
          <w:lang w:val="en-GB"/>
        </w:rPr>
        <w:t xml:space="preserve"> received 70 documented cases of settler violence and after sifting through them had sufficient evidence to file 10 complaints.</w:t>
      </w:r>
      <w:r w:rsidR="00FD3C19">
        <w:rPr>
          <w:rFonts w:ascii="Times New Roman" w:hAnsi="Times New Roman" w:cs="Times New Roman"/>
          <w:sz w:val="22"/>
          <w:szCs w:val="22"/>
          <w:lang w:val="en-GB"/>
        </w:rPr>
        <w:t xml:space="preserve"> </w:t>
      </w:r>
      <w:r w:rsidR="00FF6E0A" w:rsidRPr="00F97FF2">
        <w:rPr>
          <w:rFonts w:ascii="Times New Roman" w:hAnsi="Times New Roman" w:cs="Times New Roman"/>
          <w:sz w:val="22"/>
          <w:szCs w:val="22"/>
          <w:lang w:val="en-GB"/>
        </w:rPr>
        <w:t>JLAC</w:t>
      </w:r>
      <w:r w:rsidRPr="00F97FF2">
        <w:rPr>
          <w:rFonts w:ascii="Times New Roman" w:hAnsi="Times New Roman" w:cs="Times New Roman"/>
          <w:sz w:val="22"/>
          <w:szCs w:val="22"/>
          <w:lang w:val="en-GB"/>
        </w:rPr>
        <w:t xml:space="preserve"> is in the process of documenting how the complaints are being handled including harassment and/or intimidation of those filing complaints and the lawyers who accompany them. This work is documenting the fact that Israeli authorities generally keep people waiting for very long periods, even overnight, to file complaints. Settlers come in and out of the police stations at will and ridicule or harass complaints or lawyers sitting in waiting rooms. One </w:t>
      </w:r>
      <w:r w:rsidR="00FF6E0A" w:rsidRPr="00F97FF2">
        <w:rPr>
          <w:rFonts w:ascii="Times New Roman" w:hAnsi="Times New Roman" w:cs="Times New Roman"/>
          <w:sz w:val="22"/>
          <w:szCs w:val="22"/>
          <w:lang w:val="en-GB"/>
        </w:rPr>
        <w:t>JLAC</w:t>
      </w:r>
      <w:r w:rsidRPr="00F97FF2">
        <w:rPr>
          <w:rFonts w:ascii="Times New Roman" w:hAnsi="Times New Roman" w:cs="Times New Roman"/>
          <w:sz w:val="22"/>
          <w:szCs w:val="22"/>
          <w:lang w:val="en-GB"/>
        </w:rPr>
        <w:t xml:space="preserve"> lawyer was made to wait for 3.5 hours with settlers coming in and out, laughing at him and humiliating him. </w:t>
      </w:r>
    </w:p>
    <w:p w:rsidR="00490531" w:rsidRPr="00F97FF2" w:rsidRDefault="00490531" w:rsidP="00FB6759">
      <w:pPr>
        <w:spacing w:after="0" w:line="240" w:lineRule="auto"/>
        <w:jc w:val="both"/>
        <w:rPr>
          <w:rFonts w:ascii="Times New Roman" w:hAnsi="Times New Roman" w:cs="Times New Roman"/>
          <w:sz w:val="22"/>
          <w:szCs w:val="22"/>
          <w:lang w:val="en-GB"/>
        </w:rPr>
      </w:pPr>
    </w:p>
    <w:p w:rsidR="00F66777" w:rsidRPr="00F97FF2" w:rsidRDefault="00FF6E0A" w:rsidP="00FB6759">
      <w:pPr>
        <w:spacing w:after="0" w:line="240" w:lineRule="auto"/>
        <w:jc w:val="both"/>
        <w:rPr>
          <w:rFonts w:ascii="Times New Roman" w:hAnsi="Times New Roman" w:cs="Times New Roman"/>
          <w:sz w:val="22"/>
          <w:szCs w:val="22"/>
          <w:lang w:val="en-GB"/>
        </w:rPr>
      </w:pPr>
      <w:r w:rsidRPr="00F97FF2">
        <w:rPr>
          <w:rFonts w:ascii="Times New Roman" w:hAnsi="Times New Roman" w:cs="Times New Roman"/>
          <w:sz w:val="22"/>
          <w:szCs w:val="22"/>
          <w:lang w:val="en-GB"/>
        </w:rPr>
        <w:t>JLAC</w:t>
      </w:r>
      <w:r w:rsidR="00F66777" w:rsidRPr="00F97FF2">
        <w:rPr>
          <w:rFonts w:ascii="Times New Roman" w:hAnsi="Times New Roman" w:cs="Times New Roman"/>
          <w:sz w:val="22"/>
          <w:szCs w:val="22"/>
          <w:lang w:val="en-GB"/>
        </w:rPr>
        <w:t xml:space="preserve"> perceives that its work is having an impact. Rates of settler violence decreased in 2012 and there was less violence during the olive harves</w:t>
      </w:r>
      <w:r w:rsidR="00F97FF2">
        <w:rPr>
          <w:rFonts w:ascii="Times New Roman" w:hAnsi="Times New Roman" w:cs="Times New Roman"/>
          <w:sz w:val="22"/>
          <w:szCs w:val="22"/>
          <w:lang w:val="en-GB"/>
        </w:rPr>
        <w:t>t in October and November 2012 than in the previous three</w:t>
      </w:r>
      <w:r w:rsidR="00F66777" w:rsidRPr="00F97FF2">
        <w:rPr>
          <w:rFonts w:ascii="Times New Roman" w:hAnsi="Times New Roman" w:cs="Times New Roman"/>
          <w:sz w:val="22"/>
          <w:szCs w:val="22"/>
          <w:lang w:val="en-GB"/>
        </w:rPr>
        <w:t xml:space="preserve"> years. </w:t>
      </w:r>
      <w:r w:rsidRPr="00F97FF2">
        <w:rPr>
          <w:rFonts w:ascii="Times New Roman" w:hAnsi="Times New Roman" w:cs="Times New Roman"/>
          <w:sz w:val="22"/>
          <w:szCs w:val="22"/>
          <w:lang w:val="en-GB"/>
        </w:rPr>
        <w:t>JLAC</w:t>
      </w:r>
      <w:r w:rsidR="00F66777" w:rsidRPr="00F97FF2">
        <w:rPr>
          <w:rFonts w:ascii="Times New Roman" w:hAnsi="Times New Roman" w:cs="Times New Roman"/>
          <w:sz w:val="22"/>
          <w:szCs w:val="22"/>
          <w:lang w:val="en-GB"/>
        </w:rPr>
        <w:t xml:space="preserve"> points to the fact that settlers are now coming out to protest wearing masks because they know that </w:t>
      </w:r>
      <w:r w:rsidRPr="00F97FF2">
        <w:rPr>
          <w:rFonts w:ascii="Times New Roman" w:hAnsi="Times New Roman" w:cs="Times New Roman"/>
          <w:sz w:val="22"/>
          <w:szCs w:val="22"/>
          <w:lang w:val="en-GB"/>
        </w:rPr>
        <w:t>JLAC</w:t>
      </w:r>
      <w:r w:rsidR="00F66777" w:rsidRPr="00F97FF2">
        <w:rPr>
          <w:rFonts w:ascii="Times New Roman" w:hAnsi="Times New Roman" w:cs="Times New Roman"/>
          <w:sz w:val="22"/>
          <w:szCs w:val="22"/>
          <w:lang w:val="en-GB"/>
        </w:rPr>
        <w:t xml:space="preserve"> is taking pictures. The police have even informed settlers i</w:t>
      </w:r>
      <w:r w:rsidR="00F97FF2">
        <w:rPr>
          <w:rFonts w:ascii="Times New Roman" w:hAnsi="Times New Roman" w:cs="Times New Roman"/>
          <w:sz w:val="22"/>
          <w:szCs w:val="22"/>
          <w:lang w:val="en-GB"/>
        </w:rPr>
        <w:t>n some locations that they cannot</w:t>
      </w:r>
      <w:r w:rsidR="00F66777" w:rsidRPr="00F97FF2">
        <w:rPr>
          <w:rFonts w:ascii="Times New Roman" w:hAnsi="Times New Roman" w:cs="Times New Roman"/>
          <w:sz w:val="22"/>
          <w:szCs w:val="22"/>
          <w:lang w:val="en-GB"/>
        </w:rPr>
        <w:t xml:space="preserve"> protect them </w:t>
      </w:r>
      <w:r w:rsidR="00FE5437" w:rsidRPr="00F97FF2">
        <w:rPr>
          <w:rFonts w:ascii="Times New Roman" w:hAnsi="Times New Roman" w:cs="Times New Roman"/>
          <w:sz w:val="22"/>
          <w:szCs w:val="22"/>
          <w:lang w:val="en-GB"/>
        </w:rPr>
        <w:t>anymore b</w:t>
      </w:r>
      <w:r w:rsidR="00F66777" w:rsidRPr="00F97FF2">
        <w:rPr>
          <w:rFonts w:ascii="Times New Roman" w:hAnsi="Times New Roman" w:cs="Times New Roman"/>
          <w:sz w:val="22"/>
          <w:szCs w:val="22"/>
          <w:lang w:val="en-GB"/>
        </w:rPr>
        <w:t xml:space="preserve">ecause the victims have pictures of the attackers and their license number plates. This indicates that settlers are beginning to feel that they might be held accountable for violence perpetrated against Palestinians. </w:t>
      </w:r>
      <w:r w:rsidRPr="00F97FF2">
        <w:rPr>
          <w:rFonts w:ascii="Times New Roman" w:hAnsi="Times New Roman" w:cs="Times New Roman"/>
          <w:sz w:val="22"/>
          <w:szCs w:val="22"/>
          <w:lang w:val="en-GB"/>
        </w:rPr>
        <w:t>JLAC</w:t>
      </w:r>
      <w:r w:rsidR="00F66777" w:rsidRPr="00F97FF2">
        <w:rPr>
          <w:rFonts w:ascii="Times New Roman" w:hAnsi="Times New Roman" w:cs="Times New Roman"/>
          <w:sz w:val="22"/>
          <w:szCs w:val="22"/>
          <w:lang w:val="en-GB"/>
        </w:rPr>
        <w:t xml:space="preserve"> intends to continue its work and go to the Supreme Court to challenge the whole complaints system, including the need to move police stations to more neutral locations so Palestinians have access.</w:t>
      </w:r>
    </w:p>
    <w:p w:rsidR="00BC38D4" w:rsidRPr="004A29F9" w:rsidRDefault="00BC38D4" w:rsidP="00FB6759">
      <w:pPr>
        <w:spacing w:after="0" w:line="240" w:lineRule="auto"/>
        <w:jc w:val="both"/>
        <w:rPr>
          <w:rFonts w:ascii="Times New Roman" w:hAnsi="Times New Roman" w:cs="Times New Roman"/>
          <w:sz w:val="22"/>
          <w:szCs w:val="22"/>
          <w:lang w:val="en-GB"/>
        </w:rPr>
      </w:pPr>
    </w:p>
    <w:p w:rsidR="00F66777" w:rsidRPr="004A29F9" w:rsidRDefault="00F66777" w:rsidP="00FB6759">
      <w:pPr>
        <w:spacing w:after="0" w:line="240" w:lineRule="auto"/>
        <w:jc w:val="both"/>
        <w:rPr>
          <w:rFonts w:ascii="Times New Roman" w:hAnsi="Times New Roman" w:cs="Times New Roman"/>
          <w:i/>
          <w:sz w:val="22"/>
          <w:szCs w:val="22"/>
          <w:lang w:val="en-GB"/>
        </w:rPr>
      </w:pPr>
      <w:r w:rsidRPr="004A29F9">
        <w:rPr>
          <w:rFonts w:ascii="Times New Roman" w:hAnsi="Times New Roman" w:cs="Times New Roman"/>
          <w:i/>
          <w:sz w:val="22"/>
          <w:szCs w:val="22"/>
          <w:lang w:val="en-GB"/>
        </w:rPr>
        <w:t>Legal Assistance and representation to private citizens in the West Bank and East Jerusalem</w:t>
      </w:r>
    </w:p>
    <w:p w:rsidR="00490531" w:rsidRDefault="00490531" w:rsidP="00FB6759">
      <w:pPr>
        <w:spacing w:after="0" w:line="240" w:lineRule="auto"/>
        <w:jc w:val="both"/>
        <w:rPr>
          <w:rFonts w:ascii="Times New Roman" w:hAnsi="Times New Roman" w:cs="Times New Roman"/>
          <w:i/>
          <w:sz w:val="22"/>
          <w:szCs w:val="22"/>
          <w:lang w:val="en-GB"/>
        </w:rPr>
      </w:pPr>
    </w:p>
    <w:p w:rsidR="00450042" w:rsidRPr="00F97FF2" w:rsidRDefault="00FF6E0A" w:rsidP="00FB6759">
      <w:pPr>
        <w:spacing w:after="0" w:line="240" w:lineRule="auto"/>
        <w:jc w:val="both"/>
        <w:rPr>
          <w:rFonts w:ascii="Times New Roman" w:hAnsi="Times New Roman" w:cs="Times New Roman"/>
          <w:sz w:val="22"/>
          <w:szCs w:val="22"/>
          <w:lang w:val="en-GB"/>
        </w:rPr>
      </w:pPr>
      <w:r w:rsidRPr="00F97FF2">
        <w:rPr>
          <w:rFonts w:ascii="Times New Roman" w:hAnsi="Times New Roman" w:cs="Times New Roman"/>
          <w:sz w:val="22"/>
          <w:szCs w:val="22"/>
          <w:lang w:val="en-GB"/>
        </w:rPr>
        <w:t>JLAC</w:t>
      </w:r>
      <w:r w:rsidR="00F73D73" w:rsidRPr="00F97FF2">
        <w:rPr>
          <w:rFonts w:ascii="Times New Roman" w:hAnsi="Times New Roman" w:cs="Times New Roman"/>
          <w:sz w:val="22"/>
          <w:szCs w:val="22"/>
          <w:lang w:val="en-GB"/>
        </w:rPr>
        <w:t>’s UNDP-supported civil litigation has included</w:t>
      </w:r>
      <w:r w:rsidR="00F66777" w:rsidRPr="00F97FF2">
        <w:rPr>
          <w:rFonts w:ascii="Times New Roman" w:hAnsi="Times New Roman" w:cs="Times New Roman"/>
          <w:sz w:val="22"/>
          <w:szCs w:val="22"/>
          <w:lang w:val="en-GB"/>
        </w:rPr>
        <w:t xml:space="preserve"> test cases of P</w:t>
      </w:r>
      <w:r w:rsidR="00F97FF2">
        <w:rPr>
          <w:rFonts w:ascii="Times New Roman" w:hAnsi="Times New Roman" w:cs="Times New Roman"/>
          <w:sz w:val="22"/>
          <w:szCs w:val="22"/>
          <w:lang w:val="en-GB"/>
        </w:rPr>
        <w:t>NA attempts</w:t>
      </w:r>
      <w:r w:rsidR="00F66777" w:rsidRPr="00F97FF2">
        <w:rPr>
          <w:rFonts w:ascii="Times New Roman" w:hAnsi="Times New Roman" w:cs="Times New Roman"/>
          <w:sz w:val="22"/>
          <w:szCs w:val="22"/>
          <w:lang w:val="en-GB"/>
        </w:rPr>
        <w:t xml:space="preserve"> to fire employees on </w:t>
      </w:r>
      <w:r w:rsidR="00F73D73" w:rsidRPr="00F97FF2">
        <w:rPr>
          <w:rFonts w:ascii="Times New Roman" w:hAnsi="Times New Roman" w:cs="Times New Roman"/>
          <w:sz w:val="22"/>
          <w:szCs w:val="22"/>
          <w:lang w:val="en-GB"/>
        </w:rPr>
        <w:t xml:space="preserve">the </w:t>
      </w:r>
      <w:r w:rsidR="00F66777" w:rsidRPr="00F97FF2">
        <w:rPr>
          <w:rFonts w:ascii="Times New Roman" w:hAnsi="Times New Roman" w:cs="Times New Roman"/>
          <w:sz w:val="22"/>
          <w:szCs w:val="22"/>
          <w:lang w:val="en-GB"/>
        </w:rPr>
        <w:t xml:space="preserve">basis of politically motivated security checks. </w:t>
      </w:r>
      <w:r w:rsidRPr="00F97FF2">
        <w:rPr>
          <w:rFonts w:ascii="Times New Roman" w:hAnsi="Times New Roman" w:cs="Times New Roman"/>
          <w:sz w:val="22"/>
          <w:szCs w:val="22"/>
          <w:lang w:val="en-GB"/>
        </w:rPr>
        <w:t>JLAC</w:t>
      </w:r>
      <w:r w:rsidR="00F73D73" w:rsidRPr="00F97FF2">
        <w:rPr>
          <w:rFonts w:ascii="Times New Roman" w:hAnsi="Times New Roman" w:cs="Times New Roman"/>
          <w:sz w:val="22"/>
          <w:szCs w:val="22"/>
          <w:lang w:val="en-GB"/>
        </w:rPr>
        <w:t xml:space="preserve"> filed a</w:t>
      </w:r>
      <w:r w:rsidR="00F66777" w:rsidRPr="00F97FF2">
        <w:rPr>
          <w:rFonts w:ascii="Times New Roman" w:hAnsi="Times New Roman" w:cs="Times New Roman"/>
          <w:sz w:val="22"/>
          <w:szCs w:val="22"/>
          <w:lang w:val="en-GB"/>
        </w:rPr>
        <w:t xml:space="preserve"> class action</w:t>
      </w:r>
      <w:r w:rsidR="00F73D73" w:rsidRPr="00F97FF2">
        <w:rPr>
          <w:rFonts w:ascii="Times New Roman" w:hAnsi="Times New Roman" w:cs="Times New Roman"/>
          <w:sz w:val="22"/>
          <w:szCs w:val="22"/>
          <w:lang w:val="en-GB"/>
        </w:rPr>
        <w:t xml:space="preserve"> lawsuit</w:t>
      </w:r>
      <w:r w:rsidR="00F66777" w:rsidRPr="00F97FF2">
        <w:rPr>
          <w:rFonts w:ascii="Times New Roman" w:hAnsi="Times New Roman" w:cs="Times New Roman"/>
          <w:sz w:val="22"/>
          <w:szCs w:val="22"/>
          <w:lang w:val="en-GB"/>
        </w:rPr>
        <w:t xml:space="preserve"> involving 115 claimants and </w:t>
      </w:r>
      <w:r w:rsidR="00450042" w:rsidRPr="00F97FF2">
        <w:rPr>
          <w:rFonts w:ascii="Times New Roman" w:hAnsi="Times New Roman" w:cs="Times New Roman"/>
          <w:sz w:val="22"/>
          <w:szCs w:val="22"/>
          <w:lang w:val="en-GB"/>
        </w:rPr>
        <w:t xml:space="preserve">in </w:t>
      </w:r>
      <w:r w:rsidR="00F66777" w:rsidRPr="00F97FF2">
        <w:rPr>
          <w:rFonts w:ascii="Times New Roman" w:hAnsi="Times New Roman" w:cs="Times New Roman"/>
          <w:sz w:val="22"/>
          <w:szCs w:val="22"/>
          <w:lang w:val="en-GB"/>
        </w:rPr>
        <w:t xml:space="preserve">late 2012 received </w:t>
      </w:r>
      <w:r w:rsidR="00450042" w:rsidRPr="00F97FF2">
        <w:rPr>
          <w:rFonts w:ascii="Times New Roman" w:hAnsi="Times New Roman" w:cs="Times New Roman"/>
          <w:sz w:val="22"/>
          <w:szCs w:val="22"/>
          <w:lang w:val="en-GB"/>
        </w:rPr>
        <w:t>a ruling from the Supreme Cour</w:t>
      </w:r>
      <w:r w:rsidR="00F66777" w:rsidRPr="00F97FF2">
        <w:rPr>
          <w:rFonts w:ascii="Times New Roman" w:hAnsi="Times New Roman" w:cs="Times New Roman"/>
          <w:sz w:val="22"/>
          <w:szCs w:val="22"/>
          <w:lang w:val="en-GB"/>
        </w:rPr>
        <w:t xml:space="preserve">t </w:t>
      </w:r>
      <w:r w:rsidR="00450042" w:rsidRPr="00F97FF2">
        <w:rPr>
          <w:rFonts w:ascii="Times New Roman" w:hAnsi="Times New Roman" w:cs="Times New Roman"/>
          <w:sz w:val="22"/>
          <w:szCs w:val="22"/>
          <w:lang w:val="en-GB"/>
        </w:rPr>
        <w:t xml:space="preserve">finding that </w:t>
      </w:r>
      <w:r w:rsidR="00F66777" w:rsidRPr="00F97FF2">
        <w:rPr>
          <w:rFonts w:ascii="Times New Roman" w:hAnsi="Times New Roman" w:cs="Times New Roman"/>
          <w:sz w:val="22"/>
          <w:szCs w:val="22"/>
          <w:lang w:val="en-GB"/>
        </w:rPr>
        <w:t xml:space="preserve">all claimants must be reinstated to their positions. </w:t>
      </w:r>
      <w:r w:rsidR="00450042" w:rsidRPr="00F97FF2">
        <w:rPr>
          <w:rFonts w:ascii="Times New Roman" w:hAnsi="Times New Roman" w:cs="Times New Roman"/>
          <w:sz w:val="22"/>
          <w:szCs w:val="22"/>
          <w:lang w:val="en-GB"/>
        </w:rPr>
        <w:t>As of January 2013, there had</w:t>
      </w:r>
      <w:r w:rsidR="00F66777" w:rsidRPr="00F97FF2">
        <w:rPr>
          <w:rFonts w:ascii="Times New Roman" w:hAnsi="Times New Roman" w:cs="Times New Roman"/>
          <w:sz w:val="22"/>
          <w:szCs w:val="22"/>
          <w:lang w:val="en-GB"/>
        </w:rPr>
        <w:t xml:space="preserve"> been no implementation of this decision</w:t>
      </w:r>
      <w:r w:rsidR="00450042" w:rsidRPr="00F97FF2">
        <w:rPr>
          <w:rFonts w:ascii="Times New Roman" w:hAnsi="Times New Roman" w:cs="Times New Roman"/>
          <w:sz w:val="22"/>
          <w:szCs w:val="22"/>
          <w:lang w:val="en-GB"/>
        </w:rPr>
        <w:t xml:space="preserve">, but </w:t>
      </w:r>
      <w:r w:rsidRPr="00F97FF2">
        <w:rPr>
          <w:rFonts w:ascii="Times New Roman" w:hAnsi="Times New Roman" w:cs="Times New Roman"/>
          <w:sz w:val="22"/>
          <w:szCs w:val="22"/>
          <w:lang w:val="en-GB"/>
        </w:rPr>
        <w:t>JLAC</w:t>
      </w:r>
      <w:r w:rsidR="00450042" w:rsidRPr="00F97FF2">
        <w:rPr>
          <w:rFonts w:ascii="Times New Roman" w:hAnsi="Times New Roman" w:cs="Times New Roman"/>
          <w:sz w:val="22"/>
          <w:szCs w:val="22"/>
          <w:lang w:val="en-GB"/>
        </w:rPr>
        <w:t xml:space="preserve"> was</w:t>
      </w:r>
      <w:r w:rsidR="00F66777" w:rsidRPr="00F97FF2">
        <w:rPr>
          <w:rFonts w:ascii="Times New Roman" w:hAnsi="Times New Roman" w:cs="Times New Roman"/>
          <w:sz w:val="22"/>
          <w:szCs w:val="22"/>
          <w:lang w:val="en-GB"/>
        </w:rPr>
        <w:t xml:space="preserve"> proceed</w:t>
      </w:r>
      <w:r w:rsidR="00450042" w:rsidRPr="00F97FF2">
        <w:rPr>
          <w:rFonts w:ascii="Times New Roman" w:hAnsi="Times New Roman" w:cs="Times New Roman"/>
          <w:sz w:val="22"/>
          <w:szCs w:val="22"/>
          <w:lang w:val="en-GB"/>
        </w:rPr>
        <w:t>ing</w:t>
      </w:r>
      <w:r w:rsidR="00F66777" w:rsidRPr="00F97FF2">
        <w:rPr>
          <w:rFonts w:ascii="Times New Roman" w:hAnsi="Times New Roman" w:cs="Times New Roman"/>
          <w:sz w:val="22"/>
          <w:szCs w:val="22"/>
          <w:lang w:val="en-GB"/>
        </w:rPr>
        <w:t xml:space="preserve"> with a new case for lost wages and reinstatement. </w:t>
      </w:r>
    </w:p>
    <w:p w:rsidR="00490531" w:rsidRPr="00F97FF2" w:rsidRDefault="00490531" w:rsidP="00FB6759">
      <w:pPr>
        <w:spacing w:after="0" w:line="240" w:lineRule="auto"/>
        <w:jc w:val="both"/>
        <w:rPr>
          <w:rFonts w:ascii="Times New Roman" w:hAnsi="Times New Roman" w:cs="Times New Roman"/>
          <w:sz w:val="22"/>
          <w:szCs w:val="22"/>
          <w:lang w:val="en-GB"/>
        </w:rPr>
      </w:pPr>
    </w:p>
    <w:p w:rsidR="00383B89" w:rsidRPr="00F97FF2" w:rsidRDefault="00FF6E0A" w:rsidP="00FB6759">
      <w:pPr>
        <w:spacing w:after="0" w:line="240" w:lineRule="auto"/>
        <w:jc w:val="both"/>
        <w:rPr>
          <w:rFonts w:ascii="Times New Roman" w:hAnsi="Times New Roman" w:cs="Times New Roman"/>
          <w:sz w:val="22"/>
          <w:szCs w:val="22"/>
          <w:lang w:val="en-GB"/>
        </w:rPr>
      </w:pPr>
      <w:r w:rsidRPr="00F97FF2">
        <w:rPr>
          <w:rFonts w:ascii="Times New Roman" w:hAnsi="Times New Roman" w:cs="Times New Roman"/>
          <w:sz w:val="22"/>
          <w:szCs w:val="22"/>
          <w:lang w:val="en-GB"/>
        </w:rPr>
        <w:t>JLAC</w:t>
      </w:r>
      <w:r w:rsidR="00450042" w:rsidRPr="00F97FF2">
        <w:rPr>
          <w:rFonts w:ascii="Times New Roman" w:hAnsi="Times New Roman" w:cs="Times New Roman"/>
          <w:sz w:val="22"/>
          <w:szCs w:val="22"/>
          <w:lang w:val="en-GB"/>
        </w:rPr>
        <w:t xml:space="preserve"> has also recently worked</w:t>
      </w:r>
      <w:r w:rsidR="00F66777" w:rsidRPr="00F97FF2">
        <w:rPr>
          <w:rFonts w:ascii="Times New Roman" w:hAnsi="Times New Roman" w:cs="Times New Roman"/>
          <w:sz w:val="22"/>
          <w:szCs w:val="22"/>
          <w:lang w:val="en-GB"/>
        </w:rPr>
        <w:t xml:space="preserve"> with the </w:t>
      </w:r>
      <w:r w:rsidR="007F1322" w:rsidRPr="00F97FF2">
        <w:rPr>
          <w:rFonts w:ascii="Times New Roman" w:hAnsi="Times New Roman" w:cs="Times New Roman"/>
          <w:sz w:val="22"/>
          <w:szCs w:val="22"/>
          <w:lang w:val="en-GB"/>
        </w:rPr>
        <w:t>ICHR</w:t>
      </w:r>
      <w:r w:rsidR="00FD3C19">
        <w:rPr>
          <w:rFonts w:ascii="Times New Roman" w:hAnsi="Times New Roman" w:cs="Times New Roman"/>
          <w:sz w:val="22"/>
          <w:szCs w:val="22"/>
          <w:lang w:val="en-GB"/>
        </w:rPr>
        <w:t xml:space="preserve"> </w:t>
      </w:r>
      <w:r w:rsidR="00450042" w:rsidRPr="00F97FF2">
        <w:rPr>
          <w:rFonts w:ascii="Times New Roman" w:hAnsi="Times New Roman" w:cs="Times New Roman"/>
          <w:sz w:val="22"/>
          <w:szCs w:val="22"/>
          <w:lang w:val="en-GB"/>
        </w:rPr>
        <w:t>to challenge the P</w:t>
      </w:r>
      <w:r w:rsidR="00F97FF2">
        <w:rPr>
          <w:rFonts w:ascii="Times New Roman" w:hAnsi="Times New Roman" w:cs="Times New Roman"/>
          <w:sz w:val="22"/>
          <w:szCs w:val="22"/>
          <w:lang w:val="en-GB"/>
        </w:rPr>
        <w:t>N</w:t>
      </w:r>
      <w:r w:rsidR="00450042" w:rsidRPr="00F97FF2">
        <w:rPr>
          <w:rFonts w:ascii="Times New Roman" w:hAnsi="Times New Roman" w:cs="Times New Roman"/>
          <w:sz w:val="22"/>
          <w:szCs w:val="22"/>
          <w:lang w:val="en-GB"/>
        </w:rPr>
        <w:t xml:space="preserve">A’s </w:t>
      </w:r>
      <w:r w:rsidR="00F66777" w:rsidRPr="00F97FF2">
        <w:rPr>
          <w:rFonts w:ascii="Times New Roman" w:hAnsi="Times New Roman" w:cs="Times New Roman"/>
          <w:sz w:val="22"/>
          <w:szCs w:val="22"/>
          <w:lang w:val="en-GB"/>
        </w:rPr>
        <w:t xml:space="preserve">subjecting civilians to military courts </w:t>
      </w:r>
      <w:r w:rsidR="00450042" w:rsidRPr="00F97FF2">
        <w:rPr>
          <w:rFonts w:ascii="Times New Roman" w:hAnsi="Times New Roman" w:cs="Times New Roman"/>
          <w:sz w:val="22"/>
          <w:szCs w:val="22"/>
          <w:lang w:val="en-GB"/>
        </w:rPr>
        <w:t xml:space="preserve">and its </w:t>
      </w:r>
      <w:r w:rsidR="00F66777" w:rsidRPr="00F97FF2">
        <w:rPr>
          <w:rFonts w:ascii="Times New Roman" w:hAnsi="Times New Roman" w:cs="Times New Roman"/>
          <w:sz w:val="22"/>
          <w:szCs w:val="22"/>
          <w:lang w:val="en-GB"/>
        </w:rPr>
        <w:t xml:space="preserve">failure to implement court decisions </w:t>
      </w:r>
      <w:r w:rsidR="00450042" w:rsidRPr="00F97FF2">
        <w:rPr>
          <w:rFonts w:ascii="Times New Roman" w:hAnsi="Times New Roman" w:cs="Times New Roman"/>
          <w:sz w:val="22"/>
          <w:szCs w:val="22"/>
          <w:lang w:val="en-GB"/>
        </w:rPr>
        <w:t>ordering the</w:t>
      </w:r>
      <w:r w:rsidR="00F66777" w:rsidRPr="00F97FF2">
        <w:rPr>
          <w:rFonts w:ascii="Times New Roman" w:hAnsi="Times New Roman" w:cs="Times New Roman"/>
          <w:sz w:val="22"/>
          <w:szCs w:val="22"/>
          <w:lang w:val="en-GB"/>
        </w:rPr>
        <w:t xml:space="preserve"> release </w:t>
      </w:r>
      <w:r w:rsidR="00F97FF2">
        <w:rPr>
          <w:rFonts w:ascii="Times New Roman" w:hAnsi="Times New Roman" w:cs="Times New Roman"/>
          <w:sz w:val="22"/>
          <w:szCs w:val="22"/>
          <w:lang w:val="en-GB"/>
        </w:rPr>
        <w:t xml:space="preserve">of prisoners. </w:t>
      </w:r>
      <w:r w:rsidR="00450042" w:rsidRPr="00F97FF2">
        <w:rPr>
          <w:rFonts w:ascii="Times New Roman" w:hAnsi="Times New Roman" w:cs="Times New Roman"/>
          <w:sz w:val="22"/>
          <w:szCs w:val="22"/>
          <w:lang w:val="en-GB"/>
        </w:rPr>
        <w:t xml:space="preserve">As of January 2013, </w:t>
      </w:r>
      <w:r w:rsidRPr="00F97FF2">
        <w:rPr>
          <w:rFonts w:ascii="Times New Roman" w:hAnsi="Times New Roman" w:cs="Times New Roman"/>
          <w:sz w:val="22"/>
          <w:szCs w:val="22"/>
          <w:lang w:val="en-GB"/>
        </w:rPr>
        <w:t>JLAC</w:t>
      </w:r>
      <w:r w:rsidR="00450042" w:rsidRPr="00F97FF2">
        <w:rPr>
          <w:rFonts w:ascii="Times New Roman" w:hAnsi="Times New Roman" w:cs="Times New Roman"/>
          <w:sz w:val="22"/>
          <w:szCs w:val="22"/>
          <w:lang w:val="en-GB"/>
        </w:rPr>
        <w:t xml:space="preserve"> had</w:t>
      </w:r>
      <w:r w:rsidR="00F66777" w:rsidRPr="00F97FF2">
        <w:rPr>
          <w:rFonts w:ascii="Times New Roman" w:hAnsi="Times New Roman" w:cs="Times New Roman"/>
          <w:sz w:val="22"/>
          <w:szCs w:val="22"/>
          <w:lang w:val="en-GB"/>
        </w:rPr>
        <w:t xml:space="preserve"> worked on 50 cases of security</w:t>
      </w:r>
      <w:r w:rsidR="00450042" w:rsidRPr="00F97FF2">
        <w:rPr>
          <w:rFonts w:ascii="Times New Roman" w:hAnsi="Times New Roman" w:cs="Times New Roman"/>
          <w:sz w:val="22"/>
          <w:szCs w:val="22"/>
          <w:lang w:val="en-GB"/>
        </w:rPr>
        <w:t xml:space="preserve"> detainees under the P</w:t>
      </w:r>
      <w:r w:rsidR="00F97FF2">
        <w:rPr>
          <w:rFonts w:ascii="Times New Roman" w:hAnsi="Times New Roman" w:cs="Times New Roman"/>
          <w:sz w:val="22"/>
          <w:szCs w:val="22"/>
          <w:lang w:val="en-GB"/>
        </w:rPr>
        <w:t>N</w:t>
      </w:r>
      <w:r w:rsidR="00450042" w:rsidRPr="00F97FF2">
        <w:rPr>
          <w:rFonts w:ascii="Times New Roman" w:hAnsi="Times New Roman" w:cs="Times New Roman"/>
          <w:sz w:val="22"/>
          <w:szCs w:val="22"/>
          <w:lang w:val="en-GB"/>
        </w:rPr>
        <w:t>A system these included cases of multiple crimes including</w:t>
      </w:r>
      <w:r w:rsidR="00F66777" w:rsidRPr="00F97FF2">
        <w:rPr>
          <w:rFonts w:ascii="Times New Roman" w:hAnsi="Times New Roman" w:cs="Times New Roman"/>
          <w:sz w:val="22"/>
          <w:szCs w:val="22"/>
          <w:lang w:val="en-GB"/>
        </w:rPr>
        <w:t xml:space="preserve"> money laundering, </w:t>
      </w:r>
      <w:r w:rsidR="00450042" w:rsidRPr="00F97FF2">
        <w:rPr>
          <w:rFonts w:ascii="Times New Roman" w:hAnsi="Times New Roman" w:cs="Times New Roman"/>
          <w:sz w:val="22"/>
          <w:szCs w:val="22"/>
          <w:lang w:val="en-GB"/>
        </w:rPr>
        <w:t xml:space="preserve">possession of </w:t>
      </w:r>
      <w:r w:rsidR="00F66777" w:rsidRPr="00F97FF2">
        <w:rPr>
          <w:rFonts w:ascii="Times New Roman" w:hAnsi="Times New Roman" w:cs="Times New Roman"/>
          <w:sz w:val="22"/>
          <w:szCs w:val="22"/>
          <w:lang w:val="en-GB"/>
        </w:rPr>
        <w:t xml:space="preserve">weapons, </w:t>
      </w:r>
      <w:r w:rsidR="00450042" w:rsidRPr="00F97FF2">
        <w:rPr>
          <w:rFonts w:ascii="Times New Roman" w:hAnsi="Times New Roman" w:cs="Times New Roman"/>
          <w:sz w:val="22"/>
          <w:szCs w:val="22"/>
          <w:lang w:val="en-GB"/>
        </w:rPr>
        <w:t xml:space="preserve">those detained due to </w:t>
      </w:r>
      <w:r w:rsidR="00F66777" w:rsidRPr="00F97FF2">
        <w:rPr>
          <w:rFonts w:ascii="Times New Roman" w:hAnsi="Times New Roman" w:cs="Times New Roman"/>
          <w:sz w:val="22"/>
          <w:szCs w:val="22"/>
          <w:lang w:val="en-GB"/>
        </w:rPr>
        <w:t xml:space="preserve">political affiliation with </w:t>
      </w:r>
      <w:r w:rsidRPr="00F97FF2">
        <w:rPr>
          <w:rFonts w:ascii="Times New Roman" w:hAnsi="Times New Roman" w:cs="Times New Roman"/>
          <w:sz w:val="22"/>
          <w:szCs w:val="22"/>
          <w:lang w:val="en-GB"/>
        </w:rPr>
        <w:t>Hamas</w:t>
      </w:r>
      <w:r w:rsidR="00F66777" w:rsidRPr="00F97FF2">
        <w:rPr>
          <w:rFonts w:ascii="Times New Roman" w:hAnsi="Times New Roman" w:cs="Times New Roman"/>
          <w:sz w:val="22"/>
          <w:szCs w:val="22"/>
          <w:lang w:val="en-GB"/>
        </w:rPr>
        <w:t xml:space="preserve"> or those accused of being Israeli collaborators</w:t>
      </w:r>
      <w:r w:rsidR="00450042" w:rsidRPr="00F97FF2">
        <w:rPr>
          <w:rFonts w:ascii="Times New Roman" w:hAnsi="Times New Roman" w:cs="Times New Roman"/>
          <w:sz w:val="22"/>
          <w:szCs w:val="22"/>
          <w:lang w:val="en-GB"/>
        </w:rPr>
        <w:t xml:space="preserve"> and arrested by national P</w:t>
      </w:r>
      <w:r w:rsidR="00F97FF2">
        <w:rPr>
          <w:rFonts w:ascii="Times New Roman" w:hAnsi="Times New Roman" w:cs="Times New Roman"/>
          <w:sz w:val="22"/>
          <w:szCs w:val="22"/>
          <w:lang w:val="en-GB"/>
        </w:rPr>
        <w:t>N</w:t>
      </w:r>
      <w:r w:rsidR="00450042" w:rsidRPr="00F97FF2">
        <w:rPr>
          <w:rFonts w:ascii="Times New Roman" w:hAnsi="Times New Roman" w:cs="Times New Roman"/>
          <w:sz w:val="22"/>
          <w:szCs w:val="22"/>
          <w:lang w:val="en-GB"/>
        </w:rPr>
        <w:t>A intellige</w:t>
      </w:r>
      <w:r w:rsidR="00F97FF2">
        <w:rPr>
          <w:rFonts w:ascii="Times New Roman" w:hAnsi="Times New Roman" w:cs="Times New Roman"/>
          <w:sz w:val="22"/>
          <w:szCs w:val="22"/>
          <w:lang w:val="en-GB"/>
        </w:rPr>
        <w:t>nce or other security services.</w:t>
      </w:r>
    </w:p>
    <w:p w:rsidR="00490531" w:rsidRDefault="00490531" w:rsidP="00FB6759">
      <w:pPr>
        <w:spacing w:after="0" w:line="240" w:lineRule="auto"/>
        <w:jc w:val="both"/>
        <w:rPr>
          <w:rFonts w:ascii="Times New Roman" w:hAnsi="Times New Roman" w:cs="Times New Roman"/>
          <w:sz w:val="22"/>
          <w:szCs w:val="22"/>
          <w:lang w:val="en-GB"/>
        </w:rPr>
      </w:pPr>
    </w:p>
    <w:p w:rsidR="00916AD4" w:rsidRPr="004A29F9" w:rsidRDefault="0022656E"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While the CSOs interviewed overwhelmingly agreed that UNDP support had helped them to continue programming and assist beneficiaries during a </w:t>
      </w:r>
      <w:r w:rsidR="00383B89" w:rsidRPr="004A29F9">
        <w:rPr>
          <w:rFonts w:ascii="Times New Roman" w:hAnsi="Times New Roman" w:cs="Times New Roman"/>
          <w:sz w:val="22"/>
          <w:szCs w:val="22"/>
          <w:lang w:val="en-GB"/>
        </w:rPr>
        <w:t>time of s</w:t>
      </w:r>
      <w:r w:rsidR="005E181D">
        <w:rPr>
          <w:rFonts w:ascii="Times New Roman" w:hAnsi="Times New Roman" w:cs="Times New Roman"/>
          <w:sz w:val="22"/>
          <w:szCs w:val="22"/>
          <w:lang w:val="en-GB"/>
        </w:rPr>
        <w:t>hrinking budgetary resources,</w:t>
      </w:r>
      <w:r w:rsidR="00FD3C19">
        <w:rPr>
          <w:rFonts w:ascii="Times New Roman" w:hAnsi="Times New Roman" w:cs="Times New Roman"/>
          <w:sz w:val="22"/>
          <w:szCs w:val="22"/>
          <w:lang w:val="en-GB"/>
        </w:rPr>
        <w:t xml:space="preserve"> </w:t>
      </w:r>
      <w:r w:rsidR="005E181D">
        <w:rPr>
          <w:rFonts w:ascii="Times New Roman" w:hAnsi="Times New Roman" w:cs="Times New Roman"/>
          <w:sz w:val="22"/>
          <w:szCs w:val="22"/>
          <w:lang w:val="en-GB"/>
        </w:rPr>
        <w:t xml:space="preserve">a </w:t>
      </w:r>
      <w:r w:rsidR="00383B89" w:rsidRPr="004A29F9">
        <w:rPr>
          <w:rFonts w:ascii="Times New Roman" w:hAnsi="Times New Roman" w:cs="Times New Roman"/>
          <w:sz w:val="22"/>
          <w:szCs w:val="22"/>
          <w:lang w:val="en-GB"/>
        </w:rPr>
        <w:t>number of CSOs</w:t>
      </w:r>
      <w:r w:rsidR="00FD3C19">
        <w:rPr>
          <w:rFonts w:ascii="Times New Roman" w:hAnsi="Times New Roman" w:cs="Times New Roman"/>
          <w:sz w:val="22"/>
          <w:szCs w:val="22"/>
          <w:lang w:val="en-GB"/>
        </w:rPr>
        <w:t xml:space="preserve"> </w:t>
      </w:r>
      <w:r w:rsidR="00043D49" w:rsidRPr="004A29F9">
        <w:rPr>
          <w:rFonts w:ascii="Times New Roman" w:hAnsi="Times New Roman" w:cs="Times New Roman"/>
          <w:sz w:val="22"/>
          <w:szCs w:val="22"/>
          <w:lang w:val="en-GB"/>
        </w:rPr>
        <w:t xml:space="preserve">expressed the concern </w:t>
      </w:r>
      <w:r w:rsidR="00383B89" w:rsidRPr="004A29F9">
        <w:rPr>
          <w:rFonts w:ascii="Times New Roman" w:hAnsi="Times New Roman" w:cs="Times New Roman"/>
          <w:sz w:val="22"/>
          <w:szCs w:val="22"/>
          <w:lang w:val="en-GB"/>
        </w:rPr>
        <w:t xml:space="preserve">that UNDP support </w:t>
      </w:r>
      <w:r w:rsidR="00043D49" w:rsidRPr="004A29F9">
        <w:rPr>
          <w:rFonts w:ascii="Times New Roman" w:hAnsi="Times New Roman" w:cs="Times New Roman"/>
          <w:sz w:val="22"/>
          <w:szCs w:val="22"/>
          <w:lang w:val="en-GB"/>
        </w:rPr>
        <w:t xml:space="preserve">to CSOs in East Jerusalem and West Bank was not strategic enough in its approach to such issues as administrative detention. It was felt that UNDP could have done </w:t>
      </w:r>
      <w:r w:rsidR="00043D49" w:rsidRPr="004A29F9">
        <w:rPr>
          <w:rFonts w:ascii="Times New Roman" w:hAnsi="Times New Roman" w:cs="Times New Roman"/>
          <w:sz w:val="22"/>
          <w:szCs w:val="22"/>
          <w:lang w:val="en-GB"/>
        </w:rPr>
        <w:lastRenderedPageBreak/>
        <w:t xml:space="preserve">a better job at linking the PNA mechanisms for legal aid (however limited) with the </w:t>
      </w:r>
      <w:r w:rsidR="00D02C04" w:rsidRPr="004A29F9">
        <w:rPr>
          <w:rFonts w:ascii="Times New Roman" w:hAnsi="Times New Roman" w:cs="Times New Roman"/>
          <w:sz w:val="22"/>
          <w:szCs w:val="22"/>
          <w:lang w:val="en-GB"/>
        </w:rPr>
        <w:t>CSO initiatives and int</w:t>
      </w:r>
      <w:r w:rsidR="005E181D">
        <w:rPr>
          <w:rFonts w:ascii="Times New Roman" w:hAnsi="Times New Roman" w:cs="Times New Roman"/>
          <w:sz w:val="22"/>
          <w:szCs w:val="22"/>
          <w:lang w:val="en-GB"/>
        </w:rPr>
        <w:t>erventions</w:t>
      </w:r>
      <w:r w:rsidR="00D02C04" w:rsidRPr="004A29F9">
        <w:rPr>
          <w:rFonts w:ascii="Times New Roman" w:hAnsi="Times New Roman" w:cs="Times New Roman"/>
          <w:sz w:val="22"/>
          <w:szCs w:val="22"/>
          <w:lang w:val="en-GB"/>
        </w:rPr>
        <w:t>. One CSO partner suggested tha</w:t>
      </w:r>
      <w:r w:rsidR="005E181D">
        <w:rPr>
          <w:rFonts w:ascii="Times New Roman" w:hAnsi="Times New Roman" w:cs="Times New Roman"/>
          <w:sz w:val="22"/>
          <w:szCs w:val="22"/>
          <w:lang w:val="en-GB"/>
        </w:rPr>
        <w:t>t UNDP’s role should have held g</w:t>
      </w:r>
      <w:r w:rsidR="00D02C04" w:rsidRPr="004A29F9">
        <w:rPr>
          <w:rFonts w:ascii="Times New Roman" w:hAnsi="Times New Roman" w:cs="Times New Roman"/>
          <w:sz w:val="22"/>
          <w:szCs w:val="22"/>
          <w:lang w:val="en-GB"/>
        </w:rPr>
        <w:t xml:space="preserve">overnment to account and requested that the PNA become more accountable for the impact of the PNA’s </w:t>
      </w:r>
      <w:r w:rsidR="00D02C04" w:rsidRPr="004A29F9">
        <w:rPr>
          <w:rFonts w:ascii="Times New Roman" w:hAnsi="Times New Roman" w:cs="Times New Roman"/>
          <w:i/>
          <w:sz w:val="22"/>
          <w:szCs w:val="22"/>
          <w:lang w:val="en-GB"/>
        </w:rPr>
        <w:t>statutory</w:t>
      </w:r>
      <w:r w:rsidR="00D02C04" w:rsidRPr="004A29F9">
        <w:rPr>
          <w:rFonts w:ascii="Times New Roman" w:hAnsi="Times New Roman" w:cs="Times New Roman"/>
          <w:sz w:val="22"/>
          <w:szCs w:val="22"/>
          <w:lang w:val="en-GB"/>
        </w:rPr>
        <w:t xml:space="preserve"> legal aid obligations. </w:t>
      </w:r>
      <w:r w:rsidR="00043D49" w:rsidRPr="004A29F9">
        <w:rPr>
          <w:rFonts w:ascii="Times New Roman" w:hAnsi="Times New Roman" w:cs="Times New Roman"/>
          <w:sz w:val="22"/>
          <w:szCs w:val="22"/>
          <w:lang w:val="en-GB"/>
        </w:rPr>
        <w:t xml:space="preserve">Furthermore, CSOs believe that their work is long-term in nature and stressed the fact that some strategic litigation initiated with UNDP support were in jeopardy of being abandoned if their grants were not renewed due to an inability of the CSOs to continue to pay lawyers. </w:t>
      </w:r>
      <w:r w:rsidR="00BB4BEF" w:rsidRPr="004A29F9">
        <w:rPr>
          <w:rFonts w:ascii="Times New Roman" w:hAnsi="Times New Roman" w:cs="Times New Roman"/>
          <w:sz w:val="22"/>
          <w:szCs w:val="22"/>
          <w:lang w:val="en-GB"/>
        </w:rPr>
        <w:t>Yet, UNDP procurement rules and regulations as currently configured to not permit agreements with a d</w:t>
      </w:r>
      <w:r w:rsidR="005E181D">
        <w:rPr>
          <w:rFonts w:ascii="Times New Roman" w:hAnsi="Times New Roman" w:cs="Times New Roman"/>
          <w:sz w:val="22"/>
          <w:szCs w:val="22"/>
          <w:lang w:val="en-GB"/>
        </w:rPr>
        <w:t>uration in excess of 12 months.</w:t>
      </w:r>
    </w:p>
    <w:p w:rsidR="009C5BEA" w:rsidRPr="004A29F9" w:rsidRDefault="009C5BEA" w:rsidP="00FB6759">
      <w:pPr>
        <w:spacing w:after="0" w:line="240" w:lineRule="auto"/>
        <w:jc w:val="both"/>
        <w:rPr>
          <w:rFonts w:ascii="Times New Roman" w:hAnsi="Times New Roman" w:cs="Times New Roman"/>
          <w:sz w:val="22"/>
          <w:szCs w:val="22"/>
          <w:lang w:val="en-GB"/>
        </w:rPr>
      </w:pPr>
    </w:p>
    <w:p w:rsidR="00055AB7" w:rsidRPr="004A29F9" w:rsidRDefault="005E181D" w:rsidP="00FB6759">
      <w:pPr>
        <w:spacing w:after="0" w:line="240" w:lineRule="auto"/>
        <w:jc w:val="both"/>
        <w:rPr>
          <w:rFonts w:ascii="Times New Roman" w:hAnsi="Times New Roman" w:cs="Times New Roman"/>
          <w:i/>
          <w:sz w:val="22"/>
          <w:szCs w:val="22"/>
          <w:lang w:val="en-GB"/>
        </w:rPr>
      </w:pPr>
      <w:r>
        <w:rPr>
          <w:rFonts w:ascii="Times New Roman" w:hAnsi="Times New Roman" w:cs="Times New Roman"/>
          <w:i/>
          <w:sz w:val="22"/>
          <w:szCs w:val="22"/>
          <w:lang w:val="en-GB"/>
        </w:rPr>
        <w:t>Legal assistance for w</w:t>
      </w:r>
      <w:r w:rsidR="00055AB7" w:rsidRPr="004A29F9">
        <w:rPr>
          <w:rFonts w:ascii="Times New Roman" w:hAnsi="Times New Roman" w:cs="Times New Roman"/>
          <w:i/>
          <w:sz w:val="22"/>
          <w:szCs w:val="22"/>
          <w:lang w:val="en-GB"/>
        </w:rPr>
        <w:t xml:space="preserve">omen </w:t>
      </w:r>
    </w:p>
    <w:p w:rsidR="00490531" w:rsidRDefault="00490531" w:rsidP="00FB6759">
      <w:pPr>
        <w:spacing w:after="0" w:line="240" w:lineRule="auto"/>
        <w:jc w:val="both"/>
        <w:rPr>
          <w:rFonts w:ascii="Times New Roman" w:hAnsi="Times New Roman" w:cs="Times New Roman"/>
          <w:sz w:val="22"/>
          <w:szCs w:val="22"/>
          <w:lang w:val="en-GB"/>
        </w:rPr>
      </w:pPr>
    </w:p>
    <w:p w:rsidR="00377479" w:rsidRPr="00117F26" w:rsidRDefault="00A30497" w:rsidP="00FB6759">
      <w:pPr>
        <w:spacing w:after="0" w:line="240" w:lineRule="auto"/>
        <w:jc w:val="both"/>
        <w:rPr>
          <w:rFonts w:ascii="Times New Roman" w:hAnsi="Times New Roman" w:cs="Times New Roman"/>
          <w:sz w:val="22"/>
          <w:szCs w:val="22"/>
          <w:lang w:val="en-GB"/>
        </w:rPr>
      </w:pPr>
      <w:r w:rsidRPr="00117F26">
        <w:rPr>
          <w:rFonts w:ascii="Times New Roman" w:hAnsi="Times New Roman" w:cs="Times New Roman"/>
          <w:sz w:val="22"/>
          <w:szCs w:val="22"/>
          <w:lang w:val="en-GB"/>
        </w:rPr>
        <w:t xml:space="preserve">A number of CSOs (and quasi-governmental </w:t>
      </w:r>
      <w:r w:rsidR="00117F26" w:rsidRPr="00117F26">
        <w:rPr>
          <w:rFonts w:ascii="Times New Roman" w:hAnsi="Times New Roman" w:cs="Times New Roman"/>
          <w:sz w:val="22"/>
          <w:szCs w:val="22"/>
          <w:lang w:val="en-GB"/>
        </w:rPr>
        <w:t>organis</w:t>
      </w:r>
      <w:r w:rsidRPr="00117F26">
        <w:rPr>
          <w:rFonts w:ascii="Times New Roman" w:hAnsi="Times New Roman" w:cs="Times New Roman"/>
          <w:sz w:val="22"/>
          <w:szCs w:val="22"/>
          <w:lang w:val="en-GB"/>
        </w:rPr>
        <w:t>ations) supported by UNDP are specifically devoted to providing leg</w:t>
      </w:r>
      <w:r w:rsidR="00117F26" w:rsidRPr="00117F26">
        <w:rPr>
          <w:rFonts w:ascii="Times New Roman" w:hAnsi="Times New Roman" w:cs="Times New Roman"/>
          <w:sz w:val="22"/>
          <w:szCs w:val="22"/>
          <w:lang w:val="en-GB"/>
        </w:rPr>
        <w:t>al aid and assistance to women. The e</w:t>
      </w:r>
      <w:r w:rsidRPr="00117F26">
        <w:rPr>
          <w:rFonts w:ascii="Times New Roman" w:hAnsi="Times New Roman" w:cs="Times New Roman"/>
          <w:sz w:val="22"/>
          <w:szCs w:val="22"/>
          <w:lang w:val="en-GB"/>
        </w:rPr>
        <w:t xml:space="preserve">valuation interviewed a number of these including; Palestinian Working Women </w:t>
      </w:r>
      <w:r w:rsidR="00117F26">
        <w:rPr>
          <w:rFonts w:ascii="Times New Roman" w:hAnsi="Times New Roman" w:cs="Times New Roman"/>
          <w:sz w:val="22"/>
          <w:szCs w:val="22"/>
          <w:lang w:val="en-GB"/>
        </w:rPr>
        <w:t xml:space="preserve">Society </w:t>
      </w:r>
      <w:r w:rsidRPr="00117F26">
        <w:rPr>
          <w:rFonts w:ascii="Times New Roman" w:hAnsi="Times New Roman" w:cs="Times New Roman"/>
          <w:sz w:val="22"/>
          <w:szCs w:val="22"/>
          <w:lang w:val="en-GB"/>
        </w:rPr>
        <w:t>for Development; Democra</w:t>
      </w:r>
      <w:r w:rsidR="00117F26">
        <w:rPr>
          <w:rFonts w:ascii="Times New Roman" w:hAnsi="Times New Roman" w:cs="Times New Roman"/>
          <w:sz w:val="22"/>
          <w:szCs w:val="22"/>
          <w:lang w:val="en-GB"/>
        </w:rPr>
        <w:t>cy and Workers Rights Centre</w:t>
      </w:r>
      <w:r w:rsidR="00377479" w:rsidRPr="00117F26">
        <w:rPr>
          <w:rFonts w:ascii="Times New Roman" w:hAnsi="Times New Roman" w:cs="Times New Roman"/>
          <w:sz w:val="22"/>
          <w:szCs w:val="22"/>
          <w:lang w:val="en-GB"/>
        </w:rPr>
        <w:t>; Women</w:t>
      </w:r>
      <w:r w:rsidRPr="00117F26">
        <w:rPr>
          <w:rFonts w:ascii="Times New Roman" w:hAnsi="Times New Roman" w:cs="Times New Roman"/>
          <w:sz w:val="22"/>
          <w:szCs w:val="22"/>
          <w:lang w:val="en-GB"/>
        </w:rPr>
        <w:t xml:space="preserve"> for Life</w:t>
      </w:r>
      <w:r w:rsidR="00377479" w:rsidRPr="00117F26">
        <w:rPr>
          <w:rFonts w:ascii="Times New Roman" w:hAnsi="Times New Roman" w:cs="Times New Roman"/>
          <w:sz w:val="22"/>
          <w:szCs w:val="22"/>
          <w:lang w:val="en-GB"/>
        </w:rPr>
        <w:t xml:space="preserve"> and the Palestinian Maintenance </w:t>
      </w:r>
      <w:r w:rsidR="00334BD5" w:rsidRPr="00117F26">
        <w:rPr>
          <w:rFonts w:ascii="Times New Roman" w:hAnsi="Times New Roman" w:cs="Times New Roman"/>
          <w:sz w:val="22"/>
          <w:szCs w:val="22"/>
          <w:lang w:val="en-GB"/>
        </w:rPr>
        <w:t>Fund</w:t>
      </w:r>
      <w:r w:rsidR="00377479" w:rsidRPr="00117F26">
        <w:rPr>
          <w:rFonts w:ascii="Times New Roman" w:hAnsi="Times New Roman" w:cs="Times New Roman"/>
          <w:sz w:val="22"/>
          <w:szCs w:val="22"/>
          <w:lang w:val="en-GB"/>
        </w:rPr>
        <w:t>.</w:t>
      </w:r>
      <w:r w:rsidR="000B7CD7" w:rsidRPr="00117F26">
        <w:rPr>
          <w:rFonts w:ascii="Times New Roman" w:hAnsi="Times New Roman" w:cs="Times New Roman"/>
          <w:sz w:val="22"/>
          <w:szCs w:val="22"/>
          <w:lang w:val="en-GB"/>
        </w:rPr>
        <w:t xml:space="preserve"> Much of this work has reached into smaller cities in the West Bank such as Salfit and </w:t>
      </w:r>
      <w:r w:rsidR="00117F26">
        <w:rPr>
          <w:rFonts w:ascii="Times New Roman" w:hAnsi="Times New Roman" w:cs="Times New Roman"/>
          <w:sz w:val="22"/>
          <w:szCs w:val="22"/>
          <w:lang w:val="en-GB"/>
        </w:rPr>
        <w:t>Qalqily</w:t>
      </w:r>
      <w:r w:rsidR="00754E2E" w:rsidRPr="00117F26">
        <w:rPr>
          <w:rFonts w:ascii="Times New Roman" w:hAnsi="Times New Roman" w:cs="Times New Roman"/>
          <w:sz w:val="22"/>
          <w:szCs w:val="22"/>
          <w:lang w:val="en-GB"/>
        </w:rPr>
        <w:t>a</w:t>
      </w:r>
      <w:r w:rsidR="000B7CD7" w:rsidRPr="00117F26">
        <w:rPr>
          <w:rFonts w:ascii="Times New Roman" w:hAnsi="Times New Roman" w:cs="Times New Roman"/>
          <w:sz w:val="22"/>
          <w:szCs w:val="22"/>
          <w:lang w:val="en-GB"/>
        </w:rPr>
        <w:t>.</w:t>
      </w:r>
    </w:p>
    <w:p w:rsidR="00490531" w:rsidRDefault="00490531" w:rsidP="00FB6759">
      <w:pPr>
        <w:spacing w:after="0" w:line="240" w:lineRule="auto"/>
        <w:jc w:val="both"/>
        <w:rPr>
          <w:rFonts w:ascii="Times New Roman" w:hAnsi="Times New Roman" w:cs="Times New Roman"/>
          <w:i/>
          <w:sz w:val="22"/>
          <w:szCs w:val="22"/>
          <w:lang w:val="en-GB"/>
        </w:rPr>
      </w:pPr>
    </w:p>
    <w:p w:rsidR="00F01331" w:rsidRPr="00117F26" w:rsidRDefault="00F01331" w:rsidP="00FB6759">
      <w:pPr>
        <w:spacing w:after="0" w:line="240" w:lineRule="auto"/>
        <w:jc w:val="both"/>
        <w:rPr>
          <w:rFonts w:ascii="Times New Roman" w:hAnsi="Times New Roman" w:cs="Times New Roman"/>
          <w:sz w:val="22"/>
          <w:szCs w:val="22"/>
          <w:lang w:val="en-GB"/>
        </w:rPr>
      </w:pPr>
      <w:r w:rsidRPr="00117F26">
        <w:rPr>
          <w:rFonts w:ascii="Times New Roman" w:hAnsi="Times New Roman" w:cs="Times New Roman"/>
          <w:sz w:val="22"/>
          <w:szCs w:val="22"/>
          <w:lang w:val="en-GB"/>
        </w:rPr>
        <w:t xml:space="preserve">Palestinian Working Women </w:t>
      </w:r>
      <w:r w:rsidR="00117F26">
        <w:rPr>
          <w:rFonts w:ascii="Times New Roman" w:hAnsi="Times New Roman" w:cs="Times New Roman"/>
          <w:sz w:val="22"/>
          <w:szCs w:val="22"/>
          <w:lang w:val="en-GB"/>
        </w:rPr>
        <w:t xml:space="preserve">Society </w:t>
      </w:r>
      <w:r w:rsidRPr="00117F26">
        <w:rPr>
          <w:rFonts w:ascii="Times New Roman" w:hAnsi="Times New Roman" w:cs="Times New Roman"/>
          <w:sz w:val="22"/>
          <w:szCs w:val="22"/>
          <w:lang w:val="en-GB"/>
        </w:rPr>
        <w:t xml:space="preserve">for Development </w:t>
      </w:r>
      <w:r w:rsidR="00117F26">
        <w:rPr>
          <w:rFonts w:ascii="Times New Roman" w:hAnsi="Times New Roman" w:cs="Times New Roman"/>
          <w:sz w:val="22"/>
          <w:szCs w:val="22"/>
          <w:lang w:val="en-GB"/>
        </w:rPr>
        <w:t xml:space="preserve">(PWWSD) </w:t>
      </w:r>
      <w:r w:rsidRPr="00117F26">
        <w:rPr>
          <w:rFonts w:ascii="Times New Roman" w:hAnsi="Times New Roman" w:cs="Times New Roman"/>
          <w:sz w:val="22"/>
          <w:szCs w:val="22"/>
          <w:lang w:val="en-GB"/>
        </w:rPr>
        <w:t>was officially registered in 1982 and has used UNDP funds mostly to engage in awareness raising activities, but also to deliver legal consultancy services to women in seven branches in the West Bank and one in Gaza. T</w:t>
      </w:r>
      <w:r w:rsidR="00117F26">
        <w:rPr>
          <w:rFonts w:ascii="Times New Roman" w:hAnsi="Times New Roman" w:cs="Times New Roman"/>
          <w:sz w:val="22"/>
          <w:szCs w:val="22"/>
          <w:lang w:val="en-GB"/>
        </w:rPr>
        <w:t>he main objective of the organis</w:t>
      </w:r>
      <w:r w:rsidRPr="00117F26">
        <w:rPr>
          <w:rFonts w:ascii="Times New Roman" w:hAnsi="Times New Roman" w:cs="Times New Roman"/>
          <w:sz w:val="22"/>
          <w:szCs w:val="22"/>
          <w:lang w:val="en-GB"/>
        </w:rPr>
        <w:t>ation is the capacity development of women to take part economically in society. The other component of the programme is social justice that includes offering legal and psychosocial counsel</w:t>
      </w:r>
      <w:r w:rsidR="00117F26">
        <w:rPr>
          <w:rFonts w:ascii="Times New Roman" w:hAnsi="Times New Roman" w:cs="Times New Roman"/>
          <w:sz w:val="22"/>
          <w:szCs w:val="22"/>
          <w:lang w:val="en-GB"/>
        </w:rPr>
        <w:t>l</w:t>
      </w:r>
      <w:r w:rsidRPr="00117F26">
        <w:rPr>
          <w:rFonts w:ascii="Times New Roman" w:hAnsi="Times New Roman" w:cs="Times New Roman"/>
          <w:sz w:val="22"/>
          <w:szCs w:val="22"/>
          <w:lang w:val="en-GB"/>
        </w:rPr>
        <w:t>ing for vulnerable women. A hotline was established with UNDP funds that functions 24 hours per day to provide women with resources for legal or</w:t>
      </w:r>
      <w:r w:rsidR="00117F26">
        <w:rPr>
          <w:rFonts w:ascii="Times New Roman" w:hAnsi="Times New Roman" w:cs="Times New Roman"/>
          <w:sz w:val="22"/>
          <w:szCs w:val="22"/>
          <w:lang w:val="en-GB"/>
        </w:rPr>
        <w:t xml:space="preserve"> mental health issues.</w:t>
      </w:r>
    </w:p>
    <w:p w:rsidR="00490531" w:rsidRPr="00117F26" w:rsidRDefault="00490531" w:rsidP="00FB6759">
      <w:pPr>
        <w:spacing w:after="0" w:line="240" w:lineRule="auto"/>
        <w:jc w:val="both"/>
        <w:rPr>
          <w:rFonts w:ascii="Times New Roman" w:hAnsi="Times New Roman" w:cs="Times New Roman"/>
          <w:sz w:val="22"/>
          <w:szCs w:val="22"/>
          <w:lang w:val="en-GB"/>
        </w:rPr>
      </w:pPr>
    </w:p>
    <w:p w:rsidR="002D0C47" w:rsidRPr="00117F26" w:rsidRDefault="00F01331" w:rsidP="00FB6759">
      <w:pPr>
        <w:spacing w:after="0" w:line="240" w:lineRule="auto"/>
        <w:jc w:val="both"/>
        <w:rPr>
          <w:rFonts w:ascii="Times New Roman" w:hAnsi="Times New Roman" w:cs="Times New Roman"/>
          <w:sz w:val="22"/>
          <w:szCs w:val="22"/>
          <w:lang w:val="en-GB"/>
        </w:rPr>
      </w:pPr>
      <w:r w:rsidRPr="00117F26">
        <w:rPr>
          <w:rFonts w:ascii="Times New Roman" w:hAnsi="Times New Roman" w:cs="Times New Roman"/>
          <w:sz w:val="22"/>
          <w:szCs w:val="22"/>
          <w:lang w:val="en-GB"/>
        </w:rPr>
        <w:t xml:space="preserve">Meanwhile, </w:t>
      </w:r>
      <w:r w:rsidR="003B1250" w:rsidRPr="00117F26">
        <w:rPr>
          <w:rFonts w:ascii="Times New Roman" w:hAnsi="Times New Roman" w:cs="Times New Roman"/>
          <w:sz w:val="22"/>
          <w:szCs w:val="22"/>
          <w:lang w:val="en-GB"/>
        </w:rPr>
        <w:t>Democra</w:t>
      </w:r>
      <w:r w:rsidR="00117F26">
        <w:rPr>
          <w:rFonts w:ascii="Times New Roman" w:hAnsi="Times New Roman" w:cs="Times New Roman"/>
          <w:sz w:val="22"/>
          <w:szCs w:val="22"/>
          <w:lang w:val="en-GB"/>
        </w:rPr>
        <w:t>cy and Workers Rights Centre (DWRC) targets the most marginalis</w:t>
      </w:r>
      <w:r w:rsidR="003B1250" w:rsidRPr="00117F26">
        <w:rPr>
          <w:rFonts w:ascii="Times New Roman" w:hAnsi="Times New Roman" w:cs="Times New Roman"/>
          <w:sz w:val="22"/>
          <w:szCs w:val="22"/>
          <w:lang w:val="en-GB"/>
        </w:rPr>
        <w:t>ed workers in the Palestinian labour pool (i.e. women, youth, persons with d</w:t>
      </w:r>
      <w:r w:rsidR="00117F26">
        <w:rPr>
          <w:rFonts w:ascii="Times New Roman" w:hAnsi="Times New Roman" w:cs="Times New Roman"/>
          <w:sz w:val="22"/>
          <w:szCs w:val="22"/>
          <w:lang w:val="en-GB"/>
        </w:rPr>
        <w:t>isabilities; low wages etc.). DWRC</w:t>
      </w:r>
      <w:r w:rsidR="003B1250" w:rsidRPr="00117F26">
        <w:rPr>
          <w:rFonts w:ascii="Times New Roman" w:hAnsi="Times New Roman" w:cs="Times New Roman"/>
          <w:sz w:val="22"/>
          <w:szCs w:val="22"/>
          <w:lang w:val="en-GB"/>
        </w:rPr>
        <w:t xml:space="preserve"> estimates that approximately </w:t>
      </w:r>
      <w:r w:rsidR="0022720D" w:rsidRPr="00117F26">
        <w:rPr>
          <w:rFonts w:ascii="Times New Roman" w:hAnsi="Times New Roman" w:cs="Times New Roman"/>
          <w:sz w:val="22"/>
          <w:szCs w:val="22"/>
          <w:lang w:val="en-GB"/>
        </w:rPr>
        <w:t>75%</w:t>
      </w:r>
      <w:r w:rsidR="003B1250" w:rsidRPr="00117F26">
        <w:rPr>
          <w:rFonts w:ascii="Times New Roman" w:hAnsi="Times New Roman" w:cs="Times New Roman"/>
          <w:sz w:val="22"/>
          <w:szCs w:val="22"/>
          <w:lang w:val="en-GB"/>
        </w:rPr>
        <w:t xml:space="preserve"> of Palestinian workers do not currently benefit from the labour law. The CSO also used UNDP funds to work to strengthen th</w:t>
      </w:r>
      <w:r w:rsidR="00117F26">
        <w:rPr>
          <w:rFonts w:ascii="Times New Roman" w:hAnsi="Times New Roman" w:cs="Times New Roman"/>
          <w:sz w:val="22"/>
          <w:szCs w:val="22"/>
          <w:lang w:val="en-GB"/>
        </w:rPr>
        <w:t xml:space="preserve">e capacity of the </w:t>
      </w:r>
      <w:r w:rsidR="003B1250" w:rsidRPr="00117F26">
        <w:rPr>
          <w:rFonts w:ascii="Times New Roman" w:hAnsi="Times New Roman" w:cs="Times New Roman"/>
          <w:sz w:val="22"/>
          <w:szCs w:val="22"/>
          <w:lang w:val="en-GB"/>
        </w:rPr>
        <w:t>Labour I</w:t>
      </w:r>
      <w:r w:rsidR="00117F26">
        <w:rPr>
          <w:rFonts w:ascii="Times New Roman" w:hAnsi="Times New Roman" w:cs="Times New Roman"/>
          <w:sz w:val="22"/>
          <w:szCs w:val="22"/>
          <w:lang w:val="en-GB"/>
        </w:rPr>
        <w:t xml:space="preserve">nspection Unit </w:t>
      </w:r>
      <w:r w:rsidR="003B1250" w:rsidRPr="00117F26">
        <w:rPr>
          <w:rFonts w:ascii="Times New Roman" w:hAnsi="Times New Roman" w:cs="Times New Roman"/>
          <w:sz w:val="22"/>
          <w:szCs w:val="22"/>
          <w:lang w:val="en-GB"/>
        </w:rPr>
        <w:t>through a series of trainings on how to present evidence in court. This strengthened the entire labour justice chain due the fact that the Labour Inspection Unit has a very important role to play before cases go to court.</w:t>
      </w:r>
      <w:r w:rsidR="003B1250" w:rsidRPr="00117F26">
        <w:rPr>
          <w:rStyle w:val="FootnoteReference"/>
          <w:rFonts w:ascii="Times New Roman" w:hAnsi="Times New Roman" w:cs="Times New Roman"/>
          <w:sz w:val="22"/>
          <w:szCs w:val="22"/>
          <w:lang w:val="en-GB"/>
        </w:rPr>
        <w:footnoteReference w:id="126"/>
      </w:r>
    </w:p>
    <w:p w:rsidR="00490531" w:rsidRDefault="00490531" w:rsidP="00FB6759">
      <w:pPr>
        <w:spacing w:after="0" w:line="240" w:lineRule="auto"/>
        <w:jc w:val="both"/>
        <w:rPr>
          <w:rFonts w:ascii="Times New Roman" w:hAnsi="Times New Roman" w:cs="Times New Roman"/>
          <w:sz w:val="22"/>
          <w:szCs w:val="22"/>
          <w:lang w:val="en-GB"/>
        </w:rPr>
      </w:pPr>
    </w:p>
    <w:p w:rsidR="003B1250" w:rsidRPr="00117F26" w:rsidRDefault="003B1250" w:rsidP="00FB6759">
      <w:pPr>
        <w:spacing w:after="0" w:line="240" w:lineRule="auto"/>
        <w:jc w:val="both"/>
        <w:rPr>
          <w:rFonts w:ascii="Times New Roman" w:hAnsi="Times New Roman" w:cs="Times New Roman"/>
          <w:sz w:val="22"/>
          <w:szCs w:val="22"/>
          <w:lang w:val="en-GB"/>
        </w:rPr>
      </w:pPr>
      <w:r w:rsidRPr="00117F26">
        <w:rPr>
          <w:rFonts w:ascii="Times New Roman" w:hAnsi="Times New Roman" w:cs="Times New Roman"/>
          <w:sz w:val="22"/>
          <w:szCs w:val="22"/>
          <w:lang w:val="en-GB"/>
        </w:rPr>
        <w:t xml:space="preserve">Using UNDP funding, </w:t>
      </w:r>
      <w:r w:rsidR="00117F26">
        <w:rPr>
          <w:rFonts w:ascii="Times New Roman" w:hAnsi="Times New Roman" w:cs="Times New Roman"/>
          <w:sz w:val="22"/>
          <w:szCs w:val="22"/>
          <w:lang w:val="en-GB"/>
        </w:rPr>
        <w:t>DWRC</w:t>
      </w:r>
      <w:r w:rsidRPr="00117F26">
        <w:rPr>
          <w:rFonts w:ascii="Times New Roman" w:hAnsi="Times New Roman" w:cs="Times New Roman"/>
          <w:sz w:val="22"/>
          <w:szCs w:val="22"/>
          <w:lang w:val="en-GB"/>
        </w:rPr>
        <w:t xml:space="preserve"> has been able to try a new ty</w:t>
      </w:r>
      <w:r w:rsidR="00117F26">
        <w:rPr>
          <w:rFonts w:ascii="Times New Roman" w:hAnsi="Times New Roman" w:cs="Times New Roman"/>
          <w:sz w:val="22"/>
          <w:szCs w:val="22"/>
          <w:lang w:val="en-GB"/>
        </w:rPr>
        <w:t>pe of outreach</w:t>
      </w:r>
      <w:r w:rsidRPr="00117F26">
        <w:rPr>
          <w:rFonts w:ascii="Times New Roman" w:hAnsi="Times New Roman" w:cs="Times New Roman"/>
          <w:sz w:val="22"/>
          <w:szCs w:val="22"/>
          <w:lang w:val="en-GB"/>
        </w:rPr>
        <w:t xml:space="preserve"> in the form of mobile legal awareness clinics. </w:t>
      </w:r>
      <w:r w:rsidR="00117F26">
        <w:rPr>
          <w:rFonts w:ascii="Times New Roman" w:hAnsi="Times New Roman" w:cs="Times New Roman"/>
          <w:sz w:val="22"/>
          <w:szCs w:val="22"/>
          <w:lang w:val="en-GB"/>
        </w:rPr>
        <w:t>DWRC</w:t>
      </w:r>
      <w:r w:rsidRPr="00117F26">
        <w:rPr>
          <w:rFonts w:ascii="Times New Roman" w:hAnsi="Times New Roman" w:cs="Times New Roman"/>
          <w:sz w:val="22"/>
          <w:szCs w:val="22"/>
          <w:lang w:val="en-GB"/>
        </w:rPr>
        <w:t xml:space="preserve"> on occasion has also responded to requests for information about the labour law from ordinary citizens </w:t>
      </w:r>
      <w:r w:rsidR="00117F26">
        <w:rPr>
          <w:rFonts w:ascii="Times New Roman" w:hAnsi="Times New Roman" w:cs="Times New Roman"/>
          <w:sz w:val="22"/>
          <w:szCs w:val="22"/>
          <w:lang w:val="en-GB"/>
        </w:rPr>
        <w:t>that have helped them to organis</w:t>
      </w:r>
      <w:r w:rsidRPr="00117F26">
        <w:rPr>
          <w:rFonts w:ascii="Times New Roman" w:hAnsi="Times New Roman" w:cs="Times New Roman"/>
          <w:sz w:val="22"/>
          <w:szCs w:val="22"/>
          <w:lang w:val="en-GB"/>
        </w:rPr>
        <w:t xml:space="preserve">e </w:t>
      </w:r>
      <w:r w:rsidR="00117F26">
        <w:rPr>
          <w:rFonts w:ascii="Times New Roman" w:hAnsi="Times New Roman" w:cs="Times New Roman"/>
          <w:sz w:val="22"/>
          <w:szCs w:val="22"/>
          <w:lang w:val="en-GB"/>
        </w:rPr>
        <w:t xml:space="preserve">themselves </w:t>
      </w:r>
      <w:r w:rsidRPr="00117F26">
        <w:rPr>
          <w:rFonts w:ascii="Times New Roman" w:hAnsi="Times New Roman" w:cs="Times New Roman"/>
          <w:sz w:val="22"/>
          <w:szCs w:val="22"/>
          <w:lang w:val="en-GB"/>
        </w:rPr>
        <w:t xml:space="preserve">and defend their rights. </w:t>
      </w:r>
      <w:r w:rsidR="00117F26">
        <w:rPr>
          <w:rFonts w:ascii="Times New Roman" w:hAnsi="Times New Roman" w:cs="Times New Roman"/>
          <w:sz w:val="22"/>
          <w:szCs w:val="22"/>
          <w:lang w:val="en-GB"/>
        </w:rPr>
        <w:t>DWRC</w:t>
      </w:r>
      <w:r w:rsidRPr="00117F26">
        <w:rPr>
          <w:rFonts w:ascii="Times New Roman" w:hAnsi="Times New Roman" w:cs="Times New Roman"/>
          <w:sz w:val="22"/>
          <w:szCs w:val="22"/>
          <w:lang w:val="en-GB"/>
        </w:rPr>
        <w:t xml:space="preserve"> was successful in holding meetings at a number of hospitals and in convincing hospital cleaning staff to argue for severance pay. </w:t>
      </w:r>
      <w:r w:rsidR="00117F26">
        <w:rPr>
          <w:rFonts w:ascii="Times New Roman" w:hAnsi="Times New Roman" w:cs="Times New Roman"/>
          <w:sz w:val="22"/>
          <w:szCs w:val="22"/>
          <w:lang w:val="en-GB"/>
        </w:rPr>
        <w:t>DWRC</w:t>
      </w:r>
      <w:r w:rsidRPr="00117F26">
        <w:rPr>
          <w:rFonts w:ascii="Times New Roman" w:hAnsi="Times New Roman" w:cs="Times New Roman"/>
          <w:sz w:val="22"/>
          <w:szCs w:val="22"/>
          <w:lang w:val="en-GB"/>
        </w:rPr>
        <w:t xml:space="preserve"> also lobbied with the Mi</w:t>
      </w:r>
      <w:r w:rsidR="00117F26">
        <w:rPr>
          <w:rFonts w:ascii="Times New Roman" w:hAnsi="Times New Roman" w:cs="Times New Roman"/>
          <w:sz w:val="22"/>
          <w:szCs w:val="22"/>
          <w:lang w:val="en-GB"/>
        </w:rPr>
        <w:t xml:space="preserve">nistry of Labour </w:t>
      </w:r>
      <w:r w:rsidRPr="00117F26">
        <w:rPr>
          <w:rFonts w:ascii="Times New Roman" w:hAnsi="Times New Roman" w:cs="Times New Roman"/>
          <w:sz w:val="22"/>
          <w:szCs w:val="22"/>
          <w:lang w:val="en-GB"/>
        </w:rPr>
        <w:t xml:space="preserve">to amend the procedures for severance pay. In the end, DWRCP’s efforts resulted in some workers obtaining the benefits that were owed to them.   </w:t>
      </w:r>
    </w:p>
    <w:p w:rsidR="00490531" w:rsidRPr="00117F26" w:rsidRDefault="00490531" w:rsidP="00FB6759">
      <w:pPr>
        <w:spacing w:after="0" w:line="240" w:lineRule="auto"/>
        <w:jc w:val="both"/>
        <w:rPr>
          <w:rFonts w:ascii="Times New Roman" w:hAnsi="Times New Roman" w:cs="Times New Roman"/>
          <w:sz w:val="22"/>
          <w:szCs w:val="22"/>
          <w:lang w:val="en-GB"/>
        </w:rPr>
      </w:pPr>
    </w:p>
    <w:p w:rsidR="00490531" w:rsidRPr="00117F26" w:rsidRDefault="00C45EEF" w:rsidP="00FB6759">
      <w:pPr>
        <w:spacing w:after="0" w:line="240" w:lineRule="auto"/>
        <w:jc w:val="both"/>
        <w:rPr>
          <w:rFonts w:ascii="Times New Roman" w:hAnsi="Times New Roman" w:cs="Times New Roman"/>
          <w:sz w:val="22"/>
          <w:szCs w:val="22"/>
          <w:lang w:val="en-GB"/>
        </w:rPr>
      </w:pPr>
      <w:r w:rsidRPr="00117F26">
        <w:rPr>
          <w:rFonts w:ascii="Times New Roman" w:hAnsi="Times New Roman" w:cs="Times New Roman"/>
          <w:sz w:val="22"/>
          <w:szCs w:val="22"/>
          <w:lang w:val="en-GB"/>
        </w:rPr>
        <w:t xml:space="preserve">Women for Life </w:t>
      </w:r>
      <w:r w:rsidR="00E766DC">
        <w:rPr>
          <w:rFonts w:ascii="Times New Roman" w:hAnsi="Times New Roman" w:cs="Times New Roman"/>
          <w:sz w:val="22"/>
          <w:szCs w:val="22"/>
          <w:lang w:val="en-GB"/>
        </w:rPr>
        <w:t xml:space="preserve">(WFL) </w:t>
      </w:r>
      <w:r w:rsidRPr="00117F26">
        <w:rPr>
          <w:rFonts w:ascii="Times New Roman" w:hAnsi="Times New Roman" w:cs="Times New Roman"/>
          <w:sz w:val="22"/>
          <w:szCs w:val="22"/>
          <w:lang w:val="en-GB"/>
        </w:rPr>
        <w:t xml:space="preserve">was established 2004 and works in Salfit and </w:t>
      </w:r>
      <w:r w:rsidR="00117F26">
        <w:rPr>
          <w:rFonts w:ascii="Times New Roman" w:hAnsi="Times New Roman" w:cs="Times New Roman"/>
          <w:sz w:val="22"/>
          <w:szCs w:val="22"/>
          <w:lang w:val="en-GB"/>
        </w:rPr>
        <w:t>Qalqily</w:t>
      </w:r>
      <w:r w:rsidR="00D45231" w:rsidRPr="00117F26">
        <w:rPr>
          <w:rFonts w:ascii="Times New Roman" w:hAnsi="Times New Roman" w:cs="Times New Roman"/>
          <w:sz w:val="22"/>
          <w:szCs w:val="22"/>
          <w:lang w:val="en-GB"/>
        </w:rPr>
        <w:t>a</w:t>
      </w:r>
      <w:r w:rsidR="00117F26">
        <w:rPr>
          <w:rFonts w:ascii="Times New Roman" w:hAnsi="Times New Roman" w:cs="Times New Roman"/>
          <w:sz w:val="22"/>
          <w:szCs w:val="22"/>
          <w:lang w:val="en-GB"/>
        </w:rPr>
        <w:t>. UNDP funds</w:t>
      </w:r>
      <w:r w:rsidRPr="00117F26">
        <w:rPr>
          <w:rFonts w:ascii="Times New Roman" w:hAnsi="Times New Roman" w:cs="Times New Roman"/>
          <w:sz w:val="22"/>
          <w:szCs w:val="22"/>
          <w:lang w:val="en-GB"/>
        </w:rPr>
        <w:t xml:space="preserve"> the legal and social services unit</w:t>
      </w:r>
      <w:r w:rsidR="00117F26">
        <w:rPr>
          <w:rFonts w:ascii="Times New Roman" w:hAnsi="Times New Roman" w:cs="Times New Roman"/>
          <w:sz w:val="22"/>
          <w:szCs w:val="22"/>
          <w:lang w:val="en-GB"/>
        </w:rPr>
        <w:t xml:space="preserve"> which works to address </w:t>
      </w:r>
      <w:r w:rsidRPr="00117F26">
        <w:rPr>
          <w:rFonts w:ascii="Times New Roman" w:hAnsi="Times New Roman" w:cs="Times New Roman"/>
          <w:sz w:val="22"/>
          <w:szCs w:val="22"/>
          <w:lang w:val="en-GB"/>
        </w:rPr>
        <w:t>violence against women</w:t>
      </w:r>
      <w:r w:rsidR="008C2FF7" w:rsidRPr="00117F26">
        <w:rPr>
          <w:rFonts w:ascii="Times New Roman" w:hAnsi="Times New Roman" w:cs="Times New Roman"/>
          <w:sz w:val="22"/>
          <w:szCs w:val="22"/>
          <w:lang w:val="en-GB"/>
        </w:rPr>
        <w:t>.</w:t>
      </w:r>
      <w:r w:rsidR="00E766DC">
        <w:rPr>
          <w:rFonts w:ascii="Times New Roman" w:hAnsi="Times New Roman" w:cs="Times New Roman"/>
          <w:sz w:val="22"/>
          <w:szCs w:val="22"/>
          <w:lang w:val="en-GB"/>
        </w:rPr>
        <w:t>WFL</w:t>
      </w:r>
      <w:r w:rsidR="00117F26">
        <w:rPr>
          <w:rFonts w:ascii="Times New Roman" w:hAnsi="Times New Roman" w:cs="Times New Roman"/>
          <w:sz w:val="22"/>
          <w:szCs w:val="22"/>
          <w:lang w:val="en-GB"/>
        </w:rPr>
        <w:t xml:space="preserve"> currently employs three female lawyers </w:t>
      </w:r>
      <w:r w:rsidRPr="00117F26">
        <w:rPr>
          <w:rFonts w:ascii="Times New Roman" w:hAnsi="Times New Roman" w:cs="Times New Roman"/>
          <w:sz w:val="22"/>
          <w:szCs w:val="22"/>
          <w:lang w:val="en-GB"/>
        </w:rPr>
        <w:t xml:space="preserve">and a social worker. The </w:t>
      </w:r>
      <w:r w:rsidR="00117F26">
        <w:rPr>
          <w:rFonts w:ascii="Times New Roman" w:hAnsi="Times New Roman" w:cs="Times New Roman"/>
          <w:sz w:val="22"/>
          <w:szCs w:val="22"/>
          <w:lang w:val="en-GB"/>
        </w:rPr>
        <w:t xml:space="preserve">UNDP supported </w:t>
      </w:r>
      <w:r w:rsidRPr="00117F26">
        <w:rPr>
          <w:rFonts w:ascii="Times New Roman" w:hAnsi="Times New Roman" w:cs="Times New Roman"/>
          <w:sz w:val="22"/>
          <w:szCs w:val="22"/>
          <w:lang w:val="en-GB"/>
        </w:rPr>
        <w:t xml:space="preserve">project deals mainly with the execution of judgements from the </w:t>
      </w:r>
      <w:r w:rsidR="00117F26" w:rsidRPr="00117F26">
        <w:rPr>
          <w:rFonts w:ascii="Times New Roman" w:hAnsi="Times New Roman" w:cs="Times New Roman"/>
          <w:i/>
          <w:sz w:val="22"/>
          <w:szCs w:val="22"/>
          <w:lang w:val="en-GB"/>
        </w:rPr>
        <w:t>s</w:t>
      </w:r>
      <w:r w:rsidR="000C369C" w:rsidRPr="00117F26">
        <w:rPr>
          <w:rFonts w:ascii="Times New Roman" w:hAnsi="Times New Roman" w:cs="Times New Roman"/>
          <w:i/>
          <w:sz w:val="22"/>
          <w:szCs w:val="22"/>
          <w:lang w:val="en-GB"/>
        </w:rPr>
        <w:t>hari’a</w:t>
      </w:r>
      <w:r w:rsidR="00117F26">
        <w:rPr>
          <w:rFonts w:ascii="Times New Roman" w:hAnsi="Times New Roman" w:cs="Times New Roman"/>
          <w:sz w:val="22"/>
          <w:szCs w:val="22"/>
          <w:lang w:val="en-GB"/>
        </w:rPr>
        <w:t xml:space="preserve"> courts. </w:t>
      </w:r>
      <w:r w:rsidRPr="00117F26">
        <w:rPr>
          <w:rFonts w:ascii="Times New Roman" w:hAnsi="Times New Roman" w:cs="Times New Roman"/>
          <w:sz w:val="22"/>
          <w:szCs w:val="22"/>
          <w:lang w:val="en-GB"/>
        </w:rPr>
        <w:t xml:space="preserve">It sometimes takes years until such judgements are executed. </w:t>
      </w:r>
    </w:p>
    <w:p w:rsidR="00C45EEF" w:rsidRPr="00D93937" w:rsidRDefault="00C45EEF" w:rsidP="00FB6759">
      <w:pPr>
        <w:spacing w:after="0" w:line="240" w:lineRule="auto"/>
        <w:jc w:val="both"/>
        <w:rPr>
          <w:rFonts w:ascii="Times New Roman" w:hAnsi="Times New Roman" w:cs="Times New Roman"/>
          <w:sz w:val="22"/>
          <w:szCs w:val="22"/>
          <w:lang w:val="en-GB"/>
        </w:rPr>
      </w:pPr>
      <w:r w:rsidRPr="00D93937">
        <w:rPr>
          <w:rFonts w:ascii="Times New Roman" w:hAnsi="Times New Roman" w:cs="Times New Roman"/>
          <w:sz w:val="22"/>
          <w:szCs w:val="22"/>
          <w:lang w:val="en-GB"/>
        </w:rPr>
        <w:lastRenderedPageBreak/>
        <w:t>Using UNDP funds and t</w:t>
      </w:r>
      <w:r w:rsidR="00E766DC">
        <w:rPr>
          <w:rFonts w:ascii="Times New Roman" w:hAnsi="Times New Roman" w:cs="Times New Roman"/>
          <w:sz w:val="22"/>
          <w:szCs w:val="22"/>
          <w:lang w:val="en-GB"/>
        </w:rPr>
        <w:t>echnical support, WFL</w:t>
      </w:r>
      <w:r w:rsidRPr="00D93937">
        <w:rPr>
          <w:rFonts w:ascii="Times New Roman" w:hAnsi="Times New Roman" w:cs="Times New Roman"/>
          <w:sz w:val="22"/>
          <w:szCs w:val="22"/>
          <w:lang w:val="en-GB"/>
        </w:rPr>
        <w:t xml:space="preserve"> lawyers began by researching the reasons why it is difficult for women to access justice, including mapping out the reasons why the judgments were not executed. The UNDP supported research confirmed that low rates of execution</w:t>
      </w:r>
      <w:r w:rsidR="00D93937">
        <w:rPr>
          <w:rFonts w:ascii="Times New Roman" w:hAnsi="Times New Roman" w:cs="Times New Roman"/>
          <w:sz w:val="22"/>
          <w:szCs w:val="22"/>
          <w:lang w:val="en-GB"/>
        </w:rPr>
        <w:t xml:space="preserve"> are primarily caused by </w:t>
      </w:r>
      <w:r w:rsidRPr="00D93937">
        <w:rPr>
          <w:rFonts w:ascii="Times New Roman" w:hAnsi="Times New Roman" w:cs="Times New Roman"/>
          <w:sz w:val="22"/>
          <w:szCs w:val="22"/>
          <w:lang w:val="en-GB"/>
        </w:rPr>
        <w:t xml:space="preserve">the fact that </w:t>
      </w:r>
      <w:r w:rsidR="00D93937" w:rsidRPr="00D93937">
        <w:rPr>
          <w:rFonts w:ascii="Times New Roman" w:hAnsi="Times New Roman" w:cs="Times New Roman"/>
          <w:i/>
          <w:sz w:val="22"/>
          <w:szCs w:val="22"/>
          <w:lang w:val="en-GB"/>
        </w:rPr>
        <w:t>s</w:t>
      </w:r>
      <w:r w:rsidR="000C369C" w:rsidRPr="00D93937">
        <w:rPr>
          <w:rFonts w:ascii="Times New Roman" w:hAnsi="Times New Roman" w:cs="Times New Roman"/>
          <w:i/>
          <w:sz w:val="22"/>
          <w:szCs w:val="22"/>
          <w:lang w:val="en-GB"/>
        </w:rPr>
        <w:t>hari’a</w:t>
      </w:r>
      <w:r w:rsidR="00D93937">
        <w:rPr>
          <w:rFonts w:ascii="Times New Roman" w:hAnsi="Times New Roman" w:cs="Times New Roman"/>
          <w:sz w:val="22"/>
          <w:szCs w:val="22"/>
          <w:lang w:val="en-GB"/>
        </w:rPr>
        <w:t xml:space="preserve"> c</w:t>
      </w:r>
      <w:r w:rsidRPr="00D93937">
        <w:rPr>
          <w:rFonts w:ascii="Times New Roman" w:hAnsi="Times New Roman" w:cs="Times New Roman"/>
          <w:sz w:val="22"/>
          <w:szCs w:val="22"/>
          <w:lang w:val="en-GB"/>
        </w:rPr>
        <w:t>ourts are currently not able t</w:t>
      </w:r>
      <w:r w:rsidR="00D93937">
        <w:rPr>
          <w:rFonts w:ascii="Times New Roman" w:hAnsi="Times New Roman" w:cs="Times New Roman"/>
          <w:sz w:val="22"/>
          <w:szCs w:val="22"/>
          <w:lang w:val="en-GB"/>
        </w:rPr>
        <w:t xml:space="preserve">o execute their own judgements. </w:t>
      </w:r>
      <w:r w:rsidRPr="00D93937">
        <w:rPr>
          <w:rFonts w:ascii="Times New Roman" w:hAnsi="Times New Roman" w:cs="Times New Roman"/>
          <w:sz w:val="22"/>
          <w:szCs w:val="22"/>
          <w:lang w:val="en-GB"/>
        </w:rPr>
        <w:t xml:space="preserve">This research concluded that there needs to be a special division established at the </w:t>
      </w:r>
      <w:r w:rsidR="00D93937" w:rsidRPr="00D93937">
        <w:rPr>
          <w:rFonts w:ascii="Times New Roman" w:hAnsi="Times New Roman" w:cs="Times New Roman"/>
          <w:i/>
          <w:sz w:val="22"/>
          <w:szCs w:val="22"/>
          <w:lang w:val="en-GB"/>
        </w:rPr>
        <w:t>s</w:t>
      </w:r>
      <w:r w:rsidR="000C369C" w:rsidRPr="00D93937">
        <w:rPr>
          <w:rFonts w:ascii="Times New Roman" w:hAnsi="Times New Roman" w:cs="Times New Roman"/>
          <w:i/>
          <w:sz w:val="22"/>
          <w:szCs w:val="22"/>
          <w:lang w:val="en-GB"/>
        </w:rPr>
        <w:t>hari’a</w:t>
      </w:r>
      <w:r w:rsidRPr="00D93937">
        <w:rPr>
          <w:rFonts w:ascii="Times New Roman" w:hAnsi="Times New Roman" w:cs="Times New Roman"/>
          <w:sz w:val="22"/>
          <w:szCs w:val="22"/>
          <w:lang w:val="en-GB"/>
        </w:rPr>
        <w:t xml:space="preserve"> courts for execution of judgements. The research also revealed a need for additional and enhanced awareness-raising for women, the courts and police.  </w:t>
      </w:r>
    </w:p>
    <w:p w:rsidR="00490531" w:rsidRPr="00D93937" w:rsidRDefault="00490531" w:rsidP="00FB6759">
      <w:pPr>
        <w:spacing w:after="0" w:line="240" w:lineRule="auto"/>
        <w:jc w:val="both"/>
        <w:rPr>
          <w:rFonts w:ascii="Times New Roman" w:hAnsi="Times New Roman" w:cs="Times New Roman"/>
          <w:sz w:val="22"/>
          <w:szCs w:val="22"/>
          <w:lang w:val="en-GB"/>
        </w:rPr>
      </w:pPr>
    </w:p>
    <w:p w:rsidR="00C45EEF" w:rsidRPr="00D93937" w:rsidRDefault="00E766DC"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WFL</w:t>
      </w:r>
      <w:r w:rsidR="00C45EEF" w:rsidRPr="00D93937">
        <w:rPr>
          <w:rFonts w:ascii="Times New Roman" w:hAnsi="Times New Roman" w:cs="Times New Roman"/>
          <w:sz w:val="22"/>
          <w:szCs w:val="22"/>
          <w:lang w:val="en-GB"/>
        </w:rPr>
        <w:t xml:space="preserve"> lawyers were subsequently successful in executing twenty </w:t>
      </w:r>
      <w:r w:rsidR="00D93937" w:rsidRPr="00D93937">
        <w:rPr>
          <w:rFonts w:ascii="Times New Roman" w:hAnsi="Times New Roman" w:cs="Times New Roman"/>
          <w:i/>
          <w:sz w:val="22"/>
          <w:szCs w:val="22"/>
          <w:lang w:val="en-GB"/>
        </w:rPr>
        <w:t>s</w:t>
      </w:r>
      <w:r w:rsidR="000C369C" w:rsidRPr="00D93937">
        <w:rPr>
          <w:rFonts w:ascii="Times New Roman" w:hAnsi="Times New Roman" w:cs="Times New Roman"/>
          <w:i/>
          <w:sz w:val="22"/>
          <w:szCs w:val="22"/>
          <w:lang w:val="en-GB"/>
        </w:rPr>
        <w:t>hari’a</w:t>
      </w:r>
      <w:r w:rsidR="00D93937">
        <w:rPr>
          <w:rFonts w:ascii="Times New Roman" w:hAnsi="Times New Roman" w:cs="Times New Roman"/>
          <w:sz w:val="22"/>
          <w:szCs w:val="22"/>
          <w:lang w:val="en-GB"/>
        </w:rPr>
        <w:t xml:space="preserve"> court judgements. T</w:t>
      </w:r>
      <w:r w:rsidR="00C45EEF" w:rsidRPr="00D93937">
        <w:rPr>
          <w:rFonts w:ascii="Times New Roman" w:hAnsi="Times New Roman" w:cs="Times New Roman"/>
          <w:sz w:val="22"/>
          <w:szCs w:val="22"/>
          <w:lang w:val="en-GB"/>
        </w:rPr>
        <w:t xml:space="preserve">his was the first time that so many judgements for women had been executed for Salfit and </w:t>
      </w:r>
      <w:r w:rsidR="00D93937">
        <w:rPr>
          <w:rFonts w:ascii="Times New Roman" w:hAnsi="Times New Roman" w:cs="Times New Roman"/>
          <w:sz w:val="22"/>
          <w:szCs w:val="22"/>
          <w:lang w:val="en-GB"/>
        </w:rPr>
        <w:t>Qalqily</w:t>
      </w:r>
      <w:r w:rsidR="005D1121" w:rsidRPr="00D93937">
        <w:rPr>
          <w:rFonts w:ascii="Times New Roman" w:hAnsi="Times New Roman" w:cs="Times New Roman"/>
          <w:sz w:val="22"/>
          <w:szCs w:val="22"/>
          <w:lang w:val="en-GB"/>
        </w:rPr>
        <w:t>a</w:t>
      </w:r>
      <w:r>
        <w:rPr>
          <w:rFonts w:ascii="Times New Roman" w:hAnsi="Times New Roman" w:cs="Times New Roman"/>
          <w:sz w:val="22"/>
          <w:szCs w:val="22"/>
          <w:lang w:val="en-GB"/>
        </w:rPr>
        <w:t xml:space="preserve">. </w:t>
      </w:r>
      <w:r w:rsidR="00C45EEF" w:rsidRPr="00D93937">
        <w:rPr>
          <w:rFonts w:ascii="Times New Roman" w:hAnsi="Times New Roman" w:cs="Times New Roman"/>
          <w:sz w:val="22"/>
          <w:szCs w:val="22"/>
          <w:lang w:val="en-GB"/>
        </w:rPr>
        <w:t xml:space="preserve">The lawyers worked on 15 new cases this past year and rendered legal advice in an additional 30 to 40 cases. These clients have had a variety of legal issues, but most </w:t>
      </w:r>
      <w:r>
        <w:rPr>
          <w:rFonts w:ascii="Times New Roman" w:hAnsi="Times New Roman" w:cs="Times New Roman"/>
          <w:sz w:val="22"/>
          <w:szCs w:val="22"/>
          <w:lang w:val="en-GB"/>
        </w:rPr>
        <w:t>are abused women. WFL</w:t>
      </w:r>
      <w:r w:rsidR="00C45EEF" w:rsidRPr="00D93937">
        <w:rPr>
          <w:rFonts w:ascii="Times New Roman" w:hAnsi="Times New Roman" w:cs="Times New Roman"/>
          <w:sz w:val="22"/>
          <w:szCs w:val="22"/>
          <w:lang w:val="en-GB"/>
        </w:rPr>
        <w:t xml:space="preserve"> re</w:t>
      </w:r>
      <w:r w:rsidR="00D93937">
        <w:rPr>
          <w:rFonts w:ascii="Times New Roman" w:hAnsi="Times New Roman" w:cs="Times New Roman"/>
          <w:sz w:val="22"/>
          <w:szCs w:val="22"/>
          <w:lang w:val="en-GB"/>
        </w:rPr>
        <w:t>fers all juvenile cases to the child protection network of MOSA</w:t>
      </w:r>
      <w:r w:rsidR="00C45EEF" w:rsidRPr="00D93937">
        <w:rPr>
          <w:rFonts w:ascii="Times New Roman" w:hAnsi="Times New Roman" w:cs="Times New Roman"/>
          <w:sz w:val="22"/>
          <w:szCs w:val="22"/>
          <w:lang w:val="en-GB"/>
        </w:rPr>
        <w:t xml:space="preserve">. </w:t>
      </w:r>
    </w:p>
    <w:p w:rsidR="00490531" w:rsidRDefault="00490531" w:rsidP="00FB6759">
      <w:pPr>
        <w:spacing w:after="0" w:line="240" w:lineRule="auto"/>
        <w:jc w:val="both"/>
        <w:rPr>
          <w:rFonts w:ascii="Times New Roman" w:hAnsi="Times New Roman" w:cs="Times New Roman"/>
          <w:sz w:val="22"/>
          <w:szCs w:val="22"/>
          <w:lang w:val="en-GB"/>
        </w:rPr>
      </w:pPr>
    </w:p>
    <w:p w:rsidR="00C45EEF" w:rsidRPr="004A29F9" w:rsidRDefault="00D93937"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According to the director of the execution department at the civil c</w:t>
      </w:r>
      <w:r w:rsidR="00C45EEF" w:rsidRPr="004A29F9">
        <w:rPr>
          <w:rFonts w:ascii="Times New Roman" w:hAnsi="Times New Roman" w:cs="Times New Roman"/>
          <w:sz w:val="22"/>
          <w:szCs w:val="22"/>
          <w:lang w:val="en-GB"/>
        </w:rPr>
        <w:t>ourt in Salfit</w:t>
      </w:r>
      <w:r>
        <w:rPr>
          <w:rFonts w:ascii="Times New Roman" w:hAnsi="Times New Roman" w:cs="Times New Roman"/>
          <w:sz w:val="22"/>
          <w:szCs w:val="22"/>
          <w:lang w:val="en-GB"/>
        </w:rPr>
        <w:t xml:space="preserve">, the court witnessed a large </w:t>
      </w:r>
      <w:r w:rsidR="00C45EEF" w:rsidRPr="004A29F9">
        <w:rPr>
          <w:rFonts w:ascii="Times New Roman" w:hAnsi="Times New Roman" w:cs="Times New Roman"/>
          <w:sz w:val="22"/>
          <w:szCs w:val="22"/>
          <w:lang w:val="en-GB"/>
        </w:rPr>
        <w:t>increase in demand for execution of judgements as a result of the UNDP supported women’s awareness-raising. Previous to 2011, the execution department at Salfit dealt with about 400 cases per year, after the UNDP supported training 2011 and 2012 the court was able to deal with 2</w:t>
      </w:r>
      <w:r w:rsidR="007E28F2" w:rsidRPr="004A29F9">
        <w:rPr>
          <w:rFonts w:ascii="Times New Roman" w:hAnsi="Times New Roman" w:cs="Times New Roman"/>
          <w:sz w:val="22"/>
          <w:szCs w:val="22"/>
          <w:lang w:val="en-GB"/>
        </w:rPr>
        <w:t>,</w:t>
      </w:r>
      <w:r w:rsidR="00C45EEF" w:rsidRPr="004A29F9">
        <w:rPr>
          <w:rFonts w:ascii="Times New Roman" w:hAnsi="Times New Roman" w:cs="Times New Roman"/>
          <w:sz w:val="22"/>
          <w:szCs w:val="22"/>
          <w:lang w:val="en-GB"/>
        </w:rPr>
        <w:t>000 cases each year (of these 20% are women). As of 2013, the number of women approaching the courts for execution of judgements is continuing to increase.</w:t>
      </w:r>
    </w:p>
    <w:p w:rsidR="00490531" w:rsidRDefault="00490531" w:rsidP="00FB6759">
      <w:pPr>
        <w:spacing w:after="0" w:line="240" w:lineRule="auto"/>
        <w:jc w:val="both"/>
        <w:rPr>
          <w:rFonts w:ascii="Times New Roman" w:hAnsi="Times New Roman" w:cs="Times New Roman"/>
          <w:sz w:val="22"/>
          <w:szCs w:val="22"/>
          <w:lang w:val="en-GB"/>
        </w:rPr>
      </w:pPr>
    </w:p>
    <w:p w:rsidR="003B1250" w:rsidRPr="00D93937" w:rsidRDefault="00D93937"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A local lawyer interviewed by the e</w:t>
      </w:r>
      <w:r w:rsidR="00C45EEF" w:rsidRPr="004A29F9">
        <w:rPr>
          <w:rFonts w:ascii="Times New Roman" w:hAnsi="Times New Roman" w:cs="Times New Roman"/>
          <w:sz w:val="22"/>
          <w:szCs w:val="22"/>
          <w:lang w:val="en-GB"/>
        </w:rPr>
        <w:t>valuation stated that UNDP technical advice and trainings had proved beneficial to his work due to the fact that he had no prev</w:t>
      </w:r>
      <w:r>
        <w:rPr>
          <w:rFonts w:ascii="Times New Roman" w:hAnsi="Times New Roman" w:cs="Times New Roman"/>
          <w:sz w:val="22"/>
          <w:szCs w:val="22"/>
          <w:lang w:val="en-GB"/>
        </w:rPr>
        <w:t xml:space="preserve">ious training on women’s issues - </w:t>
      </w:r>
      <w:r w:rsidR="00C45EEF" w:rsidRPr="004A29F9">
        <w:rPr>
          <w:rFonts w:ascii="Times New Roman" w:hAnsi="Times New Roman" w:cs="Times New Roman"/>
          <w:sz w:val="22"/>
          <w:szCs w:val="22"/>
          <w:lang w:val="en-GB"/>
        </w:rPr>
        <w:t>especially due to the fact that rates of dome</w:t>
      </w:r>
      <w:r>
        <w:rPr>
          <w:rFonts w:ascii="Times New Roman" w:hAnsi="Times New Roman" w:cs="Times New Roman"/>
          <w:sz w:val="22"/>
          <w:szCs w:val="22"/>
          <w:lang w:val="en-GB"/>
        </w:rPr>
        <w:t>stic violence are increasing. The family protection u</w:t>
      </w:r>
      <w:r w:rsidR="00C45EEF" w:rsidRPr="004A29F9">
        <w:rPr>
          <w:rFonts w:ascii="Times New Roman" w:hAnsi="Times New Roman" w:cs="Times New Roman"/>
          <w:sz w:val="22"/>
          <w:szCs w:val="22"/>
          <w:lang w:val="en-GB"/>
        </w:rPr>
        <w:t>nit</w:t>
      </w:r>
      <w:r>
        <w:rPr>
          <w:rFonts w:ascii="Times New Roman" w:hAnsi="Times New Roman" w:cs="Times New Roman"/>
          <w:sz w:val="22"/>
          <w:szCs w:val="22"/>
          <w:lang w:val="en-GB"/>
        </w:rPr>
        <w:t>s</w:t>
      </w:r>
      <w:r w:rsidR="00C45EEF" w:rsidRPr="004A29F9">
        <w:rPr>
          <w:rFonts w:ascii="Times New Roman" w:hAnsi="Times New Roman" w:cs="Times New Roman"/>
          <w:sz w:val="22"/>
          <w:szCs w:val="22"/>
          <w:lang w:val="en-GB"/>
        </w:rPr>
        <w:t xml:space="preserve"> at the police that deals with violence against women as well as disputes between children and parents is being used with increasing fr</w:t>
      </w:r>
      <w:r>
        <w:rPr>
          <w:rFonts w:ascii="Times New Roman" w:hAnsi="Times New Roman" w:cs="Times New Roman"/>
          <w:sz w:val="22"/>
          <w:szCs w:val="22"/>
          <w:lang w:val="en-GB"/>
        </w:rPr>
        <w:t>equency. In his opinion, the units were</w:t>
      </w:r>
      <w:r w:rsidR="00C45EEF" w:rsidRPr="004A29F9">
        <w:rPr>
          <w:rFonts w:ascii="Times New Roman" w:hAnsi="Times New Roman" w:cs="Times New Roman"/>
          <w:sz w:val="22"/>
          <w:szCs w:val="22"/>
          <w:lang w:val="en-GB"/>
        </w:rPr>
        <w:t xml:space="preserve"> made more efficient as a result of UNDP support. Police are now actively referring women to the </w:t>
      </w:r>
      <w:r>
        <w:rPr>
          <w:rFonts w:ascii="Times New Roman" w:hAnsi="Times New Roman" w:cs="Times New Roman"/>
          <w:sz w:val="22"/>
          <w:szCs w:val="22"/>
          <w:lang w:val="en-GB"/>
        </w:rPr>
        <w:t xml:space="preserve">local </w:t>
      </w:r>
      <w:r w:rsidR="00C45EEF" w:rsidRPr="004A29F9">
        <w:rPr>
          <w:rFonts w:ascii="Times New Roman" w:hAnsi="Times New Roman" w:cs="Times New Roman"/>
          <w:sz w:val="22"/>
          <w:szCs w:val="22"/>
          <w:lang w:val="en-GB"/>
        </w:rPr>
        <w:t xml:space="preserve">legal aid centre. </w:t>
      </w:r>
      <w:r w:rsidR="000C369C" w:rsidRPr="00D93937">
        <w:rPr>
          <w:rFonts w:ascii="Times New Roman" w:hAnsi="Times New Roman" w:cs="Times New Roman"/>
          <w:i/>
          <w:sz w:val="22"/>
          <w:szCs w:val="22"/>
          <w:lang w:val="en-GB"/>
        </w:rPr>
        <w:t>Shari’a</w:t>
      </w:r>
      <w:r w:rsidR="00C45EEF" w:rsidRPr="004A29F9">
        <w:rPr>
          <w:rFonts w:ascii="Times New Roman" w:hAnsi="Times New Roman" w:cs="Times New Roman"/>
          <w:sz w:val="22"/>
          <w:szCs w:val="22"/>
          <w:lang w:val="en-GB"/>
        </w:rPr>
        <w:t xml:space="preserve"> courts and tribal </w:t>
      </w:r>
      <w:r w:rsidR="00C45EEF" w:rsidRPr="00D93937">
        <w:rPr>
          <w:rFonts w:ascii="Times New Roman" w:hAnsi="Times New Roman" w:cs="Times New Roman"/>
          <w:sz w:val="22"/>
          <w:szCs w:val="22"/>
          <w:lang w:val="en-GB"/>
        </w:rPr>
        <w:t>leaders are also r</w:t>
      </w:r>
      <w:r>
        <w:rPr>
          <w:rFonts w:ascii="Times New Roman" w:hAnsi="Times New Roman" w:cs="Times New Roman"/>
          <w:sz w:val="22"/>
          <w:szCs w:val="22"/>
          <w:lang w:val="en-GB"/>
        </w:rPr>
        <w:t xml:space="preserve">eferring cases to the </w:t>
      </w:r>
      <w:r w:rsidR="00C45EEF" w:rsidRPr="00D93937">
        <w:rPr>
          <w:rFonts w:ascii="Times New Roman" w:hAnsi="Times New Roman" w:cs="Times New Roman"/>
          <w:sz w:val="22"/>
          <w:szCs w:val="22"/>
          <w:lang w:val="en-GB"/>
        </w:rPr>
        <w:t xml:space="preserve">centre as a result of the legal awareness raising conducted by Women for Life. </w:t>
      </w:r>
    </w:p>
    <w:p w:rsidR="0060357A" w:rsidRPr="004A29F9" w:rsidRDefault="0060357A" w:rsidP="00490531">
      <w:pPr>
        <w:spacing w:after="0" w:line="240" w:lineRule="auto"/>
        <w:rPr>
          <w:rFonts w:ascii="Times New Roman" w:hAnsi="Times New Roman" w:cs="Times New Roman"/>
          <w:sz w:val="22"/>
          <w:szCs w:val="22"/>
          <w:lang w:val="en-GB"/>
        </w:rPr>
      </w:pPr>
    </w:p>
    <w:p w:rsidR="0060357A" w:rsidRPr="004A29F9" w:rsidRDefault="0060357A"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 laborious pace of cases working their way through the court system</w:t>
      </w:r>
      <w:r w:rsidR="00D93937">
        <w:rPr>
          <w:rFonts w:ascii="Times New Roman" w:hAnsi="Times New Roman" w:cs="Times New Roman"/>
          <w:sz w:val="22"/>
          <w:szCs w:val="22"/>
          <w:lang w:val="en-GB"/>
        </w:rPr>
        <w:t xml:space="preserve"> means that UNDP and the organis</w:t>
      </w:r>
      <w:r w:rsidRPr="004A29F9">
        <w:rPr>
          <w:rFonts w:ascii="Times New Roman" w:hAnsi="Times New Roman" w:cs="Times New Roman"/>
          <w:sz w:val="22"/>
          <w:szCs w:val="22"/>
          <w:lang w:val="en-GB"/>
        </w:rPr>
        <w:t>ations are not able to demonstrate large volumes of clients moving through the courts each year.  Some of the cases also entail filing with international human rights bodies</w:t>
      </w:r>
      <w:r w:rsidR="00D93937">
        <w:rPr>
          <w:rFonts w:ascii="Times New Roman" w:hAnsi="Times New Roman" w:cs="Times New Roman"/>
          <w:sz w:val="22"/>
          <w:szCs w:val="22"/>
          <w:lang w:val="en-GB"/>
        </w:rPr>
        <w:t>. UNDP is one of the few organis</w:t>
      </w:r>
      <w:r w:rsidRPr="004A29F9">
        <w:rPr>
          <w:rFonts w:ascii="Times New Roman" w:hAnsi="Times New Roman" w:cs="Times New Roman"/>
          <w:sz w:val="22"/>
          <w:szCs w:val="22"/>
          <w:lang w:val="en-GB"/>
        </w:rPr>
        <w:t xml:space="preserve">ations willing to take a “long view” of rule of law.   </w:t>
      </w:r>
    </w:p>
    <w:p w:rsidR="00490531" w:rsidRDefault="00490531" w:rsidP="00FB6759">
      <w:pPr>
        <w:spacing w:after="0" w:line="240" w:lineRule="auto"/>
        <w:jc w:val="both"/>
        <w:rPr>
          <w:rFonts w:ascii="Times New Roman" w:hAnsi="Times New Roman" w:cs="Times New Roman"/>
          <w:sz w:val="22"/>
          <w:szCs w:val="22"/>
          <w:lang w:val="en-GB"/>
        </w:rPr>
      </w:pPr>
    </w:p>
    <w:p w:rsidR="0060357A" w:rsidRPr="004A29F9" w:rsidRDefault="00D93937"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Some CSOs </w:t>
      </w:r>
      <w:r w:rsidR="0060357A" w:rsidRPr="004A29F9">
        <w:rPr>
          <w:rFonts w:ascii="Times New Roman" w:hAnsi="Times New Roman" w:cs="Times New Roman"/>
          <w:sz w:val="22"/>
          <w:szCs w:val="22"/>
          <w:lang w:val="en-GB"/>
        </w:rPr>
        <w:t>state that UNDP’s support could be more strategic going forward, with a common approach</w:t>
      </w:r>
      <w:r>
        <w:rPr>
          <w:rFonts w:ascii="Times New Roman" w:hAnsi="Times New Roman" w:cs="Times New Roman"/>
          <w:sz w:val="22"/>
          <w:szCs w:val="22"/>
          <w:lang w:val="en-GB"/>
        </w:rPr>
        <w:t xml:space="preserve"> agreed upon by UNDP and CSOs. </w:t>
      </w:r>
      <w:r w:rsidR="005A253E" w:rsidRPr="004A29F9">
        <w:rPr>
          <w:rFonts w:ascii="Times New Roman" w:hAnsi="Times New Roman" w:cs="Times New Roman"/>
          <w:sz w:val="22"/>
          <w:szCs w:val="22"/>
          <w:lang w:val="en-GB"/>
        </w:rPr>
        <w:t>UNDP could perhaps have been firmer in insisting that the CSOs respect the r</w:t>
      </w:r>
      <w:r w:rsidR="0060357A" w:rsidRPr="004A29F9">
        <w:rPr>
          <w:rFonts w:ascii="Times New Roman" w:hAnsi="Times New Roman" w:cs="Times New Roman"/>
          <w:sz w:val="22"/>
          <w:szCs w:val="22"/>
          <w:lang w:val="en-GB"/>
        </w:rPr>
        <w:t xml:space="preserve">eporting lines </w:t>
      </w:r>
      <w:r w:rsidR="005A253E" w:rsidRPr="004A29F9">
        <w:rPr>
          <w:rFonts w:ascii="Times New Roman" w:hAnsi="Times New Roman" w:cs="Times New Roman"/>
          <w:sz w:val="22"/>
          <w:szCs w:val="22"/>
          <w:lang w:val="en-GB"/>
        </w:rPr>
        <w:t xml:space="preserve">that UNDP established </w:t>
      </w:r>
      <w:r w:rsidR="0060357A" w:rsidRPr="004A29F9">
        <w:rPr>
          <w:rFonts w:ascii="Times New Roman" w:hAnsi="Times New Roman" w:cs="Times New Roman"/>
          <w:sz w:val="22"/>
          <w:szCs w:val="22"/>
          <w:lang w:val="en-GB"/>
        </w:rPr>
        <w:t>between the CSOs and UNDP</w:t>
      </w:r>
      <w:r>
        <w:rPr>
          <w:rFonts w:ascii="Times New Roman" w:hAnsi="Times New Roman" w:cs="Times New Roman"/>
          <w:sz w:val="22"/>
          <w:szCs w:val="22"/>
          <w:lang w:val="en-GB"/>
        </w:rPr>
        <w:t xml:space="preserve">. </w:t>
      </w:r>
      <w:r w:rsidR="005A253E" w:rsidRPr="004A29F9">
        <w:rPr>
          <w:rFonts w:ascii="Times New Roman" w:hAnsi="Times New Roman" w:cs="Times New Roman"/>
          <w:sz w:val="22"/>
          <w:szCs w:val="22"/>
          <w:lang w:val="en-GB"/>
        </w:rPr>
        <w:t>While UNDP established a single focal po</w:t>
      </w:r>
      <w:r>
        <w:rPr>
          <w:rFonts w:ascii="Times New Roman" w:hAnsi="Times New Roman" w:cs="Times New Roman"/>
          <w:sz w:val="22"/>
          <w:szCs w:val="22"/>
          <w:lang w:val="en-GB"/>
        </w:rPr>
        <w:t xml:space="preserve">int </w:t>
      </w:r>
      <w:r w:rsidR="005A253E" w:rsidRPr="004A29F9">
        <w:rPr>
          <w:rFonts w:ascii="Times New Roman" w:hAnsi="Times New Roman" w:cs="Times New Roman"/>
          <w:sz w:val="22"/>
          <w:szCs w:val="22"/>
          <w:lang w:val="en-GB"/>
        </w:rPr>
        <w:t xml:space="preserve">for this purpose, in reality, CSOs seeking faster or different offices sometimes by-passed the </w:t>
      </w:r>
      <w:r w:rsidR="0060357A" w:rsidRPr="004A29F9">
        <w:rPr>
          <w:rFonts w:ascii="Times New Roman" w:hAnsi="Times New Roman" w:cs="Times New Roman"/>
          <w:sz w:val="22"/>
          <w:szCs w:val="22"/>
          <w:lang w:val="en-GB"/>
        </w:rPr>
        <w:t xml:space="preserve">designated contact point </w:t>
      </w:r>
      <w:r w:rsidR="005A253E" w:rsidRPr="004A29F9">
        <w:rPr>
          <w:rFonts w:ascii="Times New Roman" w:hAnsi="Times New Roman" w:cs="Times New Roman"/>
          <w:sz w:val="22"/>
          <w:szCs w:val="22"/>
          <w:lang w:val="en-GB"/>
        </w:rPr>
        <w:t xml:space="preserve">and engaged with </w:t>
      </w:r>
      <w:r w:rsidR="0060357A" w:rsidRPr="004A29F9">
        <w:rPr>
          <w:rFonts w:ascii="Times New Roman" w:hAnsi="Times New Roman" w:cs="Times New Roman"/>
          <w:sz w:val="22"/>
          <w:szCs w:val="22"/>
          <w:lang w:val="en-GB"/>
        </w:rPr>
        <w:t xml:space="preserve">a number of UNDP staff </w:t>
      </w:r>
      <w:r w:rsidR="005A253E" w:rsidRPr="004A29F9">
        <w:rPr>
          <w:rFonts w:ascii="Times New Roman" w:hAnsi="Times New Roman" w:cs="Times New Roman"/>
          <w:sz w:val="22"/>
          <w:szCs w:val="22"/>
          <w:lang w:val="en-GB"/>
        </w:rPr>
        <w:t>simultaneously</w:t>
      </w:r>
      <w:r>
        <w:rPr>
          <w:rFonts w:ascii="Times New Roman" w:hAnsi="Times New Roman" w:cs="Times New Roman"/>
          <w:sz w:val="22"/>
          <w:szCs w:val="22"/>
          <w:lang w:val="en-GB"/>
        </w:rPr>
        <w:t xml:space="preserve">. </w:t>
      </w:r>
      <w:r w:rsidR="005A253E" w:rsidRPr="004A29F9">
        <w:rPr>
          <w:rFonts w:ascii="Times New Roman" w:hAnsi="Times New Roman" w:cs="Times New Roman"/>
          <w:sz w:val="22"/>
          <w:szCs w:val="22"/>
          <w:lang w:val="en-GB"/>
        </w:rPr>
        <w:t>This resulted in some CSOs being unclear as to who was ultimat</w:t>
      </w:r>
      <w:r>
        <w:rPr>
          <w:rFonts w:ascii="Times New Roman" w:hAnsi="Times New Roman" w:cs="Times New Roman"/>
          <w:sz w:val="22"/>
          <w:szCs w:val="22"/>
          <w:lang w:val="en-GB"/>
        </w:rPr>
        <w:t xml:space="preserve">ely overseeing the process. </w:t>
      </w:r>
      <w:r w:rsidR="0060357A" w:rsidRPr="004A29F9">
        <w:rPr>
          <w:rFonts w:ascii="Times New Roman" w:hAnsi="Times New Roman" w:cs="Times New Roman"/>
          <w:sz w:val="22"/>
          <w:szCs w:val="22"/>
          <w:lang w:val="en-GB"/>
        </w:rPr>
        <w:t>UNDP</w:t>
      </w:r>
      <w:r w:rsidR="00FD3C19">
        <w:rPr>
          <w:rFonts w:ascii="Times New Roman" w:hAnsi="Times New Roman" w:cs="Times New Roman"/>
          <w:sz w:val="22"/>
          <w:szCs w:val="22"/>
          <w:lang w:val="en-GB"/>
        </w:rPr>
        <w:t xml:space="preserve"> </w:t>
      </w:r>
      <w:r w:rsidR="005A253E" w:rsidRPr="004A29F9">
        <w:rPr>
          <w:rFonts w:ascii="Times New Roman" w:hAnsi="Times New Roman" w:cs="Times New Roman"/>
          <w:sz w:val="22"/>
          <w:szCs w:val="22"/>
          <w:lang w:val="en-GB"/>
        </w:rPr>
        <w:t>might also consider</w:t>
      </w:r>
      <w:r w:rsidR="00FD3C19">
        <w:rPr>
          <w:rFonts w:ascii="Times New Roman" w:hAnsi="Times New Roman" w:cs="Times New Roman"/>
          <w:sz w:val="22"/>
          <w:szCs w:val="22"/>
          <w:lang w:val="en-GB"/>
        </w:rPr>
        <w:t xml:space="preserve"> </w:t>
      </w:r>
      <w:r w:rsidR="005A253E" w:rsidRPr="004A29F9">
        <w:rPr>
          <w:rFonts w:ascii="Times New Roman" w:hAnsi="Times New Roman" w:cs="Times New Roman"/>
          <w:sz w:val="22"/>
          <w:szCs w:val="22"/>
          <w:lang w:val="en-GB"/>
        </w:rPr>
        <w:t>improving</w:t>
      </w:r>
      <w:r w:rsidR="00FD3C19">
        <w:rPr>
          <w:rFonts w:ascii="Times New Roman" w:hAnsi="Times New Roman" w:cs="Times New Roman"/>
          <w:sz w:val="22"/>
          <w:szCs w:val="22"/>
          <w:lang w:val="en-GB"/>
        </w:rPr>
        <w:t xml:space="preserve"> </w:t>
      </w:r>
      <w:r>
        <w:rPr>
          <w:rFonts w:ascii="Times New Roman" w:hAnsi="Times New Roman" w:cs="Times New Roman"/>
          <w:sz w:val="22"/>
          <w:szCs w:val="22"/>
          <w:lang w:val="en-GB"/>
        </w:rPr>
        <w:t>it</w:t>
      </w:r>
      <w:r w:rsidR="0060357A" w:rsidRPr="004A29F9">
        <w:rPr>
          <w:rFonts w:ascii="Times New Roman" w:hAnsi="Times New Roman" w:cs="Times New Roman"/>
          <w:sz w:val="22"/>
          <w:szCs w:val="22"/>
          <w:lang w:val="en-GB"/>
        </w:rPr>
        <w:t>s grouping of the CSOs in meetings to ensure that partners performing similar work are invited</w:t>
      </w:r>
      <w:r>
        <w:rPr>
          <w:rFonts w:ascii="Times New Roman" w:hAnsi="Times New Roman" w:cs="Times New Roman"/>
          <w:sz w:val="22"/>
          <w:szCs w:val="22"/>
          <w:lang w:val="en-GB"/>
        </w:rPr>
        <w:t xml:space="preserve"> to meetings with each other. </w:t>
      </w:r>
      <w:r w:rsidR="0060357A" w:rsidRPr="004A29F9">
        <w:rPr>
          <w:rFonts w:ascii="Times New Roman" w:hAnsi="Times New Roman" w:cs="Times New Roman"/>
          <w:sz w:val="22"/>
          <w:szCs w:val="22"/>
          <w:lang w:val="en-GB"/>
        </w:rPr>
        <w:t>Additionally, some of the more established CSOs questioned whether all grant recipients</w:t>
      </w:r>
      <w:r>
        <w:rPr>
          <w:rFonts w:ascii="Times New Roman" w:hAnsi="Times New Roman" w:cs="Times New Roman"/>
          <w:sz w:val="22"/>
          <w:szCs w:val="22"/>
          <w:lang w:val="en-GB"/>
        </w:rPr>
        <w:t xml:space="preserve"> of the CSI</w:t>
      </w:r>
      <w:r w:rsidR="0060357A" w:rsidRPr="004A29F9">
        <w:rPr>
          <w:rFonts w:ascii="Times New Roman" w:hAnsi="Times New Roman" w:cs="Times New Roman"/>
          <w:sz w:val="22"/>
          <w:szCs w:val="22"/>
          <w:lang w:val="en-GB"/>
        </w:rPr>
        <w:t xml:space="preserve"> actually possessed enough capacity to meet the outputs agreed to. </w:t>
      </w:r>
      <w:r w:rsidR="00CB1A36" w:rsidRPr="004A29F9">
        <w:rPr>
          <w:rFonts w:ascii="Times New Roman" w:hAnsi="Times New Roman" w:cs="Times New Roman"/>
          <w:sz w:val="22"/>
          <w:szCs w:val="22"/>
          <w:lang w:val="en-GB"/>
        </w:rPr>
        <w:t xml:space="preserve">While UNDP </w:t>
      </w:r>
      <w:r>
        <w:rPr>
          <w:rFonts w:ascii="Times New Roman" w:hAnsi="Times New Roman" w:cs="Times New Roman"/>
          <w:sz w:val="22"/>
          <w:szCs w:val="22"/>
          <w:lang w:val="en-GB"/>
        </w:rPr>
        <w:t>assured the e</w:t>
      </w:r>
      <w:r w:rsidR="00CB1A36" w:rsidRPr="004A29F9">
        <w:rPr>
          <w:rFonts w:ascii="Times New Roman" w:hAnsi="Times New Roman" w:cs="Times New Roman"/>
          <w:sz w:val="22"/>
          <w:szCs w:val="22"/>
          <w:lang w:val="en-GB"/>
        </w:rPr>
        <w:t xml:space="preserve">valuation that </w:t>
      </w:r>
      <w:r w:rsidR="009307C1" w:rsidRPr="004A29F9">
        <w:rPr>
          <w:rFonts w:ascii="Times New Roman" w:hAnsi="Times New Roman" w:cs="Times New Roman"/>
          <w:sz w:val="22"/>
          <w:szCs w:val="22"/>
          <w:lang w:val="en-GB"/>
        </w:rPr>
        <w:t xml:space="preserve">detailed </w:t>
      </w:r>
      <w:r w:rsidR="00CB1A36" w:rsidRPr="004A29F9">
        <w:rPr>
          <w:rFonts w:ascii="Times New Roman" w:hAnsi="Times New Roman" w:cs="Times New Roman"/>
          <w:sz w:val="22"/>
          <w:szCs w:val="22"/>
          <w:lang w:val="en-GB"/>
        </w:rPr>
        <w:t xml:space="preserve">capacity assessments </w:t>
      </w:r>
      <w:r w:rsidR="009307C1" w:rsidRPr="004A29F9">
        <w:rPr>
          <w:rFonts w:ascii="Times New Roman" w:hAnsi="Times New Roman" w:cs="Times New Roman"/>
          <w:sz w:val="22"/>
          <w:szCs w:val="22"/>
          <w:lang w:val="en-GB"/>
        </w:rPr>
        <w:t>were undertaken initially, continued funding of the CSOs should be based upon their actual demonstrated performances and capacities to date during th</w:t>
      </w:r>
      <w:r>
        <w:rPr>
          <w:rFonts w:ascii="Times New Roman" w:hAnsi="Times New Roman" w:cs="Times New Roman"/>
          <w:sz w:val="22"/>
          <w:szCs w:val="22"/>
          <w:lang w:val="en-GB"/>
        </w:rPr>
        <w:t xml:space="preserve">e period of UNDP assistance. </w:t>
      </w:r>
      <w:r w:rsidR="009307C1" w:rsidRPr="004A29F9">
        <w:rPr>
          <w:rFonts w:ascii="Times New Roman" w:hAnsi="Times New Roman" w:cs="Times New Roman"/>
          <w:sz w:val="22"/>
          <w:szCs w:val="22"/>
          <w:lang w:val="en-GB"/>
        </w:rPr>
        <w:t>Certainly, developing local capacities and brin</w:t>
      </w:r>
      <w:r>
        <w:rPr>
          <w:rFonts w:ascii="Times New Roman" w:hAnsi="Times New Roman" w:cs="Times New Roman"/>
          <w:sz w:val="22"/>
          <w:szCs w:val="22"/>
          <w:lang w:val="en-GB"/>
        </w:rPr>
        <w:t>g</w:t>
      </w:r>
      <w:r w:rsidR="009307C1" w:rsidRPr="004A29F9">
        <w:rPr>
          <w:rFonts w:ascii="Times New Roman" w:hAnsi="Times New Roman" w:cs="Times New Roman"/>
          <w:sz w:val="22"/>
          <w:szCs w:val="22"/>
          <w:lang w:val="en-GB"/>
        </w:rPr>
        <w:t>ing-along smaller CSOs should be a continued goal.</w:t>
      </w:r>
    </w:p>
    <w:p w:rsidR="00490531" w:rsidRDefault="00490531" w:rsidP="00FB6759">
      <w:pPr>
        <w:spacing w:after="0" w:line="240" w:lineRule="auto"/>
        <w:jc w:val="both"/>
        <w:rPr>
          <w:rFonts w:ascii="Times New Roman" w:hAnsi="Times New Roman" w:cs="Times New Roman"/>
          <w:sz w:val="22"/>
          <w:szCs w:val="22"/>
          <w:lang w:val="en-GB"/>
        </w:rPr>
      </w:pPr>
    </w:p>
    <w:p w:rsidR="0060357A" w:rsidRPr="004A29F9" w:rsidRDefault="0060357A"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CSOs were provided </w:t>
      </w:r>
      <w:r w:rsidR="001606AD" w:rsidRPr="004A29F9">
        <w:rPr>
          <w:rFonts w:ascii="Times New Roman" w:hAnsi="Times New Roman" w:cs="Times New Roman"/>
          <w:sz w:val="22"/>
          <w:szCs w:val="22"/>
          <w:lang w:val="en-GB"/>
        </w:rPr>
        <w:t xml:space="preserve">great </w:t>
      </w:r>
      <w:r w:rsidRPr="004A29F9">
        <w:rPr>
          <w:rFonts w:ascii="Times New Roman" w:hAnsi="Times New Roman" w:cs="Times New Roman"/>
          <w:sz w:val="22"/>
          <w:szCs w:val="22"/>
          <w:lang w:val="en-GB"/>
        </w:rPr>
        <w:t>latitude under the UNDP Civil Society Initiative</w:t>
      </w:r>
      <w:r w:rsidR="008A6641" w:rsidRPr="004A29F9">
        <w:rPr>
          <w:rFonts w:ascii="Times New Roman" w:hAnsi="Times New Roman" w:cs="Times New Roman"/>
          <w:sz w:val="22"/>
          <w:szCs w:val="22"/>
          <w:lang w:val="en-GB"/>
        </w:rPr>
        <w:t>, but within detailed outputs and work plans that were negotiated by UNDP with the CSOs</w:t>
      </w:r>
      <w:r w:rsidRPr="004A29F9">
        <w:rPr>
          <w:rFonts w:ascii="Times New Roman" w:hAnsi="Times New Roman" w:cs="Times New Roman"/>
          <w:sz w:val="22"/>
          <w:szCs w:val="22"/>
          <w:lang w:val="en-GB"/>
        </w:rPr>
        <w:t xml:space="preserve">. </w:t>
      </w:r>
      <w:r w:rsidR="001606AD" w:rsidRPr="004A29F9">
        <w:rPr>
          <w:rFonts w:ascii="Times New Roman" w:hAnsi="Times New Roman" w:cs="Times New Roman"/>
          <w:sz w:val="22"/>
          <w:szCs w:val="22"/>
          <w:lang w:val="en-GB"/>
        </w:rPr>
        <w:t>UNDP intentionally avoided “one size fits all” solutions and</w:t>
      </w:r>
      <w:r w:rsidR="00FD3C19">
        <w:rPr>
          <w:rFonts w:ascii="Times New Roman" w:hAnsi="Times New Roman" w:cs="Times New Roman"/>
          <w:sz w:val="22"/>
          <w:szCs w:val="22"/>
          <w:lang w:val="en-GB"/>
        </w:rPr>
        <w:t xml:space="preserve"> </w:t>
      </w:r>
      <w:r w:rsidR="008A6641" w:rsidRPr="004A29F9">
        <w:rPr>
          <w:rFonts w:ascii="Times New Roman" w:hAnsi="Times New Roman" w:cs="Times New Roman"/>
          <w:sz w:val="22"/>
          <w:szCs w:val="22"/>
          <w:lang w:val="en-GB"/>
        </w:rPr>
        <w:t xml:space="preserve">provided only minimal guidelines on the types of clients and cases that the CSOs </w:t>
      </w:r>
      <w:r w:rsidR="00D93937">
        <w:rPr>
          <w:rFonts w:ascii="Times New Roman" w:hAnsi="Times New Roman" w:cs="Times New Roman"/>
          <w:sz w:val="22"/>
          <w:szCs w:val="22"/>
          <w:lang w:val="en-GB"/>
        </w:rPr>
        <w:lastRenderedPageBreak/>
        <w:t xml:space="preserve">should take. </w:t>
      </w:r>
      <w:r w:rsidR="004E1EC8" w:rsidRPr="004A29F9">
        <w:rPr>
          <w:rFonts w:ascii="Times New Roman" w:hAnsi="Times New Roman" w:cs="Times New Roman"/>
          <w:sz w:val="22"/>
          <w:szCs w:val="22"/>
          <w:lang w:val="en-GB"/>
        </w:rPr>
        <w:t>UNDP will</w:t>
      </w:r>
      <w:r w:rsidR="00FD3C19">
        <w:rPr>
          <w:rFonts w:ascii="Times New Roman" w:hAnsi="Times New Roman" w:cs="Times New Roman"/>
          <w:sz w:val="22"/>
          <w:szCs w:val="22"/>
          <w:lang w:val="en-GB"/>
        </w:rPr>
        <w:t xml:space="preserve"> </w:t>
      </w:r>
      <w:r w:rsidR="00D93937">
        <w:rPr>
          <w:rFonts w:ascii="Times New Roman" w:hAnsi="Times New Roman" w:cs="Times New Roman"/>
          <w:sz w:val="22"/>
          <w:szCs w:val="22"/>
          <w:lang w:val="en-GB"/>
        </w:rPr>
        <w:t xml:space="preserve">need to collect more data </w:t>
      </w:r>
      <w:r w:rsidRPr="004A29F9">
        <w:rPr>
          <w:rFonts w:ascii="Times New Roman" w:hAnsi="Times New Roman" w:cs="Times New Roman"/>
          <w:sz w:val="22"/>
          <w:szCs w:val="22"/>
          <w:lang w:val="en-GB"/>
        </w:rPr>
        <w:t>such as the number of visits of labo</w:t>
      </w:r>
      <w:r w:rsidR="00D93937">
        <w:rPr>
          <w:rFonts w:ascii="Times New Roman" w:hAnsi="Times New Roman" w:cs="Times New Roman"/>
          <w:sz w:val="22"/>
          <w:szCs w:val="22"/>
          <w:lang w:val="en-GB"/>
        </w:rPr>
        <w:t>u</w:t>
      </w:r>
      <w:r w:rsidRPr="004A29F9">
        <w:rPr>
          <w:rFonts w:ascii="Times New Roman" w:hAnsi="Times New Roman" w:cs="Times New Roman"/>
          <w:sz w:val="22"/>
          <w:szCs w:val="22"/>
          <w:lang w:val="en-GB"/>
        </w:rPr>
        <w:t>r inspectors to the workplace, the number of violations that they have been able to hand</w:t>
      </w:r>
      <w:r w:rsidR="00D93937">
        <w:rPr>
          <w:rFonts w:ascii="Times New Roman" w:hAnsi="Times New Roman" w:cs="Times New Roman"/>
          <w:sz w:val="22"/>
          <w:szCs w:val="22"/>
          <w:lang w:val="en-GB"/>
        </w:rPr>
        <w:t>le</w:t>
      </w:r>
      <w:r w:rsidRPr="004A29F9">
        <w:rPr>
          <w:rFonts w:ascii="Times New Roman" w:hAnsi="Times New Roman" w:cs="Times New Roman"/>
          <w:sz w:val="22"/>
          <w:szCs w:val="22"/>
          <w:lang w:val="en-GB"/>
        </w:rPr>
        <w:t xml:space="preserve"> in order to fully assess the impac</w:t>
      </w:r>
      <w:r w:rsidR="00D93937">
        <w:rPr>
          <w:rFonts w:ascii="Times New Roman" w:hAnsi="Times New Roman" w:cs="Times New Roman"/>
          <w:sz w:val="22"/>
          <w:szCs w:val="22"/>
          <w:lang w:val="en-GB"/>
        </w:rPr>
        <w:t>t of the work of CSOs like DWRC</w:t>
      </w:r>
      <w:r w:rsidRPr="004A29F9">
        <w:rPr>
          <w:rFonts w:ascii="Times New Roman" w:hAnsi="Times New Roman" w:cs="Times New Roman"/>
          <w:sz w:val="22"/>
          <w:szCs w:val="22"/>
          <w:lang w:val="en-GB"/>
        </w:rPr>
        <w:t xml:space="preserve">. The </w:t>
      </w:r>
      <w:r w:rsidRPr="004A29F9">
        <w:rPr>
          <w:rFonts w:ascii="Times New Roman" w:hAnsi="Times New Roman" w:cs="Times New Roman"/>
          <w:i/>
          <w:sz w:val="22"/>
          <w:szCs w:val="22"/>
          <w:lang w:val="en-GB"/>
        </w:rPr>
        <w:t xml:space="preserve">sustainability </w:t>
      </w:r>
      <w:r w:rsidR="00E75BBB">
        <w:rPr>
          <w:rFonts w:ascii="Times New Roman" w:hAnsi="Times New Roman" w:cs="Times New Roman"/>
          <w:sz w:val="22"/>
          <w:szCs w:val="22"/>
          <w:lang w:val="en-GB"/>
        </w:rPr>
        <w:t>of the CSI</w:t>
      </w:r>
      <w:r w:rsidRPr="004A29F9">
        <w:rPr>
          <w:rFonts w:ascii="Times New Roman" w:hAnsi="Times New Roman" w:cs="Times New Roman"/>
          <w:sz w:val="22"/>
          <w:szCs w:val="22"/>
          <w:lang w:val="en-GB"/>
        </w:rPr>
        <w:t xml:space="preserve"> was also raised as a point that had not been suff</w:t>
      </w:r>
      <w:r w:rsidR="00D93937">
        <w:rPr>
          <w:rFonts w:ascii="Times New Roman" w:hAnsi="Times New Roman" w:cs="Times New Roman"/>
          <w:sz w:val="22"/>
          <w:szCs w:val="22"/>
          <w:lang w:val="en-GB"/>
        </w:rPr>
        <w:t xml:space="preserve">iciently addressed by UNDP. </w:t>
      </w:r>
      <w:r w:rsidRPr="004A29F9">
        <w:rPr>
          <w:rFonts w:ascii="Times New Roman" w:hAnsi="Times New Roman" w:cs="Times New Roman"/>
          <w:sz w:val="22"/>
          <w:szCs w:val="22"/>
          <w:lang w:val="en-GB"/>
        </w:rPr>
        <w:t>Several more senior CSOs stated that going forward, the UNDP initiative needs better indicators and clear exit strategies</w:t>
      </w:r>
      <w:r w:rsidR="00A245B5" w:rsidRPr="004A29F9">
        <w:rPr>
          <w:rFonts w:ascii="Times New Roman" w:hAnsi="Times New Roman" w:cs="Times New Roman"/>
          <w:sz w:val="22"/>
          <w:szCs w:val="22"/>
          <w:lang w:val="en-GB"/>
        </w:rPr>
        <w:t xml:space="preserve"> (where sustainable sources of self-funding are appropriate and feasible)</w:t>
      </w:r>
      <w:r w:rsidR="00E75BBB">
        <w:rPr>
          <w:rFonts w:ascii="Times New Roman" w:hAnsi="Times New Roman" w:cs="Times New Roman"/>
          <w:sz w:val="22"/>
          <w:szCs w:val="22"/>
          <w:lang w:val="en-GB"/>
        </w:rPr>
        <w:t xml:space="preserve">. </w:t>
      </w:r>
      <w:r w:rsidR="00A245B5" w:rsidRPr="004A29F9">
        <w:rPr>
          <w:rFonts w:ascii="Times New Roman" w:hAnsi="Times New Roman" w:cs="Times New Roman"/>
          <w:sz w:val="22"/>
          <w:szCs w:val="22"/>
          <w:lang w:val="en-GB"/>
        </w:rPr>
        <w:t xml:space="preserve">UNDP has in fact already begun to address this via its revised M&amp;E plan. </w:t>
      </w:r>
    </w:p>
    <w:p w:rsidR="00490531" w:rsidRDefault="00490531" w:rsidP="00FB6759">
      <w:pPr>
        <w:spacing w:after="0" w:line="240" w:lineRule="auto"/>
        <w:jc w:val="both"/>
        <w:rPr>
          <w:rFonts w:ascii="Times New Roman" w:hAnsi="Times New Roman" w:cs="Times New Roman"/>
          <w:sz w:val="22"/>
          <w:szCs w:val="22"/>
          <w:lang w:val="en-GB"/>
        </w:rPr>
      </w:pPr>
    </w:p>
    <w:p w:rsidR="00E75BBB" w:rsidRDefault="00E75BBB"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While the e</w:t>
      </w:r>
      <w:r w:rsidR="0060357A" w:rsidRPr="004A29F9">
        <w:rPr>
          <w:rFonts w:ascii="Times New Roman" w:hAnsi="Times New Roman" w:cs="Times New Roman"/>
          <w:sz w:val="22"/>
          <w:szCs w:val="22"/>
          <w:lang w:val="en-GB"/>
        </w:rPr>
        <w:t>valuation’s overall assessment of t</w:t>
      </w:r>
      <w:r>
        <w:rPr>
          <w:rFonts w:ascii="Times New Roman" w:hAnsi="Times New Roman" w:cs="Times New Roman"/>
          <w:sz w:val="22"/>
          <w:szCs w:val="22"/>
          <w:lang w:val="en-GB"/>
        </w:rPr>
        <w:t>he CSI</w:t>
      </w:r>
      <w:r w:rsidR="0060357A" w:rsidRPr="004A29F9">
        <w:rPr>
          <w:rFonts w:ascii="Times New Roman" w:hAnsi="Times New Roman" w:cs="Times New Roman"/>
          <w:sz w:val="22"/>
          <w:szCs w:val="22"/>
          <w:lang w:val="en-GB"/>
        </w:rPr>
        <w:t xml:space="preserve"> is highly favourable, key questions going for</w:t>
      </w:r>
      <w:r>
        <w:rPr>
          <w:rFonts w:ascii="Times New Roman" w:hAnsi="Times New Roman" w:cs="Times New Roman"/>
          <w:sz w:val="22"/>
          <w:szCs w:val="22"/>
          <w:lang w:val="en-GB"/>
        </w:rPr>
        <w:t xml:space="preserve">ward for UNDP will be whether </w:t>
      </w:r>
      <w:r w:rsidR="0060357A" w:rsidRPr="004A29F9">
        <w:rPr>
          <w:rFonts w:ascii="Times New Roman" w:hAnsi="Times New Roman" w:cs="Times New Roman"/>
          <w:sz w:val="22"/>
          <w:szCs w:val="22"/>
          <w:lang w:val="en-GB"/>
        </w:rPr>
        <w:t>awareness raising activ</w:t>
      </w:r>
      <w:r w:rsidR="004E1EC8" w:rsidRPr="004A29F9">
        <w:rPr>
          <w:rFonts w:ascii="Times New Roman" w:hAnsi="Times New Roman" w:cs="Times New Roman"/>
          <w:sz w:val="22"/>
          <w:szCs w:val="22"/>
          <w:lang w:val="en-GB"/>
        </w:rPr>
        <w:t xml:space="preserve">ities </w:t>
      </w:r>
      <w:r w:rsidR="0060357A" w:rsidRPr="004A29F9">
        <w:rPr>
          <w:rFonts w:ascii="Times New Roman" w:hAnsi="Times New Roman" w:cs="Times New Roman"/>
          <w:sz w:val="22"/>
          <w:szCs w:val="22"/>
          <w:lang w:val="en-GB"/>
        </w:rPr>
        <w:t>are the most cost-effective use of limited resources; and whether awareness raising should be scaled-down in favour of sca</w:t>
      </w:r>
      <w:r>
        <w:rPr>
          <w:rFonts w:ascii="Times New Roman" w:hAnsi="Times New Roman" w:cs="Times New Roman"/>
          <w:sz w:val="22"/>
          <w:szCs w:val="22"/>
          <w:lang w:val="en-GB"/>
        </w:rPr>
        <w:t>ling-up other aspects of the p</w:t>
      </w:r>
      <w:r w:rsidR="0060357A" w:rsidRPr="004A29F9">
        <w:rPr>
          <w:rFonts w:ascii="Times New Roman" w:hAnsi="Times New Roman" w:cs="Times New Roman"/>
          <w:sz w:val="22"/>
          <w:szCs w:val="22"/>
          <w:lang w:val="en-GB"/>
        </w:rPr>
        <w:t>rogramme</w:t>
      </w:r>
      <w:r w:rsidR="006223F9" w:rsidRPr="004A29F9">
        <w:rPr>
          <w:rFonts w:ascii="Times New Roman" w:hAnsi="Times New Roman" w:cs="Times New Roman"/>
          <w:sz w:val="22"/>
          <w:szCs w:val="22"/>
          <w:lang w:val="en-GB"/>
        </w:rPr>
        <w:t xml:space="preserve"> (i.e. legal assistance or re-focused advocacy)</w:t>
      </w:r>
      <w:r>
        <w:rPr>
          <w:rFonts w:ascii="Times New Roman" w:hAnsi="Times New Roman" w:cs="Times New Roman"/>
          <w:sz w:val="22"/>
          <w:szCs w:val="22"/>
          <w:lang w:val="en-GB"/>
        </w:rPr>
        <w:t xml:space="preserve">. </w:t>
      </w:r>
      <w:r w:rsidR="0060357A" w:rsidRPr="004A29F9">
        <w:rPr>
          <w:rFonts w:ascii="Times New Roman" w:hAnsi="Times New Roman" w:cs="Times New Roman"/>
          <w:sz w:val="22"/>
          <w:szCs w:val="22"/>
          <w:lang w:val="en-GB"/>
        </w:rPr>
        <w:t xml:space="preserve">It is certainly fair to say that not </w:t>
      </w:r>
      <w:r w:rsidR="0060357A" w:rsidRPr="004A29F9">
        <w:rPr>
          <w:rFonts w:ascii="Times New Roman" w:hAnsi="Times New Roman" w:cs="Times New Roman"/>
          <w:i/>
          <w:sz w:val="22"/>
          <w:szCs w:val="22"/>
          <w:lang w:val="en-GB"/>
        </w:rPr>
        <w:t xml:space="preserve">all </w:t>
      </w:r>
      <w:r>
        <w:rPr>
          <w:rFonts w:ascii="Times New Roman" w:hAnsi="Times New Roman" w:cs="Times New Roman"/>
          <w:sz w:val="22"/>
          <w:szCs w:val="22"/>
          <w:lang w:val="en-GB"/>
        </w:rPr>
        <w:t xml:space="preserve">CSOs </w:t>
      </w:r>
      <w:r w:rsidR="0060357A" w:rsidRPr="004A29F9">
        <w:rPr>
          <w:rFonts w:ascii="Times New Roman" w:hAnsi="Times New Roman" w:cs="Times New Roman"/>
          <w:sz w:val="22"/>
          <w:szCs w:val="22"/>
          <w:lang w:val="en-GB"/>
        </w:rPr>
        <w:t xml:space="preserve">should be doing </w:t>
      </w:r>
      <w:r w:rsidR="0060357A" w:rsidRPr="004A29F9">
        <w:rPr>
          <w:rFonts w:ascii="Times New Roman" w:hAnsi="Times New Roman" w:cs="Times New Roman"/>
          <w:i/>
          <w:sz w:val="22"/>
          <w:szCs w:val="22"/>
          <w:lang w:val="en-GB"/>
        </w:rPr>
        <w:t xml:space="preserve">all </w:t>
      </w:r>
      <w:r w:rsidR="0060357A" w:rsidRPr="004A29F9">
        <w:rPr>
          <w:rFonts w:ascii="Times New Roman" w:hAnsi="Times New Roman" w:cs="Times New Roman"/>
          <w:sz w:val="22"/>
          <w:szCs w:val="22"/>
          <w:lang w:val="en-GB"/>
        </w:rPr>
        <w:t>things (i.e. legal aid, awareness-raising</w:t>
      </w:r>
      <w:r w:rsidR="006223F9" w:rsidRPr="004A29F9">
        <w:rPr>
          <w:rFonts w:ascii="Times New Roman" w:hAnsi="Times New Roman" w:cs="Times New Roman"/>
          <w:sz w:val="22"/>
          <w:szCs w:val="22"/>
          <w:lang w:val="en-GB"/>
        </w:rPr>
        <w:t xml:space="preserve">, </w:t>
      </w:r>
      <w:r w:rsidR="0060357A" w:rsidRPr="004A29F9">
        <w:rPr>
          <w:rFonts w:ascii="Times New Roman" w:hAnsi="Times New Roman" w:cs="Times New Roman"/>
          <w:sz w:val="22"/>
          <w:szCs w:val="22"/>
          <w:lang w:val="en-GB"/>
        </w:rPr>
        <w:t xml:space="preserve">advocacy </w:t>
      </w:r>
      <w:r w:rsidR="0060357A" w:rsidRPr="004A29F9">
        <w:rPr>
          <w:rFonts w:ascii="Times New Roman" w:hAnsi="Times New Roman" w:cs="Times New Roman"/>
          <w:i/>
          <w:sz w:val="22"/>
          <w:szCs w:val="22"/>
          <w:lang w:val="en-GB"/>
        </w:rPr>
        <w:t>and</w:t>
      </w:r>
      <w:r>
        <w:rPr>
          <w:rFonts w:ascii="Times New Roman" w:hAnsi="Times New Roman" w:cs="Times New Roman"/>
          <w:sz w:val="22"/>
          <w:szCs w:val="22"/>
          <w:lang w:val="en-GB"/>
        </w:rPr>
        <w:t xml:space="preserve"> publications). </w:t>
      </w:r>
      <w:r w:rsidR="00A245B5" w:rsidRPr="004A29F9">
        <w:rPr>
          <w:rFonts w:ascii="Times New Roman" w:hAnsi="Times New Roman" w:cs="Times New Roman"/>
          <w:sz w:val="22"/>
          <w:szCs w:val="22"/>
          <w:lang w:val="en-GB"/>
        </w:rPr>
        <w:t xml:space="preserve">UNDP is currently taking measures to critically assess the </w:t>
      </w:r>
      <w:r w:rsidR="0060357A" w:rsidRPr="004A29F9">
        <w:rPr>
          <w:rFonts w:ascii="Times New Roman" w:hAnsi="Times New Roman" w:cs="Times New Roman"/>
          <w:sz w:val="22"/>
          <w:szCs w:val="22"/>
          <w:lang w:val="en-GB"/>
        </w:rPr>
        <w:t>performance of each</w:t>
      </w:r>
      <w:r>
        <w:rPr>
          <w:rFonts w:ascii="Times New Roman" w:hAnsi="Times New Roman" w:cs="Times New Roman"/>
          <w:sz w:val="22"/>
          <w:szCs w:val="22"/>
          <w:lang w:val="en-GB"/>
        </w:rPr>
        <w:t xml:space="preserve"> of the </w:t>
      </w:r>
      <w:r w:rsidR="0060357A" w:rsidRPr="004A29F9">
        <w:rPr>
          <w:rFonts w:ascii="Times New Roman" w:hAnsi="Times New Roman" w:cs="Times New Roman"/>
          <w:sz w:val="22"/>
          <w:szCs w:val="22"/>
          <w:lang w:val="en-GB"/>
        </w:rPr>
        <w:t>grant recipients, as well as their demonstrated capacities and relative strengths</w:t>
      </w:r>
      <w:r w:rsidR="006223F9" w:rsidRPr="004A29F9">
        <w:rPr>
          <w:rFonts w:ascii="Times New Roman" w:hAnsi="Times New Roman" w:cs="Times New Roman"/>
          <w:sz w:val="22"/>
          <w:szCs w:val="22"/>
          <w:lang w:val="en-GB"/>
        </w:rPr>
        <w:t xml:space="preserve"> for both awareness-raising and advocacy</w:t>
      </w:r>
      <w:r w:rsidR="0060357A" w:rsidRPr="004A29F9">
        <w:rPr>
          <w:rFonts w:ascii="Times New Roman" w:hAnsi="Times New Roman" w:cs="Times New Roman"/>
          <w:sz w:val="22"/>
          <w:szCs w:val="22"/>
          <w:lang w:val="en-GB"/>
        </w:rPr>
        <w:t>.</w:t>
      </w:r>
      <w:r w:rsidR="006223F9" w:rsidRPr="004A29F9">
        <w:rPr>
          <w:rStyle w:val="FootnoteReference"/>
          <w:rFonts w:ascii="Times New Roman" w:hAnsi="Times New Roman" w:cs="Times New Roman"/>
          <w:sz w:val="22"/>
          <w:szCs w:val="22"/>
          <w:lang w:val="en-GB"/>
        </w:rPr>
        <w:footnoteReference w:id="127"/>
      </w:r>
    </w:p>
    <w:p w:rsidR="00E75BBB" w:rsidRDefault="00E75BBB" w:rsidP="00FB6759">
      <w:pPr>
        <w:spacing w:after="0" w:line="240" w:lineRule="auto"/>
        <w:jc w:val="both"/>
        <w:rPr>
          <w:rFonts w:ascii="Times New Roman" w:hAnsi="Times New Roman" w:cs="Times New Roman"/>
          <w:sz w:val="22"/>
          <w:szCs w:val="22"/>
          <w:lang w:val="en-GB"/>
        </w:rPr>
      </w:pPr>
    </w:p>
    <w:p w:rsidR="00AD2D1A" w:rsidRPr="004A29F9" w:rsidRDefault="00A245B5"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As of </w:t>
      </w:r>
      <w:r w:rsidR="006223F9" w:rsidRPr="004A29F9">
        <w:rPr>
          <w:rFonts w:ascii="Times New Roman" w:hAnsi="Times New Roman" w:cs="Times New Roman"/>
          <w:sz w:val="22"/>
          <w:szCs w:val="22"/>
          <w:lang w:val="en-GB"/>
        </w:rPr>
        <w:t>April 2013, a number of agr</w:t>
      </w:r>
      <w:r w:rsidR="00E75BBB">
        <w:rPr>
          <w:rFonts w:ascii="Times New Roman" w:hAnsi="Times New Roman" w:cs="Times New Roman"/>
          <w:sz w:val="22"/>
          <w:szCs w:val="22"/>
          <w:lang w:val="en-GB"/>
        </w:rPr>
        <w:t xml:space="preserve">eements had not been renewed. </w:t>
      </w:r>
      <w:r w:rsidR="006223F9" w:rsidRPr="004A29F9">
        <w:rPr>
          <w:rFonts w:ascii="Times New Roman" w:hAnsi="Times New Roman" w:cs="Times New Roman"/>
          <w:sz w:val="22"/>
          <w:szCs w:val="22"/>
          <w:lang w:val="en-GB"/>
        </w:rPr>
        <w:t>Beyond this, UNDP is reviewing overall modalities of int</w:t>
      </w:r>
      <w:r w:rsidR="00E75BBB">
        <w:rPr>
          <w:rFonts w:ascii="Times New Roman" w:hAnsi="Times New Roman" w:cs="Times New Roman"/>
          <w:sz w:val="22"/>
          <w:szCs w:val="22"/>
          <w:lang w:val="en-GB"/>
        </w:rPr>
        <w:t>eracting with CSOs. UNDP informed the e</w:t>
      </w:r>
      <w:r w:rsidR="006223F9" w:rsidRPr="004A29F9">
        <w:rPr>
          <w:rFonts w:ascii="Times New Roman" w:hAnsi="Times New Roman" w:cs="Times New Roman"/>
          <w:sz w:val="22"/>
          <w:szCs w:val="22"/>
          <w:lang w:val="en-GB"/>
        </w:rPr>
        <w:t>valuation that it is committed to reducin</w:t>
      </w:r>
      <w:r w:rsidR="00E75BBB">
        <w:rPr>
          <w:rFonts w:ascii="Times New Roman" w:hAnsi="Times New Roman" w:cs="Times New Roman"/>
          <w:sz w:val="22"/>
          <w:szCs w:val="22"/>
          <w:lang w:val="en-GB"/>
        </w:rPr>
        <w:t>g general awareness raising while</w:t>
      </w:r>
      <w:r w:rsidR="006223F9" w:rsidRPr="004A29F9">
        <w:rPr>
          <w:rFonts w:ascii="Times New Roman" w:hAnsi="Times New Roman" w:cs="Times New Roman"/>
          <w:sz w:val="22"/>
          <w:szCs w:val="22"/>
          <w:lang w:val="en-GB"/>
        </w:rPr>
        <w:t xml:space="preserve"> maintaining it for women to help bridge the legal literacy gender gap</w:t>
      </w:r>
      <w:r w:rsidR="00E75BBB">
        <w:rPr>
          <w:rFonts w:ascii="Times New Roman" w:hAnsi="Times New Roman" w:cs="Times New Roman"/>
          <w:sz w:val="22"/>
          <w:szCs w:val="22"/>
          <w:lang w:val="en-GB"/>
        </w:rPr>
        <w:t xml:space="preserve">. In addition, UNDP intends to make it </w:t>
      </w:r>
      <w:r w:rsidR="006223F9" w:rsidRPr="004A29F9">
        <w:rPr>
          <w:rFonts w:ascii="Times New Roman" w:hAnsi="Times New Roman" w:cs="Times New Roman"/>
          <w:sz w:val="22"/>
          <w:szCs w:val="22"/>
          <w:lang w:val="en-GB"/>
        </w:rPr>
        <w:t>more specific and targeted as a clear stepping stone to empowering community member</w:t>
      </w:r>
      <w:r w:rsidR="00E75BBB">
        <w:rPr>
          <w:rFonts w:ascii="Times New Roman" w:hAnsi="Times New Roman" w:cs="Times New Roman"/>
          <w:sz w:val="22"/>
          <w:szCs w:val="22"/>
          <w:lang w:val="en-GB"/>
        </w:rPr>
        <w:t xml:space="preserve">s to seek legal aid services. </w:t>
      </w:r>
      <w:r w:rsidR="006223F9" w:rsidRPr="004A29F9">
        <w:rPr>
          <w:rFonts w:ascii="Times New Roman" w:hAnsi="Times New Roman" w:cs="Times New Roman"/>
          <w:sz w:val="22"/>
          <w:szCs w:val="22"/>
          <w:lang w:val="en-GB"/>
        </w:rPr>
        <w:t>UNDP also acknowledged that much of the advocacy work on Israeli violations had not achieved the expected impact due to lack of political will within the international community</w:t>
      </w:r>
      <w:r w:rsidR="00E75BBB">
        <w:rPr>
          <w:rFonts w:ascii="Times New Roman" w:hAnsi="Times New Roman" w:cs="Times New Roman"/>
          <w:sz w:val="22"/>
          <w:szCs w:val="22"/>
          <w:lang w:val="en-GB"/>
        </w:rPr>
        <w:t xml:space="preserve"> (</w:t>
      </w:r>
      <w:r w:rsidR="006223F9" w:rsidRPr="004A29F9">
        <w:rPr>
          <w:rFonts w:ascii="Times New Roman" w:hAnsi="Times New Roman" w:cs="Times New Roman"/>
          <w:sz w:val="22"/>
          <w:szCs w:val="22"/>
          <w:lang w:val="en-GB"/>
        </w:rPr>
        <w:t>not due to any failing on the part of the</w:t>
      </w:r>
      <w:r w:rsidR="00E75BBB">
        <w:rPr>
          <w:rFonts w:ascii="Times New Roman" w:hAnsi="Times New Roman" w:cs="Times New Roman"/>
          <w:sz w:val="22"/>
          <w:szCs w:val="22"/>
          <w:lang w:val="en-GB"/>
        </w:rPr>
        <w:t xml:space="preserve"> CSOs engaged in the sector). </w:t>
      </w:r>
    </w:p>
    <w:p w:rsidR="003274A8" w:rsidRPr="004A29F9" w:rsidRDefault="003274A8" w:rsidP="00FB6759">
      <w:pPr>
        <w:spacing w:after="0" w:line="240" w:lineRule="auto"/>
        <w:jc w:val="both"/>
        <w:rPr>
          <w:rFonts w:ascii="Times New Roman" w:hAnsi="Times New Roman" w:cs="Times New Roman"/>
          <w:sz w:val="22"/>
          <w:szCs w:val="22"/>
          <w:lang w:val="en-GB"/>
        </w:rPr>
      </w:pPr>
    </w:p>
    <w:p w:rsidR="00115387" w:rsidRPr="004A29F9" w:rsidRDefault="00D45177" w:rsidP="00FB6759">
      <w:pPr>
        <w:spacing w:after="0" w:line="240" w:lineRule="auto"/>
        <w:jc w:val="both"/>
        <w:rPr>
          <w:rFonts w:ascii="Times New Roman" w:hAnsi="Times New Roman" w:cs="Times New Roman"/>
          <w:i/>
          <w:sz w:val="22"/>
          <w:szCs w:val="22"/>
          <w:lang w:val="en-GB"/>
        </w:rPr>
      </w:pPr>
      <w:r w:rsidRPr="004A29F9">
        <w:rPr>
          <w:rFonts w:ascii="Times New Roman" w:hAnsi="Times New Roman" w:cs="Times New Roman"/>
          <w:i/>
          <w:sz w:val="22"/>
          <w:szCs w:val="22"/>
          <w:lang w:val="en-GB"/>
        </w:rPr>
        <w:t xml:space="preserve">UNDP support to the </w:t>
      </w:r>
      <w:r w:rsidR="00E75BBB">
        <w:rPr>
          <w:rFonts w:ascii="Times New Roman" w:hAnsi="Times New Roman" w:cs="Times New Roman"/>
          <w:i/>
          <w:sz w:val="22"/>
          <w:szCs w:val="22"/>
          <w:lang w:val="en-GB"/>
        </w:rPr>
        <w:t>PBA</w:t>
      </w:r>
      <w:r w:rsidR="00FD3C19">
        <w:rPr>
          <w:rFonts w:ascii="Times New Roman" w:hAnsi="Times New Roman" w:cs="Times New Roman"/>
          <w:i/>
          <w:sz w:val="22"/>
          <w:szCs w:val="22"/>
          <w:lang w:val="en-GB"/>
        </w:rPr>
        <w:t xml:space="preserve"> </w:t>
      </w:r>
      <w:r w:rsidRPr="004A29F9">
        <w:rPr>
          <w:rFonts w:ascii="Times New Roman" w:hAnsi="Times New Roman" w:cs="Times New Roman"/>
          <w:i/>
          <w:sz w:val="22"/>
          <w:szCs w:val="22"/>
          <w:lang w:val="en-GB"/>
        </w:rPr>
        <w:t xml:space="preserve">and </w:t>
      </w:r>
      <w:r w:rsidR="00E75BBB">
        <w:rPr>
          <w:rFonts w:ascii="Times New Roman" w:hAnsi="Times New Roman" w:cs="Times New Roman"/>
          <w:i/>
          <w:sz w:val="22"/>
          <w:szCs w:val="22"/>
          <w:lang w:val="en-GB"/>
        </w:rPr>
        <w:t>continuing legal education and law school clinical e</w:t>
      </w:r>
      <w:r w:rsidR="005B4E40" w:rsidRPr="004A29F9">
        <w:rPr>
          <w:rFonts w:ascii="Times New Roman" w:hAnsi="Times New Roman" w:cs="Times New Roman"/>
          <w:i/>
          <w:sz w:val="22"/>
          <w:szCs w:val="22"/>
          <w:lang w:val="en-GB"/>
        </w:rPr>
        <w:t>ducation in the West Bank</w:t>
      </w:r>
    </w:p>
    <w:p w:rsidR="00490531" w:rsidRDefault="00490531" w:rsidP="00FB6759">
      <w:pPr>
        <w:spacing w:after="0" w:line="240" w:lineRule="auto"/>
        <w:jc w:val="both"/>
        <w:rPr>
          <w:rFonts w:ascii="Times New Roman" w:hAnsi="Times New Roman" w:cs="Times New Roman"/>
          <w:sz w:val="22"/>
          <w:szCs w:val="22"/>
          <w:lang w:val="en-GB"/>
        </w:rPr>
      </w:pPr>
    </w:p>
    <w:p w:rsidR="00303D61" w:rsidRPr="004A29F9" w:rsidRDefault="00115387"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Another avenue that UNDP has effectively explored to provide basic legal services is</w:t>
      </w:r>
      <w:r w:rsidR="00AB28EB">
        <w:rPr>
          <w:rFonts w:ascii="Times New Roman" w:hAnsi="Times New Roman" w:cs="Times New Roman"/>
          <w:sz w:val="22"/>
          <w:szCs w:val="22"/>
          <w:lang w:val="en-GB"/>
        </w:rPr>
        <w:t xml:space="preserve"> the PBA</w:t>
      </w:r>
      <w:r w:rsidRPr="004A29F9">
        <w:rPr>
          <w:rFonts w:ascii="Times New Roman" w:hAnsi="Times New Roman" w:cs="Times New Roman"/>
          <w:sz w:val="22"/>
          <w:szCs w:val="22"/>
          <w:lang w:val="en-GB"/>
        </w:rPr>
        <w:t xml:space="preserve"> in </w:t>
      </w:r>
      <w:r w:rsidR="009043E7" w:rsidRPr="004A29F9">
        <w:rPr>
          <w:rFonts w:ascii="Times New Roman" w:hAnsi="Times New Roman" w:cs="Times New Roman"/>
          <w:sz w:val="22"/>
          <w:szCs w:val="22"/>
          <w:lang w:val="en-GB"/>
        </w:rPr>
        <w:t xml:space="preserve">both </w:t>
      </w:r>
      <w:r w:rsidR="00AB28EB">
        <w:rPr>
          <w:rFonts w:ascii="Times New Roman" w:hAnsi="Times New Roman" w:cs="Times New Roman"/>
          <w:sz w:val="22"/>
          <w:szCs w:val="22"/>
          <w:lang w:val="en-GB"/>
        </w:rPr>
        <w:t>the West Bank and the Gaza</w:t>
      </w:r>
      <w:r w:rsidRPr="004A29F9">
        <w:rPr>
          <w:rFonts w:ascii="Times New Roman" w:hAnsi="Times New Roman" w:cs="Times New Roman"/>
          <w:sz w:val="22"/>
          <w:szCs w:val="22"/>
          <w:lang w:val="en-GB"/>
        </w:rPr>
        <w:t xml:space="preserve"> Strip in conjunction with universities.</w:t>
      </w:r>
      <w:r w:rsidRPr="004A29F9">
        <w:rPr>
          <w:rStyle w:val="FootnoteReference"/>
          <w:rFonts w:ascii="Times New Roman" w:hAnsi="Times New Roman" w:cs="Times New Roman"/>
          <w:sz w:val="22"/>
          <w:szCs w:val="22"/>
          <w:lang w:val="en-GB"/>
        </w:rPr>
        <w:footnoteReference w:id="128"/>
      </w:r>
      <w:r w:rsidR="00AB28EB">
        <w:rPr>
          <w:rFonts w:ascii="Times New Roman" w:hAnsi="Times New Roman" w:cs="Times New Roman"/>
          <w:sz w:val="22"/>
          <w:szCs w:val="22"/>
          <w:lang w:val="en-GB"/>
        </w:rPr>
        <w:t xml:space="preserve"> The p</w:t>
      </w:r>
      <w:r w:rsidRPr="004A29F9">
        <w:rPr>
          <w:rFonts w:ascii="Times New Roman" w:hAnsi="Times New Roman" w:cs="Times New Roman"/>
          <w:sz w:val="22"/>
          <w:szCs w:val="22"/>
          <w:lang w:val="en-GB"/>
        </w:rPr>
        <w:t>rogramme has helped to establish legal ai</w:t>
      </w:r>
      <w:r w:rsidR="00AB28EB">
        <w:rPr>
          <w:rFonts w:ascii="Times New Roman" w:hAnsi="Times New Roman" w:cs="Times New Roman"/>
          <w:sz w:val="22"/>
          <w:szCs w:val="22"/>
          <w:lang w:val="en-GB"/>
        </w:rPr>
        <w:t xml:space="preserve">d clinics </w:t>
      </w:r>
      <w:r w:rsidRPr="004A29F9">
        <w:rPr>
          <w:rFonts w:ascii="Times New Roman" w:hAnsi="Times New Roman" w:cs="Times New Roman"/>
          <w:sz w:val="22"/>
          <w:szCs w:val="22"/>
          <w:lang w:val="en-GB"/>
        </w:rPr>
        <w:t>in partnership with a number of leading Palestinian universities, including Al-Quds University, An-Najah University, Hebron University, Al-Azhar University, the Islamic University in Gaza</w:t>
      </w:r>
      <w:r w:rsidR="00AB28EB">
        <w:rPr>
          <w:rFonts w:ascii="Times New Roman" w:hAnsi="Times New Roman" w:cs="Times New Roman"/>
          <w:sz w:val="22"/>
          <w:szCs w:val="22"/>
          <w:lang w:val="en-GB"/>
        </w:rPr>
        <w:t>,</w:t>
      </w:r>
      <w:r w:rsidRPr="004A29F9">
        <w:rPr>
          <w:rFonts w:ascii="Times New Roman" w:hAnsi="Times New Roman" w:cs="Times New Roman"/>
          <w:sz w:val="22"/>
          <w:szCs w:val="22"/>
          <w:lang w:val="en-GB"/>
        </w:rPr>
        <w:t xml:space="preserve"> and the University of </w:t>
      </w:r>
      <w:r w:rsidR="00AB28EB">
        <w:rPr>
          <w:rFonts w:ascii="Times New Roman" w:hAnsi="Times New Roman" w:cs="Times New Roman"/>
          <w:sz w:val="22"/>
          <w:szCs w:val="22"/>
          <w:lang w:val="en-GB"/>
        </w:rPr>
        <w:t>Palestine</w:t>
      </w:r>
      <w:r w:rsidRPr="004A29F9">
        <w:rPr>
          <w:rFonts w:ascii="Times New Roman" w:hAnsi="Times New Roman" w:cs="Times New Roman"/>
          <w:sz w:val="22"/>
          <w:szCs w:val="22"/>
          <w:lang w:val="en-GB"/>
        </w:rPr>
        <w:t>.</w:t>
      </w:r>
      <w:r w:rsidRPr="004A29F9">
        <w:rPr>
          <w:rStyle w:val="FootnoteReference"/>
          <w:rFonts w:ascii="Times New Roman" w:hAnsi="Times New Roman" w:cs="Times New Roman"/>
          <w:sz w:val="22"/>
          <w:szCs w:val="22"/>
          <w:lang w:val="en-GB"/>
        </w:rPr>
        <w:footnoteReference w:id="129"/>
      </w:r>
    </w:p>
    <w:p w:rsidR="00490531" w:rsidRDefault="00490531" w:rsidP="00FB6759">
      <w:pPr>
        <w:spacing w:after="0" w:line="240" w:lineRule="auto"/>
        <w:jc w:val="both"/>
        <w:rPr>
          <w:rFonts w:ascii="Times New Roman" w:hAnsi="Times New Roman" w:cs="Times New Roman"/>
          <w:sz w:val="22"/>
          <w:szCs w:val="22"/>
          <w:lang w:val="en-GB"/>
        </w:rPr>
      </w:pPr>
    </w:p>
    <w:p w:rsidR="00115387" w:rsidRPr="004A29F9" w:rsidRDefault="00115387"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The legal aid clinics play an important access to justice role by providing basic but valuable legal aid services to disadvantaged communities while ensuring that law students are able to put theory into practice at an early stage in their careers. Targeting some of the oPt’s most neglected districts, they also facilitate a greater understanding among future legal professionals of the problems commonly faced by the poor.</w:t>
      </w:r>
      <w:r w:rsidRPr="004A29F9">
        <w:rPr>
          <w:rStyle w:val="FootnoteReference"/>
          <w:rFonts w:ascii="Times New Roman" w:hAnsi="Times New Roman" w:cs="Times New Roman"/>
          <w:sz w:val="22"/>
          <w:szCs w:val="22"/>
          <w:lang w:val="en-GB"/>
        </w:rPr>
        <w:footnoteReference w:id="130"/>
      </w:r>
      <w:r w:rsidRPr="004A29F9">
        <w:rPr>
          <w:rFonts w:ascii="Times New Roman" w:hAnsi="Times New Roman" w:cs="Times New Roman"/>
          <w:sz w:val="22"/>
          <w:szCs w:val="22"/>
          <w:lang w:val="en-GB"/>
        </w:rPr>
        <w:t xml:space="preserve"> In addition, since 2011 UNDP in partnership with the University College of Applied Sciences in Gaza has developed a paralegal diploma programme.</w:t>
      </w:r>
      <w:r w:rsidRPr="004A29F9">
        <w:rPr>
          <w:rStyle w:val="FootnoteReference"/>
          <w:rFonts w:ascii="Times New Roman" w:hAnsi="Times New Roman" w:cs="Times New Roman"/>
          <w:sz w:val="22"/>
          <w:szCs w:val="22"/>
          <w:lang w:val="en-GB"/>
        </w:rPr>
        <w:footnoteReference w:id="131"/>
      </w:r>
      <w:r w:rsidRPr="004A29F9">
        <w:rPr>
          <w:rFonts w:ascii="Times New Roman" w:hAnsi="Times New Roman" w:cs="Times New Roman"/>
          <w:sz w:val="22"/>
          <w:szCs w:val="22"/>
          <w:lang w:val="en-GB"/>
        </w:rPr>
        <w:t xml:space="preserve"> UNDP was successful in placing </w:t>
      </w:r>
      <w:r w:rsidR="009043E7" w:rsidRPr="004A29F9">
        <w:rPr>
          <w:rFonts w:ascii="Times New Roman" w:hAnsi="Times New Roman" w:cs="Times New Roman"/>
          <w:sz w:val="22"/>
          <w:szCs w:val="22"/>
          <w:lang w:val="en-GB"/>
        </w:rPr>
        <w:t>paralegals</w:t>
      </w:r>
      <w:r w:rsidR="00AB28EB">
        <w:rPr>
          <w:rFonts w:ascii="Times New Roman" w:hAnsi="Times New Roman" w:cs="Times New Roman"/>
          <w:sz w:val="22"/>
          <w:szCs w:val="22"/>
          <w:lang w:val="en-GB"/>
        </w:rPr>
        <w:t xml:space="preserve"> on the agenda of the national legal aid c</w:t>
      </w:r>
      <w:r w:rsidRPr="004A29F9">
        <w:rPr>
          <w:rFonts w:ascii="Times New Roman" w:hAnsi="Times New Roman" w:cs="Times New Roman"/>
          <w:sz w:val="22"/>
          <w:szCs w:val="22"/>
          <w:lang w:val="en-GB"/>
        </w:rPr>
        <w:t>onference and has supported recommendations from that discussion.</w:t>
      </w:r>
    </w:p>
    <w:p w:rsidR="00490531" w:rsidRDefault="00490531" w:rsidP="00FB6759">
      <w:pPr>
        <w:spacing w:after="0" w:line="240" w:lineRule="auto"/>
        <w:jc w:val="both"/>
        <w:rPr>
          <w:rFonts w:ascii="Times New Roman" w:hAnsi="Times New Roman" w:cs="Times New Roman"/>
          <w:sz w:val="22"/>
          <w:szCs w:val="22"/>
          <w:lang w:val="en-GB"/>
        </w:rPr>
      </w:pPr>
    </w:p>
    <w:p w:rsidR="009043E7" w:rsidRPr="004A29F9" w:rsidRDefault="007E148F"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The clinical legal education programmes in both </w:t>
      </w:r>
      <w:r w:rsidR="00AB28EB">
        <w:rPr>
          <w:rFonts w:ascii="Times New Roman" w:hAnsi="Times New Roman" w:cs="Times New Roman"/>
          <w:sz w:val="22"/>
          <w:szCs w:val="22"/>
          <w:lang w:val="en-GB"/>
        </w:rPr>
        <w:t xml:space="preserve">the </w:t>
      </w:r>
      <w:r w:rsidRPr="004A29F9">
        <w:rPr>
          <w:rFonts w:ascii="Times New Roman" w:hAnsi="Times New Roman" w:cs="Times New Roman"/>
          <w:sz w:val="22"/>
          <w:szCs w:val="22"/>
          <w:lang w:val="en-GB"/>
        </w:rPr>
        <w:t xml:space="preserve">West Bank and Gaza appear to be similarly developed and seeing roughly </w:t>
      </w:r>
      <w:r w:rsidR="00AB28EB">
        <w:rPr>
          <w:rFonts w:ascii="Times New Roman" w:hAnsi="Times New Roman" w:cs="Times New Roman"/>
          <w:sz w:val="22"/>
          <w:szCs w:val="22"/>
          <w:lang w:val="en-GB"/>
        </w:rPr>
        <w:t>the same numbers of clients, although</w:t>
      </w:r>
      <w:r w:rsidRPr="004A29F9">
        <w:rPr>
          <w:rFonts w:ascii="Times New Roman" w:hAnsi="Times New Roman" w:cs="Times New Roman"/>
          <w:sz w:val="22"/>
          <w:szCs w:val="22"/>
          <w:lang w:val="en-GB"/>
        </w:rPr>
        <w:t xml:space="preserve"> the alignment of the law school clinics with the formal justice sector is </w:t>
      </w:r>
      <w:r w:rsidR="005B7148" w:rsidRPr="004A29F9">
        <w:rPr>
          <w:rFonts w:ascii="Times New Roman" w:hAnsi="Times New Roman" w:cs="Times New Roman"/>
          <w:sz w:val="22"/>
          <w:szCs w:val="22"/>
          <w:lang w:val="en-GB"/>
        </w:rPr>
        <w:t xml:space="preserve">somewhat </w:t>
      </w:r>
      <w:r w:rsidR="009043E7" w:rsidRPr="004A29F9">
        <w:rPr>
          <w:rFonts w:ascii="Times New Roman" w:hAnsi="Times New Roman" w:cs="Times New Roman"/>
          <w:sz w:val="22"/>
          <w:szCs w:val="22"/>
          <w:lang w:val="en-GB"/>
        </w:rPr>
        <w:t>more advanced in Gaza than in the West Bank due to the</w:t>
      </w:r>
      <w:r w:rsidRPr="004A29F9">
        <w:rPr>
          <w:rFonts w:ascii="Times New Roman" w:hAnsi="Times New Roman" w:cs="Times New Roman"/>
          <w:sz w:val="22"/>
          <w:szCs w:val="22"/>
          <w:lang w:val="en-GB"/>
        </w:rPr>
        <w:t xml:space="preserve"> fact that </w:t>
      </w:r>
      <w:r w:rsidR="00AB28EB">
        <w:rPr>
          <w:rFonts w:ascii="Times New Roman" w:hAnsi="Times New Roman" w:cs="Times New Roman"/>
          <w:sz w:val="22"/>
          <w:szCs w:val="22"/>
          <w:lang w:val="en-GB"/>
        </w:rPr>
        <w:t xml:space="preserve">the </w:t>
      </w:r>
      <w:r w:rsidR="009043E7" w:rsidRPr="004A29F9">
        <w:rPr>
          <w:rFonts w:ascii="Times New Roman" w:hAnsi="Times New Roman" w:cs="Times New Roman"/>
          <w:sz w:val="22"/>
          <w:szCs w:val="22"/>
          <w:lang w:val="en-GB"/>
        </w:rPr>
        <w:t>Gaza</w:t>
      </w:r>
      <w:r w:rsidR="00AB28EB">
        <w:rPr>
          <w:rFonts w:ascii="Times New Roman" w:hAnsi="Times New Roman" w:cs="Times New Roman"/>
          <w:sz w:val="22"/>
          <w:szCs w:val="22"/>
          <w:lang w:val="en-GB"/>
        </w:rPr>
        <w:t xml:space="preserve"> branch of the PBA</w:t>
      </w:r>
      <w:r w:rsidR="00FD3C19">
        <w:rPr>
          <w:rFonts w:ascii="Times New Roman" w:hAnsi="Times New Roman" w:cs="Times New Roman"/>
          <w:sz w:val="22"/>
          <w:szCs w:val="22"/>
          <w:lang w:val="en-GB"/>
        </w:rPr>
        <w:t xml:space="preserve"> </w:t>
      </w:r>
      <w:r w:rsidR="00AB28EB">
        <w:rPr>
          <w:rFonts w:ascii="Times New Roman" w:hAnsi="Times New Roman" w:cs="Times New Roman"/>
          <w:sz w:val="22"/>
          <w:szCs w:val="22"/>
          <w:lang w:val="en-GB"/>
        </w:rPr>
        <w:t>takes</w:t>
      </w:r>
      <w:r w:rsidRPr="004A29F9">
        <w:rPr>
          <w:rFonts w:ascii="Times New Roman" w:hAnsi="Times New Roman" w:cs="Times New Roman"/>
          <w:sz w:val="22"/>
          <w:szCs w:val="22"/>
          <w:lang w:val="en-GB"/>
        </w:rPr>
        <w:t xml:space="preserve"> a primary and supervisory role over the universi</w:t>
      </w:r>
      <w:r w:rsidR="00AB28EB">
        <w:rPr>
          <w:rFonts w:ascii="Times New Roman" w:hAnsi="Times New Roman" w:cs="Times New Roman"/>
          <w:sz w:val="22"/>
          <w:szCs w:val="22"/>
          <w:lang w:val="en-GB"/>
        </w:rPr>
        <w:t>ty law school clinics. It</w:t>
      </w:r>
      <w:r w:rsidRPr="004A29F9">
        <w:rPr>
          <w:rFonts w:ascii="Times New Roman" w:hAnsi="Times New Roman" w:cs="Times New Roman"/>
          <w:sz w:val="22"/>
          <w:szCs w:val="22"/>
          <w:lang w:val="en-GB"/>
        </w:rPr>
        <w:t xml:space="preserve"> has</w:t>
      </w:r>
      <w:r w:rsidR="00FD3C19">
        <w:rPr>
          <w:rFonts w:ascii="Times New Roman" w:hAnsi="Times New Roman" w:cs="Times New Roman"/>
          <w:sz w:val="22"/>
          <w:szCs w:val="22"/>
          <w:lang w:val="en-GB"/>
        </w:rPr>
        <w:t xml:space="preserve"> </w:t>
      </w:r>
      <w:r w:rsidRPr="004A29F9">
        <w:rPr>
          <w:rFonts w:ascii="Times New Roman" w:hAnsi="Times New Roman" w:cs="Times New Roman"/>
          <w:sz w:val="22"/>
          <w:szCs w:val="22"/>
          <w:lang w:val="en-GB"/>
        </w:rPr>
        <w:t xml:space="preserve">also </w:t>
      </w:r>
      <w:r w:rsidR="005B7148" w:rsidRPr="004A29F9">
        <w:rPr>
          <w:rFonts w:ascii="Times New Roman" w:hAnsi="Times New Roman" w:cs="Times New Roman"/>
          <w:sz w:val="22"/>
          <w:szCs w:val="22"/>
          <w:lang w:val="en-GB"/>
        </w:rPr>
        <w:t xml:space="preserve">established </w:t>
      </w:r>
      <w:r w:rsidRPr="004A29F9">
        <w:rPr>
          <w:rFonts w:ascii="Times New Roman" w:hAnsi="Times New Roman" w:cs="Times New Roman"/>
          <w:sz w:val="22"/>
          <w:szCs w:val="22"/>
          <w:lang w:val="en-GB"/>
        </w:rPr>
        <w:t xml:space="preserve">close </w:t>
      </w:r>
      <w:r w:rsidR="006E5DD7" w:rsidRPr="004A29F9">
        <w:rPr>
          <w:rFonts w:ascii="Times New Roman" w:hAnsi="Times New Roman" w:cs="Times New Roman"/>
          <w:sz w:val="22"/>
          <w:szCs w:val="22"/>
          <w:lang w:val="en-GB"/>
        </w:rPr>
        <w:t>links with</w:t>
      </w:r>
      <w:r w:rsidR="009043E7" w:rsidRPr="004A29F9">
        <w:rPr>
          <w:rFonts w:ascii="Times New Roman" w:hAnsi="Times New Roman" w:cs="Times New Roman"/>
          <w:sz w:val="22"/>
          <w:szCs w:val="22"/>
          <w:lang w:val="en-GB"/>
        </w:rPr>
        <w:t xml:space="preserve"> legal aid </w:t>
      </w:r>
      <w:r w:rsidR="006E5DD7" w:rsidRPr="004A29F9">
        <w:rPr>
          <w:rFonts w:ascii="Times New Roman" w:hAnsi="Times New Roman" w:cs="Times New Roman"/>
          <w:sz w:val="22"/>
          <w:szCs w:val="22"/>
          <w:lang w:val="en-GB"/>
        </w:rPr>
        <w:t>providers through the</w:t>
      </w:r>
      <w:r w:rsidR="00AB28EB">
        <w:rPr>
          <w:rFonts w:ascii="Times New Roman" w:hAnsi="Times New Roman" w:cs="Times New Roman"/>
          <w:sz w:val="22"/>
          <w:szCs w:val="22"/>
          <w:lang w:val="en-GB"/>
        </w:rPr>
        <w:t xml:space="preserve"> Awn Network. </w:t>
      </w:r>
      <w:r w:rsidRPr="004A29F9">
        <w:rPr>
          <w:rFonts w:ascii="Times New Roman" w:hAnsi="Times New Roman" w:cs="Times New Roman"/>
          <w:sz w:val="22"/>
          <w:szCs w:val="22"/>
          <w:lang w:val="en-GB"/>
        </w:rPr>
        <w:lastRenderedPageBreak/>
        <w:t>Moreover,</w:t>
      </w:r>
      <w:r w:rsidR="00AB28EB">
        <w:rPr>
          <w:rFonts w:ascii="Times New Roman" w:hAnsi="Times New Roman" w:cs="Times New Roman"/>
          <w:sz w:val="22"/>
          <w:szCs w:val="22"/>
          <w:lang w:val="en-GB"/>
        </w:rPr>
        <w:t xml:space="preserve"> the </w:t>
      </w:r>
      <w:r w:rsidR="00216640" w:rsidRPr="004A29F9">
        <w:rPr>
          <w:rFonts w:ascii="Times New Roman" w:hAnsi="Times New Roman" w:cs="Times New Roman"/>
          <w:sz w:val="22"/>
          <w:szCs w:val="22"/>
          <w:lang w:val="en-GB"/>
        </w:rPr>
        <w:t xml:space="preserve">Gaza </w:t>
      </w:r>
      <w:r w:rsidR="00AB28EB">
        <w:rPr>
          <w:rFonts w:ascii="Times New Roman" w:hAnsi="Times New Roman" w:cs="Times New Roman"/>
          <w:sz w:val="22"/>
          <w:szCs w:val="22"/>
          <w:lang w:val="en-GB"/>
        </w:rPr>
        <w:t xml:space="preserve">branch </w:t>
      </w:r>
      <w:r w:rsidR="00216640" w:rsidRPr="004A29F9">
        <w:rPr>
          <w:rFonts w:ascii="Times New Roman" w:hAnsi="Times New Roman" w:cs="Times New Roman"/>
          <w:sz w:val="22"/>
          <w:szCs w:val="22"/>
          <w:lang w:val="en-GB"/>
        </w:rPr>
        <w:t>has a thriving legal</w:t>
      </w:r>
      <w:r w:rsidR="00AB28EB">
        <w:rPr>
          <w:rFonts w:ascii="Times New Roman" w:hAnsi="Times New Roman" w:cs="Times New Roman"/>
          <w:sz w:val="22"/>
          <w:szCs w:val="22"/>
          <w:lang w:val="en-GB"/>
        </w:rPr>
        <w:t xml:space="preserve"> aid clinic which</w:t>
      </w:r>
      <w:r w:rsidR="00216640" w:rsidRPr="004A29F9">
        <w:rPr>
          <w:rFonts w:ascii="Times New Roman" w:hAnsi="Times New Roman" w:cs="Times New Roman"/>
          <w:sz w:val="22"/>
          <w:szCs w:val="22"/>
          <w:lang w:val="en-GB"/>
        </w:rPr>
        <w:t xml:space="preserve"> uses</w:t>
      </w:r>
      <w:r w:rsidR="00AB28EB">
        <w:rPr>
          <w:rFonts w:ascii="Times New Roman" w:hAnsi="Times New Roman" w:cs="Times New Roman"/>
          <w:sz w:val="22"/>
          <w:szCs w:val="22"/>
          <w:lang w:val="en-GB"/>
        </w:rPr>
        <w:t xml:space="preserve"> interns from the law schools. </w:t>
      </w:r>
      <w:r w:rsidR="005B7148" w:rsidRPr="004A29F9">
        <w:rPr>
          <w:rFonts w:ascii="Times New Roman" w:hAnsi="Times New Roman" w:cs="Times New Roman"/>
          <w:sz w:val="22"/>
          <w:szCs w:val="22"/>
          <w:lang w:val="en-GB"/>
        </w:rPr>
        <w:t>By contrast,</w:t>
      </w:r>
      <w:r w:rsidR="00AB28EB">
        <w:rPr>
          <w:rFonts w:ascii="Times New Roman" w:hAnsi="Times New Roman" w:cs="Times New Roman"/>
          <w:sz w:val="22"/>
          <w:szCs w:val="22"/>
          <w:lang w:val="en-GB"/>
        </w:rPr>
        <w:t xml:space="preserve"> the legal aid </w:t>
      </w:r>
      <w:r w:rsidR="00216640" w:rsidRPr="004A29F9">
        <w:rPr>
          <w:rFonts w:ascii="Times New Roman" w:hAnsi="Times New Roman" w:cs="Times New Roman"/>
          <w:sz w:val="22"/>
          <w:szCs w:val="22"/>
          <w:lang w:val="en-GB"/>
        </w:rPr>
        <w:t>clinics in the West Bank are funded directly by UNDP and do not yet partner extensively with the PBA</w:t>
      </w:r>
      <w:r w:rsidR="00AB28EB">
        <w:rPr>
          <w:rFonts w:ascii="Times New Roman" w:hAnsi="Times New Roman" w:cs="Times New Roman"/>
          <w:sz w:val="22"/>
          <w:szCs w:val="22"/>
          <w:lang w:val="en-GB"/>
        </w:rPr>
        <w:t xml:space="preserve">. </w:t>
      </w:r>
      <w:r w:rsidRPr="004A29F9">
        <w:rPr>
          <w:rFonts w:ascii="Times New Roman" w:hAnsi="Times New Roman" w:cs="Times New Roman"/>
          <w:sz w:val="22"/>
          <w:szCs w:val="22"/>
          <w:lang w:val="en-GB"/>
        </w:rPr>
        <w:t xml:space="preserve">An important note is that </w:t>
      </w:r>
      <w:r w:rsidR="00FF23FC" w:rsidRPr="004A29F9">
        <w:rPr>
          <w:rFonts w:ascii="Times New Roman" w:hAnsi="Times New Roman" w:cs="Times New Roman"/>
          <w:sz w:val="22"/>
          <w:szCs w:val="22"/>
          <w:lang w:val="en-GB"/>
        </w:rPr>
        <w:t xml:space="preserve">law schools </w:t>
      </w:r>
      <w:r w:rsidR="005B7148" w:rsidRPr="004A29F9">
        <w:rPr>
          <w:rFonts w:ascii="Times New Roman" w:hAnsi="Times New Roman" w:cs="Times New Roman"/>
          <w:sz w:val="22"/>
          <w:szCs w:val="22"/>
          <w:lang w:val="en-GB"/>
        </w:rPr>
        <w:t xml:space="preserve">in both the West Bank and </w:t>
      </w:r>
      <w:r w:rsidR="00222EC3" w:rsidRPr="004A29F9">
        <w:rPr>
          <w:rFonts w:ascii="Times New Roman" w:hAnsi="Times New Roman" w:cs="Times New Roman"/>
          <w:sz w:val="22"/>
          <w:szCs w:val="22"/>
          <w:lang w:val="en-GB"/>
        </w:rPr>
        <w:t>Gaza</w:t>
      </w:r>
      <w:r w:rsidR="00FD3C19">
        <w:rPr>
          <w:rFonts w:ascii="Times New Roman" w:hAnsi="Times New Roman" w:cs="Times New Roman"/>
          <w:sz w:val="22"/>
          <w:szCs w:val="22"/>
          <w:lang w:val="en-GB"/>
        </w:rPr>
        <w:t xml:space="preserve"> </w:t>
      </w:r>
      <w:r w:rsidR="00FF23FC" w:rsidRPr="004A29F9">
        <w:rPr>
          <w:rFonts w:ascii="Times New Roman" w:hAnsi="Times New Roman" w:cs="Times New Roman"/>
          <w:sz w:val="22"/>
          <w:szCs w:val="22"/>
          <w:lang w:val="en-GB"/>
        </w:rPr>
        <w:t>were not successful in getting legal aid clini</w:t>
      </w:r>
      <w:r w:rsidR="00AB28EB">
        <w:rPr>
          <w:rFonts w:ascii="Times New Roman" w:hAnsi="Times New Roman" w:cs="Times New Roman"/>
          <w:sz w:val="22"/>
          <w:szCs w:val="22"/>
          <w:lang w:val="en-GB"/>
        </w:rPr>
        <w:t xml:space="preserve">cs included in the draft </w:t>
      </w:r>
      <w:r w:rsidR="00FF23FC" w:rsidRPr="004A29F9">
        <w:rPr>
          <w:rFonts w:ascii="Times New Roman" w:hAnsi="Times New Roman" w:cs="Times New Roman"/>
          <w:sz w:val="22"/>
          <w:szCs w:val="22"/>
          <w:lang w:val="en-GB"/>
        </w:rPr>
        <w:t>Legal Aid</w:t>
      </w:r>
      <w:r w:rsidR="00AB28EB">
        <w:rPr>
          <w:rFonts w:ascii="Times New Roman" w:hAnsi="Times New Roman" w:cs="Times New Roman"/>
          <w:sz w:val="22"/>
          <w:szCs w:val="22"/>
          <w:lang w:val="en-GB"/>
        </w:rPr>
        <w:t xml:space="preserve"> Law</w:t>
      </w:r>
      <w:r w:rsidR="00FF23FC" w:rsidRPr="004A29F9">
        <w:rPr>
          <w:rFonts w:ascii="Times New Roman" w:hAnsi="Times New Roman" w:cs="Times New Roman"/>
          <w:sz w:val="22"/>
          <w:szCs w:val="22"/>
          <w:lang w:val="en-GB"/>
        </w:rPr>
        <w:t>.</w:t>
      </w:r>
      <w:r w:rsidR="00AB28EB">
        <w:rPr>
          <w:rFonts w:ascii="Times New Roman" w:hAnsi="Times New Roman" w:cs="Times New Roman"/>
          <w:sz w:val="22"/>
          <w:szCs w:val="22"/>
          <w:lang w:val="en-GB"/>
        </w:rPr>
        <w:t xml:space="preserve"> UNDP’s partnership with t</w:t>
      </w:r>
      <w:r w:rsidR="009043E7" w:rsidRPr="004A29F9">
        <w:rPr>
          <w:rFonts w:ascii="Times New Roman" w:hAnsi="Times New Roman" w:cs="Times New Roman"/>
          <w:sz w:val="22"/>
          <w:szCs w:val="22"/>
          <w:lang w:val="en-GB"/>
        </w:rPr>
        <w:t xml:space="preserve">he PBA in Gaza is discussed </w:t>
      </w:r>
      <w:r w:rsidR="009D7E48" w:rsidRPr="004A29F9">
        <w:rPr>
          <w:rFonts w:ascii="Times New Roman" w:hAnsi="Times New Roman" w:cs="Times New Roman"/>
          <w:sz w:val="22"/>
          <w:szCs w:val="22"/>
          <w:lang w:val="en-GB"/>
        </w:rPr>
        <w:t xml:space="preserve">in more detail </w:t>
      </w:r>
      <w:r w:rsidR="009043E7" w:rsidRPr="004A29F9">
        <w:rPr>
          <w:rFonts w:ascii="Times New Roman" w:hAnsi="Times New Roman" w:cs="Times New Roman"/>
          <w:sz w:val="22"/>
          <w:szCs w:val="22"/>
          <w:lang w:val="en-GB"/>
        </w:rPr>
        <w:t>below</w:t>
      </w:r>
      <w:r w:rsidR="009D7E48" w:rsidRPr="004A29F9">
        <w:rPr>
          <w:rFonts w:ascii="Times New Roman" w:hAnsi="Times New Roman" w:cs="Times New Roman"/>
          <w:sz w:val="22"/>
          <w:szCs w:val="22"/>
          <w:lang w:val="en-GB"/>
        </w:rPr>
        <w:t xml:space="preserve"> under</w:t>
      </w:r>
      <w:r w:rsidR="00AB28EB">
        <w:rPr>
          <w:rFonts w:ascii="Times New Roman" w:hAnsi="Times New Roman" w:cs="Times New Roman"/>
          <w:sz w:val="22"/>
          <w:szCs w:val="22"/>
          <w:lang w:val="en-GB"/>
        </w:rPr>
        <w:t xml:space="preserve"> Outcome</w:t>
      </w:r>
      <w:r w:rsidR="009043E7" w:rsidRPr="004A29F9">
        <w:rPr>
          <w:rFonts w:ascii="Times New Roman" w:hAnsi="Times New Roman" w:cs="Times New Roman"/>
          <w:sz w:val="22"/>
          <w:szCs w:val="22"/>
          <w:lang w:val="en-GB"/>
        </w:rPr>
        <w:t xml:space="preserve"> 4.</w:t>
      </w:r>
      <w:r w:rsidR="00AB28EB">
        <w:rPr>
          <w:rFonts w:ascii="Times New Roman" w:hAnsi="Times New Roman" w:cs="Times New Roman"/>
          <w:sz w:val="22"/>
          <w:szCs w:val="22"/>
          <w:lang w:val="en-GB"/>
        </w:rPr>
        <w:t xml:space="preserve"> UNDP support to the PBA and the university-based legal aid clinics is outlined herein.</w:t>
      </w:r>
    </w:p>
    <w:p w:rsidR="00490531" w:rsidRDefault="00490531" w:rsidP="00FB6759">
      <w:pPr>
        <w:spacing w:after="0" w:line="240" w:lineRule="auto"/>
        <w:jc w:val="both"/>
        <w:rPr>
          <w:rFonts w:ascii="Times New Roman" w:hAnsi="Times New Roman" w:cs="Times New Roman"/>
          <w:sz w:val="22"/>
          <w:szCs w:val="22"/>
          <w:lang w:val="en-GB"/>
        </w:rPr>
      </w:pPr>
    </w:p>
    <w:p w:rsidR="00CA62CB" w:rsidRPr="004A29F9" w:rsidRDefault="00216640"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UNDP currently funds a</w:t>
      </w:r>
      <w:r w:rsidR="00AB28EB">
        <w:rPr>
          <w:rFonts w:ascii="Times New Roman" w:hAnsi="Times New Roman" w:cs="Times New Roman"/>
          <w:sz w:val="22"/>
          <w:szCs w:val="22"/>
          <w:lang w:val="en-GB"/>
        </w:rPr>
        <w:t xml:space="preserve">n expert at the West Bank branch of the PBA. </w:t>
      </w:r>
      <w:r w:rsidR="009D7E48" w:rsidRPr="004A29F9">
        <w:rPr>
          <w:rFonts w:ascii="Times New Roman" w:hAnsi="Times New Roman" w:cs="Times New Roman"/>
          <w:sz w:val="22"/>
          <w:szCs w:val="22"/>
          <w:lang w:val="en-GB"/>
        </w:rPr>
        <w:t>As a result of UNDP support</w:t>
      </w:r>
      <w:r w:rsidR="00895004" w:rsidRPr="004A29F9">
        <w:rPr>
          <w:rFonts w:ascii="Times New Roman" w:hAnsi="Times New Roman" w:cs="Times New Roman"/>
          <w:sz w:val="22"/>
          <w:szCs w:val="22"/>
          <w:lang w:val="en-GB"/>
        </w:rPr>
        <w:t>,</w:t>
      </w:r>
      <w:r w:rsidR="00AB28EB">
        <w:rPr>
          <w:rFonts w:ascii="Times New Roman" w:hAnsi="Times New Roman" w:cs="Times New Roman"/>
          <w:sz w:val="22"/>
          <w:szCs w:val="22"/>
          <w:lang w:val="en-GB"/>
        </w:rPr>
        <w:t xml:space="preserve"> the PBA has </w:t>
      </w:r>
      <w:r w:rsidR="009D7E48" w:rsidRPr="004A29F9">
        <w:rPr>
          <w:rFonts w:ascii="Times New Roman" w:hAnsi="Times New Roman" w:cs="Times New Roman"/>
          <w:sz w:val="22"/>
          <w:szCs w:val="22"/>
          <w:lang w:val="en-GB"/>
        </w:rPr>
        <w:t>conducted a study on the role and needs of women lawyers</w:t>
      </w:r>
      <w:r w:rsidR="00AB28EB">
        <w:rPr>
          <w:rFonts w:ascii="Times New Roman" w:hAnsi="Times New Roman" w:cs="Times New Roman"/>
          <w:sz w:val="22"/>
          <w:szCs w:val="22"/>
          <w:lang w:val="en-GB"/>
        </w:rPr>
        <w:t xml:space="preserve"> and, subsequently, established a female lawyers’ network. </w:t>
      </w:r>
      <w:r w:rsidR="00895004" w:rsidRPr="004A29F9">
        <w:rPr>
          <w:rFonts w:ascii="Times New Roman" w:hAnsi="Times New Roman" w:cs="Times New Roman"/>
          <w:sz w:val="22"/>
          <w:szCs w:val="22"/>
          <w:lang w:val="en-GB"/>
        </w:rPr>
        <w:t>UNDP support</w:t>
      </w:r>
      <w:r w:rsidR="00AB28EB">
        <w:rPr>
          <w:rFonts w:ascii="Times New Roman" w:hAnsi="Times New Roman" w:cs="Times New Roman"/>
          <w:sz w:val="22"/>
          <w:szCs w:val="22"/>
          <w:lang w:val="en-GB"/>
        </w:rPr>
        <w:t xml:space="preserve"> also enabled the PBA to establish a c</w:t>
      </w:r>
      <w:r w:rsidR="00895004" w:rsidRPr="004A29F9">
        <w:rPr>
          <w:rFonts w:ascii="Times New Roman" w:hAnsi="Times New Roman" w:cs="Times New Roman"/>
          <w:sz w:val="22"/>
          <w:szCs w:val="22"/>
          <w:lang w:val="en-GB"/>
        </w:rPr>
        <w:t xml:space="preserve">ontinuous </w:t>
      </w:r>
      <w:r w:rsidR="00AB28EB">
        <w:rPr>
          <w:rFonts w:ascii="Times New Roman" w:hAnsi="Times New Roman" w:cs="Times New Roman"/>
          <w:sz w:val="22"/>
          <w:szCs w:val="22"/>
          <w:lang w:val="en-GB"/>
        </w:rPr>
        <w:t>training p</w:t>
      </w:r>
      <w:r w:rsidR="00895004" w:rsidRPr="004A29F9">
        <w:rPr>
          <w:rFonts w:ascii="Times New Roman" w:hAnsi="Times New Roman" w:cs="Times New Roman"/>
          <w:sz w:val="22"/>
          <w:szCs w:val="22"/>
          <w:lang w:val="en-GB"/>
        </w:rPr>
        <w:t>r</w:t>
      </w:r>
      <w:r w:rsidR="005E6934">
        <w:rPr>
          <w:rFonts w:ascii="Times New Roman" w:hAnsi="Times New Roman" w:cs="Times New Roman"/>
          <w:sz w:val="22"/>
          <w:szCs w:val="22"/>
          <w:lang w:val="en-GB"/>
        </w:rPr>
        <w:t xml:space="preserve">ogramme implemented at five </w:t>
      </w:r>
      <w:r w:rsidR="00895004" w:rsidRPr="004A29F9">
        <w:rPr>
          <w:rFonts w:ascii="Times New Roman" w:hAnsi="Times New Roman" w:cs="Times New Roman"/>
          <w:sz w:val="22"/>
          <w:szCs w:val="22"/>
          <w:lang w:val="en-GB"/>
        </w:rPr>
        <w:t xml:space="preserve">district offices across the West Bank. The programme, which </w:t>
      </w:r>
      <w:r w:rsidR="005E6934">
        <w:rPr>
          <w:rFonts w:ascii="Times New Roman" w:hAnsi="Times New Roman" w:cs="Times New Roman"/>
          <w:sz w:val="22"/>
          <w:szCs w:val="22"/>
          <w:lang w:val="en-GB"/>
        </w:rPr>
        <w:t>offers training for licensed lawyers</w:t>
      </w:r>
      <w:r w:rsidR="00895004" w:rsidRPr="004A29F9">
        <w:rPr>
          <w:rFonts w:ascii="Times New Roman" w:hAnsi="Times New Roman" w:cs="Times New Roman"/>
          <w:sz w:val="22"/>
          <w:szCs w:val="22"/>
          <w:lang w:val="en-GB"/>
        </w:rPr>
        <w:t xml:space="preserve"> has thus far operated on a pilot basis with approximately 20 lawyers attending each course in each district</w:t>
      </w:r>
      <w:r w:rsidR="00516375" w:rsidRPr="004A29F9">
        <w:rPr>
          <w:rFonts w:ascii="Times New Roman" w:hAnsi="Times New Roman" w:cs="Times New Roman"/>
          <w:sz w:val="22"/>
          <w:szCs w:val="22"/>
          <w:lang w:val="en-GB"/>
        </w:rPr>
        <w:t>, resulting in approximately 1</w:t>
      </w:r>
      <w:r w:rsidR="005E6934">
        <w:rPr>
          <w:rFonts w:ascii="Times New Roman" w:hAnsi="Times New Roman" w:cs="Times New Roman"/>
          <w:sz w:val="22"/>
          <w:szCs w:val="22"/>
          <w:lang w:val="en-GB"/>
        </w:rPr>
        <w:t>,</w:t>
      </w:r>
      <w:r w:rsidR="00516375" w:rsidRPr="004A29F9">
        <w:rPr>
          <w:rFonts w:ascii="Times New Roman" w:hAnsi="Times New Roman" w:cs="Times New Roman"/>
          <w:sz w:val="22"/>
          <w:szCs w:val="22"/>
          <w:lang w:val="en-GB"/>
        </w:rPr>
        <w:t>000 trainings un</w:t>
      </w:r>
      <w:r w:rsidR="005E6934">
        <w:rPr>
          <w:rFonts w:ascii="Times New Roman" w:hAnsi="Times New Roman" w:cs="Times New Roman"/>
          <w:sz w:val="22"/>
          <w:szCs w:val="22"/>
          <w:lang w:val="en-GB"/>
        </w:rPr>
        <w:t>dertaken by a pool of 300 participants (</w:t>
      </w:r>
      <w:r w:rsidR="00516375" w:rsidRPr="004A29F9">
        <w:rPr>
          <w:rFonts w:ascii="Times New Roman" w:hAnsi="Times New Roman" w:cs="Times New Roman"/>
          <w:sz w:val="22"/>
          <w:szCs w:val="22"/>
          <w:lang w:val="en-GB"/>
        </w:rPr>
        <w:t>out of a total of 2</w:t>
      </w:r>
      <w:r w:rsidR="005E6934">
        <w:rPr>
          <w:rFonts w:ascii="Times New Roman" w:hAnsi="Times New Roman" w:cs="Times New Roman"/>
          <w:sz w:val="22"/>
          <w:szCs w:val="22"/>
          <w:lang w:val="en-GB"/>
        </w:rPr>
        <w:t>,</w:t>
      </w:r>
      <w:r w:rsidR="00516375" w:rsidRPr="004A29F9">
        <w:rPr>
          <w:rFonts w:ascii="Times New Roman" w:hAnsi="Times New Roman" w:cs="Times New Roman"/>
          <w:sz w:val="22"/>
          <w:szCs w:val="22"/>
          <w:lang w:val="en-GB"/>
        </w:rPr>
        <w:t>400 eligi</w:t>
      </w:r>
      <w:r w:rsidR="005E6934">
        <w:rPr>
          <w:rFonts w:ascii="Times New Roman" w:hAnsi="Times New Roman" w:cs="Times New Roman"/>
          <w:sz w:val="22"/>
          <w:szCs w:val="22"/>
          <w:lang w:val="en-GB"/>
        </w:rPr>
        <w:t xml:space="preserve">ble members of the PBA). </w:t>
      </w:r>
      <w:r w:rsidR="00516375" w:rsidRPr="004A29F9">
        <w:rPr>
          <w:rFonts w:ascii="Times New Roman" w:hAnsi="Times New Roman" w:cs="Times New Roman"/>
          <w:sz w:val="22"/>
          <w:szCs w:val="22"/>
          <w:lang w:val="en-GB"/>
        </w:rPr>
        <w:t xml:space="preserve">Thus, it would appear that UNDP has been successful in reaching approximately 14 </w:t>
      </w:r>
      <w:r w:rsidR="002D1EE7">
        <w:rPr>
          <w:rFonts w:ascii="Times New Roman" w:hAnsi="Times New Roman" w:cs="Times New Roman"/>
          <w:sz w:val="22"/>
          <w:szCs w:val="22"/>
          <w:lang w:val="en-GB"/>
        </w:rPr>
        <w:t>per</w:t>
      </w:r>
      <w:r w:rsidR="002D1EE7" w:rsidRPr="004A29F9">
        <w:rPr>
          <w:rFonts w:ascii="Times New Roman" w:hAnsi="Times New Roman" w:cs="Times New Roman"/>
          <w:sz w:val="22"/>
          <w:szCs w:val="22"/>
          <w:lang w:val="en-GB"/>
        </w:rPr>
        <w:t>cent</w:t>
      </w:r>
      <w:r w:rsidR="00516375" w:rsidRPr="004A29F9">
        <w:rPr>
          <w:rFonts w:ascii="Times New Roman" w:hAnsi="Times New Roman" w:cs="Times New Roman"/>
          <w:sz w:val="22"/>
          <w:szCs w:val="22"/>
          <w:lang w:val="en-GB"/>
        </w:rPr>
        <w:t xml:space="preserve"> of all members of the PBA to date. </w:t>
      </w:r>
      <w:r w:rsidR="00D27FE2" w:rsidRPr="004A29F9">
        <w:rPr>
          <w:rFonts w:ascii="Times New Roman" w:hAnsi="Times New Roman" w:cs="Times New Roman"/>
          <w:sz w:val="22"/>
          <w:szCs w:val="22"/>
          <w:lang w:val="en-GB"/>
        </w:rPr>
        <w:t xml:space="preserve">Around 1 in 4 participants in the courses were </w:t>
      </w:r>
      <w:r w:rsidR="00086D59" w:rsidRPr="004A29F9">
        <w:rPr>
          <w:rFonts w:ascii="Times New Roman" w:hAnsi="Times New Roman" w:cs="Times New Roman"/>
          <w:sz w:val="22"/>
          <w:szCs w:val="22"/>
          <w:lang w:val="en-GB"/>
        </w:rPr>
        <w:t>female</w:t>
      </w:r>
      <w:r w:rsidR="00D27FE2" w:rsidRPr="004A29F9">
        <w:rPr>
          <w:rFonts w:ascii="Times New Roman" w:hAnsi="Times New Roman" w:cs="Times New Roman"/>
          <w:sz w:val="22"/>
          <w:szCs w:val="22"/>
          <w:lang w:val="en-GB"/>
        </w:rPr>
        <w:t xml:space="preserve"> which is a strong result given that women make</w:t>
      </w:r>
      <w:r w:rsidR="005E6934">
        <w:rPr>
          <w:rFonts w:ascii="Times New Roman" w:hAnsi="Times New Roman" w:cs="Times New Roman"/>
          <w:sz w:val="22"/>
          <w:szCs w:val="22"/>
          <w:lang w:val="en-GB"/>
        </w:rPr>
        <w:t xml:space="preserve"> up around 7% of practicing lawyers. </w:t>
      </w:r>
      <w:r w:rsidR="00D27FE2" w:rsidRPr="004A29F9">
        <w:rPr>
          <w:rFonts w:ascii="Times New Roman" w:hAnsi="Times New Roman" w:cs="Times New Roman"/>
          <w:sz w:val="22"/>
          <w:szCs w:val="22"/>
          <w:lang w:val="en-GB"/>
        </w:rPr>
        <w:t>If female trainee lawyers are counted, then the female participation rate is closer to 11%.</w:t>
      </w:r>
    </w:p>
    <w:p w:rsidR="00490531" w:rsidRDefault="00490531" w:rsidP="00FB6759">
      <w:pPr>
        <w:spacing w:after="0" w:line="240" w:lineRule="auto"/>
        <w:jc w:val="both"/>
        <w:rPr>
          <w:rFonts w:ascii="Times New Roman" w:hAnsi="Times New Roman" w:cs="Times New Roman"/>
          <w:sz w:val="22"/>
          <w:szCs w:val="22"/>
          <w:lang w:val="en-GB"/>
        </w:rPr>
      </w:pPr>
    </w:p>
    <w:p w:rsidR="009D7E48" w:rsidRPr="004A29F9" w:rsidRDefault="00CA62CB"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According to the PBA,</w:t>
      </w:r>
      <w:r w:rsidR="005E6934">
        <w:rPr>
          <w:rFonts w:ascii="Times New Roman" w:hAnsi="Times New Roman" w:cs="Times New Roman"/>
          <w:sz w:val="22"/>
          <w:szCs w:val="22"/>
          <w:lang w:val="en-GB"/>
        </w:rPr>
        <w:t xml:space="preserve"> the </w:t>
      </w:r>
      <w:r w:rsidRPr="004A29F9">
        <w:rPr>
          <w:rFonts w:ascii="Times New Roman" w:hAnsi="Times New Roman" w:cs="Times New Roman"/>
          <w:sz w:val="22"/>
          <w:szCs w:val="22"/>
          <w:lang w:val="en-GB"/>
        </w:rPr>
        <w:t xml:space="preserve">courses have assisted the PBA to strengthen its relationship with its membership and attendance rates at the training sessions have continued to increase. </w:t>
      </w:r>
      <w:r w:rsidR="005E6934">
        <w:rPr>
          <w:rFonts w:ascii="Times New Roman" w:hAnsi="Times New Roman" w:cs="Times New Roman"/>
          <w:sz w:val="22"/>
          <w:szCs w:val="22"/>
          <w:lang w:val="en-GB"/>
        </w:rPr>
        <w:t>The trainings included a wide range of topics (e.g.</w:t>
      </w:r>
      <w:r w:rsidR="00C82EEC" w:rsidRPr="004A29F9">
        <w:rPr>
          <w:rFonts w:ascii="Times New Roman" w:hAnsi="Times New Roman" w:cs="Times New Roman"/>
          <w:sz w:val="22"/>
          <w:szCs w:val="22"/>
          <w:lang w:val="en-GB"/>
        </w:rPr>
        <w:t xml:space="preserve"> banking and finance, </w:t>
      </w:r>
      <w:r w:rsidR="00056E97" w:rsidRPr="004A29F9">
        <w:rPr>
          <w:rFonts w:ascii="Times New Roman" w:hAnsi="Times New Roman" w:cs="Times New Roman"/>
          <w:sz w:val="22"/>
          <w:szCs w:val="22"/>
          <w:lang w:val="en-GB"/>
        </w:rPr>
        <w:t>gender and juvenile justice</w:t>
      </w:r>
      <w:r w:rsidR="005E6934">
        <w:rPr>
          <w:rFonts w:ascii="Times New Roman" w:hAnsi="Times New Roman" w:cs="Times New Roman"/>
          <w:sz w:val="22"/>
          <w:szCs w:val="22"/>
          <w:lang w:val="en-GB"/>
        </w:rPr>
        <w:t>,</w:t>
      </w:r>
      <w:r w:rsidR="00FD3C19">
        <w:rPr>
          <w:rFonts w:ascii="Times New Roman" w:hAnsi="Times New Roman" w:cs="Times New Roman"/>
          <w:sz w:val="22"/>
          <w:szCs w:val="22"/>
          <w:lang w:val="en-GB"/>
        </w:rPr>
        <w:t xml:space="preserve"> </w:t>
      </w:r>
      <w:r w:rsidR="00C82EEC" w:rsidRPr="004A29F9">
        <w:rPr>
          <w:rFonts w:ascii="Times New Roman" w:hAnsi="Times New Roman" w:cs="Times New Roman"/>
          <w:sz w:val="22"/>
          <w:szCs w:val="22"/>
          <w:lang w:val="en-GB"/>
        </w:rPr>
        <w:t xml:space="preserve">administrative justice and criminal law). </w:t>
      </w:r>
      <w:r w:rsidR="005E6934">
        <w:rPr>
          <w:rFonts w:ascii="Times New Roman" w:hAnsi="Times New Roman" w:cs="Times New Roman"/>
          <w:sz w:val="22"/>
          <w:szCs w:val="22"/>
          <w:lang w:val="en-GB"/>
        </w:rPr>
        <w:t>The e</w:t>
      </w:r>
      <w:r w:rsidRPr="004A29F9">
        <w:rPr>
          <w:rFonts w:ascii="Times New Roman" w:hAnsi="Times New Roman" w:cs="Times New Roman"/>
          <w:sz w:val="22"/>
          <w:szCs w:val="22"/>
          <w:lang w:val="en-GB"/>
        </w:rPr>
        <w:t xml:space="preserve">valuation assembled a focus group of </w:t>
      </w:r>
      <w:r w:rsidR="005E6934">
        <w:rPr>
          <w:rFonts w:ascii="Times New Roman" w:hAnsi="Times New Roman" w:cs="Times New Roman"/>
          <w:sz w:val="22"/>
          <w:szCs w:val="22"/>
          <w:lang w:val="en-GB"/>
        </w:rPr>
        <w:t>lawyers who had attended the</w:t>
      </w:r>
      <w:r w:rsidRPr="004A29F9">
        <w:rPr>
          <w:rFonts w:ascii="Times New Roman" w:hAnsi="Times New Roman" w:cs="Times New Roman"/>
          <w:sz w:val="22"/>
          <w:szCs w:val="22"/>
          <w:lang w:val="en-GB"/>
        </w:rPr>
        <w:t xml:space="preserve"> courses in order to ascertain the impact of the training. </w:t>
      </w:r>
      <w:r w:rsidR="00931B47" w:rsidRPr="004A29F9">
        <w:rPr>
          <w:rFonts w:ascii="Times New Roman" w:hAnsi="Times New Roman" w:cs="Times New Roman"/>
          <w:sz w:val="22"/>
          <w:szCs w:val="22"/>
          <w:lang w:val="en-GB"/>
        </w:rPr>
        <w:t>The</w:t>
      </w:r>
      <w:r w:rsidR="00C82EEC" w:rsidRPr="004A29F9">
        <w:rPr>
          <w:rFonts w:ascii="Times New Roman" w:hAnsi="Times New Roman" w:cs="Times New Roman"/>
          <w:sz w:val="22"/>
          <w:szCs w:val="22"/>
          <w:lang w:val="en-GB"/>
        </w:rPr>
        <w:t xml:space="preserve"> lawyers overwhelmingly felt that the UNDP suppo</w:t>
      </w:r>
      <w:r w:rsidR="005E6934">
        <w:rPr>
          <w:rFonts w:ascii="Times New Roman" w:hAnsi="Times New Roman" w:cs="Times New Roman"/>
          <w:sz w:val="22"/>
          <w:szCs w:val="22"/>
          <w:lang w:val="en-GB"/>
        </w:rPr>
        <w:t>rted courses were highly specialis</w:t>
      </w:r>
      <w:r w:rsidR="00C82EEC" w:rsidRPr="004A29F9">
        <w:rPr>
          <w:rFonts w:ascii="Times New Roman" w:hAnsi="Times New Roman" w:cs="Times New Roman"/>
          <w:sz w:val="22"/>
          <w:szCs w:val="22"/>
          <w:lang w:val="en-GB"/>
        </w:rPr>
        <w:t xml:space="preserve">ed and had enabled them to improve their practices and representation of clients. </w:t>
      </w:r>
      <w:r w:rsidR="00931B47" w:rsidRPr="004A29F9">
        <w:rPr>
          <w:rFonts w:ascii="Times New Roman" w:hAnsi="Times New Roman" w:cs="Times New Roman"/>
          <w:sz w:val="22"/>
          <w:szCs w:val="22"/>
          <w:lang w:val="en-GB"/>
        </w:rPr>
        <w:t>Testimonials</w:t>
      </w:r>
      <w:r w:rsidR="005E6934">
        <w:rPr>
          <w:rFonts w:ascii="Times New Roman" w:hAnsi="Times New Roman" w:cs="Times New Roman"/>
          <w:sz w:val="22"/>
          <w:szCs w:val="22"/>
          <w:lang w:val="en-GB"/>
        </w:rPr>
        <w:t xml:space="preserve"> from the focus group are annexed to this report.</w:t>
      </w:r>
    </w:p>
    <w:p w:rsidR="00490531" w:rsidRDefault="00490531" w:rsidP="00FB6759">
      <w:pPr>
        <w:spacing w:after="0" w:line="240" w:lineRule="auto"/>
        <w:jc w:val="both"/>
        <w:rPr>
          <w:rFonts w:ascii="Times New Roman" w:hAnsi="Times New Roman" w:cs="Times New Roman"/>
          <w:sz w:val="22"/>
          <w:szCs w:val="22"/>
          <w:lang w:val="en-GB"/>
        </w:rPr>
      </w:pPr>
    </w:p>
    <w:p w:rsidR="009D7E48" w:rsidRPr="004A29F9" w:rsidRDefault="00931B47"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While the UNDP supported </w:t>
      </w:r>
      <w:r w:rsidR="005E6934">
        <w:rPr>
          <w:rFonts w:ascii="Times New Roman" w:hAnsi="Times New Roman" w:cs="Times New Roman"/>
          <w:sz w:val="22"/>
          <w:szCs w:val="22"/>
          <w:lang w:val="en-GB"/>
        </w:rPr>
        <w:t xml:space="preserve">continuous training programme </w:t>
      </w:r>
      <w:r w:rsidRPr="004A29F9">
        <w:rPr>
          <w:rFonts w:ascii="Times New Roman" w:hAnsi="Times New Roman" w:cs="Times New Roman"/>
          <w:sz w:val="22"/>
          <w:szCs w:val="22"/>
          <w:lang w:val="en-GB"/>
        </w:rPr>
        <w:t>appears to be gaining traction, going forward UNDP should</w:t>
      </w:r>
      <w:r w:rsidR="005E6934">
        <w:rPr>
          <w:rFonts w:ascii="Times New Roman" w:hAnsi="Times New Roman" w:cs="Times New Roman"/>
          <w:sz w:val="22"/>
          <w:szCs w:val="22"/>
          <w:lang w:val="en-GB"/>
        </w:rPr>
        <w:t xml:space="preserve"> work to further institutionalise continuing legal education </w:t>
      </w:r>
      <w:r w:rsidRPr="004A29F9">
        <w:rPr>
          <w:rFonts w:ascii="Times New Roman" w:hAnsi="Times New Roman" w:cs="Times New Roman"/>
          <w:sz w:val="22"/>
          <w:szCs w:val="22"/>
          <w:lang w:val="en-GB"/>
        </w:rPr>
        <w:t>and encourage the</w:t>
      </w:r>
      <w:r w:rsidR="005E6934">
        <w:rPr>
          <w:rFonts w:ascii="Times New Roman" w:hAnsi="Times New Roman" w:cs="Times New Roman"/>
          <w:sz w:val="22"/>
          <w:szCs w:val="22"/>
          <w:lang w:val="en-GB"/>
        </w:rPr>
        <w:t xml:space="preserve"> PBA </w:t>
      </w:r>
      <w:r w:rsidRPr="004A29F9">
        <w:rPr>
          <w:rFonts w:ascii="Times New Roman" w:hAnsi="Times New Roman" w:cs="Times New Roman"/>
          <w:sz w:val="22"/>
          <w:szCs w:val="22"/>
          <w:lang w:val="en-GB"/>
        </w:rPr>
        <w:t xml:space="preserve">to make </w:t>
      </w:r>
      <w:r w:rsidR="005E6934">
        <w:rPr>
          <w:rFonts w:ascii="Times New Roman" w:hAnsi="Times New Roman" w:cs="Times New Roman"/>
          <w:sz w:val="22"/>
          <w:szCs w:val="22"/>
          <w:lang w:val="en-GB"/>
        </w:rPr>
        <w:t xml:space="preserve">it </w:t>
      </w:r>
      <w:r w:rsidRPr="004A29F9">
        <w:rPr>
          <w:rFonts w:ascii="Times New Roman" w:hAnsi="Times New Roman" w:cs="Times New Roman"/>
          <w:sz w:val="22"/>
          <w:szCs w:val="22"/>
          <w:lang w:val="en-GB"/>
        </w:rPr>
        <w:t xml:space="preserve">compulsory with mandated number of hours and core requirements for all licensed lawyers (i.e. a course in legal ethics). </w:t>
      </w:r>
    </w:p>
    <w:p w:rsidR="006743E8" w:rsidRPr="004A29F9" w:rsidRDefault="006743E8" w:rsidP="00FB6759">
      <w:pPr>
        <w:spacing w:after="0" w:line="240" w:lineRule="auto"/>
        <w:jc w:val="both"/>
        <w:rPr>
          <w:rFonts w:ascii="Times New Roman" w:hAnsi="Times New Roman" w:cs="Times New Roman"/>
          <w:sz w:val="22"/>
          <w:szCs w:val="22"/>
          <w:lang w:val="en-GB"/>
        </w:rPr>
      </w:pPr>
    </w:p>
    <w:p w:rsidR="009043E7" w:rsidRPr="004A29F9" w:rsidRDefault="00AB28EB" w:rsidP="00FB6759">
      <w:pPr>
        <w:spacing w:after="0" w:line="240" w:lineRule="auto"/>
        <w:jc w:val="both"/>
        <w:rPr>
          <w:rFonts w:ascii="Times New Roman" w:hAnsi="Times New Roman" w:cs="Times New Roman"/>
          <w:i/>
          <w:sz w:val="22"/>
          <w:szCs w:val="22"/>
          <w:lang w:val="en-GB"/>
        </w:rPr>
      </w:pPr>
      <w:r>
        <w:rPr>
          <w:rFonts w:ascii="Times New Roman" w:hAnsi="Times New Roman" w:cs="Times New Roman"/>
          <w:i/>
          <w:sz w:val="22"/>
          <w:szCs w:val="22"/>
          <w:lang w:val="en-GB"/>
        </w:rPr>
        <w:t>Clinical legal e</w:t>
      </w:r>
      <w:r w:rsidR="005B4E40" w:rsidRPr="004A29F9">
        <w:rPr>
          <w:rFonts w:ascii="Times New Roman" w:hAnsi="Times New Roman" w:cs="Times New Roman"/>
          <w:i/>
          <w:sz w:val="22"/>
          <w:szCs w:val="22"/>
          <w:lang w:val="en-GB"/>
        </w:rPr>
        <w:t>ducation in the West Bank</w:t>
      </w:r>
    </w:p>
    <w:p w:rsidR="00490531" w:rsidRDefault="00490531" w:rsidP="00FB6759">
      <w:pPr>
        <w:spacing w:after="0" w:line="240" w:lineRule="auto"/>
        <w:jc w:val="both"/>
        <w:rPr>
          <w:rFonts w:ascii="Times New Roman" w:hAnsi="Times New Roman" w:cs="Times New Roman"/>
          <w:sz w:val="22"/>
          <w:szCs w:val="22"/>
          <w:lang w:val="en-GB"/>
        </w:rPr>
      </w:pPr>
    </w:p>
    <w:p w:rsidR="0042216E" w:rsidRPr="005E6934" w:rsidRDefault="00444A99" w:rsidP="00FB6759">
      <w:pPr>
        <w:spacing w:after="0" w:line="240" w:lineRule="auto"/>
        <w:jc w:val="both"/>
        <w:rPr>
          <w:rFonts w:ascii="Times New Roman" w:hAnsi="Times New Roman" w:cs="Times New Roman"/>
          <w:sz w:val="22"/>
          <w:szCs w:val="22"/>
          <w:lang w:val="en-GB"/>
        </w:rPr>
      </w:pPr>
      <w:r w:rsidRPr="005E6934">
        <w:rPr>
          <w:rFonts w:ascii="Times New Roman" w:hAnsi="Times New Roman" w:cs="Times New Roman"/>
          <w:sz w:val="22"/>
          <w:szCs w:val="22"/>
          <w:lang w:val="en-GB"/>
        </w:rPr>
        <w:t xml:space="preserve">UNDP is largely responsible </w:t>
      </w:r>
      <w:r w:rsidR="00767826" w:rsidRPr="005E6934">
        <w:rPr>
          <w:rFonts w:ascii="Times New Roman" w:hAnsi="Times New Roman" w:cs="Times New Roman"/>
          <w:sz w:val="22"/>
          <w:szCs w:val="22"/>
          <w:lang w:val="en-GB"/>
        </w:rPr>
        <w:t>for</w:t>
      </w:r>
      <w:r w:rsidRPr="005E6934">
        <w:rPr>
          <w:rFonts w:ascii="Times New Roman" w:hAnsi="Times New Roman" w:cs="Times New Roman"/>
          <w:sz w:val="22"/>
          <w:szCs w:val="22"/>
          <w:lang w:val="en-GB"/>
        </w:rPr>
        <w:t xml:space="preserve"> introducing the concept of clinical legal education in both the West Bank and Gaza. </w:t>
      </w:r>
      <w:r w:rsidR="005C0DD3" w:rsidRPr="005E6934">
        <w:rPr>
          <w:rFonts w:ascii="Times New Roman" w:hAnsi="Times New Roman" w:cs="Times New Roman"/>
          <w:sz w:val="22"/>
          <w:szCs w:val="22"/>
          <w:lang w:val="en-GB"/>
        </w:rPr>
        <w:t>UNDP support to clinical legal education in the West Bank include</w:t>
      </w:r>
      <w:r w:rsidR="005E6934">
        <w:rPr>
          <w:rFonts w:ascii="Times New Roman" w:hAnsi="Times New Roman" w:cs="Times New Roman"/>
          <w:sz w:val="22"/>
          <w:szCs w:val="22"/>
          <w:lang w:val="en-GB"/>
        </w:rPr>
        <w:t xml:space="preserve">d grants to three universities, i.e. </w:t>
      </w:r>
      <w:r w:rsidR="005C0DD3" w:rsidRPr="005E6934">
        <w:rPr>
          <w:rFonts w:ascii="Times New Roman" w:hAnsi="Times New Roman" w:cs="Times New Roman"/>
          <w:sz w:val="22"/>
          <w:szCs w:val="22"/>
          <w:lang w:val="en-GB"/>
        </w:rPr>
        <w:t>Al-Quds University</w:t>
      </w:r>
      <w:r w:rsidR="005E6934">
        <w:rPr>
          <w:rFonts w:ascii="Times New Roman" w:hAnsi="Times New Roman" w:cs="Times New Roman"/>
          <w:sz w:val="22"/>
          <w:szCs w:val="22"/>
          <w:lang w:val="en-GB"/>
        </w:rPr>
        <w:t>,</w:t>
      </w:r>
      <w:r w:rsidR="005C0DD3" w:rsidRPr="005E6934">
        <w:rPr>
          <w:rFonts w:ascii="Times New Roman" w:hAnsi="Times New Roman" w:cs="Times New Roman"/>
          <w:sz w:val="22"/>
          <w:szCs w:val="22"/>
          <w:lang w:val="en-GB"/>
        </w:rPr>
        <w:t xml:space="preserve"> An-Naja</w:t>
      </w:r>
      <w:r w:rsidR="00890C72" w:rsidRPr="005E6934">
        <w:rPr>
          <w:rFonts w:ascii="Times New Roman" w:hAnsi="Times New Roman" w:cs="Times New Roman"/>
          <w:sz w:val="22"/>
          <w:szCs w:val="22"/>
          <w:lang w:val="en-GB"/>
        </w:rPr>
        <w:t>h</w:t>
      </w:r>
      <w:r w:rsidR="005C0DD3" w:rsidRPr="005E6934">
        <w:rPr>
          <w:rFonts w:ascii="Times New Roman" w:hAnsi="Times New Roman" w:cs="Times New Roman"/>
          <w:sz w:val="22"/>
          <w:szCs w:val="22"/>
          <w:lang w:val="en-GB"/>
        </w:rPr>
        <w:t xml:space="preserve"> University and Hebron University</w:t>
      </w:r>
      <w:r w:rsidR="005E6934">
        <w:rPr>
          <w:rFonts w:ascii="Times New Roman" w:hAnsi="Times New Roman" w:cs="Times New Roman"/>
          <w:sz w:val="22"/>
          <w:szCs w:val="22"/>
          <w:lang w:val="en-GB"/>
        </w:rPr>
        <w:t xml:space="preserve">. </w:t>
      </w:r>
      <w:r w:rsidR="005C0DD3" w:rsidRPr="005E6934">
        <w:rPr>
          <w:rFonts w:ascii="Times New Roman" w:hAnsi="Times New Roman" w:cs="Times New Roman"/>
          <w:sz w:val="22"/>
          <w:szCs w:val="22"/>
          <w:lang w:val="en-GB"/>
        </w:rPr>
        <w:t>Of the three universities only Al-Quds University had a law clinic prior to UNDP support</w:t>
      </w:r>
      <w:r w:rsidR="0074470C">
        <w:rPr>
          <w:rFonts w:ascii="Times New Roman" w:hAnsi="Times New Roman" w:cs="Times New Roman"/>
          <w:sz w:val="22"/>
          <w:szCs w:val="22"/>
          <w:lang w:val="en-GB"/>
        </w:rPr>
        <w:t xml:space="preserve">. Additionally, UNDP, in conjunction with CIDA/Canada, organised </w:t>
      </w:r>
      <w:r w:rsidR="0042216E" w:rsidRPr="005E6934">
        <w:rPr>
          <w:rFonts w:ascii="Times New Roman" w:hAnsi="Times New Roman" w:cs="Times New Roman"/>
          <w:sz w:val="22"/>
          <w:szCs w:val="22"/>
          <w:lang w:val="en-GB"/>
        </w:rPr>
        <w:t>a two</w:t>
      </w:r>
      <w:r w:rsidR="00056E97" w:rsidRPr="005E6934">
        <w:rPr>
          <w:rFonts w:ascii="Times New Roman" w:hAnsi="Times New Roman" w:cs="Times New Roman"/>
          <w:sz w:val="22"/>
          <w:szCs w:val="22"/>
          <w:lang w:val="en-GB"/>
        </w:rPr>
        <w:t>-</w:t>
      </w:r>
      <w:r w:rsidR="0074470C">
        <w:rPr>
          <w:rFonts w:ascii="Times New Roman" w:hAnsi="Times New Roman" w:cs="Times New Roman"/>
          <w:sz w:val="22"/>
          <w:szCs w:val="22"/>
          <w:lang w:val="en-GB"/>
        </w:rPr>
        <w:t xml:space="preserve">day workshop with faculty staff </w:t>
      </w:r>
      <w:r w:rsidR="006F59F6" w:rsidRPr="005E6934">
        <w:rPr>
          <w:rFonts w:ascii="Times New Roman" w:hAnsi="Times New Roman" w:cs="Times New Roman"/>
          <w:sz w:val="22"/>
          <w:szCs w:val="22"/>
          <w:lang w:val="en-GB"/>
        </w:rPr>
        <w:t xml:space="preserve">and students </w:t>
      </w:r>
      <w:r w:rsidR="0042216E" w:rsidRPr="005E6934">
        <w:rPr>
          <w:rFonts w:ascii="Times New Roman" w:hAnsi="Times New Roman" w:cs="Times New Roman"/>
          <w:sz w:val="22"/>
          <w:szCs w:val="22"/>
          <w:lang w:val="en-GB"/>
        </w:rPr>
        <w:t xml:space="preserve">from the clinics </w:t>
      </w:r>
      <w:r w:rsidR="0074470C">
        <w:rPr>
          <w:rFonts w:ascii="Times New Roman" w:hAnsi="Times New Roman" w:cs="Times New Roman"/>
          <w:sz w:val="22"/>
          <w:szCs w:val="22"/>
          <w:lang w:val="en-GB"/>
        </w:rPr>
        <w:t>to discuss</w:t>
      </w:r>
      <w:r w:rsidR="0042216E" w:rsidRPr="005E6934">
        <w:rPr>
          <w:rFonts w:ascii="Times New Roman" w:hAnsi="Times New Roman" w:cs="Times New Roman"/>
          <w:sz w:val="22"/>
          <w:szCs w:val="22"/>
          <w:lang w:val="en-GB"/>
        </w:rPr>
        <w:t xml:space="preserve"> how to organize </w:t>
      </w:r>
      <w:r w:rsidR="006F59F6" w:rsidRPr="005E6934">
        <w:rPr>
          <w:rFonts w:ascii="Times New Roman" w:hAnsi="Times New Roman" w:cs="Times New Roman"/>
          <w:sz w:val="22"/>
          <w:szCs w:val="22"/>
          <w:lang w:val="en-GB"/>
        </w:rPr>
        <w:t>a</w:t>
      </w:r>
      <w:r w:rsidR="00FD3C19">
        <w:rPr>
          <w:rFonts w:ascii="Times New Roman" w:hAnsi="Times New Roman" w:cs="Times New Roman"/>
          <w:sz w:val="22"/>
          <w:szCs w:val="22"/>
          <w:lang w:val="en-GB"/>
        </w:rPr>
        <w:t xml:space="preserve"> </w:t>
      </w:r>
      <w:r w:rsidR="006F59F6" w:rsidRPr="005E6934">
        <w:rPr>
          <w:rFonts w:ascii="Times New Roman" w:hAnsi="Times New Roman" w:cs="Times New Roman"/>
          <w:sz w:val="22"/>
          <w:szCs w:val="22"/>
          <w:lang w:val="en-GB"/>
        </w:rPr>
        <w:t xml:space="preserve">legal aid </w:t>
      </w:r>
      <w:r w:rsidR="0042216E" w:rsidRPr="005E6934">
        <w:rPr>
          <w:rFonts w:ascii="Times New Roman" w:hAnsi="Times New Roman" w:cs="Times New Roman"/>
          <w:sz w:val="22"/>
          <w:szCs w:val="22"/>
          <w:lang w:val="en-GB"/>
        </w:rPr>
        <w:t>clinic, its role</w:t>
      </w:r>
      <w:r w:rsidR="0074470C">
        <w:rPr>
          <w:rFonts w:ascii="Times New Roman" w:hAnsi="Times New Roman" w:cs="Times New Roman"/>
          <w:sz w:val="22"/>
          <w:szCs w:val="22"/>
          <w:lang w:val="en-GB"/>
        </w:rPr>
        <w:t xml:space="preserve"> within society, institutionalis</w:t>
      </w:r>
      <w:r w:rsidR="0042216E" w:rsidRPr="005E6934">
        <w:rPr>
          <w:rFonts w:ascii="Times New Roman" w:hAnsi="Times New Roman" w:cs="Times New Roman"/>
          <w:sz w:val="22"/>
          <w:szCs w:val="22"/>
          <w:lang w:val="en-GB"/>
        </w:rPr>
        <w:t>ation of the idea of the clinics, quality assurance, client contacts, documentation and case manageme</w:t>
      </w:r>
      <w:r w:rsidR="0074470C">
        <w:rPr>
          <w:rFonts w:ascii="Times New Roman" w:hAnsi="Times New Roman" w:cs="Times New Roman"/>
          <w:sz w:val="22"/>
          <w:szCs w:val="22"/>
          <w:lang w:val="en-GB"/>
        </w:rPr>
        <w:t>nt. UNDP also convened a series of meetings between the legal aid</w:t>
      </w:r>
      <w:r w:rsidR="0042216E" w:rsidRPr="005E6934">
        <w:rPr>
          <w:rFonts w:ascii="Times New Roman" w:hAnsi="Times New Roman" w:cs="Times New Roman"/>
          <w:sz w:val="22"/>
          <w:szCs w:val="22"/>
          <w:lang w:val="en-GB"/>
        </w:rPr>
        <w:t xml:space="preserve"> clinics to exchange information. </w:t>
      </w:r>
    </w:p>
    <w:p w:rsidR="00490531" w:rsidRDefault="00490531" w:rsidP="00FB6759">
      <w:pPr>
        <w:spacing w:after="0" w:line="240" w:lineRule="auto"/>
        <w:jc w:val="both"/>
        <w:rPr>
          <w:rFonts w:ascii="Times New Roman" w:hAnsi="Times New Roman" w:cs="Times New Roman"/>
          <w:sz w:val="22"/>
          <w:szCs w:val="22"/>
          <w:lang w:val="en-GB"/>
        </w:rPr>
      </w:pPr>
    </w:p>
    <w:p w:rsidR="004E4920" w:rsidRPr="004A29F9" w:rsidRDefault="0074470C" w:rsidP="00FB6759">
      <w:pPr>
        <w:spacing w:after="0" w:line="240" w:lineRule="auto"/>
        <w:jc w:val="both"/>
        <w:rPr>
          <w:rFonts w:ascii="Times New Roman" w:hAnsi="Times New Roman" w:cs="Times New Roman"/>
          <w:b/>
          <w:sz w:val="22"/>
          <w:szCs w:val="22"/>
          <w:lang w:val="en-GB"/>
        </w:rPr>
      </w:pPr>
      <w:r>
        <w:rPr>
          <w:rFonts w:ascii="Times New Roman" w:hAnsi="Times New Roman" w:cs="Times New Roman"/>
          <w:sz w:val="22"/>
          <w:szCs w:val="22"/>
          <w:lang w:val="en-GB"/>
        </w:rPr>
        <w:t>The e</w:t>
      </w:r>
      <w:r w:rsidR="006437BD" w:rsidRPr="004A29F9">
        <w:rPr>
          <w:rFonts w:ascii="Times New Roman" w:hAnsi="Times New Roman" w:cs="Times New Roman"/>
          <w:sz w:val="22"/>
          <w:szCs w:val="22"/>
          <w:lang w:val="en-GB"/>
        </w:rPr>
        <w:t>valuation visited Al-Quds University</w:t>
      </w:r>
      <w:r w:rsidR="00817A78" w:rsidRPr="004A29F9">
        <w:rPr>
          <w:rFonts w:ascii="Times New Roman" w:hAnsi="Times New Roman" w:cs="Times New Roman"/>
          <w:sz w:val="22"/>
          <w:szCs w:val="22"/>
          <w:lang w:val="en-GB"/>
        </w:rPr>
        <w:t>’s Humanitarian and Human Rights Centre</w:t>
      </w:r>
      <w:r w:rsidR="00FD3C19">
        <w:rPr>
          <w:rFonts w:ascii="Times New Roman" w:hAnsi="Times New Roman" w:cs="Times New Roman"/>
          <w:sz w:val="22"/>
          <w:szCs w:val="22"/>
          <w:lang w:val="en-GB"/>
        </w:rPr>
        <w:t xml:space="preserve"> </w:t>
      </w:r>
      <w:r w:rsidR="006437BD" w:rsidRPr="004A29F9">
        <w:rPr>
          <w:rFonts w:ascii="Times New Roman" w:hAnsi="Times New Roman" w:cs="Times New Roman"/>
          <w:sz w:val="22"/>
          <w:szCs w:val="22"/>
          <w:lang w:val="en-GB"/>
        </w:rPr>
        <w:t>and Hebron University</w:t>
      </w:r>
      <w:r>
        <w:rPr>
          <w:rFonts w:ascii="Times New Roman" w:hAnsi="Times New Roman" w:cs="Times New Roman"/>
          <w:sz w:val="22"/>
          <w:szCs w:val="22"/>
          <w:lang w:val="en-GB"/>
        </w:rPr>
        <w:t>’s</w:t>
      </w:r>
      <w:r w:rsidR="00FD3C19">
        <w:rPr>
          <w:rFonts w:ascii="Times New Roman" w:hAnsi="Times New Roman" w:cs="Times New Roman"/>
          <w:sz w:val="22"/>
          <w:szCs w:val="22"/>
          <w:lang w:val="en-GB"/>
        </w:rPr>
        <w:t xml:space="preserve"> </w:t>
      </w:r>
      <w:r w:rsidR="00817A78" w:rsidRPr="004A29F9">
        <w:rPr>
          <w:rFonts w:ascii="Times New Roman" w:hAnsi="Times New Roman" w:cs="Times New Roman"/>
          <w:sz w:val="22"/>
          <w:szCs w:val="22"/>
          <w:lang w:val="en-GB"/>
        </w:rPr>
        <w:t>Law Clinic</w:t>
      </w:r>
      <w:r w:rsidR="006437BD" w:rsidRPr="004A29F9">
        <w:rPr>
          <w:rFonts w:ascii="Times New Roman" w:hAnsi="Times New Roman" w:cs="Times New Roman"/>
          <w:sz w:val="22"/>
          <w:szCs w:val="22"/>
          <w:lang w:val="en-GB"/>
        </w:rPr>
        <w:t>.</w:t>
      </w:r>
      <w:r w:rsidR="00FD3C19">
        <w:rPr>
          <w:rFonts w:ascii="Times New Roman" w:hAnsi="Times New Roman" w:cs="Times New Roman"/>
          <w:sz w:val="22"/>
          <w:szCs w:val="22"/>
          <w:lang w:val="en-GB"/>
        </w:rPr>
        <w:t xml:space="preserve"> </w:t>
      </w:r>
      <w:r w:rsidR="004E4920" w:rsidRPr="004A29F9">
        <w:rPr>
          <w:rFonts w:ascii="Times New Roman" w:hAnsi="Times New Roman" w:cs="Times New Roman"/>
          <w:sz w:val="22"/>
          <w:szCs w:val="22"/>
          <w:lang w:val="en-GB"/>
        </w:rPr>
        <w:t xml:space="preserve">UNDP support to both universities appeared to be well defined and highly relevant </w:t>
      </w:r>
      <w:r>
        <w:rPr>
          <w:rFonts w:ascii="Times New Roman" w:hAnsi="Times New Roman" w:cs="Times New Roman"/>
          <w:sz w:val="22"/>
          <w:szCs w:val="22"/>
          <w:lang w:val="en-GB"/>
        </w:rPr>
        <w:t>to their work. Each school had utilis</w:t>
      </w:r>
      <w:r w:rsidR="004E4920" w:rsidRPr="004A29F9">
        <w:rPr>
          <w:rFonts w:ascii="Times New Roman" w:hAnsi="Times New Roman" w:cs="Times New Roman"/>
          <w:sz w:val="22"/>
          <w:szCs w:val="22"/>
          <w:lang w:val="en-GB"/>
        </w:rPr>
        <w:t>ed UNDP support to</w:t>
      </w:r>
      <w:r>
        <w:rPr>
          <w:rFonts w:ascii="Times New Roman" w:hAnsi="Times New Roman" w:cs="Times New Roman"/>
          <w:sz w:val="22"/>
          <w:szCs w:val="22"/>
          <w:lang w:val="en-GB"/>
        </w:rPr>
        <w:t xml:space="preserve"> developed specialis</w:t>
      </w:r>
      <w:r w:rsidR="006743E8" w:rsidRPr="004A29F9">
        <w:rPr>
          <w:rFonts w:ascii="Times New Roman" w:hAnsi="Times New Roman" w:cs="Times New Roman"/>
          <w:sz w:val="22"/>
          <w:szCs w:val="22"/>
          <w:lang w:val="en-GB"/>
        </w:rPr>
        <w:t xml:space="preserve">ed offices, computer rooms and </w:t>
      </w:r>
      <w:r>
        <w:rPr>
          <w:rFonts w:ascii="Times New Roman" w:hAnsi="Times New Roman" w:cs="Times New Roman"/>
          <w:sz w:val="22"/>
          <w:szCs w:val="22"/>
          <w:lang w:val="en-GB"/>
        </w:rPr>
        <w:t>specialis</w:t>
      </w:r>
      <w:r w:rsidR="006F59F6" w:rsidRPr="004A29F9">
        <w:rPr>
          <w:rFonts w:ascii="Times New Roman" w:hAnsi="Times New Roman" w:cs="Times New Roman"/>
          <w:sz w:val="22"/>
          <w:szCs w:val="22"/>
          <w:lang w:val="en-GB"/>
        </w:rPr>
        <w:t>ed curricula</w:t>
      </w:r>
      <w:r>
        <w:rPr>
          <w:rFonts w:ascii="Times New Roman" w:hAnsi="Times New Roman" w:cs="Times New Roman"/>
          <w:sz w:val="22"/>
          <w:szCs w:val="22"/>
          <w:lang w:val="en-GB"/>
        </w:rPr>
        <w:t xml:space="preserve"> for the legal aid</w:t>
      </w:r>
      <w:r w:rsidR="006743E8" w:rsidRPr="004A29F9">
        <w:rPr>
          <w:rFonts w:ascii="Times New Roman" w:hAnsi="Times New Roman" w:cs="Times New Roman"/>
          <w:sz w:val="22"/>
          <w:szCs w:val="22"/>
          <w:lang w:val="en-GB"/>
        </w:rPr>
        <w:t xml:space="preserve"> clinics. </w:t>
      </w:r>
      <w:r w:rsidR="006F59F6" w:rsidRPr="004A29F9">
        <w:rPr>
          <w:rFonts w:ascii="Times New Roman" w:hAnsi="Times New Roman" w:cs="Times New Roman"/>
          <w:sz w:val="22"/>
          <w:szCs w:val="22"/>
          <w:lang w:val="en-GB"/>
        </w:rPr>
        <w:t xml:space="preserve">Furthermore, </w:t>
      </w:r>
      <w:r w:rsidR="00564D4B" w:rsidRPr="004A29F9">
        <w:rPr>
          <w:rFonts w:ascii="Times New Roman" w:hAnsi="Times New Roman" w:cs="Times New Roman"/>
          <w:sz w:val="22"/>
          <w:szCs w:val="22"/>
          <w:lang w:val="en-GB"/>
        </w:rPr>
        <w:t>t</w:t>
      </w:r>
      <w:r w:rsidR="004E4920" w:rsidRPr="004A29F9">
        <w:rPr>
          <w:rFonts w:ascii="Times New Roman" w:hAnsi="Times New Roman" w:cs="Times New Roman"/>
          <w:sz w:val="22"/>
          <w:szCs w:val="22"/>
          <w:lang w:val="en-GB"/>
        </w:rPr>
        <w:t xml:space="preserve">he clinics are also contributing to awareness raising and to legal scholarship. </w:t>
      </w:r>
      <w:r w:rsidR="00564D4B" w:rsidRPr="004A29F9">
        <w:rPr>
          <w:rFonts w:ascii="Times New Roman" w:hAnsi="Times New Roman" w:cs="Times New Roman"/>
          <w:sz w:val="22"/>
          <w:szCs w:val="22"/>
          <w:lang w:val="en-GB"/>
        </w:rPr>
        <w:t>For example, t</w:t>
      </w:r>
      <w:r>
        <w:rPr>
          <w:rFonts w:ascii="Times New Roman" w:hAnsi="Times New Roman" w:cs="Times New Roman"/>
          <w:sz w:val="22"/>
          <w:szCs w:val="22"/>
          <w:lang w:val="en-GB"/>
        </w:rPr>
        <w:t>he d</w:t>
      </w:r>
      <w:r w:rsidR="004E4920" w:rsidRPr="004A29F9">
        <w:rPr>
          <w:rFonts w:ascii="Times New Roman" w:hAnsi="Times New Roman" w:cs="Times New Roman"/>
          <w:sz w:val="22"/>
          <w:szCs w:val="22"/>
          <w:lang w:val="en-GB"/>
        </w:rPr>
        <w:t>irector of the Hebron University</w:t>
      </w:r>
      <w:r>
        <w:rPr>
          <w:rFonts w:ascii="Times New Roman" w:hAnsi="Times New Roman" w:cs="Times New Roman"/>
          <w:sz w:val="22"/>
          <w:szCs w:val="22"/>
          <w:lang w:val="en-GB"/>
        </w:rPr>
        <w:t>’s Law C</w:t>
      </w:r>
      <w:r w:rsidR="004E4920" w:rsidRPr="004A29F9">
        <w:rPr>
          <w:rFonts w:ascii="Times New Roman" w:hAnsi="Times New Roman" w:cs="Times New Roman"/>
          <w:sz w:val="22"/>
          <w:szCs w:val="22"/>
          <w:lang w:val="en-GB"/>
        </w:rPr>
        <w:t xml:space="preserve">linic published a law review article detailing the state of clinical legal education in </w:t>
      </w:r>
      <w:r>
        <w:rPr>
          <w:rFonts w:ascii="Times New Roman" w:hAnsi="Times New Roman" w:cs="Times New Roman"/>
          <w:sz w:val="22"/>
          <w:szCs w:val="22"/>
          <w:lang w:val="en-GB"/>
        </w:rPr>
        <w:t xml:space="preserve">the </w:t>
      </w:r>
      <w:r w:rsidR="00DE216A" w:rsidRPr="004A29F9">
        <w:rPr>
          <w:rFonts w:ascii="Times New Roman" w:hAnsi="Times New Roman" w:cs="Times New Roman"/>
          <w:sz w:val="22"/>
          <w:szCs w:val="22"/>
          <w:lang w:val="en-GB"/>
        </w:rPr>
        <w:t>oPt</w:t>
      </w:r>
      <w:r w:rsidR="004E4920" w:rsidRPr="004A29F9">
        <w:rPr>
          <w:rFonts w:ascii="Times New Roman" w:hAnsi="Times New Roman" w:cs="Times New Roman"/>
          <w:sz w:val="22"/>
          <w:szCs w:val="22"/>
          <w:lang w:val="en-GB"/>
        </w:rPr>
        <w:t xml:space="preserve"> that will serve as a basis for further development and also a point of information for the international community. </w:t>
      </w:r>
    </w:p>
    <w:p w:rsidR="00767826" w:rsidRPr="004A29F9" w:rsidRDefault="00767826"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lastRenderedPageBreak/>
        <w:t xml:space="preserve">UNDP supported several moot court competitions at each institution, including competitions on humanitarian law and human rights. The International Committee for the Red Cross </w:t>
      </w:r>
      <w:r w:rsidR="0074470C">
        <w:rPr>
          <w:rFonts w:ascii="Times New Roman" w:hAnsi="Times New Roman" w:cs="Times New Roman"/>
          <w:sz w:val="22"/>
          <w:szCs w:val="22"/>
          <w:lang w:val="en-GB"/>
        </w:rPr>
        <w:t xml:space="preserve">(ICRC) </w:t>
      </w:r>
      <w:r w:rsidRPr="004A29F9">
        <w:rPr>
          <w:rFonts w:ascii="Times New Roman" w:hAnsi="Times New Roman" w:cs="Times New Roman"/>
          <w:sz w:val="22"/>
          <w:szCs w:val="22"/>
          <w:lang w:val="en-GB"/>
        </w:rPr>
        <w:t xml:space="preserve">provided case studies for the moot court and students were divided into teams for defense counsel and prosecuting attorneys. In addition, each clinic has participated in the International Jessup Moot Court Competition with some </w:t>
      </w:r>
      <w:r w:rsidR="0074470C">
        <w:rPr>
          <w:rFonts w:ascii="Times New Roman" w:hAnsi="Times New Roman" w:cs="Times New Roman"/>
          <w:sz w:val="22"/>
          <w:szCs w:val="22"/>
          <w:lang w:val="en-GB"/>
        </w:rPr>
        <w:t>Al-</w:t>
      </w:r>
      <w:r w:rsidR="00392714" w:rsidRPr="004A29F9">
        <w:rPr>
          <w:rFonts w:ascii="Times New Roman" w:hAnsi="Times New Roman" w:cs="Times New Roman"/>
          <w:sz w:val="22"/>
          <w:szCs w:val="22"/>
          <w:lang w:val="en-GB"/>
        </w:rPr>
        <w:t xml:space="preserve">Quds University </w:t>
      </w:r>
      <w:r w:rsidRPr="004A29F9">
        <w:rPr>
          <w:rFonts w:ascii="Times New Roman" w:hAnsi="Times New Roman" w:cs="Times New Roman"/>
          <w:sz w:val="22"/>
          <w:szCs w:val="22"/>
          <w:lang w:val="en-GB"/>
        </w:rPr>
        <w:t>stud</w:t>
      </w:r>
      <w:r w:rsidR="00392714" w:rsidRPr="004A29F9">
        <w:rPr>
          <w:rFonts w:ascii="Times New Roman" w:hAnsi="Times New Roman" w:cs="Times New Roman"/>
          <w:sz w:val="22"/>
          <w:szCs w:val="22"/>
          <w:lang w:val="en-GB"/>
        </w:rPr>
        <w:t xml:space="preserve">ents being sent to </w:t>
      </w:r>
      <w:r w:rsidR="0074470C">
        <w:rPr>
          <w:rFonts w:ascii="Times New Roman" w:hAnsi="Times New Roman" w:cs="Times New Roman"/>
          <w:sz w:val="22"/>
          <w:szCs w:val="22"/>
          <w:lang w:val="en-GB"/>
        </w:rPr>
        <w:t>t</w:t>
      </w:r>
      <w:r w:rsidR="00817A78" w:rsidRPr="004A29F9">
        <w:rPr>
          <w:rFonts w:ascii="Times New Roman" w:hAnsi="Times New Roman" w:cs="Times New Roman"/>
          <w:sz w:val="22"/>
          <w:szCs w:val="22"/>
          <w:lang w:val="en-GB"/>
        </w:rPr>
        <w:t>he</w:t>
      </w:r>
      <w:r w:rsidR="00392714" w:rsidRPr="004A29F9">
        <w:rPr>
          <w:rFonts w:ascii="Times New Roman" w:hAnsi="Times New Roman" w:cs="Times New Roman"/>
          <w:sz w:val="22"/>
          <w:szCs w:val="22"/>
          <w:lang w:val="en-GB"/>
        </w:rPr>
        <w:t xml:space="preserve"> Hague </w:t>
      </w:r>
      <w:r w:rsidRPr="004A29F9">
        <w:rPr>
          <w:rFonts w:ascii="Times New Roman" w:hAnsi="Times New Roman" w:cs="Times New Roman"/>
          <w:sz w:val="22"/>
          <w:szCs w:val="22"/>
          <w:lang w:val="en-GB"/>
        </w:rPr>
        <w:t xml:space="preserve">for the final rounds. </w:t>
      </w:r>
    </w:p>
    <w:p w:rsidR="00490531" w:rsidRDefault="00490531" w:rsidP="00FB6759">
      <w:pPr>
        <w:spacing w:after="0" w:line="240" w:lineRule="auto"/>
        <w:jc w:val="both"/>
        <w:rPr>
          <w:rFonts w:ascii="Times New Roman" w:hAnsi="Times New Roman" w:cs="Times New Roman"/>
          <w:sz w:val="22"/>
          <w:szCs w:val="22"/>
          <w:lang w:val="en-GB"/>
        </w:rPr>
      </w:pPr>
    </w:p>
    <w:p w:rsidR="0074470C" w:rsidRDefault="0074470C"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The e</w:t>
      </w:r>
      <w:r w:rsidR="00564D4B" w:rsidRPr="004A29F9">
        <w:rPr>
          <w:rFonts w:ascii="Times New Roman" w:hAnsi="Times New Roman" w:cs="Times New Roman"/>
          <w:sz w:val="22"/>
          <w:szCs w:val="22"/>
          <w:lang w:val="en-GB"/>
        </w:rPr>
        <w:t>valuation assembled f</w:t>
      </w:r>
      <w:r w:rsidR="00EC5922" w:rsidRPr="004A29F9">
        <w:rPr>
          <w:rFonts w:ascii="Times New Roman" w:hAnsi="Times New Roman" w:cs="Times New Roman"/>
          <w:sz w:val="22"/>
          <w:szCs w:val="22"/>
          <w:lang w:val="en-GB"/>
        </w:rPr>
        <w:t>ocus groups of students at each location.</w:t>
      </w:r>
      <w:r w:rsidR="00FD3C19">
        <w:rPr>
          <w:rFonts w:ascii="Times New Roman" w:hAnsi="Times New Roman" w:cs="Times New Roman"/>
          <w:sz w:val="22"/>
          <w:szCs w:val="22"/>
          <w:lang w:val="en-GB"/>
        </w:rPr>
        <w:t xml:space="preserve"> </w:t>
      </w:r>
      <w:r w:rsidR="00EC5922" w:rsidRPr="004A29F9">
        <w:rPr>
          <w:rFonts w:ascii="Times New Roman" w:hAnsi="Times New Roman" w:cs="Times New Roman"/>
          <w:sz w:val="22"/>
          <w:szCs w:val="22"/>
          <w:lang w:val="en-GB"/>
        </w:rPr>
        <w:t xml:space="preserve">Students were unanimous in their assessment that the clinical </w:t>
      </w:r>
      <w:r w:rsidR="00906AA0" w:rsidRPr="004A29F9">
        <w:rPr>
          <w:rFonts w:ascii="Times New Roman" w:hAnsi="Times New Roman" w:cs="Times New Roman"/>
          <w:sz w:val="22"/>
          <w:szCs w:val="22"/>
          <w:lang w:val="en-GB"/>
        </w:rPr>
        <w:t>legal education curriculum had</w:t>
      </w:r>
      <w:r w:rsidR="00564D4B" w:rsidRPr="004A29F9">
        <w:rPr>
          <w:rFonts w:ascii="Times New Roman" w:hAnsi="Times New Roman" w:cs="Times New Roman"/>
          <w:sz w:val="22"/>
          <w:szCs w:val="22"/>
          <w:lang w:val="en-GB"/>
        </w:rPr>
        <w:t xml:space="preserve"> contributed to developing</w:t>
      </w:r>
      <w:r w:rsidR="00EC5922" w:rsidRPr="004A29F9">
        <w:rPr>
          <w:rFonts w:ascii="Times New Roman" w:hAnsi="Times New Roman" w:cs="Times New Roman"/>
          <w:sz w:val="22"/>
          <w:szCs w:val="22"/>
          <w:lang w:val="en-GB"/>
        </w:rPr>
        <w:t xml:space="preserve"> their</w:t>
      </w:r>
      <w:r w:rsidR="00564D4B" w:rsidRPr="004A29F9">
        <w:rPr>
          <w:rFonts w:ascii="Times New Roman" w:hAnsi="Times New Roman" w:cs="Times New Roman"/>
          <w:sz w:val="22"/>
          <w:szCs w:val="22"/>
          <w:lang w:val="en-GB"/>
        </w:rPr>
        <w:t xml:space="preserve"> legal thinking</w:t>
      </w:r>
      <w:r w:rsidR="00EC5922" w:rsidRPr="004A29F9">
        <w:rPr>
          <w:rFonts w:ascii="Times New Roman" w:hAnsi="Times New Roman" w:cs="Times New Roman"/>
          <w:sz w:val="22"/>
          <w:szCs w:val="22"/>
          <w:lang w:val="en-GB"/>
        </w:rPr>
        <w:t xml:space="preserve"> and equipped them to gain skill</w:t>
      </w:r>
      <w:r w:rsidR="00906AA0" w:rsidRPr="004A29F9">
        <w:rPr>
          <w:rFonts w:ascii="Times New Roman" w:hAnsi="Times New Roman" w:cs="Times New Roman"/>
          <w:sz w:val="22"/>
          <w:szCs w:val="22"/>
          <w:lang w:val="en-GB"/>
        </w:rPr>
        <w:t>s</w:t>
      </w:r>
      <w:r w:rsidR="00EC5922" w:rsidRPr="004A29F9">
        <w:rPr>
          <w:rFonts w:ascii="Times New Roman" w:hAnsi="Times New Roman" w:cs="Times New Roman"/>
          <w:sz w:val="22"/>
          <w:szCs w:val="22"/>
          <w:lang w:val="en-GB"/>
        </w:rPr>
        <w:t xml:space="preserve"> that would benefit them in the practice of law. Furthe</w:t>
      </w:r>
      <w:r>
        <w:rPr>
          <w:rFonts w:ascii="Times New Roman" w:hAnsi="Times New Roman" w:cs="Times New Roman"/>
          <w:sz w:val="22"/>
          <w:szCs w:val="22"/>
          <w:lang w:val="en-GB"/>
        </w:rPr>
        <w:t>rmore, the students were energis</w:t>
      </w:r>
      <w:r w:rsidR="00EC5922" w:rsidRPr="004A29F9">
        <w:rPr>
          <w:rFonts w:ascii="Times New Roman" w:hAnsi="Times New Roman" w:cs="Times New Roman"/>
          <w:sz w:val="22"/>
          <w:szCs w:val="22"/>
          <w:lang w:val="en-GB"/>
        </w:rPr>
        <w:t>ed by the work of the clinics and the impact that their advoc</w:t>
      </w:r>
      <w:r>
        <w:rPr>
          <w:rFonts w:ascii="Times New Roman" w:hAnsi="Times New Roman" w:cs="Times New Roman"/>
          <w:sz w:val="22"/>
          <w:szCs w:val="22"/>
          <w:lang w:val="en-GB"/>
        </w:rPr>
        <w:t>acy had upon the most marginalis</w:t>
      </w:r>
      <w:r w:rsidR="00EC5922" w:rsidRPr="004A29F9">
        <w:rPr>
          <w:rFonts w:ascii="Times New Roman" w:hAnsi="Times New Roman" w:cs="Times New Roman"/>
          <w:sz w:val="22"/>
          <w:szCs w:val="22"/>
          <w:lang w:val="en-GB"/>
        </w:rPr>
        <w:t xml:space="preserve">ed groups of Palestinian society. The statements of students participating in the focus groups are </w:t>
      </w:r>
      <w:r>
        <w:rPr>
          <w:rFonts w:ascii="Times New Roman" w:hAnsi="Times New Roman" w:cs="Times New Roman"/>
          <w:sz w:val="22"/>
          <w:szCs w:val="22"/>
          <w:lang w:val="en-GB"/>
        </w:rPr>
        <w:t>annexed to this report.</w:t>
      </w:r>
    </w:p>
    <w:p w:rsidR="00490531" w:rsidRDefault="00490531" w:rsidP="00FB6759">
      <w:pPr>
        <w:spacing w:after="0" w:line="240" w:lineRule="auto"/>
        <w:jc w:val="both"/>
        <w:rPr>
          <w:rFonts w:ascii="Times New Roman" w:hAnsi="Times New Roman" w:cs="Times New Roman"/>
          <w:sz w:val="22"/>
          <w:szCs w:val="22"/>
          <w:lang w:val="en-GB"/>
        </w:rPr>
      </w:pPr>
    </w:p>
    <w:p w:rsidR="00564D4B" w:rsidRPr="004A29F9" w:rsidRDefault="0023451B"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While the main impact of the law clinics is certainly their influence upon a new generation of Palestinian lawyers, the cases that the law clinics are handling are contributing to access to justice in the West Bank.  For example, at Hebron University</w:t>
      </w:r>
      <w:r w:rsidR="00767826" w:rsidRPr="004A29F9">
        <w:rPr>
          <w:rFonts w:ascii="Times New Roman" w:hAnsi="Times New Roman" w:cs="Times New Roman"/>
          <w:sz w:val="22"/>
          <w:szCs w:val="22"/>
          <w:lang w:val="en-GB"/>
        </w:rPr>
        <w:t xml:space="preserve"> cases included divorce; intellectual property (i.e. a case involving women owned intellectual proper</w:t>
      </w:r>
      <w:r w:rsidR="0074470C">
        <w:rPr>
          <w:rFonts w:ascii="Times New Roman" w:hAnsi="Times New Roman" w:cs="Times New Roman"/>
          <w:sz w:val="22"/>
          <w:szCs w:val="22"/>
          <w:lang w:val="en-GB"/>
        </w:rPr>
        <w:t xml:space="preserve">ty that was stolen through the </w:t>
      </w:r>
      <w:r w:rsidR="002D1EE7">
        <w:rPr>
          <w:rFonts w:ascii="Times New Roman" w:hAnsi="Times New Roman" w:cs="Times New Roman"/>
          <w:sz w:val="22"/>
          <w:szCs w:val="22"/>
          <w:lang w:val="en-GB"/>
        </w:rPr>
        <w:t>Internet</w:t>
      </w:r>
      <w:r w:rsidR="00767826" w:rsidRPr="004A29F9">
        <w:rPr>
          <w:rFonts w:ascii="Times New Roman" w:hAnsi="Times New Roman" w:cs="Times New Roman"/>
          <w:sz w:val="22"/>
          <w:szCs w:val="22"/>
          <w:lang w:val="en-GB"/>
        </w:rPr>
        <w:t>); labo</w:t>
      </w:r>
      <w:r w:rsidR="0074470C">
        <w:rPr>
          <w:rFonts w:ascii="Times New Roman" w:hAnsi="Times New Roman" w:cs="Times New Roman"/>
          <w:sz w:val="22"/>
          <w:szCs w:val="22"/>
          <w:lang w:val="en-GB"/>
        </w:rPr>
        <w:t>u</w:t>
      </w:r>
      <w:r w:rsidR="00767826" w:rsidRPr="004A29F9">
        <w:rPr>
          <w:rFonts w:ascii="Times New Roman" w:hAnsi="Times New Roman" w:cs="Times New Roman"/>
          <w:sz w:val="22"/>
          <w:szCs w:val="22"/>
          <w:lang w:val="en-GB"/>
        </w:rPr>
        <w:t>r law issues; denial of constitutional rights; property rights (i.e. land and boundary disputes; contractual disputes among citizens (i.e. rent contra</w:t>
      </w:r>
      <w:r w:rsidR="00EC5922" w:rsidRPr="004A29F9">
        <w:rPr>
          <w:rFonts w:ascii="Times New Roman" w:hAnsi="Times New Roman" w:cs="Times New Roman"/>
          <w:sz w:val="22"/>
          <w:szCs w:val="22"/>
          <w:lang w:val="en-GB"/>
        </w:rPr>
        <w:t>ct); and also juvenile cases.</w:t>
      </w:r>
    </w:p>
    <w:p w:rsidR="00490531" w:rsidRDefault="00490531" w:rsidP="00FB6759">
      <w:pPr>
        <w:spacing w:after="0" w:line="240" w:lineRule="auto"/>
        <w:jc w:val="both"/>
        <w:rPr>
          <w:rFonts w:ascii="Times New Roman" w:hAnsi="Times New Roman" w:cs="Times New Roman"/>
          <w:sz w:val="22"/>
          <w:szCs w:val="22"/>
          <w:lang w:val="en-GB"/>
        </w:rPr>
      </w:pPr>
    </w:p>
    <w:p w:rsidR="00767826" w:rsidRPr="004A29F9" w:rsidRDefault="00767826"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For the entire year</w:t>
      </w:r>
      <w:r w:rsidR="0074470C">
        <w:rPr>
          <w:rFonts w:ascii="Times New Roman" w:hAnsi="Times New Roman" w:cs="Times New Roman"/>
          <w:sz w:val="22"/>
          <w:szCs w:val="22"/>
          <w:lang w:val="en-GB"/>
        </w:rPr>
        <w:t xml:space="preserve"> 2011/2012 at the legal aid </w:t>
      </w:r>
      <w:r w:rsidR="00564D4B" w:rsidRPr="004A29F9">
        <w:rPr>
          <w:rFonts w:ascii="Times New Roman" w:hAnsi="Times New Roman" w:cs="Times New Roman"/>
          <w:sz w:val="22"/>
          <w:szCs w:val="22"/>
          <w:lang w:val="en-GB"/>
        </w:rPr>
        <w:t xml:space="preserve">clinic </w:t>
      </w:r>
      <w:r w:rsidR="0074470C">
        <w:rPr>
          <w:rFonts w:ascii="Times New Roman" w:hAnsi="Times New Roman" w:cs="Times New Roman"/>
          <w:sz w:val="22"/>
          <w:szCs w:val="22"/>
          <w:lang w:val="en-GB"/>
        </w:rPr>
        <w:t xml:space="preserve">in Hebron </w:t>
      </w:r>
      <w:r w:rsidRPr="004A29F9">
        <w:rPr>
          <w:rFonts w:ascii="Times New Roman" w:hAnsi="Times New Roman" w:cs="Times New Roman"/>
          <w:sz w:val="22"/>
          <w:szCs w:val="22"/>
          <w:lang w:val="en-GB"/>
        </w:rPr>
        <w:t>out of 60 cases, 2 were human rights cases (i.e. one case dealt with denial of access to travel for medical treatment, but without any result. Another case dealt with a prisoner that was on hunger strike). The clinic is avoiding cases that are conflict-related, as these are deemed too complex for the students to become involved in within the course</w:t>
      </w:r>
      <w:r w:rsidR="0074470C">
        <w:rPr>
          <w:rFonts w:ascii="Times New Roman" w:hAnsi="Times New Roman" w:cs="Times New Roman"/>
          <w:sz w:val="22"/>
          <w:szCs w:val="22"/>
          <w:lang w:val="en-GB"/>
        </w:rPr>
        <w:t xml:space="preserve"> of their clinical experience. </w:t>
      </w:r>
      <w:r w:rsidRPr="004A29F9">
        <w:rPr>
          <w:rFonts w:ascii="Times New Roman" w:hAnsi="Times New Roman" w:cs="Times New Roman"/>
          <w:sz w:val="22"/>
          <w:szCs w:val="22"/>
          <w:lang w:val="en-GB"/>
        </w:rPr>
        <w:t xml:space="preserve">The clinic is trying to get cases that can involve the students. Normally, 25 to 30 students are enrolled each semester. On average 70% of the students are women and 30% are men. </w:t>
      </w:r>
      <w:r w:rsidR="00582499" w:rsidRPr="004A29F9">
        <w:rPr>
          <w:rFonts w:ascii="Times New Roman" w:hAnsi="Times New Roman" w:cs="Times New Roman"/>
          <w:sz w:val="22"/>
          <w:szCs w:val="22"/>
          <w:lang w:val="en-GB"/>
        </w:rPr>
        <w:t xml:space="preserve">Going forward, UNDP should </w:t>
      </w:r>
      <w:r w:rsidR="00582499" w:rsidRPr="004A29F9">
        <w:rPr>
          <w:rFonts w:ascii="Times New Roman" w:hAnsi="Times New Roman" w:cs="Times New Roman"/>
          <w:i/>
          <w:sz w:val="22"/>
          <w:szCs w:val="22"/>
          <w:lang w:val="en-GB"/>
        </w:rPr>
        <w:t>systemize</w:t>
      </w:r>
      <w:r w:rsidR="00582499" w:rsidRPr="004A29F9">
        <w:rPr>
          <w:rFonts w:ascii="Times New Roman" w:hAnsi="Times New Roman" w:cs="Times New Roman"/>
          <w:sz w:val="22"/>
          <w:szCs w:val="22"/>
          <w:lang w:val="en-GB"/>
        </w:rPr>
        <w:t xml:space="preserve"> the collectio</w:t>
      </w:r>
      <w:r w:rsidR="0074470C">
        <w:rPr>
          <w:rFonts w:ascii="Times New Roman" w:hAnsi="Times New Roman" w:cs="Times New Roman"/>
          <w:sz w:val="22"/>
          <w:szCs w:val="22"/>
          <w:lang w:val="en-GB"/>
        </w:rPr>
        <w:t xml:space="preserve">n of case statistics from the different </w:t>
      </w:r>
      <w:r w:rsidR="00582499" w:rsidRPr="004A29F9">
        <w:rPr>
          <w:rFonts w:ascii="Times New Roman" w:hAnsi="Times New Roman" w:cs="Times New Roman"/>
          <w:sz w:val="22"/>
          <w:szCs w:val="22"/>
          <w:lang w:val="en-GB"/>
        </w:rPr>
        <w:t xml:space="preserve">clinics </w:t>
      </w:r>
      <w:r w:rsidR="00222EC3" w:rsidRPr="004A29F9">
        <w:rPr>
          <w:rFonts w:ascii="Times New Roman" w:hAnsi="Times New Roman" w:cs="Times New Roman"/>
          <w:sz w:val="22"/>
          <w:szCs w:val="22"/>
          <w:lang w:val="en-GB"/>
        </w:rPr>
        <w:t>and</w:t>
      </w:r>
      <w:r w:rsidR="00FD3C19">
        <w:rPr>
          <w:rFonts w:ascii="Times New Roman" w:hAnsi="Times New Roman" w:cs="Times New Roman"/>
          <w:sz w:val="22"/>
          <w:szCs w:val="22"/>
          <w:lang w:val="en-GB"/>
        </w:rPr>
        <w:t xml:space="preserve"> </w:t>
      </w:r>
      <w:r w:rsidR="00582499" w:rsidRPr="004A29F9">
        <w:rPr>
          <w:rFonts w:ascii="Times New Roman" w:hAnsi="Times New Roman" w:cs="Times New Roman"/>
          <w:sz w:val="22"/>
          <w:szCs w:val="22"/>
          <w:lang w:val="en-GB"/>
        </w:rPr>
        <w:t xml:space="preserve">ensure that they </w:t>
      </w:r>
      <w:r w:rsidR="00222EC3" w:rsidRPr="004A29F9">
        <w:rPr>
          <w:rFonts w:ascii="Times New Roman" w:hAnsi="Times New Roman" w:cs="Times New Roman"/>
          <w:sz w:val="22"/>
          <w:szCs w:val="22"/>
          <w:lang w:val="en-GB"/>
        </w:rPr>
        <w:t>are</w:t>
      </w:r>
      <w:r w:rsidR="00582499" w:rsidRPr="004A29F9">
        <w:rPr>
          <w:rFonts w:ascii="Times New Roman" w:hAnsi="Times New Roman" w:cs="Times New Roman"/>
          <w:sz w:val="22"/>
          <w:szCs w:val="22"/>
          <w:lang w:val="en-GB"/>
        </w:rPr>
        <w:t xml:space="preserve"> disaggregated from UNDP’s wider access to justice initiatives. </w:t>
      </w:r>
    </w:p>
    <w:p w:rsidR="00490531" w:rsidRDefault="00490531" w:rsidP="00FB6759">
      <w:pPr>
        <w:spacing w:after="0" w:line="240" w:lineRule="auto"/>
        <w:jc w:val="both"/>
        <w:rPr>
          <w:rFonts w:ascii="Times New Roman" w:hAnsi="Times New Roman" w:cs="Times New Roman"/>
          <w:sz w:val="22"/>
          <w:szCs w:val="22"/>
          <w:lang w:val="en-GB"/>
        </w:rPr>
      </w:pPr>
    </w:p>
    <w:p w:rsidR="0072050B" w:rsidRPr="004A29F9" w:rsidRDefault="0074470C"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The legal aid clinics in the West Bank are not yet synergis</w:t>
      </w:r>
      <w:r w:rsidR="006F59F6" w:rsidRPr="004A29F9">
        <w:rPr>
          <w:rFonts w:ascii="Times New Roman" w:hAnsi="Times New Roman" w:cs="Times New Roman"/>
          <w:sz w:val="22"/>
          <w:szCs w:val="22"/>
          <w:lang w:val="en-GB"/>
        </w:rPr>
        <w:t>ed with the PBA or CSOs to the same extent</w:t>
      </w:r>
      <w:r w:rsidR="006831BB" w:rsidRPr="004A29F9">
        <w:rPr>
          <w:rFonts w:ascii="Times New Roman" w:hAnsi="Times New Roman" w:cs="Times New Roman"/>
          <w:sz w:val="22"/>
          <w:szCs w:val="22"/>
          <w:lang w:val="en-GB"/>
        </w:rPr>
        <w:t xml:space="preserve"> as their counterparts in Gaza. This can be attributed to both politi</w:t>
      </w:r>
      <w:r w:rsidR="00510086">
        <w:rPr>
          <w:rFonts w:ascii="Times New Roman" w:hAnsi="Times New Roman" w:cs="Times New Roman"/>
          <w:sz w:val="22"/>
          <w:szCs w:val="22"/>
          <w:lang w:val="en-GB"/>
        </w:rPr>
        <w:t xml:space="preserve">cal will on the part of the </w:t>
      </w:r>
      <w:r w:rsidR="006831BB" w:rsidRPr="004A29F9">
        <w:rPr>
          <w:rFonts w:ascii="Times New Roman" w:hAnsi="Times New Roman" w:cs="Times New Roman"/>
          <w:sz w:val="22"/>
          <w:szCs w:val="22"/>
          <w:lang w:val="en-GB"/>
        </w:rPr>
        <w:t>West Bank</w:t>
      </w:r>
      <w:r w:rsidR="00510086">
        <w:rPr>
          <w:rFonts w:ascii="Times New Roman" w:hAnsi="Times New Roman" w:cs="Times New Roman"/>
          <w:sz w:val="22"/>
          <w:szCs w:val="22"/>
          <w:lang w:val="en-GB"/>
        </w:rPr>
        <w:t xml:space="preserve"> branch of the PBA </w:t>
      </w:r>
      <w:r w:rsidR="006831BB" w:rsidRPr="004A29F9">
        <w:rPr>
          <w:rFonts w:ascii="Times New Roman" w:hAnsi="Times New Roman" w:cs="Times New Roman"/>
          <w:sz w:val="22"/>
          <w:szCs w:val="22"/>
          <w:lang w:val="en-GB"/>
        </w:rPr>
        <w:t xml:space="preserve">and, perhaps, the larger geographic area of the West Bank. </w:t>
      </w:r>
      <w:r w:rsidR="00703D44" w:rsidRPr="004A29F9">
        <w:rPr>
          <w:rFonts w:ascii="Times New Roman" w:hAnsi="Times New Roman" w:cs="Times New Roman"/>
          <w:sz w:val="22"/>
          <w:szCs w:val="22"/>
          <w:lang w:val="en-GB"/>
        </w:rPr>
        <w:t xml:space="preserve">Most of the law school clinics have made contacts with CSOs on their own. </w:t>
      </w:r>
      <w:r w:rsidR="006831BB" w:rsidRPr="004A29F9">
        <w:rPr>
          <w:rFonts w:ascii="Times New Roman" w:hAnsi="Times New Roman" w:cs="Times New Roman"/>
          <w:sz w:val="22"/>
          <w:szCs w:val="22"/>
          <w:lang w:val="en-GB"/>
        </w:rPr>
        <w:t xml:space="preserve">Going forward, UNDP should explore ways to build sustainable partnerships between the PBA, </w:t>
      </w:r>
      <w:r w:rsidR="004C1753">
        <w:rPr>
          <w:rFonts w:ascii="Times New Roman" w:hAnsi="Times New Roman" w:cs="Times New Roman"/>
          <w:sz w:val="22"/>
          <w:szCs w:val="22"/>
          <w:lang w:val="en-GB"/>
        </w:rPr>
        <w:t>CSOs and law school clinics</w:t>
      </w:r>
      <w:r w:rsidR="006831BB" w:rsidRPr="004A29F9">
        <w:rPr>
          <w:rFonts w:ascii="Times New Roman" w:hAnsi="Times New Roman" w:cs="Times New Roman"/>
          <w:sz w:val="22"/>
          <w:szCs w:val="22"/>
          <w:lang w:val="en-GB"/>
        </w:rPr>
        <w:t xml:space="preserve">. To its credit, UNDP </w:t>
      </w:r>
      <w:r w:rsidR="006610FC" w:rsidRPr="004A29F9">
        <w:rPr>
          <w:rFonts w:ascii="Times New Roman" w:hAnsi="Times New Roman" w:cs="Times New Roman"/>
          <w:sz w:val="22"/>
          <w:szCs w:val="22"/>
          <w:lang w:val="en-GB"/>
        </w:rPr>
        <w:t xml:space="preserve">did support </w:t>
      </w:r>
      <w:r w:rsidR="004C1753">
        <w:rPr>
          <w:rFonts w:ascii="Times New Roman" w:hAnsi="Times New Roman" w:cs="Times New Roman"/>
          <w:sz w:val="22"/>
          <w:szCs w:val="22"/>
          <w:lang w:val="en-GB"/>
        </w:rPr>
        <w:t>the MO</w:t>
      </w:r>
      <w:r w:rsidR="006831BB" w:rsidRPr="004A29F9">
        <w:rPr>
          <w:rFonts w:ascii="Times New Roman" w:hAnsi="Times New Roman" w:cs="Times New Roman"/>
          <w:sz w:val="22"/>
          <w:szCs w:val="22"/>
          <w:lang w:val="en-GB"/>
        </w:rPr>
        <w:t>J</w:t>
      </w:r>
      <w:r w:rsidR="004C1753">
        <w:rPr>
          <w:rFonts w:ascii="Times New Roman" w:hAnsi="Times New Roman" w:cs="Times New Roman"/>
          <w:sz w:val="22"/>
          <w:szCs w:val="22"/>
          <w:lang w:val="en-GB"/>
        </w:rPr>
        <w:t>’s legal aid c</w:t>
      </w:r>
      <w:r w:rsidR="006831BB" w:rsidRPr="004A29F9">
        <w:rPr>
          <w:rFonts w:ascii="Times New Roman" w:hAnsi="Times New Roman" w:cs="Times New Roman"/>
          <w:sz w:val="22"/>
          <w:szCs w:val="22"/>
          <w:lang w:val="en-GB"/>
        </w:rPr>
        <w:t xml:space="preserve">onference that introduced the idea of law </w:t>
      </w:r>
      <w:r w:rsidR="00DB2B9D" w:rsidRPr="004A29F9">
        <w:rPr>
          <w:rFonts w:ascii="Times New Roman" w:hAnsi="Times New Roman" w:cs="Times New Roman"/>
          <w:sz w:val="22"/>
          <w:szCs w:val="22"/>
          <w:lang w:val="en-GB"/>
        </w:rPr>
        <w:t>clinics;</w:t>
      </w:r>
      <w:r w:rsidR="006831BB" w:rsidRPr="004A29F9">
        <w:rPr>
          <w:rFonts w:ascii="Times New Roman" w:hAnsi="Times New Roman" w:cs="Times New Roman"/>
          <w:sz w:val="22"/>
          <w:szCs w:val="22"/>
          <w:lang w:val="en-GB"/>
        </w:rPr>
        <w:t xml:space="preserve"> at present </w:t>
      </w:r>
      <w:r w:rsidR="00DB2B9D" w:rsidRPr="004A29F9">
        <w:rPr>
          <w:rFonts w:ascii="Times New Roman" w:hAnsi="Times New Roman" w:cs="Times New Roman"/>
          <w:sz w:val="22"/>
          <w:szCs w:val="22"/>
          <w:lang w:val="en-GB"/>
        </w:rPr>
        <w:t>there remain</w:t>
      </w:r>
      <w:r w:rsidR="006831BB" w:rsidRPr="004A29F9">
        <w:rPr>
          <w:rFonts w:ascii="Times New Roman" w:hAnsi="Times New Roman" w:cs="Times New Roman"/>
          <w:sz w:val="22"/>
          <w:szCs w:val="22"/>
          <w:lang w:val="en-GB"/>
        </w:rPr>
        <w:t xml:space="preserve"> only minimal contacts between the </w:t>
      </w:r>
      <w:r w:rsidR="004C1753">
        <w:rPr>
          <w:rFonts w:ascii="Times New Roman" w:hAnsi="Times New Roman" w:cs="Times New Roman"/>
          <w:sz w:val="22"/>
          <w:szCs w:val="22"/>
          <w:lang w:val="en-GB"/>
        </w:rPr>
        <w:t>MOJ</w:t>
      </w:r>
      <w:r w:rsidR="006831BB" w:rsidRPr="004A29F9">
        <w:rPr>
          <w:rFonts w:ascii="Times New Roman" w:hAnsi="Times New Roman" w:cs="Times New Roman"/>
          <w:sz w:val="22"/>
          <w:szCs w:val="22"/>
          <w:lang w:val="en-GB"/>
        </w:rPr>
        <w:t xml:space="preserve"> and the law </w:t>
      </w:r>
      <w:r w:rsidR="004C1753">
        <w:rPr>
          <w:rFonts w:ascii="Times New Roman" w:hAnsi="Times New Roman" w:cs="Times New Roman"/>
          <w:sz w:val="22"/>
          <w:szCs w:val="22"/>
          <w:lang w:val="en-GB"/>
        </w:rPr>
        <w:t xml:space="preserve">school </w:t>
      </w:r>
      <w:r w:rsidR="006831BB" w:rsidRPr="004A29F9">
        <w:rPr>
          <w:rFonts w:ascii="Times New Roman" w:hAnsi="Times New Roman" w:cs="Times New Roman"/>
          <w:sz w:val="22"/>
          <w:szCs w:val="22"/>
          <w:lang w:val="en-GB"/>
        </w:rPr>
        <w:t xml:space="preserve">clinics. </w:t>
      </w:r>
    </w:p>
    <w:p w:rsidR="00DD4977" w:rsidRPr="004A29F9" w:rsidRDefault="00DD4977" w:rsidP="00FB6759">
      <w:pPr>
        <w:spacing w:after="0" w:line="240" w:lineRule="auto"/>
        <w:jc w:val="both"/>
        <w:rPr>
          <w:rFonts w:ascii="Times New Roman" w:hAnsi="Times New Roman" w:cs="Times New Roman"/>
          <w:sz w:val="22"/>
          <w:szCs w:val="22"/>
          <w:lang w:val="en-GB"/>
        </w:rPr>
      </w:pPr>
    </w:p>
    <w:p w:rsidR="004F3446" w:rsidRPr="004A29F9" w:rsidRDefault="006853A8" w:rsidP="00FB6759">
      <w:pPr>
        <w:spacing w:after="0" w:line="240" w:lineRule="auto"/>
        <w:jc w:val="both"/>
        <w:rPr>
          <w:rFonts w:ascii="Times New Roman" w:hAnsi="Times New Roman" w:cs="Times New Roman"/>
          <w:i/>
          <w:sz w:val="22"/>
          <w:szCs w:val="22"/>
          <w:lang w:val="en-GB"/>
        </w:rPr>
      </w:pPr>
      <w:r w:rsidRPr="004A29F9">
        <w:rPr>
          <w:rFonts w:ascii="Times New Roman" w:hAnsi="Times New Roman" w:cs="Times New Roman"/>
          <w:i/>
          <w:sz w:val="22"/>
          <w:szCs w:val="22"/>
          <w:lang w:val="en-GB"/>
        </w:rPr>
        <w:t>Output 2.2: Legal literacy and awaren</w:t>
      </w:r>
      <w:r w:rsidR="00E755A6">
        <w:rPr>
          <w:rFonts w:ascii="Times New Roman" w:hAnsi="Times New Roman" w:cs="Times New Roman"/>
          <w:i/>
          <w:sz w:val="22"/>
          <w:szCs w:val="22"/>
          <w:lang w:val="en-GB"/>
        </w:rPr>
        <w:t>ess for rights-holders and duty-</w:t>
      </w:r>
      <w:r w:rsidRPr="004A29F9">
        <w:rPr>
          <w:rFonts w:ascii="Times New Roman" w:hAnsi="Times New Roman" w:cs="Times New Roman"/>
          <w:i/>
          <w:sz w:val="22"/>
          <w:szCs w:val="22"/>
          <w:lang w:val="en-GB"/>
        </w:rPr>
        <w:t>bearers improved</w:t>
      </w:r>
    </w:p>
    <w:p w:rsidR="00490531" w:rsidRDefault="00490531" w:rsidP="00FB6759">
      <w:pPr>
        <w:spacing w:after="0" w:line="240" w:lineRule="auto"/>
        <w:jc w:val="both"/>
        <w:rPr>
          <w:rFonts w:ascii="Times New Roman" w:hAnsi="Times New Roman" w:cs="Times New Roman"/>
          <w:sz w:val="22"/>
          <w:szCs w:val="22"/>
          <w:lang w:val="en-GB"/>
        </w:rPr>
      </w:pPr>
    </w:p>
    <w:p w:rsidR="00582499" w:rsidRPr="004A29F9" w:rsidRDefault="00AF7F80"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UNDP has supported a variety of stakeholders to enhance legal literacy and awareness for </w:t>
      </w:r>
      <w:r w:rsidR="00E755A6">
        <w:rPr>
          <w:rFonts w:ascii="Times New Roman" w:hAnsi="Times New Roman" w:cs="Times New Roman"/>
          <w:sz w:val="22"/>
          <w:szCs w:val="22"/>
          <w:lang w:val="en-GB"/>
        </w:rPr>
        <w:t>rights-holders and duty-bearers</w:t>
      </w:r>
      <w:r w:rsidRPr="004A29F9">
        <w:rPr>
          <w:rFonts w:ascii="Times New Roman" w:hAnsi="Times New Roman" w:cs="Times New Roman"/>
          <w:sz w:val="22"/>
          <w:szCs w:val="22"/>
          <w:lang w:val="en-GB"/>
        </w:rPr>
        <w:t xml:space="preserve">. </w:t>
      </w:r>
      <w:r w:rsidR="00E212AA" w:rsidRPr="004A29F9">
        <w:rPr>
          <w:rFonts w:ascii="Times New Roman" w:hAnsi="Times New Roman" w:cs="Times New Roman"/>
          <w:sz w:val="22"/>
          <w:szCs w:val="22"/>
          <w:lang w:val="en-GB"/>
        </w:rPr>
        <w:t>As stated above, nearly every CSO that received UNDP funding conducted some</w:t>
      </w:r>
      <w:r w:rsidRPr="004A29F9">
        <w:rPr>
          <w:rFonts w:ascii="Times New Roman" w:hAnsi="Times New Roman" w:cs="Times New Roman"/>
          <w:sz w:val="22"/>
          <w:szCs w:val="22"/>
          <w:lang w:val="en-GB"/>
        </w:rPr>
        <w:t xml:space="preserve"> form of advocacy and awareness-</w:t>
      </w:r>
      <w:r w:rsidR="00E755A6">
        <w:rPr>
          <w:rFonts w:ascii="Times New Roman" w:hAnsi="Times New Roman" w:cs="Times New Roman"/>
          <w:sz w:val="22"/>
          <w:szCs w:val="22"/>
          <w:lang w:val="en-GB"/>
        </w:rPr>
        <w:t>raising</w:t>
      </w:r>
      <w:r w:rsidR="00E212AA" w:rsidRPr="004A29F9">
        <w:rPr>
          <w:rFonts w:ascii="Times New Roman" w:hAnsi="Times New Roman" w:cs="Times New Roman"/>
          <w:sz w:val="22"/>
          <w:szCs w:val="22"/>
          <w:lang w:val="en-GB"/>
        </w:rPr>
        <w:t xml:space="preserve">. </w:t>
      </w:r>
      <w:r w:rsidRPr="004A29F9">
        <w:rPr>
          <w:rFonts w:ascii="Times New Roman" w:hAnsi="Times New Roman" w:cs="Times New Roman"/>
          <w:sz w:val="22"/>
          <w:szCs w:val="22"/>
          <w:lang w:val="en-GB"/>
        </w:rPr>
        <w:t xml:space="preserve">Other UNDP efforts </w:t>
      </w:r>
      <w:r w:rsidR="00E96758" w:rsidRPr="004A29F9">
        <w:rPr>
          <w:rFonts w:ascii="Times New Roman" w:hAnsi="Times New Roman" w:cs="Times New Roman"/>
          <w:sz w:val="22"/>
          <w:szCs w:val="22"/>
          <w:lang w:val="en-GB"/>
        </w:rPr>
        <w:t>t</w:t>
      </w:r>
      <w:r w:rsidRPr="004A29F9">
        <w:rPr>
          <w:rFonts w:ascii="Times New Roman" w:hAnsi="Times New Roman" w:cs="Times New Roman"/>
          <w:sz w:val="22"/>
          <w:szCs w:val="22"/>
          <w:lang w:val="en-GB"/>
        </w:rPr>
        <w:t>o date have incl</w:t>
      </w:r>
      <w:r w:rsidR="00E755A6">
        <w:rPr>
          <w:rFonts w:ascii="Times New Roman" w:hAnsi="Times New Roman" w:cs="Times New Roman"/>
          <w:sz w:val="22"/>
          <w:szCs w:val="22"/>
          <w:lang w:val="en-GB"/>
        </w:rPr>
        <w:t>uded strengthening Palestinian i</w:t>
      </w:r>
      <w:r w:rsidRPr="004A29F9">
        <w:rPr>
          <w:rFonts w:ascii="Times New Roman" w:hAnsi="Times New Roman" w:cs="Times New Roman"/>
          <w:sz w:val="22"/>
          <w:szCs w:val="22"/>
          <w:lang w:val="en-GB"/>
        </w:rPr>
        <w:t>nstitutions’ fight against corruption; improving the effectiveness of police internal accountability and oversight mechanisms (part of the UNDP/EUPOL COPPS Joint Programme); enhancing the AGO’s transparency an</w:t>
      </w:r>
      <w:r w:rsidR="00E755A6">
        <w:rPr>
          <w:rFonts w:ascii="Times New Roman" w:hAnsi="Times New Roman" w:cs="Times New Roman"/>
          <w:sz w:val="22"/>
          <w:szCs w:val="22"/>
          <w:lang w:val="en-GB"/>
        </w:rPr>
        <w:t>d accountability during the pre-</w:t>
      </w:r>
      <w:r w:rsidRPr="004A29F9">
        <w:rPr>
          <w:rFonts w:ascii="Times New Roman" w:hAnsi="Times New Roman" w:cs="Times New Roman"/>
          <w:sz w:val="22"/>
          <w:szCs w:val="22"/>
          <w:lang w:val="en-GB"/>
        </w:rPr>
        <w:t xml:space="preserve">trial phase and promoting gender integration of law enforcement.  </w:t>
      </w:r>
    </w:p>
    <w:p w:rsidR="00490531" w:rsidRDefault="00490531" w:rsidP="00FB6759">
      <w:pPr>
        <w:spacing w:after="0" w:line="240" w:lineRule="auto"/>
        <w:jc w:val="both"/>
        <w:rPr>
          <w:rFonts w:ascii="Times New Roman" w:hAnsi="Times New Roman" w:cs="Times New Roman"/>
          <w:sz w:val="22"/>
          <w:szCs w:val="22"/>
          <w:lang w:val="en-GB"/>
        </w:rPr>
      </w:pPr>
    </w:p>
    <w:p w:rsidR="00EB2A5A" w:rsidRPr="00E755A6" w:rsidRDefault="00E755A6"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The e</w:t>
      </w:r>
      <w:r w:rsidR="00FF6890" w:rsidRPr="004A29F9">
        <w:rPr>
          <w:rFonts w:ascii="Times New Roman" w:hAnsi="Times New Roman" w:cs="Times New Roman"/>
          <w:sz w:val="22"/>
          <w:szCs w:val="22"/>
          <w:lang w:val="en-GB"/>
        </w:rPr>
        <w:t xml:space="preserve">valuation confirmed that UNDP operated in close partnership with the CSOs of the Civil Society Initiative. </w:t>
      </w:r>
      <w:r w:rsidR="00682C3B" w:rsidRPr="004A29F9">
        <w:rPr>
          <w:rFonts w:ascii="Times New Roman" w:hAnsi="Times New Roman" w:cs="Times New Roman"/>
          <w:sz w:val="22"/>
          <w:szCs w:val="22"/>
          <w:lang w:val="en-GB"/>
        </w:rPr>
        <w:t>In terms of its priorities and strateg</w:t>
      </w:r>
      <w:r>
        <w:rPr>
          <w:rFonts w:ascii="Times New Roman" w:hAnsi="Times New Roman" w:cs="Times New Roman"/>
          <w:sz w:val="22"/>
          <w:szCs w:val="22"/>
          <w:lang w:val="en-GB"/>
        </w:rPr>
        <w:t>ic approach, UNDP informed the e</w:t>
      </w:r>
      <w:r w:rsidR="00682C3B" w:rsidRPr="004A29F9">
        <w:rPr>
          <w:rFonts w:ascii="Times New Roman" w:hAnsi="Times New Roman" w:cs="Times New Roman"/>
          <w:sz w:val="22"/>
          <w:szCs w:val="22"/>
          <w:lang w:val="en-GB"/>
        </w:rPr>
        <w:t xml:space="preserve">valuation that it held a number of CSO roundtables before CSOs submitted proposals and concept notes. UNDP reviewed all proposals to make sure that one or more CSO grant recipients addressed </w:t>
      </w:r>
      <w:r>
        <w:rPr>
          <w:rFonts w:ascii="Times New Roman" w:hAnsi="Times New Roman" w:cs="Times New Roman"/>
          <w:sz w:val="22"/>
          <w:szCs w:val="22"/>
          <w:lang w:val="en-GB"/>
        </w:rPr>
        <w:t>all areas of the Rule of Law &amp;</w:t>
      </w:r>
      <w:r w:rsidR="00682C3B" w:rsidRPr="004A29F9">
        <w:rPr>
          <w:rFonts w:ascii="Times New Roman" w:hAnsi="Times New Roman" w:cs="Times New Roman"/>
          <w:sz w:val="22"/>
          <w:szCs w:val="22"/>
          <w:lang w:val="en-GB"/>
        </w:rPr>
        <w:t xml:space="preserve"> </w:t>
      </w:r>
      <w:r w:rsidR="00682C3B" w:rsidRPr="004A29F9">
        <w:rPr>
          <w:rFonts w:ascii="Times New Roman" w:hAnsi="Times New Roman" w:cs="Times New Roman"/>
          <w:sz w:val="22"/>
          <w:szCs w:val="22"/>
          <w:lang w:val="en-GB"/>
        </w:rPr>
        <w:lastRenderedPageBreak/>
        <w:t>Access to Justice Programme. Furthermore, UNDP negotiated every dollar in the proposals</w:t>
      </w:r>
      <w:r>
        <w:rPr>
          <w:rFonts w:ascii="Times New Roman" w:hAnsi="Times New Roman" w:cs="Times New Roman"/>
          <w:sz w:val="22"/>
          <w:szCs w:val="22"/>
          <w:lang w:val="en-GB"/>
        </w:rPr>
        <w:t>. V</w:t>
      </w:r>
      <w:r w:rsidR="00682C3B" w:rsidRPr="004A29F9">
        <w:rPr>
          <w:rFonts w:ascii="Times New Roman" w:hAnsi="Times New Roman" w:cs="Times New Roman"/>
          <w:sz w:val="22"/>
          <w:szCs w:val="22"/>
          <w:lang w:val="en-GB"/>
        </w:rPr>
        <w:t>ery little of the funding went for</w:t>
      </w:r>
      <w:r>
        <w:rPr>
          <w:rFonts w:ascii="Times New Roman" w:hAnsi="Times New Roman" w:cs="Times New Roman"/>
          <w:sz w:val="22"/>
          <w:szCs w:val="22"/>
          <w:lang w:val="en-GB"/>
        </w:rPr>
        <w:t xml:space="preserve"> equipment and construction - </w:t>
      </w:r>
      <w:r w:rsidR="00682C3B" w:rsidRPr="004A29F9">
        <w:rPr>
          <w:rFonts w:ascii="Times New Roman" w:hAnsi="Times New Roman" w:cs="Times New Roman"/>
          <w:sz w:val="22"/>
          <w:szCs w:val="22"/>
          <w:lang w:val="en-GB"/>
        </w:rPr>
        <w:t>most of the money went for salaries to lawyers and researchers. Before grants were awarded, UNDP h</w:t>
      </w:r>
      <w:r w:rsidR="006A53F1" w:rsidRPr="004A29F9">
        <w:rPr>
          <w:rFonts w:ascii="Times New Roman" w:hAnsi="Times New Roman" w:cs="Times New Roman"/>
          <w:sz w:val="22"/>
          <w:szCs w:val="22"/>
          <w:lang w:val="en-GB"/>
        </w:rPr>
        <w:t>el</w:t>
      </w:r>
      <w:r w:rsidR="00682C3B" w:rsidRPr="004A29F9">
        <w:rPr>
          <w:rFonts w:ascii="Times New Roman" w:hAnsi="Times New Roman" w:cs="Times New Roman"/>
          <w:sz w:val="22"/>
          <w:szCs w:val="22"/>
          <w:lang w:val="en-GB"/>
        </w:rPr>
        <w:t>d additional consultations w</w:t>
      </w:r>
      <w:r>
        <w:rPr>
          <w:rFonts w:ascii="Times New Roman" w:hAnsi="Times New Roman" w:cs="Times New Roman"/>
          <w:sz w:val="22"/>
          <w:szCs w:val="22"/>
          <w:lang w:val="en-GB"/>
        </w:rPr>
        <w:t xml:space="preserve">ith the NGO Development Centre(NDC) </w:t>
      </w:r>
      <w:r w:rsidR="00682C3B" w:rsidRPr="004A29F9">
        <w:rPr>
          <w:rFonts w:ascii="Times New Roman" w:hAnsi="Times New Roman" w:cs="Times New Roman"/>
          <w:sz w:val="22"/>
          <w:szCs w:val="22"/>
          <w:lang w:val="en-GB"/>
        </w:rPr>
        <w:t>about the proposals to ensure that there is no overlap with what th</w:t>
      </w:r>
      <w:r w:rsidR="0024622E">
        <w:rPr>
          <w:rFonts w:ascii="Times New Roman" w:hAnsi="Times New Roman" w:cs="Times New Roman"/>
          <w:sz w:val="22"/>
          <w:szCs w:val="22"/>
          <w:lang w:val="en-GB"/>
        </w:rPr>
        <w:t>ey were funding. Additionally</w:t>
      </w:r>
      <w:r w:rsidR="00682C3B" w:rsidRPr="00E755A6">
        <w:rPr>
          <w:rFonts w:ascii="Times New Roman" w:hAnsi="Times New Roman" w:cs="Times New Roman"/>
          <w:sz w:val="22"/>
          <w:szCs w:val="22"/>
          <w:lang w:val="en-GB"/>
        </w:rPr>
        <w:t xml:space="preserve">, the </w:t>
      </w:r>
      <w:r w:rsidR="00EB2A5A" w:rsidRPr="00E755A6">
        <w:rPr>
          <w:rFonts w:ascii="Times New Roman" w:hAnsi="Times New Roman" w:cs="Times New Roman"/>
          <w:sz w:val="22"/>
          <w:szCs w:val="22"/>
          <w:lang w:val="en-GB"/>
        </w:rPr>
        <w:t>10-15</w:t>
      </w:r>
      <w:r w:rsidR="00CC2BF4" w:rsidRPr="00E755A6">
        <w:rPr>
          <w:rFonts w:ascii="Times New Roman" w:hAnsi="Times New Roman" w:cs="Times New Roman"/>
          <w:sz w:val="22"/>
          <w:szCs w:val="22"/>
          <w:lang w:val="en-GB"/>
        </w:rPr>
        <w:t xml:space="preserve">% of the partners engaged in research had to develop a concept note in their proposal for research and then </w:t>
      </w:r>
      <w:r w:rsidR="00EB2A5A" w:rsidRPr="00E755A6">
        <w:rPr>
          <w:rFonts w:ascii="Times New Roman" w:hAnsi="Times New Roman" w:cs="Times New Roman"/>
          <w:sz w:val="22"/>
          <w:szCs w:val="22"/>
          <w:lang w:val="en-GB"/>
        </w:rPr>
        <w:t xml:space="preserve">dedicated </w:t>
      </w:r>
      <w:r w:rsidR="00CC2BF4" w:rsidRPr="00E755A6">
        <w:rPr>
          <w:rFonts w:ascii="Times New Roman" w:hAnsi="Times New Roman" w:cs="Times New Roman"/>
          <w:sz w:val="22"/>
          <w:szCs w:val="22"/>
          <w:lang w:val="en-GB"/>
        </w:rPr>
        <w:t xml:space="preserve">meetings were held with </w:t>
      </w:r>
      <w:r w:rsidR="00EB2A5A" w:rsidRPr="00E755A6">
        <w:rPr>
          <w:rFonts w:ascii="Times New Roman" w:hAnsi="Times New Roman" w:cs="Times New Roman"/>
          <w:sz w:val="22"/>
          <w:szCs w:val="22"/>
          <w:lang w:val="en-GB"/>
        </w:rPr>
        <w:t xml:space="preserve">UNDP </w:t>
      </w:r>
      <w:r w:rsidR="0024622E">
        <w:rPr>
          <w:rFonts w:ascii="Times New Roman" w:hAnsi="Times New Roman" w:cs="Times New Roman"/>
          <w:sz w:val="22"/>
          <w:szCs w:val="22"/>
          <w:lang w:val="en-GB"/>
        </w:rPr>
        <w:t>staff</w:t>
      </w:r>
      <w:r w:rsidR="00CC2BF4" w:rsidRPr="00E755A6">
        <w:rPr>
          <w:rFonts w:ascii="Times New Roman" w:hAnsi="Times New Roman" w:cs="Times New Roman"/>
          <w:sz w:val="22"/>
          <w:szCs w:val="22"/>
          <w:lang w:val="en-GB"/>
        </w:rPr>
        <w:t xml:space="preserve"> review budget,</w:t>
      </w:r>
      <w:r w:rsidR="00EB2A5A" w:rsidRPr="00E755A6">
        <w:rPr>
          <w:rFonts w:ascii="Times New Roman" w:hAnsi="Times New Roman" w:cs="Times New Roman"/>
          <w:sz w:val="22"/>
          <w:szCs w:val="22"/>
          <w:lang w:val="en-GB"/>
        </w:rPr>
        <w:t xml:space="preserve"> research plan,</w:t>
      </w:r>
      <w:r w:rsidR="0024622E">
        <w:rPr>
          <w:rFonts w:ascii="Times New Roman" w:hAnsi="Times New Roman" w:cs="Times New Roman"/>
          <w:sz w:val="22"/>
          <w:szCs w:val="22"/>
          <w:lang w:val="en-GB"/>
        </w:rPr>
        <w:t xml:space="preserve"> etc.</w:t>
      </w:r>
    </w:p>
    <w:p w:rsidR="00490531" w:rsidRPr="00E755A6" w:rsidRDefault="00490531" w:rsidP="00FB6759">
      <w:pPr>
        <w:spacing w:after="0" w:line="240" w:lineRule="auto"/>
        <w:jc w:val="both"/>
        <w:rPr>
          <w:rFonts w:ascii="Times New Roman" w:hAnsi="Times New Roman" w:cs="Times New Roman"/>
          <w:sz w:val="22"/>
          <w:szCs w:val="22"/>
          <w:lang w:val="en-GB"/>
        </w:rPr>
      </w:pPr>
    </w:p>
    <w:p w:rsidR="00736268" w:rsidRPr="004A29F9" w:rsidRDefault="006333B1"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UNDP has frequently rendered technical assistance directly to the CSOs to build their capacities to absorb funds and report b</w:t>
      </w:r>
      <w:r w:rsidR="0024622E">
        <w:rPr>
          <w:rFonts w:ascii="Times New Roman" w:hAnsi="Times New Roman" w:cs="Times New Roman"/>
          <w:sz w:val="22"/>
          <w:szCs w:val="22"/>
          <w:lang w:val="en-GB"/>
        </w:rPr>
        <w:t>ack to UNDP. UNDP informed the e</w:t>
      </w:r>
      <w:r w:rsidRPr="004A29F9">
        <w:rPr>
          <w:rFonts w:ascii="Times New Roman" w:hAnsi="Times New Roman" w:cs="Times New Roman"/>
          <w:sz w:val="22"/>
          <w:szCs w:val="22"/>
          <w:lang w:val="en-GB"/>
        </w:rPr>
        <w:t>valu</w:t>
      </w:r>
      <w:r w:rsidR="0024622E">
        <w:rPr>
          <w:rFonts w:ascii="Times New Roman" w:hAnsi="Times New Roman" w:cs="Times New Roman"/>
          <w:sz w:val="22"/>
          <w:szCs w:val="22"/>
          <w:lang w:val="en-GB"/>
        </w:rPr>
        <w:t>ation that it closely monitors</w:t>
      </w:r>
      <w:r w:rsidR="00FD3C19">
        <w:rPr>
          <w:rFonts w:ascii="Times New Roman" w:hAnsi="Times New Roman" w:cs="Times New Roman"/>
          <w:sz w:val="22"/>
          <w:szCs w:val="22"/>
          <w:lang w:val="en-GB"/>
        </w:rPr>
        <w:t xml:space="preserve"> </w:t>
      </w:r>
      <w:r w:rsidR="00BC5FB8" w:rsidRPr="004A29F9">
        <w:rPr>
          <w:rFonts w:ascii="Times New Roman" w:hAnsi="Times New Roman" w:cs="Times New Roman"/>
          <w:sz w:val="22"/>
          <w:szCs w:val="22"/>
          <w:lang w:val="en-GB"/>
        </w:rPr>
        <w:t>CSO spending</w:t>
      </w:r>
      <w:r w:rsidR="0024622E">
        <w:rPr>
          <w:rFonts w:ascii="Times New Roman" w:hAnsi="Times New Roman" w:cs="Times New Roman"/>
          <w:sz w:val="22"/>
          <w:szCs w:val="22"/>
          <w:lang w:val="en-GB"/>
        </w:rPr>
        <w:t xml:space="preserve"> under the initiative;</w:t>
      </w:r>
      <w:r w:rsidR="00FD3C19">
        <w:rPr>
          <w:rFonts w:ascii="Times New Roman" w:hAnsi="Times New Roman" w:cs="Times New Roman"/>
          <w:sz w:val="22"/>
          <w:szCs w:val="22"/>
          <w:lang w:val="en-GB"/>
        </w:rPr>
        <w:t xml:space="preserve"> </w:t>
      </w:r>
      <w:r w:rsidR="00736268" w:rsidRPr="004A29F9">
        <w:rPr>
          <w:rFonts w:ascii="Times New Roman" w:hAnsi="Times New Roman" w:cs="Times New Roman"/>
          <w:sz w:val="22"/>
          <w:szCs w:val="22"/>
          <w:lang w:val="en-GB"/>
        </w:rPr>
        <w:t>yet</w:t>
      </w:r>
      <w:r w:rsidR="0024622E">
        <w:rPr>
          <w:rFonts w:ascii="Times New Roman" w:hAnsi="Times New Roman" w:cs="Times New Roman"/>
          <w:sz w:val="22"/>
          <w:szCs w:val="22"/>
          <w:lang w:val="en-GB"/>
        </w:rPr>
        <w:t>,</w:t>
      </w:r>
      <w:r w:rsidR="00736268" w:rsidRPr="004A29F9">
        <w:rPr>
          <w:rFonts w:ascii="Times New Roman" w:hAnsi="Times New Roman" w:cs="Times New Roman"/>
          <w:sz w:val="22"/>
          <w:szCs w:val="22"/>
          <w:lang w:val="en-GB"/>
        </w:rPr>
        <w:t xml:space="preserve"> some</w:t>
      </w:r>
      <w:r w:rsidRPr="004A29F9">
        <w:rPr>
          <w:rFonts w:ascii="Times New Roman" w:hAnsi="Times New Roman" w:cs="Times New Roman"/>
          <w:sz w:val="22"/>
          <w:szCs w:val="22"/>
          <w:lang w:val="en-GB"/>
        </w:rPr>
        <w:t xml:space="preserve"> grantees lacked the skills </w:t>
      </w:r>
      <w:r w:rsidR="0024622E">
        <w:rPr>
          <w:rFonts w:ascii="Times New Roman" w:hAnsi="Times New Roman" w:cs="Times New Roman"/>
          <w:sz w:val="22"/>
          <w:szCs w:val="22"/>
          <w:lang w:val="en-GB"/>
        </w:rPr>
        <w:t xml:space="preserve">to report financially to UNDP. </w:t>
      </w:r>
      <w:r w:rsidRPr="004A29F9">
        <w:rPr>
          <w:rFonts w:ascii="Times New Roman" w:hAnsi="Times New Roman" w:cs="Times New Roman"/>
          <w:sz w:val="22"/>
          <w:szCs w:val="22"/>
          <w:lang w:val="en-GB"/>
        </w:rPr>
        <w:t xml:space="preserve">In </w:t>
      </w:r>
      <w:r w:rsidR="00736268" w:rsidRPr="004A29F9">
        <w:rPr>
          <w:rFonts w:ascii="Times New Roman" w:hAnsi="Times New Roman" w:cs="Times New Roman"/>
          <w:sz w:val="22"/>
          <w:szCs w:val="22"/>
          <w:lang w:val="en-GB"/>
        </w:rPr>
        <w:t xml:space="preserve">these </w:t>
      </w:r>
      <w:r w:rsidR="0024622E">
        <w:rPr>
          <w:rFonts w:ascii="Times New Roman" w:hAnsi="Times New Roman" w:cs="Times New Roman"/>
          <w:sz w:val="22"/>
          <w:szCs w:val="22"/>
          <w:lang w:val="en-GB"/>
        </w:rPr>
        <w:t xml:space="preserve">instances UNDP’s </w:t>
      </w:r>
      <w:r w:rsidR="00056E97" w:rsidRPr="004A29F9">
        <w:rPr>
          <w:rFonts w:ascii="Times New Roman" w:hAnsi="Times New Roman" w:cs="Times New Roman"/>
          <w:sz w:val="22"/>
          <w:szCs w:val="22"/>
          <w:lang w:val="en-GB"/>
        </w:rPr>
        <w:t xml:space="preserve">Finance Associate </w:t>
      </w:r>
      <w:r w:rsidRPr="004A29F9">
        <w:rPr>
          <w:rFonts w:ascii="Times New Roman" w:hAnsi="Times New Roman" w:cs="Times New Roman"/>
          <w:sz w:val="22"/>
          <w:szCs w:val="22"/>
          <w:lang w:val="en-GB"/>
        </w:rPr>
        <w:t xml:space="preserve">visited problematic CSOs to assist them with their bookkeeping. </w:t>
      </w:r>
      <w:r w:rsidR="00736268" w:rsidRPr="004A29F9">
        <w:rPr>
          <w:rFonts w:ascii="Times New Roman" w:hAnsi="Times New Roman" w:cs="Times New Roman"/>
          <w:sz w:val="22"/>
          <w:szCs w:val="22"/>
          <w:lang w:val="en-GB"/>
        </w:rPr>
        <w:t>Several</w:t>
      </w:r>
      <w:r w:rsidRPr="004A29F9">
        <w:rPr>
          <w:rFonts w:ascii="Times New Roman" w:hAnsi="Times New Roman" w:cs="Times New Roman"/>
          <w:sz w:val="22"/>
          <w:szCs w:val="22"/>
          <w:lang w:val="en-GB"/>
        </w:rPr>
        <w:t xml:space="preserve"> grants were not renewed by UNDP as a result of the fact that after repeated warnings by UNDP the CSO could not improve their reporting or quality of writing and UNDP </w:t>
      </w:r>
      <w:r w:rsidR="00736268" w:rsidRPr="004A29F9">
        <w:rPr>
          <w:rFonts w:ascii="Times New Roman" w:hAnsi="Times New Roman" w:cs="Times New Roman"/>
          <w:sz w:val="22"/>
          <w:szCs w:val="22"/>
          <w:lang w:val="en-GB"/>
        </w:rPr>
        <w:t xml:space="preserve">was forced to </w:t>
      </w:r>
      <w:r w:rsidRPr="004A29F9">
        <w:rPr>
          <w:rFonts w:ascii="Times New Roman" w:hAnsi="Times New Roman" w:cs="Times New Roman"/>
          <w:sz w:val="22"/>
          <w:szCs w:val="22"/>
          <w:lang w:val="en-GB"/>
        </w:rPr>
        <w:t xml:space="preserve">cut the funding. </w:t>
      </w:r>
      <w:r w:rsidR="00736268" w:rsidRPr="004A29F9">
        <w:rPr>
          <w:rFonts w:ascii="Times New Roman" w:hAnsi="Times New Roman" w:cs="Times New Roman"/>
          <w:sz w:val="22"/>
          <w:szCs w:val="22"/>
          <w:lang w:val="en-GB"/>
        </w:rPr>
        <w:t>The M&amp;E reports of UNDP provide</w:t>
      </w:r>
      <w:r w:rsidRPr="004A29F9">
        <w:rPr>
          <w:rFonts w:ascii="Times New Roman" w:hAnsi="Times New Roman" w:cs="Times New Roman"/>
          <w:sz w:val="22"/>
          <w:szCs w:val="22"/>
          <w:lang w:val="en-GB"/>
        </w:rPr>
        <w:t xml:space="preserve"> examples of how </w:t>
      </w:r>
      <w:r w:rsidR="00736268" w:rsidRPr="004A29F9">
        <w:rPr>
          <w:rFonts w:ascii="Times New Roman" w:hAnsi="Times New Roman" w:cs="Times New Roman"/>
          <w:sz w:val="22"/>
          <w:szCs w:val="22"/>
          <w:lang w:val="en-GB"/>
        </w:rPr>
        <w:t xml:space="preserve">the </w:t>
      </w:r>
      <w:r w:rsidRPr="004A29F9">
        <w:rPr>
          <w:rFonts w:ascii="Times New Roman" w:hAnsi="Times New Roman" w:cs="Times New Roman"/>
          <w:sz w:val="22"/>
          <w:szCs w:val="22"/>
          <w:lang w:val="en-GB"/>
        </w:rPr>
        <w:t>CSO</w:t>
      </w:r>
      <w:r w:rsidR="00736268" w:rsidRPr="004A29F9">
        <w:rPr>
          <w:rFonts w:ascii="Times New Roman" w:hAnsi="Times New Roman" w:cs="Times New Roman"/>
          <w:sz w:val="22"/>
          <w:szCs w:val="22"/>
          <w:lang w:val="en-GB"/>
        </w:rPr>
        <w:t>s were</w:t>
      </w:r>
      <w:r w:rsidRPr="004A29F9">
        <w:rPr>
          <w:rFonts w:ascii="Times New Roman" w:hAnsi="Times New Roman" w:cs="Times New Roman"/>
          <w:sz w:val="22"/>
          <w:szCs w:val="22"/>
          <w:lang w:val="en-GB"/>
        </w:rPr>
        <w:t xml:space="preserve"> graded due to efficiency</w:t>
      </w:r>
      <w:r w:rsidR="00736268" w:rsidRPr="004A29F9">
        <w:rPr>
          <w:rFonts w:ascii="Times New Roman" w:hAnsi="Times New Roman" w:cs="Times New Roman"/>
          <w:sz w:val="22"/>
          <w:szCs w:val="22"/>
          <w:lang w:val="en-GB"/>
        </w:rPr>
        <w:t>. Despite UNDP</w:t>
      </w:r>
      <w:r w:rsidR="0024622E">
        <w:rPr>
          <w:rFonts w:ascii="Times New Roman" w:hAnsi="Times New Roman" w:cs="Times New Roman"/>
          <w:sz w:val="22"/>
          <w:szCs w:val="22"/>
          <w:lang w:val="en-GB"/>
        </w:rPr>
        <w:t>’</w:t>
      </w:r>
      <w:r w:rsidR="00736268" w:rsidRPr="004A29F9">
        <w:rPr>
          <w:rFonts w:ascii="Times New Roman" w:hAnsi="Times New Roman" w:cs="Times New Roman"/>
          <w:sz w:val="22"/>
          <w:szCs w:val="22"/>
          <w:lang w:val="en-GB"/>
        </w:rPr>
        <w:t>s best efforts, some of the grantees’ reporting skills are low and are currently not deliv</w:t>
      </w:r>
      <w:r w:rsidR="0024622E">
        <w:rPr>
          <w:rFonts w:ascii="Times New Roman" w:hAnsi="Times New Roman" w:cs="Times New Roman"/>
          <w:sz w:val="22"/>
          <w:szCs w:val="22"/>
          <w:lang w:val="en-GB"/>
        </w:rPr>
        <w:t>ering enough data.</w:t>
      </w:r>
    </w:p>
    <w:p w:rsidR="00490531" w:rsidRDefault="00490531" w:rsidP="00FB6759">
      <w:pPr>
        <w:spacing w:after="0" w:line="240" w:lineRule="auto"/>
        <w:jc w:val="both"/>
        <w:rPr>
          <w:rFonts w:ascii="Times New Roman" w:hAnsi="Times New Roman" w:cs="Times New Roman"/>
          <w:sz w:val="22"/>
          <w:szCs w:val="22"/>
          <w:lang w:val="en-GB"/>
        </w:rPr>
      </w:pPr>
    </w:p>
    <w:p w:rsidR="009613A0" w:rsidRPr="004A29F9" w:rsidRDefault="009A43CE"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 xml:space="preserve">Many </w:t>
      </w:r>
      <w:r w:rsidR="00237ECC" w:rsidRPr="004A29F9">
        <w:rPr>
          <w:rFonts w:ascii="Times New Roman" w:hAnsi="Times New Roman" w:cs="Times New Roman"/>
          <w:sz w:val="22"/>
          <w:szCs w:val="22"/>
          <w:lang w:val="en-GB"/>
        </w:rPr>
        <w:t xml:space="preserve">of the </w:t>
      </w:r>
      <w:r w:rsidRPr="004A29F9">
        <w:rPr>
          <w:rFonts w:ascii="Times New Roman" w:hAnsi="Times New Roman" w:cs="Times New Roman"/>
          <w:sz w:val="22"/>
          <w:szCs w:val="22"/>
          <w:lang w:val="en-GB"/>
        </w:rPr>
        <w:t xml:space="preserve">CSOs </w:t>
      </w:r>
      <w:r w:rsidR="009613A0" w:rsidRPr="004A29F9">
        <w:rPr>
          <w:rFonts w:ascii="Times New Roman" w:hAnsi="Times New Roman" w:cs="Times New Roman"/>
          <w:sz w:val="22"/>
          <w:szCs w:val="22"/>
          <w:lang w:val="en-GB"/>
        </w:rPr>
        <w:t>and quasi-go</w:t>
      </w:r>
      <w:r w:rsidR="003C2483">
        <w:rPr>
          <w:rFonts w:ascii="Times New Roman" w:hAnsi="Times New Roman" w:cs="Times New Roman"/>
          <w:sz w:val="22"/>
          <w:szCs w:val="22"/>
          <w:lang w:val="en-GB"/>
        </w:rPr>
        <w:t>vernmental organis</w:t>
      </w:r>
      <w:r w:rsidR="009613A0" w:rsidRPr="004A29F9">
        <w:rPr>
          <w:rFonts w:ascii="Times New Roman" w:hAnsi="Times New Roman" w:cs="Times New Roman"/>
          <w:sz w:val="22"/>
          <w:szCs w:val="22"/>
          <w:lang w:val="en-GB"/>
        </w:rPr>
        <w:t>ations</w:t>
      </w:r>
      <w:r w:rsidR="003C2483">
        <w:rPr>
          <w:rFonts w:ascii="Times New Roman" w:hAnsi="Times New Roman" w:cs="Times New Roman"/>
          <w:sz w:val="22"/>
          <w:szCs w:val="22"/>
          <w:lang w:val="en-GB"/>
        </w:rPr>
        <w:t xml:space="preserve"> interviewed by the e</w:t>
      </w:r>
      <w:r w:rsidR="00E766DC">
        <w:rPr>
          <w:rFonts w:ascii="Times New Roman" w:hAnsi="Times New Roman" w:cs="Times New Roman"/>
          <w:sz w:val="22"/>
          <w:szCs w:val="22"/>
          <w:lang w:val="en-GB"/>
        </w:rPr>
        <w:t xml:space="preserve">valuation </w:t>
      </w:r>
      <w:r w:rsidR="00E15269" w:rsidRPr="004A29F9">
        <w:rPr>
          <w:rFonts w:ascii="Times New Roman" w:hAnsi="Times New Roman" w:cs="Times New Roman"/>
          <w:sz w:val="22"/>
          <w:szCs w:val="22"/>
          <w:lang w:val="en-GB"/>
        </w:rPr>
        <w:t xml:space="preserve">that </w:t>
      </w:r>
      <w:r w:rsidRPr="004A29F9">
        <w:rPr>
          <w:rFonts w:ascii="Times New Roman" w:hAnsi="Times New Roman" w:cs="Times New Roman"/>
          <w:sz w:val="22"/>
          <w:szCs w:val="22"/>
          <w:lang w:val="en-GB"/>
        </w:rPr>
        <w:t>engaged in legal aid</w:t>
      </w:r>
      <w:r w:rsidR="005C46DE" w:rsidRPr="004A29F9">
        <w:rPr>
          <w:rFonts w:ascii="Times New Roman" w:hAnsi="Times New Roman" w:cs="Times New Roman"/>
          <w:sz w:val="22"/>
          <w:szCs w:val="22"/>
          <w:lang w:val="en-GB"/>
        </w:rPr>
        <w:t>/</w:t>
      </w:r>
      <w:r w:rsidR="00E766DC">
        <w:rPr>
          <w:rFonts w:ascii="Times New Roman" w:hAnsi="Times New Roman" w:cs="Times New Roman"/>
          <w:sz w:val="22"/>
          <w:szCs w:val="22"/>
          <w:lang w:val="en-GB"/>
        </w:rPr>
        <w:t xml:space="preserve">counselling </w:t>
      </w:r>
      <w:r w:rsidR="00E15269" w:rsidRPr="004A29F9">
        <w:rPr>
          <w:rFonts w:ascii="Times New Roman" w:hAnsi="Times New Roman" w:cs="Times New Roman"/>
          <w:sz w:val="22"/>
          <w:szCs w:val="22"/>
          <w:lang w:val="en-GB"/>
        </w:rPr>
        <w:t>also conducted awareness-</w:t>
      </w:r>
      <w:r w:rsidRPr="004A29F9">
        <w:rPr>
          <w:rFonts w:ascii="Times New Roman" w:hAnsi="Times New Roman" w:cs="Times New Roman"/>
          <w:sz w:val="22"/>
          <w:szCs w:val="22"/>
          <w:lang w:val="en-GB"/>
        </w:rPr>
        <w:t>raising and research on issues of access to justice and rule of law.</w:t>
      </w:r>
      <w:r w:rsidR="00227679">
        <w:rPr>
          <w:rFonts w:ascii="Times New Roman" w:hAnsi="Times New Roman" w:cs="Times New Roman"/>
          <w:sz w:val="22"/>
          <w:szCs w:val="22"/>
          <w:lang w:val="en-GB"/>
        </w:rPr>
        <w:t xml:space="preserve"> </w:t>
      </w:r>
      <w:r w:rsidR="00E15269" w:rsidRPr="00E766DC">
        <w:rPr>
          <w:rFonts w:ascii="Times New Roman" w:hAnsi="Times New Roman" w:cs="Times New Roman"/>
          <w:sz w:val="22"/>
          <w:szCs w:val="22"/>
          <w:lang w:val="en-GB"/>
        </w:rPr>
        <w:t>These include: PCATI, H</w:t>
      </w:r>
      <w:r w:rsidR="00445E1E" w:rsidRPr="00E766DC">
        <w:rPr>
          <w:rFonts w:ascii="Times New Roman" w:hAnsi="Times New Roman" w:cs="Times New Roman"/>
          <w:sz w:val="22"/>
          <w:szCs w:val="22"/>
          <w:lang w:val="en-GB"/>
        </w:rPr>
        <w:t>a</w:t>
      </w:r>
      <w:r w:rsidR="00E15269" w:rsidRPr="00E766DC">
        <w:rPr>
          <w:rFonts w:ascii="Times New Roman" w:hAnsi="Times New Roman" w:cs="Times New Roman"/>
          <w:sz w:val="22"/>
          <w:szCs w:val="22"/>
          <w:lang w:val="en-GB"/>
        </w:rPr>
        <w:t>moked, Ad</w:t>
      </w:r>
      <w:r w:rsidR="00445E1E" w:rsidRPr="00E766DC">
        <w:rPr>
          <w:rFonts w:ascii="Times New Roman" w:hAnsi="Times New Roman" w:cs="Times New Roman"/>
          <w:sz w:val="22"/>
          <w:szCs w:val="22"/>
          <w:lang w:val="en-GB"/>
        </w:rPr>
        <w:t>d</w:t>
      </w:r>
      <w:r w:rsidR="00E766DC">
        <w:rPr>
          <w:rFonts w:ascii="Times New Roman" w:hAnsi="Times New Roman" w:cs="Times New Roman"/>
          <w:sz w:val="22"/>
          <w:szCs w:val="22"/>
          <w:lang w:val="en-GB"/>
        </w:rPr>
        <w:t>a</w:t>
      </w:r>
      <w:r w:rsidR="00E15269" w:rsidRPr="00E766DC">
        <w:rPr>
          <w:rFonts w:ascii="Times New Roman" w:hAnsi="Times New Roman" w:cs="Times New Roman"/>
          <w:sz w:val="22"/>
          <w:szCs w:val="22"/>
          <w:lang w:val="en-GB"/>
        </w:rPr>
        <w:t xml:space="preserve">meer, </w:t>
      </w:r>
      <w:r w:rsidR="00E766DC">
        <w:rPr>
          <w:rFonts w:ascii="Times New Roman" w:hAnsi="Times New Roman" w:cs="Times New Roman"/>
          <w:sz w:val="22"/>
          <w:szCs w:val="22"/>
          <w:lang w:val="en-GB"/>
        </w:rPr>
        <w:t>PHR</w:t>
      </w:r>
      <w:r w:rsidR="00E15269" w:rsidRPr="00E766DC">
        <w:rPr>
          <w:rFonts w:ascii="Times New Roman" w:hAnsi="Times New Roman" w:cs="Times New Roman"/>
          <w:sz w:val="22"/>
          <w:szCs w:val="22"/>
          <w:lang w:val="en-GB"/>
        </w:rPr>
        <w:t xml:space="preserve">, </w:t>
      </w:r>
      <w:r w:rsidR="00E766DC">
        <w:rPr>
          <w:rFonts w:ascii="Times New Roman" w:hAnsi="Times New Roman" w:cs="Times New Roman"/>
          <w:sz w:val="22"/>
          <w:szCs w:val="22"/>
          <w:lang w:val="en-GB"/>
        </w:rPr>
        <w:t>Al-</w:t>
      </w:r>
      <w:r w:rsidR="00E15269" w:rsidRPr="00E766DC">
        <w:rPr>
          <w:rFonts w:ascii="Times New Roman" w:hAnsi="Times New Roman" w:cs="Times New Roman"/>
          <w:sz w:val="22"/>
          <w:szCs w:val="22"/>
          <w:lang w:val="en-GB"/>
        </w:rPr>
        <w:t>Haq, Save the Children</w:t>
      </w:r>
      <w:r w:rsidR="00E766DC">
        <w:rPr>
          <w:rFonts w:ascii="Times New Roman" w:hAnsi="Times New Roman" w:cs="Times New Roman"/>
          <w:sz w:val="22"/>
          <w:szCs w:val="22"/>
          <w:lang w:val="en-GB"/>
        </w:rPr>
        <w:t>/Sweden</w:t>
      </w:r>
      <w:r w:rsidR="00E15269" w:rsidRPr="00E766DC">
        <w:rPr>
          <w:rFonts w:ascii="Times New Roman" w:hAnsi="Times New Roman" w:cs="Times New Roman"/>
          <w:sz w:val="22"/>
          <w:szCs w:val="22"/>
          <w:lang w:val="en-GB"/>
        </w:rPr>
        <w:t xml:space="preserve">, JCAN, </w:t>
      </w:r>
      <w:r w:rsidR="00FF6E0A" w:rsidRPr="00E766DC">
        <w:rPr>
          <w:rFonts w:ascii="Times New Roman" w:hAnsi="Times New Roman" w:cs="Times New Roman"/>
          <w:sz w:val="22"/>
          <w:szCs w:val="22"/>
          <w:lang w:val="en-GB"/>
        </w:rPr>
        <w:t>JLAC</w:t>
      </w:r>
      <w:r w:rsidR="00E15269" w:rsidRPr="00E766DC">
        <w:rPr>
          <w:rFonts w:ascii="Times New Roman" w:hAnsi="Times New Roman" w:cs="Times New Roman"/>
          <w:sz w:val="22"/>
          <w:szCs w:val="22"/>
          <w:lang w:val="en-GB"/>
        </w:rPr>
        <w:t>,</w:t>
      </w:r>
      <w:r w:rsidR="00FD3C19">
        <w:rPr>
          <w:rFonts w:ascii="Times New Roman" w:hAnsi="Times New Roman" w:cs="Times New Roman"/>
          <w:sz w:val="22"/>
          <w:szCs w:val="22"/>
          <w:lang w:val="en-GB"/>
        </w:rPr>
        <w:t xml:space="preserve"> </w:t>
      </w:r>
      <w:r w:rsidR="00E15269" w:rsidRPr="00E766DC">
        <w:rPr>
          <w:rFonts w:ascii="Times New Roman" w:hAnsi="Times New Roman" w:cs="Times New Roman"/>
          <w:sz w:val="22"/>
          <w:szCs w:val="22"/>
          <w:lang w:val="en-GB"/>
        </w:rPr>
        <w:t xml:space="preserve">Civic </w:t>
      </w:r>
      <w:r w:rsidR="00E766DC">
        <w:rPr>
          <w:rFonts w:ascii="Times New Roman" w:hAnsi="Times New Roman" w:cs="Times New Roman"/>
          <w:sz w:val="22"/>
          <w:szCs w:val="22"/>
          <w:lang w:val="en-GB"/>
        </w:rPr>
        <w:t>Coalition</w:t>
      </w:r>
      <w:r w:rsidR="00E15269" w:rsidRPr="00E766DC">
        <w:rPr>
          <w:rFonts w:ascii="Times New Roman" w:hAnsi="Times New Roman" w:cs="Times New Roman"/>
          <w:sz w:val="22"/>
          <w:szCs w:val="22"/>
          <w:lang w:val="en-GB"/>
        </w:rPr>
        <w:t xml:space="preserve">, </w:t>
      </w:r>
      <w:r w:rsidR="00E766DC">
        <w:rPr>
          <w:rFonts w:ascii="Times New Roman" w:hAnsi="Times New Roman" w:cs="Times New Roman"/>
          <w:sz w:val="22"/>
          <w:szCs w:val="22"/>
          <w:lang w:val="en-GB"/>
        </w:rPr>
        <w:t>PWWSD, DWRC, WFL, Al-</w:t>
      </w:r>
      <w:r w:rsidR="00E766DC" w:rsidRPr="00E766DC">
        <w:rPr>
          <w:rFonts w:ascii="Times New Roman" w:hAnsi="Times New Roman" w:cs="Times New Roman"/>
          <w:sz w:val="22"/>
          <w:szCs w:val="22"/>
          <w:lang w:val="en-GB"/>
        </w:rPr>
        <w:t>Quds University</w:t>
      </w:r>
      <w:r w:rsidR="00E766DC">
        <w:rPr>
          <w:rFonts w:ascii="Times New Roman" w:hAnsi="Times New Roman" w:cs="Times New Roman"/>
          <w:sz w:val="22"/>
          <w:szCs w:val="22"/>
          <w:lang w:val="en-GB"/>
        </w:rPr>
        <w:t xml:space="preserve"> and</w:t>
      </w:r>
      <w:r w:rsidR="00E766DC" w:rsidRPr="00E766DC">
        <w:rPr>
          <w:rFonts w:ascii="Times New Roman" w:hAnsi="Times New Roman" w:cs="Times New Roman"/>
          <w:sz w:val="22"/>
          <w:szCs w:val="22"/>
          <w:lang w:val="en-GB"/>
        </w:rPr>
        <w:t xml:space="preserve"> Hebron Un</w:t>
      </w:r>
      <w:r w:rsidR="00E766DC">
        <w:rPr>
          <w:rFonts w:ascii="Times New Roman" w:hAnsi="Times New Roman" w:cs="Times New Roman"/>
          <w:sz w:val="22"/>
          <w:szCs w:val="22"/>
          <w:lang w:val="en-GB"/>
        </w:rPr>
        <w:t xml:space="preserve">iversity. </w:t>
      </w:r>
      <w:r w:rsidR="009613A0" w:rsidRPr="00E766DC">
        <w:rPr>
          <w:rFonts w:ascii="Times New Roman" w:hAnsi="Times New Roman" w:cs="Times New Roman"/>
          <w:sz w:val="22"/>
          <w:szCs w:val="22"/>
          <w:lang w:val="en-GB"/>
        </w:rPr>
        <w:t>In addition, a number of other CSO and academ</w:t>
      </w:r>
      <w:r w:rsidR="00E766DC">
        <w:rPr>
          <w:rFonts w:ascii="Times New Roman" w:hAnsi="Times New Roman" w:cs="Times New Roman"/>
          <w:sz w:val="22"/>
          <w:szCs w:val="22"/>
          <w:lang w:val="en-GB"/>
        </w:rPr>
        <w:t>ic partners interviewed by the e</w:t>
      </w:r>
      <w:r w:rsidR="009613A0" w:rsidRPr="00E766DC">
        <w:rPr>
          <w:rFonts w:ascii="Times New Roman" w:hAnsi="Times New Roman" w:cs="Times New Roman"/>
          <w:sz w:val="22"/>
          <w:szCs w:val="22"/>
          <w:lang w:val="en-GB"/>
        </w:rPr>
        <w:t>valuation were specifically focused on awareness raising</w:t>
      </w:r>
      <w:r w:rsidR="00E766DC">
        <w:rPr>
          <w:rFonts w:ascii="Times New Roman" w:hAnsi="Times New Roman" w:cs="Times New Roman"/>
          <w:sz w:val="22"/>
          <w:szCs w:val="22"/>
          <w:lang w:val="en-GB"/>
        </w:rPr>
        <w:t xml:space="preserve"> and research including Sha</w:t>
      </w:r>
      <w:r w:rsidR="009613A0" w:rsidRPr="00E766DC">
        <w:rPr>
          <w:rFonts w:ascii="Times New Roman" w:hAnsi="Times New Roman" w:cs="Times New Roman"/>
          <w:sz w:val="22"/>
          <w:szCs w:val="22"/>
          <w:lang w:val="en-GB"/>
        </w:rPr>
        <w:t>ms</w:t>
      </w:r>
      <w:r w:rsidR="001803F2" w:rsidRPr="00E766DC">
        <w:rPr>
          <w:rFonts w:ascii="Times New Roman" w:hAnsi="Times New Roman" w:cs="Times New Roman"/>
          <w:sz w:val="22"/>
          <w:szCs w:val="22"/>
          <w:lang w:val="en-GB"/>
        </w:rPr>
        <w:t>,</w:t>
      </w:r>
      <w:r w:rsidR="00E766DC">
        <w:rPr>
          <w:rFonts w:ascii="Times New Roman" w:hAnsi="Times New Roman" w:cs="Times New Roman"/>
          <w:sz w:val="22"/>
          <w:szCs w:val="22"/>
          <w:lang w:val="en-GB"/>
        </w:rPr>
        <w:t xml:space="preserve"> WCLAC and Birzeit University’s IWS.</w:t>
      </w:r>
    </w:p>
    <w:p w:rsidR="0024622E" w:rsidRDefault="0024622E" w:rsidP="00FB6759">
      <w:pPr>
        <w:spacing w:after="0" w:line="240" w:lineRule="auto"/>
        <w:jc w:val="both"/>
        <w:rPr>
          <w:rFonts w:ascii="Times New Roman" w:hAnsi="Times New Roman" w:cs="Times New Roman"/>
          <w:sz w:val="22"/>
          <w:szCs w:val="22"/>
          <w:lang w:val="en-GB"/>
        </w:rPr>
      </w:pPr>
    </w:p>
    <w:p w:rsidR="005A69A1" w:rsidRPr="004A29F9" w:rsidRDefault="00E766DC"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The e</w:t>
      </w:r>
      <w:r w:rsidR="00BB0D8E" w:rsidRPr="004A29F9">
        <w:rPr>
          <w:rFonts w:ascii="Times New Roman" w:hAnsi="Times New Roman" w:cs="Times New Roman"/>
          <w:sz w:val="22"/>
          <w:szCs w:val="22"/>
          <w:lang w:val="en-GB"/>
        </w:rPr>
        <w:t>valuation’s interviews gathered evidence of a direct impact of t</w:t>
      </w:r>
      <w:r>
        <w:rPr>
          <w:rFonts w:ascii="Times New Roman" w:hAnsi="Times New Roman" w:cs="Times New Roman"/>
          <w:sz w:val="22"/>
          <w:szCs w:val="22"/>
          <w:lang w:val="en-GB"/>
        </w:rPr>
        <w:t xml:space="preserve">he awareness-raising activities </w:t>
      </w:r>
      <w:r w:rsidR="005A69A1" w:rsidRPr="004A29F9">
        <w:rPr>
          <w:rFonts w:ascii="Times New Roman" w:hAnsi="Times New Roman" w:cs="Times New Roman"/>
          <w:sz w:val="22"/>
          <w:szCs w:val="22"/>
          <w:lang w:val="en-GB"/>
        </w:rPr>
        <w:t xml:space="preserve">as detailed in the following </w:t>
      </w:r>
      <w:r w:rsidR="008A72EB" w:rsidRPr="004A29F9">
        <w:rPr>
          <w:rFonts w:ascii="Times New Roman" w:hAnsi="Times New Roman" w:cs="Times New Roman"/>
          <w:sz w:val="22"/>
          <w:szCs w:val="22"/>
          <w:lang w:val="en-GB"/>
        </w:rPr>
        <w:t>chart.</w:t>
      </w:r>
    </w:p>
    <w:p w:rsidR="0052472B" w:rsidRPr="00647752" w:rsidRDefault="0052472B" w:rsidP="00FB6759">
      <w:pPr>
        <w:spacing w:after="0" w:line="240" w:lineRule="auto"/>
        <w:jc w:val="both"/>
        <w:rPr>
          <w:rFonts w:ascii="Times New Roman" w:hAnsi="Times New Roman" w:cs="Times New Roman"/>
          <w:lang w:val="en-GB"/>
        </w:rPr>
      </w:pPr>
    </w:p>
    <w:tbl>
      <w:tblPr>
        <w:tblStyle w:val="TableGrid"/>
        <w:tblW w:w="0" w:type="auto"/>
        <w:jc w:val="center"/>
        <w:tblInd w:w="-854" w:type="dxa"/>
        <w:tblLayout w:type="fixed"/>
        <w:tblLook w:val="04A0"/>
      </w:tblPr>
      <w:tblGrid>
        <w:gridCol w:w="3752"/>
        <w:gridCol w:w="2430"/>
        <w:gridCol w:w="3150"/>
      </w:tblGrid>
      <w:tr w:rsidR="0052472B" w:rsidRPr="00647752" w:rsidTr="0053540B">
        <w:trPr>
          <w:jc w:val="center"/>
        </w:trPr>
        <w:tc>
          <w:tcPr>
            <w:tcW w:w="9332" w:type="dxa"/>
            <w:gridSpan w:val="3"/>
            <w:shd w:val="clear" w:color="auto" w:fill="D9D9D9" w:themeFill="background1" w:themeFillShade="D9"/>
            <w:vAlign w:val="center"/>
          </w:tcPr>
          <w:p w:rsidR="0052472B" w:rsidRPr="00490531" w:rsidRDefault="00804411" w:rsidP="0053540B">
            <w:pPr>
              <w:rPr>
                <w:rFonts w:ascii="Times New Roman" w:hAnsi="Times New Roman" w:cs="Times New Roman"/>
                <w:b/>
                <w:sz w:val="18"/>
                <w:szCs w:val="18"/>
                <w:lang w:val="en-GB"/>
              </w:rPr>
            </w:pPr>
            <w:r w:rsidRPr="00490531">
              <w:rPr>
                <w:rFonts w:ascii="Times New Roman" w:hAnsi="Times New Roman" w:cs="Times New Roman"/>
                <w:b/>
                <w:sz w:val="18"/>
                <w:szCs w:val="18"/>
                <w:lang w:val="en-GB"/>
              </w:rPr>
              <w:t>Evidence</w:t>
            </w:r>
            <w:r w:rsidR="0052472B" w:rsidRPr="00490531">
              <w:rPr>
                <w:rFonts w:ascii="Times New Roman" w:hAnsi="Times New Roman" w:cs="Times New Roman"/>
                <w:b/>
                <w:sz w:val="18"/>
                <w:szCs w:val="18"/>
                <w:lang w:val="en-GB"/>
              </w:rPr>
              <w:t xml:space="preserve"> of UNDP supported advocacy and awareness-raising</w:t>
            </w:r>
            <w:r w:rsidR="0053540B">
              <w:rPr>
                <w:rFonts w:ascii="Times New Roman" w:hAnsi="Times New Roman" w:cs="Times New Roman"/>
                <w:b/>
                <w:sz w:val="18"/>
                <w:szCs w:val="18"/>
                <w:lang w:val="en-GB"/>
              </w:rPr>
              <w:t xml:space="preserve"> and its impact at the outcome-level</w:t>
            </w:r>
          </w:p>
          <w:p w:rsidR="0052472B" w:rsidRPr="00490531" w:rsidRDefault="0053540B" w:rsidP="0053540B">
            <w:pPr>
              <w:rPr>
                <w:rFonts w:ascii="Times New Roman" w:hAnsi="Times New Roman" w:cs="Times New Roman"/>
                <w:sz w:val="18"/>
                <w:szCs w:val="18"/>
                <w:lang w:val="en-GB"/>
              </w:rPr>
            </w:pPr>
            <w:r>
              <w:rPr>
                <w:rFonts w:ascii="Times New Roman" w:hAnsi="Times New Roman" w:cs="Times New Roman"/>
                <w:sz w:val="18"/>
                <w:szCs w:val="18"/>
                <w:lang w:val="en-GB"/>
              </w:rPr>
              <w:t xml:space="preserve">*Source: </w:t>
            </w:r>
            <w:r w:rsidR="002726DB" w:rsidRPr="00490531">
              <w:rPr>
                <w:rFonts w:ascii="Times New Roman" w:hAnsi="Times New Roman" w:cs="Times New Roman"/>
                <w:sz w:val="18"/>
                <w:szCs w:val="18"/>
                <w:lang w:val="en-GB"/>
              </w:rPr>
              <w:t xml:space="preserve">UNDP and </w:t>
            </w:r>
            <w:r w:rsidR="00E766DC">
              <w:rPr>
                <w:rFonts w:ascii="Times New Roman" w:hAnsi="Times New Roman" w:cs="Times New Roman"/>
                <w:sz w:val="18"/>
                <w:szCs w:val="18"/>
                <w:lang w:val="en-GB"/>
              </w:rPr>
              <w:t>CSOs interviewed by the e</w:t>
            </w:r>
            <w:r w:rsidR="0052472B" w:rsidRPr="00490531">
              <w:rPr>
                <w:rFonts w:ascii="Times New Roman" w:hAnsi="Times New Roman" w:cs="Times New Roman"/>
                <w:sz w:val="18"/>
                <w:szCs w:val="18"/>
                <w:lang w:val="en-GB"/>
              </w:rPr>
              <w:t>valuation</w:t>
            </w:r>
          </w:p>
        </w:tc>
      </w:tr>
      <w:tr w:rsidR="0052472B" w:rsidRPr="00647752" w:rsidTr="0053540B">
        <w:trPr>
          <w:jc w:val="center"/>
        </w:trPr>
        <w:tc>
          <w:tcPr>
            <w:tcW w:w="3752" w:type="dxa"/>
            <w:shd w:val="clear" w:color="auto" w:fill="D9D9D9" w:themeFill="background1" w:themeFillShade="D9"/>
            <w:vAlign w:val="center"/>
          </w:tcPr>
          <w:p w:rsidR="0052472B" w:rsidRPr="00490531" w:rsidRDefault="00E766DC" w:rsidP="0053540B">
            <w:pPr>
              <w:rPr>
                <w:rFonts w:ascii="Times New Roman" w:hAnsi="Times New Roman" w:cs="Times New Roman"/>
                <w:b/>
                <w:sz w:val="18"/>
                <w:szCs w:val="18"/>
                <w:lang w:val="en-GB"/>
              </w:rPr>
            </w:pPr>
            <w:r>
              <w:rPr>
                <w:rFonts w:ascii="Times New Roman" w:hAnsi="Times New Roman" w:cs="Times New Roman"/>
                <w:b/>
                <w:sz w:val="18"/>
                <w:szCs w:val="18"/>
                <w:lang w:val="en-GB"/>
              </w:rPr>
              <w:t>Organis</w:t>
            </w:r>
            <w:r w:rsidR="0052472B" w:rsidRPr="00490531">
              <w:rPr>
                <w:rFonts w:ascii="Times New Roman" w:hAnsi="Times New Roman" w:cs="Times New Roman"/>
                <w:b/>
                <w:sz w:val="18"/>
                <w:szCs w:val="18"/>
                <w:lang w:val="en-GB"/>
              </w:rPr>
              <w:t>ation</w:t>
            </w:r>
          </w:p>
        </w:tc>
        <w:tc>
          <w:tcPr>
            <w:tcW w:w="2430" w:type="dxa"/>
            <w:shd w:val="clear" w:color="auto" w:fill="D9D9D9" w:themeFill="background1" w:themeFillShade="D9"/>
            <w:vAlign w:val="center"/>
          </w:tcPr>
          <w:p w:rsidR="0052472B" w:rsidRPr="00490531" w:rsidRDefault="0052472B" w:rsidP="0053540B">
            <w:pPr>
              <w:jc w:val="center"/>
              <w:rPr>
                <w:rFonts w:ascii="Times New Roman" w:hAnsi="Times New Roman" w:cs="Times New Roman"/>
                <w:b/>
                <w:sz w:val="18"/>
                <w:szCs w:val="18"/>
                <w:lang w:val="en-GB"/>
              </w:rPr>
            </w:pPr>
            <w:r w:rsidRPr="00490531">
              <w:rPr>
                <w:rFonts w:ascii="Times New Roman" w:hAnsi="Times New Roman" w:cs="Times New Roman"/>
                <w:b/>
                <w:sz w:val="18"/>
                <w:szCs w:val="18"/>
                <w:lang w:val="en-GB"/>
              </w:rPr>
              <w:t>Target beneficiaries</w:t>
            </w:r>
          </w:p>
        </w:tc>
        <w:tc>
          <w:tcPr>
            <w:tcW w:w="3150" w:type="dxa"/>
            <w:shd w:val="clear" w:color="auto" w:fill="D9D9D9" w:themeFill="background1" w:themeFillShade="D9"/>
            <w:vAlign w:val="center"/>
          </w:tcPr>
          <w:p w:rsidR="0052472B" w:rsidRPr="00490531" w:rsidRDefault="00E766DC" w:rsidP="0053540B">
            <w:pPr>
              <w:jc w:val="center"/>
              <w:rPr>
                <w:rFonts w:ascii="Times New Roman" w:hAnsi="Times New Roman" w:cs="Times New Roman"/>
                <w:b/>
                <w:sz w:val="18"/>
                <w:szCs w:val="18"/>
                <w:lang w:val="en-GB"/>
              </w:rPr>
            </w:pPr>
            <w:r>
              <w:rPr>
                <w:rFonts w:ascii="Times New Roman" w:hAnsi="Times New Roman" w:cs="Times New Roman"/>
                <w:b/>
                <w:sz w:val="18"/>
                <w:szCs w:val="18"/>
                <w:lang w:val="en-GB"/>
              </w:rPr>
              <w:t>Impact at o</w:t>
            </w:r>
            <w:r w:rsidR="0052472B" w:rsidRPr="00490531">
              <w:rPr>
                <w:rFonts w:ascii="Times New Roman" w:hAnsi="Times New Roman" w:cs="Times New Roman"/>
                <w:b/>
                <w:sz w:val="18"/>
                <w:szCs w:val="18"/>
                <w:lang w:val="en-GB"/>
              </w:rPr>
              <w:t>utcome-level</w:t>
            </w:r>
          </w:p>
        </w:tc>
      </w:tr>
      <w:tr w:rsidR="0052472B" w:rsidRPr="00647752" w:rsidTr="0024622E">
        <w:trPr>
          <w:jc w:val="center"/>
        </w:trPr>
        <w:tc>
          <w:tcPr>
            <w:tcW w:w="3752" w:type="dxa"/>
          </w:tcPr>
          <w:p w:rsidR="0052472B" w:rsidRPr="009433D0" w:rsidRDefault="0052472B" w:rsidP="00FB6759">
            <w:pPr>
              <w:rPr>
                <w:rFonts w:ascii="Times New Roman" w:hAnsi="Times New Roman" w:cs="Times New Roman"/>
                <w:i/>
                <w:sz w:val="18"/>
                <w:szCs w:val="18"/>
                <w:lang w:val="en-GB"/>
              </w:rPr>
            </w:pPr>
            <w:r w:rsidRPr="009433D0">
              <w:rPr>
                <w:rFonts w:ascii="Times New Roman" w:hAnsi="Times New Roman" w:cs="Times New Roman"/>
                <w:i/>
                <w:sz w:val="18"/>
                <w:szCs w:val="18"/>
                <w:lang w:val="en-GB"/>
              </w:rPr>
              <w:t>Women for Life</w:t>
            </w:r>
          </w:p>
        </w:tc>
        <w:tc>
          <w:tcPr>
            <w:tcW w:w="2430" w:type="dxa"/>
          </w:tcPr>
          <w:p w:rsidR="0052472B" w:rsidRPr="00490531" w:rsidRDefault="0052472B" w:rsidP="00FB6759">
            <w:pPr>
              <w:rPr>
                <w:rFonts w:ascii="Times New Roman" w:hAnsi="Times New Roman" w:cs="Times New Roman"/>
                <w:sz w:val="18"/>
                <w:szCs w:val="18"/>
                <w:lang w:val="en-GB"/>
              </w:rPr>
            </w:pPr>
            <w:r w:rsidRPr="00490531">
              <w:rPr>
                <w:rFonts w:ascii="Times New Roman" w:hAnsi="Times New Roman" w:cs="Times New Roman"/>
                <w:sz w:val="18"/>
                <w:szCs w:val="18"/>
                <w:lang w:val="en-GB"/>
              </w:rPr>
              <w:t xml:space="preserve">Vulnerable women requiring execution of </w:t>
            </w:r>
            <w:r w:rsidR="00E766DC" w:rsidRPr="00E766DC">
              <w:rPr>
                <w:rFonts w:ascii="Times New Roman" w:hAnsi="Times New Roman" w:cs="Times New Roman"/>
                <w:i/>
                <w:sz w:val="18"/>
                <w:szCs w:val="18"/>
                <w:lang w:val="en-GB"/>
              </w:rPr>
              <w:t>s</w:t>
            </w:r>
            <w:r w:rsidR="000C369C" w:rsidRPr="00E766DC">
              <w:rPr>
                <w:rFonts w:ascii="Times New Roman" w:hAnsi="Times New Roman" w:cs="Times New Roman"/>
                <w:i/>
                <w:sz w:val="18"/>
                <w:szCs w:val="18"/>
                <w:lang w:val="en-GB"/>
              </w:rPr>
              <w:t>hari’a</w:t>
            </w:r>
            <w:r w:rsidRPr="00490531">
              <w:rPr>
                <w:rFonts w:ascii="Times New Roman" w:hAnsi="Times New Roman" w:cs="Times New Roman"/>
                <w:sz w:val="18"/>
                <w:szCs w:val="18"/>
                <w:lang w:val="en-GB"/>
              </w:rPr>
              <w:t xml:space="preserve"> court judgments</w:t>
            </w:r>
          </w:p>
        </w:tc>
        <w:tc>
          <w:tcPr>
            <w:tcW w:w="3150" w:type="dxa"/>
          </w:tcPr>
          <w:p w:rsidR="0052472B" w:rsidRPr="00490531" w:rsidRDefault="0052472B" w:rsidP="00FB6759">
            <w:pPr>
              <w:rPr>
                <w:rFonts w:ascii="Times New Roman" w:hAnsi="Times New Roman" w:cs="Times New Roman"/>
                <w:sz w:val="18"/>
                <w:szCs w:val="18"/>
                <w:lang w:val="en-GB"/>
              </w:rPr>
            </w:pPr>
            <w:r w:rsidRPr="00490531">
              <w:rPr>
                <w:rFonts w:ascii="Times New Roman" w:hAnsi="Times New Roman" w:cs="Times New Roman"/>
                <w:sz w:val="18"/>
                <w:szCs w:val="18"/>
                <w:lang w:val="en-GB"/>
              </w:rPr>
              <w:t xml:space="preserve">The number of women approaching the courts for execution of </w:t>
            </w:r>
            <w:r w:rsidR="00E766DC" w:rsidRPr="00E766DC">
              <w:rPr>
                <w:rFonts w:ascii="Times New Roman" w:hAnsi="Times New Roman" w:cs="Times New Roman"/>
                <w:i/>
                <w:sz w:val="18"/>
                <w:szCs w:val="18"/>
                <w:lang w:val="en-GB"/>
              </w:rPr>
              <w:t>s</w:t>
            </w:r>
            <w:r w:rsidR="000C369C" w:rsidRPr="00E766DC">
              <w:rPr>
                <w:rFonts w:ascii="Times New Roman" w:hAnsi="Times New Roman" w:cs="Times New Roman"/>
                <w:i/>
                <w:sz w:val="18"/>
                <w:szCs w:val="18"/>
                <w:lang w:val="en-GB"/>
              </w:rPr>
              <w:t>hari’a</w:t>
            </w:r>
            <w:r w:rsidRPr="00490531">
              <w:rPr>
                <w:rFonts w:ascii="Times New Roman" w:hAnsi="Times New Roman" w:cs="Times New Roman"/>
                <w:sz w:val="18"/>
                <w:szCs w:val="18"/>
                <w:lang w:val="en-GB"/>
              </w:rPr>
              <w:t xml:space="preserve"> court decisions in Salfit was increasi</w:t>
            </w:r>
            <w:r w:rsidR="00836320">
              <w:rPr>
                <w:rFonts w:ascii="Times New Roman" w:hAnsi="Times New Roman" w:cs="Times New Roman"/>
                <w:sz w:val="18"/>
                <w:szCs w:val="18"/>
                <w:lang w:val="en-GB"/>
              </w:rPr>
              <w:t>ng as of 2013</w:t>
            </w:r>
          </w:p>
        </w:tc>
      </w:tr>
      <w:tr w:rsidR="0052472B" w:rsidRPr="00647752" w:rsidTr="0024622E">
        <w:trPr>
          <w:jc w:val="center"/>
        </w:trPr>
        <w:tc>
          <w:tcPr>
            <w:tcW w:w="3752" w:type="dxa"/>
          </w:tcPr>
          <w:p w:rsidR="0052472B" w:rsidRPr="009433D0" w:rsidRDefault="0052472B" w:rsidP="00FB6759">
            <w:pPr>
              <w:rPr>
                <w:rFonts w:ascii="Times New Roman" w:hAnsi="Times New Roman" w:cs="Times New Roman"/>
                <w:i/>
                <w:sz w:val="18"/>
                <w:szCs w:val="18"/>
                <w:lang w:val="en-GB"/>
              </w:rPr>
            </w:pPr>
            <w:r w:rsidRPr="009433D0">
              <w:rPr>
                <w:rFonts w:ascii="Times New Roman" w:hAnsi="Times New Roman" w:cs="Times New Roman"/>
                <w:i/>
                <w:sz w:val="18"/>
                <w:szCs w:val="18"/>
                <w:lang w:val="en-GB"/>
              </w:rPr>
              <w:t>Women for Life</w:t>
            </w:r>
          </w:p>
        </w:tc>
        <w:tc>
          <w:tcPr>
            <w:tcW w:w="2430" w:type="dxa"/>
          </w:tcPr>
          <w:p w:rsidR="0052472B" w:rsidRPr="00490531" w:rsidRDefault="000C369C" w:rsidP="00FB6759">
            <w:pPr>
              <w:rPr>
                <w:rFonts w:ascii="Times New Roman" w:hAnsi="Times New Roman" w:cs="Times New Roman"/>
                <w:sz w:val="18"/>
                <w:szCs w:val="18"/>
                <w:lang w:val="en-GB"/>
              </w:rPr>
            </w:pPr>
            <w:r w:rsidRPr="00E766DC">
              <w:rPr>
                <w:rFonts w:ascii="Times New Roman" w:hAnsi="Times New Roman" w:cs="Times New Roman"/>
                <w:i/>
                <w:sz w:val="18"/>
                <w:szCs w:val="18"/>
                <w:lang w:val="en-GB"/>
              </w:rPr>
              <w:t>Shari’a</w:t>
            </w:r>
            <w:r w:rsidR="0052472B" w:rsidRPr="00490531">
              <w:rPr>
                <w:rFonts w:ascii="Times New Roman" w:hAnsi="Times New Roman" w:cs="Times New Roman"/>
                <w:sz w:val="18"/>
                <w:szCs w:val="18"/>
                <w:lang w:val="en-GB"/>
              </w:rPr>
              <w:t xml:space="preserve"> courts and tribal leaders</w:t>
            </w:r>
          </w:p>
        </w:tc>
        <w:tc>
          <w:tcPr>
            <w:tcW w:w="3150" w:type="dxa"/>
          </w:tcPr>
          <w:p w:rsidR="0052472B" w:rsidRPr="00490531" w:rsidRDefault="000C369C" w:rsidP="00FB6759">
            <w:pPr>
              <w:rPr>
                <w:rFonts w:ascii="Times New Roman" w:hAnsi="Times New Roman" w:cs="Times New Roman"/>
                <w:sz w:val="18"/>
                <w:szCs w:val="18"/>
                <w:lang w:val="en-GB"/>
              </w:rPr>
            </w:pPr>
            <w:r w:rsidRPr="00E766DC">
              <w:rPr>
                <w:rFonts w:ascii="Times New Roman" w:hAnsi="Times New Roman" w:cs="Times New Roman"/>
                <w:i/>
                <w:sz w:val="18"/>
                <w:szCs w:val="18"/>
                <w:lang w:val="en-GB"/>
              </w:rPr>
              <w:t>Shari’a</w:t>
            </w:r>
            <w:r w:rsidR="0052472B" w:rsidRPr="00490531">
              <w:rPr>
                <w:rFonts w:ascii="Times New Roman" w:hAnsi="Times New Roman" w:cs="Times New Roman"/>
                <w:sz w:val="18"/>
                <w:szCs w:val="18"/>
                <w:lang w:val="en-GB"/>
              </w:rPr>
              <w:t xml:space="preserve"> courts and tribal leaders are referring</w:t>
            </w:r>
            <w:r w:rsidR="00836320">
              <w:rPr>
                <w:rFonts w:ascii="Times New Roman" w:hAnsi="Times New Roman" w:cs="Times New Roman"/>
                <w:sz w:val="18"/>
                <w:szCs w:val="18"/>
                <w:lang w:val="en-GB"/>
              </w:rPr>
              <w:t xml:space="preserve"> cases to the legal aid centres</w:t>
            </w:r>
          </w:p>
        </w:tc>
      </w:tr>
      <w:tr w:rsidR="0052472B" w:rsidRPr="00647752" w:rsidTr="0024622E">
        <w:trPr>
          <w:jc w:val="center"/>
        </w:trPr>
        <w:tc>
          <w:tcPr>
            <w:tcW w:w="3752" w:type="dxa"/>
          </w:tcPr>
          <w:p w:rsidR="0052472B" w:rsidRPr="009433D0" w:rsidRDefault="0052472B" w:rsidP="00FB6759">
            <w:pPr>
              <w:rPr>
                <w:rFonts w:ascii="Times New Roman" w:hAnsi="Times New Roman" w:cs="Times New Roman"/>
                <w:i/>
                <w:sz w:val="18"/>
                <w:szCs w:val="18"/>
                <w:lang w:val="en-GB"/>
              </w:rPr>
            </w:pPr>
            <w:r w:rsidRPr="009433D0">
              <w:rPr>
                <w:rFonts w:ascii="Times New Roman" w:hAnsi="Times New Roman" w:cs="Times New Roman"/>
                <w:i/>
                <w:sz w:val="18"/>
                <w:szCs w:val="18"/>
                <w:lang w:val="en-GB"/>
              </w:rPr>
              <w:t>UNDP</w:t>
            </w:r>
            <w:r w:rsidR="00E766DC" w:rsidRPr="009433D0">
              <w:rPr>
                <w:rFonts w:ascii="Times New Roman" w:hAnsi="Times New Roman" w:cs="Times New Roman"/>
                <w:i/>
                <w:sz w:val="18"/>
                <w:szCs w:val="18"/>
                <w:lang w:val="en-GB"/>
              </w:rPr>
              <w:t>/PAPP’s Rule of Law &amp;</w:t>
            </w:r>
            <w:r w:rsidRPr="009433D0">
              <w:rPr>
                <w:rFonts w:ascii="Times New Roman" w:hAnsi="Times New Roman" w:cs="Times New Roman"/>
                <w:i/>
                <w:sz w:val="18"/>
                <w:szCs w:val="18"/>
                <w:lang w:val="en-GB"/>
              </w:rPr>
              <w:t xml:space="preserve"> Access to Justice Programme</w:t>
            </w:r>
          </w:p>
        </w:tc>
        <w:tc>
          <w:tcPr>
            <w:tcW w:w="2430" w:type="dxa"/>
          </w:tcPr>
          <w:p w:rsidR="0052472B" w:rsidRPr="00490531" w:rsidRDefault="000C369C" w:rsidP="00FB6759">
            <w:pPr>
              <w:rPr>
                <w:rFonts w:ascii="Times New Roman" w:hAnsi="Times New Roman" w:cs="Times New Roman"/>
                <w:sz w:val="18"/>
                <w:szCs w:val="18"/>
                <w:lang w:val="en-GB"/>
              </w:rPr>
            </w:pPr>
            <w:r w:rsidRPr="00E766DC">
              <w:rPr>
                <w:rFonts w:ascii="Times New Roman" w:hAnsi="Times New Roman" w:cs="Times New Roman"/>
                <w:i/>
                <w:sz w:val="18"/>
                <w:szCs w:val="18"/>
                <w:lang w:val="en-GB"/>
              </w:rPr>
              <w:t>Shari’a</w:t>
            </w:r>
            <w:r w:rsidR="00227679">
              <w:rPr>
                <w:rFonts w:ascii="Times New Roman" w:hAnsi="Times New Roman" w:cs="Times New Roman"/>
                <w:i/>
                <w:sz w:val="18"/>
                <w:szCs w:val="18"/>
                <w:lang w:val="en-GB"/>
              </w:rPr>
              <w:t xml:space="preserve"> </w:t>
            </w:r>
            <w:r w:rsidR="0052472B" w:rsidRPr="00490531">
              <w:rPr>
                <w:rFonts w:ascii="Times New Roman" w:hAnsi="Times New Roman" w:cs="Times New Roman"/>
                <w:sz w:val="18"/>
                <w:szCs w:val="18"/>
                <w:lang w:val="en-GB"/>
              </w:rPr>
              <w:t xml:space="preserve">court </w:t>
            </w:r>
            <w:r w:rsidR="00E766DC">
              <w:rPr>
                <w:rFonts w:ascii="Times New Roman" w:hAnsi="Times New Roman" w:cs="Times New Roman"/>
                <w:sz w:val="18"/>
                <w:szCs w:val="18"/>
                <w:lang w:val="en-GB"/>
              </w:rPr>
              <w:t>accountants (plus</w:t>
            </w:r>
            <w:r w:rsidR="00B32E9E" w:rsidRPr="00490531">
              <w:rPr>
                <w:rFonts w:ascii="Times New Roman" w:hAnsi="Times New Roman" w:cs="Times New Roman"/>
                <w:sz w:val="18"/>
                <w:szCs w:val="18"/>
                <w:lang w:val="en-GB"/>
              </w:rPr>
              <w:t xml:space="preserve"> awareness-raising for HJC judges) </w:t>
            </w:r>
          </w:p>
        </w:tc>
        <w:tc>
          <w:tcPr>
            <w:tcW w:w="3150" w:type="dxa"/>
          </w:tcPr>
          <w:p w:rsidR="0052472B" w:rsidRPr="00490531" w:rsidRDefault="0052472B" w:rsidP="00FB6759">
            <w:pPr>
              <w:rPr>
                <w:rFonts w:ascii="Times New Roman" w:hAnsi="Times New Roman" w:cs="Times New Roman"/>
                <w:sz w:val="18"/>
                <w:szCs w:val="18"/>
                <w:lang w:val="en-GB"/>
              </w:rPr>
            </w:pPr>
            <w:r w:rsidRPr="00490531">
              <w:rPr>
                <w:rFonts w:ascii="Times New Roman" w:hAnsi="Times New Roman" w:cs="Times New Roman"/>
                <w:sz w:val="18"/>
                <w:szCs w:val="18"/>
                <w:lang w:val="en-GB"/>
              </w:rPr>
              <w:t>Palestinian Maintenance Fund is now streamlined into the courts</w:t>
            </w:r>
          </w:p>
        </w:tc>
      </w:tr>
      <w:tr w:rsidR="0052472B" w:rsidRPr="00647752" w:rsidTr="0024622E">
        <w:trPr>
          <w:jc w:val="center"/>
        </w:trPr>
        <w:tc>
          <w:tcPr>
            <w:tcW w:w="3752" w:type="dxa"/>
          </w:tcPr>
          <w:p w:rsidR="0052472B" w:rsidRPr="009433D0" w:rsidRDefault="0052472B" w:rsidP="00FB6759">
            <w:pPr>
              <w:rPr>
                <w:rFonts w:ascii="Times New Roman" w:hAnsi="Times New Roman" w:cs="Times New Roman"/>
                <w:i/>
                <w:sz w:val="18"/>
                <w:szCs w:val="18"/>
                <w:lang w:val="en-GB"/>
              </w:rPr>
            </w:pPr>
            <w:r w:rsidRPr="009433D0">
              <w:rPr>
                <w:rFonts w:ascii="Times New Roman" w:hAnsi="Times New Roman" w:cs="Times New Roman"/>
                <w:i/>
                <w:sz w:val="18"/>
                <w:szCs w:val="18"/>
                <w:lang w:val="en-GB"/>
              </w:rPr>
              <w:t xml:space="preserve">Women’s Centre for </w:t>
            </w:r>
            <w:r w:rsidR="00E766DC" w:rsidRPr="009433D0">
              <w:rPr>
                <w:rFonts w:ascii="Times New Roman" w:hAnsi="Times New Roman" w:cs="Times New Roman"/>
                <w:i/>
                <w:sz w:val="18"/>
                <w:szCs w:val="18"/>
                <w:lang w:val="en-GB"/>
              </w:rPr>
              <w:t>Legal Aid and Counsel</w:t>
            </w:r>
            <w:r w:rsidR="00B32E9E" w:rsidRPr="009433D0">
              <w:rPr>
                <w:rFonts w:ascii="Times New Roman" w:hAnsi="Times New Roman" w:cs="Times New Roman"/>
                <w:i/>
                <w:sz w:val="18"/>
                <w:szCs w:val="18"/>
                <w:lang w:val="en-GB"/>
              </w:rPr>
              <w:t>ling</w:t>
            </w:r>
          </w:p>
        </w:tc>
        <w:tc>
          <w:tcPr>
            <w:tcW w:w="2430" w:type="dxa"/>
          </w:tcPr>
          <w:p w:rsidR="0052472B" w:rsidRPr="00490531" w:rsidRDefault="0052472B" w:rsidP="00FB6759">
            <w:pPr>
              <w:rPr>
                <w:rFonts w:ascii="Times New Roman" w:hAnsi="Times New Roman" w:cs="Times New Roman"/>
                <w:sz w:val="18"/>
                <w:szCs w:val="18"/>
                <w:lang w:val="en-GB"/>
              </w:rPr>
            </w:pPr>
            <w:r w:rsidRPr="00490531">
              <w:rPr>
                <w:rFonts w:ascii="Times New Roman" w:hAnsi="Times New Roman" w:cs="Times New Roman"/>
                <w:sz w:val="18"/>
                <w:szCs w:val="18"/>
                <w:lang w:val="en-GB"/>
              </w:rPr>
              <w:t>Vulnerable women impacted by the Personal Status Law</w:t>
            </w:r>
          </w:p>
        </w:tc>
        <w:tc>
          <w:tcPr>
            <w:tcW w:w="3150" w:type="dxa"/>
          </w:tcPr>
          <w:p w:rsidR="0052472B" w:rsidRPr="00490531" w:rsidRDefault="0052472B" w:rsidP="00FB6759">
            <w:pPr>
              <w:rPr>
                <w:rFonts w:ascii="Times New Roman" w:hAnsi="Times New Roman" w:cs="Times New Roman"/>
                <w:sz w:val="18"/>
                <w:szCs w:val="18"/>
                <w:lang w:val="en-GB"/>
              </w:rPr>
            </w:pPr>
            <w:r w:rsidRPr="00490531">
              <w:rPr>
                <w:rFonts w:ascii="Times New Roman" w:hAnsi="Times New Roman" w:cs="Times New Roman"/>
                <w:sz w:val="18"/>
                <w:szCs w:val="18"/>
                <w:lang w:val="en-GB"/>
              </w:rPr>
              <w:t xml:space="preserve">The number of women seeking legal aid to challenge aspects of the Personal Status Law is increasing. </w:t>
            </w:r>
          </w:p>
        </w:tc>
      </w:tr>
      <w:tr w:rsidR="009B0B63" w:rsidRPr="00647752" w:rsidTr="0024622E">
        <w:trPr>
          <w:jc w:val="center"/>
        </w:trPr>
        <w:tc>
          <w:tcPr>
            <w:tcW w:w="3752" w:type="dxa"/>
          </w:tcPr>
          <w:p w:rsidR="009B0B63" w:rsidRPr="009433D0" w:rsidRDefault="00E766DC" w:rsidP="00FB6759">
            <w:pPr>
              <w:rPr>
                <w:rFonts w:ascii="Times New Roman" w:hAnsi="Times New Roman" w:cs="Times New Roman"/>
                <w:i/>
                <w:sz w:val="18"/>
                <w:szCs w:val="18"/>
                <w:lang w:val="en-GB"/>
              </w:rPr>
            </w:pPr>
            <w:r w:rsidRPr="009433D0">
              <w:rPr>
                <w:rFonts w:ascii="Times New Roman" w:hAnsi="Times New Roman" w:cs="Times New Roman"/>
                <w:i/>
                <w:sz w:val="18"/>
                <w:szCs w:val="18"/>
                <w:lang w:val="en-GB"/>
              </w:rPr>
              <w:t>Birz</w:t>
            </w:r>
            <w:r w:rsidR="009B0B63" w:rsidRPr="009433D0">
              <w:rPr>
                <w:rFonts w:ascii="Times New Roman" w:hAnsi="Times New Roman" w:cs="Times New Roman"/>
                <w:i/>
                <w:sz w:val="18"/>
                <w:szCs w:val="18"/>
                <w:lang w:val="en-GB"/>
              </w:rPr>
              <w:t>e</w:t>
            </w:r>
            <w:r w:rsidRPr="009433D0">
              <w:rPr>
                <w:rFonts w:ascii="Times New Roman" w:hAnsi="Times New Roman" w:cs="Times New Roman"/>
                <w:i/>
                <w:sz w:val="18"/>
                <w:szCs w:val="18"/>
                <w:lang w:val="en-GB"/>
              </w:rPr>
              <w:t>i</w:t>
            </w:r>
            <w:r w:rsidR="009B0B63" w:rsidRPr="009433D0">
              <w:rPr>
                <w:rFonts w:ascii="Times New Roman" w:hAnsi="Times New Roman" w:cs="Times New Roman"/>
                <w:i/>
                <w:sz w:val="18"/>
                <w:szCs w:val="18"/>
                <w:lang w:val="en-GB"/>
              </w:rPr>
              <w:t>t University Institute of Women’s Studies</w:t>
            </w:r>
          </w:p>
        </w:tc>
        <w:tc>
          <w:tcPr>
            <w:tcW w:w="2430" w:type="dxa"/>
          </w:tcPr>
          <w:p w:rsidR="009B0B63" w:rsidRPr="00490531" w:rsidRDefault="00E766DC" w:rsidP="00FB6759">
            <w:pPr>
              <w:rPr>
                <w:rFonts w:ascii="Times New Roman" w:hAnsi="Times New Roman" w:cs="Times New Roman"/>
                <w:sz w:val="18"/>
                <w:szCs w:val="18"/>
                <w:lang w:val="en-GB"/>
              </w:rPr>
            </w:pPr>
            <w:r w:rsidRPr="00E766DC">
              <w:rPr>
                <w:rFonts w:ascii="Times New Roman" w:hAnsi="Times New Roman" w:cs="Times New Roman"/>
                <w:i/>
                <w:sz w:val="18"/>
                <w:szCs w:val="18"/>
                <w:lang w:val="en-GB"/>
              </w:rPr>
              <w:t>Shari’a</w:t>
            </w:r>
            <w:r>
              <w:rPr>
                <w:rFonts w:ascii="Times New Roman" w:hAnsi="Times New Roman" w:cs="Times New Roman"/>
                <w:sz w:val="18"/>
                <w:szCs w:val="18"/>
                <w:lang w:val="en-GB"/>
              </w:rPr>
              <w:t xml:space="preserve"> c</w:t>
            </w:r>
            <w:r w:rsidR="009B0B63" w:rsidRPr="00490531">
              <w:rPr>
                <w:rFonts w:ascii="Times New Roman" w:hAnsi="Times New Roman" w:cs="Times New Roman"/>
                <w:sz w:val="18"/>
                <w:szCs w:val="18"/>
                <w:lang w:val="en-GB"/>
              </w:rPr>
              <w:t>ourt judges from all over</w:t>
            </w:r>
            <w:r w:rsidR="00227679">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the </w:t>
            </w:r>
            <w:r w:rsidR="00DE216A" w:rsidRPr="00490531">
              <w:rPr>
                <w:rFonts w:ascii="Times New Roman" w:hAnsi="Times New Roman" w:cs="Times New Roman"/>
                <w:sz w:val="18"/>
                <w:szCs w:val="18"/>
                <w:lang w:val="en-GB"/>
              </w:rPr>
              <w:t>oPt</w:t>
            </w:r>
            <w:r w:rsidR="009B0B63" w:rsidRPr="00490531">
              <w:rPr>
                <w:rFonts w:ascii="Times New Roman" w:hAnsi="Times New Roman" w:cs="Times New Roman"/>
                <w:sz w:val="18"/>
                <w:szCs w:val="18"/>
                <w:lang w:val="en-GB"/>
              </w:rPr>
              <w:t>.</w:t>
            </w:r>
          </w:p>
        </w:tc>
        <w:tc>
          <w:tcPr>
            <w:tcW w:w="3150" w:type="dxa"/>
          </w:tcPr>
          <w:p w:rsidR="009B0B63" w:rsidRPr="00490531" w:rsidRDefault="00836320" w:rsidP="00FB6759">
            <w:pPr>
              <w:rPr>
                <w:rFonts w:ascii="Times New Roman" w:hAnsi="Times New Roman" w:cs="Times New Roman"/>
                <w:sz w:val="18"/>
                <w:szCs w:val="18"/>
                <w:lang w:val="en-GB"/>
              </w:rPr>
            </w:pPr>
            <w:r>
              <w:rPr>
                <w:rFonts w:ascii="Times New Roman" w:hAnsi="Times New Roman" w:cs="Times New Roman"/>
                <w:sz w:val="18"/>
                <w:szCs w:val="18"/>
                <w:lang w:val="en-GB"/>
              </w:rPr>
              <w:t>The UNDP supported conference organis</w:t>
            </w:r>
            <w:r w:rsidR="009B0B63" w:rsidRPr="00490531">
              <w:rPr>
                <w:rFonts w:ascii="Times New Roman" w:hAnsi="Times New Roman" w:cs="Times New Roman"/>
                <w:sz w:val="18"/>
                <w:szCs w:val="18"/>
                <w:lang w:val="en-GB"/>
              </w:rPr>
              <w:t xml:space="preserve">ed by Birzeit University on </w:t>
            </w:r>
            <w:r w:rsidR="009B0B63" w:rsidRPr="00E766DC">
              <w:rPr>
                <w:rFonts w:ascii="Times New Roman" w:hAnsi="Times New Roman" w:cs="Times New Roman"/>
                <w:i/>
                <w:sz w:val="18"/>
                <w:szCs w:val="18"/>
                <w:lang w:val="en-GB"/>
              </w:rPr>
              <w:t>Shari’a</w:t>
            </w:r>
            <w:r w:rsidR="00227679">
              <w:rPr>
                <w:rFonts w:ascii="Times New Roman" w:hAnsi="Times New Roman" w:cs="Times New Roman"/>
                <w:i/>
                <w:sz w:val="18"/>
                <w:szCs w:val="18"/>
                <w:lang w:val="en-GB"/>
              </w:rPr>
              <w:t xml:space="preserve"> </w:t>
            </w:r>
            <w:r w:rsidR="009B0B63" w:rsidRPr="00490531">
              <w:rPr>
                <w:rFonts w:ascii="Times New Roman" w:hAnsi="Times New Roman" w:cs="Times New Roman"/>
                <w:sz w:val="18"/>
                <w:szCs w:val="18"/>
                <w:lang w:val="en-GB"/>
              </w:rPr>
              <w:t xml:space="preserve">law directly influenced the Supreme </w:t>
            </w:r>
            <w:r w:rsidR="009B0B63" w:rsidRPr="00E766DC">
              <w:rPr>
                <w:rFonts w:ascii="Times New Roman" w:hAnsi="Times New Roman" w:cs="Times New Roman"/>
                <w:i/>
                <w:sz w:val="18"/>
                <w:szCs w:val="18"/>
                <w:lang w:val="en-GB"/>
              </w:rPr>
              <w:t>Shari’a</w:t>
            </w:r>
            <w:r w:rsidR="009B0B63" w:rsidRPr="00490531">
              <w:rPr>
                <w:rFonts w:ascii="Times New Roman" w:hAnsi="Times New Roman" w:cs="Times New Roman"/>
                <w:sz w:val="18"/>
                <w:szCs w:val="18"/>
                <w:lang w:val="en-GB"/>
              </w:rPr>
              <w:t xml:space="preserve"> Judge’s decision to issue changes on the interpretation of </w:t>
            </w:r>
            <w:r w:rsidR="009B0B63" w:rsidRPr="00E766DC">
              <w:rPr>
                <w:rFonts w:ascii="Times New Roman" w:hAnsi="Times New Roman" w:cs="Times New Roman"/>
                <w:i/>
                <w:sz w:val="18"/>
                <w:szCs w:val="18"/>
                <w:lang w:val="en-GB"/>
              </w:rPr>
              <w:t>Shari’a</w:t>
            </w:r>
            <w:r w:rsidR="009B0B63" w:rsidRPr="00490531">
              <w:rPr>
                <w:rFonts w:ascii="Times New Roman" w:hAnsi="Times New Roman" w:cs="Times New Roman"/>
                <w:sz w:val="18"/>
                <w:szCs w:val="18"/>
                <w:lang w:val="en-GB"/>
              </w:rPr>
              <w:t xml:space="preserve"> inheritance la</w:t>
            </w:r>
            <w:r>
              <w:rPr>
                <w:rFonts w:ascii="Times New Roman" w:hAnsi="Times New Roman" w:cs="Times New Roman"/>
                <w:sz w:val="18"/>
                <w:szCs w:val="18"/>
                <w:lang w:val="en-GB"/>
              </w:rPr>
              <w:t>w</w:t>
            </w:r>
          </w:p>
        </w:tc>
      </w:tr>
      <w:tr w:rsidR="0052472B" w:rsidRPr="00647752" w:rsidTr="0024622E">
        <w:trPr>
          <w:jc w:val="center"/>
        </w:trPr>
        <w:tc>
          <w:tcPr>
            <w:tcW w:w="3752" w:type="dxa"/>
          </w:tcPr>
          <w:p w:rsidR="0052472B" w:rsidRPr="009433D0" w:rsidRDefault="0052472B" w:rsidP="00FB6759">
            <w:pPr>
              <w:rPr>
                <w:rFonts w:ascii="Times New Roman" w:hAnsi="Times New Roman" w:cs="Times New Roman"/>
                <w:i/>
                <w:sz w:val="18"/>
                <w:szCs w:val="18"/>
                <w:lang w:val="en-GB"/>
              </w:rPr>
            </w:pPr>
            <w:r w:rsidRPr="009433D0">
              <w:rPr>
                <w:rFonts w:ascii="Times New Roman" w:hAnsi="Times New Roman" w:cs="Times New Roman"/>
                <w:i/>
                <w:sz w:val="18"/>
                <w:szCs w:val="18"/>
                <w:lang w:val="en-GB"/>
              </w:rPr>
              <w:t xml:space="preserve">PCATI  </w:t>
            </w:r>
          </w:p>
        </w:tc>
        <w:tc>
          <w:tcPr>
            <w:tcW w:w="2430" w:type="dxa"/>
          </w:tcPr>
          <w:p w:rsidR="0052472B" w:rsidRPr="00490531" w:rsidRDefault="0052472B" w:rsidP="00FB6759">
            <w:pPr>
              <w:rPr>
                <w:rFonts w:ascii="Times New Roman" w:hAnsi="Times New Roman" w:cs="Times New Roman"/>
                <w:sz w:val="18"/>
                <w:szCs w:val="18"/>
                <w:lang w:val="en-GB"/>
              </w:rPr>
            </w:pPr>
            <w:r w:rsidRPr="00490531">
              <w:rPr>
                <w:rFonts w:ascii="Times New Roman" w:hAnsi="Times New Roman" w:cs="Times New Roman"/>
                <w:sz w:val="18"/>
                <w:szCs w:val="18"/>
                <w:lang w:val="en-GB"/>
              </w:rPr>
              <w:t>Torture victims and the law enforcement authorities</w:t>
            </w:r>
          </w:p>
        </w:tc>
        <w:tc>
          <w:tcPr>
            <w:tcW w:w="3150" w:type="dxa"/>
          </w:tcPr>
          <w:p w:rsidR="0052472B" w:rsidRPr="00490531" w:rsidRDefault="00836320" w:rsidP="00FB6759">
            <w:pPr>
              <w:rPr>
                <w:rFonts w:ascii="Times New Roman" w:hAnsi="Times New Roman" w:cs="Times New Roman"/>
                <w:sz w:val="18"/>
                <w:szCs w:val="18"/>
                <w:lang w:val="en-GB"/>
              </w:rPr>
            </w:pPr>
            <w:r>
              <w:rPr>
                <w:rFonts w:ascii="Times New Roman" w:hAnsi="Times New Roman" w:cs="Times New Roman"/>
                <w:sz w:val="18"/>
                <w:szCs w:val="18"/>
                <w:lang w:val="en-GB"/>
              </w:rPr>
              <w:t xml:space="preserve">The Israeli </w:t>
            </w:r>
            <w:r w:rsidR="0052472B" w:rsidRPr="00490531">
              <w:rPr>
                <w:rFonts w:ascii="Times New Roman" w:hAnsi="Times New Roman" w:cs="Times New Roman"/>
                <w:sz w:val="18"/>
                <w:szCs w:val="18"/>
                <w:lang w:val="en-GB"/>
              </w:rPr>
              <w:t>authorities have changed the way that th</w:t>
            </w:r>
            <w:r>
              <w:rPr>
                <w:rFonts w:ascii="Times New Roman" w:hAnsi="Times New Roman" w:cs="Times New Roman"/>
                <w:sz w:val="18"/>
                <w:szCs w:val="18"/>
                <w:lang w:val="en-GB"/>
              </w:rPr>
              <w:t>ey investigate cases of torture</w:t>
            </w:r>
          </w:p>
        </w:tc>
      </w:tr>
      <w:tr w:rsidR="0052472B" w:rsidRPr="00647752" w:rsidTr="0024622E">
        <w:trPr>
          <w:jc w:val="center"/>
        </w:trPr>
        <w:tc>
          <w:tcPr>
            <w:tcW w:w="3752" w:type="dxa"/>
          </w:tcPr>
          <w:p w:rsidR="0052472B" w:rsidRPr="009433D0" w:rsidRDefault="00836320" w:rsidP="00FB6759">
            <w:pPr>
              <w:rPr>
                <w:rFonts w:ascii="Times New Roman" w:hAnsi="Times New Roman" w:cs="Times New Roman"/>
                <w:i/>
                <w:sz w:val="18"/>
                <w:szCs w:val="18"/>
                <w:lang w:val="en-GB"/>
              </w:rPr>
            </w:pPr>
            <w:r w:rsidRPr="009433D0">
              <w:rPr>
                <w:rFonts w:ascii="Times New Roman" w:hAnsi="Times New Roman" w:cs="Times New Roman"/>
                <w:i/>
                <w:sz w:val="18"/>
                <w:szCs w:val="18"/>
                <w:lang w:val="en-GB"/>
              </w:rPr>
              <w:t>Save the Children/Sweden</w:t>
            </w:r>
          </w:p>
        </w:tc>
        <w:tc>
          <w:tcPr>
            <w:tcW w:w="2430" w:type="dxa"/>
          </w:tcPr>
          <w:p w:rsidR="0052472B" w:rsidRPr="00490531" w:rsidRDefault="0052472B" w:rsidP="00FB6759">
            <w:pPr>
              <w:rPr>
                <w:rFonts w:ascii="Times New Roman" w:hAnsi="Times New Roman" w:cs="Times New Roman"/>
                <w:sz w:val="18"/>
                <w:szCs w:val="18"/>
                <w:lang w:val="en-GB"/>
              </w:rPr>
            </w:pPr>
            <w:r w:rsidRPr="00490531">
              <w:rPr>
                <w:rFonts w:ascii="Times New Roman" w:hAnsi="Times New Roman" w:cs="Times New Roman"/>
                <w:sz w:val="18"/>
                <w:szCs w:val="18"/>
                <w:lang w:val="en-GB"/>
              </w:rPr>
              <w:t>Children detained and their families</w:t>
            </w:r>
          </w:p>
        </w:tc>
        <w:tc>
          <w:tcPr>
            <w:tcW w:w="3150" w:type="dxa"/>
          </w:tcPr>
          <w:p w:rsidR="0052472B" w:rsidRPr="00490531" w:rsidRDefault="0052472B" w:rsidP="00FB6759">
            <w:pPr>
              <w:rPr>
                <w:rFonts w:ascii="Times New Roman" w:hAnsi="Times New Roman" w:cs="Times New Roman"/>
                <w:sz w:val="18"/>
                <w:szCs w:val="18"/>
                <w:lang w:val="en-GB"/>
              </w:rPr>
            </w:pPr>
            <w:r w:rsidRPr="00490531">
              <w:rPr>
                <w:rFonts w:ascii="Times New Roman" w:hAnsi="Times New Roman" w:cs="Times New Roman"/>
                <w:sz w:val="18"/>
                <w:szCs w:val="18"/>
                <w:lang w:val="en-GB"/>
              </w:rPr>
              <w:t>Family calls to the l</w:t>
            </w:r>
            <w:r w:rsidR="00836320">
              <w:rPr>
                <w:rFonts w:ascii="Times New Roman" w:hAnsi="Times New Roman" w:cs="Times New Roman"/>
                <w:sz w:val="18"/>
                <w:szCs w:val="18"/>
                <w:lang w:val="en-GB"/>
              </w:rPr>
              <w:t>egal aid hotline are increasing</w:t>
            </w:r>
          </w:p>
        </w:tc>
      </w:tr>
      <w:tr w:rsidR="0052472B" w:rsidRPr="00647752" w:rsidTr="0024622E">
        <w:trPr>
          <w:jc w:val="center"/>
        </w:trPr>
        <w:tc>
          <w:tcPr>
            <w:tcW w:w="3752" w:type="dxa"/>
          </w:tcPr>
          <w:p w:rsidR="0052472B" w:rsidRPr="009433D0" w:rsidRDefault="0052472B" w:rsidP="00FB6759">
            <w:pPr>
              <w:rPr>
                <w:rFonts w:ascii="Times New Roman" w:hAnsi="Times New Roman" w:cs="Times New Roman"/>
                <w:i/>
                <w:sz w:val="18"/>
                <w:szCs w:val="18"/>
                <w:lang w:val="en-GB"/>
              </w:rPr>
            </w:pPr>
            <w:r w:rsidRPr="009433D0">
              <w:rPr>
                <w:rFonts w:ascii="Times New Roman" w:hAnsi="Times New Roman" w:cs="Times New Roman"/>
                <w:i/>
                <w:sz w:val="18"/>
                <w:szCs w:val="18"/>
                <w:lang w:val="en-GB"/>
              </w:rPr>
              <w:t>Save the Children</w:t>
            </w:r>
            <w:r w:rsidR="00836320" w:rsidRPr="009433D0">
              <w:rPr>
                <w:rFonts w:ascii="Times New Roman" w:hAnsi="Times New Roman" w:cs="Times New Roman"/>
                <w:i/>
                <w:sz w:val="18"/>
                <w:szCs w:val="18"/>
                <w:lang w:val="en-GB"/>
              </w:rPr>
              <w:t>/Sweden</w:t>
            </w:r>
          </w:p>
        </w:tc>
        <w:tc>
          <w:tcPr>
            <w:tcW w:w="2430" w:type="dxa"/>
          </w:tcPr>
          <w:p w:rsidR="0052472B" w:rsidRPr="00490531" w:rsidRDefault="00890C72" w:rsidP="00FB6759">
            <w:pPr>
              <w:rPr>
                <w:rFonts w:ascii="Times New Roman" w:hAnsi="Times New Roman" w:cs="Times New Roman"/>
                <w:sz w:val="18"/>
                <w:szCs w:val="18"/>
                <w:lang w:val="en-GB"/>
              </w:rPr>
            </w:pPr>
            <w:r w:rsidRPr="00490531">
              <w:rPr>
                <w:rFonts w:ascii="Times New Roman" w:hAnsi="Times New Roman" w:cs="Times New Roman"/>
                <w:sz w:val="18"/>
                <w:szCs w:val="18"/>
                <w:lang w:val="en-GB"/>
              </w:rPr>
              <w:t xml:space="preserve">Israeli </w:t>
            </w:r>
            <w:r w:rsidR="00836320">
              <w:rPr>
                <w:rFonts w:ascii="Times New Roman" w:hAnsi="Times New Roman" w:cs="Times New Roman"/>
                <w:sz w:val="18"/>
                <w:szCs w:val="18"/>
                <w:lang w:val="en-GB"/>
              </w:rPr>
              <w:t>g</w:t>
            </w:r>
            <w:r w:rsidR="0052472B" w:rsidRPr="00490531">
              <w:rPr>
                <w:rFonts w:ascii="Times New Roman" w:hAnsi="Times New Roman" w:cs="Times New Roman"/>
                <w:sz w:val="18"/>
                <w:szCs w:val="18"/>
                <w:lang w:val="en-GB"/>
              </w:rPr>
              <w:t>overnment officials</w:t>
            </w:r>
          </w:p>
        </w:tc>
        <w:tc>
          <w:tcPr>
            <w:tcW w:w="3150" w:type="dxa"/>
          </w:tcPr>
          <w:p w:rsidR="0052472B" w:rsidRPr="00490531" w:rsidRDefault="0052472B" w:rsidP="00FB6759">
            <w:pPr>
              <w:rPr>
                <w:rFonts w:ascii="Times New Roman" w:hAnsi="Times New Roman" w:cs="Times New Roman"/>
                <w:sz w:val="18"/>
                <w:szCs w:val="18"/>
                <w:lang w:val="en-GB"/>
              </w:rPr>
            </w:pPr>
            <w:r w:rsidRPr="00490531">
              <w:rPr>
                <w:rFonts w:ascii="Times New Roman" w:hAnsi="Times New Roman" w:cs="Times New Roman"/>
                <w:sz w:val="18"/>
                <w:szCs w:val="18"/>
                <w:lang w:val="en-GB"/>
              </w:rPr>
              <w:t xml:space="preserve">As a result of intense lobbying and </w:t>
            </w:r>
            <w:r w:rsidRPr="00490531">
              <w:rPr>
                <w:rFonts w:ascii="Times New Roman" w:hAnsi="Times New Roman" w:cs="Times New Roman"/>
                <w:sz w:val="18"/>
                <w:szCs w:val="18"/>
                <w:lang w:val="en-GB"/>
              </w:rPr>
              <w:lastRenderedPageBreak/>
              <w:t>awareness-raising, the age of adult criminal responsibility wa</w:t>
            </w:r>
            <w:r w:rsidR="00836320">
              <w:rPr>
                <w:rFonts w:ascii="Times New Roman" w:hAnsi="Times New Roman" w:cs="Times New Roman"/>
                <w:sz w:val="18"/>
                <w:szCs w:val="18"/>
                <w:lang w:val="en-GB"/>
              </w:rPr>
              <w:t>s raised from age 16 to age 18</w:t>
            </w:r>
          </w:p>
        </w:tc>
      </w:tr>
      <w:tr w:rsidR="009C5BDB" w:rsidRPr="00647752" w:rsidTr="0024622E">
        <w:trPr>
          <w:jc w:val="center"/>
        </w:trPr>
        <w:tc>
          <w:tcPr>
            <w:tcW w:w="3752" w:type="dxa"/>
          </w:tcPr>
          <w:p w:rsidR="009C5BDB" w:rsidRPr="009433D0" w:rsidRDefault="009C5BDB" w:rsidP="00FB6759">
            <w:pPr>
              <w:jc w:val="both"/>
              <w:rPr>
                <w:rFonts w:ascii="Times New Roman" w:hAnsi="Times New Roman" w:cs="Times New Roman"/>
                <w:i/>
                <w:sz w:val="18"/>
                <w:szCs w:val="18"/>
                <w:lang w:val="en-GB"/>
              </w:rPr>
            </w:pPr>
            <w:r w:rsidRPr="009433D0">
              <w:rPr>
                <w:rFonts w:ascii="Times New Roman" w:hAnsi="Times New Roman" w:cs="Times New Roman"/>
                <w:i/>
                <w:sz w:val="18"/>
                <w:szCs w:val="18"/>
                <w:lang w:val="en-GB"/>
              </w:rPr>
              <w:lastRenderedPageBreak/>
              <w:t>Btselem</w:t>
            </w:r>
          </w:p>
        </w:tc>
        <w:tc>
          <w:tcPr>
            <w:tcW w:w="2430" w:type="dxa"/>
          </w:tcPr>
          <w:p w:rsidR="009C5BDB" w:rsidRPr="00E766DC" w:rsidRDefault="00836320" w:rsidP="00FB6759">
            <w:pPr>
              <w:rPr>
                <w:rFonts w:ascii="Times New Roman" w:hAnsi="Times New Roman" w:cs="Times New Roman"/>
                <w:sz w:val="18"/>
                <w:szCs w:val="18"/>
                <w:lang w:val="en-GB"/>
              </w:rPr>
            </w:pPr>
            <w:r>
              <w:rPr>
                <w:rFonts w:ascii="Times New Roman" w:hAnsi="Times New Roman" w:cs="Times New Roman"/>
                <w:sz w:val="18"/>
                <w:szCs w:val="18"/>
                <w:lang w:val="en-GB"/>
              </w:rPr>
              <w:t xml:space="preserve">Israeli policy makers and </w:t>
            </w:r>
            <w:r w:rsidR="009433D0">
              <w:rPr>
                <w:rFonts w:ascii="Times New Roman" w:hAnsi="Times New Roman" w:cs="Times New Roman"/>
                <w:sz w:val="18"/>
                <w:szCs w:val="18"/>
                <w:lang w:val="en-GB"/>
              </w:rPr>
              <w:t>D</w:t>
            </w:r>
            <w:r w:rsidR="009433D0" w:rsidRPr="00E766DC">
              <w:rPr>
                <w:rFonts w:ascii="Times New Roman" w:hAnsi="Times New Roman" w:cs="Times New Roman"/>
                <w:sz w:val="18"/>
                <w:szCs w:val="18"/>
                <w:lang w:val="en-GB"/>
              </w:rPr>
              <w:t>iaspora</w:t>
            </w:r>
            <w:r w:rsidR="009C5BDB" w:rsidRPr="00E766DC">
              <w:rPr>
                <w:rFonts w:ascii="Times New Roman" w:hAnsi="Times New Roman" w:cs="Times New Roman"/>
                <w:sz w:val="18"/>
                <w:szCs w:val="18"/>
                <w:lang w:val="en-GB"/>
              </w:rPr>
              <w:t xml:space="preserve"> in the USA</w:t>
            </w:r>
          </w:p>
        </w:tc>
        <w:tc>
          <w:tcPr>
            <w:tcW w:w="3150" w:type="dxa"/>
          </w:tcPr>
          <w:p w:rsidR="009C5BDB" w:rsidRPr="00E766DC" w:rsidRDefault="009C5BDB" w:rsidP="00FB6759">
            <w:pPr>
              <w:rPr>
                <w:rFonts w:ascii="Times New Roman" w:hAnsi="Times New Roman" w:cs="Times New Roman"/>
                <w:sz w:val="18"/>
                <w:szCs w:val="18"/>
                <w:lang w:val="en-GB"/>
              </w:rPr>
            </w:pPr>
            <w:r w:rsidRPr="00E766DC">
              <w:rPr>
                <w:rFonts w:ascii="Times New Roman" w:hAnsi="Times New Roman" w:cs="Times New Roman"/>
                <w:sz w:val="18"/>
                <w:szCs w:val="18"/>
                <w:lang w:val="en-GB"/>
              </w:rPr>
              <w:t>UNDP funding enabled a</w:t>
            </w:r>
            <w:r w:rsidR="00836320">
              <w:rPr>
                <w:rFonts w:ascii="Times New Roman" w:hAnsi="Times New Roman" w:cs="Times New Roman"/>
                <w:sz w:val="18"/>
                <w:szCs w:val="18"/>
                <w:lang w:val="en-GB"/>
              </w:rPr>
              <w:t>ll of the aspects of the organis</w:t>
            </w:r>
            <w:r w:rsidRPr="00E766DC">
              <w:rPr>
                <w:rFonts w:ascii="Times New Roman" w:hAnsi="Times New Roman" w:cs="Times New Roman"/>
                <w:sz w:val="18"/>
                <w:szCs w:val="18"/>
                <w:lang w:val="en-GB"/>
              </w:rPr>
              <w:t>ation to be enhanced, especially research and enhancing its new social media presence. UNDP support enabled Btselem to prepare a report on affects of the separation barrier o</w:t>
            </w:r>
            <w:r w:rsidR="00836320">
              <w:rPr>
                <w:rFonts w:ascii="Times New Roman" w:hAnsi="Times New Roman" w:cs="Times New Roman"/>
                <w:sz w:val="18"/>
                <w:szCs w:val="18"/>
                <w:lang w:val="en-GB"/>
              </w:rPr>
              <w:t>ver a 10 year period of time. Also produced a film</w:t>
            </w:r>
          </w:p>
        </w:tc>
      </w:tr>
      <w:tr w:rsidR="0052472B" w:rsidRPr="00647752" w:rsidTr="0024622E">
        <w:trPr>
          <w:jc w:val="center"/>
        </w:trPr>
        <w:tc>
          <w:tcPr>
            <w:tcW w:w="3752" w:type="dxa"/>
          </w:tcPr>
          <w:p w:rsidR="0052472B" w:rsidRPr="009433D0" w:rsidRDefault="00FF6E0A" w:rsidP="00FB6759">
            <w:pPr>
              <w:rPr>
                <w:rFonts w:ascii="Times New Roman" w:hAnsi="Times New Roman" w:cs="Times New Roman"/>
                <w:i/>
                <w:sz w:val="18"/>
                <w:szCs w:val="18"/>
                <w:lang w:val="en-GB"/>
              </w:rPr>
            </w:pPr>
            <w:r w:rsidRPr="009433D0">
              <w:rPr>
                <w:rFonts w:ascii="Times New Roman" w:hAnsi="Times New Roman" w:cs="Times New Roman"/>
                <w:i/>
                <w:sz w:val="18"/>
                <w:szCs w:val="18"/>
                <w:lang w:val="en-GB"/>
              </w:rPr>
              <w:t>JLAC</w:t>
            </w:r>
          </w:p>
        </w:tc>
        <w:tc>
          <w:tcPr>
            <w:tcW w:w="2430" w:type="dxa"/>
          </w:tcPr>
          <w:p w:rsidR="0052472B" w:rsidRPr="00490531" w:rsidRDefault="0052472B" w:rsidP="00FB6759">
            <w:pPr>
              <w:rPr>
                <w:rFonts w:ascii="Times New Roman" w:hAnsi="Times New Roman" w:cs="Times New Roman"/>
                <w:sz w:val="18"/>
                <w:szCs w:val="18"/>
                <w:lang w:val="en-GB"/>
              </w:rPr>
            </w:pPr>
            <w:r w:rsidRPr="00490531">
              <w:rPr>
                <w:rFonts w:ascii="Times New Roman" w:hAnsi="Times New Roman" w:cs="Times New Roman"/>
                <w:sz w:val="18"/>
                <w:szCs w:val="18"/>
                <w:lang w:val="en-GB"/>
              </w:rPr>
              <w:t>Victims of settler violence</w:t>
            </w:r>
          </w:p>
        </w:tc>
        <w:tc>
          <w:tcPr>
            <w:tcW w:w="3150" w:type="dxa"/>
          </w:tcPr>
          <w:p w:rsidR="0052472B" w:rsidRPr="00490531" w:rsidRDefault="0052472B" w:rsidP="00FB6759">
            <w:pPr>
              <w:rPr>
                <w:rFonts w:ascii="Times New Roman" w:hAnsi="Times New Roman" w:cs="Times New Roman"/>
                <w:sz w:val="18"/>
                <w:szCs w:val="18"/>
                <w:lang w:val="en-GB"/>
              </w:rPr>
            </w:pPr>
            <w:r w:rsidRPr="00490531">
              <w:rPr>
                <w:rFonts w:ascii="Times New Roman" w:hAnsi="Times New Roman" w:cs="Times New Roman"/>
                <w:sz w:val="18"/>
                <w:szCs w:val="18"/>
                <w:lang w:val="en-GB"/>
              </w:rPr>
              <w:t>More victims are documenting abuse and filing complain</w:t>
            </w:r>
            <w:r w:rsidR="00836320">
              <w:rPr>
                <w:rFonts w:ascii="Times New Roman" w:hAnsi="Times New Roman" w:cs="Times New Roman"/>
                <w:sz w:val="18"/>
                <w:szCs w:val="18"/>
                <w:lang w:val="en-GB"/>
              </w:rPr>
              <w:t>ts regarding settler violence; s</w:t>
            </w:r>
            <w:r w:rsidRPr="00490531">
              <w:rPr>
                <w:rFonts w:ascii="Times New Roman" w:hAnsi="Times New Roman" w:cs="Times New Roman"/>
                <w:sz w:val="18"/>
                <w:szCs w:val="18"/>
                <w:lang w:val="en-GB"/>
              </w:rPr>
              <w:t>ettler community is more h</w:t>
            </w:r>
            <w:r w:rsidR="00836320">
              <w:rPr>
                <w:rFonts w:ascii="Times New Roman" w:hAnsi="Times New Roman" w:cs="Times New Roman"/>
                <w:sz w:val="18"/>
                <w:szCs w:val="18"/>
                <w:lang w:val="en-GB"/>
              </w:rPr>
              <w:t>esitant to violate rights</w:t>
            </w:r>
            <w:r w:rsidRPr="00490531">
              <w:rPr>
                <w:rFonts w:ascii="Times New Roman" w:hAnsi="Times New Roman" w:cs="Times New Roman"/>
                <w:sz w:val="18"/>
                <w:szCs w:val="18"/>
                <w:lang w:val="en-GB"/>
              </w:rPr>
              <w:t>; rates of settler violence were lower</w:t>
            </w:r>
            <w:r w:rsidR="00836320">
              <w:rPr>
                <w:rFonts w:ascii="Times New Roman" w:hAnsi="Times New Roman" w:cs="Times New Roman"/>
                <w:sz w:val="18"/>
                <w:szCs w:val="18"/>
                <w:lang w:val="en-GB"/>
              </w:rPr>
              <w:t xml:space="preserve"> during the 2012 olive harvest</w:t>
            </w:r>
          </w:p>
        </w:tc>
      </w:tr>
      <w:tr w:rsidR="0052472B" w:rsidRPr="00647752" w:rsidTr="0024622E">
        <w:trPr>
          <w:jc w:val="center"/>
        </w:trPr>
        <w:tc>
          <w:tcPr>
            <w:tcW w:w="3752" w:type="dxa"/>
          </w:tcPr>
          <w:p w:rsidR="0052472B" w:rsidRPr="009433D0" w:rsidRDefault="0052472B" w:rsidP="00FB6759">
            <w:pPr>
              <w:rPr>
                <w:rFonts w:ascii="Times New Roman" w:hAnsi="Times New Roman" w:cs="Times New Roman"/>
                <w:i/>
                <w:sz w:val="18"/>
                <w:szCs w:val="18"/>
                <w:lang w:val="en-GB"/>
              </w:rPr>
            </w:pPr>
            <w:r w:rsidRPr="009433D0">
              <w:rPr>
                <w:rFonts w:ascii="Times New Roman" w:hAnsi="Times New Roman" w:cs="Times New Roman"/>
                <w:i/>
                <w:sz w:val="18"/>
                <w:szCs w:val="18"/>
                <w:lang w:val="en-GB"/>
              </w:rPr>
              <w:t>DWRCP</w:t>
            </w:r>
          </w:p>
        </w:tc>
        <w:tc>
          <w:tcPr>
            <w:tcW w:w="2430" w:type="dxa"/>
          </w:tcPr>
          <w:p w:rsidR="0052472B" w:rsidRPr="00490531" w:rsidRDefault="0052472B" w:rsidP="00FB6759">
            <w:pPr>
              <w:rPr>
                <w:rFonts w:ascii="Times New Roman" w:hAnsi="Times New Roman" w:cs="Times New Roman"/>
                <w:sz w:val="18"/>
                <w:szCs w:val="18"/>
                <w:lang w:val="en-GB"/>
              </w:rPr>
            </w:pPr>
            <w:r w:rsidRPr="00490531">
              <w:rPr>
                <w:rFonts w:ascii="Times New Roman" w:hAnsi="Times New Roman" w:cs="Times New Roman"/>
                <w:sz w:val="18"/>
                <w:szCs w:val="18"/>
                <w:lang w:val="en-GB"/>
              </w:rPr>
              <w:t>Victims of wrongful termination at place of their employment</w:t>
            </w:r>
            <w:r w:rsidR="00836320">
              <w:rPr>
                <w:rFonts w:ascii="Times New Roman" w:hAnsi="Times New Roman" w:cs="Times New Roman"/>
                <w:sz w:val="18"/>
                <w:szCs w:val="18"/>
                <w:lang w:val="en-GB"/>
              </w:rPr>
              <w:t xml:space="preserve"> (i.e. hospital cleaning staff)</w:t>
            </w:r>
          </w:p>
        </w:tc>
        <w:tc>
          <w:tcPr>
            <w:tcW w:w="3150" w:type="dxa"/>
          </w:tcPr>
          <w:p w:rsidR="0052472B" w:rsidRPr="00490531" w:rsidRDefault="0052472B" w:rsidP="00FB6759">
            <w:pPr>
              <w:rPr>
                <w:rFonts w:ascii="Times New Roman" w:hAnsi="Times New Roman" w:cs="Times New Roman"/>
                <w:sz w:val="18"/>
                <w:szCs w:val="18"/>
                <w:lang w:val="en-GB"/>
              </w:rPr>
            </w:pPr>
            <w:r w:rsidRPr="00490531">
              <w:rPr>
                <w:rFonts w:ascii="Times New Roman" w:hAnsi="Times New Roman" w:cs="Times New Roman"/>
                <w:sz w:val="18"/>
                <w:szCs w:val="18"/>
                <w:lang w:val="en-GB"/>
              </w:rPr>
              <w:t xml:space="preserve">Cleaning staff was convinced to petition the Ministry of </w:t>
            </w:r>
            <w:r w:rsidR="008A72EB" w:rsidRPr="00490531">
              <w:rPr>
                <w:rFonts w:ascii="Times New Roman" w:hAnsi="Times New Roman" w:cs="Times New Roman"/>
                <w:sz w:val="18"/>
                <w:szCs w:val="18"/>
                <w:lang w:val="en-GB"/>
              </w:rPr>
              <w:t>Labo</w:t>
            </w:r>
            <w:r w:rsidR="00E766DC">
              <w:rPr>
                <w:rFonts w:ascii="Times New Roman" w:hAnsi="Times New Roman" w:cs="Times New Roman"/>
                <w:sz w:val="18"/>
                <w:szCs w:val="18"/>
                <w:lang w:val="en-GB"/>
              </w:rPr>
              <w:t>u</w:t>
            </w:r>
            <w:r w:rsidR="008A72EB" w:rsidRPr="00490531">
              <w:rPr>
                <w:rFonts w:ascii="Times New Roman" w:hAnsi="Times New Roman" w:cs="Times New Roman"/>
                <w:sz w:val="18"/>
                <w:szCs w:val="18"/>
                <w:lang w:val="en-GB"/>
              </w:rPr>
              <w:t>r</w:t>
            </w:r>
            <w:r w:rsidRPr="00490531">
              <w:rPr>
                <w:rFonts w:ascii="Times New Roman" w:hAnsi="Times New Roman" w:cs="Times New Roman"/>
                <w:sz w:val="18"/>
                <w:szCs w:val="18"/>
                <w:lang w:val="en-GB"/>
              </w:rPr>
              <w:t xml:space="preserve"> and the procedures for severance pay w</w:t>
            </w:r>
            <w:r w:rsidR="00836320">
              <w:rPr>
                <w:rFonts w:ascii="Times New Roman" w:hAnsi="Times New Roman" w:cs="Times New Roman"/>
                <w:sz w:val="18"/>
                <w:szCs w:val="18"/>
                <w:lang w:val="en-GB"/>
              </w:rPr>
              <w:t>ere changed and severance paid.</w:t>
            </w:r>
          </w:p>
        </w:tc>
      </w:tr>
      <w:tr w:rsidR="0052472B" w:rsidRPr="00647752" w:rsidTr="0024622E">
        <w:trPr>
          <w:jc w:val="center"/>
        </w:trPr>
        <w:tc>
          <w:tcPr>
            <w:tcW w:w="3752" w:type="dxa"/>
          </w:tcPr>
          <w:p w:rsidR="0052472B" w:rsidRPr="009433D0" w:rsidRDefault="0052472B" w:rsidP="00FB6759">
            <w:pPr>
              <w:rPr>
                <w:rFonts w:ascii="Times New Roman" w:hAnsi="Times New Roman" w:cs="Times New Roman"/>
                <w:i/>
                <w:sz w:val="18"/>
                <w:szCs w:val="18"/>
                <w:lang w:val="en-GB"/>
              </w:rPr>
            </w:pPr>
            <w:r w:rsidRPr="009433D0">
              <w:rPr>
                <w:rFonts w:ascii="Times New Roman" w:hAnsi="Times New Roman" w:cs="Times New Roman"/>
                <w:i/>
                <w:sz w:val="18"/>
                <w:szCs w:val="18"/>
                <w:lang w:val="en-GB"/>
              </w:rPr>
              <w:t>P</w:t>
            </w:r>
            <w:r w:rsidR="00E766DC" w:rsidRPr="009433D0">
              <w:rPr>
                <w:rFonts w:ascii="Times New Roman" w:hAnsi="Times New Roman" w:cs="Times New Roman"/>
                <w:i/>
                <w:sz w:val="18"/>
                <w:szCs w:val="18"/>
                <w:lang w:val="en-GB"/>
              </w:rPr>
              <w:t>WWSD</w:t>
            </w:r>
          </w:p>
        </w:tc>
        <w:tc>
          <w:tcPr>
            <w:tcW w:w="2430" w:type="dxa"/>
          </w:tcPr>
          <w:p w:rsidR="0052472B" w:rsidRPr="00490531" w:rsidRDefault="0052472B" w:rsidP="00FB6759">
            <w:pPr>
              <w:rPr>
                <w:rFonts w:ascii="Times New Roman" w:hAnsi="Times New Roman" w:cs="Times New Roman"/>
                <w:sz w:val="18"/>
                <w:szCs w:val="18"/>
                <w:lang w:val="en-GB"/>
              </w:rPr>
            </w:pPr>
            <w:r w:rsidRPr="00490531">
              <w:rPr>
                <w:rFonts w:ascii="Times New Roman" w:hAnsi="Times New Roman" w:cs="Times New Roman"/>
                <w:sz w:val="18"/>
                <w:szCs w:val="18"/>
                <w:lang w:val="en-GB"/>
              </w:rPr>
              <w:t>Abused and divorced women</w:t>
            </w:r>
          </w:p>
        </w:tc>
        <w:tc>
          <w:tcPr>
            <w:tcW w:w="3150" w:type="dxa"/>
          </w:tcPr>
          <w:p w:rsidR="0052472B" w:rsidRPr="00490531" w:rsidRDefault="00836320" w:rsidP="00FB6759">
            <w:pPr>
              <w:rPr>
                <w:rFonts w:ascii="Times New Roman" w:hAnsi="Times New Roman" w:cs="Times New Roman"/>
                <w:sz w:val="18"/>
                <w:szCs w:val="18"/>
                <w:lang w:val="en-GB"/>
              </w:rPr>
            </w:pPr>
            <w:r>
              <w:rPr>
                <w:rFonts w:ascii="Times New Roman" w:hAnsi="Times New Roman" w:cs="Times New Roman"/>
                <w:sz w:val="18"/>
                <w:szCs w:val="18"/>
                <w:lang w:val="en-GB"/>
              </w:rPr>
              <w:t>Women in rural</w:t>
            </w:r>
            <w:r w:rsidR="0052472B" w:rsidRPr="00490531">
              <w:rPr>
                <w:rFonts w:ascii="Times New Roman" w:hAnsi="Times New Roman" w:cs="Times New Roman"/>
                <w:sz w:val="18"/>
                <w:szCs w:val="18"/>
                <w:lang w:val="en-GB"/>
              </w:rPr>
              <w:t xml:space="preserve"> areas of the West Bank are using the </w:t>
            </w:r>
            <w:r w:rsidR="00E766DC" w:rsidRPr="00E766DC">
              <w:rPr>
                <w:rFonts w:ascii="Times New Roman" w:hAnsi="Times New Roman" w:cs="Times New Roman"/>
                <w:i/>
                <w:sz w:val="18"/>
                <w:szCs w:val="18"/>
                <w:lang w:val="en-GB"/>
              </w:rPr>
              <w:t>s</w:t>
            </w:r>
            <w:r w:rsidR="000C369C" w:rsidRPr="00E766DC">
              <w:rPr>
                <w:rFonts w:ascii="Times New Roman" w:hAnsi="Times New Roman" w:cs="Times New Roman"/>
                <w:i/>
                <w:sz w:val="18"/>
                <w:szCs w:val="18"/>
                <w:lang w:val="en-GB"/>
              </w:rPr>
              <w:t>hari’a</w:t>
            </w:r>
            <w:r>
              <w:rPr>
                <w:rFonts w:ascii="Times New Roman" w:hAnsi="Times New Roman" w:cs="Times New Roman"/>
                <w:sz w:val="18"/>
                <w:szCs w:val="18"/>
                <w:lang w:val="en-GB"/>
              </w:rPr>
              <w:t xml:space="preserve"> courts more frequently</w:t>
            </w:r>
          </w:p>
        </w:tc>
      </w:tr>
      <w:tr w:rsidR="0052472B" w:rsidRPr="00647752" w:rsidTr="0024622E">
        <w:trPr>
          <w:jc w:val="center"/>
        </w:trPr>
        <w:tc>
          <w:tcPr>
            <w:tcW w:w="3752" w:type="dxa"/>
          </w:tcPr>
          <w:p w:rsidR="0052472B" w:rsidRPr="009433D0" w:rsidRDefault="0052472B" w:rsidP="00FB6759">
            <w:pPr>
              <w:rPr>
                <w:rFonts w:ascii="Times New Roman" w:hAnsi="Times New Roman" w:cs="Times New Roman"/>
                <w:i/>
                <w:sz w:val="18"/>
                <w:szCs w:val="18"/>
                <w:lang w:val="en-GB"/>
              </w:rPr>
            </w:pPr>
            <w:r w:rsidRPr="009433D0">
              <w:rPr>
                <w:rFonts w:ascii="Times New Roman" w:hAnsi="Times New Roman" w:cs="Times New Roman"/>
                <w:i/>
                <w:sz w:val="18"/>
                <w:szCs w:val="18"/>
                <w:lang w:val="en-GB"/>
              </w:rPr>
              <w:t>Shams</w:t>
            </w:r>
          </w:p>
        </w:tc>
        <w:tc>
          <w:tcPr>
            <w:tcW w:w="2430" w:type="dxa"/>
          </w:tcPr>
          <w:p w:rsidR="0052472B" w:rsidRPr="00490531" w:rsidRDefault="0052472B" w:rsidP="00FB6759">
            <w:pPr>
              <w:rPr>
                <w:rFonts w:ascii="Times New Roman" w:hAnsi="Times New Roman" w:cs="Times New Roman"/>
                <w:sz w:val="18"/>
                <w:szCs w:val="18"/>
                <w:lang w:val="en-GB"/>
              </w:rPr>
            </w:pPr>
            <w:r w:rsidRPr="00490531">
              <w:rPr>
                <w:rFonts w:ascii="Times New Roman" w:hAnsi="Times New Roman" w:cs="Times New Roman"/>
                <w:sz w:val="18"/>
                <w:szCs w:val="18"/>
                <w:lang w:val="en-GB"/>
              </w:rPr>
              <w:t>Various groups of students</w:t>
            </w:r>
          </w:p>
        </w:tc>
        <w:tc>
          <w:tcPr>
            <w:tcW w:w="3150" w:type="dxa"/>
          </w:tcPr>
          <w:p w:rsidR="0052472B" w:rsidRPr="00490531" w:rsidRDefault="0052472B" w:rsidP="00FB6759">
            <w:pPr>
              <w:rPr>
                <w:rFonts w:ascii="Times New Roman" w:hAnsi="Times New Roman" w:cs="Times New Roman"/>
                <w:sz w:val="18"/>
                <w:szCs w:val="18"/>
                <w:lang w:val="en-GB"/>
              </w:rPr>
            </w:pPr>
            <w:r w:rsidRPr="00490531">
              <w:rPr>
                <w:rFonts w:ascii="Times New Roman" w:hAnsi="Times New Roman" w:cs="Times New Roman"/>
                <w:sz w:val="18"/>
                <w:szCs w:val="18"/>
                <w:lang w:val="en-GB"/>
              </w:rPr>
              <w:t>Students are more aware of concepts of human rights and rule of law and have pr</w:t>
            </w:r>
            <w:r w:rsidR="00836320">
              <w:rPr>
                <w:rFonts w:ascii="Times New Roman" w:hAnsi="Times New Roman" w:cs="Times New Roman"/>
                <w:sz w:val="18"/>
                <w:szCs w:val="18"/>
                <w:lang w:val="en-GB"/>
              </w:rPr>
              <w:t>oduced socially conscious media</w:t>
            </w:r>
          </w:p>
        </w:tc>
      </w:tr>
    </w:tbl>
    <w:p w:rsidR="00490531" w:rsidRPr="00836320" w:rsidRDefault="00490531" w:rsidP="00FB6759">
      <w:pPr>
        <w:spacing w:after="0" w:line="240" w:lineRule="auto"/>
        <w:rPr>
          <w:rFonts w:ascii="Times New Roman" w:hAnsi="Times New Roman" w:cs="Times New Roman"/>
          <w:i/>
          <w:sz w:val="22"/>
          <w:szCs w:val="22"/>
        </w:rPr>
      </w:pPr>
    </w:p>
    <w:p w:rsidR="001803F2" w:rsidRPr="00647752" w:rsidRDefault="001B232E" w:rsidP="00FB6759">
      <w:pPr>
        <w:spacing w:after="0" w:line="240" w:lineRule="auto"/>
        <w:rPr>
          <w:rFonts w:ascii="Times New Roman" w:hAnsi="Times New Roman" w:cs="Times New Roman"/>
          <w:i/>
          <w:sz w:val="22"/>
          <w:szCs w:val="22"/>
          <w:lang w:val="en-GB"/>
        </w:rPr>
      </w:pPr>
      <w:r w:rsidRPr="00647752">
        <w:rPr>
          <w:rFonts w:ascii="Times New Roman" w:hAnsi="Times New Roman" w:cs="Times New Roman"/>
          <w:i/>
          <w:sz w:val="22"/>
          <w:szCs w:val="22"/>
          <w:lang w:val="en-GB"/>
        </w:rPr>
        <w:t>Awareness and advocacy for w</w:t>
      </w:r>
      <w:r w:rsidR="001803F2" w:rsidRPr="00647752">
        <w:rPr>
          <w:rFonts w:ascii="Times New Roman" w:hAnsi="Times New Roman" w:cs="Times New Roman"/>
          <w:i/>
          <w:sz w:val="22"/>
          <w:szCs w:val="22"/>
          <w:lang w:val="en-GB"/>
        </w:rPr>
        <w:t>omen’s rights</w:t>
      </w:r>
    </w:p>
    <w:p w:rsidR="00490531" w:rsidRDefault="00490531" w:rsidP="00FB6759">
      <w:pPr>
        <w:spacing w:after="0" w:line="240" w:lineRule="auto"/>
        <w:jc w:val="both"/>
        <w:rPr>
          <w:rFonts w:ascii="Times New Roman" w:hAnsi="Times New Roman" w:cs="Times New Roman"/>
          <w:sz w:val="22"/>
          <w:szCs w:val="22"/>
          <w:lang w:val="en-GB"/>
        </w:rPr>
      </w:pPr>
    </w:p>
    <w:p w:rsidR="003F2334" w:rsidRPr="00647752" w:rsidRDefault="001B232E"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 xml:space="preserve">Women have been the primary beneficiaries of UNDP supported awareness-raising. </w:t>
      </w:r>
      <w:r w:rsidR="001E75B4" w:rsidRPr="00647752">
        <w:rPr>
          <w:rFonts w:ascii="Times New Roman" w:hAnsi="Times New Roman" w:cs="Times New Roman"/>
          <w:sz w:val="22"/>
          <w:szCs w:val="22"/>
          <w:lang w:val="en-GB"/>
        </w:rPr>
        <w:t xml:space="preserve">These activities </w:t>
      </w:r>
      <w:r w:rsidR="00836320">
        <w:rPr>
          <w:rFonts w:ascii="Times New Roman" w:hAnsi="Times New Roman" w:cs="Times New Roman"/>
          <w:sz w:val="22"/>
          <w:szCs w:val="22"/>
          <w:lang w:val="en-GB"/>
        </w:rPr>
        <w:t>intersect with UNDP efforts to improve gender justice under Outcome</w:t>
      </w:r>
      <w:r w:rsidR="001E75B4" w:rsidRPr="00647752">
        <w:rPr>
          <w:rFonts w:ascii="Times New Roman" w:hAnsi="Times New Roman" w:cs="Times New Roman"/>
          <w:sz w:val="22"/>
          <w:szCs w:val="22"/>
          <w:lang w:val="en-GB"/>
        </w:rPr>
        <w:t xml:space="preserve"> 3. </w:t>
      </w:r>
      <w:r w:rsidR="00836320">
        <w:rPr>
          <w:rFonts w:ascii="Times New Roman" w:hAnsi="Times New Roman" w:cs="Times New Roman"/>
          <w:sz w:val="22"/>
          <w:szCs w:val="22"/>
          <w:lang w:val="en-GB"/>
        </w:rPr>
        <w:t xml:space="preserve">For example, WCLAC </w:t>
      </w:r>
      <w:r w:rsidRPr="00647752">
        <w:rPr>
          <w:rFonts w:ascii="Times New Roman" w:hAnsi="Times New Roman" w:cs="Times New Roman"/>
          <w:sz w:val="22"/>
          <w:szCs w:val="22"/>
          <w:lang w:val="en-GB"/>
        </w:rPr>
        <w:t>has addressed problems with</w:t>
      </w:r>
      <w:r w:rsidR="00E73C18" w:rsidRPr="00647752">
        <w:rPr>
          <w:rFonts w:ascii="Times New Roman" w:hAnsi="Times New Roman" w:cs="Times New Roman"/>
          <w:sz w:val="22"/>
          <w:szCs w:val="22"/>
          <w:lang w:val="en-GB"/>
        </w:rPr>
        <w:t xml:space="preserve"> the Personal Status Law </w:t>
      </w:r>
      <w:r w:rsidR="00205E42" w:rsidRPr="00647752">
        <w:rPr>
          <w:rFonts w:ascii="Times New Roman" w:hAnsi="Times New Roman" w:cs="Times New Roman"/>
          <w:sz w:val="22"/>
          <w:szCs w:val="22"/>
          <w:lang w:val="en-GB"/>
        </w:rPr>
        <w:t xml:space="preserve">and </w:t>
      </w:r>
      <w:r w:rsidR="00136F05" w:rsidRPr="00647752">
        <w:rPr>
          <w:rFonts w:ascii="Times New Roman" w:hAnsi="Times New Roman" w:cs="Times New Roman"/>
          <w:sz w:val="22"/>
          <w:szCs w:val="22"/>
          <w:lang w:val="en-GB"/>
        </w:rPr>
        <w:t>distribute</w:t>
      </w:r>
      <w:r w:rsidR="00BD39FF">
        <w:rPr>
          <w:rFonts w:ascii="Times New Roman" w:hAnsi="Times New Roman" w:cs="Times New Roman"/>
          <w:sz w:val="22"/>
          <w:szCs w:val="22"/>
          <w:lang w:val="en-GB"/>
        </w:rPr>
        <w:t>d</w:t>
      </w:r>
      <w:r w:rsidR="00136F05" w:rsidRPr="00647752">
        <w:rPr>
          <w:rFonts w:ascii="Times New Roman" w:hAnsi="Times New Roman" w:cs="Times New Roman"/>
          <w:sz w:val="22"/>
          <w:szCs w:val="22"/>
          <w:lang w:val="en-GB"/>
        </w:rPr>
        <w:t xml:space="preserve"> information</w:t>
      </w:r>
      <w:r w:rsidR="00BD39FF">
        <w:rPr>
          <w:rFonts w:ascii="Times New Roman" w:hAnsi="Times New Roman" w:cs="Times New Roman"/>
          <w:sz w:val="22"/>
          <w:szCs w:val="22"/>
          <w:lang w:val="en-GB"/>
        </w:rPr>
        <w:t xml:space="preserve"> in small and remote communities, including in Arub refugee c</w:t>
      </w:r>
      <w:r w:rsidR="00136F05" w:rsidRPr="00647752">
        <w:rPr>
          <w:rFonts w:ascii="Times New Roman" w:hAnsi="Times New Roman" w:cs="Times New Roman"/>
          <w:sz w:val="22"/>
          <w:szCs w:val="22"/>
          <w:lang w:val="en-GB"/>
        </w:rPr>
        <w:t>amp</w:t>
      </w:r>
      <w:r w:rsidR="00836320">
        <w:rPr>
          <w:rFonts w:ascii="Times New Roman" w:hAnsi="Times New Roman" w:cs="Times New Roman"/>
          <w:sz w:val="22"/>
          <w:szCs w:val="22"/>
          <w:lang w:val="en-GB"/>
        </w:rPr>
        <w:t xml:space="preserve">. </w:t>
      </w:r>
      <w:r w:rsidR="003F2334" w:rsidRPr="00647752">
        <w:rPr>
          <w:rFonts w:ascii="Times New Roman" w:hAnsi="Times New Roman" w:cs="Times New Roman"/>
          <w:sz w:val="22"/>
          <w:szCs w:val="22"/>
          <w:lang w:val="en-GB"/>
        </w:rPr>
        <w:t xml:space="preserve">WCLAC </w:t>
      </w:r>
      <w:r w:rsidRPr="00647752">
        <w:rPr>
          <w:rFonts w:ascii="Times New Roman" w:hAnsi="Times New Roman" w:cs="Times New Roman"/>
          <w:sz w:val="22"/>
          <w:szCs w:val="22"/>
          <w:lang w:val="en-GB"/>
        </w:rPr>
        <w:t xml:space="preserve">trained a number of journalists and reporters on the Personal Status Law </w:t>
      </w:r>
      <w:r w:rsidR="00136F05" w:rsidRPr="00647752">
        <w:rPr>
          <w:rFonts w:ascii="Times New Roman" w:hAnsi="Times New Roman" w:cs="Times New Roman"/>
          <w:sz w:val="22"/>
          <w:szCs w:val="22"/>
          <w:lang w:val="en-GB"/>
        </w:rPr>
        <w:t>who are now in a</w:t>
      </w:r>
      <w:r w:rsidRPr="00647752">
        <w:rPr>
          <w:rFonts w:ascii="Times New Roman" w:hAnsi="Times New Roman" w:cs="Times New Roman"/>
          <w:sz w:val="22"/>
          <w:szCs w:val="22"/>
          <w:lang w:val="en-GB"/>
        </w:rPr>
        <w:t xml:space="preserve"> better position to write articles </w:t>
      </w:r>
      <w:r w:rsidR="00136F05" w:rsidRPr="00647752">
        <w:rPr>
          <w:rFonts w:ascii="Times New Roman" w:hAnsi="Times New Roman" w:cs="Times New Roman"/>
          <w:sz w:val="22"/>
          <w:szCs w:val="22"/>
          <w:lang w:val="en-GB"/>
        </w:rPr>
        <w:t>about the effects of the law on women.</w:t>
      </w:r>
      <w:r w:rsidR="007A6635" w:rsidRPr="00647752">
        <w:rPr>
          <w:rStyle w:val="FootnoteReference"/>
          <w:rFonts w:ascii="Times New Roman" w:hAnsi="Times New Roman" w:cs="Times New Roman"/>
          <w:sz w:val="22"/>
          <w:szCs w:val="22"/>
          <w:lang w:val="en-GB"/>
        </w:rPr>
        <w:footnoteReference w:id="132"/>
      </w:r>
    </w:p>
    <w:p w:rsidR="00490531" w:rsidRDefault="00490531" w:rsidP="00FB6759">
      <w:pPr>
        <w:spacing w:after="0" w:line="240" w:lineRule="auto"/>
        <w:jc w:val="both"/>
        <w:rPr>
          <w:rFonts w:ascii="Times New Roman" w:hAnsi="Times New Roman" w:cs="Times New Roman"/>
          <w:sz w:val="22"/>
          <w:szCs w:val="22"/>
          <w:lang w:val="en-GB"/>
        </w:rPr>
      </w:pPr>
    </w:p>
    <w:p w:rsidR="00BD39FF" w:rsidRDefault="00BD39FF"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The e</w:t>
      </w:r>
      <w:r w:rsidR="003C4797" w:rsidRPr="00647752">
        <w:rPr>
          <w:rFonts w:ascii="Times New Roman" w:hAnsi="Times New Roman" w:cs="Times New Roman"/>
          <w:sz w:val="22"/>
          <w:szCs w:val="22"/>
          <w:lang w:val="en-GB"/>
        </w:rPr>
        <w:t>valuation held focus groups with various groups of beneficiaries train</w:t>
      </w:r>
      <w:r w:rsidR="00C23C02" w:rsidRPr="00647752">
        <w:rPr>
          <w:rFonts w:ascii="Times New Roman" w:hAnsi="Times New Roman" w:cs="Times New Roman"/>
          <w:sz w:val="22"/>
          <w:szCs w:val="22"/>
          <w:lang w:val="en-GB"/>
        </w:rPr>
        <w:t xml:space="preserve">ed by </w:t>
      </w:r>
      <w:r w:rsidR="003F2334" w:rsidRPr="00647752">
        <w:rPr>
          <w:rFonts w:ascii="Times New Roman" w:hAnsi="Times New Roman" w:cs="Times New Roman"/>
          <w:sz w:val="22"/>
          <w:szCs w:val="22"/>
          <w:lang w:val="en-GB"/>
        </w:rPr>
        <w:t xml:space="preserve">WCLAC </w:t>
      </w:r>
      <w:r w:rsidR="00C23C02" w:rsidRPr="00647752">
        <w:rPr>
          <w:rFonts w:ascii="Times New Roman" w:hAnsi="Times New Roman" w:cs="Times New Roman"/>
          <w:sz w:val="22"/>
          <w:szCs w:val="22"/>
          <w:lang w:val="en-GB"/>
        </w:rPr>
        <w:t>that clearly documented an impact of</w:t>
      </w:r>
      <w:r w:rsidR="00836320">
        <w:rPr>
          <w:rFonts w:ascii="Times New Roman" w:hAnsi="Times New Roman" w:cs="Times New Roman"/>
          <w:sz w:val="22"/>
          <w:szCs w:val="22"/>
          <w:lang w:val="en-GB"/>
        </w:rPr>
        <w:t xml:space="preserve"> the trainings on their work. </w:t>
      </w:r>
      <w:r w:rsidR="003F2334" w:rsidRPr="00647752">
        <w:rPr>
          <w:rFonts w:ascii="Times New Roman" w:hAnsi="Times New Roman" w:cs="Times New Roman"/>
          <w:sz w:val="22"/>
          <w:szCs w:val="22"/>
          <w:lang w:val="en-GB"/>
        </w:rPr>
        <w:t>The beneficiaries stressed that UNDP should continue to support the development of advocacy groups for r</w:t>
      </w:r>
      <w:r w:rsidR="00836320">
        <w:rPr>
          <w:rFonts w:ascii="Times New Roman" w:hAnsi="Times New Roman" w:cs="Times New Roman"/>
          <w:sz w:val="22"/>
          <w:szCs w:val="22"/>
          <w:lang w:val="en-GB"/>
        </w:rPr>
        <w:t xml:space="preserve">emote areas of the West Bank. </w:t>
      </w:r>
      <w:r w:rsidR="003F2334" w:rsidRPr="00647752">
        <w:rPr>
          <w:rFonts w:ascii="Times New Roman" w:hAnsi="Times New Roman" w:cs="Times New Roman"/>
          <w:sz w:val="22"/>
          <w:szCs w:val="22"/>
          <w:lang w:val="en-GB"/>
        </w:rPr>
        <w:t xml:space="preserve">They also noted that enacting legislation that is </w:t>
      </w:r>
      <w:r>
        <w:rPr>
          <w:rFonts w:ascii="Times New Roman" w:hAnsi="Times New Roman" w:cs="Times New Roman"/>
          <w:sz w:val="22"/>
          <w:szCs w:val="22"/>
          <w:lang w:val="en-GB"/>
        </w:rPr>
        <w:t xml:space="preserve">favourable to women’s rights </w:t>
      </w:r>
      <w:r w:rsidR="003F2334" w:rsidRPr="00647752">
        <w:rPr>
          <w:rFonts w:ascii="Times New Roman" w:hAnsi="Times New Roman" w:cs="Times New Roman"/>
          <w:sz w:val="22"/>
          <w:szCs w:val="22"/>
          <w:lang w:val="en-GB"/>
        </w:rPr>
        <w:t>requires sustained engagement and should be done in partnership with the UNDP supported university legal aid clini</w:t>
      </w:r>
      <w:r>
        <w:rPr>
          <w:rFonts w:ascii="Times New Roman" w:hAnsi="Times New Roman" w:cs="Times New Roman"/>
          <w:sz w:val="22"/>
          <w:szCs w:val="22"/>
          <w:lang w:val="en-GB"/>
        </w:rPr>
        <w:t>cs.</w:t>
      </w:r>
    </w:p>
    <w:p w:rsidR="00BD39FF" w:rsidRDefault="00BD39FF" w:rsidP="00FB6759">
      <w:pPr>
        <w:spacing w:after="0" w:line="240" w:lineRule="auto"/>
        <w:jc w:val="both"/>
        <w:rPr>
          <w:rFonts w:ascii="Times New Roman" w:hAnsi="Times New Roman" w:cs="Times New Roman"/>
          <w:sz w:val="22"/>
          <w:szCs w:val="22"/>
          <w:lang w:val="en-GB"/>
        </w:rPr>
      </w:pPr>
    </w:p>
    <w:p w:rsidR="003060E4" w:rsidRPr="00647752" w:rsidRDefault="003F2334"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 xml:space="preserve">Training female members of the Palestinian </w:t>
      </w:r>
      <w:r w:rsidR="00BD39FF">
        <w:rPr>
          <w:rFonts w:ascii="Times New Roman" w:hAnsi="Times New Roman" w:cs="Times New Roman"/>
          <w:sz w:val="22"/>
          <w:szCs w:val="22"/>
          <w:lang w:val="en-GB"/>
        </w:rPr>
        <w:t>Legislative Council</w:t>
      </w:r>
      <w:r w:rsidRPr="00647752">
        <w:rPr>
          <w:rFonts w:ascii="Times New Roman" w:hAnsi="Times New Roman" w:cs="Times New Roman"/>
          <w:sz w:val="22"/>
          <w:szCs w:val="22"/>
          <w:lang w:val="en-GB"/>
        </w:rPr>
        <w:t xml:space="preserve"> is</w:t>
      </w:r>
      <w:r w:rsidR="00836320">
        <w:rPr>
          <w:rFonts w:ascii="Times New Roman" w:hAnsi="Times New Roman" w:cs="Times New Roman"/>
          <w:sz w:val="22"/>
          <w:szCs w:val="22"/>
          <w:lang w:val="en-GB"/>
        </w:rPr>
        <w:t xml:space="preserve"> another part of the equation. </w:t>
      </w:r>
      <w:r w:rsidRPr="00647752">
        <w:rPr>
          <w:rFonts w:ascii="Times New Roman" w:hAnsi="Times New Roman" w:cs="Times New Roman"/>
          <w:sz w:val="22"/>
          <w:szCs w:val="22"/>
          <w:lang w:val="en-GB"/>
        </w:rPr>
        <w:t xml:space="preserve">Additionally, </w:t>
      </w:r>
      <w:r w:rsidR="009647E8" w:rsidRPr="00647752">
        <w:rPr>
          <w:rFonts w:ascii="Times New Roman" w:hAnsi="Times New Roman" w:cs="Times New Roman"/>
          <w:sz w:val="22"/>
          <w:szCs w:val="22"/>
          <w:lang w:val="en-GB"/>
        </w:rPr>
        <w:t>the CSOs expressed a need to broaden the awareness-raising to include more health care institutions and link free legal aid with free healt</w:t>
      </w:r>
      <w:r w:rsidR="00836320">
        <w:rPr>
          <w:rFonts w:ascii="Times New Roman" w:hAnsi="Times New Roman" w:cs="Times New Roman"/>
          <w:sz w:val="22"/>
          <w:szCs w:val="22"/>
          <w:lang w:val="en-GB"/>
        </w:rPr>
        <w:t xml:space="preserve">h care for women. </w:t>
      </w:r>
      <w:r w:rsidR="009647E8" w:rsidRPr="00647752">
        <w:rPr>
          <w:rFonts w:ascii="Times New Roman" w:hAnsi="Times New Roman" w:cs="Times New Roman"/>
          <w:sz w:val="22"/>
          <w:szCs w:val="22"/>
          <w:lang w:val="en-GB"/>
        </w:rPr>
        <w:t xml:space="preserve">Within the cultural context of </w:t>
      </w:r>
      <w:r w:rsidR="00BD39FF">
        <w:rPr>
          <w:rFonts w:ascii="Times New Roman" w:hAnsi="Times New Roman" w:cs="Times New Roman"/>
          <w:sz w:val="22"/>
          <w:szCs w:val="22"/>
          <w:lang w:val="en-GB"/>
        </w:rPr>
        <w:t xml:space="preserve">the </w:t>
      </w:r>
      <w:r w:rsidR="00DE216A" w:rsidRPr="00647752">
        <w:rPr>
          <w:rFonts w:ascii="Times New Roman" w:hAnsi="Times New Roman" w:cs="Times New Roman"/>
          <w:sz w:val="22"/>
          <w:szCs w:val="22"/>
          <w:lang w:val="en-GB"/>
        </w:rPr>
        <w:t>oPt</w:t>
      </w:r>
      <w:r w:rsidR="009647E8" w:rsidRPr="00647752">
        <w:rPr>
          <w:rFonts w:ascii="Times New Roman" w:hAnsi="Times New Roman" w:cs="Times New Roman"/>
          <w:sz w:val="22"/>
          <w:szCs w:val="22"/>
          <w:lang w:val="en-GB"/>
        </w:rPr>
        <w:t>, group meetings and live trainings for women are still viewed as the best way to increase awareness, but publications and documentary fi</w:t>
      </w:r>
      <w:r w:rsidR="00BD39FF">
        <w:rPr>
          <w:rFonts w:ascii="Times New Roman" w:hAnsi="Times New Roman" w:cs="Times New Roman"/>
          <w:sz w:val="22"/>
          <w:szCs w:val="22"/>
          <w:lang w:val="en-GB"/>
        </w:rPr>
        <w:t>lms are also making an impact.</w:t>
      </w:r>
    </w:p>
    <w:p w:rsidR="00490531" w:rsidRDefault="00490531" w:rsidP="00FB6759">
      <w:pPr>
        <w:spacing w:after="0" w:line="240" w:lineRule="auto"/>
        <w:jc w:val="both"/>
        <w:rPr>
          <w:rFonts w:ascii="Times New Roman" w:hAnsi="Times New Roman" w:cs="Times New Roman"/>
          <w:sz w:val="22"/>
          <w:szCs w:val="22"/>
          <w:lang w:val="en-GB"/>
        </w:rPr>
      </w:pPr>
    </w:p>
    <w:p w:rsidR="003060E4" w:rsidRPr="00647752" w:rsidRDefault="003060E4"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While it was beyond the capacit</w:t>
      </w:r>
      <w:r w:rsidR="00BD39FF">
        <w:rPr>
          <w:rFonts w:ascii="Times New Roman" w:hAnsi="Times New Roman" w:cs="Times New Roman"/>
          <w:sz w:val="22"/>
          <w:szCs w:val="22"/>
          <w:lang w:val="en-GB"/>
        </w:rPr>
        <w:t>y of the e</w:t>
      </w:r>
      <w:r w:rsidRPr="00647752">
        <w:rPr>
          <w:rFonts w:ascii="Times New Roman" w:hAnsi="Times New Roman" w:cs="Times New Roman"/>
          <w:sz w:val="22"/>
          <w:szCs w:val="22"/>
          <w:lang w:val="en-GB"/>
        </w:rPr>
        <w:t>valuation to assess the impact of every publication produced by every beneficiary un</w:t>
      </w:r>
      <w:r w:rsidR="00BD39FF">
        <w:rPr>
          <w:rFonts w:ascii="Times New Roman" w:hAnsi="Times New Roman" w:cs="Times New Roman"/>
          <w:sz w:val="22"/>
          <w:szCs w:val="22"/>
          <w:lang w:val="en-GB"/>
        </w:rPr>
        <w:t>der the CSI</w:t>
      </w:r>
      <w:r w:rsidRPr="00647752">
        <w:rPr>
          <w:rFonts w:ascii="Times New Roman" w:hAnsi="Times New Roman" w:cs="Times New Roman"/>
          <w:sz w:val="22"/>
          <w:szCs w:val="22"/>
          <w:lang w:val="en-GB"/>
        </w:rPr>
        <w:t xml:space="preserve">, the publications produced by </w:t>
      </w:r>
      <w:r w:rsidR="00A14ECA" w:rsidRPr="00647752">
        <w:rPr>
          <w:rFonts w:ascii="Times New Roman" w:hAnsi="Times New Roman" w:cs="Times New Roman"/>
          <w:sz w:val="22"/>
          <w:szCs w:val="22"/>
          <w:lang w:val="en-GB"/>
        </w:rPr>
        <w:t>WCLAC</w:t>
      </w:r>
      <w:r w:rsidR="00FD3C19">
        <w:rPr>
          <w:rFonts w:ascii="Times New Roman" w:hAnsi="Times New Roman" w:cs="Times New Roman"/>
          <w:sz w:val="22"/>
          <w:szCs w:val="22"/>
          <w:lang w:val="en-GB"/>
        </w:rPr>
        <w:t xml:space="preserve"> </w:t>
      </w:r>
      <w:r w:rsidRPr="00647752">
        <w:rPr>
          <w:rFonts w:ascii="Times New Roman" w:hAnsi="Times New Roman" w:cs="Times New Roman"/>
          <w:sz w:val="22"/>
          <w:szCs w:val="22"/>
          <w:lang w:val="en-GB"/>
        </w:rPr>
        <w:t xml:space="preserve">are representative </w:t>
      </w:r>
      <w:r w:rsidR="003C4797" w:rsidRPr="00647752">
        <w:rPr>
          <w:rFonts w:ascii="Times New Roman" w:hAnsi="Times New Roman" w:cs="Times New Roman"/>
          <w:sz w:val="22"/>
          <w:szCs w:val="22"/>
          <w:lang w:val="en-GB"/>
        </w:rPr>
        <w:t>of the</w:t>
      </w:r>
      <w:r w:rsidRPr="00647752">
        <w:rPr>
          <w:rFonts w:ascii="Times New Roman" w:hAnsi="Times New Roman" w:cs="Times New Roman"/>
          <w:sz w:val="22"/>
          <w:szCs w:val="22"/>
          <w:lang w:val="en-GB"/>
        </w:rPr>
        <w:t xml:space="preserve"> way in which lega</w:t>
      </w:r>
      <w:r w:rsidR="00BD39FF">
        <w:rPr>
          <w:rFonts w:ascii="Times New Roman" w:hAnsi="Times New Roman" w:cs="Times New Roman"/>
          <w:sz w:val="22"/>
          <w:szCs w:val="22"/>
          <w:lang w:val="en-GB"/>
        </w:rPr>
        <w:t xml:space="preserve">l information is being used for advocacy. </w:t>
      </w:r>
      <w:r w:rsidRPr="00647752">
        <w:rPr>
          <w:rFonts w:ascii="Times New Roman" w:hAnsi="Times New Roman" w:cs="Times New Roman"/>
          <w:sz w:val="22"/>
          <w:szCs w:val="22"/>
          <w:lang w:val="en-GB"/>
        </w:rPr>
        <w:t>In some instances</w:t>
      </w:r>
      <w:r w:rsidR="0053540B">
        <w:rPr>
          <w:rFonts w:ascii="Times New Roman" w:hAnsi="Times New Roman" w:cs="Times New Roman"/>
          <w:sz w:val="22"/>
          <w:szCs w:val="22"/>
          <w:lang w:val="en-GB"/>
        </w:rPr>
        <w:t>,</w:t>
      </w:r>
      <w:r w:rsidRPr="00647752">
        <w:rPr>
          <w:rFonts w:ascii="Times New Roman" w:hAnsi="Times New Roman" w:cs="Times New Roman"/>
          <w:sz w:val="22"/>
          <w:szCs w:val="22"/>
          <w:lang w:val="en-GB"/>
        </w:rPr>
        <w:t xml:space="preserve"> such publications have directly influenced authorities to increase protection for women and girls and/or to improve legal processes. </w:t>
      </w:r>
    </w:p>
    <w:p w:rsidR="00077BC1" w:rsidRPr="00647752" w:rsidRDefault="00077BC1" w:rsidP="00FB6759">
      <w:pPr>
        <w:spacing w:after="0" w:line="240" w:lineRule="auto"/>
        <w:jc w:val="both"/>
        <w:rPr>
          <w:rFonts w:ascii="Times New Roman" w:hAnsi="Times New Roman" w:cs="Times New Roman"/>
          <w:sz w:val="22"/>
          <w:szCs w:val="22"/>
          <w:lang w:val="en-GB"/>
        </w:rPr>
      </w:pPr>
    </w:p>
    <w:tbl>
      <w:tblPr>
        <w:tblStyle w:val="TableGrid2"/>
        <w:tblW w:w="0" w:type="auto"/>
        <w:jc w:val="center"/>
        <w:tblInd w:w="-468" w:type="dxa"/>
        <w:tblLook w:val="04A0"/>
      </w:tblPr>
      <w:tblGrid>
        <w:gridCol w:w="3169"/>
        <w:gridCol w:w="894"/>
        <w:gridCol w:w="1002"/>
        <w:gridCol w:w="4277"/>
      </w:tblGrid>
      <w:tr w:rsidR="003060E4" w:rsidRPr="00647752" w:rsidTr="0053540B">
        <w:trPr>
          <w:jc w:val="center"/>
        </w:trPr>
        <w:tc>
          <w:tcPr>
            <w:tcW w:w="9342" w:type="dxa"/>
            <w:gridSpan w:val="4"/>
            <w:shd w:val="clear" w:color="auto" w:fill="D9D9D9"/>
            <w:vAlign w:val="center"/>
          </w:tcPr>
          <w:p w:rsidR="003060E4" w:rsidRPr="00490531" w:rsidRDefault="0053540B" w:rsidP="0053540B">
            <w:pPr>
              <w:rPr>
                <w:rFonts w:ascii="Times New Roman" w:eastAsia="Cambria" w:hAnsi="Times New Roman" w:cs="Times New Roman"/>
                <w:b/>
                <w:sz w:val="18"/>
                <w:szCs w:val="18"/>
                <w:lang w:val="en-GB"/>
              </w:rPr>
            </w:pPr>
            <w:r>
              <w:rPr>
                <w:rFonts w:ascii="Times New Roman" w:eastAsia="Cambria" w:hAnsi="Times New Roman" w:cs="Times New Roman"/>
                <w:b/>
                <w:sz w:val="18"/>
                <w:szCs w:val="18"/>
                <w:lang w:val="en-GB"/>
              </w:rPr>
              <w:t xml:space="preserve">Women’s Centre for Legal Aid &amp; Counselling - </w:t>
            </w:r>
            <w:r w:rsidR="003060E4" w:rsidRPr="00490531">
              <w:rPr>
                <w:rFonts w:ascii="Times New Roman" w:eastAsia="Cambria" w:hAnsi="Times New Roman" w:cs="Times New Roman"/>
                <w:b/>
                <w:sz w:val="18"/>
                <w:szCs w:val="18"/>
                <w:lang w:val="en-GB"/>
              </w:rPr>
              <w:t>UNDP Supported Publicati</w:t>
            </w:r>
            <w:r>
              <w:rPr>
                <w:rFonts w:ascii="Times New Roman" w:eastAsia="Cambria" w:hAnsi="Times New Roman" w:cs="Times New Roman"/>
                <w:b/>
                <w:sz w:val="18"/>
                <w:szCs w:val="18"/>
                <w:lang w:val="en-GB"/>
              </w:rPr>
              <w:t>ons</w:t>
            </w:r>
          </w:p>
        </w:tc>
      </w:tr>
      <w:tr w:rsidR="003060E4" w:rsidRPr="00647752" w:rsidTr="0053540B">
        <w:trPr>
          <w:trHeight w:val="269"/>
          <w:jc w:val="center"/>
        </w:trPr>
        <w:tc>
          <w:tcPr>
            <w:tcW w:w="3169" w:type="dxa"/>
            <w:shd w:val="clear" w:color="auto" w:fill="auto"/>
            <w:vAlign w:val="center"/>
          </w:tcPr>
          <w:p w:rsidR="003060E4" w:rsidRPr="00490531" w:rsidRDefault="003060E4" w:rsidP="0053540B">
            <w:pPr>
              <w:rPr>
                <w:rFonts w:ascii="Times New Roman" w:eastAsia="Cambria" w:hAnsi="Times New Roman" w:cs="Times New Roman"/>
                <w:b/>
                <w:sz w:val="18"/>
                <w:szCs w:val="18"/>
                <w:lang w:val="en-GB"/>
              </w:rPr>
            </w:pPr>
            <w:r w:rsidRPr="00490531">
              <w:rPr>
                <w:rFonts w:ascii="Times New Roman" w:eastAsia="Cambria" w:hAnsi="Times New Roman" w:cs="Times New Roman"/>
                <w:b/>
                <w:sz w:val="18"/>
                <w:szCs w:val="18"/>
                <w:lang w:val="en-GB"/>
              </w:rPr>
              <w:t>Publication (print/media)</w:t>
            </w:r>
          </w:p>
        </w:tc>
        <w:tc>
          <w:tcPr>
            <w:tcW w:w="894" w:type="dxa"/>
            <w:shd w:val="clear" w:color="auto" w:fill="auto"/>
            <w:vAlign w:val="center"/>
          </w:tcPr>
          <w:p w:rsidR="003060E4" w:rsidRPr="00490531" w:rsidRDefault="003060E4" w:rsidP="0053540B">
            <w:pPr>
              <w:jc w:val="center"/>
              <w:rPr>
                <w:rFonts w:ascii="Times New Roman" w:eastAsia="Cambria" w:hAnsi="Times New Roman" w:cs="Times New Roman"/>
                <w:b/>
                <w:sz w:val="18"/>
                <w:szCs w:val="18"/>
                <w:lang w:val="en-GB"/>
              </w:rPr>
            </w:pPr>
            <w:r w:rsidRPr="00490531">
              <w:rPr>
                <w:rFonts w:ascii="Times New Roman" w:eastAsia="Cambria" w:hAnsi="Times New Roman" w:cs="Times New Roman"/>
                <w:b/>
                <w:sz w:val="18"/>
                <w:szCs w:val="18"/>
                <w:lang w:val="en-GB"/>
              </w:rPr>
              <w:t>Date</w:t>
            </w:r>
          </w:p>
        </w:tc>
        <w:tc>
          <w:tcPr>
            <w:tcW w:w="1002" w:type="dxa"/>
            <w:shd w:val="clear" w:color="auto" w:fill="auto"/>
            <w:vAlign w:val="center"/>
          </w:tcPr>
          <w:p w:rsidR="003060E4" w:rsidRPr="00490531" w:rsidRDefault="003060E4" w:rsidP="0053540B">
            <w:pPr>
              <w:jc w:val="center"/>
              <w:rPr>
                <w:rFonts w:ascii="Times New Roman" w:eastAsia="Cambria" w:hAnsi="Times New Roman" w:cs="Times New Roman"/>
                <w:b/>
                <w:sz w:val="18"/>
                <w:szCs w:val="18"/>
                <w:lang w:val="en-GB"/>
              </w:rPr>
            </w:pPr>
            <w:r w:rsidRPr="00490531">
              <w:rPr>
                <w:rFonts w:ascii="Times New Roman" w:eastAsia="Cambria" w:hAnsi="Times New Roman" w:cs="Times New Roman"/>
                <w:b/>
                <w:sz w:val="18"/>
                <w:szCs w:val="18"/>
                <w:lang w:val="en-GB"/>
              </w:rPr>
              <w:t>Copies</w:t>
            </w:r>
          </w:p>
        </w:tc>
        <w:tc>
          <w:tcPr>
            <w:tcW w:w="4277" w:type="dxa"/>
            <w:shd w:val="clear" w:color="auto" w:fill="auto"/>
            <w:vAlign w:val="center"/>
          </w:tcPr>
          <w:p w:rsidR="003060E4" w:rsidRPr="00490531" w:rsidRDefault="003060E4" w:rsidP="0053540B">
            <w:pPr>
              <w:jc w:val="center"/>
              <w:rPr>
                <w:rFonts w:ascii="Times New Roman" w:eastAsia="Cambria" w:hAnsi="Times New Roman" w:cs="Times New Roman"/>
                <w:b/>
                <w:sz w:val="18"/>
                <w:szCs w:val="18"/>
                <w:lang w:val="en-GB"/>
              </w:rPr>
            </w:pPr>
            <w:r w:rsidRPr="00490531">
              <w:rPr>
                <w:rFonts w:ascii="Times New Roman" w:eastAsia="Cambria" w:hAnsi="Times New Roman" w:cs="Times New Roman"/>
                <w:b/>
                <w:sz w:val="18"/>
                <w:szCs w:val="18"/>
                <w:lang w:val="en-GB"/>
              </w:rPr>
              <w:t>Target Audience and Impact</w:t>
            </w:r>
          </w:p>
        </w:tc>
      </w:tr>
      <w:tr w:rsidR="003060E4" w:rsidRPr="00647752" w:rsidTr="0053540B">
        <w:trPr>
          <w:jc w:val="center"/>
        </w:trPr>
        <w:tc>
          <w:tcPr>
            <w:tcW w:w="3169" w:type="dxa"/>
          </w:tcPr>
          <w:p w:rsidR="003060E4" w:rsidRPr="009433D0" w:rsidRDefault="0053540B" w:rsidP="00FB6759">
            <w:pPr>
              <w:jc w:val="both"/>
              <w:rPr>
                <w:rFonts w:ascii="Times New Roman" w:eastAsia="Cambria" w:hAnsi="Times New Roman" w:cs="Times New Roman"/>
                <w:i/>
                <w:sz w:val="18"/>
                <w:szCs w:val="18"/>
                <w:lang w:val="en-GB"/>
              </w:rPr>
            </w:pPr>
            <w:r w:rsidRPr="009433D0">
              <w:rPr>
                <w:rFonts w:ascii="Times New Roman" w:eastAsia="Cambria" w:hAnsi="Times New Roman" w:cs="Times New Roman"/>
                <w:i/>
                <w:sz w:val="18"/>
                <w:szCs w:val="18"/>
                <w:lang w:val="en-GB"/>
              </w:rPr>
              <w:t>Self-help Guide to Custody</w:t>
            </w:r>
          </w:p>
        </w:tc>
        <w:tc>
          <w:tcPr>
            <w:tcW w:w="894" w:type="dxa"/>
          </w:tcPr>
          <w:p w:rsidR="003060E4" w:rsidRPr="00490531" w:rsidRDefault="003060E4" w:rsidP="0053540B">
            <w:pPr>
              <w:jc w:val="center"/>
              <w:rPr>
                <w:rFonts w:ascii="Times New Roman" w:eastAsia="Cambria" w:hAnsi="Times New Roman" w:cs="Times New Roman"/>
                <w:sz w:val="18"/>
                <w:szCs w:val="18"/>
                <w:lang w:val="en-GB"/>
              </w:rPr>
            </w:pPr>
            <w:r w:rsidRPr="00490531">
              <w:rPr>
                <w:rFonts w:ascii="Times New Roman" w:eastAsia="Cambria" w:hAnsi="Times New Roman" w:cs="Times New Roman"/>
                <w:sz w:val="18"/>
                <w:szCs w:val="18"/>
                <w:lang w:val="en-GB"/>
              </w:rPr>
              <w:t>2012</w:t>
            </w:r>
          </w:p>
        </w:tc>
        <w:tc>
          <w:tcPr>
            <w:tcW w:w="1002" w:type="dxa"/>
          </w:tcPr>
          <w:p w:rsidR="003060E4" w:rsidRPr="00490531" w:rsidRDefault="003060E4" w:rsidP="0053540B">
            <w:pPr>
              <w:jc w:val="center"/>
              <w:rPr>
                <w:rFonts w:ascii="Times New Roman" w:eastAsia="Cambria" w:hAnsi="Times New Roman" w:cs="Times New Roman"/>
                <w:sz w:val="18"/>
                <w:szCs w:val="18"/>
                <w:lang w:val="en-GB"/>
              </w:rPr>
            </w:pPr>
            <w:r w:rsidRPr="00490531">
              <w:rPr>
                <w:rFonts w:ascii="Times New Roman" w:eastAsia="Cambria" w:hAnsi="Times New Roman" w:cs="Times New Roman"/>
                <w:sz w:val="18"/>
                <w:szCs w:val="18"/>
                <w:lang w:val="en-GB"/>
              </w:rPr>
              <w:t>1</w:t>
            </w:r>
            <w:r w:rsidR="0053540B">
              <w:rPr>
                <w:rFonts w:ascii="Times New Roman" w:eastAsia="Cambria" w:hAnsi="Times New Roman" w:cs="Times New Roman"/>
                <w:sz w:val="18"/>
                <w:szCs w:val="18"/>
                <w:lang w:val="en-GB"/>
              </w:rPr>
              <w:t>,</w:t>
            </w:r>
            <w:r w:rsidRPr="00490531">
              <w:rPr>
                <w:rFonts w:ascii="Times New Roman" w:eastAsia="Cambria" w:hAnsi="Times New Roman" w:cs="Times New Roman"/>
                <w:sz w:val="18"/>
                <w:szCs w:val="18"/>
                <w:lang w:val="en-GB"/>
              </w:rPr>
              <w:t>000</w:t>
            </w:r>
          </w:p>
        </w:tc>
        <w:tc>
          <w:tcPr>
            <w:tcW w:w="4277" w:type="dxa"/>
          </w:tcPr>
          <w:p w:rsidR="003060E4" w:rsidRPr="00490531" w:rsidRDefault="003060E4" w:rsidP="0053540B">
            <w:pPr>
              <w:rPr>
                <w:rFonts w:ascii="Times New Roman" w:eastAsia="Cambria" w:hAnsi="Times New Roman" w:cs="Times New Roman"/>
                <w:sz w:val="18"/>
                <w:szCs w:val="18"/>
                <w:lang w:val="en-GB"/>
              </w:rPr>
            </w:pPr>
            <w:r w:rsidRPr="00490531">
              <w:rPr>
                <w:rFonts w:ascii="Times New Roman" w:eastAsia="Cambria" w:hAnsi="Times New Roman" w:cs="Times New Roman"/>
                <w:sz w:val="18"/>
                <w:szCs w:val="18"/>
                <w:lang w:val="en-GB"/>
              </w:rPr>
              <w:t xml:space="preserve">A guide to self-representation in </w:t>
            </w:r>
            <w:r w:rsidR="0053540B" w:rsidRPr="0053540B">
              <w:rPr>
                <w:rFonts w:ascii="Times New Roman" w:eastAsia="Cambria" w:hAnsi="Times New Roman" w:cs="Times New Roman"/>
                <w:i/>
                <w:sz w:val="18"/>
                <w:szCs w:val="18"/>
                <w:lang w:val="en-GB"/>
              </w:rPr>
              <w:t>s</w:t>
            </w:r>
            <w:r w:rsidR="000C369C" w:rsidRPr="0053540B">
              <w:rPr>
                <w:rFonts w:ascii="Times New Roman" w:eastAsia="Cambria" w:hAnsi="Times New Roman" w:cs="Times New Roman"/>
                <w:i/>
                <w:sz w:val="18"/>
                <w:szCs w:val="18"/>
                <w:lang w:val="en-GB"/>
              </w:rPr>
              <w:t>hari’a</w:t>
            </w:r>
            <w:r w:rsidR="0053540B">
              <w:rPr>
                <w:rFonts w:ascii="Times New Roman" w:eastAsia="Cambria" w:hAnsi="Times New Roman" w:cs="Times New Roman"/>
                <w:sz w:val="18"/>
                <w:szCs w:val="18"/>
                <w:lang w:val="en-GB"/>
              </w:rPr>
              <w:t xml:space="preserve"> court. </w:t>
            </w:r>
            <w:r w:rsidRPr="00490531">
              <w:rPr>
                <w:rFonts w:ascii="Times New Roman" w:eastAsia="Cambria" w:hAnsi="Times New Roman" w:cs="Times New Roman"/>
                <w:sz w:val="18"/>
                <w:szCs w:val="18"/>
                <w:lang w:val="en-GB"/>
              </w:rPr>
              <w:t>Is being used by women to represent themselves</w:t>
            </w:r>
          </w:p>
        </w:tc>
      </w:tr>
      <w:tr w:rsidR="003060E4" w:rsidRPr="00647752" w:rsidTr="0053540B">
        <w:trPr>
          <w:trHeight w:val="800"/>
          <w:jc w:val="center"/>
        </w:trPr>
        <w:tc>
          <w:tcPr>
            <w:tcW w:w="3169" w:type="dxa"/>
          </w:tcPr>
          <w:p w:rsidR="003060E4" w:rsidRPr="009433D0" w:rsidRDefault="003060E4" w:rsidP="00FB6759">
            <w:pPr>
              <w:jc w:val="both"/>
              <w:rPr>
                <w:rFonts w:ascii="Times New Roman" w:eastAsia="Cambria" w:hAnsi="Times New Roman" w:cs="Times New Roman"/>
                <w:i/>
                <w:sz w:val="18"/>
                <w:szCs w:val="18"/>
                <w:lang w:val="en-GB"/>
              </w:rPr>
            </w:pPr>
            <w:r w:rsidRPr="009433D0">
              <w:rPr>
                <w:rFonts w:ascii="Times New Roman" w:eastAsia="Cambria" w:hAnsi="Times New Roman" w:cs="Times New Roman"/>
                <w:i/>
                <w:sz w:val="18"/>
                <w:szCs w:val="18"/>
                <w:lang w:val="en-GB"/>
              </w:rPr>
              <w:t>Legal Justification for the Reform o</w:t>
            </w:r>
            <w:r w:rsidR="0053540B" w:rsidRPr="009433D0">
              <w:rPr>
                <w:rFonts w:ascii="Times New Roman" w:eastAsia="Cambria" w:hAnsi="Times New Roman" w:cs="Times New Roman"/>
                <w:i/>
                <w:sz w:val="18"/>
                <w:szCs w:val="18"/>
                <w:lang w:val="en-GB"/>
              </w:rPr>
              <w:t>f the Personal Status Law</w:t>
            </w:r>
          </w:p>
        </w:tc>
        <w:tc>
          <w:tcPr>
            <w:tcW w:w="894" w:type="dxa"/>
          </w:tcPr>
          <w:p w:rsidR="003060E4" w:rsidRPr="00490531" w:rsidRDefault="003060E4" w:rsidP="0053540B">
            <w:pPr>
              <w:jc w:val="center"/>
              <w:rPr>
                <w:rFonts w:ascii="Times New Roman" w:eastAsia="Cambria" w:hAnsi="Times New Roman" w:cs="Times New Roman"/>
                <w:sz w:val="18"/>
                <w:szCs w:val="18"/>
                <w:lang w:val="en-GB"/>
              </w:rPr>
            </w:pPr>
            <w:r w:rsidRPr="00490531">
              <w:rPr>
                <w:rFonts w:ascii="Times New Roman" w:eastAsia="Cambria" w:hAnsi="Times New Roman" w:cs="Times New Roman"/>
                <w:sz w:val="18"/>
                <w:szCs w:val="18"/>
                <w:lang w:val="en-GB"/>
              </w:rPr>
              <w:t>2012</w:t>
            </w:r>
          </w:p>
        </w:tc>
        <w:tc>
          <w:tcPr>
            <w:tcW w:w="1002" w:type="dxa"/>
          </w:tcPr>
          <w:p w:rsidR="003060E4" w:rsidRPr="00490531" w:rsidRDefault="003060E4" w:rsidP="0053540B">
            <w:pPr>
              <w:jc w:val="center"/>
              <w:rPr>
                <w:rFonts w:ascii="Times New Roman" w:eastAsia="Cambria" w:hAnsi="Times New Roman" w:cs="Times New Roman"/>
                <w:sz w:val="18"/>
                <w:szCs w:val="18"/>
                <w:lang w:val="en-GB"/>
              </w:rPr>
            </w:pPr>
            <w:r w:rsidRPr="00490531">
              <w:rPr>
                <w:rFonts w:ascii="Times New Roman" w:eastAsia="Cambria" w:hAnsi="Times New Roman" w:cs="Times New Roman"/>
                <w:sz w:val="18"/>
                <w:szCs w:val="18"/>
                <w:lang w:val="en-GB"/>
              </w:rPr>
              <w:t>500</w:t>
            </w:r>
          </w:p>
        </w:tc>
        <w:tc>
          <w:tcPr>
            <w:tcW w:w="4277" w:type="dxa"/>
          </w:tcPr>
          <w:p w:rsidR="003060E4" w:rsidRPr="00490531" w:rsidRDefault="003060E4" w:rsidP="0053540B">
            <w:pPr>
              <w:rPr>
                <w:rFonts w:ascii="Times New Roman" w:eastAsia="Cambria" w:hAnsi="Times New Roman" w:cs="Times New Roman"/>
                <w:sz w:val="18"/>
                <w:szCs w:val="18"/>
                <w:lang w:val="en-GB"/>
              </w:rPr>
            </w:pPr>
            <w:r w:rsidRPr="00490531">
              <w:rPr>
                <w:rFonts w:ascii="Times New Roman" w:eastAsia="Cambria" w:hAnsi="Times New Roman" w:cs="Times New Roman"/>
                <w:sz w:val="18"/>
                <w:szCs w:val="18"/>
                <w:lang w:val="en-GB"/>
              </w:rPr>
              <w:t>The publication includes the legal justification for six differe</w:t>
            </w:r>
            <w:r w:rsidR="0053540B">
              <w:rPr>
                <w:rFonts w:ascii="Times New Roman" w:eastAsia="Cambria" w:hAnsi="Times New Roman" w:cs="Times New Roman"/>
                <w:sz w:val="18"/>
                <w:szCs w:val="18"/>
                <w:lang w:val="en-GB"/>
              </w:rPr>
              <w:t>nt points of suggested reform, including the age of marriage, right of divorce, and</w:t>
            </w:r>
            <w:r w:rsidRPr="00490531">
              <w:rPr>
                <w:rFonts w:ascii="Times New Roman" w:eastAsia="Cambria" w:hAnsi="Times New Roman" w:cs="Times New Roman"/>
                <w:sz w:val="18"/>
                <w:szCs w:val="18"/>
                <w:lang w:val="en-GB"/>
              </w:rPr>
              <w:t xml:space="preserve"> partition of marital property</w:t>
            </w:r>
          </w:p>
        </w:tc>
      </w:tr>
      <w:tr w:rsidR="003060E4" w:rsidRPr="00647752" w:rsidTr="0053540B">
        <w:trPr>
          <w:trHeight w:val="1007"/>
          <w:jc w:val="center"/>
        </w:trPr>
        <w:tc>
          <w:tcPr>
            <w:tcW w:w="3169" w:type="dxa"/>
          </w:tcPr>
          <w:p w:rsidR="003060E4" w:rsidRPr="009433D0" w:rsidRDefault="0053540B" w:rsidP="00FB6759">
            <w:pPr>
              <w:jc w:val="both"/>
              <w:rPr>
                <w:rFonts w:ascii="Times New Roman" w:eastAsia="Cambria" w:hAnsi="Times New Roman" w:cs="Times New Roman"/>
                <w:i/>
                <w:sz w:val="18"/>
                <w:szCs w:val="18"/>
                <w:lang w:val="en-GB"/>
              </w:rPr>
            </w:pPr>
            <w:r w:rsidRPr="009433D0">
              <w:rPr>
                <w:rFonts w:ascii="Times New Roman" w:eastAsia="Cambria" w:hAnsi="Times New Roman" w:cs="Times New Roman"/>
                <w:i/>
                <w:sz w:val="18"/>
                <w:szCs w:val="18"/>
                <w:lang w:val="en-GB"/>
              </w:rPr>
              <w:t>Women’s Organis</w:t>
            </w:r>
            <w:r w:rsidR="003060E4" w:rsidRPr="009433D0">
              <w:rPr>
                <w:rFonts w:ascii="Times New Roman" w:eastAsia="Cambria" w:hAnsi="Times New Roman" w:cs="Times New Roman"/>
                <w:i/>
                <w:sz w:val="18"/>
                <w:szCs w:val="18"/>
                <w:lang w:val="en-GB"/>
              </w:rPr>
              <w:t>ations Experiences Since 1998 with Attempts to</w:t>
            </w:r>
            <w:r w:rsidRPr="009433D0">
              <w:rPr>
                <w:rFonts w:ascii="Times New Roman" w:eastAsia="Cambria" w:hAnsi="Times New Roman" w:cs="Times New Roman"/>
                <w:i/>
                <w:sz w:val="18"/>
                <w:szCs w:val="18"/>
                <w:lang w:val="en-GB"/>
              </w:rPr>
              <w:t xml:space="preserve"> Reform the Personal Status Law</w:t>
            </w:r>
          </w:p>
        </w:tc>
        <w:tc>
          <w:tcPr>
            <w:tcW w:w="894" w:type="dxa"/>
          </w:tcPr>
          <w:p w:rsidR="003060E4" w:rsidRPr="00490531" w:rsidRDefault="003060E4" w:rsidP="0053540B">
            <w:pPr>
              <w:jc w:val="center"/>
              <w:rPr>
                <w:rFonts w:ascii="Times New Roman" w:eastAsia="Cambria" w:hAnsi="Times New Roman" w:cs="Times New Roman"/>
                <w:sz w:val="18"/>
                <w:szCs w:val="18"/>
                <w:lang w:val="en-GB"/>
              </w:rPr>
            </w:pPr>
            <w:r w:rsidRPr="00490531">
              <w:rPr>
                <w:rFonts w:ascii="Times New Roman" w:eastAsia="Cambria" w:hAnsi="Times New Roman" w:cs="Times New Roman"/>
                <w:sz w:val="18"/>
                <w:szCs w:val="18"/>
                <w:lang w:val="en-GB"/>
              </w:rPr>
              <w:t>2012</w:t>
            </w:r>
          </w:p>
        </w:tc>
        <w:tc>
          <w:tcPr>
            <w:tcW w:w="1002" w:type="dxa"/>
          </w:tcPr>
          <w:p w:rsidR="003060E4" w:rsidRPr="00490531" w:rsidRDefault="003060E4" w:rsidP="0053540B">
            <w:pPr>
              <w:jc w:val="center"/>
              <w:rPr>
                <w:rFonts w:ascii="Times New Roman" w:eastAsia="Cambria" w:hAnsi="Times New Roman" w:cs="Times New Roman"/>
                <w:sz w:val="18"/>
                <w:szCs w:val="18"/>
                <w:lang w:val="en-GB"/>
              </w:rPr>
            </w:pPr>
            <w:r w:rsidRPr="00490531">
              <w:rPr>
                <w:rFonts w:ascii="Times New Roman" w:eastAsia="Cambria" w:hAnsi="Times New Roman" w:cs="Times New Roman"/>
                <w:sz w:val="18"/>
                <w:szCs w:val="18"/>
                <w:lang w:val="en-GB"/>
              </w:rPr>
              <w:t>500</w:t>
            </w:r>
          </w:p>
        </w:tc>
        <w:tc>
          <w:tcPr>
            <w:tcW w:w="4277" w:type="dxa"/>
          </w:tcPr>
          <w:p w:rsidR="003060E4" w:rsidRPr="00490531" w:rsidRDefault="003060E4" w:rsidP="0053540B">
            <w:pPr>
              <w:rPr>
                <w:rFonts w:ascii="Times New Roman" w:eastAsia="Cambria" w:hAnsi="Times New Roman" w:cs="Times New Roman"/>
                <w:sz w:val="18"/>
                <w:szCs w:val="18"/>
                <w:lang w:val="en-GB"/>
              </w:rPr>
            </w:pPr>
            <w:r w:rsidRPr="00490531">
              <w:rPr>
                <w:rFonts w:ascii="Times New Roman" w:eastAsia="Cambria" w:hAnsi="Times New Roman" w:cs="Times New Roman"/>
                <w:sz w:val="18"/>
                <w:szCs w:val="18"/>
                <w:lang w:val="en-GB"/>
              </w:rPr>
              <w:t>Documents the experience over the past 15 years of attempts at reforms</w:t>
            </w:r>
          </w:p>
        </w:tc>
      </w:tr>
      <w:tr w:rsidR="003060E4" w:rsidRPr="00647752" w:rsidTr="0053540B">
        <w:trPr>
          <w:jc w:val="center"/>
        </w:trPr>
        <w:tc>
          <w:tcPr>
            <w:tcW w:w="3169" w:type="dxa"/>
          </w:tcPr>
          <w:p w:rsidR="003060E4" w:rsidRPr="009433D0" w:rsidRDefault="003060E4" w:rsidP="00FB6759">
            <w:pPr>
              <w:jc w:val="both"/>
              <w:rPr>
                <w:rFonts w:ascii="Times New Roman" w:eastAsia="Cambria" w:hAnsi="Times New Roman" w:cs="Times New Roman"/>
                <w:i/>
                <w:sz w:val="18"/>
                <w:szCs w:val="18"/>
                <w:lang w:val="en-GB"/>
              </w:rPr>
            </w:pPr>
            <w:r w:rsidRPr="009433D0">
              <w:rPr>
                <w:rFonts w:ascii="Times New Roman" w:eastAsia="Cambria" w:hAnsi="Times New Roman" w:cs="Times New Roman"/>
                <w:i/>
                <w:sz w:val="18"/>
                <w:szCs w:val="18"/>
                <w:lang w:val="en-GB"/>
              </w:rPr>
              <w:t>Palestinian Women’s Rights Writte</w:t>
            </w:r>
            <w:r w:rsidR="0053540B" w:rsidRPr="009433D0">
              <w:rPr>
                <w:rFonts w:ascii="Times New Roman" w:eastAsia="Cambria" w:hAnsi="Times New Roman" w:cs="Times New Roman"/>
                <w:i/>
                <w:sz w:val="18"/>
                <w:szCs w:val="18"/>
                <w:lang w:val="en-GB"/>
              </w:rPr>
              <w:t>n by Young Media Professionals</w:t>
            </w:r>
          </w:p>
        </w:tc>
        <w:tc>
          <w:tcPr>
            <w:tcW w:w="894" w:type="dxa"/>
          </w:tcPr>
          <w:p w:rsidR="003060E4" w:rsidRPr="00490531" w:rsidRDefault="003060E4" w:rsidP="0053540B">
            <w:pPr>
              <w:jc w:val="center"/>
              <w:rPr>
                <w:rFonts w:ascii="Times New Roman" w:eastAsia="Cambria" w:hAnsi="Times New Roman" w:cs="Times New Roman"/>
                <w:sz w:val="18"/>
                <w:szCs w:val="18"/>
                <w:lang w:val="en-GB"/>
              </w:rPr>
            </w:pPr>
            <w:r w:rsidRPr="00490531">
              <w:rPr>
                <w:rFonts w:ascii="Times New Roman" w:eastAsia="Cambria" w:hAnsi="Times New Roman" w:cs="Times New Roman"/>
                <w:sz w:val="18"/>
                <w:szCs w:val="18"/>
                <w:lang w:val="en-GB"/>
              </w:rPr>
              <w:t>2012</w:t>
            </w:r>
          </w:p>
        </w:tc>
        <w:tc>
          <w:tcPr>
            <w:tcW w:w="1002" w:type="dxa"/>
          </w:tcPr>
          <w:p w:rsidR="003060E4" w:rsidRPr="00490531" w:rsidRDefault="003060E4" w:rsidP="0053540B">
            <w:pPr>
              <w:jc w:val="center"/>
              <w:rPr>
                <w:rFonts w:ascii="Times New Roman" w:eastAsia="Cambria" w:hAnsi="Times New Roman" w:cs="Times New Roman"/>
                <w:sz w:val="18"/>
                <w:szCs w:val="18"/>
                <w:lang w:val="en-GB"/>
              </w:rPr>
            </w:pPr>
            <w:r w:rsidRPr="00490531">
              <w:rPr>
                <w:rFonts w:ascii="Times New Roman" w:eastAsia="Cambria" w:hAnsi="Times New Roman" w:cs="Times New Roman"/>
                <w:sz w:val="18"/>
                <w:szCs w:val="18"/>
                <w:lang w:val="en-GB"/>
              </w:rPr>
              <w:t>500</w:t>
            </w:r>
          </w:p>
        </w:tc>
        <w:tc>
          <w:tcPr>
            <w:tcW w:w="4277" w:type="dxa"/>
          </w:tcPr>
          <w:p w:rsidR="003060E4" w:rsidRPr="00490531" w:rsidRDefault="0053540B" w:rsidP="0053540B">
            <w:pPr>
              <w:rPr>
                <w:rFonts w:ascii="Times New Roman" w:eastAsia="Cambria" w:hAnsi="Times New Roman" w:cs="Times New Roman"/>
                <w:sz w:val="18"/>
                <w:szCs w:val="18"/>
                <w:lang w:val="en-GB"/>
              </w:rPr>
            </w:pPr>
            <w:r>
              <w:rPr>
                <w:rFonts w:ascii="Times New Roman" w:eastAsia="Cambria" w:hAnsi="Times New Roman" w:cs="Times New Roman"/>
                <w:sz w:val="18"/>
                <w:szCs w:val="18"/>
                <w:lang w:val="en-GB"/>
              </w:rPr>
              <w:t>Collection of s</w:t>
            </w:r>
            <w:r w:rsidR="003060E4" w:rsidRPr="00490531">
              <w:rPr>
                <w:rFonts w:ascii="Times New Roman" w:eastAsia="Cambria" w:hAnsi="Times New Roman" w:cs="Times New Roman"/>
                <w:sz w:val="18"/>
                <w:szCs w:val="18"/>
                <w:lang w:val="en-GB"/>
              </w:rPr>
              <w:t>tories on women’s rights pub</w:t>
            </w:r>
            <w:r>
              <w:rPr>
                <w:rFonts w:ascii="Times New Roman" w:eastAsia="Cambria" w:hAnsi="Times New Roman" w:cs="Times New Roman"/>
                <w:sz w:val="18"/>
                <w:szCs w:val="18"/>
                <w:lang w:val="en-GB"/>
              </w:rPr>
              <w:t>lished by</w:t>
            </w:r>
            <w:r w:rsidR="003060E4" w:rsidRPr="00490531">
              <w:rPr>
                <w:rFonts w:ascii="Times New Roman" w:eastAsia="Cambria" w:hAnsi="Times New Roman" w:cs="Times New Roman"/>
                <w:sz w:val="18"/>
                <w:szCs w:val="18"/>
                <w:lang w:val="en-GB"/>
              </w:rPr>
              <w:t xml:space="preserve"> journalists who attended the UNDP supported awareness training</w:t>
            </w:r>
          </w:p>
        </w:tc>
      </w:tr>
      <w:tr w:rsidR="003060E4" w:rsidRPr="00647752" w:rsidTr="0053540B">
        <w:trPr>
          <w:jc w:val="center"/>
        </w:trPr>
        <w:tc>
          <w:tcPr>
            <w:tcW w:w="3169" w:type="dxa"/>
          </w:tcPr>
          <w:p w:rsidR="003060E4" w:rsidRPr="009433D0" w:rsidRDefault="003060E4" w:rsidP="00FB6759">
            <w:pPr>
              <w:jc w:val="both"/>
              <w:rPr>
                <w:rFonts w:ascii="Times New Roman" w:eastAsia="Cambria" w:hAnsi="Times New Roman" w:cs="Times New Roman"/>
                <w:i/>
                <w:sz w:val="18"/>
                <w:szCs w:val="18"/>
                <w:lang w:val="en-GB"/>
              </w:rPr>
            </w:pPr>
            <w:r w:rsidRPr="009433D0">
              <w:rPr>
                <w:rFonts w:ascii="Times New Roman" w:eastAsia="Cambria" w:hAnsi="Times New Roman" w:cs="Times New Roman"/>
                <w:i/>
                <w:sz w:val="18"/>
                <w:szCs w:val="18"/>
                <w:lang w:val="en-GB"/>
              </w:rPr>
              <w:t>Palestinian Women’s Righ</w:t>
            </w:r>
            <w:r w:rsidR="0053540B" w:rsidRPr="009433D0">
              <w:rPr>
                <w:rFonts w:ascii="Times New Roman" w:eastAsia="Cambria" w:hAnsi="Times New Roman" w:cs="Times New Roman"/>
                <w:i/>
                <w:sz w:val="18"/>
                <w:szCs w:val="18"/>
                <w:lang w:val="en-GB"/>
              </w:rPr>
              <w:t>ts and the Personal Status Law</w:t>
            </w:r>
          </w:p>
        </w:tc>
        <w:tc>
          <w:tcPr>
            <w:tcW w:w="894" w:type="dxa"/>
          </w:tcPr>
          <w:p w:rsidR="003060E4" w:rsidRPr="00490531" w:rsidRDefault="003060E4" w:rsidP="0053540B">
            <w:pPr>
              <w:jc w:val="center"/>
              <w:rPr>
                <w:rFonts w:ascii="Times New Roman" w:eastAsia="Cambria" w:hAnsi="Times New Roman" w:cs="Times New Roman"/>
                <w:sz w:val="18"/>
                <w:szCs w:val="18"/>
                <w:lang w:val="en-GB"/>
              </w:rPr>
            </w:pPr>
            <w:r w:rsidRPr="00490531">
              <w:rPr>
                <w:rFonts w:ascii="Times New Roman" w:eastAsia="Cambria" w:hAnsi="Times New Roman" w:cs="Times New Roman"/>
                <w:sz w:val="18"/>
                <w:szCs w:val="18"/>
                <w:lang w:val="en-GB"/>
              </w:rPr>
              <w:t>2011</w:t>
            </w:r>
          </w:p>
        </w:tc>
        <w:tc>
          <w:tcPr>
            <w:tcW w:w="1002" w:type="dxa"/>
          </w:tcPr>
          <w:p w:rsidR="003060E4" w:rsidRPr="00490531" w:rsidRDefault="003060E4" w:rsidP="0053540B">
            <w:pPr>
              <w:jc w:val="center"/>
              <w:rPr>
                <w:rFonts w:ascii="Times New Roman" w:eastAsia="Cambria" w:hAnsi="Times New Roman" w:cs="Times New Roman"/>
                <w:sz w:val="18"/>
                <w:szCs w:val="18"/>
                <w:lang w:val="en-GB"/>
              </w:rPr>
            </w:pPr>
            <w:r w:rsidRPr="00490531">
              <w:rPr>
                <w:rFonts w:ascii="Times New Roman" w:eastAsia="Cambria" w:hAnsi="Times New Roman" w:cs="Times New Roman"/>
                <w:sz w:val="18"/>
                <w:szCs w:val="18"/>
                <w:lang w:val="en-GB"/>
              </w:rPr>
              <w:t>500</w:t>
            </w:r>
          </w:p>
        </w:tc>
        <w:tc>
          <w:tcPr>
            <w:tcW w:w="4277" w:type="dxa"/>
          </w:tcPr>
          <w:p w:rsidR="003060E4" w:rsidRPr="00490531" w:rsidRDefault="003060E4" w:rsidP="0053540B">
            <w:pPr>
              <w:rPr>
                <w:rFonts w:ascii="Times New Roman" w:eastAsia="Cambria" w:hAnsi="Times New Roman" w:cs="Times New Roman"/>
                <w:sz w:val="18"/>
                <w:szCs w:val="18"/>
                <w:lang w:val="en-GB"/>
              </w:rPr>
            </w:pPr>
            <w:r w:rsidRPr="00490531">
              <w:rPr>
                <w:rFonts w:ascii="Times New Roman" w:eastAsia="Cambria" w:hAnsi="Times New Roman" w:cs="Times New Roman"/>
                <w:sz w:val="18"/>
                <w:szCs w:val="18"/>
                <w:lang w:val="en-GB"/>
              </w:rPr>
              <w:t>P</w:t>
            </w:r>
            <w:r w:rsidR="0053540B">
              <w:rPr>
                <w:rFonts w:ascii="Times New Roman" w:eastAsia="Cambria" w:hAnsi="Times New Roman" w:cs="Times New Roman"/>
                <w:sz w:val="18"/>
                <w:szCs w:val="18"/>
                <w:lang w:val="en-GB"/>
              </w:rPr>
              <w:t xml:space="preserve">repared </w:t>
            </w:r>
            <w:r w:rsidRPr="00490531">
              <w:rPr>
                <w:rFonts w:ascii="Times New Roman" w:eastAsia="Cambria" w:hAnsi="Times New Roman" w:cs="Times New Roman"/>
                <w:sz w:val="18"/>
                <w:szCs w:val="18"/>
                <w:lang w:val="en-GB"/>
              </w:rPr>
              <w:t>in 2008, but UNDP paid for the printing in 2011</w:t>
            </w:r>
          </w:p>
        </w:tc>
      </w:tr>
      <w:tr w:rsidR="003060E4" w:rsidRPr="00647752" w:rsidTr="0053540B">
        <w:trPr>
          <w:jc w:val="center"/>
        </w:trPr>
        <w:tc>
          <w:tcPr>
            <w:tcW w:w="3169" w:type="dxa"/>
          </w:tcPr>
          <w:p w:rsidR="003060E4" w:rsidRPr="009433D0" w:rsidRDefault="003060E4" w:rsidP="00FB6759">
            <w:pPr>
              <w:jc w:val="both"/>
              <w:rPr>
                <w:rFonts w:ascii="Times New Roman" w:eastAsia="Cambria" w:hAnsi="Times New Roman" w:cs="Times New Roman"/>
                <w:i/>
                <w:sz w:val="18"/>
                <w:szCs w:val="18"/>
                <w:lang w:val="en-GB"/>
              </w:rPr>
            </w:pPr>
            <w:r w:rsidRPr="009433D0">
              <w:rPr>
                <w:rFonts w:ascii="Times New Roman" w:eastAsia="Cambria" w:hAnsi="Times New Roman" w:cs="Times New Roman"/>
                <w:i/>
                <w:sz w:val="18"/>
                <w:szCs w:val="18"/>
                <w:lang w:val="en-GB"/>
              </w:rPr>
              <w:t>The Rights to Girls Educa</w:t>
            </w:r>
            <w:r w:rsidR="0053540B" w:rsidRPr="009433D0">
              <w:rPr>
                <w:rFonts w:ascii="Times New Roman" w:eastAsia="Cambria" w:hAnsi="Times New Roman" w:cs="Times New Roman"/>
                <w:i/>
                <w:sz w:val="18"/>
                <w:szCs w:val="18"/>
                <w:lang w:val="en-GB"/>
              </w:rPr>
              <w:t>tion in Hebron (</w:t>
            </w:r>
            <w:r w:rsidRPr="009433D0">
              <w:rPr>
                <w:rFonts w:ascii="Times New Roman" w:eastAsia="Cambria" w:hAnsi="Times New Roman" w:cs="Times New Roman"/>
                <w:i/>
                <w:sz w:val="18"/>
                <w:szCs w:val="18"/>
                <w:lang w:val="en-GB"/>
              </w:rPr>
              <w:t>DVD</w:t>
            </w:r>
            <w:r w:rsidR="0053540B" w:rsidRPr="009433D0">
              <w:rPr>
                <w:rFonts w:ascii="Times New Roman" w:eastAsia="Cambria" w:hAnsi="Times New Roman" w:cs="Times New Roman"/>
                <w:i/>
                <w:sz w:val="18"/>
                <w:szCs w:val="18"/>
                <w:lang w:val="en-GB"/>
              </w:rPr>
              <w:t>)</w:t>
            </w:r>
          </w:p>
          <w:p w:rsidR="003060E4" w:rsidRPr="009433D0" w:rsidRDefault="003060E4" w:rsidP="00FB6759">
            <w:pPr>
              <w:jc w:val="both"/>
              <w:rPr>
                <w:rFonts w:ascii="Times New Roman" w:eastAsia="Cambria" w:hAnsi="Times New Roman" w:cs="Times New Roman"/>
                <w:i/>
                <w:sz w:val="18"/>
                <w:szCs w:val="18"/>
                <w:lang w:val="en-GB"/>
              </w:rPr>
            </w:pPr>
          </w:p>
        </w:tc>
        <w:tc>
          <w:tcPr>
            <w:tcW w:w="894" w:type="dxa"/>
          </w:tcPr>
          <w:p w:rsidR="003060E4" w:rsidRPr="00490531" w:rsidRDefault="003060E4" w:rsidP="0053540B">
            <w:pPr>
              <w:jc w:val="center"/>
              <w:rPr>
                <w:rFonts w:ascii="Times New Roman" w:eastAsia="Cambria" w:hAnsi="Times New Roman" w:cs="Times New Roman"/>
                <w:sz w:val="18"/>
                <w:szCs w:val="18"/>
                <w:lang w:val="en-GB"/>
              </w:rPr>
            </w:pPr>
            <w:r w:rsidRPr="00490531">
              <w:rPr>
                <w:rFonts w:ascii="Times New Roman" w:eastAsia="Cambria" w:hAnsi="Times New Roman" w:cs="Times New Roman"/>
                <w:sz w:val="18"/>
                <w:szCs w:val="18"/>
                <w:lang w:val="en-GB"/>
              </w:rPr>
              <w:t>2011</w:t>
            </w:r>
          </w:p>
        </w:tc>
        <w:tc>
          <w:tcPr>
            <w:tcW w:w="1002" w:type="dxa"/>
          </w:tcPr>
          <w:p w:rsidR="003060E4" w:rsidRPr="00490531" w:rsidRDefault="003060E4" w:rsidP="0053540B">
            <w:pPr>
              <w:jc w:val="center"/>
              <w:rPr>
                <w:rFonts w:ascii="Times New Roman" w:eastAsia="Cambria" w:hAnsi="Times New Roman" w:cs="Times New Roman"/>
                <w:sz w:val="18"/>
                <w:szCs w:val="18"/>
                <w:lang w:val="en-GB"/>
              </w:rPr>
            </w:pPr>
            <w:r w:rsidRPr="00490531">
              <w:rPr>
                <w:rFonts w:ascii="Times New Roman" w:eastAsia="Cambria" w:hAnsi="Times New Roman" w:cs="Times New Roman"/>
                <w:sz w:val="18"/>
                <w:szCs w:val="18"/>
                <w:lang w:val="en-GB"/>
              </w:rPr>
              <w:t>500</w:t>
            </w:r>
          </w:p>
        </w:tc>
        <w:tc>
          <w:tcPr>
            <w:tcW w:w="4277" w:type="dxa"/>
          </w:tcPr>
          <w:p w:rsidR="003060E4" w:rsidRPr="00490531" w:rsidRDefault="0053540B" w:rsidP="0053540B">
            <w:pPr>
              <w:rPr>
                <w:rFonts w:ascii="Times New Roman" w:eastAsia="Cambria" w:hAnsi="Times New Roman" w:cs="Times New Roman"/>
                <w:sz w:val="18"/>
                <w:szCs w:val="18"/>
                <w:lang w:val="en-GB"/>
              </w:rPr>
            </w:pPr>
            <w:r>
              <w:rPr>
                <w:rFonts w:ascii="Times New Roman" w:eastAsia="Cambria" w:hAnsi="Times New Roman" w:cs="Times New Roman"/>
                <w:sz w:val="18"/>
                <w:szCs w:val="18"/>
                <w:lang w:val="en-GB"/>
              </w:rPr>
              <w:t xml:space="preserve">DVD produced by </w:t>
            </w:r>
            <w:r w:rsidR="003060E4" w:rsidRPr="00490531">
              <w:rPr>
                <w:rFonts w:ascii="Times New Roman" w:eastAsia="Cambria" w:hAnsi="Times New Roman" w:cs="Times New Roman"/>
                <w:sz w:val="18"/>
                <w:szCs w:val="18"/>
                <w:lang w:val="en-GB"/>
              </w:rPr>
              <w:t>journalists who attended the UNDP support</w:t>
            </w:r>
            <w:r>
              <w:rPr>
                <w:rFonts w:ascii="Times New Roman" w:eastAsia="Cambria" w:hAnsi="Times New Roman" w:cs="Times New Roman"/>
                <w:sz w:val="18"/>
                <w:szCs w:val="18"/>
                <w:lang w:val="en-GB"/>
              </w:rPr>
              <w:t xml:space="preserve">ed awareness raising sessions. </w:t>
            </w:r>
            <w:r w:rsidR="003060E4" w:rsidRPr="00490531">
              <w:rPr>
                <w:rFonts w:ascii="Times New Roman" w:eastAsia="Cambria" w:hAnsi="Times New Roman" w:cs="Times New Roman"/>
                <w:sz w:val="18"/>
                <w:szCs w:val="18"/>
                <w:lang w:val="en-GB"/>
              </w:rPr>
              <w:t>The DVD was used to advocate with the Ministry of Education to urge them to reopen the high school for girls in Nas</w:t>
            </w:r>
            <w:r>
              <w:rPr>
                <w:rFonts w:ascii="Times New Roman" w:eastAsia="Cambria" w:hAnsi="Times New Roman" w:cs="Times New Roman"/>
                <w:sz w:val="18"/>
                <w:szCs w:val="18"/>
                <w:lang w:val="en-GB"/>
              </w:rPr>
              <w:t>al</w:t>
            </w:r>
            <w:r w:rsidR="003060E4" w:rsidRPr="00490531">
              <w:rPr>
                <w:rFonts w:ascii="Times New Roman" w:eastAsia="Cambria" w:hAnsi="Times New Roman" w:cs="Times New Roman"/>
                <w:sz w:val="18"/>
                <w:szCs w:val="18"/>
                <w:lang w:val="en-GB"/>
              </w:rPr>
              <w:t xml:space="preserve"> so that they could continue their education in their own village.   The school wa</w:t>
            </w:r>
            <w:r>
              <w:rPr>
                <w:rFonts w:ascii="Times New Roman" w:eastAsia="Cambria" w:hAnsi="Times New Roman" w:cs="Times New Roman"/>
                <w:sz w:val="18"/>
                <w:szCs w:val="18"/>
                <w:lang w:val="en-GB"/>
              </w:rPr>
              <w:t>s successfully reopened in 2012</w:t>
            </w:r>
          </w:p>
        </w:tc>
      </w:tr>
    </w:tbl>
    <w:p w:rsidR="007D7579" w:rsidRPr="00647752" w:rsidRDefault="007D7579" w:rsidP="00FB6759">
      <w:pPr>
        <w:spacing w:after="0" w:line="240" w:lineRule="auto"/>
        <w:jc w:val="both"/>
        <w:rPr>
          <w:rFonts w:ascii="Times New Roman" w:hAnsi="Times New Roman" w:cs="Times New Roman"/>
          <w:lang w:val="en-GB"/>
        </w:rPr>
      </w:pPr>
    </w:p>
    <w:p w:rsidR="00490531" w:rsidRDefault="002A039A"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 xml:space="preserve">From a sustainability perspective, CSO publications are expected to be used for a number of years to come by a variety of different </w:t>
      </w:r>
      <w:r w:rsidR="0053540B">
        <w:rPr>
          <w:rFonts w:ascii="Times New Roman" w:hAnsi="Times New Roman" w:cs="Times New Roman"/>
          <w:sz w:val="22"/>
          <w:szCs w:val="22"/>
          <w:lang w:val="en-GB"/>
        </w:rPr>
        <w:t xml:space="preserve">actors and </w:t>
      </w:r>
      <w:r w:rsidRPr="00647752">
        <w:rPr>
          <w:rFonts w:ascii="Times New Roman" w:hAnsi="Times New Roman" w:cs="Times New Roman"/>
          <w:sz w:val="22"/>
          <w:szCs w:val="22"/>
          <w:lang w:val="en-GB"/>
        </w:rPr>
        <w:t>stakeholders</w:t>
      </w:r>
      <w:r w:rsidR="0053540B">
        <w:rPr>
          <w:rFonts w:ascii="Times New Roman" w:hAnsi="Times New Roman" w:cs="Times New Roman"/>
          <w:sz w:val="22"/>
          <w:szCs w:val="22"/>
          <w:lang w:val="en-GB"/>
        </w:rPr>
        <w:t>,</w:t>
      </w:r>
      <w:r w:rsidRPr="00647752">
        <w:rPr>
          <w:rFonts w:ascii="Times New Roman" w:hAnsi="Times New Roman" w:cs="Times New Roman"/>
          <w:sz w:val="22"/>
          <w:szCs w:val="22"/>
          <w:lang w:val="en-GB"/>
        </w:rPr>
        <w:t xml:space="preserve"> inclu</w:t>
      </w:r>
      <w:r w:rsidR="0053540B">
        <w:rPr>
          <w:rFonts w:ascii="Times New Roman" w:hAnsi="Times New Roman" w:cs="Times New Roman"/>
          <w:sz w:val="22"/>
          <w:szCs w:val="22"/>
          <w:lang w:val="en-GB"/>
        </w:rPr>
        <w:t>ding universities and students. The e</w:t>
      </w:r>
      <w:r w:rsidRPr="00647752">
        <w:rPr>
          <w:rFonts w:ascii="Times New Roman" w:hAnsi="Times New Roman" w:cs="Times New Roman"/>
          <w:sz w:val="22"/>
          <w:szCs w:val="22"/>
          <w:lang w:val="en-GB"/>
        </w:rPr>
        <w:t>valuation also received testimony from CSOs that the awareness-raising sessions are directing women to the le</w:t>
      </w:r>
      <w:r w:rsidR="0053540B">
        <w:rPr>
          <w:rFonts w:ascii="Times New Roman" w:hAnsi="Times New Roman" w:cs="Times New Roman"/>
          <w:sz w:val="22"/>
          <w:szCs w:val="22"/>
          <w:lang w:val="en-GB"/>
        </w:rPr>
        <w:t>gal aid centres</w:t>
      </w:r>
      <w:r w:rsidRPr="00647752">
        <w:rPr>
          <w:rFonts w:ascii="Times New Roman" w:hAnsi="Times New Roman" w:cs="Times New Roman"/>
          <w:sz w:val="22"/>
          <w:szCs w:val="22"/>
          <w:lang w:val="en-GB"/>
        </w:rPr>
        <w:t xml:space="preserve">, such as those run by </w:t>
      </w:r>
      <w:r w:rsidR="0053540B">
        <w:rPr>
          <w:rFonts w:ascii="Times New Roman" w:hAnsi="Times New Roman" w:cs="Times New Roman"/>
          <w:sz w:val="22"/>
          <w:szCs w:val="22"/>
          <w:lang w:val="en-GB"/>
        </w:rPr>
        <w:t>PWWSD</w:t>
      </w:r>
      <w:r w:rsidRPr="00647752">
        <w:rPr>
          <w:rFonts w:ascii="Times New Roman" w:hAnsi="Times New Roman" w:cs="Times New Roman"/>
          <w:sz w:val="22"/>
          <w:szCs w:val="22"/>
          <w:lang w:val="en-GB"/>
        </w:rPr>
        <w:t xml:space="preserve">. The awareness-raising sessions and workshops are an opportunity for the CSO lawyers to assess the needs of </w:t>
      </w:r>
      <w:r w:rsidR="0053540B">
        <w:rPr>
          <w:rFonts w:ascii="Times New Roman" w:hAnsi="Times New Roman" w:cs="Times New Roman"/>
          <w:sz w:val="22"/>
          <w:szCs w:val="22"/>
          <w:lang w:val="en-GB"/>
        </w:rPr>
        <w:t xml:space="preserve">their target constituencies. </w:t>
      </w:r>
      <w:r w:rsidRPr="00647752">
        <w:rPr>
          <w:rFonts w:ascii="Times New Roman" w:hAnsi="Times New Roman" w:cs="Times New Roman"/>
          <w:sz w:val="22"/>
          <w:szCs w:val="22"/>
          <w:lang w:val="en-GB"/>
        </w:rPr>
        <w:t>The CSOs also stated that UNDP had provided them with a great deal of day-to-day follow-up and tec</w:t>
      </w:r>
      <w:r w:rsidR="0053540B">
        <w:rPr>
          <w:rFonts w:ascii="Times New Roman" w:hAnsi="Times New Roman" w:cs="Times New Roman"/>
          <w:sz w:val="22"/>
          <w:szCs w:val="22"/>
          <w:lang w:val="en-GB"/>
        </w:rPr>
        <w:t>hnical support under the programme</w:t>
      </w:r>
      <w:r w:rsidRPr="00647752">
        <w:rPr>
          <w:rFonts w:ascii="Times New Roman" w:hAnsi="Times New Roman" w:cs="Times New Roman"/>
          <w:sz w:val="22"/>
          <w:szCs w:val="22"/>
          <w:lang w:val="en-GB"/>
        </w:rPr>
        <w:t>. Furthermore, UNDP support is enabling the CS</w:t>
      </w:r>
      <w:r w:rsidR="0053540B">
        <w:rPr>
          <w:rFonts w:ascii="Times New Roman" w:hAnsi="Times New Roman" w:cs="Times New Roman"/>
          <w:sz w:val="22"/>
          <w:szCs w:val="22"/>
          <w:lang w:val="en-GB"/>
        </w:rPr>
        <w:t>Os to partner with other organis</w:t>
      </w:r>
      <w:r w:rsidRPr="00647752">
        <w:rPr>
          <w:rFonts w:ascii="Times New Roman" w:hAnsi="Times New Roman" w:cs="Times New Roman"/>
          <w:sz w:val="22"/>
          <w:szCs w:val="22"/>
          <w:lang w:val="en-GB"/>
        </w:rPr>
        <w:t xml:space="preserve">ations that did not receive direct UNDP support </w:t>
      </w:r>
      <w:r w:rsidR="0053540B">
        <w:rPr>
          <w:rFonts w:ascii="Times New Roman" w:hAnsi="Times New Roman" w:cs="Times New Roman"/>
          <w:sz w:val="22"/>
          <w:szCs w:val="22"/>
          <w:lang w:val="en-GB"/>
        </w:rPr>
        <w:t>(e.g. PWWSD</w:t>
      </w:r>
      <w:r w:rsidRPr="00647752">
        <w:rPr>
          <w:rFonts w:ascii="Times New Roman" w:hAnsi="Times New Roman" w:cs="Times New Roman"/>
          <w:sz w:val="22"/>
          <w:szCs w:val="22"/>
          <w:lang w:val="en-GB"/>
        </w:rPr>
        <w:t xml:space="preserve"> is cooperating with the Arab Agricultural Centre for Development on economic empowerment of women).</w:t>
      </w:r>
    </w:p>
    <w:p w:rsidR="002A039A" w:rsidRPr="00647752" w:rsidRDefault="002A039A" w:rsidP="00FB6759">
      <w:pPr>
        <w:spacing w:after="0" w:line="240" w:lineRule="auto"/>
        <w:jc w:val="both"/>
        <w:rPr>
          <w:rFonts w:ascii="Times New Roman" w:hAnsi="Times New Roman" w:cs="Times New Roman"/>
          <w:lang w:val="en-GB"/>
        </w:rPr>
      </w:pPr>
    </w:p>
    <w:p w:rsidR="007D7579" w:rsidRPr="00647752" w:rsidRDefault="007D7579"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UNDP support has also enhanced academic research a</w:t>
      </w:r>
      <w:r w:rsidR="00880412">
        <w:rPr>
          <w:rFonts w:ascii="Times New Roman" w:hAnsi="Times New Roman" w:cs="Times New Roman"/>
          <w:sz w:val="22"/>
          <w:szCs w:val="22"/>
          <w:lang w:val="en-GB"/>
        </w:rPr>
        <w:t xml:space="preserve">nd conferences </w:t>
      </w:r>
      <w:r w:rsidRPr="00647752">
        <w:rPr>
          <w:rFonts w:ascii="Times New Roman" w:hAnsi="Times New Roman" w:cs="Times New Roman"/>
          <w:sz w:val="22"/>
          <w:szCs w:val="22"/>
          <w:lang w:val="en-GB"/>
        </w:rPr>
        <w:t>centr</w:t>
      </w:r>
      <w:r w:rsidR="00880412">
        <w:rPr>
          <w:rFonts w:ascii="Times New Roman" w:hAnsi="Times New Roman" w:cs="Times New Roman"/>
          <w:sz w:val="22"/>
          <w:szCs w:val="22"/>
          <w:lang w:val="en-GB"/>
        </w:rPr>
        <w:t xml:space="preserve">ed on women’s rights, </w:t>
      </w:r>
      <w:r w:rsidRPr="00647752">
        <w:rPr>
          <w:rFonts w:ascii="Times New Roman" w:hAnsi="Times New Roman" w:cs="Times New Roman"/>
          <w:sz w:val="22"/>
          <w:szCs w:val="22"/>
          <w:lang w:val="en-GB"/>
        </w:rPr>
        <w:t>such as those conducted by the Birzeit University</w:t>
      </w:r>
      <w:r w:rsidR="00880412">
        <w:rPr>
          <w:rFonts w:ascii="Times New Roman" w:hAnsi="Times New Roman" w:cs="Times New Roman"/>
          <w:sz w:val="22"/>
          <w:szCs w:val="22"/>
          <w:lang w:val="en-GB"/>
        </w:rPr>
        <w:t>’s</w:t>
      </w:r>
      <w:r w:rsidRPr="00647752">
        <w:rPr>
          <w:rFonts w:ascii="Times New Roman" w:hAnsi="Times New Roman" w:cs="Times New Roman"/>
          <w:sz w:val="22"/>
          <w:szCs w:val="22"/>
          <w:lang w:val="en-GB"/>
        </w:rPr>
        <w:t xml:space="preserve"> Institute of Women’s Studies. </w:t>
      </w:r>
      <w:r w:rsidR="00B92F89" w:rsidRPr="00647752">
        <w:rPr>
          <w:rFonts w:ascii="Times New Roman" w:hAnsi="Times New Roman" w:cs="Times New Roman"/>
          <w:sz w:val="22"/>
          <w:szCs w:val="22"/>
          <w:lang w:val="en-GB"/>
        </w:rPr>
        <w:t>Quality academic research often is a time-consuming and labour intensive process, but once completed has the potential to impact widely upo</w:t>
      </w:r>
      <w:r w:rsidR="00880412">
        <w:rPr>
          <w:rFonts w:ascii="Times New Roman" w:hAnsi="Times New Roman" w:cs="Times New Roman"/>
          <w:sz w:val="22"/>
          <w:szCs w:val="22"/>
          <w:lang w:val="en-GB"/>
        </w:rPr>
        <w:t>n policy and gender equality</w:t>
      </w:r>
      <w:r w:rsidR="00B92F89" w:rsidRPr="00647752">
        <w:rPr>
          <w:rFonts w:ascii="Times New Roman" w:hAnsi="Times New Roman" w:cs="Times New Roman"/>
          <w:sz w:val="22"/>
          <w:szCs w:val="22"/>
          <w:lang w:val="en-GB"/>
        </w:rPr>
        <w:t>. Such detailed and multi-faceted research would simply not be possible without the supp</w:t>
      </w:r>
      <w:r w:rsidR="00880412">
        <w:rPr>
          <w:rFonts w:ascii="Times New Roman" w:hAnsi="Times New Roman" w:cs="Times New Roman"/>
          <w:sz w:val="22"/>
          <w:szCs w:val="22"/>
          <w:lang w:val="en-GB"/>
        </w:rPr>
        <w:t xml:space="preserve">ort of UNDP and other donors. </w:t>
      </w:r>
      <w:r w:rsidR="00B92F89" w:rsidRPr="00647752">
        <w:rPr>
          <w:rFonts w:ascii="Times New Roman" w:hAnsi="Times New Roman" w:cs="Times New Roman"/>
          <w:sz w:val="22"/>
          <w:szCs w:val="22"/>
          <w:lang w:val="en-GB"/>
        </w:rPr>
        <w:t>It is the per</w:t>
      </w:r>
      <w:r w:rsidR="00880412">
        <w:rPr>
          <w:rFonts w:ascii="Times New Roman" w:hAnsi="Times New Roman" w:cs="Times New Roman"/>
          <w:sz w:val="22"/>
          <w:szCs w:val="22"/>
          <w:lang w:val="en-GB"/>
        </w:rPr>
        <w:t>ception that Birzeit University,</w:t>
      </w:r>
      <w:r w:rsidR="00B92F89" w:rsidRPr="00647752">
        <w:rPr>
          <w:rFonts w:ascii="Times New Roman" w:hAnsi="Times New Roman" w:cs="Times New Roman"/>
          <w:sz w:val="22"/>
          <w:szCs w:val="22"/>
          <w:lang w:val="en-GB"/>
        </w:rPr>
        <w:t xml:space="preserve"> through its conferences, is putting difficult</w:t>
      </w:r>
      <w:r w:rsidR="00880412">
        <w:rPr>
          <w:rFonts w:ascii="Times New Roman" w:hAnsi="Times New Roman" w:cs="Times New Roman"/>
          <w:sz w:val="22"/>
          <w:szCs w:val="22"/>
          <w:lang w:val="en-GB"/>
        </w:rPr>
        <w:t xml:space="preserve"> issues relating to women’s rights </w:t>
      </w:r>
      <w:r w:rsidR="00B92F89" w:rsidRPr="00647752">
        <w:rPr>
          <w:rFonts w:ascii="Times New Roman" w:hAnsi="Times New Roman" w:cs="Times New Roman"/>
          <w:sz w:val="22"/>
          <w:szCs w:val="22"/>
          <w:lang w:val="en-GB"/>
        </w:rPr>
        <w:t xml:space="preserve">on the agenda. </w:t>
      </w:r>
      <w:r w:rsidR="00880412">
        <w:rPr>
          <w:rFonts w:ascii="Times New Roman" w:hAnsi="Times New Roman" w:cs="Times New Roman"/>
          <w:sz w:val="22"/>
          <w:szCs w:val="22"/>
          <w:lang w:val="en-GB"/>
        </w:rPr>
        <w:t>For example, Birz</w:t>
      </w:r>
      <w:r w:rsidR="000446E7" w:rsidRPr="00647752">
        <w:rPr>
          <w:rFonts w:ascii="Times New Roman" w:hAnsi="Times New Roman" w:cs="Times New Roman"/>
          <w:sz w:val="22"/>
          <w:szCs w:val="22"/>
          <w:lang w:val="en-GB"/>
        </w:rPr>
        <w:t>e</w:t>
      </w:r>
      <w:r w:rsidR="00880412">
        <w:rPr>
          <w:rFonts w:ascii="Times New Roman" w:hAnsi="Times New Roman" w:cs="Times New Roman"/>
          <w:sz w:val="22"/>
          <w:szCs w:val="22"/>
          <w:lang w:val="en-GB"/>
        </w:rPr>
        <w:t>i</w:t>
      </w:r>
      <w:r w:rsidR="000446E7" w:rsidRPr="00647752">
        <w:rPr>
          <w:rFonts w:ascii="Times New Roman" w:hAnsi="Times New Roman" w:cs="Times New Roman"/>
          <w:sz w:val="22"/>
          <w:szCs w:val="22"/>
          <w:lang w:val="en-GB"/>
        </w:rPr>
        <w:t>t University with UNDP support is expected to under</w:t>
      </w:r>
      <w:r w:rsidR="00880412">
        <w:rPr>
          <w:rFonts w:ascii="Times New Roman" w:hAnsi="Times New Roman" w:cs="Times New Roman"/>
          <w:sz w:val="22"/>
          <w:szCs w:val="22"/>
          <w:lang w:val="en-GB"/>
        </w:rPr>
        <w:t xml:space="preserve">take a study of perceptions of </w:t>
      </w:r>
      <w:r w:rsidR="00880412" w:rsidRPr="00880412">
        <w:rPr>
          <w:rFonts w:ascii="Times New Roman" w:hAnsi="Times New Roman" w:cs="Times New Roman"/>
          <w:i/>
          <w:sz w:val="22"/>
          <w:szCs w:val="22"/>
          <w:lang w:val="en-GB"/>
        </w:rPr>
        <w:t>s</w:t>
      </w:r>
      <w:r w:rsidR="000446E7" w:rsidRPr="00880412">
        <w:rPr>
          <w:rFonts w:ascii="Times New Roman" w:hAnsi="Times New Roman" w:cs="Times New Roman"/>
          <w:i/>
          <w:sz w:val="22"/>
          <w:szCs w:val="22"/>
          <w:lang w:val="en-GB"/>
        </w:rPr>
        <w:t>hari’a</w:t>
      </w:r>
      <w:r w:rsidR="00880412">
        <w:rPr>
          <w:rFonts w:ascii="Times New Roman" w:hAnsi="Times New Roman" w:cs="Times New Roman"/>
          <w:sz w:val="22"/>
          <w:szCs w:val="22"/>
          <w:lang w:val="en-GB"/>
        </w:rPr>
        <w:t xml:space="preserve"> law within the coming year. </w:t>
      </w:r>
      <w:r w:rsidR="00B92F89" w:rsidRPr="00647752">
        <w:rPr>
          <w:rFonts w:ascii="Times New Roman" w:hAnsi="Times New Roman" w:cs="Times New Roman"/>
          <w:sz w:val="22"/>
          <w:szCs w:val="22"/>
          <w:lang w:val="en-GB"/>
        </w:rPr>
        <w:t xml:space="preserve">It is very difficult to quantify the impact that such a contribution can make on society over time. </w:t>
      </w:r>
    </w:p>
    <w:p w:rsidR="00490531" w:rsidRDefault="00490531" w:rsidP="00FB6759">
      <w:pPr>
        <w:spacing w:after="0" w:line="240" w:lineRule="auto"/>
        <w:jc w:val="both"/>
        <w:rPr>
          <w:rFonts w:ascii="Times New Roman" w:hAnsi="Times New Roman" w:cs="Times New Roman"/>
          <w:sz w:val="22"/>
          <w:szCs w:val="22"/>
          <w:lang w:val="en-GB"/>
        </w:rPr>
      </w:pPr>
    </w:p>
    <w:p w:rsidR="00490531" w:rsidRDefault="0079046A"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Representing one of the most significant</w:t>
      </w:r>
      <w:r w:rsidR="00880412">
        <w:rPr>
          <w:rFonts w:ascii="Times New Roman" w:hAnsi="Times New Roman" w:cs="Times New Roman"/>
          <w:sz w:val="22"/>
          <w:szCs w:val="22"/>
          <w:lang w:val="en-GB"/>
        </w:rPr>
        <w:t xml:space="preserve"> examples of impact under Outcome</w:t>
      </w:r>
      <w:r w:rsidRPr="00647752">
        <w:rPr>
          <w:rFonts w:ascii="Times New Roman" w:hAnsi="Times New Roman" w:cs="Times New Roman"/>
          <w:sz w:val="22"/>
          <w:szCs w:val="22"/>
          <w:lang w:val="en-GB"/>
        </w:rPr>
        <w:t xml:space="preserve"> 2 (and </w:t>
      </w:r>
      <w:r w:rsidR="00880412">
        <w:rPr>
          <w:rFonts w:ascii="Times New Roman" w:hAnsi="Times New Roman" w:cs="Times New Roman"/>
          <w:sz w:val="22"/>
          <w:szCs w:val="22"/>
          <w:lang w:val="en-GB"/>
        </w:rPr>
        <w:t xml:space="preserve">indeed Outcome 3), Birzeit University’s conferences on </w:t>
      </w:r>
      <w:r w:rsidR="00880412" w:rsidRPr="00880412">
        <w:rPr>
          <w:rFonts w:ascii="Times New Roman" w:hAnsi="Times New Roman" w:cs="Times New Roman"/>
          <w:i/>
          <w:sz w:val="22"/>
          <w:szCs w:val="22"/>
          <w:lang w:val="en-GB"/>
        </w:rPr>
        <w:t>s</w:t>
      </w:r>
      <w:r w:rsidRPr="00880412">
        <w:rPr>
          <w:rFonts w:ascii="Times New Roman" w:hAnsi="Times New Roman" w:cs="Times New Roman"/>
          <w:i/>
          <w:sz w:val="22"/>
          <w:szCs w:val="22"/>
          <w:lang w:val="en-GB"/>
        </w:rPr>
        <w:t>hari’a</w:t>
      </w:r>
      <w:r w:rsidRPr="00647752">
        <w:rPr>
          <w:rFonts w:ascii="Times New Roman" w:hAnsi="Times New Roman" w:cs="Times New Roman"/>
          <w:sz w:val="22"/>
          <w:szCs w:val="22"/>
          <w:lang w:val="en-GB"/>
        </w:rPr>
        <w:t xml:space="preserve"> law were the only fora for brin</w:t>
      </w:r>
      <w:r w:rsidR="00880412">
        <w:rPr>
          <w:rFonts w:ascii="Times New Roman" w:hAnsi="Times New Roman" w:cs="Times New Roman"/>
          <w:sz w:val="22"/>
          <w:szCs w:val="22"/>
          <w:lang w:val="en-GB"/>
        </w:rPr>
        <w:t>g</w:t>
      </w:r>
      <w:r w:rsidRPr="00647752">
        <w:rPr>
          <w:rFonts w:ascii="Times New Roman" w:hAnsi="Times New Roman" w:cs="Times New Roman"/>
          <w:sz w:val="22"/>
          <w:szCs w:val="22"/>
          <w:lang w:val="en-GB"/>
        </w:rPr>
        <w:t xml:space="preserve">ing </w:t>
      </w:r>
      <w:r w:rsidR="00880412" w:rsidRPr="00880412">
        <w:rPr>
          <w:rFonts w:ascii="Times New Roman" w:hAnsi="Times New Roman" w:cs="Times New Roman"/>
          <w:i/>
          <w:sz w:val="22"/>
          <w:szCs w:val="22"/>
          <w:lang w:val="en-GB"/>
        </w:rPr>
        <w:t>s</w:t>
      </w:r>
      <w:r w:rsidR="000C369C" w:rsidRPr="00880412">
        <w:rPr>
          <w:rFonts w:ascii="Times New Roman" w:hAnsi="Times New Roman" w:cs="Times New Roman"/>
          <w:i/>
          <w:sz w:val="22"/>
          <w:szCs w:val="22"/>
          <w:lang w:val="en-GB"/>
        </w:rPr>
        <w:t>hari’a</w:t>
      </w:r>
      <w:r w:rsidRPr="00647752">
        <w:rPr>
          <w:rFonts w:ascii="Times New Roman" w:hAnsi="Times New Roman" w:cs="Times New Roman"/>
          <w:sz w:val="22"/>
          <w:szCs w:val="22"/>
          <w:lang w:val="en-GB"/>
        </w:rPr>
        <w:t xml:space="preserve"> court judges from all over </w:t>
      </w:r>
      <w:r w:rsidR="00880412">
        <w:rPr>
          <w:rFonts w:ascii="Times New Roman" w:hAnsi="Times New Roman" w:cs="Times New Roman"/>
          <w:sz w:val="22"/>
          <w:szCs w:val="22"/>
          <w:lang w:val="en-GB"/>
        </w:rPr>
        <w:t xml:space="preserve">the </w:t>
      </w:r>
      <w:r w:rsidR="00DE216A" w:rsidRPr="00647752">
        <w:rPr>
          <w:rFonts w:ascii="Times New Roman" w:hAnsi="Times New Roman" w:cs="Times New Roman"/>
          <w:sz w:val="22"/>
          <w:szCs w:val="22"/>
          <w:lang w:val="en-GB"/>
        </w:rPr>
        <w:t>oPt</w:t>
      </w:r>
      <w:r w:rsidRPr="00647752">
        <w:rPr>
          <w:rFonts w:ascii="Times New Roman" w:hAnsi="Times New Roman" w:cs="Times New Roman"/>
          <w:sz w:val="22"/>
          <w:szCs w:val="22"/>
          <w:lang w:val="en-GB"/>
        </w:rPr>
        <w:t xml:space="preserve"> to</w:t>
      </w:r>
      <w:r w:rsidR="00880412">
        <w:rPr>
          <w:rFonts w:ascii="Times New Roman" w:hAnsi="Times New Roman" w:cs="Times New Roman"/>
          <w:sz w:val="22"/>
          <w:szCs w:val="22"/>
          <w:lang w:val="en-GB"/>
        </w:rPr>
        <w:t>gether to discuss</w:t>
      </w:r>
      <w:r w:rsidRPr="00647752">
        <w:rPr>
          <w:rFonts w:ascii="Times New Roman" w:hAnsi="Times New Roman" w:cs="Times New Roman"/>
          <w:sz w:val="22"/>
          <w:szCs w:val="22"/>
          <w:lang w:val="en-GB"/>
        </w:rPr>
        <w:t xml:space="preserve"> different interpretations of the law. </w:t>
      </w:r>
      <w:r w:rsidR="00880412">
        <w:rPr>
          <w:rFonts w:ascii="Times New Roman" w:hAnsi="Times New Roman" w:cs="Times New Roman"/>
          <w:sz w:val="22"/>
          <w:szCs w:val="22"/>
          <w:lang w:val="en-GB"/>
        </w:rPr>
        <w:t xml:space="preserve">The Supreme </w:t>
      </w:r>
      <w:r w:rsidR="000C369C" w:rsidRPr="00880412">
        <w:rPr>
          <w:rFonts w:ascii="Times New Roman" w:hAnsi="Times New Roman" w:cs="Times New Roman"/>
          <w:i/>
          <w:sz w:val="22"/>
          <w:szCs w:val="22"/>
          <w:lang w:val="en-GB"/>
        </w:rPr>
        <w:t>Shari’a</w:t>
      </w:r>
      <w:r w:rsidR="00880412">
        <w:rPr>
          <w:rFonts w:ascii="Times New Roman" w:hAnsi="Times New Roman" w:cs="Times New Roman"/>
          <w:sz w:val="22"/>
          <w:szCs w:val="22"/>
          <w:lang w:val="en-GB"/>
        </w:rPr>
        <w:t xml:space="preserve"> Judge</w:t>
      </w:r>
      <w:r w:rsidRPr="00647752">
        <w:rPr>
          <w:rFonts w:ascii="Times New Roman" w:hAnsi="Times New Roman" w:cs="Times New Roman"/>
          <w:sz w:val="22"/>
          <w:szCs w:val="22"/>
          <w:lang w:val="en-GB"/>
        </w:rPr>
        <w:t xml:space="preserve"> was </w:t>
      </w:r>
      <w:r w:rsidR="00880412">
        <w:rPr>
          <w:rFonts w:ascii="Times New Roman" w:hAnsi="Times New Roman" w:cs="Times New Roman"/>
          <w:sz w:val="22"/>
          <w:szCs w:val="22"/>
          <w:lang w:val="en-GB"/>
        </w:rPr>
        <w:t>present. The conferences organis</w:t>
      </w:r>
      <w:r w:rsidRPr="00647752">
        <w:rPr>
          <w:rFonts w:ascii="Times New Roman" w:hAnsi="Times New Roman" w:cs="Times New Roman"/>
          <w:sz w:val="22"/>
          <w:szCs w:val="22"/>
          <w:lang w:val="en-GB"/>
        </w:rPr>
        <w:t>ed by Bi</w:t>
      </w:r>
      <w:r w:rsidR="001D220F" w:rsidRPr="00647752">
        <w:rPr>
          <w:rFonts w:ascii="Times New Roman" w:hAnsi="Times New Roman" w:cs="Times New Roman"/>
          <w:sz w:val="22"/>
          <w:szCs w:val="22"/>
          <w:lang w:val="en-GB"/>
        </w:rPr>
        <w:t>rz</w:t>
      </w:r>
      <w:r w:rsidRPr="00647752">
        <w:rPr>
          <w:rFonts w:ascii="Times New Roman" w:hAnsi="Times New Roman" w:cs="Times New Roman"/>
          <w:sz w:val="22"/>
          <w:szCs w:val="22"/>
          <w:lang w:val="en-GB"/>
        </w:rPr>
        <w:t>eit</w:t>
      </w:r>
      <w:r w:rsidR="00227679">
        <w:rPr>
          <w:rFonts w:ascii="Times New Roman" w:hAnsi="Times New Roman" w:cs="Times New Roman"/>
          <w:sz w:val="22"/>
          <w:szCs w:val="22"/>
          <w:lang w:val="en-GB"/>
        </w:rPr>
        <w:t xml:space="preserve"> </w:t>
      </w:r>
      <w:r w:rsidR="00880412">
        <w:rPr>
          <w:rFonts w:ascii="Times New Roman" w:hAnsi="Times New Roman" w:cs="Times New Roman"/>
          <w:sz w:val="22"/>
          <w:szCs w:val="22"/>
          <w:lang w:val="en-GB"/>
        </w:rPr>
        <w:t xml:space="preserve">University </w:t>
      </w:r>
      <w:r w:rsidRPr="00647752">
        <w:rPr>
          <w:rFonts w:ascii="Times New Roman" w:hAnsi="Times New Roman" w:cs="Times New Roman"/>
          <w:sz w:val="22"/>
          <w:szCs w:val="22"/>
          <w:lang w:val="en-GB"/>
        </w:rPr>
        <w:t xml:space="preserve">were directly influential on the Supreme </w:t>
      </w:r>
      <w:r w:rsidR="00880412" w:rsidRPr="00880412">
        <w:rPr>
          <w:rFonts w:ascii="Times New Roman" w:hAnsi="Times New Roman" w:cs="Times New Roman"/>
          <w:i/>
          <w:sz w:val="22"/>
          <w:szCs w:val="22"/>
          <w:lang w:val="en-GB"/>
        </w:rPr>
        <w:t>Shari’a</w:t>
      </w:r>
      <w:r w:rsidR="00227679">
        <w:rPr>
          <w:rFonts w:ascii="Times New Roman" w:hAnsi="Times New Roman" w:cs="Times New Roman"/>
          <w:i/>
          <w:sz w:val="22"/>
          <w:szCs w:val="22"/>
          <w:lang w:val="en-GB"/>
        </w:rPr>
        <w:t xml:space="preserve"> </w:t>
      </w:r>
      <w:r w:rsidRPr="00880412">
        <w:rPr>
          <w:rFonts w:ascii="Times New Roman" w:hAnsi="Times New Roman" w:cs="Times New Roman"/>
          <w:sz w:val="22"/>
          <w:szCs w:val="22"/>
          <w:lang w:val="en-GB"/>
        </w:rPr>
        <w:lastRenderedPageBreak/>
        <w:t>Judge’s</w:t>
      </w:r>
      <w:r w:rsidRPr="00647752">
        <w:rPr>
          <w:rFonts w:ascii="Times New Roman" w:hAnsi="Times New Roman" w:cs="Times New Roman"/>
          <w:sz w:val="22"/>
          <w:szCs w:val="22"/>
          <w:lang w:val="en-GB"/>
        </w:rPr>
        <w:t xml:space="preserve"> decision to issue changes on the interpretation of </w:t>
      </w:r>
      <w:r w:rsidR="00880412" w:rsidRPr="00880412">
        <w:rPr>
          <w:rFonts w:ascii="Times New Roman" w:hAnsi="Times New Roman" w:cs="Times New Roman"/>
          <w:i/>
          <w:sz w:val="22"/>
          <w:szCs w:val="22"/>
          <w:lang w:val="en-GB"/>
        </w:rPr>
        <w:t>s</w:t>
      </w:r>
      <w:r w:rsidR="000C369C" w:rsidRPr="00880412">
        <w:rPr>
          <w:rFonts w:ascii="Times New Roman" w:hAnsi="Times New Roman" w:cs="Times New Roman"/>
          <w:i/>
          <w:sz w:val="22"/>
          <w:szCs w:val="22"/>
          <w:lang w:val="en-GB"/>
        </w:rPr>
        <w:t>hari’a</w:t>
      </w:r>
      <w:r w:rsidRPr="00647752">
        <w:rPr>
          <w:rFonts w:ascii="Times New Roman" w:hAnsi="Times New Roman" w:cs="Times New Roman"/>
          <w:sz w:val="22"/>
          <w:szCs w:val="22"/>
          <w:lang w:val="en-GB"/>
        </w:rPr>
        <w:t xml:space="preserve"> law in </w:t>
      </w:r>
      <w:r w:rsidR="00DE216A" w:rsidRPr="00647752">
        <w:rPr>
          <w:rFonts w:ascii="Times New Roman" w:hAnsi="Times New Roman" w:cs="Times New Roman"/>
          <w:sz w:val="22"/>
          <w:szCs w:val="22"/>
          <w:lang w:val="en-GB"/>
        </w:rPr>
        <w:t>oPt</w:t>
      </w:r>
      <w:r w:rsidR="00880412">
        <w:rPr>
          <w:rFonts w:ascii="Times New Roman" w:hAnsi="Times New Roman" w:cs="Times New Roman"/>
          <w:sz w:val="22"/>
          <w:szCs w:val="22"/>
          <w:lang w:val="en-GB"/>
        </w:rPr>
        <w:t>, instituting a waiting time of four</w:t>
      </w:r>
      <w:r w:rsidR="00880412" w:rsidRPr="004A29F9">
        <w:rPr>
          <w:rFonts w:ascii="Times New Roman" w:hAnsi="Times New Roman" w:cs="Times New Roman"/>
          <w:sz w:val="22"/>
          <w:szCs w:val="22"/>
          <w:lang w:val="en-GB"/>
        </w:rPr>
        <w:t xml:space="preserve"> months minimum after a parent’s death before issues of inheritance can be discussed and then the property must be registered and the disposition of property occur in a supervised manner. This is a great improvement because formerly brothers would approach a sister immediately after the father’s death and convince the sister to give up all property and there was no registration of the property or supervision by the </w:t>
      </w:r>
      <w:r w:rsidR="00880412" w:rsidRPr="009D2848">
        <w:rPr>
          <w:rFonts w:ascii="Times New Roman" w:hAnsi="Times New Roman" w:cs="Times New Roman"/>
          <w:i/>
          <w:sz w:val="22"/>
          <w:szCs w:val="22"/>
          <w:lang w:val="en-GB"/>
        </w:rPr>
        <w:t>shari’a</w:t>
      </w:r>
      <w:r w:rsidR="00880412" w:rsidRPr="004A29F9">
        <w:rPr>
          <w:rFonts w:ascii="Times New Roman" w:hAnsi="Times New Roman" w:cs="Times New Roman"/>
          <w:sz w:val="22"/>
          <w:szCs w:val="22"/>
          <w:lang w:val="en-GB"/>
        </w:rPr>
        <w:t xml:space="preserve"> court. Now women have the right to be informed</w:t>
      </w:r>
      <w:r w:rsidR="00880412">
        <w:rPr>
          <w:rFonts w:ascii="Times New Roman" w:hAnsi="Times New Roman" w:cs="Times New Roman"/>
          <w:sz w:val="22"/>
          <w:szCs w:val="22"/>
          <w:lang w:val="en-GB"/>
        </w:rPr>
        <w:t xml:space="preserve"> and are able to make an informed decision.</w:t>
      </w:r>
    </w:p>
    <w:p w:rsidR="00880412" w:rsidRDefault="00880412" w:rsidP="00FB6759">
      <w:pPr>
        <w:spacing w:after="0" w:line="240" w:lineRule="auto"/>
        <w:jc w:val="both"/>
        <w:rPr>
          <w:rFonts w:ascii="Times New Roman" w:hAnsi="Times New Roman" w:cs="Times New Roman"/>
          <w:sz w:val="22"/>
          <w:szCs w:val="22"/>
          <w:lang w:val="en-GB"/>
        </w:rPr>
      </w:pPr>
    </w:p>
    <w:p w:rsidR="001E75B4" w:rsidRPr="00647752" w:rsidRDefault="00397FDE" w:rsidP="00FB6759">
      <w:pPr>
        <w:spacing w:after="0" w:line="240" w:lineRule="auto"/>
        <w:jc w:val="both"/>
        <w:rPr>
          <w:rFonts w:ascii="Times New Roman" w:hAnsi="Times New Roman" w:cs="Times New Roman"/>
          <w:sz w:val="22"/>
          <w:szCs w:val="22"/>
          <w:lang w:val="en-GB"/>
        </w:rPr>
      </w:pPr>
      <w:r w:rsidRPr="004A29F9">
        <w:rPr>
          <w:rFonts w:ascii="Times New Roman" w:hAnsi="Times New Roman" w:cs="Times New Roman"/>
          <w:sz w:val="22"/>
          <w:szCs w:val="22"/>
          <w:lang w:val="en-GB"/>
        </w:rPr>
        <w:t>Another important outcome of the UNDP supported research and works</w:t>
      </w:r>
      <w:r>
        <w:rPr>
          <w:rFonts w:ascii="Times New Roman" w:hAnsi="Times New Roman" w:cs="Times New Roman"/>
          <w:sz w:val="22"/>
          <w:szCs w:val="22"/>
          <w:lang w:val="en-GB"/>
        </w:rPr>
        <w:t>hops was the fact that the</w:t>
      </w:r>
      <w:r w:rsidR="00227679">
        <w:rPr>
          <w:rFonts w:ascii="Times New Roman" w:hAnsi="Times New Roman" w:cs="Times New Roman"/>
          <w:sz w:val="22"/>
          <w:szCs w:val="22"/>
          <w:lang w:val="en-GB"/>
        </w:rPr>
        <w:t xml:space="preserve"> </w:t>
      </w:r>
      <w:r>
        <w:rPr>
          <w:rFonts w:ascii="Times New Roman" w:hAnsi="Times New Roman" w:cs="Times New Roman"/>
          <w:i/>
          <w:sz w:val="22"/>
          <w:szCs w:val="22"/>
          <w:lang w:val="en-GB"/>
        </w:rPr>
        <w:t>shari’a</w:t>
      </w:r>
      <w:r w:rsidR="00227679">
        <w:rPr>
          <w:rFonts w:ascii="Times New Roman" w:hAnsi="Times New Roman" w:cs="Times New Roman"/>
          <w:i/>
          <w:sz w:val="22"/>
          <w:szCs w:val="22"/>
          <w:lang w:val="en-GB"/>
        </w:rPr>
        <w:t xml:space="preserve"> </w:t>
      </w:r>
      <w:r>
        <w:rPr>
          <w:rFonts w:ascii="Times New Roman" w:hAnsi="Times New Roman" w:cs="Times New Roman"/>
          <w:sz w:val="22"/>
          <w:szCs w:val="22"/>
          <w:lang w:val="en-GB"/>
        </w:rPr>
        <w:t xml:space="preserve">court </w:t>
      </w:r>
      <w:r w:rsidRPr="004A29F9">
        <w:rPr>
          <w:rFonts w:ascii="Times New Roman" w:hAnsi="Times New Roman" w:cs="Times New Roman"/>
          <w:sz w:val="22"/>
          <w:szCs w:val="22"/>
          <w:lang w:val="en-GB"/>
        </w:rPr>
        <w:t xml:space="preserve">judges </w:t>
      </w:r>
      <w:r>
        <w:rPr>
          <w:rFonts w:ascii="Times New Roman" w:hAnsi="Times New Roman" w:cs="Times New Roman"/>
          <w:sz w:val="22"/>
          <w:szCs w:val="22"/>
          <w:lang w:val="en-GB"/>
        </w:rPr>
        <w:t>realis</w:t>
      </w:r>
      <w:r w:rsidRPr="004A29F9">
        <w:rPr>
          <w:rFonts w:ascii="Times New Roman" w:hAnsi="Times New Roman" w:cs="Times New Roman"/>
          <w:sz w:val="22"/>
          <w:szCs w:val="22"/>
          <w:lang w:val="en-GB"/>
        </w:rPr>
        <w:t xml:space="preserve">ed that there was a lack of uniformity of application of </w:t>
      </w:r>
      <w:r w:rsidRPr="009D2848">
        <w:rPr>
          <w:rFonts w:ascii="Times New Roman" w:hAnsi="Times New Roman" w:cs="Times New Roman"/>
          <w:i/>
          <w:sz w:val="22"/>
          <w:szCs w:val="22"/>
          <w:lang w:val="en-GB"/>
        </w:rPr>
        <w:t>shari’a</w:t>
      </w:r>
      <w:r w:rsidRPr="004A29F9">
        <w:rPr>
          <w:rFonts w:ascii="Times New Roman" w:hAnsi="Times New Roman" w:cs="Times New Roman"/>
          <w:sz w:val="22"/>
          <w:szCs w:val="22"/>
          <w:lang w:val="en-GB"/>
        </w:rPr>
        <w:t xml:space="preserve"> law and also how widely social context h</w:t>
      </w:r>
      <w:r>
        <w:rPr>
          <w:rFonts w:ascii="Times New Roman" w:hAnsi="Times New Roman" w:cs="Times New Roman"/>
          <w:sz w:val="22"/>
          <w:szCs w:val="22"/>
          <w:lang w:val="en-GB"/>
        </w:rPr>
        <w:t>ad influenced their decisions. This was a stunning realisation for most of the</w:t>
      </w:r>
      <w:r w:rsidRPr="004A29F9">
        <w:rPr>
          <w:rFonts w:ascii="Times New Roman" w:hAnsi="Times New Roman" w:cs="Times New Roman"/>
          <w:sz w:val="22"/>
          <w:szCs w:val="22"/>
          <w:lang w:val="en-GB"/>
        </w:rPr>
        <w:t xml:space="preserve"> judges.</w:t>
      </w:r>
      <w:r w:rsidR="00FD3C19">
        <w:rPr>
          <w:rFonts w:ascii="Times New Roman" w:hAnsi="Times New Roman" w:cs="Times New Roman"/>
          <w:sz w:val="22"/>
          <w:szCs w:val="22"/>
          <w:lang w:val="en-GB"/>
        </w:rPr>
        <w:t xml:space="preserve"> </w:t>
      </w:r>
      <w:r w:rsidR="0079046A" w:rsidRPr="00647752">
        <w:rPr>
          <w:rFonts w:ascii="Times New Roman" w:hAnsi="Times New Roman" w:cs="Times New Roman"/>
          <w:sz w:val="22"/>
          <w:szCs w:val="22"/>
          <w:lang w:val="en-GB"/>
        </w:rPr>
        <w:t>There were a number of other reforms introduced</w:t>
      </w:r>
      <w:r w:rsidR="00FD3C19">
        <w:rPr>
          <w:rFonts w:ascii="Times New Roman" w:hAnsi="Times New Roman" w:cs="Times New Roman"/>
          <w:sz w:val="22"/>
          <w:szCs w:val="22"/>
          <w:lang w:val="en-GB"/>
        </w:rPr>
        <w:t xml:space="preserve"> </w:t>
      </w:r>
      <w:r w:rsidR="00507CE2" w:rsidRPr="00647752">
        <w:rPr>
          <w:rFonts w:ascii="Times New Roman" w:hAnsi="Times New Roman" w:cs="Times New Roman"/>
          <w:sz w:val="22"/>
          <w:szCs w:val="22"/>
          <w:lang w:val="en-GB"/>
        </w:rPr>
        <w:t>as well.</w:t>
      </w:r>
    </w:p>
    <w:p w:rsidR="003C4797" w:rsidRPr="00647752" w:rsidRDefault="003C4797" w:rsidP="00FB6759">
      <w:pPr>
        <w:spacing w:after="0" w:line="240" w:lineRule="auto"/>
        <w:rPr>
          <w:rFonts w:ascii="Times New Roman" w:hAnsi="Times New Roman" w:cs="Times New Roman"/>
          <w:sz w:val="22"/>
          <w:szCs w:val="22"/>
          <w:lang w:val="en-GB"/>
        </w:rPr>
      </w:pPr>
    </w:p>
    <w:p w:rsidR="00631FC2" w:rsidRPr="00647752" w:rsidRDefault="00E44E2D" w:rsidP="00FB6759">
      <w:pPr>
        <w:spacing w:after="0" w:line="240" w:lineRule="auto"/>
        <w:rPr>
          <w:rFonts w:ascii="Times New Roman" w:hAnsi="Times New Roman" w:cs="Times New Roman"/>
          <w:i/>
          <w:sz w:val="22"/>
          <w:szCs w:val="22"/>
          <w:lang w:val="en-GB"/>
        </w:rPr>
      </w:pPr>
      <w:r>
        <w:rPr>
          <w:rFonts w:ascii="Times New Roman" w:hAnsi="Times New Roman" w:cs="Times New Roman"/>
          <w:i/>
          <w:sz w:val="22"/>
          <w:szCs w:val="22"/>
          <w:lang w:val="en-GB"/>
        </w:rPr>
        <w:t>Awareness-raising targeting</w:t>
      </w:r>
      <w:r w:rsidR="001B232E" w:rsidRPr="00647752">
        <w:rPr>
          <w:rFonts w:ascii="Times New Roman" w:hAnsi="Times New Roman" w:cs="Times New Roman"/>
          <w:i/>
          <w:sz w:val="22"/>
          <w:szCs w:val="22"/>
          <w:lang w:val="en-GB"/>
        </w:rPr>
        <w:t xml:space="preserve"> youth</w:t>
      </w:r>
    </w:p>
    <w:p w:rsidR="00490531" w:rsidRDefault="00490531" w:rsidP="00FB6759">
      <w:pPr>
        <w:spacing w:after="0" w:line="240" w:lineRule="auto"/>
        <w:jc w:val="both"/>
        <w:rPr>
          <w:rFonts w:ascii="Times New Roman" w:hAnsi="Times New Roman" w:cs="Times New Roman"/>
          <w:sz w:val="22"/>
          <w:szCs w:val="22"/>
          <w:lang w:val="en-GB"/>
        </w:rPr>
      </w:pPr>
    </w:p>
    <w:p w:rsidR="00F432FC" w:rsidRPr="00647752" w:rsidRDefault="008A55EA"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 xml:space="preserve">The Arab Spring has shown the world that the voices of youth </w:t>
      </w:r>
      <w:r w:rsidR="00E44E2D">
        <w:rPr>
          <w:rFonts w:ascii="Times New Roman" w:hAnsi="Times New Roman" w:cs="Times New Roman"/>
          <w:sz w:val="22"/>
          <w:szCs w:val="22"/>
          <w:lang w:val="en-GB"/>
        </w:rPr>
        <w:t>and the way in which they utilis</w:t>
      </w:r>
      <w:r w:rsidR="00621949" w:rsidRPr="00647752">
        <w:rPr>
          <w:rFonts w:ascii="Times New Roman" w:hAnsi="Times New Roman" w:cs="Times New Roman"/>
          <w:sz w:val="22"/>
          <w:szCs w:val="22"/>
          <w:lang w:val="en-GB"/>
        </w:rPr>
        <w:t xml:space="preserve">e technology to communicate and interact with each other </w:t>
      </w:r>
      <w:r w:rsidRPr="00647752">
        <w:rPr>
          <w:rFonts w:ascii="Times New Roman" w:hAnsi="Times New Roman" w:cs="Times New Roman"/>
          <w:sz w:val="22"/>
          <w:szCs w:val="22"/>
          <w:lang w:val="en-GB"/>
        </w:rPr>
        <w:t xml:space="preserve">cannot be discounted. </w:t>
      </w:r>
      <w:r w:rsidR="00F432FC" w:rsidRPr="00647752">
        <w:rPr>
          <w:rFonts w:ascii="Times New Roman" w:hAnsi="Times New Roman" w:cs="Times New Roman"/>
          <w:sz w:val="22"/>
          <w:szCs w:val="22"/>
          <w:lang w:val="en-GB"/>
        </w:rPr>
        <w:t>According to the P</w:t>
      </w:r>
      <w:r w:rsidR="00E44E2D">
        <w:rPr>
          <w:rFonts w:ascii="Times New Roman" w:hAnsi="Times New Roman" w:cs="Times New Roman"/>
          <w:sz w:val="22"/>
          <w:szCs w:val="22"/>
          <w:lang w:val="en-GB"/>
        </w:rPr>
        <w:t>CBS, 29.4% of the p</w:t>
      </w:r>
      <w:r w:rsidR="00F432FC" w:rsidRPr="00647752">
        <w:rPr>
          <w:rFonts w:ascii="Times New Roman" w:hAnsi="Times New Roman" w:cs="Times New Roman"/>
          <w:sz w:val="22"/>
          <w:szCs w:val="22"/>
          <w:lang w:val="en-GB"/>
        </w:rPr>
        <w:t>opulati</w:t>
      </w:r>
      <w:r w:rsidR="00E44E2D">
        <w:rPr>
          <w:rFonts w:ascii="Times New Roman" w:hAnsi="Times New Roman" w:cs="Times New Roman"/>
          <w:sz w:val="22"/>
          <w:szCs w:val="22"/>
          <w:lang w:val="en-GB"/>
        </w:rPr>
        <w:t xml:space="preserve">on in the oPt in </w:t>
      </w:r>
      <w:r w:rsidR="00F432FC" w:rsidRPr="00647752">
        <w:rPr>
          <w:rFonts w:ascii="Times New Roman" w:hAnsi="Times New Roman" w:cs="Times New Roman"/>
          <w:sz w:val="22"/>
          <w:szCs w:val="22"/>
          <w:lang w:val="en-GB"/>
        </w:rPr>
        <w:t>2010 were youth (15-29 years)</w:t>
      </w:r>
      <w:r w:rsidR="00E44E2D">
        <w:rPr>
          <w:rFonts w:ascii="Times New Roman" w:hAnsi="Times New Roman" w:cs="Times New Roman"/>
          <w:sz w:val="22"/>
          <w:szCs w:val="22"/>
          <w:lang w:val="en-GB"/>
        </w:rPr>
        <w:t>. W</w:t>
      </w:r>
      <w:r w:rsidR="00F432FC" w:rsidRPr="00647752">
        <w:rPr>
          <w:rFonts w:ascii="Times New Roman" w:hAnsi="Times New Roman" w:cs="Times New Roman"/>
          <w:sz w:val="22"/>
          <w:szCs w:val="22"/>
          <w:lang w:val="en-GB"/>
        </w:rPr>
        <w:t>hile one out of every three youth old enough to participate in the labour force was une</w:t>
      </w:r>
      <w:r w:rsidR="00E44E2D">
        <w:rPr>
          <w:rFonts w:ascii="Times New Roman" w:hAnsi="Times New Roman" w:cs="Times New Roman"/>
          <w:sz w:val="22"/>
          <w:szCs w:val="22"/>
          <w:lang w:val="en-GB"/>
        </w:rPr>
        <w:t>mployed in 2010, n</w:t>
      </w:r>
      <w:r w:rsidR="00621949" w:rsidRPr="00647752">
        <w:rPr>
          <w:rFonts w:ascii="Times New Roman" w:hAnsi="Times New Roman" w:cs="Times New Roman"/>
          <w:sz w:val="22"/>
          <w:szCs w:val="22"/>
          <w:lang w:val="en-GB"/>
        </w:rPr>
        <w:t>early half (46.7%) of young peo</w:t>
      </w:r>
      <w:r w:rsidR="00E44E2D">
        <w:rPr>
          <w:rFonts w:ascii="Times New Roman" w:hAnsi="Times New Roman" w:cs="Times New Roman"/>
          <w:sz w:val="22"/>
          <w:szCs w:val="22"/>
          <w:lang w:val="en-GB"/>
        </w:rPr>
        <w:t xml:space="preserve">ple in the oPt use the internet; over one third </w:t>
      </w:r>
      <w:r w:rsidR="00621949" w:rsidRPr="00647752">
        <w:rPr>
          <w:rFonts w:ascii="Times New Roman" w:hAnsi="Times New Roman" w:cs="Times New Roman"/>
          <w:sz w:val="22"/>
          <w:szCs w:val="22"/>
          <w:lang w:val="en-GB"/>
        </w:rPr>
        <w:t xml:space="preserve">have email accounts and over 60% have mobile phones. </w:t>
      </w:r>
      <w:r w:rsidR="00F432FC" w:rsidRPr="00647752">
        <w:rPr>
          <w:rFonts w:ascii="Times New Roman" w:hAnsi="Times New Roman" w:cs="Times New Roman"/>
          <w:sz w:val="22"/>
          <w:szCs w:val="22"/>
          <w:lang w:val="en-GB"/>
        </w:rPr>
        <w:t xml:space="preserve">The most shocking statistic: 72.2% of </w:t>
      </w:r>
      <w:r w:rsidR="00621949" w:rsidRPr="00647752">
        <w:rPr>
          <w:rFonts w:ascii="Times New Roman" w:hAnsi="Times New Roman" w:cs="Times New Roman"/>
          <w:sz w:val="22"/>
          <w:szCs w:val="22"/>
          <w:lang w:val="en-GB"/>
        </w:rPr>
        <w:t xml:space="preserve">all </w:t>
      </w:r>
      <w:r w:rsidR="00F432FC" w:rsidRPr="00647752">
        <w:rPr>
          <w:rFonts w:ascii="Times New Roman" w:hAnsi="Times New Roman" w:cs="Times New Roman"/>
          <w:sz w:val="22"/>
          <w:szCs w:val="22"/>
          <w:lang w:val="en-GB"/>
        </w:rPr>
        <w:t xml:space="preserve">persons killed as a result of </w:t>
      </w:r>
      <w:r w:rsidR="00E44E2D">
        <w:rPr>
          <w:rFonts w:ascii="Times New Roman" w:hAnsi="Times New Roman" w:cs="Times New Roman"/>
          <w:sz w:val="22"/>
          <w:szCs w:val="22"/>
          <w:lang w:val="en-GB"/>
        </w:rPr>
        <w:t>the Israeli occupation are youth.</w:t>
      </w:r>
      <w:r w:rsidR="00F432FC" w:rsidRPr="00647752">
        <w:rPr>
          <w:rStyle w:val="FootnoteReference"/>
          <w:rFonts w:ascii="Times New Roman" w:hAnsi="Times New Roman" w:cs="Times New Roman"/>
          <w:sz w:val="22"/>
          <w:szCs w:val="22"/>
          <w:lang w:val="en-GB"/>
        </w:rPr>
        <w:footnoteReference w:id="133"/>
      </w:r>
      <w:r w:rsidR="00640972" w:rsidRPr="00647752">
        <w:rPr>
          <w:rFonts w:ascii="Times New Roman" w:hAnsi="Times New Roman" w:cs="Times New Roman"/>
          <w:sz w:val="22"/>
          <w:szCs w:val="22"/>
          <w:lang w:val="en-GB"/>
        </w:rPr>
        <w:t>More than 90% of the children who become entangled with</w:t>
      </w:r>
      <w:r w:rsidR="00E44E2D">
        <w:rPr>
          <w:rFonts w:ascii="Times New Roman" w:hAnsi="Times New Roman" w:cs="Times New Roman"/>
          <w:sz w:val="22"/>
          <w:szCs w:val="22"/>
          <w:lang w:val="en-GB"/>
        </w:rPr>
        <w:t xml:space="preserve"> Palestinian </w:t>
      </w:r>
      <w:r w:rsidR="00640972" w:rsidRPr="00647752">
        <w:rPr>
          <w:rFonts w:ascii="Times New Roman" w:hAnsi="Times New Roman" w:cs="Times New Roman"/>
          <w:sz w:val="22"/>
          <w:szCs w:val="22"/>
          <w:lang w:val="en-GB"/>
        </w:rPr>
        <w:t>law enforcement are victims of domestic violence.</w:t>
      </w:r>
      <w:r w:rsidR="00640972" w:rsidRPr="00647752">
        <w:rPr>
          <w:rStyle w:val="FootnoteReference"/>
          <w:rFonts w:ascii="Times New Roman" w:hAnsi="Times New Roman" w:cs="Times New Roman"/>
          <w:sz w:val="22"/>
          <w:szCs w:val="22"/>
          <w:lang w:val="en-GB"/>
        </w:rPr>
        <w:footnoteReference w:id="134"/>
      </w:r>
    </w:p>
    <w:p w:rsidR="00490531" w:rsidRDefault="00490531" w:rsidP="00FB6759">
      <w:pPr>
        <w:spacing w:after="0" w:line="240" w:lineRule="auto"/>
        <w:jc w:val="both"/>
        <w:rPr>
          <w:rFonts w:ascii="Times New Roman" w:hAnsi="Times New Roman" w:cs="Times New Roman"/>
          <w:sz w:val="22"/>
          <w:szCs w:val="22"/>
          <w:lang w:val="en-GB"/>
        </w:rPr>
      </w:pPr>
    </w:p>
    <w:p w:rsidR="00B74AA7" w:rsidRPr="00E44E2D" w:rsidRDefault="00621949" w:rsidP="00FB6759">
      <w:pPr>
        <w:spacing w:after="0" w:line="240" w:lineRule="auto"/>
        <w:jc w:val="both"/>
        <w:rPr>
          <w:rFonts w:ascii="Times New Roman" w:hAnsi="Times New Roman" w:cs="Times New Roman"/>
          <w:sz w:val="22"/>
          <w:szCs w:val="22"/>
          <w:lang w:val="en-GB"/>
        </w:rPr>
      </w:pPr>
      <w:r w:rsidRPr="00E44E2D">
        <w:rPr>
          <w:rFonts w:ascii="Times New Roman" w:hAnsi="Times New Roman" w:cs="Times New Roman"/>
          <w:sz w:val="22"/>
          <w:szCs w:val="22"/>
          <w:lang w:val="en-GB"/>
        </w:rPr>
        <w:t xml:space="preserve">Thus, there can be no question that UNDP’s decision to include youth CSOs in its grant scheme was both highly relevant and urgent. </w:t>
      </w:r>
      <w:r w:rsidR="00D540EF" w:rsidRPr="00E44E2D">
        <w:rPr>
          <w:rFonts w:ascii="Times New Roman" w:hAnsi="Times New Roman" w:cs="Times New Roman"/>
          <w:sz w:val="22"/>
          <w:szCs w:val="22"/>
          <w:lang w:val="en-GB"/>
        </w:rPr>
        <w:t xml:space="preserve">Among the CSOs supported by UNDP, Shams is </w:t>
      </w:r>
      <w:r w:rsidR="00640972" w:rsidRPr="00E44E2D">
        <w:rPr>
          <w:rFonts w:ascii="Times New Roman" w:hAnsi="Times New Roman" w:cs="Times New Roman"/>
          <w:sz w:val="22"/>
          <w:szCs w:val="22"/>
          <w:lang w:val="en-GB"/>
        </w:rPr>
        <w:t xml:space="preserve">a good </w:t>
      </w:r>
      <w:r w:rsidR="00D540EF" w:rsidRPr="00E44E2D">
        <w:rPr>
          <w:rFonts w:ascii="Times New Roman" w:hAnsi="Times New Roman" w:cs="Times New Roman"/>
          <w:sz w:val="22"/>
          <w:szCs w:val="22"/>
          <w:lang w:val="en-GB"/>
        </w:rPr>
        <w:t>example of a CSO that is engage</w:t>
      </w:r>
      <w:r w:rsidR="00863979" w:rsidRPr="00E44E2D">
        <w:rPr>
          <w:rFonts w:ascii="Times New Roman" w:hAnsi="Times New Roman" w:cs="Times New Roman"/>
          <w:sz w:val="22"/>
          <w:szCs w:val="22"/>
          <w:lang w:val="en-GB"/>
        </w:rPr>
        <w:t>d with</w:t>
      </w:r>
      <w:r w:rsidR="00640972" w:rsidRPr="00E44E2D">
        <w:rPr>
          <w:rFonts w:ascii="Times New Roman" w:hAnsi="Times New Roman" w:cs="Times New Roman"/>
          <w:sz w:val="22"/>
          <w:szCs w:val="22"/>
          <w:lang w:val="en-GB"/>
        </w:rPr>
        <w:t xml:space="preserve"> adolescents and youth</w:t>
      </w:r>
      <w:r w:rsidR="00863979" w:rsidRPr="00E44E2D">
        <w:rPr>
          <w:rFonts w:ascii="Times New Roman" w:hAnsi="Times New Roman" w:cs="Times New Roman"/>
          <w:sz w:val="22"/>
          <w:szCs w:val="22"/>
          <w:lang w:val="en-GB"/>
        </w:rPr>
        <w:t xml:space="preserve"> to promote a culture of human rights and rule of law</w:t>
      </w:r>
      <w:r w:rsidR="00D540EF" w:rsidRPr="00E44E2D">
        <w:rPr>
          <w:rFonts w:ascii="Times New Roman" w:hAnsi="Times New Roman" w:cs="Times New Roman"/>
          <w:sz w:val="22"/>
          <w:szCs w:val="22"/>
          <w:lang w:val="en-GB"/>
        </w:rPr>
        <w:t>.</w:t>
      </w:r>
      <w:r w:rsidR="00D540EF" w:rsidRPr="00E44E2D">
        <w:rPr>
          <w:rStyle w:val="FootnoteReference"/>
          <w:rFonts w:ascii="Times New Roman" w:hAnsi="Times New Roman" w:cs="Times New Roman"/>
          <w:sz w:val="22"/>
          <w:szCs w:val="22"/>
          <w:lang w:val="en-GB"/>
        </w:rPr>
        <w:footnoteReference w:id="135"/>
      </w:r>
      <w:r w:rsidR="00FF2A9A" w:rsidRPr="00E44E2D">
        <w:rPr>
          <w:rFonts w:ascii="Times New Roman" w:hAnsi="Times New Roman" w:cs="Times New Roman"/>
          <w:sz w:val="22"/>
          <w:szCs w:val="22"/>
          <w:lang w:val="en-GB"/>
        </w:rPr>
        <w:t>Shams used the UN</w:t>
      </w:r>
      <w:r w:rsidR="00E44E2D">
        <w:rPr>
          <w:rFonts w:ascii="Times New Roman" w:hAnsi="Times New Roman" w:cs="Times New Roman"/>
          <w:sz w:val="22"/>
          <w:szCs w:val="22"/>
          <w:lang w:val="en-GB"/>
        </w:rPr>
        <w:t xml:space="preserve">DP </w:t>
      </w:r>
      <w:r w:rsidR="00FF2A9A" w:rsidRPr="00E44E2D">
        <w:rPr>
          <w:rFonts w:ascii="Times New Roman" w:hAnsi="Times New Roman" w:cs="Times New Roman"/>
          <w:sz w:val="22"/>
          <w:szCs w:val="22"/>
          <w:lang w:val="en-GB"/>
        </w:rPr>
        <w:t>funds to conduct wor</w:t>
      </w:r>
      <w:r w:rsidR="00863979" w:rsidRPr="00E44E2D">
        <w:rPr>
          <w:rFonts w:ascii="Times New Roman" w:hAnsi="Times New Roman" w:cs="Times New Roman"/>
          <w:sz w:val="22"/>
          <w:szCs w:val="22"/>
          <w:lang w:val="en-GB"/>
        </w:rPr>
        <w:t xml:space="preserve">kshops </w:t>
      </w:r>
      <w:r w:rsidR="00E44E2D">
        <w:rPr>
          <w:rFonts w:ascii="Times New Roman" w:hAnsi="Times New Roman" w:cs="Times New Roman"/>
          <w:sz w:val="22"/>
          <w:szCs w:val="22"/>
          <w:lang w:val="en-GB"/>
        </w:rPr>
        <w:t>and media activities targeting</w:t>
      </w:r>
      <w:r w:rsidR="00863979" w:rsidRPr="00E44E2D">
        <w:rPr>
          <w:rFonts w:ascii="Times New Roman" w:hAnsi="Times New Roman" w:cs="Times New Roman"/>
          <w:sz w:val="22"/>
          <w:szCs w:val="22"/>
          <w:lang w:val="en-GB"/>
        </w:rPr>
        <w:t xml:space="preserve"> law, media and communications</w:t>
      </w:r>
      <w:r w:rsidR="00E44E2D">
        <w:rPr>
          <w:rFonts w:ascii="Times New Roman" w:hAnsi="Times New Roman" w:cs="Times New Roman"/>
          <w:sz w:val="22"/>
          <w:szCs w:val="22"/>
          <w:lang w:val="en-GB"/>
        </w:rPr>
        <w:t>,</w:t>
      </w:r>
      <w:r w:rsidR="00863979" w:rsidRPr="00E44E2D">
        <w:rPr>
          <w:rFonts w:ascii="Times New Roman" w:hAnsi="Times New Roman" w:cs="Times New Roman"/>
          <w:sz w:val="22"/>
          <w:szCs w:val="22"/>
          <w:lang w:val="en-GB"/>
        </w:rPr>
        <w:t xml:space="preserve"> and political science students</w:t>
      </w:r>
      <w:r w:rsidR="001D220F" w:rsidRPr="00E44E2D">
        <w:rPr>
          <w:rFonts w:ascii="Times New Roman" w:hAnsi="Times New Roman" w:cs="Times New Roman"/>
          <w:sz w:val="22"/>
          <w:szCs w:val="22"/>
          <w:lang w:val="en-GB"/>
        </w:rPr>
        <w:t>.</w:t>
      </w:r>
      <w:r w:rsidR="00E44E2D">
        <w:rPr>
          <w:rFonts w:ascii="Times New Roman" w:hAnsi="Times New Roman" w:cs="Times New Roman"/>
          <w:sz w:val="22"/>
          <w:szCs w:val="22"/>
          <w:lang w:val="en-GB"/>
        </w:rPr>
        <w:t xml:space="preserve"> Participants </w:t>
      </w:r>
      <w:r w:rsidR="00FF2A9A" w:rsidRPr="00E44E2D">
        <w:rPr>
          <w:rFonts w:ascii="Times New Roman" w:hAnsi="Times New Roman" w:cs="Times New Roman"/>
          <w:sz w:val="22"/>
          <w:szCs w:val="22"/>
          <w:lang w:val="en-GB"/>
        </w:rPr>
        <w:t>ranged</w:t>
      </w:r>
      <w:r w:rsidR="00E44E2D">
        <w:rPr>
          <w:rFonts w:ascii="Times New Roman" w:hAnsi="Times New Roman" w:cs="Times New Roman"/>
          <w:sz w:val="22"/>
          <w:szCs w:val="22"/>
          <w:lang w:val="en-GB"/>
        </w:rPr>
        <w:t xml:space="preserve"> in age from 19 to 22 </w:t>
      </w:r>
      <w:r w:rsidR="00863979" w:rsidRPr="00E44E2D">
        <w:rPr>
          <w:rFonts w:ascii="Times New Roman" w:hAnsi="Times New Roman" w:cs="Times New Roman"/>
          <w:sz w:val="22"/>
          <w:szCs w:val="22"/>
          <w:lang w:val="en-GB"/>
        </w:rPr>
        <w:t>with a high ratio of gender equality</w:t>
      </w:r>
      <w:r w:rsidR="00E44E2D">
        <w:rPr>
          <w:rFonts w:ascii="Times New Roman" w:hAnsi="Times New Roman" w:cs="Times New Roman"/>
          <w:sz w:val="22"/>
          <w:szCs w:val="22"/>
          <w:lang w:val="en-GB"/>
        </w:rPr>
        <w:t>. T</w:t>
      </w:r>
      <w:r w:rsidR="00FF2A9A" w:rsidRPr="00E44E2D">
        <w:rPr>
          <w:rFonts w:ascii="Times New Roman" w:hAnsi="Times New Roman" w:cs="Times New Roman"/>
          <w:sz w:val="22"/>
          <w:szCs w:val="22"/>
          <w:lang w:val="en-GB"/>
        </w:rPr>
        <w:t>he media products produced under the initiative (</w:t>
      </w:r>
      <w:r w:rsidR="00E44E2D">
        <w:rPr>
          <w:rFonts w:ascii="Times New Roman" w:hAnsi="Times New Roman" w:cs="Times New Roman"/>
          <w:sz w:val="22"/>
          <w:szCs w:val="22"/>
          <w:lang w:val="en-GB"/>
        </w:rPr>
        <w:t xml:space="preserve">e.g. </w:t>
      </w:r>
      <w:r w:rsidR="00FF2A9A" w:rsidRPr="00E44E2D">
        <w:rPr>
          <w:rFonts w:ascii="Times New Roman" w:hAnsi="Times New Roman" w:cs="Times New Roman"/>
          <w:sz w:val="22"/>
          <w:szCs w:val="22"/>
          <w:lang w:val="en-GB"/>
        </w:rPr>
        <w:t xml:space="preserve">radio and television </w:t>
      </w:r>
      <w:r w:rsidR="00863979" w:rsidRPr="00E44E2D">
        <w:rPr>
          <w:rFonts w:ascii="Times New Roman" w:hAnsi="Times New Roman" w:cs="Times New Roman"/>
          <w:sz w:val="22"/>
          <w:szCs w:val="22"/>
          <w:lang w:val="en-GB"/>
        </w:rPr>
        <w:t>spots</w:t>
      </w:r>
      <w:r w:rsidR="00E44E2D">
        <w:rPr>
          <w:rFonts w:ascii="Times New Roman" w:hAnsi="Times New Roman" w:cs="Times New Roman"/>
          <w:sz w:val="22"/>
          <w:szCs w:val="22"/>
          <w:lang w:val="en-GB"/>
        </w:rPr>
        <w:t>, a</w:t>
      </w:r>
      <w:r w:rsidR="00FF2A9A" w:rsidRPr="00E44E2D">
        <w:rPr>
          <w:rFonts w:ascii="Times New Roman" w:hAnsi="Times New Roman" w:cs="Times New Roman"/>
          <w:sz w:val="22"/>
          <w:szCs w:val="22"/>
          <w:lang w:val="en-GB"/>
        </w:rPr>
        <w:t xml:space="preserve"> Facebook page</w:t>
      </w:r>
      <w:r w:rsidR="00B74AA7" w:rsidRPr="00E44E2D">
        <w:rPr>
          <w:rFonts w:ascii="Times New Roman" w:hAnsi="Times New Roman" w:cs="Times New Roman"/>
          <w:sz w:val="22"/>
          <w:szCs w:val="22"/>
          <w:lang w:val="en-GB"/>
        </w:rPr>
        <w:t xml:space="preserve"> and Twitter presence</w:t>
      </w:r>
      <w:r w:rsidR="00FF2A9A" w:rsidRPr="00E44E2D">
        <w:rPr>
          <w:rFonts w:ascii="Times New Roman" w:hAnsi="Times New Roman" w:cs="Times New Roman"/>
          <w:sz w:val="22"/>
          <w:szCs w:val="22"/>
          <w:lang w:val="en-GB"/>
        </w:rPr>
        <w:t>) reach a much wider audience</w:t>
      </w:r>
      <w:r w:rsidR="00863979" w:rsidRPr="00E44E2D">
        <w:rPr>
          <w:rFonts w:ascii="Times New Roman" w:hAnsi="Times New Roman" w:cs="Times New Roman"/>
          <w:sz w:val="22"/>
          <w:szCs w:val="22"/>
          <w:lang w:val="en-GB"/>
        </w:rPr>
        <w:t xml:space="preserve"> even beyond the West Bank to Gaza and parts of Jordan</w:t>
      </w:r>
      <w:r w:rsidR="00E44E2D">
        <w:rPr>
          <w:rFonts w:ascii="Times New Roman" w:hAnsi="Times New Roman" w:cs="Times New Roman"/>
          <w:sz w:val="22"/>
          <w:szCs w:val="22"/>
          <w:lang w:val="en-GB"/>
        </w:rPr>
        <w:t xml:space="preserve">. </w:t>
      </w:r>
      <w:r w:rsidR="00863979" w:rsidRPr="00E44E2D">
        <w:rPr>
          <w:rFonts w:ascii="Times New Roman" w:hAnsi="Times New Roman" w:cs="Times New Roman"/>
          <w:sz w:val="22"/>
          <w:szCs w:val="22"/>
          <w:lang w:val="en-GB"/>
        </w:rPr>
        <w:t xml:space="preserve">In addition, Shams used the workshops as an opportunity to build its partnerships with college administrations. According to Shams, the fact that UNDP was viewed as politically neutral was a tremendous advantage in reaching this age group. Furthermore, UNDP technical assistance significantly enhanced </w:t>
      </w:r>
      <w:r w:rsidR="00E44E2D">
        <w:rPr>
          <w:rFonts w:ascii="Times New Roman" w:hAnsi="Times New Roman" w:cs="Times New Roman"/>
          <w:sz w:val="22"/>
          <w:szCs w:val="22"/>
          <w:lang w:val="en-GB"/>
        </w:rPr>
        <w:t>Sham</w:t>
      </w:r>
      <w:r w:rsidR="00863979" w:rsidRPr="00E44E2D">
        <w:rPr>
          <w:rFonts w:ascii="Times New Roman" w:hAnsi="Times New Roman" w:cs="Times New Roman"/>
          <w:sz w:val="22"/>
          <w:szCs w:val="22"/>
          <w:lang w:val="en-GB"/>
        </w:rPr>
        <w:t>s</w:t>
      </w:r>
      <w:r w:rsidR="00E44E2D">
        <w:rPr>
          <w:rFonts w:ascii="Times New Roman" w:hAnsi="Times New Roman" w:cs="Times New Roman"/>
          <w:sz w:val="22"/>
          <w:szCs w:val="22"/>
          <w:lang w:val="en-GB"/>
        </w:rPr>
        <w:t xml:space="preserve">’ own </w:t>
      </w:r>
      <w:r w:rsidR="00863979" w:rsidRPr="00E44E2D">
        <w:rPr>
          <w:rFonts w:ascii="Times New Roman" w:hAnsi="Times New Roman" w:cs="Times New Roman"/>
          <w:sz w:val="22"/>
          <w:szCs w:val="22"/>
          <w:lang w:val="en-GB"/>
        </w:rPr>
        <w:t xml:space="preserve">monitoring </w:t>
      </w:r>
      <w:r w:rsidR="00E44E2D">
        <w:rPr>
          <w:rFonts w:ascii="Times New Roman" w:hAnsi="Times New Roman" w:cs="Times New Roman"/>
          <w:sz w:val="22"/>
          <w:szCs w:val="22"/>
          <w:lang w:val="en-GB"/>
        </w:rPr>
        <w:t xml:space="preserve">and reporting </w:t>
      </w:r>
      <w:r w:rsidR="00863979" w:rsidRPr="00E44E2D">
        <w:rPr>
          <w:rFonts w:ascii="Times New Roman" w:hAnsi="Times New Roman" w:cs="Times New Roman"/>
          <w:sz w:val="22"/>
          <w:szCs w:val="22"/>
          <w:lang w:val="en-GB"/>
        </w:rPr>
        <w:t>abilities</w:t>
      </w:r>
      <w:r w:rsidR="00E44E2D">
        <w:rPr>
          <w:rFonts w:ascii="Times New Roman" w:hAnsi="Times New Roman" w:cs="Times New Roman"/>
          <w:sz w:val="22"/>
          <w:szCs w:val="22"/>
          <w:lang w:val="en-GB"/>
        </w:rPr>
        <w:t xml:space="preserve"> and UNDP </w:t>
      </w:r>
      <w:r w:rsidR="00220780" w:rsidRPr="00E44E2D">
        <w:rPr>
          <w:rFonts w:ascii="Times New Roman" w:hAnsi="Times New Roman" w:cs="Times New Roman"/>
          <w:sz w:val="22"/>
          <w:szCs w:val="22"/>
          <w:lang w:val="en-GB"/>
        </w:rPr>
        <w:t>staff attended and participated in the workshops</w:t>
      </w:r>
      <w:r w:rsidR="00863979" w:rsidRPr="00E44E2D">
        <w:rPr>
          <w:rFonts w:ascii="Times New Roman" w:hAnsi="Times New Roman" w:cs="Times New Roman"/>
          <w:sz w:val="22"/>
          <w:szCs w:val="22"/>
          <w:lang w:val="en-GB"/>
        </w:rPr>
        <w:t>.</w:t>
      </w:r>
      <w:r w:rsidR="00C7272F" w:rsidRPr="00E44E2D">
        <w:rPr>
          <w:rStyle w:val="FootnoteReference"/>
          <w:rFonts w:ascii="Times New Roman" w:hAnsi="Times New Roman" w:cs="Times New Roman"/>
          <w:sz w:val="22"/>
          <w:szCs w:val="22"/>
          <w:lang w:val="en-GB"/>
        </w:rPr>
        <w:footnoteReference w:id="136"/>
      </w:r>
    </w:p>
    <w:p w:rsidR="00490531" w:rsidRDefault="00490531" w:rsidP="00FB6759">
      <w:pPr>
        <w:spacing w:after="0" w:line="240" w:lineRule="auto"/>
        <w:jc w:val="both"/>
        <w:rPr>
          <w:rFonts w:ascii="Times New Roman" w:hAnsi="Times New Roman" w:cs="Times New Roman"/>
          <w:sz w:val="22"/>
          <w:szCs w:val="22"/>
          <w:lang w:val="en-GB"/>
        </w:rPr>
      </w:pPr>
    </w:p>
    <w:p w:rsidR="00B81EB8" w:rsidRPr="00647752" w:rsidRDefault="00630EAF"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The e</w:t>
      </w:r>
      <w:r w:rsidR="00B74AA7" w:rsidRPr="00647752">
        <w:rPr>
          <w:rFonts w:ascii="Times New Roman" w:hAnsi="Times New Roman" w:cs="Times New Roman"/>
          <w:sz w:val="22"/>
          <w:szCs w:val="22"/>
          <w:lang w:val="en-GB"/>
        </w:rPr>
        <w:t>valuation assembled a focus group comprised of students that had participated in the workshops. All students reported that the</w:t>
      </w:r>
      <w:r w:rsidR="00FD3C19">
        <w:rPr>
          <w:rFonts w:ascii="Times New Roman" w:hAnsi="Times New Roman" w:cs="Times New Roman"/>
          <w:sz w:val="22"/>
          <w:szCs w:val="22"/>
          <w:lang w:val="en-GB"/>
        </w:rPr>
        <w:t xml:space="preserve"> </w:t>
      </w:r>
      <w:r w:rsidR="00B74AA7" w:rsidRPr="00647752">
        <w:rPr>
          <w:rFonts w:ascii="Times New Roman" w:hAnsi="Times New Roman" w:cs="Times New Roman"/>
          <w:sz w:val="22"/>
          <w:szCs w:val="22"/>
          <w:lang w:val="en-GB"/>
        </w:rPr>
        <w:t>activities had increased their awareness of human rights and rule of law and many students used the</w:t>
      </w:r>
      <w:r w:rsidR="00FD3C19">
        <w:rPr>
          <w:rFonts w:ascii="Times New Roman" w:hAnsi="Times New Roman" w:cs="Times New Roman"/>
          <w:sz w:val="22"/>
          <w:szCs w:val="22"/>
          <w:lang w:val="en-GB"/>
        </w:rPr>
        <w:t xml:space="preserve"> </w:t>
      </w:r>
      <w:r w:rsidR="00B74AA7" w:rsidRPr="00647752">
        <w:rPr>
          <w:rFonts w:ascii="Times New Roman" w:hAnsi="Times New Roman" w:cs="Times New Roman"/>
          <w:sz w:val="22"/>
          <w:szCs w:val="22"/>
          <w:lang w:val="en-GB"/>
        </w:rPr>
        <w:t>workshops as a springboard for t</w:t>
      </w:r>
      <w:r>
        <w:rPr>
          <w:rFonts w:ascii="Times New Roman" w:hAnsi="Times New Roman" w:cs="Times New Roman"/>
          <w:sz w:val="22"/>
          <w:szCs w:val="22"/>
          <w:lang w:val="en-GB"/>
        </w:rPr>
        <w:t>heir own projects. For example,</w:t>
      </w:r>
      <w:r w:rsidR="00B74AA7" w:rsidRPr="00647752">
        <w:rPr>
          <w:rFonts w:ascii="Times New Roman" w:hAnsi="Times New Roman" w:cs="Times New Roman"/>
          <w:sz w:val="22"/>
          <w:szCs w:val="22"/>
          <w:lang w:val="en-GB"/>
        </w:rPr>
        <w:t xml:space="preserve"> a female student at Birze</w:t>
      </w:r>
      <w:r w:rsidR="001D220F" w:rsidRPr="00647752">
        <w:rPr>
          <w:rFonts w:ascii="Times New Roman" w:hAnsi="Times New Roman" w:cs="Times New Roman"/>
          <w:sz w:val="22"/>
          <w:szCs w:val="22"/>
          <w:lang w:val="en-GB"/>
        </w:rPr>
        <w:t>i</w:t>
      </w:r>
      <w:r w:rsidR="00B74AA7" w:rsidRPr="00647752">
        <w:rPr>
          <w:rFonts w:ascii="Times New Roman" w:hAnsi="Times New Roman" w:cs="Times New Roman"/>
          <w:sz w:val="22"/>
          <w:szCs w:val="22"/>
          <w:lang w:val="en-GB"/>
        </w:rPr>
        <w:t>t Universit</w:t>
      </w:r>
      <w:r>
        <w:rPr>
          <w:rFonts w:ascii="Times New Roman" w:hAnsi="Times New Roman" w:cs="Times New Roman"/>
          <w:sz w:val="22"/>
          <w:szCs w:val="22"/>
          <w:lang w:val="en-GB"/>
        </w:rPr>
        <w:t xml:space="preserve">y began an Internet blog </w:t>
      </w:r>
      <w:r w:rsidR="00B74AA7" w:rsidRPr="00647752">
        <w:rPr>
          <w:rFonts w:ascii="Times New Roman" w:hAnsi="Times New Roman" w:cs="Times New Roman"/>
          <w:sz w:val="22"/>
          <w:szCs w:val="22"/>
          <w:lang w:val="en-GB"/>
        </w:rPr>
        <w:t xml:space="preserve">after participating in </w:t>
      </w:r>
      <w:r>
        <w:rPr>
          <w:rFonts w:ascii="Times New Roman" w:hAnsi="Times New Roman" w:cs="Times New Roman"/>
          <w:sz w:val="22"/>
          <w:szCs w:val="22"/>
          <w:lang w:val="en-GB"/>
        </w:rPr>
        <w:t xml:space="preserve">one of the </w:t>
      </w:r>
      <w:r w:rsidR="00B74AA7" w:rsidRPr="00647752">
        <w:rPr>
          <w:rFonts w:ascii="Times New Roman" w:hAnsi="Times New Roman" w:cs="Times New Roman"/>
          <w:sz w:val="22"/>
          <w:szCs w:val="22"/>
          <w:lang w:val="en-GB"/>
        </w:rPr>
        <w:t>workshop</w:t>
      </w:r>
      <w:r>
        <w:rPr>
          <w:rFonts w:ascii="Times New Roman" w:hAnsi="Times New Roman" w:cs="Times New Roman"/>
          <w:sz w:val="22"/>
          <w:szCs w:val="22"/>
          <w:lang w:val="en-GB"/>
        </w:rPr>
        <w:t>s</w:t>
      </w:r>
      <w:r w:rsidR="00B74AA7" w:rsidRPr="00647752">
        <w:rPr>
          <w:rFonts w:ascii="Times New Roman" w:hAnsi="Times New Roman" w:cs="Times New Roman"/>
          <w:sz w:val="22"/>
          <w:szCs w:val="22"/>
          <w:lang w:val="en-GB"/>
        </w:rPr>
        <w:t>. A male student used his experience with the media unit at</w:t>
      </w:r>
      <w:r>
        <w:rPr>
          <w:rFonts w:ascii="Times New Roman" w:hAnsi="Times New Roman" w:cs="Times New Roman"/>
          <w:sz w:val="22"/>
          <w:szCs w:val="22"/>
          <w:lang w:val="en-GB"/>
        </w:rPr>
        <w:t xml:space="preserve"> Shams </w:t>
      </w:r>
      <w:r w:rsidR="00B74AA7" w:rsidRPr="00647752">
        <w:rPr>
          <w:rFonts w:ascii="Times New Roman" w:hAnsi="Times New Roman" w:cs="Times New Roman"/>
          <w:sz w:val="22"/>
          <w:szCs w:val="22"/>
          <w:lang w:val="en-GB"/>
        </w:rPr>
        <w:t>to get a job</w:t>
      </w:r>
      <w:r>
        <w:rPr>
          <w:rFonts w:ascii="Times New Roman" w:hAnsi="Times New Roman" w:cs="Times New Roman"/>
          <w:sz w:val="22"/>
          <w:szCs w:val="22"/>
          <w:lang w:val="en-GB"/>
        </w:rPr>
        <w:t xml:space="preserve"> at a local television network, w</w:t>
      </w:r>
      <w:r w:rsidR="00B74AA7" w:rsidRPr="00647752">
        <w:rPr>
          <w:rFonts w:ascii="Times New Roman" w:hAnsi="Times New Roman" w:cs="Times New Roman"/>
          <w:sz w:val="22"/>
          <w:szCs w:val="22"/>
          <w:lang w:val="en-GB"/>
        </w:rPr>
        <w:t>hile a female student used similar experience a</w:t>
      </w:r>
      <w:r>
        <w:rPr>
          <w:rFonts w:ascii="Times New Roman" w:hAnsi="Times New Roman" w:cs="Times New Roman"/>
          <w:sz w:val="22"/>
          <w:szCs w:val="22"/>
          <w:lang w:val="en-GB"/>
        </w:rPr>
        <w:t xml:space="preserve"> Shams </w:t>
      </w:r>
      <w:r w:rsidR="00B74AA7" w:rsidRPr="00647752">
        <w:rPr>
          <w:rFonts w:ascii="Times New Roman" w:hAnsi="Times New Roman" w:cs="Times New Roman"/>
          <w:sz w:val="22"/>
          <w:szCs w:val="22"/>
          <w:lang w:val="en-GB"/>
        </w:rPr>
        <w:t xml:space="preserve">to join a course at Birzeit University on producing documentaries; and ultimately shot a documentary film of her own entitled, “The Painting of </w:t>
      </w:r>
      <w:r w:rsidR="00DE216A" w:rsidRPr="00647752">
        <w:rPr>
          <w:rFonts w:ascii="Times New Roman" w:hAnsi="Times New Roman" w:cs="Times New Roman"/>
          <w:sz w:val="22"/>
          <w:szCs w:val="22"/>
          <w:lang w:val="en-GB"/>
        </w:rPr>
        <w:t>oPt</w:t>
      </w:r>
      <w:r w:rsidR="00B74AA7" w:rsidRPr="00647752">
        <w:rPr>
          <w:rFonts w:ascii="Times New Roman" w:hAnsi="Times New Roman" w:cs="Times New Roman"/>
          <w:sz w:val="22"/>
          <w:szCs w:val="22"/>
          <w:lang w:val="en-GB"/>
        </w:rPr>
        <w:t xml:space="preserve">” about </w:t>
      </w:r>
      <w:r w:rsidR="00B74AA7" w:rsidRPr="00647752">
        <w:rPr>
          <w:rFonts w:ascii="Times New Roman" w:hAnsi="Times New Roman" w:cs="Times New Roman"/>
          <w:sz w:val="22"/>
          <w:szCs w:val="22"/>
          <w:lang w:val="en-GB"/>
        </w:rPr>
        <w:lastRenderedPageBreak/>
        <w:t xml:space="preserve">painting and visual arts in </w:t>
      </w:r>
      <w:r>
        <w:rPr>
          <w:rFonts w:ascii="Times New Roman" w:hAnsi="Times New Roman" w:cs="Times New Roman"/>
          <w:sz w:val="22"/>
          <w:szCs w:val="22"/>
          <w:lang w:val="en-GB"/>
        </w:rPr>
        <w:t xml:space="preserve">the </w:t>
      </w:r>
      <w:r w:rsidR="00DE216A" w:rsidRPr="00647752">
        <w:rPr>
          <w:rFonts w:ascii="Times New Roman" w:hAnsi="Times New Roman" w:cs="Times New Roman"/>
          <w:sz w:val="22"/>
          <w:szCs w:val="22"/>
          <w:lang w:val="en-GB"/>
        </w:rPr>
        <w:t>oPt</w:t>
      </w:r>
      <w:r w:rsidR="00B74AA7" w:rsidRPr="00647752">
        <w:rPr>
          <w:rFonts w:ascii="Times New Roman" w:hAnsi="Times New Roman" w:cs="Times New Roman"/>
          <w:sz w:val="22"/>
          <w:szCs w:val="22"/>
          <w:lang w:val="en-GB"/>
        </w:rPr>
        <w:t xml:space="preserve">, highlighting the Young Palestinian </w:t>
      </w:r>
      <w:r w:rsidR="008574F4" w:rsidRPr="00647752">
        <w:rPr>
          <w:rFonts w:ascii="Times New Roman" w:hAnsi="Times New Roman" w:cs="Times New Roman"/>
          <w:sz w:val="22"/>
          <w:szCs w:val="22"/>
          <w:lang w:val="en-GB"/>
        </w:rPr>
        <w:t>Artists</w:t>
      </w:r>
      <w:r w:rsidR="00B74AA7" w:rsidRPr="00647752">
        <w:rPr>
          <w:rFonts w:ascii="Times New Roman" w:hAnsi="Times New Roman" w:cs="Times New Roman"/>
          <w:sz w:val="22"/>
          <w:szCs w:val="22"/>
          <w:lang w:val="en-GB"/>
        </w:rPr>
        <w:t xml:space="preserve"> Club and how it develops young artists. </w:t>
      </w:r>
      <w:r w:rsidR="00CC537B" w:rsidRPr="00647752">
        <w:rPr>
          <w:rFonts w:ascii="Times New Roman" w:hAnsi="Times New Roman" w:cs="Times New Roman"/>
          <w:sz w:val="22"/>
          <w:szCs w:val="22"/>
          <w:lang w:val="en-GB"/>
        </w:rPr>
        <w:t>The full notes</w:t>
      </w:r>
      <w:r>
        <w:rPr>
          <w:rFonts w:ascii="Times New Roman" w:hAnsi="Times New Roman" w:cs="Times New Roman"/>
          <w:sz w:val="22"/>
          <w:szCs w:val="22"/>
          <w:lang w:val="en-GB"/>
        </w:rPr>
        <w:t xml:space="preserve"> from the focus group discussion are annexed to this report.</w:t>
      </w:r>
    </w:p>
    <w:p w:rsidR="00B81EB8" w:rsidRPr="00647752" w:rsidRDefault="00B81EB8" w:rsidP="00490531">
      <w:pPr>
        <w:spacing w:after="0" w:line="240" w:lineRule="auto"/>
        <w:rPr>
          <w:rFonts w:ascii="Times New Roman" w:hAnsi="Times New Roman" w:cs="Times New Roman"/>
          <w:sz w:val="22"/>
          <w:szCs w:val="22"/>
          <w:lang w:val="en-GB"/>
        </w:rPr>
      </w:pPr>
    </w:p>
    <w:p w:rsidR="00B81EB8" w:rsidRDefault="00630EAF"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It is the opinion of the e</w:t>
      </w:r>
      <w:r w:rsidR="00CC537B" w:rsidRPr="00647752">
        <w:rPr>
          <w:rFonts w:ascii="Times New Roman" w:hAnsi="Times New Roman" w:cs="Times New Roman"/>
          <w:sz w:val="22"/>
          <w:szCs w:val="22"/>
          <w:lang w:val="en-GB"/>
        </w:rPr>
        <w:t>valuation that youth is an</w:t>
      </w:r>
      <w:r w:rsidR="00631FC2" w:rsidRPr="00647752">
        <w:rPr>
          <w:rFonts w:ascii="Times New Roman" w:hAnsi="Times New Roman" w:cs="Times New Roman"/>
          <w:sz w:val="22"/>
          <w:szCs w:val="22"/>
          <w:lang w:val="en-GB"/>
        </w:rPr>
        <w:t xml:space="preserve"> area that </w:t>
      </w:r>
      <w:r w:rsidR="00CC537B" w:rsidRPr="00647752">
        <w:rPr>
          <w:rFonts w:ascii="Times New Roman" w:hAnsi="Times New Roman" w:cs="Times New Roman"/>
          <w:sz w:val="22"/>
          <w:szCs w:val="22"/>
          <w:lang w:val="en-GB"/>
        </w:rPr>
        <w:t>sh</w:t>
      </w:r>
      <w:r w:rsidR="00631FC2" w:rsidRPr="00647752">
        <w:rPr>
          <w:rFonts w:ascii="Times New Roman" w:hAnsi="Times New Roman" w:cs="Times New Roman"/>
          <w:sz w:val="22"/>
          <w:szCs w:val="22"/>
          <w:lang w:val="en-GB"/>
        </w:rPr>
        <w:t xml:space="preserve">ould be </w:t>
      </w:r>
      <w:r w:rsidR="001D220F" w:rsidRPr="00647752">
        <w:rPr>
          <w:rFonts w:ascii="Times New Roman" w:hAnsi="Times New Roman" w:cs="Times New Roman"/>
          <w:sz w:val="22"/>
          <w:szCs w:val="22"/>
          <w:lang w:val="en-GB"/>
        </w:rPr>
        <w:t xml:space="preserve">further </w:t>
      </w:r>
      <w:r w:rsidR="00631FC2" w:rsidRPr="00647752">
        <w:rPr>
          <w:rFonts w:ascii="Times New Roman" w:hAnsi="Times New Roman" w:cs="Times New Roman"/>
          <w:sz w:val="22"/>
          <w:szCs w:val="22"/>
          <w:lang w:val="en-GB"/>
        </w:rPr>
        <w:t xml:space="preserve">enhanced under the </w:t>
      </w:r>
      <w:r w:rsidR="00CC537B" w:rsidRPr="00647752">
        <w:rPr>
          <w:rFonts w:ascii="Times New Roman" w:hAnsi="Times New Roman" w:cs="Times New Roman"/>
          <w:sz w:val="22"/>
          <w:szCs w:val="22"/>
          <w:lang w:val="en-GB"/>
        </w:rPr>
        <w:t>UNDP Rul</w:t>
      </w:r>
      <w:r>
        <w:rPr>
          <w:rFonts w:ascii="Times New Roman" w:hAnsi="Times New Roman" w:cs="Times New Roman"/>
          <w:sz w:val="22"/>
          <w:szCs w:val="22"/>
          <w:lang w:val="en-GB"/>
        </w:rPr>
        <w:t>e of Law &amp; Access to Justice P</w:t>
      </w:r>
      <w:r w:rsidR="00CC537B" w:rsidRPr="00647752">
        <w:rPr>
          <w:rFonts w:ascii="Times New Roman" w:hAnsi="Times New Roman" w:cs="Times New Roman"/>
          <w:sz w:val="22"/>
          <w:szCs w:val="22"/>
          <w:lang w:val="en-GB"/>
        </w:rPr>
        <w:t xml:space="preserve">rogramme </w:t>
      </w:r>
      <w:r w:rsidR="00631FC2" w:rsidRPr="00647752">
        <w:rPr>
          <w:rFonts w:ascii="Times New Roman" w:hAnsi="Times New Roman" w:cs="Times New Roman"/>
          <w:sz w:val="22"/>
          <w:szCs w:val="22"/>
          <w:lang w:val="en-GB"/>
        </w:rPr>
        <w:t>going forward</w:t>
      </w:r>
      <w:r w:rsidR="00CC537B" w:rsidRPr="00647752">
        <w:rPr>
          <w:rFonts w:ascii="Times New Roman" w:hAnsi="Times New Roman" w:cs="Times New Roman"/>
          <w:sz w:val="22"/>
          <w:szCs w:val="22"/>
          <w:lang w:val="en-GB"/>
        </w:rPr>
        <w:t>. Many</w:t>
      </w:r>
      <w:r w:rsidR="00631FC2" w:rsidRPr="00647752">
        <w:rPr>
          <w:rFonts w:ascii="Times New Roman" w:hAnsi="Times New Roman" w:cs="Times New Roman"/>
          <w:sz w:val="22"/>
          <w:szCs w:val="22"/>
          <w:lang w:val="en-GB"/>
        </w:rPr>
        <w:t xml:space="preserve"> of the CSOs </w:t>
      </w:r>
      <w:r w:rsidR="00CC537B" w:rsidRPr="00647752">
        <w:rPr>
          <w:rFonts w:ascii="Times New Roman" w:hAnsi="Times New Roman" w:cs="Times New Roman"/>
          <w:sz w:val="22"/>
          <w:szCs w:val="22"/>
          <w:lang w:val="en-GB"/>
        </w:rPr>
        <w:t xml:space="preserve">in </w:t>
      </w:r>
      <w:r w:rsidR="00DE216A" w:rsidRPr="00647752">
        <w:rPr>
          <w:rFonts w:ascii="Times New Roman" w:hAnsi="Times New Roman" w:cs="Times New Roman"/>
          <w:sz w:val="22"/>
          <w:szCs w:val="22"/>
          <w:lang w:val="en-GB"/>
        </w:rPr>
        <w:t>oPt</w:t>
      </w:r>
      <w:r>
        <w:rPr>
          <w:rFonts w:ascii="Times New Roman" w:hAnsi="Times New Roman" w:cs="Times New Roman"/>
          <w:sz w:val="22"/>
          <w:szCs w:val="22"/>
          <w:lang w:val="en-GB"/>
        </w:rPr>
        <w:t xml:space="preserve"> are rather</w:t>
      </w:r>
      <w:r w:rsidR="00631FC2" w:rsidRPr="00647752">
        <w:rPr>
          <w:rFonts w:ascii="Times New Roman" w:hAnsi="Times New Roman" w:cs="Times New Roman"/>
          <w:sz w:val="22"/>
          <w:szCs w:val="22"/>
          <w:lang w:val="en-GB"/>
        </w:rPr>
        <w:t xml:space="preserve"> vague</w:t>
      </w:r>
      <w:r w:rsidR="00CC537B" w:rsidRPr="00647752">
        <w:rPr>
          <w:rFonts w:ascii="Times New Roman" w:hAnsi="Times New Roman" w:cs="Times New Roman"/>
          <w:sz w:val="22"/>
          <w:szCs w:val="22"/>
          <w:lang w:val="en-GB"/>
        </w:rPr>
        <w:t xml:space="preserve"> in their own mandates regarding youth and</w:t>
      </w:r>
      <w:r w:rsidR="00631FC2" w:rsidRPr="00647752">
        <w:rPr>
          <w:rFonts w:ascii="Times New Roman" w:hAnsi="Times New Roman" w:cs="Times New Roman"/>
          <w:sz w:val="22"/>
          <w:szCs w:val="22"/>
          <w:lang w:val="en-GB"/>
        </w:rPr>
        <w:t xml:space="preserve"> there are only a few Palestinian CSOs that are exclusively devoted to </w:t>
      </w:r>
      <w:r w:rsidR="00CC537B" w:rsidRPr="00647752">
        <w:rPr>
          <w:rFonts w:ascii="Times New Roman" w:hAnsi="Times New Roman" w:cs="Times New Roman"/>
          <w:sz w:val="22"/>
          <w:szCs w:val="22"/>
          <w:lang w:val="en-GB"/>
        </w:rPr>
        <w:t>this demographic.</w:t>
      </w:r>
      <w:r w:rsidR="00787F83" w:rsidRPr="00647752">
        <w:rPr>
          <w:rStyle w:val="FootnoteReference"/>
          <w:rFonts w:ascii="Times New Roman" w:hAnsi="Times New Roman" w:cs="Times New Roman"/>
          <w:sz w:val="22"/>
          <w:szCs w:val="22"/>
          <w:lang w:val="en-GB"/>
        </w:rPr>
        <w:footnoteReference w:id="137"/>
      </w:r>
      <w:r>
        <w:rPr>
          <w:rFonts w:ascii="Times New Roman" w:hAnsi="Times New Roman" w:cs="Times New Roman"/>
          <w:sz w:val="22"/>
          <w:szCs w:val="22"/>
          <w:lang w:val="en-GB"/>
        </w:rPr>
        <w:t xml:space="preserve"> Within the context of the o</w:t>
      </w:r>
      <w:r w:rsidR="008574F4" w:rsidRPr="00647752">
        <w:rPr>
          <w:rFonts w:ascii="Times New Roman" w:hAnsi="Times New Roman" w:cs="Times New Roman"/>
          <w:sz w:val="22"/>
          <w:szCs w:val="22"/>
          <w:lang w:val="en-GB"/>
        </w:rPr>
        <w:t>c</w:t>
      </w:r>
      <w:r>
        <w:rPr>
          <w:rFonts w:ascii="Times New Roman" w:hAnsi="Times New Roman" w:cs="Times New Roman"/>
          <w:sz w:val="22"/>
          <w:szCs w:val="22"/>
          <w:lang w:val="en-GB"/>
        </w:rPr>
        <w:t>cupation, social media and the i</w:t>
      </w:r>
      <w:r w:rsidR="008574F4" w:rsidRPr="00647752">
        <w:rPr>
          <w:rFonts w:ascii="Times New Roman" w:hAnsi="Times New Roman" w:cs="Times New Roman"/>
          <w:sz w:val="22"/>
          <w:szCs w:val="22"/>
          <w:lang w:val="en-GB"/>
        </w:rPr>
        <w:t xml:space="preserve">nternet are </w:t>
      </w:r>
      <w:r w:rsidR="007D1643" w:rsidRPr="00647752">
        <w:rPr>
          <w:rFonts w:ascii="Times New Roman" w:hAnsi="Times New Roman" w:cs="Times New Roman"/>
          <w:sz w:val="22"/>
          <w:szCs w:val="22"/>
          <w:lang w:val="en-GB"/>
        </w:rPr>
        <w:t xml:space="preserve">especially important resources for </w:t>
      </w:r>
      <w:r w:rsidR="007E7115" w:rsidRPr="00647752">
        <w:rPr>
          <w:rFonts w:ascii="Times New Roman" w:hAnsi="Times New Roman" w:cs="Times New Roman"/>
          <w:sz w:val="22"/>
          <w:szCs w:val="22"/>
          <w:lang w:val="en-GB"/>
        </w:rPr>
        <w:t xml:space="preserve">Palestinian </w:t>
      </w:r>
      <w:r w:rsidR="007D1643" w:rsidRPr="00647752">
        <w:rPr>
          <w:rFonts w:ascii="Times New Roman" w:hAnsi="Times New Roman" w:cs="Times New Roman"/>
          <w:sz w:val="22"/>
          <w:szCs w:val="22"/>
          <w:lang w:val="en-GB"/>
        </w:rPr>
        <w:t>youth.</w:t>
      </w:r>
    </w:p>
    <w:p w:rsidR="00630EAF" w:rsidRDefault="00630EAF" w:rsidP="00FB6759">
      <w:pPr>
        <w:spacing w:after="0" w:line="240" w:lineRule="auto"/>
        <w:jc w:val="both"/>
        <w:rPr>
          <w:rFonts w:ascii="Times New Roman" w:hAnsi="Times New Roman" w:cs="Times New Roman"/>
          <w:sz w:val="22"/>
          <w:szCs w:val="22"/>
          <w:lang w:val="en-GB"/>
        </w:rPr>
      </w:pPr>
    </w:p>
    <w:p w:rsidR="00765A62" w:rsidRPr="00647752" w:rsidRDefault="00765A62" w:rsidP="00765A62">
      <w:pPr>
        <w:spacing w:after="0" w:line="240" w:lineRule="auto"/>
        <w:jc w:val="both"/>
        <w:rPr>
          <w:rFonts w:ascii="Times New Roman" w:eastAsia="MS Mincho" w:hAnsi="Times New Roman" w:cs="Times New Roman"/>
          <w:sz w:val="22"/>
          <w:szCs w:val="24"/>
          <w:lang w:val="en-GB" w:eastAsia="ja-JP"/>
        </w:rPr>
      </w:pPr>
      <w:r w:rsidRPr="00647752">
        <w:rPr>
          <w:rFonts w:ascii="Times New Roman" w:eastAsia="MS Mincho" w:hAnsi="Times New Roman" w:cs="Times New Roman"/>
          <w:sz w:val="22"/>
          <w:szCs w:val="24"/>
          <w:lang w:val="en-GB" w:eastAsia="ja-JP"/>
        </w:rPr>
        <w:t>This rais</w:t>
      </w:r>
      <w:r>
        <w:rPr>
          <w:rFonts w:ascii="Times New Roman" w:eastAsia="MS Mincho" w:hAnsi="Times New Roman" w:cs="Times New Roman"/>
          <w:sz w:val="22"/>
          <w:szCs w:val="24"/>
          <w:lang w:val="en-GB" w:eastAsia="ja-JP"/>
        </w:rPr>
        <w:t>es a larger observation of the e</w:t>
      </w:r>
      <w:r w:rsidRPr="00647752">
        <w:rPr>
          <w:rFonts w:ascii="Times New Roman" w:eastAsia="MS Mincho" w:hAnsi="Times New Roman" w:cs="Times New Roman"/>
          <w:sz w:val="22"/>
          <w:szCs w:val="24"/>
          <w:lang w:val="en-GB" w:eastAsia="ja-JP"/>
        </w:rPr>
        <w:t xml:space="preserve">valuation on the need for UNDP to support the creation of politically neutral spaces within the conflict/post-conflict environments of </w:t>
      </w:r>
      <w:r>
        <w:rPr>
          <w:rFonts w:ascii="Times New Roman" w:eastAsia="MS Mincho" w:hAnsi="Times New Roman" w:cs="Times New Roman"/>
          <w:sz w:val="22"/>
          <w:szCs w:val="24"/>
          <w:lang w:val="en-GB" w:eastAsia="ja-JP"/>
        </w:rPr>
        <w:t xml:space="preserve">the </w:t>
      </w:r>
      <w:r w:rsidRPr="00647752">
        <w:rPr>
          <w:rFonts w:ascii="Times New Roman" w:eastAsia="MS Mincho" w:hAnsi="Times New Roman" w:cs="Times New Roman"/>
          <w:sz w:val="22"/>
          <w:szCs w:val="24"/>
          <w:lang w:val="en-GB" w:eastAsia="ja-JP"/>
        </w:rPr>
        <w:t xml:space="preserve">oPt between Palestinians and Israelis. This is especially true for youth. There is currently no conflict prevention team within the UNDP Governance Unit. Such work is extremely complex, given the uniqueness of the context (long standing occupation and internal </w:t>
      </w:r>
      <w:r>
        <w:rPr>
          <w:rFonts w:ascii="Times New Roman" w:eastAsia="MS Mincho" w:hAnsi="Times New Roman" w:cs="Times New Roman"/>
          <w:sz w:val="22"/>
          <w:szCs w:val="24"/>
          <w:lang w:val="en-GB" w:eastAsia="ja-JP"/>
        </w:rPr>
        <w:t>Palestinian division), but the e</w:t>
      </w:r>
      <w:r w:rsidRPr="00647752">
        <w:rPr>
          <w:rFonts w:ascii="Times New Roman" w:eastAsia="MS Mincho" w:hAnsi="Times New Roman" w:cs="Times New Roman"/>
          <w:sz w:val="22"/>
          <w:szCs w:val="24"/>
          <w:lang w:val="en-GB" w:eastAsia="ja-JP"/>
        </w:rPr>
        <w:t>valuation suggests that possibilities for enhancing opportunities for dial</w:t>
      </w:r>
      <w:r>
        <w:rPr>
          <w:rFonts w:ascii="Times New Roman" w:eastAsia="MS Mincho" w:hAnsi="Times New Roman" w:cs="Times New Roman"/>
          <w:sz w:val="22"/>
          <w:szCs w:val="24"/>
          <w:lang w:val="en-GB" w:eastAsia="ja-JP"/>
        </w:rPr>
        <w:t>ogue between politically polaris</w:t>
      </w:r>
      <w:r w:rsidRPr="00647752">
        <w:rPr>
          <w:rFonts w:ascii="Times New Roman" w:eastAsia="MS Mincho" w:hAnsi="Times New Roman" w:cs="Times New Roman"/>
          <w:sz w:val="22"/>
          <w:szCs w:val="24"/>
          <w:lang w:val="en-GB" w:eastAsia="ja-JP"/>
        </w:rPr>
        <w:t>ed</w:t>
      </w:r>
      <w:r>
        <w:rPr>
          <w:rFonts w:ascii="Times New Roman" w:eastAsia="MS Mincho" w:hAnsi="Times New Roman" w:cs="Times New Roman"/>
          <w:sz w:val="22"/>
          <w:szCs w:val="24"/>
          <w:lang w:val="en-GB" w:eastAsia="ja-JP"/>
        </w:rPr>
        <w:t xml:space="preserve"> groups </w:t>
      </w:r>
      <w:r w:rsidRPr="00647752">
        <w:rPr>
          <w:rFonts w:ascii="Times New Roman" w:eastAsia="MS Mincho" w:hAnsi="Times New Roman" w:cs="Times New Roman"/>
          <w:sz w:val="22"/>
          <w:szCs w:val="24"/>
          <w:lang w:val="en-GB" w:eastAsia="ja-JP"/>
        </w:rPr>
        <w:t>should be exp</w:t>
      </w:r>
      <w:r>
        <w:rPr>
          <w:rFonts w:ascii="Times New Roman" w:eastAsia="MS Mincho" w:hAnsi="Times New Roman" w:cs="Times New Roman"/>
          <w:sz w:val="22"/>
          <w:szCs w:val="24"/>
          <w:lang w:val="en-GB" w:eastAsia="ja-JP"/>
        </w:rPr>
        <w:t>lored by UNDP going forward.</w:t>
      </w:r>
    </w:p>
    <w:p w:rsidR="00490531" w:rsidRDefault="00490531" w:rsidP="00FB6759">
      <w:pPr>
        <w:spacing w:after="0" w:line="240" w:lineRule="auto"/>
        <w:jc w:val="both"/>
        <w:rPr>
          <w:rFonts w:ascii="Times New Roman" w:hAnsi="Times New Roman" w:cs="Times New Roman"/>
          <w:sz w:val="22"/>
          <w:szCs w:val="22"/>
          <w:lang w:val="en-GB"/>
        </w:rPr>
      </w:pPr>
    </w:p>
    <w:p w:rsidR="00585F15" w:rsidRPr="00647752" w:rsidRDefault="00765A62"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UNDP/BCPR </w:t>
      </w:r>
      <w:r w:rsidR="006A43D5" w:rsidRPr="00647752">
        <w:rPr>
          <w:rFonts w:ascii="Times New Roman" w:hAnsi="Times New Roman" w:cs="Times New Roman"/>
          <w:sz w:val="22"/>
          <w:szCs w:val="22"/>
          <w:lang w:val="en-GB"/>
        </w:rPr>
        <w:t xml:space="preserve">has both a strong corporate mandate and a clear and proven comparative strength in this area that is currently not being employed in </w:t>
      </w:r>
      <w:r>
        <w:rPr>
          <w:rFonts w:ascii="Times New Roman" w:hAnsi="Times New Roman" w:cs="Times New Roman"/>
          <w:sz w:val="22"/>
          <w:szCs w:val="22"/>
          <w:lang w:val="en-GB"/>
        </w:rPr>
        <w:t xml:space="preserve">the </w:t>
      </w:r>
      <w:r w:rsidR="00DE216A" w:rsidRPr="00647752">
        <w:rPr>
          <w:rFonts w:ascii="Times New Roman" w:hAnsi="Times New Roman" w:cs="Times New Roman"/>
          <w:sz w:val="22"/>
          <w:szCs w:val="22"/>
          <w:lang w:val="en-GB"/>
        </w:rPr>
        <w:t>oPt</w:t>
      </w:r>
      <w:r>
        <w:rPr>
          <w:rFonts w:ascii="Times New Roman" w:hAnsi="Times New Roman" w:cs="Times New Roman"/>
          <w:sz w:val="22"/>
          <w:szCs w:val="22"/>
          <w:lang w:val="en-GB"/>
        </w:rPr>
        <w:t>.</w:t>
      </w:r>
      <w:r w:rsidR="00227679">
        <w:rPr>
          <w:rFonts w:ascii="Times New Roman" w:hAnsi="Times New Roman" w:cs="Times New Roman"/>
          <w:sz w:val="22"/>
          <w:szCs w:val="22"/>
          <w:lang w:val="en-GB"/>
        </w:rPr>
        <w:t xml:space="preserve"> </w:t>
      </w:r>
      <w:r w:rsidR="006A43D5" w:rsidRPr="00647752">
        <w:rPr>
          <w:rFonts w:ascii="Times New Roman" w:hAnsi="Times New Roman" w:cs="Times New Roman"/>
          <w:sz w:val="22"/>
          <w:szCs w:val="22"/>
          <w:lang w:val="en-GB"/>
        </w:rPr>
        <w:t>Such work could be tied to legal empowerment</w:t>
      </w:r>
      <w:r>
        <w:rPr>
          <w:rFonts w:ascii="Times New Roman" w:hAnsi="Times New Roman" w:cs="Times New Roman"/>
          <w:sz w:val="22"/>
          <w:szCs w:val="22"/>
          <w:lang w:val="en-GB"/>
        </w:rPr>
        <w:t xml:space="preserve"> and youth. </w:t>
      </w:r>
      <w:r w:rsidR="005750ED" w:rsidRPr="00647752">
        <w:rPr>
          <w:rFonts w:ascii="Times New Roman" w:hAnsi="Times New Roman" w:cs="Times New Roman"/>
          <w:sz w:val="22"/>
          <w:szCs w:val="22"/>
          <w:lang w:val="en-GB"/>
        </w:rPr>
        <w:t>The recent establishment</w:t>
      </w:r>
      <w:r>
        <w:rPr>
          <w:rFonts w:ascii="Times New Roman" w:hAnsi="Times New Roman" w:cs="Times New Roman"/>
          <w:sz w:val="22"/>
          <w:szCs w:val="22"/>
          <w:lang w:val="en-GB"/>
        </w:rPr>
        <w:t xml:space="preserve"> of the Global Focal Point for Rule of L</w:t>
      </w:r>
      <w:r w:rsidR="005750ED" w:rsidRPr="00647752">
        <w:rPr>
          <w:rFonts w:ascii="Times New Roman" w:hAnsi="Times New Roman" w:cs="Times New Roman"/>
          <w:sz w:val="22"/>
          <w:szCs w:val="22"/>
          <w:lang w:val="en-GB"/>
        </w:rPr>
        <w:t>aw may pres</w:t>
      </w:r>
      <w:r>
        <w:rPr>
          <w:rFonts w:ascii="Times New Roman" w:hAnsi="Times New Roman" w:cs="Times New Roman"/>
          <w:sz w:val="22"/>
          <w:szCs w:val="22"/>
          <w:lang w:val="en-GB"/>
        </w:rPr>
        <w:t>ent opportunities for UNDP (e.g.</w:t>
      </w:r>
      <w:r w:rsidR="005750ED" w:rsidRPr="00647752">
        <w:rPr>
          <w:rFonts w:ascii="Times New Roman" w:hAnsi="Times New Roman" w:cs="Times New Roman"/>
          <w:sz w:val="22"/>
          <w:szCs w:val="22"/>
          <w:lang w:val="en-GB"/>
        </w:rPr>
        <w:t xml:space="preserve"> UND</w:t>
      </w:r>
      <w:r>
        <w:rPr>
          <w:rFonts w:ascii="Times New Roman" w:hAnsi="Times New Roman" w:cs="Times New Roman"/>
          <w:sz w:val="22"/>
          <w:szCs w:val="22"/>
          <w:lang w:val="en-GB"/>
        </w:rPr>
        <w:t xml:space="preserve">P might be able to draw upon </w:t>
      </w:r>
      <w:r w:rsidRPr="00765A62">
        <w:rPr>
          <w:rFonts w:ascii="Times New Roman" w:hAnsi="Times New Roman" w:cs="Times New Roman"/>
          <w:i/>
          <w:sz w:val="22"/>
          <w:szCs w:val="22"/>
          <w:lang w:val="en-GB"/>
        </w:rPr>
        <w:t>s</w:t>
      </w:r>
      <w:r w:rsidR="005750ED" w:rsidRPr="00765A62">
        <w:rPr>
          <w:rFonts w:ascii="Times New Roman" w:hAnsi="Times New Roman" w:cs="Times New Roman"/>
          <w:i/>
          <w:sz w:val="22"/>
          <w:szCs w:val="22"/>
          <w:lang w:val="en-GB"/>
        </w:rPr>
        <w:t>hari’a</w:t>
      </w:r>
      <w:r w:rsidR="005750ED" w:rsidRPr="00647752">
        <w:rPr>
          <w:rFonts w:ascii="Times New Roman" w:hAnsi="Times New Roman" w:cs="Times New Roman"/>
          <w:sz w:val="22"/>
          <w:szCs w:val="22"/>
          <w:lang w:val="en-GB"/>
        </w:rPr>
        <w:t xml:space="preserve"> law</w:t>
      </w:r>
      <w:r>
        <w:rPr>
          <w:rFonts w:ascii="Times New Roman" w:hAnsi="Times New Roman" w:cs="Times New Roman"/>
          <w:sz w:val="22"/>
          <w:szCs w:val="22"/>
          <w:lang w:val="en-GB"/>
        </w:rPr>
        <w:t xml:space="preserve"> experts from DPKO). </w:t>
      </w:r>
      <w:r w:rsidR="005750ED" w:rsidRPr="00647752">
        <w:rPr>
          <w:rFonts w:ascii="Times New Roman" w:hAnsi="Times New Roman" w:cs="Times New Roman"/>
          <w:sz w:val="22"/>
          <w:szCs w:val="22"/>
          <w:lang w:val="en-GB"/>
        </w:rPr>
        <w:t xml:space="preserve">Additionally, UNDP might explore </w:t>
      </w:r>
      <w:r>
        <w:rPr>
          <w:rFonts w:ascii="Times New Roman" w:hAnsi="Times New Roman" w:cs="Times New Roman"/>
          <w:sz w:val="22"/>
          <w:szCs w:val="22"/>
          <w:lang w:val="en-GB"/>
        </w:rPr>
        <w:t>options for approaching the UN</w:t>
      </w:r>
      <w:r w:rsidR="005750ED" w:rsidRPr="00647752">
        <w:rPr>
          <w:rFonts w:ascii="Times New Roman" w:hAnsi="Times New Roman" w:cs="Times New Roman"/>
          <w:sz w:val="22"/>
          <w:szCs w:val="22"/>
          <w:lang w:val="en-GB"/>
        </w:rPr>
        <w:t xml:space="preserve"> Peace Buil</w:t>
      </w:r>
      <w:r>
        <w:rPr>
          <w:rFonts w:ascii="Times New Roman" w:hAnsi="Times New Roman" w:cs="Times New Roman"/>
          <w:sz w:val="22"/>
          <w:szCs w:val="22"/>
          <w:lang w:val="en-GB"/>
        </w:rPr>
        <w:t>ding Support Office and request them to conduct a mission to the</w:t>
      </w:r>
      <w:r w:rsidR="00227679">
        <w:rPr>
          <w:rFonts w:ascii="Times New Roman" w:hAnsi="Times New Roman" w:cs="Times New Roman"/>
          <w:sz w:val="22"/>
          <w:szCs w:val="22"/>
          <w:lang w:val="en-GB"/>
        </w:rPr>
        <w:t xml:space="preserve"> </w:t>
      </w:r>
      <w:r w:rsidR="00DE216A" w:rsidRPr="00647752">
        <w:rPr>
          <w:rFonts w:ascii="Times New Roman" w:hAnsi="Times New Roman" w:cs="Times New Roman"/>
          <w:sz w:val="22"/>
          <w:szCs w:val="22"/>
          <w:lang w:val="en-GB"/>
        </w:rPr>
        <w:t>oPt</w:t>
      </w:r>
      <w:r w:rsidR="005750ED" w:rsidRPr="00647752">
        <w:rPr>
          <w:rFonts w:ascii="Times New Roman" w:hAnsi="Times New Roman" w:cs="Times New Roman"/>
          <w:sz w:val="22"/>
          <w:szCs w:val="22"/>
          <w:lang w:val="en-GB"/>
        </w:rPr>
        <w:t>.</w:t>
      </w:r>
      <w:r w:rsidR="00227679">
        <w:rPr>
          <w:rFonts w:ascii="Times New Roman" w:hAnsi="Times New Roman" w:cs="Times New Roman"/>
          <w:sz w:val="22"/>
          <w:szCs w:val="22"/>
          <w:lang w:val="en-GB"/>
        </w:rPr>
        <w:t xml:space="preserve"> </w:t>
      </w:r>
      <w:r w:rsidR="00391D3D" w:rsidRPr="00647752">
        <w:rPr>
          <w:rFonts w:ascii="Times New Roman" w:hAnsi="Times New Roman" w:cs="Times New Roman"/>
          <w:sz w:val="22"/>
          <w:szCs w:val="22"/>
          <w:lang w:val="en-GB"/>
        </w:rPr>
        <w:t>Community and religious leaders might be an entry point at the local level.</w:t>
      </w:r>
    </w:p>
    <w:p w:rsidR="00391D3D" w:rsidRPr="00647752" w:rsidRDefault="00391D3D" w:rsidP="00FB6759">
      <w:pPr>
        <w:spacing w:after="0" w:line="240" w:lineRule="auto"/>
        <w:jc w:val="both"/>
        <w:rPr>
          <w:rFonts w:ascii="Times New Roman" w:hAnsi="Times New Roman" w:cs="Times New Roman"/>
          <w:sz w:val="22"/>
          <w:szCs w:val="22"/>
          <w:lang w:val="en-GB"/>
        </w:rPr>
      </w:pPr>
    </w:p>
    <w:p w:rsidR="00046015" w:rsidRPr="00647752" w:rsidRDefault="006853A8" w:rsidP="00FB6759">
      <w:pPr>
        <w:spacing w:after="0" w:line="240" w:lineRule="auto"/>
        <w:jc w:val="both"/>
        <w:rPr>
          <w:rFonts w:ascii="Times New Roman" w:hAnsi="Times New Roman" w:cs="Times New Roman"/>
          <w:i/>
          <w:sz w:val="22"/>
          <w:szCs w:val="22"/>
          <w:lang w:val="en-GB"/>
        </w:rPr>
      </w:pPr>
      <w:r w:rsidRPr="00647752">
        <w:rPr>
          <w:rFonts w:ascii="Times New Roman" w:hAnsi="Times New Roman" w:cs="Times New Roman"/>
          <w:i/>
          <w:sz w:val="22"/>
          <w:szCs w:val="22"/>
          <w:lang w:val="en-GB"/>
        </w:rPr>
        <w:t>Output 2.3: Models for potential linkages between formal and informal justice systems reviewed and</w:t>
      </w:r>
      <w:r w:rsidR="00FD3C19">
        <w:rPr>
          <w:rFonts w:ascii="Times New Roman" w:hAnsi="Times New Roman" w:cs="Times New Roman"/>
          <w:i/>
          <w:sz w:val="22"/>
          <w:szCs w:val="22"/>
          <w:lang w:val="en-GB"/>
        </w:rPr>
        <w:t xml:space="preserve"> </w:t>
      </w:r>
      <w:r w:rsidRPr="00647752">
        <w:rPr>
          <w:rFonts w:ascii="Times New Roman" w:hAnsi="Times New Roman" w:cs="Times New Roman"/>
          <w:i/>
          <w:sz w:val="22"/>
          <w:szCs w:val="22"/>
          <w:lang w:val="en-GB"/>
        </w:rPr>
        <w:t>developed</w:t>
      </w:r>
    </w:p>
    <w:p w:rsidR="00490531" w:rsidRDefault="00490531" w:rsidP="00FB6759">
      <w:pPr>
        <w:spacing w:after="0" w:line="240" w:lineRule="auto"/>
        <w:jc w:val="both"/>
        <w:rPr>
          <w:rFonts w:ascii="Times New Roman" w:hAnsi="Times New Roman" w:cs="Times New Roman"/>
          <w:sz w:val="22"/>
          <w:szCs w:val="22"/>
          <w:lang w:val="en-GB"/>
        </w:rPr>
      </w:pPr>
    </w:p>
    <w:p w:rsidR="00582499" w:rsidRPr="00647752" w:rsidRDefault="00CF7A0B"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Clan-based systems of justice</w:t>
      </w:r>
      <w:r w:rsidR="00765D45" w:rsidRPr="00647752">
        <w:rPr>
          <w:rFonts w:ascii="Times New Roman" w:hAnsi="Times New Roman" w:cs="Times New Roman"/>
          <w:sz w:val="22"/>
          <w:szCs w:val="22"/>
          <w:lang w:val="en-GB"/>
        </w:rPr>
        <w:t xml:space="preserve"> in the oP</w:t>
      </w:r>
      <w:r w:rsidR="00A12535" w:rsidRPr="00647752">
        <w:rPr>
          <w:rFonts w:ascii="Times New Roman" w:hAnsi="Times New Roman" w:cs="Times New Roman"/>
          <w:sz w:val="22"/>
          <w:szCs w:val="22"/>
          <w:lang w:val="en-GB"/>
        </w:rPr>
        <w:t>t</w:t>
      </w:r>
      <w:r w:rsidRPr="00647752">
        <w:rPr>
          <w:rFonts w:ascii="Times New Roman" w:hAnsi="Times New Roman" w:cs="Times New Roman"/>
          <w:sz w:val="22"/>
          <w:szCs w:val="22"/>
          <w:lang w:val="en-GB"/>
        </w:rPr>
        <w:t xml:space="preserve"> have served to supplement the formal Palestinian justice system. </w:t>
      </w:r>
      <w:r w:rsidR="008E78CD" w:rsidRPr="00647752">
        <w:rPr>
          <w:rFonts w:ascii="Times New Roman" w:hAnsi="Times New Roman" w:cs="Times New Roman"/>
          <w:sz w:val="22"/>
          <w:szCs w:val="22"/>
          <w:lang w:val="en-GB"/>
        </w:rPr>
        <w:t>“</w:t>
      </w:r>
      <w:r w:rsidR="00D8092C" w:rsidRPr="00647752">
        <w:rPr>
          <w:rFonts w:ascii="Times New Roman" w:hAnsi="Times New Roman" w:cs="Times New Roman"/>
          <w:sz w:val="22"/>
          <w:szCs w:val="22"/>
          <w:lang w:val="en-GB"/>
        </w:rPr>
        <w:t xml:space="preserve">This social phenomenon comprises the settlement of disputes between citizens outside of the formal justice system and includes clan-based </w:t>
      </w:r>
      <w:r w:rsidR="00D8092C" w:rsidRPr="00647752">
        <w:rPr>
          <w:rFonts w:ascii="Times New Roman" w:hAnsi="Times New Roman" w:cs="Times New Roman"/>
          <w:i/>
          <w:sz w:val="22"/>
          <w:szCs w:val="22"/>
          <w:lang w:val="en-GB"/>
        </w:rPr>
        <w:t>sulh</w:t>
      </w:r>
      <w:r w:rsidR="00D8092C" w:rsidRPr="00647752">
        <w:rPr>
          <w:rFonts w:ascii="Times New Roman" w:hAnsi="Times New Roman" w:cs="Times New Roman"/>
          <w:sz w:val="22"/>
          <w:szCs w:val="22"/>
          <w:lang w:val="en-GB"/>
        </w:rPr>
        <w:t>, a method of dispute resolution through conciliation and clan-based law adjudicated by clan-based judges.</w:t>
      </w:r>
      <w:r w:rsidR="008E78CD" w:rsidRPr="00647752">
        <w:rPr>
          <w:rFonts w:ascii="Times New Roman" w:hAnsi="Times New Roman" w:cs="Times New Roman"/>
          <w:sz w:val="22"/>
          <w:szCs w:val="22"/>
          <w:lang w:val="en-GB"/>
        </w:rPr>
        <w:t>”</w:t>
      </w:r>
      <w:r w:rsidR="00D8092C" w:rsidRPr="00647752">
        <w:rPr>
          <w:rStyle w:val="FootnoteReference"/>
          <w:rFonts w:ascii="Times New Roman" w:hAnsi="Times New Roman" w:cs="Times New Roman"/>
          <w:sz w:val="22"/>
          <w:szCs w:val="22"/>
          <w:lang w:val="en-GB"/>
        </w:rPr>
        <w:footnoteReference w:id="138"/>
      </w:r>
      <w:r w:rsidR="008C0E3F" w:rsidRPr="00647752">
        <w:rPr>
          <w:rFonts w:ascii="Times New Roman" w:hAnsi="Times New Roman" w:cs="Times New Roman"/>
          <w:sz w:val="22"/>
          <w:szCs w:val="22"/>
          <w:lang w:val="en-GB"/>
        </w:rPr>
        <w:t>The</w:t>
      </w:r>
      <w:r w:rsidR="00F52EA5" w:rsidRPr="00647752">
        <w:rPr>
          <w:rFonts w:ascii="Times New Roman" w:hAnsi="Times New Roman" w:cs="Times New Roman"/>
          <w:sz w:val="22"/>
          <w:szCs w:val="22"/>
          <w:lang w:val="en-GB"/>
        </w:rPr>
        <w:t xml:space="preserve"> clan-based system </w:t>
      </w:r>
      <w:r w:rsidR="008C0E3F" w:rsidRPr="00647752">
        <w:rPr>
          <w:rFonts w:ascii="Times New Roman" w:hAnsi="Times New Roman" w:cs="Times New Roman"/>
          <w:sz w:val="22"/>
          <w:szCs w:val="22"/>
          <w:lang w:val="en-GB"/>
        </w:rPr>
        <w:t xml:space="preserve">has been subject to the criticism that it </w:t>
      </w:r>
      <w:r w:rsidR="008A2402" w:rsidRPr="00647752">
        <w:rPr>
          <w:rFonts w:ascii="Times New Roman" w:hAnsi="Times New Roman" w:cs="Times New Roman"/>
          <w:sz w:val="22"/>
          <w:szCs w:val="22"/>
          <w:lang w:val="en-GB"/>
        </w:rPr>
        <w:t xml:space="preserve">is </w:t>
      </w:r>
      <w:r w:rsidR="00F52EA5" w:rsidRPr="00647752">
        <w:rPr>
          <w:rFonts w:ascii="Times New Roman" w:hAnsi="Times New Roman" w:cs="Times New Roman"/>
          <w:sz w:val="22"/>
          <w:szCs w:val="22"/>
          <w:lang w:val="en-GB"/>
        </w:rPr>
        <w:t xml:space="preserve">corrupt and discriminatory against women, with </w:t>
      </w:r>
      <w:r w:rsidR="008C0E3F" w:rsidRPr="00647752">
        <w:rPr>
          <w:rFonts w:ascii="Times New Roman" w:hAnsi="Times New Roman" w:cs="Times New Roman"/>
          <w:sz w:val="22"/>
          <w:szCs w:val="22"/>
          <w:lang w:val="en-GB"/>
        </w:rPr>
        <w:t>judgments</w:t>
      </w:r>
      <w:r w:rsidR="00FD3C19">
        <w:rPr>
          <w:rFonts w:ascii="Times New Roman" w:hAnsi="Times New Roman" w:cs="Times New Roman"/>
          <w:sz w:val="22"/>
          <w:szCs w:val="22"/>
          <w:lang w:val="en-GB"/>
        </w:rPr>
        <w:t xml:space="preserve"> </w:t>
      </w:r>
      <w:r w:rsidR="008C0E3F" w:rsidRPr="00647752">
        <w:rPr>
          <w:rFonts w:ascii="Times New Roman" w:hAnsi="Times New Roman" w:cs="Times New Roman"/>
          <w:sz w:val="22"/>
          <w:szCs w:val="22"/>
          <w:lang w:val="en-GB"/>
        </w:rPr>
        <w:t>favo</w:t>
      </w:r>
      <w:r w:rsidR="004E67F6">
        <w:rPr>
          <w:rFonts w:ascii="Times New Roman" w:hAnsi="Times New Roman" w:cs="Times New Roman"/>
          <w:sz w:val="22"/>
          <w:szCs w:val="22"/>
          <w:lang w:val="en-GB"/>
        </w:rPr>
        <w:t>u</w:t>
      </w:r>
      <w:r w:rsidR="008C0E3F" w:rsidRPr="00647752">
        <w:rPr>
          <w:rFonts w:ascii="Times New Roman" w:hAnsi="Times New Roman" w:cs="Times New Roman"/>
          <w:sz w:val="22"/>
          <w:szCs w:val="22"/>
          <w:lang w:val="en-GB"/>
        </w:rPr>
        <w:t>ring</w:t>
      </w:r>
      <w:r w:rsidR="00F52EA5" w:rsidRPr="00647752">
        <w:rPr>
          <w:rFonts w:ascii="Times New Roman" w:hAnsi="Times New Roman" w:cs="Times New Roman"/>
          <w:sz w:val="22"/>
          <w:szCs w:val="22"/>
          <w:lang w:val="en-GB"/>
        </w:rPr>
        <w:t xml:space="preserve"> the strongest parties to a dispute.</w:t>
      </w:r>
      <w:r w:rsidR="00F52EA5" w:rsidRPr="00647752">
        <w:rPr>
          <w:rStyle w:val="FootnoteReference"/>
          <w:rFonts w:ascii="Times New Roman" w:hAnsi="Times New Roman" w:cs="Times New Roman"/>
          <w:sz w:val="22"/>
          <w:szCs w:val="22"/>
          <w:lang w:val="en-GB"/>
        </w:rPr>
        <w:footnoteReference w:id="139"/>
      </w:r>
      <w:r w:rsidR="00BF4A63" w:rsidRPr="00647752">
        <w:rPr>
          <w:rFonts w:ascii="Times New Roman" w:hAnsi="Times New Roman" w:cs="Times New Roman"/>
          <w:sz w:val="22"/>
          <w:szCs w:val="22"/>
          <w:lang w:val="en-GB"/>
        </w:rPr>
        <w:t>Yet, such traditional forms of justice are integral to any system within the tradition of Islamic law.</w:t>
      </w:r>
      <w:r w:rsidR="00BF4A63" w:rsidRPr="00647752">
        <w:rPr>
          <w:rStyle w:val="FootnoteReference"/>
          <w:rFonts w:ascii="Times New Roman" w:hAnsi="Times New Roman" w:cs="Times New Roman"/>
          <w:sz w:val="22"/>
          <w:szCs w:val="22"/>
          <w:lang w:val="en-GB"/>
        </w:rPr>
        <w:footnoteReference w:id="140"/>
      </w:r>
    </w:p>
    <w:p w:rsidR="00490531" w:rsidRDefault="00490531" w:rsidP="00FB6759">
      <w:pPr>
        <w:spacing w:after="0" w:line="240" w:lineRule="auto"/>
        <w:jc w:val="both"/>
        <w:rPr>
          <w:rFonts w:ascii="Times New Roman" w:hAnsi="Times New Roman" w:cs="Times New Roman"/>
          <w:sz w:val="22"/>
          <w:szCs w:val="22"/>
          <w:lang w:val="en-GB"/>
        </w:rPr>
      </w:pPr>
    </w:p>
    <w:p w:rsidR="00A86BF2" w:rsidRDefault="004E67F6"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According to </w:t>
      </w:r>
      <w:r w:rsidR="008E78CD" w:rsidRPr="00647752">
        <w:rPr>
          <w:rFonts w:ascii="Times New Roman" w:hAnsi="Times New Roman" w:cs="Times New Roman"/>
          <w:sz w:val="22"/>
          <w:szCs w:val="22"/>
          <w:lang w:val="en-GB"/>
        </w:rPr>
        <w:t>UNDP</w:t>
      </w:r>
      <w:r>
        <w:rPr>
          <w:rFonts w:ascii="Times New Roman" w:hAnsi="Times New Roman" w:cs="Times New Roman"/>
          <w:sz w:val="22"/>
          <w:szCs w:val="22"/>
          <w:lang w:val="en-GB"/>
        </w:rPr>
        <w:t>’s public</w:t>
      </w:r>
      <w:r w:rsidR="008E78CD" w:rsidRPr="00647752">
        <w:rPr>
          <w:rFonts w:ascii="Times New Roman" w:hAnsi="Times New Roman" w:cs="Times New Roman"/>
          <w:sz w:val="22"/>
          <w:szCs w:val="22"/>
          <w:lang w:val="en-GB"/>
        </w:rPr>
        <w:t xml:space="preserve"> perception survey, citizens perceive that justice is slow and </w:t>
      </w:r>
      <w:r w:rsidR="00971BC2" w:rsidRPr="00647752">
        <w:rPr>
          <w:rFonts w:ascii="Times New Roman" w:hAnsi="Times New Roman" w:cs="Times New Roman"/>
          <w:sz w:val="22"/>
          <w:szCs w:val="22"/>
          <w:lang w:val="en-GB"/>
        </w:rPr>
        <w:t>chose to avoid the formal justice system, turning t</w:t>
      </w:r>
      <w:r>
        <w:rPr>
          <w:rFonts w:ascii="Times New Roman" w:hAnsi="Times New Roman" w:cs="Times New Roman"/>
          <w:sz w:val="22"/>
          <w:szCs w:val="22"/>
          <w:lang w:val="en-GB"/>
        </w:rPr>
        <w:t xml:space="preserve">o community leaders instead. </w:t>
      </w:r>
      <w:r w:rsidR="00971BC2" w:rsidRPr="00647752">
        <w:rPr>
          <w:rFonts w:ascii="Times New Roman" w:hAnsi="Times New Roman" w:cs="Times New Roman"/>
          <w:sz w:val="22"/>
          <w:szCs w:val="22"/>
          <w:lang w:val="en-GB"/>
        </w:rPr>
        <w:t>“</w:t>
      </w:r>
      <w:r w:rsidR="00E60A26" w:rsidRPr="00647752">
        <w:rPr>
          <w:rFonts w:ascii="Times New Roman" w:hAnsi="Times New Roman" w:cs="Times New Roman"/>
          <w:sz w:val="22"/>
          <w:szCs w:val="22"/>
          <w:lang w:val="en-GB"/>
        </w:rPr>
        <w:t>Community leaders - ‘</w:t>
      </w:r>
      <w:r w:rsidR="00E60A26" w:rsidRPr="004E67F6">
        <w:rPr>
          <w:rFonts w:ascii="Times New Roman" w:hAnsi="Times New Roman" w:cs="Times New Roman"/>
          <w:i/>
          <w:sz w:val="22"/>
          <w:szCs w:val="22"/>
          <w:lang w:val="en-GB"/>
        </w:rPr>
        <w:t>islah</w:t>
      </w:r>
      <w:r w:rsidR="00E60A26" w:rsidRPr="00647752">
        <w:rPr>
          <w:rFonts w:ascii="Times New Roman" w:hAnsi="Times New Roman" w:cs="Times New Roman"/>
          <w:sz w:val="22"/>
          <w:szCs w:val="22"/>
          <w:lang w:val="en-GB"/>
        </w:rPr>
        <w:t xml:space="preserve"> men’ and ‘tribal judges’ - often use dialogue-based dispute resolution approaches combining forms of mediation and arbitration to resolve disputes. 23.3% of Pa</w:t>
      </w:r>
      <w:r>
        <w:rPr>
          <w:rFonts w:ascii="Times New Roman" w:hAnsi="Times New Roman" w:cs="Times New Roman"/>
          <w:sz w:val="22"/>
          <w:szCs w:val="22"/>
          <w:lang w:val="en-GB"/>
        </w:rPr>
        <w:t>lestinians perceive that these informal</w:t>
      </w:r>
      <w:r w:rsidR="00E60A26" w:rsidRPr="00647752">
        <w:rPr>
          <w:rFonts w:ascii="Times New Roman" w:hAnsi="Times New Roman" w:cs="Times New Roman"/>
          <w:sz w:val="22"/>
          <w:szCs w:val="22"/>
          <w:lang w:val="en-GB"/>
        </w:rPr>
        <w:t xml:space="preserve"> justice mechanisms are faster than formal courts. In the absence of a clear oversight and regulation framework, however, the potential for informal justice mechanisms to deny the rights of vulnerable or </w:t>
      </w:r>
      <w:r>
        <w:rPr>
          <w:rFonts w:ascii="Times New Roman" w:hAnsi="Times New Roman" w:cs="Times New Roman"/>
          <w:sz w:val="22"/>
          <w:szCs w:val="22"/>
          <w:lang w:val="en-GB"/>
        </w:rPr>
        <w:t>marginalis</w:t>
      </w:r>
      <w:r w:rsidR="003D4DF8" w:rsidRPr="00647752">
        <w:rPr>
          <w:rFonts w:ascii="Times New Roman" w:hAnsi="Times New Roman" w:cs="Times New Roman"/>
          <w:sz w:val="22"/>
          <w:szCs w:val="22"/>
          <w:lang w:val="en-GB"/>
        </w:rPr>
        <w:t>ed</w:t>
      </w:r>
      <w:r w:rsidR="00E60A26" w:rsidRPr="00647752">
        <w:rPr>
          <w:rFonts w:ascii="Times New Roman" w:hAnsi="Times New Roman" w:cs="Times New Roman"/>
          <w:sz w:val="22"/>
          <w:szCs w:val="22"/>
          <w:lang w:val="en-GB"/>
        </w:rPr>
        <w:t xml:space="preserve"> groups is</w:t>
      </w:r>
      <w:r w:rsidR="00FD3C19">
        <w:rPr>
          <w:rFonts w:ascii="Times New Roman" w:hAnsi="Times New Roman" w:cs="Times New Roman"/>
          <w:sz w:val="22"/>
          <w:szCs w:val="22"/>
          <w:lang w:val="en-GB"/>
        </w:rPr>
        <w:t xml:space="preserve"> </w:t>
      </w:r>
      <w:r w:rsidR="00E60A26" w:rsidRPr="00647752">
        <w:rPr>
          <w:rFonts w:ascii="Times New Roman" w:hAnsi="Times New Roman" w:cs="Times New Roman"/>
          <w:sz w:val="22"/>
          <w:szCs w:val="22"/>
          <w:lang w:val="en-GB"/>
        </w:rPr>
        <w:lastRenderedPageBreak/>
        <w:t>obvious. The data suggests that there is a need for quicker, dialogue-based, human-rights focused alternative dispute resolution (ADR) mechanisms.</w:t>
      </w:r>
      <w:r w:rsidR="008C0E3F" w:rsidRPr="00647752">
        <w:rPr>
          <w:rFonts w:ascii="Times New Roman" w:hAnsi="Times New Roman" w:cs="Times New Roman"/>
          <w:sz w:val="22"/>
          <w:szCs w:val="22"/>
          <w:lang w:val="en-GB"/>
        </w:rPr>
        <w:t>”</w:t>
      </w:r>
      <w:r w:rsidR="00E60A26" w:rsidRPr="00647752">
        <w:rPr>
          <w:rStyle w:val="FootnoteReference"/>
          <w:rFonts w:ascii="Times New Roman" w:hAnsi="Times New Roman" w:cs="Times New Roman"/>
          <w:sz w:val="22"/>
          <w:szCs w:val="22"/>
          <w:lang w:val="en-GB"/>
        </w:rPr>
        <w:footnoteReference w:id="141"/>
      </w:r>
      <w:r w:rsidR="00AF07F7" w:rsidRPr="00647752">
        <w:rPr>
          <w:rFonts w:ascii="Times New Roman" w:hAnsi="Times New Roman" w:cs="Times New Roman"/>
          <w:sz w:val="22"/>
          <w:szCs w:val="22"/>
          <w:lang w:val="en-GB"/>
        </w:rPr>
        <w:t xml:space="preserve">UNDP’s continued support of the study of informal justice mechanisms in the oPt is laying a foundation for </w:t>
      </w:r>
      <w:r w:rsidR="009D0416" w:rsidRPr="00647752">
        <w:rPr>
          <w:rFonts w:ascii="Times New Roman" w:hAnsi="Times New Roman" w:cs="Times New Roman"/>
          <w:sz w:val="22"/>
          <w:szCs w:val="22"/>
          <w:lang w:val="en-GB"/>
        </w:rPr>
        <w:t>conducting workshops to be held in 2013 on the relationship between formal and informal justice systems and improving the accountability of community leaders who dispense justice.</w:t>
      </w:r>
      <w:r w:rsidR="00770D55" w:rsidRPr="00647752">
        <w:rPr>
          <w:rStyle w:val="FootnoteReference"/>
          <w:rFonts w:ascii="Times New Roman" w:hAnsi="Times New Roman" w:cs="Times New Roman"/>
          <w:sz w:val="22"/>
          <w:szCs w:val="22"/>
          <w:lang w:val="en-GB"/>
        </w:rPr>
        <w:footnoteReference w:id="142"/>
      </w:r>
    </w:p>
    <w:p w:rsidR="004E67F6" w:rsidRPr="00647752" w:rsidRDefault="004E67F6" w:rsidP="00FB6759">
      <w:pPr>
        <w:spacing w:after="0" w:line="240" w:lineRule="auto"/>
        <w:jc w:val="both"/>
        <w:rPr>
          <w:rFonts w:ascii="Times New Roman" w:hAnsi="Times New Roman" w:cs="Times New Roman"/>
          <w:sz w:val="22"/>
          <w:szCs w:val="22"/>
          <w:lang w:val="en-GB"/>
        </w:rPr>
      </w:pPr>
    </w:p>
    <w:p w:rsidR="004E67F6" w:rsidRDefault="006F7CD9"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Use of informal justice is not as widely used in Wes</w:t>
      </w:r>
      <w:r w:rsidR="004E67F6">
        <w:rPr>
          <w:rFonts w:ascii="Times New Roman" w:hAnsi="Times New Roman" w:cs="Times New Roman"/>
          <w:sz w:val="22"/>
          <w:szCs w:val="22"/>
          <w:lang w:val="en-GB"/>
        </w:rPr>
        <w:t>t Bank as in Gaza and the MOJ</w:t>
      </w:r>
      <w:r w:rsidRPr="00647752">
        <w:rPr>
          <w:rFonts w:ascii="Times New Roman" w:hAnsi="Times New Roman" w:cs="Times New Roman"/>
          <w:sz w:val="22"/>
          <w:szCs w:val="22"/>
          <w:lang w:val="en-GB"/>
        </w:rPr>
        <w:t xml:space="preserve"> has been resistant to working with th</w:t>
      </w:r>
      <w:r w:rsidR="004E67F6">
        <w:rPr>
          <w:rFonts w:ascii="Times New Roman" w:hAnsi="Times New Roman" w:cs="Times New Roman"/>
          <w:sz w:val="22"/>
          <w:szCs w:val="22"/>
          <w:lang w:val="en-GB"/>
        </w:rPr>
        <w:t xml:space="preserve">e traditional justice sector. </w:t>
      </w:r>
      <w:r w:rsidRPr="00647752">
        <w:rPr>
          <w:rFonts w:ascii="Times New Roman" w:hAnsi="Times New Roman" w:cs="Times New Roman"/>
          <w:sz w:val="22"/>
          <w:szCs w:val="22"/>
          <w:lang w:val="en-GB"/>
        </w:rPr>
        <w:t xml:space="preserve">Thus far, UNDP support for </w:t>
      </w:r>
      <w:r w:rsidR="004E67F6">
        <w:rPr>
          <w:rFonts w:ascii="Times New Roman" w:hAnsi="Times New Roman" w:cs="Times New Roman"/>
          <w:sz w:val="22"/>
          <w:szCs w:val="22"/>
          <w:lang w:val="en-GB"/>
        </w:rPr>
        <w:t xml:space="preserve">creating linkages between the formal and the informal justice sector has </w:t>
      </w:r>
      <w:r w:rsidRPr="00647752">
        <w:rPr>
          <w:rFonts w:ascii="Times New Roman" w:hAnsi="Times New Roman" w:cs="Times New Roman"/>
          <w:sz w:val="22"/>
          <w:szCs w:val="22"/>
          <w:lang w:val="en-GB"/>
        </w:rPr>
        <w:t>not progressed as quickly as planned. UNDP initially had problems recruiting an expert to do this type of</w:t>
      </w:r>
      <w:r w:rsidR="004E67F6">
        <w:rPr>
          <w:rFonts w:ascii="Times New Roman" w:hAnsi="Times New Roman" w:cs="Times New Roman"/>
          <w:sz w:val="22"/>
          <w:szCs w:val="22"/>
          <w:lang w:val="en-GB"/>
        </w:rPr>
        <w:t xml:space="preserve"> research. Ultimately, UNDP </w:t>
      </w:r>
      <w:r w:rsidRPr="00647752">
        <w:rPr>
          <w:rFonts w:ascii="Times New Roman" w:hAnsi="Times New Roman" w:cs="Times New Roman"/>
          <w:sz w:val="22"/>
          <w:szCs w:val="22"/>
          <w:lang w:val="en-GB"/>
        </w:rPr>
        <w:t>found an expert who is now in the fina</w:t>
      </w:r>
      <w:r w:rsidR="004E67F6">
        <w:rPr>
          <w:rFonts w:ascii="Times New Roman" w:hAnsi="Times New Roman" w:cs="Times New Roman"/>
          <w:sz w:val="22"/>
          <w:szCs w:val="22"/>
          <w:lang w:val="en-GB"/>
        </w:rPr>
        <w:t>l stage of submitting a final draft</w:t>
      </w:r>
      <w:r w:rsidRPr="00647752">
        <w:rPr>
          <w:rFonts w:ascii="Times New Roman" w:hAnsi="Times New Roman" w:cs="Times New Roman"/>
          <w:sz w:val="22"/>
          <w:szCs w:val="22"/>
          <w:lang w:val="en-GB"/>
        </w:rPr>
        <w:t xml:space="preserve"> and UNDP has a number of workshops planned for 2013. </w:t>
      </w:r>
    </w:p>
    <w:p w:rsidR="004E67F6" w:rsidRDefault="004E67F6" w:rsidP="00FB6759">
      <w:pPr>
        <w:spacing w:after="0" w:line="240" w:lineRule="auto"/>
        <w:jc w:val="both"/>
        <w:rPr>
          <w:rFonts w:ascii="Times New Roman" w:hAnsi="Times New Roman" w:cs="Times New Roman"/>
          <w:sz w:val="22"/>
          <w:szCs w:val="22"/>
          <w:lang w:val="en-GB"/>
        </w:rPr>
      </w:pPr>
    </w:p>
    <w:p w:rsidR="004E67F6" w:rsidRDefault="006F7CD9"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UNDP has also used the CSO grant recipients to conduct</w:t>
      </w:r>
      <w:r w:rsidR="004E67F6">
        <w:rPr>
          <w:rFonts w:ascii="Times New Roman" w:hAnsi="Times New Roman" w:cs="Times New Roman"/>
          <w:sz w:val="22"/>
          <w:szCs w:val="22"/>
          <w:lang w:val="en-GB"/>
        </w:rPr>
        <w:t xml:space="preserve"> some research on this issue. </w:t>
      </w:r>
      <w:r w:rsidRPr="00647752">
        <w:rPr>
          <w:rFonts w:ascii="Times New Roman" w:hAnsi="Times New Roman" w:cs="Times New Roman"/>
          <w:sz w:val="22"/>
          <w:szCs w:val="22"/>
          <w:lang w:val="en-GB"/>
        </w:rPr>
        <w:t xml:space="preserve">There remains a need to ascertain how many cases are being generated by the informal justice sector in the West Bank and whether these are </w:t>
      </w:r>
      <w:r w:rsidR="004E67F6">
        <w:rPr>
          <w:rFonts w:ascii="Times New Roman" w:hAnsi="Times New Roman" w:cs="Times New Roman"/>
          <w:sz w:val="22"/>
          <w:szCs w:val="22"/>
          <w:lang w:val="en-GB"/>
        </w:rPr>
        <w:t>respective of women’s rights. As detailed under Outcome</w:t>
      </w:r>
      <w:r w:rsidR="00631FC2" w:rsidRPr="00647752">
        <w:rPr>
          <w:rFonts w:ascii="Times New Roman" w:hAnsi="Times New Roman" w:cs="Times New Roman"/>
          <w:sz w:val="22"/>
          <w:szCs w:val="22"/>
          <w:lang w:val="en-GB"/>
        </w:rPr>
        <w:t xml:space="preserve"> 4, UNDP has achieved a high-level of contacts with traditional leader</w:t>
      </w:r>
      <w:r w:rsidR="00A12535" w:rsidRPr="00647752">
        <w:rPr>
          <w:rFonts w:ascii="Times New Roman" w:hAnsi="Times New Roman" w:cs="Times New Roman"/>
          <w:sz w:val="22"/>
          <w:szCs w:val="22"/>
          <w:lang w:val="en-GB"/>
        </w:rPr>
        <w:t>s</w:t>
      </w:r>
      <w:r w:rsidR="00631FC2" w:rsidRPr="00647752">
        <w:rPr>
          <w:rFonts w:ascii="Times New Roman" w:hAnsi="Times New Roman" w:cs="Times New Roman"/>
          <w:sz w:val="22"/>
          <w:szCs w:val="22"/>
          <w:lang w:val="en-GB"/>
        </w:rPr>
        <w:t xml:space="preserve"> in</w:t>
      </w:r>
      <w:r w:rsidR="00FD3C19">
        <w:rPr>
          <w:rFonts w:ascii="Times New Roman" w:hAnsi="Times New Roman" w:cs="Times New Roman"/>
          <w:sz w:val="22"/>
          <w:szCs w:val="22"/>
          <w:lang w:val="en-GB"/>
        </w:rPr>
        <w:t xml:space="preserve"> </w:t>
      </w:r>
      <w:r w:rsidR="00631FC2" w:rsidRPr="00647752">
        <w:rPr>
          <w:rFonts w:ascii="Times New Roman" w:hAnsi="Times New Roman" w:cs="Times New Roman"/>
          <w:sz w:val="22"/>
          <w:szCs w:val="22"/>
          <w:lang w:val="en-GB"/>
        </w:rPr>
        <w:t>Gaz</w:t>
      </w:r>
      <w:r w:rsidR="004E67F6">
        <w:rPr>
          <w:rFonts w:ascii="Times New Roman" w:hAnsi="Times New Roman" w:cs="Times New Roman"/>
          <w:sz w:val="22"/>
          <w:szCs w:val="22"/>
          <w:lang w:val="en-GB"/>
        </w:rPr>
        <w:t xml:space="preserve">a. </w:t>
      </w:r>
      <w:r w:rsidR="00994807" w:rsidRPr="00647752">
        <w:rPr>
          <w:rFonts w:ascii="Times New Roman" w:hAnsi="Times New Roman" w:cs="Times New Roman"/>
          <w:sz w:val="22"/>
          <w:szCs w:val="22"/>
          <w:lang w:val="en-GB"/>
        </w:rPr>
        <w:t xml:space="preserve">The groundwork already laid in both the West Bank and Gaza places UNDP in a very good position to develop a more comprehensive </w:t>
      </w:r>
      <w:r w:rsidR="00994807" w:rsidRPr="00490531">
        <w:rPr>
          <w:rFonts w:ascii="Times New Roman" w:hAnsi="Times New Roman" w:cs="Times New Roman"/>
          <w:sz w:val="22"/>
          <w:szCs w:val="22"/>
          <w:lang w:val="en-GB"/>
        </w:rPr>
        <w:t xml:space="preserve">programme for traditional justice </w:t>
      </w:r>
      <w:r w:rsidR="004E67F6">
        <w:rPr>
          <w:rFonts w:ascii="Times New Roman" w:hAnsi="Times New Roman" w:cs="Times New Roman"/>
          <w:sz w:val="22"/>
          <w:szCs w:val="22"/>
          <w:lang w:val="en-GB"/>
        </w:rPr>
        <w:t>during the programme’s second phase.</w:t>
      </w:r>
    </w:p>
    <w:p w:rsidR="00EE62D0" w:rsidRPr="00490531" w:rsidRDefault="00EE62D0" w:rsidP="00FB6759">
      <w:pPr>
        <w:spacing w:after="0" w:line="240" w:lineRule="auto"/>
        <w:jc w:val="both"/>
        <w:rPr>
          <w:rFonts w:ascii="Times New Roman" w:hAnsi="Times New Roman" w:cs="Times New Roman"/>
          <w:sz w:val="22"/>
          <w:szCs w:val="22"/>
          <w:lang w:val="en-GB"/>
        </w:rPr>
      </w:pPr>
    </w:p>
    <w:p w:rsidR="0023683A" w:rsidRPr="00490531" w:rsidRDefault="0023683A" w:rsidP="00490531">
      <w:pPr>
        <w:pStyle w:val="Heading3"/>
        <w:numPr>
          <w:ilvl w:val="0"/>
          <w:numId w:val="0"/>
        </w:numPr>
        <w:spacing w:before="0" w:after="0" w:line="240" w:lineRule="auto"/>
        <w:rPr>
          <w:rFonts w:ascii="Times New Roman" w:hAnsi="Times New Roman" w:cs="Times New Roman"/>
          <w:sz w:val="22"/>
          <w:szCs w:val="22"/>
          <w:lang w:val="en-GB"/>
        </w:rPr>
      </w:pPr>
      <w:bookmarkStart w:id="18" w:name="_Toc231801802"/>
      <w:r w:rsidRPr="00490531">
        <w:rPr>
          <w:rFonts w:ascii="Times New Roman" w:hAnsi="Times New Roman" w:cs="Times New Roman"/>
          <w:sz w:val="22"/>
          <w:szCs w:val="22"/>
          <w:lang w:val="en-GB"/>
        </w:rPr>
        <w:t>Outcome 3:  Gender and juvenile justice improved</w:t>
      </w:r>
      <w:bookmarkEnd w:id="18"/>
    </w:p>
    <w:p w:rsidR="00490531" w:rsidRPr="00490531" w:rsidRDefault="00490531" w:rsidP="00FB6759">
      <w:pPr>
        <w:spacing w:after="0" w:line="240" w:lineRule="auto"/>
        <w:jc w:val="both"/>
        <w:rPr>
          <w:rFonts w:ascii="Times New Roman" w:hAnsi="Times New Roman" w:cs="Times New Roman"/>
          <w:sz w:val="22"/>
          <w:szCs w:val="22"/>
          <w:lang w:val="en-GB"/>
        </w:rPr>
      </w:pPr>
    </w:p>
    <w:p w:rsidR="00124678" w:rsidRPr="00647752" w:rsidRDefault="00B702AC" w:rsidP="00FB6759">
      <w:pPr>
        <w:spacing w:after="0" w:line="240" w:lineRule="auto"/>
        <w:jc w:val="both"/>
        <w:rPr>
          <w:rFonts w:ascii="Times New Roman" w:hAnsi="Times New Roman" w:cs="Times New Roman"/>
          <w:sz w:val="22"/>
          <w:szCs w:val="22"/>
          <w:lang w:val="en-GB"/>
        </w:rPr>
      </w:pPr>
      <w:r w:rsidRPr="00490531">
        <w:rPr>
          <w:rFonts w:ascii="Times New Roman" w:hAnsi="Times New Roman" w:cs="Times New Roman"/>
          <w:sz w:val="22"/>
          <w:szCs w:val="22"/>
          <w:lang w:val="en-GB"/>
        </w:rPr>
        <w:t>As</w:t>
      </w:r>
      <w:r w:rsidR="00911BED" w:rsidRPr="00490531">
        <w:rPr>
          <w:rFonts w:ascii="Times New Roman" w:hAnsi="Times New Roman" w:cs="Times New Roman"/>
          <w:sz w:val="22"/>
          <w:szCs w:val="22"/>
          <w:lang w:val="en-GB"/>
        </w:rPr>
        <w:t xml:space="preserve"> stakeholders in the government</w:t>
      </w:r>
      <w:r w:rsidR="00CA6B45" w:rsidRPr="00490531">
        <w:rPr>
          <w:rFonts w:ascii="Times New Roman" w:hAnsi="Times New Roman" w:cs="Times New Roman"/>
          <w:sz w:val="22"/>
          <w:szCs w:val="22"/>
          <w:lang w:val="en-GB"/>
        </w:rPr>
        <w:t xml:space="preserve">, </w:t>
      </w:r>
      <w:r w:rsidR="00A12535" w:rsidRPr="00490531">
        <w:rPr>
          <w:rFonts w:ascii="Times New Roman" w:hAnsi="Times New Roman" w:cs="Times New Roman"/>
          <w:sz w:val="22"/>
          <w:szCs w:val="22"/>
          <w:lang w:val="en-GB"/>
        </w:rPr>
        <w:t xml:space="preserve">UNDP and </w:t>
      </w:r>
      <w:r w:rsidR="00911BED" w:rsidRPr="00490531">
        <w:rPr>
          <w:rFonts w:ascii="Times New Roman" w:hAnsi="Times New Roman" w:cs="Times New Roman"/>
          <w:sz w:val="22"/>
          <w:szCs w:val="22"/>
          <w:lang w:val="en-GB"/>
        </w:rPr>
        <w:t>civil society have acknowledged women’s rights and</w:t>
      </w:r>
      <w:r w:rsidR="00911BED" w:rsidRPr="00647752">
        <w:rPr>
          <w:rFonts w:ascii="Times New Roman" w:hAnsi="Times New Roman" w:cs="Times New Roman"/>
          <w:sz w:val="22"/>
          <w:szCs w:val="22"/>
          <w:lang w:val="en-GB"/>
        </w:rPr>
        <w:t xml:space="preserve"> access to justice by women is an important component of the government’s </w:t>
      </w:r>
      <w:r w:rsidR="00080D68" w:rsidRPr="00647752">
        <w:rPr>
          <w:rFonts w:ascii="Times New Roman" w:hAnsi="Times New Roman" w:cs="Times New Roman"/>
          <w:sz w:val="22"/>
          <w:szCs w:val="22"/>
          <w:lang w:val="en-GB"/>
        </w:rPr>
        <w:t>state-building goals.</w:t>
      </w:r>
      <w:r w:rsidR="00080D68" w:rsidRPr="00647752">
        <w:rPr>
          <w:rStyle w:val="FootnoteReference"/>
          <w:rFonts w:ascii="Times New Roman" w:hAnsi="Times New Roman" w:cs="Times New Roman"/>
          <w:sz w:val="22"/>
          <w:szCs w:val="22"/>
          <w:lang w:val="en-GB"/>
        </w:rPr>
        <w:footnoteReference w:id="143"/>
      </w:r>
      <w:r w:rsidR="00911BED" w:rsidRPr="00647752">
        <w:rPr>
          <w:rFonts w:ascii="Times New Roman" w:hAnsi="Times New Roman" w:cs="Times New Roman"/>
          <w:sz w:val="22"/>
          <w:szCs w:val="22"/>
          <w:lang w:val="en-GB"/>
        </w:rPr>
        <w:t>The same can be said for juvenile justice and the treatment of mi</w:t>
      </w:r>
      <w:r w:rsidR="003F4A02">
        <w:rPr>
          <w:rFonts w:ascii="Times New Roman" w:hAnsi="Times New Roman" w:cs="Times New Roman"/>
          <w:sz w:val="22"/>
          <w:szCs w:val="22"/>
          <w:lang w:val="en-GB"/>
        </w:rPr>
        <w:t xml:space="preserve">nors in conflict with the law. </w:t>
      </w:r>
      <w:r w:rsidR="00911BED" w:rsidRPr="00647752">
        <w:rPr>
          <w:rFonts w:ascii="Times New Roman" w:hAnsi="Times New Roman" w:cs="Times New Roman"/>
          <w:sz w:val="22"/>
          <w:szCs w:val="22"/>
          <w:lang w:val="en-GB"/>
        </w:rPr>
        <w:t>Yet</w:t>
      </w:r>
      <w:r w:rsidR="00194BE3" w:rsidRPr="00647752">
        <w:rPr>
          <w:rFonts w:ascii="Times New Roman" w:hAnsi="Times New Roman" w:cs="Times New Roman"/>
          <w:sz w:val="22"/>
          <w:szCs w:val="22"/>
          <w:lang w:val="en-GB"/>
        </w:rPr>
        <w:t>,</w:t>
      </w:r>
      <w:r w:rsidR="00911BED" w:rsidRPr="00647752">
        <w:rPr>
          <w:rFonts w:ascii="Times New Roman" w:hAnsi="Times New Roman" w:cs="Times New Roman"/>
          <w:sz w:val="22"/>
          <w:szCs w:val="22"/>
          <w:lang w:val="en-GB"/>
        </w:rPr>
        <w:t xml:space="preserve"> there is a significant need for progress in these areas, in part becaus</w:t>
      </w:r>
      <w:r w:rsidR="003F4A02">
        <w:rPr>
          <w:rFonts w:ascii="Times New Roman" w:hAnsi="Times New Roman" w:cs="Times New Roman"/>
          <w:sz w:val="22"/>
          <w:szCs w:val="22"/>
          <w:lang w:val="en-GB"/>
        </w:rPr>
        <w:t xml:space="preserve">e of institutional weaknesses. </w:t>
      </w:r>
      <w:r w:rsidR="00911BED" w:rsidRPr="00647752">
        <w:rPr>
          <w:rFonts w:ascii="Times New Roman" w:hAnsi="Times New Roman" w:cs="Times New Roman"/>
          <w:sz w:val="22"/>
          <w:szCs w:val="22"/>
          <w:lang w:val="en-GB"/>
        </w:rPr>
        <w:t xml:space="preserve">For example, there </w:t>
      </w:r>
      <w:r w:rsidR="00801823" w:rsidRPr="00647752">
        <w:rPr>
          <w:rFonts w:ascii="Times New Roman" w:hAnsi="Times New Roman" w:cs="Times New Roman"/>
          <w:sz w:val="22"/>
          <w:szCs w:val="22"/>
          <w:lang w:val="en-GB"/>
        </w:rPr>
        <w:t xml:space="preserve">was </w:t>
      </w:r>
      <w:r w:rsidR="00911BED" w:rsidRPr="00647752">
        <w:rPr>
          <w:rFonts w:ascii="Times New Roman" w:hAnsi="Times New Roman" w:cs="Times New Roman"/>
          <w:sz w:val="22"/>
          <w:szCs w:val="22"/>
          <w:lang w:val="en-GB"/>
        </w:rPr>
        <w:t xml:space="preserve">no single focal point for gender or juvenile justice at the </w:t>
      </w:r>
      <w:r w:rsidR="003F4A02">
        <w:rPr>
          <w:rFonts w:ascii="Times New Roman" w:hAnsi="Times New Roman" w:cs="Times New Roman"/>
          <w:sz w:val="22"/>
          <w:szCs w:val="22"/>
          <w:lang w:val="en-GB"/>
        </w:rPr>
        <w:t>MO</w:t>
      </w:r>
      <w:r w:rsidR="00FE43A5" w:rsidRPr="00647752">
        <w:rPr>
          <w:rFonts w:ascii="Times New Roman" w:hAnsi="Times New Roman" w:cs="Times New Roman"/>
          <w:sz w:val="22"/>
          <w:szCs w:val="22"/>
          <w:lang w:val="en-GB"/>
        </w:rPr>
        <w:t>J</w:t>
      </w:r>
      <w:r w:rsidR="00801823" w:rsidRPr="00647752">
        <w:rPr>
          <w:rFonts w:ascii="Times New Roman" w:hAnsi="Times New Roman" w:cs="Times New Roman"/>
          <w:sz w:val="22"/>
          <w:szCs w:val="22"/>
          <w:lang w:val="en-GB"/>
        </w:rPr>
        <w:t xml:space="preserve"> before </w:t>
      </w:r>
      <w:r w:rsidR="00BF5AC9" w:rsidRPr="00647752">
        <w:rPr>
          <w:rFonts w:ascii="Times New Roman" w:hAnsi="Times New Roman" w:cs="Times New Roman"/>
          <w:sz w:val="22"/>
          <w:szCs w:val="22"/>
          <w:lang w:val="en-GB"/>
        </w:rPr>
        <w:t>UNDP</w:t>
      </w:r>
      <w:r w:rsidR="00801823" w:rsidRPr="00647752">
        <w:rPr>
          <w:rFonts w:ascii="Times New Roman" w:hAnsi="Times New Roman" w:cs="Times New Roman"/>
          <w:sz w:val="22"/>
          <w:szCs w:val="22"/>
          <w:lang w:val="en-GB"/>
        </w:rPr>
        <w:t>’s intervention</w:t>
      </w:r>
      <w:r w:rsidR="00911BED" w:rsidRPr="00647752">
        <w:rPr>
          <w:rFonts w:ascii="Times New Roman" w:hAnsi="Times New Roman" w:cs="Times New Roman"/>
          <w:sz w:val="22"/>
          <w:szCs w:val="22"/>
          <w:lang w:val="en-GB"/>
        </w:rPr>
        <w:t>, and coordination across government institutions on these issues is often lacking</w:t>
      </w:r>
      <w:r w:rsidR="003F4A02">
        <w:rPr>
          <w:rFonts w:ascii="Times New Roman" w:hAnsi="Times New Roman" w:cs="Times New Roman"/>
          <w:sz w:val="22"/>
          <w:szCs w:val="22"/>
          <w:lang w:val="en-GB"/>
        </w:rPr>
        <w:t>.</w:t>
      </w:r>
      <w:r w:rsidR="00911BED" w:rsidRPr="00647752">
        <w:rPr>
          <w:rStyle w:val="FootnoteReference"/>
          <w:rFonts w:ascii="Times New Roman" w:hAnsi="Times New Roman" w:cs="Times New Roman"/>
          <w:sz w:val="22"/>
          <w:szCs w:val="22"/>
          <w:lang w:val="en-GB"/>
        </w:rPr>
        <w:footnoteReference w:id="144"/>
      </w:r>
      <w:r w:rsidR="003F4A02">
        <w:rPr>
          <w:rFonts w:ascii="Times New Roman" w:hAnsi="Times New Roman" w:cs="Times New Roman"/>
          <w:sz w:val="22"/>
          <w:szCs w:val="22"/>
          <w:lang w:val="en-GB"/>
        </w:rPr>
        <w:t xml:space="preserve"> Similarly, the lack of specialis</w:t>
      </w:r>
      <w:r w:rsidR="00911BED" w:rsidRPr="00647752">
        <w:rPr>
          <w:rFonts w:ascii="Times New Roman" w:hAnsi="Times New Roman" w:cs="Times New Roman"/>
          <w:sz w:val="22"/>
          <w:szCs w:val="22"/>
          <w:lang w:val="en-GB"/>
        </w:rPr>
        <w:t>ed juvenile courts hampers the government’s ability to take a tailored approach to the challenges of juvenile justice.</w:t>
      </w:r>
      <w:r w:rsidR="00911BED" w:rsidRPr="00647752">
        <w:rPr>
          <w:rStyle w:val="FootnoteReference"/>
          <w:rFonts w:ascii="Times New Roman" w:hAnsi="Times New Roman" w:cs="Times New Roman"/>
          <w:sz w:val="22"/>
          <w:szCs w:val="22"/>
          <w:lang w:val="en-GB"/>
        </w:rPr>
        <w:footnoteReference w:id="145"/>
      </w:r>
    </w:p>
    <w:p w:rsidR="00490531" w:rsidRDefault="00490531" w:rsidP="00FB6759">
      <w:pPr>
        <w:spacing w:after="0" w:line="240" w:lineRule="auto"/>
        <w:jc w:val="both"/>
        <w:rPr>
          <w:rFonts w:ascii="Times New Roman" w:hAnsi="Times New Roman" w:cs="Times New Roman"/>
          <w:sz w:val="22"/>
          <w:szCs w:val="22"/>
          <w:lang w:val="en-GB"/>
        </w:rPr>
      </w:pPr>
    </w:p>
    <w:p w:rsidR="00CA6B45" w:rsidRPr="00647752" w:rsidRDefault="00911BED"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In order to help address these kinds</w:t>
      </w:r>
      <w:r w:rsidR="00EE62D0" w:rsidRPr="00647752">
        <w:rPr>
          <w:rFonts w:ascii="Times New Roman" w:hAnsi="Times New Roman" w:cs="Times New Roman"/>
          <w:sz w:val="22"/>
          <w:szCs w:val="22"/>
          <w:lang w:val="en-GB"/>
        </w:rPr>
        <w:t xml:space="preserve"> of</w:t>
      </w:r>
      <w:r w:rsidRPr="00647752">
        <w:rPr>
          <w:rFonts w:ascii="Times New Roman" w:hAnsi="Times New Roman" w:cs="Times New Roman"/>
          <w:sz w:val="22"/>
          <w:szCs w:val="22"/>
          <w:lang w:val="en-GB"/>
        </w:rPr>
        <w:t xml:space="preserve"> challenges, the </w:t>
      </w:r>
      <w:r w:rsidR="003F4A02">
        <w:rPr>
          <w:rFonts w:ascii="Times New Roman" w:hAnsi="Times New Roman" w:cs="Times New Roman"/>
          <w:sz w:val="22"/>
          <w:szCs w:val="22"/>
          <w:lang w:val="en-GB"/>
        </w:rPr>
        <w:t>p</w:t>
      </w:r>
      <w:r w:rsidR="00E92863" w:rsidRPr="00647752">
        <w:rPr>
          <w:rFonts w:ascii="Times New Roman" w:hAnsi="Times New Roman" w:cs="Times New Roman"/>
          <w:sz w:val="22"/>
          <w:szCs w:val="22"/>
          <w:lang w:val="en-GB"/>
        </w:rPr>
        <w:t xml:space="preserve">rogramme has </w:t>
      </w:r>
      <w:r w:rsidRPr="00647752">
        <w:rPr>
          <w:rFonts w:ascii="Times New Roman" w:hAnsi="Times New Roman" w:cs="Times New Roman"/>
          <w:sz w:val="22"/>
          <w:szCs w:val="22"/>
          <w:lang w:val="en-GB"/>
        </w:rPr>
        <w:t xml:space="preserve">incorporated </w:t>
      </w:r>
      <w:r w:rsidR="00E92863" w:rsidRPr="00647752">
        <w:rPr>
          <w:rFonts w:ascii="Times New Roman" w:hAnsi="Times New Roman" w:cs="Times New Roman"/>
          <w:sz w:val="22"/>
          <w:szCs w:val="22"/>
          <w:lang w:val="en-GB"/>
        </w:rPr>
        <w:t xml:space="preserve">gender and juvenile justice </w:t>
      </w:r>
      <w:r w:rsidRPr="00647752">
        <w:rPr>
          <w:rFonts w:ascii="Times New Roman" w:hAnsi="Times New Roman" w:cs="Times New Roman"/>
          <w:sz w:val="22"/>
          <w:szCs w:val="22"/>
          <w:lang w:val="en-GB"/>
        </w:rPr>
        <w:t>initiatives</w:t>
      </w:r>
      <w:r w:rsidR="00194BE3" w:rsidRPr="00647752">
        <w:rPr>
          <w:rFonts w:ascii="Times New Roman" w:hAnsi="Times New Roman" w:cs="Times New Roman"/>
          <w:sz w:val="22"/>
          <w:szCs w:val="22"/>
          <w:lang w:val="en-GB"/>
        </w:rPr>
        <w:t xml:space="preserve"> into projects across </w:t>
      </w:r>
      <w:r w:rsidR="003F4A02">
        <w:rPr>
          <w:rFonts w:ascii="Times New Roman" w:hAnsi="Times New Roman" w:cs="Times New Roman"/>
          <w:sz w:val="22"/>
          <w:szCs w:val="22"/>
          <w:lang w:val="en-GB"/>
        </w:rPr>
        <w:t xml:space="preserve">the different </w:t>
      </w:r>
      <w:r w:rsidR="00194BE3" w:rsidRPr="00647752">
        <w:rPr>
          <w:rFonts w:ascii="Times New Roman" w:hAnsi="Times New Roman" w:cs="Times New Roman"/>
          <w:sz w:val="22"/>
          <w:szCs w:val="22"/>
          <w:lang w:val="en-GB"/>
        </w:rPr>
        <w:t xml:space="preserve">outcomes </w:t>
      </w:r>
      <w:r w:rsidRPr="00647752">
        <w:rPr>
          <w:rFonts w:ascii="Times New Roman" w:hAnsi="Times New Roman" w:cs="Times New Roman"/>
          <w:sz w:val="22"/>
          <w:szCs w:val="22"/>
          <w:lang w:val="en-GB"/>
        </w:rPr>
        <w:t xml:space="preserve">and in particular in its work with </w:t>
      </w:r>
      <w:r w:rsidR="003F4A02">
        <w:rPr>
          <w:rFonts w:ascii="Times New Roman" w:hAnsi="Times New Roman" w:cs="Times New Roman"/>
          <w:sz w:val="22"/>
          <w:szCs w:val="22"/>
          <w:lang w:val="en-GB"/>
        </w:rPr>
        <w:t>the justice sector institutions and civil society</w:t>
      </w:r>
      <w:r w:rsidRPr="00647752">
        <w:rPr>
          <w:rFonts w:ascii="Times New Roman" w:hAnsi="Times New Roman" w:cs="Times New Roman"/>
          <w:sz w:val="22"/>
          <w:szCs w:val="22"/>
          <w:lang w:val="en-GB"/>
        </w:rPr>
        <w:t>.</w:t>
      </w:r>
      <w:r w:rsidR="00E92863" w:rsidRPr="00647752">
        <w:rPr>
          <w:rStyle w:val="FootnoteReference"/>
          <w:rFonts w:ascii="Times New Roman" w:hAnsi="Times New Roman" w:cs="Times New Roman"/>
          <w:sz w:val="22"/>
          <w:szCs w:val="22"/>
          <w:lang w:val="en-GB"/>
        </w:rPr>
        <w:footnoteReference w:id="146"/>
      </w:r>
      <w:r w:rsidRPr="00647752">
        <w:rPr>
          <w:rFonts w:ascii="Times New Roman" w:hAnsi="Times New Roman" w:cs="Times New Roman"/>
          <w:sz w:val="22"/>
          <w:szCs w:val="22"/>
          <w:lang w:val="en-GB"/>
        </w:rPr>
        <w:t xml:space="preserve">In acknowledgment of the importance of juvenile and gender justice, Outcome 3 is therefore a stand-alone </w:t>
      </w:r>
      <w:r w:rsidR="003F4A02">
        <w:rPr>
          <w:rFonts w:ascii="Times New Roman" w:hAnsi="Times New Roman" w:cs="Times New Roman"/>
          <w:sz w:val="22"/>
          <w:szCs w:val="22"/>
          <w:lang w:val="en-GB"/>
        </w:rPr>
        <w:t>component of the p</w:t>
      </w:r>
      <w:r w:rsidR="00D11B55" w:rsidRPr="00647752">
        <w:rPr>
          <w:rFonts w:ascii="Times New Roman" w:hAnsi="Times New Roman" w:cs="Times New Roman"/>
          <w:sz w:val="22"/>
          <w:szCs w:val="22"/>
          <w:lang w:val="en-GB"/>
        </w:rPr>
        <w:t>rogramme, but as noted throughout this report, the needs of women and juveniles are cross-cut</w:t>
      </w:r>
      <w:r w:rsidR="003F4A02">
        <w:rPr>
          <w:rFonts w:ascii="Times New Roman" w:hAnsi="Times New Roman" w:cs="Times New Roman"/>
          <w:sz w:val="22"/>
          <w:szCs w:val="22"/>
          <w:lang w:val="en-GB"/>
        </w:rPr>
        <w:t>ting priorities in other outcomes</w:t>
      </w:r>
      <w:r w:rsidR="00D11B55" w:rsidRPr="00647752">
        <w:rPr>
          <w:rFonts w:ascii="Times New Roman" w:hAnsi="Times New Roman" w:cs="Times New Roman"/>
          <w:sz w:val="22"/>
          <w:szCs w:val="22"/>
          <w:lang w:val="en-GB"/>
        </w:rPr>
        <w:t xml:space="preserve"> as well.</w:t>
      </w:r>
      <w:r w:rsidR="00770D55" w:rsidRPr="00647752">
        <w:rPr>
          <w:rStyle w:val="FootnoteReference"/>
          <w:rFonts w:ascii="Times New Roman" w:hAnsi="Times New Roman" w:cs="Times New Roman"/>
          <w:sz w:val="22"/>
          <w:szCs w:val="22"/>
          <w:lang w:val="en-GB"/>
        </w:rPr>
        <w:footnoteReference w:id="147"/>
      </w:r>
      <w:r w:rsidR="007A2100" w:rsidRPr="00647752">
        <w:rPr>
          <w:rFonts w:ascii="Times New Roman" w:hAnsi="Times New Roman" w:cs="Times New Roman"/>
          <w:sz w:val="22"/>
          <w:szCs w:val="22"/>
          <w:lang w:val="en-GB"/>
        </w:rPr>
        <w:t xml:space="preserve"> The legal aid and awareness-raising work</w:t>
      </w:r>
      <w:r w:rsidR="003F4A02">
        <w:rPr>
          <w:rFonts w:ascii="Times New Roman" w:hAnsi="Times New Roman" w:cs="Times New Roman"/>
          <w:sz w:val="22"/>
          <w:szCs w:val="22"/>
          <w:lang w:val="en-GB"/>
        </w:rPr>
        <w:t xml:space="preserve"> of UNDP is discussed under Outcome 2 and Outcome</w:t>
      </w:r>
      <w:r w:rsidR="007A2100" w:rsidRPr="00647752">
        <w:rPr>
          <w:rFonts w:ascii="Times New Roman" w:hAnsi="Times New Roman" w:cs="Times New Roman"/>
          <w:sz w:val="22"/>
          <w:szCs w:val="22"/>
          <w:lang w:val="en-GB"/>
        </w:rPr>
        <w:t xml:space="preserve"> 4 of this report.</w:t>
      </w:r>
      <w:r w:rsidR="00CA6B45" w:rsidRPr="00647752">
        <w:rPr>
          <w:rStyle w:val="FootnoteReference"/>
          <w:rFonts w:ascii="Times New Roman" w:hAnsi="Times New Roman" w:cs="Times New Roman"/>
          <w:sz w:val="22"/>
          <w:szCs w:val="22"/>
          <w:lang w:val="en-GB"/>
        </w:rPr>
        <w:footnoteReference w:id="148"/>
      </w:r>
      <w:r w:rsidR="007A2100" w:rsidRPr="00647752">
        <w:rPr>
          <w:rFonts w:ascii="Times New Roman" w:hAnsi="Times New Roman" w:cs="Times New Roman"/>
          <w:sz w:val="22"/>
          <w:szCs w:val="22"/>
          <w:lang w:val="en-GB"/>
        </w:rPr>
        <w:t xml:space="preserve">UNDP’s support to legislation and national strategies on gender, as well as its support to the capacities of law </w:t>
      </w:r>
      <w:r w:rsidR="003F4A02">
        <w:rPr>
          <w:rFonts w:ascii="Times New Roman" w:hAnsi="Times New Roman" w:cs="Times New Roman"/>
          <w:sz w:val="22"/>
          <w:szCs w:val="22"/>
          <w:lang w:val="en-GB"/>
        </w:rPr>
        <w:t xml:space="preserve">enforcement agencies to combat </w:t>
      </w:r>
      <w:r w:rsidR="007A2100" w:rsidRPr="00647752">
        <w:rPr>
          <w:rFonts w:ascii="Times New Roman" w:hAnsi="Times New Roman" w:cs="Times New Roman"/>
          <w:sz w:val="22"/>
          <w:szCs w:val="22"/>
          <w:lang w:val="en-GB"/>
        </w:rPr>
        <w:t xml:space="preserve">GBV are detailed below. </w:t>
      </w:r>
    </w:p>
    <w:p w:rsidR="00EE62D0" w:rsidRDefault="00EE62D0" w:rsidP="00FB6759">
      <w:pPr>
        <w:spacing w:after="0" w:line="240" w:lineRule="auto"/>
        <w:jc w:val="both"/>
        <w:rPr>
          <w:rFonts w:ascii="Times New Roman" w:hAnsi="Times New Roman" w:cs="Times New Roman"/>
          <w:sz w:val="22"/>
          <w:szCs w:val="22"/>
          <w:lang w:val="en-GB"/>
        </w:rPr>
      </w:pPr>
    </w:p>
    <w:p w:rsidR="003F4A02" w:rsidRDefault="003F4A02" w:rsidP="00FB6759">
      <w:pPr>
        <w:spacing w:after="0" w:line="240" w:lineRule="auto"/>
        <w:jc w:val="both"/>
        <w:rPr>
          <w:rFonts w:ascii="Times New Roman" w:hAnsi="Times New Roman" w:cs="Times New Roman"/>
          <w:sz w:val="22"/>
          <w:szCs w:val="22"/>
          <w:lang w:val="en-GB"/>
        </w:rPr>
      </w:pPr>
    </w:p>
    <w:p w:rsidR="003F4A02" w:rsidRDefault="003F4A02" w:rsidP="00FB6759">
      <w:pPr>
        <w:spacing w:after="0" w:line="240" w:lineRule="auto"/>
        <w:jc w:val="both"/>
        <w:rPr>
          <w:rFonts w:ascii="Times New Roman" w:hAnsi="Times New Roman" w:cs="Times New Roman"/>
          <w:sz w:val="22"/>
          <w:szCs w:val="22"/>
          <w:lang w:val="en-GB"/>
        </w:rPr>
      </w:pPr>
    </w:p>
    <w:p w:rsidR="003F4A02" w:rsidRPr="00647752" w:rsidRDefault="003F4A02" w:rsidP="00FB6759">
      <w:pPr>
        <w:spacing w:after="0" w:line="240" w:lineRule="auto"/>
        <w:jc w:val="both"/>
        <w:rPr>
          <w:rFonts w:ascii="Times New Roman" w:hAnsi="Times New Roman" w:cs="Times New Roman"/>
          <w:sz w:val="22"/>
          <w:szCs w:val="22"/>
          <w:lang w:val="en-GB"/>
        </w:rPr>
      </w:pPr>
    </w:p>
    <w:p w:rsidR="00DC48C4" w:rsidRPr="00647752" w:rsidRDefault="006853A8" w:rsidP="00FB6759">
      <w:pPr>
        <w:spacing w:after="0" w:line="240" w:lineRule="auto"/>
        <w:jc w:val="both"/>
        <w:rPr>
          <w:rFonts w:ascii="Times New Roman" w:hAnsi="Times New Roman" w:cs="Times New Roman"/>
          <w:i/>
          <w:sz w:val="22"/>
          <w:szCs w:val="22"/>
          <w:lang w:val="en-GB"/>
        </w:rPr>
      </w:pPr>
      <w:r w:rsidRPr="00647752">
        <w:rPr>
          <w:rFonts w:ascii="Times New Roman" w:hAnsi="Times New Roman" w:cs="Times New Roman"/>
          <w:i/>
          <w:sz w:val="22"/>
          <w:szCs w:val="22"/>
          <w:lang w:val="en-GB"/>
        </w:rPr>
        <w:lastRenderedPageBreak/>
        <w:t>Output 3.1: Legislation related to gender justice and its enforcement reviewed</w:t>
      </w:r>
    </w:p>
    <w:p w:rsidR="00490531" w:rsidRDefault="00490531" w:rsidP="00FB6759">
      <w:pPr>
        <w:spacing w:after="0" w:line="240" w:lineRule="auto"/>
        <w:jc w:val="both"/>
        <w:rPr>
          <w:rFonts w:ascii="Times New Roman" w:hAnsi="Times New Roman" w:cs="Times New Roman"/>
          <w:sz w:val="22"/>
          <w:szCs w:val="22"/>
          <w:lang w:val="en-GB"/>
        </w:rPr>
      </w:pPr>
    </w:p>
    <w:p w:rsidR="00D25006" w:rsidRPr="00647752" w:rsidRDefault="00005ECF"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 xml:space="preserve">As with all areas of Palestinian law, history and the Israeli occupation have </w:t>
      </w:r>
      <w:r w:rsidR="00DD1395">
        <w:rPr>
          <w:rFonts w:ascii="Times New Roman" w:hAnsi="Times New Roman" w:cs="Times New Roman"/>
          <w:sz w:val="22"/>
          <w:szCs w:val="22"/>
          <w:lang w:val="en-GB"/>
        </w:rPr>
        <w:t>made coordination and modernis</w:t>
      </w:r>
      <w:r w:rsidRPr="00647752">
        <w:rPr>
          <w:rFonts w:ascii="Times New Roman" w:hAnsi="Times New Roman" w:cs="Times New Roman"/>
          <w:sz w:val="22"/>
          <w:szCs w:val="22"/>
          <w:lang w:val="en-GB"/>
        </w:rPr>
        <w:t>ation of gender</w:t>
      </w:r>
      <w:r w:rsidR="00DD1395">
        <w:rPr>
          <w:rFonts w:ascii="Times New Roman" w:hAnsi="Times New Roman" w:cs="Times New Roman"/>
          <w:sz w:val="22"/>
          <w:szCs w:val="22"/>
          <w:lang w:val="en-GB"/>
        </w:rPr>
        <w:t xml:space="preserve"> justice laws quite difficult. </w:t>
      </w:r>
      <w:r w:rsidRPr="00647752">
        <w:rPr>
          <w:rFonts w:ascii="Times New Roman" w:hAnsi="Times New Roman" w:cs="Times New Roman"/>
          <w:sz w:val="22"/>
          <w:szCs w:val="22"/>
          <w:lang w:val="en-GB"/>
        </w:rPr>
        <w:t>Past efforts have shown positive results, but key stakeholders acknowledge the need for comprehensive review.</w:t>
      </w:r>
      <w:r w:rsidR="00DC48C4" w:rsidRPr="00647752">
        <w:rPr>
          <w:rStyle w:val="FootnoteReference"/>
          <w:rFonts w:ascii="Times New Roman" w:hAnsi="Times New Roman" w:cs="Times New Roman"/>
          <w:sz w:val="22"/>
          <w:szCs w:val="22"/>
          <w:lang w:val="en-GB"/>
        </w:rPr>
        <w:footnoteReference w:id="149"/>
      </w:r>
    </w:p>
    <w:p w:rsidR="00490531" w:rsidRDefault="00490531" w:rsidP="00FB6759">
      <w:pPr>
        <w:spacing w:after="0" w:line="240" w:lineRule="auto"/>
        <w:jc w:val="both"/>
        <w:rPr>
          <w:rFonts w:ascii="Times New Roman" w:hAnsi="Times New Roman" w:cs="Times New Roman"/>
          <w:sz w:val="22"/>
          <w:szCs w:val="22"/>
          <w:lang w:val="en-GB"/>
        </w:rPr>
      </w:pPr>
    </w:p>
    <w:p w:rsidR="00DE1FFD" w:rsidRPr="00647752" w:rsidRDefault="00005ECF"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 xml:space="preserve">To that end, and in support of its national partners, UNDP commissioned a legislative review </w:t>
      </w:r>
      <w:r w:rsidR="007A0802" w:rsidRPr="00647752">
        <w:rPr>
          <w:rFonts w:ascii="Times New Roman" w:hAnsi="Times New Roman" w:cs="Times New Roman"/>
          <w:sz w:val="22"/>
          <w:szCs w:val="22"/>
          <w:lang w:val="en-GB"/>
        </w:rPr>
        <w:t>entitled, “A Review of Palestinian Legislation from a Women’s Rights Perspective”</w:t>
      </w:r>
      <w:r w:rsidR="00B213D2" w:rsidRPr="00647752">
        <w:rPr>
          <w:rFonts w:ascii="Times New Roman" w:hAnsi="Times New Roman" w:cs="Times New Roman"/>
          <w:sz w:val="22"/>
          <w:szCs w:val="22"/>
          <w:lang w:val="en-GB"/>
        </w:rPr>
        <w:t xml:space="preserve"> (March 2012)</w:t>
      </w:r>
      <w:r w:rsidR="003720EE" w:rsidRPr="00647752">
        <w:rPr>
          <w:rFonts w:ascii="Times New Roman" w:hAnsi="Times New Roman" w:cs="Times New Roman"/>
          <w:sz w:val="22"/>
          <w:szCs w:val="22"/>
          <w:lang w:val="en-GB"/>
        </w:rPr>
        <w:t>.</w:t>
      </w:r>
      <w:r w:rsidR="002E1D70" w:rsidRPr="00647752">
        <w:rPr>
          <w:rFonts w:ascii="Times New Roman" w:hAnsi="Times New Roman" w:cs="Times New Roman"/>
          <w:sz w:val="22"/>
          <w:szCs w:val="22"/>
          <w:lang w:val="en-GB"/>
        </w:rPr>
        <w:t xml:space="preserve">This </w:t>
      </w:r>
      <w:r w:rsidR="00D76037" w:rsidRPr="00647752">
        <w:rPr>
          <w:rFonts w:ascii="Times New Roman" w:hAnsi="Times New Roman" w:cs="Times New Roman"/>
          <w:sz w:val="22"/>
          <w:szCs w:val="22"/>
          <w:lang w:val="en-GB"/>
        </w:rPr>
        <w:t>is</w:t>
      </w:r>
      <w:r w:rsidR="002E1D70" w:rsidRPr="00647752">
        <w:rPr>
          <w:rFonts w:ascii="Times New Roman" w:hAnsi="Times New Roman" w:cs="Times New Roman"/>
          <w:sz w:val="22"/>
          <w:szCs w:val="22"/>
          <w:lang w:val="en-GB"/>
        </w:rPr>
        <w:t xml:space="preserve"> a very well written legislative analysis that discusses Palestinian legislatio</w:t>
      </w:r>
      <w:r w:rsidR="00DD1395">
        <w:rPr>
          <w:rFonts w:ascii="Times New Roman" w:hAnsi="Times New Roman" w:cs="Times New Roman"/>
          <w:sz w:val="22"/>
          <w:szCs w:val="22"/>
          <w:lang w:val="en-GB"/>
        </w:rPr>
        <w:t>n from a gender perspective in i</w:t>
      </w:r>
      <w:r w:rsidR="002E1D70" w:rsidRPr="00647752">
        <w:rPr>
          <w:rFonts w:ascii="Times New Roman" w:hAnsi="Times New Roman" w:cs="Times New Roman"/>
          <w:sz w:val="22"/>
          <w:szCs w:val="22"/>
          <w:lang w:val="en-GB"/>
        </w:rPr>
        <w:t>nternational law;</w:t>
      </w:r>
      <w:r w:rsidR="00DD1395">
        <w:rPr>
          <w:rFonts w:ascii="Times New Roman" w:hAnsi="Times New Roman" w:cs="Times New Roman"/>
          <w:sz w:val="22"/>
          <w:szCs w:val="22"/>
          <w:lang w:val="en-GB"/>
        </w:rPr>
        <w:t xml:space="preserve"> constitutional law; personal status law; criminal law; l</w:t>
      </w:r>
      <w:r w:rsidR="002E1D70" w:rsidRPr="00647752">
        <w:rPr>
          <w:rFonts w:ascii="Times New Roman" w:hAnsi="Times New Roman" w:cs="Times New Roman"/>
          <w:sz w:val="22"/>
          <w:szCs w:val="22"/>
          <w:lang w:val="en-GB"/>
        </w:rPr>
        <w:t>abo</w:t>
      </w:r>
      <w:r w:rsidR="00DD1395">
        <w:rPr>
          <w:rFonts w:ascii="Times New Roman" w:hAnsi="Times New Roman" w:cs="Times New Roman"/>
          <w:sz w:val="22"/>
          <w:szCs w:val="22"/>
          <w:lang w:val="en-GB"/>
        </w:rPr>
        <w:t>ur law</w:t>
      </w:r>
      <w:r w:rsidR="002E1D70" w:rsidRPr="00647752">
        <w:rPr>
          <w:rFonts w:ascii="Times New Roman" w:hAnsi="Times New Roman" w:cs="Times New Roman"/>
          <w:sz w:val="22"/>
          <w:szCs w:val="22"/>
          <w:lang w:val="en-GB"/>
        </w:rPr>
        <w:t xml:space="preserve"> and</w:t>
      </w:r>
      <w:r w:rsidR="00DD1395">
        <w:rPr>
          <w:rFonts w:ascii="Times New Roman" w:hAnsi="Times New Roman" w:cs="Times New Roman"/>
          <w:sz w:val="22"/>
          <w:szCs w:val="22"/>
          <w:lang w:val="en-GB"/>
        </w:rPr>
        <w:t xml:space="preserve"> political p</w:t>
      </w:r>
      <w:r w:rsidR="008105DF" w:rsidRPr="00647752">
        <w:rPr>
          <w:rFonts w:ascii="Times New Roman" w:hAnsi="Times New Roman" w:cs="Times New Roman"/>
          <w:sz w:val="22"/>
          <w:szCs w:val="22"/>
          <w:lang w:val="en-GB"/>
        </w:rPr>
        <w:t>articipation.</w:t>
      </w:r>
      <w:r w:rsidRPr="00647752">
        <w:rPr>
          <w:rStyle w:val="FootnoteReference"/>
          <w:rFonts w:ascii="Times New Roman" w:hAnsi="Times New Roman" w:cs="Times New Roman"/>
          <w:sz w:val="22"/>
          <w:szCs w:val="22"/>
          <w:lang w:val="en-GB"/>
        </w:rPr>
        <w:footnoteReference w:id="150"/>
      </w:r>
      <w:r w:rsidR="00EE62D0" w:rsidRPr="00647752">
        <w:rPr>
          <w:rFonts w:ascii="Times New Roman" w:hAnsi="Times New Roman" w:cs="Times New Roman"/>
          <w:sz w:val="22"/>
          <w:szCs w:val="22"/>
          <w:lang w:val="en-GB"/>
        </w:rPr>
        <w:t>The review provides a comprehensive base for Palestinian legislators to use in their drafting of legislation going forward; it also provides a rationale for rights litigation today by drawing explicit links between gender rights provisions in exi</w:t>
      </w:r>
      <w:r w:rsidR="00DD1395">
        <w:rPr>
          <w:rFonts w:ascii="Times New Roman" w:hAnsi="Times New Roman" w:cs="Times New Roman"/>
          <w:sz w:val="22"/>
          <w:szCs w:val="22"/>
          <w:lang w:val="en-GB"/>
        </w:rPr>
        <w:t>sting laws to provisions of CEDAW</w:t>
      </w:r>
      <w:r w:rsidR="00FD3C19">
        <w:rPr>
          <w:rFonts w:ascii="Times New Roman" w:hAnsi="Times New Roman" w:cs="Times New Roman"/>
          <w:sz w:val="22"/>
          <w:szCs w:val="22"/>
          <w:lang w:val="en-GB"/>
        </w:rPr>
        <w:t xml:space="preserve"> </w:t>
      </w:r>
      <w:r w:rsidR="00EE62D0" w:rsidRPr="00647752">
        <w:rPr>
          <w:rFonts w:ascii="Times New Roman" w:hAnsi="Times New Roman" w:cs="Times New Roman"/>
          <w:sz w:val="22"/>
          <w:szCs w:val="22"/>
          <w:lang w:val="en-GB"/>
        </w:rPr>
        <w:t>that the government has ratified.</w:t>
      </w:r>
      <w:r w:rsidR="008E4410" w:rsidRPr="00647752">
        <w:rPr>
          <w:rStyle w:val="FootnoteReference"/>
          <w:rFonts w:ascii="Times New Roman" w:hAnsi="Times New Roman" w:cs="Times New Roman"/>
          <w:sz w:val="22"/>
          <w:szCs w:val="22"/>
          <w:lang w:val="en-GB"/>
        </w:rPr>
        <w:footnoteReference w:id="151"/>
      </w:r>
    </w:p>
    <w:p w:rsidR="00DD1395" w:rsidRDefault="00DD1395" w:rsidP="00FB6759">
      <w:pPr>
        <w:spacing w:after="0" w:line="240" w:lineRule="auto"/>
        <w:jc w:val="both"/>
        <w:rPr>
          <w:rFonts w:ascii="Times New Roman" w:hAnsi="Times New Roman" w:cs="Times New Roman"/>
          <w:sz w:val="22"/>
          <w:szCs w:val="22"/>
          <w:lang w:val="en-GB"/>
        </w:rPr>
      </w:pPr>
    </w:p>
    <w:p w:rsidR="002E72E3" w:rsidRPr="00647752" w:rsidRDefault="00A90CEC"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The</w:t>
      </w:r>
      <w:r w:rsidR="00D76037" w:rsidRPr="00647752">
        <w:rPr>
          <w:rFonts w:ascii="Times New Roman" w:hAnsi="Times New Roman" w:cs="Times New Roman"/>
          <w:sz w:val="22"/>
          <w:szCs w:val="22"/>
          <w:lang w:val="en-GB"/>
        </w:rPr>
        <w:t xml:space="preserve"> M</w:t>
      </w:r>
      <w:r w:rsidR="00DD1395">
        <w:rPr>
          <w:rFonts w:ascii="Times New Roman" w:hAnsi="Times New Roman" w:cs="Times New Roman"/>
          <w:sz w:val="22"/>
          <w:szCs w:val="22"/>
          <w:lang w:val="en-GB"/>
        </w:rPr>
        <w:t>O</w:t>
      </w:r>
      <w:r w:rsidR="00D76037" w:rsidRPr="00647752">
        <w:rPr>
          <w:rFonts w:ascii="Times New Roman" w:hAnsi="Times New Roman" w:cs="Times New Roman"/>
          <w:sz w:val="22"/>
          <w:szCs w:val="22"/>
          <w:lang w:val="en-GB"/>
        </w:rPr>
        <w:t>J itself views the</w:t>
      </w:r>
      <w:r w:rsidR="002E72E3" w:rsidRPr="00647752">
        <w:rPr>
          <w:rFonts w:ascii="Times New Roman" w:hAnsi="Times New Roman" w:cs="Times New Roman"/>
          <w:sz w:val="22"/>
          <w:szCs w:val="22"/>
          <w:lang w:val="en-GB"/>
        </w:rPr>
        <w:t xml:space="preserve"> major output of 3.1 as the Review of </w:t>
      </w:r>
      <w:r w:rsidR="00DD1395">
        <w:rPr>
          <w:rFonts w:ascii="Times New Roman" w:hAnsi="Times New Roman" w:cs="Times New Roman"/>
          <w:sz w:val="22"/>
          <w:szCs w:val="22"/>
          <w:lang w:val="en-GB"/>
        </w:rPr>
        <w:t xml:space="preserve">Palestinian </w:t>
      </w:r>
      <w:r w:rsidR="002E72E3" w:rsidRPr="00647752">
        <w:rPr>
          <w:rFonts w:ascii="Times New Roman" w:hAnsi="Times New Roman" w:cs="Times New Roman"/>
          <w:sz w:val="22"/>
          <w:szCs w:val="22"/>
          <w:lang w:val="en-GB"/>
        </w:rPr>
        <w:t>Legislation from a</w:t>
      </w:r>
      <w:r w:rsidR="00DD1395">
        <w:rPr>
          <w:rFonts w:ascii="Times New Roman" w:hAnsi="Times New Roman" w:cs="Times New Roman"/>
          <w:sz w:val="22"/>
          <w:szCs w:val="22"/>
          <w:lang w:val="en-GB"/>
        </w:rPr>
        <w:t xml:space="preserve"> Women’s Rights Perspective. </w:t>
      </w:r>
      <w:r w:rsidR="002E72E3" w:rsidRPr="00647752">
        <w:rPr>
          <w:rFonts w:ascii="Times New Roman" w:hAnsi="Times New Roman" w:cs="Times New Roman"/>
          <w:sz w:val="22"/>
          <w:szCs w:val="22"/>
          <w:lang w:val="en-GB"/>
        </w:rPr>
        <w:t xml:space="preserve">UNDP hosted a validation workshop and the main conclusion was that </w:t>
      </w:r>
      <w:r w:rsidR="00DD1395">
        <w:rPr>
          <w:rFonts w:ascii="Times New Roman" w:hAnsi="Times New Roman" w:cs="Times New Roman"/>
          <w:sz w:val="22"/>
          <w:szCs w:val="22"/>
          <w:lang w:val="en-GB"/>
        </w:rPr>
        <w:t xml:space="preserve">the </w:t>
      </w:r>
      <w:r w:rsidR="00DE216A" w:rsidRPr="00647752">
        <w:rPr>
          <w:rFonts w:ascii="Times New Roman" w:hAnsi="Times New Roman" w:cs="Times New Roman"/>
          <w:sz w:val="22"/>
          <w:szCs w:val="22"/>
          <w:lang w:val="en-GB"/>
        </w:rPr>
        <w:t>oPt</w:t>
      </w:r>
      <w:r w:rsidR="00DD1395">
        <w:rPr>
          <w:rFonts w:ascii="Times New Roman" w:hAnsi="Times New Roman" w:cs="Times New Roman"/>
          <w:sz w:val="22"/>
          <w:szCs w:val="22"/>
          <w:lang w:val="en-GB"/>
        </w:rPr>
        <w:t xml:space="preserve"> does not need more laws</w:t>
      </w:r>
      <w:r w:rsidR="002E72E3" w:rsidRPr="00647752">
        <w:rPr>
          <w:rFonts w:ascii="Times New Roman" w:hAnsi="Times New Roman" w:cs="Times New Roman"/>
          <w:sz w:val="22"/>
          <w:szCs w:val="22"/>
          <w:lang w:val="en-GB"/>
        </w:rPr>
        <w:t xml:space="preserve"> but the issue is that there is more execution needed.</w:t>
      </w:r>
      <w:r w:rsidR="00FD3C19">
        <w:rPr>
          <w:rFonts w:ascii="Times New Roman" w:hAnsi="Times New Roman" w:cs="Times New Roman"/>
          <w:sz w:val="22"/>
          <w:szCs w:val="22"/>
          <w:lang w:val="en-GB"/>
        </w:rPr>
        <w:t xml:space="preserve"> </w:t>
      </w:r>
      <w:r w:rsidR="00D76037" w:rsidRPr="00647752">
        <w:rPr>
          <w:rFonts w:ascii="Times New Roman" w:hAnsi="Times New Roman" w:cs="Times New Roman"/>
          <w:sz w:val="22"/>
          <w:szCs w:val="22"/>
          <w:lang w:val="en-GB"/>
        </w:rPr>
        <w:t>T</w:t>
      </w:r>
      <w:r w:rsidR="002E72E3" w:rsidRPr="00647752">
        <w:rPr>
          <w:rFonts w:ascii="Times New Roman" w:hAnsi="Times New Roman" w:cs="Times New Roman"/>
          <w:sz w:val="22"/>
          <w:szCs w:val="22"/>
          <w:lang w:val="en-GB"/>
        </w:rPr>
        <w:t>he report’s recommendations have se</w:t>
      </w:r>
      <w:r w:rsidR="00DD1395">
        <w:rPr>
          <w:rFonts w:ascii="Times New Roman" w:hAnsi="Times New Roman" w:cs="Times New Roman"/>
          <w:sz w:val="22"/>
          <w:szCs w:val="22"/>
          <w:lang w:val="en-GB"/>
        </w:rPr>
        <w:t>rved as a catalyst and a tool for</w:t>
      </w:r>
      <w:r w:rsidR="002E72E3" w:rsidRPr="00647752">
        <w:rPr>
          <w:rFonts w:ascii="Times New Roman" w:hAnsi="Times New Roman" w:cs="Times New Roman"/>
          <w:sz w:val="22"/>
          <w:szCs w:val="22"/>
          <w:lang w:val="en-GB"/>
        </w:rPr>
        <w:t xml:space="preserve"> CSOs to identify how t</w:t>
      </w:r>
      <w:r w:rsidR="00DD1395">
        <w:rPr>
          <w:rFonts w:ascii="Times New Roman" w:hAnsi="Times New Roman" w:cs="Times New Roman"/>
          <w:sz w:val="22"/>
          <w:szCs w:val="22"/>
          <w:lang w:val="en-GB"/>
        </w:rPr>
        <w:t>hey could put pressure on the government</w:t>
      </w:r>
      <w:r w:rsidR="002E72E3" w:rsidRPr="00647752">
        <w:rPr>
          <w:rFonts w:ascii="Times New Roman" w:hAnsi="Times New Roman" w:cs="Times New Roman"/>
          <w:sz w:val="22"/>
          <w:szCs w:val="22"/>
          <w:lang w:val="en-GB"/>
        </w:rPr>
        <w:t xml:space="preserve"> to improve</w:t>
      </w:r>
      <w:r w:rsidR="00DD1395">
        <w:rPr>
          <w:rFonts w:ascii="Times New Roman" w:hAnsi="Times New Roman" w:cs="Times New Roman"/>
          <w:sz w:val="22"/>
          <w:szCs w:val="22"/>
          <w:lang w:val="en-GB"/>
        </w:rPr>
        <w:t xml:space="preserve"> implementation of the laws. </w:t>
      </w:r>
      <w:r w:rsidR="002E72E3" w:rsidRPr="00647752">
        <w:rPr>
          <w:rFonts w:ascii="Times New Roman" w:hAnsi="Times New Roman" w:cs="Times New Roman"/>
          <w:sz w:val="22"/>
          <w:szCs w:val="22"/>
          <w:lang w:val="en-GB"/>
        </w:rPr>
        <w:t>The main l</w:t>
      </w:r>
      <w:r w:rsidR="00DD1395">
        <w:rPr>
          <w:rFonts w:ascii="Times New Roman" w:hAnsi="Times New Roman" w:cs="Times New Roman"/>
          <w:sz w:val="22"/>
          <w:szCs w:val="22"/>
          <w:lang w:val="en-GB"/>
        </w:rPr>
        <w:t>aws that were highlighted in the report were</w:t>
      </w:r>
      <w:r w:rsidR="002E72E3" w:rsidRPr="00647752">
        <w:rPr>
          <w:rFonts w:ascii="Times New Roman" w:hAnsi="Times New Roman" w:cs="Times New Roman"/>
          <w:sz w:val="22"/>
          <w:szCs w:val="22"/>
          <w:lang w:val="en-GB"/>
        </w:rPr>
        <w:t xml:space="preserve"> the Family Law and Personal Status Law.      </w:t>
      </w:r>
    </w:p>
    <w:p w:rsidR="00DD1395" w:rsidRDefault="00DD1395" w:rsidP="00FB6759">
      <w:pPr>
        <w:spacing w:after="0" w:line="240" w:lineRule="auto"/>
        <w:jc w:val="both"/>
        <w:rPr>
          <w:rFonts w:ascii="Times New Roman" w:hAnsi="Times New Roman" w:cs="Times New Roman"/>
          <w:sz w:val="22"/>
          <w:szCs w:val="22"/>
          <w:lang w:val="en-GB"/>
        </w:rPr>
      </w:pPr>
    </w:p>
    <w:p w:rsidR="002E72E3" w:rsidRPr="00647752" w:rsidRDefault="00DD1395"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The r</w:t>
      </w:r>
      <w:r w:rsidR="002E72E3" w:rsidRPr="00647752">
        <w:rPr>
          <w:rFonts w:ascii="Times New Roman" w:hAnsi="Times New Roman" w:cs="Times New Roman"/>
          <w:sz w:val="22"/>
          <w:szCs w:val="22"/>
          <w:lang w:val="en-GB"/>
        </w:rPr>
        <w:t>eport was directly linked to a conference that was held with UNDP support to discuss the draf</w:t>
      </w:r>
      <w:r>
        <w:rPr>
          <w:rFonts w:ascii="Times New Roman" w:hAnsi="Times New Roman" w:cs="Times New Roman"/>
          <w:sz w:val="22"/>
          <w:szCs w:val="22"/>
          <w:lang w:val="en-GB"/>
        </w:rPr>
        <w:t>t of the Family Law in detail. The c</w:t>
      </w:r>
      <w:r w:rsidR="002E72E3" w:rsidRPr="00647752">
        <w:rPr>
          <w:rFonts w:ascii="Times New Roman" w:hAnsi="Times New Roman" w:cs="Times New Roman"/>
          <w:sz w:val="22"/>
          <w:szCs w:val="22"/>
          <w:lang w:val="en-GB"/>
        </w:rPr>
        <w:t>onference was attended by a variety of Palestinian a</w:t>
      </w:r>
      <w:r>
        <w:rPr>
          <w:rFonts w:ascii="Times New Roman" w:hAnsi="Times New Roman" w:cs="Times New Roman"/>
          <w:sz w:val="22"/>
          <w:szCs w:val="22"/>
          <w:lang w:val="en-GB"/>
        </w:rPr>
        <w:t xml:space="preserve">nd Israeli CSOs and </w:t>
      </w:r>
      <w:r w:rsidR="002E72E3" w:rsidRPr="00647752">
        <w:rPr>
          <w:rFonts w:ascii="Times New Roman" w:hAnsi="Times New Roman" w:cs="Times New Roman"/>
          <w:sz w:val="22"/>
          <w:szCs w:val="22"/>
          <w:lang w:val="en-GB"/>
        </w:rPr>
        <w:t>included participants fr</w:t>
      </w:r>
      <w:r>
        <w:rPr>
          <w:rFonts w:ascii="Times New Roman" w:hAnsi="Times New Roman" w:cs="Times New Roman"/>
          <w:sz w:val="22"/>
          <w:szCs w:val="22"/>
          <w:lang w:val="en-GB"/>
        </w:rPr>
        <w:t xml:space="preserve">om Jordan, Egypt and Tunisia. </w:t>
      </w:r>
      <w:r w:rsidR="002E72E3" w:rsidRPr="00647752">
        <w:rPr>
          <w:rFonts w:ascii="Times New Roman" w:hAnsi="Times New Roman" w:cs="Times New Roman"/>
          <w:sz w:val="22"/>
          <w:szCs w:val="22"/>
          <w:lang w:val="en-GB"/>
        </w:rPr>
        <w:t>This conference was one of several events that</w:t>
      </w:r>
      <w:r>
        <w:rPr>
          <w:rFonts w:ascii="Times New Roman" w:hAnsi="Times New Roman" w:cs="Times New Roman"/>
          <w:sz w:val="22"/>
          <w:szCs w:val="22"/>
          <w:lang w:val="en-GB"/>
        </w:rPr>
        <w:t xml:space="preserve"> influenced the formation of a national committee formed to work on a new </w:t>
      </w:r>
      <w:r w:rsidR="002E72E3" w:rsidRPr="00647752">
        <w:rPr>
          <w:rFonts w:ascii="Times New Roman" w:hAnsi="Times New Roman" w:cs="Times New Roman"/>
          <w:sz w:val="22"/>
          <w:szCs w:val="22"/>
          <w:lang w:val="en-GB"/>
        </w:rPr>
        <w:t xml:space="preserve">draft of the Family Law.  Importantly, that committee includes the </w:t>
      </w:r>
      <w:r w:rsidRPr="00DD1395">
        <w:rPr>
          <w:rFonts w:ascii="Times New Roman" w:hAnsi="Times New Roman" w:cs="Times New Roman"/>
          <w:i/>
          <w:sz w:val="22"/>
          <w:szCs w:val="22"/>
          <w:lang w:val="en-GB"/>
        </w:rPr>
        <w:t>s</w:t>
      </w:r>
      <w:r w:rsidR="000C369C" w:rsidRPr="00DD1395">
        <w:rPr>
          <w:rFonts w:ascii="Times New Roman" w:hAnsi="Times New Roman" w:cs="Times New Roman"/>
          <w:i/>
          <w:sz w:val="22"/>
          <w:szCs w:val="22"/>
          <w:lang w:val="en-GB"/>
        </w:rPr>
        <w:t>hari’a</w:t>
      </w:r>
      <w:r>
        <w:rPr>
          <w:rFonts w:ascii="Times New Roman" w:hAnsi="Times New Roman" w:cs="Times New Roman"/>
          <w:sz w:val="22"/>
          <w:szCs w:val="22"/>
          <w:lang w:val="en-GB"/>
        </w:rPr>
        <w:t xml:space="preserve"> courts. </w:t>
      </w:r>
      <w:r w:rsidR="002E72E3" w:rsidRPr="00647752">
        <w:rPr>
          <w:rFonts w:ascii="Times New Roman" w:hAnsi="Times New Roman" w:cs="Times New Roman"/>
          <w:sz w:val="22"/>
          <w:szCs w:val="22"/>
          <w:lang w:val="en-GB"/>
        </w:rPr>
        <w:t xml:space="preserve">The main achievement is that there has been a consensus reached on the final draft.  </w:t>
      </w:r>
    </w:p>
    <w:p w:rsidR="00DD1395" w:rsidRDefault="00DD1395" w:rsidP="00FB6759">
      <w:pPr>
        <w:spacing w:after="0" w:line="240" w:lineRule="auto"/>
        <w:jc w:val="both"/>
        <w:rPr>
          <w:rFonts w:ascii="Times New Roman" w:hAnsi="Times New Roman" w:cs="Times New Roman"/>
          <w:sz w:val="22"/>
          <w:szCs w:val="22"/>
          <w:lang w:val="en-GB"/>
        </w:rPr>
      </w:pPr>
    </w:p>
    <w:p w:rsidR="00DD1395" w:rsidRDefault="00DD1395"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The e</w:t>
      </w:r>
      <w:r w:rsidR="00CA6B45" w:rsidRPr="00647752">
        <w:rPr>
          <w:rFonts w:ascii="Times New Roman" w:hAnsi="Times New Roman" w:cs="Times New Roman"/>
          <w:sz w:val="22"/>
          <w:szCs w:val="22"/>
          <w:lang w:val="en-GB"/>
        </w:rPr>
        <w:t xml:space="preserve">valuation finds such legislative “gap” analysis to be a best practice and encourages UNDP and donors to fund </w:t>
      </w:r>
      <w:r w:rsidR="00C56841" w:rsidRPr="00647752">
        <w:rPr>
          <w:rFonts w:ascii="Times New Roman" w:hAnsi="Times New Roman" w:cs="Times New Roman"/>
          <w:sz w:val="22"/>
          <w:szCs w:val="22"/>
          <w:lang w:val="en-GB"/>
        </w:rPr>
        <w:t>more such whitepaper</w:t>
      </w:r>
      <w:r>
        <w:rPr>
          <w:rFonts w:ascii="Times New Roman" w:hAnsi="Times New Roman" w:cs="Times New Roman"/>
          <w:sz w:val="22"/>
          <w:szCs w:val="22"/>
          <w:lang w:val="en-GB"/>
        </w:rPr>
        <w:t xml:space="preserve">s and studies going forward. </w:t>
      </w:r>
      <w:r w:rsidR="00C56841" w:rsidRPr="00647752">
        <w:rPr>
          <w:rFonts w:ascii="Times New Roman" w:hAnsi="Times New Roman" w:cs="Times New Roman"/>
          <w:sz w:val="22"/>
          <w:szCs w:val="22"/>
          <w:lang w:val="en-GB"/>
        </w:rPr>
        <w:t xml:space="preserve">UNDP should increasingly position itself to be </w:t>
      </w:r>
      <w:r w:rsidR="00C46858" w:rsidRPr="00647752">
        <w:rPr>
          <w:rFonts w:ascii="Times New Roman" w:hAnsi="Times New Roman" w:cs="Times New Roman"/>
          <w:sz w:val="22"/>
          <w:szCs w:val="22"/>
          <w:lang w:val="en-GB"/>
        </w:rPr>
        <w:t xml:space="preserve">a </w:t>
      </w:r>
      <w:r>
        <w:rPr>
          <w:rFonts w:ascii="Times New Roman" w:hAnsi="Times New Roman" w:cs="Times New Roman"/>
          <w:sz w:val="22"/>
          <w:szCs w:val="22"/>
          <w:lang w:val="en-GB"/>
        </w:rPr>
        <w:t>knowledge organis</w:t>
      </w:r>
      <w:r w:rsidR="00C56841" w:rsidRPr="00647752">
        <w:rPr>
          <w:rFonts w:ascii="Times New Roman" w:hAnsi="Times New Roman" w:cs="Times New Roman"/>
          <w:sz w:val="22"/>
          <w:szCs w:val="22"/>
          <w:lang w:val="en-GB"/>
        </w:rPr>
        <w:t>ation that provides t</w:t>
      </w:r>
      <w:r>
        <w:rPr>
          <w:rFonts w:ascii="Times New Roman" w:hAnsi="Times New Roman" w:cs="Times New Roman"/>
          <w:sz w:val="22"/>
          <w:szCs w:val="22"/>
          <w:lang w:val="en-GB"/>
        </w:rPr>
        <w:t xml:space="preserve">echnical analysis and expertise - </w:t>
      </w:r>
      <w:r w:rsidR="00C56841" w:rsidRPr="00647752">
        <w:rPr>
          <w:rFonts w:ascii="Times New Roman" w:hAnsi="Times New Roman" w:cs="Times New Roman"/>
          <w:sz w:val="22"/>
          <w:szCs w:val="22"/>
          <w:lang w:val="en-GB"/>
        </w:rPr>
        <w:t>especially within a context of dimi</w:t>
      </w:r>
      <w:r>
        <w:rPr>
          <w:rFonts w:ascii="Times New Roman" w:hAnsi="Times New Roman" w:cs="Times New Roman"/>
          <w:sz w:val="22"/>
          <w:szCs w:val="22"/>
          <w:lang w:val="en-GB"/>
        </w:rPr>
        <w:t xml:space="preserve">nishing financial resources. </w:t>
      </w:r>
      <w:r w:rsidR="00BE2C67">
        <w:rPr>
          <w:rFonts w:ascii="Times New Roman" w:hAnsi="Times New Roman" w:cs="Times New Roman"/>
          <w:sz w:val="22"/>
          <w:szCs w:val="22"/>
          <w:lang w:val="en-GB"/>
        </w:rPr>
        <w:t xml:space="preserve">Some donors </w:t>
      </w:r>
      <w:r>
        <w:rPr>
          <w:rFonts w:ascii="Times New Roman" w:hAnsi="Times New Roman" w:cs="Times New Roman"/>
          <w:sz w:val="22"/>
          <w:szCs w:val="22"/>
          <w:lang w:val="en-GB"/>
        </w:rPr>
        <w:t>interviewed by the e</w:t>
      </w:r>
      <w:r w:rsidR="00C56841" w:rsidRPr="00647752">
        <w:rPr>
          <w:rFonts w:ascii="Times New Roman" w:hAnsi="Times New Roman" w:cs="Times New Roman"/>
          <w:sz w:val="22"/>
          <w:szCs w:val="22"/>
          <w:lang w:val="en-GB"/>
        </w:rPr>
        <w:t>valuation stressed the need for UNDP to ensure</w:t>
      </w:r>
      <w:r>
        <w:rPr>
          <w:rFonts w:ascii="Times New Roman" w:hAnsi="Times New Roman" w:cs="Times New Roman"/>
          <w:sz w:val="22"/>
          <w:szCs w:val="22"/>
          <w:lang w:val="en-GB"/>
        </w:rPr>
        <w:t xml:space="preserve"> that such studies are synergis</w:t>
      </w:r>
      <w:r w:rsidR="00C56841" w:rsidRPr="00647752">
        <w:rPr>
          <w:rFonts w:ascii="Times New Roman" w:hAnsi="Times New Roman" w:cs="Times New Roman"/>
          <w:sz w:val="22"/>
          <w:szCs w:val="22"/>
          <w:lang w:val="en-GB"/>
        </w:rPr>
        <w:t>ed with other areas of the UNDP Governanc</w:t>
      </w:r>
      <w:r>
        <w:rPr>
          <w:rFonts w:ascii="Times New Roman" w:hAnsi="Times New Roman" w:cs="Times New Roman"/>
          <w:sz w:val="22"/>
          <w:szCs w:val="22"/>
          <w:lang w:val="en-GB"/>
        </w:rPr>
        <w:t>e Unit and tied to other outputs.</w:t>
      </w:r>
    </w:p>
    <w:p w:rsidR="00DD1395" w:rsidRDefault="00DD1395" w:rsidP="00FB6759">
      <w:pPr>
        <w:spacing w:after="0" w:line="240" w:lineRule="auto"/>
        <w:jc w:val="both"/>
        <w:rPr>
          <w:rFonts w:ascii="Times New Roman" w:hAnsi="Times New Roman" w:cs="Times New Roman"/>
          <w:sz w:val="22"/>
          <w:szCs w:val="22"/>
          <w:lang w:val="en-GB"/>
        </w:rPr>
      </w:pPr>
    </w:p>
    <w:p w:rsidR="00CA6B45" w:rsidRPr="00647752" w:rsidRDefault="00DD1395"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As discussed above under Outcome</w:t>
      </w:r>
      <w:r w:rsidR="00C56841" w:rsidRPr="00647752">
        <w:rPr>
          <w:rFonts w:ascii="Times New Roman" w:hAnsi="Times New Roman" w:cs="Times New Roman"/>
          <w:sz w:val="22"/>
          <w:szCs w:val="22"/>
          <w:lang w:val="en-GB"/>
        </w:rPr>
        <w:t xml:space="preserve"> 2, not all CSOs funded by UNDP were able to produce reports and publications wi</w:t>
      </w:r>
      <w:r>
        <w:rPr>
          <w:rFonts w:ascii="Times New Roman" w:hAnsi="Times New Roman" w:cs="Times New Roman"/>
          <w:sz w:val="22"/>
          <w:szCs w:val="22"/>
          <w:lang w:val="en-GB"/>
        </w:rPr>
        <w:t xml:space="preserve">th the same degree of quality. </w:t>
      </w:r>
      <w:r w:rsidR="00C56841" w:rsidRPr="00647752">
        <w:rPr>
          <w:rFonts w:ascii="Times New Roman" w:hAnsi="Times New Roman" w:cs="Times New Roman"/>
          <w:sz w:val="22"/>
          <w:szCs w:val="22"/>
          <w:lang w:val="en-GB"/>
        </w:rPr>
        <w:t xml:space="preserve">Going forward, UNDP should become more strategic in terms of which CSOs are supported with UNDP funds to produce knowledge products.  </w:t>
      </w:r>
    </w:p>
    <w:p w:rsidR="00DD1395" w:rsidRDefault="00DD1395" w:rsidP="00FB6759">
      <w:pPr>
        <w:spacing w:after="0" w:line="240" w:lineRule="auto"/>
        <w:jc w:val="both"/>
        <w:rPr>
          <w:rFonts w:ascii="Times New Roman" w:hAnsi="Times New Roman" w:cs="Times New Roman"/>
          <w:sz w:val="22"/>
          <w:szCs w:val="22"/>
          <w:lang w:val="en-GB"/>
        </w:rPr>
      </w:pPr>
    </w:p>
    <w:p w:rsidR="00DD1395" w:rsidRPr="000911AB" w:rsidRDefault="002E72E3"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 xml:space="preserve">UNDP </w:t>
      </w:r>
      <w:r w:rsidR="00CA6B45" w:rsidRPr="00647752">
        <w:rPr>
          <w:rFonts w:ascii="Times New Roman" w:hAnsi="Times New Roman" w:cs="Times New Roman"/>
          <w:sz w:val="22"/>
          <w:szCs w:val="22"/>
          <w:lang w:val="en-GB"/>
        </w:rPr>
        <w:t xml:space="preserve">also </w:t>
      </w:r>
      <w:r w:rsidRPr="00647752">
        <w:rPr>
          <w:rFonts w:ascii="Times New Roman" w:hAnsi="Times New Roman" w:cs="Times New Roman"/>
          <w:sz w:val="22"/>
          <w:szCs w:val="22"/>
          <w:lang w:val="en-GB"/>
        </w:rPr>
        <w:t>assiste</w:t>
      </w:r>
      <w:r w:rsidR="00DD1395">
        <w:rPr>
          <w:rFonts w:ascii="Times New Roman" w:hAnsi="Times New Roman" w:cs="Times New Roman"/>
          <w:sz w:val="22"/>
          <w:szCs w:val="22"/>
          <w:lang w:val="en-GB"/>
        </w:rPr>
        <w:t>d the committee headed by the MO</w:t>
      </w:r>
      <w:r w:rsidRPr="00647752">
        <w:rPr>
          <w:rFonts w:ascii="Times New Roman" w:hAnsi="Times New Roman" w:cs="Times New Roman"/>
          <w:sz w:val="22"/>
          <w:szCs w:val="22"/>
          <w:lang w:val="en-GB"/>
        </w:rPr>
        <w:t>J that reviewed legislation for gender sensitivi</w:t>
      </w:r>
      <w:r w:rsidR="000911AB">
        <w:rPr>
          <w:rFonts w:ascii="Times New Roman" w:hAnsi="Times New Roman" w:cs="Times New Roman"/>
          <w:sz w:val="22"/>
          <w:szCs w:val="22"/>
          <w:lang w:val="en-GB"/>
        </w:rPr>
        <w:t xml:space="preserve">ty according to the PNA legislative plan. UNDP </w:t>
      </w:r>
      <w:r w:rsidRPr="00647752">
        <w:rPr>
          <w:rFonts w:ascii="Times New Roman" w:hAnsi="Times New Roman" w:cs="Times New Roman"/>
          <w:sz w:val="22"/>
          <w:szCs w:val="22"/>
          <w:lang w:val="en-GB"/>
        </w:rPr>
        <w:t>experts at</w:t>
      </w:r>
      <w:r w:rsidR="000911AB">
        <w:rPr>
          <w:rFonts w:ascii="Times New Roman" w:hAnsi="Times New Roman" w:cs="Times New Roman"/>
          <w:sz w:val="22"/>
          <w:szCs w:val="22"/>
          <w:lang w:val="en-GB"/>
        </w:rPr>
        <w:t xml:space="preserve"> the MO</w:t>
      </w:r>
      <w:r w:rsidRPr="00647752">
        <w:rPr>
          <w:rFonts w:ascii="Times New Roman" w:hAnsi="Times New Roman" w:cs="Times New Roman"/>
          <w:sz w:val="22"/>
          <w:szCs w:val="22"/>
          <w:lang w:val="en-GB"/>
        </w:rPr>
        <w:t>J participated in the review of four laws relating to gender and reviewed other legislatio</w:t>
      </w:r>
      <w:r w:rsidR="000911AB">
        <w:rPr>
          <w:rFonts w:ascii="Times New Roman" w:hAnsi="Times New Roman" w:cs="Times New Roman"/>
          <w:sz w:val="22"/>
          <w:szCs w:val="22"/>
          <w:lang w:val="en-GB"/>
        </w:rPr>
        <w:t xml:space="preserve">n relating to gender justice. </w:t>
      </w:r>
      <w:r w:rsidRPr="00647752">
        <w:rPr>
          <w:rFonts w:ascii="Times New Roman" w:hAnsi="Times New Roman" w:cs="Times New Roman"/>
          <w:sz w:val="22"/>
          <w:szCs w:val="22"/>
          <w:lang w:val="en-GB"/>
        </w:rPr>
        <w:t>UNDP experts also s</w:t>
      </w:r>
      <w:r w:rsidR="000911AB">
        <w:rPr>
          <w:rFonts w:ascii="Times New Roman" w:hAnsi="Times New Roman" w:cs="Times New Roman"/>
          <w:sz w:val="22"/>
          <w:szCs w:val="22"/>
          <w:lang w:val="en-GB"/>
        </w:rPr>
        <w:t>uggested to the Legal Affairs Unit at the Council of Ministers</w:t>
      </w:r>
      <w:r w:rsidRPr="00647752">
        <w:rPr>
          <w:rFonts w:ascii="Times New Roman" w:hAnsi="Times New Roman" w:cs="Times New Roman"/>
          <w:sz w:val="22"/>
          <w:szCs w:val="22"/>
          <w:lang w:val="en-GB"/>
        </w:rPr>
        <w:t xml:space="preserve"> some legislative priorities for the year 2013.   Reviews were </w:t>
      </w:r>
      <w:r w:rsidR="000911AB">
        <w:rPr>
          <w:rFonts w:ascii="Times New Roman" w:hAnsi="Times New Roman" w:cs="Times New Roman"/>
          <w:sz w:val="22"/>
          <w:szCs w:val="22"/>
          <w:lang w:val="en-GB"/>
        </w:rPr>
        <w:t xml:space="preserve">completed of the Penal Code, the Law for Women’s Shelters, </w:t>
      </w:r>
      <w:r w:rsidR="00BE2C67">
        <w:rPr>
          <w:rFonts w:ascii="Times New Roman" w:hAnsi="Times New Roman" w:cs="Times New Roman"/>
          <w:sz w:val="22"/>
          <w:szCs w:val="22"/>
          <w:lang w:val="en-GB"/>
        </w:rPr>
        <w:t xml:space="preserve">the </w:t>
      </w:r>
      <w:r w:rsidR="000911AB">
        <w:rPr>
          <w:rFonts w:ascii="Times New Roman" w:hAnsi="Times New Roman" w:cs="Times New Roman"/>
          <w:sz w:val="22"/>
          <w:szCs w:val="22"/>
          <w:lang w:val="en-GB"/>
        </w:rPr>
        <w:t xml:space="preserve">Law for </w:t>
      </w:r>
      <w:r w:rsidR="000911AB">
        <w:rPr>
          <w:rFonts w:ascii="Times New Roman" w:hAnsi="Times New Roman" w:cs="Times New Roman"/>
          <w:i/>
          <w:sz w:val="22"/>
          <w:szCs w:val="22"/>
          <w:lang w:val="en-GB"/>
        </w:rPr>
        <w:t>Shari’a</w:t>
      </w:r>
      <w:r w:rsidR="00E8775C">
        <w:rPr>
          <w:rFonts w:ascii="Times New Roman" w:hAnsi="Times New Roman" w:cs="Times New Roman"/>
          <w:i/>
          <w:sz w:val="22"/>
          <w:szCs w:val="22"/>
          <w:lang w:val="en-GB"/>
        </w:rPr>
        <w:t xml:space="preserve"> </w:t>
      </w:r>
      <w:r w:rsidR="000911AB">
        <w:rPr>
          <w:rFonts w:ascii="Times New Roman" w:hAnsi="Times New Roman" w:cs="Times New Roman"/>
          <w:sz w:val="22"/>
          <w:szCs w:val="22"/>
          <w:lang w:val="en-GB"/>
        </w:rPr>
        <w:t>Judiciary Council and the Law on Eradicating Domestic Violence.</w:t>
      </w:r>
    </w:p>
    <w:p w:rsidR="002E72E3" w:rsidRPr="00647752" w:rsidRDefault="002E72E3" w:rsidP="00FB6759">
      <w:pPr>
        <w:spacing w:after="0" w:line="240" w:lineRule="auto"/>
        <w:jc w:val="both"/>
        <w:rPr>
          <w:rFonts w:ascii="Times New Roman" w:hAnsi="Times New Roman" w:cs="Times New Roman"/>
          <w:sz w:val="22"/>
          <w:szCs w:val="22"/>
          <w:lang w:val="en-GB"/>
        </w:rPr>
      </w:pPr>
    </w:p>
    <w:p w:rsidR="002E72E3" w:rsidRPr="00647752" w:rsidRDefault="002E72E3" w:rsidP="00FB6759">
      <w:pPr>
        <w:spacing w:after="0" w:line="240" w:lineRule="auto"/>
        <w:contextualSpacing/>
        <w:jc w:val="both"/>
        <w:rPr>
          <w:rFonts w:ascii="Times New Roman" w:hAnsi="Times New Roman" w:cs="Times New Roman"/>
          <w:sz w:val="22"/>
          <w:szCs w:val="22"/>
          <w:lang w:val="en-GB"/>
        </w:rPr>
      </w:pPr>
    </w:p>
    <w:p w:rsidR="002E72E3" w:rsidRPr="00647752" w:rsidRDefault="002E72E3" w:rsidP="00FB6759">
      <w:pPr>
        <w:spacing w:after="0" w:line="240" w:lineRule="auto"/>
        <w:jc w:val="both"/>
        <w:rPr>
          <w:rFonts w:ascii="Times New Roman" w:eastAsiaTheme="minorEastAsia" w:hAnsi="Times New Roman" w:cstheme="minorBidi"/>
          <w:sz w:val="22"/>
          <w:szCs w:val="24"/>
          <w:lang w:val="en-GB" w:eastAsia="ja-JP"/>
        </w:rPr>
      </w:pPr>
      <w:r w:rsidRPr="00647752">
        <w:rPr>
          <w:rFonts w:ascii="Times New Roman" w:hAnsi="Times New Roman" w:cs="Times New Roman"/>
          <w:sz w:val="22"/>
          <w:szCs w:val="22"/>
          <w:lang w:val="en-GB"/>
        </w:rPr>
        <w:lastRenderedPageBreak/>
        <w:t>All these laws were reviewed in 201</w:t>
      </w:r>
      <w:r w:rsidR="000911AB">
        <w:rPr>
          <w:rFonts w:ascii="Times New Roman" w:hAnsi="Times New Roman" w:cs="Times New Roman"/>
          <w:sz w:val="22"/>
          <w:szCs w:val="22"/>
          <w:lang w:val="en-GB"/>
        </w:rPr>
        <w:t xml:space="preserve">1 and 2012. </w:t>
      </w:r>
      <w:r w:rsidRPr="00647752">
        <w:rPr>
          <w:rFonts w:ascii="Times New Roman" w:hAnsi="Times New Roman" w:cs="Times New Roman"/>
          <w:sz w:val="22"/>
          <w:szCs w:val="22"/>
          <w:lang w:val="en-GB"/>
        </w:rPr>
        <w:t>UNDP also reviewed the criminal procedural laws from a gender perspective.</w:t>
      </w:r>
      <w:r w:rsidR="00FD3C19">
        <w:rPr>
          <w:rFonts w:ascii="Times New Roman" w:hAnsi="Times New Roman" w:cs="Times New Roman"/>
          <w:sz w:val="22"/>
          <w:szCs w:val="22"/>
          <w:lang w:val="en-GB"/>
        </w:rPr>
        <w:t xml:space="preserve"> </w:t>
      </w:r>
      <w:r w:rsidRPr="00647752">
        <w:rPr>
          <w:rFonts w:ascii="Times New Roman" w:eastAsiaTheme="minorEastAsia" w:hAnsi="Times New Roman" w:cstheme="minorBidi"/>
          <w:sz w:val="22"/>
          <w:szCs w:val="24"/>
          <w:lang w:val="en-GB" w:eastAsia="ja-JP"/>
        </w:rPr>
        <w:t>Some draft laws have been presented to the President</w:t>
      </w:r>
      <w:r w:rsidR="00854850" w:rsidRPr="00647752">
        <w:rPr>
          <w:rFonts w:ascii="Times New Roman" w:eastAsiaTheme="minorEastAsia" w:hAnsi="Times New Roman" w:cstheme="minorBidi"/>
          <w:sz w:val="22"/>
          <w:szCs w:val="24"/>
          <w:lang w:val="en-GB" w:eastAsia="ja-JP"/>
        </w:rPr>
        <w:t>’</w:t>
      </w:r>
      <w:r w:rsidRPr="00647752">
        <w:rPr>
          <w:rFonts w:ascii="Times New Roman" w:eastAsiaTheme="minorEastAsia" w:hAnsi="Times New Roman" w:cstheme="minorBidi"/>
          <w:sz w:val="22"/>
          <w:szCs w:val="24"/>
          <w:lang w:val="en-GB" w:eastAsia="ja-JP"/>
        </w:rPr>
        <w:t xml:space="preserve">s </w:t>
      </w:r>
      <w:r w:rsidR="00854850" w:rsidRPr="00647752">
        <w:rPr>
          <w:rFonts w:ascii="Times New Roman" w:eastAsiaTheme="minorEastAsia" w:hAnsi="Times New Roman" w:cstheme="minorBidi"/>
          <w:sz w:val="22"/>
          <w:szCs w:val="24"/>
          <w:lang w:val="en-GB" w:eastAsia="ja-JP"/>
        </w:rPr>
        <w:t>O</w:t>
      </w:r>
      <w:r w:rsidRPr="00647752">
        <w:rPr>
          <w:rFonts w:ascii="Times New Roman" w:eastAsiaTheme="minorEastAsia" w:hAnsi="Times New Roman" w:cstheme="minorBidi"/>
          <w:sz w:val="22"/>
          <w:szCs w:val="24"/>
          <w:lang w:val="en-GB" w:eastAsia="ja-JP"/>
        </w:rPr>
        <w:t>ffice</w:t>
      </w:r>
      <w:r w:rsidR="000911AB">
        <w:rPr>
          <w:rFonts w:ascii="Times New Roman" w:eastAsiaTheme="minorEastAsia" w:hAnsi="Times New Roman" w:cstheme="minorBidi"/>
          <w:sz w:val="22"/>
          <w:szCs w:val="24"/>
          <w:lang w:val="en-GB" w:eastAsia="ja-JP"/>
        </w:rPr>
        <w:t xml:space="preserve"> and some are still with the Council of Ministers</w:t>
      </w:r>
      <w:r w:rsidRPr="00647752">
        <w:rPr>
          <w:rFonts w:ascii="Times New Roman" w:eastAsiaTheme="minorEastAsia" w:hAnsi="Times New Roman" w:cstheme="minorBidi"/>
          <w:sz w:val="22"/>
          <w:szCs w:val="24"/>
          <w:lang w:val="en-GB" w:eastAsia="ja-JP"/>
        </w:rPr>
        <w:t xml:space="preserve"> and subject to readings reviews. </w:t>
      </w:r>
    </w:p>
    <w:p w:rsidR="000911AB" w:rsidRDefault="000911AB" w:rsidP="00FB6759">
      <w:pPr>
        <w:spacing w:after="0" w:line="240" w:lineRule="auto"/>
        <w:jc w:val="both"/>
        <w:rPr>
          <w:rFonts w:ascii="Times New Roman" w:eastAsiaTheme="minorEastAsia" w:hAnsi="Times New Roman" w:cstheme="minorBidi"/>
          <w:sz w:val="22"/>
          <w:szCs w:val="24"/>
          <w:lang w:val="en-GB" w:eastAsia="ja-JP"/>
        </w:rPr>
      </w:pPr>
    </w:p>
    <w:p w:rsidR="002E72E3" w:rsidRPr="00647752" w:rsidRDefault="002E72E3" w:rsidP="00FB6759">
      <w:pPr>
        <w:spacing w:after="0" w:line="240" w:lineRule="auto"/>
        <w:jc w:val="both"/>
        <w:rPr>
          <w:rFonts w:ascii="Times New Roman" w:eastAsiaTheme="minorEastAsia" w:hAnsi="Times New Roman" w:cstheme="minorBidi"/>
          <w:sz w:val="22"/>
          <w:szCs w:val="24"/>
          <w:lang w:val="en-GB" w:eastAsia="ja-JP"/>
        </w:rPr>
      </w:pPr>
      <w:r w:rsidRPr="00647752">
        <w:rPr>
          <w:rFonts w:ascii="Times New Roman" w:eastAsiaTheme="minorEastAsia" w:hAnsi="Times New Roman" w:cstheme="minorBidi"/>
          <w:sz w:val="22"/>
          <w:szCs w:val="24"/>
          <w:lang w:val="en-GB" w:eastAsia="ja-JP"/>
        </w:rPr>
        <w:t>In addition, UNDP was heavily involved i</w:t>
      </w:r>
      <w:r w:rsidR="000911AB">
        <w:rPr>
          <w:rFonts w:ascii="Times New Roman" w:eastAsiaTheme="minorEastAsia" w:hAnsi="Times New Roman" w:cstheme="minorBidi"/>
          <w:sz w:val="22"/>
          <w:szCs w:val="24"/>
          <w:lang w:val="en-GB" w:eastAsia="ja-JP"/>
        </w:rPr>
        <w:t>n capacity building for the MO</w:t>
      </w:r>
      <w:r w:rsidR="00BE2C67">
        <w:rPr>
          <w:rFonts w:ascii="Times New Roman" w:eastAsiaTheme="minorEastAsia" w:hAnsi="Times New Roman" w:cstheme="minorBidi"/>
          <w:sz w:val="22"/>
          <w:szCs w:val="24"/>
          <w:lang w:val="en-GB" w:eastAsia="ja-JP"/>
        </w:rPr>
        <w:t>J staff and other m</w:t>
      </w:r>
      <w:r w:rsidRPr="00647752">
        <w:rPr>
          <w:rFonts w:ascii="Times New Roman" w:eastAsiaTheme="minorEastAsia" w:hAnsi="Times New Roman" w:cstheme="minorBidi"/>
          <w:sz w:val="22"/>
          <w:szCs w:val="24"/>
          <w:lang w:val="en-GB" w:eastAsia="ja-JP"/>
        </w:rPr>
        <w:t>inistries relating t</w:t>
      </w:r>
      <w:r w:rsidR="000911AB">
        <w:rPr>
          <w:rFonts w:ascii="Times New Roman" w:eastAsiaTheme="minorEastAsia" w:hAnsi="Times New Roman" w:cstheme="minorBidi"/>
          <w:sz w:val="22"/>
          <w:szCs w:val="24"/>
          <w:lang w:val="en-GB" w:eastAsia="ja-JP"/>
        </w:rPr>
        <w:t xml:space="preserve">o gender and juvenile justice. </w:t>
      </w:r>
      <w:r w:rsidR="00BE2C67">
        <w:rPr>
          <w:rFonts w:ascii="Times New Roman" w:eastAsiaTheme="minorEastAsia" w:hAnsi="Times New Roman" w:cstheme="minorBidi"/>
          <w:sz w:val="22"/>
          <w:szCs w:val="24"/>
          <w:lang w:val="en-GB" w:eastAsia="ja-JP"/>
        </w:rPr>
        <w:t xml:space="preserve">In partnership with Birzeit University, </w:t>
      </w:r>
      <w:r w:rsidRPr="00647752">
        <w:rPr>
          <w:rFonts w:ascii="Times New Roman" w:eastAsiaTheme="minorEastAsia" w:hAnsi="Times New Roman" w:cstheme="minorBidi"/>
          <w:sz w:val="22"/>
          <w:szCs w:val="24"/>
          <w:lang w:val="en-GB" w:eastAsia="ja-JP"/>
        </w:rPr>
        <w:t>UNDP experts developed and incl</w:t>
      </w:r>
      <w:r w:rsidR="00BE2C67">
        <w:rPr>
          <w:rFonts w:ascii="Times New Roman" w:eastAsiaTheme="minorEastAsia" w:hAnsi="Times New Roman" w:cstheme="minorBidi"/>
          <w:sz w:val="22"/>
          <w:szCs w:val="24"/>
          <w:lang w:val="en-GB" w:eastAsia="ja-JP"/>
        </w:rPr>
        <w:t>uded specialis</w:t>
      </w:r>
      <w:r w:rsidRPr="00647752">
        <w:rPr>
          <w:rFonts w:ascii="Times New Roman" w:eastAsiaTheme="minorEastAsia" w:hAnsi="Times New Roman" w:cstheme="minorBidi"/>
          <w:sz w:val="22"/>
          <w:szCs w:val="24"/>
          <w:lang w:val="en-GB" w:eastAsia="ja-JP"/>
        </w:rPr>
        <w:t xml:space="preserve">ed subjects in </w:t>
      </w:r>
      <w:r w:rsidR="00BE2C67">
        <w:rPr>
          <w:rFonts w:ascii="Times New Roman" w:eastAsiaTheme="minorEastAsia" w:hAnsi="Times New Roman" w:cstheme="minorBidi"/>
          <w:sz w:val="22"/>
          <w:szCs w:val="24"/>
          <w:lang w:val="en-GB" w:eastAsia="ja-JP"/>
        </w:rPr>
        <w:t>the Legal Skills Diploma programme and MO</w:t>
      </w:r>
      <w:r w:rsidRPr="00647752">
        <w:rPr>
          <w:rFonts w:ascii="Times New Roman" w:eastAsiaTheme="minorEastAsia" w:hAnsi="Times New Roman" w:cstheme="minorBidi"/>
          <w:sz w:val="22"/>
          <w:szCs w:val="24"/>
          <w:lang w:val="en-GB" w:eastAsia="ja-JP"/>
        </w:rPr>
        <w:t xml:space="preserve">J staff was trained </w:t>
      </w:r>
      <w:r w:rsidR="00BE2C67">
        <w:rPr>
          <w:rFonts w:ascii="Times New Roman" w:eastAsiaTheme="minorEastAsia" w:hAnsi="Times New Roman" w:cstheme="minorBidi"/>
          <w:sz w:val="22"/>
          <w:szCs w:val="24"/>
          <w:lang w:val="en-GB" w:eastAsia="ja-JP"/>
        </w:rPr>
        <w:t xml:space="preserve">extensively </w:t>
      </w:r>
      <w:r w:rsidRPr="00647752">
        <w:rPr>
          <w:rFonts w:ascii="Times New Roman" w:eastAsiaTheme="minorEastAsia" w:hAnsi="Times New Roman" w:cstheme="minorBidi"/>
          <w:sz w:val="22"/>
          <w:szCs w:val="24"/>
          <w:lang w:val="en-GB" w:eastAsia="ja-JP"/>
        </w:rPr>
        <w:t>in</w:t>
      </w:r>
      <w:r w:rsidR="00BE2C67">
        <w:rPr>
          <w:rFonts w:ascii="Times New Roman" w:eastAsiaTheme="minorEastAsia" w:hAnsi="Times New Roman" w:cstheme="minorBidi"/>
          <w:sz w:val="22"/>
          <w:szCs w:val="24"/>
          <w:lang w:val="en-GB" w:eastAsia="ja-JP"/>
        </w:rPr>
        <w:t xml:space="preserve"> gender and juvenile justice. UNDP is currently developing</w:t>
      </w:r>
      <w:r w:rsidRPr="00647752">
        <w:rPr>
          <w:rFonts w:ascii="Times New Roman" w:eastAsiaTheme="minorEastAsia" w:hAnsi="Times New Roman" w:cstheme="minorBidi"/>
          <w:sz w:val="22"/>
          <w:szCs w:val="24"/>
          <w:lang w:val="en-GB" w:eastAsia="ja-JP"/>
        </w:rPr>
        <w:t xml:space="preserve"> the training programmes for this year and the coming year, which will include more in-depth related subjects o</w:t>
      </w:r>
      <w:r w:rsidR="00BE2C67">
        <w:rPr>
          <w:rFonts w:ascii="Times New Roman" w:eastAsiaTheme="minorEastAsia" w:hAnsi="Times New Roman" w:cstheme="minorBidi"/>
          <w:sz w:val="22"/>
          <w:szCs w:val="24"/>
          <w:lang w:val="en-GB" w:eastAsia="ja-JP"/>
        </w:rPr>
        <w:t>n gender and children’s rights.</w:t>
      </w:r>
    </w:p>
    <w:p w:rsidR="002E72E3" w:rsidRPr="00647752" w:rsidRDefault="002E72E3" w:rsidP="00FB6759">
      <w:pPr>
        <w:spacing w:after="0" w:line="240" w:lineRule="auto"/>
        <w:jc w:val="both"/>
        <w:rPr>
          <w:rFonts w:ascii="Times New Roman" w:eastAsiaTheme="minorEastAsia" w:hAnsi="Times New Roman" w:cstheme="minorBidi"/>
          <w:sz w:val="22"/>
          <w:szCs w:val="24"/>
          <w:lang w:val="en-GB" w:eastAsia="ja-JP"/>
        </w:rPr>
      </w:pPr>
    </w:p>
    <w:p w:rsidR="002E72E3" w:rsidRPr="00647752" w:rsidRDefault="00BE2C67" w:rsidP="00FB6759">
      <w:pPr>
        <w:spacing w:after="0" w:line="240" w:lineRule="auto"/>
        <w:jc w:val="both"/>
        <w:rPr>
          <w:rFonts w:ascii="Times New Roman" w:eastAsiaTheme="minorEastAsia" w:hAnsi="Times New Roman" w:cstheme="minorBidi"/>
          <w:sz w:val="22"/>
          <w:szCs w:val="24"/>
          <w:lang w:val="en-GB" w:eastAsia="ja-JP"/>
        </w:rPr>
      </w:pPr>
      <w:r>
        <w:rPr>
          <w:rFonts w:ascii="Times New Roman" w:eastAsiaTheme="minorEastAsia" w:hAnsi="Times New Roman" w:cstheme="minorBidi"/>
          <w:sz w:val="22"/>
          <w:szCs w:val="24"/>
          <w:lang w:val="en-GB" w:eastAsia="ja-JP"/>
        </w:rPr>
        <w:t>Prior to UNDP’s support the MO</w:t>
      </w:r>
      <w:r w:rsidR="002E72E3" w:rsidRPr="00647752">
        <w:rPr>
          <w:rFonts w:ascii="Times New Roman" w:eastAsiaTheme="minorEastAsia" w:hAnsi="Times New Roman" w:cstheme="minorBidi"/>
          <w:sz w:val="22"/>
          <w:szCs w:val="24"/>
          <w:lang w:val="en-GB" w:eastAsia="ja-JP"/>
        </w:rPr>
        <w:t>J was not really open to deali</w:t>
      </w:r>
      <w:r>
        <w:rPr>
          <w:rFonts w:ascii="Times New Roman" w:eastAsiaTheme="minorEastAsia" w:hAnsi="Times New Roman" w:cstheme="minorBidi"/>
          <w:sz w:val="22"/>
          <w:szCs w:val="24"/>
          <w:lang w:val="en-GB" w:eastAsia="ja-JP"/>
        </w:rPr>
        <w:t>ng with non-governmental organis</w:t>
      </w:r>
      <w:r w:rsidR="002E72E3" w:rsidRPr="00647752">
        <w:rPr>
          <w:rFonts w:ascii="Times New Roman" w:eastAsiaTheme="minorEastAsia" w:hAnsi="Times New Roman" w:cstheme="minorBidi"/>
          <w:sz w:val="22"/>
          <w:szCs w:val="24"/>
          <w:lang w:val="en-GB" w:eastAsia="ja-JP"/>
        </w:rPr>
        <w:t xml:space="preserve">ations in relation </w:t>
      </w:r>
      <w:r>
        <w:rPr>
          <w:rFonts w:ascii="Times New Roman" w:eastAsiaTheme="minorEastAsia" w:hAnsi="Times New Roman" w:cstheme="minorBidi"/>
          <w:sz w:val="22"/>
          <w:szCs w:val="24"/>
          <w:lang w:val="en-GB" w:eastAsia="ja-JP"/>
        </w:rPr>
        <w:t xml:space="preserve">to gender and juvenile cases. </w:t>
      </w:r>
      <w:r w:rsidR="002E72E3" w:rsidRPr="00647752">
        <w:rPr>
          <w:rFonts w:ascii="Times New Roman" w:eastAsiaTheme="minorEastAsia" w:hAnsi="Times New Roman" w:cstheme="minorBidi"/>
          <w:sz w:val="22"/>
          <w:szCs w:val="24"/>
          <w:lang w:val="en-GB" w:eastAsia="ja-JP"/>
        </w:rPr>
        <w:t>UNDP tried to ensure that these networ</w:t>
      </w:r>
      <w:r>
        <w:rPr>
          <w:rFonts w:ascii="Times New Roman" w:eastAsiaTheme="minorEastAsia" w:hAnsi="Times New Roman" w:cstheme="minorBidi"/>
          <w:sz w:val="22"/>
          <w:szCs w:val="24"/>
          <w:lang w:val="en-GB" w:eastAsia="ja-JP"/>
        </w:rPr>
        <w:t>ks and organis</w:t>
      </w:r>
      <w:r w:rsidR="002E72E3" w:rsidRPr="00647752">
        <w:rPr>
          <w:rFonts w:ascii="Times New Roman" w:eastAsiaTheme="minorEastAsia" w:hAnsi="Times New Roman" w:cstheme="minorBidi"/>
          <w:sz w:val="22"/>
          <w:szCs w:val="24"/>
          <w:lang w:val="en-GB" w:eastAsia="ja-JP"/>
        </w:rPr>
        <w:t xml:space="preserve">ations had an active role in devising the </w:t>
      </w:r>
      <w:r>
        <w:rPr>
          <w:rFonts w:ascii="Times New Roman" w:eastAsiaTheme="minorEastAsia" w:hAnsi="Times New Roman" w:cstheme="minorBidi"/>
          <w:sz w:val="22"/>
          <w:szCs w:val="24"/>
          <w:lang w:val="en-GB" w:eastAsia="ja-JP"/>
        </w:rPr>
        <w:t xml:space="preserve">MOJ’s </w:t>
      </w:r>
      <w:r w:rsidR="002E72E3" w:rsidRPr="00647752">
        <w:rPr>
          <w:rFonts w:ascii="Times New Roman" w:eastAsiaTheme="minorEastAsia" w:hAnsi="Times New Roman" w:cstheme="minorBidi"/>
          <w:sz w:val="22"/>
          <w:szCs w:val="24"/>
          <w:lang w:val="en-GB" w:eastAsia="ja-JP"/>
        </w:rPr>
        <w:t xml:space="preserve">strategic plan. The training programmes scheduled for 2013 will provide further opportunities to exchange experiences. </w:t>
      </w:r>
    </w:p>
    <w:p w:rsidR="002E72E3" w:rsidRPr="00647752" w:rsidRDefault="002E72E3" w:rsidP="00FB6759">
      <w:pPr>
        <w:spacing w:after="0" w:line="240" w:lineRule="auto"/>
        <w:jc w:val="both"/>
        <w:rPr>
          <w:rFonts w:ascii="Times New Roman" w:eastAsiaTheme="minorEastAsia" w:hAnsi="Times New Roman" w:cstheme="minorBidi"/>
          <w:sz w:val="22"/>
          <w:szCs w:val="24"/>
          <w:lang w:val="en-GB" w:eastAsia="ja-JP"/>
        </w:rPr>
      </w:pPr>
    </w:p>
    <w:p w:rsidR="002E72E3" w:rsidRPr="00647752" w:rsidRDefault="002E72E3" w:rsidP="00FB6759">
      <w:pPr>
        <w:spacing w:after="0" w:line="240" w:lineRule="auto"/>
        <w:jc w:val="both"/>
        <w:rPr>
          <w:rFonts w:ascii="Times New Roman" w:eastAsiaTheme="minorEastAsia" w:hAnsi="Times New Roman" w:cstheme="minorBidi"/>
          <w:sz w:val="22"/>
          <w:szCs w:val="24"/>
          <w:lang w:val="en-GB" w:eastAsia="ja-JP"/>
        </w:rPr>
      </w:pPr>
      <w:r w:rsidRPr="00647752">
        <w:rPr>
          <w:rFonts w:ascii="Times New Roman" w:eastAsiaTheme="minorEastAsia" w:hAnsi="Times New Roman" w:cstheme="minorBidi"/>
          <w:sz w:val="22"/>
          <w:szCs w:val="24"/>
          <w:lang w:val="en-GB" w:eastAsia="ja-JP"/>
        </w:rPr>
        <w:t>UNDP experts were also able to s</w:t>
      </w:r>
      <w:r w:rsidR="00BE2C67">
        <w:rPr>
          <w:rFonts w:ascii="Times New Roman" w:eastAsiaTheme="minorEastAsia" w:hAnsi="Times New Roman" w:cstheme="minorBidi"/>
          <w:sz w:val="22"/>
          <w:szCs w:val="24"/>
          <w:lang w:val="en-GB" w:eastAsia="ja-JP"/>
        </w:rPr>
        <w:t>trengthen the position of the MO</w:t>
      </w:r>
      <w:r w:rsidRPr="00647752">
        <w:rPr>
          <w:rFonts w:ascii="Times New Roman" w:eastAsiaTheme="minorEastAsia" w:hAnsi="Times New Roman" w:cstheme="minorBidi"/>
          <w:sz w:val="22"/>
          <w:szCs w:val="24"/>
          <w:lang w:val="en-GB" w:eastAsia="ja-JP"/>
        </w:rPr>
        <w:t>J relating to juv</w:t>
      </w:r>
      <w:r w:rsidR="00BE2C67">
        <w:rPr>
          <w:rFonts w:ascii="Times New Roman" w:eastAsiaTheme="minorEastAsia" w:hAnsi="Times New Roman" w:cstheme="minorBidi"/>
          <w:sz w:val="22"/>
          <w:szCs w:val="24"/>
          <w:lang w:val="en-GB" w:eastAsia="ja-JP"/>
        </w:rPr>
        <w:t>enile and gender justice. The MO</w:t>
      </w:r>
      <w:r w:rsidRPr="00647752">
        <w:rPr>
          <w:rFonts w:ascii="Times New Roman" w:eastAsiaTheme="minorEastAsia" w:hAnsi="Times New Roman" w:cstheme="minorBidi"/>
          <w:sz w:val="22"/>
          <w:szCs w:val="24"/>
          <w:lang w:val="en-GB" w:eastAsia="ja-JP"/>
        </w:rPr>
        <w:t>J now participates in ch</w:t>
      </w:r>
      <w:r w:rsidR="00BE2C67">
        <w:rPr>
          <w:rFonts w:ascii="Times New Roman" w:eastAsiaTheme="minorEastAsia" w:hAnsi="Times New Roman" w:cstheme="minorBidi"/>
          <w:sz w:val="22"/>
          <w:szCs w:val="24"/>
          <w:lang w:val="en-GB" w:eastAsia="ja-JP"/>
        </w:rPr>
        <w:t>ild protection networks across six g</w:t>
      </w:r>
      <w:r w:rsidRPr="00647752">
        <w:rPr>
          <w:rFonts w:ascii="Times New Roman" w:eastAsiaTheme="minorEastAsia" w:hAnsi="Times New Roman" w:cstheme="minorBidi"/>
          <w:sz w:val="22"/>
          <w:szCs w:val="24"/>
          <w:lang w:val="en-GB" w:eastAsia="ja-JP"/>
        </w:rPr>
        <w:t>overnorates</w:t>
      </w:r>
      <w:r w:rsidR="00BE2C67">
        <w:rPr>
          <w:rFonts w:ascii="Times New Roman" w:eastAsiaTheme="minorEastAsia" w:hAnsi="Times New Roman" w:cstheme="minorBidi"/>
          <w:sz w:val="22"/>
          <w:szCs w:val="24"/>
          <w:lang w:val="en-GB" w:eastAsia="ja-JP"/>
        </w:rPr>
        <w:t xml:space="preserve"> (Nablus, Ramallah, Bethlehem, Gaza, Jenin</w:t>
      </w:r>
      <w:r w:rsidRPr="00647752">
        <w:rPr>
          <w:rFonts w:ascii="Times New Roman" w:eastAsiaTheme="minorEastAsia" w:hAnsi="Times New Roman" w:cstheme="minorBidi"/>
          <w:sz w:val="22"/>
          <w:szCs w:val="24"/>
          <w:lang w:val="en-GB" w:eastAsia="ja-JP"/>
        </w:rPr>
        <w:t xml:space="preserve"> and Hebron). These networks try to coordinate efforts of government and CSOs in each governorate to promote the services, referral mechanisms and </w:t>
      </w:r>
      <w:r w:rsidR="00BE2C67">
        <w:rPr>
          <w:rFonts w:ascii="Times New Roman" w:eastAsiaTheme="minorEastAsia" w:hAnsi="Times New Roman" w:cstheme="minorBidi"/>
          <w:sz w:val="22"/>
          <w:szCs w:val="24"/>
          <w:lang w:val="en-GB" w:eastAsia="ja-JP"/>
        </w:rPr>
        <w:t>technical roles of these organis</w:t>
      </w:r>
      <w:r w:rsidRPr="00647752">
        <w:rPr>
          <w:rFonts w:ascii="Times New Roman" w:eastAsiaTheme="minorEastAsia" w:hAnsi="Times New Roman" w:cstheme="minorBidi"/>
          <w:sz w:val="22"/>
          <w:szCs w:val="24"/>
          <w:lang w:val="en-GB" w:eastAsia="ja-JP"/>
        </w:rPr>
        <w:t>ations on chil</w:t>
      </w:r>
      <w:r w:rsidR="00BE2C67">
        <w:rPr>
          <w:rFonts w:ascii="Times New Roman" w:eastAsiaTheme="minorEastAsia" w:hAnsi="Times New Roman" w:cstheme="minorBidi"/>
          <w:sz w:val="22"/>
          <w:szCs w:val="24"/>
          <w:lang w:val="en-GB" w:eastAsia="ja-JP"/>
        </w:rPr>
        <w:t xml:space="preserve">d protection. Until 2012, the MOJ’s </w:t>
      </w:r>
      <w:r w:rsidRPr="00647752">
        <w:rPr>
          <w:rFonts w:ascii="Times New Roman" w:eastAsiaTheme="minorEastAsia" w:hAnsi="Times New Roman" w:cstheme="minorBidi"/>
          <w:sz w:val="22"/>
          <w:szCs w:val="24"/>
          <w:lang w:val="en-GB" w:eastAsia="ja-JP"/>
        </w:rPr>
        <w:t>role vis-à-vis these networks was not clear, although the ne</w:t>
      </w:r>
      <w:r w:rsidR="00BE2C67">
        <w:rPr>
          <w:rFonts w:ascii="Times New Roman" w:eastAsiaTheme="minorEastAsia" w:hAnsi="Times New Roman" w:cstheme="minorBidi"/>
          <w:sz w:val="22"/>
          <w:szCs w:val="24"/>
          <w:lang w:val="en-GB" w:eastAsia="ja-JP"/>
        </w:rPr>
        <w:t>twork had been established seven</w:t>
      </w:r>
      <w:r w:rsidRPr="00647752">
        <w:rPr>
          <w:rFonts w:ascii="Times New Roman" w:eastAsiaTheme="minorEastAsia" w:hAnsi="Times New Roman" w:cstheme="minorBidi"/>
          <w:sz w:val="22"/>
          <w:szCs w:val="24"/>
          <w:lang w:val="en-GB" w:eastAsia="ja-JP"/>
        </w:rPr>
        <w:t xml:space="preserve"> years</w:t>
      </w:r>
      <w:r w:rsidR="00BE2C67">
        <w:rPr>
          <w:rFonts w:ascii="Times New Roman" w:eastAsiaTheme="minorEastAsia" w:hAnsi="Times New Roman" w:cstheme="minorBidi"/>
          <w:sz w:val="22"/>
          <w:szCs w:val="24"/>
          <w:lang w:val="en-GB" w:eastAsia="ja-JP"/>
        </w:rPr>
        <w:t xml:space="preserve"> ago. The MO</w:t>
      </w:r>
      <w:r w:rsidRPr="00647752">
        <w:rPr>
          <w:rFonts w:ascii="Times New Roman" w:eastAsiaTheme="minorEastAsia" w:hAnsi="Times New Roman" w:cstheme="minorBidi"/>
          <w:sz w:val="22"/>
          <w:szCs w:val="24"/>
          <w:lang w:val="en-GB" w:eastAsia="ja-JP"/>
        </w:rPr>
        <w:t>J’s participation helped it to identify problems in poli</w:t>
      </w:r>
      <w:r w:rsidR="00BE2C67">
        <w:rPr>
          <w:rFonts w:ascii="Times New Roman" w:eastAsiaTheme="minorEastAsia" w:hAnsi="Times New Roman" w:cstheme="minorBidi"/>
          <w:sz w:val="22"/>
          <w:szCs w:val="24"/>
          <w:lang w:val="en-GB" w:eastAsia="ja-JP"/>
        </w:rPr>
        <w:t xml:space="preserve">cy, procedure and legislation. </w:t>
      </w:r>
      <w:r w:rsidRPr="00647752">
        <w:rPr>
          <w:rFonts w:ascii="Times New Roman" w:eastAsiaTheme="minorEastAsia" w:hAnsi="Times New Roman" w:cstheme="minorBidi"/>
          <w:sz w:val="22"/>
          <w:szCs w:val="24"/>
          <w:lang w:val="en-GB" w:eastAsia="ja-JP"/>
        </w:rPr>
        <w:t>The cases brought before these networks keep the Ministry’s work relevant to the cases and needs for further developing a secure referral system and legal protections for service providers.</w:t>
      </w:r>
    </w:p>
    <w:p w:rsidR="002E72E3" w:rsidRPr="00647752" w:rsidRDefault="002E72E3" w:rsidP="00FB6759">
      <w:pPr>
        <w:spacing w:after="0" w:line="240" w:lineRule="auto"/>
        <w:jc w:val="both"/>
        <w:rPr>
          <w:rFonts w:ascii="Times New Roman" w:hAnsi="Times New Roman" w:cs="Times New Roman"/>
          <w:sz w:val="22"/>
          <w:szCs w:val="22"/>
          <w:lang w:val="en-GB"/>
        </w:rPr>
      </w:pPr>
    </w:p>
    <w:p w:rsidR="00044516" w:rsidRDefault="006853A8" w:rsidP="00FB6759">
      <w:pPr>
        <w:spacing w:after="0" w:line="240" w:lineRule="auto"/>
        <w:jc w:val="both"/>
        <w:rPr>
          <w:rFonts w:ascii="Times New Roman" w:hAnsi="Times New Roman" w:cs="Times New Roman"/>
          <w:i/>
          <w:sz w:val="22"/>
          <w:szCs w:val="22"/>
          <w:lang w:val="en-GB"/>
        </w:rPr>
      </w:pPr>
      <w:r w:rsidRPr="00647752">
        <w:rPr>
          <w:rFonts w:ascii="Times New Roman" w:hAnsi="Times New Roman" w:cs="Times New Roman"/>
          <w:i/>
          <w:sz w:val="22"/>
          <w:szCs w:val="22"/>
          <w:lang w:val="en-GB"/>
        </w:rPr>
        <w:t>Output 3.2: Formulation and adoption of a national policy on youth and adolescent</w:t>
      </w:r>
      <w:r w:rsidR="00BB6DF1" w:rsidRPr="00647752">
        <w:rPr>
          <w:rFonts w:ascii="Times New Roman" w:hAnsi="Times New Roman" w:cs="Times New Roman"/>
          <w:i/>
          <w:sz w:val="22"/>
          <w:szCs w:val="22"/>
          <w:lang w:val="en-GB"/>
        </w:rPr>
        <w:t>s</w:t>
      </w:r>
      <w:r w:rsidRPr="00647752">
        <w:rPr>
          <w:rFonts w:ascii="Times New Roman" w:hAnsi="Times New Roman" w:cs="Times New Roman"/>
          <w:i/>
          <w:sz w:val="22"/>
          <w:szCs w:val="22"/>
          <w:lang w:val="en-GB"/>
        </w:rPr>
        <w:t xml:space="preserve"> supported </w:t>
      </w:r>
      <w:r w:rsidR="00C46858" w:rsidRPr="00647752">
        <w:rPr>
          <w:rFonts w:ascii="Times New Roman" w:hAnsi="Times New Roman" w:cs="Times New Roman"/>
          <w:i/>
          <w:sz w:val="22"/>
          <w:szCs w:val="22"/>
          <w:lang w:val="en-GB"/>
        </w:rPr>
        <w:t>in partnership</w:t>
      </w:r>
      <w:r w:rsidRPr="00647752">
        <w:rPr>
          <w:rFonts w:ascii="Times New Roman" w:hAnsi="Times New Roman" w:cs="Times New Roman"/>
          <w:i/>
          <w:sz w:val="22"/>
          <w:szCs w:val="22"/>
          <w:lang w:val="en-GB"/>
        </w:rPr>
        <w:t xml:space="preserve"> with others</w:t>
      </w:r>
    </w:p>
    <w:p w:rsidR="00BE2C67" w:rsidRPr="00647752" w:rsidRDefault="00BE2C67" w:rsidP="00FB6759">
      <w:pPr>
        <w:spacing w:after="0" w:line="240" w:lineRule="auto"/>
        <w:jc w:val="both"/>
        <w:rPr>
          <w:rFonts w:ascii="Times New Roman" w:hAnsi="Times New Roman" w:cs="Times New Roman"/>
          <w:i/>
          <w:sz w:val="22"/>
          <w:szCs w:val="22"/>
          <w:lang w:val="en-GB"/>
        </w:rPr>
      </w:pPr>
    </w:p>
    <w:p w:rsidR="00AE309E" w:rsidRPr="00647752" w:rsidRDefault="00B8032C"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 xml:space="preserve">As with women, </w:t>
      </w:r>
      <w:r w:rsidR="00D76037" w:rsidRPr="00647752">
        <w:rPr>
          <w:rFonts w:ascii="Times New Roman" w:hAnsi="Times New Roman" w:cs="Times New Roman"/>
          <w:sz w:val="22"/>
          <w:szCs w:val="22"/>
          <w:lang w:val="en-GB"/>
        </w:rPr>
        <w:t>access to justice and protection for the rights of children requires</w:t>
      </w:r>
      <w:r w:rsidRPr="00647752">
        <w:rPr>
          <w:rFonts w:ascii="Times New Roman" w:hAnsi="Times New Roman" w:cs="Times New Roman"/>
          <w:sz w:val="22"/>
          <w:szCs w:val="22"/>
          <w:lang w:val="en-GB"/>
        </w:rPr>
        <w:t xml:space="preserve"> a </w:t>
      </w:r>
      <w:r w:rsidR="00D76037" w:rsidRPr="00647752">
        <w:rPr>
          <w:rFonts w:ascii="Times New Roman" w:hAnsi="Times New Roman" w:cs="Times New Roman"/>
          <w:sz w:val="22"/>
          <w:szCs w:val="22"/>
          <w:lang w:val="en-GB"/>
        </w:rPr>
        <w:t>carefully tailored</w:t>
      </w:r>
      <w:r w:rsidR="00BE2C67">
        <w:rPr>
          <w:rFonts w:ascii="Times New Roman" w:hAnsi="Times New Roman" w:cs="Times New Roman"/>
          <w:sz w:val="22"/>
          <w:szCs w:val="22"/>
          <w:lang w:val="en-GB"/>
        </w:rPr>
        <w:t xml:space="preserve"> approach. </w:t>
      </w:r>
      <w:r w:rsidR="00B672DB" w:rsidRPr="00647752">
        <w:rPr>
          <w:rFonts w:ascii="Times New Roman" w:hAnsi="Times New Roman" w:cs="Times New Roman"/>
          <w:sz w:val="22"/>
          <w:szCs w:val="22"/>
          <w:lang w:val="en-GB"/>
        </w:rPr>
        <w:t xml:space="preserve">In the </w:t>
      </w:r>
      <w:r w:rsidRPr="00647752">
        <w:rPr>
          <w:rFonts w:ascii="Times New Roman" w:hAnsi="Times New Roman" w:cs="Times New Roman"/>
          <w:sz w:val="22"/>
          <w:szCs w:val="22"/>
          <w:lang w:val="en-GB"/>
        </w:rPr>
        <w:t>oPt, other pressing policy needs have often taken priority over the creation and establishment of a comprehensive policy on Pale</w:t>
      </w:r>
      <w:r w:rsidR="00BE2C67">
        <w:rPr>
          <w:rFonts w:ascii="Times New Roman" w:hAnsi="Times New Roman" w:cs="Times New Roman"/>
          <w:sz w:val="22"/>
          <w:szCs w:val="22"/>
          <w:lang w:val="en-GB"/>
        </w:rPr>
        <w:t xml:space="preserve">stinian youth and adolescents. </w:t>
      </w:r>
      <w:r w:rsidRPr="00647752">
        <w:rPr>
          <w:rFonts w:ascii="Times New Roman" w:hAnsi="Times New Roman" w:cs="Times New Roman"/>
          <w:sz w:val="22"/>
          <w:szCs w:val="22"/>
          <w:lang w:val="en-GB"/>
        </w:rPr>
        <w:t>And yet there is a pressing need for such a strategy, especially given the strong potential for abuse of the rights of juveniles detained in the justice system and in the Israeli system in particular.</w:t>
      </w:r>
      <w:r w:rsidR="000758A6" w:rsidRPr="00647752">
        <w:rPr>
          <w:rStyle w:val="FootnoteReference"/>
          <w:rFonts w:ascii="Times New Roman" w:hAnsi="Times New Roman" w:cs="Times New Roman"/>
          <w:sz w:val="22"/>
          <w:szCs w:val="22"/>
          <w:lang w:val="en-GB"/>
        </w:rPr>
        <w:footnoteReference w:id="152"/>
      </w:r>
      <w:r w:rsidR="00801823" w:rsidRPr="00647752">
        <w:rPr>
          <w:rFonts w:ascii="Times New Roman" w:hAnsi="Times New Roman" w:cs="Times New Roman"/>
          <w:sz w:val="22"/>
          <w:szCs w:val="22"/>
          <w:lang w:val="en-GB"/>
        </w:rPr>
        <w:t>Palestinian youth comprise approx</w:t>
      </w:r>
      <w:r w:rsidR="00BE2C67">
        <w:rPr>
          <w:rFonts w:ascii="Times New Roman" w:hAnsi="Times New Roman" w:cs="Times New Roman"/>
          <w:sz w:val="22"/>
          <w:szCs w:val="22"/>
          <w:lang w:val="en-GB"/>
        </w:rPr>
        <w:t xml:space="preserve">imately 27% of the population. </w:t>
      </w:r>
      <w:r w:rsidR="00AE309E" w:rsidRPr="00647752">
        <w:rPr>
          <w:rFonts w:ascii="Times New Roman" w:hAnsi="Times New Roman" w:cs="Times New Roman"/>
          <w:sz w:val="22"/>
          <w:szCs w:val="22"/>
          <w:lang w:val="en-GB"/>
        </w:rPr>
        <w:t>Past juvenile justice strategies focused more on social assistance than access to legal process and protection of rights</w:t>
      </w:r>
      <w:r w:rsidR="005B4B2B" w:rsidRPr="00647752">
        <w:rPr>
          <w:rFonts w:ascii="Times New Roman" w:hAnsi="Times New Roman" w:cs="Times New Roman"/>
          <w:sz w:val="22"/>
          <w:szCs w:val="22"/>
          <w:lang w:val="en-GB"/>
        </w:rPr>
        <w:t>, and were therefore not entirely on-target.</w:t>
      </w:r>
      <w:r w:rsidR="00AE309E" w:rsidRPr="00647752">
        <w:rPr>
          <w:rStyle w:val="FootnoteReference"/>
          <w:rFonts w:ascii="Times New Roman" w:hAnsi="Times New Roman" w:cs="Times New Roman"/>
          <w:sz w:val="22"/>
          <w:szCs w:val="22"/>
          <w:lang w:val="en-GB"/>
        </w:rPr>
        <w:footnoteReference w:id="153"/>
      </w:r>
    </w:p>
    <w:p w:rsidR="00BE2C67" w:rsidRDefault="00BE2C67" w:rsidP="00FB6759">
      <w:pPr>
        <w:spacing w:after="0" w:line="240" w:lineRule="auto"/>
        <w:jc w:val="both"/>
        <w:rPr>
          <w:rFonts w:ascii="Times New Roman" w:hAnsi="Times New Roman" w:cs="Times New Roman"/>
          <w:sz w:val="22"/>
          <w:szCs w:val="22"/>
          <w:lang w:val="en-GB"/>
        </w:rPr>
      </w:pPr>
    </w:p>
    <w:p w:rsidR="00B8032C" w:rsidRPr="00647752" w:rsidRDefault="00B8032C"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In o</w:t>
      </w:r>
      <w:r w:rsidR="00BE2C67">
        <w:rPr>
          <w:rFonts w:ascii="Times New Roman" w:hAnsi="Times New Roman" w:cs="Times New Roman"/>
          <w:sz w:val="22"/>
          <w:szCs w:val="22"/>
          <w:lang w:val="en-GB"/>
        </w:rPr>
        <w:t>rder to address this need, the p</w:t>
      </w:r>
      <w:r w:rsidRPr="00647752">
        <w:rPr>
          <w:rFonts w:ascii="Times New Roman" w:hAnsi="Times New Roman" w:cs="Times New Roman"/>
          <w:sz w:val="22"/>
          <w:szCs w:val="22"/>
          <w:lang w:val="en-GB"/>
        </w:rPr>
        <w:t>rogramme supported the work of the National Committee on Juvenile Justice (NCJJ)</w:t>
      </w:r>
      <w:r w:rsidR="00BA6BAE" w:rsidRPr="00647752">
        <w:rPr>
          <w:rFonts w:ascii="Times New Roman" w:hAnsi="Times New Roman" w:cs="Times New Roman"/>
          <w:sz w:val="22"/>
          <w:szCs w:val="22"/>
          <w:lang w:val="en-GB"/>
        </w:rPr>
        <w:t xml:space="preserve"> by seconding a full-time </w:t>
      </w:r>
      <w:r w:rsidR="00854850" w:rsidRPr="00647752">
        <w:rPr>
          <w:rFonts w:ascii="Times New Roman" w:hAnsi="Times New Roman" w:cs="Times New Roman"/>
          <w:sz w:val="22"/>
          <w:szCs w:val="22"/>
          <w:lang w:val="en-GB"/>
        </w:rPr>
        <w:t>coordinator</w:t>
      </w:r>
      <w:r w:rsidR="00BE2C67">
        <w:rPr>
          <w:rFonts w:ascii="Times New Roman" w:hAnsi="Times New Roman" w:cs="Times New Roman"/>
          <w:sz w:val="22"/>
          <w:szCs w:val="22"/>
          <w:lang w:val="en-GB"/>
        </w:rPr>
        <w:t xml:space="preserve"> to the c</w:t>
      </w:r>
      <w:r w:rsidR="00BA6BAE" w:rsidRPr="00647752">
        <w:rPr>
          <w:rFonts w:ascii="Times New Roman" w:hAnsi="Times New Roman" w:cs="Times New Roman"/>
          <w:sz w:val="22"/>
          <w:szCs w:val="22"/>
          <w:lang w:val="en-GB"/>
        </w:rPr>
        <w:t>ommittee and by actively participating as an observer.</w:t>
      </w:r>
      <w:r w:rsidR="00BA6BAE" w:rsidRPr="00647752">
        <w:rPr>
          <w:rStyle w:val="FootnoteReference"/>
          <w:rFonts w:ascii="Times New Roman" w:hAnsi="Times New Roman" w:cs="Times New Roman"/>
          <w:sz w:val="22"/>
          <w:szCs w:val="22"/>
          <w:lang w:val="en-GB"/>
        </w:rPr>
        <w:footnoteReference w:id="154"/>
      </w:r>
      <w:r w:rsidR="00BA6BAE" w:rsidRPr="00647752">
        <w:rPr>
          <w:rFonts w:ascii="Times New Roman" w:hAnsi="Times New Roman" w:cs="Times New Roman"/>
          <w:sz w:val="22"/>
          <w:szCs w:val="22"/>
          <w:lang w:val="en-GB"/>
        </w:rPr>
        <w:t xml:space="preserve"> The NCJJ is a primary driver of juvenile justice reform, made up of representatives from the relevant ju</w:t>
      </w:r>
      <w:r w:rsidR="00BE2C67">
        <w:rPr>
          <w:rFonts w:ascii="Times New Roman" w:hAnsi="Times New Roman" w:cs="Times New Roman"/>
          <w:sz w:val="22"/>
          <w:szCs w:val="22"/>
          <w:lang w:val="en-GB"/>
        </w:rPr>
        <w:t>stice institutions, civil society organisations</w:t>
      </w:r>
      <w:r w:rsidR="00BA6BAE" w:rsidRPr="00647752">
        <w:rPr>
          <w:rFonts w:ascii="Times New Roman" w:hAnsi="Times New Roman" w:cs="Times New Roman"/>
          <w:sz w:val="22"/>
          <w:szCs w:val="22"/>
          <w:lang w:val="en-GB"/>
        </w:rPr>
        <w:t xml:space="preserve"> and international agencies.</w:t>
      </w:r>
      <w:r w:rsidR="00BA6BAE" w:rsidRPr="00647752">
        <w:rPr>
          <w:rStyle w:val="FootnoteReference"/>
          <w:rFonts w:ascii="Times New Roman" w:hAnsi="Times New Roman" w:cs="Times New Roman"/>
          <w:sz w:val="22"/>
          <w:szCs w:val="22"/>
          <w:lang w:val="en-GB"/>
        </w:rPr>
        <w:footnoteReference w:id="155"/>
      </w:r>
      <w:r w:rsidR="00BA6BAE" w:rsidRPr="00647752">
        <w:rPr>
          <w:rFonts w:ascii="Times New Roman" w:hAnsi="Times New Roman" w:cs="Times New Roman"/>
          <w:sz w:val="22"/>
          <w:szCs w:val="22"/>
          <w:lang w:val="en-GB"/>
        </w:rPr>
        <w:t xml:space="preserve"> Thro</w:t>
      </w:r>
      <w:r w:rsidR="00194BE3" w:rsidRPr="00647752">
        <w:rPr>
          <w:rFonts w:ascii="Times New Roman" w:hAnsi="Times New Roman" w:cs="Times New Roman"/>
          <w:sz w:val="22"/>
          <w:szCs w:val="22"/>
          <w:lang w:val="en-GB"/>
        </w:rPr>
        <w:t xml:space="preserve">ugh its work with the NCJJ, </w:t>
      </w:r>
      <w:r w:rsidR="00BA6BAE" w:rsidRPr="00647752">
        <w:rPr>
          <w:rFonts w:ascii="Times New Roman" w:hAnsi="Times New Roman" w:cs="Times New Roman"/>
          <w:sz w:val="22"/>
          <w:szCs w:val="22"/>
          <w:lang w:val="en-GB"/>
        </w:rPr>
        <w:t xml:space="preserve">UNDP has supported efforts to get a Juvenile Justice Law enacted, has strengthened the ability of NGOs and </w:t>
      </w:r>
      <w:r w:rsidR="00BE2C67">
        <w:rPr>
          <w:rFonts w:ascii="Times New Roman" w:hAnsi="Times New Roman" w:cs="Times New Roman"/>
          <w:sz w:val="22"/>
          <w:szCs w:val="22"/>
          <w:lang w:val="en-GB"/>
        </w:rPr>
        <w:t xml:space="preserve">other </w:t>
      </w:r>
      <w:r w:rsidR="00BA6BAE" w:rsidRPr="00647752">
        <w:rPr>
          <w:rFonts w:ascii="Times New Roman" w:hAnsi="Times New Roman" w:cs="Times New Roman"/>
          <w:sz w:val="22"/>
          <w:szCs w:val="22"/>
          <w:lang w:val="en-GB"/>
        </w:rPr>
        <w:t xml:space="preserve">legal aid providers to address the unique needs of juveniles in conflict with the </w:t>
      </w:r>
      <w:r w:rsidR="00BE2C67">
        <w:rPr>
          <w:rFonts w:ascii="Times New Roman" w:hAnsi="Times New Roman" w:cs="Times New Roman"/>
          <w:sz w:val="22"/>
          <w:szCs w:val="22"/>
          <w:lang w:val="en-GB"/>
        </w:rPr>
        <w:t>law, and has engaged with MOSA</w:t>
      </w:r>
      <w:r w:rsidR="00BA6BAE" w:rsidRPr="00647752">
        <w:rPr>
          <w:rFonts w:ascii="Times New Roman" w:hAnsi="Times New Roman" w:cs="Times New Roman"/>
          <w:sz w:val="22"/>
          <w:szCs w:val="22"/>
          <w:lang w:val="en-GB"/>
        </w:rPr>
        <w:t xml:space="preserve"> to protect the rights of juveniles in detention within the Palestinian system.</w:t>
      </w:r>
      <w:r w:rsidR="00BA6BAE" w:rsidRPr="00647752">
        <w:rPr>
          <w:rStyle w:val="FootnoteReference"/>
          <w:rFonts w:ascii="Times New Roman" w:hAnsi="Times New Roman" w:cs="Times New Roman"/>
          <w:sz w:val="22"/>
          <w:szCs w:val="22"/>
          <w:lang w:val="en-GB"/>
        </w:rPr>
        <w:footnoteReference w:id="156"/>
      </w:r>
    </w:p>
    <w:p w:rsidR="005B4B2B" w:rsidRDefault="005B4B2B"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lastRenderedPageBreak/>
        <w:t>In support of these and future ini</w:t>
      </w:r>
      <w:r w:rsidR="00194BE3" w:rsidRPr="00647752">
        <w:rPr>
          <w:rFonts w:ascii="Times New Roman" w:hAnsi="Times New Roman" w:cs="Times New Roman"/>
          <w:sz w:val="22"/>
          <w:szCs w:val="22"/>
          <w:lang w:val="en-GB"/>
        </w:rPr>
        <w:t>tiatives,</w:t>
      </w:r>
      <w:r w:rsidRPr="00647752">
        <w:rPr>
          <w:rFonts w:ascii="Times New Roman" w:hAnsi="Times New Roman" w:cs="Times New Roman"/>
          <w:sz w:val="22"/>
          <w:szCs w:val="22"/>
          <w:lang w:val="en-GB"/>
        </w:rPr>
        <w:t xml:space="preserve"> UNDP also participate</w:t>
      </w:r>
      <w:r w:rsidR="00D76037" w:rsidRPr="00647752">
        <w:rPr>
          <w:rFonts w:ascii="Times New Roman" w:hAnsi="Times New Roman" w:cs="Times New Roman"/>
          <w:sz w:val="22"/>
          <w:szCs w:val="22"/>
          <w:lang w:val="en-GB"/>
        </w:rPr>
        <w:t>d</w:t>
      </w:r>
      <w:r w:rsidRPr="00647752">
        <w:rPr>
          <w:rFonts w:ascii="Times New Roman" w:hAnsi="Times New Roman" w:cs="Times New Roman"/>
          <w:sz w:val="22"/>
          <w:szCs w:val="22"/>
          <w:lang w:val="en-GB"/>
        </w:rPr>
        <w:t xml:space="preserve"> in a pilot audit of cases involving children in conflict with the law that will provide both qualitative feedback and quantitative data that will be essential to further policy changes and projects aimed at improving standards and access to justice for Palestinian juveniles.</w:t>
      </w:r>
      <w:r w:rsidRPr="00647752">
        <w:rPr>
          <w:rStyle w:val="FootnoteReference"/>
          <w:rFonts w:ascii="Times New Roman" w:hAnsi="Times New Roman" w:cs="Times New Roman"/>
          <w:sz w:val="22"/>
          <w:szCs w:val="22"/>
          <w:lang w:val="en-GB"/>
        </w:rPr>
        <w:footnoteReference w:id="157"/>
      </w:r>
    </w:p>
    <w:p w:rsidR="00342E7D" w:rsidRPr="00647752" w:rsidRDefault="00342E7D" w:rsidP="00FB6759">
      <w:pPr>
        <w:spacing w:after="0" w:line="240" w:lineRule="auto"/>
        <w:jc w:val="both"/>
        <w:rPr>
          <w:rFonts w:ascii="Times New Roman" w:hAnsi="Times New Roman" w:cs="Times New Roman"/>
          <w:sz w:val="22"/>
          <w:szCs w:val="22"/>
          <w:lang w:val="en-GB"/>
        </w:rPr>
      </w:pPr>
    </w:p>
    <w:p w:rsidR="002E72E3" w:rsidRPr="00647752" w:rsidRDefault="002E72E3" w:rsidP="00FB6759">
      <w:pPr>
        <w:spacing w:after="0" w:line="240" w:lineRule="auto"/>
        <w:jc w:val="both"/>
        <w:rPr>
          <w:rFonts w:ascii="Times New Roman" w:eastAsiaTheme="minorEastAsia" w:hAnsi="Times New Roman" w:cstheme="minorBidi"/>
          <w:sz w:val="22"/>
          <w:szCs w:val="24"/>
          <w:lang w:val="en-GB" w:eastAsia="ja-JP"/>
        </w:rPr>
      </w:pPr>
      <w:r w:rsidRPr="00647752">
        <w:rPr>
          <w:rFonts w:ascii="Times New Roman" w:eastAsiaTheme="minorEastAsia" w:hAnsi="Times New Roman" w:cstheme="minorBidi"/>
          <w:sz w:val="22"/>
          <w:szCs w:val="24"/>
          <w:lang w:val="en-GB" w:eastAsia="ja-JP"/>
        </w:rPr>
        <w:t>At</w:t>
      </w:r>
      <w:r w:rsidR="00342E7D">
        <w:rPr>
          <w:rFonts w:ascii="Times New Roman" w:eastAsiaTheme="minorEastAsia" w:hAnsi="Times New Roman" w:cstheme="minorBidi"/>
          <w:sz w:val="22"/>
          <w:szCs w:val="24"/>
          <w:lang w:val="en-GB" w:eastAsia="ja-JP"/>
        </w:rPr>
        <w:t xml:space="preserve"> the beginning, the PNA recognis</w:t>
      </w:r>
      <w:r w:rsidRPr="00647752">
        <w:rPr>
          <w:rFonts w:ascii="Times New Roman" w:eastAsiaTheme="minorEastAsia" w:hAnsi="Times New Roman" w:cstheme="minorBidi"/>
          <w:sz w:val="22"/>
          <w:szCs w:val="24"/>
          <w:lang w:val="en-GB" w:eastAsia="ja-JP"/>
        </w:rPr>
        <w:t>ed the need to develop id</w:t>
      </w:r>
      <w:r w:rsidR="00342E7D">
        <w:rPr>
          <w:rFonts w:ascii="Times New Roman" w:eastAsiaTheme="minorEastAsia" w:hAnsi="Times New Roman" w:cstheme="minorBidi"/>
          <w:sz w:val="22"/>
          <w:szCs w:val="24"/>
          <w:lang w:val="en-GB" w:eastAsia="ja-JP"/>
        </w:rPr>
        <w:t xml:space="preserve">eas on </w:t>
      </w:r>
      <w:r w:rsidRPr="00647752">
        <w:rPr>
          <w:rFonts w:ascii="Times New Roman" w:eastAsiaTheme="minorEastAsia" w:hAnsi="Times New Roman" w:cstheme="minorBidi"/>
          <w:sz w:val="22"/>
          <w:szCs w:val="24"/>
          <w:lang w:val="en-GB" w:eastAsia="ja-JP"/>
        </w:rPr>
        <w:t xml:space="preserve">gender </w:t>
      </w:r>
      <w:r w:rsidR="00342E7D">
        <w:rPr>
          <w:rFonts w:ascii="Times New Roman" w:eastAsiaTheme="minorEastAsia" w:hAnsi="Times New Roman" w:cstheme="minorBidi"/>
          <w:sz w:val="22"/>
          <w:szCs w:val="24"/>
          <w:lang w:val="en-GB" w:eastAsia="ja-JP"/>
        </w:rPr>
        <w:t xml:space="preserve">and juvenile </w:t>
      </w:r>
      <w:r w:rsidRPr="00647752">
        <w:rPr>
          <w:rFonts w:ascii="Times New Roman" w:eastAsiaTheme="minorEastAsia" w:hAnsi="Times New Roman" w:cstheme="minorBidi"/>
          <w:sz w:val="22"/>
          <w:szCs w:val="24"/>
          <w:lang w:val="en-GB" w:eastAsia="ja-JP"/>
        </w:rPr>
        <w:t>justice as a way of developing capacity to implement and apply human rights.</w:t>
      </w:r>
      <w:r w:rsidR="00342E7D">
        <w:rPr>
          <w:rFonts w:ascii="Times New Roman" w:eastAsiaTheme="minorEastAsia" w:hAnsi="Times New Roman" w:cstheme="minorBidi"/>
          <w:sz w:val="22"/>
          <w:szCs w:val="24"/>
          <w:lang w:val="en-GB" w:eastAsia="ja-JP"/>
        </w:rPr>
        <w:t xml:space="preserve"> Under the leadership of other ministries (i.e. MOWA</w:t>
      </w:r>
      <w:r w:rsidRPr="00647752">
        <w:rPr>
          <w:rFonts w:ascii="Times New Roman" w:eastAsiaTheme="minorEastAsia" w:hAnsi="Times New Roman" w:cstheme="minorBidi"/>
          <w:sz w:val="22"/>
          <w:szCs w:val="24"/>
          <w:lang w:val="en-GB" w:eastAsia="ja-JP"/>
        </w:rPr>
        <w:t xml:space="preserve"> an</w:t>
      </w:r>
      <w:r w:rsidR="00342E7D">
        <w:rPr>
          <w:rFonts w:ascii="Times New Roman" w:eastAsiaTheme="minorEastAsia" w:hAnsi="Times New Roman" w:cstheme="minorBidi"/>
          <w:sz w:val="22"/>
          <w:szCs w:val="24"/>
          <w:lang w:val="en-GB" w:eastAsia="ja-JP"/>
        </w:rPr>
        <w:t>d MOSA</w:t>
      </w:r>
      <w:r w:rsidRPr="00647752">
        <w:rPr>
          <w:rFonts w:ascii="Times New Roman" w:eastAsiaTheme="minorEastAsia" w:hAnsi="Times New Roman" w:cstheme="minorBidi"/>
          <w:sz w:val="22"/>
          <w:szCs w:val="24"/>
          <w:lang w:val="en-GB" w:eastAsia="ja-JP"/>
        </w:rPr>
        <w:t xml:space="preserve">) a National Strategy for Eradicating Violence Against Women </w:t>
      </w:r>
      <w:r w:rsidR="00342E7D">
        <w:rPr>
          <w:rFonts w:ascii="Times New Roman" w:eastAsiaTheme="minorEastAsia" w:hAnsi="Times New Roman" w:cstheme="minorBidi"/>
          <w:sz w:val="22"/>
          <w:szCs w:val="24"/>
          <w:lang w:val="en-GB" w:eastAsia="ja-JP"/>
        </w:rPr>
        <w:t>and a National Strategy for the Protection of Children were developed. The problem for the MOJ was that it was not</w:t>
      </w:r>
      <w:r w:rsidRPr="00647752">
        <w:rPr>
          <w:rFonts w:ascii="Times New Roman" w:eastAsiaTheme="minorEastAsia" w:hAnsi="Times New Roman" w:cstheme="minorBidi"/>
          <w:sz w:val="22"/>
          <w:szCs w:val="24"/>
          <w:lang w:val="en-GB" w:eastAsia="ja-JP"/>
        </w:rPr>
        <w:t xml:space="preserve"> strong at the time these national strategies were developed and the strategies overlooked the need to establish roles fo</w:t>
      </w:r>
      <w:r w:rsidR="00342E7D">
        <w:rPr>
          <w:rFonts w:ascii="Times New Roman" w:eastAsiaTheme="minorEastAsia" w:hAnsi="Times New Roman" w:cstheme="minorBidi"/>
          <w:sz w:val="22"/>
          <w:szCs w:val="24"/>
          <w:lang w:val="en-GB" w:eastAsia="ja-JP"/>
        </w:rPr>
        <w:t>r the MO</w:t>
      </w:r>
      <w:r w:rsidRPr="00647752">
        <w:rPr>
          <w:rFonts w:ascii="Times New Roman" w:eastAsiaTheme="minorEastAsia" w:hAnsi="Times New Roman" w:cstheme="minorBidi"/>
          <w:sz w:val="22"/>
          <w:szCs w:val="24"/>
          <w:lang w:val="en-GB" w:eastAsia="ja-JP"/>
        </w:rPr>
        <w:t>J in the protection of women and children.</w:t>
      </w:r>
    </w:p>
    <w:p w:rsidR="002E72E3" w:rsidRPr="00647752" w:rsidRDefault="002E72E3" w:rsidP="00FB6759">
      <w:pPr>
        <w:spacing w:after="0" w:line="240" w:lineRule="auto"/>
        <w:jc w:val="both"/>
        <w:rPr>
          <w:rFonts w:ascii="Times New Roman" w:eastAsiaTheme="minorEastAsia" w:hAnsi="Times New Roman" w:cstheme="minorBidi"/>
          <w:sz w:val="22"/>
          <w:szCs w:val="24"/>
          <w:lang w:val="en-GB" w:eastAsia="ja-JP"/>
        </w:rPr>
      </w:pPr>
    </w:p>
    <w:p w:rsidR="002E72E3" w:rsidRPr="00647752" w:rsidRDefault="002E72E3" w:rsidP="00FB6759">
      <w:pPr>
        <w:spacing w:after="0" w:line="240" w:lineRule="auto"/>
        <w:jc w:val="both"/>
        <w:rPr>
          <w:rFonts w:ascii="Times New Roman" w:eastAsiaTheme="minorEastAsia" w:hAnsi="Times New Roman" w:cstheme="minorBidi"/>
          <w:sz w:val="22"/>
          <w:szCs w:val="24"/>
          <w:lang w:val="en-GB" w:eastAsia="ja-JP"/>
        </w:rPr>
      </w:pPr>
      <w:r w:rsidRPr="00647752">
        <w:rPr>
          <w:rFonts w:ascii="Times New Roman" w:eastAsiaTheme="minorEastAsia" w:hAnsi="Times New Roman" w:cstheme="minorBidi"/>
          <w:sz w:val="22"/>
          <w:szCs w:val="24"/>
          <w:lang w:val="en-GB" w:eastAsia="ja-JP"/>
        </w:rPr>
        <w:t>To address this deficit, UNDP funded a gender and juvenile</w:t>
      </w:r>
      <w:r w:rsidR="00342E7D">
        <w:rPr>
          <w:rFonts w:ascii="Times New Roman" w:eastAsiaTheme="minorEastAsia" w:hAnsi="Times New Roman" w:cstheme="minorBidi"/>
          <w:sz w:val="22"/>
          <w:szCs w:val="24"/>
          <w:lang w:val="en-GB" w:eastAsia="ja-JP"/>
        </w:rPr>
        <w:t xml:space="preserve"> justice expert to assert the MO</w:t>
      </w:r>
      <w:r w:rsidRPr="00647752">
        <w:rPr>
          <w:rFonts w:ascii="Times New Roman" w:eastAsiaTheme="minorEastAsia" w:hAnsi="Times New Roman" w:cstheme="minorBidi"/>
          <w:sz w:val="22"/>
          <w:szCs w:val="24"/>
          <w:lang w:val="en-GB" w:eastAsia="ja-JP"/>
        </w:rPr>
        <w:t>J’s roles in these areas. The most important achievements have been the ability to devise a strategic plan for gender justice and for juvenile justice and to harmonise them across other ministries. In developing these</w:t>
      </w:r>
      <w:r w:rsidR="00342E7D">
        <w:rPr>
          <w:rFonts w:ascii="Times New Roman" w:eastAsiaTheme="minorEastAsia" w:hAnsi="Times New Roman" w:cstheme="minorBidi"/>
          <w:sz w:val="22"/>
          <w:szCs w:val="24"/>
          <w:lang w:val="en-GB" w:eastAsia="ja-JP"/>
        </w:rPr>
        <w:t>,</w:t>
      </w:r>
      <w:r w:rsidRPr="00647752">
        <w:rPr>
          <w:rFonts w:ascii="Times New Roman" w:eastAsiaTheme="minorEastAsia" w:hAnsi="Times New Roman" w:cstheme="minorBidi"/>
          <w:sz w:val="22"/>
          <w:szCs w:val="24"/>
          <w:lang w:val="en-GB" w:eastAsia="ja-JP"/>
        </w:rPr>
        <w:t xml:space="preserve"> UNDP took</w:t>
      </w:r>
      <w:r w:rsidR="00342E7D">
        <w:rPr>
          <w:rFonts w:ascii="Times New Roman" w:eastAsiaTheme="minorEastAsia" w:hAnsi="Times New Roman" w:cstheme="minorBidi"/>
          <w:sz w:val="22"/>
          <w:szCs w:val="24"/>
          <w:lang w:val="en-GB" w:eastAsia="ja-JP"/>
        </w:rPr>
        <w:t xml:space="preserve"> into account several policy </w:t>
      </w:r>
      <w:r w:rsidRPr="00647752">
        <w:rPr>
          <w:rFonts w:ascii="Times New Roman" w:eastAsiaTheme="minorEastAsia" w:hAnsi="Times New Roman" w:cstheme="minorBidi"/>
          <w:sz w:val="22"/>
          <w:szCs w:val="24"/>
          <w:lang w:val="en-GB" w:eastAsia="ja-JP"/>
        </w:rPr>
        <w:t>doc</w:t>
      </w:r>
      <w:r w:rsidR="00342E7D">
        <w:rPr>
          <w:rFonts w:ascii="Times New Roman" w:eastAsiaTheme="minorEastAsia" w:hAnsi="Times New Roman" w:cstheme="minorBidi"/>
          <w:sz w:val="22"/>
          <w:szCs w:val="24"/>
          <w:lang w:val="en-GB" w:eastAsia="ja-JP"/>
        </w:rPr>
        <w:t xml:space="preserve">uments </w:t>
      </w:r>
      <w:r w:rsidRPr="00647752">
        <w:rPr>
          <w:rFonts w:ascii="Times New Roman" w:eastAsiaTheme="minorEastAsia" w:hAnsi="Times New Roman" w:cstheme="minorBidi"/>
          <w:sz w:val="22"/>
          <w:szCs w:val="24"/>
          <w:lang w:val="en-GB" w:eastAsia="ja-JP"/>
        </w:rPr>
        <w:t>as well as international standards and conventions pertaining to these issues. An inclusive pr</w:t>
      </w:r>
      <w:r w:rsidR="00342E7D">
        <w:rPr>
          <w:rFonts w:ascii="Times New Roman" w:eastAsiaTheme="minorEastAsia" w:hAnsi="Times New Roman" w:cstheme="minorBidi"/>
          <w:sz w:val="22"/>
          <w:szCs w:val="24"/>
          <w:lang w:val="en-GB" w:eastAsia="ja-JP"/>
        </w:rPr>
        <w:t>ocess across all parts of the MO</w:t>
      </w:r>
      <w:r w:rsidRPr="00647752">
        <w:rPr>
          <w:rFonts w:ascii="Times New Roman" w:eastAsiaTheme="minorEastAsia" w:hAnsi="Times New Roman" w:cstheme="minorBidi"/>
          <w:sz w:val="22"/>
          <w:szCs w:val="24"/>
          <w:lang w:val="en-GB" w:eastAsia="ja-JP"/>
        </w:rPr>
        <w:t xml:space="preserve">J was used to develop plans for </w:t>
      </w:r>
      <w:r w:rsidR="00342E7D">
        <w:rPr>
          <w:rFonts w:ascii="Times New Roman" w:eastAsiaTheme="minorEastAsia" w:hAnsi="Times New Roman" w:cstheme="minorBidi"/>
          <w:sz w:val="22"/>
          <w:szCs w:val="24"/>
          <w:lang w:val="en-GB" w:eastAsia="ja-JP"/>
        </w:rPr>
        <w:t xml:space="preserve">gender and juvenile </w:t>
      </w:r>
      <w:r w:rsidRPr="00647752">
        <w:rPr>
          <w:rFonts w:ascii="Times New Roman" w:eastAsiaTheme="minorEastAsia" w:hAnsi="Times New Roman" w:cstheme="minorBidi"/>
          <w:sz w:val="22"/>
          <w:szCs w:val="24"/>
          <w:lang w:val="en-GB" w:eastAsia="ja-JP"/>
        </w:rPr>
        <w:t>justice. This in itself was valuable in startin</w:t>
      </w:r>
      <w:r w:rsidR="00342E7D">
        <w:rPr>
          <w:rFonts w:ascii="Times New Roman" w:eastAsiaTheme="minorEastAsia" w:hAnsi="Times New Roman" w:cstheme="minorBidi"/>
          <w:sz w:val="22"/>
          <w:szCs w:val="24"/>
          <w:lang w:val="en-GB" w:eastAsia="ja-JP"/>
        </w:rPr>
        <w:t>g the process of enabling the MO</w:t>
      </w:r>
      <w:r w:rsidRPr="00647752">
        <w:rPr>
          <w:rFonts w:ascii="Times New Roman" w:eastAsiaTheme="minorEastAsia" w:hAnsi="Times New Roman" w:cstheme="minorBidi"/>
          <w:sz w:val="22"/>
          <w:szCs w:val="24"/>
          <w:lang w:val="en-GB" w:eastAsia="ja-JP"/>
        </w:rPr>
        <w:t xml:space="preserve">J to carry out its role. Extensive consultations also conducted with other </w:t>
      </w:r>
      <w:r w:rsidR="00342E7D">
        <w:rPr>
          <w:rFonts w:ascii="Times New Roman" w:eastAsiaTheme="minorEastAsia" w:hAnsi="Times New Roman" w:cstheme="minorBidi"/>
          <w:sz w:val="22"/>
          <w:szCs w:val="24"/>
          <w:lang w:val="en-GB" w:eastAsia="ja-JP"/>
        </w:rPr>
        <w:t>ministries in identifying the MO</w:t>
      </w:r>
      <w:r w:rsidRPr="00647752">
        <w:rPr>
          <w:rFonts w:ascii="Times New Roman" w:eastAsiaTheme="minorEastAsia" w:hAnsi="Times New Roman" w:cstheme="minorBidi"/>
          <w:sz w:val="22"/>
          <w:szCs w:val="24"/>
          <w:lang w:val="en-GB" w:eastAsia="ja-JP"/>
        </w:rPr>
        <w:t xml:space="preserve">J’s roles and responsibilities.  </w:t>
      </w:r>
    </w:p>
    <w:p w:rsidR="002E72E3" w:rsidRPr="00647752" w:rsidRDefault="002E72E3" w:rsidP="00FB6759">
      <w:pPr>
        <w:spacing w:after="0" w:line="240" w:lineRule="auto"/>
        <w:jc w:val="both"/>
        <w:rPr>
          <w:rFonts w:ascii="Times New Roman" w:hAnsi="Times New Roman" w:cs="Times New Roman"/>
          <w:sz w:val="22"/>
          <w:szCs w:val="22"/>
          <w:lang w:val="en-GB"/>
        </w:rPr>
      </w:pPr>
    </w:p>
    <w:p w:rsidR="00342E7D" w:rsidRDefault="00342E7D" w:rsidP="00FB6759">
      <w:pPr>
        <w:spacing w:after="0" w:line="240" w:lineRule="auto"/>
        <w:jc w:val="both"/>
        <w:rPr>
          <w:rFonts w:ascii="Times New Roman" w:eastAsiaTheme="minorEastAsia" w:hAnsi="Times New Roman" w:cstheme="minorBidi"/>
          <w:sz w:val="22"/>
          <w:szCs w:val="24"/>
          <w:lang w:val="en-GB" w:eastAsia="ja-JP"/>
        </w:rPr>
      </w:pPr>
      <w:r>
        <w:rPr>
          <w:rFonts w:ascii="Times New Roman" w:eastAsiaTheme="minorEastAsia" w:hAnsi="Times New Roman" w:cstheme="minorBidi"/>
          <w:sz w:val="22"/>
          <w:szCs w:val="24"/>
          <w:lang w:val="en-GB" w:eastAsia="ja-JP"/>
        </w:rPr>
        <w:t>UNDP did not engage much with MOWA</w:t>
      </w:r>
      <w:r w:rsidR="00FD3C19">
        <w:rPr>
          <w:rFonts w:ascii="Times New Roman" w:eastAsiaTheme="minorEastAsia" w:hAnsi="Times New Roman" w:cstheme="minorBidi"/>
          <w:sz w:val="22"/>
          <w:szCs w:val="24"/>
          <w:lang w:val="en-GB" w:eastAsia="ja-JP"/>
        </w:rPr>
        <w:t xml:space="preserve"> </w:t>
      </w:r>
      <w:r>
        <w:rPr>
          <w:rFonts w:ascii="Times New Roman" w:eastAsiaTheme="minorEastAsia" w:hAnsi="Times New Roman" w:cstheme="minorBidi"/>
          <w:sz w:val="22"/>
          <w:szCs w:val="24"/>
          <w:lang w:val="en-GB" w:eastAsia="ja-JP"/>
        </w:rPr>
        <w:t xml:space="preserve">directly </w:t>
      </w:r>
      <w:r w:rsidR="002E72E3" w:rsidRPr="00647752">
        <w:rPr>
          <w:rFonts w:ascii="Times New Roman" w:eastAsiaTheme="minorEastAsia" w:hAnsi="Times New Roman" w:cstheme="minorBidi"/>
          <w:sz w:val="22"/>
          <w:szCs w:val="24"/>
          <w:lang w:val="en-GB" w:eastAsia="ja-JP"/>
        </w:rPr>
        <w:t xml:space="preserve">due to the fact that UN Women was already engaged in this ministry. </w:t>
      </w:r>
      <w:r>
        <w:rPr>
          <w:rFonts w:ascii="Times New Roman" w:eastAsiaTheme="minorEastAsia" w:hAnsi="Times New Roman" w:cstheme="minorBidi"/>
          <w:sz w:val="22"/>
          <w:szCs w:val="24"/>
          <w:lang w:val="en-GB" w:eastAsia="ja-JP"/>
        </w:rPr>
        <w:t>Despite numerous attempts, UNDP’s engagement with the (former) Ministry of Youth and Sports (MOYS) has been limited</w:t>
      </w:r>
      <w:r w:rsidR="00983CFA">
        <w:rPr>
          <w:rFonts w:ascii="Times New Roman" w:eastAsiaTheme="minorEastAsia" w:hAnsi="Times New Roman" w:cstheme="minorBidi"/>
          <w:sz w:val="22"/>
          <w:szCs w:val="24"/>
          <w:lang w:val="en-GB" w:eastAsia="ja-JP"/>
        </w:rPr>
        <w:t>. I</w:t>
      </w:r>
      <w:r>
        <w:rPr>
          <w:rFonts w:ascii="Times New Roman" w:eastAsiaTheme="minorEastAsia" w:hAnsi="Times New Roman" w:cstheme="minorBidi"/>
          <w:sz w:val="22"/>
          <w:szCs w:val="24"/>
          <w:lang w:val="en-GB" w:eastAsia="ja-JP"/>
        </w:rPr>
        <w:t xml:space="preserve">ts organisational set-up was changed several times in recent years (e.g. </w:t>
      </w:r>
      <w:r w:rsidR="00983CFA">
        <w:rPr>
          <w:rFonts w:ascii="Times New Roman" w:eastAsiaTheme="minorEastAsia" w:hAnsi="Times New Roman" w:cstheme="minorBidi"/>
          <w:sz w:val="22"/>
          <w:szCs w:val="24"/>
          <w:lang w:val="en-GB" w:eastAsia="ja-JP"/>
        </w:rPr>
        <w:t xml:space="preserve">four different general directors in the last year and a half) and the new structure is now very centralised. The director is abroad most of the time, making it difficult to make solid progress on the National Strategy for Youth and Adolescence. </w:t>
      </w:r>
    </w:p>
    <w:p w:rsidR="00342E7D" w:rsidRPr="00647752" w:rsidRDefault="00342E7D" w:rsidP="00FB6759">
      <w:pPr>
        <w:spacing w:after="0" w:line="240" w:lineRule="auto"/>
        <w:jc w:val="both"/>
        <w:rPr>
          <w:rFonts w:ascii="Times New Roman" w:eastAsiaTheme="minorEastAsia" w:hAnsi="Times New Roman" w:cstheme="minorBidi"/>
          <w:sz w:val="22"/>
          <w:szCs w:val="24"/>
          <w:lang w:val="en-GB" w:eastAsia="ja-JP"/>
        </w:rPr>
      </w:pPr>
    </w:p>
    <w:p w:rsidR="002E72E3" w:rsidRPr="00647752" w:rsidRDefault="002E72E3" w:rsidP="00FB6759">
      <w:pPr>
        <w:spacing w:after="0" w:line="240" w:lineRule="auto"/>
        <w:jc w:val="both"/>
        <w:rPr>
          <w:rFonts w:ascii="Times New Roman" w:eastAsiaTheme="minorEastAsia" w:hAnsi="Times New Roman" w:cstheme="minorBidi"/>
          <w:sz w:val="22"/>
          <w:szCs w:val="24"/>
          <w:lang w:val="en-GB" w:eastAsia="ja-JP"/>
        </w:rPr>
      </w:pPr>
      <w:r w:rsidRPr="00647752">
        <w:rPr>
          <w:rFonts w:ascii="Times New Roman" w:eastAsiaTheme="minorEastAsia" w:hAnsi="Times New Roman" w:cstheme="minorBidi"/>
          <w:sz w:val="22"/>
          <w:szCs w:val="24"/>
          <w:lang w:val="en-GB" w:eastAsia="ja-JP"/>
        </w:rPr>
        <w:t>Beyond this is the fact that the l</w:t>
      </w:r>
      <w:r w:rsidR="00983CFA">
        <w:rPr>
          <w:rFonts w:ascii="Times New Roman" w:eastAsiaTheme="minorEastAsia" w:hAnsi="Times New Roman" w:cstheme="minorBidi"/>
          <w:sz w:val="22"/>
          <w:szCs w:val="24"/>
          <w:lang w:val="en-GB" w:eastAsia="ja-JP"/>
        </w:rPr>
        <w:t xml:space="preserve">ead ministry on the National </w:t>
      </w:r>
      <w:r w:rsidRPr="00647752">
        <w:rPr>
          <w:rFonts w:ascii="Times New Roman" w:eastAsiaTheme="minorEastAsia" w:hAnsi="Times New Roman" w:cstheme="minorBidi"/>
          <w:sz w:val="22"/>
          <w:szCs w:val="24"/>
          <w:lang w:val="en-GB" w:eastAsia="ja-JP"/>
        </w:rPr>
        <w:t>Strategy for Youth a</w:t>
      </w:r>
      <w:r w:rsidR="00983CFA">
        <w:rPr>
          <w:rFonts w:ascii="Times New Roman" w:eastAsiaTheme="minorEastAsia" w:hAnsi="Times New Roman" w:cstheme="minorBidi"/>
          <w:sz w:val="22"/>
          <w:szCs w:val="24"/>
          <w:lang w:val="en-GB" w:eastAsia="ja-JP"/>
        </w:rPr>
        <w:t xml:space="preserve">nd Adolescence is in fact MOSA while the lead ministry </w:t>
      </w:r>
      <w:r w:rsidRPr="00647752">
        <w:rPr>
          <w:rFonts w:ascii="Times New Roman" w:eastAsiaTheme="minorEastAsia" w:hAnsi="Times New Roman" w:cstheme="minorBidi"/>
          <w:sz w:val="22"/>
          <w:szCs w:val="24"/>
          <w:lang w:val="en-GB" w:eastAsia="ja-JP"/>
        </w:rPr>
        <w:t xml:space="preserve">on the Gender Justice Strategy is in fact </w:t>
      </w:r>
      <w:r w:rsidR="00983CFA">
        <w:rPr>
          <w:rFonts w:ascii="Times New Roman" w:eastAsiaTheme="minorEastAsia" w:hAnsi="Times New Roman" w:cstheme="minorBidi"/>
          <w:sz w:val="22"/>
          <w:szCs w:val="24"/>
          <w:lang w:val="en-GB" w:eastAsia="ja-JP"/>
        </w:rPr>
        <w:t>the MO</w:t>
      </w:r>
      <w:r w:rsidRPr="00647752">
        <w:rPr>
          <w:rFonts w:ascii="Times New Roman" w:eastAsiaTheme="minorEastAsia" w:hAnsi="Times New Roman" w:cstheme="minorBidi"/>
          <w:sz w:val="22"/>
          <w:szCs w:val="24"/>
          <w:lang w:val="en-GB" w:eastAsia="ja-JP"/>
        </w:rPr>
        <w:t>J. Thus</w:t>
      </w:r>
      <w:r w:rsidR="00983CFA">
        <w:rPr>
          <w:rFonts w:ascii="Times New Roman" w:eastAsiaTheme="minorEastAsia" w:hAnsi="Times New Roman" w:cstheme="minorBidi"/>
          <w:sz w:val="22"/>
          <w:szCs w:val="24"/>
          <w:lang w:val="en-GB" w:eastAsia="ja-JP"/>
        </w:rPr>
        <w:t>, UNDP engagement with the MOWA and MO</w:t>
      </w:r>
      <w:r w:rsidRPr="00647752">
        <w:rPr>
          <w:rFonts w:ascii="Times New Roman" w:eastAsiaTheme="minorEastAsia" w:hAnsi="Times New Roman" w:cstheme="minorBidi"/>
          <w:sz w:val="22"/>
          <w:szCs w:val="24"/>
          <w:lang w:val="en-GB" w:eastAsia="ja-JP"/>
        </w:rPr>
        <w:t>YS has proved not as relevant to the process as originally contemplated when the R</w:t>
      </w:r>
      <w:r w:rsidR="00983CFA">
        <w:rPr>
          <w:rFonts w:ascii="Times New Roman" w:eastAsiaTheme="minorEastAsia" w:hAnsi="Times New Roman" w:cstheme="minorBidi"/>
          <w:sz w:val="22"/>
          <w:szCs w:val="24"/>
          <w:lang w:val="en-GB" w:eastAsia="ja-JP"/>
        </w:rPr>
        <w:t>RF was</w:t>
      </w:r>
      <w:r w:rsidRPr="00647752">
        <w:rPr>
          <w:rFonts w:ascii="Times New Roman" w:eastAsiaTheme="minorEastAsia" w:hAnsi="Times New Roman" w:cstheme="minorBidi"/>
          <w:sz w:val="22"/>
          <w:szCs w:val="24"/>
          <w:lang w:val="en-GB" w:eastAsia="ja-JP"/>
        </w:rPr>
        <w:t xml:space="preserve"> formulated. </w:t>
      </w:r>
    </w:p>
    <w:p w:rsidR="005B4B2B" w:rsidRPr="00647752" w:rsidRDefault="005B4B2B" w:rsidP="00FB6759">
      <w:pPr>
        <w:spacing w:after="0" w:line="240" w:lineRule="auto"/>
        <w:jc w:val="both"/>
        <w:rPr>
          <w:rFonts w:ascii="Times New Roman" w:hAnsi="Times New Roman" w:cs="Times New Roman"/>
          <w:sz w:val="22"/>
          <w:szCs w:val="22"/>
          <w:lang w:val="en-GB"/>
        </w:rPr>
      </w:pPr>
    </w:p>
    <w:p w:rsidR="00BB6DF1" w:rsidRDefault="006853A8" w:rsidP="00FB6759">
      <w:pPr>
        <w:spacing w:after="0" w:line="240" w:lineRule="auto"/>
        <w:jc w:val="both"/>
        <w:rPr>
          <w:rFonts w:ascii="Times New Roman" w:hAnsi="Times New Roman" w:cs="Times New Roman"/>
          <w:i/>
          <w:sz w:val="22"/>
          <w:szCs w:val="22"/>
          <w:lang w:val="en-GB"/>
        </w:rPr>
      </w:pPr>
      <w:r w:rsidRPr="00647752">
        <w:rPr>
          <w:rFonts w:ascii="Times New Roman" w:hAnsi="Times New Roman" w:cs="Times New Roman"/>
          <w:i/>
          <w:sz w:val="22"/>
          <w:szCs w:val="22"/>
          <w:lang w:val="en-GB"/>
        </w:rPr>
        <w:t>Output 3.3: Gender and juvenile justice strategy and action plan developed</w:t>
      </w:r>
    </w:p>
    <w:p w:rsidR="00983CFA" w:rsidRPr="00647752" w:rsidRDefault="00983CFA" w:rsidP="00FB6759">
      <w:pPr>
        <w:spacing w:after="0" w:line="240" w:lineRule="auto"/>
        <w:jc w:val="both"/>
        <w:rPr>
          <w:rFonts w:ascii="Times New Roman" w:hAnsi="Times New Roman" w:cs="Times New Roman"/>
          <w:i/>
          <w:sz w:val="22"/>
          <w:szCs w:val="22"/>
          <w:lang w:val="en-GB"/>
        </w:rPr>
      </w:pPr>
    </w:p>
    <w:p w:rsidR="00334A63" w:rsidRDefault="00BA6BAE"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 xml:space="preserve">Palestinian women and children </w:t>
      </w:r>
      <w:r w:rsidR="00AE309E" w:rsidRPr="00647752">
        <w:rPr>
          <w:rFonts w:ascii="Times New Roman" w:hAnsi="Times New Roman" w:cs="Times New Roman"/>
          <w:sz w:val="22"/>
          <w:szCs w:val="22"/>
          <w:lang w:val="en-GB"/>
        </w:rPr>
        <w:t>have suffered from</w:t>
      </w:r>
      <w:r w:rsidRPr="00647752">
        <w:rPr>
          <w:rFonts w:ascii="Times New Roman" w:hAnsi="Times New Roman" w:cs="Times New Roman"/>
          <w:sz w:val="22"/>
          <w:szCs w:val="22"/>
          <w:lang w:val="en-GB"/>
        </w:rPr>
        <w:t xml:space="preserve"> the absence of </w:t>
      </w:r>
      <w:r w:rsidR="00B8032C" w:rsidRPr="00647752">
        <w:rPr>
          <w:rFonts w:ascii="Times New Roman" w:hAnsi="Times New Roman" w:cs="Times New Roman"/>
          <w:sz w:val="22"/>
          <w:szCs w:val="22"/>
          <w:lang w:val="en-GB"/>
        </w:rPr>
        <w:t>a sound poli</w:t>
      </w:r>
      <w:r w:rsidRPr="00647752">
        <w:rPr>
          <w:rFonts w:ascii="Times New Roman" w:hAnsi="Times New Roman" w:cs="Times New Roman"/>
          <w:sz w:val="22"/>
          <w:szCs w:val="22"/>
          <w:lang w:val="en-GB"/>
        </w:rPr>
        <w:t>cy and institutional framework aimed at overcoming social and resource barriers to justice. Empirical studies have shown that women find it much more difficult to access justice mechanisms due to their lack of understanding of the law and what it can do for them; a lack of access to assistance in navigating the justice system; inadequate or discriminatory legislation, and; institutional bias against women and their needs.</w:t>
      </w:r>
      <w:r w:rsidR="00334A63" w:rsidRPr="00647752">
        <w:rPr>
          <w:rStyle w:val="FootnoteReference"/>
          <w:rFonts w:ascii="Times New Roman" w:hAnsi="Times New Roman" w:cs="Times New Roman"/>
          <w:sz w:val="22"/>
          <w:szCs w:val="22"/>
          <w:lang w:val="en-GB"/>
        </w:rPr>
        <w:footnoteReference w:id="158"/>
      </w:r>
      <w:r w:rsidR="00AE309E" w:rsidRPr="00647752">
        <w:rPr>
          <w:rFonts w:ascii="Times New Roman" w:hAnsi="Times New Roman" w:cs="Times New Roman"/>
          <w:sz w:val="22"/>
          <w:szCs w:val="22"/>
          <w:lang w:val="en-GB"/>
        </w:rPr>
        <w:t>For similar reasons, very few juveniles resort to the formal justice system to protect themselves and their rights.</w:t>
      </w:r>
      <w:r w:rsidR="00F52EA5" w:rsidRPr="00647752">
        <w:rPr>
          <w:rStyle w:val="FootnoteReference"/>
          <w:rFonts w:ascii="Times New Roman" w:hAnsi="Times New Roman" w:cs="Times New Roman"/>
          <w:sz w:val="22"/>
          <w:szCs w:val="22"/>
          <w:lang w:val="en-GB"/>
        </w:rPr>
        <w:footnoteReference w:id="159"/>
      </w:r>
      <w:r w:rsidR="00AE309E" w:rsidRPr="00647752">
        <w:rPr>
          <w:rFonts w:ascii="Times New Roman" w:hAnsi="Times New Roman" w:cs="Times New Roman"/>
          <w:sz w:val="22"/>
          <w:szCs w:val="22"/>
          <w:lang w:val="en-GB"/>
        </w:rPr>
        <w:t>These cross-cutting social, political, and resource problems call</w:t>
      </w:r>
      <w:r w:rsidR="00194BE3" w:rsidRPr="00647752">
        <w:rPr>
          <w:rFonts w:ascii="Times New Roman" w:hAnsi="Times New Roman" w:cs="Times New Roman"/>
          <w:sz w:val="22"/>
          <w:szCs w:val="22"/>
          <w:lang w:val="en-GB"/>
        </w:rPr>
        <w:t>ed</w:t>
      </w:r>
      <w:r w:rsidR="00AE309E" w:rsidRPr="00647752">
        <w:rPr>
          <w:rFonts w:ascii="Times New Roman" w:hAnsi="Times New Roman" w:cs="Times New Roman"/>
          <w:sz w:val="22"/>
          <w:szCs w:val="22"/>
          <w:lang w:val="en-GB"/>
        </w:rPr>
        <w:t xml:space="preserve"> for a single focal point to coordinate strategy and action for their resolution.</w:t>
      </w:r>
    </w:p>
    <w:p w:rsidR="00983CFA" w:rsidRPr="00647752" w:rsidRDefault="00983CFA" w:rsidP="00FB6759">
      <w:pPr>
        <w:spacing w:after="0" w:line="240" w:lineRule="auto"/>
        <w:jc w:val="both"/>
        <w:rPr>
          <w:rFonts w:ascii="Times New Roman" w:hAnsi="Times New Roman" w:cs="Times New Roman"/>
          <w:sz w:val="22"/>
          <w:szCs w:val="22"/>
          <w:lang w:val="en-GB"/>
        </w:rPr>
      </w:pPr>
    </w:p>
    <w:p w:rsidR="00B672DB" w:rsidRPr="00647752" w:rsidRDefault="00AE309E"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 xml:space="preserve">To that end, UNDP seconded expert on gender and juvenile justice </w:t>
      </w:r>
      <w:r w:rsidR="00983CFA">
        <w:rPr>
          <w:rFonts w:ascii="Times New Roman" w:hAnsi="Times New Roman" w:cs="Times New Roman"/>
          <w:sz w:val="22"/>
          <w:szCs w:val="22"/>
          <w:lang w:val="en-GB"/>
        </w:rPr>
        <w:t>has been in place at the MOJ</w:t>
      </w:r>
      <w:r w:rsidR="00E856F2" w:rsidRPr="00647752">
        <w:rPr>
          <w:rFonts w:ascii="Times New Roman" w:hAnsi="Times New Roman" w:cs="Times New Roman"/>
          <w:sz w:val="22"/>
          <w:szCs w:val="22"/>
          <w:lang w:val="en-GB"/>
        </w:rPr>
        <w:t xml:space="preserve"> since </w:t>
      </w:r>
      <w:r w:rsidRPr="00647752">
        <w:rPr>
          <w:rFonts w:ascii="Times New Roman" w:hAnsi="Times New Roman" w:cs="Times New Roman"/>
          <w:sz w:val="22"/>
          <w:szCs w:val="22"/>
          <w:lang w:val="en-GB"/>
        </w:rPr>
        <w:t>June 2011.</w:t>
      </w:r>
      <w:r w:rsidRPr="00647752">
        <w:rPr>
          <w:rStyle w:val="FootnoteReference"/>
          <w:rFonts w:ascii="Times New Roman" w:hAnsi="Times New Roman" w:cs="Times New Roman"/>
          <w:sz w:val="22"/>
          <w:szCs w:val="22"/>
          <w:lang w:val="en-GB"/>
        </w:rPr>
        <w:footnoteReference w:id="160"/>
      </w:r>
      <w:r w:rsidR="00983CFA">
        <w:rPr>
          <w:rFonts w:ascii="Times New Roman" w:hAnsi="Times New Roman" w:cs="Times New Roman"/>
          <w:sz w:val="22"/>
          <w:szCs w:val="22"/>
          <w:lang w:val="en-GB"/>
        </w:rPr>
        <w:t xml:space="preserve"> UNDP support to the MO</w:t>
      </w:r>
      <w:r w:rsidR="002E72E3" w:rsidRPr="00647752">
        <w:rPr>
          <w:rFonts w:ascii="Times New Roman" w:hAnsi="Times New Roman" w:cs="Times New Roman"/>
          <w:sz w:val="22"/>
          <w:szCs w:val="22"/>
          <w:lang w:val="en-GB"/>
        </w:rPr>
        <w:t>J resulted in inputs on the National Strategy on the Eradication of Violence</w:t>
      </w:r>
      <w:r w:rsidR="00983CFA">
        <w:rPr>
          <w:rFonts w:ascii="Times New Roman" w:hAnsi="Times New Roman" w:cs="Times New Roman"/>
          <w:sz w:val="22"/>
          <w:szCs w:val="22"/>
          <w:lang w:val="en-GB"/>
        </w:rPr>
        <w:t xml:space="preserve"> Against Women (2010</w:t>
      </w:r>
      <w:r w:rsidR="002E72E3" w:rsidRPr="00647752">
        <w:rPr>
          <w:rFonts w:ascii="Times New Roman" w:hAnsi="Times New Roman" w:cs="Times New Roman"/>
          <w:sz w:val="22"/>
          <w:szCs w:val="22"/>
          <w:lang w:val="en-GB"/>
        </w:rPr>
        <w:t xml:space="preserve">) and the Gender and Juvenile Justice Strategy (2011). The National </w:t>
      </w:r>
      <w:r w:rsidR="002E72E3" w:rsidRPr="00647752">
        <w:rPr>
          <w:rFonts w:ascii="Times New Roman" w:hAnsi="Times New Roman" w:cs="Times New Roman"/>
          <w:sz w:val="22"/>
          <w:szCs w:val="22"/>
          <w:lang w:val="en-GB"/>
        </w:rPr>
        <w:lastRenderedPageBreak/>
        <w:t>Strategy on the Eradication of Violence Against Women was divided into five parts and committ</w:t>
      </w:r>
      <w:r w:rsidR="00194BE3" w:rsidRPr="00647752">
        <w:rPr>
          <w:rFonts w:ascii="Times New Roman" w:hAnsi="Times New Roman" w:cs="Times New Roman"/>
          <w:sz w:val="22"/>
          <w:szCs w:val="22"/>
          <w:lang w:val="en-GB"/>
        </w:rPr>
        <w:t>ees were formed (i.e., h</w:t>
      </w:r>
      <w:r w:rsidR="002E72E3" w:rsidRPr="00647752">
        <w:rPr>
          <w:rFonts w:ascii="Times New Roman" w:hAnsi="Times New Roman" w:cs="Times New Roman"/>
          <w:sz w:val="22"/>
          <w:szCs w:val="22"/>
          <w:lang w:val="en-GB"/>
        </w:rPr>
        <w:t>ealth, securit</w:t>
      </w:r>
      <w:r w:rsidR="00983CFA">
        <w:rPr>
          <w:rFonts w:ascii="Times New Roman" w:hAnsi="Times New Roman" w:cs="Times New Roman"/>
          <w:sz w:val="22"/>
          <w:szCs w:val="22"/>
          <w:lang w:val="en-GB"/>
        </w:rPr>
        <w:t>y sector, legislation, etc.). The MO</w:t>
      </w:r>
      <w:r w:rsidR="002E72E3" w:rsidRPr="00647752">
        <w:rPr>
          <w:rFonts w:ascii="Times New Roman" w:hAnsi="Times New Roman" w:cs="Times New Roman"/>
          <w:sz w:val="22"/>
          <w:szCs w:val="22"/>
          <w:lang w:val="en-GB"/>
        </w:rPr>
        <w:t>J assumed the legislati</w:t>
      </w:r>
      <w:r w:rsidR="00194BE3" w:rsidRPr="00647752">
        <w:rPr>
          <w:rFonts w:ascii="Times New Roman" w:hAnsi="Times New Roman" w:cs="Times New Roman"/>
          <w:sz w:val="22"/>
          <w:szCs w:val="22"/>
          <w:lang w:val="en-GB"/>
        </w:rPr>
        <w:t>ve</w:t>
      </w:r>
      <w:r w:rsidR="00983CFA">
        <w:rPr>
          <w:rFonts w:ascii="Times New Roman" w:hAnsi="Times New Roman" w:cs="Times New Roman"/>
          <w:sz w:val="22"/>
          <w:szCs w:val="22"/>
          <w:lang w:val="en-GB"/>
        </w:rPr>
        <w:t xml:space="preserve"> part of the strategy. </w:t>
      </w:r>
      <w:r w:rsidR="00194BE3" w:rsidRPr="00647752">
        <w:rPr>
          <w:rFonts w:ascii="Times New Roman" w:hAnsi="Times New Roman" w:cs="Times New Roman"/>
          <w:sz w:val="22"/>
          <w:szCs w:val="22"/>
          <w:lang w:val="en-GB"/>
        </w:rPr>
        <w:t>Among all</w:t>
      </w:r>
      <w:r w:rsidR="002E72E3" w:rsidRPr="00647752">
        <w:rPr>
          <w:rFonts w:ascii="Times New Roman" w:hAnsi="Times New Roman" w:cs="Times New Roman"/>
          <w:sz w:val="22"/>
          <w:szCs w:val="22"/>
          <w:lang w:val="en-GB"/>
        </w:rPr>
        <w:t xml:space="preserve"> the other ministries</w:t>
      </w:r>
      <w:r w:rsidR="00194BE3" w:rsidRPr="00647752">
        <w:rPr>
          <w:rFonts w:ascii="Times New Roman" w:hAnsi="Times New Roman" w:cs="Times New Roman"/>
          <w:sz w:val="22"/>
          <w:szCs w:val="22"/>
          <w:lang w:val="en-GB"/>
        </w:rPr>
        <w:t xml:space="preserve"> that</w:t>
      </w:r>
      <w:r w:rsidR="002E72E3" w:rsidRPr="00647752">
        <w:rPr>
          <w:rFonts w:ascii="Times New Roman" w:hAnsi="Times New Roman" w:cs="Times New Roman"/>
          <w:sz w:val="22"/>
          <w:szCs w:val="22"/>
          <w:lang w:val="en-GB"/>
        </w:rPr>
        <w:t xml:space="preserve"> are partners in devising th</w:t>
      </w:r>
      <w:r w:rsidR="00983CFA">
        <w:rPr>
          <w:rFonts w:ascii="Times New Roman" w:hAnsi="Times New Roman" w:cs="Times New Roman"/>
          <w:sz w:val="22"/>
          <w:szCs w:val="22"/>
          <w:lang w:val="en-GB"/>
        </w:rPr>
        <w:t>e strategy, the MOJ was the only m</w:t>
      </w:r>
      <w:r w:rsidR="002E72E3" w:rsidRPr="00647752">
        <w:rPr>
          <w:rFonts w:ascii="Times New Roman" w:hAnsi="Times New Roman" w:cs="Times New Roman"/>
          <w:sz w:val="22"/>
          <w:szCs w:val="22"/>
          <w:lang w:val="en-GB"/>
        </w:rPr>
        <w:t xml:space="preserve">inistry that appeared to have implemented its portion of the strategy. </w:t>
      </w:r>
    </w:p>
    <w:p w:rsidR="00983CFA" w:rsidRDefault="00983CFA" w:rsidP="00FB6759">
      <w:pPr>
        <w:spacing w:after="0" w:line="240" w:lineRule="auto"/>
        <w:jc w:val="both"/>
        <w:rPr>
          <w:rFonts w:ascii="Times New Roman" w:hAnsi="Times New Roman" w:cs="Times New Roman"/>
          <w:sz w:val="22"/>
          <w:szCs w:val="22"/>
          <w:lang w:val="en-GB"/>
        </w:rPr>
      </w:pPr>
    </w:p>
    <w:p w:rsidR="002E72E3" w:rsidRPr="00647752" w:rsidRDefault="00F6196D"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The</w:t>
      </w:r>
      <w:r w:rsidR="00983CFA">
        <w:rPr>
          <w:rFonts w:ascii="Times New Roman" w:hAnsi="Times New Roman" w:cs="Times New Roman"/>
          <w:sz w:val="22"/>
          <w:szCs w:val="22"/>
          <w:lang w:val="en-GB"/>
        </w:rPr>
        <w:t xml:space="preserve"> G</w:t>
      </w:r>
      <w:r w:rsidR="002E72E3" w:rsidRPr="00647752">
        <w:rPr>
          <w:rFonts w:ascii="Times New Roman" w:hAnsi="Times New Roman" w:cs="Times New Roman"/>
          <w:sz w:val="22"/>
          <w:szCs w:val="22"/>
          <w:lang w:val="en-GB"/>
        </w:rPr>
        <w:t xml:space="preserve">ender </w:t>
      </w:r>
      <w:r w:rsidR="00983CFA">
        <w:rPr>
          <w:rFonts w:ascii="Times New Roman" w:hAnsi="Times New Roman" w:cs="Times New Roman"/>
          <w:sz w:val="22"/>
          <w:szCs w:val="22"/>
          <w:lang w:val="en-GB"/>
        </w:rPr>
        <w:t xml:space="preserve">Unit has reviewed </w:t>
      </w:r>
      <w:r w:rsidR="002E72E3" w:rsidRPr="00647752">
        <w:rPr>
          <w:rFonts w:ascii="Times New Roman" w:hAnsi="Times New Roman" w:cs="Times New Roman"/>
          <w:sz w:val="22"/>
          <w:szCs w:val="22"/>
          <w:lang w:val="en-GB"/>
        </w:rPr>
        <w:t>four pieces of legislation</w:t>
      </w:r>
      <w:r w:rsidR="00983CFA">
        <w:rPr>
          <w:rFonts w:ascii="Times New Roman" w:hAnsi="Times New Roman" w:cs="Times New Roman"/>
          <w:sz w:val="22"/>
          <w:szCs w:val="22"/>
          <w:lang w:val="en-GB"/>
        </w:rPr>
        <w:t xml:space="preserve"> related to gender and has also</w:t>
      </w:r>
      <w:r w:rsidR="002E72E3" w:rsidRPr="00647752">
        <w:rPr>
          <w:rFonts w:ascii="Times New Roman" w:hAnsi="Times New Roman" w:cs="Times New Roman"/>
          <w:sz w:val="22"/>
          <w:szCs w:val="22"/>
          <w:lang w:val="en-GB"/>
        </w:rPr>
        <w:t xml:space="preserve"> reviewed other pi</w:t>
      </w:r>
      <w:r w:rsidR="00983CFA">
        <w:rPr>
          <w:rFonts w:ascii="Times New Roman" w:hAnsi="Times New Roman" w:cs="Times New Roman"/>
          <w:sz w:val="22"/>
          <w:szCs w:val="22"/>
          <w:lang w:val="en-GB"/>
        </w:rPr>
        <w:t>eces of legislation related to gender justice. In addition, it</w:t>
      </w:r>
      <w:r w:rsidR="002E72E3" w:rsidRPr="00647752">
        <w:rPr>
          <w:rFonts w:ascii="Times New Roman" w:hAnsi="Times New Roman" w:cs="Times New Roman"/>
          <w:sz w:val="22"/>
          <w:szCs w:val="22"/>
          <w:lang w:val="en-GB"/>
        </w:rPr>
        <w:t xml:space="preserve"> suggested the</w:t>
      </w:r>
      <w:r w:rsidR="00983CFA">
        <w:rPr>
          <w:rFonts w:ascii="Times New Roman" w:hAnsi="Times New Roman" w:cs="Times New Roman"/>
          <w:sz w:val="22"/>
          <w:szCs w:val="22"/>
          <w:lang w:val="en-GB"/>
        </w:rPr>
        <w:t xml:space="preserve"> legislative priorities to the cabinet for 2013. </w:t>
      </w:r>
      <w:r w:rsidR="002E72E3" w:rsidRPr="00647752">
        <w:rPr>
          <w:rFonts w:ascii="Times New Roman" w:hAnsi="Times New Roman" w:cs="Times New Roman"/>
          <w:sz w:val="22"/>
          <w:szCs w:val="22"/>
          <w:lang w:val="en-GB"/>
        </w:rPr>
        <w:t>The fir</w:t>
      </w:r>
      <w:r w:rsidR="00983CFA">
        <w:rPr>
          <w:rFonts w:ascii="Times New Roman" w:hAnsi="Times New Roman" w:cs="Times New Roman"/>
          <w:sz w:val="22"/>
          <w:szCs w:val="22"/>
          <w:lang w:val="en-GB"/>
        </w:rPr>
        <w:t xml:space="preserve">st laws that the Gender </w:t>
      </w:r>
      <w:r w:rsidR="002E72E3" w:rsidRPr="00647752">
        <w:rPr>
          <w:rFonts w:ascii="Times New Roman" w:hAnsi="Times New Roman" w:cs="Times New Roman"/>
          <w:sz w:val="22"/>
          <w:szCs w:val="22"/>
          <w:lang w:val="en-GB"/>
        </w:rPr>
        <w:t xml:space="preserve">Unit reviewed in 2011-2012 were the </w:t>
      </w:r>
      <w:r>
        <w:rPr>
          <w:rFonts w:ascii="Times New Roman" w:hAnsi="Times New Roman" w:cs="Times New Roman"/>
          <w:sz w:val="22"/>
          <w:szCs w:val="22"/>
          <w:lang w:val="en-GB"/>
        </w:rPr>
        <w:t xml:space="preserve">Penal Code, the Law for Women’s Shelters, the Law for </w:t>
      </w:r>
      <w:r>
        <w:rPr>
          <w:rFonts w:ascii="Times New Roman" w:hAnsi="Times New Roman" w:cs="Times New Roman"/>
          <w:i/>
          <w:sz w:val="22"/>
          <w:szCs w:val="22"/>
          <w:lang w:val="en-GB"/>
        </w:rPr>
        <w:t>Shari’a</w:t>
      </w:r>
      <w:r w:rsidR="00E8775C">
        <w:rPr>
          <w:rFonts w:ascii="Times New Roman" w:hAnsi="Times New Roman" w:cs="Times New Roman"/>
          <w:i/>
          <w:sz w:val="22"/>
          <w:szCs w:val="22"/>
          <w:lang w:val="en-GB"/>
        </w:rPr>
        <w:t xml:space="preserve"> </w:t>
      </w:r>
      <w:r>
        <w:rPr>
          <w:rFonts w:ascii="Times New Roman" w:hAnsi="Times New Roman" w:cs="Times New Roman"/>
          <w:sz w:val="22"/>
          <w:szCs w:val="22"/>
          <w:lang w:val="en-GB"/>
        </w:rPr>
        <w:t>Judiciary Council and the Law on Eradicating Domestic Violence.</w:t>
      </w:r>
    </w:p>
    <w:p w:rsidR="00983CFA" w:rsidRDefault="00983CFA" w:rsidP="00FB6759">
      <w:pPr>
        <w:spacing w:after="0" w:line="240" w:lineRule="auto"/>
        <w:jc w:val="both"/>
        <w:rPr>
          <w:rFonts w:ascii="Times New Roman" w:hAnsi="Times New Roman" w:cs="Times New Roman"/>
          <w:sz w:val="22"/>
          <w:szCs w:val="22"/>
          <w:lang w:val="en-GB"/>
        </w:rPr>
      </w:pPr>
    </w:p>
    <w:p w:rsidR="002E72E3" w:rsidRPr="00647752" w:rsidRDefault="002E72E3"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 xml:space="preserve">It must also be noted that at the outset, </w:t>
      </w:r>
      <w:r w:rsidR="00F6196D">
        <w:rPr>
          <w:rFonts w:ascii="Times New Roman" w:hAnsi="Times New Roman" w:cs="Times New Roman"/>
          <w:sz w:val="22"/>
          <w:szCs w:val="22"/>
          <w:lang w:val="en-GB"/>
        </w:rPr>
        <w:t>roles and responsibilities were not clearly defined. According to the MO</w:t>
      </w:r>
      <w:r w:rsidRPr="00647752">
        <w:rPr>
          <w:rFonts w:ascii="Times New Roman" w:hAnsi="Times New Roman" w:cs="Times New Roman"/>
          <w:sz w:val="22"/>
          <w:szCs w:val="22"/>
          <w:lang w:val="en-GB"/>
        </w:rPr>
        <w:t>J</w:t>
      </w:r>
      <w:r w:rsidR="00F6196D">
        <w:rPr>
          <w:rFonts w:ascii="Times New Roman" w:hAnsi="Times New Roman" w:cs="Times New Roman"/>
          <w:sz w:val="22"/>
          <w:szCs w:val="22"/>
          <w:lang w:val="en-GB"/>
        </w:rPr>
        <w:t>,</w:t>
      </w:r>
      <w:r w:rsidRPr="00647752">
        <w:rPr>
          <w:rFonts w:ascii="Times New Roman" w:hAnsi="Times New Roman" w:cs="Times New Roman"/>
          <w:sz w:val="22"/>
          <w:szCs w:val="22"/>
          <w:lang w:val="en-GB"/>
        </w:rPr>
        <w:t xml:space="preserve"> it needed UNDP’s guidance on ho</w:t>
      </w:r>
      <w:r w:rsidR="00F6196D">
        <w:rPr>
          <w:rFonts w:ascii="Times New Roman" w:hAnsi="Times New Roman" w:cs="Times New Roman"/>
          <w:sz w:val="22"/>
          <w:szCs w:val="22"/>
          <w:lang w:val="en-GB"/>
        </w:rPr>
        <w:t>w to implement the strategy</w:t>
      </w:r>
      <w:r w:rsidRPr="00647752">
        <w:rPr>
          <w:rFonts w:ascii="Times New Roman" w:hAnsi="Times New Roman" w:cs="Times New Roman"/>
          <w:sz w:val="22"/>
          <w:szCs w:val="22"/>
          <w:lang w:val="en-GB"/>
        </w:rPr>
        <w:t xml:space="preserve"> and also </w:t>
      </w:r>
      <w:r w:rsidR="00F6196D">
        <w:rPr>
          <w:rFonts w:ascii="Times New Roman" w:hAnsi="Times New Roman" w:cs="Times New Roman"/>
          <w:sz w:val="22"/>
          <w:szCs w:val="22"/>
          <w:lang w:val="en-GB"/>
        </w:rPr>
        <w:t xml:space="preserve">as to what is being done on an </w:t>
      </w:r>
      <w:r w:rsidRPr="00647752">
        <w:rPr>
          <w:rFonts w:ascii="Times New Roman" w:hAnsi="Times New Roman" w:cs="Times New Roman"/>
          <w:sz w:val="22"/>
          <w:szCs w:val="22"/>
          <w:lang w:val="en-GB"/>
        </w:rPr>
        <w:t>international level. The most important achievement in terms of UNDP’s impact was the National Strat</w:t>
      </w:r>
      <w:r w:rsidR="00F6196D">
        <w:rPr>
          <w:rFonts w:ascii="Times New Roman" w:hAnsi="Times New Roman" w:cs="Times New Roman"/>
          <w:sz w:val="22"/>
          <w:szCs w:val="22"/>
          <w:lang w:val="en-GB"/>
        </w:rPr>
        <w:t>egic Plan for Gender Justice. The MO</w:t>
      </w:r>
      <w:r w:rsidRPr="00647752">
        <w:rPr>
          <w:rFonts w:ascii="Times New Roman" w:hAnsi="Times New Roman" w:cs="Times New Roman"/>
          <w:sz w:val="22"/>
          <w:szCs w:val="22"/>
          <w:lang w:val="en-GB"/>
        </w:rPr>
        <w:t>J also benefited from UNDP supplying it with several other strategic documents (i.e. the Strategic Plan for Access to Justice and the Rule of Law, as well as international standards and conventions).</w:t>
      </w:r>
    </w:p>
    <w:p w:rsidR="00983CFA" w:rsidRDefault="00983CFA" w:rsidP="00FB6759">
      <w:pPr>
        <w:spacing w:after="0" w:line="240" w:lineRule="auto"/>
        <w:jc w:val="both"/>
        <w:rPr>
          <w:rFonts w:ascii="Times New Roman" w:hAnsi="Times New Roman" w:cs="Times New Roman"/>
          <w:sz w:val="22"/>
          <w:szCs w:val="22"/>
          <w:lang w:val="en-GB"/>
        </w:rPr>
      </w:pPr>
    </w:p>
    <w:p w:rsidR="002E72E3" w:rsidRPr="00647752" w:rsidRDefault="00F6196D" w:rsidP="00FB6759">
      <w:pPr>
        <w:spacing w:after="0" w:line="240" w:lineRule="auto"/>
        <w:jc w:val="both"/>
        <w:rPr>
          <w:lang w:val="en-GB"/>
        </w:rPr>
      </w:pPr>
      <w:r>
        <w:rPr>
          <w:rFonts w:ascii="Times New Roman" w:hAnsi="Times New Roman" w:cs="Times New Roman"/>
          <w:sz w:val="22"/>
          <w:szCs w:val="22"/>
          <w:lang w:val="en-GB"/>
        </w:rPr>
        <w:t>On the ground, the MO</w:t>
      </w:r>
      <w:r w:rsidR="002E72E3" w:rsidRPr="00647752">
        <w:rPr>
          <w:rFonts w:ascii="Times New Roman" w:hAnsi="Times New Roman" w:cs="Times New Roman"/>
          <w:sz w:val="22"/>
          <w:szCs w:val="22"/>
          <w:lang w:val="en-GB"/>
        </w:rPr>
        <w:t xml:space="preserve">J was able to devise a National Plan for Gender Legislation (beginning of 2013) </w:t>
      </w:r>
      <w:r>
        <w:rPr>
          <w:rFonts w:ascii="Times New Roman" w:hAnsi="Times New Roman" w:cs="Times New Roman"/>
          <w:sz w:val="22"/>
          <w:szCs w:val="22"/>
          <w:lang w:val="en-GB"/>
        </w:rPr>
        <w:t>and now UNDP is working on the executive part of the plan. UNDP has organis</w:t>
      </w:r>
      <w:r w:rsidR="002E72E3" w:rsidRPr="00647752">
        <w:rPr>
          <w:rFonts w:ascii="Times New Roman" w:hAnsi="Times New Roman" w:cs="Times New Roman"/>
          <w:sz w:val="22"/>
          <w:szCs w:val="22"/>
          <w:lang w:val="en-GB"/>
        </w:rPr>
        <w:t xml:space="preserve">ed </w:t>
      </w:r>
      <w:r>
        <w:rPr>
          <w:rFonts w:ascii="Times New Roman" w:hAnsi="Times New Roman" w:cs="Times New Roman"/>
          <w:sz w:val="22"/>
          <w:szCs w:val="22"/>
          <w:lang w:val="en-GB"/>
        </w:rPr>
        <w:t>the PNA, CSOs,  and different academic institutions</w:t>
      </w:r>
      <w:r w:rsidR="002E72E3" w:rsidRPr="00647752">
        <w:rPr>
          <w:rFonts w:ascii="Times New Roman" w:hAnsi="Times New Roman" w:cs="Times New Roman"/>
          <w:sz w:val="22"/>
          <w:szCs w:val="22"/>
          <w:lang w:val="en-GB"/>
        </w:rPr>
        <w:t xml:space="preserve"> to come together to devise a strategy.</w:t>
      </w:r>
      <w:r>
        <w:rPr>
          <w:rFonts w:ascii="Times New Roman" w:hAnsi="Times New Roman" w:cs="Times New Roman"/>
          <w:sz w:val="22"/>
          <w:szCs w:val="22"/>
          <w:lang w:val="en-GB"/>
        </w:rPr>
        <w:t xml:space="preserve"> UNDP support has enabled the MOJ to </w:t>
      </w:r>
      <w:r w:rsidR="002E72E3" w:rsidRPr="00647752">
        <w:rPr>
          <w:rFonts w:ascii="Times New Roman" w:hAnsi="Times New Roman" w:cs="Times New Roman"/>
          <w:sz w:val="22"/>
          <w:szCs w:val="22"/>
          <w:lang w:val="en-GB"/>
        </w:rPr>
        <w:t>establish gender and juvenile justice units.</w:t>
      </w:r>
    </w:p>
    <w:p w:rsidR="00983CFA" w:rsidRDefault="00983CFA" w:rsidP="00FB6759">
      <w:pPr>
        <w:spacing w:after="0" w:line="240" w:lineRule="auto"/>
        <w:jc w:val="both"/>
        <w:rPr>
          <w:rFonts w:ascii="Times New Roman" w:eastAsiaTheme="minorEastAsia" w:hAnsi="Times New Roman" w:cstheme="minorBidi"/>
          <w:sz w:val="22"/>
          <w:szCs w:val="24"/>
          <w:lang w:val="en-GB" w:eastAsia="ja-JP"/>
        </w:rPr>
      </w:pPr>
    </w:p>
    <w:p w:rsidR="00F6196D" w:rsidRDefault="00F6196D" w:rsidP="00FB6759">
      <w:pPr>
        <w:spacing w:after="0" w:line="240" w:lineRule="auto"/>
        <w:jc w:val="both"/>
        <w:rPr>
          <w:rFonts w:ascii="Times New Roman" w:eastAsiaTheme="minorEastAsia" w:hAnsi="Times New Roman" w:cstheme="minorBidi"/>
          <w:sz w:val="22"/>
          <w:szCs w:val="24"/>
          <w:lang w:val="en-GB" w:eastAsia="ja-JP"/>
        </w:rPr>
      </w:pPr>
      <w:r>
        <w:rPr>
          <w:rFonts w:ascii="Times New Roman" w:eastAsiaTheme="minorEastAsia" w:hAnsi="Times New Roman" w:cstheme="minorBidi"/>
          <w:sz w:val="22"/>
          <w:szCs w:val="24"/>
          <w:lang w:val="en-GB" w:eastAsia="ja-JP"/>
        </w:rPr>
        <w:t>Considering the fact that the s</w:t>
      </w:r>
      <w:r w:rsidR="002E72E3" w:rsidRPr="00647752">
        <w:rPr>
          <w:rFonts w:ascii="Times New Roman" w:eastAsiaTheme="minorEastAsia" w:hAnsi="Times New Roman" w:cstheme="minorBidi"/>
          <w:sz w:val="22"/>
          <w:szCs w:val="24"/>
          <w:lang w:val="en-GB" w:eastAsia="ja-JP"/>
        </w:rPr>
        <w:t>tra</w:t>
      </w:r>
      <w:r>
        <w:rPr>
          <w:rFonts w:ascii="Times New Roman" w:eastAsiaTheme="minorEastAsia" w:hAnsi="Times New Roman" w:cstheme="minorBidi"/>
          <w:sz w:val="22"/>
          <w:szCs w:val="24"/>
          <w:lang w:val="en-GB" w:eastAsia="ja-JP"/>
        </w:rPr>
        <w:t>tegy has now been in place for almost two</w:t>
      </w:r>
      <w:r w:rsidR="002E72E3" w:rsidRPr="00647752">
        <w:rPr>
          <w:rFonts w:ascii="Times New Roman" w:eastAsiaTheme="minorEastAsia" w:hAnsi="Times New Roman" w:cstheme="minorBidi"/>
          <w:sz w:val="22"/>
          <w:szCs w:val="24"/>
          <w:lang w:val="en-GB" w:eastAsia="ja-JP"/>
        </w:rPr>
        <w:t xml:space="preserve"> years, a logical question is how has the strate</w:t>
      </w:r>
      <w:r>
        <w:rPr>
          <w:rFonts w:ascii="Times New Roman" w:eastAsiaTheme="minorEastAsia" w:hAnsi="Times New Roman" w:cstheme="minorBidi"/>
          <w:sz w:val="22"/>
          <w:szCs w:val="24"/>
          <w:lang w:val="en-GB" w:eastAsia="ja-JP"/>
        </w:rPr>
        <w:t>gy actually been used and has MOJ actually followed it? The e</w:t>
      </w:r>
      <w:r w:rsidR="002E72E3" w:rsidRPr="00647752">
        <w:rPr>
          <w:rFonts w:ascii="Times New Roman" w:eastAsiaTheme="minorEastAsia" w:hAnsi="Times New Roman" w:cstheme="minorBidi"/>
          <w:sz w:val="22"/>
          <w:szCs w:val="24"/>
          <w:lang w:val="en-GB" w:eastAsia="ja-JP"/>
        </w:rPr>
        <w:t>valuation posed this question to UNDP and was informed that as a res</w:t>
      </w:r>
      <w:r>
        <w:rPr>
          <w:rFonts w:ascii="Times New Roman" w:eastAsiaTheme="minorEastAsia" w:hAnsi="Times New Roman" w:cstheme="minorBidi"/>
          <w:sz w:val="22"/>
          <w:szCs w:val="24"/>
          <w:lang w:val="en-GB" w:eastAsia="ja-JP"/>
        </w:rPr>
        <w:t>ult of UNDP’s technical advice c</w:t>
      </w:r>
      <w:r w:rsidR="002E72E3" w:rsidRPr="00647752">
        <w:rPr>
          <w:rFonts w:ascii="Times New Roman" w:eastAsiaTheme="minorEastAsia" w:hAnsi="Times New Roman" w:cstheme="minorBidi"/>
          <w:sz w:val="22"/>
          <w:szCs w:val="24"/>
          <w:lang w:val="en-GB" w:eastAsia="ja-JP"/>
        </w:rPr>
        <w:t>ommittees were formed for implementing the strategy and implementation plans divided into five sectors: security, education, healt</w:t>
      </w:r>
      <w:r>
        <w:rPr>
          <w:rFonts w:ascii="Times New Roman" w:eastAsiaTheme="minorEastAsia" w:hAnsi="Times New Roman" w:cstheme="minorBidi"/>
          <w:sz w:val="22"/>
          <w:szCs w:val="24"/>
          <w:lang w:val="en-GB" w:eastAsia="ja-JP"/>
        </w:rPr>
        <w:t>h, media and legislation. The MO</w:t>
      </w:r>
      <w:r w:rsidR="002E72E3" w:rsidRPr="00647752">
        <w:rPr>
          <w:rFonts w:ascii="Times New Roman" w:eastAsiaTheme="minorEastAsia" w:hAnsi="Times New Roman" w:cstheme="minorBidi"/>
          <w:sz w:val="22"/>
          <w:szCs w:val="24"/>
          <w:lang w:val="en-GB" w:eastAsia="ja-JP"/>
        </w:rPr>
        <w:t xml:space="preserve">J heads the legislation committee and is also a member of the others. </w:t>
      </w:r>
      <w:r>
        <w:rPr>
          <w:rFonts w:ascii="Times New Roman" w:eastAsiaTheme="minorEastAsia" w:hAnsi="Times New Roman" w:cstheme="minorBidi"/>
          <w:sz w:val="22"/>
          <w:szCs w:val="24"/>
          <w:lang w:val="en-GB" w:eastAsia="ja-JP"/>
        </w:rPr>
        <w:t>The MO</w:t>
      </w:r>
      <w:r w:rsidR="002E72E3" w:rsidRPr="00647752">
        <w:rPr>
          <w:rFonts w:ascii="Times New Roman" w:eastAsiaTheme="minorEastAsia" w:hAnsi="Times New Roman" w:cstheme="minorBidi"/>
          <w:sz w:val="22"/>
          <w:szCs w:val="24"/>
          <w:lang w:val="en-GB" w:eastAsia="ja-JP"/>
        </w:rPr>
        <w:t>J is the only ministry, however, that h</w:t>
      </w:r>
      <w:r>
        <w:rPr>
          <w:rFonts w:ascii="Times New Roman" w:eastAsiaTheme="minorEastAsia" w:hAnsi="Times New Roman" w:cstheme="minorBidi"/>
          <w:sz w:val="22"/>
          <w:szCs w:val="24"/>
          <w:lang w:val="en-GB" w:eastAsia="ja-JP"/>
        </w:rPr>
        <w:t xml:space="preserve">as actually implemented </w:t>
      </w:r>
      <w:r w:rsidR="002E72E3" w:rsidRPr="00647752">
        <w:rPr>
          <w:rFonts w:ascii="Times New Roman" w:eastAsiaTheme="minorEastAsia" w:hAnsi="Times New Roman" w:cstheme="minorBidi"/>
          <w:sz w:val="22"/>
          <w:szCs w:val="24"/>
          <w:lang w:val="en-GB" w:eastAsia="ja-JP"/>
        </w:rPr>
        <w:t xml:space="preserve">the strategy. </w:t>
      </w:r>
    </w:p>
    <w:p w:rsidR="00F6196D" w:rsidRDefault="00F6196D" w:rsidP="00FB6759">
      <w:pPr>
        <w:spacing w:after="0" w:line="240" w:lineRule="auto"/>
        <w:jc w:val="both"/>
        <w:rPr>
          <w:rFonts w:ascii="Times New Roman" w:eastAsiaTheme="minorEastAsia" w:hAnsi="Times New Roman" w:cstheme="minorBidi"/>
          <w:sz w:val="22"/>
          <w:szCs w:val="24"/>
          <w:lang w:val="en-GB" w:eastAsia="ja-JP"/>
        </w:rPr>
      </w:pPr>
    </w:p>
    <w:p w:rsidR="002E72E3" w:rsidRPr="00647752" w:rsidRDefault="002E72E3" w:rsidP="00FB6759">
      <w:pPr>
        <w:spacing w:after="0" w:line="240" w:lineRule="auto"/>
        <w:jc w:val="both"/>
        <w:rPr>
          <w:rFonts w:ascii="Times New Roman" w:hAnsi="Times New Roman" w:cs="Times New Roman"/>
          <w:sz w:val="22"/>
          <w:szCs w:val="22"/>
          <w:lang w:val="en-GB"/>
        </w:rPr>
      </w:pPr>
      <w:r w:rsidRPr="00647752">
        <w:rPr>
          <w:rFonts w:ascii="Times New Roman" w:eastAsiaTheme="minorEastAsia" w:hAnsi="Times New Roman" w:cstheme="minorBidi"/>
          <w:sz w:val="22"/>
          <w:szCs w:val="24"/>
          <w:lang w:val="en-GB" w:eastAsia="ja-JP"/>
        </w:rPr>
        <w:t>Gender units in other ministries have had major problems in their structures and have no clear work</w:t>
      </w:r>
      <w:r w:rsidR="00FD3C19">
        <w:rPr>
          <w:rFonts w:ascii="Times New Roman" w:eastAsiaTheme="minorEastAsia" w:hAnsi="Times New Roman" w:cstheme="minorBidi"/>
          <w:sz w:val="22"/>
          <w:szCs w:val="24"/>
          <w:lang w:val="en-GB" w:eastAsia="ja-JP"/>
        </w:rPr>
        <w:t xml:space="preserve"> </w:t>
      </w:r>
      <w:r w:rsidRPr="00647752">
        <w:rPr>
          <w:rFonts w:ascii="Times New Roman" w:eastAsiaTheme="minorEastAsia" w:hAnsi="Times New Roman" w:cstheme="minorBidi"/>
          <w:sz w:val="22"/>
          <w:szCs w:val="24"/>
          <w:lang w:val="en-GB" w:eastAsia="ja-JP"/>
        </w:rPr>
        <w:t>plans and no effective staff. And even now there is a challenge relating to lack of a clear role of these gender units and there is</w:t>
      </w:r>
      <w:r w:rsidR="00F6196D">
        <w:rPr>
          <w:rFonts w:ascii="Times New Roman" w:eastAsiaTheme="minorEastAsia" w:hAnsi="Times New Roman" w:cstheme="minorBidi"/>
          <w:sz w:val="22"/>
          <w:szCs w:val="24"/>
          <w:lang w:val="en-GB" w:eastAsia="ja-JP"/>
        </w:rPr>
        <w:t xml:space="preserve"> talk of abolishing them. The MO</w:t>
      </w:r>
      <w:r w:rsidRPr="00647752">
        <w:rPr>
          <w:rFonts w:ascii="Times New Roman" w:eastAsiaTheme="minorEastAsia" w:hAnsi="Times New Roman" w:cstheme="minorBidi"/>
          <w:sz w:val="22"/>
          <w:szCs w:val="24"/>
          <w:lang w:val="en-GB" w:eastAsia="ja-JP"/>
        </w:rPr>
        <w:t>J is aware of such issues and has tried to pro</w:t>
      </w:r>
      <w:r w:rsidR="00D5357E">
        <w:rPr>
          <w:rFonts w:ascii="Times New Roman" w:eastAsiaTheme="minorEastAsia" w:hAnsi="Times New Roman" w:cstheme="minorBidi"/>
          <w:sz w:val="22"/>
          <w:szCs w:val="24"/>
          <w:lang w:val="en-GB" w:eastAsia="ja-JP"/>
        </w:rPr>
        <w:t xml:space="preserve">tect the gender unit </w:t>
      </w:r>
      <w:r w:rsidRPr="00647752">
        <w:rPr>
          <w:rFonts w:ascii="Times New Roman" w:eastAsiaTheme="minorEastAsia" w:hAnsi="Times New Roman" w:cstheme="minorBidi"/>
          <w:sz w:val="22"/>
          <w:szCs w:val="24"/>
          <w:lang w:val="en-GB" w:eastAsia="ja-JP"/>
        </w:rPr>
        <w:t>and equip it so it c</w:t>
      </w:r>
      <w:r w:rsidR="00D5357E">
        <w:rPr>
          <w:rFonts w:ascii="Times New Roman" w:eastAsiaTheme="minorEastAsia" w:hAnsi="Times New Roman" w:cstheme="minorBidi"/>
          <w:sz w:val="22"/>
          <w:szCs w:val="24"/>
          <w:lang w:val="en-GB" w:eastAsia="ja-JP"/>
        </w:rPr>
        <w:t>ould carry on its work, both within the MO</w:t>
      </w:r>
      <w:r w:rsidRPr="00647752">
        <w:rPr>
          <w:rFonts w:ascii="Times New Roman" w:eastAsiaTheme="minorEastAsia" w:hAnsi="Times New Roman" w:cstheme="minorBidi"/>
          <w:sz w:val="22"/>
          <w:szCs w:val="24"/>
          <w:lang w:val="en-GB" w:eastAsia="ja-JP"/>
        </w:rPr>
        <w:t>J and across other justice in</w:t>
      </w:r>
      <w:r w:rsidR="00D5357E">
        <w:rPr>
          <w:rFonts w:ascii="Times New Roman" w:eastAsiaTheme="minorEastAsia" w:hAnsi="Times New Roman" w:cstheme="minorBidi"/>
          <w:sz w:val="22"/>
          <w:szCs w:val="24"/>
          <w:lang w:val="en-GB" w:eastAsia="ja-JP"/>
        </w:rPr>
        <w:t>stitutions that lack capacity.</w:t>
      </w:r>
    </w:p>
    <w:p w:rsidR="00983CFA" w:rsidRDefault="00983CFA" w:rsidP="00FB6759">
      <w:pPr>
        <w:spacing w:after="0" w:line="240" w:lineRule="auto"/>
        <w:jc w:val="both"/>
        <w:rPr>
          <w:rFonts w:ascii="Times New Roman" w:eastAsiaTheme="minorEastAsia" w:hAnsi="Times New Roman" w:cstheme="minorBidi"/>
          <w:sz w:val="22"/>
          <w:szCs w:val="24"/>
          <w:lang w:val="en-GB" w:eastAsia="ja-JP"/>
        </w:rPr>
      </w:pPr>
    </w:p>
    <w:p w:rsidR="002E72E3" w:rsidRPr="00647752" w:rsidRDefault="00D5357E" w:rsidP="00FB6759">
      <w:pPr>
        <w:spacing w:after="0" w:line="240" w:lineRule="auto"/>
        <w:jc w:val="both"/>
        <w:rPr>
          <w:rFonts w:ascii="Times New Roman" w:eastAsiaTheme="minorEastAsia" w:hAnsi="Times New Roman" w:cstheme="minorBidi"/>
          <w:sz w:val="22"/>
          <w:szCs w:val="24"/>
          <w:lang w:val="en-GB" w:eastAsia="ja-JP"/>
        </w:rPr>
      </w:pPr>
      <w:r>
        <w:rPr>
          <w:rFonts w:ascii="Times New Roman" w:eastAsiaTheme="minorEastAsia" w:hAnsi="Times New Roman" w:cstheme="minorBidi"/>
          <w:sz w:val="22"/>
          <w:szCs w:val="24"/>
          <w:lang w:val="en-GB" w:eastAsia="ja-JP"/>
        </w:rPr>
        <w:t>According to UNDP, the gender and juvenile j</w:t>
      </w:r>
      <w:r w:rsidR="002E72E3" w:rsidRPr="00647752">
        <w:rPr>
          <w:rFonts w:ascii="Times New Roman" w:eastAsiaTheme="minorEastAsia" w:hAnsi="Times New Roman" w:cstheme="minorBidi"/>
          <w:sz w:val="22"/>
          <w:szCs w:val="24"/>
          <w:lang w:val="en-GB" w:eastAsia="ja-JP"/>
        </w:rPr>
        <w:t>ustice component has been the one that has required the most creative work, because its outputs as designed were rather vague. There was nothing concrete in terms of who would be UNDP’s partners for implementation, etc. This turned out to be a good thing in a way as it allowed UNDP the flexibility to cho</w:t>
      </w:r>
      <w:r>
        <w:rPr>
          <w:rFonts w:ascii="Times New Roman" w:eastAsiaTheme="minorEastAsia" w:hAnsi="Times New Roman" w:cstheme="minorBidi"/>
          <w:sz w:val="22"/>
          <w:szCs w:val="24"/>
          <w:lang w:val="en-GB" w:eastAsia="ja-JP"/>
        </w:rPr>
        <w:t>o</w:t>
      </w:r>
      <w:r w:rsidR="002E72E3" w:rsidRPr="00647752">
        <w:rPr>
          <w:rFonts w:ascii="Times New Roman" w:eastAsiaTheme="minorEastAsia" w:hAnsi="Times New Roman" w:cstheme="minorBidi"/>
          <w:sz w:val="22"/>
          <w:szCs w:val="24"/>
          <w:lang w:val="en-GB" w:eastAsia="ja-JP"/>
        </w:rPr>
        <w:t>se a wide spectrum of partners including the P</w:t>
      </w:r>
      <w:r>
        <w:rPr>
          <w:rFonts w:ascii="Times New Roman" w:eastAsiaTheme="minorEastAsia" w:hAnsi="Times New Roman" w:cstheme="minorBidi"/>
          <w:sz w:val="22"/>
          <w:szCs w:val="24"/>
          <w:lang w:val="en-GB" w:eastAsia="ja-JP"/>
        </w:rPr>
        <w:t>MF, the PBA and Birzeit University’s IWS.</w:t>
      </w:r>
    </w:p>
    <w:p w:rsidR="00983CFA" w:rsidRDefault="00983CFA" w:rsidP="00FB6759">
      <w:pPr>
        <w:spacing w:after="0" w:line="240" w:lineRule="auto"/>
        <w:jc w:val="both"/>
        <w:rPr>
          <w:rFonts w:ascii="Times New Roman" w:eastAsiaTheme="minorEastAsia" w:hAnsi="Times New Roman" w:cstheme="minorBidi"/>
          <w:sz w:val="22"/>
          <w:szCs w:val="24"/>
          <w:lang w:val="en-GB" w:eastAsia="ja-JP"/>
        </w:rPr>
      </w:pPr>
    </w:p>
    <w:p w:rsidR="000131D2" w:rsidRDefault="000131D2" w:rsidP="00FB6759">
      <w:pPr>
        <w:spacing w:after="0" w:line="240" w:lineRule="auto"/>
        <w:jc w:val="both"/>
        <w:rPr>
          <w:rFonts w:ascii="Times New Roman" w:eastAsiaTheme="minorEastAsia" w:hAnsi="Times New Roman" w:cstheme="minorBidi"/>
          <w:sz w:val="22"/>
          <w:szCs w:val="24"/>
          <w:lang w:val="en-GB" w:eastAsia="ja-JP"/>
        </w:rPr>
      </w:pPr>
    </w:p>
    <w:p w:rsidR="000131D2" w:rsidRDefault="000131D2" w:rsidP="00FB6759">
      <w:pPr>
        <w:spacing w:after="0" w:line="240" w:lineRule="auto"/>
        <w:jc w:val="both"/>
        <w:rPr>
          <w:rFonts w:ascii="Times New Roman" w:eastAsiaTheme="minorEastAsia" w:hAnsi="Times New Roman" w:cstheme="minorBidi"/>
          <w:sz w:val="22"/>
          <w:szCs w:val="24"/>
          <w:lang w:val="en-GB" w:eastAsia="ja-JP"/>
        </w:rPr>
      </w:pPr>
    </w:p>
    <w:p w:rsidR="000131D2" w:rsidRDefault="000131D2" w:rsidP="00FB6759">
      <w:pPr>
        <w:spacing w:after="0" w:line="240" w:lineRule="auto"/>
        <w:jc w:val="both"/>
        <w:rPr>
          <w:rFonts w:ascii="Times New Roman" w:eastAsiaTheme="minorEastAsia" w:hAnsi="Times New Roman" w:cstheme="minorBidi"/>
          <w:sz w:val="22"/>
          <w:szCs w:val="24"/>
          <w:lang w:val="en-GB" w:eastAsia="ja-JP"/>
        </w:rPr>
      </w:pPr>
    </w:p>
    <w:p w:rsidR="000131D2" w:rsidRDefault="000131D2" w:rsidP="00FB6759">
      <w:pPr>
        <w:spacing w:after="0" w:line="240" w:lineRule="auto"/>
        <w:jc w:val="both"/>
        <w:rPr>
          <w:rFonts w:ascii="Times New Roman" w:eastAsiaTheme="minorEastAsia" w:hAnsi="Times New Roman" w:cstheme="minorBidi"/>
          <w:sz w:val="22"/>
          <w:szCs w:val="24"/>
          <w:lang w:val="en-GB" w:eastAsia="ja-JP"/>
        </w:rPr>
      </w:pPr>
    </w:p>
    <w:p w:rsidR="000131D2" w:rsidRDefault="000131D2" w:rsidP="00FB6759">
      <w:pPr>
        <w:spacing w:after="0" w:line="240" w:lineRule="auto"/>
        <w:jc w:val="both"/>
        <w:rPr>
          <w:rFonts w:ascii="Times New Roman" w:eastAsiaTheme="minorEastAsia" w:hAnsi="Times New Roman" w:cstheme="minorBidi"/>
          <w:sz w:val="22"/>
          <w:szCs w:val="24"/>
          <w:lang w:val="en-GB" w:eastAsia="ja-JP"/>
        </w:rPr>
      </w:pPr>
    </w:p>
    <w:p w:rsidR="000131D2" w:rsidRDefault="000131D2" w:rsidP="00FB6759">
      <w:pPr>
        <w:spacing w:after="0" w:line="240" w:lineRule="auto"/>
        <w:jc w:val="both"/>
        <w:rPr>
          <w:rFonts w:ascii="Times New Roman" w:eastAsiaTheme="minorEastAsia" w:hAnsi="Times New Roman" w:cstheme="minorBidi"/>
          <w:sz w:val="22"/>
          <w:szCs w:val="24"/>
          <w:lang w:val="en-GB" w:eastAsia="ja-JP"/>
        </w:rPr>
      </w:pPr>
    </w:p>
    <w:p w:rsidR="000131D2" w:rsidRDefault="000131D2" w:rsidP="00FB6759">
      <w:pPr>
        <w:spacing w:after="0" w:line="240" w:lineRule="auto"/>
        <w:jc w:val="both"/>
        <w:rPr>
          <w:rFonts w:ascii="Times New Roman" w:eastAsiaTheme="minorEastAsia" w:hAnsi="Times New Roman" w:cstheme="minorBidi"/>
          <w:sz w:val="22"/>
          <w:szCs w:val="24"/>
          <w:lang w:val="en-GB" w:eastAsia="ja-JP"/>
        </w:rPr>
      </w:pPr>
    </w:p>
    <w:p w:rsidR="000131D2" w:rsidRDefault="000131D2" w:rsidP="00FB6759">
      <w:pPr>
        <w:spacing w:after="0" w:line="240" w:lineRule="auto"/>
        <w:jc w:val="both"/>
        <w:rPr>
          <w:rFonts w:ascii="Times New Roman" w:eastAsiaTheme="minorEastAsia" w:hAnsi="Times New Roman" w:cstheme="minorBidi"/>
          <w:sz w:val="22"/>
          <w:szCs w:val="24"/>
          <w:lang w:val="en-GB" w:eastAsia="ja-JP"/>
        </w:rPr>
      </w:pPr>
    </w:p>
    <w:p w:rsidR="000131D2" w:rsidRDefault="000131D2" w:rsidP="00FB6759">
      <w:pPr>
        <w:spacing w:after="0" w:line="240" w:lineRule="auto"/>
        <w:jc w:val="both"/>
        <w:rPr>
          <w:rFonts w:ascii="Times New Roman" w:eastAsiaTheme="minorEastAsia" w:hAnsi="Times New Roman" w:cstheme="minorBidi"/>
          <w:sz w:val="22"/>
          <w:szCs w:val="24"/>
          <w:lang w:val="en-GB" w:eastAsia="ja-JP"/>
        </w:rPr>
      </w:pPr>
    </w:p>
    <w:p w:rsidR="000131D2" w:rsidRDefault="000131D2" w:rsidP="00FB6759">
      <w:pPr>
        <w:spacing w:after="0" w:line="240" w:lineRule="auto"/>
        <w:jc w:val="both"/>
        <w:rPr>
          <w:rFonts w:ascii="Times New Roman" w:eastAsiaTheme="minorEastAsia" w:hAnsi="Times New Roman" w:cstheme="minorBidi"/>
          <w:sz w:val="22"/>
          <w:szCs w:val="24"/>
          <w:lang w:val="en-GB" w:eastAsia="ja-JP"/>
        </w:rPr>
      </w:pPr>
    </w:p>
    <w:p w:rsidR="002E72E3" w:rsidRPr="00647752" w:rsidRDefault="000131D2" w:rsidP="00FB6759">
      <w:pPr>
        <w:spacing w:after="0" w:line="240" w:lineRule="auto"/>
        <w:jc w:val="both"/>
        <w:rPr>
          <w:rFonts w:ascii="Times New Roman" w:eastAsiaTheme="minorEastAsia" w:hAnsi="Times New Roman" w:cstheme="minorBidi"/>
          <w:sz w:val="22"/>
          <w:szCs w:val="24"/>
          <w:lang w:val="en-GB" w:eastAsia="ja-JP"/>
        </w:rPr>
      </w:pPr>
      <w:r>
        <w:rPr>
          <w:rFonts w:ascii="Times New Roman" w:eastAsiaTheme="minorEastAsia" w:hAnsi="Times New Roman" w:cstheme="minorBidi"/>
          <w:sz w:val="22"/>
          <w:szCs w:val="24"/>
          <w:lang w:val="en-GB" w:eastAsia="ja-JP"/>
        </w:rPr>
        <w:t xml:space="preserve">However, it remains a very crowded scene. </w:t>
      </w:r>
      <w:r w:rsidR="007441F2" w:rsidRPr="00647752">
        <w:rPr>
          <w:rFonts w:ascii="Times New Roman" w:eastAsiaTheme="minorEastAsia" w:hAnsi="Times New Roman" w:cstheme="minorBidi"/>
          <w:sz w:val="22"/>
          <w:szCs w:val="24"/>
          <w:lang w:val="en-GB" w:eastAsia="ja-JP"/>
        </w:rPr>
        <w:t>Thus, UNDP must be strategic in its engagement</w:t>
      </w:r>
      <w:r>
        <w:rPr>
          <w:rFonts w:ascii="Times New Roman" w:eastAsiaTheme="minorEastAsia" w:hAnsi="Times New Roman" w:cstheme="minorBidi"/>
          <w:sz w:val="22"/>
          <w:szCs w:val="24"/>
          <w:lang w:val="en-GB" w:eastAsia="ja-JP"/>
        </w:rPr>
        <w:t xml:space="preserve"> in the sector going forward. </w:t>
      </w:r>
      <w:r w:rsidR="002E72E3" w:rsidRPr="00647752">
        <w:rPr>
          <w:rFonts w:ascii="Times New Roman" w:eastAsiaTheme="minorEastAsia" w:hAnsi="Times New Roman" w:cstheme="minorBidi"/>
          <w:sz w:val="22"/>
          <w:szCs w:val="24"/>
          <w:lang w:val="en-GB" w:eastAsia="ja-JP"/>
        </w:rPr>
        <w:t xml:space="preserve">UNDP </w:t>
      </w:r>
      <w:r w:rsidR="007441F2" w:rsidRPr="00647752">
        <w:rPr>
          <w:rFonts w:ascii="Times New Roman" w:eastAsiaTheme="minorEastAsia" w:hAnsi="Times New Roman" w:cstheme="minorBidi"/>
          <w:sz w:val="22"/>
          <w:szCs w:val="24"/>
          <w:lang w:val="en-GB" w:eastAsia="ja-JP"/>
        </w:rPr>
        <w:t xml:space="preserve">to date </w:t>
      </w:r>
      <w:r>
        <w:rPr>
          <w:rFonts w:ascii="Times New Roman" w:eastAsiaTheme="minorEastAsia" w:hAnsi="Times New Roman" w:cstheme="minorBidi"/>
          <w:sz w:val="22"/>
          <w:szCs w:val="24"/>
          <w:lang w:val="en-GB" w:eastAsia="ja-JP"/>
        </w:rPr>
        <w:t>does not</w:t>
      </w:r>
      <w:r w:rsidR="002E72E3" w:rsidRPr="00647752">
        <w:rPr>
          <w:rFonts w:ascii="Times New Roman" w:eastAsiaTheme="minorEastAsia" w:hAnsi="Times New Roman" w:cstheme="minorBidi"/>
          <w:sz w:val="22"/>
          <w:szCs w:val="24"/>
          <w:lang w:val="en-GB" w:eastAsia="ja-JP"/>
        </w:rPr>
        <w:t xml:space="preserve"> have a compr</w:t>
      </w:r>
      <w:r>
        <w:rPr>
          <w:rFonts w:ascii="Times New Roman" w:eastAsiaTheme="minorEastAsia" w:hAnsi="Times New Roman" w:cstheme="minorBidi"/>
          <w:sz w:val="22"/>
          <w:szCs w:val="24"/>
          <w:lang w:val="en-GB" w:eastAsia="ja-JP"/>
        </w:rPr>
        <w:t xml:space="preserve">ehensive programme relating to </w:t>
      </w:r>
      <w:r w:rsidR="002E72E3" w:rsidRPr="00647752">
        <w:rPr>
          <w:rFonts w:ascii="Times New Roman" w:eastAsiaTheme="minorEastAsia" w:hAnsi="Times New Roman" w:cstheme="minorBidi"/>
          <w:sz w:val="22"/>
          <w:szCs w:val="24"/>
          <w:lang w:val="en-GB" w:eastAsia="ja-JP"/>
        </w:rPr>
        <w:t>GBV</w:t>
      </w:r>
      <w:r>
        <w:rPr>
          <w:rFonts w:ascii="Times New Roman" w:eastAsiaTheme="minorEastAsia" w:hAnsi="Times New Roman" w:cstheme="minorBidi"/>
          <w:sz w:val="22"/>
          <w:szCs w:val="24"/>
          <w:lang w:val="en-GB" w:eastAsia="ja-JP"/>
        </w:rPr>
        <w:t xml:space="preserve"> (despite the fact that the Programme Document might convey the impression that it addresses all aspects of GBV). Instead, </w:t>
      </w:r>
      <w:r w:rsidR="002E72E3" w:rsidRPr="00647752">
        <w:rPr>
          <w:rFonts w:ascii="Times New Roman" w:eastAsiaTheme="minorEastAsia" w:hAnsi="Times New Roman" w:cstheme="minorBidi"/>
          <w:sz w:val="22"/>
          <w:szCs w:val="24"/>
          <w:lang w:val="en-GB" w:eastAsia="ja-JP"/>
        </w:rPr>
        <w:t>UNDP has tried to be strategic in its support</w:t>
      </w:r>
      <w:r w:rsidR="00BB6C5E" w:rsidRPr="00647752">
        <w:rPr>
          <w:rFonts w:ascii="Times New Roman" w:eastAsiaTheme="minorEastAsia" w:hAnsi="Times New Roman" w:cstheme="minorBidi"/>
          <w:sz w:val="22"/>
          <w:szCs w:val="24"/>
          <w:lang w:val="en-GB" w:eastAsia="ja-JP"/>
        </w:rPr>
        <w:t xml:space="preserve"> focusing on improving the normative framework</w:t>
      </w:r>
      <w:r w:rsidR="007441F2" w:rsidRPr="00647752">
        <w:rPr>
          <w:rFonts w:ascii="Times New Roman" w:eastAsiaTheme="minorEastAsia" w:hAnsi="Times New Roman" w:cstheme="minorBidi"/>
          <w:sz w:val="22"/>
          <w:szCs w:val="24"/>
          <w:lang w:val="en-GB" w:eastAsia="ja-JP"/>
        </w:rPr>
        <w:t xml:space="preserve"> relati</w:t>
      </w:r>
      <w:r>
        <w:rPr>
          <w:rFonts w:ascii="Times New Roman" w:eastAsiaTheme="minorEastAsia" w:hAnsi="Times New Roman" w:cstheme="minorBidi"/>
          <w:sz w:val="22"/>
          <w:szCs w:val="24"/>
          <w:lang w:val="en-GB" w:eastAsia="ja-JP"/>
        </w:rPr>
        <w:t xml:space="preserve">ng to </w:t>
      </w:r>
      <w:r w:rsidR="007441F2" w:rsidRPr="00647752">
        <w:rPr>
          <w:rFonts w:ascii="Times New Roman" w:eastAsiaTheme="minorEastAsia" w:hAnsi="Times New Roman" w:cstheme="minorBidi"/>
          <w:sz w:val="22"/>
          <w:szCs w:val="24"/>
          <w:lang w:val="en-GB" w:eastAsia="ja-JP"/>
        </w:rPr>
        <w:t xml:space="preserve">GBV </w:t>
      </w:r>
      <w:r w:rsidR="00BB6C5E" w:rsidRPr="00647752">
        <w:rPr>
          <w:rFonts w:ascii="Times New Roman" w:eastAsiaTheme="minorEastAsia" w:hAnsi="Times New Roman" w:cstheme="minorBidi"/>
          <w:sz w:val="22"/>
          <w:szCs w:val="24"/>
          <w:lang w:val="en-GB" w:eastAsia="ja-JP"/>
        </w:rPr>
        <w:t>(as discussed below in 3.4)</w:t>
      </w:r>
      <w:r w:rsidR="002E72E3" w:rsidRPr="00647752">
        <w:rPr>
          <w:rFonts w:ascii="Times New Roman" w:eastAsiaTheme="minorEastAsia" w:hAnsi="Times New Roman" w:cstheme="minorBidi"/>
          <w:sz w:val="22"/>
          <w:szCs w:val="24"/>
          <w:lang w:val="en-GB" w:eastAsia="ja-JP"/>
        </w:rPr>
        <w:t>.</w:t>
      </w:r>
      <w:r w:rsidR="00BB6C5E" w:rsidRPr="00647752">
        <w:rPr>
          <w:rStyle w:val="FootnoteReference"/>
          <w:rFonts w:ascii="Times New Roman" w:eastAsiaTheme="minorEastAsia" w:hAnsi="Times New Roman" w:cstheme="minorBidi"/>
          <w:sz w:val="22"/>
          <w:szCs w:val="24"/>
          <w:lang w:val="en-GB" w:eastAsia="ja-JP"/>
        </w:rPr>
        <w:footnoteReference w:id="161"/>
      </w:r>
    </w:p>
    <w:p w:rsidR="002E72E3" w:rsidRPr="00647752" w:rsidRDefault="002E72E3" w:rsidP="00FB6759">
      <w:pPr>
        <w:spacing w:after="0" w:line="240" w:lineRule="auto"/>
        <w:jc w:val="both"/>
        <w:rPr>
          <w:rFonts w:ascii="Times New Roman" w:hAnsi="Times New Roman" w:cs="Times New Roman"/>
          <w:sz w:val="22"/>
          <w:szCs w:val="22"/>
          <w:lang w:val="en-GB"/>
        </w:rPr>
      </w:pPr>
    </w:p>
    <w:p w:rsidR="002A4762" w:rsidRPr="00647752" w:rsidRDefault="006853A8" w:rsidP="00FB6759">
      <w:pPr>
        <w:spacing w:after="0" w:line="240" w:lineRule="auto"/>
        <w:jc w:val="both"/>
        <w:rPr>
          <w:rFonts w:ascii="Times New Roman" w:hAnsi="Times New Roman" w:cs="Times New Roman"/>
          <w:i/>
          <w:sz w:val="22"/>
          <w:szCs w:val="22"/>
          <w:lang w:val="en-GB"/>
        </w:rPr>
      </w:pPr>
      <w:r w:rsidRPr="00647752">
        <w:rPr>
          <w:rFonts w:ascii="Times New Roman" w:hAnsi="Times New Roman" w:cs="Times New Roman"/>
          <w:i/>
          <w:sz w:val="22"/>
          <w:szCs w:val="22"/>
          <w:lang w:val="en-GB"/>
        </w:rPr>
        <w:t xml:space="preserve">Output 3.4: Capacity of law enforcement officers and legal professionals on gender justice, specific to </w:t>
      </w:r>
      <w:r w:rsidR="00B61D2C" w:rsidRPr="00647752">
        <w:rPr>
          <w:rFonts w:ascii="Times New Roman" w:hAnsi="Times New Roman" w:cs="Times New Roman"/>
          <w:i/>
          <w:sz w:val="22"/>
          <w:szCs w:val="22"/>
          <w:lang w:val="en-GB"/>
        </w:rPr>
        <w:t>GBV</w:t>
      </w:r>
      <w:r w:rsidRPr="00647752">
        <w:rPr>
          <w:rFonts w:ascii="Times New Roman" w:hAnsi="Times New Roman" w:cs="Times New Roman"/>
          <w:i/>
          <w:sz w:val="22"/>
          <w:szCs w:val="22"/>
          <w:lang w:val="en-GB"/>
        </w:rPr>
        <w:t>, developed</w:t>
      </w:r>
    </w:p>
    <w:p w:rsidR="00983CFA" w:rsidRDefault="00983CFA" w:rsidP="00FB6759">
      <w:pPr>
        <w:spacing w:after="0" w:line="240" w:lineRule="auto"/>
        <w:jc w:val="both"/>
        <w:rPr>
          <w:rFonts w:ascii="Times New Roman" w:hAnsi="Times New Roman" w:cs="Times New Roman"/>
          <w:sz w:val="22"/>
          <w:szCs w:val="22"/>
          <w:lang w:val="en-GB"/>
        </w:rPr>
      </w:pPr>
    </w:p>
    <w:p w:rsidR="005B4B2B" w:rsidRPr="00647752" w:rsidRDefault="005B4B2B"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As in other countries, gender-based violence (</w:t>
      </w:r>
      <w:r w:rsidR="00B61D2C" w:rsidRPr="00647752">
        <w:rPr>
          <w:rFonts w:ascii="Times New Roman" w:hAnsi="Times New Roman" w:cs="Times New Roman"/>
          <w:sz w:val="22"/>
          <w:szCs w:val="22"/>
          <w:lang w:val="en-GB"/>
        </w:rPr>
        <w:t>GBV</w:t>
      </w:r>
      <w:r w:rsidRPr="00647752">
        <w:rPr>
          <w:rFonts w:ascii="Times New Roman" w:hAnsi="Times New Roman" w:cs="Times New Roman"/>
          <w:sz w:val="22"/>
          <w:szCs w:val="22"/>
          <w:lang w:val="en-GB"/>
        </w:rPr>
        <w:t>) presents particularly troubling challenge</w:t>
      </w:r>
      <w:r w:rsidR="000131D2">
        <w:rPr>
          <w:rFonts w:ascii="Times New Roman" w:hAnsi="Times New Roman" w:cs="Times New Roman"/>
          <w:sz w:val="22"/>
          <w:szCs w:val="22"/>
          <w:lang w:val="en-GB"/>
        </w:rPr>
        <w:t xml:space="preserve">s in the oPt - </w:t>
      </w:r>
      <w:r w:rsidRPr="00647752">
        <w:rPr>
          <w:rFonts w:ascii="Times New Roman" w:hAnsi="Times New Roman" w:cs="Times New Roman"/>
          <w:sz w:val="22"/>
          <w:szCs w:val="22"/>
          <w:lang w:val="en-GB"/>
        </w:rPr>
        <w:t>challenges that are entrenched by complex social and cultural factors, as well as by persistent biases within key just</w:t>
      </w:r>
      <w:r w:rsidR="000131D2">
        <w:rPr>
          <w:rFonts w:ascii="Times New Roman" w:hAnsi="Times New Roman" w:cs="Times New Roman"/>
          <w:sz w:val="22"/>
          <w:szCs w:val="22"/>
          <w:lang w:val="en-GB"/>
        </w:rPr>
        <w:t xml:space="preserve">ice and security institutions. As a result, women - </w:t>
      </w:r>
      <w:r w:rsidRPr="00647752">
        <w:rPr>
          <w:rFonts w:ascii="Times New Roman" w:hAnsi="Times New Roman" w:cs="Times New Roman"/>
          <w:sz w:val="22"/>
          <w:szCs w:val="22"/>
          <w:lang w:val="en-GB"/>
        </w:rPr>
        <w:t xml:space="preserve">and particularly survivors of </w:t>
      </w:r>
      <w:r w:rsidR="00B61D2C" w:rsidRPr="00647752">
        <w:rPr>
          <w:rFonts w:ascii="Times New Roman" w:hAnsi="Times New Roman" w:cs="Times New Roman"/>
          <w:sz w:val="22"/>
          <w:szCs w:val="22"/>
          <w:lang w:val="en-GB"/>
        </w:rPr>
        <w:t>GBV</w:t>
      </w:r>
      <w:r w:rsidR="000131D2">
        <w:rPr>
          <w:rFonts w:ascii="Times New Roman" w:hAnsi="Times New Roman" w:cs="Times New Roman"/>
          <w:sz w:val="22"/>
          <w:szCs w:val="22"/>
          <w:lang w:val="en-GB"/>
        </w:rPr>
        <w:t xml:space="preserve"> - </w:t>
      </w:r>
      <w:r w:rsidRPr="00647752">
        <w:rPr>
          <w:rFonts w:ascii="Times New Roman" w:hAnsi="Times New Roman" w:cs="Times New Roman"/>
          <w:sz w:val="22"/>
          <w:szCs w:val="22"/>
          <w:lang w:val="en-GB"/>
        </w:rPr>
        <w:t xml:space="preserve">express despair at the lack of gender-sensitive case management processes and fear </w:t>
      </w:r>
      <w:r w:rsidR="00A31EA3" w:rsidRPr="00647752">
        <w:rPr>
          <w:rFonts w:ascii="Times New Roman" w:hAnsi="Times New Roman" w:cs="Times New Roman"/>
          <w:sz w:val="22"/>
          <w:szCs w:val="22"/>
          <w:lang w:val="en-GB"/>
        </w:rPr>
        <w:t>the lack of protection from reprisals and stigma</w:t>
      </w:r>
      <w:r w:rsidRPr="00647752">
        <w:rPr>
          <w:rFonts w:ascii="Times New Roman" w:hAnsi="Times New Roman" w:cs="Times New Roman"/>
          <w:sz w:val="22"/>
          <w:szCs w:val="22"/>
          <w:lang w:val="en-GB"/>
        </w:rPr>
        <w:t>.</w:t>
      </w:r>
      <w:r w:rsidRPr="00647752">
        <w:rPr>
          <w:rStyle w:val="FootnoteReference"/>
          <w:rFonts w:ascii="Times New Roman" w:hAnsi="Times New Roman" w:cs="Times New Roman"/>
          <w:sz w:val="22"/>
          <w:szCs w:val="22"/>
          <w:lang w:val="en-GB"/>
        </w:rPr>
        <w:footnoteReference w:id="162"/>
      </w:r>
      <w:r w:rsidR="00A31EA3" w:rsidRPr="00647752">
        <w:rPr>
          <w:rFonts w:ascii="Times New Roman" w:hAnsi="Times New Roman" w:cs="Times New Roman"/>
          <w:sz w:val="22"/>
          <w:szCs w:val="22"/>
          <w:lang w:val="en-GB"/>
        </w:rPr>
        <w:t>The situation is even more complex for women in areas controll</w:t>
      </w:r>
      <w:r w:rsidR="000131D2">
        <w:rPr>
          <w:rFonts w:ascii="Times New Roman" w:hAnsi="Times New Roman" w:cs="Times New Roman"/>
          <w:sz w:val="22"/>
          <w:szCs w:val="22"/>
          <w:lang w:val="en-GB"/>
        </w:rPr>
        <w:t xml:space="preserve">ed by Israeli security forces: </w:t>
      </w:r>
      <w:r w:rsidR="00A31EA3" w:rsidRPr="00647752">
        <w:rPr>
          <w:rFonts w:ascii="Times New Roman" w:hAnsi="Times New Roman" w:cs="Times New Roman"/>
          <w:sz w:val="22"/>
          <w:szCs w:val="22"/>
          <w:lang w:val="en-GB"/>
        </w:rPr>
        <w:t>in Areas B and C and in East Jerusalem, Palestinian police and justice institutions cannot implement reforms without the cooperation of Israeli authorities.</w:t>
      </w:r>
      <w:r w:rsidRPr="00647752">
        <w:rPr>
          <w:rStyle w:val="FootnoteReference"/>
          <w:rFonts w:ascii="Times New Roman" w:hAnsi="Times New Roman" w:cs="Times New Roman"/>
          <w:sz w:val="22"/>
          <w:szCs w:val="22"/>
          <w:lang w:val="en-GB"/>
        </w:rPr>
        <w:footnoteReference w:id="163"/>
      </w:r>
    </w:p>
    <w:p w:rsidR="00983CFA" w:rsidRDefault="00983CFA" w:rsidP="00FB6759">
      <w:pPr>
        <w:spacing w:after="0" w:line="240" w:lineRule="auto"/>
        <w:jc w:val="both"/>
        <w:rPr>
          <w:rFonts w:ascii="Times New Roman" w:hAnsi="Times New Roman" w:cs="Times New Roman"/>
          <w:sz w:val="22"/>
          <w:szCs w:val="22"/>
          <w:lang w:val="en-GB"/>
        </w:rPr>
      </w:pPr>
    </w:p>
    <w:p w:rsidR="00D76037" w:rsidRPr="002B0388" w:rsidRDefault="000131D2"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The p</w:t>
      </w:r>
      <w:r w:rsidR="00A31EA3" w:rsidRPr="00647752">
        <w:rPr>
          <w:rFonts w:ascii="Times New Roman" w:hAnsi="Times New Roman" w:cs="Times New Roman"/>
          <w:sz w:val="22"/>
          <w:szCs w:val="22"/>
          <w:lang w:val="en-GB"/>
        </w:rPr>
        <w:t xml:space="preserve">rogramme has made successful efforts to address the needs of </w:t>
      </w:r>
      <w:r w:rsidR="00C46858" w:rsidRPr="00647752">
        <w:rPr>
          <w:rFonts w:ascii="Times New Roman" w:hAnsi="Times New Roman" w:cs="Times New Roman"/>
          <w:sz w:val="22"/>
          <w:szCs w:val="22"/>
          <w:lang w:val="en-GB"/>
        </w:rPr>
        <w:t>GBV survivors,</w:t>
      </w:r>
      <w:r w:rsidR="00A31EA3" w:rsidRPr="00647752">
        <w:rPr>
          <w:rFonts w:ascii="Times New Roman" w:hAnsi="Times New Roman" w:cs="Times New Roman"/>
          <w:sz w:val="22"/>
          <w:szCs w:val="22"/>
          <w:lang w:val="en-GB"/>
        </w:rPr>
        <w:t xml:space="preserve"> most recently by </w:t>
      </w:r>
      <w:r w:rsidR="00B8032C" w:rsidRPr="00647752">
        <w:rPr>
          <w:rFonts w:ascii="Times New Roman" w:hAnsi="Times New Roman" w:cs="Times New Roman"/>
          <w:sz w:val="22"/>
          <w:szCs w:val="22"/>
          <w:lang w:val="en-GB"/>
        </w:rPr>
        <w:t xml:space="preserve">supporting the development of draft strategies, action plans and indicators on gender and juvenile justice and </w:t>
      </w:r>
      <w:r w:rsidR="00A31EA3" w:rsidRPr="00647752">
        <w:rPr>
          <w:rFonts w:ascii="Times New Roman" w:hAnsi="Times New Roman" w:cs="Times New Roman"/>
          <w:sz w:val="22"/>
          <w:szCs w:val="22"/>
          <w:lang w:val="en-GB"/>
        </w:rPr>
        <w:t xml:space="preserve">by </w:t>
      </w:r>
      <w:r w:rsidR="00B8032C" w:rsidRPr="00647752">
        <w:rPr>
          <w:rFonts w:ascii="Times New Roman" w:hAnsi="Times New Roman" w:cs="Times New Roman"/>
          <w:sz w:val="22"/>
          <w:szCs w:val="22"/>
          <w:lang w:val="en-GB"/>
        </w:rPr>
        <w:t xml:space="preserve">supporting the implementation of the </w:t>
      </w:r>
      <w:r w:rsidR="00A31EA3" w:rsidRPr="00647752">
        <w:rPr>
          <w:rFonts w:ascii="Times New Roman" w:hAnsi="Times New Roman" w:cs="Times New Roman"/>
          <w:sz w:val="22"/>
          <w:szCs w:val="22"/>
          <w:lang w:val="en-GB"/>
        </w:rPr>
        <w:t>government</w:t>
      </w:r>
      <w:r w:rsidR="00B8032C" w:rsidRPr="00647752">
        <w:rPr>
          <w:rFonts w:ascii="Times New Roman" w:hAnsi="Times New Roman" w:cs="Times New Roman"/>
          <w:sz w:val="22"/>
          <w:szCs w:val="22"/>
          <w:lang w:val="en-GB"/>
        </w:rPr>
        <w:t>’s Gender-Based Violence Strategy.</w:t>
      </w:r>
      <w:r w:rsidR="00A31EA3" w:rsidRPr="00647752">
        <w:rPr>
          <w:rStyle w:val="FootnoteReference"/>
          <w:rFonts w:ascii="Times New Roman" w:hAnsi="Times New Roman" w:cs="Times New Roman"/>
          <w:sz w:val="22"/>
          <w:szCs w:val="22"/>
          <w:lang w:val="en-GB"/>
        </w:rPr>
        <w:footnoteReference w:id="164"/>
      </w:r>
      <w:r w:rsidR="004E3832" w:rsidRPr="00647752">
        <w:rPr>
          <w:rFonts w:ascii="Times New Roman" w:hAnsi="Times New Roman" w:cs="Times New Roman"/>
          <w:sz w:val="22"/>
          <w:szCs w:val="22"/>
          <w:lang w:val="en-GB"/>
        </w:rPr>
        <w:t>It has also supported government program</w:t>
      </w:r>
      <w:r>
        <w:rPr>
          <w:rFonts w:ascii="Times New Roman" w:hAnsi="Times New Roman" w:cs="Times New Roman"/>
          <w:sz w:val="22"/>
          <w:szCs w:val="22"/>
          <w:lang w:val="en-GB"/>
        </w:rPr>
        <w:t>me</w:t>
      </w:r>
      <w:r w:rsidR="004E3832" w:rsidRPr="00647752">
        <w:rPr>
          <w:rFonts w:ascii="Times New Roman" w:hAnsi="Times New Roman" w:cs="Times New Roman"/>
          <w:sz w:val="22"/>
          <w:szCs w:val="22"/>
          <w:lang w:val="en-GB"/>
        </w:rPr>
        <w:t xml:space="preserve">s aimed at providing greater access to justice for women, including victims of </w:t>
      </w:r>
      <w:r w:rsidR="00B61D2C" w:rsidRPr="00647752">
        <w:rPr>
          <w:rFonts w:ascii="Times New Roman" w:hAnsi="Times New Roman" w:cs="Times New Roman"/>
          <w:sz w:val="22"/>
          <w:szCs w:val="22"/>
          <w:lang w:val="en-GB"/>
        </w:rPr>
        <w:t>GBV</w:t>
      </w:r>
      <w:r w:rsidR="004E3832" w:rsidRPr="00647752">
        <w:rPr>
          <w:rFonts w:ascii="Times New Roman" w:hAnsi="Times New Roman" w:cs="Times New Roman"/>
          <w:sz w:val="22"/>
          <w:szCs w:val="22"/>
          <w:lang w:val="en-GB"/>
        </w:rPr>
        <w:t>.</w:t>
      </w:r>
      <w:r w:rsidR="002E5013" w:rsidRPr="00647752">
        <w:rPr>
          <w:rFonts w:ascii="Times New Roman" w:hAnsi="Times New Roman" w:cs="Times New Roman"/>
          <w:sz w:val="22"/>
          <w:szCs w:val="22"/>
          <w:lang w:val="en-GB"/>
        </w:rPr>
        <w:t xml:space="preserve"> For example, </w:t>
      </w:r>
      <w:r w:rsidR="00774CE2" w:rsidRPr="00647752">
        <w:rPr>
          <w:rFonts w:ascii="Times New Roman" w:hAnsi="Times New Roman" w:cs="Times New Roman"/>
          <w:sz w:val="22"/>
          <w:szCs w:val="22"/>
          <w:lang w:val="en-GB"/>
        </w:rPr>
        <w:t>UNDP helped to enable women who have divorced their husbands to secure financial maintenanc</w:t>
      </w:r>
      <w:r>
        <w:rPr>
          <w:rFonts w:ascii="Times New Roman" w:hAnsi="Times New Roman" w:cs="Times New Roman"/>
          <w:sz w:val="22"/>
          <w:szCs w:val="22"/>
          <w:lang w:val="en-GB"/>
        </w:rPr>
        <w:t>e through its support for the PMF</w:t>
      </w:r>
      <w:r w:rsidR="00774CE2" w:rsidRPr="00647752">
        <w:rPr>
          <w:rFonts w:ascii="Times New Roman" w:hAnsi="Times New Roman" w:cs="Times New Roman"/>
          <w:sz w:val="22"/>
          <w:szCs w:val="22"/>
          <w:lang w:val="en-GB"/>
        </w:rPr>
        <w:t>.</w:t>
      </w:r>
      <w:r w:rsidR="00774CE2" w:rsidRPr="00647752">
        <w:rPr>
          <w:rStyle w:val="FootnoteReference"/>
          <w:rFonts w:ascii="Times New Roman" w:hAnsi="Times New Roman" w:cs="Times New Roman"/>
          <w:sz w:val="22"/>
          <w:szCs w:val="22"/>
          <w:lang w:val="en-GB"/>
        </w:rPr>
        <w:footnoteReference w:id="165"/>
      </w:r>
      <w:r w:rsidR="00774CE2" w:rsidRPr="00647752">
        <w:rPr>
          <w:rFonts w:ascii="Times New Roman" w:hAnsi="Times New Roman" w:cs="Times New Roman"/>
          <w:sz w:val="22"/>
          <w:szCs w:val="22"/>
          <w:lang w:val="en-GB"/>
        </w:rPr>
        <w:t>And</w:t>
      </w:r>
      <w:r w:rsidR="00D17935" w:rsidRPr="00647752">
        <w:rPr>
          <w:rFonts w:ascii="Times New Roman" w:hAnsi="Times New Roman" w:cs="Times New Roman"/>
          <w:sz w:val="22"/>
          <w:szCs w:val="22"/>
          <w:lang w:val="en-GB"/>
        </w:rPr>
        <w:t>, a</w:t>
      </w:r>
      <w:r w:rsidR="004E3832" w:rsidRPr="00647752">
        <w:rPr>
          <w:rFonts w:ascii="Times New Roman" w:hAnsi="Times New Roman" w:cs="Times New Roman"/>
          <w:sz w:val="22"/>
          <w:szCs w:val="22"/>
          <w:lang w:val="en-GB"/>
        </w:rPr>
        <w:t>t the law enforcement level, the</w:t>
      </w:r>
      <w:r w:rsidR="002E7823" w:rsidRPr="00647752">
        <w:rPr>
          <w:rFonts w:ascii="Times New Roman" w:hAnsi="Times New Roman" w:cs="Times New Roman"/>
          <w:sz w:val="22"/>
          <w:szCs w:val="22"/>
          <w:lang w:val="en-GB"/>
        </w:rPr>
        <w:t xml:space="preserve"> UNDP/EUPOL COPPS Joint Programme</w:t>
      </w:r>
      <w:r>
        <w:rPr>
          <w:rFonts w:ascii="Times New Roman" w:hAnsi="Times New Roman" w:cs="Times New Roman"/>
          <w:sz w:val="22"/>
          <w:szCs w:val="22"/>
          <w:lang w:val="en-GB"/>
        </w:rPr>
        <w:t xml:space="preserve"> helped the PCP establish a gender u</w:t>
      </w:r>
      <w:r w:rsidR="004E3832" w:rsidRPr="00647752">
        <w:rPr>
          <w:rFonts w:ascii="Times New Roman" w:hAnsi="Times New Roman" w:cs="Times New Roman"/>
          <w:sz w:val="22"/>
          <w:szCs w:val="22"/>
          <w:lang w:val="en-GB"/>
        </w:rPr>
        <w:t>nit, the first of its kind in the Arab world.</w:t>
      </w:r>
      <w:r w:rsidR="00D17935" w:rsidRPr="00647752">
        <w:rPr>
          <w:rFonts w:ascii="Times New Roman" w:hAnsi="Times New Roman" w:cs="Times New Roman"/>
          <w:sz w:val="22"/>
          <w:szCs w:val="22"/>
          <w:lang w:val="en-GB"/>
        </w:rPr>
        <w:t xml:space="preserve"> The unit is designed to promote and integrate issues related to gender throughout the police force</w:t>
      </w:r>
      <w:r>
        <w:rPr>
          <w:rFonts w:ascii="Times New Roman" w:hAnsi="Times New Roman" w:cs="Times New Roman"/>
          <w:sz w:val="22"/>
          <w:szCs w:val="22"/>
          <w:lang w:val="en-GB"/>
        </w:rPr>
        <w:t xml:space="preserve"> - </w:t>
      </w:r>
      <w:r w:rsidR="00774CE2" w:rsidRPr="00647752">
        <w:rPr>
          <w:rFonts w:ascii="Times New Roman" w:hAnsi="Times New Roman" w:cs="Times New Roman"/>
          <w:sz w:val="22"/>
          <w:szCs w:val="22"/>
          <w:lang w:val="en-GB"/>
        </w:rPr>
        <w:t>including, presumably, sensitivity to</w:t>
      </w:r>
      <w:r>
        <w:rPr>
          <w:rFonts w:ascii="Times New Roman" w:hAnsi="Times New Roman" w:cs="Times New Roman"/>
          <w:sz w:val="22"/>
          <w:szCs w:val="22"/>
          <w:lang w:val="en-GB"/>
        </w:rPr>
        <w:t xml:space="preserve"> GBV i</w:t>
      </w:r>
      <w:r w:rsidR="00774CE2" w:rsidRPr="00647752">
        <w:rPr>
          <w:rFonts w:ascii="Times New Roman" w:hAnsi="Times New Roman" w:cs="Times New Roman"/>
          <w:sz w:val="22"/>
          <w:szCs w:val="22"/>
          <w:lang w:val="en-GB"/>
        </w:rPr>
        <w:t>ssues</w:t>
      </w:r>
      <w:r w:rsidR="004E3832" w:rsidRPr="00647752">
        <w:rPr>
          <w:rFonts w:ascii="Times New Roman" w:hAnsi="Times New Roman" w:cs="Times New Roman"/>
          <w:sz w:val="22"/>
          <w:szCs w:val="22"/>
          <w:lang w:val="en-GB"/>
        </w:rPr>
        <w:t>.</w:t>
      </w:r>
      <w:r w:rsidR="004E3832" w:rsidRPr="00647752">
        <w:rPr>
          <w:rStyle w:val="FootnoteReference"/>
          <w:rFonts w:ascii="Times New Roman" w:hAnsi="Times New Roman" w:cs="Times New Roman"/>
          <w:sz w:val="22"/>
          <w:szCs w:val="22"/>
          <w:lang w:val="en-GB"/>
        </w:rPr>
        <w:footnoteReference w:id="166"/>
      </w:r>
      <w:r w:rsidR="00D76037" w:rsidRPr="00647752">
        <w:rPr>
          <w:rFonts w:ascii="Times New Roman" w:eastAsiaTheme="minorEastAsia" w:hAnsi="Times New Roman" w:cstheme="minorBidi"/>
          <w:sz w:val="22"/>
          <w:szCs w:val="24"/>
          <w:lang w:val="en-GB" w:eastAsia="ja-JP"/>
        </w:rPr>
        <w:t>UNDP drew upon its assessments of the needs of the PBA and female lawyers to determine what were the training needs for legal professionals on gender cases. EUPOL COPPS served as th</w:t>
      </w:r>
      <w:r w:rsidR="002B0388">
        <w:rPr>
          <w:rFonts w:ascii="Times New Roman" w:eastAsiaTheme="minorEastAsia" w:hAnsi="Times New Roman" w:cstheme="minorBidi"/>
          <w:sz w:val="22"/>
          <w:szCs w:val="24"/>
          <w:lang w:val="en-GB" w:eastAsia="ja-JP"/>
        </w:rPr>
        <w:t>e main source of information regarding</w:t>
      </w:r>
      <w:r w:rsidR="00D76037" w:rsidRPr="00647752">
        <w:rPr>
          <w:rFonts w:ascii="Times New Roman" w:eastAsiaTheme="minorEastAsia" w:hAnsi="Times New Roman" w:cstheme="minorBidi"/>
          <w:sz w:val="22"/>
          <w:szCs w:val="24"/>
          <w:lang w:val="en-GB" w:eastAsia="ja-JP"/>
        </w:rPr>
        <w:t xml:space="preserve"> the training needs of law e</w:t>
      </w:r>
      <w:r w:rsidR="002B0388">
        <w:rPr>
          <w:rFonts w:ascii="Times New Roman" w:eastAsiaTheme="minorEastAsia" w:hAnsi="Times New Roman" w:cstheme="minorBidi"/>
          <w:sz w:val="22"/>
          <w:szCs w:val="24"/>
          <w:lang w:val="en-GB" w:eastAsia="ja-JP"/>
        </w:rPr>
        <w:t>nforcement officers on GBV.</w:t>
      </w:r>
    </w:p>
    <w:p w:rsidR="00983CFA" w:rsidRDefault="00983CFA" w:rsidP="00FB6759">
      <w:pPr>
        <w:spacing w:after="0" w:line="240" w:lineRule="auto"/>
        <w:jc w:val="both"/>
        <w:rPr>
          <w:rFonts w:ascii="Times New Roman" w:eastAsiaTheme="minorEastAsia" w:hAnsi="Times New Roman" w:cstheme="minorBidi"/>
          <w:sz w:val="22"/>
          <w:szCs w:val="24"/>
          <w:lang w:val="en-GB" w:eastAsia="ja-JP"/>
        </w:rPr>
      </w:pPr>
    </w:p>
    <w:p w:rsidR="002B0388" w:rsidRDefault="002B0388" w:rsidP="00FB6759">
      <w:pPr>
        <w:spacing w:after="0" w:line="240" w:lineRule="auto"/>
        <w:jc w:val="both"/>
        <w:rPr>
          <w:rFonts w:ascii="Times New Roman" w:eastAsiaTheme="minorEastAsia" w:hAnsi="Times New Roman" w:cstheme="minorBidi"/>
          <w:sz w:val="22"/>
          <w:szCs w:val="24"/>
          <w:lang w:val="en-GB" w:eastAsia="ja-JP"/>
        </w:rPr>
      </w:pPr>
      <w:r>
        <w:rPr>
          <w:rFonts w:ascii="Times New Roman" w:eastAsiaTheme="minorEastAsia" w:hAnsi="Times New Roman" w:cstheme="minorBidi"/>
          <w:sz w:val="22"/>
          <w:szCs w:val="24"/>
          <w:lang w:val="en-GB" w:eastAsia="ja-JP"/>
        </w:rPr>
        <w:t>At the MOJ, t</w:t>
      </w:r>
      <w:r w:rsidR="00D76037" w:rsidRPr="00647752">
        <w:rPr>
          <w:rFonts w:ascii="Times New Roman" w:eastAsiaTheme="minorEastAsia" w:hAnsi="Times New Roman" w:cstheme="minorBidi"/>
          <w:sz w:val="22"/>
          <w:szCs w:val="24"/>
          <w:lang w:val="en-GB" w:eastAsia="ja-JP"/>
        </w:rPr>
        <w:t xml:space="preserve">he </w:t>
      </w:r>
      <w:r>
        <w:rPr>
          <w:rFonts w:ascii="Times New Roman" w:eastAsiaTheme="minorEastAsia" w:hAnsi="Times New Roman" w:cstheme="minorBidi"/>
          <w:sz w:val="22"/>
          <w:szCs w:val="24"/>
          <w:lang w:val="en-GB" w:eastAsia="ja-JP"/>
        </w:rPr>
        <w:t xml:space="preserve">gender expert </w:t>
      </w:r>
      <w:r w:rsidR="00D76037" w:rsidRPr="00647752">
        <w:rPr>
          <w:rFonts w:ascii="Times New Roman" w:eastAsiaTheme="minorEastAsia" w:hAnsi="Times New Roman" w:cstheme="minorBidi"/>
          <w:sz w:val="22"/>
          <w:szCs w:val="24"/>
          <w:lang w:val="en-GB" w:eastAsia="ja-JP"/>
        </w:rPr>
        <w:t xml:space="preserve">contributed to ensuring that development work undertaken </w:t>
      </w:r>
      <w:r>
        <w:rPr>
          <w:rFonts w:ascii="Times New Roman" w:eastAsiaTheme="minorEastAsia" w:hAnsi="Times New Roman" w:cstheme="minorBidi"/>
          <w:sz w:val="22"/>
          <w:szCs w:val="24"/>
          <w:lang w:val="en-GB" w:eastAsia="ja-JP"/>
        </w:rPr>
        <w:t>by the Department of Forensic Medicine</w:t>
      </w:r>
      <w:r w:rsidR="00D76037" w:rsidRPr="00647752">
        <w:rPr>
          <w:rFonts w:ascii="Times New Roman" w:eastAsiaTheme="minorEastAsia" w:hAnsi="Times New Roman" w:cstheme="minorBidi"/>
          <w:sz w:val="22"/>
          <w:szCs w:val="24"/>
          <w:lang w:val="en-GB" w:eastAsia="ja-JP"/>
        </w:rPr>
        <w:t>, supported by UNODC, reflects gender sensitivity and balance</w:t>
      </w:r>
      <w:r>
        <w:rPr>
          <w:rFonts w:ascii="Times New Roman" w:eastAsiaTheme="minorEastAsia" w:hAnsi="Times New Roman" w:cstheme="minorBidi"/>
          <w:sz w:val="22"/>
          <w:szCs w:val="24"/>
          <w:lang w:val="en-GB" w:eastAsia="ja-JP"/>
        </w:rPr>
        <w:t>. For example, she</w:t>
      </w:r>
      <w:r w:rsidR="00D76037" w:rsidRPr="00647752">
        <w:rPr>
          <w:rFonts w:ascii="Times New Roman" w:eastAsiaTheme="minorEastAsia" w:hAnsi="Times New Roman" w:cstheme="minorBidi"/>
          <w:sz w:val="22"/>
          <w:szCs w:val="24"/>
          <w:lang w:val="en-GB" w:eastAsia="ja-JP"/>
        </w:rPr>
        <w:t xml:space="preserve"> has pushed for gender balance of forensic doctors who perform examination</w:t>
      </w:r>
      <w:r>
        <w:rPr>
          <w:rFonts w:ascii="Times New Roman" w:eastAsiaTheme="minorEastAsia" w:hAnsi="Times New Roman" w:cstheme="minorBidi"/>
          <w:sz w:val="22"/>
          <w:szCs w:val="24"/>
          <w:lang w:val="en-GB" w:eastAsia="ja-JP"/>
        </w:rPr>
        <w:t>s</w:t>
      </w:r>
      <w:r w:rsidR="00D76037" w:rsidRPr="00647752">
        <w:rPr>
          <w:rFonts w:ascii="Times New Roman" w:eastAsiaTheme="minorEastAsia" w:hAnsi="Times New Roman" w:cstheme="minorBidi"/>
          <w:sz w:val="22"/>
          <w:szCs w:val="24"/>
          <w:lang w:val="en-GB" w:eastAsia="ja-JP"/>
        </w:rPr>
        <w:t xml:space="preserve"> of women victims of cri</w:t>
      </w:r>
      <w:r>
        <w:rPr>
          <w:rFonts w:ascii="Times New Roman" w:eastAsiaTheme="minorEastAsia" w:hAnsi="Times New Roman" w:cstheme="minorBidi"/>
          <w:sz w:val="22"/>
          <w:szCs w:val="24"/>
          <w:lang w:val="en-GB" w:eastAsia="ja-JP"/>
        </w:rPr>
        <w:t xml:space="preserve">me. All the forensic doctors </w:t>
      </w:r>
      <w:r w:rsidR="00D76037" w:rsidRPr="00647752">
        <w:rPr>
          <w:rFonts w:ascii="Times New Roman" w:eastAsiaTheme="minorEastAsia" w:hAnsi="Times New Roman" w:cstheme="minorBidi"/>
          <w:sz w:val="22"/>
          <w:szCs w:val="24"/>
          <w:lang w:val="en-GB" w:eastAsia="ja-JP"/>
        </w:rPr>
        <w:t xml:space="preserve">are currently men and they perform the examinations on women who have been raped. </w:t>
      </w:r>
      <w:r>
        <w:rPr>
          <w:rFonts w:ascii="Times New Roman" w:eastAsiaTheme="minorEastAsia" w:hAnsi="Times New Roman" w:cstheme="minorBidi"/>
          <w:sz w:val="22"/>
          <w:szCs w:val="24"/>
          <w:lang w:val="en-GB" w:eastAsia="ja-JP"/>
        </w:rPr>
        <w:t>The gender expert</w:t>
      </w:r>
      <w:r w:rsidR="00D76037" w:rsidRPr="00647752">
        <w:rPr>
          <w:rFonts w:ascii="Times New Roman" w:eastAsiaTheme="minorEastAsia" w:hAnsi="Times New Roman" w:cstheme="minorBidi"/>
          <w:sz w:val="22"/>
          <w:szCs w:val="24"/>
          <w:lang w:val="en-GB" w:eastAsia="ja-JP"/>
        </w:rPr>
        <w:t xml:space="preserve"> has lobbied to ensure that </w:t>
      </w:r>
      <w:r>
        <w:rPr>
          <w:rFonts w:ascii="Times New Roman" w:eastAsiaTheme="minorEastAsia" w:hAnsi="Times New Roman" w:cstheme="minorBidi"/>
          <w:sz w:val="22"/>
          <w:szCs w:val="24"/>
          <w:lang w:val="en-GB" w:eastAsia="ja-JP"/>
        </w:rPr>
        <w:t>female doctors are recruited, resulting in four</w:t>
      </w:r>
      <w:r w:rsidR="00D76037" w:rsidRPr="00647752">
        <w:rPr>
          <w:rFonts w:ascii="Times New Roman" w:eastAsiaTheme="minorEastAsia" w:hAnsi="Times New Roman" w:cstheme="minorBidi"/>
          <w:sz w:val="22"/>
          <w:szCs w:val="24"/>
          <w:lang w:val="en-GB" w:eastAsia="ja-JP"/>
        </w:rPr>
        <w:t xml:space="preserve"> women being identified</w:t>
      </w:r>
      <w:r w:rsidR="002E5013" w:rsidRPr="00647752">
        <w:rPr>
          <w:rFonts w:ascii="Times New Roman" w:eastAsiaTheme="minorEastAsia" w:hAnsi="Times New Roman" w:cstheme="minorBidi"/>
          <w:sz w:val="22"/>
          <w:szCs w:val="24"/>
          <w:lang w:val="en-GB" w:eastAsia="ja-JP"/>
        </w:rPr>
        <w:t xml:space="preserve"> for hire with UNDOC </w:t>
      </w:r>
      <w:r>
        <w:rPr>
          <w:rFonts w:ascii="Times New Roman" w:eastAsiaTheme="minorEastAsia" w:hAnsi="Times New Roman" w:cstheme="minorBidi"/>
          <w:sz w:val="22"/>
          <w:szCs w:val="24"/>
          <w:lang w:val="en-GB" w:eastAsia="ja-JP"/>
        </w:rPr>
        <w:t>provided training.</w:t>
      </w:r>
    </w:p>
    <w:p w:rsidR="002B0388" w:rsidRDefault="002B0388" w:rsidP="00FB6759">
      <w:pPr>
        <w:spacing w:after="0" w:line="240" w:lineRule="auto"/>
        <w:jc w:val="both"/>
        <w:rPr>
          <w:rFonts w:ascii="Times New Roman" w:eastAsiaTheme="minorEastAsia" w:hAnsi="Times New Roman" w:cstheme="minorBidi"/>
          <w:sz w:val="22"/>
          <w:szCs w:val="24"/>
          <w:lang w:val="en-GB" w:eastAsia="ja-JP"/>
        </w:rPr>
      </w:pPr>
    </w:p>
    <w:p w:rsidR="002B0388" w:rsidRDefault="002B0388" w:rsidP="00FB6759">
      <w:pPr>
        <w:spacing w:after="0" w:line="240" w:lineRule="auto"/>
        <w:jc w:val="both"/>
        <w:rPr>
          <w:rFonts w:ascii="Times New Roman" w:eastAsiaTheme="minorEastAsia" w:hAnsi="Times New Roman" w:cstheme="minorBidi"/>
          <w:sz w:val="22"/>
          <w:szCs w:val="24"/>
          <w:lang w:val="en-GB" w:eastAsia="ja-JP"/>
        </w:rPr>
      </w:pPr>
    </w:p>
    <w:p w:rsidR="00D76037" w:rsidRPr="00647752" w:rsidRDefault="002B0388" w:rsidP="00FB6759">
      <w:pPr>
        <w:spacing w:after="0" w:line="240" w:lineRule="auto"/>
        <w:jc w:val="both"/>
        <w:rPr>
          <w:rFonts w:ascii="Times New Roman" w:eastAsiaTheme="minorEastAsia" w:hAnsi="Times New Roman" w:cstheme="minorBidi"/>
          <w:sz w:val="22"/>
          <w:szCs w:val="24"/>
          <w:lang w:val="en-GB" w:eastAsia="ja-JP"/>
        </w:rPr>
      </w:pPr>
      <w:r>
        <w:rPr>
          <w:rFonts w:ascii="Times New Roman" w:eastAsiaTheme="minorEastAsia" w:hAnsi="Times New Roman" w:cstheme="minorBidi"/>
          <w:sz w:val="22"/>
          <w:szCs w:val="24"/>
          <w:lang w:val="en-GB" w:eastAsia="ja-JP"/>
        </w:rPr>
        <w:lastRenderedPageBreak/>
        <w:t>Through the Stabilisation Fund, UNDP provides a female</w:t>
      </w:r>
      <w:r w:rsidR="003C161D" w:rsidRPr="00647752">
        <w:rPr>
          <w:rFonts w:ascii="Times New Roman" w:eastAsiaTheme="minorEastAsia" w:hAnsi="Times New Roman" w:cstheme="minorBidi"/>
          <w:sz w:val="22"/>
          <w:szCs w:val="24"/>
          <w:lang w:val="en-GB" w:eastAsia="ja-JP"/>
        </w:rPr>
        <w:t xml:space="preserve"> lawyer </w:t>
      </w:r>
      <w:r>
        <w:rPr>
          <w:rFonts w:ascii="Times New Roman" w:eastAsiaTheme="minorEastAsia" w:hAnsi="Times New Roman" w:cstheme="minorBidi"/>
          <w:sz w:val="22"/>
          <w:szCs w:val="24"/>
          <w:lang w:val="en-GB" w:eastAsia="ja-JP"/>
        </w:rPr>
        <w:t>to the Department of Forensic Medicine to</w:t>
      </w:r>
      <w:r w:rsidR="003C161D" w:rsidRPr="00647752">
        <w:rPr>
          <w:rFonts w:ascii="Times New Roman" w:eastAsiaTheme="minorEastAsia" w:hAnsi="Times New Roman" w:cstheme="minorBidi"/>
          <w:sz w:val="22"/>
          <w:szCs w:val="24"/>
          <w:lang w:val="en-GB" w:eastAsia="ja-JP"/>
        </w:rPr>
        <w:t xml:space="preserve"> t</w:t>
      </w:r>
      <w:r>
        <w:rPr>
          <w:rFonts w:ascii="Times New Roman" w:eastAsiaTheme="minorEastAsia" w:hAnsi="Times New Roman" w:cstheme="minorBidi"/>
          <w:sz w:val="22"/>
          <w:szCs w:val="24"/>
          <w:lang w:val="en-GB" w:eastAsia="ja-JP"/>
        </w:rPr>
        <w:t>ake statements from victims of GBV. In conjunction with the Gender Unit, it also supported the department to develop its procedure. Thanks to UNDP’s interventions, all aspects of the forensic medicine training manual now reflect and emphasise gender sensitivity and gender balance</w:t>
      </w:r>
      <w:r w:rsidR="00FD3C19">
        <w:rPr>
          <w:rFonts w:ascii="Times New Roman" w:eastAsiaTheme="minorEastAsia" w:hAnsi="Times New Roman" w:cstheme="minorBidi"/>
          <w:sz w:val="22"/>
          <w:szCs w:val="24"/>
          <w:lang w:val="en-GB" w:eastAsia="ja-JP"/>
        </w:rPr>
        <w:t xml:space="preserve"> </w:t>
      </w:r>
      <w:r w:rsidR="00D76037" w:rsidRPr="00647752">
        <w:rPr>
          <w:rFonts w:ascii="Times New Roman" w:eastAsiaTheme="minorEastAsia" w:hAnsi="Times New Roman" w:cstheme="minorBidi"/>
          <w:sz w:val="22"/>
          <w:szCs w:val="24"/>
          <w:lang w:val="en-GB" w:eastAsia="ja-JP"/>
        </w:rPr>
        <w:t xml:space="preserve">in this area where women are underrepresented yet needed to make the work on crimes against women more effective.  </w:t>
      </w:r>
    </w:p>
    <w:p w:rsidR="002B0388" w:rsidRDefault="002B0388" w:rsidP="00FB6759">
      <w:pPr>
        <w:spacing w:after="0" w:line="240" w:lineRule="auto"/>
        <w:jc w:val="both"/>
        <w:rPr>
          <w:rFonts w:ascii="Times New Roman" w:eastAsiaTheme="minorEastAsia" w:hAnsi="Times New Roman" w:cstheme="minorBidi"/>
          <w:sz w:val="22"/>
          <w:szCs w:val="24"/>
          <w:lang w:val="en-GB" w:eastAsia="ja-JP"/>
        </w:rPr>
      </w:pPr>
    </w:p>
    <w:p w:rsidR="00773D5E" w:rsidRPr="00773D5E" w:rsidRDefault="00D76037" w:rsidP="00FB6759">
      <w:pPr>
        <w:spacing w:after="0" w:line="240" w:lineRule="auto"/>
        <w:jc w:val="both"/>
        <w:rPr>
          <w:rFonts w:ascii="Times New Roman" w:eastAsiaTheme="minorEastAsia" w:hAnsi="Times New Roman" w:cstheme="minorBidi"/>
          <w:sz w:val="22"/>
          <w:szCs w:val="24"/>
          <w:lang w:val="en-GB" w:eastAsia="ja-JP"/>
        </w:rPr>
      </w:pPr>
      <w:r w:rsidRPr="00647752">
        <w:rPr>
          <w:rFonts w:ascii="Times New Roman" w:eastAsiaTheme="minorEastAsia" w:hAnsi="Times New Roman" w:cstheme="minorBidi"/>
          <w:sz w:val="22"/>
          <w:szCs w:val="24"/>
          <w:lang w:val="en-GB" w:eastAsia="ja-JP"/>
        </w:rPr>
        <w:t xml:space="preserve">UNDP experts </w:t>
      </w:r>
      <w:r w:rsidR="00773D5E">
        <w:rPr>
          <w:rFonts w:ascii="Times New Roman" w:eastAsiaTheme="minorEastAsia" w:hAnsi="Times New Roman" w:cstheme="minorBidi"/>
          <w:sz w:val="22"/>
          <w:szCs w:val="24"/>
          <w:lang w:val="en-GB" w:eastAsia="ja-JP"/>
        </w:rPr>
        <w:t>also clarified the role of the MOJ in the child p</w:t>
      </w:r>
      <w:r w:rsidRPr="00647752">
        <w:rPr>
          <w:rFonts w:ascii="Times New Roman" w:eastAsiaTheme="minorEastAsia" w:hAnsi="Times New Roman" w:cstheme="minorBidi"/>
          <w:sz w:val="22"/>
          <w:szCs w:val="24"/>
          <w:lang w:val="en-GB" w:eastAsia="ja-JP"/>
        </w:rPr>
        <w:t>ro</w:t>
      </w:r>
      <w:r w:rsidR="00773D5E">
        <w:rPr>
          <w:rFonts w:ascii="Times New Roman" w:eastAsiaTheme="minorEastAsia" w:hAnsi="Times New Roman" w:cstheme="minorBidi"/>
          <w:sz w:val="22"/>
          <w:szCs w:val="24"/>
          <w:lang w:val="en-GB" w:eastAsia="ja-JP"/>
        </w:rPr>
        <w:t xml:space="preserve">tection networks. </w:t>
      </w:r>
      <w:r w:rsidRPr="00647752">
        <w:rPr>
          <w:rFonts w:ascii="Times New Roman" w:eastAsiaTheme="minorEastAsia" w:hAnsi="Times New Roman" w:cstheme="minorBidi"/>
          <w:sz w:val="22"/>
          <w:szCs w:val="24"/>
          <w:lang w:val="en-GB" w:eastAsia="ja-JP"/>
        </w:rPr>
        <w:t>These networks</w:t>
      </w:r>
      <w:r w:rsidR="00773D5E">
        <w:rPr>
          <w:rFonts w:ascii="Times New Roman" w:eastAsiaTheme="minorEastAsia" w:hAnsi="Times New Roman" w:cstheme="minorBidi"/>
          <w:sz w:val="22"/>
          <w:szCs w:val="24"/>
          <w:lang w:val="en-GB" w:eastAsia="ja-JP"/>
        </w:rPr>
        <w:t xml:space="preserve"> coordinate the efforts of government and CSOs</w:t>
      </w:r>
      <w:r w:rsidRPr="00647752">
        <w:rPr>
          <w:rFonts w:ascii="Times New Roman" w:eastAsiaTheme="minorEastAsia" w:hAnsi="Times New Roman" w:cstheme="minorBidi"/>
          <w:sz w:val="22"/>
          <w:szCs w:val="24"/>
          <w:lang w:val="en-GB" w:eastAsia="ja-JP"/>
        </w:rPr>
        <w:t xml:space="preserve"> to </w:t>
      </w:r>
      <w:r w:rsidR="00773D5E">
        <w:rPr>
          <w:rFonts w:ascii="Times New Roman" w:eastAsiaTheme="minorEastAsia" w:hAnsi="Times New Roman" w:cstheme="minorBidi"/>
          <w:sz w:val="22"/>
          <w:szCs w:val="24"/>
          <w:lang w:val="en-GB" w:eastAsia="ja-JP"/>
        </w:rPr>
        <w:t xml:space="preserve">strengthen coordination and improve services. </w:t>
      </w:r>
      <w:r w:rsidRPr="00647752">
        <w:rPr>
          <w:rFonts w:ascii="Times New Roman" w:eastAsiaTheme="minorEastAsia" w:hAnsi="Times New Roman" w:cstheme="minorBidi"/>
          <w:sz w:val="22"/>
          <w:szCs w:val="24"/>
          <w:lang w:val="en-GB" w:eastAsia="ja-JP"/>
        </w:rPr>
        <w:t xml:space="preserve">The </w:t>
      </w:r>
      <w:r w:rsidR="00773D5E">
        <w:rPr>
          <w:rFonts w:ascii="Times New Roman" w:eastAsiaTheme="minorEastAsia" w:hAnsi="Times New Roman" w:cstheme="minorBidi"/>
          <w:sz w:val="22"/>
          <w:szCs w:val="24"/>
          <w:lang w:val="en-GB" w:eastAsia="ja-JP"/>
        </w:rPr>
        <w:t>PCP has piloted new child protection units in Bethlehem and Hebron. While these units fall under the jurisdiction of the MOI, UNDP supported experts at the MOJ liaise with these units on a regular basis</w:t>
      </w:r>
      <w:r w:rsidR="00994C1E">
        <w:rPr>
          <w:rFonts w:ascii="Times New Roman" w:eastAsiaTheme="minorEastAsia" w:hAnsi="Times New Roman" w:cstheme="minorBidi"/>
          <w:sz w:val="22"/>
          <w:szCs w:val="24"/>
          <w:lang w:val="en-GB" w:eastAsia="ja-JP"/>
        </w:rPr>
        <w:t xml:space="preserve">. </w:t>
      </w:r>
      <w:r w:rsidR="00773D5E">
        <w:rPr>
          <w:rFonts w:ascii="Times New Roman" w:hAnsi="Times New Roman" w:cs="Times New Roman"/>
          <w:sz w:val="22"/>
          <w:szCs w:val="22"/>
          <w:lang w:val="en-GB"/>
        </w:rPr>
        <w:t>The role of the MO</w:t>
      </w:r>
      <w:r w:rsidRPr="00647752">
        <w:rPr>
          <w:rFonts w:ascii="Times New Roman" w:hAnsi="Times New Roman" w:cs="Times New Roman"/>
          <w:sz w:val="22"/>
          <w:szCs w:val="22"/>
          <w:lang w:val="en-GB"/>
        </w:rPr>
        <w:t>J pertaining to childhood protection and its presence</w:t>
      </w:r>
      <w:r w:rsidR="00773D5E">
        <w:rPr>
          <w:rFonts w:ascii="Times New Roman" w:hAnsi="Times New Roman" w:cs="Times New Roman"/>
          <w:sz w:val="22"/>
          <w:szCs w:val="22"/>
          <w:lang w:val="en-GB"/>
        </w:rPr>
        <w:t xml:space="preserve"> in these networks alerts the MO</w:t>
      </w:r>
      <w:r w:rsidRPr="00647752">
        <w:rPr>
          <w:rFonts w:ascii="Times New Roman" w:hAnsi="Times New Roman" w:cs="Times New Roman"/>
          <w:sz w:val="22"/>
          <w:szCs w:val="22"/>
          <w:lang w:val="en-GB"/>
        </w:rPr>
        <w:t xml:space="preserve">J to what the </w:t>
      </w:r>
      <w:r w:rsidR="00994C1E">
        <w:rPr>
          <w:rFonts w:ascii="Times New Roman" w:hAnsi="Times New Roman" w:cs="Times New Roman"/>
          <w:sz w:val="22"/>
          <w:szCs w:val="22"/>
          <w:lang w:val="en-GB"/>
        </w:rPr>
        <w:t>problems are with legislation. Meanwhile, the MO</w:t>
      </w:r>
      <w:r w:rsidRPr="00647752">
        <w:rPr>
          <w:rFonts w:ascii="Times New Roman" w:hAnsi="Times New Roman" w:cs="Times New Roman"/>
          <w:sz w:val="22"/>
          <w:szCs w:val="22"/>
          <w:lang w:val="en-GB"/>
        </w:rPr>
        <w:t>J ha</w:t>
      </w:r>
      <w:r w:rsidR="00773D5E">
        <w:rPr>
          <w:rFonts w:ascii="Times New Roman" w:hAnsi="Times New Roman" w:cs="Times New Roman"/>
          <w:sz w:val="22"/>
          <w:szCs w:val="22"/>
          <w:lang w:val="en-GB"/>
        </w:rPr>
        <w:t>s learned similarly about the MO</w:t>
      </w:r>
      <w:r w:rsidRPr="00647752">
        <w:rPr>
          <w:rFonts w:ascii="Times New Roman" w:hAnsi="Times New Roman" w:cs="Times New Roman"/>
          <w:sz w:val="22"/>
          <w:szCs w:val="22"/>
          <w:lang w:val="en-GB"/>
        </w:rPr>
        <w:t xml:space="preserve">I’s referral mechanism for the child protection safe houses. </w:t>
      </w:r>
    </w:p>
    <w:p w:rsidR="00233F59" w:rsidRPr="00647752" w:rsidRDefault="00233F59" w:rsidP="00FB6759">
      <w:pPr>
        <w:spacing w:after="0" w:line="240" w:lineRule="auto"/>
        <w:jc w:val="both"/>
        <w:rPr>
          <w:rFonts w:ascii="Times New Roman" w:hAnsi="Times New Roman" w:cs="Times New Roman"/>
          <w:sz w:val="22"/>
          <w:szCs w:val="22"/>
          <w:lang w:val="en-GB"/>
        </w:rPr>
      </w:pPr>
    </w:p>
    <w:p w:rsidR="00233F59" w:rsidRPr="00647752" w:rsidRDefault="00233F59" w:rsidP="00FB6759">
      <w:pPr>
        <w:spacing w:after="0" w:line="240" w:lineRule="auto"/>
        <w:jc w:val="both"/>
        <w:rPr>
          <w:rFonts w:ascii="Times New Roman" w:hAnsi="Times New Roman" w:cs="Times New Roman"/>
          <w:sz w:val="22"/>
          <w:szCs w:val="22"/>
          <w:lang w:val="en-GB"/>
        </w:rPr>
      </w:pPr>
      <w:r w:rsidRPr="00994C1E">
        <w:rPr>
          <w:rFonts w:ascii="Times New Roman" w:hAnsi="Times New Roman" w:cs="Times New Roman"/>
          <w:sz w:val="22"/>
          <w:szCs w:val="22"/>
          <w:lang w:val="en-GB"/>
        </w:rPr>
        <w:t>UNDP has supported training for the new Juvenile Police Units with a focus on the special needs of juveniles and the rights of children and adolescents in conflict with the law.</w:t>
      </w:r>
      <w:r w:rsidRPr="00994C1E">
        <w:rPr>
          <w:rStyle w:val="FootnoteReference"/>
          <w:rFonts w:ascii="Times New Roman" w:hAnsi="Times New Roman" w:cs="Times New Roman"/>
          <w:sz w:val="22"/>
          <w:szCs w:val="22"/>
          <w:lang w:val="en-GB"/>
        </w:rPr>
        <w:footnoteReference w:id="167"/>
      </w:r>
      <w:r w:rsidRPr="00994C1E">
        <w:rPr>
          <w:rFonts w:ascii="Times New Roman" w:hAnsi="Times New Roman" w:cs="Times New Roman"/>
          <w:sz w:val="22"/>
          <w:szCs w:val="22"/>
          <w:lang w:val="en-GB"/>
        </w:rPr>
        <w:t>UNDP has also provided material support, including child-friendly interview rooms and the development of standard operating procedures.</w:t>
      </w:r>
      <w:r w:rsidRPr="00994C1E">
        <w:rPr>
          <w:rStyle w:val="FootnoteReference"/>
          <w:rFonts w:ascii="Times New Roman" w:hAnsi="Times New Roman" w:cs="Times New Roman"/>
          <w:sz w:val="22"/>
          <w:szCs w:val="22"/>
          <w:lang w:val="en-GB"/>
        </w:rPr>
        <w:footnoteReference w:id="168"/>
      </w:r>
      <w:r w:rsidRPr="00994C1E">
        <w:rPr>
          <w:rFonts w:ascii="Times New Roman" w:hAnsi="Times New Roman" w:cs="Times New Roman"/>
          <w:sz w:val="22"/>
          <w:szCs w:val="22"/>
          <w:lang w:val="en-GB"/>
        </w:rPr>
        <w:t xml:space="preserve"> UNDP continues to work wit</w:t>
      </w:r>
      <w:r w:rsidR="00994C1E">
        <w:rPr>
          <w:rFonts w:ascii="Times New Roman" w:hAnsi="Times New Roman" w:cs="Times New Roman"/>
          <w:sz w:val="22"/>
          <w:szCs w:val="22"/>
          <w:lang w:val="en-GB"/>
        </w:rPr>
        <w:t>h MOSA</w:t>
      </w:r>
      <w:r w:rsidRPr="00994C1E">
        <w:rPr>
          <w:rFonts w:ascii="Times New Roman" w:hAnsi="Times New Roman" w:cs="Times New Roman"/>
          <w:sz w:val="22"/>
          <w:szCs w:val="22"/>
          <w:lang w:val="en-GB"/>
        </w:rPr>
        <w:t xml:space="preserve"> to establish a legal aid unit to</w:t>
      </w:r>
      <w:r w:rsidRPr="00647752">
        <w:rPr>
          <w:rFonts w:ascii="Times New Roman" w:hAnsi="Times New Roman" w:cs="Times New Roman"/>
          <w:sz w:val="22"/>
          <w:szCs w:val="22"/>
          <w:lang w:val="en-GB"/>
        </w:rPr>
        <w:t xml:space="preserve"> provide juveniles with free legal assistance.</w:t>
      </w:r>
      <w:r w:rsidRPr="00647752">
        <w:rPr>
          <w:rStyle w:val="FootnoteReference"/>
          <w:lang w:val="en-GB"/>
        </w:rPr>
        <w:footnoteReference w:id="169"/>
      </w:r>
    </w:p>
    <w:p w:rsidR="002E5013" w:rsidRPr="00647752" w:rsidRDefault="002E5013" w:rsidP="00FB6759">
      <w:pPr>
        <w:spacing w:after="0" w:line="240" w:lineRule="auto"/>
        <w:jc w:val="both"/>
        <w:rPr>
          <w:rFonts w:ascii="Times New Roman" w:hAnsi="Times New Roman" w:cs="Times New Roman"/>
          <w:sz w:val="22"/>
          <w:szCs w:val="22"/>
          <w:lang w:val="en-GB"/>
        </w:rPr>
      </w:pPr>
    </w:p>
    <w:p w:rsidR="00233F59" w:rsidRPr="00994C1E" w:rsidRDefault="00D76037" w:rsidP="00FB6759">
      <w:pPr>
        <w:spacing w:after="0" w:line="240" w:lineRule="auto"/>
        <w:jc w:val="both"/>
        <w:rPr>
          <w:rFonts w:ascii="Times New Roman" w:hAnsi="Times New Roman" w:cs="Times New Roman"/>
          <w:sz w:val="22"/>
          <w:szCs w:val="22"/>
          <w:lang w:val="en-GB"/>
        </w:rPr>
      </w:pPr>
      <w:r w:rsidRPr="00994C1E">
        <w:rPr>
          <w:rFonts w:ascii="Times New Roman" w:hAnsi="Times New Roman" w:cs="Times New Roman"/>
          <w:sz w:val="22"/>
          <w:szCs w:val="22"/>
          <w:lang w:val="en-GB"/>
        </w:rPr>
        <w:t>UNDP</w:t>
      </w:r>
      <w:r w:rsidR="00A31EA3" w:rsidRPr="00994C1E">
        <w:rPr>
          <w:rFonts w:ascii="Times New Roman" w:hAnsi="Times New Roman" w:cs="Times New Roman"/>
          <w:sz w:val="22"/>
          <w:szCs w:val="22"/>
          <w:lang w:val="en-GB"/>
        </w:rPr>
        <w:t xml:space="preserve"> acknowledged the importance of changing perceptions </w:t>
      </w:r>
      <w:r w:rsidR="00774CE2" w:rsidRPr="00994C1E">
        <w:rPr>
          <w:rFonts w:ascii="Times New Roman" w:hAnsi="Times New Roman" w:cs="Times New Roman"/>
          <w:sz w:val="22"/>
          <w:szCs w:val="22"/>
          <w:lang w:val="en-GB"/>
        </w:rPr>
        <w:t xml:space="preserve">and capabilities </w:t>
      </w:r>
      <w:r w:rsidR="00A31EA3" w:rsidRPr="00994C1E">
        <w:rPr>
          <w:rFonts w:ascii="Times New Roman" w:hAnsi="Times New Roman" w:cs="Times New Roman"/>
          <w:sz w:val="22"/>
          <w:szCs w:val="22"/>
          <w:lang w:val="en-GB"/>
        </w:rPr>
        <w:t xml:space="preserve">of legal practitioners with regard to </w:t>
      </w:r>
      <w:r w:rsidR="00B61D2C" w:rsidRPr="00994C1E">
        <w:rPr>
          <w:rFonts w:ascii="Times New Roman" w:hAnsi="Times New Roman" w:cs="Times New Roman"/>
          <w:sz w:val="22"/>
          <w:szCs w:val="22"/>
          <w:lang w:val="en-GB"/>
        </w:rPr>
        <w:t>GBV</w:t>
      </w:r>
      <w:r w:rsidR="00A31EA3" w:rsidRPr="00994C1E">
        <w:rPr>
          <w:rFonts w:ascii="Times New Roman" w:hAnsi="Times New Roman" w:cs="Times New Roman"/>
          <w:sz w:val="22"/>
          <w:szCs w:val="22"/>
          <w:lang w:val="en-GB"/>
        </w:rPr>
        <w:t>, including through the creation of more positions for female lawyers and judges.</w:t>
      </w:r>
      <w:r w:rsidR="00FD3C19">
        <w:rPr>
          <w:rFonts w:ascii="Times New Roman" w:hAnsi="Times New Roman" w:cs="Times New Roman"/>
          <w:sz w:val="22"/>
          <w:szCs w:val="22"/>
          <w:lang w:val="en-GB"/>
        </w:rPr>
        <w:t xml:space="preserve"> </w:t>
      </w:r>
      <w:r w:rsidR="002E7823" w:rsidRPr="00994C1E">
        <w:rPr>
          <w:rFonts w:ascii="Times New Roman" w:hAnsi="Times New Roman" w:cs="Times New Roman"/>
          <w:sz w:val="22"/>
          <w:szCs w:val="22"/>
          <w:lang w:val="en-GB"/>
        </w:rPr>
        <w:t>Last year,</w:t>
      </w:r>
      <w:r w:rsidR="00FD3C19">
        <w:rPr>
          <w:rFonts w:ascii="Times New Roman" w:hAnsi="Times New Roman" w:cs="Times New Roman"/>
          <w:sz w:val="22"/>
          <w:szCs w:val="22"/>
          <w:lang w:val="en-GB"/>
        </w:rPr>
        <w:t xml:space="preserve"> </w:t>
      </w:r>
      <w:r w:rsidR="00BD0DBA" w:rsidRPr="00994C1E">
        <w:rPr>
          <w:rFonts w:ascii="Times New Roman" w:hAnsi="Times New Roman" w:cs="Times New Roman"/>
          <w:sz w:val="22"/>
          <w:szCs w:val="22"/>
          <w:lang w:val="en-GB"/>
        </w:rPr>
        <w:t>UNDP entered into an</w:t>
      </w:r>
      <w:r w:rsidR="00994C1E" w:rsidRPr="00994C1E">
        <w:rPr>
          <w:rFonts w:ascii="Times New Roman" w:hAnsi="Times New Roman" w:cs="Times New Roman"/>
          <w:sz w:val="22"/>
          <w:szCs w:val="22"/>
          <w:lang w:val="en-GB"/>
        </w:rPr>
        <w:t xml:space="preserve"> agreement with the PBA</w:t>
      </w:r>
      <w:r w:rsidR="00BD0DBA" w:rsidRPr="00994C1E">
        <w:rPr>
          <w:rFonts w:ascii="Times New Roman" w:hAnsi="Times New Roman" w:cs="Times New Roman"/>
          <w:sz w:val="22"/>
          <w:szCs w:val="22"/>
          <w:lang w:val="en-GB"/>
        </w:rPr>
        <w:t xml:space="preserve"> to </w:t>
      </w:r>
      <w:r w:rsidR="004E3832" w:rsidRPr="00994C1E">
        <w:rPr>
          <w:rFonts w:ascii="Times New Roman" w:hAnsi="Times New Roman" w:cs="Times New Roman"/>
          <w:sz w:val="22"/>
          <w:szCs w:val="22"/>
          <w:lang w:val="en-GB"/>
        </w:rPr>
        <w:t>create a network for female lawyers, and conducted a study to determine why women are not well-represented in the legal professions</w:t>
      </w:r>
      <w:r w:rsidR="00BD0DBA" w:rsidRPr="00994C1E">
        <w:rPr>
          <w:rFonts w:ascii="Times New Roman" w:hAnsi="Times New Roman" w:cs="Times New Roman"/>
          <w:sz w:val="22"/>
          <w:szCs w:val="22"/>
          <w:lang w:val="en-GB"/>
        </w:rPr>
        <w:t>.</w:t>
      </w:r>
      <w:r w:rsidR="00BD0DBA" w:rsidRPr="00994C1E">
        <w:rPr>
          <w:rStyle w:val="FootnoteReference"/>
          <w:rFonts w:ascii="Times New Roman" w:hAnsi="Times New Roman" w:cs="Times New Roman"/>
          <w:sz w:val="22"/>
          <w:szCs w:val="22"/>
          <w:lang w:val="en-GB"/>
        </w:rPr>
        <w:footnoteReference w:id="170"/>
      </w:r>
      <w:r w:rsidR="00994C1E" w:rsidRPr="00994C1E">
        <w:rPr>
          <w:rFonts w:ascii="Times New Roman" w:hAnsi="Times New Roman" w:cs="Times New Roman"/>
          <w:sz w:val="22"/>
          <w:szCs w:val="22"/>
          <w:lang w:val="en-GB"/>
        </w:rPr>
        <w:t xml:space="preserve"> With regard to training, </w:t>
      </w:r>
      <w:r w:rsidR="004E3832" w:rsidRPr="00994C1E">
        <w:rPr>
          <w:rFonts w:ascii="Times New Roman" w:hAnsi="Times New Roman" w:cs="Times New Roman"/>
          <w:sz w:val="22"/>
          <w:szCs w:val="22"/>
          <w:lang w:val="en-GB"/>
        </w:rPr>
        <w:t>the PBA’s Continuous Training Programme specifically aimed at gender and juvenile justice, including issues related to gender-based violence.</w:t>
      </w:r>
      <w:r w:rsidR="004E3832" w:rsidRPr="00994C1E">
        <w:rPr>
          <w:rStyle w:val="FootnoteReference"/>
          <w:rFonts w:ascii="Times New Roman" w:hAnsi="Times New Roman" w:cs="Times New Roman"/>
          <w:sz w:val="22"/>
          <w:szCs w:val="22"/>
          <w:lang w:val="en-GB"/>
        </w:rPr>
        <w:footnoteReference w:id="171"/>
      </w:r>
      <w:r w:rsidR="00233F59" w:rsidRPr="00994C1E">
        <w:rPr>
          <w:rFonts w:ascii="Times New Roman" w:hAnsi="Times New Roman" w:cs="Times New Roman"/>
          <w:sz w:val="22"/>
          <w:szCs w:val="22"/>
          <w:lang w:val="en-GB"/>
        </w:rPr>
        <w:t xml:space="preserve"> UNDP is also supporting Birzeit University’s Institute of Law (as part of Output 3.4) on a pair of studies aimed at determinin</w:t>
      </w:r>
      <w:r w:rsidR="00994C1E" w:rsidRPr="00994C1E">
        <w:rPr>
          <w:rFonts w:ascii="Times New Roman" w:hAnsi="Times New Roman" w:cs="Times New Roman"/>
          <w:sz w:val="22"/>
          <w:szCs w:val="22"/>
          <w:lang w:val="en-GB"/>
        </w:rPr>
        <w:t>g the ways in which women utilis</w:t>
      </w:r>
      <w:r w:rsidR="00233F59" w:rsidRPr="00994C1E">
        <w:rPr>
          <w:rFonts w:ascii="Times New Roman" w:hAnsi="Times New Roman" w:cs="Times New Roman"/>
          <w:sz w:val="22"/>
          <w:szCs w:val="22"/>
          <w:lang w:val="en-GB"/>
        </w:rPr>
        <w:t>e the formal justice sector to defend their rights and to evaluate prevailing social attitudes towards gender justice.</w:t>
      </w:r>
      <w:r w:rsidR="00233F59" w:rsidRPr="00994C1E">
        <w:rPr>
          <w:rStyle w:val="FootnoteReference"/>
          <w:rFonts w:ascii="Times New Roman" w:hAnsi="Times New Roman" w:cs="Times New Roman"/>
          <w:sz w:val="22"/>
          <w:szCs w:val="22"/>
          <w:lang w:val="en-GB"/>
        </w:rPr>
        <w:footnoteReference w:id="172"/>
      </w:r>
    </w:p>
    <w:p w:rsidR="009F7563" w:rsidRPr="00647752" w:rsidRDefault="009F7563" w:rsidP="00FB6759">
      <w:pPr>
        <w:spacing w:after="0" w:line="240" w:lineRule="auto"/>
        <w:jc w:val="both"/>
        <w:rPr>
          <w:rFonts w:ascii="Times New Roman" w:hAnsi="Times New Roman" w:cs="Times New Roman"/>
          <w:sz w:val="22"/>
          <w:szCs w:val="22"/>
          <w:lang w:val="en-GB"/>
        </w:rPr>
      </w:pPr>
    </w:p>
    <w:p w:rsidR="009F7563" w:rsidRPr="00647752" w:rsidRDefault="009F7563" w:rsidP="00FB6759">
      <w:pPr>
        <w:spacing w:after="0" w:line="240" w:lineRule="auto"/>
        <w:jc w:val="both"/>
        <w:rPr>
          <w:rFonts w:ascii="Times New Roman" w:hAnsi="Times New Roman" w:cs="Times New Roman"/>
          <w:i/>
          <w:sz w:val="22"/>
          <w:szCs w:val="22"/>
          <w:lang w:val="en-GB"/>
        </w:rPr>
      </w:pPr>
      <w:r w:rsidRPr="00647752">
        <w:rPr>
          <w:rFonts w:ascii="Times New Roman" w:hAnsi="Times New Roman" w:cs="Times New Roman"/>
          <w:i/>
          <w:sz w:val="22"/>
          <w:szCs w:val="22"/>
          <w:lang w:val="en-GB"/>
        </w:rPr>
        <w:t>Palestinian Maintenance Fund</w:t>
      </w:r>
    </w:p>
    <w:p w:rsidR="00994C1E" w:rsidRDefault="00994C1E" w:rsidP="00FB6759">
      <w:pPr>
        <w:spacing w:after="0" w:line="240" w:lineRule="auto"/>
        <w:jc w:val="both"/>
        <w:rPr>
          <w:rFonts w:ascii="Times New Roman" w:hAnsi="Times New Roman" w:cs="Times New Roman"/>
          <w:sz w:val="22"/>
          <w:szCs w:val="22"/>
          <w:lang w:val="en-GB"/>
        </w:rPr>
      </w:pPr>
    </w:p>
    <w:p w:rsidR="009F7563" w:rsidRPr="00647752" w:rsidRDefault="009F7563" w:rsidP="00FB6759">
      <w:pPr>
        <w:spacing w:after="0" w:line="240" w:lineRule="auto"/>
        <w:jc w:val="both"/>
        <w:rPr>
          <w:rFonts w:ascii="Times New Roman" w:hAnsi="Times New Roman" w:cs="Times New Roman"/>
          <w:sz w:val="22"/>
          <w:szCs w:val="22"/>
          <w:lang w:val="en-GB"/>
        </w:rPr>
      </w:pPr>
      <w:r w:rsidRPr="00994C1E">
        <w:rPr>
          <w:rFonts w:ascii="Times New Roman" w:hAnsi="Times New Roman" w:cs="Times New Roman"/>
          <w:sz w:val="22"/>
          <w:szCs w:val="22"/>
          <w:lang w:val="en-GB"/>
        </w:rPr>
        <w:t xml:space="preserve">The </w:t>
      </w:r>
      <w:r w:rsidR="000D6EA3">
        <w:rPr>
          <w:rFonts w:ascii="Times New Roman" w:hAnsi="Times New Roman" w:cs="Times New Roman"/>
          <w:sz w:val="22"/>
          <w:szCs w:val="22"/>
          <w:lang w:val="en-GB"/>
        </w:rPr>
        <w:t>PMF</w:t>
      </w:r>
      <w:r w:rsidRPr="00994C1E">
        <w:rPr>
          <w:rFonts w:ascii="Times New Roman" w:hAnsi="Times New Roman" w:cs="Times New Roman"/>
          <w:sz w:val="22"/>
          <w:szCs w:val="22"/>
          <w:lang w:val="en-GB"/>
        </w:rPr>
        <w:t>(formerly a</w:t>
      </w:r>
      <w:r w:rsidR="000D6EA3">
        <w:rPr>
          <w:rFonts w:ascii="Times New Roman" w:hAnsi="Times New Roman" w:cs="Times New Roman"/>
          <w:sz w:val="22"/>
          <w:szCs w:val="22"/>
          <w:lang w:val="en-GB"/>
        </w:rPr>
        <w:t xml:space="preserve"> department within the </w:t>
      </w:r>
      <w:r w:rsidR="000D6EA3" w:rsidRPr="000D6EA3">
        <w:rPr>
          <w:rFonts w:ascii="Times New Roman" w:hAnsi="Times New Roman" w:cs="Times New Roman"/>
          <w:i/>
          <w:sz w:val="22"/>
          <w:szCs w:val="22"/>
          <w:lang w:val="en-GB"/>
        </w:rPr>
        <w:t>shari’a</w:t>
      </w:r>
      <w:r w:rsidR="000D6EA3">
        <w:rPr>
          <w:rFonts w:ascii="Times New Roman" w:hAnsi="Times New Roman" w:cs="Times New Roman"/>
          <w:sz w:val="22"/>
          <w:szCs w:val="22"/>
          <w:lang w:val="en-GB"/>
        </w:rPr>
        <w:t xml:space="preserve"> c</w:t>
      </w:r>
      <w:r w:rsidRPr="00994C1E">
        <w:rPr>
          <w:rFonts w:ascii="Times New Roman" w:hAnsi="Times New Roman" w:cs="Times New Roman"/>
          <w:sz w:val="22"/>
          <w:szCs w:val="22"/>
          <w:lang w:val="en-GB"/>
        </w:rPr>
        <w:t xml:space="preserve">ourts) plays a vital role in the lives of abused and divorced Palestinian women as it implements the Palestinian Maintenance Law (2005). </w:t>
      </w:r>
      <w:r w:rsidR="000D6EA3">
        <w:rPr>
          <w:rFonts w:ascii="Times New Roman" w:hAnsi="Times New Roman" w:cs="Times New Roman"/>
          <w:sz w:val="22"/>
          <w:szCs w:val="22"/>
          <w:lang w:val="en-GB"/>
        </w:rPr>
        <w:t xml:space="preserve">The </w:t>
      </w:r>
      <w:r w:rsidRPr="00994C1E">
        <w:rPr>
          <w:rFonts w:ascii="Times New Roman" w:hAnsi="Times New Roman" w:cs="Times New Roman"/>
          <w:sz w:val="22"/>
          <w:szCs w:val="22"/>
          <w:lang w:val="en-GB"/>
        </w:rPr>
        <w:t xml:space="preserve">PMF provides maintenance to women who have received a </w:t>
      </w:r>
      <w:r w:rsidR="000D6EA3" w:rsidRPr="000D6EA3">
        <w:rPr>
          <w:rFonts w:ascii="Times New Roman" w:hAnsi="Times New Roman" w:cs="Times New Roman"/>
          <w:i/>
          <w:sz w:val="22"/>
          <w:szCs w:val="22"/>
          <w:lang w:val="en-GB"/>
        </w:rPr>
        <w:t>shari’a</w:t>
      </w:r>
      <w:r w:rsidR="000D6EA3">
        <w:rPr>
          <w:rFonts w:ascii="Times New Roman" w:hAnsi="Times New Roman" w:cs="Times New Roman"/>
          <w:sz w:val="22"/>
          <w:szCs w:val="22"/>
          <w:lang w:val="en-GB"/>
        </w:rPr>
        <w:t xml:space="preserve"> c</w:t>
      </w:r>
      <w:r w:rsidRPr="00994C1E">
        <w:rPr>
          <w:rFonts w:ascii="Times New Roman" w:hAnsi="Times New Roman" w:cs="Times New Roman"/>
          <w:sz w:val="22"/>
          <w:szCs w:val="22"/>
          <w:lang w:val="en-GB"/>
        </w:rPr>
        <w:t>ourt judgment awarding</w:t>
      </w:r>
      <w:r w:rsidRPr="00647752">
        <w:rPr>
          <w:rFonts w:ascii="Times New Roman" w:hAnsi="Times New Roman" w:cs="Times New Roman"/>
          <w:sz w:val="22"/>
          <w:szCs w:val="22"/>
          <w:lang w:val="en-GB"/>
        </w:rPr>
        <w:t xml:space="preserve"> them maintenance from their ex-spouse an</w:t>
      </w:r>
      <w:r w:rsidR="000D6EA3">
        <w:rPr>
          <w:rFonts w:ascii="Times New Roman" w:hAnsi="Times New Roman" w:cs="Times New Roman"/>
          <w:sz w:val="22"/>
          <w:szCs w:val="22"/>
          <w:lang w:val="en-GB"/>
        </w:rPr>
        <w:t xml:space="preserve">d/or father of their children. The </w:t>
      </w:r>
      <w:r w:rsidRPr="00647752">
        <w:rPr>
          <w:rFonts w:ascii="Times New Roman" w:hAnsi="Times New Roman" w:cs="Times New Roman"/>
          <w:sz w:val="22"/>
          <w:szCs w:val="22"/>
          <w:lang w:val="en-GB"/>
        </w:rPr>
        <w:t>PMF subsequently attempts to collect the maintenance from men who owe it</w:t>
      </w:r>
      <w:r w:rsidR="000D6EA3">
        <w:rPr>
          <w:rFonts w:ascii="Times New Roman" w:hAnsi="Times New Roman" w:cs="Times New Roman"/>
          <w:sz w:val="22"/>
          <w:szCs w:val="22"/>
          <w:lang w:val="en-GB"/>
        </w:rPr>
        <w:t xml:space="preserve"> by obtaining execution of the </w:t>
      </w:r>
      <w:r w:rsidR="000D6EA3" w:rsidRPr="000D6EA3">
        <w:rPr>
          <w:rFonts w:ascii="Times New Roman" w:hAnsi="Times New Roman" w:cs="Times New Roman"/>
          <w:i/>
          <w:sz w:val="22"/>
          <w:szCs w:val="22"/>
          <w:lang w:val="en-GB"/>
        </w:rPr>
        <w:t>shari’a</w:t>
      </w:r>
      <w:r w:rsidR="00E8775C">
        <w:rPr>
          <w:rFonts w:ascii="Times New Roman" w:hAnsi="Times New Roman" w:cs="Times New Roman"/>
          <w:i/>
          <w:sz w:val="22"/>
          <w:szCs w:val="22"/>
          <w:lang w:val="en-GB"/>
        </w:rPr>
        <w:t xml:space="preserve"> </w:t>
      </w:r>
      <w:r w:rsidR="000D6EA3">
        <w:rPr>
          <w:rFonts w:ascii="Times New Roman" w:hAnsi="Times New Roman" w:cs="Times New Roman"/>
          <w:sz w:val="22"/>
          <w:szCs w:val="22"/>
          <w:lang w:val="en-GB"/>
        </w:rPr>
        <w:t>c</w:t>
      </w:r>
      <w:r w:rsidRPr="00647752">
        <w:rPr>
          <w:rFonts w:ascii="Times New Roman" w:hAnsi="Times New Roman" w:cs="Times New Roman"/>
          <w:sz w:val="22"/>
          <w:szCs w:val="22"/>
          <w:lang w:val="en-GB"/>
        </w:rPr>
        <w:t>ourt judgments and working with other gov</w:t>
      </w:r>
      <w:r w:rsidR="000D6EA3">
        <w:rPr>
          <w:rFonts w:ascii="Times New Roman" w:hAnsi="Times New Roman" w:cs="Times New Roman"/>
          <w:sz w:val="22"/>
          <w:szCs w:val="22"/>
          <w:lang w:val="en-GB"/>
        </w:rPr>
        <w:t xml:space="preserve">ernment authorities such as the </w:t>
      </w:r>
      <w:r w:rsidRPr="00647752">
        <w:rPr>
          <w:rFonts w:ascii="Times New Roman" w:hAnsi="Times New Roman" w:cs="Times New Roman"/>
          <w:sz w:val="22"/>
          <w:szCs w:val="22"/>
          <w:lang w:val="en-GB"/>
        </w:rPr>
        <w:t>Ministry of the Interior, Ministry of Local Government, Ministry of F</w:t>
      </w:r>
      <w:r w:rsidR="000D6EA3">
        <w:rPr>
          <w:rFonts w:ascii="Times New Roman" w:hAnsi="Times New Roman" w:cs="Times New Roman"/>
          <w:sz w:val="22"/>
          <w:szCs w:val="22"/>
          <w:lang w:val="en-GB"/>
        </w:rPr>
        <w:t xml:space="preserve">inance and the Land Authority. </w:t>
      </w:r>
      <w:r w:rsidRPr="00647752">
        <w:rPr>
          <w:rFonts w:ascii="Times New Roman" w:hAnsi="Times New Roman" w:cs="Times New Roman"/>
          <w:sz w:val="22"/>
          <w:szCs w:val="22"/>
          <w:lang w:val="en-GB"/>
        </w:rPr>
        <w:t>The process of recovering these funds is often complicated.</w:t>
      </w:r>
      <w:r w:rsidR="00FD3C19">
        <w:rPr>
          <w:rFonts w:ascii="Times New Roman" w:hAnsi="Times New Roman" w:cs="Times New Roman"/>
          <w:sz w:val="22"/>
          <w:szCs w:val="22"/>
          <w:lang w:val="en-GB"/>
        </w:rPr>
        <w:t xml:space="preserve"> </w:t>
      </w:r>
      <w:r w:rsidR="000D6EA3">
        <w:rPr>
          <w:rFonts w:ascii="Times New Roman" w:hAnsi="Times New Roman" w:cs="Times New Roman"/>
          <w:sz w:val="22"/>
          <w:szCs w:val="22"/>
          <w:lang w:val="en-GB"/>
        </w:rPr>
        <w:t>While</w:t>
      </w:r>
      <w:r w:rsidRPr="00647752">
        <w:rPr>
          <w:rFonts w:ascii="Times New Roman" w:hAnsi="Times New Roman" w:cs="Times New Roman"/>
          <w:sz w:val="22"/>
          <w:szCs w:val="22"/>
          <w:lang w:val="en-GB"/>
        </w:rPr>
        <w:t xml:space="preserve"> the PMF mainly collects on behalf of women, it also covers rights of parents, </w:t>
      </w:r>
      <w:r w:rsidR="000D6EA3">
        <w:rPr>
          <w:rFonts w:ascii="Times New Roman" w:hAnsi="Times New Roman" w:cs="Times New Roman"/>
          <w:sz w:val="22"/>
          <w:szCs w:val="22"/>
          <w:lang w:val="en-GB"/>
        </w:rPr>
        <w:t xml:space="preserve">children and disabled persons. </w:t>
      </w:r>
      <w:r w:rsidRPr="00647752">
        <w:rPr>
          <w:rFonts w:ascii="Times New Roman" w:hAnsi="Times New Roman" w:cs="Times New Roman"/>
          <w:sz w:val="22"/>
          <w:szCs w:val="22"/>
          <w:lang w:val="en-GB"/>
        </w:rPr>
        <w:t xml:space="preserve">Thus, PMF’s role is extremely important in oPt, given the absence of a social welfare system.    </w:t>
      </w:r>
    </w:p>
    <w:p w:rsidR="00994C1E" w:rsidRDefault="00994C1E" w:rsidP="00FB6759">
      <w:pPr>
        <w:spacing w:after="0" w:line="240" w:lineRule="auto"/>
        <w:jc w:val="both"/>
        <w:rPr>
          <w:rFonts w:ascii="Times New Roman" w:hAnsi="Times New Roman" w:cs="Times New Roman"/>
          <w:sz w:val="22"/>
          <w:szCs w:val="22"/>
          <w:lang w:val="en-GB"/>
        </w:rPr>
      </w:pPr>
    </w:p>
    <w:p w:rsidR="00773272" w:rsidRDefault="009F7563" w:rsidP="00FB6759">
      <w:pPr>
        <w:spacing w:after="0" w:line="240" w:lineRule="auto"/>
        <w:jc w:val="both"/>
        <w:rPr>
          <w:rFonts w:ascii="Times New Roman" w:hAnsi="Times New Roman" w:cs="Times New Roman"/>
          <w:sz w:val="22"/>
          <w:szCs w:val="22"/>
          <w:lang w:val="en-GB"/>
        </w:rPr>
      </w:pPr>
      <w:r w:rsidRPr="00773272">
        <w:rPr>
          <w:rFonts w:ascii="Times New Roman" w:hAnsi="Times New Roman" w:cs="Times New Roman"/>
          <w:sz w:val="22"/>
          <w:szCs w:val="22"/>
          <w:lang w:val="en-GB"/>
        </w:rPr>
        <w:t xml:space="preserve">UNDP support to the </w:t>
      </w:r>
      <w:r w:rsidR="00773272">
        <w:rPr>
          <w:rFonts w:ascii="Times New Roman" w:hAnsi="Times New Roman" w:cs="Times New Roman"/>
          <w:sz w:val="22"/>
          <w:szCs w:val="22"/>
          <w:lang w:val="en-GB"/>
        </w:rPr>
        <w:t>PMF</w:t>
      </w:r>
      <w:r w:rsidR="00FD3C19">
        <w:rPr>
          <w:rFonts w:ascii="Times New Roman" w:hAnsi="Times New Roman" w:cs="Times New Roman"/>
          <w:sz w:val="22"/>
          <w:szCs w:val="22"/>
          <w:lang w:val="en-GB"/>
        </w:rPr>
        <w:t xml:space="preserve"> </w:t>
      </w:r>
      <w:r w:rsidR="00773272">
        <w:rPr>
          <w:rFonts w:ascii="Times New Roman" w:hAnsi="Times New Roman" w:cs="Times New Roman"/>
          <w:sz w:val="22"/>
          <w:szCs w:val="22"/>
          <w:lang w:val="en-GB"/>
        </w:rPr>
        <w:t xml:space="preserve">began with a MOU signed in late </w:t>
      </w:r>
      <w:r w:rsidRPr="00773272">
        <w:rPr>
          <w:rFonts w:ascii="Times New Roman" w:hAnsi="Times New Roman" w:cs="Times New Roman"/>
          <w:sz w:val="22"/>
          <w:szCs w:val="22"/>
          <w:lang w:val="en-GB"/>
        </w:rPr>
        <w:t>2011, but has</w:t>
      </w:r>
      <w:r w:rsidRPr="00647752">
        <w:rPr>
          <w:rFonts w:ascii="Times New Roman" w:hAnsi="Times New Roman" w:cs="Times New Roman"/>
          <w:sz w:val="22"/>
          <w:szCs w:val="22"/>
          <w:lang w:val="en-GB"/>
        </w:rPr>
        <w:t xml:space="preserve"> already resulted in changes within the execution departm</w:t>
      </w:r>
      <w:r w:rsidR="00773272">
        <w:rPr>
          <w:rFonts w:ascii="Times New Roman" w:hAnsi="Times New Roman" w:cs="Times New Roman"/>
          <w:sz w:val="22"/>
          <w:szCs w:val="22"/>
          <w:lang w:val="en-GB"/>
        </w:rPr>
        <w:t xml:space="preserve">ents of the civil courts </w:t>
      </w:r>
      <w:r w:rsidRPr="00647752">
        <w:rPr>
          <w:rFonts w:ascii="Times New Roman" w:hAnsi="Times New Roman" w:cs="Times New Roman"/>
          <w:sz w:val="22"/>
          <w:szCs w:val="22"/>
          <w:lang w:val="en-GB"/>
        </w:rPr>
        <w:t xml:space="preserve">as well as impacting upon the lives of thousands of </w:t>
      </w:r>
      <w:r w:rsidRPr="00647752">
        <w:rPr>
          <w:rFonts w:ascii="Times New Roman" w:hAnsi="Times New Roman" w:cs="Times New Roman"/>
          <w:sz w:val="22"/>
          <w:szCs w:val="22"/>
          <w:lang w:val="en-GB"/>
        </w:rPr>
        <w:lastRenderedPageBreak/>
        <w:t>Palestinian women. According to the PMF, UNDP support and technical assistance improved the operations of the agency and its abilities to communicate more effectively with other agencies of government. The resulting improvements in inter-agency relations and information sharing have allowed</w:t>
      </w:r>
      <w:r w:rsidR="00773272">
        <w:rPr>
          <w:rFonts w:ascii="Times New Roman" w:hAnsi="Times New Roman" w:cs="Times New Roman"/>
          <w:sz w:val="22"/>
          <w:szCs w:val="22"/>
          <w:lang w:val="en-GB"/>
        </w:rPr>
        <w:t xml:space="preserve"> the</w:t>
      </w:r>
      <w:r w:rsidRPr="00647752">
        <w:rPr>
          <w:rFonts w:ascii="Times New Roman" w:hAnsi="Times New Roman" w:cs="Times New Roman"/>
          <w:sz w:val="22"/>
          <w:szCs w:val="22"/>
          <w:lang w:val="en-GB"/>
        </w:rPr>
        <w:t xml:space="preserve"> PMF to better track the locations of the men who owe maintenance and take effective action against them.</w:t>
      </w:r>
    </w:p>
    <w:p w:rsidR="009F7563" w:rsidRPr="00647752" w:rsidRDefault="009F7563" w:rsidP="00FB6759">
      <w:pPr>
        <w:spacing w:after="0" w:line="240" w:lineRule="auto"/>
        <w:jc w:val="both"/>
        <w:rPr>
          <w:rFonts w:ascii="Times New Roman" w:hAnsi="Times New Roman" w:cs="Times New Roman"/>
          <w:sz w:val="22"/>
          <w:szCs w:val="22"/>
          <w:lang w:val="en-GB"/>
        </w:rPr>
      </w:pPr>
    </w:p>
    <w:p w:rsidR="00773272" w:rsidRDefault="009F7563"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 xml:space="preserve">For example, with UNDP support, </w:t>
      </w:r>
      <w:r w:rsidR="00773272">
        <w:rPr>
          <w:rFonts w:ascii="Times New Roman" w:hAnsi="Times New Roman" w:cs="Times New Roman"/>
          <w:sz w:val="22"/>
          <w:szCs w:val="22"/>
          <w:lang w:val="en-GB"/>
        </w:rPr>
        <w:t>the PMF organis</w:t>
      </w:r>
      <w:r w:rsidRPr="00647752">
        <w:rPr>
          <w:rFonts w:ascii="Times New Roman" w:hAnsi="Times New Roman" w:cs="Times New Roman"/>
          <w:sz w:val="22"/>
          <w:szCs w:val="22"/>
          <w:lang w:val="en-GB"/>
        </w:rPr>
        <w:t>ed several workshops with ex</w:t>
      </w:r>
      <w:r w:rsidR="00773272">
        <w:rPr>
          <w:rFonts w:ascii="Times New Roman" w:hAnsi="Times New Roman" w:cs="Times New Roman"/>
          <w:sz w:val="22"/>
          <w:szCs w:val="22"/>
          <w:lang w:val="en-GB"/>
        </w:rPr>
        <w:t xml:space="preserve">ecution departments of the magistrate (civil) courts - </w:t>
      </w:r>
      <w:r w:rsidRPr="00647752">
        <w:rPr>
          <w:rFonts w:ascii="Times New Roman" w:hAnsi="Times New Roman" w:cs="Times New Roman"/>
          <w:sz w:val="22"/>
          <w:szCs w:val="22"/>
          <w:lang w:val="en-GB"/>
        </w:rPr>
        <w:t>the entity th</w:t>
      </w:r>
      <w:r w:rsidR="00773272">
        <w:rPr>
          <w:rFonts w:ascii="Times New Roman" w:hAnsi="Times New Roman" w:cs="Times New Roman"/>
          <w:sz w:val="22"/>
          <w:szCs w:val="22"/>
          <w:lang w:val="en-GB"/>
        </w:rPr>
        <w:t xml:space="preserve">at executes the rulings of the </w:t>
      </w:r>
      <w:r w:rsidR="00773272" w:rsidRPr="00773272">
        <w:rPr>
          <w:rFonts w:ascii="Times New Roman" w:hAnsi="Times New Roman" w:cs="Times New Roman"/>
          <w:i/>
          <w:sz w:val="22"/>
          <w:szCs w:val="22"/>
          <w:lang w:val="en-GB"/>
        </w:rPr>
        <w:t>s</w:t>
      </w:r>
      <w:r w:rsidRPr="00773272">
        <w:rPr>
          <w:rFonts w:ascii="Times New Roman" w:hAnsi="Times New Roman" w:cs="Times New Roman"/>
          <w:i/>
          <w:sz w:val="22"/>
          <w:szCs w:val="22"/>
          <w:lang w:val="en-GB"/>
        </w:rPr>
        <w:t>hari’a</w:t>
      </w:r>
      <w:r w:rsidRPr="00647752">
        <w:rPr>
          <w:rFonts w:ascii="Times New Roman" w:hAnsi="Times New Roman" w:cs="Times New Roman"/>
          <w:sz w:val="22"/>
          <w:szCs w:val="22"/>
          <w:lang w:val="en-GB"/>
        </w:rPr>
        <w:t xml:space="preserve"> courts. As a result of the workshops the execution departments of the courts are giving priority to PMF requests. Previously</w:t>
      </w:r>
      <w:r w:rsidR="00773272">
        <w:rPr>
          <w:rFonts w:ascii="Times New Roman" w:hAnsi="Times New Roman" w:cs="Times New Roman"/>
          <w:sz w:val="22"/>
          <w:szCs w:val="22"/>
          <w:lang w:val="en-GB"/>
        </w:rPr>
        <w:t>, the PMF was given little</w:t>
      </w:r>
      <w:r w:rsidRPr="00647752">
        <w:rPr>
          <w:rFonts w:ascii="Times New Roman" w:hAnsi="Times New Roman" w:cs="Times New Roman"/>
          <w:sz w:val="22"/>
          <w:szCs w:val="22"/>
          <w:lang w:val="en-GB"/>
        </w:rPr>
        <w:t xml:space="preserve"> recognition by judges and no spec</w:t>
      </w:r>
      <w:r w:rsidR="00773272">
        <w:rPr>
          <w:rFonts w:ascii="Times New Roman" w:hAnsi="Times New Roman" w:cs="Times New Roman"/>
          <w:sz w:val="22"/>
          <w:szCs w:val="22"/>
          <w:lang w:val="en-GB"/>
        </w:rPr>
        <w:t>ial/expedited treatment by the m</w:t>
      </w:r>
      <w:r w:rsidRPr="00647752">
        <w:rPr>
          <w:rFonts w:ascii="Times New Roman" w:hAnsi="Times New Roman" w:cs="Times New Roman"/>
          <w:sz w:val="22"/>
          <w:szCs w:val="22"/>
          <w:lang w:val="en-GB"/>
        </w:rPr>
        <w:t>agistrates. Thus, the PMF spent much time explaining what it did and why it needed access to the files at the court. It was also not known by judges, why individual case files needed to be accesse</w:t>
      </w:r>
      <w:r w:rsidR="00773272">
        <w:rPr>
          <w:rFonts w:ascii="Times New Roman" w:hAnsi="Times New Roman" w:cs="Times New Roman"/>
          <w:sz w:val="22"/>
          <w:szCs w:val="22"/>
          <w:lang w:val="en-GB"/>
        </w:rPr>
        <w:t>d.</w:t>
      </w:r>
    </w:p>
    <w:p w:rsidR="00773272" w:rsidRDefault="00773272" w:rsidP="00FB6759">
      <w:pPr>
        <w:spacing w:after="0" w:line="240" w:lineRule="auto"/>
        <w:jc w:val="both"/>
        <w:rPr>
          <w:rFonts w:ascii="Times New Roman" w:hAnsi="Times New Roman" w:cs="Times New Roman"/>
          <w:sz w:val="22"/>
          <w:szCs w:val="22"/>
          <w:lang w:val="en-GB"/>
        </w:rPr>
      </w:pPr>
    </w:p>
    <w:p w:rsidR="009F7563" w:rsidRDefault="009F7563"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By contrast, PMF files are now separated fr</w:t>
      </w:r>
      <w:r w:rsidR="00773272">
        <w:rPr>
          <w:rFonts w:ascii="Times New Roman" w:hAnsi="Times New Roman" w:cs="Times New Roman"/>
          <w:sz w:val="22"/>
          <w:szCs w:val="22"/>
          <w:lang w:val="en-GB"/>
        </w:rPr>
        <w:t>om other files at the m</w:t>
      </w:r>
      <w:r w:rsidRPr="00647752">
        <w:rPr>
          <w:rFonts w:ascii="Times New Roman" w:hAnsi="Times New Roman" w:cs="Times New Roman"/>
          <w:sz w:val="22"/>
          <w:szCs w:val="22"/>
          <w:lang w:val="en-GB"/>
        </w:rPr>
        <w:t>agistrates’ offices and given a special colour folder. PMF is able to check with t</w:t>
      </w:r>
      <w:r w:rsidR="00773272">
        <w:rPr>
          <w:rFonts w:ascii="Times New Roman" w:hAnsi="Times New Roman" w:cs="Times New Roman"/>
          <w:sz w:val="22"/>
          <w:szCs w:val="22"/>
          <w:lang w:val="en-GB"/>
        </w:rPr>
        <w:t>he execution department of the m</w:t>
      </w:r>
      <w:r w:rsidRPr="00647752">
        <w:rPr>
          <w:rFonts w:ascii="Times New Roman" w:hAnsi="Times New Roman" w:cs="Times New Roman"/>
          <w:sz w:val="22"/>
          <w:szCs w:val="22"/>
          <w:lang w:val="en-GB"/>
        </w:rPr>
        <w:t xml:space="preserve">agistrates about any issue that PMF wants to </w:t>
      </w:r>
      <w:r w:rsidR="00773272">
        <w:rPr>
          <w:rFonts w:ascii="Times New Roman" w:hAnsi="Times New Roman" w:cs="Times New Roman"/>
          <w:sz w:val="22"/>
          <w:szCs w:val="22"/>
          <w:lang w:val="en-GB"/>
        </w:rPr>
        <w:t>verify. Now, the orders of the c</w:t>
      </w:r>
      <w:r w:rsidRPr="00647752">
        <w:rPr>
          <w:rFonts w:ascii="Times New Roman" w:hAnsi="Times New Roman" w:cs="Times New Roman"/>
          <w:sz w:val="22"/>
          <w:szCs w:val="22"/>
          <w:lang w:val="en-GB"/>
        </w:rPr>
        <w:t>ourt no longer are issued in the name of the individual woman who has a case, but are is</w:t>
      </w:r>
      <w:r w:rsidR="00773272">
        <w:rPr>
          <w:rFonts w:ascii="Times New Roman" w:hAnsi="Times New Roman" w:cs="Times New Roman"/>
          <w:sz w:val="22"/>
          <w:szCs w:val="22"/>
          <w:lang w:val="en-GB"/>
        </w:rPr>
        <w:t xml:space="preserve">sued “in the name of the PMF”. </w:t>
      </w:r>
      <w:r w:rsidRPr="00647752">
        <w:rPr>
          <w:rFonts w:ascii="Times New Roman" w:hAnsi="Times New Roman" w:cs="Times New Roman"/>
          <w:sz w:val="22"/>
          <w:szCs w:val="22"/>
          <w:lang w:val="en-GB"/>
        </w:rPr>
        <w:t xml:space="preserve">This has reached all areas of </w:t>
      </w:r>
      <w:r w:rsidR="00773272">
        <w:rPr>
          <w:rFonts w:ascii="Times New Roman" w:hAnsi="Times New Roman" w:cs="Times New Roman"/>
          <w:sz w:val="22"/>
          <w:szCs w:val="22"/>
          <w:lang w:val="en-GB"/>
        </w:rPr>
        <w:t xml:space="preserve">the </w:t>
      </w:r>
      <w:r w:rsidRPr="00647752">
        <w:rPr>
          <w:rFonts w:ascii="Times New Roman" w:hAnsi="Times New Roman" w:cs="Times New Roman"/>
          <w:sz w:val="22"/>
          <w:szCs w:val="22"/>
          <w:lang w:val="en-GB"/>
        </w:rPr>
        <w:t>oPt.</w:t>
      </w:r>
    </w:p>
    <w:p w:rsidR="00773272" w:rsidRPr="00647752" w:rsidRDefault="00773272" w:rsidP="00FB6759">
      <w:pPr>
        <w:spacing w:after="0" w:line="240" w:lineRule="auto"/>
        <w:jc w:val="both"/>
        <w:rPr>
          <w:rFonts w:ascii="Times New Roman" w:hAnsi="Times New Roman" w:cs="Times New Roman"/>
          <w:sz w:val="22"/>
          <w:szCs w:val="22"/>
          <w:lang w:val="en-GB"/>
        </w:rPr>
      </w:pPr>
    </w:p>
    <w:p w:rsidR="009F7563" w:rsidRPr="00647752" w:rsidRDefault="00773272"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With UNDP support, PMF organis</w:t>
      </w:r>
      <w:r w:rsidR="009F7563" w:rsidRPr="00647752">
        <w:rPr>
          <w:rFonts w:ascii="Times New Roman" w:hAnsi="Times New Roman" w:cs="Times New Roman"/>
          <w:sz w:val="22"/>
          <w:szCs w:val="22"/>
          <w:lang w:val="en-GB"/>
        </w:rPr>
        <w:t>ed other worksho</w:t>
      </w:r>
      <w:r>
        <w:rPr>
          <w:rFonts w:ascii="Times New Roman" w:hAnsi="Times New Roman" w:cs="Times New Roman"/>
          <w:sz w:val="22"/>
          <w:szCs w:val="22"/>
          <w:lang w:val="en-GB"/>
        </w:rPr>
        <w:t xml:space="preserve">ps for judges and staff at the </w:t>
      </w:r>
      <w:r w:rsidRPr="00773272">
        <w:rPr>
          <w:rFonts w:ascii="Times New Roman" w:hAnsi="Times New Roman" w:cs="Times New Roman"/>
          <w:i/>
          <w:sz w:val="22"/>
          <w:szCs w:val="22"/>
          <w:lang w:val="en-GB"/>
        </w:rPr>
        <w:t>s</w:t>
      </w:r>
      <w:r w:rsidR="009F7563" w:rsidRPr="00773272">
        <w:rPr>
          <w:rFonts w:ascii="Times New Roman" w:hAnsi="Times New Roman" w:cs="Times New Roman"/>
          <w:i/>
          <w:sz w:val="22"/>
          <w:szCs w:val="22"/>
          <w:lang w:val="en-GB"/>
        </w:rPr>
        <w:t>hari’a</w:t>
      </w:r>
      <w:r w:rsidR="009F7563" w:rsidRPr="00647752">
        <w:rPr>
          <w:rFonts w:ascii="Times New Roman" w:hAnsi="Times New Roman" w:cs="Times New Roman"/>
          <w:sz w:val="22"/>
          <w:szCs w:val="22"/>
          <w:lang w:val="en-GB"/>
        </w:rPr>
        <w:t xml:space="preserve"> courts to improve </w:t>
      </w:r>
      <w:r>
        <w:rPr>
          <w:rFonts w:ascii="Times New Roman" w:hAnsi="Times New Roman" w:cs="Times New Roman"/>
          <w:sz w:val="22"/>
          <w:szCs w:val="22"/>
          <w:lang w:val="en-GB"/>
        </w:rPr>
        <w:t xml:space="preserve">their reporting and accounting. </w:t>
      </w:r>
      <w:r w:rsidR="009F7563" w:rsidRPr="00647752">
        <w:rPr>
          <w:rFonts w:ascii="Times New Roman" w:hAnsi="Times New Roman" w:cs="Times New Roman"/>
          <w:sz w:val="22"/>
          <w:szCs w:val="22"/>
          <w:lang w:val="en-GB"/>
        </w:rPr>
        <w:t>As a result,</w:t>
      </w:r>
      <w:r>
        <w:rPr>
          <w:rFonts w:ascii="Times New Roman" w:hAnsi="Times New Roman" w:cs="Times New Roman"/>
          <w:sz w:val="22"/>
          <w:szCs w:val="22"/>
          <w:lang w:val="en-GB"/>
        </w:rPr>
        <w:t xml:space="preserve"> the rulings issued by </w:t>
      </w:r>
      <w:r w:rsidRPr="00773272">
        <w:rPr>
          <w:rFonts w:ascii="Times New Roman" w:hAnsi="Times New Roman" w:cs="Times New Roman"/>
          <w:i/>
          <w:sz w:val="22"/>
          <w:szCs w:val="22"/>
          <w:lang w:val="en-GB"/>
        </w:rPr>
        <w:t>shari’a</w:t>
      </w:r>
      <w:r>
        <w:rPr>
          <w:rFonts w:ascii="Times New Roman" w:hAnsi="Times New Roman" w:cs="Times New Roman"/>
          <w:sz w:val="22"/>
          <w:szCs w:val="22"/>
          <w:lang w:val="en-GB"/>
        </w:rPr>
        <w:t xml:space="preserve"> c</w:t>
      </w:r>
      <w:r w:rsidR="009F7563" w:rsidRPr="00647752">
        <w:rPr>
          <w:rFonts w:ascii="Times New Roman" w:hAnsi="Times New Roman" w:cs="Times New Roman"/>
          <w:sz w:val="22"/>
          <w:szCs w:val="22"/>
          <w:lang w:val="en-GB"/>
        </w:rPr>
        <w:t>ourt judges now include explanations that will elaborate on the case and the amount of money due, which has impacted positively on PMF’s work.</w:t>
      </w:r>
      <w:r w:rsidR="009F7563" w:rsidRPr="00647752">
        <w:rPr>
          <w:rStyle w:val="FootnoteReference"/>
          <w:rFonts w:ascii="Times New Roman" w:hAnsi="Times New Roman" w:cs="Times New Roman"/>
          <w:sz w:val="22"/>
          <w:szCs w:val="22"/>
          <w:lang w:val="en-GB"/>
        </w:rPr>
        <w:footnoteReference w:id="173"/>
      </w:r>
      <w:r w:rsidR="009F7563" w:rsidRPr="00647752">
        <w:rPr>
          <w:rFonts w:ascii="Times New Roman" w:hAnsi="Times New Roman" w:cs="Times New Roman"/>
          <w:sz w:val="22"/>
          <w:szCs w:val="22"/>
          <w:lang w:val="en-GB"/>
        </w:rPr>
        <w:t>Indeed, PMF statistics show that the majority of clients now hear about PMF via the execution departments at the courts.</w:t>
      </w:r>
    </w:p>
    <w:p w:rsidR="00773272" w:rsidRDefault="00773272" w:rsidP="00FB6759">
      <w:pPr>
        <w:spacing w:after="0" w:line="240" w:lineRule="auto"/>
        <w:jc w:val="both"/>
        <w:rPr>
          <w:rFonts w:ascii="Times New Roman" w:hAnsi="Times New Roman" w:cs="Times New Roman"/>
          <w:sz w:val="22"/>
          <w:szCs w:val="22"/>
          <w:lang w:val="en-GB"/>
        </w:rPr>
      </w:pPr>
    </w:p>
    <w:p w:rsidR="009F7563" w:rsidRDefault="009F7563"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Additionally, the PMF’s relationships with other institutions have also improved as a direct result of inter</w:t>
      </w:r>
      <w:r w:rsidR="00773272">
        <w:rPr>
          <w:rFonts w:ascii="Times New Roman" w:hAnsi="Times New Roman" w:cs="Times New Roman"/>
          <w:sz w:val="22"/>
          <w:szCs w:val="22"/>
          <w:lang w:val="en-GB"/>
        </w:rPr>
        <w:t xml:space="preserve">ventions funded by UNDP. The </w:t>
      </w:r>
      <w:r w:rsidRPr="00647752">
        <w:rPr>
          <w:rFonts w:ascii="Times New Roman" w:hAnsi="Times New Roman" w:cs="Times New Roman"/>
          <w:sz w:val="22"/>
          <w:szCs w:val="22"/>
          <w:lang w:val="en-GB"/>
        </w:rPr>
        <w:t xml:space="preserve">Ministry of Transportation has now introduced into its electronic system a data field for tracking PMF decisions; now when someone wants to renew a license for their car, it will not be renewed if a PMF demand is unpaid. Beyond this, the PMF has </w:t>
      </w:r>
      <w:r w:rsidR="00773272">
        <w:rPr>
          <w:rFonts w:ascii="Times New Roman" w:hAnsi="Times New Roman" w:cs="Times New Roman"/>
          <w:sz w:val="22"/>
          <w:szCs w:val="22"/>
          <w:lang w:val="en-GB"/>
        </w:rPr>
        <w:t>improved its relations with various</w:t>
      </w:r>
      <w:r w:rsidRPr="00647752">
        <w:rPr>
          <w:rFonts w:ascii="Times New Roman" w:hAnsi="Times New Roman" w:cs="Times New Roman"/>
          <w:sz w:val="22"/>
          <w:szCs w:val="22"/>
          <w:lang w:val="en-GB"/>
        </w:rPr>
        <w:t xml:space="preserve"> municipalities, which are now actively supplying the PMF with information on the locations of men who owe maintenance to women. UNDP support also enabled PMF to increase its visibility as a result of the website developed with project funds and to develop posters (i.e. “Your Right is Our Obligation: PMF”</w:t>
      </w:r>
      <w:r w:rsidR="00773272">
        <w:rPr>
          <w:rFonts w:ascii="Times New Roman" w:hAnsi="Times New Roman" w:cs="Times New Roman"/>
          <w:sz w:val="22"/>
          <w:szCs w:val="22"/>
          <w:lang w:val="en-GB"/>
        </w:rPr>
        <w:t>).</w:t>
      </w:r>
    </w:p>
    <w:p w:rsidR="00773272" w:rsidRPr="00647752" w:rsidRDefault="00773272" w:rsidP="00FB6759">
      <w:pPr>
        <w:spacing w:after="0" w:line="240" w:lineRule="auto"/>
        <w:jc w:val="both"/>
        <w:rPr>
          <w:rFonts w:ascii="Times New Roman" w:hAnsi="Times New Roman" w:cs="Times New Roman"/>
          <w:sz w:val="22"/>
          <w:szCs w:val="22"/>
          <w:lang w:val="en-GB"/>
        </w:rPr>
      </w:pPr>
    </w:p>
    <w:p w:rsidR="009F7563" w:rsidRPr="00647752" w:rsidRDefault="009F7563"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 xml:space="preserve">As a result of these combined efforts, PMF </w:t>
      </w:r>
      <w:r w:rsidR="00E30E8F" w:rsidRPr="00647752">
        <w:rPr>
          <w:rFonts w:ascii="Times New Roman" w:hAnsi="Times New Roman" w:cs="Times New Roman"/>
          <w:sz w:val="22"/>
          <w:szCs w:val="22"/>
          <w:lang w:val="en-GB"/>
        </w:rPr>
        <w:t>states</w:t>
      </w:r>
      <w:r w:rsidR="00FD3C19">
        <w:rPr>
          <w:rFonts w:ascii="Times New Roman" w:hAnsi="Times New Roman" w:cs="Times New Roman"/>
          <w:sz w:val="22"/>
          <w:szCs w:val="22"/>
          <w:lang w:val="en-GB"/>
        </w:rPr>
        <w:t xml:space="preserve"> </w:t>
      </w:r>
      <w:r w:rsidRPr="00647752">
        <w:rPr>
          <w:rFonts w:ascii="Times New Roman" w:hAnsi="Times New Roman" w:cs="Times New Roman"/>
          <w:sz w:val="22"/>
          <w:szCs w:val="22"/>
          <w:lang w:val="en-GB"/>
        </w:rPr>
        <w:t xml:space="preserve">that the rate of maintenance collection has improved. </w:t>
      </w:r>
      <w:r w:rsidR="001629D7" w:rsidRPr="00647752">
        <w:rPr>
          <w:rFonts w:ascii="Times New Roman" w:hAnsi="Times New Roman" w:cs="Times New Roman"/>
          <w:sz w:val="22"/>
          <w:szCs w:val="22"/>
          <w:lang w:val="en-GB"/>
        </w:rPr>
        <w:t>Retri</w:t>
      </w:r>
      <w:r w:rsidR="00773272">
        <w:rPr>
          <w:rFonts w:ascii="Times New Roman" w:hAnsi="Times New Roman" w:cs="Times New Roman"/>
          <w:sz w:val="22"/>
          <w:szCs w:val="22"/>
          <w:lang w:val="en-GB"/>
        </w:rPr>
        <w:t xml:space="preserve">eval during 2011 was NIS 267,438 </w:t>
      </w:r>
      <w:r w:rsidR="001629D7" w:rsidRPr="00647752">
        <w:rPr>
          <w:rFonts w:ascii="Times New Roman" w:hAnsi="Times New Roman" w:cs="Times New Roman"/>
          <w:sz w:val="22"/>
          <w:szCs w:val="22"/>
          <w:lang w:val="en-GB"/>
        </w:rPr>
        <w:t xml:space="preserve">per month, representing retrieval of 36 </w:t>
      </w:r>
      <w:r w:rsidR="00773272">
        <w:rPr>
          <w:rFonts w:ascii="Times New Roman" w:hAnsi="Times New Roman" w:cs="Times New Roman"/>
          <w:sz w:val="22"/>
          <w:szCs w:val="22"/>
          <w:lang w:val="en-GB"/>
        </w:rPr>
        <w:t xml:space="preserve">cases from 165 cases. </w:t>
      </w:r>
      <w:r w:rsidR="001629D7" w:rsidRPr="00647752">
        <w:rPr>
          <w:rFonts w:ascii="Times New Roman" w:hAnsi="Times New Roman" w:cs="Times New Roman"/>
          <w:sz w:val="22"/>
          <w:szCs w:val="22"/>
          <w:lang w:val="en-GB"/>
        </w:rPr>
        <w:t>Retrieval</w:t>
      </w:r>
      <w:r w:rsidR="00773272">
        <w:rPr>
          <w:rFonts w:ascii="Times New Roman" w:hAnsi="Times New Roman" w:cs="Times New Roman"/>
          <w:sz w:val="22"/>
          <w:szCs w:val="22"/>
          <w:lang w:val="en-GB"/>
        </w:rPr>
        <w:t xml:space="preserve"> during 2012 was NIS 309,482 </w:t>
      </w:r>
      <w:r w:rsidR="001629D7" w:rsidRPr="00647752">
        <w:rPr>
          <w:rFonts w:ascii="Times New Roman" w:hAnsi="Times New Roman" w:cs="Times New Roman"/>
          <w:sz w:val="22"/>
          <w:szCs w:val="22"/>
          <w:lang w:val="en-GB"/>
        </w:rPr>
        <w:t>per month, representing</w:t>
      </w:r>
      <w:r w:rsidR="00FD3C19">
        <w:rPr>
          <w:rFonts w:ascii="Times New Roman" w:hAnsi="Times New Roman" w:cs="Times New Roman"/>
          <w:sz w:val="22"/>
          <w:szCs w:val="22"/>
          <w:lang w:val="en-GB"/>
        </w:rPr>
        <w:t xml:space="preserve"> </w:t>
      </w:r>
      <w:r w:rsidR="001629D7" w:rsidRPr="00647752">
        <w:rPr>
          <w:rFonts w:ascii="Times New Roman" w:hAnsi="Times New Roman" w:cs="Times New Roman"/>
          <w:sz w:val="22"/>
          <w:szCs w:val="22"/>
          <w:lang w:val="en-GB"/>
        </w:rPr>
        <w:t>retrieval of 47 cases from 196 c</w:t>
      </w:r>
      <w:r w:rsidR="00773272">
        <w:rPr>
          <w:rFonts w:ascii="Times New Roman" w:hAnsi="Times New Roman" w:cs="Times New Roman"/>
          <w:sz w:val="22"/>
          <w:szCs w:val="22"/>
          <w:lang w:val="en-GB"/>
        </w:rPr>
        <w:t xml:space="preserve">ases. </w:t>
      </w:r>
      <w:r w:rsidR="00381D8F">
        <w:rPr>
          <w:rFonts w:ascii="Times New Roman" w:hAnsi="Times New Roman" w:cs="Times New Roman"/>
          <w:sz w:val="22"/>
          <w:szCs w:val="22"/>
          <w:lang w:val="en-GB"/>
        </w:rPr>
        <w:t xml:space="preserve">The total amount collected rose from NIS 3.2 million in 2011 to over NIS 3.7 million in 2012. </w:t>
      </w:r>
      <w:r w:rsidRPr="00647752">
        <w:rPr>
          <w:rFonts w:ascii="Times New Roman" w:hAnsi="Times New Roman" w:cs="Times New Roman"/>
          <w:sz w:val="22"/>
          <w:szCs w:val="22"/>
          <w:lang w:val="en-GB"/>
        </w:rPr>
        <w:t xml:space="preserve">Going forward, the PMF believes that it is crucial for UNDP to support the development of better communication </w:t>
      </w:r>
      <w:r w:rsidR="00381D8F">
        <w:rPr>
          <w:rFonts w:ascii="Times New Roman" w:hAnsi="Times New Roman" w:cs="Times New Roman"/>
          <w:sz w:val="22"/>
          <w:szCs w:val="22"/>
          <w:lang w:val="en-GB"/>
        </w:rPr>
        <w:t xml:space="preserve">and record systems linking the </w:t>
      </w:r>
      <w:r w:rsidR="00381D8F" w:rsidRPr="00381D8F">
        <w:rPr>
          <w:rFonts w:ascii="Times New Roman" w:hAnsi="Times New Roman" w:cs="Times New Roman"/>
          <w:i/>
          <w:sz w:val="22"/>
          <w:szCs w:val="22"/>
          <w:lang w:val="en-GB"/>
        </w:rPr>
        <w:t>s</w:t>
      </w:r>
      <w:r w:rsidRPr="00381D8F">
        <w:rPr>
          <w:rFonts w:ascii="Times New Roman" w:hAnsi="Times New Roman" w:cs="Times New Roman"/>
          <w:i/>
          <w:sz w:val="22"/>
          <w:szCs w:val="22"/>
          <w:lang w:val="en-GB"/>
        </w:rPr>
        <w:t>ha</w:t>
      </w:r>
      <w:r w:rsidR="00381D8F" w:rsidRPr="00381D8F">
        <w:rPr>
          <w:rFonts w:ascii="Times New Roman" w:hAnsi="Times New Roman" w:cs="Times New Roman"/>
          <w:i/>
          <w:sz w:val="22"/>
          <w:szCs w:val="22"/>
          <w:lang w:val="en-GB"/>
        </w:rPr>
        <w:t>ri’a</w:t>
      </w:r>
      <w:r w:rsidR="00E8775C">
        <w:rPr>
          <w:rFonts w:ascii="Times New Roman" w:hAnsi="Times New Roman" w:cs="Times New Roman"/>
          <w:i/>
          <w:sz w:val="22"/>
          <w:szCs w:val="22"/>
          <w:lang w:val="en-GB"/>
        </w:rPr>
        <w:t xml:space="preserve"> </w:t>
      </w:r>
      <w:r w:rsidR="00381D8F">
        <w:rPr>
          <w:rFonts w:ascii="Times New Roman" w:hAnsi="Times New Roman" w:cs="Times New Roman"/>
          <w:sz w:val="22"/>
          <w:szCs w:val="22"/>
          <w:lang w:val="en-GB"/>
        </w:rPr>
        <w:t>c</w:t>
      </w:r>
      <w:r w:rsidRPr="00647752">
        <w:rPr>
          <w:rFonts w:ascii="Times New Roman" w:hAnsi="Times New Roman" w:cs="Times New Roman"/>
          <w:sz w:val="22"/>
          <w:szCs w:val="22"/>
          <w:lang w:val="en-GB"/>
        </w:rPr>
        <w:t xml:space="preserve">ourts together. </w:t>
      </w:r>
    </w:p>
    <w:p w:rsidR="00233F59" w:rsidRPr="00647752" w:rsidRDefault="00233F59" w:rsidP="00FB6759">
      <w:pPr>
        <w:spacing w:after="0" w:line="240" w:lineRule="auto"/>
        <w:jc w:val="both"/>
        <w:rPr>
          <w:rFonts w:ascii="Times New Roman" w:hAnsi="Times New Roman" w:cs="Times New Roman"/>
          <w:i/>
          <w:sz w:val="22"/>
          <w:szCs w:val="22"/>
          <w:lang w:val="en-GB"/>
        </w:rPr>
      </w:pPr>
    </w:p>
    <w:p w:rsidR="002B74C0" w:rsidRDefault="00381D8F" w:rsidP="00FB6759">
      <w:pPr>
        <w:spacing w:after="0" w:line="240" w:lineRule="auto"/>
        <w:jc w:val="both"/>
        <w:rPr>
          <w:rFonts w:ascii="Times New Roman" w:hAnsi="Times New Roman" w:cs="Times New Roman"/>
          <w:i/>
          <w:sz w:val="22"/>
          <w:szCs w:val="22"/>
          <w:lang w:val="en-GB"/>
        </w:rPr>
      </w:pPr>
      <w:r w:rsidRPr="00381D8F">
        <w:rPr>
          <w:rFonts w:ascii="Times New Roman" w:hAnsi="Times New Roman" w:cs="Times New Roman"/>
          <w:sz w:val="22"/>
          <w:szCs w:val="22"/>
          <w:lang w:val="en-GB"/>
        </w:rPr>
        <w:t>Dar Al-Amal</w:t>
      </w:r>
      <w:r>
        <w:rPr>
          <w:rFonts w:ascii="Times New Roman" w:hAnsi="Times New Roman" w:cs="Times New Roman"/>
          <w:i/>
          <w:sz w:val="22"/>
          <w:szCs w:val="22"/>
          <w:lang w:val="en-GB"/>
        </w:rPr>
        <w:t xml:space="preserve"> Juvenile Rehabilitation Centre</w:t>
      </w:r>
    </w:p>
    <w:p w:rsidR="00381D8F" w:rsidRPr="00647752" w:rsidRDefault="00381D8F" w:rsidP="00FB6759">
      <w:pPr>
        <w:spacing w:after="0" w:line="240" w:lineRule="auto"/>
        <w:jc w:val="both"/>
        <w:rPr>
          <w:rFonts w:ascii="Times New Roman" w:hAnsi="Times New Roman" w:cs="Times New Roman"/>
          <w:i/>
          <w:sz w:val="22"/>
          <w:szCs w:val="22"/>
          <w:lang w:val="en-GB"/>
        </w:rPr>
      </w:pPr>
    </w:p>
    <w:p w:rsidR="002B74C0" w:rsidRPr="00647752" w:rsidRDefault="002B74C0"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 xml:space="preserve">In addition to the support rendered to juvenile detainees </w:t>
      </w:r>
      <w:r w:rsidR="00381D8F">
        <w:rPr>
          <w:rFonts w:ascii="Times New Roman" w:hAnsi="Times New Roman" w:cs="Times New Roman"/>
          <w:sz w:val="22"/>
          <w:szCs w:val="22"/>
          <w:lang w:val="en-GB"/>
        </w:rPr>
        <w:t>via the CSI, UNDP programme</w:t>
      </w:r>
      <w:r w:rsidRPr="00647752">
        <w:rPr>
          <w:rFonts w:ascii="Times New Roman" w:hAnsi="Times New Roman" w:cs="Times New Roman"/>
          <w:sz w:val="22"/>
          <w:szCs w:val="22"/>
          <w:lang w:val="en-GB"/>
        </w:rPr>
        <w:t xml:space="preserve"> staff rendered technical assistance directly to t</w:t>
      </w:r>
      <w:r w:rsidR="00381D8F">
        <w:rPr>
          <w:rFonts w:ascii="Times New Roman" w:hAnsi="Times New Roman" w:cs="Times New Roman"/>
          <w:sz w:val="22"/>
          <w:szCs w:val="22"/>
          <w:lang w:val="en-GB"/>
        </w:rPr>
        <w:t>he MOSA</w:t>
      </w:r>
      <w:r w:rsidRPr="00647752">
        <w:rPr>
          <w:rFonts w:ascii="Times New Roman" w:hAnsi="Times New Roman" w:cs="Times New Roman"/>
          <w:sz w:val="22"/>
          <w:szCs w:val="22"/>
          <w:lang w:val="en-GB"/>
        </w:rPr>
        <w:t xml:space="preserve"> and the </w:t>
      </w:r>
      <w:r w:rsidR="00381D8F">
        <w:rPr>
          <w:rFonts w:ascii="Times New Roman" w:hAnsi="Times New Roman" w:cs="Times New Roman"/>
          <w:i/>
          <w:sz w:val="22"/>
          <w:szCs w:val="22"/>
          <w:lang w:val="en-GB"/>
        </w:rPr>
        <w:t>Dar Al-</w:t>
      </w:r>
      <w:r w:rsidRPr="00647752">
        <w:rPr>
          <w:rFonts w:ascii="Times New Roman" w:hAnsi="Times New Roman" w:cs="Times New Roman"/>
          <w:i/>
          <w:sz w:val="22"/>
          <w:szCs w:val="22"/>
          <w:lang w:val="en-GB"/>
        </w:rPr>
        <w:t>Amal</w:t>
      </w:r>
      <w:r w:rsidR="00E8775C">
        <w:rPr>
          <w:rFonts w:ascii="Times New Roman" w:hAnsi="Times New Roman" w:cs="Times New Roman"/>
          <w:i/>
          <w:sz w:val="22"/>
          <w:szCs w:val="22"/>
          <w:lang w:val="en-GB"/>
        </w:rPr>
        <w:t xml:space="preserve"> </w:t>
      </w:r>
      <w:r w:rsidR="00381D8F">
        <w:rPr>
          <w:rFonts w:ascii="Times New Roman" w:hAnsi="Times New Roman" w:cs="Times New Roman"/>
          <w:sz w:val="22"/>
          <w:szCs w:val="22"/>
          <w:lang w:val="en-GB"/>
        </w:rPr>
        <w:t xml:space="preserve">Juvenile Rehabilitation </w:t>
      </w:r>
      <w:r w:rsidRPr="00381D8F">
        <w:rPr>
          <w:rFonts w:ascii="Times New Roman" w:hAnsi="Times New Roman" w:cs="Times New Roman"/>
          <w:sz w:val="22"/>
          <w:szCs w:val="22"/>
          <w:lang w:val="en-GB"/>
        </w:rPr>
        <w:t>Centre in</w:t>
      </w:r>
      <w:r w:rsidR="00381D8F">
        <w:rPr>
          <w:rFonts w:ascii="Times New Roman" w:hAnsi="Times New Roman" w:cs="Times New Roman"/>
          <w:sz w:val="22"/>
          <w:szCs w:val="22"/>
          <w:lang w:val="en-GB"/>
        </w:rPr>
        <w:t xml:space="preserve"> Ramallah </w:t>
      </w:r>
      <w:r w:rsidRPr="00647752">
        <w:rPr>
          <w:rFonts w:ascii="Times New Roman" w:hAnsi="Times New Roman" w:cs="Times New Roman"/>
          <w:sz w:val="22"/>
          <w:szCs w:val="22"/>
          <w:lang w:val="en-GB"/>
        </w:rPr>
        <w:t xml:space="preserve">in their efforts to come into conformity with international best practices.  </w:t>
      </w:r>
    </w:p>
    <w:p w:rsidR="00381D8F" w:rsidRDefault="00381D8F" w:rsidP="00FB6759">
      <w:pPr>
        <w:spacing w:after="0" w:line="240" w:lineRule="auto"/>
        <w:jc w:val="both"/>
        <w:rPr>
          <w:rFonts w:ascii="Times New Roman" w:hAnsi="Times New Roman" w:cs="Times New Roman"/>
          <w:sz w:val="22"/>
          <w:szCs w:val="22"/>
          <w:lang w:val="en-GB"/>
        </w:rPr>
      </w:pPr>
    </w:p>
    <w:p w:rsidR="002B74C0" w:rsidRPr="00647752" w:rsidRDefault="00381D8F"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lastRenderedPageBreak/>
        <w:t>In conjunction with UNICEF, the programme assisted MO</w:t>
      </w:r>
      <w:r w:rsidR="002B74C0" w:rsidRPr="00647752">
        <w:rPr>
          <w:rFonts w:ascii="Times New Roman" w:hAnsi="Times New Roman" w:cs="Times New Roman"/>
          <w:sz w:val="22"/>
          <w:szCs w:val="22"/>
          <w:lang w:val="en-GB"/>
        </w:rPr>
        <w:t>SA to develop the National Strategy for Ju</w:t>
      </w:r>
      <w:r>
        <w:rPr>
          <w:rFonts w:ascii="Times New Roman" w:hAnsi="Times New Roman" w:cs="Times New Roman"/>
          <w:sz w:val="22"/>
          <w:szCs w:val="22"/>
          <w:lang w:val="en-GB"/>
        </w:rPr>
        <w:t xml:space="preserve">venile Justice. </w:t>
      </w:r>
      <w:r w:rsidR="002B74C0" w:rsidRPr="00647752">
        <w:rPr>
          <w:rFonts w:ascii="Times New Roman" w:hAnsi="Times New Roman" w:cs="Times New Roman"/>
          <w:sz w:val="22"/>
          <w:szCs w:val="22"/>
          <w:lang w:val="en-GB"/>
        </w:rPr>
        <w:t xml:space="preserve">A UNDP representative took </w:t>
      </w:r>
      <w:r>
        <w:rPr>
          <w:rFonts w:ascii="Times New Roman" w:hAnsi="Times New Roman" w:cs="Times New Roman"/>
          <w:sz w:val="22"/>
          <w:szCs w:val="22"/>
          <w:lang w:val="en-GB"/>
        </w:rPr>
        <w:t>part in all the meetings and in</w:t>
      </w:r>
      <w:r w:rsidR="002B74C0" w:rsidRPr="00647752">
        <w:rPr>
          <w:rFonts w:ascii="Times New Roman" w:hAnsi="Times New Roman" w:cs="Times New Roman"/>
          <w:sz w:val="22"/>
          <w:szCs w:val="22"/>
          <w:lang w:val="en-GB"/>
        </w:rPr>
        <w:t>put was gi</w:t>
      </w:r>
      <w:r>
        <w:rPr>
          <w:rFonts w:ascii="Times New Roman" w:hAnsi="Times New Roman" w:cs="Times New Roman"/>
          <w:sz w:val="22"/>
          <w:szCs w:val="22"/>
          <w:lang w:val="en-GB"/>
        </w:rPr>
        <w:t>ven to the committee. When the s</w:t>
      </w:r>
      <w:r w:rsidR="002B74C0" w:rsidRPr="00647752">
        <w:rPr>
          <w:rFonts w:ascii="Times New Roman" w:hAnsi="Times New Roman" w:cs="Times New Roman"/>
          <w:sz w:val="22"/>
          <w:szCs w:val="22"/>
          <w:lang w:val="en-GB"/>
        </w:rPr>
        <w:t>trategy was completed, UNDP provided feedback to the consu</w:t>
      </w:r>
      <w:r>
        <w:rPr>
          <w:rFonts w:ascii="Times New Roman" w:hAnsi="Times New Roman" w:cs="Times New Roman"/>
          <w:sz w:val="22"/>
          <w:szCs w:val="22"/>
          <w:lang w:val="en-GB"/>
        </w:rPr>
        <w:t>ltant who had drafted the study; the s</w:t>
      </w:r>
      <w:r w:rsidR="002B74C0" w:rsidRPr="00647752">
        <w:rPr>
          <w:rFonts w:ascii="Times New Roman" w:hAnsi="Times New Roman" w:cs="Times New Roman"/>
          <w:sz w:val="22"/>
          <w:szCs w:val="22"/>
          <w:lang w:val="en-GB"/>
        </w:rPr>
        <w:t>trat</w:t>
      </w:r>
      <w:r>
        <w:rPr>
          <w:rFonts w:ascii="Times New Roman" w:hAnsi="Times New Roman" w:cs="Times New Roman"/>
          <w:sz w:val="22"/>
          <w:szCs w:val="22"/>
          <w:lang w:val="en-GB"/>
        </w:rPr>
        <w:t xml:space="preserve">egy </w:t>
      </w:r>
      <w:r w:rsidR="002B74C0" w:rsidRPr="00647752">
        <w:rPr>
          <w:rFonts w:ascii="Times New Roman" w:hAnsi="Times New Roman" w:cs="Times New Roman"/>
          <w:sz w:val="22"/>
          <w:szCs w:val="22"/>
          <w:lang w:val="en-GB"/>
        </w:rPr>
        <w:t xml:space="preserve">was successfully launched on 11 February 2013. </w:t>
      </w:r>
    </w:p>
    <w:p w:rsidR="00381D8F" w:rsidRDefault="00381D8F" w:rsidP="00FB6759">
      <w:pPr>
        <w:spacing w:after="0" w:line="240" w:lineRule="auto"/>
        <w:jc w:val="both"/>
        <w:rPr>
          <w:rFonts w:ascii="Times New Roman" w:hAnsi="Times New Roman" w:cs="Times New Roman"/>
          <w:sz w:val="22"/>
          <w:szCs w:val="22"/>
          <w:lang w:val="en-GB"/>
        </w:rPr>
      </w:pPr>
    </w:p>
    <w:p w:rsidR="00381D8F" w:rsidRDefault="00381D8F"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The NCJJ </w:t>
      </w:r>
      <w:r w:rsidR="002B74C0" w:rsidRPr="00647752">
        <w:rPr>
          <w:rFonts w:ascii="Times New Roman" w:hAnsi="Times New Roman" w:cs="Times New Roman"/>
          <w:sz w:val="22"/>
          <w:szCs w:val="22"/>
          <w:lang w:val="en-GB"/>
        </w:rPr>
        <w:t>was formed in 2010 wi</w:t>
      </w:r>
      <w:r>
        <w:rPr>
          <w:rFonts w:ascii="Times New Roman" w:hAnsi="Times New Roman" w:cs="Times New Roman"/>
          <w:sz w:val="22"/>
          <w:szCs w:val="22"/>
          <w:lang w:val="en-GB"/>
        </w:rPr>
        <w:t xml:space="preserve">th UNDP technical support. The committee members include </w:t>
      </w:r>
      <w:r w:rsidR="002B74C0" w:rsidRPr="00647752">
        <w:rPr>
          <w:rFonts w:ascii="Times New Roman" w:hAnsi="Times New Roman" w:cs="Times New Roman"/>
          <w:sz w:val="22"/>
          <w:szCs w:val="22"/>
          <w:lang w:val="en-GB"/>
        </w:rPr>
        <w:t xml:space="preserve">representatives </w:t>
      </w:r>
      <w:r>
        <w:rPr>
          <w:rFonts w:ascii="Times New Roman" w:hAnsi="Times New Roman" w:cs="Times New Roman"/>
          <w:sz w:val="22"/>
          <w:szCs w:val="22"/>
          <w:lang w:val="en-GB"/>
        </w:rPr>
        <w:t>from different PNA ministries as well as the PCP, AGO, HJC, ICHR and different CSOs.</w:t>
      </w:r>
    </w:p>
    <w:p w:rsidR="00A54A59" w:rsidRDefault="00381D8F"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The committee developed a draft </w:t>
      </w:r>
      <w:r w:rsidR="002B74C0" w:rsidRPr="00647752">
        <w:rPr>
          <w:rFonts w:ascii="Times New Roman" w:hAnsi="Times New Roman" w:cs="Times New Roman"/>
          <w:sz w:val="22"/>
          <w:szCs w:val="22"/>
          <w:lang w:val="en-GB"/>
        </w:rPr>
        <w:t xml:space="preserve">Juvenile Justice </w:t>
      </w:r>
      <w:r w:rsidR="00A54A59">
        <w:rPr>
          <w:rFonts w:ascii="Times New Roman" w:hAnsi="Times New Roman" w:cs="Times New Roman"/>
          <w:sz w:val="22"/>
          <w:szCs w:val="22"/>
          <w:lang w:val="en-GB"/>
        </w:rPr>
        <w:t>Law, which was presented to the Council of Ministers and referred to the p</w:t>
      </w:r>
      <w:r w:rsidR="002B74C0" w:rsidRPr="00647752">
        <w:rPr>
          <w:rFonts w:ascii="Times New Roman" w:hAnsi="Times New Roman" w:cs="Times New Roman"/>
          <w:sz w:val="22"/>
          <w:szCs w:val="22"/>
          <w:lang w:val="en-GB"/>
        </w:rPr>
        <w:t xml:space="preserve">resident to sign. </w:t>
      </w:r>
      <w:r w:rsidR="00A54A59">
        <w:rPr>
          <w:rFonts w:ascii="Times New Roman" w:hAnsi="Times New Roman" w:cs="Times New Roman"/>
          <w:sz w:val="22"/>
          <w:szCs w:val="22"/>
          <w:lang w:val="en-GB"/>
        </w:rPr>
        <w:t>UNDP also assisted MOSA in establishing its own Legal Unit.</w:t>
      </w:r>
    </w:p>
    <w:p w:rsidR="00381D8F" w:rsidRDefault="00381D8F" w:rsidP="00FB6759">
      <w:pPr>
        <w:spacing w:after="0" w:line="240" w:lineRule="auto"/>
        <w:jc w:val="both"/>
        <w:rPr>
          <w:rFonts w:ascii="Times New Roman" w:hAnsi="Times New Roman" w:cs="Times New Roman"/>
          <w:sz w:val="22"/>
          <w:szCs w:val="22"/>
          <w:lang w:val="en-GB"/>
        </w:rPr>
      </w:pPr>
    </w:p>
    <w:p w:rsidR="002B74C0" w:rsidRPr="00647752" w:rsidRDefault="00A54A59"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MO</w:t>
      </w:r>
      <w:r w:rsidR="002B74C0" w:rsidRPr="00647752">
        <w:rPr>
          <w:rFonts w:ascii="Times New Roman" w:hAnsi="Times New Roman" w:cs="Times New Roman"/>
          <w:sz w:val="22"/>
          <w:szCs w:val="22"/>
          <w:lang w:val="en-GB"/>
        </w:rPr>
        <w:t>SA has also worked with UNDP on how to allow the juveni</w:t>
      </w:r>
      <w:r>
        <w:rPr>
          <w:rFonts w:ascii="Times New Roman" w:hAnsi="Times New Roman" w:cs="Times New Roman"/>
          <w:sz w:val="22"/>
          <w:szCs w:val="22"/>
          <w:lang w:val="en-GB"/>
        </w:rPr>
        <w:t xml:space="preserve">les at the </w:t>
      </w:r>
      <w:r w:rsidRPr="00A54A59">
        <w:rPr>
          <w:rFonts w:ascii="Times New Roman" w:hAnsi="Times New Roman" w:cs="Times New Roman"/>
          <w:i/>
          <w:sz w:val="22"/>
          <w:szCs w:val="22"/>
          <w:lang w:val="en-GB"/>
        </w:rPr>
        <w:t>Dar Al-Amal</w:t>
      </w:r>
      <w:r>
        <w:rPr>
          <w:rFonts w:ascii="Times New Roman" w:hAnsi="Times New Roman" w:cs="Times New Roman"/>
          <w:sz w:val="22"/>
          <w:szCs w:val="22"/>
          <w:lang w:val="en-GB"/>
        </w:rPr>
        <w:t xml:space="preserve"> Juvenile Rehabilitation</w:t>
      </w:r>
      <w:r w:rsidR="002B74C0" w:rsidRPr="00647752">
        <w:rPr>
          <w:rFonts w:ascii="Times New Roman" w:hAnsi="Times New Roman" w:cs="Times New Roman"/>
          <w:sz w:val="22"/>
          <w:szCs w:val="22"/>
          <w:lang w:val="en-GB"/>
        </w:rPr>
        <w:t xml:space="preserve"> Centre t</w:t>
      </w:r>
      <w:r>
        <w:rPr>
          <w:rFonts w:ascii="Times New Roman" w:hAnsi="Times New Roman" w:cs="Times New Roman"/>
          <w:sz w:val="22"/>
          <w:szCs w:val="22"/>
          <w:lang w:val="en-GB"/>
        </w:rPr>
        <w:t>o exercise their rights. During the past months, MO</w:t>
      </w:r>
      <w:r w:rsidR="002B74C0" w:rsidRPr="00647752">
        <w:rPr>
          <w:rFonts w:ascii="Times New Roman" w:hAnsi="Times New Roman" w:cs="Times New Roman"/>
          <w:sz w:val="22"/>
          <w:szCs w:val="22"/>
          <w:lang w:val="en-GB"/>
        </w:rPr>
        <w:t>SA has employed lawyers to p</w:t>
      </w:r>
      <w:r>
        <w:rPr>
          <w:rFonts w:ascii="Times New Roman" w:hAnsi="Times New Roman" w:cs="Times New Roman"/>
          <w:sz w:val="22"/>
          <w:szCs w:val="22"/>
          <w:lang w:val="en-GB"/>
        </w:rPr>
        <w:t xml:space="preserve">rovide legal aid to juveniles. </w:t>
      </w:r>
      <w:r w:rsidR="002B74C0" w:rsidRPr="00647752">
        <w:rPr>
          <w:rFonts w:ascii="Times New Roman" w:hAnsi="Times New Roman" w:cs="Times New Roman"/>
          <w:sz w:val="22"/>
          <w:szCs w:val="22"/>
          <w:lang w:val="en-GB"/>
        </w:rPr>
        <w:t>These lawyers will work wit</w:t>
      </w:r>
      <w:r>
        <w:rPr>
          <w:rFonts w:ascii="Times New Roman" w:hAnsi="Times New Roman" w:cs="Times New Roman"/>
          <w:sz w:val="22"/>
          <w:szCs w:val="22"/>
          <w:lang w:val="en-GB"/>
        </w:rPr>
        <w:t>h all stakeholders in the field</w:t>
      </w:r>
      <w:r w:rsidR="002B74C0" w:rsidRPr="00647752">
        <w:rPr>
          <w:rFonts w:ascii="Times New Roman" w:hAnsi="Times New Roman" w:cs="Times New Roman"/>
          <w:sz w:val="22"/>
          <w:szCs w:val="22"/>
          <w:lang w:val="en-GB"/>
        </w:rPr>
        <w:t xml:space="preserve"> but especiall</w:t>
      </w:r>
      <w:r>
        <w:rPr>
          <w:rFonts w:ascii="Times New Roman" w:hAnsi="Times New Roman" w:cs="Times New Roman"/>
          <w:sz w:val="22"/>
          <w:szCs w:val="22"/>
          <w:lang w:val="en-GB"/>
        </w:rPr>
        <w:t>y with the probation officers. In the coming months, MO</w:t>
      </w:r>
      <w:r w:rsidR="002B74C0" w:rsidRPr="00647752">
        <w:rPr>
          <w:rFonts w:ascii="Times New Roman" w:hAnsi="Times New Roman" w:cs="Times New Roman"/>
          <w:sz w:val="22"/>
          <w:szCs w:val="22"/>
          <w:lang w:val="en-GB"/>
        </w:rPr>
        <w:t xml:space="preserve">SA will </w:t>
      </w:r>
      <w:r>
        <w:rPr>
          <w:rFonts w:ascii="Times New Roman" w:hAnsi="Times New Roman" w:cs="Times New Roman"/>
          <w:sz w:val="22"/>
          <w:szCs w:val="22"/>
          <w:lang w:val="en-GB"/>
        </w:rPr>
        <w:t xml:space="preserve">also </w:t>
      </w:r>
      <w:r w:rsidR="002B74C0" w:rsidRPr="00647752">
        <w:rPr>
          <w:rFonts w:ascii="Times New Roman" w:hAnsi="Times New Roman" w:cs="Times New Roman"/>
          <w:sz w:val="22"/>
          <w:szCs w:val="22"/>
          <w:lang w:val="en-GB"/>
        </w:rPr>
        <w:t>employ an advisor for developing a referral system for juveniles from the m</w:t>
      </w:r>
      <w:r>
        <w:rPr>
          <w:rFonts w:ascii="Times New Roman" w:hAnsi="Times New Roman" w:cs="Times New Roman"/>
          <w:sz w:val="22"/>
          <w:szCs w:val="22"/>
          <w:lang w:val="en-GB"/>
        </w:rPr>
        <w:t xml:space="preserve">oment of their arrest </w:t>
      </w:r>
      <w:r w:rsidR="002B74C0" w:rsidRPr="00647752">
        <w:rPr>
          <w:rFonts w:ascii="Times New Roman" w:hAnsi="Times New Roman" w:cs="Times New Roman"/>
          <w:sz w:val="22"/>
          <w:szCs w:val="22"/>
          <w:lang w:val="en-GB"/>
        </w:rPr>
        <w:t>through to their release from</w:t>
      </w:r>
      <w:r>
        <w:rPr>
          <w:rFonts w:ascii="Times New Roman" w:hAnsi="Times New Roman" w:cs="Times New Roman"/>
          <w:sz w:val="22"/>
          <w:szCs w:val="22"/>
          <w:lang w:val="en-GB"/>
        </w:rPr>
        <w:t xml:space="preserve"> the juvenile rehabilitation centre.</w:t>
      </w:r>
    </w:p>
    <w:p w:rsidR="00381D8F" w:rsidRDefault="00381D8F" w:rsidP="00FB6759">
      <w:pPr>
        <w:spacing w:after="0" w:line="240" w:lineRule="auto"/>
        <w:jc w:val="both"/>
        <w:rPr>
          <w:rFonts w:ascii="Times New Roman" w:hAnsi="Times New Roman" w:cs="Times New Roman"/>
          <w:sz w:val="22"/>
          <w:szCs w:val="22"/>
          <w:lang w:val="en-GB"/>
        </w:rPr>
      </w:pPr>
    </w:p>
    <w:p w:rsidR="007B6BA6" w:rsidRDefault="007B6BA6"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Thanks to the support provided by UNDP, MOSA was able to refurbish the health unit at the centre and renovated the kitchen. In addition, it improved the </w:t>
      </w:r>
      <w:r w:rsidR="002B74C0" w:rsidRPr="00647752">
        <w:rPr>
          <w:rFonts w:ascii="Times New Roman" w:hAnsi="Times New Roman" w:cs="Times New Roman"/>
          <w:sz w:val="22"/>
          <w:szCs w:val="22"/>
          <w:lang w:val="en-GB"/>
        </w:rPr>
        <w:t>walls, gat</w:t>
      </w:r>
      <w:r>
        <w:rPr>
          <w:rFonts w:ascii="Times New Roman" w:hAnsi="Times New Roman" w:cs="Times New Roman"/>
          <w:sz w:val="22"/>
          <w:szCs w:val="22"/>
          <w:lang w:val="en-GB"/>
        </w:rPr>
        <w:t>es and security of the rehabilitation</w:t>
      </w:r>
      <w:r w:rsidR="002B74C0" w:rsidRPr="00647752">
        <w:rPr>
          <w:rFonts w:ascii="Times New Roman" w:hAnsi="Times New Roman" w:cs="Times New Roman"/>
          <w:sz w:val="22"/>
          <w:szCs w:val="22"/>
          <w:lang w:val="en-GB"/>
        </w:rPr>
        <w:t xml:space="preserve"> centre</w:t>
      </w:r>
      <w:r>
        <w:rPr>
          <w:rFonts w:ascii="Times New Roman" w:hAnsi="Times New Roman" w:cs="Times New Roman"/>
          <w:sz w:val="22"/>
          <w:szCs w:val="22"/>
          <w:lang w:val="en-GB"/>
        </w:rPr>
        <w:t xml:space="preserve"> and set up a computer room (with internet and instructor) and a music room.</w:t>
      </w:r>
    </w:p>
    <w:p w:rsidR="00381D8F" w:rsidRDefault="00381D8F" w:rsidP="00FB6759">
      <w:pPr>
        <w:spacing w:after="0" w:line="240" w:lineRule="auto"/>
        <w:jc w:val="both"/>
        <w:rPr>
          <w:rFonts w:ascii="Times New Roman" w:hAnsi="Times New Roman" w:cs="Times New Roman"/>
          <w:sz w:val="22"/>
          <w:szCs w:val="22"/>
          <w:lang w:val="en-GB"/>
        </w:rPr>
      </w:pPr>
    </w:p>
    <w:p w:rsidR="00946B04" w:rsidRPr="00647752" w:rsidRDefault="0091600E" w:rsidP="00FB6759">
      <w:pPr>
        <w:spacing w:after="0" w:line="240" w:lineRule="auto"/>
        <w:jc w:val="both"/>
        <w:rPr>
          <w:rFonts w:ascii="Times New Roman" w:hAnsi="Times New Roman" w:cs="Times New Roman"/>
          <w:lang w:val="en-GB"/>
        </w:rPr>
      </w:pPr>
      <w:r>
        <w:rPr>
          <w:rFonts w:ascii="Times New Roman" w:hAnsi="Times New Roman" w:cs="Times New Roman"/>
          <w:sz w:val="22"/>
          <w:szCs w:val="22"/>
          <w:lang w:val="en-GB"/>
        </w:rPr>
        <w:t>The d</w:t>
      </w:r>
      <w:r w:rsidR="002B74C0" w:rsidRPr="00647752">
        <w:rPr>
          <w:rFonts w:ascii="Times New Roman" w:hAnsi="Times New Roman" w:cs="Times New Roman"/>
          <w:sz w:val="22"/>
          <w:szCs w:val="22"/>
          <w:lang w:val="en-GB"/>
        </w:rPr>
        <w:t xml:space="preserve">irector of </w:t>
      </w:r>
      <w:r>
        <w:rPr>
          <w:rFonts w:ascii="Times New Roman" w:hAnsi="Times New Roman" w:cs="Times New Roman"/>
          <w:i/>
          <w:sz w:val="22"/>
          <w:szCs w:val="22"/>
          <w:lang w:val="en-GB"/>
        </w:rPr>
        <w:t>Dar Al-Amal</w:t>
      </w:r>
      <w:r w:rsidR="00E8775C">
        <w:rPr>
          <w:rFonts w:ascii="Times New Roman" w:hAnsi="Times New Roman" w:cs="Times New Roman"/>
          <w:i/>
          <w:sz w:val="22"/>
          <w:szCs w:val="22"/>
          <w:lang w:val="en-GB"/>
        </w:rPr>
        <w:t xml:space="preserve"> </w:t>
      </w:r>
      <w:r>
        <w:rPr>
          <w:rFonts w:ascii="Times New Roman" w:hAnsi="Times New Roman" w:cs="Times New Roman"/>
          <w:sz w:val="22"/>
          <w:szCs w:val="22"/>
          <w:lang w:val="en-GB"/>
        </w:rPr>
        <w:t>affirmed to the e</w:t>
      </w:r>
      <w:r w:rsidR="002B74C0" w:rsidRPr="00647752">
        <w:rPr>
          <w:rFonts w:ascii="Times New Roman" w:hAnsi="Times New Roman" w:cs="Times New Roman"/>
          <w:sz w:val="22"/>
          <w:szCs w:val="22"/>
          <w:lang w:val="en-GB"/>
        </w:rPr>
        <w:t>valuation that t</w:t>
      </w:r>
      <w:r>
        <w:rPr>
          <w:rFonts w:ascii="Times New Roman" w:hAnsi="Times New Roman" w:cs="Times New Roman"/>
          <w:sz w:val="22"/>
          <w:szCs w:val="22"/>
          <w:lang w:val="en-GB"/>
        </w:rPr>
        <w:t xml:space="preserve">he UNDP support </w:t>
      </w:r>
      <w:r w:rsidR="002B74C0" w:rsidRPr="00647752">
        <w:rPr>
          <w:rFonts w:ascii="Times New Roman" w:hAnsi="Times New Roman" w:cs="Times New Roman"/>
          <w:sz w:val="22"/>
          <w:szCs w:val="22"/>
          <w:lang w:val="en-GB"/>
        </w:rPr>
        <w:t>was relevant and in li</w:t>
      </w:r>
      <w:r>
        <w:rPr>
          <w:rFonts w:ascii="Times New Roman" w:hAnsi="Times New Roman" w:cs="Times New Roman"/>
          <w:sz w:val="22"/>
          <w:szCs w:val="22"/>
          <w:lang w:val="en-GB"/>
        </w:rPr>
        <w:t xml:space="preserve">ne with the national approach. </w:t>
      </w:r>
      <w:r w:rsidR="002B74C0" w:rsidRPr="00647752">
        <w:rPr>
          <w:rFonts w:ascii="Times New Roman" w:hAnsi="Times New Roman" w:cs="Times New Roman"/>
          <w:sz w:val="22"/>
          <w:szCs w:val="22"/>
          <w:lang w:val="en-GB"/>
        </w:rPr>
        <w:t>The total number of juveniles cycling through the centre has ranged between 400 and 700 in any given year.</w:t>
      </w:r>
      <w:r w:rsidR="002B74C0" w:rsidRPr="00647752">
        <w:rPr>
          <w:rFonts w:ascii="Times New Roman" w:hAnsi="Times New Roman" w:cs="Times New Roman"/>
          <w:sz w:val="22"/>
          <w:szCs w:val="22"/>
          <w:vertAlign w:val="superscript"/>
          <w:lang w:val="en-GB"/>
        </w:rPr>
        <w:footnoteReference w:id="174"/>
      </w:r>
      <w:r w:rsidR="002B74C0" w:rsidRPr="00647752">
        <w:rPr>
          <w:rFonts w:ascii="Times New Roman" w:hAnsi="Times New Roman" w:cs="Times New Roman"/>
          <w:sz w:val="22"/>
          <w:szCs w:val="22"/>
          <w:lang w:val="en-GB"/>
        </w:rPr>
        <w:t>Rates of recidivism have been dec</w:t>
      </w:r>
      <w:r>
        <w:rPr>
          <w:rFonts w:ascii="Times New Roman" w:hAnsi="Times New Roman" w:cs="Times New Roman"/>
          <w:sz w:val="22"/>
          <w:szCs w:val="22"/>
          <w:lang w:val="en-GB"/>
        </w:rPr>
        <w:t>reasing recently (i.e. from 2006</w:t>
      </w:r>
      <w:r w:rsidR="002B74C0" w:rsidRPr="00647752">
        <w:rPr>
          <w:rFonts w:ascii="Times New Roman" w:hAnsi="Times New Roman" w:cs="Times New Roman"/>
          <w:sz w:val="22"/>
          <w:szCs w:val="22"/>
          <w:lang w:val="en-GB"/>
        </w:rPr>
        <w:t>-2009 the rate was 50%; fro</w:t>
      </w:r>
      <w:r>
        <w:rPr>
          <w:rFonts w:ascii="Times New Roman" w:hAnsi="Times New Roman" w:cs="Times New Roman"/>
          <w:sz w:val="22"/>
          <w:szCs w:val="22"/>
          <w:lang w:val="en-GB"/>
        </w:rPr>
        <w:t>m 2009-2012 rate is 15-20%). Continuing needs of the c</w:t>
      </w:r>
      <w:r w:rsidR="002B74C0" w:rsidRPr="00647752">
        <w:rPr>
          <w:rFonts w:ascii="Times New Roman" w:hAnsi="Times New Roman" w:cs="Times New Roman"/>
          <w:sz w:val="22"/>
          <w:szCs w:val="22"/>
          <w:lang w:val="en-GB"/>
        </w:rPr>
        <w:t>entre include strengthening the reintegration and rehabilitat</w:t>
      </w:r>
      <w:r>
        <w:rPr>
          <w:rFonts w:ascii="Times New Roman" w:hAnsi="Times New Roman" w:cs="Times New Roman"/>
          <w:sz w:val="22"/>
          <w:szCs w:val="22"/>
          <w:lang w:val="en-GB"/>
        </w:rPr>
        <w:t>ion component and staff of the centre (i.e. assisting the centre to construct a greenhouse; improving</w:t>
      </w:r>
      <w:r w:rsidR="002B74C0" w:rsidRPr="00647752">
        <w:rPr>
          <w:rFonts w:ascii="Times New Roman" w:hAnsi="Times New Roman" w:cs="Times New Roman"/>
          <w:sz w:val="22"/>
          <w:szCs w:val="22"/>
          <w:lang w:val="en-GB"/>
        </w:rPr>
        <w:t xml:space="preserve"> its sports facilities</w:t>
      </w:r>
      <w:r>
        <w:rPr>
          <w:rFonts w:ascii="Times New Roman" w:hAnsi="Times New Roman" w:cs="Times New Roman"/>
          <w:sz w:val="22"/>
          <w:szCs w:val="22"/>
          <w:lang w:val="en-GB"/>
        </w:rPr>
        <w:t xml:space="preserve"> and equipment; hiring</w:t>
      </w:r>
      <w:r w:rsidR="002B74C0" w:rsidRPr="00647752">
        <w:rPr>
          <w:rFonts w:ascii="Times New Roman" w:hAnsi="Times New Roman" w:cs="Times New Roman"/>
          <w:sz w:val="22"/>
          <w:szCs w:val="22"/>
          <w:lang w:val="en-GB"/>
        </w:rPr>
        <w:t xml:space="preserve"> a social worker and </w:t>
      </w:r>
      <w:r>
        <w:rPr>
          <w:rFonts w:ascii="Times New Roman" w:hAnsi="Times New Roman" w:cs="Times New Roman"/>
          <w:sz w:val="22"/>
          <w:szCs w:val="22"/>
          <w:lang w:val="en-GB"/>
        </w:rPr>
        <w:t xml:space="preserve">a </w:t>
      </w:r>
      <w:r w:rsidR="002B74C0" w:rsidRPr="00647752">
        <w:rPr>
          <w:rFonts w:ascii="Times New Roman" w:hAnsi="Times New Roman" w:cs="Times New Roman"/>
          <w:sz w:val="22"/>
          <w:szCs w:val="22"/>
          <w:lang w:val="en-GB"/>
        </w:rPr>
        <w:t>computer instructor), repairing broken windows on the upper floors and improving heating for the winter months.</w:t>
      </w:r>
      <w:r w:rsidR="002B74C0" w:rsidRPr="00647752">
        <w:rPr>
          <w:rStyle w:val="FootnoteReference"/>
          <w:rFonts w:ascii="Times New Roman" w:hAnsi="Times New Roman" w:cs="Times New Roman"/>
          <w:sz w:val="22"/>
          <w:szCs w:val="22"/>
          <w:lang w:val="en-GB"/>
        </w:rPr>
        <w:footnoteReference w:id="175"/>
      </w:r>
    </w:p>
    <w:p w:rsidR="009B0B63" w:rsidRPr="00381D8F" w:rsidRDefault="009B0B63" w:rsidP="00FB6759">
      <w:pPr>
        <w:spacing w:after="0" w:line="240" w:lineRule="auto"/>
        <w:jc w:val="both"/>
        <w:rPr>
          <w:rFonts w:ascii="Times New Roman" w:hAnsi="Times New Roman" w:cs="Times New Roman"/>
          <w:sz w:val="22"/>
          <w:szCs w:val="22"/>
          <w:lang w:val="en-GB"/>
        </w:rPr>
      </w:pPr>
    </w:p>
    <w:p w:rsidR="00217247" w:rsidRPr="00381D8F" w:rsidRDefault="0023683A" w:rsidP="00381D8F">
      <w:pPr>
        <w:pStyle w:val="Heading3"/>
        <w:numPr>
          <w:ilvl w:val="0"/>
          <w:numId w:val="0"/>
        </w:numPr>
        <w:spacing w:before="0" w:after="0" w:line="240" w:lineRule="auto"/>
        <w:rPr>
          <w:rFonts w:ascii="Times New Roman" w:hAnsi="Times New Roman" w:cs="Times New Roman"/>
          <w:sz w:val="22"/>
          <w:szCs w:val="22"/>
          <w:lang w:val="en-GB"/>
        </w:rPr>
      </w:pPr>
      <w:bookmarkStart w:id="19" w:name="_Toc231801803"/>
      <w:r w:rsidRPr="00381D8F">
        <w:rPr>
          <w:rFonts w:ascii="Times New Roman" w:hAnsi="Times New Roman" w:cs="Times New Roman"/>
          <w:sz w:val="22"/>
          <w:szCs w:val="22"/>
          <w:lang w:val="en-GB"/>
        </w:rPr>
        <w:t>Outcome 4:  Rule of law in the Gaza Strip initiated</w:t>
      </w:r>
      <w:bookmarkEnd w:id="19"/>
    </w:p>
    <w:p w:rsidR="00381D8F" w:rsidRPr="00381D8F" w:rsidRDefault="00381D8F" w:rsidP="00FB6759">
      <w:pPr>
        <w:spacing w:after="0" w:line="240" w:lineRule="auto"/>
        <w:jc w:val="both"/>
        <w:rPr>
          <w:rFonts w:ascii="Times New Roman" w:hAnsi="Times New Roman" w:cs="Times New Roman"/>
          <w:sz w:val="22"/>
          <w:szCs w:val="22"/>
          <w:lang w:val="en-GB"/>
        </w:rPr>
      </w:pPr>
    </w:p>
    <w:p w:rsidR="000F21D5" w:rsidRPr="00647752" w:rsidRDefault="004107C3" w:rsidP="00FB6759">
      <w:pPr>
        <w:spacing w:after="0" w:line="240" w:lineRule="auto"/>
        <w:jc w:val="both"/>
        <w:rPr>
          <w:rFonts w:ascii="Times New Roman" w:hAnsi="Times New Roman" w:cs="Times New Roman"/>
          <w:sz w:val="22"/>
          <w:szCs w:val="22"/>
          <w:lang w:val="en-GB"/>
        </w:rPr>
      </w:pPr>
      <w:r w:rsidRPr="00381D8F">
        <w:rPr>
          <w:rFonts w:ascii="Times New Roman" w:hAnsi="Times New Roman" w:cs="Times New Roman"/>
          <w:sz w:val="22"/>
          <w:szCs w:val="22"/>
          <w:lang w:val="en-GB"/>
        </w:rPr>
        <w:t>Rule of law in the Gaza Strip has been repeatedly set back by circumstances and events beyond the</w:t>
      </w:r>
      <w:r w:rsidRPr="00647752">
        <w:rPr>
          <w:rFonts w:ascii="Times New Roman" w:hAnsi="Times New Roman" w:cs="Times New Roman"/>
          <w:sz w:val="22"/>
          <w:szCs w:val="22"/>
          <w:lang w:val="en-GB"/>
        </w:rPr>
        <w:t xml:space="preserve"> control of key justice institutions and justice stakeholders. T</w:t>
      </w:r>
      <w:r w:rsidR="00BD0DBA" w:rsidRPr="00647752">
        <w:rPr>
          <w:rFonts w:ascii="Times New Roman" w:hAnsi="Times New Roman" w:cs="Times New Roman"/>
          <w:sz w:val="22"/>
          <w:szCs w:val="22"/>
          <w:lang w:val="en-GB"/>
        </w:rPr>
        <w:t xml:space="preserve">he Israeli incursion </w:t>
      </w:r>
      <w:r w:rsidRPr="00647752">
        <w:rPr>
          <w:rFonts w:ascii="Times New Roman" w:hAnsi="Times New Roman" w:cs="Times New Roman"/>
          <w:sz w:val="22"/>
          <w:szCs w:val="22"/>
          <w:lang w:val="en-GB"/>
        </w:rPr>
        <w:t xml:space="preserve">of 2008-2009 </w:t>
      </w:r>
      <w:r w:rsidR="000F21D5" w:rsidRPr="00647752">
        <w:rPr>
          <w:rFonts w:ascii="Times New Roman" w:hAnsi="Times New Roman" w:cs="Times New Roman"/>
          <w:sz w:val="22"/>
          <w:szCs w:val="22"/>
          <w:lang w:val="en-GB"/>
        </w:rPr>
        <w:t xml:space="preserve">(“Operation Cast Lead”) </w:t>
      </w:r>
      <w:r w:rsidRPr="00647752">
        <w:rPr>
          <w:rFonts w:ascii="Times New Roman" w:hAnsi="Times New Roman" w:cs="Times New Roman"/>
          <w:sz w:val="22"/>
          <w:szCs w:val="22"/>
          <w:lang w:val="en-GB"/>
        </w:rPr>
        <w:t>destroyed infrastructure and institutions, and otherwise disrupted efforts to establish rule of law in the region.</w:t>
      </w:r>
      <w:r w:rsidR="00BD0DBA" w:rsidRPr="00647752">
        <w:rPr>
          <w:rStyle w:val="FootnoteReference"/>
          <w:rFonts w:ascii="Times New Roman" w:hAnsi="Times New Roman" w:cs="Times New Roman"/>
          <w:sz w:val="22"/>
          <w:szCs w:val="22"/>
          <w:lang w:val="en-GB"/>
        </w:rPr>
        <w:footnoteReference w:id="176"/>
      </w:r>
      <w:r w:rsidR="00FD3C19">
        <w:rPr>
          <w:rFonts w:ascii="Times New Roman" w:hAnsi="Times New Roman" w:cs="Times New Roman"/>
          <w:sz w:val="22"/>
          <w:szCs w:val="22"/>
          <w:lang w:val="en-GB"/>
        </w:rPr>
        <w:t xml:space="preserve"> </w:t>
      </w:r>
      <w:r w:rsidR="008C3DD4" w:rsidRPr="00647752">
        <w:rPr>
          <w:rFonts w:ascii="Times New Roman" w:hAnsi="Times New Roman" w:cs="Times New Roman"/>
          <w:sz w:val="22"/>
          <w:szCs w:val="22"/>
          <w:lang w:val="en-GB"/>
        </w:rPr>
        <w:t>Moreover, the</w:t>
      </w:r>
      <w:r w:rsidR="0091600E">
        <w:rPr>
          <w:rFonts w:ascii="Times New Roman" w:hAnsi="Times New Roman" w:cs="Times New Roman"/>
          <w:sz w:val="22"/>
          <w:szCs w:val="22"/>
          <w:lang w:val="en-GB"/>
        </w:rPr>
        <w:t xml:space="preserve"> split between Fatah and Hamas</w:t>
      </w:r>
      <w:r w:rsidRPr="00647752">
        <w:rPr>
          <w:rFonts w:ascii="Times New Roman" w:hAnsi="Times New Roman" w:cs="Times New Roman"/>
          <w:sz w:val="22"/>
          <w:szCs w:val="22"/>
          <w:lang w:val="en-GB"/>
        </w:rPr>
        <w:t xml:space="preserve"> further weakened the rule of law and made assistance politically difficult, with the result that formal justice </w:t>
      </w:r>
      <w:r w:rsidR="00B969D6" w:rsidRPr="00647752">
        <w:rPr>
          <w:rFonts w:ascii="Times New Roman" w:hAnsi="Times New Roman" w:cs="Times New Roman"/>
          <w:sz w:val="22"/>
          <w:szCs w:val="22"/>
          <w:lang w:val="en-GB"/>
        </w:rPr>
        <w:t>was</w:t>
      </w:r>
      <w:r w:rsidR="00FD3C19">
        <w:rPr>
          <w:rFonts w:ascii="Times New Roman" w:hAnsi="Times New Roman" w:cs="Times New Roman"/>
          <w:sz w:val="22"/>
          <w:szCs w:val="22"/>
          <w:lang w:val="en-GB"/>
        </w:rPr>
        <w:t xml:space="preserve"> </w:t>
      </w:r>
      <w:r w:rsidRPr="00647752">
        <w:rPr>
          <w:rFonts w:ascii="Times New Roman" w:hAnsi="Times New Roman" w:cs="Times New Roman"/>
          <w:sz w:val="22"/>
          <w:szCs w:val="22"/>
          <w:lang w:val="en-GB"/>
        </w:rPr>
        <w:t xml:space="preserve">almost non-existent in Gaza </w:t>
      </w:r>
      <w:r w:rsidR="00B969D6" w:rsidRPr="00647752">
        <w:rPr>
          <w:rFonts w:ascii="Times New Roman" w:hAnsi="Times New Roman" w:cs="Times New Roman"/>
          <w:sz w:val="22"/>
          <w:szCs w:val="22"/>
          <w:lang w:val="en-GB"/>
        </w:rPr>
        <w:t>initially</w:t>
      </w:r>
      <w:r w:rsidRPr="00647752">
        <w:rPr>
          <w:rFonts w:ascii="Times New Roman" w:hAnsi="Times New Roman" w:cs="Times New Roman"/>
          <w:sz w:val="22"/>
          <w:szCs w:val="22"/>
          <w:lang w:val="en-GB"/>
        </w:rPr>
        <w:t>.</w:t>
      </w:r>
      <w:r w:rsidRPr="00647752">
        <w:rPr>
          <w:rStyle w:val="FootnoteReference"/>
          <w:rFonts w:ascii="Times New Roman" w:hAnsi="Times New Roman" w:cs="Times New Roman"/>
          <w:sz w:val="22"/>
          <w:szCs w:val="22"/>
          <w:lang w:val="en-GB"/>
        </w:rPr>
        <w:footnoteReference w:id="177"/>
      </w:r>
      <w:r w:rsidR="00FD3C19">
        <w:rPr>
          <w:rFonts w:ascii="Times New Roman" w:hAnsi="Times New Roman" w:cs="Times New Roman"/>
          <w:sz w:val="22"/>
          <w:szCs w:val="22"/>
          <w:lang w:val="en-GB"/>
        </w:rPr>
        <w:t xml:space="preserve"> </w:t>
      </w:r>
      <w:r w:rsidR="00B969D6" w:rsidRPr="00647752">
        <w:rPr>
          <w:rFonts w:ascii="Times New Roman" w:hAnsi="Times New Roman" w:cs="Times New Roman"/>
          <w:sz w:val="22"/>
          <w:szCs w:val="22"/>
          <w:lang w:val="en-GB"/>
        </w:rPr>
        <w:t xml:space="preserve">The </w:t>
      </w:r>
      <w:r w:rsidR="00B969D6" w:rsidRPr="0091600E">
        <w:rPr>
          <w:rFonts w:ascii="Times New Roman" w:hAnsi="Times New Roman" w:cs="Times New Roman"/>
          <w:i/>
          <w:sz w:val="22"/>
          <w:szCs w:val="22"/>
          <w:lang w:val="en-GB"/>
        </w:rPr>
        <w:t>de facto</w:t>
      </w:r>
      <w:r w:rsidR="00B969D6" w:rsidRPr="00647752">
        <w:rPr>
          <w:rFonts w:ascii="Times New Roman" w:hAnsi="Times New Roman" w:cs="Times New Roman"/>
          <w:sz w:val="22"/>
          <w:szCs w:val="22"/>
          <w:lang w:val="en-GB"/>
        </w:rPr>
        <w:t xml:space="preserve"> government now provides a functiona</w:t>
      </w:r>
      <w:r w:rsidR="0091600E">
        <w:rPr>
          <w:rFonts w:ascii="Times New Roman" w:hAnsi="Times New Roman" w:cs="Times New Roman"/>
          <w:sz w:val="22"/>
          <w:szCs w:val="22"/>
          <w:lang w:val="en-GB"/>
        </w:rPr>
        <w:t xml:space="preserve">l formal justice system but remains poorly staffed. </w:t>
      </w:r>
      <w:r w:rsidR="00B969D6" w:rsidRPr="00647752">
        <w:rPr>
          <w:rFonts w:ascii="Times New Roman" w:hAnsi="Times New Roman" w:cs="Times New Roman"/>
          <w:sz w:val="22"/>
          <w:szCs w:val="22"/>
          <w:lang w:val="en-GB"/>
        </w:rPr>
        <w:t>As</w:t>
      </w:r>
      <w:r w:rsidRPr="00647752">
        <w:rPr>
          <w:rFonts w:ascii="Times New Roman" w:hAnsi="Times New Roman" w:cs="Times New Roman"/>
          <w:sz w:val="22"/>
          <w:szCs w:val="22"/>
          <w:lang w:val="en-GB"/>
        </w:rPr>
        <w:t xml:space="preserve"> a result</w:t>
      </w:r>
      <w:r w:rsidR="00A0726A" w:rsidRPr="00647752">
        <w:rPr>
          <w:rFonts w:ascii="Times New Roman" w:hAnsi="Times New Roman" w:cs="Times New Roman"/>
          <w:sz w:val="22"/>
          <w:szCs w:val="22"/>
          <w:lang w:val="en-GB"/>
        </w:rPr>
        <w:t xml:space="preserve"> of low levels of confidence in the formal justice sector</w:t>
      </w:r>
      <w:r w:rsidRPr="00647752">
        <w:rPr>
          <w:rFonts w:ascii="Times New Roman" w:hAnsi="Times New Roman" w:cs="Times New Roman"/>
          <w:sz w:val="22"/>
          <w:szCs w:val="22"/>
          <w:lang w:val="en-GB"/>
        </w:rPr>
        <w:t xml:space="preserve">, </w:t>
      </w:r>
      <w:r w:rsidR="009B25FF" w:rsidRPr="00647752">
        <w:rPr>
          <w:rFonts w:ascii="Times New Roman" w:hAnsi="Times New Roman" w:cs="Times New Roman"/>
          <w:sz w:val="22"/>
          <w:szCs w:val="22"/>
          <w:lang w:val="en-GB"/>
        </w:rPr>
        <w:t xml:space="preserve">85-90% of the population in the Gaza Strip </w:t>
      </w:r>
      <w:r w:rsidR="0091600E">
        <w:rPr>
          <w:rFonts w:ascii="Times New Roman" w:hAnsi="Times New Roman" w:cs="Times New Roman"/>
          <w:sz w:val="22"/>
          <w:szCs w:val="22"/>
          <w:lang w:val="en-GB"/>
        </w:rPr>
        <w:t>utilis</w:t>
      </w:r>
      <w:r w:rsidRPr="00647752">
        <w:rPr>
          <w:rFonts w:ascii="Times New Roman" w:hAnsi="Times New Roman" w:cs="Times New Roman"/>
          <w:sz w:val="22"/>
          <w:szCs w:val="22"/>
          <w:lang w:val="en-GB"/>
        </w:rPr>
        <w:t>es</w:t>
      </w:r>
      <w:r w:rsidR="009B25FF" w:rsidRPr="00647752">
        <w:rPr>
          <w:rFonts w:ascii="Times New Roman" w:hAnsi="Times New Roman" w:cs="Times New Roman"/>
          <w:sz w:val="22"/>
          <w:szCs w:val="22"/>
          <w:lang w:val="en-GB"/>
        </w:rPr>
        <w:t xml:space="preserve"> informal justice mec</w:t>
      </w:r>
      <w:r w:rsidR="00A0726A" w:rsidRPr="00647752">
        <w:rPr>
          <w:rFonts w:ascii="Times New Roman" w:hAnsi="Times New Roman" w:cs="Times New Roman"/>
          <w:sz w:val="22"/>
          <w:szCs w:val="22"/>
          <w:lang w:val="en-GB"/>
        </w:rPr>
        <w:t>hanisms to resolve disputes.</w:t>
      </w:r>
      <w:r w:rsidR="00BD0DBA" w:rsidRPr="00647752">
        <w:rPr>
          <w:rStyle w:val="FootnoteReference"/>
          <w:rFonts w:ascii="Times New Roman" w:hAnsi="Times New Roman" w:cs="Times New Roman"/>
          <w:sz w:val="22"/>
          <w:szCs w:val="22"/>
          <w:lang w:val="en-GB"/>
        </w:rPr>
        <w:footnoteReference w:id="178"/>
      </w:r>
      <w:r w:rsidR="000F21D5" w:rsidRPr="00647752">
        <w:rPr>
          <w:rFonts w:ascii="Times New Roman" w:hAnsi="Times New Roman" w:cs="Times New Roman"/>
          <w:sz w:val="22"/>
          <w:szCs w:val="22"/>
          <w:lang w:val="en-GB"/>
        </w:rPr>
        <w:t xml:space="preserve"> The continuin</w:t>
      </w:r>
      <w:r w:rsidR="0091600E">
        <w:rPr>
          <w:rFonts w:ascii="Times New Roman" w:hAnsi="Times New Roman" w:cs="Times New Roman"/>
          <w:sz w:val="22"/>
          <w:szCs w:val="22"/>
          <w:lang w:val="en-GB"/>
        </w:rPr>
        <w:t>g blockade of Gaza as well as the</w:t>
      </w:r>
      <w:r w:rsidR="000F21D5" w:rsidRPr="00647752">
        <w:rPr>
          <w:rFonts w:ascii="Times New Roman" w:hAnsi="Times New Roman" w:cs="Times New Roman"/>
          <w:sz w:val="22"/>
          <w:szCs w:val="22"/>
          <w:lang w:val="en-GB"/>
        </w:rPr>
        <w:t xml:space="preserve"> eight-day conflict in late-</w:t>
      </w:r>
      <w:r w:rsidR="00A01502" w:rsidRPr="00647752">
        <w:rPr>
          <w:rFonts w:ascii="Times New Roman" w:hAnsi="Times New Roman" w:cs="Times New Roman"/>
          <w:sz w:val="22"/>
          <w:szCs w:val="22"/>
          <w:lang w:val="en-GB"/>
        </w:rPr>
        <w:t>2012</w:t>
      </w:r>
      <w:r w:rsidR="00FD3C19">
        <w:rPr>
          <w:rFonts w:ascii="Times New Roman" w:hAnsi="Times New Roman" w:cs="Times New Roman"/>
          <w:sz w:val="22"/>
          <w:szCs w:val="22"/>
          <w:lang w:val="en-GB"/>
        </w:rPr>
        <w:t xml:space="preserve"> </w:t>
      </w:r>
      <w:r w:rsidR="0091600E">
        <w:rPr>
          <w:rFonts w:ascii="Times New Roman" w:hAnsi="Times New Roman" w:cs="Times New Roman"/>
          <w:sz w:val="22"/>
          <w:szCs w:val="22"/>
          <w:lang w:val="en-GB"/>
        </w:rPr>
        <w:t xml:space="preserve">(“Operation Pillar of Defense”) </w:t>
      </w:r>
      <w:r w:rsidR="000F21D5" w:rsidRPr="00647752">
        <w:rPr>
          <w:rFonts w:ascii="Times New Roman" w:hAnsi="Times New Roman" w:cs="Times New Roman"/>
          <w:sz w:val="22"/>
          <w:szCs w:val="22"/>
          <w:lang w:val="en-GB"/>
        </w:rPr>
        <w:t xml:space="preserve">further compounded the challenges faced by the most vulnerable segments of Gaza’s population. </w:t>
      </w:r>
      <w:r w:rsidR="005D0376" w:rsidRPr="00647752">
        <w:rPr>
          <w:rFonts w:ascii="Times New Roman" w:hAnsi="Times New Roman" w:cs="Times New Roman"/>
          <w:sz w:val="22"/>
          <w:szCs w:val="22"/>
          <w:lang w:val="en-GB"/>
        </w:rPr>
        <w:t xml:space="preserve">Rates of </w:t>
      </w:r>
      <w:r w:rsidR="00AE1ED2" w:rsidRPr="00647752">
        <w:rPr>
          <w:rFonts w:ascii="Times New Roman" w:hAnsi="Times New Roman" w:cs="Times New Roman"/>
          <w:sz w:val="22"/>
          <w:szCs w:val="22"/>
          <w:lang w:val="en-GB"/>
        </w:rPr>
        <w:t>gender-based</w:t>
      </w:r>
      <w:r w:rsidR="005D0376" w:rsidRPr="00647752">
        <w:rPr>
          <w:rFonts w:ascii="Times New Roman" w:hAnsi="Times New Roman" w:cs="Times New Roman"/>
          <w:sz w:val="22"/>
          <w:szCs w:val="22"/>
          <w:lang w:val="en-GB"/>
        </w:rPr>
        <w:t xml:space="preserve"> violence</w:t>
      </w:r>
      <w:r w:rsidR="00B969D6" w:rsidRPr="00647752">
        <w:rPr>
          <w:rFonts w:ascii="Times New Roman" w:hAnsi="Times New Roman" w:cs="Times New Roman"/>
          <w:sz w:val="22"/>
          <w:szCs w:val="22"/>
          <w:lang w:val="en-GB"/>
        </w:rPr>
        <w:t xml:space="preserve"> and discrimination</w:t>
      </w:r>
      <w:r w:rsidR="005D0376" w:rsidRPr="00647752">
        <w:rPr>
          <w:rFonts w:ascii="Times New Roman" w:hAnsi="Times New Roman" w:cs="Times New Roman"/>
          <w:sz w:val="22"/>
          <w:szCs w:val="22"/>
          <w:lang w:val="en-GB"/>
        </w:rPr>
        <w:t xml:space="preserve"> have increased as a result. </w:t>
      </w:r>
      <w:r w:rsidR="00EA0D71" w:rsidRPr="00647752">
        <w:rPr>
          <w:rFonts w:ascii="Times New Roman" w:hAnsi="Times New Roman" w:cs="Times New Roman"/>
          <w:sz w:val="22"/>
          <w:szCs w:val="22"/>
          <w:lang w:val="en-GB"/>
        </w:rPr>
        <w:t xml:space="preserve">It is very difficult to do rule of law work in a situation where the </w:t>
      </w:r>
      <w:r w:rsidR="00EA0D71" w:rsidRPr="00647752">
        <w:rPr>
          <w:rFonts w:ascii="Times New Roman" w:hAnsi="Times New Roman" w:cs="Times New Roman"/>
          <w:i/>
          <w:sz w:val="22"/>
          <w:szCs w:val="22"/>
          <w:lang w:val="en-GB"/>
        </w:rPr>
        <w:t>formal justice sector</w:t>
      </w:r>
      <w:r w:rsidR="00EA0D71" w:rsidRPr="00647752">
        <w:rPr>
          <w:rFonts w:ascii="Times New Roman" w:hAnsi="Times New Roman" w:cs="Times New Roman"/>
          <w:sz w:val="22"/>
          <w:szCs w:val="22"/>
          <w:lang w:val="en-GB"/>
        </w:rPr>
        <w:t xml:space="preserve"> (led by </w:t>
      </w:r>
      <w:r w:rsidR="00554DEC" w:rsidRPr="00647752">
        <w:rPr>
          <w:rFonts w:ascii="Times New Roman" w:hAnsi="Times New Roman" w:cs="Times New Roman"/>
          <w:sz w:val="22"/>
          <w:szCs w:val="22"/>
          <w:lang w:val="en-GB"/>
        </w:rPr>
        <w:t>Hamas</w:t>
      </w:r>
      <w:r w:rsidR="00EA0D71" w:rsidRPr="00647752">
        <w:rPr>
          <w:rFonts w:ascii="Times New Roman" w:hAnsi="Times New Roman" w:cs="Times New Roman"/>
          <w:sz w:val="22"/>
          <w:szCs w:val="22"/>
          <w:lang w:val="en-GB"/>
        </w:rPr>
        <w:t>) is in such disarray</w:t>
      </w:r>
      <w:r w:rsidR="00212D57" w:rsidRPr="00647752">
        <w:rPr>
          <w:rFonts w:ascii="Times New Roman" w:hAnsi="Times New Roman" w:cs="Times New Roman"/>
          <w:sz w:val="22"/>
          <w:szCs w:val="22"/>
          <w:lang w:val="en-GB"/>
        </w:rPr>
        <w:t xml:space="preserve"> and presents substantial barriers to most citizens in terms of costs</w:t>
      </w:r>
      <w:r w:rsidR="0091600E">
        <w:rPr>
          <w:rFonts w:ascii="Times New Roman" w:hAnsi="Times New Roman" w:cs="Times New Roman"/>
          <w:sz w:val="22"/>
          <w:szCs w:val="22"/>
          <w:lang w:val="en-GB"/>
        </w:rPr>
        <w:t>.</w:t>
      </w:r>
    </w:p>
    <w:p w:rsidR="00A01502" w:rsidRPr="00647752" w:rsidRDefault="003D222C"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lastRenderedPageBreak/>
        <w:t>Prior to UNDP’s intervention in Gaza</w:t>
      </w:r>
      <w:r w:rsidR="00EA0D71" w:rsidRPr="00647752">
        <w:rPr>
          <w:rFonts w:ascii="Times New Roman" w:hAnsi="Times New Roman" w:cs="Times New Roman"/>
          <w:sz w:val="22"/>
          <w:szCs w:val="22"/>
          <w:lang w:val="en-GB"/>
        </w:rPr>
        <w:t xml:space="preserve"> in 2010,</w:t>
      </w:r>
      <w:r w:rsidRPr="00647752">
        <w:rPr>
          <w:rFonts w:ascii="Times New Roman" w:hAnsi="Times New Roman" w:cs="Times New Roman"/>
          <w:sz w:val="22"/>
          <w:szCs w:val="22"/>
          <w:lang w:val="en-GB"/>
        </w:rPr>
        <w:t xml:space="preserve"> there were no rule of law programmes available and communication between the Gaza Strip and the West Bank rule of law institutions was at a </w:t>
      </w:r>
      <w:r w:rsidR="00A01502" w:rsidRPr="00647752">
        <w:rPr>
          <w:rFonts w:ascii="Times New Roman" w:hAnsi="Times New Roman" w:cs="Times New Roman"/>
          <w:sz w:val="22"/>
          <w:szCs w:val="22"/>
          <w:lang w:val="en-GB"/>
        </w:rPr>
        <w:t>standstill</w:t>
      </w:r>
      <w:r w:rsidRPr="00647752">
        <w:rPr>
          <w:rFonts w:ascii="Times New Roman" w:hAnsi="Times New Roman" w:cs="Times New Roman"/>
          <w:sz w:val="22"/>
          <w:szCs w:val="22"/>
          <w:lang w:val="en-GB"/>
        </w:rPr>
        <w:t xml:space="preserve">.  Clinical legal education was </w:t>
      </w:r>
      <w:r w:rsidR="00EA0D71" w:rsidRPr="00647752">
        <w:rPr>
          <w:rFonts w:ascii="Times New Roman" w:hAnsi="Times New Roman" w:cs="Times New Roman"/>
          <w:sz w:val="22"/>
          <w:szCs w:val="22"/>
          <w:lang w:val="en-GB"/>
        </w:rPr>
        <w:t>not well understood</w:t>
      </w:r>
      <w:r w:rsidRPr="00647752">
        <w:rPr>
          <w:rFonts w:ascii="Times New Roman" w:hAnsi="Times New Roman" w:cs="Times New Roman"/>
          <w:sz w:val="22"/>
          <w:szCs w:val="22"/>
          <w:lang w:val="en-GB"/>
        </w:rPr>
        <w:t xml:space="preserve"> and there was extremely limited civic education available for students. The most vulnerable segments of Gazan society, including abused women, children and</w:t>
      </w:r>
      <w:r w:rsidR="00D5119C" w:rsidRPr="00647752">
        <w:rPr>
          <w:rFonts w:ascii="Times New Roman" w:hAnsi="Times New Roman" w:cs="Times New Roman"/>
          <w:sz w:val="22"/>
          <w:szCs w:val="22"/>
          <w:lang w:val="en-GB"/>
        </w:rPr>
        <w:t xml:space="preserve"> refugees</w:t>
      </w:r>
      <w:r w:rsidRPr="00647752">
        <w:rPr>
          <w:rFonts w:ascii="Times New Roman" w:hAnsi="Times New Roman" w:cs="Times New Roman"/>
          <w:sz w:val="22"/>
          <w:szCs w:val="22"/>
          <w:lang w:val="en-GB"/>
        </w:rPr>
        <w:t xml:space="preserve"> had very limited legal aid services available.    </w:t>
      </w:r>
    </w:p>
    <w:p w:rsidR="0091600E" w:rsidRDefault="0091600E" w:rsidP="00FB6759">
      <w:pPr>
        <w:spacing w:after="0" w:line="240" w:lineRule="auto"/>
        <w:jc w:val="both"/>
        <w:rPr>
          <w:rFonts w:ascii="Times New Roman" w:hAnsi="Times New Roman" w:cs="Times New Roman"/>
          <w:sz w:val="22"/>
          <w:szCs w:val="22"/>
          <w:lang w:val="en-GB"/>
        </w:rPr>
      </w:pPr>
    </w:p>
    <w:p w:rsidR="00BB7FAA" w:rsidRDefault="003D222C"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 xml:space="preserve">Today the situation is quite different. The UNDP supported </w:t>
      </w:r>
      <w:r w:rsidR="0091600E">
        <w:rPr>
          <w:rFonts w:ascii="Times New Roman" w:hAnsi="Times New Roman" w:cs="Times New Roman"/>
          <w:sz w:val="22"/>
          <w:szCs w:val="22"/>
          <w:lang w:val="en-GB"/>
        </w:rPr>
        <w:t>n</w:t>
      </w:r>
      <w:r w:rsidR="00AF181F" w:rsidRPr="00647752">
        <w:rPr>
          <w:rFonts w:ascii="Times New Roman" w:hAnsi="Times New Roman" w:cs="Times New Roman"/>
          <w:sz w:val="22"/>
          <w:szCs w:val="22"/>
          <w:lang w:val="en-GB"/>
        </w:rPr>
        <w:t>etwork</w:t>
      </w:r>
      <w:r w:rsidR="00201862">
        <w:rPr>
          <w:rFonts w:ascii="Times New Roman" w:hAnsi="Times New Roman" w:cs="Times New Roman"/>
          <w:sz w:val="22"/>
          <w:szCs w:val="22"/>
          <w:lang w:val="en-GB"/>
        </w:rPr>
        <w:t xml:space="preserve"> of legal aid p</w:t>
      </w:r>
      <w:r w:rsidR="00CA3294" w:rsidRPr="00647752">
        <w:rPr>
          <w:rFonts w:ascii="Times New Roman" w:hAnsi="Times New Roman" w:cs="Times New Roman"/>
          <w:sz w:val="22"/>
          <w:szCs w:val="22"/>
          <w:lang w:val="en-GB"/>
        </w:rPr>
        <w:t>roviders</w:t>
      </w:r>
      <w:r w:rsidR="00201862">
        <w:rPr>
          <w:rFonts w:ascii="Times New Roman" w:hAnsi="Times New Roman" w:cs="Times New Roman"/>
          <w:sz w:val="22"/>
          <w:szCs w:val="22"/>
          <w:lang w:val="en-GB"/>
        </w:rPr>
        <w:t xml:space="preserve"> (</w:t>
      </w:r>
      <w:r w:rsidR="00A75685">
        <w:rPr>
          <w:rFonts w:ascii="Times New Roman" w:hAnsi="Times New Roman" w:cs="Times New Roman"/>
          <w:sz w:val="22"/>
          <w:szCs w:val="22"/>
          <w:lang w:val="en-GB"/>
        </w:rPr>
        <w:t>“</w:t>
      </w:r>
      <w:r w:rsidR="00201862">
        <w:rPr>
          <w:rFonts w:ascii="Times New Roman" w:hAnsi="Times New Roman" w:cs="Times New Roman"/>
          <w:sz w:val="22"/>
          <w:szCs w:val="22"/>
          <w:lang w:val="en-GB"/>
        </w:rPr>
        <w:t>Awn</w:t>
      </w:r>
      <w:r w:rsidR="00A75685">
        <w:rPr>
          <w:rFonts w:ascii="Times New Roman" w:hAnsi="Times New Roman" w:cs="Times New Roman"/>
          <w:sz w:val="22"/>
          <w:szCs w:val="22"/>
          <w:lang w:val="en-GB"/>
        </w:rPr>
        <w:t>” n</w:t>
      </w:r>
      <w:r w:rsidR="00AF181F" w:rsidRPr="00647752">
        <w:rPr>
          <w:rFonts w:ascii="Times New Roman" w:hAnsi="Times New Roman" w:cs="Times New Roman"/>
          <w:sz w:val="22"/>
          <w:szCs w:val="22"/>
          <w:lang w:val="en-GB"/>
        </w:rPr>
        <w:t xml:space="preserve">etwork) </w:t>
      </w:r>
      <w:r w:rsidRPr="00647752">
        <w:rPr>
          <w:rFonts w:ascii="Times New Roman" w:hAnsi="Times New Roman" w:cs="Times New Roman"/>
          <w:sz w:val="22"/>
          <w:szCs w:val="22"/>
          <w:lang w:val="en-GB"/>
        </w:rPr>
        <w:t>of CSO legal aid providers is functioning in a well-coordinated manner providing l</w:t>
      </w:r>
      <w:r w:rsidR="00A75685">
        <w:rPr>
          <w:rFonts w:ascii="Times New Roman" w:hAnsi="Times New Roman" w:cs="Times New Roman"/>
          <w:sz w:val="22"/>
          <w:szCs w:val="22"/>
          <w:lang w:val="en-GB"/>
        </w:rPr>
        <w:t xml:space="preserve">egal aid to thousands of Gazans - most of whom are </w:t>
      </w:r>
      <w:r w:rsidRPr="00647752">
        <w:rPr>
          <w:rFonts w:ascii="Times New Roman" w:hAnsi="Times New Roman" w:cs="Times New Roman"/>
          <w:sz w:val="22"/>
          <w:szCs w:val="22"/>
          <w:lang w:val="en-GB"/>
        </w:rPr>
        <w:t xml:space="preserve">women. A number of CSOs </w:t>
      </w:r>
      <w:r w:rsidR="00A01502" w:rsidRPr="00647752">
        <w:rPr>
          <w:rFonts w:ascii="Times New Roman" w:hAnsi="Times New Roman" w:cs="Times New Roman"/>
          <w:sz w:val="22"/>
          <w:szCs w:val="22"/>
          <w:lang w:val="en-GB"/>
        </w:rPr>
        <w:t xml:space="preserve">have engaged </w:t>
      </w:r>
      <w:r w:rsidRPr="00647752">
        <w:rPr>
          <w:rFonts w:ascii="Times New Roman" w:hAnsi="Times New Roman" w:cs="Times New Roman"/>
          <w:sz w:val="22"/>
          <w:szCs w:val="22"/>
          <w:lang w:val="en-GB"/>
        </w:rPr>
        <w:t xml:space="preserve">in strategic advocacy campaigns that have impacted </w:t>
      </w:r>
      <w:r w:rsidR="00A01502" w:rsidRPr="00647752">
        <w:rPr>
          <w:rFonts w:ascii="Times New Roman" w:hAnsi="Times New Roman" w:cs="Times New Roman"/>
          <w:sz w:val="22"/>
          <w:szCs w:val="22"/>
          <w:lang w:val="en-GB"/>
        </w:rPr>
        <w:t>legislation</w:t>
      </w:r>
      <w:r w:rsidR="00CF1B06" w:rsidRPr="00647752">
        <w:rPr>
          <w:rFonts w:ascii="Times New Roman" w:hAnsi="Times New Roman" w:cs="Times New Roman"/>
          <w:sz w:val="22"/>
          <w:szCs w:val="22"/>
          <w:lang w:val="en-GB"/>
        </w:rPr>
        <w:t xml:space="preserve">, </w:t>
      </w:r>
      <w:r w:rsidR="00EA0D71" w:rsidRPr="00647752">
        <w:rPr>
          <w:rFonts w:ascii="Times New Roman" w:hAnsi="Times New Roman" w:cs="Times New Roman"/>
          <w:sz w:val="22"/>
          <w:szCs w:val="22"/>
          <w:lang w:val="en-GB"/>
        </w:rPr>
        <w:t>municipal governance</w:t>
      </w:r>
      <w:r w:rsidR="00A01502" w:rsidRPr="00647752">
        <w:rPr>
          <w:rFonts w:ascii="Times New Roman" w:hAnsi="Times New Roman" w:cs="Times New Roman"/>
          <w:sz w:val="22"/>
          <w:szCs w:val="22"/>
          <w:lang w:val="en-GB"/>
        </w:rPr>
        <w:t xml:space="preserve"> and</w:t>
      </w:r>
      <w:r w:rsidR="00CF1B06" w:rsidRPr="00647752">
        <w:rPr>
          <w:rFonts w:ascii="Times New Roman" w:hAnsi="Times New Roman" w:cs="Times New Roman"/>
          <w:sz w:val="22"/>
          <w:szCs w:val="22"/>
          <w:lang w:val="en-GB"/>
        </w:rPr>
        <w:t xml:space="preserve"> service delivery and</w:t>
      </w:r>
      <w:r w:rsidR="00A01502" w:rsidRPr="00647752">
        <w:rPr>
          <w:rFonts w:ascii="Times New Roman" w:hAnsi="Times New Roman" w:cs="Times New Roman"/>
          <w:sz w:val="22"/>
          <w:szCs w:val="22"/>
          <w:lang w:val="en-GB"/>
        </w:rPr>
        <w:t xml:space="preserve"> increased rights for women and youth.</w:t>
      </w:r>
    </w:p>
    <w:p w:rsidR="00A75685" w:rsidRPr="00647752" w:rsidRDefault="00A75685" w:rsidP="00FB6759">
      <w:pPr>
        <w:spacing w:after="0" w:line="240" w:lineRule="auto"/>
        <w:jc w:val="both"/>
        <w:rPr>
          <w:rFonts w:ascii="Times New Roman" w:hAnsi="Times New Roman" w:cs="Times New Roman"/>
          <w:sz w:val="22"/>
          <w:szCs w:val="22"/>
          <w:lang w:val="en-GB"/>
        </w:rPr>
      </w:pPr>
    </w:p>
    <w:p w:rsidR="003D222C" w:rsidRPr="00647752" w:rsidRDefault="00A01502"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 xml:space="preserve">In addition, the Gaza branch of the </w:t>
      </w:r>
      <w:r w:rsidR="00A75685">
        <w:rPr>
          <w:rFonts w:ascii="Times New Roman" w:hAnsi="Times New Roman" w:cs="Times New Roman"/>
          <w:sz w:val="22"/>
          <w:szCs w:val="22"/>
          <w:lang w:val="en-GB"/>
        </w:rPr>
        <w:t>PBA</w:t>
      </w:r>
      <w:r w:rsidR="000063A3">
        <w:rPr>
          <w:rFonts w:ascii="Times New Roman" w:hAnsi="Times New Roman" w:cs="Times New Roman"/>
          <w:sz w:val="22"/>
          <w:szCs w:val="22"/>
          <w:lang w:val="en-GB"/>
        </w:rPr>
        <w:t xml:space="preserve"> </w:t>
      </w:r>
      <w:r w:rsidR="00AF775D" w:rsidRPr="00647752">
        <w:rPr>
          <w:rFonts w:ascii="Times New Roman" w:hAnsi="Times New Roman" w:cs="Times New Roman"/>
          <w:sz w:val="22"/>
          <w:szCs w:val="22"/>
          <w:lang w:val="en-GB"/>
        </w:rPr>
        <w:t xml:space="preserve">has initiated </w:t>
      </w:r>
      <w:r w:rsidR="00A75685">
        <w:rPr>
          <w:rFonts w:ascii="Times New Roman" w:hAnsi="Times New Roman" w:cs="Times New Roman"/>
          <w:sz w:val="22"/>
          <w:szCs w:val="22"/>
          <w:lang w:val="en-GB"/>
        </w:rPr>
        <w:t>organis</w:t>
      </w:r>
      <w:r w:rsidRPr="00647752">
        <w:rPr>
          <w:rFonts w:ascii="Times New Roman" w:hAnsi="Times New Roman" w:cs="Times New Roman"/>
          <w:sz w:val="22"/>
          <w:szCs w:val="22"/>
          <w:lang w:val="en-GB"/>
        </w:rPr>
        <w:t xml:space="preserve">ational reforms with UNDP assistance and is </w:t>
      </w:r>
      <w:r w:rsidR="00CF1B06" w:rsidRPr="00647752">
        <w:rPr>
          <w:rFonts w:ascii="Times New Roman" w:hAnsi="Times New Roman" w:cs="Times New Roman"/>
          <w:sz w:val="22"/>
          <w:szCs w:val="22"/>
          <w:lang w:val="en-GB"/>
        </w:rPr>
        <w:t xml:space="preserve">now </w:t>
      </w:r>
      <w:r w:rsidRPr="00647752">
        <w:rPr>
          <w:rFonts w:ascii="Times New Roman" w:hAnsi="Times New Roman" w:cs="Times New Roman"/>
          <w:sz w:val="22"/>
          <w:szCs w:val="22"/>
          <w:lang w:val="en-GB"/>
        </w:rPr>
        <w:t>acting as a full partner in UNDP supported legal aid initiatives in close cooperation with three university law schools in Gaza. Meanwhile, the law school clinics are contributing to access to justice while educating a new</w:t>
      </w:r>
      <w:r w:rsidR="00A75685">
        <w:rPr>
          <w:rFonts w:ascii="Times New Roman" w:hAnsi="Times New Roman" w:cs="Times New Roman"/>
          <w:sz w:val="22"/>
          <w:szCs w:val="22"/>
          <w:lang w:val="en-GB"/>
        </w:rPr>
        <w:t xml:space="preserve"> generation of lawyers. With UNDP support, the PBA </w:t>
      </w:r>
      <w:r w:rsidRPr="00647752">
        <w:rPr>
          <w:rFonts w:ascii="Times New Roman" w:hAnsi="Times New Roman" w:cs="Times New Roman"/>
          <w:sz w:val="22"/>
          <w:szCs w:val="22"/>
          <w:lang w:val="en-GB"/>
        </w:rPr>
        <w:t>has also bridged the gap between the informal and formal justice sector in its trainings and outreach to local and traditional leaders</w:t>
      </w:r>
      <w:r w:rsidR="005D0376" w:rsidRPr="00647752">
        <w:rPr>
          <w:rFonts w:ascii="Times New Roman" w:hAnsi="Times New Roman" w:cs="Times New Roman"/>
          <w:sz w:val="22"/>
          <w:szCs w:val="22"/>
          <w:lang w:val="en-GB"/>
        </w:rPr>
        <w:t xml:space="preserve"> that is increasing gender sensitivity (and has </w:t>
      </w:r>
      <w:r w:rsidR="00FC3470" w:rsidRPr="00647752">
        <w:rPr>
          <w:rFonts w:ascii="Times New Roman" w:hAnsi="Times New Roman" w:cs="Times New Roman"/>
          <w:sz w:val="22"/>
          <w:szCs w:val="22"/>
          <w:lang w:val="en-GB"/>
        </w:rPr>
        <w:t>included</w:t>
      </w:r>
      <w:r w:rsidR="005D0376" w:rsidRPr="00647752">
        <w:rPr>
          <w:rFonts w:ascii="Times New Roman" w:hAnsi="Times New Roman" w:cs="Times New Roman"/>
          <w:sz w:val="22"/>
          <w:szCs w:val="22"/>
          <w:lang w:val="en-GB"/>
        </w:rPr>
        <w:t xml:space="preserve"> the </w:t>
      </w:r>
      <w:r w:rsidR="00FC3470" w:rsidRPr="00647752">
        <w:rPr>
          <w:rFonts w:ascii="Times New Roman" w:hAnsi="Times New Roman" w:cs="Times New Roman"/>
          <w:sz w:val="22"/>
          <w:szCs w:val="22"/>
          <w:lang w:val="en-GB"/>
        </w:rPr>
        <w:t xml:space="preserve">training </w:t>
      </w:r>
      <w:r w:rsidR="005D0376" w:rsidRPr="00647752">
        <w:rPr>
          <w:rFonts w:ascii="Times New Roman" w:hAnsi="Times New Roman" w:cs="Times New Roman"/>
          <w:sz w:val="22"/>
          <w:szCs w:val="22"/>
          <w:lang w:val="en-GB"/>
        </w:rPr>
        <w:t xml:space="preserve">of </w:t>
      </w:r>
      <w:r w:rsidR="00AF775D" w:rsidRPr="00647752">
        <w:rPr>
          <w:rFonts w:ascii="Times New Roman" w:hAnsi="Times New Roman" w:cs="Times New Roman"/>
          <w:sz w:val="22"/>
          <w:szCs w:val="22"/>
          <w:lang w:val="en-GB"/>
        </w:rPr>
        <w:t xml:space="preserve">the first </w:t>
      </w:r>
      <w:r w:rsidR="005D0376" w:rsidRPr="00647752">
        <w:rPr>
          <w:rFonts w:ascii="Times New Roman" w:hAnsi="Times New Roman" w:cs="Times New Roman"/>
          <w:sz w:val="22"/>
          <w:szCs w:val="22"/>
          <w:lang w:val="en-GB"/>
        </w:rPr>
        <w:t xml:space="preserve">female </w:t>
      </w:r>
      <w:r w:rsidR="00A75685" w:rsidRPr="00A75685">
        <w:rPr>
          <w:rFonts w:ascii="Times New Roman" w:hAnsi="Times New Roman" w:cs="Times New Roman"/>
          <w:i/>
          <w:sz w:val="22"/>
          <w:szCs w:val="22"/>
          <w:lang w:val="en-GB"/>
        </w:rPr>
        <w:t>m</w:t>
      </w:r>
      <w:r w:rsidR="00360CF0" w:rsidRPr="00A75685">
        <w:rPr>
          <w:rFonts w:ascii="Times New Roman" w:hAnsi="Times New Roman" w:cs="Times New Roman"/>
          <w:i/>
          <w:sz w:val="22"/>
          <w:szCs w:val="22"/>
          <w:lang w:val="en-GB"/>
        </w:rPr>
        <w:t>uqtar</w:t>
      </w:r>
      <w:r w:rsidR="005D0376" w:rsidRPr="00647752">
        <w:rPr>
          <w:rFonts w:ascii="Times New Roman" w:hAnsi="Times New Roman" w:cs="Times New Roman"/>
          <w:sz w:val="22"/>
          <w:szCs w:val="22"/>
          <w:lang w:val="en-GB"/>
        </w:rPr>
        <w:t>)</w:t>
      </w:r>
      <w:r w:rsidRPr="00647752">
        <w:rPr>
          <w:rFonts w:ascii="Times New Roman" w:hAnsi="Times New Roman" w:cs="Times New Roman"/>
          <w:sz w:val="22"/>
          <w:szCs w:val="22"/>
          <w:lang w:val="en-GB"/>
        </w:rPr>
        <w:t>. UNDP’s efforts are also paying dividends</w:t>
      </w:r>
      <w:r w:rsidR="00A75685">
        <w:rPr>
          <w:rFonts w:ascii="Times New Roman" w:hAnsi="Times New Roman" w:cs="Times New Roman"/>
          <w:sz w:val="22"/>
          <w:szCs w:val="22"/>
          <w:lang w:val="en-GB"/>
        </w:rPr>
        <w:t xml:space="preserve"> in the </w:t>
      </w:r>
      <w:r w:rsidR="00A75685" w:rsidRPr="00A75685">
        <w:rPr>
          <w:rFonts w:ascii="Times New Roman" w:hAnsi="Times New Roman" w:cs="Times New Roman"/>
          <w:i/>
          <w:sz w:val="22"/>
          <w:szCs w:val="22"/>
          <w:lang w:val="en-GB"/>
        </w:rPr>
        <w:t>s</w:t>
      </w:r>
      <w:r w:rsidRPr="00A75685">
        <w:rPr>
          <w:rFonts w:ascii="Times New Roman" w:hAnsi="Times New Roman" w:cs="Times New Roman"/>
          <w:i/>
          <w:sz w:val="22"/>
          <w:szCs w:val="22"/>
          <w:lang w:val="en-GB"/>
        </w:rPr>
        <w:t>hari’a</w:t>
      </w:r>
      <w:r w:rsidR="00A75685">
        <w:rPr>
          <w:rFonts w:ascii="Times New Roman" w:hAnsi="Times New Roman" w:cs="Times New Roman"/>
          <w:sz w:val="22"/>
          <w:szCs w:val="22"/>
          <w:lang w:val="en-GB"/>
        </w:rPr>
        <w:t xml:space="preserve"> courts, which</w:t>
      </w:r>
      <w:r w:rsidRPr="00647752">
        <w:rPr>
          <w:rFonts w:ascii="Times New Roman" w:hAnsi="Times New Roman" w:cs="Times New Roman"/>
          <w:sz w:val="22"/>
          <w:szCs w:val="22"/>
          <w:lang w:val="en-GB"/>
        </w:rPr>
        <w:t xml:space="preserve"> have </w:t>
      </w:r>
      <w:r w:rsidR="00EA0D71" w:rsidRPr="00647752">
        <w:rPr>
          <w:rFonts w:ascii="Times New Roman" w:hAnsi="Times New Roman" w:cs="Times New Roman"/>
          <w:sz w:val="22"/>
          <w:szCs w:val="22"/>
          <w:lang w:val="en-GB"/>
        </w:rPr>
        <w:t>become more efficient and protective of women’s ri</w:t>
      </w:r>
      <w:r w:rsidR="00A75685">
        <w:rPr>
          <w:rFonts w:ascii="Times New Roman" w:hAnsi="Times New Roman" w:cs="Times New Roman"/>
          <w:sz w:val="22"/>
          <w:szCs w:val="22"/>
          <w:lang w:val="en-GB"/>
        </w:rPr>
        <w:t xml:space="preserve">ghts </w:t>
      </w:r>
      <w:r w:rsidR="00EA0D71" w:rsidRPr="00647752">
        <w:rPr>
          <w:rFonts w:ascii="Times New Roman" w:hAnsi="Times New Roman" w:cs="Times New Roman"/>
          <w:sz w:val="22"/>
          <w:szCs w:val="22"/>
          <w:lang w:val="en-GB"/>
        </w:rPr>
        <w:t xml:space="preserve">as a result.  </w:t>
      </w:r>
    </w:p>
    <w:p w:rsidR="00A75685" w:rsidRDefault="00A75685" w:rsidP="00FB6759">
      <w:pPr>
        <w:spacing w:after="0" w:line="240" w:lineRule="auto"/>
        <w:jc w:val="both"/>
        <w:rPr>
          <w:rFonts w:ascii="Times New Roman" w:hAnsi="Times New Roman" w:cs="Times New Roman"/>
          <w:sz w:val="22"/>
          <w:szCs w:val="22"/>
          <w:lang w:val="en-GB"/>
        </w:rPr>
      </w:pPr>
    </w:p>
    <w:p w:rsidR="000F21D5" w:rsidRPr="00647752" w:rsidRDefault="003D222C"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By</w:t>
      </w:r>
      <w:r w:rsidR="00217247" w:rsidRPr="00647752">
        <w:rPr>
          <w:rFonts w:ascii="Times New Roman" w:hAnsi="Times New Roman" w:cs="Times New Roman"/>
          <w:sz w:val="22"/>
          <w:szCs w:val="22"/>
          <w:lang w:val="en-GB"/>
        </w:rPr>
        <w:t xml:space="preserve"> any standard, UNDP’s successful “closin</w:t>
      </w:r>
      <w:r w:rsidR="00A75685">
        <w:rPr>
          <w:rFonts w:ascii="Times New Roman" w:hAnsi="Times New Roman" w:cs="Times New Roman"/>
          <w:sz w:val="22"/>
          <w:szCs w:val="22"/>
          <w:lang w:val="en-GB"/>
        </w:rPr>
        <w:t xml:space="preserve">g of the loop” in Gaza </w:t>
      </w:r>
      <w:r w:rsidR="00212D57" w:rsidRPr="00647752">
        <w:rPr>
          <w:rFonts w:ascii="Times New Roman" w:hAnsi="Times New Roman" w:cs="Times New Roman"/>
          <w:sz w:val="22"/>
          <w:szCs w:val="22"/>
          <w:lang w:val="en-GB"/>
        </w:rPr>
        <w:t>to this extent</w:t>
      </w:r>
      <w:r w:rsidR="00A75685">
        <w:rPr>
          <w:rFonts w:ascii="Times New Roman" w:hAnsi="Times New Roman" w:cs="Times New Roman"/>
          <w:sz w:val="22"/>
          <w:szCs w:val="22"/>
          <w:lang w:val="en-GB"/>
        </w:rPr>
        <w:t xml:space="preserve"> would be impressive - </w:t>
      </w:r>
      <w:r w:rsidR="00217247" w:rsidRPr="00647752">
        <w:rPr>
          <w:rFonts w:ascii="Times New Roman" w:hAnsi="Times New Roman" w:cs="Times New Roman"/>
          <w:sz w:val="22"/>
          <w:szCs w:val="22"/>
          <w:lang w:val="en-GB"/>
        </w:rPr>
        <w:t>it is even more so given</w:t>
      </w:r>
      <w:r w:rsidR="00A75685">
        <w:rPr>
          <w:rFonts w:ascii="Times New Roman" w:hAnsi="Times New Roman" w:cs="Times New Roman"/>
          <w:sz w:val="22"/>
          <w:szCs w:val="22"/>
          <w:lang w:val="en-GB"/>
        </w:rPr>
        <w:t xml:space="preserve"> the acute challenges of Gaza. </w:t>
      </w:r>
      <w:r w:rsidR="00217247" w:rsidRPr="00647752">
        <w:rPr>
          <w:rFonts w:ascii="Times New Roman" w:hAnsi="Times New Roman" w:cs="Times New Roman"/>
          <w:sz w:val="22"/>
          <w:szCs w:val="22"/>
          <w:lang w:val="en-GB"/>
        </w:rPr>
        <w:t xml:space="preserve">Satisfaction with the quality of legal assistance services is </w:t>
      </w:r>
      <w:r w:rsidRPr="00647752">
        <w:rPr>
          <w:rFonts w:ascii="Times New Roman" w:hAnsi="Times New Roman" w:cs="Times New Roman"/>
          <w:sz w:val="22"/>
          <w:szCs w:val="22"/>
          <w:lang w:val="en-GB"/>
        </w:rPr>
        <w:t xml:space="preserve">now </w:t>
      </w:r>
      <w:r w:rsidR="00217247" w:rsidRPr="00647752">
        <w:rPr>
          <w:rFonts w:ascii="Times New Roman" w:hAnsi="Times New Roman" w:cs="Times New Roman"/>
          <w:sz w:val="22"/>
          <w:szCs w:val="22"/>
          <w:lang w:val="en-GB"/>
        </w:rPr>
        <w:t xml:space="preserve">higher in the Gaza Strip than anywhere else in the oPt, validating UNDP’s decision to strengthen the rule of law in this area by supporting quality </w:t>
      </w:r>
      <w:r w:rsidRPr="00647752">
        <w:rPr>
          <w:rFonts w:ascii="Times New Roman" w:hAnsi="Times New Roman" w:cs="Times New Roman"/>
          <w:sz w:val="22"/>
          <w:szCs w:val="22"/>
          <w:lang w:val="en-GB"/>
        </w:rPr>
        <w:t>CSO</w:t>
      </w:r>
      <w:r w:rsidR="00217247" w:rsidRPr="00647752">
        <w:rPr>
          <w:rFonts w:ascii="Times New Roman" w:hAnsi="Times New Roman" w:cs="Times New Roman"/>
          <w:sz w:val="22"/>
          <w:szCs w:val="22"/>
          <w:lang w:val="en-GB"/>
        </w:rPr>
        <w:t>s.</w:t>
      </w:r>
      <w:r w:rsidR="00217247" w:rsidRPr="00647752">
        <w:rPr>
          <w:rStyle w:val="FootnoteReference"/>
          <w:rFonts w:ascii="Times New Roman" w:hAnsi="Times New Roman" w:cs="Times New Roman"/>
          <w:sz w:val="22"/>
          <w:szCs w:val="22"/>
          <w:lang w:val="en-GB"/>
        </w:rPr>
        <w:footnoteReference w:id="179"/>
      </w:r>
      <w:r w:rsidR="00DF027D" w:rsidRPr="00647752">
        <w:rPr>
          <w:rFonts w:ascii="Times New Roman" w:hAnsi="Times New Roman" w:cs="Times New Roman"/>
          <w:sz w:val="22"/>
          <w:szCs w:val="22"/>
          <w:lang w:val="en-GB"/>
        </w:rPr>
        <w:t xml:space="preserve">Yet, as discussed below, many challenges remain and UNDP and its donors should remain </w:t>
      </w:r>
      <w:r w:rsidR="006E382A" w:rsidRPr="00647752">
        <w:rPr>
          <w:rFonts w:ascii="Times New Roman" w:hAnsi="Times New Roman" w:cs="Times New Roman"/>
          <w:sz w:val="22"/>
          <w:szCs w:val="22"/>
          <w:lang w:val="en-GB"/>
        </w:rPr>
        <w:t xml:space="preserve">strongly </w:t>
      </w:r>
      <w:r w:rsidR="00DF027D" w:rsidRPr="00647752">
        <w:rPr>
          <w:rFonts w:ascii="Times New Roman" w:hAnsi="Times New Roman" w:cs="Times New Roman"/>
          <w:sz w:val="22"/>
          <w:szCs w:val="22"/>
          <w:lang w:val="en-GB"/>
        </w:rPr>
        <w:t xml:space="preserve">engaged in Gaza. In such a fragile environment without benefit of engaging directly with the </w:t>
      </w:r>
      <w:r w:rsidR="00185847" w:rsidRPr="00647752">
        <w:rPr>
          <w:rFonts w:ascii="Times New Roman" w:hAnsi="Times New Roman" w:cs="Times New Roman"/>
          <w:i/>
          <w:sz w:val="22"/>
          <w:szCs w:val="22"/>
          <w:lang w:val="en-GB"/>
        </w:rPr>
        <w:t>Hamas</w:t>
      </w:r>
      <w:r w:rsidR="00DF027D" w:rsidRPr="00647752">
        <w:rPr>
          <w:rFonts w:ascii="Times New Roman" w:hAnsi="Times New Roman" w:cs="Times New Roman"/>
          <w:sz w:val="22"/>
          <w:szCs w:val="22"/>
          <w:lang w:val="en-GB"/>
        </w:rPr>
        <w:t xml:space="preserve">-led government, the work of UNDP and donors is a true lifeline for vulnerable women and other citizens.   </w:t>
      </w:r>
    </w:p>
    <w:p w:rsidR="00DE1FFD" w:rsidRPr="00647752" w:rsidRDefault="00DE1FFD" w:rsidP="00FB6759">
      <w:pPr>
        <w:spacing w:after="0" w:line="240" w:lineRule="auto"/>
        <w:jc w:val="both"/>
        <w:rPr>
          <w:rFonts w:ascii="Times New Roman" w:hAnsi="Times New Roman" w:cs="Times New Roman"/>
          <w:sz w:val="22"/>
          <w:szCs w:val="22"/>
          <w:lang w:val="en-GB"/>
        </w:rPr>
      </w:pPr>
    </w:p>
    <w:p w:rsidR="006853A8" w:rsidRPr="00647752" w:rsidRDefault="006853A8" w:rsidP="00FB6759">
      <w:pPr>
        <w:spacing w:after="0" w:line="240" w:lineRule="auto"/>
        <w:jc w:val="both"/>
        <w:rPr>
          <w:rFonts w:ascii="Times New Roman" w:hAnsi="Times New Roman" w:cs="Times New Roman"/>
          <w:i/>
          <w:sz w:val="22"/>
          <w:szCs w:val="22"/>
          <w:lang w:val="en-GB"/>
        </w:rPr>
      </w:pPr>
      <w:r w:rsidRPr="00647752">
        <w:rPr>
          <w:rFonts w:ascii="Times New Roman" w:hAnsi="Times New Roman" w:cs="Times New Roman"/>
          <w:i/>
          <w:sz w:val="22"/>
          <w:szCs w:val="22"/>
          <w:lang w:val="en-GB"/>
        </w:rPr>
        <w:t>Output 4.1: Capacity of CSOs to deliver legal aid services and conduct civic education strengthened</w:t>
      </w:r>
    </w:p>
    <w:p w:rsidR="00A75685" w:rsidRDefault="00A75685" w:rsidP="00FB6759">
      <w:pPr>
        <w:spacing w:after="0" w:line="240" w:lineRule="auto"/>
        <w:jc w:val="both"/>
        <w:rPr>
          <w:rFonts w:ascii="Times New Roman" w:eastAsia="MS Mincho" w:hAnsi="Times New Roman" w:cs="Times New Roman"/>
          <w:sz w:val="22"/>
          <w:szCs w:val="24"/>
          <w:lang w:val="en-GB" w:eastAsia="ja-JP"/>
        </w:rPr>
      </w:pPr>
    </w:p>
    <w:p w:rsidR="00A75685" w:rsidRDefault="0066629B" w:rsidP="00FB6759">
      <w:pPr>
        <w:spacing w:after="0" w:line="240" w:lineRule="auto"/>
        <w:jc w:val="both"/>
        <w:rPr>
          <w:rFonts w:ascii="Times New Roman" w:eastAsia="MS Mincho" w:hAnsi="Times New Roman" w:cs="Times New Roman"/>
          <w:sz w:val="22"/>
          <w:szCs w:val="24"/>
          <w:lang w:val="en-GB" w:eastAsia="ja-JP"/>
        </w:rPr>
      </w:pPr>
      <w:r w:rsidRPr="00647752">
        <w:rPr>
          <w:rFonts w:ascii="Times New Roman" w:eastAsia="MS Mincho" w:hAnsi="Times New Roman" w:cs="Times New Roman"/>
          <w:sz w:val="22"/>
          <w:szCs w:val="24"/>
          <w:lang w:val="en-GB" w:eastAsia="ja-JP"/>
        </w:rPr>
        <w:t>UNDP had no</w:t>
      </w:r>
      <w:r w:rsidR="00A75685">
        <w:rPr>
          <w:rFonts w:ascii="Times New Roman" w:eastAsia="MS Mincho" w:hAnsi="Times New Roman" w:cs="Times New Roman"/>
          <w:sz w:val="22"/>
          <w:szCs w:val="24"/>
          <w:lang w:val="en-GB" w:eastAsia="ja-JP"/>
        </w:rPr>
        <w:t xml:space="preserve"> rule of l</w:t>
      </w:r>
      <w:r w:rsidR="00FC026C" w:rsidRPr="00647752">
        <w:rPr>
          <w:rFonts w:ascii="Times New Roman" w:eastAsia="MS Mincho" w:hAnsi="Times New Roman" w:cs="Times New Roman"/>
          <w:sz w:val="22"/>
          <w:szCs w:val="24"/>
          <w:lang w:val="en-GB" w:eastAsia="ja-JP"/>
        </w:rPr>
        <w:t>aw</w:t>
      </w:r>
      <w:r w:rsidR="000063A3">
        <w:rPr>
          <w:rFonts w:ascii="Times New Roman" w:eastAsia="MS Mincho" w:hAnsi="Times New Roman" w:cs="Times New Roman"/>
          <w:sz w:val="22"/>
          <w:szCs w:val="24"/>
          <w:lang w:val="en-GB" w:eastAsia="ja-JP"/>
        </w:rPr>
        <w:t xml:space="preserve"> </w:t>
      </w:r>
      <w:r w:rsidR="00FC026C" w:rsidRPr="00647752">
        <w:rPr>
          <w:rFonts w:ascii="Times New Roman" w:eastAsia="MS Mincho" w:hAnsi="Times New Roman" w:cs="Times New Roman"/>
          <w:sz w:val="22"/>
          <w:szCs w:val="24"/>
          <w:lang w:val="en-GB" w:eastAsia="ja-JP"/>
        </w:rPr>
        <w:t xml:space="preserve">related </w:t>
      </w:r>
      <w:r w:rsidRPr="00647752">
        <w:rPr>
          <w:rFonts w:ascii="Times New Roman" w:eastAsia="MS Mincho" w:hAnsi="Times New Roman" w:cs="Times New Roman"/>
          <w:sz w:val="22"/>
          <w:szCs w:val="24"/>
          <w:lang w:val="en-GB" w:eastAsia="ja-JP"/>
        </w:rPr>
        <w:t xml:space="preserve">interventions in Gaza prior to 2010. Creating a presence in Gaza has been difficult within the context of the </w:t>
      </w:r>
      <w:r w:rsidR="00554DEC" w:rsidRPr="00647752">
        <w:rPr>
          <w:rFonts w:ascii="Times New Roman" w:eastAsia="MS Mincho" w:hAnsi="Times New Roman" w:cs="Times New Roman"/>
          <w:sz w:val="22"/>
          <w:szCs w:val="24"/>
          <w:lang w:val="en-GB" w:eastAsia="ja-JP"/>
        </w:rPr>
        <w:t>Hamas</w:t>
      </w:r>
      <w:r w:rsidRPr="00647752">
        <w:rPr>
          <w:rFonts w:ascii="Times New Roman" w:eastAsia="MS Mincho" w:hAnsi="Times New Roman" w:cs="Times New Roman"/>
          <w:sz w:val="22"/>
          <w:szCs w:val="24"/>
          <w:lang w:val="en-GB" w:eastAsia="ja-JP"/>
        </w:rPr>
        <w:t xml:space="preserve">-led </w:t>
      </w:r>
      <w:r w:rsidRPr="00A75685">
        <w:rPr>
          <w:rFonts w:ascii="Times New Roman" w:eastAsia="MS Mincho" w:hAnsi="Times New Roman" w:cs="Times New Roman"/>
          <w:i/>
          <w:sz w:val="22"/>
          <w:szCs w:val="24"/>
          <w:lang w:val="en-GB" w:eastAsia="ja-JP"/>
        </w:rPr>
        <w:t>de facto</w:t>
      </w:r>
      <w:r w:rsidRPr="00647752">
        <w:rPr>
          <w:rFonts w:ascii="Times New Roman" w:eastAsia="MS Mincho" w:hAnsi="Times New Roman" w:cs="Times New Roman"/>
          <w:sz w:val="22"/>
          <w:szCs w:val="24"/>
          <w:lang w:val="en-GB" w:eastAsia="ja-JP"/>
        </w:rPr>
        <w:t xml:space="preserve"> government, which holds forth its own version of justice, and where funding for the courts and prosecution has been drastically reduced. Wor</w:t>
      </w:r>
      <w:r w:rsidR="00A75685">
        <w:rPr>
          <w:rFonts w:ascii="Times New Roman" w:eastAsia="MS Mincho" w:hAnsi="Times New Roman" w:cs="Times New Roman"/>
          <w:sz w:val="22"/>
          <w:szCs w:val="24"/>
          <w:lang w:val="en-GB" w:eastAsia="ja-JP"/>
        </w:rPr>
        <w:t>king within the highly politicis</w:t>
      </w:r>
      <w:r w:rsidRPr="00647752">
        <w:rPr>
          <w:rFonts w:ascii="Times New Roman" w:eastAsia="MS Mincho" w:hAnsi="Times New Roman" w:cs="Times New Roman"/>
          <w:sz w:val="22"/>
          <w:szCs w:val="24"/>
          <w:lang w:val="en-GB" w:eastAsia="ja-JP"/>
        </w:rPr>
        <w:t>ed environment of Gaza has required UNDP staff to constantly engage with its partners to provide them with the highest level of technical expertise possible from a l</w:t>
      </w:r>
      <w:r w:rsidR="00A75685">
        <w:rPr>
          <w:rFonts w:ascii="Times New Roman" w:eastAsia="MS Mincho" w:hAnsi="Times New Roman" w:cs="Times New Roman"/>
          <w:sz w:val="22"/>
          <w:szCs w:val="24"/>
          <w:lang w:val="en-GB" w:eastAsia="ja-JP"/>
        </w:rPr>
        <w:t>egal empowerment point of view.</w:t>
      </w:r>
    </w:p>
    <w:p w:rsidR="00A75685" w:rsidRDefault="00A75685" w:rsidP="00FB6759">
      <w:pPr>
        <w:spacing w:after="0" w:line="240" w:lineRule="auto"/>
        <w:jc w:val="both"/>
        <w:rPr>
          <w:rFonts w:ascii="Times New Roman" w:eastAsia="MS Mincho" w:hAnsi="Times New Roman" w:cs="Times New Roman"/>
          <w:sz w:val="22"/>
          <w:szCs w:val="24"/>
          <w:lang w:val="en-GB" w:eastAsia="ja-JP"/>
        </w:rPr>
      </w:pPr>
    </w:p>
    <w:p w:rsidR="0066629B" w:rsidRPr="00647752" w:rsidRDefault="0066629B" w:rsidP="00FB6759">
      <w:pPr>
        <w:spacing w:after="0" w:line="240" w:lineRule="auto"/>
        <w:jc w:val="both"/>
        <w:rPr>
          <w:rFonts w:ascii="Times New Roman" w:hAnsi="Times New Roman" w:cs="Times New Roman"/>
          <w:sz w:val="22"/>
          <w:szCs w:val="22"/>
          <w:lang w:val="en-GB"/>
        </w:rPr>
      </w:pPr>
      <w:r w:rsidRPr="00647752">
        <w:rPr>
          <w:rFonts w:ascii="Times New Roman" w:eastAsia="MS Mincho" w:hAnsi="Times New Roman" w:cs="Times New Roman"/>
          <w:sz w:val="22"/>
          <w:szCs w:val="24"/>
          <w:lang w:val="en-GB" w:eastAsia="ja-JP"/>
        </w:rPr>
        <w:t>In a protracted conflict it is very difficult to measure any level of outcome, especially when everything is subject to political outcomes. Gaza has begun to shift from a humanitarian response to development.</w:t>
      </w:r>
      <w:r w:rsidR="00162ABC" w:rsidRPr="00647752">
        <w:rPr>
          <w:rFonts w:ascii="Times New Roman" w:hAnsi="Times New Roman" w:cs="Times New Roman"/>
          <w:sz w:val="22"/>
          <w:szCs w:val="22"/>
          <w:lang w:val="en-GB"/>
        </w:rPr>
        <w:t xml:space="preserve"> In recognition of the political constraint</w:t>
      </w:r>
      <w:r w:rsidR="00A75685">
        <w:rPr>
          <w:rFonts w:ascii="Times New Roman" w:hAnsi="Times New Roman" w:cs="Times New Roman"/>
          <w:sz w:val="22"/>
          <w:szCs w:val="22"/>
          <w:lang w:val="en-GB"/>
        </w:rPr>
        <w:t>s and practical realities, the p</w:t>
      </w:r>
      <w:r w:rsidR="00162ABC" w:rsidRPr="00647752">
        <w:rPr>
          <w:rFonts w:ascii="Times New Roman" w:hAnsi="Times New Roman" w:cs="Times New Roman"/>
          <w:sz w:val="22"/>
          <w:szCs w:val="22"/>
          <w:lang w:val="en-GB"/>
        </w:rPr>
        <w:t>rogramme’s efforts in Gaza have focused entirely on non-governmental, non-political “demand-driven” solutions to maintain the seeds of a rule of law culture among Gazans, and to provide Palestinians there with the means, however limited, for seeking legal means to address their grievances.</w:t>
      </w:r>
      <w:r w:rsidR="00162ABC" w:rsidRPr="00647752">
        <w:rPr>
          <w:rStyle w:val="FootnoteReference"/>
          <w:rFonts w:ascii="Times New Roman" w:hAnsi="Times New Roman" w:cs="Times New Roman"/>
          <w:sz w:val="22"/>
          <w:szCs w:val="22"/>
          <w:lang w:val="en-GB"/>
        </w:rPr>
        <w:footnoteReference w:id="180"/>
      </w:r>
    </w:p>
    <w:p w:rsidR="0066629B" w:rsidRDefault="0066629B" w:rsidP="00FB6759">
      <w:pPr>
        <w:spacing w:after="0" w:line="240" w:lineRule="auto"/>
        <w:jc w:val="both"/>
        <w:rPr>
          <w:rFonts w:ascii="Times New Roman" w:eastAsia="MS Mincho" w:hAnsi="Times New Roman" w:cs="Times New Roman"/>
          <w:i/>
          <w:sz w:val="22"/>
          <w:szCs w:val="22"/>
          <w:lang w:val="en-GB" w:eastAsia="ja-JP"/>
        </w:rPr>
      </w:pPr>
    </w:p>
    <w:p w:rsidR="00A75685" w:rsidRDefault="00A75685" w:rsidP="00FB6759">
      <w:pPr>
        <w:spacing w:after="0" w:line="240" w:lineRule="auto"/>
        <w:jc w:val="both"/>
        <w:rPr>
          <w:rFonts w:ascii="Times New Roman" w:eastAsia="MS Mincho" w:hAnsi="Times New Roman" w:cs="Times New Roman"/>
          <w:i/>
          <w:sz w:val="22"/>
          <w:szCs w:val="22"/>
          <w:lang w:val="en-GB" w:eastAsia="ja-JP"/>
        </w:rPr>
      </w:pPr>
    </w:p>
    <w:p w:rsidR="00A75685" w:rsidRDefault="00A75685" w:rsidP="00FB6759">
      <w:pPr>
        <w:spacing w:after="0" w:line="240" w:lineRule="auto"/>
        <w:jc w:val="both"/>
        <w:rPr>
          <w:rFonts w:ascii="Times New Roman" w:eastAsia="MS Mincho" w:hAnsi="Times New Roman" w:cs="Times New Roman"/>
          <w:i/>
          <w:sz w:val="22"/>
          <w:szCs w:val="22"/>
          <w:lang w:val="en-GB" w:eastAsia="ja-JP"/>
        </w:rPr>
      </w:pPr>
    </w:p>
    <w:p w:rsidR="00A75685" w:rsidRPr="00647752" w:rsidRDefault="00A75685" w:rsidP="00FB6759">
      <w:pPr>
        <w:spacing w:after="0" w:line="240" w:lineRule="auto"/>
        <w:jc w:val="both"/>
        <w:rPr>
          <w:rFonts w:ascii="Times New Roman" w:eastAsia="MS Mincho" w:hAnsi="Times New Roman" w:cs="Times New Roman"/>
          <w:i/>
          <w:sz w:val="22"/>
          <w:szCs w:val="22"/>
          <w:lang w:val="en-GB" w:eastAsia="ja-JP"/>
        </w:rPr>
      </w:pPr>
    </w:p>
    <w:p w:rsidR="0066629B" w:rsidRPr="00647752" w:rsidRDefault="0066629B" w:rsidP="00FB6759">
      <w:pPr>
        <w:spacing w:after="0" w:line="240" w:lineRule="auto"/>
        <w:jc w:val="both"/>
        <w:rPr>
          <w:rFonts w:ascii="Times New Roman" w:eastAsia="MS Mincho" w:hAnsi="Times New Roman" w:cs="Times New Roman"/>
          <w:i/>
          <w:sz w:val="22"/>
          <w:szCs w:val="22"/>
          <w:lang w:val="en-GB" w:eastAsia="ja-JP"/>
        </w:rPr>
      </w:pPr>
      <w:r w:rsidRPr="00647752">
        <w:rPr>
          <w:rFonts w:ascii="Times New Roman" w:eastAsia="MS Mincho" w:hAnsi="Times New Roman" w:cs="Times New Roman"/>
          <w:i/>
          <w:sz w:val="22"/>
          <w:szCs w:val="22"/>
          <w:lang w:val="en-GB" w:eastAsia="ja-JP"/>
        </w:rPr>
        <w:lastRenderedPageBreak/>
        <w:t>UND</w:t>
      </w:r>
      <w:r w:rsidR="00A75685">
        <w:rPr>
          <w:rFonts w:ascii="Times New Roman" w:eastAsia="MS Mincho" w:hAnsi="Times New Roman" w:cs="Times New Roman"/>
          <w:i/>
          <w:sz w:val="22"/>
          <w:szCs w:val="22"/>
          <w:lang w:val="en-GB" w:eastAsia="ja-JP"/>
        </w:rPr>
        <w:t>P support to legal aid and the n</w:t>
      </w:r>
      <w:r w:rsidRPr="00647752">
        <w:rPr>
          <w:rFonts w:ascii="Times New Roman" w:eastAsia="MS Mincho" w:hAnsi="Times New Roman" w:cs="Times New Roman"/>
          <w:i/>
          <w:sz w:val="22"/>
          <w:szCs w:val="22"/>
          <w:lang w:val="en-GB" w:eastAsia="ja-JP"/>
        </w:rPr>
        <w:t>etwork</w:t>
      </w:r>
      <w:r w:rsidR="00A75685">
        <w:rPr>
          <w:rFonts w:ascii="Times New Roman" w:eastAsia="MS Mincho" w:hAnsi="Times New Roman" w:cs="Times New Roman"/>
          <w:i/>
          <w:sz w:val="22"/>
          <w:szCs w:val="22"/>
          <w:lang w:val="en-GB" w:eastAsia="ja-JP"/>
        </w:rPr>
        <w:t xml:space="preserve"> of legal aid p</w:t>
      </w:r>
      <w:r w:rsidR="006E382A" w:rsidRPr="00647752">
        <w:rPr>
          <w:rFonts w:ascii="Times New Roman" w:eastAsia="MS Mincho" w:hAnsi="Times New Roman" w:cs="Times New Roman"/>
          <w:i/>
          <w:sz w:val="22"/>
          <w:szCs w:val="22"/>
          <w:lang w:val="en-GB" w:eastAsia="ja-JP"/>
        </w:rPr>
        <w:t>roviders</w:t>
      </w:r>
      <w:r w:rsidRPr="00647752">
        <w:rPr>
          <w:rFonts w:ascii="Times New Roman" w:eastAsia="MS Mincho" w:hAnsi="Times New Roman" w:cs="Times New Roman"/>
          <w:i/>
          <w:sz w:val="22"/>
          <w:szCs w:val="22"/>
          <w:lang w:val="en-GB" w:eastAsia="ja-JP"/>
        </w:rPr>
        <w:t xml:space="preserve"> (“Awn</w:t>
      </w:r>
      <w:r w:rsidR="00A75685">
        <w:rPr>
          <w:rFonts w:ascii="Times New Roman" w:eastAsia="MS Mincho" w:hAnsi="Times New Roman" w:cs="Times New Roman"/>
          <w:i/>
          <w:sz w:val="22"/>
          <w:szCs w:val="22"/>
          <w:lang w:val="en-GB" w:eastAsia="ja-JP"/>
        </w:rPr>
        <w:t>” n</w:t>
      </w:r>
      <w:r w:rsidR="00AD2D1A" w:rsidRPr="00647752">
        <w:rPr>
          <w:rFonts w:ascii="Times New Roman" w:eastAsia="MS Mincho" w:hAnsi="Times New Roman" w:cs="Times New Roman"/>
          <w:i/>
          <w:sz w:val="22"/>
          <w:szCs w:val="22"/>
          <w:lang w:val="en-GB" w:eastAsia="ja-JP"/>
        </w:rPr>
        <w:t>etwork</w:t>
      </w:r>
      <w:r w:rsidRPr="00647752">
        <w:rPr>
          <w:rFonts w:ascii="Times New Roman" w:eastAsia="MS Mincho" w:hAnsi="Times New Roman" w:cs="Times New Roman"/>
          <w:i/>
          <w:sz w:val="22"/>
          <w:szCs w:val="22"/>
          <w:lang w:val="en-GB" w:eastAsia="ja-JP"/>
        </w:rPr>
        <w:t>)</w:t>
      </w:r>
    </w:p>
    <w:p w:rsidR="00AD2D1A" w:rsidRPr="00647752" w:rsidRDefault="00AD2D1A" w:rsidP="00FB6759">
      <w:pPr>
        <w:spacing w:after="0" w:line="240" w:lineRule="auto"/>
        <w:jc w:val="both"/>
        <w:rPr>
          <w:rFonts w:ascii="Times New Roman" w:eastAsia="MS Mincho" w:hAnsi="Times New Roman" w:cs="Times New Roman"/>
          <w:i/>
          <w:sz w:val="22"/>
          <w:szCs w:val="22"/>
          <w:lang w:val="en-GB" w:eastAsia="ja-JP"/>
        </w:rPr>
      </w:pPr>
    </w:p>
    <w:p w:rsidR="0066629B" w:rsidRPr="00647752" w:rsidRDefault="0066629B"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 xml:space="preserve">In an effort to empower local communities and improve access to justice for vulnerable groups, UNDP has helped establish a </w:t>
      </w:r>
      <w:r w:rsidR="00A75685">
        <w:rPr>
          <w:rFonts w:ascii="Times New Roman" w:eastAsia="MS Mincho" w:hAnsi="Times New Roman" w:cs="Times New Roman"/>
          <w:sz w:val="22"/>
          <w:szCs w:val="22"/>
          <w:lang w:val="en-GB" w:eastAsia="ja-JP"/>
        </w:rPr>
        <w:t>legal aid providers n</w:t>
      </w:r>
      <w:r w:rsidR="00AF181F" w:rsidRPr="00647752">
        <w:rPr>
          <w:rFonts w:ascii="Times New Roman" w:eastAsia="MS Mincho" w:hAnsi="Times New Roman" w:cs="Times New Roman"/>
          <w:sz w:val="22"/>
          <w:szCs w:val="22"/>
          <w:lang w:val="en-GB" w:eastAsia="ja-JP"/>
        </w:rPr>
        <w:t>etwork</w:t>
      </w:r>
      <w:r w:rsidRPr="00647752">
        <w:rPr>
          <w:rFonts w:ascii="Times New Roman" w:eastAsia="MS Mincho" w:hAnsi="Times New Roman" w:cs="Times New Roman"/>
          <w:sz w:val="22"/>
          <w:szCs w:val="22"/>
          <w:lang w:val="en-GB" w:eastAsia="ja-JP"/>
        </w:rPr>
        <w:t xml:space="preserve"> in the Gaza Strip. </w:t>
      </w:r>
      <w:r w:rsidR="00B728E8">
        <w:rPr>
          <w:rFonts w:ascii="Times New Roman" w:eastAsia="MS Mincho" w:hAnsi="Times New Roman" w:cs="Times New Roman"/>
          <w:sz w:val="22"/>
          <w:szCs w:val="22"/>
          <w:lang w:val="en-GB" w:eastAsia="ja-JP"/>
        </w:rPr>
        <w:t>B</w:t>
      </w:r>
      <w:r w:rsidRPr="00647752">
        <w:rPr>
          <w:rFonts w:ascii="Times New Roman" w:eastAsia="MS Mincho" w:hAnsi="Times New Roman" w:cs="Times New Roman"/>
          <w:sz w:val="22"/>
          <w:szCs w:val="22"/>
          <w:lang w:val="en-GB" w:eastAsia="ja-JP"/>
        </w:rPr>
        <w:t>ringing together</w:t>
      </w:r>
      <w:r w:rsidR="00A75685">
        <w:rPr>
          <w:rFonts w:ascii="Times New Roman" w:eastAsia="MS Mincho" w:hAnsi="Times New Roman" w:cs="Times New Roman"/>
          <w:sz w:val="22"/>
          <w:szCs w:val="22"/>
          <w:lang w:val="en-GB" w:eastAsia="ja-JP"/>
        </w:rPr>
        <w:t xml:space="preserve"> the PBA</w:t>
      </w:r>
      <w:r w:rsidRPr="00647752">
        <w:rPr>
          <w:rFonts w:ascii="Times New Roman" w:eastAsia="MS Mincho" w:hAnsi="Times New Roman" w:cs="Times New Roman"/>
          <w:sz w:val="22"/>
          <w:szCs w:val="22"/>
          <w:lang w:val="en-GB" w:eastAsia="ja-JP"/>
        </w:rPr>
        <w:t>, civil so</w:t>
      </w:r>
      <w:r w:rsidR="00A75685">
        <w:rPr>
          <w:rFonts w:ascii="Times New Roman" w:eastAsia="MS Mincho" w:hAnsi="Times New Roman" w:cs="Times New Roman"/>
          <w:sz w:val="22"/>
          <w:szCs w:val="22"/>
          <w:lang w:val="en-GB" w:eastAsia="ja-JP"/>
        </w:rPr>
        <w:t>ciety organis</w:t>
      </w:r>
      <w:r w:rsidRPr="00647752">
        <w:rPr>
          <w:rFonts w:ascii="Times New Roman" w:eastAsia="MS Mincho" w:hAnsi="Times New Roman" w:cs="Times New Roman"/>
          <w:sz w:val="22"/>
          <w:szCs w:val="22"/>
          <w:lang w:val="en-GB" w:eastAsia="ja-JP"/>
        </w:rPr>
        <w:t>ations and academic institutions, the network provides an array of advanced legal services, including representation, litigation, mediation an</w:t>
      </w:r>
      <w:r w:rsidR="00B728E8">
        <w:rPr>
          <w:rFonts w:ascii="Times New Roman" w:eastAsia="MS Mincho" w:hAnsi="Times New Roman" w:cs="Times New Roman"/>
          <w:sz w:val="22"/>
          <w:szCs w:val="22"/>
          <w:lang w:val="en-GB" w:eastAsia="ja-JP"/>
        </w:rPr>
        <w:t>d arbitration. As of 2013, the n</w:t>
      </w:r>
      <w:r w:rsidRPr="00647752">
        <w:rPr>
          <w:rFonts w:ascii="Times New Roman" w:eastAsia="MS Mincho" w:hAnsi="Times New Roman" w:cs="Times New Roman"/>
          <w:sz w:val="22"/>
          <w:szCs w:val="22"/>
          <w:lang w:val="en-GB" w:eastAsia="ja-JP"/>
        </w:rPr>
        <w:t xml:space="preserve">etwork has </w:t>
      </w:r>
      <w:r w:rsidR="00AF775D" w:rsidRPr="00647752">
        <w:rPr>
          <w:rFonts w:ascii="Times New Roman" w:eastAsia="MS Mincho" w:hAnsi="Times New Roman" w:cs="Times New Roman"/>
          <w:sz w:val="22"/>
          <w:szCs w:val="22"/>
          <w:lang w:val="en-GB" w:eastAsia="ja-JP"/>
        </w:rPr>
        <w:t>2</w:t>
      </w:r>
      <w:r w:rsidR="00B728E8">
        <w:rPr>
          <w:rFonts w:ascii="Times New Roman" w:eastAsia="MS Mincho" w:hAnsi="Times New Roman" w:cs="Times New Roman"/>
          <w:sz w:val="22"/>
          <w:szCs w:val="22"/>
          <w:lang w:val="en-GB" w:eastAsia="ja-JP"/>
        </w:rPr>
        <w:t>3 members (the PBA is the lead organis</w:t>
      </w:r>
      <w:r w:rsidRPr="00647752">
        <w:rPr>
          <w:rFonts w:ascii="Times New Roman" w:eastAsia="MS Mincho" w:hAnsi="Times New Roman" w:cs="Times New Roman"/>
          <w:sz w:val="22"/>
          <w:szCs w:val="22"/>
          <w:lang w:val="en-GB" w:eastAsia="ja-JP"/>
        </w:rPr>
        <w:t xml:space="preserve">ation) and coordinates legal aid providers throughout </w:t>
      </w:r>
      <w:r w:rsidR="00DE42F5" w:rsidRPr="00647752">
        <w:rPr>
          <w:rFonts w:ascii="Times New Roman" w:eastAsia="MS Mincho" w:hAnsi="Times New Roman" w:cs="Times New Roman"/>
          <w:sz w:val="22"/>
          <w:szCs w:val="22"/>
          <w:lang w:val="en-GB" w:eastAsia="ja-JP"/>
        </w:rPr>
        <w:t>Gaza</w:t>
      </w:r>
      <w:r w:rsidR="00B728E8">
        <w:rPr>
          <w:rFonts w:ascii="Times New Roman" w:eastAsia="MS Mincho" w:hAnsi="Times New Roman" w:cs="Times New Roman"/>
          <w:sz w:val="22"/>
          <w:szCs w:val="22"/>
          <w:lang w:val="en-GB" w:eastAsia="ja-JP"/>
        </w:rPr>
        <w:t>. It meets once per month through the Legal Task Force, established under the UNCT structure.</w:t>
      </w:r>
    </w:p>
    <w:p w:rsidR="0066629B" w:rsidRPr="00647752" w:rsidRDefault="0066629B" w:rsidP="00FB6759">
      <w:pPr>
        <w:spacing w:after="0" w:line="240" w:lineRule="auto"/>
        <w:jc w:val="both"/>
        <w:rPr>
          <w:rFonts w:ascii="Times New Roman" w:eastAsia="MS Mincho" w:hAnsi="Times New Roman" w:cs="Times New Roman"/>
          <w:sz w:val="22"/>
          <w:szCs w:val="22"/>
          <w:lang w:val="en-GB" w:eastAsia="ja-JP"/>
        </w:rPr>
      </w:pPr>
    </w:p>
    <w:p w:rsidR="00F738BE" w:rsidRDefault="00B728E8" w:rsidP="00FB6759">
      <w:pPr>
        <w:spacing w:after="0" w:line="240" w:lineRule="auto"/>
        <w:jc w:val="both"/>
        <w:rPr>
          <w:rFonts w:ascii="Times New Roman" w:eastAsia="MS Mincho" w:hAnsi="Times New Roman" w:cs="Times New Roman"/>
          <w:sz w:val="22"/>
          <w:szCs w:val="24"/>
          <w:lang w:val="en-GB" w:eastAsia="ja-JP"/>
        </w:rPr>
      </w:pPr>
      <w:r>
        <w:rPr>
          <w:rFonts w:ascii="Times New Roman" w:eastAsia="MS Mincho" w:hAnsi="Times New Roman" w:cs="Times New Roman"/>
          <w:sz w:val="22"/>
          <w:szCs w:val="24"/>
          <w:lang w:val="en-GB" w:eastAsia="ja-JP"/>
        </w:rPr>
        <w:t>The PBA</w:t>
      </w:r>
      <w:r w:rsidR="0066629B" w:rsidRPr="00647752">
        <w:rPr>
          <w:rFonts w:ascii="Times New Roman" w:eastAsia="MS Mincho" w:hAnsi="Times New Roman" w:cs="Times New Roman"/>
          <w:sz w:val="22"/>
          <w:szCs w:val="24"/>
          <w:lang w:val="en-GB" w:eastAsia="ja-JP"/>
        </w:rPr>
        <w:t xml:space="preserve"> with UNDP technical assistance </w:t>
      </w:r>
      <w:r w:rsidR="004E532E" w:rsidRPr="00647752">
        <w:rPr>
          <w:rFonts w:ascii="Times New Roman" w:eastAsia="MS Mincho" w:hAnsi="Times New Roman" w:cs="Times New Roman"/>
          <w:sz w:val="22"/>
          <w:szCs w:val="24"/>
          <w:lang w:val="en-GB" w:eastAsia="ja-JP"/>
        </w:rPr>
        <w:t>has</w:t>
      </w:r>
      <w:r w:rsidR="0066629B" w:rsidRPr="00647752">
        <w:rPr>
          <w:rFonts w:ascii="Times New Roman" w:eastAsia="MS Mincho" w:hAnsi="Times New Roman" w:cs="Times New Roman"/>
          <w:sz w:val="22"/>
          <w:szCs w:val="24"/>
          <w:lang w:val="en-GB" w:eastAsia="ja-JP"/>
        </w:rPr>
        <w:t xml:space="preserve"> develop</w:t>
      </w:r>
      <w:r w:rsidR="004E532E" w:rsidRPr="00647752">
        <w:rPr>
          <w:rFonts w:ascii="Times New Roman" w:eastAsia="MS Mincho" w:hAnsi="Times New Roman" w:cs="Times New Roman"/>
          <w:sz w:val="22"/>
          <w:szCs w:val="24"/>
          <w:lang w:val="en-GB" w:eastAsia="ja-JP"/>
        </w:rPr>
        <w:t>ed</w:t>
      </w:r>
      <w:r w:rsidR="00F738BE">
        <w:rPr>
          <w:rFonts w:ascii="Times New Roman" w:eastAsia="MS Mincho" w:hAnsi="Times New Roman" w:cs="Times New Roman"/>
          <w:sz w:val="22"/>
          <w:szCs w:val="24"/>
          <w:lang w:val="en-GB" w:eastAsia="ja-JP"/>
        </w:rPr>
        <w:t xml:space="preserve"> a data</w:t>
      </w:r>
      <w:r w:rsidR="0066629B" w:rsidRPr="00647752">
        <w:rPr>
          <w:rFonts w:ascii="Times New Roman" w:eastAsia="MS Mincho" w:hAnsi="Times New Roman" w:cs="Times New Roman"/>
          <w:sz w:val="22"/>
          <w:szCs w:val="24"/>
          <w:lang w:val="en-GB" w:eastAsia="ja-JP"/>
        </w:rPr>
        <w:t>base to track free l</w:t>
      </w:r>
      <w:r w:rsidR="00F738BE">
        <w:rPr>
          <w:rFonts w:ascii="Times New Roman" w:eastAsia="MS Mincho" w:hAnsi="Times New Roman" w:cs="Times New Roman"/>
          <w:sz w:val="22"/>
          <w:szCs w:val="24"/>
          <w:lang w:val="en-GB" w:eastAsia="ja-JP"/>
        </w:rPr>
        <w:t>egal aid being rendered by the n</w:t>
      </w:r>
      <w:r w:rsidR="0066629B" w:rsidRPr="00647752">
        <w:rPr>
          <w:rFonts w:ascii="Times New Roman" w:eastAsia="MS Mincho" w:hAnsi="Times New Roman" w:cs="Times New Roman"/>
          <w:sz w:val="22"/>
          <w:szCs w:val="24"/>
          <w:lang w:val="en-GB" w:eastAsia="ja-JP"/>
        </w:rPr>
        <w:t>etwork and has developed other mechanisms for oversight of the legal aid providers to guarantee the quality of service</w:t>
      </w:r>
      <w:r w:rsidR="00F738BE">
        <w:rPr>
          <w:rFonts w:ascii="Times New Roman" w:eastAsia="MS Mincho" w:hAnsi="Times New Roman" w:cs="Times New Roman"/>
          <w:sz w:val="22"/>
          <w:szCs w:val="24"/>
          <w:lang w:val="en-GB" w:eastAsia="ja-JP"/>
        </w:rPr>
        <w:t>s provided to the clients. The n</w:t>
      </w:r>
      <w:r w:rsidR="0066629B" w:rsidRPr="00647752">
        <w:rPr>
          <w:rFonts w:ascii="Times New Roman" w:eastAsia="MS Mincho" w:hAnsi="Times New Roman" w:cs="Times New Roman"/>
          <w:sz w:val="22"/>
          <w:szCs w:val="24"/>
          <w:lang w:val="en-GB" w:eastAsia="ja-JP"/>
        </w:rPr>
        <w:t>etwork has recently approached the private sector (i.</w:t>
      </w:r>
      <w:r w:rsidR="00F738BE">
        <w:rPr>
          <w:rFonts w:ascii="Times New Roman" w:eastAsia="MS Mincho" w:hAnsi="Times New Roman" w:cs="Times New Roman"/>
          <w:sz w:val="22"/>
          <w:szCs w:val="24"/>
          <w:lang w:val="en-GB" w:eastAsia="ja-JP"/>
        </w:rPr>
        <w:t>e. banks) for donations.</w:t>
      </w:r>
    </w:p>
    <w:p w:rsidR="00F738BE" w:rsidRDefault="00F738BE" w:rsidP="00FB6759">
      <w:pPr>
        <w:spacing w:after="0" w:line="240" w:lineRule="auto"/>
        <w:jc w:val="both"/>
        <w:rPr>
          <w:rFonts w:ascii="Times New Roman" w:eastAsia="MS Mincho" w:hAnsi="Times New Roman" w:cs="Times New Roman"/>
          <w:sz w:val="22"/>
          <w:szCs w:val="24"/>
          <w:lang w:val="en-GB" w:eastAsia="ja-JP"/>
        </w:rPr>
      </w:pPr>
    </w:p>
    <w:p w:rsidR="00F738BE" w:rsidRDefault="00F738BE" w:rsidP="00FB6759">
      <w:pPr>
        <w:spacing w:after="0" w:line="240" w:lineRule="auto"/>
        <w:jc w:val="both"/>
        <w:rPr>
          <w:rFonts w:ascii="Times New Roman" w:eastAsia="MS Mincho" w:hAnsi="Times New Roman" w:cs="Times New Roman"/>
          <w:sz w:val="22"/>
          <w:szCs w:val="24"/>
          <w:lang w:val="en-GB" w:eastAsia="ja-JP"/>
        </w:rPr>
      </w:pPr>
      <w:r>
        <w:rPr>
          <w:rFonts w:ascii="Times New Roman" w:eastAsia="MS Mincho" w:hAnsi="Times New Roman" w:cs="Times New Roman"/>
          <w:sz w:val="22"/>
          <w:szCs w:val="24"/>
          <w:lang w:val="en-GB" w:eastAsia="ja-JP"/>
        </w:rPr>
        <w:t>The n</w:t>
      </w:r>
      <w:r w:rsidR="0066629B" w:rsidRPr="00647752">
        <w:rPr>
          <w:rFonts w:ascii="Times New Roman" w:eastAsia="MS Mincho" w:hAnsi="Times New Roman" w:cs="Times New Roman"/>
          <w:sz w:val="22"/>
          <w:szCs w:val="24"/>
          <w:lang w:val="en-GB" w:eastAsia="ja-JP"/>
        </w:rPr>
        <w:t>etwork is continuing to stra</w:t>
      </w:r>
      <w:r>
        <w:rPr>
          <w:rFonts w:ascii="Times New Roman" w:eastAsia="MS Mincho" w:hAnsi="Times New Roman" w:cs="Times New Roman"/>
          <w:sz w:val="22"/>
          <w:szCs w:val="24"/>
          <w:lang w:val="en-GB" w:eastAsia="ja-JP"/>
        </w:rPr>
        <w:t xml:space="preserve">tegise its work </w:t>
      </w:r>
      <w:r w:rsidR="0066629B" w:rsidRPr="00647752">
        <w:rPr>
          <w:rFonts w:ascii="Times New Roman" w:eastAsia="MS Mincho" w:hAnsi="Times New Roman" w:cs="Times New Roman"/>
          <w:sz w:val="22"/>
          <w:szCs w:val="24"/>
          <w:lang w:val="en-GB" w:eastAsia="ja-JP"/>
        </w:rPr>
        <w:t xml:space="preserve">(i.e. the first annual moot court programme was held </w:t>
      </w:r>
      <w:r>
        <w:rPr>
          <w:rFonts w:ascii="Times New Roman" w:eastAsia="MS Mincho" w:hAnsi="Times New Roman" w:cs="Times New Roman"/>
          <w:sz w:val="22"/>
          <w:szCs w:val="24"/>
          <w:lang w:val="en-GB" w:eastAsia="ja-JP"/>
        </w:rPr>
        <w:t>at the PBA in January</w:t>
      </w:r>
      <w:r w:rsidR="0066629B" w:rsidRPr="00647752">
        <w:rPr>
          <w:rFonts w:ascii="Times New Roman" w:eastAsia="MS Mincho" w:hAnsi="Times New Roman" w:cs="Times New Roman"/>
          <w:sz w:val="22"/>
          <w:szCs w:val="24"/>
          <w:lang w:val="en-GB" w:eastAsia="ja-JP"/>
        </w:rPr>
        <w:t xml:space="preserve"> 2013. The main objective is to build the capacity of the lawyers in the network</w:t>
      </w:r>
      <w:r w:rsidR="00162ABC" w:rsidRPr="00647752">
        <w:rPr>
          <w:rFonts w:ascii="Times New Roman" w:eastAsia="MS Mincho" w:hAnsi="Times New Roman" w:cs="Times New Roman"/>
          <w:sz w:val="22"/>
          <w:szCs w:val="24"/>
          <w:lang w:val="en-GB" w:eastAsia="ja-JP"/>
        </w:rPr>
        <w:t xml:space="preserve"> and </w:t>
      </w:r>
      <w:r>
        <w:rPr>
          <w:rFonts w:ascii="Times New Roman" w:eastAsia="MS Mincho" w:hAnsi="Times New Roman" w:cs="Times New Roman"/>
          <w:sz w:val="22"/>
          <w:szCs w:val="24"/>
          <w:lang w:val="en-GB" w:eastAsia="ja-JP"/>
        </w:rPr>
        <w:t>the second aim</w:t>
      </w:r>
      <w:r w:rsidR="0066629B" w:rsidRPr="00647752">
        <w:rPr>
          <w:rFonts w:ascii="Times New Roman" w:eastAsia="MS Mincho" w:hAnsi="Times New Roman" w:cs="Times New Roman"/>
          <w:sz w:val="22"/>
          <w:szCs w:val="24"/>
          <w:lang w:val="en-GB" w:eastAsia="ja-JP"/>
        </w:rPr>
        <w:t xml:space="preserve"> is to foc</w:t>
      </w:r>
      <w:r>
        <w:rPr>
          <w:rFonts w:ascii="Times New Roman" w:eastAsia="MS Mincho" w:hAnsi="Times New Roman" w:cs="Times New Roman"/>
          <w:sz w:val="22"/>
          <w:szCs w:val="24"/>
          <w:lang w:val="en-GB" w:eastAsia="ja-JP"/>
        </w:rPr>
        <w:t>us on the plight of women. The n</w:t>
      </w:r>
      <w:r w:rsidR="0066629B" w:rsidRPr="00647752">
        <w:rPr>
          <w:rFonts w:ascii="Times New Roman" w:eastAsia="MS Mincho" w:hAnsi="Times New Roman" w:cs="Times New Roman"/>
          <w:sz w:val="22"/>
          <w:szCs w:val="24"/>
          <w:lang w:val="en-GB" w:eastAsia="ja-JP"/>
        </w:rPr>
        <w:t>etwork also developed YouTube, Facebook and Twitter accounts to inform the public of its work.</w:t>
      </w:r>
    </w:p>
    <w:p w:rsidR="00162ABC" w:rsidRPr="00647752" w:rsidRDefault="00162ABC" w:rsidP="00FB6759">
      <w:pPr>
        <w:spacing w:after="0" w:line="240" w:lineRule="auto"/>
        <w:jc w:val="both"/>
        <w:rPr>
          <w:rFonts w:ascii="Times New Roman" w:eastAsia="MS Mincho" w:hAnsi="Times New Roman" w:cs="Times New Roman"/>
          <w:sz w:val="22"/>
          <w:szCs w:val="24"/>
          <w:lang w:val="en-GB" w:eastAsia="ja-JP"/>
        </w:rPr>
      </w:pPr>
    </w:p>
    <w:p w:rsidR="0066629B" w:rsidRDefault="00162ABC"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 xml:space="preserve">Beyond the </w:t>
      </w:r>
      <w:r w:rsidR="00F738BE">
        <w:rPr>
          <w:rFonts w:ascii="Times New Roman" w:hAnsi="Times New Roman" w:cs="Times New Roman"/>
          <w:sz w:val="22"/>
          <w:szCs w:val="22"/>
          <w:lang w:val="en-GB"/>
        </w:rPr>
        <w:t>“</w:t>
      </w:r>
      <w:r w:rsidRPr="00F738BE">
        <w:rPr>
          <w:rFonts w:ascii="Times New Roman" w:hAnsi="Times New Roman" w:cs="Times New Roman"/>
          <w:sz w:val="22"/>
          <w:szCs w:val="22"/>
          <w:lang w:val="en-GB"/>
        </w:rPr>
        <w:t>Awn</w:t>
      </w:r>
      <w:r w:rsidR="00F738BE">
        <w:rPr>
          <w:rFonts w:ascii="Times New Roman" w:hAnsi="Times New Roman" w:cs="Times New Roman"/>
          <w:sz w:val="22"/>
          <w:szCs w:val="22"/>
          <w:lang w:val="en-GB"/>
        </w:rPr>
        <w:t>”</w:t>
      </w:r>
      <w:r w:rsidR="000063A3">
        <w:rPr>
          <w:rFonts w:ascii="Times New Roman" w:hAnsi="Times New Roman" w:cs="Times New Roman"/>
          <w:sz w:val="22"/>
          <w:szCs w:val="22"/>
          <w:lang w:val="en-GB"/>
        </w:rPr>
        <w:t xml:space="preserve"> </w:t>
      </w:r>
      <w:r w:rsidR="00F738BE">
        <w:rPr>
          <w:rFonts w:ascii="Times New Roman" w:hAnsi="Times New Roman" w:cs="Times New Roman"/>
          <w:sz w:val="22"/>
          <w:szCs w:val="22"/>
          <w:lang w:val="en-GB"/>
        </w:rPr>
        <w:t>n</w:t>
      </w:r>
      <w:r w:rsidRPr="00647752">
        <w:rPr>
          <w:rFonts w:ascii="Times New Roman" w:hAnsi="Times New Roman" w:cs="Times New Roman"/>
          <w:sz w:val="22"/>
          <w:szCs w:val="22"/>
          <w:lang w:val="en-GB"/>
        </w:rPr>
        <w:t>etwork, the UNDP has supported th</w:t>
      </w:r>
      <w:r w:rsidR="00F738BE">
        <w:rPr>
          <w:rFonts w:ascii="Times New Roman" w:hAnsi="Times New Roman" w:cs="Times New Roman"/>
          <w:sz w:val="22"/>
          <w:szCs w:val="22"/>
          <w:lang w:val="en-GB"/>
        </w:rPr>
        <w:t xml:space="preserve">e provision of </w:t>
      </w:r>
      <w:r w:rsidRPr="00647752">
        <w:rPr>
          <w:rFonts w:ascii="Times New Roman" w:hAnsi="Times New Roman" w:cs="Times New Roman"/>
          <w:sz w:val="22"/>
          <w:szCs w:val="22"/>
          <w:lang w:val="en-GB"/>
        </w:rPr>
        <w:t>aid to women imprisoned in the Gaza Str</w:t>
      </w:r>
      <w:r w:rsidR="00F738BE">
        <w:rPr>
          <w:rFonts w:ascii="Times New Roman" w:hAnsi="Times New Roman" w:cs="Times New Roman"/>
          <w:sz w:val="22"/>
          <w:szCs w:val="22"/>
          <w:lang w:val="en-GB"/>
        </w:rPr>
        <w:t>ip through the Palestinian Cent</w:t>
      </w:r>
      <w:r w:rsidRPr="00647752">
        <w:rPr>
          <w:rFonts w:ascii="Times New Roman" w:hAnsi="Times New Roman" w:cs="Times New Roman"/>
          <w:sz w:val="22"/>
          <w:szCs w:val="22"/>
          <w:lang w:val="en-GB"/>
        </w:rPr>
        <w:t>r</w:t>
      </w:r>
      <w:r w:rsidR="00F738BE">
        <w:rPr>
          <w:rFonts w:ascii="Times New Roman" w:hAnsi="Times New Roman" w:cs="Times New Roman"/>
          <w:sz w:val="22"/>
          <w:szCs w:val="22"/>
          <w:lang w:val="en-GB"/>
        </w:rPr>
        <w:t>e</w:t>
      </w:r>
      <w:r w:rsidRPr="00647752">
        <w:rPr>
          <w:rFonts w:ascii="Times New Roman" w:hAnsi="Times New Roman" w:cs="Times New Roman"/>
          <w:sz w:val="22"/>
          <w:szCs w:val="22"/>
          <w:lang w:val="en-GB"/>
        </w:rPr>
        <w:t xml:space="preserve"> for Democracy and Conflict Resolution (PCDCR),</w:t>
      </w:r>
      <w:r w:rsidRPr="00647752">
        <w:rPr>
          <w:rStyle w:val="FootnoteReference"/>
          <w:rFonts w:ascii="Times New Roman" w:hAnsi="Times New Roman" w:cs="Times New Roman"/>
          <w:sz w:val="22"/>
          <w:szCs w:val="22"/>
          <w:lang w:val="en-GB"/>
        </w:rPr>
        <w:footnoteReference w:id="181"/>
      </w:r>
      <w:r w:rsidRPr="00647752">
        <w:rPr>
          <w:rFonts w:ascii="Times New Roman" w:hAnsi="Times New Roman" w:cs="Times New Roman"/>
          <w:sz w:val="22"/>
          <w:szCs w:val="22"/>
          <w:lang w:val="en-GB"/>
        </w:rPr>
        <w:t xml:space="preserve"> and has supported workshops that provided direct advice and services to citizens and referred appropriate cases to the PBA for legal aid.</w:t>
      </w:r>
      <w:r w:rsidRPr="00647752">
        <w:rPr>
          <w:rStyle w:val="FootnoteReference"/>
          <w:rFonts w:ascii="Times New Roman" w:hAnsi="Times New Roman" w:cs="Times New Roman"/>
          <w:sz w:val="22"/>
          <w:szCs w:val="22"/>
          <w:lang w:val="en-GB"/>
        </w:rPr>
        <w:footnoteReference w:id="182"/>
      </w:r>
      <w:r w:rsidRPr="00647752">
        <w:rPr>
          <w:rFonts w:ascii="Times New Roman" w:hAnsi="Times New Roman" w:cs="Times New Roman"/>
          <w:sz w:val="22"/>
          <w:szCs w:val="22"/>
          <w:lang w:val="en-GB"/>
        </w:rPr>
        <w:t xml:space="preserve"> A legal aid fund was introduced at the PBA that has begun to receive small donations. </w:t>
      </w:r>
    </w:p>
    <w:p w:rsidR="00F738BE" w:rsidRPr="00647752" w:rsidRDefault="00F738BE" w:rsidP="00FB6759">
      <w:pPr>
        <w:spacing w:after="0" w:line="240" w:lineRule="auto"/>
        <w:jc w:val="both"/>
        <w:rPr>
          <w:rFonts w:ascii="Times New Roman" w:hAnsi="Times New Roman" w:cs="Times New Roman"/>
          <w:sz w:val="22"/>
          <w:szCs w:val="22"/>
          <w:lang w:val="en-GB"/>
        </w:rPr>
      </w:pPr>
    </w:p>
    <w:p w:rsidR="0066629B" w:rsidRPr="00647752" w:rsidRDefault="00F738BE" w:rsidP="00FB6759">
      <w:pPr>
        <w:spacing w:after="0" w:line="240" w:lineRule="auto"/>
        <w:jc w:val="both"/>
        <w:rPr>
          <w:rFonts w:ascii="Times New Roman" w:eastAsia="MS Mincho" w:hAnsi="Times New Roman" w:cs="Times New Roman"/>
          <w:sz w:val="22"/>
          <w:szCs w:val="22"/>
          <w:lang w:val="en-GB" w:eastAsia="ja-JP"/>
        </w:rPr>
      </w:pPr>
      <w:r>
        <w:rPr>
          <w:rFonts w:ascii="Times New Roman" w:eastAsia="MS Mincho" w:hAnsi="Times New Roman" w:cs="Times New Roman"/>
          <w:sz w:val="22"/>
          <w:szCs w:val="22"/>
          <w:lang w:val="en-GB" w:eastAsia="ja-JP"/>
        </w:rPr>
        <w:t>The e</w:t>
      </w:r>
      <w:r w:rsidR="0066629B" w:rsidRPr="00647752">
        <w:rPr>
          <w:rFonts w:ascii="Times New Roman" w:eastAsia="MS Mincho" w:hAnsi="Times New Roman" w:cs="Times New Roman"/>
          <w:sz w:val="22"/>
          <w:szCs w:val="22"/>
          <w:lang w:val="en-GB" w:eastAsia="ja-JP"/>
        </w:rPr>
        <w:t>val</w:t>
      </w:r>
      <w:r>
        <w:rPr>
          <w:rFonts w:ascii="Times New Roman" w:eastAsia="MS Mincho" w:hAnsi="Times New Roman" w:cs="Times New Roman"/>
          <w:sz w:val="22"/>
          <w:szCs w:val="22"/>
          <w:lang w:val="en-GB" w:eastAsia="ja-JP"/>
        </w:rPr>
        <w:t xml:space="preserve">uation met with a number of CSO </w:t>
      </w:r>
      <w:r w:rsidR="0066629B" w:rsidRPr="00647752">
        <w:rPr>
          <w:rFonts w:ascii="Times New Roman" w:eastAsia="MS Mincho" w:hAnsi="Times New Roman" w:cs="Times New Roman"/>
          <w:sz w:val="22"/>
          <w:szCs w:val="22"/>
          <w:lang w:val="en-GB" w:eastAsia="ja-JP"/>
        </w:rPr>
        <w:t>memb</w:t>
      </w:r>
      <w:r>
        <w:rPr>
          <w:rFonts w:ascii="Times New Roman" w:eastAsia="MS Mincho" w:hAnsi="Times New Roman" w:cs="Times New Roman"/>
          <w:sz w:val="22"/>
          <w:szCs w:val="22"/>
          <w:lang w:val="en-GB" w:eastAsia="ja-JP"/>
        </w:rPr>
        <w:t>ers of the “Awn” n</w:t>
      </w:r>
      <w:r w:rsidR="0066629B" w:rsidRPr="00647752">
        <w:rPr>
          <w:rFonts w:ascii="Times New Roman" w:eastAsia="MS Mincho" w:hAnsi="Times New Roman" w:cs="Times New Roman"/>
          <w:sz w:val="22"/>
          <w:szCs w:val="22"/>
          <w:lang w:val="en-GB" w:eastAsia="ja-JP"/>
        </w:rPr>
        <w:t xml:space="preserve">etwork who confirmed that </w:t>
      </w:r>
      <w:r w:rsidR="00DE42F5" w:rsidRPr="00647752">
        <w:rPr>
          <w:rFonts w:ascii="Times New Roman" w:eastAsia="MS Mincho" w:hAnsi="Times New Roman" w:cs="Times New Roman"/>
          <w:sz w:val="22"/>
          <w:szCs w:val="22"/>
          <w:lang w:val="en-GB" w:eastAsia="ja-JP"/>
        </w:rPr>
        <w:t xml:space="preserve">the </w:t>
      </w:r>
      <w:r>
        <w:rPr>
          <w:rFonts w:ascii="Times New Roman" w:eastAsia="MS Mincho" w:hAnsi="Times New Roman" w:cs="Times New Roman"/>
          <w:sz w:val="22"/>
          <w:szCs w:val="22"/>
          <w:lang w:val="en-GB" w:eastAsia="ja-JP"/>
        </w:rPr>
        <w:t>network had organis</w:t>
      </w:r>
      <w:r w:rsidR="0066629B" w:rsidRPr="00647752">
        <w:rPr>
          <w:rFonts w:ascii="Times New Roman" w:eastAsia="MS Mincho" w:hAnsi="Times New Roman" w:cs="Times New Roman"/>
          <w:sz w:val="22"/>
          <w:szCs w:val="22"/>
          <w:lang w:val="en-GB" w:eastAsia="ja-JP"/>
        </w:rPr>
        <w:t>ed many beneficial trainings and workshops that had not only increased their skills as l</w:t>
      </w:r>
      <w:r>
        <w:rPr>
          <w:rFonts w:ascii="Times New Roman" w:eastAsia="MS Mincho" w:hAnsi="Times New Roman" w:cs="Times New Roman"/>
          <w:sz w:val="22"/>
          <w:szCs w:val="22"/>
          <w:lang w:val="en-GB" w:eastAsia="ja-JP"/>
        </w:rPr>
        <w:t xml:space="preserve">awyers, but had also served as entry </w:t>
      </w:r>
      <w:r w:rsidR="0066629B" w:rsidRPr="00647752">
        <w:rPr>
          <w:rFonts w:ascii="Times New Roman" w:eastAsia="MS Mincho" w:hAnsi="Times New Roman" w:cs="Times New Roman"/>
          <w:sz w:val="22"/>
          <w:szCs w:val="22"/>
          <w:lang w:val="en-GB" w:eastAsia="ja-JP"/>
        </w:rPr>
        <w:t xml:space="preserve">points for programming with the informal justice sector (i.e. </w:t>
      </w:r>
      <w:r w:rsidRPr="00F738BE">
        <w:rPr>
          <w:rFonts w:ascii="Times New Roman" w:eastAsia="MS Mincho" w:hAnsi="Times New Roman" w:cs="Times New Roman"/>
          <w:i/>
          <w:sz w:val="22"/>
          <w:szCs w:val="22"/>
          <w:lang w:val="en-GB" w:eastAsia="ja-JP"/>
        </w:rPr>
        <w:t>m</w:t>
      </w:r>
      <w:r w:rsidR="00360CF0" w:rsidRPr="00F738BE">
        <w:rPr>
          <w:rFonts w:ascii="Times New Roman" w:eastAsia="MS Mincho" w:hAnsi="Times New Roman" w:cs="Times New Roman"/>
          <w:i/>
          <w:sz w:val="22"/>
          <w:szCs w:val="22"/>
          <w:lang w:val="en-GB" w:eastAsia="ja-JP"/>
        </w:rPr>
        <w:t>uqtar</w:t>
      </w:r>
      <w:r w:rsidR="00475EF1" w:rsidRPr="00F738BE">
        <w:rPr>
          <w:rFonts w:ascii="Times New Roman" w:eastAsia="MS Mincho" w:hAnsi="Times New Roman" w:cs="Times New Roman"/>
          <w:i/>
          <w:sz w:val="22"/>
          <w:szCs w:val="22"/>
          <w:lang w:val="en-GB" w:eastAsia="ja-JP"/>
        </w:rPr>
        <w:t>s</w:t>
      </w:r>
      <w:r w:rsidR="0066629B" w:rsidRPr="00647752">
        <w:rPr>
          <w:rFonts w:ascii="Times New Roman" w:eastAsia="MS Mincho" w:hAnsi="Times New Roman" w:cs="Times New Roman"/>
          <w:sz w:val="22"/>
          <w:szCs w:val="22"/>
          <w:lang w:val="en-GB" w:eastAsia="ja-JP"/>
        </w:rPr>
        <w:t>). All CSOs interviewed expressed an urgent and continuing need for addit</w:t>
      </w:r>
      <w:r>
        <w:rPr>
          <w:rFonts w:ascii="Times New Roman" w:eastAsia="MS Mincho" w:hAnsi="Times New Roman" w:cs="Times New Roman"/>
          <w:sz w:val="22"/>
          <w:szCs w:val="22"/>
          <w:lang w:val="en-GB" w:eastAsia="ja-JP"/>
        </w:rPr>
        <w:t xml:space="preserve">ional trainings for the network - </w:t>
      </w:r>
      <w:r w:rsidR="0066629B" w:rsidRPr="00647752">
        <w:rPr>
          <w:rFonts w:ascii="Times New Roman" w:eastAsia="MS Mincho" w:hAnsi="Times New Roman" w:cs="Times New Roman"/>
          <w:sz w:val="22"/>
          <w:szCs w:val="22"/>
          <w:lang w:val="en-GB" w:eastAsia="ja-JP"/>
        </w:rPr>
        <w:t>especially for lawyers engaged in delivering legal aid directly to clients. The application</w:t>
      </w:r>
      <w:r>
        <w:rPr>
          <w:rFonts w:ascii="Times New Roman" w:eastAsia="MS Mincho" w:hAnsi="Times New Roman" w:cs="Times New Roman"/>
          <w:sz w:val="22"/>
          <w:szCs w:val="22"/>
          <w:lang w:val="en-GB" w:eastAsia="ja-JP"/>
        </w:rPr>
        <w:t xml:space="preserve"> of personal status law</w:t>
      </w:r>
      <w:r w:rsidR="0066629B" w:rsidRPr="00647752">
        <w:rPr>
          <w:rFonts w:ascii="Times New Roman" w:eastAsia="MS Mincho" w:hAnsi="Times New Roman" w:cs="Times New Roman"/>
          <w:sz w:val="22"/>
          <w:szCs w:val="22"/>
          <w:lang w:val="en-GB" w:eastAsia="ja-JP"/>
        </w:rPr>
        <w:t xml:space="preserve"> by the courts in Gaza should be explored in much more detail, as well as how humanitarian law operates in Gaza. Additionally, the CSOs could benefit from trainings on child labo</w:t>
      </w:r>
      <w:r>
        <w:rPr>
          <w:rFonts w:ascii="Times New Roman" w:eastAsia="MS Mincho" w:hAnsi="Times New Roman" w:cs="Times New Roman"/>
          <w:sz w:val="22"/>
          <w:szCs w:val="22"/>
          <w:lang w:val="en-GB" w:eastAsia="ja-JP"/>
        </w:rPr>
        <w:t>u</w:t>
      </w:r>
      <w:r w:rsidR="0066629B" w:rsidRPr="00647752">
        <w:rPr>
          <w:rFonts w:ascii="Times New Roman" w:eastAsia="MS Mincho" w:hAnsi="Times New Roman" w:cs="Times New Roman"/>
          <w:sz w:val="22"/>
          <w:szCs w:val="22"/>
          <w:lang w:val="en-GB" w:eastAsia="ja-JP"/>
        </w:rPr>
        <w:t>r law (i.e. the rights of youth</w:t>
      </w:r>
      <w:r w:rsidR="0066629B" w:rsidRPr="00647752">
        <w:rPr>
          <w:rFonts w:ascii="Times New Roman" w:eastAsia="MS Mincho" w:hAnsi="Times New Roman" w:cs="Times New Roman"/>
          <w:sz w:val="22"/>
          <w:szCs w:val="22"/>
          <w:vertAlign w:val="superscript"/>
          <w:lang w:val="en-GB" w:eastAsia="ja-JP"/>
        </w:rPr>
        <w:footnoteReference w:id="183"/>
      </w:r>
      <w:r w:rsidR="0066629B" w:rsidRPr="00647752">
        <w:rPr>
          <w:rFonts w:ascii="Times New Roman" w:eastAsia="MS Mincho" w:hAnsi="Times New Roman" w:cs="Times New Roman"/>
          <w:sz w:val="22"/>
          <w:szCs w:val="22"/>
          <w:lang w:val="en-GB" w:eastAsia="ja-JP"/>
        </w:rPr>
        <w:t xml:space="preserve"> working in the illegal tunnel system that connects Gaza with Egypt where many deadly accidents are occurring, etc.) and how to obtain and interpret documents on land and to establish title.</w:t>
      </w:r>
    </w:p>
    <w:p w:rsidR="0066629B" w:rsidRPr="00647752" w:rsidRDefault="0066629B" w:rsidP="00FB6759">
      <w:pPr>
        <w:spacing w:after="0" w:line="240" w:lineRule="auto"/>
        <w:jc w:val="both"/>
        <w:rPr>
          <w:rFonts w:ascii="Times New Roman" w:eastAsia="MS Mincho" w:hAnsi="Times New Roman" w:cs="Times New Roman"/>
          <w:sz w:val="22"/>
          <w:szCs w:val="22"/>
          <w:lang w:val="en-GB" w:eastAsia="ja-JP"/>
        </w:rPr>
      </w:pPr>
    </w:p>
    <w:p w:rsidR="0066629B" w:rsidRPr="00647752" w:rsidRDefault="00162ABC"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 xml:space="preserve">CSOs attest to the fact that the </w:t>
      </w:r>
      <w:r w:rsidR="00F708B9">
        <w:rPr>
          <w:rFonts w:ascii="Times New Roman" w:hAnsi="Times New Roman" w:cs="Times New Roman"/>
          <w:sz w:val="22"/>
          <w:szCs w:val="22"/>
          <w:lang w:val="en-GB"/>
        </w:rPr>
        <w:t>“</w:t>
      </w:r>
      <w:r w:rsidRPr="00F708B9">
        <w:rPr>
          <w:rFonts w:ascii="Times New Roman" w:hAnsi="Times New Roman" w:cs="Times New Roman"/>
          <w:sz w:val="22"/>
          <w:szCs w:val="22"/>
          <w:lang w:val="en-GB"/>
        </w:rPr>
        <w:t>Awn</w:t>
      </w:r>
      <w:r w:rsidR="00F708B9">
        <w:rPr>
          <w:rFonts w:ascii="Times New Roman" w:hAnsi="Times New Roman" w:cs="Times New Roman"/>
          <w:sz w:val="22"/>
          <w:szCs w:val="22"/>
          <w:lang w:val="en-GB"/>
        </w:rPr>
        <w:t>”</w:t>
      </w:r>
      <w:r w:rsidR="000063A3">
        <w:rPr>
          <w:rFonts w:ascii="Times New Roman" w:hAnsi="Times New Roman" w:cs="Times New Roman"/>
          <w:sz w:val="22"/>
          <w:szCs w:val="22"/>
          <w:lang w:val="en-GB"/>
        </w:rPr>
        <w:t xml:space="preserve"> </w:t>
      </w:r>
      <w:r w:rsidR="00F708B9">
        <w:rPr>
          <w:rFonts w:ascii="Times New Roman" w:hAnsi="Times New Roman" w:cs="Times New Roman"/>
          <w:sz w:val="22"/>
          <w:szCs w:val="22"/>
          <w:lang w:val="en-GB"/>
        </w:rPr>
        <w:t>n</w:t>
      </w:r>
      <w:r w:rsidRPr="00647752">
        <w:rPr>
          <w:rFonts w:ascii="Times New Roman" w:hAnsi="Times New Roman" w:cs="Times New Roman"/>
          <w:sz w:val="22"/>
          <w:szCs w:val="22"/>
          <w:lang w:val="en-GB"/>
        </w:rPr>
        <w:t>etwork’s referral system for legal aid that was established in</w:t>
      </w:r>
      <w:r w:rsidR="00F708B9">
        <w:rPr>
          <w:rFonts w:ascii="Times New Roman" w:hAnsi="Times New Roman" w:cs="Times New Roman"/>
          <w:sz w:val="22"/>
          <w:szCs w:val="22"/>
          <w:lang w:val="en-GB"/>
        </w:rPr>
        <w:t xml:space="preserve"> Gaza with UNDP support </w:t>
      </w:r>
      <w:r w:rsidRPr="00647752">
        <w:rPr>
          <w:rFonts w:ascii="Times New Roman" w:hAnsi="Times New Roman" w:cs="Times New Roman"/>
          <w:sz w:val="22"/>
          <w:szCs w:val="22"/>
          <w:lang w:val="en-GB"/>
        </w:rPr>
        <w:t xml:space="preserve">has gained acceptance. </w:t>
      </w:r>
      <w:r w:rsidRPr="00647752">
        <w:rPr>
          <w:rFonts w:ascii="Times New Roman" w:eastAsia="MS Mincho" w:hAnsi="Times New Roman" w:cs="Times New Roman"/>
          <w:sz w:val="22"/>
          <w:szCs w:val="22"/>
          <w:lang w:val="en-GB" w:eastAsia="ja-JP"/>
        </w:rPr>
        <w:t xml:space="preserve">CSO-members, </w:t>
      </w:r>
      <w:r w:rsidR="00F708B9" w:rsidRPr="00F708B9">
        <w:rPr>
          <w:rFonts w:ascii="Times New Roman" w:eastAsia="MS Mincho" w:hAnsi="Times New Roman" w:cs="Times New Roman"/>
          <w:i/>
          <w:sz w:val="22"/>
          <w:szCs w:val="22"/>
          <w:lang w:val="en-GB" w:eastAsia="ja-JP"/>
        </w:rPr>
        <w:t>s</w:t>
      </w:r>
      <w:r w:rsidR="000C369C" w:rsidRPr="00F708B9">
        <w:rPr>
          <w:rFonts w:ascii="Times New Roman" w:eastAsia="MS Mincho" w:hAnsi="Times New Roman" w:cs="Times New Roman"/>
          <w:i/>
          <w:sz w:val="22"/>
          <w:szCs w:val="22"/>
          <w:lang w:val="en-GB" w:eastAsia="ja-JP"/>
        </w:rPr>
        <w:t>hari’a</w:t>
      </w:r>
      <w:r w:rsidR="00E8775C">
        <w:rPr>
          <w:rFonts w:ascii="Times New Roman" w:eastAsia="MS Mincho" w:hAnsi="Times New Roman" w:cs="Times New Roman"/>
          <w:i/>
          <w:sz w:val="22"/>
          <w:szCs w:val="22"/>
          <w:lang w:val="en-GB" w:eastAsia="ja-JP"/>
        </w:rPr>
        <w:t xml:space="preserve"> </w:t>
      </w:r>
      <w:r w:rsidRPr="00647752">
        <w:rPr>
          <w:rFonts w:ascii="Times New Roman" w:eastAsia="MS Mincho" w:hAnsi="Times New Roman" w:cs="Times New Roman"/>
          <w:sz w:val="22"/>
          <w:szCs w:val="22"/>
          <w:lang w:val="en-GB" w:eastAsia="ja-JP"/>
        </w:rPr>
        <w:t xml:space="preserve">court judges and </w:t>
      </w:r>
      <w:r w:rsidR="00F708B9" w:rsidRPr="00F708B9">
        <w:rPr>
          <w:rFonts w:ascii="Times New Roman" w:eastAsia="MS Mincho" w:hAnsi="Times New Roman" w:cs="Times New Roman"/>
          <w:i/>
          <w:sz w:val="22"/>
          <w:szCs w:val="22"/>
          <w:lang w:val="en-GB" w:eastAsia="ja-JP"/>
        </w:rPr>
        <w:t>m</w:t>
      </w:r>
      <w:r w:rsidR="00360CF0" w:rsidRPr="00F708B9">
        <w:rPr>
          <w:rFonts w:ascii="Times New Roman" w:eastAsia="MS Mincho" w:hAnsi="Times New Roman" w:cs="Times New Roman"/>
          <w:i/>
          <w:sz w:val="22"/>
          <w:szCs w:val="22"/>
          <w:lang w:val="en-GB" w:eastAsia="ja-JP"/>
        </w:rPr>
        <w:t>uqtar</w:t>
      </w:r>
      <w:r w:rsidR="00475EF1" w:rsidRPr="00F708B9">
        <w:rPr>
          <w:rFonts w:ascii="Times New Roman" w:eastAsia="MS Mincho" w:hAnsi="Times New Roman" w:cs="Times New Roman"/>
          <w:i/>
          <w:sz w:val="22"/>
          <w:szCs w:val="22"/>
          <w:lang w:val="en-GB" w:eastAsia="ja-JP"/>
        </w:rPr>
        <w:t>s</w:t>
      </w:r>
      <w:r w:rsidR="00F708B9">
        <w:rPr>
          <w:rFonts w:ascii="Times New Roman" w:eastAsia="MS Mincho" w:hAnsi="Times New Roman" w:cs="Times New Roman"/>
          <w:sz w:val="22"/>
          <w:szCs w:val="22"/>
          <w:lang w:val="en-GB" w:eastAsia="ja-JP"/>
        </w:rPr>
        <w:t xml:space="preserve"> interviewed by the e</w:t>
      </w:r>
      <w:r w:rsidRPr="00647752">
        <w:rPr>
          <w:rFonts w:ascii="Times New Roman" w:eastAsia="MS Mincho" w:hAnsi="Times New Roman" w:cs="Times New Roman"/>
          <w:sz w:val="22"/>
          <w:szCs w:val="22"/>
          <w:lang w:val="en-GB" w:eastAsia="ja-JP"/>
        </w:rPr>
        <w:t>valuation in Gaza stated that they are now actively referring</w:t>
      </w:r>
      <w:r w:rsidR="00F708B9">
        <w:rPr>
          <w:rFonts w:ascii="Times New Roman" w:eastAsia="MS Mincho" w:hAnsi="Times New Roman" w:cs="Times New Roman"/>
          <w:sz w:val="22"/>
          <w:szCs w:val="22"/>
          <w:lang w:val="en-GB" w:eastAsia="ja-JP"/>
        </w:rPr>
        <w:t xml:space="preserve"> cases to the n</w:t>
      </w:r>
      <w:r w:rsidRPr="00647752">
        <w:rPr>
          <w:rFonts w:ascii="Times New Roman" w:eastAsia="MS Mincho" w:hAnsi="Times New Roman" w:cs="Times New Roman"/>
          <w:sz w:val="22"/>
          <w:szCs w:val="22"/>
          <w:lang w:val="en-GB" w:eastAsia="ja-JP"/>
        </w:rPr>
        <w:t xml:space="preserve">etwork, which represents a vast improvement over the situation that existed prior to UNDP’s intervention. UNDP support to legal aid in Gaza has impacted </w:t>
      </w:r>
      <w:r w:rsidR="00F708B9">
        <w:rPr>
          <w:rFonts w:ascii="Times New Roman" w:eastAsia="MS Mincho" w:hAnsi="Times New Roman" w:cs="Times New Roman"/>
          <w:sz w:val="22"/>
          <w:szCs w:val="22"/>
          <w:lang w:val="en-GB" w:eastAsia="ja-JP"/>
        </w:rPr>
        <w:t xml:space="preserve">the lives of hundreds of Gazans - </w:t>
      </w:r>
      <w:r w:rsidRPr="00647752">
        <w:rPr>
          <w:rFonts w:ascii="Times New Roman" w:eastAsia="MS Mincho" w:hAnsi="Times New Roman" w:cs="Times New Roman"/>
          <w:sz w:val="22"/>
          <w:szCs w:val="22"/>
          <w:lang w:val="en-GB" w:eastAsia="ja-JP"/>
        </w:rPr>
        <w:t xml:space="preserve">most prominently abused women who have no other recourse available to them. </w:t>
      </w:r>
      <w:r w:rsidR="00F708B9">
        <w:rPr>
          <w:rFonts w:ascii="Times New Roman" w:hAnsi="Times New Roman" w:cs="Times New Roman"/>
          <w:sz w:val="22"/>
          <w:szCs w:val="22"/>
          <w:lang w:val="en-GB"/>
        </w:rPr>
        <w:t>Recently, the network</w:t>
      </w:r>
      <w:r w:rsidRPr="00647752">
        <w:rPr>
          <w:rFonts w:ascii="Times New Roman" w:hAnsi="Times New Roman" w:cs="Times New Roman"/>
          <w:sz w:val="22"/>
          <w:szCs w:val="22"/>
          <w:lang w:val="en-GB"/>
        </w:rPr>
        <w:t xml:space="preserve"> has signed</w:t>
      </w:r>
      <w:r w:rsidR="00F708B9">
        <w:rPr>
          <w:rFonts w:ascii="Times New Roman" w:hAnsi="Times New Roman" w:cs="Times New Roman"/>
          <w:sz w:val="22"/>
          <w:szCs w:val="22"/>
          <w:lang w:val="en-GB"/>
        </w:rPr>
        <w:t xml:space="preserve"> MO</w:t>
      </w:r>
      <w:r w:rsidRPr="00647752">
        <w:rPr>
          <w:rFonts w:ascii="Times New Roman" w:hAnsi="Times New Roman" w:cs="Times New Roman"/>
          <w:sz w:val="22"/>
          <w:szCs w:val="22"/>
          <w:lang w:val="en-GB"/>
        </w:rPr>
        <w:t>Us with several INGOs to increase dialogue a</w:t>
      </w:r>
      <w:r w:rsidR="00F708B9">
        <w:rPr>
          <w:rFonts w:ascii="Times New Roman" w:hAnsi="Times New Roman" w:cs="Times New Roman"/>
          <w:sz w:val="22"/>
          <w:szCs w:val="22"/>
          <w:lang w:val="en-GB"/>
        </w:rPr>
        <w:t>nd cooperation on legal aid. It</w:t>
      </w:r>
      <w:r w:rsidRPr="00647752">
        <w:rPr>
          <w:rFonts w:ascii="Times New Roman" w:hAnsi="Times New Roman" w:cs="Times New Roman"/>
          <w:sz w:val="22"/>
          <w:szCs w:val="22"/>
          <w:lang w:val="en-GB"/>
        </w:rPr>
        <w:t xml:space="preserve"> also developed a “Vulnerability Standards Manual” that is assisting the CSO lawyers to effectively r</w:t>
      </w:r>
      <w:r w:rsidR="00F708B9">
        <w:rPr>
          <w:rFonts w:ascii="Times New Roman" w:hAnsi="Times New Roman" w:cs="Times New Roman"/>
          <w:sz w:val="22"/>
          <w:szCs w:val="22"/>
          <w:lang w:val="en-GB"/>
        </w:rPr>
        <w:t xml:space="preserve">epresent citizens in civil and </w:t>
      </w:r>
      <w:r w:rsidR="00F708B9" w:rsidRPr="00F708B9">
        <w:rPr>
          <w:rFonts w:ascii="Times New Roman" w:hAnsi="Times New Roman" w:cs="Times New Roman"/>
          <w:i/>
          <w:sz w:val="22"/>
          <w:szCs w:val="22"/>
          <w:lang w:val="en-GB"/>
        </w:rPr>
        <w:t>s</w:t>
      </w:r>
      <w:r w:rsidRPr="00F708B9">
        <w:rPr>
          <w:rFonts w:ascii="Times New Roman" w:hAnsi="Times New Roman" w:cs="Times New Roman"/>
          <w:i/>
          <w:sz w:val="22"/>
          <w:szCs w:val="22"/>
          <w:lang w:val="en-GB"/>
        </w:rPr>
        <w:t>hari’a</w:t>
      </w:r>
      <w:r w:rsidRPr="00647752">
        <w:rPr>
          <w:rFonts w:ascii="Times New Roman" w:hAnsi="Times New Roman" w:cs="Times New Roman"/>
          <w:sz w:val="22"/>
          <w:szCs w:val="22"/>
          <w:lang w:val="en-GB"/>
        </w:rPr>
        <w:t xml:space="preserve"> courts. Additionally, the PBA houses a database that has effectively begun to compile statistics on legal aid and the specific needs o</w:t>
      </w:r>
      <w:r w:rsidR="00F708B9">
        <w:rPr>
          <w:rFonts w:ascii="Times New Roman" w:hAnsi="Times New Roman" w:cs="Times New Roman"/>
          <w:sz w:val="22"/>
          <w:szCs w:val="22"/>
          <w:lang w:val="en-GB"/>
        </w:rPr>
        <w:t xml:space="preserve">f different populations in Gaza - </w:t>
      </w:r>
      <w:r w:rsidRPr="00647752">
        <w:rPr>
          <w:rFonts w:ascii="Times New Roman" w:hAnsi="Times New Roman" w:cs="Times New Roman"/>
          <w:sz w:val="22"/>
          <w:szCs w:val="22"/>
          <w:lang w:val="en-GB"/>
        </w:rPr>
        <w:t xml:space="preserve">including denial of women’s rights.   </w:t>
      </w:r>
    </w:p>
    <w:p w:rsidR="0066629B" w:rsidRPr="00647752" w:rsidRDefault="0066629B"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lastRenderedPageBreak/>
        <w:t>In the course of</w:t>
      </w:r>
      <w:r w:rsidR="00F708B9">
        <w:rPr>
          <w:rFonts w:ascii="Times New Roman" w:eastAsia="MS Mincho" w:hAnsi="Times New Roman" w:cs="Times New Roman"/>
          <w:sz w:val="22"/>
          <w:szCs w:val="22"/>
          <w:lang w:val="en-GB" w:eastAsia="ja-JP"/>
        </w:rPr>
        <w:t xml:space="preserve"> 2011, the n</w:t>
      </w:r>
      <w:r w:rsidRPr="00647752">
        <w:rPr>
          <w:rFonts w:ascii="Times New Roman" w:eastAsia="MS Mincho" w:hAnsi="Times New Roman" w:cs="Times New Roman"/>
          <w:sz w:val="22"/>
          <w:szCs w:val="22"/>
          <w:lang w:val="en-GB" w:eastAsia="ja-JP"/>
        </w:rPr>
        <w:t>etwork provided legal representation to 275 individuals (88% of whom were women). In addition, the network provided legal advice and mediation services to 2,113 individuals. In each case, the legal aid lawyers do not only support individual people who are in need of legal advice and representation, but also ensure that the justice system in Gaza starts living up to basic legal standards.  The demand for such legal services increased in 2012 and spanned a wide client group including cases of abused women, divorce, custody, inheritance, land and property, labo</w:t>
      </w:r>
      <w:r w:rsidR="00F708B9">
        <w:rPr>
          <w:rFonts w:ascii="Times New Roman" w:eastAsia="MS Mincho" w:hAnsi="Times New Roman" w:cs="Times New Roman"/>
          <w:sz w:val="22"/>
          <w:szCs w:val="22"/>
          <w:lang w:val="en-GB" w:eastAsia="ja-JP"/>
        </w:rPr>
        <w:t>u</w:t>
      </w:r>
      <w:r w:rsidRPr="00647752">
        <w:rPr>
          <w:rFonts w:ascii="Times New Roman" w:eastAsia="MS Mincho" w:hAnsi="Times New Roman" w:cs="Times New Roman"/>
          <w:sz w:val="22"/>
          <w:szCs w:val="22"/>
          <w:lang w:val="en-GB" w:eastAsia="ja-JP"/>
        </w:rPr>
        <w:t>r and other civil and criminal cases</w:t>
      </w:r>
      <w:r w:rsidR="00F708B9">
        <w:rPr>
          <w:rFonts w:ascii="Times New Roman" w:eastAsia="MS Mincho" w:hAnsi="Times New Roman" w:cs="Times New Roman"/>
          <w:sz w:val="22"/>
          <w:szCs w:val="22"/>
          <w:lang w:val="en-GB" w:eastAsia="ja-JP"/>
        </w:rPr>
        <w:t xml:space="preserve">, </w:t>
      </w:r>
      <w:r w:rsidRPr="00647752">
        <w:rPr>
          <w:rFonts w:ascii="Times New Roman" w:eastAsia="MS Mincho" w:hAnsi="Times New Roman" w:cs="Times New Roman"/>
          <w:sz w:val="22"/>
          <w:szCs w:val="22"/>
          <w:lang w:val="en-GB" w:eastAsia="ja-JP"/>
        </w:rPr>
        <w:t xml:space="preserve">as detailed in the table below. </w:t>
      </w:r>
      <w:r w:rsidR="00F708B9">
        <w:rPr>
          <w:rFonts w:ascii="Times New Roman" w:eastAsia="MS Mincho" w:hAnsi="Times New Roman" w:cs="Times New Roman"/>
          <w:sz w:val="22"/>
          <w:szCs w:val="22"/>
          <w:lang w:val="en-GB" w:eastAsia="ja-JP"/>
        </w:rPr>
        <w:t xml:space="preserve">As evidenced from the </w:t>
      </w:r>
      <w:r w:rsidR="00777EBE" w:rsidRPr="00647752">
        <w:rPr>
          <w:rFonts w:ascii="Times New Roman" w:eastAsia="MS Mincho" w:hAnsi="Times New Roman" w:cs="Times New Roman"/>
          <w:sz w:val="22"/>
          <w:szCs w:val="22"/>
          <w:lang w:val="en-GB" w:eastAsia="ja-JP"/>
        </w:rPr>
        <w:t xml:space="preserve">data, most of the clients seeking legal assistance continue to be women and many of </w:t>
      </w:r>
      <w:r w:rsidR="00F708B9">
        <w:rPr>
          <w:rFonts w:ascii="Times New Roman" w:eastAsia="MS Mincho" w:hAnsi="Times New Roman" w:cs="Times New Roman"/>
          <w:sz w:val="22"/>
          <w:szCs w:val="22"/>
          <w:lang w:val="en-GB" w:eastAsia="ja-JP"/>
        </w:rPr>
        <w:t xml:space="preserve">these have issues dealing with </w:t>
      </w:r>
      <w:r w:rsidR="00777EBE" w:rsidRPr="00647752">
        <w:rPr>
          <w:rFonts w:ascii="Times New Roman" w:eastAsia="MS Mincho" w:hAnsi="Times New Roman" w:cs="Times New Roman"/>
          <w:sz w:val="22"/>
          <w:szCs w:val="22"/>
          <w:lang w:val="en-GB" w:eastAsia="ja-JP"/>
        </w:rPr>
        <w:t>GBV, divorce, property and inhe</w:t>
      </w:r>
      <w:r w:rsidR="00F708B9">
        <w:rPr>
          <w:rFonts w:ascii="Times New Roman" w:eastAsia="MS Mincho" w:hAnsi="Times New Roman" w:cs="Times New Roman"/>
          <w:sz w:val="22"/>
          <w:szCs w:val="22"/>
          <w:lang w:val="en-GB" w:eastAsia="ja-JP"/>
        </w:rPr>
        <w:t>ritance as well as custody.</w:t>
      </w:r>
    </w:p>
    <w:p w:rsidR="0066629B" w:rsidRPr="00494326" w:rsidRDefault="0066629B" w:rsidP="00FB6759">
      <w:pPr>
        <w:spacing w:after="0" w:line="240" w:lineRule="auto"/>
        <w:jc w:val="both"/>
        <w:rPr>
          <w:rFonts w:ascii="Times New Roman" w:eastAsia="MS Mincho" w:hAnsi="Times New Roman" w:cs="Times New Roman"/>
          <w:sz w:val="22"/>
          <w:szCs w:val="22"/>
          <w:lang w:val="en-GB" w:eastAsia="ja-JP"/>
        </w:rPr>
      </w:pPr>
    </w:p>
    <w:p w:rsidR="0066629B" w:rsidRPr="00494326" w:rsidRDefault="00F72635" w:rsidP="00FB6759">
      <w:pPr>
        <w:spacing w:after="0" w:line="240" w:lineRule="auto"/>
        <w:jc w:val="center"/>
        <w:rPr>
          <w:rFonts w:ascii="Times New Roman" w:eastAsia="MS Mincho" w:hAnsi="Times New Roman" w:cs="Times New Roman"/>
          <w:b/>
          <w:sz w:val="18"/>
          <w:szCs w:val="18"/>
          <w:lang w:val="en-GB" w:eastAsia="ja-JP"/>
        </w:rPr>
      </w:pPr>
      <w:r>
        <w:rPr>
          <w:rFonts w:ascii="Times New Roman" w:eastAsia="MS Mincho" w:hAnsi="Times New Roman" w:cs="Times New Roman"/>
          <w:b/>
          <w:sz w:val="18"/>
          <w:szCs w:val="18"/>
          <w:lang w:val="en-GB" w:eastAsia="ja-JP"/>
        </w:rPr>
        <w:t xml:space="preserve">   Awn network:</w:t>
      </w:r>
      <w:r w:rsidR="0066629B" w:rsidRPr="00494326">
        <w:rPr>
          <w:rFonts w:ascii="Times New Roman" w:eastAsia="MS Mincho" w:hAnsi="Times New Roman" w:cs="Times New Roman"/>
          <w:b/>
          <w:sz w:val="18"/>
          <w:szCs w:val="18"/>
          <w:lang w:val="en-GB" w:eastAsia="ja-JP"/>
        </w:rPr>
        <w:t xml:space="preserve"> 201</w:t>
      </w:r>
      <w:r w:rsidR="00AB6D72">
        <w:rPr>
          <w:rFonts w:ascii="Times New Roman" w:eastAsia="MS Mincho" w:hAnsi="Times New Roman" w:cs="Times New Roman"/>
          <w:b/>
          <w:sz w:val="18"/>
          <w:szCs w:val="18"/>
          <w:lang w:val="en-GB" w:eastAsia="ja-JP"/>
        </w:rPr>
        <w:t>2 services provided by network p</w:t>
      </w:r>
      <w:r w:rsidR="0066629B" w:rsidRPr="00494326">
        <w:rPr>
          <w:rFonts w:ascii="Times New Roman" w:eastAsia="MS Mincho" w:hAnsi="Times New Roman" w:cs="Times New Roman"/>
          <w:b/>
          <w:sz w:val="18"/>
          <w:szCs w:val="18"/>
          <w:lang w:val="en-GB" w:eastAsia="ja-JP"/>
        </w:rPr>
        <w:t>artners</w:t>
      </w:r>
    </w:p>
    <w:tbl>
      <w:tblPr>
        <w:tblStyle w:val="DarkList-Accent21"/>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D9D9D9"/>
        <w:tblLook w:val="04A0"/>
      </w:tblPr>
      <w:tblGrid>
        <w:gridCol w:w="4526"/>
        <w:gridCol w:w="1675"/>
        <w:gridCol w:w="1526"/>
        <w:gridCol w:w="1614"/>
      </w:tblGrid>
      <w:tr w:rsidR="0066629B" w:rsidRPr="00494326" w:rsidTr="00C81B9B">
        <w:trPr>
          <w:cnfStyle w:val="100000000000"/>
          <w:trHeight w:val="215"/>
          <w:jc w:val="center"/>
        </w:trPr>
        <w:tc>
          <w:tcPr>
            <w:cnfStyle w:val="001000000000"/>
            <w:tcW w:w="4526" w:type="dxa"/>
            <w:tcBorders>
              <w:top w:val="none" w:sz="0" w:space="0" w:color="auto"/>
              <w:left w:val="none" w:sz="0" w:space="0" w:color="auto"/>
              <w:bottom w:val="none" w:sz="0" w:space="0" w:color="auto"/>
              <w:right w:val="none" w:sz="0" w:space="0" w:color="auto"/>
            </w:tcBorders>
            <w:shd w:val="clear" w:color="000000" w:fill="D9D9D9"/>
            <w:vAlign w:val="center"/>
          </w:tcPr>
          <w:p w:rsidR="0066629B" w:rsidRPr="00494326" w:rsidRDefault="00F72635" w:rsidP="00494326">
            <w:pPr>
              <w:rPr>
                <w:rFonts w:ascii="Times New Roman" w:hAnsi="Times New Roman" w:cs="Times New Roman"/>
                <w:color w:val="auto"/>
                <w:sz w:val="18"/>
                <w:szCs w:val="18"/>
                <w:lang w:val="en-GB"/>
              </w:rPr>
            </w:pPr>
            <w:r>
              <w:rPr>
                <w:rFonts w:ascii="Times New Roman" w:hAnsi="Times New Roman" w:cs="Times New Roman"/>
                <w:color w:val="auto"/>
                <w:sz w:val="18"/>
                <w:szCs w:val="18"/>
                <w:lang w:val="en-GB"/>
              </w:rPr>
              <w:t>Type of a</w:t>
            </w:r>
            <w:r w:rsidR="0066629B" w:rsidRPr="00494326">
              <w:rPr>
                <w:rFonts w:ascii="Times New Roman" w:hAnsi="Times New Roman" w:cs="Times New Roman"/>
                <w:color w:val="auto"/>
                <w:sz w:val="18"/>
                <w:szCs w:val="18"/>
                <w:lang w:val="en-GB"/>
              </w:rPr>
              <w:t>ssistance</w:t>
            </w:r>
          </w:p>
        </w:tc>
        <w:tc>
          <w:tcPr>
            <w:tcW w:w="1675" w:type="dxa"/>
            <w:tcBorders>
              <w:top w:val="none" w:sz="0" w:space="0" w:color="auto"/>
              <w:left w:val="none" w:sz="0" w:space="0" w:color="auto"/>
              <w:bottom w:val="none" w:sz="0" w:space="0" w:color="auto"/>
              <w:right w:val="none" w:sz="0" w:space="0" w:color="auto"/>
            </w:tcBorders>
            <w:shd w:val="clear" w:color="000000" w:fill="D9D9D9"/>
            <w:vAlign w:val="center"/>
          </w:tcPr>
          <w:p w:rsidR="0066629B" w:rsidRPr="00494326" w:rsidRDefault="0066629B" w:rsidP="00494326">
            <w:pPr>
              <w:jc w:val="center"/>
              <w:cnfStyle w:val="100000000000"/>
              <w:rPr>
                <w:rFonts w:ascii="Times New Roman" w:hAnsi="Times New Roman" w:cs="Times New Roman"/>
                <w:color w:val="auto"/>
                <w:sz w:val="18"/>
                <w:szCs w:val="18"/>
                <w:lang w:val="en-GB"/>
              </w:rPr>
            </w:pPr>
            <w:r w:rsidRPr="00494326">
              <w:rPr>
                <w:rFonts w:ascii="Times New Roman" w:hAnsi="Times New Roman" w:cs="Times New Roman"/>
                <w:color w:val="auto"/>
                <w:sz w:val="18"/>
                <w:szCs w:val="18"/>
                <w:lang w:val="en-GB"/>
              </w:rPr>
              <w:t>Beneficiaries</w:t>
            </w:r>
          </w:p>
        </w:tc>
        <w:tc>
          <w:tcPr>
            <w:tcW w:w="1526" w:type="dxa"/>
            <w:tcBorders>
              <w:top w:val="none" w:sz="0" w:space="0" w:color="auto"/>
              <w:left w:val="none" w:sz="0" w:space="0" w:color="auto"/>
              <w:bottom w:val="none" w:sz="0" w:space="0" w:color="auto"/>
              <w:right w:val="none" w:sz="0" w:space="0" w:color="auto"/>
            </w:tcBorders>
            <w:shd w:val="clear" w:color="000000" w:fill="D9D9D9"/>
            <w:vAlign w:val="center"/>
          </w:tcPr>
          <w:p w:rsidR="0066629B" w:rsidRPr="00494326" w:rsidRDefault="0066629B" w:rsidP="00494326">
            <w:pPr>
              <w:jc w:val="center"/>
              <w:cnfStyle w:val="100000000000"/>
              <w:rPr>
                <w:rFonts w:ascii="Times New Roman" w:hAnsi="Times New Roman" w:cs="Times New Roman"/>
                <w:color w:val="auto"/>
                <w:sz w:val="18"/>
                <w:szCs w:val="18"/>
                <w:lang w:val="en-GB"/>
              </w:rPr>
            </w:pPr>
            <w:r w:rsidRPr="00494326">
              <w:rPr>
                <w:rFonts w:ascii="Times New Roman" w:hAnsi="Times New Roman" w:cs="Times New Roman"/>
                <w:color w:val="auto"/>
                <w:sz w:val="18"/>
                <w:szCs w:val="18"/>
                <w:lang w:val="en-GB"/>
              </w:rPr>
              <w:t>Female</w:t>
            </w:r>
          </w:p>
        </w:tc>
        <w:tc>
          <w:tcPr>
            <w:tcW w:w="1614" w:type="dxa"/>
            <w:tcBorders>
              <w:top w:val="none" w:sz="0" w:space="0" w:color="auto"/>
              <w:left w:val="none" w:sz="0" w:space="0" w:color="auto"/>
              <w:bottom w:val="none" w:sz="0" w:space="0" w:color="auto"/>
              <w:right w:val="none" w:sz="0" w:space="0" w:color="auto"/>
            </w:tcBorders>
            <w:shd w:val="clear" w:color="000000" w:fill="D9D9D9"/>
            <w:vAlign w:val="center"/>
          </w:tcPr>
          <w:p w:rsidR="0066629B" w:rsidRPr="00494326" w:rsidRDefault="0066629B" w:rsidP="00494326">
            <w:pPr>
              <w:jc w:val="center"/>
              <w:cnfStyle w:val="100000000000"/>
              <w:rPr>
                <w:rFonts w:ascii="Times New Roman" w:hAnsi="Times New Roman" w:cs="Times New Roman"/>
                <w:color w:val="auto"/>
                <w:sz w:val="18"/>
                <w:szCs w:val="18"/>
                <w:lang w:val="en-GB"/>
              </w:rPr>
            </w:pPr>
            <w:r w:rsidRPr="00494326">
              <w:rPr>
                <w:rFonts w:ascii="Times New Roman" w:hAnsi="Times New Roman" w:cs="Times New Roman"/>
                <w:color w:val="auto"/>
                <w:sz w:val="18"/>
                <w:szCs w:val="18"/>
                <w:lang w:val="en-GB"/>
              </w:rPr>
              <w:t>Male</w:t>
            </w:r>
          </w:p>
        </w:tc>
      </w:tr>
      <w:tr w:rsidR="0066629B" w:rsidRPr="00494326" w:rsidTr="00C81B9B">
        <w:trPr>
          <w:cnfStyle w:val="000000100000"/>
          <w:trHeight w:val="179"/>
          <w:jc w:val="center"/>
        </w:trPr>
        <w:tc>
          <w:tcPr>
            <w:cnfStyle w:val="001000000000"/>
            <w:tcW w:w="452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6629B" w:rsidRPr="00494326" w:rsidRDefault="0066629B" w:rsidP="00494326">
            <w:pPr>
              <w:rPr>
                <w:rFonts w:ascii="Times New Roman" w:hAnsi="Times New Roman" w:cs="Times New Roman"/>
                <w:i/>
                <w:color w:val="auto"/>
                <w:sz w:val="18"/>
                <w:szCs w:val="18"/>
                <w:lang w:val="en-GB"/>
              </w:rPr>
            </w:pPr>
            <w:r w:rsidRPr="00494326">
              <w:rPr>
                <w:rFonts w:ascii="Times New Roman" w:hAnsi="Times New Roman" w:cs="Times New Roman"/>
                <w:i/>
                <w:color w:val="auto"/>
                <w:sz w:val="18"/>
                <w:szCs w:val="18"/>
                <w:lang w:val="en-GB"/>
              </w:rPr>
              <w:t>Legal advice and mediation</w:t>
            </w:r>
          </w:p>
        </w:tc>
        <w:tc>
          <w:tcPr>
            <w:tcW w:w="167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6629B" w:rsidRPr="00494326" w:rsidRDefault="0066629B" w:rsidP="00494326">
            <w:pPr>
              <w:jc w:val="center"/>
              <w:cnfStyle w:val="000000100000"/>
              <w:rPr>
                <w:rFonts w:ascii="Times New Roman" w:hAnsi="Times New Roman" w:cs="Times New Roman"/>
                <w:color w:val="auto"/>
                <w:sz w:val="18"/>
                <w:szCs w:val="18"/>
                <w:lang w:val="en-GB"/>
              </w:rPr>
            </w:pPr>
            <w:r w:rsidRPr="00494326">
              <w:rPr>
                <w:rFonts w:ascii="Times New Roman" w:hAnsi="Times New Roman" w:cs="Times New Roman"/>
                <w:color w:val="auto"/>
                <w:sz w:val="18"/>
                <w:szCs w:val="18"/>
                <w:lang w:val="en-GB"/>
              </w:rPr>
              <w:t>3</w:t>
            </w:r>
            <w:r w:rsidR="00494326">
              <w:rPr>
                <w:rFonts w:ascii="Times New Roman" w:hAnsi="Times New Roman" w:cs="Times New Roman"/>
                <w:color w:val="auto"/>
                <w:sz w:val="18"/>
                <w:szCs w:val="18"/>
                <w:lang w:val="en-GB"/>
              </w:rPr>
              <w:t>,</w:t>
            </w:r>
            <w:r w:rsidRPr="00494326">
              <w:rPr>
                <w:rFonts w:ascii="Times New Roman" w:hAnsi="Times New Roman" w:cs="Times New Roman"/>
                <w:color w:val="auto"/>
                <w:sz w:val="18"/>
                <w:szCs w:val="18"/>
                <w:lang w:val="en-GB"/>
              </w:rPr>
              <w:t>864</w:t>
            </w:r>
          </w:p>
        </w:tc>
        <w:tc>
          <w:tcPr>
            <w:tcW w:w="152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6629B" w:rsidRPr="00494326" w:rsidRDefault="0066629B" w:rsidP="00494326">
            <w:pPr>
              <w:jc w:val="center"/>
              <w:cnfStyle w:val="000000100000"/>
              <w:rPr>
                <w:rFonts w:ascii="Times New Roman" w:hAnsi="Times New Roman" w:cs="Times New Roman"/>
                <w:color w:val="auto"/>
                <w:sz w:val="18"/>
                <w:szCs w:val="18"/>
                <w:lang w:val="en-GB"/>
              </w:rPr>
            </w:pPr>
            <w:r w:rsidRPr="00494326">
              <w:rPr>
                <w:rFonts w:ascii="Times New Roman" w:hAnsi="Times New Roman" w:cs="Times New Roman"/>
                <w:color w:val="auto"/>
                <w:sz w:val="18"/>
                <w:szCs w:val="18"/>
                <w:lang w:val="en-GB"/>
              </w:rPr>
              <w:t>2</w:t>
            </w:r>
            <w:r w:rsidR="00494326">
              <w:rPr>
                <w:rFonts w:ascii="Times New Roman" w:hAnsi="Times New Roman" w:cs="Times New Roman"/>
                <w:color w:val="auto"/>
                <w:sz w:val="18"/>
                <w:szCs w:val="18"/>
                <w:lang w:val="en-GB"/>
              </w:rPr>
              <w:t>,</w:t>
            </w:r>
            <w:r w:rsidRPr="00494326">
              <w:rPr>
                <w:rFonts w:ascii="Times New Roman" w:hAnsi="Times New Roman" w:cs="Times New Roman"/>
                <w:color w:val="auto"/>
                <w:sz w:val="18"/>
                <w:szCs w:val="18"/>
                <w:lang w:val="en-GB"/>
              </w:rPr>
              <w:t>555</w:t>
            </w:r>
          </w:p>
        </w:tc>
        <w:tc>
          <w:tcPr>
            <w:tcW w:w="161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6629B" w:rsidRPr="00494326" w:rsidRDefault="0066629B" w:rsidP="00494326">
            <w:pPr>
              <w:jc w:val="center"/>
              <w:cnfStyle w:val="000000100000"/>
              <w:rPr>
                <w:rFonts w:ascii="Times New Roman" w:hAnsi="Times New Roman" w:cs="Times New Roman"/>
                <w:color w:val="auto"/>
                <w:sz w:val="18"/>
                <w:szCs w:val="18"/>
                <w:lang w:val="en-GB"/>
              </w:rPr>
            </w:pPr>
            <w:r w:rsidRPr="00494326">
              <w:rPr>
                <w:rFonts w:ascii="Times New Roman" w:hAnsi="Times New Roman" w:cs="Times New Roman"/>
                <w:color w:val="auto"/>
                <w:sz w:val="18"/>
                <w:szCs w:val="18"/>
                <w:lang w:val="en-GB"/>
              </w:rPr>
              <w:t>1</w:t>
            </w:r>
            <w:r w:rsidR="00494326">
              <w:rPr>
                <w:rFonts w:ascii="Times New Roman" w:hAnsi="Times New Roman" w:cs="Times New Roman"/>
                <w:color w:val="auto"/>
                <w:sz w:val="18"/>
                <w:szCs w:val="18"/>
                <w:lang w:val="en-GB"/>
              </w:rPr>
              <w:t>,</w:t>
            </w:r>
            <w:r w:rsidRPr="00494326">
              <w:rPr>
                <w:rFonts w:ascii="Times New Roman" w:hAnsi="Times New Roman" w:cs="Times New Roman"/>
                <w:color w:val="auto"/>
                <w:sz w:val="18"/>
                <w:szCs w:val="18"/>
                <w:lang w:val="en-GB"/>
              </w:rPr>
              <w:t>309</w:t>
            </w:r>
          </w:p>
        </w:tc>
      </w:tr>
      <w:tr w:rsidR="0066629B" w:rsidRPr="00494326" w:rsidTr="00C81B9B">
        <w:trPr>
          <w:trHeight w:val="143"/>
          <w:jc w:val="center"/>
        </w:trPr>
        <w:tc>
          <w:tcPr>
            <w:cnfStyle w:val="001000000000"/>
            <w:tcW w:w="4526" w:type="dxa"/>
            <w:tcBorders>
              <w:left w:val="none" w:sz="0" w:space="0" w:color="auto"/>
              <w:bottom w:val="none" w:sz="0" w:space="0" w:color="auto"/>
              <w:right w:val="none" w:sz="0" w:space="0" w:color="auto"/>
            </w:tcBorders>
            <w:shd w:val="clear" w:color="auto" w:fill="FFFFFF" w:themeFill="background1"/>
            <w:vAlign w:val="center"/>
          </w:tcPr>
          <w:p w:rsidR="0066629B" w:rsidRPr="00494326" w:rsidRDefault="00494326" w:rsidP="00494326">
            <w:pPr>
              <w:rPr>
                <w:rFonts w:ascii="Times New Roman" w:hAnsi="Times New Roman" w:cs="Times New Roman"/>
                <w:i/>
                <w:color w:val="auto"/>
                <w:sz w:val="18"/>
                <w:szCs w:val="18"/>
                <w:lang w:val="en-GB"/>
              </w:rPr>
            </w:pPr>
            <w:r w:rsidRPr="00494326">
              <w:rPr>
                <w:rFonts w:ascii="Times New Roman" w:hAnsi="Times New Roman" w:cs="Times New Roman"/>
                <w:i/>
                <w:color w:val="auto"/>
                <w:sz w:val="18"/>
                <w:szCs w:val="18"/>
                <w:lang w:val="en-GB"/>
              </w:rPr>
              <w:t>Legal r</w:t>
            </w:r>
            <w:r w:rsidR="0066629B" w:rsidRPr="00494326">
              <w:rPr>
                <w:rFonts w:ascii="Times New Roman" w:hAnsi="Times New Roman" w:cs="Times New Roman"/>
                <w:i/>
                <w:color w:val="auto"/>
                <w:sz w:val="18"/>
                <w:szCs w:val="18"/>
                <w:lang w:val="en-GB"/>
              </w:rPr>
              <w:t>epresentation</w:t>
            </w:r>
          </w:p>
        </w:tc>
        <w:tc>
          <w:tcPr>
            <w:tcW w:w="1675" w:type="dxa"/>
            <w:shd w:val="clear" w:color="auto" w:fill="FFFFFF" w:themeFill="background1"/>
            <w:vAlign w:val="center"/>
          </w:tcPr>
          <w:p w:rsidR="0066629B" w:rsidRPr="00494326" w:rsidRDefault="0066629B" w:rsidP="00494326">
            <w:pPr>
              <w:jc w:val="center"/>
              <w:cnfStyle w:val="000000000000"/>
              <w:rPr>
                <w:rFonts w:ascii="Times New Roman" w:hAnsi="Times New Roman" w:cs="Times New Roman"/>
                <w:color w:val="auto"/>
                <w:sz w:val="18"/>
                <w:szCs w:val="18"/>
                <w:lang w:val="en-GB"/>
              </w:rPr>
            </w:pPr>
            <w:r w:rsidRPr="00494326">
              <w:rPr>
                <w:rFonts w:ascii="Times New Roman" w:hAnsi="Times New Roman" w:cs="Times New Roman"/>
                <w:color w:val="auto"/>
                <w:sz w:val="18"/>
                <w:szCs w:val="18"/>
                <w:lang w:val="en-GB"/>
              </w:rPr>
              <w:t>44</w:t>
            </w:r>
          </w:p>
        </w:tc>
        <w:tc>
          <w:tcPr>
            <w:tcW w:w="1526" w:type="dxa"/>
            <w:shd w:val="clear" w:color="auto" w:fill="FFFFFF" w:themeFill="background1"/>
            <w:vAlign w:val="center"/>
          </w:tcPr>
          <w:p w:rsidR="0066629B" w:rsidRPr="00494326" w:rsidRDefault="0066629B" w:rsidP="00494326">
            <w:pPr>
              <w:jc w:val="center"/>
              <w:cnfStyle w:val="000000000000"/>
              <w:rPr>
                <w:rFonts w:ascii="Times New Roman" w:hAnsi="Times New Roman" w:cs="Times New Roman"/>
                <w:color w:val="auto"/>
                <w:sz w:val="18"/>
                <w:szCs w:val="18"/>
                <w:lang w:val="en-GB"/>
              </w:rPr>
            </w:pPr>
            <w:r w:rsidRPr="00494326">
              <w:rPr>
                <w:rFonts w:ascii="Times New Roman" w:hAnsi="Times New Roman" w:cs="Times New Roman"/>
                <w:color w:val="auto"/>
                <w:sz w:val="18"/>
                <w:szCs w:val="18"/>
                <w:lang w:val="en-GB"/>
              </w:rPr>
              <w:t>17</w:t>
            </w:r>
          </w:p>
        </w:tc>
        <w:tc>
          <w:tcPr>
            <w:tcW w:w="1614" w:type="dxa"/>
            <w:shd w:val="clear" w:color="auto" w:fill="FFFFFF" w:themeFill="background1"/>
            <w:vAlign w:val="center"/>
          </w:tcPr>
          <w:p w:rsidR="0066629B" w:rsidRPr="00494326" w:rsidRDefault="0066629B" w:rsidP="00494326">
            <w:pPr>
              <w:jc w:val="center"/>
              <w:cnfStyle w:val="000000000000"/>
              <w:rPr>
                <w:rFonts w:ascii="Times New Roman" w:hAnsi="Times New Roman" w:cs="Times New Roman"/>
                <w:color w:val="auto"/>
                <w:sz w:val="18"/>
                <w:szCs w:val="18"/>
                <w:lang w:val="en-GB"/>
              </w:rPr>
            </w:pPr>
            <w:r w:rsidRPr="00494326">
              <w:rPr>
                <w:rFonts w:ascii="Times New Roman" w:hAnsi="Times New Roman" w:cs="Times New Roman"/>
                <w:color w:val="auto"/>
                <w:sz w:val="18"/>
                <w:szCs w:val="18"/>
                <w:lang w:val="en-GB"/>
              </w:rPr>
              <w:t>27</w:t>
            </w:r>
          </w:p>
        </w:tc>
      </w:tr>
      <w:tr w:rsidR="0066629B" w:rsidRPr="00494326" w:rsidTr="00C81B9B">
        <w:trPr>
          <w:cnfStyle w:val="000000100000"/>
          <w:trHeight w:val="98"/>
          <w:jc w:val="center"/>
        </w:trPr>
        <w:tc>
          <w:tcPr>
            <w:cnfStyle w:val="001000000000"/>
            <w:tcW w:w="452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6629B" w:rsidRPr="00494326" w:rsidRDefault="00494326" w:rsidP="00494326">
            <w:pPr>
              <w:rPr>
                <w:rFonts w:ascii="Times New Roman" w:hAnsi="Times New Roman" w:cs="Times New Roman"/>
                <w:i/>
                <w:color w:val="auto"/>
                <w:sz w:val="18"/>
                <w:szCs w:val="18"/>
                <w:lang w:val="en-GB"/>
              </w:rPr>
            </w:pPr>
            <w:r w:rsidRPr="00494326">
              <w:rPr>
                <w:rFonts w:ascii="Times New Roman" w:hAnsi="Times New Roman" w:cs="Times New Roman"/>
                <w:i/>
                <w:color w:val="auto"/>
                <w:sz w:val="18"/>
                <w:szCs w:val="18"/>
                <w:lang w:val="en-GB"/>
              </w:rPr>
              <w:t>Judicial r</w:t>
            </w:r>
            <w:r w:rsidR="0066629B" w:rsidRPr="00494326">
              <w:rPr>
                <w:rFonts w:ascii="Times New Roman" w:hAnsi="Times New Roman" w:cs="Times New Roman"/>
                <w:i/>
                <w:color w:val="auto"/>
                <w:sz w:val="18"/>
                <w:szCs w:val="18"/>
                <w:lang w:val="en-GB"/>
              </w:rPr>
              <w:t>epresentation</w:t>
            </w:r>
          </w:p>
        </w:tc>
        <w:tc>
          <w:tcPr>
            <w:tcW w:w="167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6629B" w:rsidRPr="00494326" w:rsidRDefault="0066629B" w:rsidP="00494326">
            <w:pPr>
              <w:jc w:val="center"/>
              <w:cnfStyle w:val="000000100000"/>
              <w:rPr>
                <w:rFonts w:ascii="Times New Roman" w:hAnsi="Times New Roman" w:cs="Times New Roman"/>
                <w:color w:val="auto"/>
                <w:sz w:val="18"/>
                <w:szCs w:val="18"/>
                <w:lang w:val="en-GB"/>
              </w:rPr>
            </w:pPr>
            <w:r w:rsidRPr="00494326">
              <w:rPr>
                <w:rFonts w:ascii="Times New Roman" w:hAnsi="Times New Roman" w:cs="Times New Roman"/>
                <w:color w:val="auto"/>
                <w:sz w:val="18"/>
                <w:szCs w:val="18"/>
                <w:lang w:val="en-GB"/>
              </w:rPr>
              <w:t>938</w:t>
            </w:r>
          </w:p>
        </w:tc>
        <w:tc>
          <w:tcPr>
            <w:tcW w:w="152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6629B" w:rsidRPr="00494326" w:rsidRDefault="0066629B" w:rsidP="00494326">
            <w:pPr>
              <w:jc w:val="center"/>
              <w:cnfStyle w:val="000000100000"/>
              <w:rPr>
                <w:rFonts w:ascii="Times New Roman" w:hAnsi="Times New Roman" w:cs="Times New Roman"/>
                <w:color w:val="auto"/>
                <w:sz w:val="18"/>
                <w:szCs w:val="18"/>
                <w:lang w:val="en-GB"/>
              </w:rPr>
            </w:pPr>
            <w:r w:rsidRPr="00494326">
              <w:rPr>
                <w:rFonts w:ascii="Times New Roman" w:hAnsi="Times New Roman" w:cs="Times New Roman"/>
                <w:color w:val="auto"/>
                <w:sz w:val="18"/>
                <w:szCs w:val="18"/>
                <w:lang w:val="en-GB"/>
              </w:rPr>
              <w:t>771</w:t>
            </w:r>
          </w:p>
        </w:tc>
        <w:tc>
          <w:tcPr>
            <w:tcW w:w="161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6629B" w:rsidRPr="00494326" w:rsidRDefault="0066629B" w:rsidP="00494326">
            <w:pPr>
              <w:jc w:val="center"/>
              <w:cnfStyle w:val="000000100000"/>
              <w:rPr>
                <w:rFonts w:ascii="Times New Roman" w:hAnsi="Times New Roman" w:cs="Times New Roman"/>
                <w:color w:val="auto"/>
                <w:sz w:val="18"/>
                <w:szCs w:val="18"/>
                <w:lang w:val="en-GB"/>
              </w:rPr>
            </w:pPr>
            <w:r w:rsidRPr="00494326">
              <w:rPr>
                <w:rFonts w:ascii="Times New Roman" w:hAnsi="Times New Roman" w:cs="Times New Roman"/>
                <w:color w:val="auto"/>
                <w:sz w:val="18"/>
                <w:szCs w:val="18"/>
                <w:lang w:val="en-GB"/>
              </w:rPr>
              <w:t>167</w:t>
            </w:r>
          </w:p>
        </w:tc>
      </w:tr>
      <w:tr w:rsidR="0066629B" w:rsidRPr="00494326" w:rsidTr="00C81B9B">
        <w:trPr>
          <w:trHeight w:val="152"/>
          <w:jc w:val="center"/>
        </w:trPr>
        <w:tc>
          <w:tcPr>
            <w:cnfStyle w:val="001000000000"/>
            <w:tcW w:w="4526" w:type="dxa"/>
            <w:tcBorders>
              <w:left w:val="none" w:sz="0" w:space="0" w:color="auto"/>
              <w:bottom w:val="none" w:sz="0" w:space="0" w:color="auto"/>
              <w:right w:val="none" w:sz="0" w:space="0" w:color="auto"/>
            </w:tcBorders>
            <w:shd w:val="clear" w:color="auto" w:fill="FFFFFF" w:themeFill="background1"/>
            <w:vAlign w:val="center"/>
          </w:tcPr>
          <w:p w:rsidR="0066629B" w:rsidRPr="00494326" w:rsidRDefault="0066629B" w:rsidP="00494326">
            <w:pPr>
              <w:rPr>
                <w:rFonts w:ascii="Times New Roman" w:hAnsi="Times New Roman" w:cs="Times New Roman"/>
                <w:i/>
                <w:color w:val="auto"/>
                <w:sz w:val="18"/>
                <w:szCs w:val="18"/>
                <w:lang w:val="en-GB"/>
              </w:rPr>
            </w:pPr>
            <w:r w:rsidRPr="00494326">
              <w:rPr>
                <w:rFonts w:ascii="Times New Roman" w:hAnsi="Times New Roman" w:cs="Times New Roman"/>
                <w:i/>
                <w:color w:val="auto"/>
                <w:sz w:val="18"/>
                <w:szCs w:val="18"/>
                <w:lang w:val="en-GB"/>
              </w:rPr>
              <w:t>Successfully adjudicated cases</w:t>
            </w:r>
          </w:p>
        </w:tc>
        <w:tc>
          <w:tcPr>
            <w:tcW w:w="1675" w:type="dxa"/>
            <w:shd w:val="clear" w:color="auto" w:fill="FFFFFF" w:themeFill="background1"/>
            <w:vAlign w:val="center"/>
          </w:tcPr>
          <w:p w:rsidR="0066629B" w:rsidRPr="00494326" w:rsidRDefault="0066629B" w:rsidP="00494326">
            <w:pPr>
              <w:jc w:val="center"/>
              <w:cnfStyle w:val="000000000000"/>
              <w:rPr>
                <w:rFonts w:ascii="Times New Roman" w:hAnsi="Times New Roman" w:cs="Times New Roman"/>
                <w:color w:val="auto"/>
                <w:sz w:val="18"/>
                <w:szCs w:val="18"/>
                <w:lang w:val="en-GB"/>
              </w:rPr>
            </w:pPr>
            <w:r w:rsidRPr="00494326">
              <w:rPr>
                <w:rFonts w:ascii="Times New Roman" w:hAnsi="Times New Roman" w:cs="Times New Roman"/>
                <w:color w:val="auto"/>
                <w:sz w:val="18"/>
                <w:szCs w:val="18"/>
                <w:lang w:val="en-GB"/>
              </w:rPr>
              <w:t>475</w:t>
            </w:r>
          </w:p>
        </w:tc>
        <w:tc>
          <w:tcPr>
            <w:tcW w:w="1526" w:type="dxa"/>
            <w:shd w:val="clear" w:color="auto" w:fill="FFFFFF" w:themeFill="background1"/>
            <w:vAlign w:val="center"/>
          </w:tcPr>
          <w:p w:rsidR="0066629B" w:rsidRPr="00494326" w:rsidRDefault="0066629B" w:rsidP="00494326">
            <w:pPr>
              <w:jc w:val="center"/>
              <w:cnfStyle w:val="000000000000"/>
              <w:rPr>
                <w:rFonts w:ascii="Times New Roman" w:hAnsi="Times New Roman" w:cs="Times New Roman"/>
                <w:color w:val="auto"/>
                <w:sz w:val="18"/>
                <w:szCs w:val="18"/>
                <w:lang w:val="en-GB"/>
              </w:rPr>
            </w:pPr>
            <w:r w:rsidRPr="00494326">
              <w:rPr>
                <w:rFonts w:ascii="Times New Roman" w:hAnsi="Times New Roman" w:cs="Times New Roman"/>
                <w:color w:val="auto"/>
                <w:sz w:val="18"/>
                <w:szCs w:val="18"/>
                <w:lang w:val="en-GB"/>
              </w:rPr>
              <w:t>451</w:t>
            </w:r>
          </w:p>
        </w:tc>
        <w:tc>
          <w:tcPr>
            <w:tcW w:w="1614" w:type="dxa"/>
            <w:shd w:val="clear" w:color="auto" w:fill="FFFFFF" w:themeFill="background1"/>
            <w:vAlign w:val="center"/>
          </w:tcPr>
          <w:p w:rsidR="0066629B" w:rsidRPr="00494326" w:rsidRDefault="0066629B" w:rsidP="00494326">
            <w:pPr>
              <w:jc w:val="center"/>
              <w:cnfStyle w:val="000000000000"/>
              <w:rPr>
                <w:rFonts w:ascii="Times New Roman" w:hAnsi="Times New Roman" w:cs="Times New Roman"/>
                <w:color w:val="auto"/>
                <w:sz w:val="18"/>
                <w:szCs w:val="18"/>
                <w:lang w:val="en-GB"/>
              </w:rPr>
            </w:pPr>
            <w:r w:rsidRPr="00494326">
              <w:rPr>
                <w:rFonts w:ascii="Times New Roman" w:hAnsi="Times New Roman" w:cs="Times New Roman"/>
                <w:color w:val="auto"/>
                <w:sz w:val="18"/>
                <w:szCs w:val="18"/>
                <w:lang w:val="en-GB"/>
              </w:rPr>
              <w:t>24</w:t>
            </w:r>
          </w:p>
        </w:tc>
      </w:tr>
      <w:tr w:rsidR="0066629B" w:rsidRPr="00494326" w:rsidTr="00C81B9B">
        <w:trPr>
          <w:cnfStyle w:val="000000100000"/>
          <w:trHeight w:val="125"/>
          <w:jc w:val="center"/>
        </w:trPr>
        <w:tc>
          <w:tcPr>
            <w:cnfStyle w:val="001000000000"/>
            <w:tcW w:w="452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6629B" w:rsidRPr="00494326" w:rsidRDefault="00494326" w:rsidP="00494326">
            <w:pPr>
              <w:rPr>
                <w:rFonts w:ascii="Times New Roman" w:hAnsi="Times New Roman" w:cs="Times New Roman"/>
                <w:i/>
                <w:color w:val="auto"/>
                <w:sz w:val="18"/>
                <w:szCs w:val="18"/>
                <w:lang w:val="en-GB"/>
              </w:rPr>
            </w:pPr>
            <w:r w:rsidRPr="00494326">
              <w:rPr>
                <w:rFonts w:ascii="Times New Roman" w:hAnsi="Times New Roman" w:cs="Times New Roman"/>
                <w:i/>
                <w:color w:val="auto"/>
                <w:sz w:val="18"/>
                <w:szCs w:val="18"/>
                <w:lang w:val="en-GB"/>
              </w:rPr>
              <w:t>Other services (psychosocial and s</w:t>
            </w:r>
            <w:r w:rsidR="0066629B" w:rsidRPr="00494326">
              <w:rPr>
                <w:rFonts w:ascii="Times New Roman" w:hAnsi="Times New Roman" w:cs="Times New Roman"/>
                <w:i/>
                <w:color w:val="auto"/>
                <w:sz w:val="18"/>
                <w:szCs w:val="18"/>
                <w:lang w:val="en-GB"/>
              </w:rPr>
              <w:t>ocial)</w:t>
            </w:r>
          </w:p>
        </w:tc>
        <w:tc>
          <w:tcPr>
            <w:tcW w:w="167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6629B" w:rsidRPr="00494326" w:rsidRDefault="0066629B" w:rsidP="00494326">
            <w:pPr>
              <w:jc w:val="center"/>
              <w:cnfStyle w:val="000000100000"/>
              <w:rPr>
                <w:rFonts w:ascii="Times New Roman" w:hAnsi="Times New Roman" w:cs="Times New Roman"/>
                <w:color w:val="auto"/>
                <w:sz w:val="18"/>
                <w:szCs w:val="18"/>
                <w:lang w:val="en-GB"/>
              </w:rPr>
            </w:pPr>
            <w:r w:rsidRPr="00494326">
              <w:rPr>
                <w:rFonts w:ascii="Times New Roman" w:hAnsi="Times New Roman" w:cs="Times New Roman"/>
                <w:color w:val="auto"/>
                <w:sz w:val="18"/>
                <w:szCs w:val="18"/>
                <w:lang w:val="en-GB"/>
              </w:rPr>
              <w:t>1</w:t>
            </w:r>
            <w:r w:rsidR="00494326">
              <w:rPr>
                <w:rFonts w:ascii="Times New Roman" w:hAnsi="Times New Roman" w:cs="Times New Roman"/>
                <w:color w:val="auto"/>
                <w:sz w:val="18"/>
                <w:szCs w:val="18"/>
                <w:lang w:val="en-GB"/>
              </w:rPr>
              <w:t>,</w:t>
            </w:r>
            <w:r w:rsidRPr="00494326">
              <w:rPr>
                <w:rFonts w:ascii="Times New Roman" w:hAnsi="Times New Roman" w:cs="Times New Roman"/>
                <w:color w:val="auto"/>
                <w:sz w:val="18"/>
                <w:szCs w:val="18"/>
                <w:lang w:val="en-GB"/>
              </w:rPr>
              <w:t>922</w:t>
            </w:r>
          </w:p>
        </w:tc>
        <w:tc>
          <w:tcPr>
            <w:tcW w:w="152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6629B" w:rsidRPr="00494326" w:rsidRDefault="0066629B" w:rsidP="00494326">
            <w:pPr>
              <w:jc w:val="center"/>
              <w:cnfStyle w:val="000000100000"/>
              <w:rPr>
                <w:rFonts w:ascii="Times New Roman" w:hAnsi="Times New Roman" w:cs="Times New Roman"/>
                <w:color w:val="auto"/>
                <w:sz w:val="18"/>
                <w:szCs w:val="18"/>
                <w:lang w:val="en-GB"/>
              </w:rPr>
            </w:pPr>
            <w:r w:rsidRPr="00494326">
              <w:rPr>
                <w:rFonts w:ascii="Times New Roman" w:hAnsi="Times New Roman" w:cs="Times New Roman"/>
                <w:color w:val="auto"/>
                <w:sz w:val="18"/>
                <w:szCs w:val="18"/>
                <w:lang w:val="en-GB"/>
              </w:rPr>
              <w:t>1</w:t>
            </w:r>
            <w:r w:rsidR="00494326">
              <w:rPr>
                <w:rFonts w:ascii="Times New Roman" w:hAnsi="Times New Roman" w:cs="Times New Roman"/>
                <w:color w:val="auto"/>
                <w:sz w:val="18"/>
                <w:szCs w:val="18"/>
                <w:lang w:val="en-GB"/>
              </w:rPr>
              <w:t>,</w:t>
            </w:r>
            <w:r w:rsidRPr="00494326">
              <w:rPr>
                <w:rFonts w:ascii="Times New Roman" w:hAnsi="Times New Roman" w:cs="Times New Roman"/>
                <w:color w:val="auto"/>
                <w:sz w:val="18"/>
                <w:szCs w:val="18"/>
                <w:lang w:val="en-GB"/>
              </w:rPr>
              <w:t>730</w:t>
            </w:r>
          </w:p>
        </w:tc>
        <w:tc>
          <w:tcPr>
            <w:tcW w:w="161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6629B" w:rsidRPr="00494326" w:rsidRDefault="0066629B" w:rsidP="00494326">
            <w:pPr>
              <w:jc w:val="center"/>
              <w:cnfStyle w:val="000000100000"/>
              <w:rPr>
                <w:rFonts w:ascii="Times New Roman" w:hAnsi="Times New Roman" w:cs="Times New Roman"/>
                <w:color w:val="auto"/>
                <w:sz w:val="18"/>
                <w:szCs w:val="18"/>
                <w:lang w:val="en-GB"/>
              </w:rPr>
            </w:pPr>
            <w:r w:rsidRPr="00494326">
              <w:rPr>
                <w:rFonts w:ascii="Times New Roman" w:hAnsi="Times New Roman" w:cs="Times New Roman"/>
                <w:color w:val="auto"/>
                <w:sz w:val="18"/>
                <w:szCs w:val="18"/>
                <w:lang w:val="en-GB"/>
              </w:rPr>
              <w:t>192</w:t>
            </w:r>
          </w:p>
        </w:tc>
      </w:tr>
    </w:tbl>
    <w:p w:rsidR="0066629B" w:rsidRPr="00494326" w:rsidRDefault="0066629B" w:rsidP="00494326">
      <w:pPr>
        <w:spacing w:after="0" w:line="240" w:lineRule="auto"/>
        <w:rPr>
          <w:rFonts w:ascii="Times New Roman" w:eastAsia="MS Mincho" w:hAnsi="Times New Roman" w:cs="Times New Roman"/>
          <w:sz w:val="18"/>
          <w:szCs w:val="18"/>
          <w:lang w:val="en-GB" w:eastAsia="ja-JP"/>
        </w:rPr>
      </w:pPr>
    </w:p>
    <w:p w:rsidR="0066629B" w:rsidRPr="00494326" w:rsidRDefault="00F72635" w:rsidP="00FB6759">
      <w:pPr>
        <w:spacing w:after="0" w:line="240" w:lineRule="auto"/>
        <w:jc w:val="center"/>
        <w:rPr>
          <w:rFonts w:ascii="Times New Roman" w:eastAsia="MS Mincho" w:hAnsi="Times New Roman" w:cs="Times New Roman"/>
          <w:b/>
          <w:bCs/>
          <w:sz w:val="18"/>
          <w:szCs w:val="18"/>
          <w:lang w:val="en-GB" w:eastAsia="ja-JP"/>
        </w:rPr>
      </w:pPr>
      <w:r>
        <w:rPr>
          <w:rFonts w:ascii="Times New Roman" w:eastAsia="MS Mincho" w:hAnsi="Times New Roman" w:cs="Times New Roman"/>
          <w:b/>
          <w:bCs/>
          <w:sz w:val="18"/>
          <w:szCs w:val="18"/>
          <w:lang w:val="en-GB" w:eastAsia="ja-JP"/>
        </w:rPr>
        <w:t>Awn network</w:t>
      </w:r>
      <w:r w:rsidR="00AB6D72">
        <w:rPr>
          <w:rFonts w:ascii="Times New Roman" w:eastAsia="MS Mincho" w:hAnsi="Times New Roman" w:cs="Times New Roman"/>
          <w:b/>
          <w:bCs/>
          <w:sz w:val="18"/>
          <w:szCs w:val="18"/>
          <w:lang w:val="en-GB" w:eastAsia="ja-JP"/>
        </w:rPr>
        <w:t>: types of c</w:t>
      </w:r>
      <w:r w:rsidR="0066629B" w:rsidRPr="00494326">
        <w:rPr>
          <w:rFonts w:ascii="Times New Roman" w:eastAsia="MS Mincho" w:hAnsi="Times New Roman" w:cs="Times New Roman"/>
          <w:b/>
          <w:bCs/>
          <w:sz w:val="18"/>
          <w:szCs w:val="18"/>
          <w:lang w:val="en-GB" w:eastAsia="ja-JP"/>
        </w:rPr>
        <w:t>ases</w:t>
      </w:r>
    </w:p>
    <w:tbl>
      <w:tblPr>
        <w:tblStyle w:val="DarkList-Accent21"/>
        <w:tblW w:w="9342" w:type="dxa"/>
        <w:jc w:val="center"/>
        <w:tblInd w:w="-2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5638"/>
        <w:gridCol w:w="1823"/>
        <w:gridCol w:w="1881"/>
      </w:tblGrid>
      <w:tr w:rsidR="0066629B" w:rsidRPr="00494326" w:rsidTr="00F72635">
        <w:trPr>
          <w:cnfStyle w:val="100000000000"/>
          <w:jc w:val="center"/>
        </w:trPr>
        <w:tc>
          <w:tcPr>
            <w:cnfStyle w:val="001000000000"/>
            <w:tcW w:w="5638" w:type="dxa"/>
            <w:tcBorders>
              <w:top w:val="none" w:sz="0" w:space="0" w:color="auto"/>
              <w:left w:val="none" w:sz="0" w:space="0" w:color="auto"/>
              <w:bottom w:val="none" w:sz="0" w:space="0" w:color="auto"/>
              <w:right w:val="none" w:sz="0" w:space="0" w:color="auto"/>
            </w:tcBorders>
            <w:shd w:val="clear" w:color="auto" w:fill="D9D9D9"/>
            <w:vAlign w:val="center"/>
          </w:tcPr>
          <w:p w:rsidR="0066629B" w:rsidRPr="00494326" w:rsidRDefault="00F72635" w:rsidP="00494326">
            <w:pPr>
              <w:rPr>
                <w:rFonts w:ascii="Times New Roman" w:hAnsi="Times New Roman" w:cs="Times New Roman"/>
                <w:color w:val="auto"/>
                <w:sz w:val="18"/>
                <w:szCs w:val="18"/>
                <w:lang w:val="en-GB"/>
              </w:rPr>
            </w:pPr>
            <w:r>
              <w:rPr>
                <w:rFonts w:ascii="Times New Roman" w:hAnsi="Times New Roman" w:cs="Times New Roman"/>
                <w:color w:val="auto"/>
                <w:sz w:val="18"/>
                <w:szCs w:val="18"/>
                <w:lang w:val="en-GB"/>
              </w:rPr>
              <w:t>Type of c</w:t>
            </w:r>
            <w:r w:rsidR="0066629B" w:rsidRPr="00494326">
              <w:rPr>
                <w:rFonts w:ascii="Times New Roman" w:hAnsi="Times New Roman" w:cs="Times New Roman"/>
                <w:color w:val="auto"/>
                <w:sz w:val="18"/>
                <w:szCs w:val="18"/>
                <w:lang w:val="en-GB"/>
              </w:rPr>
              <w:t>ase</w:t>
            </w:r>
          </w:p>
        </w:tc>
        <w:tc>
          <w:tcPr>
            <w:tcW w:w="1823" w:type="dxa"/>
            <w:tcBorders>
              <w:top w:val="none" w:sz="0" w:space="0" w:color="auto"/>
              <w:left w:val="none" w:sz="0" w:space="0" w:color="auto"/>
              <w:bottom w:val="none" w:sz="0" w:space="0" w:color="auto"/>
              <w:right w:val="none" w:sz="0" w:space="0" w:color="auto"/>
            </w:tcBorders>
            <w:shd w:val="clear" w:color="auto" w:fill="D9D9D9"/>
            <w:vAlign w:val="center"/>
          </w:tcPr>
          <w:p w:rsidR="0066629B" w:rsidRPr="00494326" w:rsidRDefault="0066629B" w:rsidP="00494326">
            <w:pPr>
              <w:jc w:val="center"/>
              <w:cnfStyle w:val="100000000000"/>
              <w:rPr>
                <w:rFonts w:ascii="Times New Roman" w:hAnsi="Times New Roman" w:cs="Times New Roman"/>
                <w:color w:val="auto"/>
                <w:sz w:val="18"/>
                <w:szCs w:val="18"/>
                <w:lang w:val="en-GB"/>
              </w:rPr>
            </w:pPr>
            <w:r w:rsidRPr="00494326">
              <w:rPr>
                <w:rFonts w:ascii="Times New Roman" w:hAnsi="Times New Roman" w:cs="Times New Roman"/>
                <w:color w:val="auto"/>
                <w:sz w:val="18"/>
                <w:szCs w:val="18"/>
                <w:lang w:val="en-GB"/>
              </w:rPr>
              <w:t>Consultations</w:t>
            </w:r>
          </w:p>
        </w:tc>
        <w:tc>
          <w:tcPr>
            <w:tcW w:w="1881" w:type="dxa"/>
            <w:tcBorders>
              <w:top w:val="none" w:sz="0" w:space="0" w:color="auto"/>
              <w:left w:val="none" w:sz="0" w:space="0" w:color="auto"/>
              <w:bottom w:val="none" w:sz="0" w:space="0" w:color="auto"/>
              <w:right w:val="none" w:sz="0" w:space="0" w:color="auto"/>
            </w:tcBorders>
            <w:shd w:val="clear" w:color="auto" w:fill="D9D9D9"/>
            <w:vAlign w:val="center"/>
          </w:tcPr>
          <w:p w:rsidR="0066629B" w:rsidRPr="00494326" w:rsidRDefault="0066629B" w:rsidP="00494326">
            <w:pPr>
              <w:jc w:val="center"/>
              <w:cnfStyle w:val="100000000000"/>
              <w:rPr>
                <w:rFonts w:ascii="Times New Roman" w:hAnsi="Times New Roman" w:cs="Times New Roman"/>
                <w:color w:val="auto"/>
                <w:sz w:val="18"/>
                <w:szCs w:val="18"/>
                <w:lang w:val="en-GB"/>
              </w:rPr>
            </w:pPr>
            <w:r w:rsidRPr="00494326">
              <w:rPr>
                <w:rFonts w:ascii="Times New Roman" w:hAnsi="Times New Roman" w:cs="Times New Roman"/>
                <w:color w:val="auto"/>
                <w:sz w:val="18"/>
                <w:szCs w:val="18"/>
                <w:lang w:val="en-GB"/>
              </w:rPr>
              <w:t>Representation</w:t>
            </w:r>
          </w:p>
        </w:tc>
      </w:tr>
      <w:tr w:rsidR="0066629B" w:rsidRPr="00494326" w:rsidTr="00F72635">
        <w:trPr>
          <w:cnfStyle w:val="000000100000"/>
          <w:jc w:val="center"/>
        </w:trPr>
        <w:tc>
          <w:tcPr>
            <w:cnfStyle w:val="001000000000"/>
            <w:tcW w:w="56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6629B" w:rsidRPr="00494326" w:rsidRDefault="00494326" w:rsidP="00494326">
            <w:pPr>
              <w:rPr>
                <w:rFonts w:ascii="Times New Roman" w:hAnsi="Times New Roman" w:cs="Times New Roman"/>
                <w:i/>
                <w:color w:val="auto"/>
                <w:sz w:val="18"/>
                <w:szCs w:val="18"/>
                <w:lang w:val="en-GB"/>
              </w:rPr>
            </w:pPr>
            <w:r w:rsidRPr="00494326">
              <w:rPr>
                <w:rFonts w:ascii="Times New Roman" w:hAnsi="Times New Roman" w:cs="Times New Roman"/>
                <w:i/>
                <w:color w:val="auto"/>
                <w:sz w:val="18"/>
                <w:szCs w:val="18"/>
                <w:lang w:val="en-GB"/>
              </w:rPr>
              <w:t>Civil and c</w:t>
            </w:r>
            <w:r w:rsidR="0066629B" w:rsidRPr="00494326">
              <w:rPr>
                <w:rFonts w:ascii="Times New Roman" w:hAnsi="Times New Roman" w:cs="Times New Roman"/>
                <w:i/>
                <w:color w:val="auto"/>
                <w:sz w:val="18"/>
                <w:szCs w:val="18"/>
                <w:lang w:val="en-GB"/>
              </w:rPr>
              <w:t>ommercial</w:t>
            </w:r>
          </w:p>
        </w:tc>
        <w:tc>
          <w:tcPr>
            <w:tcW w:w="182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6629B" w:rsidRPr="00494326" w:rsidRDefault="0066629B" w:rsidP="00494326">
            <w:pPr>
              <w:jc w:val="center"/>
              <w:cnfStyle w:val="000000100000"/>
              <w:rPr>
                <w:rFonts w:ascii="Times New Roman" w:hAnsi="Times New Roman" w:cs="Times New Roman"/>
                <w:color w:val="auto"/>
                <w:sz w:val="18"/>
                <w:szCs w:val="18"/>
                <w:lang w:val="en-GB"/>
              </w:rPr>
            </w:pPr>
            <w:r w:rsidRPr="00494326">
              <w:rPr>
                <w:rFonts w:ascii="Times New Roman" w:hAnsi="Times New Roman" w:cs="Times New Roman"/>
                <w:color w:val="auto"/>
                <w:sz w:val="18"/>
                <w:szCs w:val="18"/>
                <w:lang w:val="en-GB"/>
              </w:rPr>
              <w:t>423</w:t>
            </w:r>
          </w:p>
        </w:tc>
        <w:tc>
          <w:tcPr>
            <w:tcW w:w="188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6629B" w:rsidRPr="00494326" w:rsidRDefault="0066629B" w:rsidP="00494326">
            <w:pPr>
              <w:jc w:val="center"/>
              <w:cnfStyle w:val="000000100000"/>
              <w:rPr>
                <w:rFonts w:ascii="Times New Roman" w:hAnsi="Times New Roman" w:cs="Times New Roman"/>
                <w:color w:val="auto"/>
                <w:sz w:val="18"/>
                <w:szCs w:val="18"/>
                <w:lang w:val="en-GB"/>
              </w:rPr>
            </w:pPr>
            <w:r w:rsidRPr="00494326">
              <w:rPr>
                <w:rFonts w:ascii="Times New Roman" w:hAnsi="Times New Roman" w:cs="Times New Roman"/>
                <w:color w:val="auto"/>
                <w:sz w:val="18"/>
                <w:szCs w:val="18"/>
                <w:lang w:val="en-GB"/>
              </w:rPr>
              <w:t>101</w:t>
            </w:r>
          </w:p>
        </w:tc>
      </w:tr>
      <w:tr w:rsidR="0066629B" w:rsidRPr="00494326" w:rsidTr="00F72635">
        <w:trPr>
          <w:jc w:val="center"/>
        </w:trPr>
        <w:tc>
          <w:tcPr>
            <w:cnfStyle w:val="001000000000"/>
            <w:tcW w:w="5638" w:type="dxa"/>
            <w:tcBorders>
              <w:left w:val="none" w:sz="0" w:space="0" w:color="auto"/>
              <w:bottom w:val="none" w:sz="0" w:space="0" w:color="auto"/>
              <w:right w:val="none" w:sz="0" w:space="0" w:color="auto"/>
            </w:tcBorders>
            <w:shd w:val="clear" w:color="auto" w:fill="FFFFFF" w:themeFill="background1"/>
            <w:vAlign w:val="center"/>
          </w:tcPr>
          <w:p w:rsidR="0066629B" w:rsidRPr="00494326" w:rsidRDefault="0066629B" w:rsidP="00494326">
            <w:pPr>
              <w:rPr>
                <w:rFonts w:ascii="Times New Roman" w:hAnsi="Times New Roman" w:cs="Times New Roman"/>
                <w:i/>
                <w:color w:val="auto"/>
                <w:sz w:val="18"/>
                <w:szCs w:val="18"/>
                <w:lang w:val="en-GB"/>
              </w:rPr>
            </w:pPr>
            <w:r w:rsidRPr="00494326">
              <w:rPr>
                <w:rFonts w:ascii="Times New Roman" w:hAnsi="Times New Roman" w:cs="Times New Roman"/>
                <w:i/>
                <w:color w:val="auto"/>
                <w:sz w:val="18"/>
                <w:szCs w:val="18"/>
                <w:lang w:val="en-GB"/>
              </w:rPr>
              <w:t>Criminal</w:t>
            </w:r>
          </w:p>
        </w:tc>
        <w:tc>
          <w:tcPr>
            <w:tcW w:w="1823" w:type="dxa"/>
            <w:shd w:val="clear" w:color="auto" w:fill="FFFFFF" w:themeFill="background1"/>
            <w:vAlign w:val="center"/>
          </w:tcPr>
          <w:p w:rsidR="0066629B" w:rsidRPr="00494326" w:rsidRDefault="0066629B" w:rsidP="00494326">
            <w:pPr>
              <w:jc w:val="center"/>
              <w:cnfStyle w:val="000000000000"/>
              <w:rPr>
                <w:rFonts w:ascii="Times New Roman" w:hAnsi="Times New Roman" w:cs="Times New Roman"/>
                <w:color w:val="auto"/>
                <w:sz w:val="18"/>
                <w:szCs w:val="18"/>
                <w:lang w:val="en-GB"/>
              </w:rPr>
            </w:pPr>
            <w:r w:rsidRPr="00494326">
              <w:rPr>
                <w:rFonts w:ascii="Times New Roman" w:hAnsi="Times New Roman" w:cs="Times New Roman"/>
                <w:color w:val="auto"/>
                <w:sz w:val="18"/>
                <w:szCs w:val="18"/>
                <w:lang w:val="en-GB"/>
              </w:rPr>
              <w:t>221</w:t>
            </w:r>
          </w:p>
        </w:tc>
        <w:tc>
          <w:tcPr>
            <w:tcW w:w="1881" w:type="dxa"/>
            <w:shd w:val="clear" w:color="auto" w:fill="FFFFFF" w:themeFill="background1"/>
            <w:vAlign w:val="center"/>
          </w:tcPr>
          <w:p w:rsidR="0066629B" w:rsidRPr="00494326" w:rsidRDefault="0066629B" w:rsidP="00494326">
            <w:pPr>
              <w:jc w:val="center"/>
              <w:cnfStyle w:val="000000000000"/>
              <w:rPr>
                <w:rFonts w:ascii="Times New Roman" w:hAnsi="Times New Roman" w:cs="Times New Roman"/>
                <w:color w:val="auto"/>
                <w:sz w:val="18"/>
                <w:szCs w:val="18"/>
                <w:lang w:val="en-GB"/>
              </w:rPr>
            </w:pPr>
            <w:r w:rsidRPr="00494326">
              <w:rPr>
                <w:rFonts w:ascii="Times New Roman" w:hAnsi="Times New Roman" w:cs="Times New Roman"/>
                <w:color w:val="auto"/>
                <w:sz w:val="18"/>
                <w:szCs w:val="18"/>
                <w:lang w:val="en-GB"/>
              </w:rPr>
              <w:t>19</w:t>
            </w:r>
          </w:p>
        </w:tc>
      </w:tr>
      <w:tr w:rsidR="0066629B" w:rsidRPr="00494326" w:rsidTr="00F72635">
        <w:trPr>
          <w:cnfStyle w:val="000000100000"/>
          <w:jc w:val="center"/>
        </w:trPr>
        <w:tc>
          <w:tcPr>
            <w:cnfStyle w:val="001000000000"/>
            <w:tcW w:w="56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6629B" w:rsidRPr="00494326" w:rsidRDefault="0066629B" w:rsidP="00494326">
            <w:pPr>
              <w:rPr>
                <w:rFonts w:ascii="Times New Roman" w:hAnsi="Times New Roman" w:cs="Times New Roman"/>
                <w:i/>
                <w:color w:val="auto"/>
                <w:sz w:val="18"/>
                <w:szCs w:val="18"/>
                <w:lang w:val="en-GB"/>
              </w:rPr>
            </w:pPr>
            <w:r w:rsidRPr="00494326">
              <w:rPr>
                <w:rFonts w:ascii="Times New Roman" w:hAnsi="Times New Roman" w:cs="Times New Roman"/>
                <w:i/>
                <w:color w:val="auto"/>
                <w:sz w:val="18"/>
                <w:szCs w:val="18"/>
                <w:lang w:val="en-GB"/>
              </w:rPr>
              <w:t>Labo</w:t>
            </w:r>
            <w:r w:rsidR="00494326" w:rsidRPr="00494326">
              <w:rPr>
                <w:rFonts w:ascii="Times New Roman" w:hAnsi="Times New Roman" w:cs="Times New Roman"/>
                <w:i/>
                <w:color w:val="auto"/>
                <w:sz w:val="18"/>
                <w:szCs w:val="18"/>
                <w:lang w:val="en-GB"/>
              </w:rPr>
              <w:t>u</w:t>
            </w:r>
            <w:r w:rsidRPr="00494326">
              <w:rPr>
                <w:rFonts w:ascii="Times New Roman" w:hAnsi="Times New Roman" w:cs="Times New Roman"/>
                <w:i/>
                <w:color w:val="auto"/>
                <w:sz w:val="18"/>
                <w:szCs w:val="18"/>
                <w:lang w:val="en-GB"/>
              </w:rPr>
              <w:t>r</w:t>
            </w:r>
          </w:p>
        </w:tc>
        <w:tc>
          <w:tcPr>
            <w:tcW w:w="182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6629B" w:rsidRPr="00494326" w:rsidRDefault="0066629B" w:rsidP="00494326">
            <w:pPr>
              <w:jc w:val="center"/>
              <w:cnfStyle w:val="000000100000"/>
              <w:rPr>
                <w:rFonts w:ascii="Times New Roman" w:hAnsi="Times New Roman" w:cs="Times New Roman"/>
                <w:color w:val="auto"/>
                <w:sz w:val="18"/>
                <w:szCs w:val="18"/>
                <w:lang w:val="en-GB"/>
              </w:rPr>
            </w:pPr>
            <w:r w:rsidRPr="00494326">
              <w:rPr>
                <w:rFonts w:ascii="Times New Roman" w:hAnsi="Times New Roman" w:cs="Times New Roman"/>
                <w:color w:val="auto"/>
                <w:sz w:val="18"/>
                <w:szCs w:val="18"/>
                <w:lang w:val="en-GB"/>
              </w:rPr>
              <w:t>365</w:t>
            </w:r>
          </w:p>
        </w:tc>
        <w:tc>
          <w:tcPr>
            <w:tcW w:w="188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6629B" w:rsidRPr="00494326" w:rsidRDefault="0066629B" w:rsidP="00494326">
            <w:pPr>
              <w:jc w:val="center"/>
              <w:cnfStyle w:val="000000100000"/>
              <w:rPr>
                <w:rFonts w:ascii="Times New Roman" w:hAnsi="Times New Roman" w:cs="Times New Roman"/>
                <w:color w:val="auto"/>
                <w:sz w:val="18"/>
                <w:szCs w:val="18"/>
                <w:lang w:val="en-GB"/>
              </w:rPr>
            </w:pPr>
            <w:r w:rsidRPr="00494326">
              <w:rPr>
                <w:rFonts w:ascii="Times New Roman" w:hAnsi="Times New Roman" w:cs="Times New Roman"/>
                <w:color w:val="auto"/>
                <w:sz w:val="18"/>
                <w:szCs w:val="18"/>
                <w:lang w:val="en-GB"/>
              </w:rPr>
              <w:t>32</w:t>
            </w:r>
          </w:p>
        </w:tc>
      </w:tr>
      <w:tr w:rsidR="0066629B" w:rsidRPr="00494326" w:rsidTr="00F72635">
        <w:trPr>
          <w:jc w:val="center"/>
        </w:trPr>
        <w:tc>
          <w:tcPr>
            <w:cnfStyle w:val="001000000000"/>
            <w:tcW w:w="5638" w:type="dxa"/>
            <w:tcBorders>
              <w:left w:val="none" w:sz="0" w:space="0" w:color="auto"/>
              <w:bottom w:val="none" w:sz="0" w:space="0" w:color="auto"/>
              <w:right w:val="none" w:sz="0" w:space="0" w:color="auto"/>
            </w:tcBorders>
            <w:shd w:val="clear" w:color="auto" w:fill="FFFFFF" w:themeFill="background1"/>
            <w:vAlign w:val="center"/>
          </w:tcPr>
          <w:p w:rsidR="0066629B" w:rsidRPr="00494326" w:rsidRDefault="00494326" w:rsidP="00494326">
            <w:pPr>
              <w:rPr>
                <w:rFonts w:ascii="Times New Roman" w:hAnsi="Times New Roman" w:cs="Times New Roman"/>
                <w:i/>
                <w:color w:val="auto"/>
                <w:sz w:val="18"/>
                <w:szCs w:val="18"/>
                <w:lang w:val="en-GB"/>
              </w:rPr>
            </w:pPr>
            <w:r w:rsidRPr="00494326">
              <w:rPr>
                <w:rFonts w:ascii="Times New Roman" w:hAnsi="Times New Roman" w:cs="Times New Roman"/>
                <w:i/>
                <w:color w:val="auto"/>
                <w:sz w:val="18"/>
                <w:szCs w:val="18"/>
                <w:lang w:val="en-GB"/>
              </w:rPr>
              <w:t>Property r</w:t>
            </w:r>
            <w:r w:rsidR="0066629B" w:rsidRPr="00494326">
              <w:rPr>
                <w:rFonts w:ascii="Times New Roman" w:hAnsi="Times New Roman" w:cs="Times New Roman"/>
                <w:i/>
                <w:color w:val="auto"/>
                <w:sz w:val="18"/>
                <w:szCs w:val="18"/>
                <w:lang w:val="en-GB"/>
              </w:rPr>
              <w:t>ights</w:t>
            </w:r>
          </w:p>
        </w:tc>
        <w:tc>
          <w:tcPr>
            <w:tcW w:w="1823" w:type="dxa"/>
            <w:shd w:val="clear" w:color="auto" w:fill="FFFFFF" w:themeFill="background1"/>
            <w:vAlign w:val="center"/>
          </w:tcPr>
          <w:p w:rsidR="0066629B" w:rsidRPr="00494326" w:rsidRDefault="0066629B" w:rsidP="00494326">
            <w:pPr>
              <w:jc w:val="center"/>
              <w:cnfStyle w:val="000000000000"/>
              <w:rPr>
                <w:rFonts w:ascii="Times New Roman" w:hAnsi="Times New Roman" w:cs="Times New Roman"/>
                <w:color w:val="auto"/>
                <w:sz w:val="18"/>
                <w:szCs w:val="18"/>
                <w:lang w:val="en-GB"/>
              </w:rPr>
            </w:pPr>
            <w:r w:rsidRPr="00494326">
              <w:rPr>
                <w:rFonts w:ascii="Times New Roman" w:hAnsi="Times New Roman" w:cs="Times New Roman"/>
                <w:color w:val="auto"/>
                <w:sz w:val="18"/>
                <w:szCs w:val="18"/>
                <w:lang w:val="en-GB"/>
              </w:rPr>
              <w:t>424</w:t>
            </w:r>
          </w:p>
        </w:tc>
        <w:tc>
          <w:tcPr>
            <w:tcW w:w="1881" w:type="dxa"/>
            <w:shd w:val="clear" w:color="auto" w:fill="FFFFFF" w:themeFill="background1"/>
            <w:vAlign w:val="center"/>
          </w:tcPr>
          <w:p w:rsidR="0066629B" w:rsidRPr="00494326" w:rsidRDefault="0066629B" w:rsidP="00494326">
            <w:pPr>
              <w:jc w:val="center"/>
              <w:cnfStyle w:val="000000000000"/>
              <w:rPr>
                <w:rFonts w:ascii="Times New Roman" w:hAnsi="Times New Roman" w:cs="Times New Roman"/>
                <w:color w:val="auto"/>
                <w:sz w:val="18"/>
                <w:szCs w:val="18"/>
                <w:lang w:val="en-GB"/>
              </w:rPr>
            </w:pPr>
            <w:r w:rsidRPr="00494326">
              <w:rPr>
                <w:rFonts w:ascii="Times New Roman" w:hAnsi="Times New Roman" w:cs="Times New Roman"/>
                <w:color w:val="auto"/>
                <w:sz w:val="18"/>
                <w:szCs w:val="18"/>
                <w:lang w:val="en-GB"/>
              </w:rPr>
              <w:t>65</w:t>
            </w:r>
          </w:p>
        </w:tc>
      </w:tr>
      <w:tr w:rsidR="0066629B" w:rsidRPr="00494326" w:rsidTr="00F72635">
        <w:trPr>
          <w:cnfStyle w:val="000000100000"/>
          <w:jc w:val="center"/>
        </w:trPr>
        <w:tc>
          <w:tcPr>
            <w:cnfStyle w:val="001000000000"/>
            <w:tcW w:w="56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6629B" w:rsidRPr="00494326" w:rsidRDefault="00494326" w:rsidP="00494326">
            <w:pPr>
              <w:rPr>
                <w:rFonts w:ascii="Times New Roman" w:hAnsi="Times New Roman" w:cs="Times New Roman"/>
                <w:i/>
                <w:color w:val="auto"/>
                <w:sz w:val="18"/>
                <w:szCs w:val="18"/>
                <w:lang w:val="en-GB"/>
              </w:rPr>
            </w:pPr>
            <w:r w:rsidRPr="00494326">
              <w:rPr>
                <w:rFonts w:ascii="Times New Roman" w:hAnsi="Times New Roman" w:cs="Times New Roman"/>
                <w:i/>
                <w:color w:val="auto"/>
                <w:sz w:val="18"/>
                <w:szCs w:val="18"/>
                <w:lang w:val="en-GB"/>
              </w:rPr>
              <w:t>Financial c</w:t>
            </w:r>
            <w:r w:rsidR="0066629B" w:rsidRPr="00494326">
              <w:rPr>
                <w:rFonts w:ascii="Times New Roman" w:hAnsi="Times New Roman" w:cs="Times New Roman"/>
                <w:i/>
                <w:color w:val="auto"/>
                <w:sz w:val="18"/>
                <w:szCs w:val="18"/>
                <w:lang w:val="en-GB"/>
              </w:rPr>
              <w:t>laims</w:t>
            </w:r>
          </w:p>
        </w:tc>
        <w:tc>
          <w:tcPr>
            <w:tcW w:w="182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6629B" w:rsidRPr="00494326" w:rsidRDefault="0066629B" w:rsidP="00494326">
            <w:pPr>
              <w:jc w:val="center"/>
              <w:cnfStyle w:val="000000100000"/>
              <w:rPr>
                <w:rFonts w:ascii="Times New Roman" w:hAnsi="Times New Roman" w:cs="Times New Roman"/>
                <w:color w:val="auto"/>
                <w:sz w:val="18"/>
                <w:szCs w:val="18"/>
                <w:rtl/>
                <w:lang w:val="en-GB"/>
              </w:rPr>
            </w:pPr>
            <w:r w:rsidRPr="00494326">
              <w:rPr>
                <w:rFonts w:ascii="Times New Roman" w:hAnsi="Times New Roman" w:cs="Times New Roman"/>
                <w:color w:val="auto"/>
                <w:sz w:val="18"/>
                <w:szCs w:val="18"/>
                <w:lang w:val="en-GB"/>
              </w:rPr>
              <w:t>34</w:t>
            </w:r>
          </w:p>
        </w:tc>
        <w:tc>
          <w:tcPr>
            <w:tcW w:w="188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6629B" w:rsidRPr="00494326" w:rsidRDefault="0066629B" w:rsidP="00494326">
            <w:pPr>
              <w:jc w:val="center"/>
              <w:cnfStyle w:val="000000100000"/>
              <w:rPr>
                <w:rFonts w:ascii="Times New Roman" w:hAnsi="Times New Roman" w:cs="Times New Roman"/>
                <w:color w:val="auto"/>
                <w:sz w:val="18"/>
                <w:szCs w:val="18"/>
                <w:lang w:val="en-GB"/>
              </w:rPr>
            </w:pPr>
            <w:r w:rsidRPr="00494326">
              <w:rPr>
                <w:rFonts w:ascii="Times New Roman" w:hAnsi="Times New Roman" w:cs="Times New Roman"/>
                <w:color w:val="auto"/>
                <w:sz w:val="18"/>
                <w:szCs w:val="18"/>
                <w:lang w:val="en-GB"/>
              </w:rPr>
              <w:t>4</w:t>
            </w:r>
          </w:p>
        </w:tc>
      </w:tr>
      <w:tr w:rsidR="0066629B" w:rsidRPr="00494326" w:rsidTr="00F72635">
        <w:trPr>
          <w:jc w:val="center"/>
        </w:trPr>
        <w:tc>
          <w:tcPr>
            <w:cnfStyle w:val="001000000000"/>
            <w:tcW w:w="5638" w:type="dxa"/>
            <w:tcBorders>
              <w:left w:val="none" w:sz="0" w:space="0" w:color="auto"/>
              <w:bottom w:val="none" w:sz="0" w:space="0" w:color="auto"/>
              <w:right w:val="none" w:sz="0" w:space="0" w:color="auto"/>
            </w:tcBorders>
            <w:shd w:val="clear" w:color="auto" w:fill="FFFFFF" w:themeFill="background1"/>
            <w:vAlign w:val="center"/>
          </w:tcPr>
          <w:p w:rsidR="0066629B" w:rsidRPr="00494326" w:rsidRDefault="00B61D2C" w:rsidP="00494326">
            <w:pPr>
              <w:rPr>
                <w:rFonts w:ascii="Times New Roman" w:hAnsi="Times New Roman" w:cs="Times New Roman"/>
                <w:i/>
                <w:color w:val="auto"/>
                <w:sz w:val="18"/>
                <w:szCs w:val="18"/>
                <w:lang w:val="en-GB"/>
              </w:rPr>
            </w:pPr>
            <w:r w:rsidRPr="00494326">
              <w:rPr>
                <w:rFonts w:ascii="Times New Roman" w:hAnsi="Times New Roman" w:cs="Times New Roman"/>
                <w:i/>
                <w:color w:val="auto"/>
                <w:sz w:val="18"/>
                <w:szCs w:val="18"/>
                <w:lang w:val="en-GB"/>
              </w:rPr>
              <w:t>GBV</w:t>
            </w:r>
            <w:r w:rsidR="0066629B" w:rsidRPr="00494326">
              <w:rPr>
                <w:rFonts w:ascii="Times New Roman" w:hAnsi="Times New Roman" w:cs="Times New Roman"/>
                <w:i/>
                <w:color w:val="auto"/>
                <w:sz w:val="18"/>
                <w:szCs w:val="18"/>
                <w:lang w:val="en-GB"/>
              </w:rPr>
              <w:t xml:space="preserve"> and VAW</w:t>
            </w:r>
          </w:p>
        </w:tc>
        <w:tc>
          <w:tcPr>
            <w:tcW w:w="1823" w:type="dxa"/>
            <w:tcBorders>
              <w:bottom w:val="single" w:sz="4" w:space="0" w:color="auto"/>
            </w:tcBorders>
            <w:shd w:val="clear" w:color="auto" w:fill="FFFFFF" w:themeFill="background1"/>
            <w:vAlign w:val="center"/>
          </w:tcPr>
          <w:p w:rsidR="0066629B" w:rsidRPr="00494326" w:rsidRDefault="0066629B" w:rsidP="00494326">
            <w:pPr>
              <w:jc w:val="center"/>
              <w:cnfStyle w:val="000000000000"/>
              <w:rPr>
                <w:rFonts w:ascii="Times New Roman" w:hAnsi="Times New Roman" w:cs="Times New Roman"/>
                <w:color w:val="auto"/>
                <w:sz w:val="18"/>
                <w:szCs w:val="18"/>
                <w:lang w:val="en-GB"/>
              </w:rPr>
            </w:pPr>
            <w:r w:rsidRPr="00494326">
              <w:rPr>
                <w:rFonts w:ascii="Times New Roman" w:hAnsi="Times New Roman" w:cs="Times New Roman"/>
                <w:color w:val="auto"/>
                <w:sz w:val="18"/>
                <w:szCs w:val="18"/>
                <w:lang w:val="en-GB"/>
              </w:rPr>
              <w:t>296</w:t>
            </w:r>
          </w:p>
        </w:tc>
        <w:tc>
          <w:tcPr>
            <w:tcW w:w="1881" w:type="dxa"/>
            <w:tcBorders>
              <w:bottom w:val="single" w:sz="4" w:space="0" w:color="auto"/>
            </w:tcBorders>
            <w:shd w:val="clear" w:color="auto" w:fill="FFFFFF" w:themeFill="background1"/>
            <w:vAlign w:val="center"/>
          </w:tcPr>
          <w:p w:rsidR="0066629B" w:rsidRPr="00494326" w:rsidRDefault="0066629B" w:rsidP="00494326">
            <w:pPr>
              <w:jc w:val="center"/>
              <w:cnfStyle w:val="000000000000"/>
              <w:rPr>
                <w:rFonts w:ascii="Times New Roman" w:hAnsi="Times New Roman" w:cs="Times New Roman"/>
                <w:color w:val="auto"/>
                <w:sz w:val="18"/>
                <w:szCs w:val="18"/>
                <w:lang w:val="en-GB"/>
              </w:rPr>
            </w:pPr>
            <w:r w:rsidRPr="00494326">
              <w:rPr>
                <w:rFonts w:ascii="Times New Roman" w:hAnsi="Times New Roman" w:cs="Times New Roman"/>
                <w:color w:val="auto"/>
                <w:sz w:val="18"/>
                <w:szCs w:val="18"/>
                <w:lang w:val="en-GB"/>
              </w:rPr>
              <w:t>41</w:t>
            </w:r>
          </w:p>
        </w:tc>
      </w:tr>
      <w:tr w:rsidR="0066629B" w:rsidRPr="00494326" w:rsidTr="00F72635">
        <w:trPr>
          <w:cnfStyle w:val="000000100000"/>
          <w:jc w:val="center"/>
        </w:trPr>
        <w:tc>
          <w:tcPr>
            <w:cnfStyle w:val="001000000000"/>
            <w:tcW w:w="56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6629B" w:rsidRPr="00494326" w:rsidRDefault="00494326" w:rsidP="00494326">
            <w:pPr>
              <w:rPr>
                <w:rFonts w:ascii="Times New Roman" w:hAnsi="Times New Roman" w:cs="Times New Roman"/>
                <w:i/>
                <w:color w:val="auto"/>
                <w:sz w:val="18"/>
                <w:szCs w:val="18"/>
                <w:lang w:val="en-GB"/>
              </w:rPr>
            </w:pPr>
            <w:r w:rsidRPr="00494326">
              <w:rPr>
                <w:rFonts w:ascii="Times New Roman" w:hAnsi="Times New Roman" w:cs="Times New Roman"/>
                <w:i/>
                <w:color w:val="auto"/>
                <w:sz w:val="18"/>
                <w:szCs w:val="18"/>
                <w:lang w:val="en-GB"/>
              </w:rPr>
              <w:t>Juvenile j</w:t>
            </w:r>
            <w:r w:rsidR="0066629B" w:rsidRPr="00494326">
              <w:rPr>
                <w:rFonts w:ascii="Times New Roman" w:hAnsi="Times New Roman" w:cs="Times New Roman"/>
                <w:i/>
                <w:color w:val="auto"/>
                <w:sz w:val="18"/>
                <w:szCs w:val="18"/>
                <w:lang w:val="en-GB"/>
              </w:rPr>
              <w:t>ustice</w:t>
            </w:r>
          </w:p>
        </w:tc>
        <w:tc>
          <w:tcPr>
            <w:tcW w:w="182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6629B" w:rsidRPr="00494326" w:rsidRDefault="0066629B" w:rsidP="00494326">
            <w:pPr>
              <w:jc w:val="center"/>
              <w:cnfStyle w:val="000000100000"/>
              <w:rPr>
                <w:rFonts w:ascii="Times New Roman" w:hAnsi="Times New Roman" w:cs="Times New Roman"/>
                <w:color w:val="auto"/>
                <w:sz w:val="18"/>
                <w:szCs w:val="18"/>
                <w:lang w:val="en-GB"/>
              </w:rPr>
            </w:pPr>
            <w:r w:rsidRPr="00494326">
              <w:rPr>
                <w:rFonts w:ascii="Times New Roman" w:hAnsi="Times New Roman" w:cs="Times New Roman"/>
                <w:color w:val="auto"/>
                <w:sz w:val="18"/>
                <w:szCs w:val="18"/>
                <w:rtl/>
                <w:lang w:val="en-GB"/>
              </w:rPr>
              <w:t>240</w:t>
            </w:r>
          </w:p>
        </w:tc>
        <w:tc>
          <w:tcPr>
            <w:tcW w:w="188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6629B" w:rsidRPr="00494326" w:rsidRDefault="0066629B" w:rsidP="00494326">
            <w:pPr>
              <w:jc w:val="center"/>
              <w:cnfStyle w:val="000000100000"/>
              <w:rPr>
                <w:rFonts w:ascii="Times New Roman" w:hAnsi="Times New Roman" w:cs="Times New Roman"/>
                <w:color w:val="auto"/>
                <w:sz w:val="18"/>
                <w:szCs w:val="18"/>
                <w:lang w:val="en-GB"/>
              </w:rPr>
            </w:pPr>
            <w:r w:rsidRPr="00494326">
              <w:rPr>
                <w:rFonts w:ascii="Times New Roman" w:hAnsi="Times New Roman" w:cs="Times New Roman"/>
                <w:color w:val="auto"/>
                <w:sz w:val="18"/>
                <w:szCs w:val="18"/>
                <w:lang w:val="en-GB"/>
              </w:rPr>
              <w:t>50</w:t>
            </w:r>
          </w:p>
        </w:tc>
      </w:tr>
      <w:tr w:rsidR="0066629B" w:rsidRPr="00494326" w:rsidTr="00F72635">
        <w:trPr>
          <w:jc w:val="center"/>
        </w:trPr>
        <w:tc>
          <w:tcPr>
            <w:cnfStyle w:val="001000000000"/>
            <w:tcW w:w="5638" w:type="dxa"/>
            <w:tcBorders>
              <w:left w:val="none" w:sz="0" w:space="0" w:color="auto"/>
              <w:bottom w:val="none" w:sz="0" w:space="0" w:color="auto"/>
              <w:right w:val="none" w:sz="0" w:space="0" w:color="auto"/>
            </w:tcBorders>
            <w:shd w:val="clear" w:color="auto" w:fill="FFFFFF" w:themeFill="background1"/>
            <w:vAlign w:val="center"/>
          </w:tcPr>
          <w:p w:rsidR="0066629B" w:rsidRPr="00494326" w:rsidRDefault="0066629B" w:rsidP="00494326">
            <w:pPr>
              <w:rPr>
                <w:rFonts w:ascii="Times New Roman" w:hAnsi="Times New Roman" w:cs="Times New Roman"/>
                <w:i/>
                <w:color w:val="auto"/>
                <w:sz w:val="18"/>
                <w:szCs w:val="18"/>
                <w:lang w:val="en-GB"/>
              </w:rPr>
            </w:pPr>
            <w:r w:rsidRPr="00494326">
              <w:rPr>
                <w:rFonts w:ascii="Times New Roman" w:hAnsi="Times New Roman" w:cs="Times New Roman"/>
                <w:i/>
                <w:color w:val="auto"/>
                <w:sz w:val="18"/>
                <w:szCs w:val="18"/>
                <w:lang w:val="en-GB"/>
              </w:rPr>
              <w:t>Others</w:t>
            </w:r>
          </w:p>
        </w:tc>
        <w:tc>
          <w:tcPr>
            <w:tcW w:w="1823" w:type="dxa"/>
            <w:shd w:val="clear" w:color="auto" w:fill="FFFFFF" w:themeFill="background1"/>
            <w:vAlign w:val="center"/>
          </w:tcPr>
          <w:p w:rsidR="0066629B" w:rsidRPr="00494326" w:rsidRDefault="0066629B" w:rsidP="00494326">
            <w:pPr>
              <w:jc w:val="center"/>
              <w:cnfStyle w:val="000000000000"/>
              <w:rPr>
                <w:rFonts w:ascii="Times New Roman" w:hAnsi="Times New Roman" w:cs="Times New Roman"/>
                <w:color w:val="auto"/>
                <w:sz w:val="18"/>
                <w:szCs w:val="18"/>
                <w:lang w:val="en-GB"/>
              </w:rPr>
            </w:pPr>
            <w:r w:rsidRPr="00494326">
              <w:rPr>
                <w:rFonts w:ascii="Times New Roman" w:hAnsi="Times New Roman" w:cs="Times New Roman"/>
                <w:color w:val="auto"/>
                <w:sz w:val="18"/>
                <w:szCs w:val="18"/>
                <w:rtl/>
                <w:lang w:val="en-GB"/>
              </w:rPr>
              <w:t>10</w:t>
            </w:r>
            <w:r w:rsidRPr="00494326">
              <w:rPr>
                <w:rFonts w:ascii="Times New Roman" w:hAnsi="Times New Roman" w:cs="Times New Roman"/>
                <w:color w:val="auto"/>
                <w:sz w:val="18"/>
                <w:szCs w:val="18"/>
                <w:lang w:val="en-GB"/>
              </w:rPr>
              <w:t>7</w:t>
            </w:r>
          </w:p>
        </w:tc>
        <w:tc>
          <w:tcPr>
            <w:tcW w:w="1881" w:type="dxa"/>
            <w:shd w:val="clear" w:color="auto" w:fill="FFFFFF" w:themeFill="background1"/>
            <w:vAlign w:val="center"/>
          </w:tcPr>
          <w:p w:rsidR="0066629B" w:rsidRPr="00494326" w:rsidRDefault="0066629B" w:rsidP="00494326">
            <w:pPr>
              <w:jc w:val="center"/>
              <w:cnfStyle w:val="000000000000"/>
              <w:rPr>
                <w:rFonts w:ascii="Times New Roman" w:hAnsi="Times New Roman" w:cs="Times New Roman"/>
                <w:color w:val="auto"/>
                <w:sz w:val="18"/>
                <w:szCs w:val="18"/>
                <w:lang w:val="en-GB"/>
              </w:rPr>
            </w:pPr>
            <w:r w:rsidRPr="00494326">
              <w:rPr>
                <w:rFonts w:ascii="Times New Roman" w:hAnsi="Times New Roman" w:cs="Times New Roman"/>
                <w:color w:val="auto"/>
                <w:sz w:val="18"/>
                <w:szCs w:val="18"/>
                <w:lang w:val="en-GB"/>
              </w:rPr>
              <w:t>44</w:t>
            </w:r>
          </w:p>
        </w:tc>
      </w:tr>
      <w:tr w:rsidR="0066629B" w:rsidRPr="00494326" w:rsidTr="00F72635">
        <w:trPr>
          <w:cnfStyle w:val="000000100000"/>
          <w:jc w:val="center"/>
        </w:trPr>
        <w:tc>
          <w:tcPr>
            <w:cnfStyle w:val="001000000000"/>
            <w:tcW w:w="5638" w:type="dxa"/>
            <w:tcBorders>
              <w:left w:val="none" w:sz="0" w:space="0" w:color="auto"/>
              <w:bottom w:val="none" w:sz="0" w:space="0" w:color="auto"/>
              <w:right w:val="none" w:sz="0" w:space="0" w:color="auto"/>
            </w:tcBorders>
            <w:shd w:val="clear" w:color="auto" w:fill="FFFFFF" w:themeFill="background1"/>
            <w:vAlign w:val="center"/>
          </w:tcPr>
          <w:p w:rsidR="0066629B" w:rsidRPr="00494326" w:rsidRDefault="00370F22" w:rsidP="00494326">
            <w:pPr>
              <w:rPr>
                <w:rFonts w:ascii="Times New Roman" w:hAnsi="Times New Roman" w:cs="Times New Roman"/>
                <w:i/>
                <w:color w:val="auto"/>
                <w:sz w:val="18"/>
                <w:szCs w:val="18"/>
                <w:lang w:val="en-GB"/>
              </w:rPr>
            </w:pPr>
            <w:r>
              <w:rPr>
                <w:rFonts w:ascii="Times New Roman" w:hAnsi="Times New Roman" w:cs="Times New Roman"/>
                <w:i/>
                <w:color w:val="auto"/>
                <w:sz w:val="18"/>
                <w:szCs w:val="18"/>
                <w:lang w:val="en-GB"/>
              </w:rPr>
              <w:t>Personal s</w:t>
            </w:r>
            <w:r w:rsidR="0066629B" w:rsidRPr="00494326">
              <w:rPr>
                <w:rFonts w:ascii="Times New Roman" w:hAnsi="Times New Roman" w:cs="Times New Roman"/>
                <w:i/>
                <w:color w:val="auto"/>
                <w:sz w:val="18"/>
                <w:szCs w:val="18"/>
                <w:lang w:val="en-GB"/>
              </w:rPr>
              <w:t>tatus</w:t>
            </w:r>
          </w:p>
        </w:tc>
        <w:tc>
          <w:tcPr>
            <w:tcW w:w="1823" w:type="dxa"/>
            <w:tcBorders>
              <w:top w:val="single" w:sz="4" w:space="0" w:color="auto"/>
              <w:bottom w:val="single" w:sz="4" w:space="0" w:color="auto"/>
              <w:right w:val="single" w:sz="4" w:space="0" w:color="auto"/>
            </w:tcBorders>
            <w:shd w:val="clear" w:color="auto" w:fill="FFFFFF" w:themeFill="background1"/>
            <w:vAlign w:val="center"/>
          </w:tcPr>
          <w:p w:rsidR="0066629B" w:rsidRPr="00494326" w:rsidRDefault="0066629B" w:rsidP="00494326">
            <w:pPr>
              <w:jc w:val="center"/>
              <w:cnfStyle w:val="000000100000"/>
              <w:rPr>
                <w:rFonts w:ascii="Times New Roman" w:hAnsi="Times New Roman" w:cs="Times New Roman"/>
                <w:color w:val="auto"/>
                <w:sz w:val="18"/>
                <w:szCs w:val="18"/>
                <w:lang w:val="en-GB"/>
              </w:rPr>
            </w:pPr>
            <w:r w:rsidRPr="00494326">
              <w:rPr>
                <w:rFonts w:ascii="Times New Roman" w:hAnsi="Times New Roman" w:cs="Times New Roman"/>
                <w:color w:val="auto"/>
                <w:sz w:val="18"/>
                <w:szCs w:val="18"/>
                <w:lang w:val="en-GB"/>
              </w:rPr>
              <w:t>1</w:t>
            </w:r>
            <w:r w:rsidR="00494326">
              <w:rPr>
                <w:rFonts w:ascii="Times New Roman" w:hAnsi="Times New Roman" w:cs="Times New Roman"/>
                <w:color w:val="auto"/>
                <w:sz w:val="18"/>
                <w:szCs w:val="18"/>
                <w:lang w:val="en-GB"/>
              </w:rPr>
              <w:t>,</w:t>
            </w:r>
            <w:r w:rsidRPr="00494326">
              <w:rPr>
                <w:rFonts w:ascii="Times New Roman" w:hAnsi="Times New Roman" w:cs="Times New Roman"/>
                <w:color w:val="auto"/>
                <w:sz w:val="18"/>
                <w:szCs w:val="18"/>
                <w:lang w:val="en-GB"/>
              </w:rPr>
              <w:t>563</w:t>
            </w:r>
          </w:p>
        </w:tc>
        <w:tc>
          <w:tcPr>
            <w:tcW w:w="1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629B" w:rsidRPr="00494326" w:rsidRDefault="0066629B" w:rsidP="00494326">
            <w:pPr>
              <w:jc w:val="center"/>
              <w:cnfStyle w:val="000000100000"/>
              <w:rPr>
                <w:rFonts w:ascii="Times New Roman" w:hAnsi="Times New Roman" w:cs="Times New Roman"/>
                <w:color w:val="auto"/>
                <w:sz w:val="18"/>
                <w:szCs w:val="18"/>
                <w:lang w:val="en-GB"/>
              </w:rPr>
            </w:pPr>
            <w:r w:rsidRPr="00494326">
              <w:rPr>
                <w:rFonts w:ascii="Times New Roman" w:hAnsi="Times New Roman" w:cs="Times New Roman"/>
                <w:color w:val="auto"/>
                <w:sz w:val="18"/>
                <w:szCs w:val="18"/>
                <w:lang w:val="en-GB"/>
              </w:rPr>
              <w:t>532</w:t>
            </w:r>
          </w:p>
        </w:tc>
      </w:tr>
      <w:tr w:rsidR="0066629B" w:rsidRPr="00494326" w:rsidTr="00F72635">
        <w:trPr>
          <w:jc w:val="center"/>
        </w:trPr>
        <w:tc>
          <w:tcPr>
            <w:cnfStyle w:val="001000000000"/>
            <w:tcW w:w="5638" w:type="dxa"/>
            <w:tcBorders>
              <w:left w:val="none" w:sz="0" w:space="0" w:color="auto"/>
              <w:bottom w:val="none" w:sz="0" w:space="0" w:color="auto"/>
              <w:right w:val="none" w:sz="0" w:space="0" w:color="auto"/>
            </w:tcBorders>
            <w:shd w:val="clear" w:color="auto" w:fill="FFFFFF" w:themeFill="background1"/>
            <w:vAlign w:val="center"/>
          </w:tcPr>
          <w:p w:rsidR="0066629B" w:rsidRPr="00494326" w:rsidRDefault="00370F22" w:rsidP="00494326">
            <w:pPr>
              <w:rPr>
                <w:rFonts w:ascii="Times New Roman" w:hAnsi="Times New Roman" w:cs="Times New Roman"/>
                <w:i/>
                <w:color w:val="auto"/>
                <w:sz w:val="18"/>
                <w:szCs w:val="18"/>
                <w:lang w:val="en-GB"/>
              </w:rPr>
            </w:pPr>
            <w:r>
              <w:rPr>
                <w:rFonts w:ascii="Times New Roman" w:hAnsi="Times New Roman" w:cs="Times New Roman"/>
                <w:i/>
                <w:color w:val="auto"/>
                <w:sz w:val="18"/>
                <w:szCs w:val="18"/>
                <w:lang w:val="en-GB"/>
              </w:rPr>
              <w:t>Inheritance r</w:t>
            </w:r>
            <w:r w:rsidR="0066629B" w:rsidRPr="00494326">
              <w:rPr>
                <w:rFonts w:ascii="Times New Roman" w:hAnsi="Times New Roman" w:cs="Times New Roman"/>
                <w:i/>
                <w:color w:val="auto"/>
                <w:sz w:val="18"/>
                <w:szCs w:val="18"/>
                <w:lang w:val="en-GB"/>
              </w:rPr>
              <w:t>ights</w:t>
            </w:r>
          </w:p>
        </w:tc>
        <w:tc>
          <w:tcPr>
            <w:tcW w:w="1823" w:type="dxa"/>
            <w:shd w:val="clear" w:color="auto" w:fill="FFFFFF" w:themeFill="background1"/>
            <w:vAlign w:val="center"/>
          </w:tcPr>
          <w:p w:rsidR="0066629B" w:rsidRPr="00494326" w:rsidRDefault="0066629B" w:rsidP="00494326">
            <w:pPr>
              <w:jc w:val="center"/>
              <w:cnfStyle w:val="000000000000"/>
              <w:rPr>
                <w:rFonts w:ascii="Times New Roman" w:hAnsi="Times New Roman" w:cs="Times New Roman"/>
                <w:color w:val="auto"/>
                <w:sz w:val="18"/>
                <w:szCs w:val="18"/>
                <w:lang w:val="en-GB"/>
              </w:rPr>
            </w:pPr>
            <w:r w:rsidRPr="00494326">
              <w:rPr>
                <w:rFonts w:ascii="Times New Roman" w:hAnsi="Times New Roman" w:cs="Times New Roman"/>
                <w:color w:val="auto"/>
                <w:sz w:val="18"/>
                <w:szCs w:val="18"/>
                <w:lang w:val="en-GB"/>
              </w:rPr>
              <w:t>191</w:t>
            </w:r>
          </w:p>
        </w:tc>
        <w:tc>
          <w:tcPr>
            <w:tcW w:w="1881" w:type="dxa"/>
            <w:shd w:val="clear" w:color="auto" w:fill="FFFFFF" w:themeFill="background1"/>
            <w:vAlign w:val="center"/>
          </w:tcPr>
          <w:p w:rsidR="0066629B" w:rsidRPr="00494326" w:rsidRDefault="0066629B" w:rsidP="00494326">
            <w:pPr>
              <w:jc w:val="center"/>
              <w:cnfStyle w:val="000000000000"/>
              <w:rPr>
                <w:rFonts w:ascii="Times New Roman" w:hAnsi="Times New Roman" w:cs="Times New Roman"/>
                <w:color w:val="auto"/>
                <w:sz w:val="18"/>
                <w:szCs w:val="18"/>
                <w:lang w:val="en-GB"/>
              </w:rPr>
            </w:pPr>
            <w:r w:rsidRPr="00494326">
              <w:rPr>
                <w:rFonts w:ascii="Times New Roman" w:hAnsi="Times New Roman" w:cs="Times New Roman"/>
                <w:color w:val="auto"/>
                <w:sz w:val="18"/>
                <w:szCs w:val="18"/>
                <w:lang w:val="en-GB"/>
              </w:rPr>
              <w:t>50</w:t>
            </w:r>
          </w:p>
        </w:tc>
      </w:tr>
    </w:tbl>
    <w:p w:rsidR="0066629B" w:rsidRPr="00647752" w:rsidRDefault="0066629B" w:rsidP="00FB6759">
      <w:pPr>
        <w:spacing w:after="0" w:line="240" w:lineRule="auto"/>
        <w:jc w:val="center"/>
        <w:rPr>
          <w:rFonts w:ascii="Times New Roman" w:eastAsia="MS Mincho" w:hAnsi="Times New Roman" w:cs="Times New Roman"/>
          <w:b/>
          <w:bCs/>
          <w:sz w:val="22"/>
          <w:szCs w:val="24"/>
          <w:lang w:val="en-GB" w:eastAsia="ja-JP"/>
        </w:rPr>
      </w:pPr>
    </w:p>
    <w:p w:rsidR="0066629B" w:rsidRPr="00370F22" w:rsidRDefault="00F72635" w:rsidP="00F72635">
      <w:pPr>
        <w:spacing w:after="0" w:line="240" w:lineRule="auto"/>
        <w:jc w:val="center"/>
        <w:rPr>
          <w:rFonts w:ascii="Times New Roman" w:eastAsia="Times New Roman" w:hAnsi="Times New Roman" w:cs="Times New Roman"/>
          <w:b/>
          <w:bCs/>
          <w:sz w:val="18"/>
          <w:szCs w:val="18"/>
          <w:lang w:val="en-GB" w:eastAsia="ja-JP"/>
        </w:rPr>
      </w:pPr>
      <w:r>
        <w:rPr>
          <w:rFonts w:ascii="Times New Roman" w:eastAsia="Times New Roman" w:hAnsi="Times New Roman" w:cs="Times New Roman"/>
          <w:b/>
          <w:bCs/>
          <w:sz w:val="18"/>
          <w:szCs w:val="18"/>
          <w:lang w:val="en-GB" w:eastAsia="ja-JP"/>
        </w:rPr>
        <w:t>Awn n</w:t>
      </w:r>
      <w:r w:rsidR="00AB6D72">
        <w:rPr>
          <w:rFonts w:ascii="Times New Roman" w:eastAsia="Times New Roman" w:hAnsi="Times New Roman" w:cs="Times New Roman"/>
          <w:b/>
          <w:bCs/>
          <w:sz w:val="18"/>
          <w:szCs w:val="18"/>
          <w:lang w:val="en-GB" w:eastAsia="ja-JP"/>
        </w:rPr>
        <w:t>etwork: s</w:t>
      </w:r>
      <w:r w:rsidR="0066629B" w:rsidRPr="00370F22">
        <w:rPr>
          <w:rFonts w:ascii="Times New Roman" w:eastAsia="Times New Roman" w:hAnsi="Times New Roman" w:cs="Times New Roman"/>
          <w:b/>
          <w:bCs/>
          <w:sz w:val="18"/>
          <w:szCs w:val="18"/>
          <w:lang w:val="en-GB" w:eastAsia="ja-JP"/>
        </w:rPr>
        <w:t>ource of case referral to legal aid clinics</w:t>
      </w:r>
    </w:p>
    <w:tbl>
      <w:tblPr>
        <w:tblStyle w:val="DarkList-Accent21"/>
        <w:tblW w:w="9382" w:type="dxa"/>
        <w:jc w:val="center"/>
        <w:tblInd w:w="-3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11"/>
        <w:gridCol w:w="5670"/>
        <w:gridCol w:w="1800"/>
        <w:gridCol w:w="1901"/>
      </w:tblGrid>
      <w:tr w:rsidR="007D0101" w:rsidRPr="00370F22" w:rsidTr="00F72635">
        <w:trPr>
          <w:cnfStyle w:val="100000000000"/>
          <w:trHeight w:val="260"/>
          <w:jc w:val="center"/>
        </w:trPr>
        <w:tc>
          <w:tcPr>
            <w:cnfStyle w:val="001000000000"/>
            <w:tcW w:w="5681" w:type="dxa"/>
            <w:gridSpan w:val="2"/>
            <w:tcBorders>
              <w:top w:val="none" w:sz="0" w:space="0" w:color="auto"/>
              <w:left w:val="none" w:sz="0" w:space="0" w:color="auto"/>
              <w:bottom w:val="none" w:sz="0" w:space="0" w:color="auto"/>
              <w:right w:val="none" w:sz="0" w:space="0" w:color="auto"/>
            </w:tcBorders>
            <w:shd w:val="clear" w:color="auto" w:fill="D9D9D9"/>
            <w:vAlign w:val="center"/>
          </w:tcPr>
          <w:p w:rsidR="007D0101" w:rsidRPr="00370F22" w:rsidRDefault="007D0101" w:rsidP="00F72635">
            <w:pPr>
              <w:rPr>
                <w:rFonts w:ascii="Times New Roman" w:eastAsia="Times New Roman" w:hAnsi="Times New Roman" w:cs="Times New Roman"/>
                <w:color w:val="auto"/>
                <w:sz w:val="18"/>
                <w:szCs w:val="18"/>
                <w:lang w:val="en-GB"/>
              </w:rPr>
            </w:pPr>
            <w:r w:rsidRPr="00370F22">
              <w:rPr>
                <w:rFonts w:ascii="Times New Roman" w:eastAsia="Times New Roman" w:hAnsi="Times New Roman" w:cs="Times New Roman"/>
                <w:color w:val="auto"/>
                <w:sz w:val="18"/>
                <w:szCs w:val="18"/>
                <w:lang w:val="en-GB"/>
              </w:rPr>
              <w:t>Subject</w:t>
            </w:r>
          </w:p>
        </w:tc>
        <w:tc>
          <w:tcPr>
            <w:tcW w:w="1800" w:type="dxa"/>
            <w:tcBorders>
              <w:top w:val="none" w:sz="0" w:space="0" w:color="auto"/>
              <w:left w:val="none" w:sz="0" w:space="0" w:color="auto"/>
              <w:bottom w:val="none" w:sz="0" w:space="0" w:color="auto"/>
              <w:right w:val="none" w:sz="0" w:space="0" w:color="auto"/>
            </w:tcBorders>
            <w:shd w:val="clear" w:color="auto" w:fill="D9D9D9"/>
            <w:vAlign w:val="center"/>
          </w:tcPr>
          <w:p w:rsidR="007D0101" w:rsidRPr="00370F22" w:rsidRDefault="007D0101" w:rsidP="00F72635">
            <w:pPr>
              <w:jc w:val="center"/>
              <w:cnfStyle w:val="100000000000"/>
              <w:rPr>
                <w:rFonts w:ascii="Times New Roman" w:eastAsia="Times New Roman" w:hAnsi="Times New Roman" w:cs="Times New Roman"/>
                <w:color w:val="auto"/>
                <w:sz w:val="18"/>
                <w:szCs w:val="18"/>
                <w:lang w:val="en-GB"/>
              </w:rPr>
            </w:pPr>
            <w:r w:rsidRPr="00370F22">
              <w:rPr>
                <w:rFonts w:ascii="Times New Roman" w:eastAsia="Times New Roman" w:hAnsi="Times New Roman" w:cs="Times New Roman"/>
                <w:color w:val="auto"/>
                <w:sz w:val="18"/>
                <w:szCs w:val="18"/>
                <w:lang w:val="en-GB"/>
              </w:rPr>
              <w:t>Percentage</w:t>
            </w:r>
          </w:p>
        </w:tc>
        <w:tc>
          <w:tcPr>
            <w:tcW w:w="1901" w:type="dxa"/>
            <w:tcBorders>
              <w:top w:val="none" w:sz="0" w:space="0" w:color="auto"/>
              <w:left w:val="none" w:sz="0" w:space="0" w:color="auto"/>
              <w:bottom w:val="none" w:sz="0" w:space="0" w:color="auto"/>
              <w:right w:val="none" w:sz="0" w:space="0" w:color="auto"/>
            </w:tcBorders>
            <w:shd w:val="clear" w:color="auto" w:fill="D9D9D9"/>
            <w:vAlign w:val="center"/>
          </w:tcPr>
          <w:p w:rsidR="007D0101" w:rsidRPr="00370F22" w:rsidRDefault="007D0101" w:rsidP="00F72635">
            <w:pPr>
              <w:jc w:val="center"/>
              <w:cnfStyle w:val="100000000000"/>
              <w:rPr>
                <w:rFonts w:ascii="Times New Roman" w:eastAsia="Times New Roman" w:hAnsi="Times New Roman" w:cs="Times New Roman"/>
                <w:color w:val="auto"/>
                <w:sz w:val="18"/>
                <w:szCs w:val="18"/>
                <w:lang w:val="en-GB"/>
              </w:rPr>
            </w:pPr>
            <w:r w:rsidRPr="00370F22">
              <w:rPr>
                <w:rFonts w:ascii="Times New Roman" w:eastAsia="Times New Roman" w:hAnsi="Times New Roman" w:cs="Times New Roman"/>
                <w:color w:val="auto"/>
                <w:sz w:val="18"/>
                <w:szCs w:val="18"/>
                <w:lang w:val="en-GB"/>
              </w:rPr>
              <w:t>Numbers</w:t>
            </w:r>
          </w:p>
        </w:tc>
      </w:tr>
      <w:tr w:rsidR="007D0101" w:rsidRPr="00370F22" w:rsidTr="00F72635">
        <w:trPr>
          <w:gridBefore w:val="1"/>
          <w:cnfStyle w:val="000000100000"/>
          <w:wBefore w:w="11" w:type="dxa"/>
          <w:trHeight w:val="161"/>
          <w:jc w:val="center"/>
        </w:trPr>
        <w:tc>
          <w:tcPr>
            <w:cnfStyle w:val="001000000000"/>
            <w:tcW w:w="567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7D0101" w:rsidRPr="00F72635" w:rsidRDefault="007D0101" w:rsidP="00FB6759">
            <w:pPr>
              <w:rPr>
                <w:rFonts w:ascii="Times New Roman" w:eastAsia="Times New Roman" w:hAnsi="Times New Roman" w:cs="Times New Roman"/>
                <w:i/>
                <w:color w:val="auto"/>
                <w:sz w:val="18"/>
                <w:szCs w:val="18"/>
                <w:lang w:val="en-GB"/>
              </w:rPr>
            </w:pPr>
            <w:r w:rsidRPr="00F72635">
              <w:rPr>
                <w:rFonts w:ascii="Times New Roman" w:eastAsia="Times New Roman" w:hAnsi="Times New Roman" w:cs="Times New Roman"/>
                <w:color w:val="auto"/>
                <w:sz w:val="18"/>
                <w:szCs w:val="18"/>
                <w:lang w:val="en-GB"/>
              </w:rPr>
              <w:t>Shari’a</w:t>
            </w:r>
            <w:r w:rsidRPr="00F72635">
              <w:rPr>
                <w:rFonts w:ascii="Times New Roman" w:eastAsia="Times New Roman" w:hAnsi="Times New Roman" w:cs="Times New Roman"/>
                <w:i/>
                <w:color w:val="auto"/>
                <w:sz w:val="18"/>
                <w:szCs w:val="18"/>
                <w:lang w:val="en-GB"/>
              </w:rPr>
              <w:t xml:space="preserve"> courts</w:t>
            </w:r>
          </w:p>
        </w:tc>
        <w:tc>
          <w:tcPr>
            <w:tcW w:w="180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7D0101" w:rsidRPr="00370F22" w:rsidRDefault="007D0101" w:rsidP="00F72635">
            <w:pPr>
              <w:jc w:val="center"/>
              <w:cnfStyle w:val="000000100000"/>
              <w:rPr>
                <w:rFonts w:ascii="Times New Roman" w:eastAsia="Times New Roman" w:hAnsi="Times New Roman" w:cs="Times New Roman"/>
                <w:color w:val="auto"/>
                <w:sz w:val="18"/>
                <w:szCs w:val="18"/>
                <w:lang w:val="en-GB"/>
              </w:rPr>
            </w:pPr>
            <w:r w:rsidRPr="00370F22">
              <w:rPr>
                <w:rFonts w:ascii="Times New Roman" w:eastAsia="Times New Roman" w:hAnsi="Times New Roman" w:cs="Times New Roman"/>
                <w:color w:val="auto"/>
                <w:sz w:val="18"/>
                <w:szCs w:val="18"/>
                <w:lang w:val="en-GB"/>
              </w:rPr>
              <w:t>39%</w:t>
            </w:r>
          </w:p>
        </w:tc>
        <w:tc>
          <w:tcPr>
            <w:tcW w:w="190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7D0101" w:rsidRPr="00370F22" w:rsidRDefault="007D0101" w:rsidP="00F72635">
            <w:pPr>
              <w:jc w:val="center"/>
              <w:cnfStyle w:val="000000100000"/>
              <w:rPr>
                <w:rFonts w:ascii="Times New Roman" w:eastAsia="Times New Roman" w:hAnsi="Times New Roman" w:cs="Times New Roman"/>
                <w:color w:val="auto"/>
                <w:sz w:val="18"/>
                <w:szCs w:val="18"/>
                <w:lang w:val="en-GB"/>
              </w:rPr>
            </w:pPr>
            <w:r w:rsidRPr="00370F22">
              <w:rPr>
                <w:rFonts w:ascii="Times New Roman" w:eastAsia="Times New Roman" w:hAnsi="Times New Roman" w:cs="Times New Roman"/>
                <w:color w:val="auto"/>
                <w:sz w:val="18"/>
                <w:szCs w:val="18"/>
                <w:lang w:val="en-GB"/>
              </w:rPr>
              <w:t>398</w:t>
            </w:r>
          </w:p>
        </w:tc>
      </w:tr>
      <w:tr w:rsidR="007D0101" w:rsidRPr="00370F22" w:rsidTr="00F72635">
        <w:trPr>
          <w:gridBefore w:val="1"/>
          <w:wBefore w:w="11" w:type="dxa"/>
          <w:trHeight w:val="134"/>
          <w:jc w:val="center"/>
        </w:trPr>
        <w:tc>
          <w:tcPr>
            <w:cnfStyle w:val="001000000000"/>
            <w:tcW w:w="5670" w:type="dxa"/>
            <w:tcBorders>
              <w:left w:val="none" w:sz="0" w:space="0" w:color="auto"/>
              <w:bottom w:val="none" w:sz="0" w:space="0" w:color="auto"/>
              <w:right w:val="none" w:sz="0" w:space="0" w:color="auto"/>
            </w:tcBorders>
            <w:shd w:val="clear" w:color="auto" w:fill="FFFFFF" w:themeFill="background1"/>
            <w:vAlign w:val="center"/>
          </w:tcPr>
          <w:p w:rsidR="007D0101" w:rsidRPr="00F72635" w:rsidRDefault="007D0101" w:rsidP="00FB6759">
            <w:pPr>
              <w:rPr>
                <w:rFonts w:ascii="Times New Roman" w:eastAsia="Times New Roman" w:hAnsi="Times New Roman" w:cs="Times New Roman"/>
                <w:i/>
                <w:color w:val="auto"/>
                <w:sz w:val="18"/>
                <w:szCs w:val="18"/>
                <w:lang w:val="en-GB"/>
              </w:rPr>
            </w:pPr>
            <w:r w:rsidRPr="00F72635">
              <w:rPr>
                <w:rFonts w:ascii="Times New Roman" w:eastAsia="Times New Roman" w:hAnsi="Times New Roman" w:cs="Times New Roman"/>
                <w:i/>
                <w:color w:val="auto"/>
                <w:sz w:val="18"/>
                <w:szCs w:val="18"/>
                <w:lang w:val="en-GB"/>
              </w:rPr>
              <w:t>Civil courts</w:t>
            </w:r>
          </w:p>
        </w:tc>
        <w:tc>
          <w:tcPr>
            <w:tcW w:w="1800" w:type="dxa"/>
            <w:shd w:val="clear" w:color="auto" w:fill="FFFFFF" w:themeFill="background1"/>
            <w:vAlign w:val="center"/>
          </w:tcPr>
          <w:p w:rsidR="007D0101" w:rsidRPr="00370F22" w:rsidRDefault="007D0101" w:rsidP="00F72635">
            <w:pPr>
              <w:jc w:val="center"/>
              <w:cnfStyle w:val="000000000000"/>
              <w:rPr>
                <w:rFonts w:ascii="Times New Roman" w:eastAsia="Times New Roman" w:hAnsi="Times New Roman" w:cs="Times New Roman"/>
                <w:color w:val="auto"/>
                <w:sz w:val="18"/>
                <w:szCs w:val="18"/>
                <w:lang w:val="en-GB"/>
              </w:rPr>
            </w:pPr>
            <w:r w:rsidRPr="00370F22">
              <w:rPr>
                <w:rFonts w:ascii="Times New Roman" w:eastAsia="Times New Roman" w:hAnsi="Times New Roman" w:cs="Times New Roman"/>
                <w:color w:val="auto"/>
                <w:sz w:val="18"/>
                <w:szCs w:val="18"/>
                <w:lang w:val="en-GB"/>
              </w:rPr>
              <w:t>11%</w:t>
            </w:r>
          </w:p>
        </w:tc>
        <w:tc>
          <w:tcPr>
            <w:tcW w:w="1901" w:type="dxa"/>
            <w:shd w:val="clear" w:color="auto" w:fill="FFFFFF" w:themeFill="background1"/>
            <w:vAlign w:val="center"/>
          </w:tcPr>
          <w:p w:rsidR="007D0101" w:rsidRPr="00370F22" w:rsidRDefault="007D0101" w:rsidP="00F72635">
            <w:pPr>
              <w:jc w:val="center"/>
              <w:cnfStyle w:val="000000000000"/>
              <w:rPr>
                <w:rFonts w:ascii="Times New Roman" w:eastAsia="Times New Roman" w:hAnsi="Times New Roman" w:cs="Times New Roman"/>
                <w:color w:val="auto"/>
                <w:sz w:val="18"/>
                <w:szCs w:val="18"/>
                <w:lang w:val="en-GB"/>
              </w:rPr>
            </w:pPr>
            <w:r w:rsidRPr="00370F22">
              <w:rPr>
                <w:rFonts w:ascii="Times New Roman" w:eastAsia="Times New Roman" w:hAnsi="Times New Roman" w:cs="Times New Roman"/>
                <w:color w:val="auto"/>
                <w:sz w:val="18"/>
                <w:szCs w:val="18"/>
                <w:lang w:val="en-GB"/>
              </w:rPr>
              <w:t>112</w:t>
            </w:r>
          </w:p>
        </w:tc>
      </w:tr>
      <w:tr w:rsidR="007D0101" w:rsidRPr="00370F22" w:rsidTr="00F72635">
        <w:trPr>
          <w:gridBefore w:val="1"/>
          <w:cnfStyle w:val="000000100000"/>
          <w:wBefore w:w="11" w:type="dxa"/>
          <w:trHeight w:val="188"/>
          <w:jc w:val="center"/>
        </w:trPr>
        <w:tc>
          <w:tcPr>
            <w:cnfStyle w:val="001000000000"/>
            <w:tcW w:w="567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7D0101" w:rsidRPr="00F72635" w:rsidRDefault="007D0101" w:rsidP="00FB6759">
            <w:pPr>
              <w:rPr>
                <w:rFonts w:ascii="Times New Roman" w:eastAsia="Times New Roman" w:hAnsi="Times New Roman" w:cs="Times New Roman"/>
                <w:i/>
                <w:color w:val="auto"/>
                <w:sz w:val="18"/>
                <w:szCs w:val="18"/>
                <w:lang w:val="en-GB"/>
              </w:rPr>
            </w:pPr>
            <w:r w:rsidRPr="00F72635">
              <w:rPr>
                <w:rFonts w:ascii="Times New Roman" w:eastAsia="Times New Roman" w:hAnsi="Times New Roman" w:cs="Times New Roman"/>
                <w:i/>
                <w:color w:val="auto"/>
                <w:sz w:val="18"/>
                <w:szCs w:val="18"/>
                <w:lang w:val="en-GB"/>
              </w:rPr>
              <w:t>Professional and trade unions</w:t>
            </w:r>
          </w:p>
        </w:tc>
        <w:tc>
          <w:tcPr>
            <w:tcW w:w="180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7D0101" w:rsidRPr="00370F22" w:rsidRDefault="007D0101" w:rsidP="00F72635">
            <w:pPr>
              <w:jc w:val="center"/>
              <w:cnfStyle w:val="000000100000"/>
              <w:rPr>
                <w:rFonts w:ascii="Times New Roman" w:eastAsia="Times New Roman" w:hAnsi="Times New Roman" w:cs="Times New Roman"/>
                <w:color w:val="auto"/>
                <w:sz w:val="18"/>
                <w:szCs w:val="18"/>
                <w:lang w:val="en-GB"/>
              </w:rPr>
            </w:pPr>
            <w:r w:rsidRPr="00370F22">
              <w:rPr>
                <w:rFonts w:ascii="Times New Roman" w:eastAsia="Times New Roman" w:hAnsi="Times New Roman" w:cs="Times New Roman"/>
                <w:color w:val="auto"/>
                <w:sz w:val="18"/>
                <w:szCs w:val="18"/>
                <w:lang w:val="en-GB"/>
              </w:rPr>
              <w:t>15%</w:t>
            </w:r>
          </w:p>
        </w:tc>
        <w:tc>
          <w:tcPr>
            <w:tcW w:w="190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7D0101" w:rsidRPr="00370F22" w:rsidRDefault="007D0101" w:rsidP="00F72635">
            <w:pPr>
              <w:jc w:val="center"/>
              <w:cnfStyle w:val="000000100000"/>
              <w:rPr>
                <w:rFonts w:ascii="Times New Roman" w:eastAsia="Times New Roman" w:hAnsi="Times New Roman" w:cs="Times New Roman"/>
                <w:color w:val="auto"/>
                <w:sz w:val="18"/>
                <w:szCs w:val="18"/>
                <w:lang w:val="en-GB"/>
              </w:rPr>
            </w:pPr>
            <w:r w:rsidRPr="00370F22">
              <w:rPr>
                <w:rFonts w:ascii="Times New Roman" w:eastAsia="Times New Roman" w:hAnsi="Times New Roman" w:cs="Times New Roman"/>
                <w:color w:val="auto"/>
                <w:sz w:val="18"/>
                <w:szCs w:val="18"/>
                <w:lang w:val="en-GB"/>
              </w:rPr>
              <w:t>153</w:t>
            </w:r>
          </w:p>
        </w:tc>
      </w:tr>
      <w:tr w:rsidR="007D0101" w:rsidRPr="00370F22" w:rsidTr="00F72635">
        <w:trPr>
          <w:gridBefore w:val="1"/>
          <w:wBefore w:w="11" w:type="dxa"/>
          <w:trHeight w:val="152"/>
          <w:jc w:val="center"/>
        </w:trPr>
        <w:tc>
          <w:tcPr>
            <w:cnfStyle w:val="001000000000"/>
            <w:tcW w:w="5670" w:type="dxa"/>
            <w:tcBorders>
              <w:left w:val="none" w:sz="0" w:space="0" w:color="auto"/>
              <w:bottom w:val="none" w:sz="0" w:space="0" w:color="auto"/>
              <w:right w:val="none" w:sz="0" w:space="0" w:color="auto"/>
            </w:tcBorders>
            <w:shd w:val="clear" w:color="auto" w:fill="FFFFFF" w:themeFill="background1"/>
            <w:vAlign w:val="center"/>
          </w:tcPr>
          <w:p w:rsidR="007D0101" w:rsidRPr="00F72635" w:rsidRDefault="007D0101" w:rsidP="00FB6759">
            <w:pPr>
              <w:rPr>
                <w:rFonts w:ascii="Times New Roman" w:eastAsia="Times New Roman" w:hAnsi="Times New Roman" w:cs="Times New Roman"/>
                <w:i/>
                <w:color w:val="auto"/>
                <w:sz w:val="18"/>
                <w:szCs w:val="18"/>
                <w:lang w:val="en-GB"/>
              </w:rPr>
            </w:pPr>
            <w:r w:rsidRPr="00F72635">
              <w:rPr>
                <w:rFonts w:ascii="Times New Roman" w:eastAsia="Times New Roman" w:hAnsi="Times New Roman" w:cs="Times New Roman"/>
                <w:i/>
                <w:color w:val="auto"/>
                <w:sz w:val="18"/>
                <w:szCs w:val="18"/>
                <w:lang w:val="en-GB"/>
              </w:rPr>
              <w:t>Media (radio, billboard, web, poster, etc)</w:t>
            </w:r>
          </w:p>
        </w:tc>
        <w:tc>
          <w:tcPr>
            <w:tcW w:w="1800" w:type="dxa"/>
            <w:shd w:val="clear" w:color="auto" w:fill="FFFFFF" w:themeFill="background1"/>
            <w:vAlign w:val="center"/>
          </w:tcPr>
          <w:p w:rsidR="007D0101" w:rsidRPr="00370F22" w:rsidRDefault="007D0101" w:rsidP="00F72635">
            <w:pPr>
              <w:jc w:val="center"/>
              <w:cnfStyle w:val="000000000000"/>
              <w:rPr>
                <w:rFonts w:ascii="Times New Roman" w:eastAsia="Times New Roman" w:hAnsi="Times New Roman" w:cs="Times New Roman"/>
                <w:color w:val="auto"/>
                <w:sz w:val="18"/>
                <w:szCs w:val="18"/>
                <w:lang w:val="en-GB"/>
              </w:rPr>
            </w:pPr>
            <w:r w:rsidRPr="00370F22">
              <w:rPr>
                <w:rFonts w:ascii="Times New Roman" w:eastAsia="Times New Roman" w:hAnsi="Times New Roman" w:cs="Times New Roman"/>
                <w:color w:val="auto"/>
                <w:sz w:val="18"/>
                <w:szCs w:val="18"/>
                <w:lang w:val="en-GB"/>
              </w:rPr>
              <w:t>20%</w:t>
            </w:r>
          </w:p>
        </w:tc>
        <w:tc>
          <w:tcPr>
            <w:tcW w:w="1901" w:type="dxa"/>
            <w:shd w:val="clear" w:color="auto" w:fill="FFFFFF" w:themeFill="background1"/>
            <w:vAlign w:val="center"/>
          </w:tcPr>
          <w:p w:rsidR="007D0101" w:rsidRPr="00370F22" w:rsidRDefault="007D0101" w:rsidP="00F72635">
            <w:pPr>
              <w:jc w:val="center"/>
              <w:cnfStyle w:val="000000000000"/>
              <w:rPr>
                <w:rFonts w:ascii="Times New Roman" w:eastAsia="Times New Roman" w:hAnsi="Times New Roman" w:cs="Times New Roman"/>
                <w:color w:val="auto"/>
                <w:sz w:val="18"/>
                <w:szCs w:val="18"/>
                <w:lang w:val="en-GB"/>
              </w:rPr>
            </w:pPr>
            <w:r w:rsidRPr="00370F22">
              <w:rPr>
                <w:rFonts w:ascii="Times New Roman" w:eastAsia="Times New Roman" w:hAnsi="Times New Roman" w:cs="Times New Roman"/>
                <w:color w:val="auto"/>
                <w:sz w:val="18"/>
                <w:szCs w:val="18"/>
                <w:lang w:val="en-GB"/>
              </w:rPr>
              <w:t>204</w:t>
            </w:r>
          </w:p>
        </w:tc>
      </w:tr>
      <w:tr w:rsidR="007D0101" w:rsidRPr="00370F22" w:rsidTr="00F72635">
        <w:trPr>
          <w:gridBefore w:val="1"/>
          <w:cnfStyle w:val="000000100000"/>
          <w:wBefore w:w="11" w:type="dxa"/>
          <w:trHeight w:val="197"/>
          <w:jc w:val="center"/>
        </w:trPr>
        <w:tc>
          <w:tcPr>
            <w:cnfStyle w:val="001000000000"/>
            <w:tcW w:w="567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7D0101" w:rsidRPr="00F72635" w:rsidRDefault="00F72635" w:rsidP="00FB6759">
            <w:pPr>
              <w:rPr>
                <w:rFonts w:ascii="Times New Roman" w:eastAsia="Times New Roman" w:hAnsi="Times New Roman" w:cs="Times New Roman"/>
                <w:i/>
                <w:color w:val="auto"/>
                <w:sz w:val="18"/>
                <w:szCs w:val="18"/>
                <w:lang w:val="en-GB"/>
              </w:rPr>
            </w:pPr>
            <w:r>
              <w:rPr>
                <w:rFonts w:ascii="Times New Roman" w:eastAsia="Times New Roman" w:hAnsi="Times New Roman" w:cs="Times New Roman"/>
                <w:i/>
                <w:color w:val="auto"/>
                <w:sz w:val="18"/>
                <w:szCs w:val="18"/>
                <w:lang w:val="en-GB"/>
              </w:rPr>
              <w:t>Local/international organis</w:t>
            </w:r>
            <w:r w:rsidR="007D0101" w:rsidRPr="00F72635">
              <w:rPr>
                <w:rFonts w:ascii="Times New Roman" w:eastAsia="Times New Roman" w:hAnsi="Times New Roman" w:cs="Times New Roman"/>
                <w:i/>
                <w:color w:val="auto"/>
                <w:sz w:val="18"/>
                <w:szCs w:val="18"/>
                <w:lang w:val="en-GB"/>
              </w:rPr>
              <w:t xml:space="preserve">ations </w:t>
            </w:r>
          </w:p>
        </w:tc>
        <w:tc>
          <w:tcPr>
            <w:tcW w:w="180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7D0101" w:rsidRPr="00370F22" w:rsidRDefault="007D0101" w:rsidP="00F72635">
            <w:pPr>
              <w:jc w:val="center"/>
              <w:cnfStyle w:val="000000100000"/>
              <w:rPr>
                <w:rFonts w:ascii="Times New Roman" w:eastAsia="Times New Roman" w:hAnsi="Times New Roman" w:cs="Times New Roman"/>
                <w:color w:val="auto"/>
                <w:sz w:val="18"/>
                <w:szCs w:val="18"/>
                <w:lang w:val="en-GB"/>
              </w:rPr>
            </w:pPr>
            <w:r w:rsidRPr="00370F22">
              <w:rPr>
                <w:rFonts w:ascii="Times New Roman" w:eastAsia="Times New Roman" w:hAnsi="Times New Roman" w:cs="Times New Roman"/>
                <w:color w:val="auto"/>
                <w:sz w:val="18"/>
                <w:szCs w:val="18"/>
                <w:lang w:val="en-GB"/>
              </w:rPr>
              <w:t>11%</w:t>
            </w:r>
          </w:p>
        </w:tc>
        <w:tc>
          <w:tcPr>
            <w:tcW w:w="190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7D0101" w:rsidRPr="00370F22" w:rsidRDefault="007D0101" w:rsidP="00F72635">
            <w:pPr>
              <w:jc w:val="center"/>
              <w:cnfStyle w:val="000000100000"/>
              <w:rPr>
                <w:rFonts w:ascii="Times New Roman" w:eastAsia="Times New Roman" w:hAnsi="Times New Roman" w:cs="Times New Roman"/>
                <w:color w:val="auto"/>
                <w:sz w:val="18"/>
                <w:szCs w:val="18"/>
                <w:lang w:val="en-GB"/>
              </w:rPr>
            </w:pPr>
            <w:r w:rsidRPr="00370F22">
              <w:rPr>
                <w:rFonts w:ascii="Times New Roman" w:eastAsia="Times New Roman" w:hAnsi="Times New Roman" w:cs="Times New Roman"/>
                <w:color w:val="auto"/>
                <w:sz w:val="18"/>
                <w:szCs w:val="18"/>
                <w:lang w:val="en-GB"/>
              </w:rPr>
              <w:t>112</w:t>
            </w:r>
          </w:p>
        </w:tc>
      </w:tr>
      <w:tr w:rsidR="007D0101" w:rsidRPr="00370F22" w:rsidTr="00F72635">
        <w:trPr>
          <w:gridBefore w:val="1"/>
          <w:wBefore w:w="11" w:type="dxa"/>
          <w:trHeight w:val="170"/>
          <w:jc w:val="center"/>
        </w:trPr>
        <w:tc>
          <w:tcPr>
            <w:cnfStyle w:val="001000000000"/>
            <w:tcW w:w="5670" w:type="dxa"/>
            <w:tcBorders>
              <w:left w:val="none" w:sz="0" w:space="0" w:color="auto"/>
              <w:bottom w:val="none" w:sz="0" w:space="0" w:color="auto"/>
              <w:right w:val="none" w:sz="0" w:space="0" w:color="auto"/>
            </w:tcBorders>
            <w:shd w:val="clear" w:color="auto" w:fill="FFFFFF" w:themeFill="background1"/>
            <w:vAlign w:val="center"/>
          </w:tcPr>
          <w:p w:rsidR="007D0101" w:rsidRPr="00F72635" w:rsidRDefault="007D0101" w:rsidP="00FB6759">
            <w:pPr>
              <w:rPr>
                <w:rFonts w:ascii="Times New Roman" w:eastAsia="Times New Roman" w:hAnsi="Times New Roman" w:cs="Times New Roman"/>
                <w:i/>
                <w:color w:val="auto"/>
                <w:sz w:val="18"/>
                <w:szCs w:val="18"/>
                <w:lang w:val="en-GB"/>
              </w:rPr>
            </w:pPr>
            <w:r w:rsidRPr="00F72635">
              <w:rPr>
                <w:rFonts w:ascii="Times New Roman" w:eastAsia="Times New Roman" w:hAnsi="Times New Roman" w:cs="Times New Roman"/>
                <w:i/>
                <w:color w:val="auto"/>
                <w:sz w:val="18"/>
                <w:szCs w:val="18"/>
                <w:lang w:val="en-GB"/>
              </w:rPr>
              <w:t>Other sources</w:t>
            </w:r>
          </w:p>
        </w:tc>
        <w:tc>
          <w:tcPr>
            <w:tcW w:w="1800" w:type="dxa"/>
            <w:shd w:val="clear" w:color="auto" w:fill="FFFFFF" w:themeFill="background1"/>
            <w:vAlign w:val="center"/>
          </w:tcPr>
          <w:p w:rsidR="007D0101" w:rsidRPr="00370F22" w:rsidRDefault="007D0101" w:rsidP="00F72635">
            <w:pPr>
              <w:jc w:val="center"/>
              <w:cnfStyle w:val="000000000000"/>
              <w:rPr>
                <w:rFonts w:ascii="Times New Roman" w:eastAsia="Times New Roman" w:hAnsi="Times New Roman" w:cs="Times New Roman"/>
                <w:color w:val="auto"/>
                <w:sz w:val="18"/>
                <w:szCs w:val="18"/>
                <w:lang w:val="en-GB"/>
              </w:rPr>
            </w:pPr>
            <w:r w:rsidRPr="00370F22">
              <w:rPr>
                <w:rFonts w:ascii="Times New Roman" w:eastAsia="Times New Roman" w:hAnsi="Times New Roman" w:cs="Times New Roman"/>
                <w:color w:val="auto"/>
                <w:sz w:val="18"/>
                <w:szCs w:val="18"/>
                <w:lang w:val="en-GB"/>
              </w:rPr>
              <w:t>4%</w:t>
            </w:r>
          </w:p>
        </w:tc>
        <w:tc>
          <w:tcPr>
            <w:tcW w:w="1901" w:type="dxa"/>
            <w:shd w:val="clear" w:color="auto" w:fill="FFFFFF" w:themeFill="background1"/>
            <w:vAlign w:val="center"/>
          </w:tcPr>
          <w:p w:rsidR="007D0101" w:rsidRPr="00370F22" w:rsidRDefault="007D0101" w:rsidP="00F72635">
            <w:pPr>
              <w:jc w:val="center"/>
              <w:cnfStyle w:val="000000000000"/>
              <w:rPr>
                <w:rFonts w:ascii="Times New Roman" w:eastAsia="Times New Roman" w:hAnsi="Times New Roman" w:cs="Times New Roman"/>
                <w:color w:val="auto"/>
                <w:sz w:val="18"/>
                <w:szCs w:val="18"/>
                <w:lang w:val="en-GB"/>
              </w:rPr>
            </w:pPr>
            <w:r w:rsidRPr="00370F22">
              <w:rPr>
                <w:rFonts w:ascii="Times New Roman" w:eastAsia="Times New Roman" w:hAnsi="Times New Roman" w:cs="Times New Roman"/>
                <w:color w:val="auto"/>
                <w:sz w:val="18"/>
                <w:szCs w:val="18"/>
                <w:lang w:val="en-GB"/>
              </w:rPr>
              <w:t>41</w:t>
            </w:r>
          </w:p>
        </w:tc>
      </w:tr>
      <w:tr w:rsidR="007D0101" w:rsidRPr="00370F22" w:rsidTr="00F72635">
        <w:trPr>
          <w:gridBefore w:val="1"/>
          <w:cnfStyle w:val="000000100000"/>
          <w:wBefore w:w="11" w:type="dxa"/>
          <w:trHeight w:val="134"/>
          <w:jc w:val="center"/>
        </w:trPr>
        <w:tc>
          <w:tcPr>
            <w:cnfStyle w:val="001000000000"/>
            <w:tcW w:w="567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7D0101" w:rsidRPr="00F72635" w:rsidRDefault="00F72635" w:rsidP="00FB6759">
            <w:pPr>
              <w:rPr>
                <w:rFonts w:ascii="Times New Roman" w:eastAsia="Times New Roman" w:hAnsi="Times New Roman" w:cs="Times New Roman"/>
                <w:i/>
                <w:color w:val="auto"/>
                <w:sz w:val="18"/>
                <w:szCs w:val="18"/>
                <w:lang w:val="en-GB"/>
              </w:rPr>
            </w:pPr>
            <w:r>
              <w:rPr>
                <w:rFonts w:ascii="Times New Roman" w:eastAsia="Times New Roman" w:hAnsi="Times New Roman" w:cs="Times New Roman"/>
                <w:i/>
                <w:color w:val="auto"/>
                <w:sz w:val="18"/>
                <w:szCs w:val="18"/>
                <w:lang w:val="en-GB"/>
              </w:rPr>
              <w:t>Total</w:t>
            </w:r>
          </w:p>
        </w:tc>
        <w:tc>
          <w:tcPr>
            <w:tcW w:w="180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7D0101" w:rsidRPr="00370F22" w:rsidRDefault="007D0101" w:rsidP="00F72635">
            <w:pPr>
              <w:jc w:val="center"/>
              <w:cnfStyle w:val="000000100000"/>
              <w:rPr>
                <w:rFonts w:ascii="Times New Roman" w:eastAsia="Times New Roman" w:hAnsi="Times New Roman" w:cs="Times New Roman"/>
                <w:color w:val="auto"/>
                <w:sz w:val="18"/>
                <w:szCs w:val="18"/>
                <w:lang w:val="en-GB"/>
              </w:rPr>
            </w:pPr>
            <w:r w:rsidRPr="00370F22">
              <w:rPr>
                <w:rFonts w:ascii="Times New Roman" w:eastAsia="Times New Roman" w:hAnsi="Times New Roman" w:cs="Times New Roman"/>
                <w:color w:val="auto"/>
                <w:sz w:val="18"/>
                <w:szCs w:val="18"/>
                <w:lang w:val="en-GB"/>
              </w:rPr>
              <w:t>100%</w:t>
            </w:r>
          </w:p>
        </w:tc>
        <w:tc>
          <w:tcPr>
            <w:tcW w:w="190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7D0101" w:rsidRPr="00370F22" w:rsidRDefault="007D0101" w:rsidP="00F72635">
            <w:pPr>
              <w:jc w:val="center"/>
              <w:cnfStyle w:val="000000100000"/>
              <w:rPr>
                <w:rFonts w:ascii="Times New Roman" w:eastAsia="Times New Roman" w:hAnsi="Times New Roman" w:cs="Times New Roman"/>
                <w:color w:val="auto"/>
                <w:sz w:val="18"/>
                <w:szCs w:val="18"/>
                <w:lang w:val="en-GB"/>
              </w:rPr>
            </w:pPr>
            <w:r w:rsidRPr="00370F22">
              <w:rPr>
                <w:rFonts w:ascii="Times New Roman" w:eastAsia="Times New Roman" w:hAnsi="Times New Roman" w:cs="Times New Roman"/>
                <w:color w:val="auto"/>
                <w:sz w:val="18"/>
                <w:szCs w:val="18"/>
                <w:lang w:val="en-GB"/>
              </w:rPr>
              <w:t>1</w:t>
            </w:r>
            <w:r w:rsidR="00F72635">
              <w:rPr>
                <w:rFonts w:ascii="Times New Roman" w:eastAsia="Times New Roman" w:hAnsi="Times New Roman" w:cs="Times New Roman"/>
                <w:color w:val="auto"/>
                <w:sz w:val="18"/>
                <w:szCs w:val="18"/>
                <w:lang w:val="en-GB"/>
              </w:rPr>
              <w:t>,</w:t>
            </w:r>
            <w:r w:rsidRPr="00370F22">
              <w:rPr>
                <w:rFonts w:ascii="Times New Roman" w:eastAsia="Times New Roman" w:hAnsi="Times New Roman" w:cs="Times New Roman"/>
                <w:color w:val="auto"/>
                <w:sz w:val="18"/>
                <w:szCs w:val="18"/>
                <w:lang w:val="en-GB"/>
              </w:rPr>
              <w:t>020</w:t>
            </w:r>
          </w:p>
        </w:tc>
      </w:tr>
    </w:tbl>
    <w:p w:rsidR="0066629B" w:rsidRPr="00F72635" w:rsidRDefault="0066629B" w:rsidP="00F72635">
      <w:pPr>
        <w:spacing w:after="0" w:line="240" w:lineRule="auto"/>
        <w:rPr>
          <w:rFonts w:ascii="Times New Roman" w:eastAsia="Times New Roman" w:hAnsi="Times New Roman" w:cs="Times New Roman"/>
          <w:b/>
          <w:bCs/>
          <w:sz w:val="18"/>
          <w:szCs w:val="18"/>
          <w:lang w:val="en-GB" w:eastAsia="ja-JP"/>
        </w:rPr>
      </w:pPr>
    </w:p>
    <w:p w:rsidR="0066629B" w:rsidRPr="00F72635" w:rsidRDefault="00F72635" w:rsidP="00FB6759">
      <w:pPr>
        <w:spacing w:after="0" w:line="240" w:lineRule="auto"/>
        <w:jc w:val="center"/>
        <w:rPr>
          <w:rFonts w:ascii="Times New Roman" w:eastAsia="Times New Roman" w:hAnsi="Times New Roman" w:cs="Times New Roman"/>
          <w:b/>
          <w:bCs/>
          <w:sz w:val="18"/>
          <w:szCs w:val="18"/>
          <w:lang w:val="en-GB" w:eastAsia="ja-JP"/>
        </w:rPr>
      </w:pPr>
      <w:r>
        <w:rPr>
          <w:rFonts w:ascii="Times New Roman" w:eastAsia="Times New Roman" w:hAnsi="Times New Roman" w:cs="Times New Roman"/>
          <w:b/>
          <w:bCs/>
          <w:sz w:val="18"/>
          <w:szCs w:val="18"/>
          <w:lang w:val="en-GB" w:eastAsia="ja-JP"/>
        </w:rPr>
        <w:t>Awn network: training and capacity development p</w:t>
      </w:r>
      <w:r w:rsidR="0066629B" w:rsidRPr="00F72635">
        <w:rPr>
          <w:rFonts w:ascii="Times New Roman" w:eastAsia="Times New Roman" w:hAnsi="Times New Roman" w:cs="Times New Roman"/>
          <w:b/>
          <w:bCs/>
          <w:sz w:val="18"/>
          <w:szCs w:val="18"/>
          <w:lang w:val="en-GB" w:eastAsia="ja-JP"/>
        </w:rPr>
        <w:t>rovided</w:t>
      </w:r>
    </w:p>
    <w:tbl>
      <w:tblPr>
        <w:tblStyle w:val="DarkList-Accent21"/>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3448"/>
        <w:gridCol w:w="1810"/>
        <w:gridCol w:w="1138"/>
        <w:gridCol w:w="1206"/>
        <w:gridCol w:w="903"/>
        <w:gridCol w:w="911"/>
      </w:tblGrid>
      <w:tr w:rsidR="00F72635" w:rsidRPr="00F72635" w:rsidTr="00C81B9B">
        <w:trPr>
          <w:cnfStyle w:val="100000000000"/>
          <w:jc w:val="center"/>
        </w:trPr>
        <w:tc>
          <w:tcPr>
            <w:cnfStyle w:val="001000000000"/>
            <w:tcW w:w="3448" w:type="dxa"/>
            <w:tcBorders>
              <w:top w:val="none" w:sz="0" w:space="0" w:color="auto"/>
              <w:left w:val="none" w:sz="0" w:space="0" w:color="auto"/>
              <w:bottom w:val="none" w:sz="0" w:space="0" w:color="auto"/>
              <w:right w:val="none" w:sz="0" w:space="0" w:color="auto"/>
            </w:tcBorders>
            <w:shd w:val="clear" w:color="auto" w:fill="D9D9D9"/>
            <w:vAlign w:val="center"/>
          </w:tcPr>
          <w:p w:rsidR="0066629B" w:rsidRPr="00F72635" w:rsidRDefault="0066629B" w:rsidP="00F72635">
            <w:pPr>
              <w:rPr>
                <w:rFonts w:ascii="Times New Roman" w:eastAsia="Times New Roman" w:hAnsi="Times New Roman" w:cs="Times New Roman"/>
                <w:color w:val="auto"/>
                <w:sz w:val="18"/>
                <w:szCs w:val="18"/>
                <w:lang w:val="en-GB"/>
              </w:rPr>
            </w:pPr>
            <w:r w:rsidRPr="00F72635">
              <w:rPr>
                <w:rFonts w:ascii="Times New Roman" w:eastAsia="Times New Roman" w:hAnsi="Times New Roman" w:cs="Times New Roman"/>
                <w:color w:val="auto"/>
                <w:sz w:val="18"/>
                <w:szCs w:val="18"/>
                <w:lang w:val="en-GB"/>
              </w:rPr>
              <w:t>Target</w:t>
            </w:r>
            <w:r w:rsidR="000063A3">
              <w:rPr>
                <w:rFonts w:ascii="Times New Roman" w:eastAsia="Times New Roman" w:hAnsi="Times New Roman" w:cs="Times New Roman"/>
                <w:color w:val="auto"/>
                <w:sz w:val="18"/>
                <w:szCs w:val="18"/>
                <w:lang w:val="en-GB"/>
              </w:rPr>
              <w:t xml:space="preserve"> </w:t>
            </w:r>
            <w:r w:rsidRPr="00F72635">
              <w:rPr>
                <w:rFonts w:ascii="Times New Roman" w:eastAsia="Times New Roman" w:hAnsi="Times New Roman" w:cs="Times New Roman"/>
                <w:color w:val="auto"/>
                <w:sz w:val="18"/>
                <w:szCs w:val="18"/>
                <w:lang w:val="en-GB"/>
              </w:rPr>
              <w:t>group</w:t>
            </w:r>
          </w:p>
        </w:tc>
        <w:tc>
          <w:tcPr>
            <w:tcW w:w="1810" w:type="dxa"/>
            <w:tcBorders>
              <w:top w:val="none" w:sz="0" w:space="0" w:color="auto"/>
              <w:left w:val="none" w:sz="0" w:space="0" w:color="auto"/>
              <w:bottom w:val="none" w:sz="0" w:space="0" w:color="auto"/>
              <w:right w:val="none" w:sz="0" w:space="0" w:color="auto"/>
            </w:tcBorders>
            <w:shd w:val="clear" w:color="auto" w:fill="D9D9D9"/>
            <w:vAlign w:val="center"/>
          </w:tcPr>
          <w:p w:rsidR="0066629B" w:rsidRPr="00F72635" w:rsidRDefault="0066629B" w:rsidP="00F72635">
            <w:pPr>
              <w:jc w:val="center"/>
              <w:cnfStyle w:val="100000000000"/>
              <w:rPr>
                <w:rFonts w:ascii="Times New Roman" w:eastAsia="Times New Roman" w:hAnsi="Times New Roman" w:cs="Times New Roman"/>
                <w:color w:val="auto"/>
                <w:sz w:val="18"/>
                <w:szCs w:val="18"/>
                <w:lang w:val="en-GB"/>
              </w:rPr>
            </w:pPr>
            <w:r w:rsidRPr="00F72635">
              <w:rPr>
                <w:rFonts w:ascii="Times New Roman" w:eastAsia="Times New Roman" w:hAnsi="Times New Roman" w:cs="Times New Roman"/>
                <w:color w:val="auto"/>
                <w:sz w:val="18"/>
                <w:szCs w:val="18"/>
                <w:lang w:val="en-GB"/>
              </w:rPr>
              <w:t>Training</w:t>
            </w:r>
            <w:r w:rsidR="000063A3">
              <w:rPr>
                <w:rFonts w:ascii="Times New Roman" w:eastAsia="Times New Roman" w:hAnsi="Times New Roman" w:cs="Times New Roman"/>
                <w:color w:val="auto"/>
                <w:sz w:val="18"/>
                <w:szCs w:val="18"/>
                <w:lang w:val="en-GB"/>
              </w:rPr>
              <w:t xml:space="preserve"> h</w:t>
            </w:r>
            <w:r w:rsidRPr="00F72635">
              <w:rPr>
                <w:rFonts w:ascii="Times New Roman" w:eastAsia="Times New Roman" w:hAnsi="Times New Roman" w:cs="Times New Roman"/>
                <w:color w:val="auto"/>
                <w:sz w:val="18"/>
                <w:szCs w:val="18"/>
                <w:lang w:val="en-GB"/>
              </w:rPr>
              <w:t>ours</w:t>
            </w:r>
          </w:p>
        </w:tc>
        <w:tc>
          <w:tcPr>
            <w:tcW w:w="1138" w:type="dxa"/>
            <w:tcBorders>
              <w:top w:val="none" w:sz="0" w:space="0" w:color="auto"/>
              <w:left w:val="none" w:sz="0" w:space="0" w:color="auto"/>
              <w:bottom w:val="none" w:sz="0" w:space="0" w:color="auto"/>
              <w:right w:val="none" w:sz="0" w:space="0" w:color="auto"/>
            </w:tcBorders>
            <w:shd w:val="clear" w:color="auto" w:fill="D9D9D9"/>
            <w:vAlign w:val="center"/>
          </w:tcPr>
          <w:p w:rsidR="0066629B" w:rsidRPr="00F72635" w:rsidRDefault="0066629B" w:rsidP="00F72635">
            <w:pPr>
              <w:jc w:val="center"/>
              <w:cnfStyle w:val="100000000000"/>
              <w:rPr>
                <w:rFonts w:ascii="Times New Roman" w:eastAsia="Times New Roman" w:hAnsi="Times New Roman" w:cs="Times New Roman"/>
                <w:color w:val="auto"/>
                <w:sz w:val="18"/>
                <w:szCs w:val="18"/>
                <w:lang w:val="en-GB"/>
              </w:rPr>
            </w:pPr>
            <w:r w:rsidRPr="00F72635">
              <w:rPr>
                <w:rFonts w:ascii="Times New Roman" w:eastAsia="Times New Roman" w:hAnsi="Times New Roman" w:cs="Times New Roman"/>
                <w:color w:val="auto"/>
                <w:sz w:val="18"/>
                <w:szCs w:val="18"/>
                <w:lang w:val="en-GB"/>
              </w:rPr>
              <w:t>Sessions</w:t>
            </w:r>
          </w:p>
        </w:tc>
        <w:tc>
          <w:tcPr>
            <w:tcW w:w="1206" w:type="dxa"/>
            <w:tcBorders>
              <w:top w:val="none" w:sz="0" w:space="0" w:color="auto"/>
              <w:left w:val="none" w:sz="0" w:space="0" w:color="auto"/>
              <w:bottom w:val="none" w:sz="0" w:space="0" w:color="auto"/>
              <w:right w:val="none" w:sz="0" w:space="0" w:color="auto"/>
            </w:tcBorders>
            <w:shd w:val="clear" w:color="auto" w:fill="D9D9D9"/>
            <w:vAlign w:val="center"/>
          </w:tcPr>
          <w:p w:rsidR="0066629B" w:rsidRPr="00F72635" w:rsidRDefault="0066629B" w:rsidP="00F72635">
            <w:pPr>
              <w:jc w:val="center"/>
              <w:cnfStyle w:val="100000000000"/>
              <w:rPr>
                <w:rFonts w:ascii="Times New Roman" w:eastAsia="Times New Roman" w:hAnsi="Times New Roman" w:cs="Times New Roman"/>
                <w:color w:val="auto"/>
                <w:sz w:val="18"/>
                <w:szCs w:val="18"/>
                <w:lang w:val="en-GB"/>
              </w:rPr>
            </w:pPr>
            <w:r w:rsidRPr="00F72635">
              <w:rPr>
                <w:rFonts w:ascii="Times New Roman" w:eastAsia="Times New Roman" w:hAnsi="Times New Roman" w:cs="Times New Roman"/>
                <w:color w:val="auto"/>
                <w:sz w:val="18"/>
                <w:szCs w:val="18"/>
                <w:lang w:val="en-GB"/>
              </w:rPr>
              <w:t>Beneficiaries</w:t>
            </w:r>
          </w:p>
        </w:tc>
        <w:tc>
          <w:tcPr>
            <w:tcW w:w="903" w:type="dxa"/>
            <w:tcBorders>
              <w:top w:val="none" w:sz="0" w:space="0" w:color="auto"/>
              <w:left w:val="none" w:sz="0" w:space="0" w:color="auto"/>
              <w:bottom w:val="none" w:sz="0" w:space="0" w:color="auto"/>
              <w:right w:val="none" w:sz="0" w:space="0" w:color="auto"/>
            </w:tcBorders>
            <w:shd w:val="clear" w:color="auto" w:fill="D9D9D9"/>
            <w:vAlign w:val="center"/>
          </w:tcPr>
          <w:p w:rsidR="0066629B" w:rsidRPr="00F72635" w:rsidRDefault="0066629B" w:rsidP="00F72635">
            <w:pPr>
              <w:jc w:val="center"/>
              <w:cnfStyle w:val="100000000000"/>
              <w:rPr>
                <w:rFonts w:ascii="Times New Roman" w:eastAsia="Times New Roman" w:hAnsi="Times New Roman" w:cs="Times New Roman"/>
                <w:color w:val="auto"/>
                <w:sz w:val="18"/>
                <w:szCs w:val="18"/>
                <w:lang w:val="en-GB"/>
              </w:rPr>
            </w:pPr>
            <w:r w:rsidRPr="00F72635">
              <w:rPr>
                <w:rFonts w:ascii="Times New Roman" w:eastAsia="Times New Roman" w:hAnsi="Times New Roman" w:cs="Times New Roman"/>
                <w:color w:val="auto"/>
                <w:sz w:val="18"/>
                <w:szCs w:val="18"/>
                <w:lang w:val="en-GB"/>
              </w:rPr>
              <w:t>Female</w:t>
            </w:r>
          </w:p>
        </w:tc>
        <w:tc>
          <w:tcPr>
            <w:tcW w:w="911" w:type="dxa"/>
            <w:tcBorders>
              <w:top w:val="none" w:sz="0" w:space="0" w:color="auto"/>
              <w:left w:val="none" w:sz="0" w:space="0" w:color="auto"/>
              <w:bottom w:val="none" w:sz="0" w:space="0" w:color="auto"/>
              <w:right w:val="none" w:sz="0" w:space="0" w:color="auto"/>
            </w:tcBorders>
            <w:shd w:val="clear" w:color="auto" w:fill="D9D9D9"/>
            <w:vAlign w:val="center"/>
          </w:tcPr>
          <w:p w:rsidR="0066629B" w:rsidRPr="00F72635" w:rsidRDefault="0066629B" w:rsidP="00F72635">
            <w:pPr>
              <w:jc w:val="center"/>
              <w:cnfStyle w:val="100000000000"/>
              <w:rPr>
                <w:rFonts w:ascii="Times New Roman" w:eastAsia="Times New Roman" w:hAnsi="Times New Roman" w:cs="Times New Roman"/>
                <w:color w:val="auto"/>
                <w:sz w:val="18"/>
                <w:szCs w:val="18"/>
                <w:lang w:val="en-GB"/>
              </w:rPr>
            </w:pPr>
            <w:r w:rsidRPr="00F72635">
              <w:rPr>
                <w:rFonts w:ascii="Times New Roman" w:eastAsia="Times New Roman" w:hAnsi="Times New Roman" w:cs="Times New Roman"/>
                <w:color w:val="auto"/>
                <w:sz w:val="18"/>
                <w:szCs w:val="18"/>
                <w:lang w:val="en-GB"/>
              </w:rPr>
              <w:t>Male</w:t>
            </w:r>
          </w:p>
        </w:tc>
      </w:tr>
      <w:tr w:rsidR="00F72635" w:rsidRPr="00F72635" w:rsidTr="00C81B9B">
        <w:trPr>
          <w:cnfStyle w:val="000000100000"/>
          <w:jc w:val="center"/>
        </w:trPr>
        <w:tc>
          <w:tcPr>
            <w:cnfStyle w:val="001000000000"/>
            <w:tcW w:w="344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6629B" w:rsidRPr="00F72635" w:rsidRDefault="0066629B" w:rsidP="00F72635">
            <w:pPr>
              <w:rPr>
                <w:rFonts w:ascii="Times New Roman" w:eastAsia="Times New Roman" w:hAnsi="Times New Roman" w:cs="Times New Roman"/>
                <w:i/>
                <w:color w:val="auto"/>
                <w:sz w:val="18"/>
                <w:szCs w:val="18"/>
                <w:lang w:val="en-GB"/>
              </w:rPr>
            </w:pPr>
            <w:r w:rsidRPr="00F72635">
              <w:rPr>
                <w:rFonts w:ascii="Times New Roman" w:eastAsia="Times New Roman" w:hAnsi="Times New Roman" w:cs="Times New Roman"/>
                <w:i/>
                <w:color w:val="auto"/>
                <w:sz w:val="18"/>
                <w:szCs w:val="18"/>
                <w:lang w:val="en-GB"/>
              </w:rPr>
              <w:t>Legal Practitioners (judges and lawyers)</w:t>
            </w:r>
          </w:p>
        </w:tc>
        <w:tc>
          <w:tcPr>
            <w:tcW w:w="181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6629B" w:rsidRPr="00F72635" w:rsidRDefault="0066629B" w:rsidP="00F72635">
            <w:pPr>
              <w:jc w:val="center"/>
              <w:cnfStyle w:val="000000100000"/>
              <w:rPr>
                <w:rFonts w:ascii="Times New Roman" w:eastAsia="Times New Roman" w:hAnsi="Times New Roman" w:cs="Times New Roman"/>
                <w:color w:val="auto"/>
                <w:sz w:val="18"/>
                <w:szCs w:val="18"/>
                <w:lang w:val="en-GB"/>
              </w:rPr>
            </w:pPr>
            <w:r w:rsidRPr="00F72635">
              <w:rPr>
                <w:rFonts w:ascii="Times New Roman" w:eastAsia="Times New Roman" w:hAnsi="Times New Roman" w:cs="Times New Roman"/>
                <w:color w:val="auto"/>
                <w:sz w:val="18"/>
                <w:szCs w:val="18"/>
                <w:lang w:val="en-GB"/>
              </w:rPr>
              <w:t>643</w:t>
            </w:r>
          </w:p>
        </w:tc>
        <w:tc>
          <w:tcPr>
            <w:tcW w:w="11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6629B" w:rsidRPr="00F72635" w:rsidRDefault="0066629B" w:rsidP="00F72635">
            <w:pPr>
              <w:jc w:val="center"/>
              <w:cnfStyle w:val="000000100000"/>
              <w:rPr>
                <w:rFonts w:ascii="Times New Roman" w:eastAsia="Times New Roman" w:hAnsi="Times New Roman" w:cs="Times New Roman"/>
                <w:color w:val="auto"/>
                <w:sz w:val="18"/>
                <w:szCs w:val="18"/>
                <w:lang w:val="en-GB"/>
              </w:rPr>
            </w:pPr>
            <w:r w:rsidRPr="00F72635">
              <w:rPr>
                <w:rFonts w:ascii="Times New Roman" w:eastAsia="Times New Roman" w:hAnsi="Times New Roman" w:cs="Times New Roman"/>
                <w:color w:val="auto"/>
                <w:sz w:val="18"/>
                <w:szCs w:val="18"/>
                <w:lang w:val="en-GB"/>
              </w:rPr>
              <w:t>49</w:t>
            </w:r>
          </w:p>
        </w:tc>
        <w:tc>
          <w:tcPr>
            <w:tcW w:w="120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6629B" w:rsidRPr="00F72635" w:rsidRDefault="0066629B" w:rsidP="00F72635">
            <w:pPr>
              <w:jc w:val="center"/>
              <w:cnfStyle w:val="000000100000"/>
              <w:rPr>
                <w:rFonts w:ascii="Times New Roman" w:eastAsia="Times New Roman" w:hAnsi="Times New Roman" w:cs="Times New Roman"/>
                <w:color w:val="auto"/>
                <w:sz w:val="18"/>
                <w:szCs w:val="18"/>
                <w:lang w:val="en-GB"/>
              </w:rPr>
            </w:pPr>
            <w:r w:rsidRPr="00F72635">
              <w:rPr>
                <w:rFonts w:ascii="Times New Roman" w:eastAsia="Times New Roman" w:hAnsi="Times New Roman" w:cs="Times New Roman"/>
                <w:color w:val="auto"/>
                <w:sz w:val="18"/>
                <w:szCs w:val="18"/>
                <w:lang w:val="en-GB"/>
              </w:rPr>
              <w:t>1</w:t>
            </w:r>
            <w:r w:rsidR="00F72635">
              <w:rPr>
                <w:rFonts w:ascii="Times New Roman" w:eastAsia="Times New Roman" w:hAnsi="Times New Roman" w:cs="Times New Roman"/>
                <w:color w:val="auto"/>
                <w:sz w:val="18"/>
                <w:szCs w:val="18"/>
                <w:lang w:val="en-GB"/>
              </w:rPr>
              <w:t>,</w:t>
            </w:r>
            <w:r w:rsidRPr="00F72635">
              <w:rPr>
                <w:rFonts w:ascii="Times New Roman" w:eastAsia="Times New Roman" w:hAnsi="Times New Roman" w:cs="Times New Roman"/>
                <w:color w:val="auto"/>
                <w:sz w:val="18"/>
                <w:szCs w:val="18"/>
                <w:lang w:val="en-GB"/>
              </w:rPr>
              <w:t>204</w:t>
            </w:r>
          </w:p>
        </w:tc>
        <w:tc>
          <w:tcPr>
            <w:tcW w:w="90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6629B" w:rsidRPr="00F72635" w:rsidRDefault="0066629B" w:rsidP="00F72635">
            <w:pPr>
              <w:jc w:val="center"/>
              <w:cnfStyle w:val="000000100000"/>
              <w:rPr>
                <w:rFonts w:ascii="Times New Roman" w:eastAsia="Times New Roman" w:hAnsi="Times New Roman" w:cs="Times New Roman"/>
                <w:color w:val="auto"/>
                <w:sz w:val="18"/>
                <w:szCs w:val="18"/>
                <w:lang w:val="en-GB"/>
              </w:rPr>
            </w:pPr>
            <w:r w:rsidRPr="00F72635">
              <w:rPr>
                <w:rFonts w:ascii="Times New Roman" w:eastAsia="Times New Roman" w:hAnsi="Times New Roman" w:cs="Times New Roman"/>
                <w:color w:val="auto"/>
                <w:sz w:val="18"/>
                <w:szCs w:val="18"/>
                <w:lang w:val="en-GB"/>
              </w:rPr>
              <w:t>536</w:t>
            </w:r>
          </w:p>
        </w:tc>
        <w:tc>
          <w:tcPr>
            <w:tcW w:w="91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6629B" w:rsidRPr="00F72635" w:rsidRDefault="0066629B" w:rsidP="00F72635">
            <w:pPr>
              <w:jc w:val="center"/>
              <w:cnfStyle w:val="000000100000"/>
              <w:rPr>
                <w:rFonts w:ascii="Times New Roman" w:eastAsia="Times New Roman" w:hAnsi="Times New Roman" w:cs="Times New Roman"/>
                <w:color w:val="auto"/>
                <w:sz w:val="18"/>
                <w:szCs w:val="18"/>
                <w:lang w:val="en-GB"/>
              </w:rPr>
            </w:pPr>
            <w:r w:rsidRPr="00F72635">
              <w:rPr>
                <w:rFonts w:ascii="Times New Roman" w:eastAsia="Times New Roman" w:hAnsi="Times New Roman" w:cs="Times New Roman"/>
                <w:color w:val="auto"/>
                <w:sz w:val="18"/>
                <w:szCs w:val="18"/>
                <w:rtl/>
                <w:lang w:val="en-GB"/>
              </w:rPr>
              <w:t>6</w:t>
            </w:r>
            <w:r w:rsidRPr="00F72635">
              <w:rPr>
                <w:rFonts w:ascii="Times New Roman" w:eastAsia="Times New Roman" w:hAnsi="Times New Roman" w:cs="Times New Roman"/>
                <w:color w:val="auto"/>
                <w:sz w:val="18"/>
                <w:szCs w:val="18"/>
                <w:lang w:val="en-GB"/>
              </w:rPr>
              <w:t>68</w:t>
            </w:r>
          </w:p>
        </w:tc>
      </w:tr>
      <w:tr w:rsidR="00F72635" w:rsidRPr="00F72635" w:rsidTr="00C81B9B">
        <w:trPr>
          <w:jc w:val="center"/>
        </w:trPr>
        <w:tc>
          <w:tcPr>
            <w:cnfStyle w:val="001000000000"/>
            <w:tcW w:w="3448" w:type="dxa"/>
            <w:tcBorders>
              <w:left w:val="none" w:sz="0" w:space="0" w:color="auto"/>
              <w:bottom w:val="none" w:sz="0" w:space="0" w:color="auto"/>
              <w:right w:val="none" w:sz="0" w:space="0" w:color="auto"/>
            </w:tcBorders>
            <w:shd w:val="clear" w:color="auto" w:fill="FFFFFF" w:themeFill="background1"/>
            <w:vAlign w:val="center"/>
          </w:tcPr>
          <w:p w:rsidR="0066629B" w:rsidRPr="00F72635" w:rsidRDefault="0066629B" w:rsidP="00F72635">
            <w:pPr>
              <w:rPr>
                <w:rFonts w:ascii="Times New Roman" w:eastAsia="Times New Roman" w:hAnsi="Times New Roman" w:cs="Times New Roman"/>
                <w:i/>
                <w:color w:val="auto"/>
                <w:sz w:val="18"/>
                <w:szCs w:val="18"/>
                <w:lang w:val="en-GB"/>
              </w:rPr>
            </w:pPr>
            <w:r w:rsidRPr="00F72635">
              <w:rPr>
                <w:rFonts w:ascii="Times New Roman" w:eastAsia="Times New Roman" w:hAnsi="Times New Roman" w:cs="Times New Roman"/>
                <w:i/>
                <w:color w:val="auto"/>
                <w:sz w:val="18"/>
                <w:szCs w:val="18"/>
                <w:lang w:val="en-GB"/>
              </w:rPr>
              <w:t>Law students</w:t>
            </w:r>
          </w:p>
        </w:tc>
        <w:tc>
          <w:tcPr>
            <w:tcW w:w="1810" w:type="dxa"/>
            <w:shd w:val="clear" w:color="auto" w:fill="FFFFFF" w:themeFill="background1"/>
            <w:vAlign w:val="center"/>
          </w:tcPr>
          <w:p w:rsidR="0066629B" w:rsidRPr="00F72635" w:rsidRDefault="0066629B" w:rsidP="00F72635">
            <w:pPr>
              <w:jc w:val="center"/>
              <w:cnfStyle w:val="000000000000"/>
              <w:rPr>
                <w:rFonts w:ascii="Times New Roman" w:eastAsia="Times New Roman" w:hAnsi="Times New Roman" w:cs="Times New Roman"/>
                <w:color w:val="auto"/>
                <w:sz w:val="18"/>
                <w:szCs w:val="18"/>
                <w:lang w:val="en-GB"/>
              </w:rPr>
            </w:pPr>
            <w:r w:rsidRPr="00F72635">
              <w:rPr>
                <w:rFonts w:ascii="Times New Roman" w:eastAsia="Times New Roman" w:hAnsi="Times New Roman" w:cs="Times New Roman"/>
                <w:color w:val="auto"/>
                <w:sz w:val="18"/>
                <w:szCs w:val="18"/>
                <w:lang w:val="en-GB"/>
              </w:rPr>
              <w:t>483</w:t>
            </w:r>
          </w:p>
        </w:tc>
        <w:tc>
          <w:tcPr>
            <w:tcW w:w="1138" w:type="dxa"/>
            <w:shd w:val="clear" w:color="auto" w:fill="FFFFFF" w:themeFill="background1"/>
            <w:vAlign w:val="center"/>
          </w:tcPr>
          <w:p w:rsidR="0066629B" w:rsidRPr="00F72635" w:rsidRDefault="0066629B" w:rsidP="00F72635">
            <w:pPr>
              <w:jc w:val="center"/>
              <w:cnfStyle w:val="000000000000"/>
              <w:rPr>
                <w:rFonts w:ascii="Times New Roman" w:eastAsia="Times New Roman" w:hAnsi="Times New Roman" w:cs="Times New Roman"/>
                <w:color w:val="auto"/>
                <w:sz w:val="18"/>
                <w:szCs w:val="18"/>
                <w:lang w:val="en-GB"/>
              </w:rPr>
            </w:pPr>
            <w:r w:rsidRPr="00F72635">
              <w:rPr>
                <w:rFonts w:ascii="Times New Roman" w:eastAsia="Times New Roman" w:hAnsi="Times New Roman" w:cs="Times New Roman"/>
                <w:color w:val="auto"/>
                <w:sz w:val="18"/>
                <w:szCs w:val="18"/>
                <w:lang w:val="en-GB"/>
              </w:rPr>
              <w:t>36</w:t>
            </w:r>
          </w:p>
        </w:tc>
        <w:tc>
          <w:tcPr>
            <w:tcW w:w="1206" w:type="dxa"/>
            <w:shd w:val="clear" w:color="auto" w:fill="FFFFFF" w:themeFill="background1"/>
            <w:vAlign w:val="center"/>
          </w:tcPr>
          <w:p w:rsidR="0066629B" w:rsidRPr="00F72635" w:rsidRDefault="0066629B" w:rsidP="00F72635">
            <w:pPr>
              <w:jc w:val="center"/>
              <w:cnfStyle w:val="000000000000"/>
              <w:rPr>
                <w:rFonts w:ascii="Times New Roman" w:eastAsia="Times New Roman" w:hAnsi="Times New Roman" w:cs="Times New Roman"/>
                <w:color w:val="auto"/>
                <w:sz w:val="18"/>
                <w:szCs w:val="18"/>
                <w:lang w:val="en-GB"/>
              </w:rPr>
            </w:pPr>
            <w:r w:rsidRPr="00F72635">
              <w:rPr>
                <w:rFonts w:ascii="Times New Roman" w:eastAsia="Times New Roman" w:hAnsi="Times New Roman" w:cs="Times New Roman"/>
                <w:color w:val="auto"/>
                <w:sz w:val="18"/>
                <w:szCs w:val="18"/>
                <w:lang w:val="en-GB"/>
              </w:rPr>
              <w:t>1</w:t>
            </w:r>
            <w:r w:rsidR="00F72635">
              <w:rPr>
                <w:rFonts w:ascii="Times New Roman" w:eastAsia="Times New Roman" w:hAnsi="Times New Roman" w:cs="Times New Roman"/>
                <w:color w:val="auto"/>
                <w:sz w:val="18"/>
                <w:szCs w:val="18"/>
                <w:lang w:val="en-GB"/>
              </w:rPr>
              <w:t>,</w:t>
            </w:r>
            <w:r w:rsidRPr="00F72635">
              <w:rPr>
                <w:rFonts w:ascii="Times New Roman" w:eastAsia="Times New Roman" w:hAnsi="Times New Roman" w:cs="Times New Roman"/>
                <w:color w:val="auto"/>
                <w:sz w:val="18"/>
                <w:szCs w:val="18"/>
                <w:lang w:val="en-GB"/>
              </w:rPr>
              <w:t>346</w:t>
            </w:r>
          </w:p>
        </w:tc>
        <w:tc>
          <w:tcPr>
            <w:tcW w:w="903" w:type="dxa"/>
            <w:shd w:val="clear" w:color="auto" w:fill="FFFFFF" w:themeFill="background1"/>
            <w:vAlign w:val="center"/>
          </w:tcPr>
          <w:p w:rsidR="0066629B" w:rsidRPr="00F72635" w:rsidRDefault="0066629B" w:rsidP="00F72635">
            <w:pPr>
              <w:jc w:val="center"/>
              <w:cnfStyle w:val="000000000000"/>
              <w:rPr>
                <w:rFonts w:ascii="Times New Roman" w:eastAsia="Times New Roman" w:hAnsi="Times New Roman" w:cs="Times New Roman"/>
                <w:color w:val="auto"/>
                <w:sz w:val="18"/>
                <w:szCs w:val="18"/>
                <w:lang w:val="en-GB"/>
              </w:rPr>
            </w:pPr>
            <w:r w:rsidRPr="00F72635">
              <w:rPr>
                <w:rFonts w:ascii="Times New Roman" w:eastAsia="Times New Roman" w:hAnsi="Times New Roman" w:cs="Times New Roman"/>
                <w:color w:val="auto"/>
                <w:sz w:val="18"/>
                <w:szCs w:val="18"/>
                <w:lang w:val="en-GB"/>
              </w:rPr>
              <w:t>435</w:t>
            </w:r>
          </w:p>
        </w:tc>
        <w:tc>
          <w:tcPr>
            <w:tcW w:w="911" w:type="dxa"/>
            <w:shd w:val="clear" w:color="auto" w:fill="FFFFFF" w:themeFill="background1"/>
            <w:vAlign w:val="center"/>
          </w:tcPr>
          <w:p w:rsidR="0066629B" w:rsidRPr="00F72635" w:rsidRDefault="0066629B" w:rsidP="00F72635">
            <w:pPr>
              <w:jc w:val="center"/>
              <w:cnfStyle w:val="000000000000"/>
              <w:rPr>
                <w:rFonts w:ascii="Times New Roman" w:eastAsia="Times New Roman" w:hAnsi="Times New Roman" w:cs="Times New Roman"/>
                <w:color w:val="auto"/>
                <w:sz w:val="18"/>
                <w:szCs w:val="18"/>
                <w:lang w:val="en-GB"/>
              </w:rPr>
            </w:pPr>
            <w:r w:rsidRPr="00F72635">
              <w:rPr>
                <w:rFonts w:ascii="Times New Roman" w:eastAsia="Times New Roman" w:hAnsi="Times New Roman" w:cs="Times New Roman"/>
                <w:color w:val="auto"/>
                <w:sz w:val="18"/>
                <w:szCs w:val="18"/>
                <w:lang w:val="en-GB"/>
              </w:rPr>
              <w:t>911</w:t>
            </w:r>
          </w:p>
        </w:tc>
      </w:tr>
      <w:tr w:rsidR="00F72635" w:rsidRPr="00F72635" w:rsidTr="00C81B9B">
        <w:trPr>
          <w:cnfStyle w:val="000000100000"/>
          <w:jc w:val="center"/>
        </w:trPr>
        <w:tc>
          <w:tcPr>
            <w:cnfStyle w:val="001000000000"/>
            <w:tcW w:w="344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6629B" w:rsidRPr="00F72635" w:rsidRDefault="0066629B" w:rsidP="00F72635">
            <w:pPr>
              <w:rPr>
                <w:rFonts w:ascii="Times New Roman" w:eastAsia="Times New Roman" w:hAnsi="Times New Roman" w:cs="Times New Roman"/>
                <w:i/>
                <w:color w:val="auto"/>
                <w:sz w:val="18"/>
                <w:szCs w:val="18"/>
                <w:lang w:val="en-GB"/>
              </w:rPr>
            </w:pPr>
            <w:r w:rsidRPr="00F72635">
              <w:rPr>
                <w:rFonts w:ascii="Times New Roman" w:eastAsia="Times New Roman" w:hAnsi="Times New Roman" w:cs="Times New Roman"/>
                <w:i/>
                <w:color w:val="auto"/>
                <w:sz w:val="18"/>
                <w:szCs w:val="18"/>
                <w:lang w:val="en-GB"/>
              </w:rPr>
              <w:t>Community leaders</w:t>
            </w:r>
          </w:p>
        </w:tc>
        <w:tc>
          <w:tcPr>
            <w:tcW w:w="181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6629B" w:rsidRPr="00F72635" w:rsidRDefault="0066629B" w:rsidP="00F72635">
            <w:pPr>
              <w:jc w:val="center"/>
              <w:cnfStyle w:val="000000100000"/>
              <w:rPr>
                <w:rFonts w:ascii="Times New Roman" w:eastAsia="Times New Roman" w:hAnsi="Times New Roman" w:cs="Times New Roman"/>
                <w:color w:val="auto"/>
                <w:sz w:val="18"/>
                <w:szCs w:val="18"/>
                <w:lang w:val="en-GB"/>
              </w:rPr>
            </w:pPr>
            <w:r w:rsidRPr="00F72635">
              <w:rPr>
                <w:rFonts w:ascii="Times New Roman" w:eastAsia="Times New Roman" w:hAnsi="Times New Roman" w:cs="Times New Roman"/>
                <w:color w:val="auto"/>
                <w:sz w:val="18"/>
                <w:szCs w:val="18"/>
                <w:lang w:val="en-GB"/>
              </w:rPr>
              <w:t>268</w:t>
            </w:r>
          </w:p>
        </w:tc>
        <w:tc>
          <w:tcPr>
            <w:tcW w:w="11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6629B" w:rsidRPr="00F72635" w:rsidRDefault="0066629B" w:rsidP="00F72635">
            <w:pPr>
              <w:jc w:val="center"/>
              <w:cnfStyle w:val="000000100000"/>
              <w:rPr>
                <w:rFonts w:ascii="Times New Roman" w:eastAsia="Times New Roman" w:hAnsi="Times New Roman" w:cs="Times New Roman"/>
                <w:color w:val="auto"/>
                <w:sz w:val="18"/>
                <w:szCs w:val="18"/>
                <w:lang w:val="en-GB"/>
              </w:rPr>
            </w:pPr>
            <w:r w:rsidRPr="00F72635">
              <w:rPr>
                <w:rFonts w:ascii="Times New Roman" w:eastAsia="Times New Roman" w:hAnsi="Times New Roman" w:cs="Times New Roman"/>
                <w:color w:val="auto"/>
                <w:sz w:val="18"/>
                <w:szCs w:val="18"/>
                <w:lang w:val="en-GB"/>
              </w:rPr>
              <w:t>36</w:t>
            </w:r>
          </w:p>
        </w:tc>
        <w:tc>
          <w:tcPr>
            <w:tcW w:w="120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6629B" w:rsidRPr="00F72635" w:rsidRDefault="0066629B" w:rsidP="00F72635">
            <w:pPr>
              <w:jc w:val="center"/>
              <w:cnfStyle w:val="000000100000"/>
              <w:rPr>
                <w:rFonts w:ascii="Times New Roman" w:eastAsia="Times New Roman" w:hAnsi="Times New Roman" w:cs="Times New Roman"/>
                <w:color w:val="auto"/>
                <w:sz w:val="18"/>
                <w:szCs w:val="18"/>
                <w:lang w:val="en-GB"/>
              </w:rPr>
            </w:pPr>
            <w:r w:rsidRPr="00F72635">
              <w:rPr>
                <w:rFonts w:ascii="Times New Roman" w:eastAsia="Times New Roman" w:hAnsi="Times New Roman" w:cs="Times New Roman"/>
                <w:color w:val="auto"/>
                <w:sz w:val="18"/>
                <w:szCs w:val="18"/>
                <w:lang w:val="en-GB"/>
              </w:rPr>
              <w:t>908</w:t>
            </w:r>
          </w:p>
        </w:tc>
        <w:tc>
          <w:tcPr>
            <w:tcW w:w="90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6629B" w:rsidRPr="00F72635" w:rsidRDefault="0066629B" w:rsidP="00F72635">
            <w:pPr>
              <w:jc w:val="center"/>
              <w:cnfStyle w:val="000000100000"/>
              <w:rPr>
                <w:rFonts w:ascii="Times New Roman" w:eastAsia="Times New Roman" w:hAnsi="Times New Roman" w:cs="Times New Roman"/>
                <w:color w:val="auto"/>
                <w:sz w:val="18"/>
                <w:szCs w:val="18"/>
                <w:lang w:val="en-GB"/>
              </w:rPr>
            </w:pPr>
            <w:r w:rsidRPr="00F72635">
              <w:rPr>
                <w:rFonts w:ascii="Times New Roman" w:eastAsia="Times New Roman" w:hAnsi="Times New Roman" w:cs="Times New Roman"/>
                <w:color w:val="auto"/>
                <w:sz w:val="18"/>
                <w:szCs w:val="18"/>
                <w:lang w:val="en-GB"/>
              </w:rPr>
              <w:t>339</w:t>
            </w:r>
          </w:p>
        </w:tc>
        <w:tc>
          <w:tcPr>
            <w:tcW w:w="91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6629B" w:rsidRPr="00F72635" w:rsidRDefault="0066629B" w:rsidP="00F72635">
            <w:pPr>
              <w:jc w:val="center"/>
              <w:cnfStyle w:val="000000100000"/>
              <w:rPr>
                <w:rFonts w:ascii="Times New Roman" w:eastAsia="Times New Roman" w:hAnsi="Times New Roman" w:cs="Times New Roman"/>
                <w:color w:val="auto"/>
                <w:sz w:val="18"/>
                <w:szCs w:val="18"/>
                <w:lang w:val="en-GB"/>
              </w:rPr>
            </w:pPr>
            <w:r w:rsidRPr="00F72635">
              <w:rPr>
                <w:rFonts w:ascii="Times New Roman" w:eastAsia="Times New Roman" w:hAnsi="Times New Roman" w:cs="Times New Roman"/>
                <w:color w:val="auto"/>
                <w:sz w:val="18"/>
                <w:szCs w:val="18"/>
                <w:lang w:val="en-GB"/>
              </w:rPr>
              <w:t>569</w:t>
            </w:r>
          </w:p>
        </w:tc>
      </w:tr>
      <w:tr w:rsidR="00F72635" w:rsidRPr="00F72635" w:rsidTr="00C81B9B">
        <w:trPr>
          <w:trHeight w:val="152"/>
          <w:jc w:val="center"/>
        </w:trPr>
        <w:tc>
          <w:tcPr>
            <w:cnfStyle w:val="001000000000"/>
            <w:tcW w:w="3448" w:type="dxa"/>
            <w:tcBorders>
              <w:left w:val="none" w:sz="0" w:space="0" w:color="auto"/>
              <w:bottom w:val="none" w:sz="0" w:space="0" w:color="auto"/>
              <w:right w:val="none" w:sz="0" w:space="0" w:color="auto"/>
            </w:tcBorders>
            <w:shd w:val="clear" w:color="auto" w:fill="FFFFFF" w:themeFill="background1"/>
            <w:vAlign w:val="center"/>
          </w:tcPr>
          <w:p w:rsidR="0066629B" w:rsidRPr="00F72635" w:rsidRDefault="0066629B" w:rsidP="00F72635">
            <w:pPr>
              <w:rPr>
                <w:rFonts w:ascii="Times New Roman" w:eastAsia="Times New Roman" w:hAnsi="Times New Roman" w:cs="Times New Roman"/>
                <w:i/>
                <w:color w:val="auto"/>
                <w:sz w:val="18"/>
                <w:szCs w:val="18"/>
                <w:lang w:val="en-GB"/>
              </w:rPr>
            </w:pPr>
            <w:r w:rsidRPr="00F72635">
              <w:rPr>
                <w:rFonts w:ascii="Times New Roman" w:eastAsia="Times New Roman" w:hAnsi="Times New Roman" w:cs="Times New Roman"/>
                <w:i/>
                <w:color w:val="auto"/>
                <w:sz w:val="18"/>
                <w:szCs w:val="18"/>
                <w:lang w:val="en-GB"/>
              </w:rPr>
              <w:t>Professional and trade unions</w:t>
            </w:r>
          </w:p>
        </w:tc>
        <w:tc>
          <w:tcPr>
            <w:tcW w:w="1810" w:type="dxa"/>
            <w:shd w:val="clear" w:color="auto" w:fill="FFFFFF" w:themeFill="background1"/>
            <w:vAlign w:val="center"/>
          </w:tcPr>
          <w:p w:rsidR="0066629B" w:rsidRPr="00F72635" w:rsidRDefault="0066629B" w:rsidP="00F72635">
            <w:pPr>
              <w:jc w:val="center"/>
              <w:cnfStyle w:val="000000000000"/>
              <w:rPr>
                <w:rFonts w:ascii="Times New Roman" w:eastAsia="Times New Roman" w:hAnsi="Times New Roman" w:cs="Times New Roman"/>
                <w:color w:val="auto"/>
                <w:sz w:val="18"/>
                <w:szCs w:val="18"/>
                <w:lang w:val="en-GB"/>
              </w:rPr>
            </w:pPr>
            <w:r w:rsidRPr="00F72635">
              <w:rPr>
                <w:rFonts w:ascii="Times New Roman" w:eastAsia="Times New Roman" w:hAnsi="Times New Roman" w:cs="Times New Roman"/>
                <w:color w:val="auto"/>
                <w:sz w:val="18"/>
                <w:szCs w:val="18"/>
                <w:lang w:val="en-GB"/>
              </w:rPr>
              <w:t>127</w:t>
            </w:r>
          </w:p>
        </w:tc>
        <w:tc>
          <w:tcPr>
            <w:tcW w:w="1138" w:type="dxa"/>
            <w:shd w:val="clear" w:color="auto" w:fill="FFFFFF" w:themeFill="background1"/>
            <w:vAlign w:val="center"/>
          </w:tcPr>
          <w:p w:rsidR="0066629B" w:rsidRPr="00F72635" w:rsidRDefault="0066629B" w:rsidP="00F72635">
            <w:pPr>
              <w:jc w:val="center"/>
              <w:cnfStyle w:val="000000000000"/>
              <w:rPr>
                <w:rFonts w:ascii="Times New Roman" w:eastAsia="Times New Roman" w:hAnsi="Times New Roman" w:cs="Times New Roman"/>
                <w:color w:val="auto"/>
                <w:sz w:val="18"/>
                <w:szCs w:val="18"/>
                <w:lang w:val="en-GB"/>
              </w:rPr>
            </w:pPr>
            <w:r w:rsidRPr="00F72635">
              <w:rPr>
                <w:rFonts w:ascii="Times New Roman" w:eastAsia="Times New Roman" w:hAnsi="Times New Roman" w:cs="Times New Roman"/>
                <w:color w:val="auto"/>
                <w:sz w:val="18"/>
                <w:szCs w:val="18"/>
                <w:lang w:val="en-GB"/>
              </w:rPr>
              <w:t>56</w:t>
            </w:r>
          </w:p>
        </w:tc>
        <w:tc>
          <w:tcPr>
            <w:tcW w:w="1206" w:type="dxa"/>
            <w:shd w:val="clear" w:color="auto" w:fill="FFFFFF" w:themeFill="background1"/>
            <w:vAlign w:val="center"/>
          </w:tcPr>
          <w:p w:rsidR="0066629B" w:rsidRPr="00F72635" w:rsidRDefault="0066629B" w:rsidP="00F72635">
            <w:pPr>
              <w:jc w:val="center"/>
              <w:cnfStyle w:val="000000000000"/>
              <w:rPr>
                <w:rFonts w:ascii="Times New Roman" w:eastAsia="Times New Roman" w:hAnsi="Times New Roman" w:cs="Times New Roman"/>
                <w:color w:val="auto"/>
                <w:sz w:val="18"/>
                <w:szCs w:val="18"/>
                <w:lang w:val="en-GB"/>
              </w:rPr>
            </w:pPr>
            <w:r w:rsidRPr="00F72635">
              <w:rPr>
                <w:rFonts w:ascii="Times New Roman" w:eastAsia="Times New Roman" w:hAnsi="Times New Roman" w:cs="Times New Roman"/>
                <w:color w:val="auto"/>
                <w:sz w:val="18"/>
                <w:szCs w:val="18"/>
                <w:lang w:val="en-GB"/>
              </w:rPr>
              <w:t>1</w:t>
            </w:r>
            <w:r w:rsidR="00F72635">
              <w:rPr>
                <w:rFonts w:ascii="Times New Roman" w:eastAsia="Times New Roman" w:hAnsi="Times New Roman" w:cs="Times New Roman"/>
                <w:color w:val="auto"/>
                <w:sz w:val="18"/>
                <w:szCs w:val="18"/>
                <w:lang w:val="en-GB"/>
              </w:rPr>
              <w:t>,</w:t>
            </w:r>
            <w:r w:rsidRPr="00F72635">
              <w:rPr>
                <w:rFonts w:ascii="Times New Roman" w:eastAsia="Times New Roman" w:hAnsi="Times New Roman" w:cs="Times New Roman"/>
                <w:color w:val="auto"/>
                <w:sz w:val="18"/>
                <w:szCs w:val="18"/>
                <w:lang w:val="en-GB"/>
              </w:rPr>
              <w:t>3</w:t>
            </w:r>
            <w:r w:rsidRPr="00F72635">
              <w:rPr>
                <w:rFonts w:ascii="Times New Roman" w:eastAsia="Times New Roman" w:hAnsi="Times New Roman" w:cs="Times New Roman"/>
                <w:color w:val="auto"/>
                <w:sz w:val="18"/>
                <w:szCs w:val="18"/>
                <w:rtl/>
                <w:lang w:val="en-GB"/>
              </w:rPr>
              <w:t>9</w:t>
            </w:r>
            <w:r w:rsidRPr="00F72635">
              <w:rPr>
                <w:rFonts w:ascii="Times New Roman" w:eastAsia="Times New Roman" w:hAnsi="Times New Roman" w:cs="Times New Roman"/>
                <w:color w:val="auto"/>
                <w:sz w:val="18"/>
                <w:szCs w:val="18"/>
                <w:lang w:val="en-GB"/>
              </w:rPr>
              <w:t>7</w:t>
            </w:r>
          </w:p>
        </w:tc>
        <w:tc>
          <w:tcPr>
            <w:tcW w:w="903" w:type="dxa"/>
            <w:shd w:val="clear" w:color="auto" w:fill="FFFFFF" w:themeFill="background1"/>
            <w:vAlign w:val="center"/>
          </w:tcPr>
          <w:p w:rsidR="0066629B" w:rsidRPr="00F72635" w:rsidRDefault="0066629B" w:rsidP="00F72635">
            <w:pPr>
              <w:jc w:val="center"/>
              <w:cnfStyle w:val="000000000000"/>
              <w:rPr>
                <w:rFonts w:ascii="Times New Roman" w:eastAsia="Times New Roman" w:hAnsi="Times New Roman" w:cs="Times New Roman"/>
                <w:color w:val="auto"/>
                <w:sz w:val="18"/>
                <w:szCs w:val="18"/>
                <w:lang w:val="en-GB"/>
              </w:rPr>
            </w:pPr>
            <w:r w:rsidRPr="00F72635">
              <w:rPr>
                <w:rFonts w:ascii="Times New Roman" w:eastAsia="Times New Roman" w:hAnsi="Times New Roman" w:cs="Times New Roman"/>
                <w:color w:val="auto"/>
                <w:sz w:val="18"/>
                <w:szCs w:val="18"/>
                <w:lang w:val="en-GB"/>
              </w:rPr>
              <w:t>773</w:t>
            </w:r>
          </w:p>
        </w:tc>
        <w:tc>
          <w:tcPr>
            <w:tcW w:w="911" w:type="dxa"/>
            <w:shd w:val="clear" w:color="auto" w:fill="FFFFFF" w:themeFill="background1"/>
            <w:vAlign w:val="center"/>
          </w:tcPr>
          <w:p w:rsidR="0066629B" w:rsidRPr="00F72635" w:rsidRDefault="0066629B" w:rsidP="00F72635">
            <w:pPr>
              <w:jc w:val="center"/>
              <w:cnfStyle w:val="000000000000"/>
              <w:rPr>
                <w:rFonts w:ascii="Times New Roman" w:eastAsia="Times New Roman" w:hAnsi="Times New Roman" w:cs="Times New Roman"/>
                <w:color w:val="auto"/>
                <w:sz w:val="18"/>
                <w:szCs w:val="18"/>
                <w:lang w:val="en-GB"/>
              </w:rPr>
            </w:pPr>
            <w:r w:rsidRPr="00F72635">
              <w:rPr>
                <w:rFonts w:ascii="Times New Roman" w:eastAsia="Times New Roman" w:hAnsi="Times New Roman" w:cs="Times New Roman"/>
                <w:color w:val="auto"/>
                <w:sz w:val="18"/>
                <w:szCs w:val="18"/>
                <w:rtl/>
                <w:lang w:val="en-GB"/>
              </w:rPr>
              <w:t>62</w:t>
            </w:r>
            <w:r w:rsidRPr="00F72635">
              <w:rPr>
                <w:rFonts w:ascii="Times New Roman" w:eastAsia="Times New Roman" w:hAnsi="Times New Roman" w:cs="Times New Roman"/>
                <w:color w:val="auto"/>
                <w:sz w:val="18"/>
                <w:szCs w:val="18"/>
                <w:lang w:val="en-GB"/>
              </w:rPr>
              <w:t>4</w:t>
            </w:r>
          </w:p>
        </w:tc>
      </w:tr>
      <w:tr w:rsidR="00F72635" w:rsidRPr="00F72635" w:rsidTr="00C81B9B">
        <w:trPr>
          <w:cnfStyle w:val="000000100000"/>
          <w:jc w:val="center"/>
        </w:trPr>
        <w:tc>
          <w:tcPr>
            <w:cnfStyle w:val="001000000000"/>
            <w:tcW w:w="344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6629B" w:rsidRPr="00F72635" w:rsidRDefault="00F72635" w:rsidP="00F72635">
            <w:pPr>
              <w:rPr>
                <w:rFonts w:ascii="Times New Roman" w:eastAsia="Times New Roman" w:hAnsi="Times New Roman" w:cs="Times New Roman"/>
                <w:i/>
                <w:color w:val="auto"/>
                <w:sz w:val="18"/>
                <w:szCs w:val="18"/>
                <w:lang w:val="en-GB"/>
              </w:rPr>
            </w:pPr>
            <w:r>
              <w:rPr>
                <w:rFonts w:ascii="Times New Roman" w:eastAsia="Times New Roman" w:hAnsi="Times New Roman" w:cs="Times New Roman"/>
                <w:i/>
                <w:color w:val="auto"/>
                <w:sz w:val="18"/>
                <w:szCs w:val="18"/>
                <w:lang w:val="en-GB"/>
              </w:rPr>
              <w:t>Media s</w:t>
            </w:r>
            <w:r w:rsidR="0066629B" w:rsidRPr="00F72635">
              <w:rPr>
                <w:rFonts w:ascii="Times New Roman" w:eastAsia="Times New Roman" w:hAnsi="Times New Roman" w:cs="Times New Roman"/>
                <w:i/>
                <w:color w:val="auto"/>
                <w:sz w:val="18"/>
                <w:szCs w:val="18"/>
                <w:lang w:val="en-GB"/>
              </w:rPr>
              <w:t>taff</w:t>
            </w:r>
          </w:p>
        </w:tc>
        <w:tc>
          <w:tcPr>
            <w:tcW w:w="181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6629B" w:rsidRPr="00F72635" w:rsidRDefault="0066629B" w:rsidP="00F72635">
            <w:pPr>
              <w:jc w:val="center"/>
              <w:cnfStyle w:val="000000100000"/>
              <w:rPr>
                <w:rFonts w:ascii="Times New Roman" w:eastAsia="Times New Roman" w:hAnsi="Times New Roman" w:cs="Times New Roman"/>
                <w:color w:val="auto"/>
                <w:sz w:val="18"/>
                <w:szCs w:val="18"/>
                <w:lang w:val="en-GB"/>
              </w:rPr>
            </w:pPr>
            <w:r w:rsidRPr="00F72635">
              <w:rPr>
                <w:rFonts w:ascii="Times New Roman" w:eastAsia="Times New Roman" w:hAnsi="Times New Roman" w:cs="Times New Roman"/>
                <w:color w:val="auto"/>
                <w:sz w:val="18"/>
                <w:szCs w:val="18"/>
                <w:rtl/>
                <w:lang w:val="en-GB"/>
              </w:rPr>
              <w:t>2</w:t>
            </w:r>
            <w:r w:rsidRPr="00F72635">
              <w:rPr>
                <w:rFonts w:ascii="Times New Roman" w:eastAsia="Times New Roman" w:hAnsi="Times New Roman" w:cs="Times New Roman"/>
                <w:color w:val="auto"/>
                <w:sz w:val="18"/>
                <w:szCs w:val="18"/>
                <w:lang w:val="en-GB"/>
              </w:rPr>
              <w:t>59</w:t>
            </w:r>
          </w:p>
        </w:tc>
        <w:tc>
          <w:tcPr>
            <w:tcW w:w="11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6629B" w:rsidRPr="00F72635" w:rsidRDefault="0066629B" w:rsidP="00F72635">
            <w:pPr>
              <w:jc w:val="center"/>
              <w:cnfStyle w:val="000000100000"/>
              <w:rPr>
                <w:rFonts w:ascii="Times New Roman" w:eastAsia="Times New Roman" w:hAnsi="Times New Roman" w:cs="Times New Roman"/>
                <w:color w:val="auto"/>
                <w:sz w:val="18"/>
                <w:szCs w:val="18"/>
                <w:lang w:val="en-GB"/>
              </w:rPr>
            </w:pPr>
            <w:r w:rsidRPr="00F72635">
              <w:rPr>
                <w:rFonts w:ascii="Times New Roman" w:eastAsia="Times New Roman" w:hAnsi="Times New Roman" w:cs="Times New Roman"/>
                <w:color w:val="auto"/>
                <w:sz w:val="18"/>
                <w:szCs w:val="18"/>
                <w:lang w:val="en-GB"/>
              </w:rPr>
              <w:t>14</w:t>
            </w:r>
          </w:p>
        </w:tc>
        <w:tc>
          <w:tcPr>
            <w:tcW w:w="1206"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6629B" w:rsidRPr="00F72635" w:rsidRDefault="0066629B" w:rsidP="00F72635">
            <w:pPr>
              <w:jc w:val="center"/>
              <w:cnfStyle w:val="000000100000"/>
              <w:rPr>
                <w:rFonts w:ascii="Times New Roman" w:eastAsia="Times New Roman" w:hAnsi="Times New Roman" w:cs="Times New Roman"/>
                <w:color w:val="auto"/>
                <w:sz w:val="18"/>
                <w:szCs w:val="18"/>
                <w:lang w:val="en-GB"/>
              </w:rPr>
            </w:pPr>
            <w:r w:rsidRPr="00F72635">
              <w:rPr>
                <w:rFonts w:ascii="Times New Roman" w:eastAsia="Times New Roman" w:hAnsi="Times New Roman" w:cs="Times New Roman"/>
                <w:color w:val="auto"/>
                <w:sz w:val="18"/>
                <w:szCs w:val="18"/>
                <w:lang w:val="en-GB"/>
              </w:rPr>
              <w:t>675</w:t>
            </w:r>
          </w:p>
        </w:tc>
        <w:tc>
          <w:tcPr>
            <w:tcW w:w="90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6629B" w:rsidRPr="00F72635" w:rsidRDefault="0066629B" w:rsidP="00F72635">
            <w:pPr>
              <w:jc w:val="center"/>
              <w:cnfStyle w:val="000000100000"/>
              <w:rPr>
                <w:rFonts w:ascii="Times New Roman" w:eastAsia="Times New Roman" w:hAnsi="Times New Roman" w:cs="Times New Roman"/>
                <w:color w:val="auto"/>
                <w:sz w:val="18"/>
                <w:szCs w:val="18"/>
                <w:lang w:val="en-GB"/>
              </w:rPr>
            </w:pPr>
            <w:r w:rsidRPr="00F72635">
              <w:rPr>
                <w:rFonts w:ascii="Times New Roman" w:eastAsia="Times New Roman" w:hAnsi="Times New Roman" w:cs="Times New Roman"/>
                <w:color w:val="auto"/>
                <w:sz w:val="18"/>
                <w:szCs w:val="18"/>
                <w:lang w:val="en-GB"/>
              </w:rPr>
              <w:t>303</w:t>
            </w:r>
          </w:p>
        </w:tc>
        <w:tc>
          <w:tcPr>
            <w:tcW w:w="91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66629B" w:rsidRPr="00F72635" w:rsidRDefault="0066629B" w:rsidP="00F72635">
            <w:pPr>
              <w:jc w:val="center"/>
              <w:cnfStyle w:val="000000100000"/>
              <w:rPr>
                <w:rFonts w:ascii="Times New Roman" w:eastAsia="Times New Roman" w:hAnsi="Times New Roman" w:cs="Times New Roman"/>
                <w:color w:val="auto"/>
                <w:sz w:val="18"/>
                <w:szCs w:val="18"/>
                <w:lang w:val="en-GB"/>
              </w:rPr>
            </w:pPr>
            <w:r w:rsidRPr="00F72635">
              <w:rPr>
                <w:rFonts w:ascii="Times New Roman" w:eastAsia="Times New Roman" w:hAnsi="Times New Roman" w:cs="Times New Roman"/>
                <w:color w:val="auto"/>
                <w:sz w:val="18"/>
                <w:szCs w:val="18"/>
                <w:lang w:val="en-GB"/>
              </w:rPr>
              <w:t>372</w:t>
            </w:r>
          </w:p>
        </w:tc>
      </w:tr>
      <w:tr w:rsidR="00F72635" w:rsidRPr="00F72635" w:rsidTr="00C81B9B">
        <w:trPr>
          <w:jc w:val="center"/>
        </w:trPr>
        <w:tc>
          <w:tcPr>
            <w:cnfStyle w:val="001000000000"/>
            <w:tcW w:w="3448" w:type="dxa"/>
            <w:tcBorders>
              <w:left w:val="none" w:sz="0" w:space="0" w:color="auto"/>
              <w:bottom w:val="none" w:sz="0" w:space="0" w:color="auto"/>
              <w:right w:val="none" w:sz="0" w:space="0" w:color="auto"/>
            </w:tcBorders>
            <w:shd w:val="clear" w:color="auto" w:fill="FFFFFF" w:themeFill="background1"/>
            <w:vAlign w:val="center"/>
          </w:tcPr>
          <w:p w:rsidR="0066629B" w:rsidRPr="00F72635" w:rsidRDefault="0066629B" w:rsidP="00F72635">
            <w:pPr>
              <w:rPr>
                <w:rFonts w:ascii="Times New Roman" w:eastAsia="Times New Roman" w:hAnsi="Times New Roman" w:cs="Times New Roman"/>
                <w:bCs/>
                <w:i/>
                <w:color w:val="auto"/>
                <w:sz w:val="18"/>
                <w:szCs w:val="18"/>
                <w:lang w:val="en-GB"/>
              </w:rPr>
            </w:pPr>
            <w:r w:rsidRPr="00F72635">
              <w:rPr>
                <w:rFonts w:ascii="Times New Roman" w:eastAsia="Times New Roman" w:hAnsi="Times New Roman" w:cs="Times New Roman"/>
                <w:bCs/>
                <w:i/>
                <w:color w:val="auto"/>
                <w:sz w:val="18"/>
                <w:szCs w:val="18"/>
                <w:lang w:val="en-GB"/>
              </w:rPr>
              <w:t xml:space="preserve">Total </w:t>
            </w:r>
          </w:p>
        </w:tc>
        <w:tc>
          <w:tcPr>
            <w:tcW w:w="1810" w:type="dxa"/>
            <w:shd w:val="clear" w:color="auto" w:fill="FFFFFF" w:themeFill="background1"/>
            <w:vAlign w:val="center"/>
          </w:tcPr>
          <w:p w:rsidR="0066629B" w:rsidRPr="00F72635" w:rsidRDefault="0066629B" w:rsidP="00F72635">
            <w:pPr>
              <w:jc w:val="center"/>
              <w:cnfStyle w:val="000000000000"/>
              <w:rPr>
                <w:rFonts w:ascii="Times New Roman" w:eastAsia="Times New Roman" w:hAnsi="Times New Roman" w:cs="Times New Roman"/>
                <w:bCs/>
                <w:color w:val="auto"/>
                <w:sz w:val="18"/>
                <w:szCs w:val="18"/>
                <w:lang w:val="en-GB"/>
              </w:rPr>
            </w:pPr>
            <w:r w:rsidRPr="00F72635">
              <w:rPr>
                <w:rFonts w:ascii="Times New Roman" w:eastAsia="Times New Roman" w:hAnsi="Times New Roman" w:cs="Times New Roman"/>
                <w:bCs/>
                <w:color w:val="auto"/>
                <w:sz w:val="18"/>
                <w:szCs w:val="18"/>
                <w:lang w:val="en-GB"/>
              </w:rPr>
              <w:t>1</w:t>
            </w:r>
            <w:r w:rsidR="00F72635">
              <w:rPr>
                <w:rFonts w:ascii="Times New Roman" w:eastAsia="Times New Roman" w:hAnsi="Times New Roman" w:cs="Times New Roman"/>
                <w:bCs/>
                <w:color w:val="auto"/>
                <w:sz w:val="18"/>
                <w:szCs w:val="18"/>
                <w:lang w:val="en-GB"/>
              </w:rPr>
              <w:t>,</w:t>
            </w:r>
            <w:r w:rsidRPr="00F72635">
              <w:rPr>
                <w:rFonts w:ascii="Times New Roman" w:eastAsia="Times New Roman" w:hAnsi="Times New Roman" w:cs="Times New Roman"/>
                <w:bCs/>
                <w:color w:val="auto"/>
                <w:sz w:val="18"/>
                <w:szCs w:val="18"/>
                <w:lang w:val="en-GB"/>
              </w:rPr>
              <w:t>780</w:t>
            </w:r>
          </w:p>
        </w:tc>
        <w:tc>
          <w:tcPr>
            <w:tcW w:w="1138" w:type="dxa"/>
            <w:shd w:val="clear" w:color="auto" w:fill="FFFFFF" w:themeFill="background1"/>
            <w:vAlign w:val="center"/>
          </w:tcPr>
          <w:p w:rsidR="0066629B" w:rsidRPr="00F72635" w:rsidRDefault="0066629B" w:rsidP="00F72635">
            <w:pPr>
              <w:jc w:val="center"/>
              <w:cnfStyle w:val="000000000000"/>
              <w:rPr>
                <w:rFonts w:ascii="Times New Roman" w:eastAsia="Times New Roman" w:hAnsi="Times New Roman" w:cs="Times New Roman"/>
                <w:bCs/>
                <w:color w:val="auto"/>
                <w:sz w:val="18"/>
                <w:szCs w:val="18"/>
                <w:lang w:val="en-GB"/>
              </w:rPr>
            </w:pPr>
            <w:r w:rsidRPr="00F72635">
              <w:rPr>
                <w:rFonts w:ascii="Times New Roman" w:eastAsia="Times New Roman" w:hAnsi="Times New Roman" w:cs="Times New Roman"/>
                <w:bCs/>
                <w:color w:val="auto"/>
                <w:sz w:val="18"/>
                <w:szCs w:val="18"/>
                <w:lang w:val="en-GB"/>
              </w:rPr>
              <w:t>191</w:t>
            </w:r>
          </w:p>
        </w:tc>
        <w:tc>
          <w:tcPr>
            <w:tcW w:w="1206" w:type="dxa"/>
            <w:shd w:val="clear" w:color="auto" w:fill="FFFFFF" w:themeFill="background1"/>
            <w:vAlign w:val="center"/>
          </w:tcPr>
          <w:p w:rsidR="0066629B" w:rsidRPr="00F72635" w:rsidRDefault="0066629B" w:rsidP="00F72635">
            <w:pPr>
              <w:jc w:val="center"/>
              <w:cnfStyle w:val="000000000000"/>
              <w:rPr>
                <w:rFonts w:ascii="Times New Roman" w:eastAsia="Times New Roman" w:hAnsi="Times New Roman" w:cs="Times New Roman"/>
                <w:bCs/>
                <w:color w:val="auto"/>
                <w:sz w:val="18"/>
                <w:szCs w:val="18"/>
                <w:lang w:val="en-GB"/>
              </w:rPr>
            </w:pPr>
            <w:r w:rsidRPr="00F72635">
              <w:rPr>
                <w:rFonts w:ascii="Times New Roman" w:eastAsia="Times New Roman" w:hAnsi="Times New Roman" w:cs="Times New Roman"/>
                <w:bCs/>
                <w:color w:val="auto"/>
                <w:sz w:val="18"/>
                <w:szCs w:val="18"/>
                <w:lang w:val="en-GB"/>
              </w:rPr>
              <w:t>5</w:t>
            </w:r>
            <w:r w:rsidR="00F72635">
              <w:rPr>
                <w:rFonts w:ascii="Times New Roman" w:eastAsia="Times New Roman" w:hAnsi="Times New Roman" w:cs="Times New Roman"/>
                <w:bCs/>
                <w:color w:val="auto"/>
                <w:sz w:val="18"/>
                <w:szCs w:val="18"/>
                <w:lang w:val="en-GB"/>
              </w:rPr>
              <w:t>,</w:t>
            </w:r>
            <w:r w:rsidRPr="00F72635">
              <w:rPr>
                <w:rFonts w:ascii="Times New Roman" w:eastAsia="Times New Roman" w:hAnsi="Times New Roman" w:cs="Times New Roman"/>
                <w:bCs/>
                <w:color w:val="auto"/>
                <w:sz w:val="18"/>
                <w:szCs w:val="18"/>
                <w:lang w:val="en-GB"/>
              </w:rPr>
              <w:t>530</w:t>
            </w:r>
          </w:p>
        </w:tc>
        <w:tc>
          <w:tcPr>
            <w:tcW w:w="903" w:type="dxa"/>
            <w:shd w:val="clear" w:color="auto" w:fill="FFFFFF" w:themeFill="background1"/>
            <w:vAlign w:val="center"/>
          </w:tcPr>
          <w:p w:rsidR="0066629B" w:rsidRPr="00F72635" w:rsidRDefault="0066629B" w:rsidP="00F72635">
            <w:pPr>
              <w:jc w:val="center"/>
              <w:cnfStyle w:val="000000000000"/>
              <w:rPr>
                <w:rFonts w:ascii="Times New Roman" w:eastAsia="Times New Roman" w:hAnsi="Times New Roman" w:cs="Times New Roman"/>
                <w:bCs/>
                <w:color w:val="auto"/>
                <w:sz w:val="18"/>
                <w:szCs w:val="18"/>
                <w:lang w:val="en-GB"/>
              </w:rPr>
            </w:pPr>
            <w:r w:rsidRPr="00F72635">
              <w:rPr>
                <w:rFonts w:ascii="Times New Roman" w:eastAsia="Times New Roman" w:hAnsi="Times New Roman" w:cs="Times New Roman"/>
                <w:bCs/>
                <w:color w:val="auto"/>
                <w:sz w:val="18"/>
                <w:szCs w:val="18"/>
                <w:lang w:val="en-GB"/>
              </w:rPr>
              <w:t>2</w:t>
            </w:r>
            <w:r w:rsidR="00F72635">
              <w:rPr>
                <w:rFonts w:ascii="Times New Roman" w:eastAsia="Times New Roman" w:hAnsi="Times New Roman" w:cs="Times New Roman"/>
                <w:bCs/>
                <w:color w:val="auto"/>
                <w:sz w:val="18"/>
                <w:szCs w:val="18"/>
                <w:lang w:val="en-GB"/>
              </w:rPr>
              <w:t>,</w:t>
            </w:r>
            <w:r w:rsidRPr="00F72635">
              <w:rPr>
                <w:rFonts w:ascii="Times New Roman" w:eastAsia="Times New Roman" w:hAnsi="Times New Roman" w:cs="Times New Roman"/>
                <w:bCs/>
                <w:color w:val="auto"/>
                <w:sz w:val="18"/>
                <w:szCs w:val="18"/>
                <w:lang w:val="en-GB"/>
              </w:rPr>
              <w:t>386</w:t>
            </w:r>
          </w:p>
        </w:tc>
        <w:tc>
          <w:tcPr>
            <w:tcW w:w="911" w:type="dxa"/>
            <w:shd w:val="clear" w:color="auto" w:fill="FFFFFF" w:themeFill="background1"/>
            <w:vAlign w:val="center"/>
          </w:tcPr>
          <w:p w:rsidR="0066629B" w:rsidRPr="00F72635" w:rsidRDefault="0066629B" w:rsidP="00F72635">
            <w:pPr>
              <w:jc w:val="center"/>
              <w:cnfStyle w:val="000000000000"/>
              <w:rPr>
                <w:rFonts w:ascii="Times New Roman" w:eastAsia="Times New Roman" w:hAnsi="Times New Roman" w:cs="Times New Roman"/>
                <w:bCs/>
                <w:color w:val="auto"/>
                <w:sz w:val="18"/>
                <w:szCs w:val="18"/>
                <w:lang w:val="en-GB"/>
              </w:rPr>
            </w:pPr>
            <w:r w:rsidRPr="00F72635">
              <w:rPr>
                <w:rFonts w:ascii="Times New Roman" w:eastAsia="Times New Roman" w:hAnsi="Times New Roman" w:cs="Times New Roman"/>
                <w:bCs/>
                <w:color w:val="auto"/>
                <w:sz w:val="18"/>
                <w:szCs w:val="18"/>
                <w:lang w:val="en-GB"/>
              </w:rPr>
              <w:t>3</w:t>
            </w:r>
            <w:r w:rsidR="00F72635">
              <w:rPr>
                <w:rFonts w:ascii="Times New Roman" w:eastAsia="Times New Roman" w:hAnsi="Times New Roman" w:cs="Times New Roman"/>
                <w:bCs/>
                <w:color w:val="auto"/>
                <w:sz w:val="18"/>
                <w:szCs w:val="18"/>
                <w:lang w:val="en-GB"/>
              </w:rPr>
              <w:t>,</w:t>
            </w:r>
            <w:r w:rsidRPr="00F72635">
              <w:rPr>
                <w:rFonts w:ascii="Times New Roman" w:eastAsia="Times New Roman" w:hAnsi="Times New Roman" w:cs="Times New Roman"/>
                <w:bCs/>
                <w:color w:val="auto"/>
                <w:sz w:val="18"/>
                <w:szCs w:val="18"/>
                <w:lang w:val="en-GB"/>
              </w:rPr>
              <w:t>144</w:t>
            </w:r>
          </w:p>
        </w:tc>
      </w:tr>
    </w:tbl>
    <w:p w:rsidR="00C70D91" w:rsidRPr="00647752" w:rsidRDefault="00C70D91" w:rsidP="00FB6759">
      <w:pPr>
        <w:spacing w:after="0" w:line="240" w:lineRule="auto"/>
        <w:jc w:val="both"/>
        <w:rPr>
          <w:rFonts w:ascii="Times New Roman" w:eastAsia="MS Mincho" w:hAnsi="Times New Roman" w:cs="Times New Roman"/>
          <w:sz w:val="22"/>
          <w:szCs w:val="22"/>
          <w:lang w:val="en-GB" w:eastAsia="ja-JP"/>
        </w:rPr>
      </w:pPr>
    </w:p>
    <w:p w:rsidR="00C81B9B" w:rsidRDefault="00C81B9B" w:rsidP="00FB6759">
      <w:pPr>
        <w:spacing w:after="0" w:line="240" w:lineRule="auto"/>
        <w:jc w:val="both"/>
        <w:rPr>
          <w:rFonts w:ascii="Times New Roman" w:eastAsia="MS Mincho" w:hAnsi="Times New Roman" w:cs="Times New Roman"/>
          <w:sz w:val="22"/>
          <w:szCs w:val="22"/>
          <w:lang w:val="en-GB" w:eastAsia="ja-JP"/>
        </w:rPr>
      </w:pPr>
      <w:r>
        <w:rPr>
          <w:rFonts w:ascii="Times New Roman" w:eastAsia="MS Mincho" w:hAnsi="Times New Roman" w:cs="Times New Roman"/>
          <w:sz w:val="22"/>
          <w:szCs w:val="22"/>
          <w:lang w:val="en-GB" w:eastAsia="ja-JP"/>
        </w:rPr>
        <w:t>The e</w:t>
      </w:r>
      <w:r w:rsidR="00F82628" w:rsidRPr="00647752">
        <w:rPr>
          <w:rFonts w:ascii="Times New Roman" w:eastAsia="MS Mincho" w:hAnsi="Times New Roman" w:cs="Times New Roman"/>
          <w:sz w:val="22"/>
          <w:szCs w:val="22"/>
          <w:lang w:val="en-GB" w:eastAsia="ja-JP"/>
        </w:rPr>
        <w:t>valuation was able to interview the following Network members during its visit to Gaza</w:t>
      </w:r>
      <w:r w:rsidR="008925C5" w:rsidRPr="00647752">
        <w:rPr>
          <w:rFonts w:ascii="Times New Roman" w:eastAsia="MS Mincho" w:hAnsi="Times New Roman" w:cs="Times New Roman"/>
          <w:sz w:val="22"/>
          <w:szCs w:val="22"/>
          <w:lang w:val="en-GB" w:eastAsia="ja-JP"/>
        </w:rPr>
        <w:t xml:space="preserve"> including</w:t>
      </w:r>
      <w:r w:rsidR="00777EBE" w:rsidRPr="00647752">
        <w:rPr>
          <w:rFonts w:ascii="Times New Roman" w:eastAsia="MS Mincho" w:hAnsi="Times New Roman" w:cs="Times New Roman"/>
          <w:sz w:val="22"/>
          <w:szCs w:val="22"/>
          <w:lang w:val="en-GB" w:eastAsia="ja-JP"/>
        </w:rPr>
        <w:t>: Union</w:t>
      </w:r>
      <w:r>
        <w:rPr>
          <w:rFonts w:ascii="Times New Roman" w:eastAsia="MS Mincho" w:hAnsi="Times New Roman" w:cs="Times New Roman"/>
          <w:sz w:val="22"/>
          <w:szCs w:val="22"/>
          <w:lang w:val="en-GB" w:eastAsia="ja-JP"/>
        </w:rPr>
        <w:t xml:space="preserve"> of Women Programs</w:t>
      </w:r>
      <w:r w:rsidR="008925C5" w:rsidRPr="00647752">
        <w:rPr>
          <w:rFonts w:ascii="Times New Roman" w:eastAsia="MS Mincho" w:hAnsi="Times New Roman" w:cs="Times New Roman"/>
          <w:sz w:val="22"/>
          <w:szCs w:val="22"/>
          <w:lang w:val="en-GB" w:eastAsia="ja-JP"/>
        </w:rPr>
        <w:t xml:space="preserve"> Centres (UWPC)</w:t>
      </w:r>
      <w:r w:rsidR="00777EBE" w:rsidRPr="00647752">
        <w:rPr>
          <w:rFonts w:ascii="Times New Roman" w:eastAsia="MS Mincho" w:hAnsi="Times New Roman" w:cs="Times New Roman"/>
          <w:sz w:val="22"/>
          <w:szCs w:val="22"/>
          <w:lang w:val="en-GB" w:eastAsia="ja-JP"/>
        </w:rPr>
        <w:t>, Women’s</w:t>
      </w:r>
      <w:r w:rsidR="000063A3">
        <w:rPr>
          <w:rFonts w:ascii="Times New Roman" w:eastAsia="MS Mincho" w:hAnsi="Times New Roman" w:cs="Times New Roman"/>
          <w:sz w:val="22"/>
          <w:szCs w:val="22"/>
          <w:lang w:val="en-GB" w:eastAsia="ja-JP"/>
        </w:rPr>
        <w:t xml:space="preserve"> </w:t>
      </w:r>
      <w:r w:rsidR="004E532E" w:rsidRPr="00647752">
        <w:rPr>
          <w:rFonts w:ascii="Times New Roman" w:eastAsia="MS Mincho" w:hAnsi="Times New Roman" w:cs="Times New Roman"/>
          <w:sz w:val="22"/>
          <w:szCs w:val="22"/>
          <w:lang w:val="en-GB" w:eastAsia="ja-JP"/>
        </w:rPr>
        <w:t xml:space="preserve">Affairs </w:t>
      </w:r>
      <w:r w:rsidR="008925C5" w:rsidRPr="00647752">
        <w:rPr>
          <w:rFonts w:ascii="Times New Roman" w:eastAsia="MS Mincho" w:hAnsi="Times New Roman" w:cs="Times New Roman"/>
          <w:sz w:val="22"/>
          <w:szCs w:val="22"/>
          <w:lang w:val="en-GB" w:eastAsia="ja-JP"/>
        </w:rPr>
        <w:t>Centre</w:t>
      </w:r>
      <w:r>
        <w:rPr>
          <w:rFonts w:ascii="Times New Roman" w:eastAsia="MS Mincho" w:hAnsi="Times New Roman" w:cs="Times New Roman"/>
          <w:sz w:val="22"/>
          <w:szCs w:val="22"/>
          <w:lang w:val="en-GB" w:eastAsia="ja-JP"/>
        </w:rPr>
        <w:t xml:space="preserve"> (WAC)</w:t>
      </w:r>
      <w:r w:rsidR="00777EBE" w:rsidRPr="00647752">
        <w:rPr>
          <w:rFonts w:ascii="Times New Roman" w:eastAsia="MS Mincho" w:hAnsi="Times New Roman" w:cs="Times New Roman"/>
          <w:sz w:val="22"/>
          <w:szCs w:val="22"/>
          <w:lang w:val="en-GB" w:eastAsia="ja-JP"/>
        </w:rPr>
        <w:t>, A</w:t>
      </w:r>
      <w:r>
        <w:rPr>
          <w:rFonts w:ascii="Times New Roman" w:eastAsia="MS Mincho" w:hAnsi="Times New Roman" w:cs="Times New Roman"/>
          <w:sz w:val="22"/>
          <w:szCs w:val="22"/>
          <w:lang w:val="en-GB" w:eastAsia="ja-JP"/>
        </w:rPr>
        <w:t xml:space="preserve">isha Women and Child Protection Association, Al-Atta Benevolent Society,  </w:t>
      </w:r>
      <w:r w:rsidR="008925C5" w:rsidRPr="00647752">
        <w:rPr>
          <w:rFonts w:ascii="Times New Roman" w:eastAsia="MS Mincho" w:hAnsi="Times New Roman" w:cs="Times New Roman"/>
          <w:sz w:val="22"/>
          <w:szCs w:val="22"/>
          <w:lang w:val="en-GB" w:eastAsia="ja-JP"/>
        </w:rPr>
        <w:t>National Society for Democracy and</w:t>
      </w:r>
      <w:r>
        <w:rPr>
          <w:rFonts w:ascii="Times New Roman" w:eastAsia="MS Mincho" w:hAnsi="Times New Roman" w:cs="Times New Roman"/>
          <w:sz w:val="22"/>
          <w:szCs w:val="22"/>
          <w:lang w:val="en-GB" w:eastAsia="ja-JP"/>
        </w:rPr>
        <w:t xml:space="preserve"> Law (NSDL), Coalition for Justice, </w:t>
      </w:r>
      <w:r w:rsidR="008925C5" w:rsidRPr="00647752">
        <w:rPr>
          <w:rFonts w:ascii="Times New Roman" w:eastAsia="MS Mincho" w:hAnsi="Times New Roman" w:cs="Times New Roman"/>
          <w:sz w:val="22"/>
          <w:szCs w:val="22"/>
          <w:lang w:val="en-GB" w:eastAsia="ja-JP"/>
        </w:rPr>
        <w:t>South Women Media Forum and the Culture and Free Though Association</w:t>
      </w:r>
      <w:r>
        <w:rPr>
          <w:rFonts w:ascii="Times New Roman" w:eastAsia="MS Mincho" w:hAnsi="Times New Roman" w:cs="Times New Roman"/>
          <w:sz w:val="22"/>
          <w:szCs w:val="22"/>
          <w:lang w:val="en-GB" w:eastAsia="ja-JP"/>
        </w:rPr>
        <w:t xml:space="preserve"> (CFTA)</w:t>
      </w:r>
      <w:r w:rsidR="008925C5" w:rsidRPr="00647752">
        <w:rPr>
          <w:rFonts w:ascii="Times New Roman" w:eastAsia="MS Mincho" w:hAnsi="Times New Roman" w:cs="Times New Roman"/>
          <w:sz w:val="22"/>
          <w:szCs w:val="22"/>
          <w:lang w:val="en-GB" w:eastAsia="ja-JP"/>
        </w:rPr>
        <w:t xml:space="preserve">. </w:t>
      </w:r>
      <w:r>
        <w:rPr>
          <w:rFonts w:ascii="Times New Roman" w:eastAsia="MS Mincho" w:hAnsi="Times New Roman" w:cs="Times New Roman"/>
          <w:sz w:val="22"/>
          <w:szCs w:val="22"/>
          <w:lang w:val="en-GB" w:eastAsia="ja-JP"/>
        </w:rPr>
        <w:t xml:space="preserve">Most </w:t>
      </w:r>
      <w:r w:rsidR="00960EE7" w:rsidRPr="00647752">
        <w:rPr>
          <w:rFonts w:ascii="Times New Roman" w:eastAsia="MS Mincho" w:hAnsi="Times New Roman" w:cs="Times New Roman"/>
          <w:sz w:val="22"/>
          <w:szCs w:val="22"/>
          <w:lang w:val="en-GB" w:eastAsia="ja-JP"/>
        </w:rPr>
        <w:t xml:space="preserve">of these CSOs engage in both legal awareness-raising and legal counselling and representation. </w:t>
      </w:r>
      <w:r w:rsidR="008925C5" w:rsidRPr="00647752">
        <w:rPr>
          <w:rFonts w:ascii="Times New Roman" w:eastAsia="MS Mincho" w:hAnsi="Times New Roman" w:cs="Times New Roman"/>
          <w:sz w:val="22"/>
          <w:szCs w:val="22"/>
          <w:lang w:val="en-GB" w:eastAsia="ja-JP"/>
        </w:rPr>
        <w:t xml:space="preserve">In </w:t>
      </w:r>
      <w:r w:rsidR="008925C5" w:rsidRPr="00647752">
        <w:rPr>
          <w:rFonts w:ascii="Times New Roman" w:eastAsia="MS Mincho" w:hAnsi="Times New Roman" w:cs="Times New Roman"/>
          <w:sz w:val="22"/>
          <w:szCs w:val="22"/>
          <w:lang w:val="en-GB" w:eastAsia="ja-JP"/>
        </w:rPr>
        <w:lastRenderedPageBreak/>
        <w:t>addition</w:t>
      </w:r>
      <w:r>
        <w:rPr>
          <w:rFonts w:ascii="Times New Roman" w:eastAsia="MS Mincho" w:hAnsi="Times New Roman" w:cs="Times New Roman"/>
          <w:sz w:val="22"/>
          <w:szCs w:val="22"/>
          <w:lang w:val="en-GB" w:eastAsia="ja-JP"/>
        </w:rPr>
        <w:t>, the e</w:t>
      </w:r>
      <w:r w:rsidR="008925C5" w:rsidRPr="00647752">
        <w:rPr>
          <w:rFonts w:ascii="Times New Roman" w:eastAsia="MS Mincho" w:hAnsi="Times New Roman" w:cs="Times New Roman"/>
          <w:sz w:val="22"/>
          <w:szCs w:val="22"/>
          <w:lang w:val="en-GB" w:eastAsia="ja-JP"/>
        </w:rPr>
        <w:t xml:space="preserve">valuation interviewed the </w:t>
      </w:r>
      <w:r>
        <w:rPr>
          <w:rFonts w:ascii="Times New Roman" w:eastAsia="MS Mincho" w:hAnsi="Times New Roman" w:cs="Times New Roman"/>
          <w:sz w:val="22"/>
          <w:szCs w:val="22"/>
          <w:lang w:val="en-GB" w:eastAsia="ja-JP"/>
        </w:rPr>
        <w:t>Gaza branch of the PBA and the three university-based legal aid clinics that form part of the Awn network.</w:t>
      </w:r>
    </w:p>
    <w:p w:rsidR="00F82628" w:rsidRPr="00647752" w:rsidRDefault="00F82628" w:rsidP="00FB6759">
      <w:pPr>
        <w:spacing w:after="0" w:line="240" w:lineRule="auto"/>
        <w:jc w:val="both"/>
        <w:rPr>
          <w:rFonts w:ascii="Times New Roman" w:eastAsia="MS Mincho" w:hAnsi="Times New Roman" w:cs="Times New Roman"/>
          <w:sz w:val="22"/>
          <w:szCs w:val="22"/>
          <w:lang w:val="en-GB" w:eastAsia="ja-JP"/>
        </w:rPr>
      </w:pPr>
    </w:p>
    <w:p w:rsidR="0066629B" w:rsidRPr="00647752" w:rsidRDefault="00C81B9B" w:rsidP="00FB6759">
      <w:pPr>
        <w:spacing w:after="0" w:line="240" w:lineRule="auto"/>
        <w:jc w:val="both"/>
        <w:rPr>
          <w:rFonts w:ascii="Times New Roman" w:eastAsia="MS Mincho" w:hAnsi="Times New Roman" w:cs="Times New Roman"/>
          <w:sz w:val="22"/>
          <w:szCs w:val="24"/>
          <w:lang w:val="en-GB" w:eastAsia="ja-JP"/>
        </w:rPr>
      </w:pPr>
      <w:r>
        <w:rPr>
          <w:rFonts w:ascii="Times New Roman" w:eastAsia="MS Mincho" w:hAnsi="Times New Roman" w:cs="Times New Roman"/>
          <w:sz w:val="22"/>
          <w:szCs w:val="22"/>
          <w:lang w:val="en-GB" w:eastAsia="ja-JP"/>
        </w:rPr>
        <w:t>For example, UWPC runs ten</w:t>
      </w:r>
      <w:r w:rsidR="0066629B" w:rsidRPr="00647752">
        <w:rPr>
          <w:rFonts w:ascii="Times New Roman" w:eastAsia="MS Mincho" w:hAnsi="Times New Roman" w:cs="Times New Roman"/>
          <w:sz w:val="22"/>
          <w:szCs w:val="22"/>
          <w:lang w:val="en-GB" w:eastAsia="ja-JP"/>
        </w:rPr>
        <w:t xml:space="preserve"> women centres in Gaza</w:t>
      </w:r>
      <w:r>
        <w:rPr>
          <w:rFonts w:ascii="Times New Roman" w:eastAsia="MS Mincho" w:hAnsi="Times New Roman" w:cs="Times New Roman"/>
          <w:sz w:val="22"/>
          <w:szCs w:val="22"/>
          <w:lang w:val="en-GB" w:eastAsia="ja-JP"/>
        </w:rPr>
        <w:t>.</w:t>
      </w:r>
      <w:r w:rsidR="0066629B" w:rsidRPr="00647752">
        <w:rPr>
          <w:rFonts w:ascii="Times New Roman" w:eastAsia="MS Mincho" w:hAnsi="Times New Roman" w:cs="Times New Roman"/>
          <w:sz w:val="22"/>
          <w:szCs w:val="22"/>
          <w:vertAlign w:val="superscript"/>
          <w:lang w:val="en-GB" w:eastAsia="ja-JP"/>
        </w:rPr>
        <w:footnoteReference w:id="184"/>
      </w:r>
      <w:r w:rsidR="0066629B" w:rsidRPr="00647752">
        <w:rPr>
          <w:rFonts w:ascii="Times New Roman" w:eastAsia="MS Mincho" w:hAnsi="Times New Roman" w:cs="Times New Roman"/>
          <w:sz w:val="22"/>
          <w:szCs w:val="22"/>
          <w:lang w:val="en-GB" w:eastAsia="ja-JP"/>
        </w:rPr>
        <w:t>UNDP assis</w:t>
      </w:r>
      <w:r>
        <w:rPr>
          <w:rFonts w:ascii="Times New Roman" w:eastAsia="MS Mincho" w:hAnsi="Times New Roman" w:cs="Times New Roman"/>
          <w:sz w:val="22"/>
          <w:szCs w:val="22"/>
          <w:lang w:val="en-GB" w:eastAsia="ja-JP"/>
        </w:rPr>
        <w:t>tance has enabled UWPC to open seven</w:t>
      </w:r>
      <w:r w:rsidR="0066629B" w:rsidRPr="00647752">
        <w:rPr>
          <w:rFonts w:ascii="Times New Roman" w:eastAsia="MS Mincho" w:hAnsi="Times New Roman" w:cs="Times New Roman"/>
          <w:sz w:val="22"/>
          <w:szCs w:val="22"/>
          <w:lang w:val="en-GB" w:eastAsia="ja-JP"/>
        </w:rPr>
        <w:t xml:space="preserve"> legal aid </w:t>
      </w:r>
      <w:r>
        <w:rPr>
          <w:rFonts w:ascii="Times New Roman" w:eastAsia="MS Mincho" w:hAnsi="Times New Roman" w:cs="Times New Roman"/>
          <w:sz w:val="22"/>
          <w:szCs w:val="22"/>
          <w:lang w:val="en-GB" w:eastAsia="ja-JP"/>
        </w:rPr>
        <w:t xml:space="preserve">clinics in Gaza </w:t>
      </w:r>
      <w:r w:rsidR="0066629B" w:rsidRPr="00647752">
        <w:rPr>
          <w:rFonts w:ascii="Times New Roman" w:eastAsia="MS Mincho" w:hAnsi="Times New Roman" w:cs="Times New Roman"/>
          <w:sz w:val="22"/>
          <w:szCs w:val="24"/>
          <w:lang w:val="en-GB" w:eastAsia="ja-JP"/>
        </w:rPr>
        <w:t>located within women centres in Nus</w:t>
      </w:r>
      <w:r w:rsidR="004E532E" w:rsidRPr="00647752">
        <w:rPr>
          <w:rFonts w:ascii="Times New Roman" w:eastAsia="MS Mincho" w:hAnsi="Times New Roman" w:cs="Times New Roman"/>
          <w:sz w:val="22"/>
          <w:szCs w:val="24"/>
          <w:lang w:val="en-GB" w:eastAsia="ja-JP"/>
        </w:rPr>
        <w:t>ei</w:t>
      </w:r>
      <w:r>
        <w:rPr>
          <w:rFonts w:ascii="Times New Roman" w:eastAsia="MS Mincho" w:hAnsi="Times New Roman" w:cs="Times New Roman"/>
          <w:sz w:val="22"/>
          <w:szCs w:val="24"/>
          <w:lang w:val="en-GB" w:eastAsia="ja-JP"/>
        </w:rPr>
        <w:t xml:space="preserve">rat, </w:t>
      </w:r>
      <w:r w:rsidR="0066629B" w:rsidRPr="00647752">
        <w:rPr>
          <w:rFonts w:ascii="Times New Roman" w:eastAsia="MS Mincho" w:hAnsi="Times New Roman" w:cs="Times New Roman"/>
          <w:sz w:val="22"/>
          <w:szCs w:val="24"/>
          <w:lang w:val="en-GB" w:eastAsia="ja-JP"/>
        </w:rPr>
        <w:t>Beach Camp, Rafa</w:t>
      </w:r>
      <w:r w:rsidR="00672358" w:rsidRPr="00647752">
        <w:rPr>
          <w:rFonts w:ascii="Times New Roman" w:eastAsia="MS Mincho" w:hAnsi="Times New Roman" w:cs="Times New Roman"/>
          <w:sz w:val="22"/>
          <w:szCs w:val="24"/>
          <w:lang w:val="en-GB" w:eastAsia="ja-JP"/>
        </w:rPr>
        <w:t>h</w:t>
      </w:r>
      <w:r>
        <w:rPr>
          <w:rFonts w:ascii="Times New Roman" w:eastAsia="MS Mincho" w:hAnsi="Times New Roman" w:cs="Times New Roman"/>
          <w:sz w:val="22"/>
          <w:szCs w:val="24"/>
          <w:lang w:val="en-GB" w:eastAsia="ja-JP"/>
        </w:rPr>
        <w:t xml:space="preserve">, Dier al Balah, Al-Maghazi, Al-Burieg and Al-Daraj. </w:t>
      </w:r>
      <w:r w:rsidR="0066629B" w:rsidRPr="00647752">
        <w:rPr>
          <w:rFonts w:ascii="Times New Roman" w:eastAsia="MS Mincho" w:hAnsi="Times New Roman" w:cs="Times New Roman"/>
          <w:sz w:val="22"/>
          <w:szCs w:val="24"/>
          <w:lang w:val="en-GB" w:eastAsia="ja-JP"/>
        </w:rPr>
        <w:t>The clinics target mostly female Palestinian refugees, but also provide legal awareness-raising, counselling and representation to men, community leaders, students and children.  UWPC has accessed many areas in Gaza that otherwise would not have been able to reach before as a result of UNDP</w:t>
      </w:r>
      <w:r>
        <w:rPr>
          <w:rFonts w:ascii="Times New Roman" w:eastAsia="MS Mincho" w:hAnsi="Times New Roman" w:cs="Times New Roman"/>
          <w:sz w:val="22"/>
          <w:szCs w:val="24"/>
          <w:lang w:val="en-GB" w:eastAsia="ja-JP"/>
        </w:rPr>
        <w:t xml:space="preserve"> support. </w:t>
      </w:r>
      <w:r w:rsidR="0066629B" w:rsidRPr="00647752">
        <w:rPr>
          <w:rFonts w:ascii="Times New Roman" w:eastAsia="MS Mincho" w:hAnsi="Times New Roman" w:cs="Times New Roman"/>
          <w:sz w:val="22"/>
          <w:szCs w:val="24"/>
          <w:lang w:val="en-GB" w:eastAsia="ja-JP"/>
        </w:rPr>
        <w:t xml:space="preserve">This has been most acutely felt in the communities nearest to the Israeli border that have suffered the worst impacts of </w:t>
      </w:r>
      <w:r w:rsidR="008468BD">
        <w:rPr>
          <w:rFonts w:ascii="Times New Roman" w:eastAsia="MS Mincho" w:hAnsi="Times New Roman" w:cs="Times New Roman"/>
          <w:sz w:val="22"/>
          <w:szCs w:val="24"/>
          <w:lang w:val="en-GB" w:eastAsia="ja-JP"/>
        </w:rPr>
        <w:t>“</w:t>
      </w:r>
      <w:r w:rsidR="0066629B" w:rsidRPr="00647752">
        <w:rPr>
          <w:rFonts w:ascii="Times New Roman" w:eastAsia="MS Mincho" w:hAnsi="Times New Roman" w:cs="Times New Roman"/>
          <w:sz w:val="22"/>
          <w:szCs w:val="24"/>
          <w:lang w:val="en-GB" w:eastAsia="ja-JP"/>
        </w:rPr>
        <w:t>Operation Cast Lead</w:t>
      </w:r>
      <w:r w:rsidR="008468BD">
        <w:rPr>
          <w:rFonts w:ascii="Times New Roman" w:eastAsia="MS Mincho" w:hAnsi="Times New Roman" w:cs="Times New Roman"/>
          <w:sz w:val="22"/>
          <w:szCs w:val="24"/>
          <w:lang w:val="en-GB" w:eastAsia="ja-JP"/>
        </w:rPr>
        <w:t>” and other incursions</w:t>
      </w:r>
      <w:r w:rsidR="0066629B" w:rsidRPr="00647752">
        <w:rPr>
          <w:rFonts w:ascii="Times New Roman" w:eastAsia="MS Mincho" w:hAnsi="Times New Roman" w:cs="Times New Roman"/>
          <w:sz w:val="22"/>
          <w:szCs w:val="24"/>
          <w:lang w:val="en-GB" w:eastAsia="ja-JP"/>
        </w:rPr>
        <w:t>.</w:t>
      </w:r>
      <w:r w:rsidR="000063A3">
        <w:rPr>
          <w:rFonts w:ascii="Times New Roman" w:eastAsia="MS Mincho" w:hAnsi="Times New Roman" w:cs="Times New Roman"/>
          <w:sz w:val="22"/>
          <w:szCs w:val="24"/>
          <w:lang w:val="en-GB" w:eastAsia="ja-JP"/>
        </w:rPr>
        <w:t xml:space="preserve"> </w:t>
      </w:r>
      <w:r w:rsidR="008468BD">
        <w:rPr>
          <w:rFonts w:ascii="Times New Roman" w:eastAsia="MS Mincho" w:hAnsi="Times New Roman" w:cs="Times New Roman"/>
          <w:sz w:val="22"/>
          <w:szCs w:val="24"/>
          <w:lang w:val="en-GB" w:eastAsia="ja-JP"/>
        </w:rPr>
        <w:t>The e</w:t>
      </w:r>
      <w:r w:rsidR="0066629B" w:rsidRPr="00647752">
        <w:rPr>
          <w:rFonts w:ascii="Times New Roman" w:eastAsia="MS Mincho" w:hAnsi="Times New Roman" w:cs="Times New Roman"/>
          <w:sz w:val="22"/>
          <w:szCs w:val="24"/>
          <w:lang w:val="en-GB" w:eastAsia="ja-JP"/>
        </w:rPr>
        <w:t>valuation assembled a focus group of UWPC male and female clients who stated that the legal aid lawyers had benefited them. Many of the women interviewed stated that the legal aid clinics were the</w:t>
      </w:r>
      <w:r w:rsidR="00AF775D" w:rsidRPr="00647752">
        <w:rPr>
          <w:rFonts w:ascii="Times New Roman" w:eastAsia="MS Mincho" w:hAnsi="Times New Roman" w:cs="Times New Roman"/>
          <w:sz w:val="22"/>
          <w:szCs w:val="24"/>
          <w:lang w:val="en-GB" w:eastAsia="ja-JP"/>
        </w:rPr>
        <w:t>ir</w:t>
      </w:r>
      <w:r w:rsidR="0066629B" w:rsidRPr="00647752">
        <w:rPr>
          <w:rFonts w:ascii="Times New Roman" w:eastAsia="MS Mincho" w:hAnsi="Times New Roman" w:cs="Times New Roman"/>
          <w:sz w:val="22"/>
          <w:szCs w:val="24"/>
          <w:lang w:val="en-GB" w:eastAsia="ja-JP"/>
        </w:rPr>
        <w:t xml:space="preserve"> only source of assistance. Thes</w:t>
      </w:r>
      <w:r w:rsidR="008468BD">
        <w:rPr>
          <w:rFonts w:ascii="Times New Roman" w:eastAsia="MS Mincho" w:hAnsi="Times New Roman" w:cs="Times New Roman"/>
          <w:sz w:val="22"/>
          <w:szCs w:val="24"/>
          <w:lang w:val="en-GB" w:eastAsia="ja-JP"/>
        </w:rPr>
        <w:t>e statements are annexed to this report.</w:t>
      </w:r>
    </w:p>
    <w:p w:rsidR="00C70D91" w:rsidRPr="00647752" w:rsidRDefault="00C70D91" w:rsidP="00FB6759">
      <w:pPr>
        <w:spacing w:after="0" w:line="240" w:lineRule="auto"/>
        <w:jc w:val="both"/>
        <w:rPr>
          <w:rFonts w:ascii="Times New Roman" w:eastAsia="MS Mincho" w:hAnsi="Times New Roman" w:cs="Times New Roman"/>
          <w:sz w:val="22"/>
          <w:szCs w:val="24"/>
          <w:lang w:val="en-GB" w:eastAsia="ja-JP"/>
        </w:rPr>
      </w:pPr>
    </w:p>
    <w:p w:rsidR="00C70D91" w:rsidRPr="00647752" w:rsidRDefault="008468BD" w:rsidP="00FB6759">
      <w:pPr>
        <w:spacing w:after="0" w:line="240" w:lineRule="auto"/>
        <w:jc w:val="both"/>
        <w:rPr>
          <w:rFonts w:ascii="Times New Roman" w:eastAsia="MS Mincho" w:hAnsi="Times New Roman" w:cs="Times New Roman"/>
          <w:sz w:val="22"/>
          <w:szCs w:val="24"/>
          <w:lang w:val="en-GB" w:eastAsia="ja-JP"/>
        </w:rPr>
      </w:pPr>
      <w:r>
        <w:rPr>
          <w:rFonts w:ascii="Times New Roman" w:eastAsia="MS Mincho" w:hAnsi="Times New Roman" w:cs="Times New Roman"/>
          <w:sz w:val="22"/>
          <w:szCs w:val="24"/>
          <w:lang w:val="en-GB" w:eastAsia="ja-JP"/>
        </w:rPr>
        <w:t>Meanwhile, WAC with UNDP support has</w:t>
      </w:r>
      <w:r w:rsidR="00777EBE" w:rsidRPr="00647752">
        <w:rPr>
          <w:rFonts w:ascii="Times New Roman" w:eastAsia="MS Mincho" w:hAnsi="Times New Roman" w:cs="Times New Roman"/>
          <w:sz w:val="22"/>
          <w:szCs w:val="24"/>
          <w:lang w:val="en-GB" w:eastAsia="ja-JP"/>
        </w:rPr>
        <w:t xml:space="preserve"> completed awareness-raising to empower </w:t>
      </w:r>
      <w:r w:rsidR="00676E72" w:rsidRPr="00647752">
        <w:rPr>
          <w:rFonts w:ascii="Times New Roman" w:eastAsia="MS Mincho" w:hAnsi="Times New Roman" w:cs="Times New Roman"/>
          <w:sz w:val="22"/>
          <w:szCs w:val="24"/>
          <w:lang w:val="en-GB" w:eastAsia="ja-JP"/>
        </w:rPr>
        <w:t xml:space="preserve">poor </w:t>
      </w:r>
      <w:r w:rsidR="00777EBE" w:rsidRPr="00647752">
        <w:rPr>
          <w:rFonts w:ascii="Times New Roman" w:eastAsia="MS Mincho" w:hAnsi="Times New Roman" w:cs="Times New Roman"/>
          <w:sz w:val="22"/>
          <w:szCs w:val="24"/>
          <w:lang w:val="en-GB" w:eastAsia="ja-JP"/>
        </w:rPr>
        <w:t>women in the Gaza strip</w:t>
      </w:r>
      <w:r w:rsidR="00676E72" w:rsidRPr="00647752">
        <w:rPr>
          <w:rFonts w:ascii="Times New Roman" w:eastAsia="MS Mincho" w:hAnsi="Times New Roman" w:cs="Times New Roman"/>
          <w:sz w:val="22"/>
          <w:szCs w:val="24"/>
          <w:lang w:val="en-GB" w:eastAsia="ja-JP"/>
        </w:rPr>
        <w:t xml:space="preserve"> and a</w:t>
      </w:r>
      <w:r>
        <w:rPr>
          <w:rFonts w:ascii="Times New Roman" w:eastAsia="MS Mincho" w:hAnsi="Times New Roman" w:cs="Times New Roman"/>
          <w:sz w:val="22"/>
          <w:szCs w:val="24"/>
          <w:lang w:val="en-GB" w:eastAsia="ja-JP"/>
        </w:rPr>
        <w:t xml:space="preserve">lso represented a number of clients. </w:t>
      </w:r>
      <w:r w:rsidR="00676E72" w:rsidRPr="00647752">
        <w:rPr>
          <w:rFonts w:ascii="Times New Roman" w:eastAsia="MS Mincho" w:hAnsi="Times New Roman" w:cs="Times New Roman"/>
          <w:sz w:val="22"/>
          <w:szCs w:val="24"/>
          <w:lang w:val="en-GB" w:eastAsia="ja-JP"/>
        </w:rPr>
        <w:t>W</w:t>
      </w:r>
      <w:r w:rsidR="004E532E" w:rsidRPr="00647752">
        <w:rPr>
          <w:rFonts w:ascii="Times New Roman" w:eastAsia="MS Mincho" w:hAnsi="Times New Roman" w:cs="Times New Roman"/>
          <w:sz w:val="22"/>
          <w:szCs w:val="24"/>
          <w:lang w:val="en-GB" w:eastAsia="ja-JP"/>
        </w:rPr>
        <w:t>AC</w:t>
      </w:r>
      <w:r w:rsidR="00676E72" w:rsidRPr="00647752">
        <w:rPr>
          <w:rFonts w:ascii="Times New Roman" w:eastAsia="MS Mincho" w:hAnsi="Times New Roman" w:cs="Times New Roman"/>
          <w:sz w:val="22"/>
          <w:szCs w:val="24"/>
          <w:lang w:val="en-GB" w:eastAsia="ja-JP"/>
        </w:rPr>
        <w:t xml:space="preserve"> has witnessed a marked increase in demand for legal services since</w:t>
      </w:r>
      <w:r>
        <w:rPr>
          <w:rFonts w:ascii="Times New Roman" w:eastAsia="MS Mincho" w:hAnsi="Times New Roman" w:cs="Times New Roman"/>
          <w:sz w:val="22"/>
          <w:szCs w:val="24"/>
          <w:lang w:val="en-GB" w:eastAsia="ja-JP"/>
        </w:rPr>
        <w:t xml:space="preserve"> the UNDP intervention began. </w:t>
      </w:r>
      <w:r w:rsidR="00676E72" w:rsidRPr="00647752">
        <w:rPr>
          <w:rFonts w:ascii="Times New Roman" w:eastAsia="MS Mincho" w:hAnsi="Times New Roman" w:cs="Times New Roman"/>
          <w:sz w:val="22"/>
          <w:szCs w:val="24"/>
          <w:lang w:val="en-GB" w:eastAsia="ja-JP"/>
        </w:rPr>
        <w:t>Word appears to be spreading quickly within communities and judges are referring cases to WAC; while other women who already posses court judgments in their favour are approaching WAC for assistance in obtaining execution of the judgments.</w:t>
      </w:r>
      <w:r w:rsidR="00AD2719" w:rsidRPr="00647752">
        <w:rPr>
          <w:rStyle w:val="FootnoteReference"/>
          <w:rFonts w:ascii="Times New Roman" w:eastAsia="MS Mincho" w:hAnsi="Times New Roman" w:cs="Times New Roman"/>
          <w:sz w:val="22"/>
          <w:szCs w:val="24"/>
          <w:lang w:val="en-GB" w:eastAsia="ja-JP"/>
        </w:rPr>
        <w:footnoteReference w:id="185"/>
      </w:r>
      <w:r w:rsidR="00676E72" w:rsidRPr="00647752">
        <w:rPr>
          <w:rFonts w:ascii="Times New Roman" w:eastAsia="MS Mincho" w:hAnsi="Times New Roman" w:cs="Times New Roman"/>
          <w:sz w:val="22"/>
          <w:szCs w:val="24"/>
          <w:lang w:val="en-GB" w:eastAsia="ja-JP"/>
        </w:rPr>
        <w:t xml:space="preserve">Interest within the community for information on inheritance law was so strong that WAC had to repeat an inheritance workshop that it produced with UNDP funds. </w:t>
      </w:r>
    </w:p>
    <w:p w:rsidR="001C26CD" w:rsidRPr="00647752" w:rsidRDefault="001C26CD" w:rsidP="00FB6759">
      <w:pPr>
        <w:spacing w:after="0" w:line="240" w:lineRule="auto"/>
        <w:jc w:val="both"/>
        <w:rPr>
          <w:rFonts w:ascii="Times New Roman" w:eastAsia="MS Mincho" w:hAnsi="Times New Roman" w:cs="Times New Roman"/>
          <w:sz w:val="22"/>
          <w:szCs w:val="24"/>
          <w:lang w:val="en-GB" w:eastAsia="ja-JP"/>
        </w:rPr>
      </w:pPr>
    </w:p>
    <w:p w:rsidR="001C26CD" w:rsidRPr="00647752" w:rsidRDefault="001C26CD"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Most court cases of WAC and th</w:t>
      </w:r>
      <w:r w:rsidR="008468BD">
        <w:rPr>
          <w:rFonts w:ascii="Times New Roman" w:hAnsi="Times New Roman" w:cs="Times New Roman"/>
          <w:sz w:val="22"/>
          <w:szCs w:val="22"/>
          <w:lang w:val="en-GB"/>
        </w:rPr>
        <w:t xml:space="preserve">e other CSOs take place in the </w:t>
      </w:r>
      <w:r w:rsidR="008468BD" w:rsidRPr="008468BD">
        <w:rPr>
          <w:rFonts w:ascii="Times New Roman" w:hAnsi="Times New Roman" w:cs="Times New Roman"/>
          <w:i/>
          <w:sz w:val="22"/>
          <w:szCs w:val="22"/>
          <w:lang w:val="en-GB"/>
        </w:rPr>
        <w:t>s</w:t>
      </w:r>
      <w:r w:rsidRPr="008468BD">
        <w:rPr>
          <w:rFonts w:ascii="Times New Roman" w:hAnsi="Times New Roman" w:cs="Times New Roman"/>
          <w:i/>
          <w:sz w:val="22"/>
          <w:szCs w:val="22"/>
          <w:lang w:val="en-GB"/>
        </w:rPr>
        <w:t>hari’a</w:t>
      </w:r>
      <w:r w:rsidRPr="00647752">
        <w:rPr>
          <w:rFonts w:ascii="Times New Roman" w:hAnsi="Times New Roman" w:cs="Times New Roman"/>
          <w:sz w:val="22"/>
          <w:szCs w:val="22"/>
          <w:lang w:val="en-GB"/>
        </w:rPr>
        <w:t xml:space="preserve"> courts. As</w:t>
      </w:r>
      <w:r w:rsidR="008468BD">
        <w:rPr>
          <w:rFonts w:ascii="Times New Roman" w:hAnsi="Times New Roman" w:cs="Times New Roman"/>
          <w:sz w:val="22"/>
          <w:szCs w:val="22"/>
          <w:lang w:val="en-GB"/>
        </w:rPr>
        <w:t xml:space="preserve"> in the West Bank, in Gaza the </w:t>
      </w:r>
      <w:r w:rsidR="008468BD" w:rsidRPr="008468BD">
        <w:rPr>
          <w:rFonts w:ascii="Times New Roman" w:hAnsi="Times New Roman" w:cs="Times New Roman"/>
          <w:i/>
          <w:sz w:val="22"/>
          <w:szCs w:val="22"/>
          <w:lang w:val="en-GB"/>
        </w:rPr>
        <w:t>s</w:t>
      </w:r>
      <w:r w:rsidRPr="008468BD">
        <w:rPr>
          <w:rFonts w:ascii="Times New Roman" w:hAnsi="Times New Roman" w:cs="Times New Roman"/>
          <w:i/>
          <w:sz w:val="22"/>
          <w:szCs w:val="22"/>
          <w:lang w:val="en-GB"/>
        </w:rPr>
        <w:t>hari’a</w:t>
      </w:r>
      <w:r w:rsidRPr="00647752">
        <w:rPr>
          <w:rFonts w:ascii="Times New Roman" w:hAnsi="Times New Roman" w:cs="Times New Roman"/>
          <w:sz w:val="22"/>
          <w:szCs w:val="22"/>
          <w:lang w:val="en-GB"/>
        </w:rPr>
        <w:t xml:space="preserve"> courts lack any capacity to enforce their own judgments, as such judgments </w:t>
      </w:r>
      <w:r w:rsidR="002A673E" w:rsidRPr="00647752">
        <w:rPr>
          <w:rFonts w:ascii="Times New Roman" w:hAnsi="Times New Roman" w:cs="Times New Roman"/>
          <w:sz w:val="22"/>
          <w:szCs w:val="22"/>
          <w:lang w:val="en-GB"/>
        </w:rPr>
        <w:t>must be</w:t>
      </w:r>
      <w:r w:rsidRPr="00647752">
        <w:rPr>
          <w:rFonts w:ascii="Times New Roman" w:hAnsi="Times New Roman" w:cs="Times New Roman"/>
          <w:sz w:val="22"/>
          <w:szCs w:val="22"/>
          <w:lang w:val="en-GB"/>
        </w:rPr>
        <w:t xml:space="preserve"> enf</w:t>
      </w:r>
      <w:r w:rsidR="008468BD">
        <w:rPr>
          <w:rFonts w:ascii="Times New Roman" w:hAnsi="Times New Roman" w:cs="Times New Roman"/>
          <w:sz w:val="22"/>
          <w:szCs w:val="22"/>
          <w:lang w:val="en-GB"/>
        </w:rPr>
        <w:t xml:space="preserve">orced in the civil court system - </w:t>
      </w:r>
      <w:r w:rsidRPr="00647752">
        <w:rPr>
          <w:rFonts w:ascii="Times New Roman" w:hAnsi="Times New Roman" w:cs="Times New Roman"/>
          <w:sz w:val="22"/>
          <w:szCs w:val="22"/>
          <w:lang w:val="en-GB"/>
        </w:rPr>
        <w:t>which imposes high fees. A numbe</w:t>
      </w:r>
      <w:r w:rsidR="008468BD">
        <w:rPr>
          <w:rFonts w:ascii="Times New Roman" w:hAnsi="Times New Roman" w:cs="Times New Roman"/>
          <w:sz w:val="22"/>
          <w:szCs w:val="22"/>
          <w:lang w:val="en-GB"/>
        </w:rPr>
        <w:t>r of the CSOs suggested to the e</w:t>
      </w:r>
      <w:r w:rsidRPr="00647752">
        <w:rPr>
          <w:rFonts w:ascii="Times New Roman" w:hAnsi="Times New Roman" w:cs="Times New Roman"/>
          <w:sz w:val="22"/>
          <w:szCs w:val="22"/>
          <w:lang w:val="en-GB"/>
        </w:rPr>
        <w:t>valuation that UNDP should support the establishment o</w:t>
      </w:r>
      <w:r w:rsidR="008468BD">
        <w:rPr>
          <w:rFonts w:ascii="Times New Roman" w:hAnsi="Times New Roman" w:cs="Times New Roman"/>
          <w:sz w:val="22"/>
          <w:szCs w:val="22"/>
          <w:lang w:val="en-GB"/>
        </w:rPr>
        <w:t xml:space="preserve">f a special section within the </w:t>
      </w:r>
      <w:r w:rsidR="008468BD" w:rsidRPr="008468BD">
        <w:rPr>
          <w:rFonts w:ascii="Times New Roman" w:hAnsi="Times New Roman" w:cs="Times New Roman"/>
          <w:i/>
          <w:sz w:val="22"/>
          <w:szCs w:val="22"/>
          <w:lang w:val="en-GB"/>
        </w:rPr>
        <w:t>s</w:t>
      </w:r>
      <w:r w:rsidRPr="008468BD">
        <w:rPr>
          <w:rFonts w:ascii="Times New Roman" w:hAnsi="Times New Roman" w:cs="Times New Roman"/>
          <w:i/>
          <w:sz w:val="22"/>
          <w:szCs w:val="22"/>
          <w:lang w:val="en-GB"/>
        </w:rPr>
        <w:t>hari’a</w:t>
      </w:r>
      <w:r w:rsidRPr="00647752">
        <w:rPr>
          <w:rFonts w:ascii="Times New Roman" w:hAnsi="Times New Roman" w:cs="Times New Roman"/>
          <w:sz w:val="22"/>
          <w:szCs w:val="22"/>
          <w:lang w:val="en-GB"/>
        </w:rPr>
        <w:t xml:space="preserve"> courts themselve</w:t>
      </w:r>
      <w:r w:rsidR="008468BD">
        <w:rPr>
          <w:rFonts w:ascii="Times New Roman" w:hAnsi="Times New Roman" w:cs="Times New Roman"/>
          <w:sz w:val="22"/>
          <w:szCs w:val="22"/>
          <w:lang w:val="en-GB"/>
        </w:rPr>
        <w:t>s for execution of j</w:t>
      </w:r>
      <w:r w:rsidRPr="00647752">
        <w:rPr>
          <w:rFonts w:ascii="Times New Roman" w:hAnsi="Times New Roman" w:cs="Times New Roman"/>
          <w:sz w:val="22"/>
          <w:szCs w:val="22"/>
          <w:lang w:val="en-GB"/>
        </w:rPr>
        <w:t xml:space="preserve">udgments. Beyond this, the courts in Gaza are understaffed following the establishment of the </w:t>
      </w:r>
      <w:r w:rsidR="00554DEC" w:rsidRPr="00647752">
        <w:rPr>
          <w:rFonts w:ascii="Times New Roman" w:hAnsi="Times New Roman" w:cs="Times New Roman"/>
          <w:sz w:val="22"/>
          <w:szCs w:val="22"/>
          <w:lang w:val="en-GB"/>
        </w:rPr>
        <w:t>Hamas</w:t>
      </w:r>
      <w:r w:rsidRPr="00647752">
        <w:rPr>
          <w:rFonts w:ascii="Times New Roman" w:hAnsi="Times New Roman" w:cs="Times New Roman"/>
          <w:sz w:val="22"/>
          <w:szCs w:val="22"/>
          <w:lang w:val="en-GB"/>
        </w:rPr>
        <w:t xml:space="preserve"> government. As noted below, how and when UNDP can begin to engage more directly with the formal justice system in Gaza will be a key question going forward.</w:t>
      </w:r>
    </w:p>
    <w:p w:rsidR="008468BD" w:rsidRPr="00647752" w:rsidRDefault="008468BD" w:rsidP="00FB6759">
      <w:pPr>
        <w:spacing w:after="0" w:line="240" w:lineRule="auto"/>
        <w:jc w:val="both"/>
        <w:rPr>
          <w:rFonts w:ascii="Times New Roman" w:eastAsia="MS Mincho" w:hAnsi="Times New Roman" w:cs="Times New Roman"/>
          <w:sz w:val="22"/>
          <w:szCs w:val="24"/>
          <w:lang w:val="en-GB" w:eastAsia="ja-JP"/>
        </w:rPr>
      </w:pPr>
    </w:p>
    <w:p w:rsidR="00676E72" w:rsidRPr="00647752" w:rsidRDefault="00672358" w:rsidP="00FB6759">
      <w:pPr>
        <w:spacing w:after="0" w:line="240" w:lineRule="auto"/>
        <w:jc w:val="both"/>
        <w:rPr>
          <w:rFonts w:ascii="Times New Roman" w:eastAsia="MS Mincho" w:hAnsi="Times New Roman" w:cs="Times New Roman"/>
          <w:sz w:val="22"/>
          <w:szCs w:val="24"/>
          <w:lang w:val="en-GB" w:eastAsia="ja-JP"/>
        </w:rPr>
      </w:pPr>
      <w:r w:rsidRPr="00647752">
        <w:rPr>
          <w:rFonts w:ascii="Times New Roman" w:eastAsia="MS Mincho" w:hAnsi="Times New Roman" w:cs="Times New Roman"/>
          <w:sz w:val="22"/>
          <w:szCs w:val="24"/>
          <w:lang w:val="en-GB" w:eastAsia="ja-JP"/>
        </w:rPr>
        <w:t xml:space="preserve">Aisha </w:t>
      </w:r>
      <w:r w:rsidR="008468BD">
        <w:rPr>
          <w:rFonts w:ascii="Times New Roman" w:eastAsia="MS Mincho" w:hAnsi="Times New Roman" w:cs="Times New Roman"/>
          <w:sz w:val="22"/>
          <w:szCs w:val="24"/>
          <w:lang w:val="en-GB" w:eastAsia="ja-JP"/>
        </w:rPr>
        <w:t xml:space="preserve">Women and Child Protection Association </w:t>
      </w:r>
      <w:r w:rsidR="00676E72" w:rsidRPr="00647752">
        <w:rPr>
          <w:rFonts w:ascii="Times New Roman" w:eastAsia="MS Mincho" w:hAnsi="Times New Roman" w:cs="Times New Roman"/>
          <w:sz w:val="22"/>
          <w:szCs w:val="24"/>
          <w:lang w:val="en-GB" w:eastAsia="ja-JP"/>
        </w:rPr>
        <w:t xml:space="preserve">is another UNDP supported CSO in Gaza that </w:t>
      </w:r>
      <w:r w:rsidR="00960EE7" w:rsidRPr="00647752">
        <w:rPr>
          <w:rFonts w:ascii="Times New Roman" w:eastAsia="MS Mincho" w:hAnsi="Times New Roman" w:cs="Times New Roman"/>
          <w:sz w:val="22"/>
          <w:szCs w:val="24"/>
          <w:lang w:val="en-GB" w:eastAsia="ja-JP"/>
        </w:rPr>
        <w:t xml:space="preserve">works with victims of violence and vulnerable </w:t>
      </w:r>
      <w:r w:rsidR="005B604B" w:rsidRPr="00647752">
        <w:rPr>
          <w:rFonts w:ascii="Times New Roman" w:eastAsia="MS Mincho" w:hAnsi="Times New Roman" w:cs="Times New Roman"/>
          <w:sz w:val="22"/>
          <w:szCs w:val="24"/>
          <w:lang w:val="en-GB" w:eastAsia="ja-JP"/>
        </w:rPr>
        <w:t>including both legal counselling and repres</w:t>
      </w:r>
      <w:r w:rsidR="008468BD">
        <w:rPr>
          <w:rFonts w:ascii="Times New Roman" w:eastAsia="MS Mincho" w:hAnsi="Times New Roman" w:cs="Times New Roman"/>
          <w:sz w:val="22"/>
          <w:szCs w:val="24"/>
          <w:lang w:val="en-GB" w:eastAsia="ja-JP"/>
        </w:rPr>
        <w:t xml:space="preserve">entation of victims in court. </w:t>
      </w:r>
      <w:r w:rsidR="005B604B" w:rsidRPr="00647752">
        <w:rPr>
          <w:rFonts w:ascii="Times New Roman" w:eastAsia="MS Mincho" w:hAnsi="Times New Roman" w:cs="Times New Roman"/>
          <w:sz w:val="22"/>
          <w:szCs w:val="24"/>
          <w:lang w:val="en-GB" w:eastAsia="ja-JP"/>
        </w:rPr>
        <w:t>A</w:t>
      </w:r>
      <w:r w:rsidR="008468BD">
        <w:rPr>
          <w:rFonts w:ascii="Times New Roman" w:eastAsia="MS Mincho" w:hAnsi="Times New Roman" w:cs="Times New Roman"/>
          <w:sz w:val="22"/>
          <w:szCs w:val="24"/>
          <w:lang w:val="en-GB" w:eastAsia="ja-JP"/>
        </w:rPr>
        <w:t xml:space="preserve">isha </w:t>
      </w:r>
      <w:r w:rsidR="005B604B" w:rsidRPr="00647752">
        <w:rPr>
          <w:rFonts w:ascii="Times New Roman" w:eastAsia="MS Mincho" w:hAnsi="Times New Roman" w:cs="Times New Roman"/>
          <w:sz w:val="22"/>
          <w:szCs w:val="24"/>
          <w:lang w:val="en-GB" w:eastAsia="ja-JP"/>
        </w:rPr>
        <w:t>observed that the awareness-raising sessions devoted to women and youth are driving women toward its legal aid clinic, thereby closing the loop in the process. A</w:t>
      </w:r>
      <w:r w:rsidR="008468BD">
        <w:rPr>
          <w:rFonts w:ascii="Times New Roman" w:eastAsia="MS Mincho" w:hAnsi="Times New Roman" w:cs="Times New Roman"/>
          <w:sz w:val="22"/>
          <w:szCs w:val="24"/>
          <w:lang w:val="en-GB" w:eastAsia="ja-JP"/>
        </w:rPr>
        <w:t>isha</w:t>
      </w:r>
      <w:r w:rsidR="005B604B" w:rsidRPr="00647752">
        <w:rPr>
          <w:rFonts w:ascii="Times New Roman" w:eastAsia="MS Mincho" w:hAnsi="Times New Roman" w:cs="Times New Roman"/>
          <w:sz w:val="22"/>
          <w:szCs w:val="24"/>
          <w:lang w:val="en-GB" w:eastAsia="ja-JP"/>
        </w:rPr>
        <w:t>’s outreach activities addr</w:t>
      </w:r>
      <w:r w:rsidR="008468BD">
        <w:rPr>
          <w:rFonts w:ascii="Times New Roman" w:eastAsia="MS Mincho" w:hAnsi="Times New Roman" w:cs="Times New Roman"/>
          <w:sz w:val="22"/>
          <w:szCs w:val="24"/>
          <w:lang w:val="en-GB" w:eastAsia="ja-JP"/>
        </w:rPr>
        <w:t xml:space="preserve">ess issues of gender equality, </w:t>
      </w:r>
      <w:r w:rsidR="005B604B" w:rsidRPr="00647752">
        <w:rPr>
          <w:rFonts w:ascii="Times New Roman" w:eastAsia="MS Mincho" w:hAnsi="Times New Roman" w:cs="Times New Roman"/>
          <w:sz w:val="22"/>
          <w:szCs w:val="24"/>
          <w:lang w:val="en-GB" w:eastAsia="ja-JP"/>
        </w:rPr>
        <w:t>GBV, child protection and child rights. It has also conducted training for</w:t>
      </w:r>
      <w:r w:rsidR="008468BD">
        <w:rPr>
          <w:rFonts w:ascii="Times New Roman" w:eastAsia="MS Mincho" w:hAnsi="Times New Roman" w:cs="Times New Roman"/>
          <w:sz w:val="22"/>
          <w:szCs w:val="24"/>
          <w:lang w:val="en-GB" w:eastAsia="ja-JP"/>
        </w:rPr>
        <w:t xml:space="preserve"> male and female lawyers on personal s</w:t>
      </w:r>
      <w:r w:rsidR="005B604B" w:rsidRPr="00647752">
        <w:rPr>
          <w:rFonts w:ascii="Times New Roman" w:eastAsia="MS Mincho" w:hAnsi="Times New Roman" w:cs="Times New Roman"/>
          <w:sz w:val="22"/>
          <w:szCs w:val="24"/>
          <w:lang w:val="en-GB" w:eastAsia="ja-JP"/>
        </w:rPr>
        <w:t xml:space="preserve">tatus law and its application in court. </w:t>
      </w:r>
    </w:p>
    <w:p w:rsidR="00C70D91" w:rsidRPr="00647752" w:rsidRDefault="00C70D91" w:rsidP="00FB6759">
      <w:pPr>
        <w:spacing w:after="0" w:line="240" w:lineRule="auto"/>
        <w:jc w:val="both"/>
        <w:rPr>
          <w:rFonts w:ascii="Times New Roman" w:eastAsia="MS Mincho" w:hAnsi="Times New Roman" w:cs="Times New Roman"/>
          <w:sz w:val="22"/>
          <w:szCs w:val="24"/>
          <w:lang w:val="en-GB" w:eastAsia="ja-JP"/>
        </w:rPr>
      </w:pPr>
    </w:p>
    <w:p w:rsidR="008468BD" w:rsidRDefault="00612029" w:rsidP="00FB6759">
      <w:pPr>
        <w:spacing w:after="0" w:line="240" w:lineRule="auto"/>
        <w:jc w:val="both"/>
        <w:rPr>
          <w:rFonts w:ascii="Times New Roman" w:eastAsia="MS Mincho" w:hAnsi="Times New Roman" w:cs="Times New Roman"/>
          <w:sz w:val="22"/>
          <w:szCs w:val="24"/>
          <w:lang w:val="en-GB" w:eastAsia="ja-JP"/>
        </w:rPr>
      </w:pPr>
      <w:r w:rsidRPr="00647752">
        <w:rPr>
          <w:rFonts w:ascii="Times New Roman" w:hAnsi="Times New Roman" w:cs="Times New Roman"/>
          <w:sz w:val="22"/>
          <w:szCs w:val="22"/>
          <w:lang w:val="en-GB"/>
        </w:rPr>
        <w:t xml:space="preserve">Another CSO, </w:t>
      </w:r>
      <w:r w:rsidRPr="00647752">
        <w:rPr>
          <w:rFonts w:ascii="Times New Roman" w:eastAsia="MS Mincho" w:hAnsi="Times New Roman" w:cs="Times New Roman"/>
          <w:sz w:val="22"/>
          <w:szCs w:val="24"/>
          <w:lang w:val="en-GB" w:eastAsia="ja-JP"/>
        </w:rPr>
        <w:t>the Al</w:t>
      </w:r>
      <w:r w:rsidR="004E532E" w:rsidRPr="00647752">
        <w:rPr>
          <w:rFonts w:ascii="Times New Roman" w:eastAsia="MS Mincho" w:hAnsi="Times New Roman" w:cs="Times New Roman"/>
          <w:sz w:val="22"/>
          <w:szCs w:val="24"/>
          <w:lang w:val="en-GB" w:eastAsia="ja-JP"/>
        </w:rPr>
        <w:t>-</w:t>
      </w:r>
      <w:r w:rsidRPr="00647752">
        <w:rPr>
          <w:rFonts w:ascii="Times New Roman" w:eastAsia="MS Mincho" w:hAnsi="Times New Roman" w:cs="Times New Roman"/>
          <w:sz w:val="22"/>
          <w:szCs w:val="24"/>
          <w:lang w:val="en-GB" w:eastAsia="ja-JP"/>
        </w:rPr>
        <w:t>At</w:t>
      </w:r>
      <w:r w:rsidR="008468BD">
        <w:rPr>
          <w:rFonts w:ascii="Times New Roman" w:eastAsia="MS Mincho" w:hAnsi="Times New Roman" w:cs="Times New Roman"/>
          <w:sz w:val="22"/>
          <w:szCs w:val="24"/>
          <w:lang w:val="en-GB" w:eastAsia="ja-JP"/>
        </w:rPr>
        <w:t>ta Benevolent Society</w:t>
      </w:r>
      <w:r w:rsidRPr="00647752">
        <w:rPr>
          <w:rFonts w:ascii="Times New Roman" w:eastAsia="MS Mincho" w:hAnsi="Times New Roman" w:cs="Times New Roman"/>
          <w:sz w:val="22"/>
          <w:szCs w:val="24"/>
          <w:lang w:val="en-GB" w:eastAsia="ja-JP"/>
        </w:rPr>
        <w:t xml:space="preserve">, </w:t>
      </w:r>
      <w:r w:rsidRPr="00647752">
        <w:rPr>
          <w:rFonts w:ascii="Times New Roman" w:hAnsi="Times New Roman" w:cs="Times New Roman"/>
          <w:sz w:val="22"/>
          <w:szCs w:val="22"/>
          <w:lang w:val="en-GB"/>
        </w:rPr>
        <w:t>had previously worked</w:t>
      </w:r>
      <w:r w:rsidR="008468BD">
        <w:rPr>
          <w:rFonts w:ascii="Times New Roman" w:hAnsi="Times New Roman" w:cs="Times New Roman"/>
          <w:sz w:val="22"/>
          <w:szCs w:val="22"/>
          <w:lang w:val="en-GB"/>
        </w:rPr>
        <w:t xml:space="preserve"> with many international organis</w:t>
      </w:r>
      <w:r w:rsidRPr="00647752">
        <w:rPr>
          <w:rFonts w:ascii="Times New Roman" w:hAnsi="Times New Roman" w:cs="Times New Roman"/>
          <w:sz w:val="22"/>
          <w:szCs w:val="22"/>
          <w:lang w:val="en-GB"/>
        </w:rPr>
        <w:t xml:space="preserve">ations and had a diverse range of activities, but UNDP opened a very wide space for them to work in legal aid. </w:t>
      </w:r>
      <w:r w:rsidR="005B604B" w:rsidRPr="00647752">
        <w:rPr>
          <w:rFonts w:ascii="Times New Roman" w:eastAsia="MS Mincho" w:hAnsi="Times New Roman" w:cs="Times New Roman"/>
          <w:sz w:val="22"/>
          <w:szCs w:val="24"/>
          <w:lang w:val="en-GB" w:eastAsia="ja-JP"/>
        </w:rPr>
        <w:t>Targeting a very rural and agricultural-oriented community in Gaza</w:t>
      </w:r>
      <w:r w:rsidR="008468BD">
        <w:rPr>
          <w:rFonts w:ascii="Times New Roman" w:eastAsia="MS Mincho" w:hAnsi="Times New Roman" w:cs="Times New Roman"/>
          <w:sz w:val="22"/>
          <w:szCs w:val="24"/>
          <w:lang w:val="en-GB" w:eastAsia="ja-JP"/>
        </w:rPr>
        <w:t>, Al-Atta</w:t>
      </w:r>
      <w:r w:rsidR="000063A3">
        <w:rPr>
          <w:rFonts w:ascii="Times New Roman" w:eastAsia="MS Mincho" w:hAnsi="Times New Roman" w:cs="Times New Roman"/>
          <w:sz w:val="22"/>
          <w:szCs w:val="24"/>
          <w:lang w:val="en-GB" w:eastAsia="ja-JP"/>
        </w:rPr>
        <w:t xml:space="preserve"> </w:t>
      </w:r>
      <w:r w:rsidR="008468BD">
        <w:rPr>
          <w:rFonts w:ascii="Times New Roman" w:eastAsia="MS Mincho" w:hAnsi="Times New Roman" w:cs="Times New Roman"/>
          <w:sz w:val="22"/>
          <w:szCs w:val="24"/>
          <w:lang w:val="en-GB" w:eastAsia="ja-JP"/>
        </w:rPr>
        <w:t>has utilis</w:t>
      </w:r>
      <w:r w:rsidR="005B604B" w:rsidRPr="00647752">
        <w:rPr>
          <w:rFonts w:ascii="Times New Roman" w:eastAsia="MS Mincho" w:hAnsi="Times New Roman" w:cs="Times New Roman"/>
          <w:sz w:val="22"/>
          <w:szCs w:val="24"/>
          <w:lang w:val="en-GB" w:eastAsia="ja-JP"/>
        </w:rPr>
        <w:t xml:space="preserve">ed UNDP funding to raise the awareness of farmers on land and </w:t>
      </w:r>
      <w:r w:rsidR="002851A6" w:rsidRPr="00647752">
        <w:rPr>
          <w:rFonts w:ascii="Times New Roman" w:eastAsia="MS Mincho" w:hAnsi="Times New Roman" w:cs="Times New Roman"/>
          <w:sz w:val="22"/>
          <w:szCs w:val="24"/>
          <w:lang w:val="en-GB" w:eastAsia="ja-JP"/>
        </w:rPr>
        <w:t>inheritance</w:t>
      </w:r>
      <w:r w:rsidR="005B604B" w:rsidRPr="00647752">
        <w:rPr>
          <w:rFonts w:ascii="Times New Roman" w:eastAsia="MS Mincho" w:hAnsi="Times New Roman" w:cs="Times New Roman"/>
          <w:sz w:val="22"/>
          <w:szCs w:val="24"/>
          <w:lang w:val="en-GB" w:eastAsia="ja-JP"/>
        </w:rPr>
        <w:t xml:space="preserve">. </w:t>
      </w:r>
      <w:r w:rsidR="008468BD">
        <w:rPr>
          <w:rFonts w:ascii="Times New Roman" w:eastAsia="MS Mincho" w:hAnsi="Times New Roman" w:cs="Times New Roman"/>
          <w:sz w:val="22"/>
          <w:szCs w:val="24"/>
          <w:lang w:val="en-GB" w:eastAsia="ja-JP"/>
        </w:rPr>
        <w:t>Al-Atta</w:t>
      </w:r>
      <w:r w:rsidR="002851A6" w:rsidRPr="00647752">
        <w:rPr>
          <w:rFonts w:ascii="Times New Roman" w:eastAsia="MS Mincho" w:hAnsi="Times New Roman" w:cs="Times New Roman"/>
          <w:sz w:val="22"/>
          <w:szCs w:val="24"/>
          <w:lang w:val="en-GB" w:eastAsia="ja-JP"/>
        </w:rPr>
        <w:t xml:space="preserve"> stresses that the communities it deals with are </w:t>
      </w:r>
      <w:r w:rsidR="00AD2719" w:rsidRPr="00647752">
        <w:rPr>
          <w:rFonts w:ascii="Times New Roman" w:eastAsia="MS Mincho" w:hAnsi="Times New Roman" w:cs="Times New Roman"/>
          <w:sz w:val="22"/>
          <w:szCs w:val="24"/>
          <w:lang w:val="en-GB" w:eastAsia="ja-JP"/>
        </w:rPr>
        <w:t xml:space="preserve">Bedouin and </w:t>
      </w:r>
      <w:r w:rsidR="002851A6" w:rsidRPr="00647752">
        <w:rPr>
          <w:rFonts w:ascii="Times New Roman" w:eastAsia="MS Mincho" w:hAnsi="Times New Roman" w:cs="Times New Roman"/>
          <w:sz w:val="22"/>
          <w:szCs w:val="24"/>
          <w:lang w:val="en-GB" w:eastAsia="ja-JP"/>
        </w:rPr>
        <w:t>tribal in nature. Family and clan t</w:t>
      </w:r>
      <w:r w:rsidR="008468BD">
        <w:rPr>
          <w:rFonts w:ascii="Times New Roman" w:eastAsia="MS Mincho" w:hAnsi="Times New Roman" w:cs="Times New Roman"/>
          <w:sz w:val="22"/>
          <w:szCs w:val="24"/>
          <w:lang w:val="en-GB" w:eastAsia="ja-JP"/>
        </w:rPr>
        <w:t>ake precedence over formal law.</w:t>
      </w:r>
    </w:p>
    <w:p w:rsidR="008468BD" w:rsidRDefault="008468BD" w:rsidP="00FB6759">
      <w:pPr>
        <w:spacing w:after="0" w:line="240" w:lineRule="auto"/>
        <w:jc w:val="both"/>
        <w:rPr>
          <w:rFonts w:ascii="Times New Roman" w:eastAsia="MS Mincho" w:hAnsi="Times New Roman" w:cs="Times New Roman"/>
          <w:sz w:val="22"/>
          <w:szCs w:val="24"/>
          <w:lang w:val="en-GB" w:eastAsia="ja-JP"/>
        </w:rPr>
      </w:pPr>
    </w:p>
    <w:p w:rsidR="00612029" w:rsidRPr="00647752" w:rsidRDefault="002851A6" w:rsidP="00FB6759">
      <w:pPr>
        <w:spacing w:after="0" w:line="240" w:lineRule="auto"/>
        <w:jc w:val="both"/>
        <w:rPr>
          <w:rFonts w:ascii="Times New Roman" w:hAnsi="Times New Roman" w:cs="Times New Roman"/>
          <w:sz w:val="22"/>
          <w:szCs w:val="22"/>
          <w:lang w:val="en-GB"/>
        </w:rPr>
      </w:pPr>
      <w:r w:rsidRPr="00647752">
        <w:rPr>
          <w:rFonts w:ascii="Times New Roman" w:eastAsia="MS Mincho" w:hAnsi="Times New Roman" w:cs="Times New Roman"/>
          <w:sz w:val="22"/>
          <w:szCs w:val="24"/>
          <w:lang w:val="en-GB" w:eastAsia="ja-JP"/>
        </w:rPr>
        <w:t xml:space="preserve">Most citizens are landowners and this effects even marriage, because when marrying they have to obtain a guarantee (or they take other decisions) to preserve their land and ensure that the land will not leave the family. Most of the problems related to women have at the background these traditional considerations of </w:t>
      </w:r>
      <w:r w:rsidRPr="00647752">
        <w:rPr>
          <w:rFonts w:ascii="Times New Roman" w:eastAsia="MS Mincho" w:hAnsi="Times New Roman" w:cs="Times New Roman"/>
          <w:sz w:val="22"/>
          <w:szCs w:val="24"/>
          <w:lang w:val="en-GB" w:eastAsia="ja-JP"/>
        </w:rPr>
        <w:lastRenderedPageBreak/>
        <w:t xml:space="preserve">family and land. </w:t>
      </w:r>
      <w:r w:rsidRPr="00647752">
        <w:rPr>
          <w:rFonts w:ascii="Times New Roman" w:hAnsi="Times New Roman" w:cs="Times New Roman"/>
          <w:sz w:val="22"/>
          <w:szCs w:val="22"/>
          <w:lang w:val="en-GB"/>
        </w:rPr>
        <w:t>The general conditions of the occupation and war have created also hardships for the women, including a</w:t>
      </w:r>
      <w:r w:rsidR="008468BD">
        <w:rPr>
          <w:rFonts w:ascii="Times New Roman" w:hAnsi="Times New Roman" w:cs="Times New Roman"/>
          <w:sz w:val="22"/>
          <w:szCs w:val="22"/>
          <w:lang w:val="en-GB"/>
        </w:rPr>
        <w:t>n increased incidence of gender-</w:t>
      </w:r>
      <w:r w:rsidRPr="00647752">
        <w:rPr>
          <w:rFonts w:ascii="Times New Roman" w:hAnsi="Times New Roman" w:cs="Times New Roman"/>
          <w:sz w:val="22"/>
          <w:szCs w:val="22"/>
          <w:lang w:val="en-GB"/>
        </w:rPr>
        <w:t xml:space="preserve">based violence. </w:t>
      </w:r>
      <w:r w:rsidR="008468BD">
        <w:rPr>
          <w:rFonts w:ascii="Times New Roman" w:hAnsi="Times New Roman" w:cs="Times New Roman"/>
          <w:sz w:val="22"/>
          <w:szCs w:val="22"/>
          <w:lang w:val="en-GB"/>
        </w:rPr>
        <w:t>Al-Atta</w:t>
      </w:r>
      <w:r w:rsidR="005E3DD7" w:rsidRPr="00647752">
        <w:rPr>
          <w:rFonts w:ascii="Times New Roman" w:hAnsi="Times New Roman" w:cs="Times New Roman"/>
          <w:sz w:val="22"/>
          <w:szCs w:val="22"/>
          <w:lang w:val="en-GB"/>
        </w:rPr>
        <w:t xml:space="preserve"> notes that in such communities it is more difficult to change the legal culture as a whole than to obtain </w:t>
      </w:r>
      <w:r w:rsidR="00AD2719" w:rsidRPr="00647752">
        <w:rPr>
          <w:rFonts w:ascii="Times New Roman" w:hAnsi="Times New Roman" w:cs="Times New Roman"/>
          <w:sz w:val="22"/>
          <w:szCs w:val="22"/>
          <w:lang w:val="en-GB"/>
        </w:rPr>
        <w:t xml:space="preserve">on a case-by-case basis. </w:t>
      </w:r>
    </w:p>
    <w:p w:rsidR="00612029" w:rsidRPr="00647752" w:rsidRDefault="00612029" w:rsidP="00FB6759">
      <w:pPr>
        <w:spacing w:after="0" w:line="240" w:lineRule="auto"/>
        <w:jc w:val="both"/>
        <w:rPr>
          <w:rFonts w:ascii="Times New Roman" w:hAnsi="Times New Roman" w:cs="Times New Roman"/>
          <w:sz w:val="22"/>
          <w:szCs w:val="22"/>
          <w:lang w:val="en-GB"/>
        </w:rPr>
      </w:pPr>
    </w:p>
    <w:p w:rsidR="002851A6" w:rsidRPr="00647752" w:rsidRDefault="002851A6" w:rsidP="00FB6759">
      <w:pPr>
        <w:spacing w:after="0" w:line="240" w:lineRule="auto"/>
        <w:jc w:val="both"/>
        <w:rPr>
          <w:rFonts w:ascii="Times New Roman" w:hAnsi="Times New Roman" w:cs="Times New Roman"/>
          <w:sz w:val="22"/>
          <w:szCs w:val="22"/>
          <w:lang w:val="en-GB"/>
        </w:rPr>
      </w:pPr>
      <w:r w:rsidRPr="00647752">
        <w:rPr>
          <w:rFonts w:ascii="Times New Roman" w:eastAsia="MS Mincho" w:hAnsi="Times New Roman" w:cs="Times New Roman"/>
          <w:sz w:val="22"/>
          <w:szCs w:val="24"/>
          <w:lang w:val="en-GB" w:eastAsia="ja-JP"/>
        </w:rPr>
        <w:t xml:space="preserve">Women are reluctant to complain </w:t>
      </w:r>
      <w:r w:rsidR="008468BD">
        <w:rPr>
          <w:rFonts w:ascii="Times New Roman" w:eastAsia="MS Mincho" w:hAnsi="Times New Roman" w:cs="Times New Roman"/>
          <w:sz w:val="22"/>
          <w:szCs w:val="24"/>
          <w:lang w:val="en-GB" w:eastAsia="ja-JP"/>
        </w:rPr>
        <w:t>about abuse and they often cannot</w:t>
      </w:r>
      <w:r w:rsidRPr="00647752">
        <w:rPr>
          <w:rFonts w:ascii="Times New Roman" w:eastAsia="MS Mincho" w:hAnsi="Times New Roman" w:cs="Times New Roman"/>
          <w:sz w:val="22"/>
          <w:szCs w:val="24"/>
          <w:lang w:val="en-GB" w:eastAsia="ja-JP"/>
        </w:rPr>
        <w:t xml:space="preserve"> make complaints even if they desire to do so, as a result of lack of transportation, funding or the social stigma that threatens them. </w:t>
      </w:r>
      <w:r w:rsidRPr="00647752">
        <w:rPr>
          <w:rFonts w:ascii="Times New Roman" w:hAnsi="Times New Roman" w:cs="Times New Roman"/>
          <w:sz w:val="22"/>
          <w:szCs w:val="22"/>
          <w:lang w:val="en-GB"/>
        </w:rPr>
        <w:t>Thus, the women canno</w:t>
      </w:r>
      <w:r w:rsidR="008468BD">
        <w:rPr>
          <w:rFonts w:ascii="Times New Roman" w:hAnsi="Times New Roman" w:cs="Times New Roman"/>
          <w:sz w:val="22"/>
          <w:szCs w:val="22"/>
          <w:lang w:val="en-GB"/>
        </w:rPr>
        <w:t>t access justice elsewhere. Al-Atta</w:t>
      </w:r>
      <w:r w:rsidRPr="00647752">
        <w:rPr>
          <w:rFonts w:ascii="Times New Roman" w:hAnsi="Times New Roman" w:cs="Times New Roman"/>
          <w:sz w:val="22"/>
          <w:szCs w:val="22"/>
          <w:lang w:val="en-GB"/>
        </w:rPr>
        <w:t xml:space="preserve"> serves to fill this gap</w:t>
      </w:r>
      <w:r w:rsidR="008468BD">
        <w:rPr>
          <w:rFonts w:ascii="Times New Roman" w:hAnsi="Times New Roman" w:cs="Times New Roman"/>
          <w:sz w:val="22"/>
          <w:szCs w:val="22"/>
          <w:lang w:val="en-GB"/>
        </w:rPr>
        <w:t xml:space="preserve"> with legal aid, emboldening</w:t>
      </w:r>
      <w:r w:rsidRPr="00647752">
        <w:rPr>
          <w:rFonts w:ascii="Times New Roman" w:hAnsi="Times New Roman" w:cs="Times New Roman"/>
          <w:sz w:val="22"/>
          <w:szCs w:val="22"/>
          <w:lang w:val="en-GB"/>
        </w:rPr>
        <w:t xml:space="preserve"> women by establishing legal aid services in close</w:t>
      </w:r>
      <w:r w:rsidR="008468BD">
        <w:rPr>
          <w:rFonts w:ascii="Times New Roman" w:hAnsi="Times New Roman" w:cs="Times New Roman"/>
          <w:sz w:val="22"/>
          <w:szCs w:val="22"/>
          <w:lang w:val="en-GB"/>
        </w:rPr>
        <w:t xml:space="preserve"> proximity to where these women live. Al-Atta </w:t>
      </w:r>
      <w:r w:rsidR="00612029" w:rsidRPr="00647752">
        <w:rPr>
          <w:rFonts w:ascii="Times New Roman" w:hAnsi="Times New Roman" w:cs="Times New Roman"/>
          <w:sz w:val="22"/>
          <w:szCs w:val="22"/>
          <w:lang w:val="en-GB"/>
        </w:rPr>
        <w:t xml:space="preserve">can see a clear increase in the awareness of the community and can see women who are now coming into the clinic by themselves (a year ago, women were timid to come to the clinic). Also the </w:t>
      </w:r>
      <w:r w:rsidR="008468BD" w:rsidRPr="008468BD">
        <w:rPr>
          <w:rFonts w:ascii="Times New Roman" w:hAnsi="Times New Roman" w:cs="Times New Roman"/>
          <w:i/>
          <w:sz w:val="22"/>
          <w:szCs w:val="22"/>
          <w:lang w:val="en-GB"/>
        </w:rPr>
        <w:t>m</w:t>
      </w:r>
      <w:r w:rsidR="00360CF0" w:rsidRPr="008468BD">
        <w:rPr>
          <w:rFonts w:ascii="Times New Roman" w:hAnsi="Times New Roman" w:cs="Times New Roman"/>
          <w:i/>
          <w:sz w:val="22"/>
          <w:szCs w:val="22"/>
          <w:lang w:val="en-GB"/>
        </w:rPr>
        <w:t>uqtar</w:t>
      </w:r>
      <w:r w:rsidR="00D35C46" w:rsidRPr="008468BD">
        <w:rPr>
          <w:rFonts w:ascii="Times New Roman" w:hAnsi="Times New Roman" w:cs="Times New Roman"/>
          <w:i/>
          <w:sz w:val="22"/>
          <w:szCs w:val="22"/>
          <w:lang w:val="en-GB"/>
        </w:rPr>
        <w:t>s</w:t>
      </w:r>
      <w:r w:rsidR="00612029" w:rsidRPr="00647752">
        <w:rPr>
          <w:rFonts w:ascii="Times New Roman" w:hAnsi="Times New Roman" w:cs="Times New Roman"/>
          <w:sz w:val="22"/>
          <w:szCs w:val="22"/>
          <w:lang w:val="en-GB"/>
        </w:rPr>
        <w:t xml:space="preserve"> and other community leaders have begun to send women to the clinic</w:t>
      </w:r>
      <w:r w:rsidR="005E3DD7" w:rsidRPr="00647752">
        <w:rPr>
          <w:rFonts w:ascii="Times New Roman" w:hAnsi="Times New Roman" w:cs="Times New Roman"/>
          <w:sz w:val="22"/>
          <w:szCs w:val="22"/>
          <w:lang w:val="en-GB"/>
        </w:rPr>
        <w:t xml:space="preserve"> as a result of UNDP supported trainings</w:t>
      </w:r>
      <w:r w:rsidR="00612029" w:rsidRPr="00647752">
        <w:rPr>
          <w:rFonts w:ascii="Times New Roman" w:hAnsi="Times New Roman" w:cs="Times New Roman"/>
          <w:sz w:val="22"/>
          <w:szCs w:val="22"/>
          <w:lang w:val="en-GB"/>
        </w:rPr>
        <w:t>.</w:t>
      </w:r>
      <w:r w:rsidR="008468BD">
        <w:rPr>
          <w:rFonts w:ascii="Times New Roman" w:hAnsi="Times New Roman" w:cs="Times New Roman"/>
          <w:sz w:val="22"/>
          <w:szCs w:val="22"/>
          <w:lang w:val="en-GB"/>
        </w:rPr>
        <w:t xml:space="preserve"> Meanwhile, Al-Atta</w:t>
      </w:r>
      <w:r w:rsidR="0031706F" w:rsidRPr="00647752">
        <w:rPr>
          <w:rFonts w:ascii="Times New Roman" w:hAnsi="Times New Roman" w:cs="Times New Roman"/>
          <w:sz w:val="22"/>
          <w:szCs w:val="22"/>
          <w:lang w:val="en-GB"/>
        </w:rPr>
        <w:t>’s awareness-raising activities have targeted teenage girls to raise awareness on laws pertaining to marriage (including the minimum age o</w:t>
      </w:r>
      <w:r w:rsidR="008468BD">
        <w:rPr>
          <w:rFonts w:ascii="Times New Roman" w:hAnsi="Times New Roman" w:cs="Times New Roman"/>
          <w:sz w:val="22"/>
          <w:szCs w:val="22"/>
          <w:lang w:val="en-GB"/>
        </w:rPr>
        <w:t>f marriage). Going forward, Al-Atta</w:t>
      </w:r>
      <w:r w:rsidR="0031706F" w:rsidRPr="00647752">
        <w:rPr>
          <w:rFonts w:ascii="Times New Roman" w:hAnsi="Times New Roman" w:cs="Times New Roman"/>
          <w:sz w:val="22"/>
          <w:szCs w:val="22"/>
          <w:lang w:val="en-GB"/>
        </w:rPr>
        <w:t xml:space="preserve"> would like to devote more attention to the Law of Disability of 1994 and to advocate on behalf of disabled women and obtain services for them. </w:t>
      </w:r>
    </w:p>
    <w:p w:rsidR="002D16D1" w:rsidRPr="00647752" w:rsidRDefault="002D16D1" w:rsidP="00FB6759">
      <w:pPr>
        <w:spacing w:after="0" w:line="240" w:lineRule="auto"/>
        <w:jc w:val="both"/>
        <w:rPr>
          <w:rFonts w:ascii="Times New Roman" w:hAnsi="Times New Roman" w:cs="Times New Roman"/>
          <w:sz w:val="22"/>
          <w:szCs w:val="22"/>
          <w:lang w:val="en-GB"/>
        </w:rPr>
      </w:pPr>
    </w:p>
    <w:p w:rsidR="00E13391" w:rsidRPr="00647752" w:rsidRDefault="001A5294"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The e</w:t>
      </w:r>
      <w:r w:rsidR="00D06D0D" w:rsidRPr="00647752">
        <w:rPr>
          <w:rFonts w:ascii="Times New Roman" w:hAnsi="Times New Roman" w:cs="Times New Roman"/>
          <w:sz w:val="22"/>
          <w:szCs w:val="22"/>
          <w:lang w:val="en-GB"/>
        </w:rPr>
        <w:t xml:space="preserve">valuation also met with several other CSOs </w:t>
      </w:r>
      <w:r w:rsidR="004938B0" w:rsidRPr="00647752">
        <w:rPr>
          <w:rFonts w:ascii="Times New Roman" w:hAnsi="Times New Roman" w:cs="Times New Roman"/>
          <w:sz w:val="22"/>
          <w:szCs w:val="22"/>
          <w:lang w:val="en-GB"/>
        </w:rPr>
        <w:t>that are providing demand-driven</w:t>
      </w:r>
      <w:r>
        <w:rPr>
          <w:rFonts w:ascii="Times New Roman" w:hAnsi="Times New Roman" w:cs="Times New Roman"/>
          <w:sz w:val="22"/>
          <w:szCs w:val="22"/>
          <w:lang w:val="en-GB"/>
        </w:rPr>
        <w:t xml:space="preserve"> legal aid to clients in Gaza. These include NSDL and CFTA as well as the Coalition for Justice and the</w:t>
      </w:r>
      <w:r w:rsidR="004938B0" w:rsidRPr="00647752">
        <w:rPr>
          <w:rFonts w:ascii="Times New Roman" w:hAnsi="Times New Roman" w:cs="Times New Roman"/>
          <w:sz w:val="22"/>
          <w:szCs w:val="22"/>
          <w:lang w:val="en-GB"/>
        </w:rPr>
        <w:t xml:space="preserve"> South Women Media Forum. All of these memb</w:t>
      </w:r>
      <w:r>
        <w:rPr>
          <w:rFonts w:ascii="Times New Roman" w:hAnsi="Times New Roman" w:cs="Times New Roman"/>
          <w:sz w:val="22"/>
          <w:szCs w:val="22"/>
          <w:lang w:val="en-GB"/>
        </w:rPr>
        <w:t>ers of the Awn n</w:t>
      </w:r>
      <w:r w:rsidR="004938B0" w:rsidRPr="00647752">
        <w:rPr>
          <w:rFonts w:ascii="Times New Roman" w:hAnsi="Times New Roman" w:cs="Times New Roman"/>
          <w:sz w:val="22"/>
          <w:szCs w:val="22"/>
          <w:lang w:val="en-GB"/>
        </w:rPr>
        <w:t xml:space="preserve">etwork reported servicing more clients currently than had been predicted in 2010 when they applied for UNDP funding. The CSOs reported that as a result of the legal aid clinics women are reporting instances of domestic violence and abuse with increasing frequency. Besides this, the </w:t>
      </w:r>
      <w:r w:rsidR="00E13391" w:rsidRPr="00647752">
        <w:rPr>
          <w:rFonts w:ascii="Times New Roman" w:hAnsi="Times New Roman" w:cs="Times New Roman"/>
          <w:sz w:val="22"/>
          <w:szCs w:val="22"/>
          <w:lang w:val="en-GB"/>
        </w:rPr>
        <w:t>individual legal victories won by the legal aid clinics have had impacts on municipal law, service delivery and increased transparency of</w:t>
      </w:r>
      <w:r>
        <w:rPr>
          <w:rFonts w:ascii="Times New Roman" w:hAnsi="Times New Roman" w:cs="Times New Roman"/>
          <w:sz w:val="22"/>
          <w:szCs w:val="22"/>
          <w:lang w:val="en-GB"/>
        </w:rPr>
        <w:t xml:space="preserve"> courts and other institutions.</w:t>
      </w:r>
    </w:p>
    <w:p w:rsidR="00E13391" w:rsidRPr="00647752" w:rsidRDefault="00E13391" w:rsidP="00FB6759">
      <w:pPr>
        <w:spacing w:after="0" w:line="240" w:lineRule="auto"/>
        <w:jc w:val="both"/>
        <w:rPr>
          <w:rFonts w:ascii="Times New Roman" w:hAnsi="Times New Roman" w:cs="Times New Roman"/>
          <w:sz w:val="22"/>
          <w:szCs w:val="22"/>
          <w:lang w:val="en-GB"/>
        </w:rPr>
      </w:pPr>
    </w:p>
    <w:p w:rsidR="00D06D0D" w:rsidRPr="00647752" w:rsidRDefault="00E13391"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 xml:space="preserve">One </w:t>
      </w:r>
      <w:r w:rsidR="00C50BEE" w:rsidRPr="00647752">
        <w:rPr>
          <w:rFonts w:ascii="Times New Roman" w:hAnsi="Times New Roman" w:cs="Times New Roman"/>
          <w:sz w:val="22"/>
          <w:szCs w:val="22"/>
          <w:lang w:val="en-GB"/>
        </w:rPr>
        <w:t xml:space="preserve">such </w:t>
      </w:r>
      <w:r w:rsidRPr="00647752">
        <w:rPr>
          <w:rFonts w:ascii="Times New Roman" w:hAnsi="Times New Roman" w:cs="Times New Roman"/>
          <w:sz w:val="22"/>
          <w:szCs w:val="22"/>
          <w:lang w:val="en-GB"/>
        </w:rPr>
        <w:t xml:space="preserve">case handled by </w:t>
      </w:r>
      <w:r w:rsidR="00672358" w:rsidRPr="00647752">
        <w:rPr>
          <w:rFonts w:ascii="Times New Roman" w:hAnsi="Times New Roman" w:cs="Times New Roman"/>
          <w:sz w:val="22"/>
          <w:szCs w:val="22"/>
          <w:lang w:val="en-GB"/>
        </w:rPr>
        <w:t>NSDL</w:t>
      </w:r>
      <w:r w:rsidR="000063A3">
        <w:rPr>
          <w:rFonts w:ascii="Times New Roman" w:hAnsi="Times New Roman" w:cs="Times New Roman"/>
          <w:sz w:val="22"/>
          <w:szCs w:val="22"/>
          <w:lang w:val="en-GB"/>
        </w:rPr>
        <w:t xml:space="preserve"> </w:t>
      </w:r>
      <w:r w:rsidRPr="00647752">
        <w:rPr>
          <w:rFonts w:ascii="Times New Roman" w:hAnsi="Times New Roman" w:cs="Times New Roman"/>
          <w:sz w:val="22"/>
          <w:szCs w:val="22"/>
          <w:lang w:val="en-GB"/>
        </w:rPr>
        <w:t xml:space="preserve">illustrates the impact that UNDP supported legal aid is having on service delivery in Gaza. </w:t>
      </w:r>
      <w:r w:rsidR="00C50BEE" w:rsidRPr="00647752">
        <w:rPr>
          <w:rFonts w:ascii="Times New Roman" w:hAnsi="Times New Roman" w:cs="Times New Roman"/>
          <w:sz w:val="22"/>
          <w:szCs w:val="22"/>
          <w:lang w:val="en-GB"/>
        </w:rPr>
        <w:t xml:space="preserve">A </w:t>
      </w:r>
      <w:r w:rsidR="001A5294">
        <w:rPr>
          <w:rFonts w:ascii="Times New Roman" w:hAnsi="Times New Roman" w:cs="Times New Roman"/>
          <w:sz w:val="22"/>
          <w:szCs w:val="22"/>
          <w:lang w:val="en-GB"/>
        </w:rPr>
        <w:t>woma</w:t>
      </w:r>
      <w:r w:rsidRPr="00647752">
        <w:rPr>
          <w:rFonts w:ascii="Times New Roman" w:hAnsi="Times New Roman" w:cs="Times New Roman"/>
          <w:sz w:val="22"/>
          <w:szCs w:val="22"/>
          <w:lang w:val="en-GB"/>
        </w:rPr>
        <w:t xml:space="preserve">n </w:t>
      </w:r>
      <w:r w:rsidR="00C50BEE" w:rsidRPr="00647752">
        <w:rPr>
          <w:rFonts w:ascii="Times New Roman" w:hAnsi="Times New Roman" w:cs="Times New Roman"/>
          <w:sz w:val="22"/>
          <w:szCs w:val="22"/>
          <w:lang w:val="en-GB"/>
        </w:rPr>
        <w:t>whose</w:t>
      </w:r>
      <w:r w:rsidRPr="00647752">
        <w:rPr>
          <w:rFonts w:ascii="Times New Roman" w:hAnsi="Times New Roman" w:cs="Times New Roman"/>
          <w:sz w:val="22"/>
          <w:szCs w:val="22"/>
          <w:lang w:val="en-GB"/>
        </w:rPr>
        <w:t xml:space="preserve"> husband</w:t>
      </w:r>
      <w:r w:rsidR="001A5294">
        <w:rPr>
          <w:rFonts w:ascii="Times New Roman" w:hAnsi="Times New Roman" w:cs="Times New Roman"/>
          <w:sz w:val="22"/>
          <w:szCs w:val="22"/>
          <w:lang w:val="en-GB"/>
        </w:rPr>
        <w:t xml:space="preserve"> was killed in the last war </w:t>
      </w:r>
      <w:r w:rsidRPr="00647752">
        <w:rPr>
          <w:rFonts w:ascii="Times New Roman" w:hAnsi="Times New Roman" w:cs="Times New Roman"/>
          <w:sz w:val="22"/>
          <w:szCs w:val="22"/>
          <w:lang w:val="en-GB"/>
        </w:rPr>
        <w:t>built a new house</w:t>
      </w:r>
      <w:r w:rsidR="001A5294">
        <w:rPr>
          <w:rFonts w:ascii="Times New Roman" w:hAnsi="Times New Roman" w:cs="Times New Roman"/>
          <w:sz w:val="22"/>
          <w:szCs w:val="22"/>
          <w:lang w:val="en-GB"/>
        </w:rPr>
        <w:t xml:space="preserve">. However, there was no electricity as a result of the </w:t>
      </w:r>
      <w:r w:rsidRPr="00647752">
        <w:rPr>
          <w:rFonts w:ascii="Times New Roman" w:hAnsi="Times New Roman" w:cs="Times New Roman"/>
          <w:sz w:val="22"/>
          <w:szCs w:val="22"/>
          <w:lang w:val="en-GB"/>
        </w:rPr>
        <w:t>fact that the h</w:t>
      </w:r>
      <w:r w:rsidR="001A5294">
        <w:rPr>
          <w:rFonts w:ascii="Times New Roman" w:hAnsi="Times New Roman" w:cs="Times New Roman"/>
          <w:sz w:val="22"/>
          <w:szCs w:val="22"/>
          <w:lang w:val="en-GB"/>
        </w:rPr>
        <w:t>ouse was located in a marginalis</w:t>
      </w:r>
      <w:r w:rsidRPr="00647752">
        <w:rPr>
          <w:rFonts w:ascii="Times New Roman" w:hAnsi="Times New Roman" w:cs="Times New Roman"/>
          <w:sz w:val="22"/>
          <w:szCs w:val="22"/>
          <w:lang w:val="en-GB"/>
        </w:rPr>
        <w:t>ed area</w:t>
      </w:r>
      <w:r w:rsidR="001A5294">
        <w:rPr>
          <w:rFonts w:ascii="Times New Roman" w:hAnsi="Times New Roman" w:cs="Times New Roman"/>
          <w:sz w:val="22"/>
          <w:szCs w:val="22"/>
          <w:lang w:val="en-GB"/>
        </w:rPr>
        <w:t xml:space="preserve">. </w:t>
      </w:r>
      <w:r w:rsidR="00C50BEE" w:rsidRPr="00647752">
        <w:rPr>
          <w:rFonts w:ascii="Times New Roman" w:hAnsi="Times New Roman" w:cs="Times New Roman"/>
          <w:sz w:val="22"/>
          <w:szCs w:val="22"/>
          <w:lang w:val="en-GB"/>
        </w:rPr>
        <w:t>S</w:t>
      </w:r>
      <w:r w:rsidR="001A5294">
        <w:rPr>
          <w:rFonts w:ascii="Times New Roman" w:hAnsi="Times New Roman" w:cs="Times New Roman"/>
          <w:sz w:val="22"/>
          <w:szCs w:val="22"/>
          <w:lang w:val="en-GB"/>
        </w:rPr>
        <w:t>he spent five</w:t>
      </w:r>
      <w:r w:rsidRPr="00647752">
        <w:rPr>
          <w:rFonts w:ascii="Times New Roman" w:hAnsi="Times New Roman" w:cs="Times New Roman"/>
          <w:sz w:val="22"/>
          <w:szCs w:val="22"/>
          <w:lang w:val="en-GB"/>
        </w:rPr>
        <w:t xml:space="preserve"> months without any assistance and came to </w:t>
      </w:r>
      <w:r w:rsidR="001A5294">
        <w:rPr>
          <w:rFonts w:ascii="Times New Roman" w:hAnsi="Times New Roman" w:cs="Times New Roman"/>
          <w:sz w:val="22"/>
          <w:szCs w:val="22"/>
          <w:lang w:val="en-GB"/>
        </w:rPr>
        <w:t xml:space="preserve">the </w:t>
      </w:r>
      <w:r w:rsidR="00C50BEE" w:rsidRPr="00647752">
        <w:rPr>
          <w:rFonts w:ascii="Times New Roman" w:hAnsi="Times New Roman" w:cs="Times New Roman"/>
          <w:sz w:val="22"/>
          <w:szCs w:val="22"/>
          <w:lang w:val="en-GB"/>
        </w:rPr>
        <w:t xml:space="preserve">legal aid </w:t>
      </w:r>
      <w:r w:rsidRPr="00647752">
        <w:rPr>
          <w:rFonts w:ascii="Times New Roman" w:hAnsi="Times New Roman" w:cs="Times New Roman"/>
          <w:sz w:val="22"/>
          <w:szCs w:val="22"/>
          <w:lang w:val="en-GB"/>
        </w:rPr>
        <w:t xml:space="preserve">clinic </w:t>
      </w:r>
      <w:r w:rsidR="00C50BEE" w:rsidRPr="00647752">
        <w:rPr>
          <w:rFonts w:ascii="Times New Roman" w:hAnsi="Times New Roman" w:cs="Times New Roman"/>
          <w:sz w:val="22"/>
          <w:szCs w:val="22"/>
          <w:lang w:val="en-GB"/>
        </w:rPr>
        <w:t>for assistance.</w:t>
      </w:r>
      <w:r w:rsidR="00672358" w:rsidRPr="00647752">
        <w:rPr>
          <w:rFonts w:ascii="Times New Roman" w:hAnsi="Times New Roman" w:cs="Times New Roman"/>
          <w:sz w:val="22"/>
          <w:szCs w:val="22"/>
          <w:lang w:val="en-GB"/>
        </w:rPr>
        <w:t xml:space="preserve"> NSLD</w:t>
      </w:r>
      <w:r w:rsidRPr="00647752">
        <w:rPr>
          <w:rFonts w:ascii="Times New Roman" w:hAnsi="Times New Roman" w:cs="Times New Roman"/>
          <w:sz w:val="22"/>
          <w:szCs w:val="22"/>
          <w:lang w:val="en-GB"/>
        </w:rPr>
        <w:t xml:space="preserve"> began to communicate with the electricity company and after many </w:t>
      </w:r>
      <w:r w:rsidR="00C50BEE" w:rsidRPr="00647752">
        <w:rPr>
          <w:rFonts w:ascii="Times New Roman" w:hAnsi="Times New Roman" w:cs="Times New Roman"/>
          <w:sz w:val="22"/>
          <w:szCs w:val="22"/>
          <w:lang w:val="en-GB"/>
        </w:rPr>
        <w:t>sessions</w:t>
      </w:r>
      <w:r w:rsidRPr="00647752">
        <w:rPr>
          <w:rFonts w:ascii="Times New Roman" w:hAnsi="Times New Roman" w:cs="Times New Roman"/>
          <w:sz w:val="22"/>
          <w:szCs w:val="22"/>
          <w:lang w:val="en-GB"/>
        </w:rPr>
        <w:t xml:space="preserve"> of discussions and negotiations finally reached a </w:t>
      </w:r>
      <w:r w:rsidR="00A56993" w:rsidRPr="00647752">
        <w:rPr>
          <w:rFonts w:ascii="Times New Roman" w:hAnsi="Times New Roman" w:cs="Times New Roman"/>
          <w:sz w:val="22"/>
          <w:szCs w:val="22"/>
          <w:lang w:val="en-GB"/>
        </w:rPr>
        <w:t>decision</w:t>
      </w:r>
      <w:r w:rsidRPr="00647752">
        <w:rPr>
          <w:rFonts w:ascii="Times New Roman" w:hAnsi="Times New Roman" w:cs="Times New Roman"/>
          <w:sz w:val="22"/>
          <w:szCs w:val="22"/>
          <w:lang w:val="en-GB"/>
        </w:rPr>
        <w:t xml:space="preserve"> and the company agreed to give </w:t>
      </w:r>
      <w:r w:rsidR="00A56993" w:rsidRPr="00647752">
        <w:rPr>
          <w:rFonts w:ascii="Times New Roman" w:hAnsi="Times New Roman" w:cs="Times New Roman"/>
          <w:sz w:val="22"/>
          <w:szCs w:val="22"/>
          <w:lang w:val="en-GB"/>
        </w:rPr>
        <w:t>a utility</w:t>
      </w:r>
      <w:r w:rsidRPr="00647752">
        <w:rPr>
          <w:rFonts w:ascii="Times New Roman" w:hAnsi="Times New Roman" w:cs="Times New Roman"/>
          <w:sz w:val="22"/>
          <w:szCs w:val="22"/>
          <w:lang w:val="en-GB"/>
        </w:rPr>
        <w:t xml:space="preserve"> column</w:t>
      </w:r>
      <w:r w:rsidR="00A56993" w:rsidRPr="00647752">
        <w:rPr>
          <w:rFonts w:ascii="Times New Roman" w:hAnsi="Times New Roman" w:cs="Times New Roman"/>
          <w:sz w:val="22"/>
          <w:szCs w:val="22"/>
          <w:lang w:val="en-GB"/>
        </w:rPr>
        <w:t>. The woman’s problem was</w:t>
      </w:r>
      <w:r w:rsidRPr="00647752">
        <w:rPr>
          <w:rFonts w:ascii="Times New Roman" w:hAnsi="Times New Roman" w:cs="Times New Roman"/>
          <w:sz w:val="22"/>
          <w:szCs w:val="22"/>
          <w:lang w:val="en-GB"/>
        </w:rPr>
        <w:t xml:space="preserve"> solved and she obtained electricity. This </w:t>
      </w:r>
      <w:r w:rsidR="00A56993" w:rsidRPr="00647752">
        <w:rPr>
          <w:rFonts w:ascii="Times New Roman" w:hAnsi="Times New Roman" w:cs="Times New Roman"/>
          <w:sz w:val="22"/>
          <w:szCs w:val="22"/>
          <w:lang w:val="en-GB"/>
        </w:rPr>
        <w:t xml:space="preserve">single legal victory subsequently </w:t>
      </w:r>
      <w:r w:rsidRPr="00647752">
        <w:rPr>
          <w:rFonts w:ascii="Times New Roman" w:hAnsi="Times New Roman" w:cs="Times New Roman"/>
          <w:sz w:val="22"/>
          <w:szCs w:val="22"/>
          <w:lang w:val="en-GB"/>
        </w:rPr>
        <w:t xml:space="preserve">caused the electrical utility to also resolve similar claims for the entire community.          </w:t>
      </w:r>
    </w:p>
    <w:p w:rsidR="00C70D91" w:rsidRPr="00647752" w:rsidRDefault="00C70D91" w:rsidP="00FB6759">
      <w:pPr>
        <w:spacing w:after="0" w:line="240" w:lineRule="auto"/>
        <w:jc w:val="both"/>
        <w:rPr>
          <w:rFonts w:ascii="Times New Roman" w:eastAsia="MS Mincho" w:hAnsi="Times New Roman" w:cs="Times New Roman"/>
          <w:sz w:val="22"/>
          <w:szCs w:val="22"/>
          <w:lang w:val="en-GB" w:eastAsia="ja-JP"/>
        </w:rPr>
      </w:pPr>
    </w:p>
    <w:p w:rsidR="001A5294" w:rsidRDefault="001A5294" w:rsidP="00FB6759">
      <w:pPr>
        <w:spacing w:after="0" w:line="240" w:lineRule="auto"/>
        <w:jc w:val="both"/>
        <w:rPr>
          <w:rFonts w:ascii="Times New Roman" w:eastAsia="MS Mincho" w:hAnsi="Times New Roman" w:cs="Times New Roman"/>
          <w:sz w:val="22"/>
          <w:szCs w:val="22"/>
          <w:lang w:val="en-GB" w:eastAsia="ja-JP"/>
        </w:rPr>
      </w:pPr>
      <w:r>
        <w:rPr>
          <w:rFonts w:ascii="Times New Roman" w:eastAsia="MS Mincho" w:hAnsi="Times New Roman" w:cs="Times New Roman"/>
          <w:sz w:val="22"/>
          <w:szCs w:val="22"/>
          <w:lang w:val="en-GB" w:eastAsia="ja-JP"/>
        </w:rPr>
        <w:t>The e</w:t>
      </w:r>
      <w:r w:rsidR="00E04C42" w:rsidRPr="00647752">
        <w:rPr>
          <w:rFonts w:ascii="Times New Roman" w:eastAsia="MS Mincho" w:hAnsi="Times New Roman" w:cs="Times New Roman"/>
          <w:sz w:val="22"/>
          <w:szCs w:val="22"/>
          <w:lang w:val="en-GB" w:eastAsia="ja-JP"/>
        </w:rPr>
        <w:t>valuation conducted interviews with additional clients from the above CSOs. Thes</w:t>
      </w:r>
      <w:r>
        <w:rPr>
          <w:rFonts w:ascii="Times New Roman" w:eastAsia="MS Mincho" w:hAnsi="Times New Roman" w:cs="Times New Roman"/>
          <w:sz w:val="22"/>
          <w:szCs w:val="22"/>
          <w:lang w:val="en-GB" w:eastAsia="ja-JP"/>
        </w:rPr>
        <w:t xml:space="preserve">e are annexed to this report and </w:t>
      </w:r>
      <w:r w:rsidR="00F145C8" w:rsidRPr="00647752">
        <w:rPr>
          <w:rFonts w:ascii="Times New Roman" w:eastAsia="MS Mincho" w:hAnsi="Times New Roman" w:cs="Times New Roman"/>
          <w:sz w:val="22"/>
          <w:szCs w:val="22"/>
          <w:lang w:val="en-GB" w:eastAsia="ja-JP"/>
        </w:rPr>
        <w:t>include mostly family law cases</w:t>
      </w:r>
      <w:r>
        <w:rPr>
          <w:rFonts w:ascii="Times New Roman" w:eastAsia="MS Mincho" w:hAnsi="Times New Roman" w:cs="Times New Roman"/>
          <w:sz w:val="22"/>
          <w:szCs w:val="22"/>
          <w:lang w:val="en-GB" w:eastAsia="ja-JP"/>
        </w:rPr>
        <w:t xml:space="preserve"> and issues brought before the </w:t>
      </w:r>
      <w:r w:rsidRPr="001A5294">
        <w:rPr>
          <w:rFonts w:ascii="Times New Roman" w:eastAsia="MS Mincho" w:hAnsi="Times New Roman" w:cs="Times New Roman"/>
          <w:i/>
          <w:sz w:val="22"/>
          <w:szCs w:val="22"/>
          <w:lang w:val="en-GB" w:eastAsia="ja-JP"/>
        </w:rPr>
        <w:t>s</w:t>
      </w:r>
      <w:r w:rsidR="00F145C8" w:rsidRPr="001A5294">
        <w:rPr>
          <w:rFonts w:ascii="Times New Roman" w:eastAsia="MS Mincho" w:hAnsi="Times New Roman" w:cs="Times New Roman"/>
          <w:i/>
          <w:sz w:val="22"/>
          <w:szCs w:val="22"/>
          <w:lang w:val="en-GB" w:eastAsia="ja-JP"/>
        </w:rPr>
        <w:t>hari’a</w:t>
      </w:r>
      <w:r w:rsidR="00F145C8" w:rsidRPr="00647752">
        <w:rPr>
          <w:rFonts w:ascii="Times New Roman" w:eastAsia="MS Mincho" w:hAnsi="Times New Roman" w:cs="Times New Roman"/>
          <w:sz w:val="22"/>
          <w:szCs w:val="22"/>
          <w:lang w:val="en-GB" w:eastAsia="ja-JP"/>
        </w:rPr>
        <w:t xml:space="preserve"> courts on behalf of clients. </w:t>
      </w:r>
      <w:r>
        <w:rPr>
          <w:rFonts w:ascii="Times New Roman" w:eastAsia="MS Mincho" w:hAnsi="Times New Roman" w:cs="Times New Roman"/>
          <w:sz w:val="22"/>
          <w:szCs w:val="22"/>
          <w:lang w:val="en-GB" w:eastAsia="ja-JP"/>
        </w:rPr>
        <w:t>In addition, the e</w:t>
      </w:r>
      <w:r w:rsidR="002B05EB" w:rsidRPr="00647752">
        <w:rPr>
          <w:rFonts w:ascii="Times New Roman" w:eastAsia="MS Mincho" w:hAnsi="Times New Roman" w:cs="Times New Roman"/>
          <w:sz w:val="22"/>
          <w:szCs w:val="22"/>
          <w:lang w:val="en-GB" w:eastAsia="ja-JP"/>
        </w:rPr>
        <w:t>valuation assembled a focus group comprised of individual clients who were re</w:t>
      </w:r>
      <w:r>
        <w:rPr>
          <w:rFonts w:ascii="Times New Roman" w:eastAsia="MS Mincho" w:hAnsi="Times New Roman" w:cs="Times New Roman"/>
          <w:sz w:val="22"/>
          <w:szCs w:val="22"/>
          <w:lang w:val="en-GB" w:eastAsia="ja-JP"/>
        </w:rPr>
        <w:t>presented by the PBA’s legal aid clinic</w:t>
      </w:r>
      <w:r w:rsidR="002B05EB" w:rsidRPr="00647752">
        <w:rPr>
          <w:rFonts w:ascii="Times New Roman" w:eastAsia="MS Mincho" w:hAnsi="Times New Roman" w:cs="Times New Roman"/>
          <w:sz w:val="22"/>
          <w:szCs w:val="22"/>
          <w:lang w:val="en-GB" w:eastAsia="ja-JP"/>
        </w:rPr>
        <w:t>, a focus group compr</w:t>
      </w:r>
      <w:r w:rsidR="00F81BAE" w:rsidRPr="00647752">
        <w:rPr>
          <w:rFonts w:ascii="Times New Roman" w:eastAsia="MS Mincho" w:hAnsi="Times New Roman" w:cs="Times New Roman"/>
          <w:sz w:val="22"/>
          <w:szCs w:val="22"/>
          <w:lang w:val="en-GB" w:eastAsia="ja-JP"/>
        </w:rPr>
        <w:t>ised of tribal leaders (</w:t>
      </w:r>
      <w:r w:rsidRPr="001A5294">
        <w:rPr>
          <w:rFonts w:ascii="Times New Roman" w:eastAsia="MS Mincho" w:hAnsi="Times New Roman" w:cs="Times New Roman"/>
          <w:i/>
          <w:sz w:val="22"/>
          <w:szCs w:val="22"/>
          <w:lang w:val="en-GB" w:eastAsia="ja-JP"/>
        </w:rPr>
        <w:t>m</w:t>
      </w:r>
      <w:r w:rsidR="00360CF0" w:rsidRPr="001A5294">
        <w:rPr>
          <w:rFonts w:ascii="Times New Roman" w:eastAsia="MS Mincho" w:hAnsi="Times New Roman" w:cs="Times New Roman"/>
          <w:i/>
          <w:sz w:val="22"/>
          <w:szCs w:val="22"/>
          <w:lang w:val="en-GB" w:eastAsia="ja-JP"/>
        </w:rPr>
        <w:t>uqtar</w:t>
      </w:r>
      <w:r w:rsidR="00D35C46" w:rsidRPr="001A5294">
        <w:rPr>
          <w:rFonts w:ascii="Times New Roman" w:eastAsia="MS Mincho" w:hAnsi="Times New Roman" w:cs="Times New Roman"/>
          <w:i/>
          <w:sz w:val="22"/>
          <w:szCs w:val="22"/>
          <w:lang w:val="en-GB" w:eastAsia="ja-JP"/>
        </w:rPr>
        <w:t>s</w:t>
      </w:r>
      <w:r w:rsidR="00F81BAE" w:rsidRPr="00647752">
        <w:rPr>
          <w:rFonts w:ascii="Times New Roman" w:eastAsia="MS Mincho" w:hAnsi="Times New Roman" w:cs="Times New Roman"/>
          <w:sz w:val="22"/>
          <w:szCs w:val="22"/>
          <w:lang w:val="en-GB" w:eastAsia="ja-JP"/>
        </w:rPr>
        <w:t>)</w:t>
      </w:r>
      <w:r w:rsidR="002B05EB" w:rsidRPr="00647752">
        <w:rPr>
          <w:rFonts w:ascii="Times New Roman" w:eastAsia="MS Mincho" w:hAnsi="Times New Roman" w:cs="Times New Roman"/>
          <w:sz w:val="22"/>
          <w:szCs w:val="22"/>
          <w:lang w:val="en-GB" w:eastAsia="ja-JP"/>
        </w:rPr>
        <w:t xml:space="preserve"> and a focus group comprised of law students who were enrolled in UNDP supported clinical education courses</w:t>
      </w:r>
      <w:r w:rsidR="00F81BAE" w:rsidRPr="00647752">
        <w:rPr>
          <w:rFonts w:ascii="Times New Roman" w:eastAsia="MS Mincho" w:hAnsi="Times New Roman" w:cs="Times New Roman"/>
          <w:sz w:val="22"/>
          <w:szCs w:val="22"/>
          <w:lang w:val="en-GB" w:eastAsia="ja-JP"/>
        </w:rPr>
        <w:t xml:space="preserve">.  These </w:t>
      </w:r>
      <w:r>
        <w:rPr>
          <w:rFonts w:ascii="Times New Roman" w:eastAsia="MS Mincho" w:hAnsi="Times New Roman" w:cs="Times New Roman"/>
          <w:sz w:val="22"/>
          <w:szCs w:val="22"/>
          <w:lang w:val="en-GB" w:eastAsia="ja-JP"/>
        </w:rPr>
        <w:t>are also annexed to this report.</w:t>
      </w:r>
    </w:p>
    <w:p w:rsidR="00462ACE" w:rsidRPr="00647752" w:rsidRDefault="00462ACE" w:rsidP="00FB6759">
      <w:pPr>
        <w:spacing w:after="0" w:line="240" w:lineRule="auto"/>
        <w:jc w:val="both"/>
        <w:rPr>
          <w:rFonts w:ascii="Times New Roman" w:eastAsia="MS Mincho" w:hAnsi="Times New Roman" w:cs="Times New Roman"/>
          <w:sz w:val="22"/>
          <w:szCs w:val="22"/>
          <w:lang w:val="en-GB" w:eastAsia="ja-JP"/>
        </w:rPr>
      </w:pPr>
    </w:p>
    <w:p w:rsidR="00462ACE" w:rsidRPr="00647752" w:rsidRDefault="00462ACE" w:rsidP="00FB6759">
      <w:pPr>
        <w:spacing w:after="0" w:line="240" w:lineRule="auto"/>
        <w:jc w:val="both"/>
        <w:rPr>
          <w:rFonts w:ascii="Times New Roman" w:eastAsia="MS Mincho" w:hAnsi="Times New Roman" w:cs="Times New Roman"/>
          <w:sz w:val="22"/>
          <w:szCs w:val="22"/>
          <w:lang w:val="en-GB" w:eastAsia="ja-JP"/>
        </w:rPr>
      </w:pPr>
      <w:r w:rsidRPr="00647752">
        <w:rPr>
          <w:rFonts w:ascii="Times New Roman" w:eastAsia="MS Mincho" w:hAnsi="Times New Roman" w:cs="Times New Roman"/>
          <w:sz w:val="22"/>
          <w:szCs w:val="22"/>
          <w:lang w:val="en-GB" w:eastAsia="ja-JP"/>
        </w:rPr>
        <w:t xml:space="preserve">One element of the </w:t>
      </w:r>
      <w:r w:rsidR="00CF6CED" w:rsidRPr="00647752">
        <w:rPr>
          <w:rFonts w:ascii="Times New Roman" w:eastAsia="MS Mincho" w:hAnsi="Times New Roman" w:cs="Times New Roman"/>
          <w:sz w:val="22"/>
          <w:szCs w:val="22"/>
          <w:lang w:val="en-GB" w:eastAsia="ja-JP"/>
        </w:rPr>
        <w:t>UNDP supported legal aid</w:t>
      </w:r>
      <w:r w:rsidR="009B6463" w:rsidRPr="00647752">
        <w:rPr>
          <w:rFonts w:ascii="Times New Roman" w:eastAsia="MS Mincho" w:hAnsi="Times New Roman" w:cs="Times New Roman"/>
          <w:sz w:val="22"/>
          <w:szCs w:val="22"/>
          <w:lang w:val="en-GB" w:eastAsia="ja-JP"/>
        </w:rPr>
        <w:t xml:space="preserve"> in Gaza</w:t>
      </w:r>
      <w:r w:rsidR="00CF6CED" w:rsidRPr="00647752">
        <w:rPr>
          <w:rFonts w:ascii="Times New Roman" w:eastAsia="MS Mincho" w:hAnsi="Times New Roman" w:cs="Times New Roman"/>
          <w:sz w:val="22"/>
          <w:szCs w:val="22"/>
          <w:lang w:val="en-GB" w:eastAsia="ja-JP"/>
        </w:rPr>
        <w:t xml:space="preserve"> that </w:t>
      </w:r>
      <w:r w:rsidR="009B6463" w:rsidRPr="00647752">
        <w:rPr>
          <w:rFonts w:ascii="Times New Roman" w:eastAsia="MS Mincho" w:hAnsi="Times New Roman" w:cs="Times New Roman"/>
          <w:sz w:val="22"/>
          <w:szCs w:val="22"/>
          <w:lang w:val="en-GB" w:eastAsia="ja-JP"/>
        </w:rPr>
        <w:t>needs to be examined in more detail is the disparity between the number of criminal cases that receive consultation and the number th</w:t>
      </w:r>
      <w:r w:rsidR="001A5294">
        <w:rPr>
          <w:rFonts w:ascii="Times New Roman" w:eastAsia="MS Mincho" w:hAnsi="Times New Roman" w:cs="Times New Roman"/>
          <w:sz w:val="22"/>
          <w:szCs w:val="22"/>
          <w:lang w:val="en-GB" w:eastAsia="ja-JP"/>
        </w:rPr>
        <w:t>at receive representation. The e</w:t>
      </w:r>
      <w:r w:rsidR="009B6463" w:rsidRPr="00647752">
        <w:rPr>
          <w:rFonts w:ascii="Times New Roman" w:eastAsia="MS Mincho" w:hAnsi="Times New Roman" w:cs="Times New Roman"/>
          <w:sz w:val="22"/>
          <w:szCs w:val="22"/>
          <w:lang w:val="en-GB" w:eastAsia="ja-JP"/>
        </w:rPr>
        <w:t xml:space="preserve">valuation noted that in Gaza roughly 20% of </w:t>
      </w:r>
      <w:r w:rsidR="006D58EA" w:rsidRPr="00647752">
        <w:rPr>
          <w:rFonts w:ascii="Times New Roman" w:eastAsia="MS Mincho" w:hAnsi="Times New Roman" w:cs="Times New Roman"/>
          <w:sz w:val="22"/>
          <w:szCs w:val="22"/>
          <w:lang w:val="en-GB" w:eastAsia="ja-JP"/>
        </w:rPr>
        <w:t xml:space="preserve">all </w:t>
      </w:r>
      <w:r w:rsidR="009B6463" w:rsidRPr="00647752">
        <w:rPr>
          <w:rFonts w:ascii="Times New Roman" w:eastAsia="MS Mincho" w:hAnsi="Times New Roman" w:cs="Times New Roman"/>
          <w:i/>
          <w:sz w:val="22"/>
          <w:szCs w:val="22"/>
          <w:lang w:val="en-GB" w:eastAsia="ja-JP"/>
        </w:rPr>
        <w:t>civil and commercial</w:t>
      </w:r>
      <w:r w:rsidR="009B6463" w:rsidRPr="00647752">
        <w:rPr>
          <w:rFonts w:ascii="Times New Roman" w:eastAsia="MS Mincho" w:hAnsi="Times New Roman" w:cs="Times New Roman"/>
          <w:sz w:val="22"/>
          <w:szCs w:val="22"/>
          <w:lang w:val="en-GB" w:eastAsia="ja-JP"/>
        </w:rPr>
        <w:t xml:space="preserve"> client visits to UNDP supported legal aid providers result in representation, whereas less than 10% of all </w:t>
      </w:r>
      <w:r w:rsidR="009B6463" w:rsidRPr="00647752">
        <w:rPr>
          <w:rFonts w:ascii="Times New Roman" w:eastAsia="MS Mincho" w:hAnsi="Times New Roman" w:cs="Times New Roman"/>
          <w:i/>
          <w:sz w:val="22"/>
          <w:szCs w:val="22"/>
          <w:lang w:val="en-GB" w:eastAsia="ja-JP"/>
        </w:rPr>
        <w:t xml:space="preserve">criminal </w:t>
      </w:r>
      <w:r w:rsidR="009B6463" w:rsidRPr="00647752">
        <w:rPr>
          <w:rFonts w:ascii="Times New Roman" w:eastAsia="MS Mincho" w:hAnsi="Times New Roman" w:cs="Times New Roman"/>
          <w:sz w:val="22"/>
          <w:szCs w:val="22"/>
          <w:lang w:val="en-GB" w:eastAsia="ja-JP"/>
        </w:rPr>
        <w:t xml:space="preserve">client visits </w:t>
      </w:r>
      <w:r w:rsidR="006D58EA" w:rsidRPr="00647752">
        <w:rPr>
          <w:rFonts w:ascii="Times New Roman" w:eastAsia="MS Mincho" w:hAnsi="Times New Roman" w:cs="Times New Roman"/>
          <w:sz w:val="22"/>
          <w:szCs w:val="22"/>
          <w:lang w:val="en-GB" w:eastAsia="ja-JP"/>
        </w:rPr>
        <w:t>have resulted in legal representation.  One would expect the figure to be in the range of 80%-90% of all criminal</w:t>
      </w:r>
      <w:r w:rsidR="001A5294">
        <w:rPr>
          <w:rFonts w:ascii="Times New Roman" w:eastAsia="MS Mincho" w:hAnsi="Times New Roman" w:cs="Times New Roman"/>
          <w:sz w:val="22"/>
          <w:szCs w:val="22"/>
          <w:lang w:val="en-GB" w:eastAsia="ja-JP"/>
        </w:rPr>
        <w:t xml:space="preserve"> law clients, instead of 10%.  At the time of the e</w:t>
      </w:r>
      <w:r w:rsidR="006D58EA" w:rsidRPr="00647752">
        <w:rPr>
          <w:rFonts w:ascii="Times New Roman" w:eastAsia="MS Mincho" w:hAnsi="Times New Roman" w:cs="Times New Roman"/>
          <w:sz w:val="22"/>
          <w:szCs w:val="22"/>
          <w:lang w:val="en-GB" w:eastAsia="ja-JP"/>
        </w:rPr>
        <w:t xml:space="preserve">valuation, UNDP was not able to account for this </w:t>
      </w:r>
      <w:r w:rsidR="00A85C5B" w:rsidRPr="00647752">
        <w:rPr>
          <w:rFonts w:ascii="Times New Roman" w:eastAsia="MS Mincho" w:hAnsi="Times New Roman" w:cs="Times New Roman"/>
          <w:sz w:val="22"/>
          <w:szCs w:val="22"/>
          <w:lang w:val="en-GB" w:eastAsia="ja-JP"/>
        </w:rPr>
        <w:t>low rate of representation of criminal clients or provide any information as to who ultimately provided legal representation to this group of clients.</w:t>
      </w:r>
    </w:p>
    <w:p w:rsidR="001A5294" w:rsidRDefault="001A5294" w:rsidP="00FB6759">
      <w:pPr>
        <w:spacing w:after="0" w:line="240" w:lineRule="auto"/>
        <w:jc w:val="both"/>
        <w:rPr>
          <w:rFonts w:ascii="Times New Roman" w:eastAsia="MS Mincho" w:hAnsi="Times New Roman" w:cs="Times New Roman"/>
          <w:sz w:val="22"/>
          <w:szCs w:val="22"/>
          <w:lang w:val="en-GB" w:eastAsia="ja-JP"/>
        </w:rPr>
      </w:pPr>
    </w:p>
    <w:p w:rsidR="001A5294" w:rsidRDefault="001A5294" w:rsidP="00FB6759">
      <w:pPr>
        <w:spacing w:after="0" w:line="240" w:lineRule="auto"/>
        <w:jc w:val="both"/>
        <w:rPr>
          <w:rFonts w:ascii="Times New Roman" w:eastAsia="MS Mincho" w:hAnsi="Times New Roman" w:cs="Times New Roman"/>
          <w:sz w:val="22"/>
          <w:szCs w:val="24"/>
          <w:lang w:val="en-GB" w:eastAsia="ja-JP"/>
        </w:rPr>
      </w:pPr>
      <w:r>
        <w:rPr>
          <w:rFonts w:ascii="Times New Roman" w:eastAsia="MS Mincho" w:hAnsi="Times New Roman" w:cs="Times New Roman"/>
          <w:sz w:val="22"/>
          <w:szCs w:val="24"/>
          <w:lang w:val="en-GB" w:eastAsia="ja-JP"/>
        </w:rPr>
        <w:lastRenderedPageBreak/>
        <w:t>The e</w:t>
      </w:r>
      <w:r w:rsidR="00356356" w:rsidRPr="00647752">
        <w:rPr>
          <w:rFonts w:ascii="Times New Roman" w:eastAsia="MS Mincho" w:hAnsi="Times New Roman" w:cs="Times New Roman"/>
          <w:sz w:val="22"/>
          <w:szCs w:val="24"/>
          <w:lang w:val="en-GB" w:eastAsia="ja-JP"/>
        </w:rPr>
        <w:t>valuation independent</w:t>
      </w:r>
      <w:r w:rsidR="005E18EB" w:rsidRPr="00647752">
        <w:rPr>
          <w:rFonts w:ascii="Times New Roman" w:eastAsia="MS Mincho" w:hAnsi="Times New Roman" w:cs="Times New Roman"/>
          <w:sz w:val="22"/>
          <w:szCs w:val="24"/>
          <w:lang w:val="en-GB" w:eastAsia="ja-JP"/>
        </w:rPr>
        <w:t xml:space="preserve">ly met with several victims of </w:t>
      </w:r>
      <w:r>
        <w:rPr>
          <w:rFonts w:ascii="Times New Roman" w:eastAsia="MS Mincho" w:hAnsi="Times New Roman" w:cs="Times New Roman"/>
          <w:sz w:val="22"/>
          <w:szCs w:val="24"/>
          <w:lang w:val="en-GB" w:eastAsia="ja-JP"/>
        </w:rPr>
        <w:t>“</w:t>
      </w:r>
      <w:r w:rsidR="005E18EB" w:rsidRPr="00647752">
        <w:rPr>
          <w:rFonts w:ascii="Times New Roman" w:eastAsia="MS Mincho" w:hAnsi="Times New Roman" w:cs="Times New Roman"/>
          <w:sz w:val="22"/>
          <w:szCs w:val="24"/>
          <w:lang w:val="en-GB" w:eastAsia="ja-JP"/>
        </w:rPr>
        <w:t>O</w:t>
      </w:r>
      <w:r w:rsidR="00356356" w:rsidRPr="00647752">
        <w:rPr>
          <w:rFonts w:ascii="Times New Roman" w:eastAsia="MS Mincho" w:hAnsi="Times New Roman" w:cs="Times New Roman"/>
          <w:sz w:val="22"/>
          <w:szCs w:val="24"/>
          <w:lang w:val="en-GB" w:eastAsia="ja-JP"/>
        </w:rPr>
        <w:t>peration Cast Lead</w:t>
      </w:r>
      <w:r>
        <w:rPr>
          <w:rFonts w:ascii="Times New Roman" w:eastAsia="MS Mincho" w:hAnsi="Times New Roman" w:cs="Times New Roman"/>
          <w:sz w:val="22"/>
          <w:szCs w:val="24"/>
          <w:lang w:val="en-GB" w:eastAsia="ja-JP"/>
        </w:rPr>
        <w:t>”</w:t>
      </w:r>
      <w:r w:rsidR="00356356" w:rsidRPr="00647752">
        <w:rPr>
          <w:rFonts w:ascii="Times New Roman" w:eastAsia="MS Mincho" w:hAnsi="Times New Roman" w:cs="Times New Roman"/>
          <w:sz w:val="22"/>
          <w:szCs w:val="24"/>
          <w:lang w:val="en-GB" w:eastAsia="ja-JP"/>
        </w:rPr>
        <w:t xml:space="preserve">, including one individual that had been shot and severely </w:t>
      </w:r>
      <w:r>
        <w:rPr>
          <w:rFonts w:ascii="Times New Roman" w:eastAsia="MS Mincho" w:hAnsi="Times New Roman" w:cs="Times New Roman"/>
          <w:sz w:val="22"/>
          <w:szCs w:val="24"/>
          <w:lang w:val="en-GB" w:eastAsia="ja-JP"/>
        </w:rPr>
        <w:t>wounded by Israeli army</w:t>
      </w:r>
      <w:r w:rsidR="005E18EB" w:rsidRPr="00647752">
        <w:rPr>
          <w:rFonts w:ascii="Times New Roman" w:eastAsia="MS Mincho" w:hAnsi="Times New Roman" w:cs="Times New Roman"/>
          <w:sz w:val="22"/>
          <w:szCs w:val="24"/>
          <w:lang w:val="en-GB" w:eastAsia="ja-JP"/>
        </w:rPr>
        <w:t xml:space="preserve">, leaving him </w:t>
      </w:r>
      <w:r w:rsidR="00372307" w:rsidRPr="00647752">
        <w:rPr>
          <w:rFonts w:ascii="Times New Roman" w:eastAsia="MS Mincho" w:hAnsi="Times New Roman" w:cs="Times New Roman"/>
          <w:sz w:val="22"/>
          <w:szCs w:val="24"/>
          <w:lang w:val="en-GB" w:eastAsia="ja-JP"/>
        </w:rPr>
        <w:t xml:space="preserve">permanently </w:t>
      </w:r>
      <w:r w:rsidR="005E18EB" w:rsidRPr="00647752">
        <w:rPr>
          <w:rFonts w:ascii="Times New Roman" w:eastAsia="MS Mincho" w:hAnsi="Times New Roman" w:cs="Times New Roman"/>
          <w:sz w:val="22"/>
          <w:szCs w:val="24"/>
          <w:lang w:val="en-GB" w:eastAsia="ja-JP"/>
        </w:rPr>
        <w:t>disabled at age 19</w:t>
      </w:r>
      <w:r w:rsidR="00356356" w:rsidRPr="00647752">
        <w:rPr>
          <w:rFonts w:ascii="Times New Roman" w:eastAsia="MS Mincho" w:hAnsi="Times New Roman" w:cs="Times New Roman"/>
          <w:sz w:val="22"/>
          <w:szCs w:val="24"/>
          <w:lang w:val="en-GB" w:eastAsia="ja-JP"/>
        </w:rPr>
        <w:t>. This individual had lacked necessary medical documentation to file a claim for compensation and was completely unaware of where to obtain legal assistanc</w:t>
      </w:r>
      <w:r>
        <w:rPr>
          <w:rFonts w:ascii="Times New Roman" w:eastAsia="MS Mincho" w:hAnsi="Times New Roman" w:cs="Times New Roman"/>
          <w:sz w:val="22"/>
          <w:szCs w:val="24"/>
          <w:lang w:val="en-GB" w:eastAsia="ja-JP"/>
        </w:rPr>
        <w:t>e. The Israeli courts impose a two</w:t>
      </w:r>
      <w:r w:rsidR="00356356" w:rsidRPr="00647752">
        <w:rPr>
          <w:rFonts w:ascii="Times New Roman" w:eastAsia="MS Mincho" w:hAnsi="Times New Roman" w:cs="Times New Roman"/>
          <w:sz w:val="22"/>
          <w:szCs w:val="24"/>
          <w:lang w:val="en-GB" w:eastAsia="ja-JP"/>
        </w:rPr>
        <w:t>-year statute of limitations on such cases; but yet, there are many such</w:t>
      </w:r>
      <w:r>
        <w:rPr>
          <w:rFonts w:ascii="Times New Roman" w:eastAsia="MS Mincho" w:hAnsi="Times New Roman" w:cs="Times New Roman"/>
          <w:sz w:val="22"/>
          <w:szCs w:val="24"/>
          <w:lang w:val="en-GB" w:eastAsia="ja-JP"/>
        </w:rPr>
        <w:t xml:space="preserve"> victims who did not file the claims as</w:t>
      </w:r>
      <w:r w:rsidR="00356356" w:rsidRPr="00647752">
        <w:rPr>
          <w:rFonts w:ascii="Times New Roman" w:eastAsia="MS Mincho" w:hAnsi="Times New Roman" w:cs="Times New Roman"/>
          <w:sz w:val="22"/>
          <w:szCs w:val="24"/>
          <w:lang w:val="en-GB" w:eastAsia="ja-JP"/>
        </w:rPr>
        <w:t xml:space="preserve"> filing fees are extensive (i.e. the higher the demand of the complaint, the </w:t>
      </w:r>
      <w:r>
        <w:rPr>
          <w:rFonts w:ascii="Times New Roman" w:eastAsia="MS Mincho" w:hAnsi="Times New Roman" w:cs="Times New Roman"/>
          <w:sz w:val="22"/>
          <w:szCs w:val="24"/>
          <w:lang w:val="en-GB" w:eastAsia="ja-JP"/>
        </w:rPr>
        <w:t>higher the fees imposed by the c</w:t>
      </w:r>
      <w:r w:rsidR="00356356" w:rsidRPr="00647752">
        <w:rPr>
          <w:rFonts w:ascii="Times New Roman" w:eastAsia="MS Mincho" w:hAnsi="Times New Roman" w:cs="Times New Roman"/>
          <w:sz w:val="22"/>
          <w:szCs w:val="24"/>
          <w:lang w:val="en-GB" w:eastAsia="ja-JP"/>
        </w:rPr>
        <w:t>ourt</w:t>
      </w:r>
      <w:r>
        <w:rPr>
          <w:rFonts w:ascii="Times New Roman" w:eastAsia="MS Mincho" w:hAnsi="Times New Roman" w:cs="Times New Roman"/>
          <w:sz w:val="22"/>
          <w:szCs w:val="24"/>
          <w:lang w:val="en-GB" w:eastAsia="ja-JP"/>
        </w:rPr>
        <w:t>)</w:t>
      </w:r>
      <w:r w:rsidR="00356356" w:rsidRPr="00647752">
        <w:rPr>
          <w:rFonts w:ascii="Times New Roman" w:eastAsia="MS Mincho" w:hAnsi="Times New Roman" w:cs="Times New Roman"/>
          <w:sz w:val="22"/>
          <w:szCs w:val="24"/>
          <w:lang w:val="en-GB" w:eastAsia="ja-JP"/>
        </w:rPr>
        <w:t xml:space="preserve">. </w:t>
      </w:r>
    </w:p>
    <w:p w:rsidR="001A5294" w:rsidRDefault="001A5294" w:rsidP="00FB6759">
      <w:pPr>
        <w:spacing w:after="0" w:line="240" w:lineRule="auto"/>
        <w:jc w:val="both"/>
        <w:rPr>
          <w:rFonts w:ascii="Times New Roman" w:eastAsia="MS Mincho" w:hAnsi="Times New Roman" w:cs="Times New Roman"/>
          <w:sz w:val="22"/>
          <w:szCs w:val="24"/>
          <w:lang w:val="en-GB" w:eastAsia="ja-JP"/>
        </w:rPr>
      </w:pPr>
    </w:p>
    <w:p w:rsidR="00356356" w:rsidRPr="00647752" w:rsidRDefault="00356356" w:rsidP="00FB6759">
      <w:pPr>
        <w:spacing w:after="0" w:line="240" w:lineRule="auto"/>
        <w:jc w:val="both"/>
        <w:rPr>
          <w:rFonts w:ascii="Times New Roman" w:eastAsia="MS Mincho" w:hAnsi="Times New Roman" w:cs="Times New Roman"/>
          <w:sz w:val="22"/>
          <w:szCs w:val="24"/>
          <w:lang w:val="en-GB" w:eastAsia="ja-JP"/>
        </w:rPr>
      </w:pPr>
      <w:r w:rsidRPr="00647752">
        <w:rPr>
          <w:rFonts w:ascii="Times New Roman" w:eastAsia="MS Mincho" w:hAnsi="Times New Roman" w:cs="Times New Roman"/>
          <w:sz w:val="22"/>
          <w:szCs w:val="24"/>
          <w:lang w:val="en-GB" w:eastAsia="ja-JP"/>
        </w:rPr>
        <w:t xml:space="preserve">Going forward, </w:t>
      </w:r>
      <w:r w:rsidR="00E3279C" w:rsidRPr="00647752">
        <w:rPr>
          <w:rFonts w:ascii="Times New Roman" w:eastAsia="MS Mincho" w:hAnsi="Times New Roman" w:cs="Times New Roman"/>
          <w:sz w:val="22"/>
          <w:szCs w:val="24"/>
          <w:lang w:val="en-GB" w:eastAsia="ja-JP"/>
        </w:rPr>
        <w:t xml:space="preserve">UNDP might wish to strengthen its support of victims of </w:t>
      </w:r>
      <w:r w:rsidR="001A5294">
        <w:rPr>
          <w:rFonts w:ascii="Times New Roman" w:eastAsia="MS Mincho" w:hAnsi="Times New Roman" w:cs="Times New Roman"/>
          <w:sz w:val="22"/>
          <w:szCs w:val="24"/>
          <w:lang w:val="en-GB" w:eastAsia="ja-JP"/>
        </w:rPr>
        <w:t>“</w:t>
      </w:r>
      <w:r w:rsidR="00E3279C" w:rsidRPr="00647752">
        <w:rPr>
          <w:rFonts w:ascii="Times New Roman" w:eastAsia="MS Mincho" w:hAnsi="Times New Roman" w:cs="Times New Roman"/>
          <w:sz w:val="22"/>
          <w:szCs w:val="24"/>
          <w:lang w:val="en-GB" w:eastAsia="ja-JP"/>
        </w:rPr>
        <w:t>Operation Cast Lead</w:t>
      </w:r>
      <w:r w:rsidR="001A5294">
        <w:rPr>
          <w:rFonts w:ascii="Times New Roman" w:eastAsia="MS Mincho" w:hAnsi="Times New Roman" w:cs="Times New Roman"/>
          <w:sz w:val="22"/>
          <w:szCs w:val="24"/>
          <w:lang w:val="en-GB" w:eastAsia="ja-JP"/>
        </w:rPr>
        <w:t xml:space="preserve">” </w:t>
      </w:r>
      <w:r w:rsidRPr="00647752">
        <w:rPr>
          <w:rFonts w:ascii="Times New Roman" w:eastAsia="MS Mincho" w:hAnsi="Times New Roman" w:cs="Times New Roman"/>
          <w:sz w:val="22"/>
          <w:szCs w:val="24"/>
          <w:lang w:val="en-GB" w:eastAsia="ja-JP"/>
        </w:rPr>
        <w:t>in terms of claiming rights and compensation for their injuries, notwithstanding the two-year statute of limitations</w:t>
      </w:r>
      <w:r w:rsidR="00E3279C" w:rsidRPr="00647752">
        <w:rPr>
          <w:rFonts w:ascii="Times New Roman" w:eastAsia="MS Mincho" w:hAnsi="Times New Roman" w:cs="Times New Roman"/>
          <w:sz w:val="22"/>
          <w:szCs w:val="24"/>
          <w:lang w:val="en-GB" w:eastAsia="ja-JP"/>
        </w:rPr>
        <w:t xml:space="preserve"> imposed b</w:t>
      </w:r>
      <w:r w:rsidR="001A5294">
        <w:rPr>
          <w:rFonts w:ascii="Times New Roman" w:eastAsia="MS Mincho" w:hAnsi="Times New Roman" w:cs="Times New Roman"/>
          <w:sz w:val="22"/>
          <w:szCs w:val="24"/>
          <w:lang w:val="en-GB" w:eastAsia="ja-JP"/>
        </w:rPr>
        <w:t xml:space="preserve">y Israeli courts. </w:t>
      </w:r>
      <w:r w:rsidR="00E3279C" w:rsidRPr="00647752">
        <w:rPr>
          <w:rFonts w:ascii="Times New Roman" w:eastAsia="MS Mincho" w:hAnsi="Times New Roman" w:cs="Times New Roman"/>
          <w:sz w:val="22"/>
          <w:szCs w:val="24"/>
          <w:lang w:val="en-GB" w:eastAsia="ja-JP"/>
        </w:rPr>
        <w:t>The reality is, however, that the Israeli courts have imposed so many other barriers as to make progress in this area extremely difficult</w:t>
      </w:r>
      <w:r w:rsidRPr="00647752">
        <w:rPr>
          <w:rFonts w:ascii="Times New Roman" w:eastAsia="MS Mincho" w:hAnsi="Times New Roman" w:cs="Times New Roman"/>
          <w:sz w:val="22"/>
          <w:szCs w:val="24"/>
          <w:lang w:val="en-GB" w:eastAsia="ja-JP"/>
        </w:rPr>
        <w:t>.</w:t>
      </w:r>
    </w:p>
    <w:p w:rsidR="00E82763" w:rsidRPr="00647752" w:rsidRDefault="00E82763" w:rsidP="00FB6759">
      <w:pPr>
        <w:spacing w:after="0" w:line="240" w:lineRule="auto"/>
        <w:jc w:val="both"/>
        <w:rPr>
          <w:rFonts w:ascii="Times New Roman" w:hAnsi="Times New Roman" w:cs="Times New Roman"/>
          <w:i/>
          <w:sz w:val="22"/>
          <w:szCs w:val="22"/>
          <w:lang w:val="en-GB"/>
        </w:rPr>
      </w:pPr>
    </w:p>
    <w:p w:rsidR="00CE0DDA" w:rsidRPr="00647752" w:rsidRDefault="007A4A64" w:rsidP="00FB6759">
      <w:pPr>
        <w:spacing w:after="0" w:line="240" w:lineRule="auto"/>
        <w:jc w:val="both"/>
        <w:rPr>
          <w:rFonts w:ascii="Times New Roman" w:hAnsi="Times New Roman" w:cs="Times New Roman"/>
          <w:i/>
          <w:sz w:val="22"/>
          <w:szCs w:val="22"/>
          <w:lang w:val="en-GB"/>
        </w:rPr>
      </w:pPr>
      <w:r w:rsidRPr="00647752">
        <w:rPr>
          <w:rFonts w:ascii="Times New Roman" w:hAnsi="Times New Roman" w:cs="Times New Roman"/>
          <w:i/>
          <w:sz w:val="22"/>
          <w:szCs w:val="22"/>
          <w:lang w:val="en-GB"/>
        </w:rPr>
        <w:t>Capacity of the PBA</w:t>
      </w:r>
      <w:r w:rsidR="00242741" w:rsidRPr="00647752">
        <w:rPr>
          <w:rFonts w:ascii="Times New Roman" w:hAnsi="Times New Roman" w:cs="Times New Roman"/>
          <w:i/>
          <w:sz w:val="22"/>
          <w:szCs w:val="22"/>
          <w:lang w:val="en-GB"/>
        </w:rPr>
        <w:t>, lawyers and community leaders in Gaza</w:t>
      </w:r>
    </w:p>
    <w:p w:rsidR="00AB6D72" w:rsidRDefault="00AB6D72" w:rsidP="00FB6759">
      <w:pPr>
        <w:spacing w:after="0" w:line="240" w:lineRule="auto"/>
        <w:rPr>
          <w:rFonts w:ascii="Times New Roman" w:eastAsia="MS Mincho" w:hAnsi="Times New Roman" w:cs="Times New Roman"/>
          <w:b/>
          <w:i/>
          <w:sz w:val="22"/>
          <w:szCs w:val="24"/>
          <w:lang w:val="en-GB" w:eastAsia="ja-JP"/>
        </w:rPr>
      </w:pPr>
    </w:p>
    <w:p w:rsidR="00BE76CD" w:rsidRPr="00647752" w:rsidRDefault="00BE76CD" w:rsidP="00FB6759">
      <w:pPr>
        <w:spacing w:after="0" w:line="240" w:lineRule="auto"/>
        <w:jc w:val="both"/>
        <w:rPr>
          <w:rFonts w:ascii="Times New Roman" w:eastAsia="MS Mincho" w:hAnsi="Times New Roman" w:cs="Times New Roman"/>
          <w:sz w:val="22"/>
          <w:szCs w:val="24"/>
          <w:lang w:val="en-GB" w:eastAsia="ja-JP"/>
        </w:rPr>
      </w:pPr>
      <w:r w:rsidRPr="00647752">
        <w:rPr>
          <w:rFonts w:ascii="Times New Roman" w:eastAsia="MS Mincho" w:hAnsi="Times New Roman" w:cs="Times New Roman"/>
          <w:sz w:val="22"/>
          <w:szCs w:val="24"/>
          <w:lang w:val="en-GB" w:eastAsia="ja-JP"/>
        </w:rPr>
        <w:t>UNDP in Gaza has been highly successful in launching a strategic partnership with</w:t>
      </w:r>
      <w:r w:rsidR="00FE500F">
        <w:rPr>
          <w:rFonts w:ascii="Times New Roman" w:eastAsia="MS Mincho" w:hAnsi="Times New Roman" w:cs="Times New Roman"/>
          <w:sz w:val="22"/>
          <w:szCs w:val="24"/>
          <w:lang w:val="en-GB" w:eastAsia="ja-JP"/>
        </w:rPr>
        <w:t xml:space="preserve"> the PBA</w:t>
      </w:r>
      <w:r w:rsidRPr="00647752">
        <w:rPr>
          <w:rFonts w:ascii="Times New Roman" w:eastAsia="MS Mincho" w:hAnsi="Times New Roman" w:cs="Times New Roman"/>
          <w:sz w:val="22"/>
          <w:szCs w:val="24"/>
          <w:lang w:val="en-GB" w:eastAsia="ja-JP"/>
        </w:rPr>
        <w:t>.</w:t>
      </w:r>
      <w:r w:rsidR="00236473" w:rsidRPr="00647752">
        <w:rPr>
          <w:rStyle w:val="FootnoteReference"/>
          <w:rFonts w:ascii="Times New Roman" w:eastAsia="MS Mincho" w:hAnsi="Times New Roman" w:cs="Times New Roman"/>
          <w:sz w:val="22"/>
          <w:szCs w:val="24"/>
          <w:lang w:val="en-GB" w:eastAsia="ja-JP"/>
        </w:rPr>
        <w:footnoteReference w:id="186"/>
      </w:r>
      <w:r w:rsidR="00FE500F">
        <w:rPr>
          <w:rFonts w:ascii="Times New Roman" w:eastAsia="MS Mincho" w:hAnsi="Times New Roman" w:cs="Times New Roman"/>
          <w:sz w:val="22"/>
          <w:szCs w:val="24"/>
          <w:lang w:val="en-GB" w:eastAsia="ja-JP"/>
        </w:rPr>
        <w:t xml:space="preserve"> The</w:t>
      </w:r>
      <w:r w:rsidR="007174C1" w:rsidRPr="00647752">
        <w:rPr>
          <w:rFonts w:ascii="Times New Roman" w:eastAsia="MS Mincho" w:hAnsi="Times New Roman" w:cs="Times New Roman"/>
          <w:sz w:val="22"/>
          <w:szCs w:val="24"/>
          <w:lang w:val="en-GB" w:eastAsia="ja-JP"/>
        </w:rPr>
        <w:t xml:space="preserve"> UNDP supported project at the PBA is entitled “Lawyers for the Rul</w:t>
      </w:r>
      <w:r w:rsidR="00FE500F">
        <w:rPr>
          <w:rFonts w:ascii="Times New Roman" w:eastAsia="MS Mincho" w:hAnsi="Times New Roman" w:cs="Times New Roman"/>
          <w:sz w:val="22"/>
          <w:szCs w:val="24"/>
          <w:lang w:val="en-GB" w:eastAsia="ja-JP"/>
        </w:rPr>
        <w:t>e of Law”. It has four tracks: 1) legal clinic; 2</w:t>
      </w:r>
      <w:r w:rsidR="007174C1" w:rsidRPr="00647752">
        <w:rPr>
          <w:rFonts w:ascii="Times New Roman" w:eastAsia="MS Mincho" w:hAnsi="Times New Roman" w:cs="Times New Roman"/>
          <w:sz w:val="22"/>
          <w:szCs w:val="24"/>
          <w:lang w:val="en-GB" w:eastAsia="ja-JP"/>
        </w:rPr>
        <w:t>) suppo</w:t>
      </w:r>
      <w:r w:rsidR="00FE500F">
        <w:rPr>
          <w:rFonts w:ascii="Times New Roman" w:eastAsia="MS Mincho" w:hAnsi="Times New Roman" w:cs="Times New Roman"/>
          <w:sz w:val="22"/>
          <w:szCs w:val="24"/>
          <w:lang w:val="en-GB" w:eastAsia="ja-JP"/>
        </w:rPr>
        <w:t>rting mediation; 3) institutionalisation of the PBA</w:t>
      </w:r>
      <w:r w:rsidR="00356356" w:rsidRPr="00647752">
        <w:rPr>
          <w:rFonts w:ascii="Times New Roman" w:eastAsia="MS Mincho" w:hAnsi="Times New Roman" w:cs="Times New Roman"/>
          <w:sz w:val="22"/>
          <w:szCs w:val="24"/>
          <w:lang w:val="en-GB" w:eastAsia="ja-JP"/>
        </w:rPr>
        <w:t>; and</w:t>
      </w:r>
      <w:r w:rsidR="00FE500F">
        <w:rPr>
          <w:rFonts w:ascii="Times New Roman" w:eastAsia="MS Mincho" w:hAnsi="Times New Roman" w:cs="Times New Roman"/>
          <w:sz w:val="22"/>
          <w:szCs w:val="24"/>
          <w:lang w:val="en-GB" w:eastAsia="ja-JP"/>
        </w:rPr>
        <w:t xml:space="preserve"> 4</w:t>
      </w:r>
      <w:r w:rsidR="007174C1" w:rsidRPr="00647752">
        <w:rPr>
          <w:rFonts w:ascii="Times New Roman" w:eastAsia="MS Mincho" w:hAnsi="Times New Roman" w:cs="Times New Roman"/>
          <w:sz w:val="22"/>
          <w:szCs w:val="24"/>
          <w:lang w:val="en-GB" w:eastAsia="ja-JP"/>
        </w:rPr>
        <w:t xml:space="preserve">) making a strategic plan for the training of new lawyers. </w:t>
      </w:r>
      <w:r w:rsidR="00FE500F">
        <w:rPr>
          <w:rFonts w:ascii="Times New Roman" w:eastAsia="MS Mincho" w:hAnsi="Times New Roman" w:cs="Times New Roman"/>
          <w:sz w:val="22"/>
          <w:szCs w:val="24"/>
          <w:lang w:val="en-GB" w:eastAsia="ja-JP"/>
        </w:rPr>
        <w:t xml:space="preserve">UNDP has assisted the PBA </w:t>
      </w:r>
      <w:r w:rsidR="009D3498" w:rsidRPr="00647752">
        <w:rPr>
          <w:rFonts w:ascii="Times New Roman" w:eastAsia="MS Mincho" w:hAnsi="Times New Roman" w:cs="Times New Roman"/>
          <w:sz w:val="22"/>
          <w:szCs w:val="24"/>
          <w:lang w:val="en-GB" w:eastAsia="ja-JP"/>
        </w:rPr>
        <w:t xml:space="preserve">to develop </w:t>
      </w:r>
      <w:r w:rsidR="00DE5DBA" w:rsidRPr="00647752">
        <w:rPr>
          <w:rFonts w:ascii="Times New Roman" w:eastAsia="MS Mincho" w:hAnsi="Times New Roman" w:cs="Times New Roman"/>
          <w:sz w:val="22"/>
          <w:szCs w:val="24"/>
          <w:lang w:val="en-GB" w:eastAsia="ja-JP"/>
        </w:rPr>
        <w:t xml:space="preserve">its professional standards, as well as supported </w:t>
      </w:r>
      <w:r w:rsidRPr="00647752">
        <w:rPr>
          <w:rFonts w:ascii="Times New Roman" w:eastAsia="MS Mincho" w:hAnsi="Times New Roman" w:cs="Times New Roman"/>
          <w:sz w:val="22"/>
          <w:szCs w:val="24"/>
          <w:lang w:val="en-GB" w:eastAsia="ja-JP"/>
        </w:rPr>
        <w:t>training</w:t>
      </w:r>
      <w:r w:rsidR="00DE5DBA" w:rsidRPr="00647752">
        <w:rPr>
          <w:rFonts w:ascii="Times New Roman" w:eastAsia="MS Mincho" w:hAnsi="Times New Roman" w:cs="Times New Roman"/>
          <w:sz w:val="22"/>
          <w:szCs w:val="24"/>
          <w:lang w:val="en-GB" w:eastAsia="ja-JP"/>
        </w:rPr>
        <w:t>s for</w:t>
      </w:r>
      <w:r w:rsidRPr="00647752">
        <w:rPr>
          <w:rFonts w:ascii="Times New Roman" w:eastAsia="MS Mincho" w:hAnsi="Times New Roman" w:cs="Times New Roman"/>
          <w:sz w:val="22"/>
          <w:szCs w:val="24"/>
          <w:lang w:val="en-GB" w:eastAsia="ja-JP"/>
        </w:rPr>
        <w:t xml:space="preserve"> new lawyers. </w:t>
      </w:r>
      <w:r w:rsidR="00DE5DBA" w:rsidRPr="00647752">
        <w:rPr>
          <w:rFonts w:ascii="Times New Roman" w:eastAsia="MS Mincho" w:hAnsi="Times New Roman" w:cs="Times New Roman"/>
          <w:sz w:val="22"/>
          <w:szCs w:val="24"/>
          <w:lang w:val="en-GB" w:eastAsia="ja-JP"/>
        </w:rPr>
        <w:t>In addition, UNDP has provided strategic advice and assistance to the PBA to build its capacity to engage</w:t>
      </w:r>
      <w:r w:rsidRPr="00647752">
        <w:rPr>
          <w:rFonts w:ascii="Times New Roman" w:eastAsia="MS Mincho" w:hAnsi="Times New Roman" w:cs="Times New Roman"/>
          <w:sz w:val="22"/>
          <w:szCs w:val="24"/>
          <w:lang w:val="en-GB" w:eastAsia="ja-JP"/>
        </w:rPr>
        <w:t xml:space="preserve"> with </w:t>
      </w:r>
      <w:r w:rsidR="00DE5DBA" w:rsidRPr="00647752">
        <w:rPr>
          <w:rFonts w:ascii="Times New Roman" w:eastAsia="MS Mincho" w:hAnsi="Times New Roman" w:cs="Times New Roman"/>
          <w:sz w:val="22"/>
          <w:szCs w:val="24"/>
          <w:lang w:val="en-GB" w:eastAsia="ja-JP"/>
        </w:rPr>
        <w:t xml:space="preserve">its </w:t>
      </w:r>
      <w:r w:rsidR="00A04DE9" w:rsidRPr="00647752">
        <w:rPr>
          <w:rFonts w:ascii="Times New Roman" w:eastAsia="MS Mincho" w:hAnsi="Times New Roman" w:cs="Times New Roman"/>
          <w:sz w:val="22"/>
          <w:szCs w:val="24"/>
          <w:lang w:val="en-GB" w:eastAsia="ja-JP"/>
        </w:rPr>
        <w:t xml:space="preserve">community, to support clinical legal education </w:t>
      </w:r>
      <w:r w:rsidR="00DE5DBA" w:rsidRPr="00647752">
        <w:rPr>
          <w:rFonts w:ascii="Times New Roman" w:eastAsia="MS Mincho" w:hAnsi="Times New Roman" w:cs="Times New Roman"/>
          <w:sz w:val="22"/>
          <w:szCs w:val="24"/>
          <w:lang w:val="en-GB" w:eastAsia="ja-JP"/>
        </w:rPr>
        <w:t>and render legal assistance to</w:t>
      </w:r>
      <w:r w:rsidRPr="00647752">
        <w:rPr>
          <w:rFonts w:ascii="Times New Roman" w:eastAsia="MS Mincho" w:hAnsi="Times New Roman" w:cs="Times New Roman"/>
          <w:sz w:val="22"/>
          <w:szCs w:val="24"/>
          <w:lang w:val="en-GB" w:eastAsia="ja-JP"/>
        </w:rPr>
        <w:t xml:space="preserve"> vulnerable and deprived people by helping them to </w:t>
      </w:r>
      <w:r w:rsidR="00A04DE9" w:rsidRPr="00647752">
        <w:rPr>
          <w:rFonts w:ascii="Times New Roman" w:eastAsia="MS Mincho" w:hAnsi="Times New Roman" w:cs="Times New Roman"/>
          <w:sz w:val="22"/>
          <w:szCs w:val="24"/>
          <w:lang w:val="en-GB" w:eastAsia="ja-JP"/>
        </w:rPr>
        <w:t>a</w:t>
      </w:r>
      <w:r w:rsidRPr="00647752">
        <w:rPr>
          <w:rFonts w:ascii="Times New Roman" w:eastAsia="MS Mincho" w:hAnsi="Times New Roman" w:cs="Times New Roman"/>
          <w:sz w:val="22"/>
          <w:szCs w:val="24"/>
          <w:lang w:val="en-GB" w:eastAsia="ja-JP"/>
        </w:rPr>
        <w:t xml:space="preserve">ccess </w:t>
      </w:r>
      <w:r w:rsidR="00A04DE9" w:rsidRPr="00647752">
        <w:rPr>
          <w:rFonts w:ascii="Times New Roman" w:eastAsia="MS Mincho" w:hAnsi="Times New Roman" w:cs="Times New Roman"/>
          <w:sz w:val="22"/>
          <w:szCs w:val="24"/>
          <w:lang w:val="en-GB" w:eastAsia="ja-JP"/>
        </w:rPr>
        <w:t>j</w:t>
      </w:r>
      <w:r w:rsidRPr="00647752">
        <w:rPr>
          <w:rFonts w:ascii="Times New Roman" w:eastAsia="MS Mincho" w:hAnsi="Times New Roman" w:cs="Times New Roman"/>
          <w:sz w:val="22"/>
          <w:szCs w:val="24"/>
          <w:lang w:val="en-GB" w:eastAsia="ja-JP"/>
        </w:rPr>
        <w:t xml:space="preserve">ustice. </w:t>
      </w:r>
      <w:r w:rsidR="00A04DE9" w:rsidRPr="00647752">
        <w:rPr>
          <w:rFonts w:ascii="Times New Roman" w:eastAsia="MS Mincho" w:hAnsi="Times New Roman" w:cs="Times New Roman"/>
          <w:sz w:val="22"/>
          <w:szCs w:val="24"/>
          <w:lang w:val="en-GB" w:eastAsia="ja-JP"/>
        </w:rPr>
        <w:t xml:space="preserve">The PBA’s </w:t>
      </w:r>
      <w:r w:rsidR="00D15F5C" w:rsidRPr="00647752">
        <w:rPr>
          <w:rFonts w:ascii="Times New Roman" w:eastAsia="MS Mincho" w:hAnsi="Times New Roman" w:cs="Times New Roman"/>
          <w:sz w:val="22"/>
          <w:szCs w:val="24"/>
          <w:lang w:val="en-GB" w:eastAsia="ja-JP"/>
        </w:rPr>
        <w:t>abilities to communicat</w:t>
      </w:r>
      <w:r w:rsidR="00FE500F">
        <w:rPr>
          <w:rFonts w:ascii="Times New Roman" w:eastAsia="MS Mincho" w:hAnsi="Times New Roman" w:cs="Times New Roman"/>
          <w:sz w:val="22"/>
          <w:szCs w:val="24"/>
          <w:lang w:val="en-GB" w:eastAsia="ja-JP"/>
        </w:rPr>
        <w:t xml:space="preserve">e internationally with the </w:t>
      </w:r>
      <w:r w:rsidR="00D15F5C" w:rsidRPr="00647752">
        <w:rPr>
          <w:rFonts w:ascii="Times New Roman" w:eastAsia="MS Mincho" w:hAnsi="Times New Roman" w:cs="Times New Roman"/>
          <w:sz w:val="22"/>
          <w:szCs w:val="24"/>
          <w:lang w:val="en-GB" w:eastAsia="ja-JP"/>
        </w:rPr>
        <w:t xml:space="preserve">Union of </w:t>
      </w:r>
      <w:r w:rsidR="00FE500F">
        <w:rPr>
          <w:rFonts w:ascii="Times New Roman" w:eastAsia="MS Mincho" w:hAnsi="Times New Roman" w:cs="Times New Roman"/>
          <w:sz w:val="22"/>
          <w:szCs w:val="24"/>
          <w:lang w:val="en-GB" w:eastAsia="ja-JP"/>
        </w:rPr>
        <w:t xml:space="preserve">Arab </w:t>
      </w:r>
      <w:r w:rsidR="00D15F5C" w:rsidRPr="00647752">
        <w:rPr>
          <w:rFonts w:ascii="Times New Roman" w:eastAsia="MS Mincho" w:hAnsi="Times New Roman" w:cs="Times New Roman"/>
          <w:sz w:val="22"/>
          <w:szCs w:val="24"/>
          <w:lang w:val="en-GB" w:eastAsia="ja-JP"/>
        </w:rPr>
        <w:t>Lawyers, the International Bar Association and the Mediterranean Union</w:t>
      </w:r>
      <w:r w:rsidR="00FE500F">
        <w:rPr>
          <w:rFonts w:ascii="Times New Roman" w:eastAsia="MS Mincho" w:hAnsi="Times New Roman" w:cs="Times New Roman"/>
          <w:sz w:val="22"/>
          <w:szCs w:val="24"/>
          <w:lang w:val="en-GB" w:eastAsia="ja-JP"/>
        </w:rPr>
        <w:t xml:space="preserve"> of Lawyers </w:t>
      </w:r>
      <w:r w:rsidR="00D15F5C" w:rsidRPr="00647752">
        <w:rPr>
          <w:rFonts w:ascii="Times New Roman" w:eastAsia="MS Mincho" w:hAnsi="Times New Roman" w:cs="Times New Roman"/>
          <w:sz w:val="22"/>
          <w:szCs w:val="24"/>
          <w:lang w:val="en-GB" w:eastAsia="ja-JP"/>
        </w:rPr>
        <w:t>have</w:t>
      </w:r>
      <w:r w:rsidR="00A04DE9" w:rsidRPr="00647752">
        <w:rPr>
          <w:rFonts w:ascii="Times New Roman" w:eastAsia="MS Mincho" w:hAnsi="Times New Roman" w:cs="Times New Roman"/>
          <w:sz w:val="22"/>
          <w:szCs w:val="24"/>
          <w:lang w:val="en-GB" w:eastAsia="ja-JP"/>
        </w:rPr>
        <w:t xml:space="preserve"> also been increased with UNDP support. </w:t>
      </w:r>
    </w:p>
    <w:p w:rsidR="00BE76CD" w:rsidRPr="00647752" w:rsidRDefault="00BE76CD" w:rsidP="00FB6759">
      <w:pPr>
        <w:spacing w:after="0" w:line="240" w:lineRule="auto"/>
        <w:jc w:val="both"/>
        <w:rPr>
          <w:rFonts w:ascii="Times New Roman" w:eastAsia="MS Mincho" w:hAnsi="Times New Roman" w:cs="Times New Roman"/>
          <w:sz w:val="22"/>
          <w:szCs w:val="24"/>
          <w:lang w:val="en-GB" w:eastAsia="ja-JP"/>
        </w:rPr>
      </w:pPr>
    </w:p>
    <w:p w:rsidR="00157B50" w:rsidRPr="00647752" w:rsidRDefault="00A04DE9" w:rsidP="00FB6759">
      <w:pPr>
        <w:spacing w:after="0" w:line="240" w:lineRule="auto"/>
        <w:jc w:val="both"/>
        <w:rPr>
          <w:rFonts w:ascii="Times New Roman" w:eastAsia="MS Mincho" w:hAnsi="Times New Roman" w:cs="Times New Roman"/>
          <w:sz w:val="22"/>
          <w:szCs w:val="24"/>
          <w:lang w:val="en-GB" w:eastAsia="ja-JP"/>
        </w:rPr>
      </w:pPr>
      <w:r w:rsidRPr="00647752">
        <w:rPr>
          <w:rFonts w:ascii="Times New Roman" w:eastAsia="MS Mincho" w:hAnsi="Times New Roman" w:cs="Times New Roman"/>
          <w:sz w:val="22"/>
          <w:szCs w:val="24"/>
          <w:lang w:val="en-GB" w:eastAsia="ja-JP"/>
        </w:rPr>
        <w:t>The</w:t>
      </w:r>
      <w:r w:rsidR="00BE76CD" w:rsidRPr="00647752">
        <w:rPr>
          <w:rFonts w:ascii="Times New Roman" w:eastAsia="MS Mincho" w:hAnsi="Times New Roman" w:cs="Times New Roman"/>
          <w:sz w:val="22"/>
          <w:szCs w:val="24"/>
          <w:lang w:val="en-GB" w:eastAsia="ja-JP"/>
        </w:rPr>
        <w:t xml:space="preserve"> most important function of the </w:t>
      </w:r>
      <w:r w:rsidRPr="00647752">
        <w:rPr>
          <w:rFonts w:ascii="Times New Roman" w:eastAsia="MS Mincho" w:hAnsi="Times New Roman" w:cs="Times New Roman"/>
          <w:sz w:val="22"/>
          <w:szCs w:val="24"/>
          <w:lang w:val="en-GB" w:eastAsia="ja-JP"/>
        </w:rPr>
        <w:t>PBA</w:t>
      </w:r>
      <w:r w:rsidR="003A1E6F" w:rsidRPr="00647752">
        <w:rPr>
          <w:rFonts w:ascii="Times New Roman" w:eastAsia="MS Mincho" w:hAnsi="Times New Roman" w:cs="Times New Roman"/>
          <w:sz w:val="22"/>
          <w:szCs w:val="24"/>
          <w:lang w:val="en-GB" w:eastAsia="ja-JP"/>
        </w:rPr>
        <w:t xml:space="preserve"> is to service its </w:t>
      </w:r>
      <w:r w:rsidR="009D3498" w:rsidRPr="00647752">
        <w:rPr>
          <w:rFonts w:ascii="Times New Roman" w:eastAsia="MS Mincho" w:hAnsi="Times New Roman" w:cs="Times New Roman"/>
          <w:sz w:val="22"/>
          <w:szCs w:val="24"/>
          <w:lang w:val="en-GB" w:eastAsia="ja-JP"/>
        </w:rPr>
        <w:t xml:space="preserve">members and </w:t>
      </w:r>
      <w:r w:rsidR="007A4437" w:rsidRPr="00647752">
        <w:rPr>
          <w:rFonts w:ascii="Times New Roman" w:eastAsia="MS Mincho" w:hAnsi="Times New Roman" w:cs="Times New Roman"/>
          <w:sz w:val="22"/>
          <w:szCs w:val="24"/>
          <w:lang w:val="en-GB" w:eastAsia="ja-JP"/>
        </w:rPr>
        <w:t>t</w:t>
      </w:r>
      <w:r w:rsidR="00FE500F">
        <w:rPr>
          <w:rFonts w:ascii="Times New Roman" w:eastAsia="MS Mincho" w:hAnsi="Times New Roman" w:cs="Times New Roman"/>
          <w:sz w:val="22"/>
          <w:szCs w:val="24"/>
          <w:lang w:val="en-GB" w:eastAsia="ja-JP"/>
        </w:rPr>
        <w:t xml:space="preserve">he public. The PBA </w:t>
      </w:r>
      <w:r w:rsidR="00BE76CD" w:rsidRPr="00647752">
        <w:rPr>
          <w:rFonts w:ascii="Times New Roman" w:eastAsia="MS Mincho" w:hAnsi="Times New Roman" w:cs="Times New Roman"/>
          <w:sz w:val="22"/>
          <w:szCs w:val="24"/>
          <w:lang w:val="en-GB" w:eastAsia="ja-JP"/>
        </w:rPr>
        <w:t xml:space="preserve">is </w:t>
      </w:r>
      <w:r w:rsidRPr="00647752">
        <w:rPr>
          <w:rFonts w:ascii="Times New Roman" w:eastAsia="MS Mincho" w:hAnsi="Times New Roman" w:cs="Times New Roman"/>
          <w:sz w:val="22"/>
          <w:szCs w:val="24"/>
          <w:lang w:val="en-GB" w:eastAsia="ja-JP"/>
        </w:rPr>
        <w:t xml:space="preserve">currently </w:t>
      </w:r>
      <w:r w:rsidR="00BE76CD" w:rsidRPr="00647752">
        <w:rPr>
          <w:rFonts w:ascii="Times New Roman" w:eastAsia="MS Mincho" w:hAnsi="Times New Roman" w:cs="Times New Roman"/>
          <w:sz w:val="22"/>
          <w:szCs w:val="24"/>
          <w:lang w:val="en-GB" w:eastAsia="ja-JP"/>
        </w:rPr>
        <w:t xml:space="preserve">providing many services to citizens (i.e. notary public, </w:t>
      </w:r>
      <w:r w:rsidRPr="00647752">
        <w:rPr>
          <w:rFonts w:ascii="Times New Roman" w:eastAsia="MS Mincho" w:hAnsi="Times New Roman" w:cs="Times New Roman"/>
          <w:sz w:val="22"/>
          <w:szCs w:val="24"/>
          <w:lang w:val="en-GB" w:eastAsia="ja-JP"/>
        </w:rPr>
        <w:t>free legal aid</w:t>
      </w:r>
      <w:r w:rsidR="00FE500F">
        <w:rPr>
          <w:rFonts w:ascii="Times New Roman" w:eastAsia="MS Mincho" w:hAnsi="Times New Roman" w:cs="Times New Roman"/>
          <w:sz w:val="22"/>
          <w:szCs w:val="24"/>
          <w:lang w:val="en-GB" w:eastAsia="ja-JP"/>
        </w:rPr>
        <w:t xml:space="preserve">, </w:t>
      </w:r>
      <w:r w:rsidR="00445445" w:rsidRPr="00647752">
        <w:rPr>
          <w:rFonts w:ascii="Times New Roman" w:eastAsia="MS Mincho" w:hAnsi="Times New Roman" w:cs="Times New Roman"/>
          <w:sz w:val="22"/>
          <w:szCs w:val="24"/>
          <w:lang w:val="en-GB" w:eastAsia="ja-JP"/>
        </w:rPr>
        <w:t>legal awareness-raising etc.).</w:t>
      </w:r>
      <w:r w:rsidR="00BE76CD" w:rsidRPr="00647752">
        <w:rPr>
          <w:rFonts w:ascii="Times New Roman" w:eastAsia="MS Mincho" w:hAnsi="Times New Roman" w:cs="Times New Roman"/>
          <w:sz w:val="22"/>
          <w:szCs w:val="24"/>
          <w:lang w:val="en-GB" w:eastAsia="ja-JP"/>
        </w:rPr>
        <w:t xml:space="preserve">The </w:t>
      </w:r>
      <w:r w:rsidR="00D15F5C" w:rsidRPr="00647752">
        <w:rPr>
          <w:rFonts w:ascii="Times New Roman" w:eastAsia="MS Mincho" w:hAnsi="Times New Roman" w:cs="Times New Roman"/>
          <w:sz w:val="22"/>
          <w:szCs w:val="24"/>
          <w:lang w:val="en-GB" w:eastAsia="ja-JP"/>
        </w:rPr>
        <w:t xml:space="preserve">UNDP </w:t>
      </w:r>
      <w:r w:rsidR="00BE76CD" w:rsidRPr="00647752">
        <w:rPr>
          <w:rFonts w:ascii="Times New Roman" w:eastAsia="MS Mincho" w:hAnsi="Times New Roman" w:cs="Times New Roman"/>
          <w:sz w:val="22"/>
          <w:szCs w:val="24"/>
          <w:lang w:val="en-GB" w:eastAsia="ja-JP"/>
        </w:rPr>
        <w:t>project commissioned an international con</w:t>
      </w:r>
      <w:r w:rsidR="00FE500F">
        <w:rPr>
          <w:rFonts w:ascii="Times New Roman" w:eastAsia="MS Mincho" w:hAnsi="Times New Roman" w:cs="Times New Roman"/>
          <w:sz w:val="22"/>
          <w:szCs w:val="24"/>
          <w:lang w:val="en-GB" w:eastAsia="ja-JP"/>
        </w:rPr>
        <w:t>sultancy firm to conduct a capacity</w:t>
      </w:r>
      <w:r w:rsidR="00BE76CD" w:rsidRPr="00647752">
        <w:rPr>
          <w:rFonts w:ascii="Times New Roman" w:eastAsia="MS Mincho" w:hAnsi="Times New Roman" w:cs="Times New Roman"/>
          <w:sz w:val="22"/>
          <w:szCs w:val="24"/>
          <w:lang w:val="en-GB" w:eastAsia="ja-JP"/>
        </w:rPr>
        <w:t xml:space="preserve"> asses</w:t>
      </w:r>
      <w:r w:rsidR="00FE500F">
        <w:rPr>
          <w:rFonts w:ascii="Times New Roman" w:eastAsia="MS Mincho" w:hAnsi="Times New Roman" w:cs="Times New Roman"/>
          <w:sz w:val="22"/>
          <w:szCs w:val="24"/>
          <w:lang w:val="en-GB" w:eastAsia="ja-JP"/>
        </w:rPr>
        <w:t>sment of the PBA</w:t>
      </w:r>
      <w:r w:rsidR="00D15F5C" w:rsidRPr="00647752">
        <w:rPr>
          <w:rFonts w:ascii="Times New Roman" w:eastAsia="MS Mincho" w:hAnsi="Times New Roman" w:cs="Times New Roman"/>
          <w:sz w:val="22"/>
          <w:szCs w:val="24"/>
          <w:lang w:val="en-GB" w:eastAsia="ja-JP"/>
        </w:rPr>
        <w:t xml:space="preserve">. Thereafter, UNDP </w:t>
      </w:r>
      <w:r w:rsidR="00BE76CD" w:rsidRPr="00647752">
        <w:rPr>
          <w:rFonts w:ascii="Times New Roman" w:eastAsia="MS Mincho" w:hAnsi="Times New Roman" w:cs="Times New Roman"/>
          <w:sz w:val="22"/>
          <w:szCs w:val="24"/>
          <w:lang w:val="en-GB" w:eastAsia="ja-JP"/>
        </w:rPr>
        <w:t>delivered computers, scanners, flat screen tele</w:t>
      </w:r>
      <w:r w:rsidR="00D15F5C" w:rsidRPr="00647752">
        <w:rPr>
          <w:rFonts w:ascii="Times New Roman" w:eastAsia="MS Mincho" w:hAnsi="Times New Roman" w:cs="Times New Roman"/>
          <w:sz w:val="22"/>
          <w:szCs w:val="24"/>
          <w:lang w:val="en-GB" w:eastAsia="ja-JP"/>
        </w:rPr>
        <w:t xml:space="preserve">visions and video conferencing, information technology </w:t>
      </w:r>
      <w:r w:rsidR="00BE76CD" w:rsidRPr="00647752">
        <w:rPr>
          <w:rFonts w:ascii="Times New Roman" w:eastAsia="MS Mincho" w:hAnsi="Times New Roman" w:cs="Times New Roman"/>
          <w:sz w:val="22"/>
          <w:szCs w:val="24"/>
          <w:lang w:val="en-GB" w:eastAsia="ja-JP"/>
        </w:rPr>
        <w:t>traini</w:t>
      </w:r>
      <w:r w:rsidR="00D15F5C" w:rsidRPr="00647752">
        <w:rPr>
          <w:rFonts w:ascii="Times New Roman" w:eastAsia="MS Mincho" w:hAnsi="Times New Roman" w:cs="Times New Roman"/>
          <w:sz w:val="22"/>
          <w:szCs w:val="24"/>
          <w:lang w:val="en-GB" w:eastAsia="ja-JP"/>
        </w:rPr>
        <w:t>ng co</w:t>
      </w:r>
      <w:r w:rsidR="00FE500F">
        <w:rPr>
          <w:rFonts w:ascii="Times New Roman" w:eastAsia="MS Mincho" w:hAnsi="Times New Roman" w:cs="Times New Roman"/>
          <w:sz w:val="22"/>
          <w:szCs w:val="24"/>
          <w:lang w:val="en-GB" w:eastAsia="ja-JP"/>
        </w:rPr>
        <w:t xml:space="preserve">urses, archiving and software. </w:t>
      </w:r>
      <w:r w:rsidR="00BE76CD" w:rsidRPr="00647752">
        <w:rPr>
          <w:rFonts w:ascii="Times New Roman" w:eastAsia="MS Mincho" w:hAnsi="Times New Roman" w:cs="Times New Roman"/>
          <w:sz w:val="22"/>
          <w:szCs w:val="24"/>
          <w:lang w:val="en-GB" w:eastAsia="ja-JP"/>
        </w:rPr>
        <w:t>This has greatly</w:t>
      </w:r>
      <w:r w:rsidR="00FE500F">
        <w:rPr>
          <w:rFonts w:ascii="Times New Roman" w:eastAsia="MS Mincho" w:hAnsi="Times New Roman" w:cs="Times New Roman"/>
          <w:sz w:val="22"/>
          <w:szCs w:val="24"/>
          <w:lang w:val="en-GB" w:eastAsia="ja-JP"/>
        </w:rPr>
        <w:t xml:space="preserve"> improved the work of the bar</w:t>
      </w:r>
      <w:r w:rsidR="00BE76CD" w:rsidRPr="00647752">
        <w:rPr>
          <w:rFonts w:ascii="Times New Roman" w:eastAsia="MS Mincho" w:hAnsi="Times New Roman" w:cs="Times New Roman"/>
          <w:sz w:val="22"/>
          <w:szCs w:val="24"/>
          <w:lang w:val="en-GB" w:eastAsia="ja-JP"/>
        </w:rPr>
        <w:t xml:space="preserve">. </w:t>
      </w:r>
      <w:r w:rsidR="00D15F5C" w:rsidRPr="00647752">
        <w:rPr>
          <w:rFonts w:ascii="Times New Roman" w:eastAsia="MS Mincho" w:hAnsi="Times New Roman" w:cs="Times New Roman"/>
          <w:sz w:val="22"/>
          <w:szCs w:val="24"/>
          <w:lang w:val="en-GB" w:eastAsia="ja-JP"/>
        </w:rPr>
        <w:t xml:space="preserve">According to the PBA, </w:t>
      </w:r>
      <w:r w:rsidR="00BE76CD" w:rsidRPr="00647752">
        <w:rPr>
          <w:rFonts w:ascii="Times New Roman" w:eastAsia="MS Mincho" w:hAnsi="Times New Roman" w:cs="Times New Roman"/>
          <w:sz w:val="22"/>
          <w:szCs w:val="24"/>
          <w:lang w:val="en-GB" w:eastAsia="ja-JP"/>
        </w:rPr>
        <w:t>previously</w:t>
      </w:r>
      <w:r w:rsidR="00D15F5C" w:rsidRPr="00647752">
        <w:rPr>
          <w:rFonts w:ascii="Times New Roman" w:eastAsia="MS Mincho" w:hAnsi="Times New Roman" w:cs="Times New Roman"/>
          <w:sz w:val="22"/>
          <w:szCs w:val="24"/>
          <w:lang w:val="en-GB" w:eastAsia="ja-JP"/>
        </w:rPr>
        <w:t xml:space="preserve"> its</w:t>
      </w:r>
      <w:r w:rsidR="00BE76CD" w:rsidRPr="00647752">
        <w:rPr>
          <w:rFonts w:ascii="Times New Roman" w:eastAsia="MS Mincho" w:hAnsi="Times New Roman" w:cs="Times New Roman"/>
          <w:sz w:val="22"/>
          <w:szCs w:val="24"/>
          <w:lang w:val="en-GB" w:eastAsia="ja-JP"/>
        </w:rPr>
        <w:t xml:space="preserve"> procedures were very basic</w:t>
      </w:r>
      <w:r w:rsidR="00D15F5C" w:rsidRPr="00647752">
        <w:rPr>
          <w:rFonts w:ascii="Times New Roman" w:eastAsia="MS Mincho" w:hAnsi="Times New Roman" w:cs="Times New Roman"/>
          <w:sz w:val="22"/>
          <w:szCs w:val="24"/>
          <w:lang w:val="en-GB" w:eastAsia="ja-JP"/>
        </w:rPr>
        <w:t xml:space="preserve"> and UNDP support represents a “</w:t>
      </w:r>
      <w:r w:rsidR="00BE76CD" w:rsidRPr="00647752">
        <w:rPr>
          <w:rFonts w:ascii="Times New Roman" w:eastAsia="MS Mincho" w:hAnsi="Times New Roman" w:cs="Times New Roman"/>
          <w:sz w:val="22"/>
          <w:szCs w:val="24"/>
          <w:lang w:val="en-GB" w:eastAsia="ja-JP"/>
        </w:rPr>
        <w:t>180 degrees transformation</w:t>
      </w:r>
      <w:r w:rsidR="00D15F5C" w:rsidRPr="00647752">
        <w:rPr>
          <w:rFonts w:ascii="Times New Roman" w:eastAsia="MS Mincho" w:hAnsi="Times New Roman" w:cs="Times New Roman"/>
          <w:sz w:val="22"/>
          <w:szCs w:val="24"/>
          <w:lang w:val="en-GB" w:eastAsia="ja-JP"/>
        </w:rPr>
        <w:t>”</w:t>
      </w:r>
      <w:r w:rsidR="00BE76CD" w:rsidRPr="00647752">
        <w:rPr>
          <w:rFonts w:ascii="Times New Roman" w:eastAsia="MS Mincho" w:hAnsi="Times New Roman" w:cs="Times New Roman"/>
          <w:sz w:val="22"/>
          <w:szCs w:val="24"/>
          <w:lang w:val="en-GB" w:eastAsia="ja-JP"/>
        </w:rPr>
        <w:t>.</w:t>
      </w:r>
      <w:r w:rsidR="000063A3">
        <w:rPr>
          <w:rFonts w:ascii="Times New Roman" w:eastAsia="MS Mincho" w:hAnsi="Times New Roman" w:cs="Times New Roman"/>
          <w:sz w:val="22"/>
          <w:szCs w:val="24"/>
          <w:lang w:val="en-GB" w:eastAsia="ja-JP"/>
        </w:rPr>
        <w:t xml:space="preserve"> </w:t>
      </w:r>
      <w:r w:rsidR="007174C1" w:rsidRPr="00647752">
        <w:rPr>
          <w:rFonts w:ascii="Times New Roman" w:eastAsia="MS Mincho" w:hAnsi="Times New Roman" w:cs="Times New Roman"/>
          <w:sz w:val="22"/>
          <w:szCs w:val="24"/>
          <w:lang w:val="en-GB" w:eastAsia="ja-JP"/>
        </w:rPr>
        <w:t xml:space="preserve">With UNDP support the PBA has been able to develop a strategic plan that includes legal aid.  </w:t>
      </w:r>
    </w:p>
    <w:p w:rsidR="00157B50" w:rsidRPr="00647752" w:rsidRDefault="00157B50" w:rsidP="00FB6759">
      <w:pPr>
        <w:spacing w:after="0" w:line="240" w:lineRule="auto"/>
        <w:jc w:val="both"/>
        <w:rPr>
          <w:rFonts w:ascii="Times New Roman" w:eastAsia="MS Mincho" w:hAnsi="Times New Roman" w:cs="Times New Roman"/>
          <w:sz w:val="22"/>
          <w:szCs w:val="24"/>
          <w:lang w:val="en-GB" w:eastAsia="ja-JP"/>
        </w:rPr>
      </w:pPr>
    </w:p>
    <w:p w:rsidR="00674E85" w:rsidRPr="00FE500F" w:rsidRDefault="00674E85" w:rsidP="00FB6759">
      <w:pPr>
        <w:spacing w:after="0" w:line="240" w:lineRule="auto"/>
        <w:jc w:val="both"/>
        <w:rPr>
          <w:rFonts w:ascii="Times New Roman" w:eastAsia="MS Mincho" w:hAnsi="Times New Roman" w:cs="Times New Roman"/>
          <w:sz w:val="22"/>
          <w:szCs w:val="24"/>
          <w:lang w:val="en-GB" w:eastAsia="ja-JP"/>
        </w:rPr>
      </w:pPr>
      <w:r w:rsidRPr="00647752">
        <w:rPr>
          <w:rFonts w:ascii="Times New Roman" w:eastAsia="MS Mincho" w:hAnsi="Times New Roman" w:cs="Times New Roman"/>
          <w:sz w:val="22"/>
          <w:szCs w:val="24"/>
          <w:lang w:val="en-GB" w:eastAsia="ja-JP"/>
        </w:rPr>
        <w:t xml:space="preserve">In the last year the UNDP project has completed a series of 12 workshops for practicing lawyers with the participation of experts from the Union of Arab Lawyers. This is the first time in the last decade when the issue of the </w:t>
      </w:r>
      <w:r w:rsidRPr="00FE500F">
        <w:rPr>
          <w:rFonts w:ascii="Times New Roman" w:eastAsia="MS Mincho" w:hAnsi="Times New Roman" w:cs="Times New Roman"/>
          <w:i/>
          <w:sz w:val="22"/>
          <w:szCs w:val="24"/>
          <w:lang w:val="en-GB" w:eastAsia="ja-JP"/>
        </w:rPr>
        <w:t>quality</w:t>
      </w:r>
      <w:r w:rsidR="000063A3">
        <w:rPr>
          <w:rFonts w:ascii="Times New Roman" w:eastAsia="MS Mincho" w:hAnsi="Times New Roman" w:cs="Times New Roman"/>
          <w:i/>
          <w:sz w:val="22"/>
          <w:szCs w:val="24"/>
          <w:lang w:val="en-GB" w:eastAsia="ja-JP"/>
        </w:rPr>
        <w:t xml:space="preserve"> </w:t>
      </w:r>
      <w:r w:rsidR="00FE500F">
        <w:rPr>
          <w:rFonts w:ascii="Times New Roman" w:eastAsia="MS Mincho" w:hAnsi="Times New Roman" w:cs="Times New Roman"/>
          <w:sz w:val="22"/>
          <w:szCs w:val="24"/>
          <w:lang w:val="en-GB" w:eastAsia="ja-JP"/>
        </w:rPr>
        <w:t>of the b</w:t>
      </w:r>
      <w:r w:rsidRPr="00647752">
        <w:rPr>
          <w:rFonts w:ascii="Times New Roman" w:eastAsia="MS Mincho" w:hAnsi="Times New Roman" w:cs="Times New Roman"/>
          <w:sz w:val="22"/>
          <w:szCs w:val="24"/>
          <w:lang w:val="en-GB" w:eastAsia="ja-JP"/>
        </w:rPr>
        <w:t>ar training had been addressed. The workshops includ</w:t>
      </w:r>
      <w:r w:rsidR="00FE500F">
        <w:rPr>
          <w:rFonts w:ascii="Times New Roman" w:eastAsia="MS Mincho" w:hAnsi="Times New Roman" w:cs="Times New Roman"/>
          <w:sz w:val="22"/>
          <w:szCs w:val="24"/>
          <w:lang w:val="en-GB" w:eastAsia="ja-JP"/>
        </w:rPr>
        <w:t>ed a wide range of stakeholders, including lawyers but also several judges and prosecutors.</w:t>
      </w:r>
      <w:r w:rsidRPr="00647752">
        <w:rPr>
          <w:rFonts w:ascii="Times New Roman" w:eastAsia="MS Mincho" w:hAnsi="Times New Roman" w:cs="Times New Roman"/>
          <w:sz w:val="22"/>
          <w:szCs w:val="24"/>
          <w:lang w:val="en-GB" w:eastAsia="ja-JP"/>
        </w:rPr>
        <w:t xml:space="preserve"> A new training strategy was adopted by the UNDP funded project that will be ready for</w:t>
      </w:r>
      <w:r w:rsidR="00FE500F">
        <w:rPr>
          <w:rFonts w:ascii="Times New Roman" w:eastAsia="MS Mincho" w:hAnsi="Times New Roman" w:cs="Times New Roman"/>
          <w:sz w:val="22"/>
          <w:szCs w:val="24"/>
          <w:lang w:val="en-GB" w:eastAsia="ja-JP"/>
        </w:rPr>
        <w:t xml:space="preserve"> adoption</w:t>
      </w:r>
      <w:r w:rsidRPr="00647752">
        <w:rPr>
          <w:rFonts w:ascii="Times New Roman" w:eastAsia="MS Mincho" w:hAnsi="Times New Roman" w:cs="Times New Roman"/>
          <w:sz w:val="22"/>
          <w:szCs w:val="24"/>
          <w:lang w:val="en-GB" w:eastAsia="ja-JP"/>
        </w:rPr>
        <w:t xml:space="preserve"> in </w:t>
      </w:r>
      <w:r w:rsidR="000A6A05" w:rsidRPr="00647752">
        <w:rPr>
          <w:rFonts w:ascii="Times New Roman" w:eastAsia="MS Mincho" w:hAnsi="Times New Roman" w:cs="Times New Roman"/>
          <w:sz w:val="22"/>
          <w:szCs w:val="24"/>
          <w:lang w:val="en-GB" w:eastAsia="ja-JP"/>
        </w:rPr>
        <w:t>s</w:t>
      </w:r>
      <w:r w:rsidRPr="00647752">
        <w:rPr>
          <w:rFonts w:ascii="Times New Roman" w:eastAsia="MS Mincho" w:hAnsi="Times New Roman" w:cs="Times New Roman"/>
          <w:sz w:val="22"/>
          <w:szCs w:val="24"/>
          <w:lang w:val="en-GB" w:eastAsia="ja-JP"/>
        </w:rPr>
        <w:t>pring 2013. The strategy not only addresses training for new lawyers, but also training for senior lawyers (co</w:t>
      </w:r>
      <w:r w:rsidR="00FE500F">
        <w:rPr>
          <w:rFonts w:ascii="Times New Roman" w:eastAsia="MS Mincho" w:hAnsi="Times New Roman" w:cs="Times New Roman"/>
          <w:sz w:val="22"/>
          <w:szCs w:val="24"/>
          <w:lang w:val="en-GB" w:eastAsia="ja-JP"/>
        </w:rPr>
        <w:t>ntinuing legal education). The s</w:t>
      </w:r>
      <w:r w:rsidRPr="00647752">
        <w:rPr>
          <w:rFonts w:ascii="Times New Roman" w:eastAsia="MS Mincho" w:hAnsi="Times New Roman" w:cs="Times New Roman"/>
          <w:sz w:val="22"/>
          <w:szCs w:val="24"/>
          <w:lang w:val="en-GB" w:eastAsia="ja-JP"/>
        </w:rPr>
        <w:t xml:space="preserve">trategy has many details such as interactive modalities. </w:t>
      </w:r>
      <w:r w:rsidR="002F4DE5" w:rsidRPr="00647752">
        <w:rPr>
          <w:rFonts w:ascii="Times New Roman" w:hAnsi="Times New Roman" w:cs="Times New Roman"/>
          <w:sz w:val="22"/>
          <w:szCs w:val="22"/>
          <w:lang w:val="en-GB"/>
        </w:rPr>
        <w:t>PBA wi</w:t>
      </w:r>
      <w:r w:rsidR="00FE500F">
        <w:rPr>
          <w:rFonts w:ascii="Times New Roman" w:hAnsi="Times New Roman" w:cs="Times New Roman"/>
          <w:sz w:val="22"/>
          <w:szCs w:val="22"/>
          <w:lang w:val="en-GB"/>
        </w:rPr>
        <w:t>th UNDP support recently organis</w:t>
      </w:r>
      <w:r w:rsidR="00EE24E9">
        <w:rPr>
          <w:rFonts w:ascii="Times New Roman" w:hAnsi="Times New Roman" w:cs="Times New Roman"/>
          <w:sz w:val="22"/>
          <w:szCs w:val="22"/>
          <w:lang w:val="en-GB"/>
        </w:rPr>
        <w:t xml:space="preserve">ed its second annual conference </w:t>
      </w:r>
      <w:r w:rsidR="002F4DE5" w:rsidRPr="00647752">
        <w:rPr>
          <w:rFonts w:ascii="Times New Roman" w:hAnsi="Times New Roman" w:cs="Times New Roman"/>
          <w:sz w:val="22"/>
          <w:szCs w:val="22"/>
          <w:lang w:val="en-GB"/>
        </w:rPr>
        <w:t>attended by over 400 people.</w:t>
      </w:r>
    </w:p>
    <w:p w:rsidR="00AB6D72" w:rsidRDefault="00AB6D72" w:rsidP="00FB6759">
      <w:pPr>
        <w:spacing w:after="0" w:line="240" w:lineRule="auto"/>
        <w:jc w:val="both"/>
        <w:rPr>
          <w:rFonts w:ascii="Times New Roman" w:eastAsia="MS Mincho" w:hAnsi="Times New Roman" w:cs="Times New Roman"/>
          <w:sz w:val="22"/>
          <w:szCs w:val="24"/>
          <w:lang w:val="en-GB" w:eastAsia="ja-JP"/>
        </w:rPr>
      </w:pPr>
    </w:p>
    <w:p w:rsidR="00337827" w:rsidRDefault="00337827" w:rsidP="00FB6759">
      <w:pPr>
        <w:spacing w:after="0" w:line="240" w:lineRule="auto"/>
        <w:jc w:val="both"/>
        <w:rPr>
          <w:rFonts w:ascii="Times New Roman" w:eastAsia="MS Mincho" w:hAnsi="Times New Roman" w:cs="Times New Roman"/>
          <w:sz w:val="22"/>
          <w:szCs w:val="24"/>
          <w:lang w:val="en-GB" w:eastAsia="ja-JP"/>
        </w:rPr>
      </w:pPr>
      <w:r>
        <w:rPr>
          <w:rFonts w:ascii="Times New Roman" w:eastAsia="MS Mincho" w:hAnsi="Times New Roman" w:cs="Times New Roman"/>
          <w:sz w:val="22"/>
          <w:szCs w:val="24"/>
          <w:lang w:val="en-GB" w:eastAsia="ja-JP"/>
        </w:rPr>
        <w:t xml:space="preserve">In </w:t>
      </w:r>
      <w:r w:rsidR="00157B50" w:rsidRPr="00647752">
        <w:rPr>
          <w:rFonts w:ascii="Times New Roman" w:eastAsia="MS Mincho" w:hAnsi="Times New Roman" w:cs="Times New Roman"/>
          <w:sz w:val="22"/>
          <w:szCs w:val="24"/>
          <w:lang w:val="en-GB" w:eastAsia="ja-JP"/>
        </w:rPr>
        <w:t>Gaza</w:t>
      </w:r>
      <w:r>
        <w:rPr>
          <w:rFonts w:ascii="Times New Roman" w:eastAsia="MS Mincho" w:hAnsi="Times New Roman" w:cs="Times New Roman"/>
          <w:sz w:val="22"/>
          <w:szCs w:val="24"/>
          <w:lang w:val="en-GB" w:eastAsia="ja-JP"/>
        </w:rPr>
        <w:t>, it is very difficult for women to</w:t>
      </w:r>
      <w:r w:rsidR="00157B50" w:rsidRPr="00647752">
        <w:rPr>
          <w:rFonts w:ascii="Times New Roman" w:eastAsia="MS Mincho" w:hAnsi="Times New Roman" w:cs="Times New Roman"/>
          <w:sz w:val="22"/>
          <w:szCs w:val="24"/>
          <w:lang w:val="en-GB" w:eastAsia="ja-JP"/>
        </w:rPr>
        <w:t xml:space="preserve"> practice law; the conservatism relegates females to either the home or to a teaching position</w:t>
      </w:r>
      <w:r>
        <w:rPr>
          <w:rFonts w:ascii="Times New Roman" w:eastAsia="MS Mincho" w:hAnsi="Times New Roman" w:cs="Times New Roman"/>
          <w:sz w:val="22"/>
          <w:szCs w:val="24"/>
          <w:lang w:val="en-GB" w:eastAsia="ja-JP"/>
        </w:rPr>
        <w:t xml:space="preserve">. The </w:t>
      </w:r>
      <w:r>
        <w:rPr>
          <w:rFonts w:ascii="Times New Roman" w:eastAsia="MS Mincho" w:hAnsi="Times New Roman" w:cs="Times New Roman"/>
          <w:i/>
          <w:sz w:val="22"/>
          <w:szCs w:val="24"/>
          <w:lang w:val="en-GB" w:eastAsia="ja-JP"/>
        </w:rPr>
        <w:t xml:space="preserve">de facto </w:t>
      </w:r>
      <w:r>
        <w:rPr>
          <w:rFonts w:ascii="Times New Roman" w:eastAsia="MS Mincho" w:hAnsi="Times New Roman" w:cs="Times New Roman"/>
          <w:sz w:val="22"/>
          <w:szCs w:val="24"/>
          <w:lang w:val="en-GB" w:eastAsia="ja-JP"/>
        </w:rPr>
        <w:t xml:space="preserve">government </w:t>
      </w:r>
      <w:r w:rsidR="00157B50" w:rsidRPr="00647752">
        <w:rPr>
          <w:rFonts w:ascii="Times New Roman" w:eastAsia="MS Mincho" w:hAnsi="Times New Roman" w:cs="Times New Roman"/>
          <w:sz w:val="22"/>
          <w:szCs w:val="24"/>
          <w:lang w:val="en-GB" w:eastAsia="ja-JP"/>
        </w:rPr>
        <w:t>employs very few women in its courts or police. There are only 150 female lawyers out of a total of approximately 800 practicing law</w:t>
      </w:r>
      <w:r>
        <w:rPr>
          <w:rFonts w:ascii="Times New Roman" w:eastAsia="MS Mincho" w:hAnsi="Times New Roman" w:cs="Times New Roman"/>
          <w:sz w:val="22"/>
          <w:szCs w:val="24"/>
          <w:lang w:val="en-GB" w:eastAsia="ja-JP"/>
        </w:rPr>
        <w:t xml:space="preserve">yers. The UNDP project has </w:t>
      </w:r>
      <w:r w:rsidR="00157B50" w:rsidRPr="00647752">
        <w:rPr>
          <w:rFonts w:ascii="Times New Roman" w:eastAsia="MS Mincho" w:hAnsi="Times New Roman" w:cs="Times New Roman"/>
          <w:sz w:val="22"/>
          <w:szCs w:val="24"/>
          <w:lang w:val="en-GB" w:eastAsia="ja-JP"/>
        </w:rPr>
        <w:t>managed to introduce a shift in</w:t>
      </w:r>
      <w:r>
        <w:rPr>
          <w:rFonts w:ascii="Times New Roman" w:eastAsia="MS Mincho" w:hAnsi="Times New Roman" w:cs="Times New Roman"/>
          <w:sz w:val="22"/>
          <w:szCs w:val="24"/>
          <w:lang w:val="en-GB" w:eastAsia="ja-JP"/>
        </w:rPr>
        <w:t xml:space="preserve"> thinking at the PBA with regard to female lawyers.</w:t>
      </w:r>
    </w:p>
    <w:p w:rsidR="00157B50" w:rsidRPr="00647752" w:rsidRDefault="00337827" w:rsidP="00FB6759">
      <w:pPr>
        <w:spacing w:after="0" w:line="240" w:lineRule="auto"/>
        <w:jc w:val="both"/>
        <w:rPr>
          <w:rFonts w:ascii="Times New Roman" w:eastAsia="MS Mincho" w:hAnsi="Times New Roman" w:cs="Times New Roman"/>
          <w:sz w:val="22"/>
          <w:szCs w:val="24"/>
          <w:lang w:val="en-GB" w:eastAsia="ja-JP"/>
        </w:rPr>
      </w:pPr>
      <w:r>
        <w:rPr>
          <w:rFonts w:ascii="Times New Roman" w:eastAsia="MS Mincho" w:hAnsi="Times New Roman" w:cs="Times New Roman"/>
          <w:sz w:val="22"/>
          <w:szCs w:val="24"/>
          <w:lang w:val="en-GB" w:eastAsia="ja-JP"/>
        </w:rPr>
        <w:lastRenderedPageBreak/>
        <w:t xml:space="preserve">The PBA </w:t>
      </w:r>
      <w:r w:rsidR="00157B50" w:rsidRPr="00647752">
        <w:rPr>
          <w:rFonts w:ascii="Times New Roman" w:eastAsia="MS Mincho" w:hAnsi="Times New Roman" w:cs="Times New Roman"/>
          <w:sz w:val="22"/>
          <w:szCs w:val="24"/>
          <w:lang w:val="en-GB" w:eastAsia="ja-JP"/>
        </w:rPr>
        <w:t>is now actively supporting</w:t>
      </w:r>
      <w:r>
        <w:rPr>
          <w:rFonts w:ascii="Times New Roman" w:eastAsia="MS Mincho" w:hAnsi="Times New Roman" w:cs="Times New Roman"/>
          <w:sz w:val="22"/>
          <w:szCs w:val="24"/>
          <w:lang w:val="en-GB" w:eastAsia="ja-JP"/>
        </w:rPr>
        <w:t xml:space="preserve"> female candidates for the bar and plans to establish a female lawyers’ network similar to the one set up in the West Bank. </w:t>
      </w:r>
      <w:r w:rsidR="00157B50" w:rsidRPr="00647752">
        <w:rPr>
          <w:rFonts w:ascii="Times New Roman" w:eastAsia="MS Mincho" w:hAnsi="Times New Roman" w:cs="Times New Roman"/>
          <w:sz w:val="22"/>
          <w:szCs w:val="24"/>
          <w:lang w:val="en-GB" w:eastAsia="ja-JP"/>
        </w:rPr>
        <w:t>In the past, the needs of the female lawyers were not specially addressed. Now, both the numbers of female law students and the numbe</w:t>
      </w:r>
      <w:r>
        <w:rPr>
          <w:rFonts w:ascii="Times New Roman" w:eastAsia="MS Mincho" w:hAnsi="Times New Roman" w:cs="Times New Roman"/>
          <w:sz w:val="22"/>
          <w:szCs w:val="24"/>
          <w:lang w:val="en-GB" w:eastAsia="ja-JP"/>
        </w:rPr>
        <w:t xml:space="preserve">rs of female lawyers </w:t>
      </w:r>
      <w:r w:rsidR="00157B50" w:rsidRPr="00647752">
        <w:rPr>
          <w:rFonts w:ascii="Times New Roman" w:eastAsia="MS Mincho" w:hAnsi="Times New Roman" w:cs="Times New Roman"/>
          <w:sz w:val="22"/>
          <w:szCs w:val="24"/>
          <w:lang w:val="en-GB" w:eastAsia="ja-JP"/>
        </w:rPr>
        <w:t xml:space="preserve">is currently increasing. </w:t>
      </w:r>
    </w:p>
    <w:p w:rsidR="003A1E6F" w:rsidRPr="00647752" w:rsidRDefault="003A1E6F" w:rsidP="00FB6759">
      <w:pPr>
        <w:spacing w:after="0" w:line="240" w:lineRule="auto"/>
        <w:jc w:val="both"/>
        <w:rPr>
          <w:rFonts w:ascii="Times New Roman" w:eastAsia="MS Mincho" w:hAnsi="Times New Roman" w:cs="Times New Roman"/>
          <w:sz w:val="22"/>
          <w:szCs w:val="24"/>
          <w:lang w:val="en-GB" w:eastAsia="ja-JP"/>
        </w:rPr>
      </w:pPr>
    </w:p>
    <w:p w:rsidR="00337827" w:rsidRDefault="003A1E6F" w:rsidP="00FB6759">
      <w:pPr>
        <w:spacing w:after="0" w:line="240" w:lineRule="auto"/>
        <w:jc w:val="both"/>
        <w:rPr>
          <w:rFonts w:ascii="Times New Roman" w:eastAsia="MS Mincho" w:hAnsi="Times New Roman" w:cs="Times New Roman"/>
          <w:sz w:val="22"/>
          <w:szCs w:val="24"/>
          <w:lang w:val="en-GB" w:eastAsia="ja-JP"/>
        </w:rPr>
      </w:pPr>
      <w:r w:rsidRPr="00647752">
        <w:rPr>
          <w:rFonts w:ascii="Times New Roman" w:eastAsia="MS Mincho" w:hAnsi="Times New Roman" w:cs="Times New Roman"/>
          <w:sz w:val="22"/>
          <w:szCs w:val="24"/>
          <w:lang w:val="en-GB" w:eastAsia="ja-JP"/>
        </w:rPr>
        <w:t>As discussed above, t</w:t>
      </w:r>
      <w:r w:rsidR="00337827">
        <w:rPr>
          <w:rFonts w:ascii="Times New Roman" w:eastAsia="MS Mincho" w:hAnsi="Times New Roman" w:cs="Times New Roman"/>
          <w:sz w:val="22"/>
          <w:szCs w:val="24"/>
          <w:lang w:val="en-GB" w:eastAsia="ja-JP"/>
        </w:rPr>
        <w:t>he n</w:t>
      </w:r>
      <w:r w:rsidR="00BE76CD" w:rsidRPr="00647752">
        <w:rPr>
          <w:rFonts w:ascii="Times New Roman" w:eastAsia="MS Mincho" w:hAnsi="Times New Roman" w:cs="Times New Roman"/>
          <w:sz w:val="22"/>
          <w:szCs w:val="24"/>
          <w:lang w:val="en-GB" w:eastAsia="ja-JP"/>
        </w:rPr>
        <w:t xml:space="preserve">etwork </w:t>
      </w:r>
      <w:r w:rsidR="00337827">
        <w:rPr>
          <w:rFonts w:ascii="Times New Roman" w:eastAsia="MS Mincho" w:hAnsi="Times New Roman" w:cs="Times New Roman"/>
          <w:sz w:val="22"/>
          <w:szCs w:val="24"/>
          <w:lang w:val="en-GB" w:eastAsia="ja-JP"/>
        </w:rPr>
        <w:t xml:space="preserve">of legal aid providers </w:t>
      </w:r>
      <w:r w:rsidR="00BE76CD" w:rsidRPr="00647752">
        <w:rPr>
          <w:rFonts w:ascii="Times New Roman" w:eastAsia="MS Mincho" w:hAnsi="Times New Roman" w:cs="Times New Roman"/>
          <w:sz w:val="22"/>
          <w:szCs w:val="24"/>
          <w:lang w:val="en-GB" w:eastAsia="ja-JP"/>
        </w:rPr>
        <w:t xml:space="preserve">in the Gaza Strip </w:t>
      </w:r>
      <w:r w:rsidRPr="00647752">
        <w:rPr>
          <w:rFonts w:ascii="Times New Roman" w:eastAsia="MS Mincho" w:hAnsi="Times New Roman" w:cs="Times New Roman"/>
          <w:sz w:val="22"/>
          <w:szCs w:val="24"/>
          <w:lang w:val="en-GB" w:eastAsia="ja-JP"/>
        </w:rPr>
        <w:t>is now fully functioning with</w:t>
      </w:r>
      <w:r w:rsidR="007A4437" w:rsidRPr="00647752">
        <w:rPr>
          <w:rFonts w:ascii="Times New Roman" w:eastAsia="MS Mincho" w:hAnsi="Times New Roman" w:cs="Times New Roman"/>
          <w:sz w:val="22"/>
          <w:szCs w:val="24"/>
          <w:lang w:val="en-GB" w:eastAsia="ja-JP"/>
        </w:rPr>
        <w:t>2</w:t>
      </w:r>
      <w:r w:rsidR="00BE76CD" w:rsidRPr="00647752">
        <w:rPr>
          <w:rFonts w:ascii="Times New Roman" w:eastAsia="MS Mincho" w:hAnsi="Times New Roman" w:cs="Times New Roman"/>
          <w:sz w:val="22"/>
          <w:szCs w:val="24"/>
          <w:lang w:val="en-GB" w:eastAsia="ja-JP"/>
        </w:rPr>
        <w:t xml:space="preserve">3 members </w:t>
      </w:r>
      <w:r w:rsidRPr="00647752">
        <w:rPr>
          <w:rFonts w:ascii="Times New Roman" w:eastAsia="MS Mincho" w:hAnsi="Times New Roman" w:cs="Times New Roman"/>
          <w:sz w:val="22"/>
          <w:szCs w:val="24"/>
          <w:lang w:val="en-GB" w:eastAsia="ja-JP"/>
        </w:rPr>
        <w:t>under the leadership and coordination of the PBA as a result of UNDP support.</w:t>
      </w:r>
      <w:r w:rsidR="000063A3">
        <w:rPr>
          <w:rFonts w:ascii="Times New Roman" w:eastAsia="MS Mincho" w:hAnsi="Times New Roman" w:cs="Times New Roman"/>
          <w:sz w:val="22"/>
          <w:szCs w:val="24"/>
          <w:lang w:val="en-GB" w:eastAsia="ja-JP"/>
        </w:rPr>
        <w:t xml:space="preserve"> </w:t>
      </w:r>
      <w:r w:rsidRPr="00647752">
        <w:rPr>
          <w:rFonts w:ascii="Times New Roman" w:eastAsia="MS Mincho" w:hAnsi="Times New Roman" w:cs="Times New Roman"/>
          <w:sz w:val="22"/>
          <w:szCs w:val="24"/>
          <w:lang w:val="en-GB" w:eastAsia="ja-JP"/>
        </w:rPr>
        <w:t xml:space="preserve">The PBA also has its own legal aid lawyers that staff a law clinic housed at the PBA itself. </w:t>
      </w:r>
      <w:r w:rsidR="00483D5C" w:rsidRPr="00647752">
        <w:rPr>
          <w:rFonts w:ascii="Times New Roman" w:eastAsia="MS Mincho" w:hAnsi="Times New Roman" w:cs="Times New Roman"/>
          <w:sz w:val="22"/>
          <w:szCs w:val="24"/>
          <w:lang w:val="en-GB" w:eastAsia="ja-JP"/>
        </w:rPr>
        <w:t>The PBA lawyers</w:t>
      </w:r>
      <w:r w:rsidR="000063A3">
        <w:rPr>
          <w:rFonts w:ascii="Times New Roman" w:eastAsia="MS Mincho" w:hAnsi="Times New Roman" w:cs="Times New Roman"/>
          <w:sz w:val="22"/>
          <w:szCs w:val="24"/>
          <w:lang w:val="en-GB" w:eastAsia="ja-JP"/>
        </w:rPr>
        <w:t xml:space="preserve"> </w:t>
      </w:r>
      <w:r w:rsidR="00A9442A" w:rsidRPr="00647752">
        <w:rPr>
          <w:rFonts w:ascii="Times New Roman" w:eastAsia="MS Mincho" w:hAnsi="Times New Roman" w:cs="Times New Roman"/>
          <w:sz w:val="22"/>
          <w:szCs w:val="24"/>
          <w:lang w:val="en-GB" w:eastAsia="ja-JP"/>
        </w:rPr>
        <w:t xml:space="preserve">represent vulnerable </w:t>
      </w:r>
      <w:r w:rsidR="00337827">
        <w:rPr>
          <w:rFonts w:ascii="Times New Roman" w:eastAsia="MS Mincho" w:hAnsi="Times New Roman" w:cs="Times New Roman"/>
          <w:sz w:val="22"/>
          <w:szCs w:val="24"/>
          <w:lang w:val="en-GB" w:eastAsia="ja-JP"/>
        </w:rPr>
        <w:t xml:space="preserve">clients before the courts, </w:t>
      </w:r>
      <w:r w:rsidR="00BE76CD" w:rsidRPr="00647752">
        <w:rPr>
          <w:rFonts w:ascii="Times New Roman" w:eastAsia="MS Mincho" w:hAnsi="Times New Roman" w:cs="Times New Roman"/>
          <w:sz w:val="22"/>
          <w:szCs w:val="24"/>
          <w:lang w:val="en-GB" w:eastAsia="ja-JP"/>
        </w:rPr>
        <w:t xml:space="preserve">offering legal </w:t>
      </w:r>
      <w:r w:rsidR="007174C1" w:rsidRPr="00647752">
        <w:rPr>
          <w:rFonts w:ascii="Times New Roman" w:eastAsia="MS Mincho" w:hAnsi="Times New Roman" w:cs="Times New Roman"/>
          <w:sz w:val="22"/>
          <w:szCs w:val="24"/>
          <w:lang w:val="en-GB" w:eastAsia="ja-JP"/>
        </w:rPr>
        <w:t>counselling</w:t>
      </w:r>
      <w:r w:rsidR="00BE76CD" w:rsidRPr="00647752">
        <w:rPr>
          <w:rFonts w:ascii="Times New Roman" w:eastAsia="MS Mincho" w:hAnsi="Times New Roman" w:cs="Times New Roman"/>
          <w:sz w:val="22"/>
          <w:szCs w:val="24"/>
          <w:lang w:val="en-GB" w:eastAsia="ja-JP"/>
        </w:rPr>
        <w:t xml:space="preserve"> to clients</w:t>
      </w:r>
      <w:r w:rsidR="007174C1" w:rsidRPr="00647752">
        <w:rPr>
          <w:rFonts w:ascii="Times New Roman" w:eastAsia="MS Mincho" w:hAnsi="Times New Roman" w:cs="Times New Roman"/>
          <w:sz w:val="22"/>
          <w:szCs w:val="24"/>
          <w:lang w:val="en-GB" w:eastAsia="ja-JP"/>
        </w:rPr>
        <w:t>. These cli</w:t>
      </w:r>
      <w:r w:rsidR="00337827">
        <w:rPr>
          <w:rFonts w:ascii="Times New Roman" w:eastAsia="MS Mincho" w:hAnsi="Times New Roman" w:cs="Times New Roman"/>
          <w:sz w:val="22"/>
          <w:szCs w:val="24"/>
          <w:lang w:val="en-GB" w:eastAsia="ja-JP"/>
        </w:rPr>
        <w:t>ents include many abused women.</w:t>
      </w:r>
    </w:p>
    <w:p w:rsidR="00337827" w:rsidRDefault="00337827" w:rsidP="00FB6759">
      <w:pPr>
        <w:spacing w:after="0" w:line="240" w:lineRule="auto"/>
        <w:jc w:val="both"/>
        <w:rPr>
          <w:rFonts w:ascii="Times New Roman" w:eastAsia="MS Mincho" w:hAnsi="Times New Roman" w:cs="Times New Roman"/>
          <w:sz w:val="22"/>
          <w:szCs w:val="24"/>
          <w:lang w:val="en-GB" w:eastAsia="ja-JP"/>
        </w:rPr>
      </w:pPr>
    </w:p>
    <w:p w:rsidR="00BE76CD" w:rsidRPr="00647752" w:rsidRDefault="00337827" w:rsidP="00FB6759">
      <w:pPr>
        <w:spacing w:after="0" w:line="240" w:lineRule="auto"/>
        <w:jc w:val="both"/>
        <w:rPr>
          <w:rFonts w:ascii="Times New Roman" w:eastAsia="MS Mincho" w:hAnsi="Times New Roman" w:cs="Times New Roman"/>
          <w:sz w:val="22"/>
          <w:szCs w:val="24"/>
          <w:lang w:val="en-GB" w:eastAsia="ja-JP"/>
        </w:rPr>
      </w:pPr>
      <w:r>
        <w:rPr>
          <w:rFonts w:ascii="Times New Roman" w:eastAsia="MS Mincho" w:hAnsi="Times New Roman" w:cs="Times New Roman"/>
          <w:sz w:val="22"/>
          <w:szCs w:val="24"/>
          <w:lang w:val="en-GB" w:eastAsia="ja-JP"/>
        </w:rPr>
        <w:t>The PBA board</w:t>
      </w:r>
      <w:r w:rsidR="007174C1" w:rsidRPr="00647752">
        <w:rPr>
          <w:rFonts w:ascii="Times New Roman" w:eastAsia="MS Mincho" w:hAnsi="Times New Roman" w:cs="Times New Roman"/>
          <w:sz w:val="22"/>
          <w:szCs w:val="24"/>
          <w:lang w:val="en-GB" w:eastAsia="ja-JP"/>
        </w:rPr>
        <w:t xml:space="preserve"> and </w:t>
      </w:r>
      <w:r>
        <w:rPr>
          <w:rFonts w:ascii="Times New Roman" w:eastAsia="MS Mincho" w:hAnsi="Times New Roman" w:cs="Times New Roman"/>
          <w:sz w:val="22"/>
          <w:szCs w:val="24"/>
          <w:lang w:val="en-GB" w:eastAsia="ja-JP"/>
        </w:rPr>
        <w:t xml:space="preserve">the </w:t>
      </w:r>
      <w:r w:rsidR="007174C1" w:rsidRPr="00647752">
        <w:rPr>
          <w:rFonts w:ascii="Times New Roman" w:eastAsia="MS Mincho" w:hAnsi="Times New Roman" w:cs="Times New Roman"/>
          <w:sz w:val="22"/>
          <w:szCs w:val="24"/>
          <w:lang w:val="en-GB" w:eastAsia="ja-JP"/>
        </w:rPr>
        <w:t>lawyers working in the</w:t>
      </w:r>
      <w:r>
        <w:rPr>
          <w:rFonts w:ascii="Times New Roman" w:eastAsia="MS Mincho" w:hAnsi="Times New Roman" w:cs="Times New Roman"/>
          <w:sz w:val="22"/>
          <w:szCs w:val="24"/>
          <w:lang w:val="en-GB" w:eastAsia="ja-JP"/>
        </w:rPr>
        <w:t xml:space="preserve"> legal aid clinic informed the e</w:t>
      </w:r>
      <w:r w:rsidR="007174C1" w:rsidRPr="00647752">
        <w:rPr>
          <w:rFonts w:ascii="Times New Roman" w:eastAsia="MS Mincho" w:hAnsi="Times New Roman" w:cs="Times New Roman"/>
          <w:sz w:val="22"/>
          <w:szCs w:val="24"/>
          <w:lang w:val="en-GB" w:eastAsia="ja-JP"/>
        </w:rPr>
        <w:t xml:space="preserve">valuation that they </w:t>
      </w:r>
      <w:r w:rsidR="00BE76CD" w:rsidRPr="00647752">
        <w:rPr>
          <w:rFonts w:ascii="Times New Roman" w:eastAsia="MS Mincho" w:hAnsi="Times New Roman" w:cs="Times New Roman"/>
          <w:sz w:val="22"/>
          <w:szCs w:val="24"/>
          <w:lang w:val="en-GB" w:eastAsia="ja-JP"/>
        </w:rPr>
        <w:t>can see</w:t>
      </w:r>
      <w:r w:rsidR="007174C1" w:rsidRPr="00647752">
        <w:rPr>
          <w:rFonts w:ascii="Times New Roman" w:eastAsia="MS Mincho" w:hAnsi="Times New Roman" w:cs="Times New Roman"/>
          <w:sz w:val="22"/>
          <w:szCs w:val="24"/>
          <w:lang w:val="en-GB" w:eastAsia="ja-JP"/>
        </w:rPr>
        <w:t xml:space="preserve"> a</w:t>
      </w:r>
      <w:r w:rsidR="00BE76CD" w:rsidRPr="00647752">
        <w:rPr>
          <w:rFonts w:ascii="Times New Roman" w:eastAsia="MS Mincho" w:hAnsi="Times New Roman" w:cs="Times New Roman"/>
          <w:sz w:val="22"/>
          <w:szCs w:val="24"/>
          <w:lang w:val="en-GB" w:eastAsia="ja-JP"/>
        </w:rPr>
        <w:t xml:space="preserve"> tangible impact upon the community</w:t>
      </w:r>
      <w:r w:rsidR="007174C1" w:rsidRPr="00647752">
        <w:rPr>
          <w:rFonts w:ascii="Times New Roman" w:eastAsia="MS Mincho" w:hAnsi="Times New Roman" w:cs="Times New Roman"/>
          <w:sz w:val="22"/>
          <w:szCs w:val="24"/>
          <w:lang w:val="en-GB" w:eastAsia="ja-JP"/>
        </w:rPr>
        <w:t xml:space="preserve"> as the</w:t>
      </w:r>
      <w:r>
        <w:rPr>
          <w:rFonts w:ascii="Times New Roman" w:eastAsia="MS Mincho" w:hAnsi="Times New Roman" w:cs="Times New Roman"/>
          <w:sz w:val="22"/>
          <w:szCs w:val="24"/>
          <w:lang w:val="en-GB" w:eastAsia="ja-JP"/>
        </w:rPr>
        <w:t xml:space="preserve"> PBA</w:t>
      </w:r>
      <w:r w:rsidR="00BE76CD" w:rsidRPr="00647752">
        <w:rPr>
          <w:rFonts w:ascii="Times New Roman" w:eastAsia="MS Mincho" w:hAnsi="Times New Roman" w:cs="Times New Roman"/>
          <w:sz w:val="22"/>
          <w:szCs w:val="24"/>
          <w:lang w:val="en-GB" w:eastAsia="ja-JP"/>
        </w:rPr>
        <w:t xml:space="preserve"> has become more engaged with the community at all levels</w:t>
      </w:r>
      <w:r w:rsidR="007174C1" w:rsidRPr="00647752">
        <w:rPr>
          <w:rFonts w:ascii="Times New Roman" w:eastAsia="MS Mincho" w:hAnsi="Times New Roman" w:cs="Times New Roman"/>
          <w:sz w:val="22"/>
          <w:szCs w:val="24"/>
          <w:lang w:val="en-GB" w:eastAsia="ja-JP"/>
        </w:rPr>
        <w:t xml:space="preserve">. </w:t>
      </w:r>
      <w:r w:rsidR="00BE76CD" w:rsidRPr="00647752">
        <w:rPr>
          <w:rFonts w:ascii="Times New Roman" w:eastAsia="MS Mincho" w:hAnsi="Times New Roman" w:cs="Times New Roman"/>
          <w:sz w:val="22"/>
          <w:szCs w:val="24"/>
          <w:lang w:val="en-GB" w:eastAsia="ja-JP"/>
        </w:rPr>
        <w:t>This</w:t>
      </w:r>
      <w:r w:rsidR="007174C1" w:rsidRPr="00647752">
        <w:rPr>
          <w:rFonts w:ascii="Times New Roman" w:eastAsia="MS Mincho" w:hAnsi="Times New Roman" w:cs="Times New Roman"/>
          <w:sz w:val="22"/>
          <w:szCs w:val="24"/>
          <w:lang w:val="en-GB" w:eastAsia="ja-JP"/>
        </w:rPr>
        <w:t xml:space="preserve"> is driving clients to the PBA law clin</w:t>
      </w:r>
      <w:r>
        <w:rPr>
          <w:rFonts w:ascii="Times New Roman" w:eastAsia="MS Mincho" w:hAnsi="Times New Roman" w:cs="Times New Roman"/>
          <w:sz w:val="22"/>
          <w:szCs w:val="24"/>
          <w:lang w:val="en-GB" w:eastAsia="ja-JP"/>
        </w:rPr>
        <w:t xml:space="preserve">ic and the project has </w:t>
      </w:r>
      <w:r w:rsidR="007174C1" w:rsidRPr="00647752">
        <w:rPr>
          <w:rFonts w:ascii="Times New Roman" w:eastAsia="MS Mincho" w:hAnsi="Times New Roman" w:cs="Times New Roman"/>
          <w:sz w:val="22"/>
          <w:szCs w:val="24"/>
          <w:lang w:val="en-GB" w:eastAsia="ja-JP"/>
        </w:rPr>
        <w:t>gained media attention that has greatly improved the image of the PBA. Before the proj</w:t>
      </w:r>
      <w:r>
        <w:rPr>
          <w:rFonts w:ascii="Times New Roman" w:eastAsia="MS Mincho" w:hAnsi="Times New Roman" w:cs="Times New Roman"/>
          <w:sz w:val="22"/>
          <w:szCs w:val="24"/>
          <w:lang w:val="en-GB" w:eastAsia="ja-JP"/>
        </w:rPr>
        <w:t>ect started, the bar</w:t>
      </w:r>
      <w:r w:rsidR="007174C1" w:rsidRPr="00647752">
        <w:rPr>
          <w:rFonts w:ascii="Times New Roman" w:eastAsia="MS Mincho" w:hAnsi="Times New Roman" w:cs="Times New Roman"/>
          <w:sz w:val="22"/>
          <w:szCs w:val="24"/>
          <w:lang w:val="en-GB" w:eastAsia="ja-JP"/>
        </w:rPr>
        <w:t xml:space="preserve"> was largely unknown to citizens in Gaza. Those</w:t>
      </w:r>
      <w:r w:rsidR="00BE76CD" w:rsidRPr="00647752">
        <w:rPr>
          <w:rFonts w:ascii="Times New Roman" w:eastAsia="MS Mincho" w:hAnsi="Times New Roman" w:cs="Times New Roman"/>
          <w:sz w:val="22"/>
          <w:szCs w:val="24"/>
          <w:lang w:val="en-GB" w:eastAsia="ja-JP"/>
        </w:rPr>
        <w:t xml:space="preserve"> practicing lawyers who had not previously worked with vulnerable groups have changed their a</w:t>
      </w:r>
      <w:r>
        <w:rPr>
          <w:rFonts w:ascii="Times New Roman" w:eastAsia="MS Mincho" w:hAnsi="Times New Roman" w:cs="Times New Roman"/>
          <w:sz w:val="22"/>
          <w:szCs w:val="24"/>
          <w:lang w:val="en-GB" w:eastAsia="ja-JP"/>
        </w:rPr>
        <w:t>ttitude towards volunteerism. The b</w:t>
      </w:r>
      <w:r w:rsidR="00BE76CD" w:rsidRPr="00647752">
        <w:rPr>
          <w:rFonts w:ascii="Times New Roman" w:eastAsia="MS Mincho" w:hAnsi="Times New Roman" w:cs="Times New Roman"/>
          <w:sz w:val="22"/>
          <w:szCs w:val="24"/>
          <w:lang w:val="en-GB" w:eastAsia="ja-JP"/>
        </w:rPr>
        <w:t xml:space="preserve">ar is very supportive of more lawyers becoming involved and also the law clinics. </w:t>
      </w:r>
      <w:r>
        <w:rPr>
          <w:rFonts w:ascii="Times New Roman" w:eastAsia="MS Mincho" w:hAnsi="Times New Roman" w:cs="Times New Roman"/>
          <w:sz w:val="22"/>
          <w:szCs w:val="24"/>
          <w:lang w:val="en-GB" w:eastAsia="ja-JP"/>
        </w:rPr>
        <w:t>The e</w:t>
      </w:r>
      <w:r w:rsidR="002F4DE5" w:rsidRPr="00647752">
        <w:rPr>
          <w:rFonts w:ascii="Times New Roman" w:eastAsia="MS Mincho" w:hAnsi="Times New Roman" w:cs="Times New Roman"/>
          <w:sz w:val="22"/>
          <w:szCs w:val="24"/>
          <w:lang w:val="en-GB" w:eastAsia="ja-JP"/>
        </w:rPr>
        <w:t>valuation interviewed a number of clients who were represented by the PBA. The results of these interviews a</w:t>
      </w:r>
      <w:r>
        <w:rPr>
          <w:rFonts w:ascii="Times New Roman" w:eastAsia="MS Mincho" w:hAnsi="Times New Roman" w:cs="Times New Roman"/>
          <w:sz w:val="22"/>
          <w:szCs w:val="24"/>
          <w:lang w:val="en-GB" w:eastAsia="ja-JP"/>
        </w:rPr>
        <w:t>re annexed to this report.</w:t>
      </w:r>
    </w:p>
    <w:p w:rsidR="00B672DB" w:rsidRPr="00647752" w:rsidRDefault="00B672DB" w:rsidP="00FB6759">
      <w:pPr>
        <w:spacing w:after="0" w:line="240" w:lineRule="auto"/>
        <w:jc w:val="both"/>
        <w:rPr>
          <w:rFonts w:ascii="Times New Roman" w:eastAsia="MS Mincho" w:hAnsi="Times New Roman" w:cs="Times New Roman"/>
          <w:sz w:val="22"/>
          <w:szCs w:val="24"/>
          <w:lang w:val="en-GB" w:eastAsia="ja-JP"/>
        </w:rPr>
      </w:pPr>
    </w:p>
    <w:p w:rsidR="00651BE7" w:rsidRPr="00647752" w:rsidRDefault="00BE76CD" w:rsidP="00FB6759">
      <w:pPr>
        <w:spacing w:after="0" w:line="240" w:lineRule="auto"/>
        <w:jc w:val="both"/>
        <w:rPr>
          <w:rFonts w:ascii="Times New Roman" w:eastAsia="MS Mincho" w:hAnsi="Times New Roman" w:cs="Times New Roman"/>
          <w:sz w:val="22"/>
          <w:szCs w:val="24"/>
          <w:lang w:val="en-GB" w:eastAsia="ja-JP"/>
        </w:rPr>
      </w:pPr>
      <w:r w:rsidRPr="00647752">
        <w:rPr>
          <w:rFonts w:ascii="Times New Roman" w:eastAsia="MS Mincho" w:hAnsi="Times New Roman" w:cs="Times New Roman"/>
          <w:sz w:val="22"/>
          <w:szCs w:val="24"/>
          <w:lang w:val="en-GB" w:eastAsia="ja-JP"/>
        </w:rPr>
        <w:t xml:space="preserve">The </w:t>
      </w:r>
      <w:r w:rsidR="00ED7D21" w:rsidRPr="00647752">
        <w:rPr>
          <w:rFonts w:ascii="Times New Roman" w:eastAsia="MS Mincho" w:hAnsi="Times New Roman" w:cs="Times New Roman"/>
          <w:sz w:val="22"/>
          <w:szCs w:val="24"/>
          <w:lang w:val="en-GB" w:eastAsia="ja-JP"/>
        </w:rPr>
        <w:t xml:space="preserve">PBA </w:t>
      </w:r>
      <w:r w:rsidR="00337827">
        <w:rPr>
          <w:rFonts w:ascii="Times New Roman" w:eastAsia="MS Mincho" w:hAnsi="Times New Roman" w:cs="Times New Roman"/>
          <w:sz w:val="22"/>
          <w:szCs w:val="24"/>
          <w:lang w:val="en-GB" w:eastAsia="ja-JP"/>
        </w:rPr>
        <w:t>c</w:t>
      </w:r>
      <w:r w:rsidRPr="00647752">
        <w:rPr>
          <w:rFonts w:ascii="Times New Roman" w:eastAsia="MS Mincho" w:hAnsi="Times New Roman" w:cs="Times New Roman"/>
          <w:sz w:val="22"/>
          <w:szCs w:val="24"/>
          <w:lang w:val="en-GB" w:eastAsia="ja-JP"/>
        </w:rPr>
        <w:t>linic gives legal advice to all who walk in to the clinic without regard to income criteria, but only provides actual representation</w:t>
      </w:r>
      <w:r w:rsidR="00ED7D21" w:rsidRPr="00647752">
        <w:rPr>
          <w:rFonts w:ascii="Times New Roman" w:eastAsia="MS Mincho" w:hAnsi="Times New Roman" w:cs="Times New Roman"/>
          <w:sz w:val="22"/>
          <w:szCs w:val="24"/>
          <w:lang w:val="en-GB" w:eastAsia="ja-JP"/>
        </w:rPr>
        <w:t xml:space="preserve"> to those clients that meet its </w:t>
      </w:r>
      <w:r w:rsidRPr="00647752">
        <w:rPr>
          <w:rFonts w:ascii="Times New Roman" w:eastAsia="MS Mincho" w:hAnsi="Times New Roman" w:cs="Times New Roman"/>
          <w:sz w:val="22"/>
          <w:szCs w:val="24"/>
          <w:lang w:val="en-GB" w:eastAsia="ja-JP"/>
        </w:rPr>
        <w:t xml:space="preserve">indigence criteria. </w:t>
      </w:r>
      <w:r w:rsidR="00ED7D21" w:rsidRPr="00647752">
        <w:rPr>
          <w:rFonts w:ascii="Times New Roman" w:eastAsia="MS Mincho" w:hAnsi="Times New Roman" w:cs="Times New Roman"/>
          <w:sz w:val="22"/>
          <w:szCs w:val="24"/>
          <w:lang w:val="en-GB" w:eastAsia="ja-JP"/>
        </w:rPr>
        <w:t>The criteria were developed after wide consultations with a variety o</w:t>
      </w:r>
      <w:r w:rsidR="00337827">
        <w:rPr>
          <w:rFonts w:ascii="Times New Roman" w:eastAsia="MS Mincho" w:hAnsi="Times New Roman" w:cs="Times New Roman"/>
          <w:sz w:val="22"/>
          <w:szCs w:val="24"/>
          <w:lang w:val="en-GB" w:eastAsia="ja-JP"/>
        </w:rPr>
        <w:t>f actors and based upon the PCBS’s definition of indigence. The c</w:t>
      </w:r>
      <w:r w:rsidR="00ED7D21" w:rsidRPr="00647752">
        <w:rPr>
          <w:rFonts w:ascii="Times New Roman" w:eastAsia="MS Mincho" w:hAnsi="Times New Roman" w:cs="Times New Roman"/>
          <w:sz w:val="22"/>
          <w:szCs w:val="24"/>
          <w:lang w:val="en-GB" w:eastAsia="ja-JP"/>
        </w:rPr>
        <w:t xml:space="preserve">linic deals mostly with the civil courts, but also addresses execution of judgements from the </w:t>
      </w:r>
      <w:r w:rsidR="00337827" w:rsidRPr="00337827">
        <w:rPr>
          <w:rFonts w:ascii="Times New Roman" w:eastAsia="MS Mincho" w:hAnsi="Times New Roman" w:cs="Times New Roman"/>
          <w:i/>
          <w:sz w:val="22"/>
          <w:szCs w:val="24"/>
          <w:lang w:val="en-GB" w:eastAsia="ja-JP"/>
        </w:rPr>
        <w:t>s</w:t>
      </w:r>
      <w:r w:rsidR="000C369C" w:rsidRPr="00337827">
        <w:rPr>
          <w:rFonts w:ascii="Times New Roman" w:eastAsia="MS Mincho" w:hAnsi="Times New Roman" w:cs="Times New Roman"/>
          <w:i/>
          <w:sz w:val="22"/>
          <w:szCs w:val="24"/>
          <w:lang w:val="en-GB" w:eastAsia="ja-JP"/>
        </w:rPr>
        <w:t>hari’a</w:t>
      </w:r>
      <w:r w:rsidR="00ED7D21" w:rsidRPr="00647752">
        <w:rPr>
          <w:rFonts w:ascii="Times New Roman" w:eastAsia="MS Mincho" w:hAnsi="Times New Roman" w:cs="Times New Roman"/>
          <w:sz w:val="22"/>
          <w:szCs w:val="24"/>
          <w:lang w:val="en-GB" w:eastAsia="ja-JP"/>
        </w:rPr>
        <w:t xml:space="preserve"> courts and a limited number of criminal defendants.</w:t>
      </w:r>
      <w:r w:rsidR="00ED7D21" w:rsidRPr="00647752">
        <w:rPr>
          <w:rStyle w:val="FootnoteReference"/>
          <w:rFonts w:ascii="Times New Roman" w:eastAsia="MS Mincho" w:hAnsi="Times New Roman" w:cs="Times New Roman"/>
          <w:sz w:val="22"/>
          <w:szCs w:val="24"/>
          <w:lang w:val="en-GB" w:eastAsia="ja-JP"/>
        </w:rPr>
        <w:footnoteReference w:id="187"/>
      </w:r>
      <w:r w:rsidR="00ED7D21" w:rsidRPr="00647752">
        <w:rPr>
          <w:rFonts w:ascii="Times New Roman" w:eastAsia="MS Mincho" w:hAnsi="Times New Roman" w:cs="Times New Roman"/>
          <w:sz w:val="22"/>
          <w:szCs w:val="24"/>
          <w:lang w:val="en-GB" w:eastAsia="ja-JP"/>
        </w:rPr>
        <w:t xml:space="preserve"> Cases handled to date have included labour</w:t>
      </w:r>
      <w:r w:rsidR="00337827">
        <w:rPr>
          <w:rFonts w:ascii="Times New Roman" w:eastAsia="MS Mincho" w:hAnsi="Times New Roman" w:cs="Times New Roman"/>
          <w:sz w:val="22"/>
          <w:szCs w:val="24"/>
          <w:lang w:val="en-GB" w:eastAsia="ja-JP"/>
        </w:rPr>
        <w:t xml:space="preserve">; land law; </w:t>
      </w:r>
      <w:r w:rsidRPr="00647752">
        <w:rPr>
          <w:rFonts w:ascii="Times New Roman" w:eastAsia="MS Mincho" w:hAnsi="Times New Roman" w:cs="Times New Roman"/>
          <w:sz w:val="22"/>
          <w:szCs w:val="24"/>
          <w:lang w:val="en-GB" w:eastAsia="ja-JP"/>
        </w:rPr>
        <w:t>GBV</w:t>
      </w:r>
      <w:r w:rsidR="00ED7D21" w:rsidRPr="00647752">
        <w:rPr>
          <w:rFonts w:ascii="Times New Roman" w:eastAsia="MS Mincho" w:hAnsi="Times New Roman" w:cs="Times New Roman"/>
          <w:sz w:val="22"/>
          <w:szCs w:val="24"/>
          <w:lang w:val="en-GB" w:eastAsia="ja-JP"/>
        </w:rPr>
        <w:t xml:space="preserve"> and </w:t>
      </w:r>
      <w:r w:rsidRPr="00647752">
        <w:rPr>
          <w:rFonts w:ascii="Times New Roman" w:eastAsia="MS Mincho" w:hAnsi="Times New Roman" w:cs="Times New Roman"/>
          <w:sz w:val="22"/>
          <w:szCs w:val="24"/>
          <w:lang w:val="en-GB" w:eastAsia="ja-JP"/>
        </w:rPr>
        <w:t xml:space="preserve">inheritance </w:t>
      </w:r>
      <w:r w:rsidR="00ED7D21" w:rsidRPr="00647752">
        <w:rPr>
          <w:rFonts w:ascii="Times New Roman" w:eastAsia="MS Mincho" w:hAnsi="Times New Roman" w:cs="Times New Roman"/>
          <w:sz w:val="22"/>
          <w:szCs w:val="24"/>
          <w:lang w:val="en-GB" w:eastAsia="ja-JP"/>
        </w:rPr>
        <w:t>for women</w:t>
      </w:r>
      <w:r w:rsidRPr="00647752">
        <w:rPr>
          <w:rFonts w:ascii="Times New Roman" w:eastAsia="MS Mincho" w:hAnsi="Times New Roman" w:cs="Times New Roman"/>
          <w:sz w:val="22"/>
          <w:szCs w:val="24"/>
          <w:lang w:val="en-GB" w:eastAsia="ja-JP"/>
        </w:rPr>
        <w:t>.</w:t>
      </w:r>
    </w:p>
    <w:p w:rsidR="00ED7D21" w:rsidRPr="00647752" w:rsidRDefault="00ED7D21" w:rsidP="00FB6759">
      <w:pPr>
        <w:spacing w:after="0" w:line="240" w:lineRule="auto"/>
        <w:jc w:val="both"/>
        <w:rPr>
          <w:rFonts w:ascii="Times New Roman" w:eastAsia="MS Mincho" w:hAnsi="Times New Roman" w:cs="Times New Roman"/>
          <w:sz w:val="22"/>
          <w:szCs w:val="24"/>
          <w:lang w:val="en-GB" w:eastAsia="ja-JP"/>
        </w:rPr>
      </w:pPr>
    </w:p>
    <w:p w:rsidR="00337827" w:rsidRDefault="009E5701" w:rsidP="00FB6759">
      <w:pPr>
        <w:spacing w:after="0" w:line="240" w:lineRule="auto"/>
        <w:jc w:val="both"/>
        <w:rPr>
          <w:rFonts w:ascii="Times New Roman" w:eastAsia="MS Mincho" w:hAnsi="Times New Roman" w:cs="Times New Roman"/>
          <w:sz w:val="22"/>
          <w:szCs w:val="24"/>
          <w:lang w:val="en-GB" w:eastAsia="ja-JP"/>
        </w:rPr>
      </w:pPr>
      <w:r w:rsidRPr="00647752">
        <w:rPr>
          <w:rFonts w:ascii="Times New Roman" w:eastAsia="MS Mincho" w:hAnsi="Times New Roman" w:cs="Times New Roman"/>
          <w:sz w:val="22"/>
          <w:szCs w:val="24"/>
          <w:lang w:val="en-GB" w:eastAsia="ja-JP"/>
        </w:rPr>
        <w:t xml:space="preserve">The </w:t>
      </w:r>
      <w:r w:rsidR="00337827">
        <w:rPr>
          <w:rFonts w:ascii="Times New Roman" w:eastAsia="MS Mincho" w:hAnsi="Times New Roman" w:cs="Times New Roman"/>
          <w:sz w:val="22"/>
          <w:szCs w:val="24"/>
          <w:lang w:val="en-GB" w:eastAsia="ja-JP"/>
        </w:rPr>
        <w:t>c</w:t>
      </w:r>
      <w:r w:rsidR="00651BE7" w:rsidRPr="00647752">
        <w:rPr>
          <w:rFonts w:ascii="Times New Roman" w:eastAsia="MS Mincho" w:hAnsi="Times New Roman" w:cs="Times New Roman"/>
          <w:sz w:val="22"/>
          <w:szCs w:val="24"/>
          <w:lang w:val="en-GB" w:eastAsia="ja-JP"/>
        </w:rPr>
        <w:t xml:space="preserve">linic is working with women in general </w:t>
      </w:r>
      <w:r w:rsidR="00337827">
        <w:rPr>
          <w:rFonts w:ascii="Times New Roman" w:eastAsia="MS Mincho" w:hAnsi="Times New Roman" w:cs="Times New Roman"/>
          <w:sz w:val="22"/>
          <w:szCs w:val="24"/>
          <w:lang w:val="en-GB" w:eastAsia="ja-JP"/>
        </w:rPr>
        <w:t xml:space="preserve">and also with </w:t>
      </w:r>
      <w:r w:rsidR="00651BE7" w:rsidRPr="00647752">
        <w:rPr>
          <w:rFonts w:ascii="Times New Roman" w:eastAsia="MS Mincho" w:hAnsi="Times New Roman" w:cs="Times New Roman"/>
          <w:sz w:val="22"/>
          <w:szCs w:val="24"/>
          <w:lang w:val="en-GB" w:eastAsia="ja-JP"/>
        </w:rPr>
        <w:t xml:space="preserve">female </w:t>
      </w:r>
      <w:r w:rsidR="00337827">
        <w:rPr>
          <w:rFonts w:ascii="Times New Roman" w:eastAsia="MS Mincho" w:hAnsi="Times New Roman" w:cs="Times New Roman"/>
          <w:sz w:val="22"/>
          <w:szCs w:val="24"/>
          <w:lang w:val="en-GB" w:eastAsia="ja-JP"/>
        </w:rPr>
        <w:t xml:space="preserve">law </w:t>
      </w:r>
      <w:r w:rsidR="00651BE7" w:rsidRPr="00647752">
        <w:rPr>
          <w:rFonts w:ascii="Times New Roman" w:eastAsia="MS Mincho" w:hAnsi="Times New Roman" w:cs="Times New Roman"/>
          <w:sz w:val="22"/>
          <w:szCs w:val="24"/>
          <w:lang w:val="en-GB" w:eastAsia="ja-JP"/>
        </w:rPr>
        <w:t>students. The same women who have benefited from UNDP awareness-raising activities are coming to the clinic to seek their rights. Last year about 25,000 beneficiaries from all over the</w:t>
      </w:r>
      <w:r w:rsidR="00337827">
        <w:rPr>
          <w:rFonts w:ascii="Times New Roman" w:eastAsia="MS Mincho" w:hAnsi="Times New Roman" w:cs="Times New Roman"/>
          <w:sz w:val="22"/>
          <w:szCs w:val="24"/>
          <w:lang w:val="en-GB" w:eastAsia="ja-JP"/>
        </w:rPr>
        <w:t xml:space="preserve"> Gaza strip came forward. Only five or six</w:t>
      </w:r>
      <w:r w:rsidR="00651BE7" w:rsidRPr="00647752">
        <w:rPr>
          <w:rFonts w:ascii="Times New Roman" w:eastAsia="MS Mincho" w:hAnsi="Times New Roman" w:cs="Times New Roman"/>
          <w:sz w:val="22"/>
          <w:szCs w:val="24"/>
          <w:lang w:val="en-GB" w:eastAsia="ja-JP"/>
        </w:rPr>
        <w:t xml:space="preserve"> years ago, the lawyers and human rights advocates had to go into women’s’ homes door-to-door in communities to solicit clients and encourage women to come forward. As of 2012, many wome</w:t>
      </w:r>
      <w:r w:rsidR="00337827">
        <w:rPr>
          <w:rFonts w:ascii="Times New Roman" w:eastAsia="MS Mincho" w:hAnsi="Times New Roman" w:cs="Times New Roman"/>
          <w:sz w:val="22"/>
          <w:szCs w:val="24"/>
          <w:lang w:val="en-GB" w:eastAsia="ja-JP"/>
        </w:rPr>
        <w:t>n were coming to the clinic themselves.</w:t>
      </w:r>
    </w:p>
    <w:p w:rsidR="00337827" w:rsidRDefault="00337827" w:rsidP="00FB6759">
      <w:pPr>
        <w:spacing w:after="0" w:line="240" w:lineRule="auto"/>
        <w:jc w:val="both"/>
        <w:rPr>
          <w:rFonts w:ascii="Times New Roman" w:eastAsia="MS Mincho" w:hAnsi="Times New Roman" w:cs="Times New Roman"/>
          <w:sz w:val="22"/>
          <w:szCs w:val="24"/>
          <w:lang w:val="en-GB" w:eastAsia="ja-JP"/>
        </w:rPr>
      </w:pPr>
    </w:p>
    <w:p w:rsidR="00651BE7" w:rsidRPr="00647752" w:rsidRDefault="00337827" w:rsidP="00FB6759">
      <w:pPr>
        <w:spacing w:after="0" w:line="240" w:lineRule="auto"/>
        <w:jc w:val="both"/>
        <w:rPr>
          <w:rFonts w:ascii="Times New Roman" w:eastAsia="MS Mincho" w:hAnsi="Times New Roman" w:cs="Times New Roman"/>
          <w:sz w:val="22"/>
          <w:szCs w:val="24"/>
          <w:lang w:val="en-GB" w:eastAsia="ja-JP"/>
        </w:rPr>
      </w:pPr>
      <w:r>
        <w:rPr>
          <w:rFonts w:ascii="Times New Roman" w:eastAsia="MS Mincho" w:hAnsi="Times New Roman" w:cs="Times New Roman"/>
          <w:sz w:val="22"/>
          <w:szCs w:val="24"/>
          <w:lang w:val="en-GB" w:eastAsia="ja-JP"/>
        </w:rPr>
        <w:t xml:space="preserve">Last year, the PBA </w:t>
      </w:r>
      <w:r w:rsidR="00BE76CD" w:rsidRPr="00647752">
        <w:rPr>
          <w:rFonts w:ascii="Times New Roman" w:eastAsia="MS Mincho" w:hAnsi="Times New Roman" w:cs="Times New Roman"/>
          <w:sz w:val="22"/>
          <w:szCs w:val="24"/>
          <w:lang w:val="en-GB" w:eastAsia="ja-JP"/>
        </w:rPr>
        <w:t xml:space="preserve">received approximately 80 cases from other legal aid NGOs that </w:t>
      </w:r>
      <w:r w:rsidR="00651BE7" w:rsidRPr="00647752">
        <w:rPr>
          <w:rFonts w:ascii="Times New Roman" w:eastAsia="MS Mincho" w:hAnsi="Times New Roman" w:cs="Times New Roman"/>
          <w:sz w:val="22"/>
          <w:szCs w:val="24"/>
          <w:lang w:val="en-GB" w:eastAsia="ja-JP"/>
        </w:rPr>
        <w:t xml:space="preserve">needed </w:t>
      </w:r>
      <w:r w:rsidR="00BE76CD" w:rsidRPr="00647752">
        <w:rPr>
          <w:rFonts w:ascii="Times New Roman" w:eastAsia="MS Mincho" w:hAnsi="Times New Roman" w:cs="Times New Roman"/>
          <w:sz w:val="22"/>
          <w:szCs w:val="24"/>
          <w:lang w:val="en-GB" w:eastAsia="ja-JP"/>
        </w:rPr>
        <w:t xml:space="preserve">assistance </w:t>
      </w:r>
      <w:r w:rsidR="00651BE7" w:rsidRPr="00647752">
        <w:rPr>
          <w:rFonts w:ascii="Times New Roman" w:eastAsia="MS Mincho" w:hAnsi="Times New Roman" w:cs="Times New Roman"/>
          <w:sz w:val="22"/>
          <w:szCs w:val="24"/>
          <w:lang w:val="en-GB" w:eastAsia="ja-JP"/>
        </w:rPr>
        <w:t xml:space="preserve">with the </w:t>
      </w:r>
      <w:r w:rsidR="00BE76CD" w:rsidRPr="00647752">
        <w:rPr>
          <w:rFonts w:ascii="Times New Roman" w:eastAsia="MS Mincho" w:hAnsi="Times New Roman" w:cs="Times New Roman"/>
          <w:sz w:val="22"/>
          <w:szCs w:val="24"/>
          <w:lang w:val="en-GB" w:eastAsia="ja-JP"/>
        </w:rPr>
        <w:t xml:space="preserve">execution of judgements. The clinic </w:t>
      </w:r>
      <w:r w:rsidR="00651BE7" w:rsidRPr="00647752">
        <w:rPr>
          <w:rFonts w:ascii="Times New Roman" w:eastAsia="MS Mincho" w:hAnsi="Times New Roman" w:cs="Times New Roman"/>
          <w:sz w:val="22"/>
          <w:szCs w:val="24"/>
          <w:lang w:val="en-GB" w:eastAsia="ja-JP"/>
        </w:rPr>
        <w:t xml:space="preserve">had </w:t>
      </w:r>
      <w:r w:rsidR="00BE76CD" w:rsidRPr="00647752">
        <w:rPr>
          <w:rFonts w:ascii="Times New Roman" w:eastAsia="MS Mincho" w:hAnsi="Times New Roman" w:cs="Times New Roman"/>
          <w:sz w:val="22"/>
          <w:szCs w:val="24"/>
          <w:lang w:val="en-GB" w:eastAsia="ja-JP"/>
        </w:rPr>
        <w:t>succeeded in making execution of judgements in 40 of these cases</w:t>
      </w:r>
      <w:r w:rsidR="00651BE7" w:rsidRPr="00647752">
        <w:rPr>
          <w:rFonts w:ascii="Times New Roman" w:eastAsia="MS Mincho" w:hAnsi="Times New Roman" w:cs="Times New Roman"/>
          <w:sz w:val="22"/>
          <w:szCs w:val="24"/>
          <w:lang w:val="en-GB" w:eastAsia="ja-JP"/>
        </w:rPr>
        <w:t xml:space="preserve"> as of January 2013</w:t>
      </w:r>
      <w:r w:rsidR="00ED7D21" w:rsidRPr="00647752">
        <w:rPr>
          <w:rFonts w:ascii="Times New Roman" w:eastAsia="MS Mincho" w:hAnsi="Times New Roman" w:cs="Times New Roman"/>
          <w:sz w:val="22"/>
          <w:szCs w:val="24"/>
          <w:lang w:val="en-GB" w:eastAsia="ja-JP"/>
        </w:rPr>
        <w:t xml:space="preserve">. </w:t>
      </w:r>
      <w:r w:rsidR="000C369C" w:rsidRPr="00337827">
        <w:rPr>
          <w:rFonts w:ascii="Times New Roman" w:eastAsia="MS Mincho" w:hAnsi="Times New Roman" w:cs="Times New Roman"/>
          <w:i/>
          <w:sz w:val="22"/>
          <w:szCs w:val="24"/>
          <w:lang w:val="en-GB" w:eastAsia="ja-JP"/>
        </w:rPr>
        <w:t>Shari’a</w:t>
      </w:r>
      <w:r w:rsidR="00651BE7" w:rsidRPr="00647752">
        <w:rPr>
          <w:rFonts w:ascii="Times New Roman" w:eastAsia="MS Mincho" w:hAnsi="Times New Roman" w:cs="Times New Roman"/>
          <w:sz w:val="22"/>
          <w:szCs w:val="24"/>
          <w:lang w:val="en-GB" w:eastAsia="ja-JP"/>
        </w:rPr>
        <w:t xml:space="preserve"> judges are als</w:t>
      </w:r>
      <w:r>
        <w:rPr>
          <w:rFonts w:ascii="Times New Roman" w:eastAsia="MS Mincho" w:hAnsi="Times New Roman" w:cs="Times New Roman"/>
          <w:sz w:val="22"/>
          <w:szCs w:val="24"/>
          <w:lang w:val="en-GB" w:eastAsia="ja-JP"/>
        </w:rPr>
        <w:t xml:space="preserve">o referring cases. </w:t>
      </w:r>
      <w:r w:rsidR="00651BE7" w:rsidRPr="00647752">
        <w:rPr>
          <w:rFonts w:ascii="Times New Roman" w:eastAsia="MS Mincho" w:hAnsi="Times New Roman" w:cs="Times New Roman"/>
          <w:sz w:val="22"/>
          <w:szCs w:val="24"/>
          <w:lang w:val="en-GB" w:eastAsia="ja-JP"/>
        </w:rPr>
        <w:t>This is a major impact and systematic change in legal culture in Gaza as a direct r</w:t>
      </w:r>
      <w:r>
        <w:rPr>
          <w:rFonts w:ascii="Times New Roman" w:eastAsia="MS Mincho" w:hAnsi="Times New Roman" w:cs="Times New Roman"/>
          <w:sz w:val="22"/>
          <w:szCs w:val="24"/>
          <w:lang w:val="en-GB" w:eastAsia="ja-JP"/>
        </w:rPr>
        <w:t xml:space="preserve">esult of UNDP’s interventions. </w:t>
      </w:r>
      <w:r w:rsidR="00651BE7" w:rsidRPr="00647752">
        <w:rPr>
          <w:rFonts w:ascii="Times New Roman" w:eastAsia="MS Mincho" w:hAnsi="Times New Roman" w:cs="Times New Roman"/>
          <w:sz w:val="22"/>
          <w:szCs w:val="24"/>
          <w:lang w:val="en-GB" w:eastAsia="ja-JP"/>
        </w:rPr>
        <w:t xml:space="preserve">This has also served to enhance the legitimacy of the </w:t>
      </w:r>
      <w:r w:rsidRPr="00337827">
        <w:rPr>
          <w:rFonts w:ascii="Times New Roman" w:eastAsia="MS Mincho" w:hAnsi="Times New Roman" w:cs="Times New Roman"/>
          <w:i/>
          <w:sz w:val="22"/>
          <w:szCs w:val="24"/>
          <w:lang w:val="en-GB" w:eastAsia="ja-JP"/>
        </w:rPr>
        <w:t>s</w:t>
      </w:r>
      <w:r w:rsidR="000C369C" w:rsidRPr="00337827">
        <w:rPr>
          <w:rFonts w:ascii="Times New Roman" w:eastAsia="MS Mincho" w:hAnsi="Times New Roman" w:cs="Times New Roman"/>
          <w:i/>
          <w:sz w:val="22"/>
          <w:szCs w:val="24"/>
          <w:lang w:val="en-GB" w:eastAsia="ja-JP"/>
        </w:rPr>
        <w:t>hari’a</w:t>
      </w:r>
      <w:r w:rsidR="00651BE7" w:rsidRPr="00647752">
        <w:rPr>
          <w:rFonts w:ascii="Times New Roman" w:eastAsia="MS Mincho" w:hAnsi="Times New Roman" w:cs="Times New Roman"/>
          <w:sz w:val="22"/>
          <w:szCs w:val="24"/>
          <w:lang w:val="en-GB" w:eastAsia="ja-JP"/>
        </w:rPr>
        <w:t xml:space="preserve"> courts, as a result of citizens actually being able to execute the judg</w:t>
      </w:r>
      <w:r w:rsidR="00084007">
        <w:rPr>
          <w:rFonts w:ascii="Times New Roman" w:eastAsia="MS Mincho" w:hAnsi="Times New Roman" w:cs="Times New Roman"/>
          <w:sz w:val="22"/>
          <w:szCs w:val="24"/>
          <w:lang w:val="en-GB" w:eastAsia="ja-JP"/>
        </w:rPr>
        <w:t xml:space="preserve">ements that they receive at the </w:t>
      </w:r>
      <w:r w:rsidR="00084007" w:rsidRPr="00084007">
        <w:rPr>
          <w:rFonts w:ascii="Times New Roman" w:eastAsia="MS Mincho" w:hAnsi="Times New Roman" w:cs="Times New Roman"/>
          <w:i/>
          <w:sz w:val="22"/>
          <w:szCs w:val="24"/>
          <w:lang w:val="en-GB" w:eastAsia="ja-JP"/>
        </w:rPr>
        <w:t>s</w:t>
      </w:r>
      <w:r w:rsidR="000C369C" w:rsidRPr="00084007">
        <w:rPr>
          <w:rFonts w:ascii="Times New Roman" w:eastAsia="MS Mincho" w:hAnsi="Times New Roman" w:cs="Times New Roman"/>
          <w:i/>
          <w:sz w:val="22"/>
          <w:szCs w:val="24"/>
          <w:lang w:val="en-GB" w:eastAsia="ja-JP"/>
        </w:rPr>
        <w:t>hari’a</w:t>
      </w:r>
      <w:r w:rsidR="00651BE7" w:rsidRPr="00647752">
        <w:rPr>
          <w:rFonts w:ascii="Times New Roman" w:eastAsia="MS Mincho" w:hAnsi="Times New Roman" w:cs="Times New Roman"/>
          <w:sz w:val="22"/>
          <w:szCs w:val="24"/>
          <w:lang w:val="en-GB" w:eastAsia="ja-JP"/>
        </w:rPr>
        <w:t xml:space="preserve"> cou</w:t>
      </w:r>
      <w:r w:rsidR="00084007">
        <w:rPr>
          <w:rFonts w:ascii="Times New Roman" w:eastAsia="MS Mincho" w:hAnsi="Times New Roman" w:cs="Times New Roman"/>
          <w:sz w:val="22"/>
          <w:szCs w:val="24"/>
          <w:lang w:val="en-GB" w:eastAsia="ja-JP"/>
        </w:rPr>
        <w:t>rts with the help of the programme</w:t>
      </w:r>
      <w:r w:rsidR="00651BE7" w:rsidRPr="00647752">
        <w:rPr>
          <w:rFonts w:ascii="Times New Roman" w:eastAsia="MS Mincho" w:hAnsi="Times New Roman" w:cs="Times New Roman"/>
          <w:sz w:val="22"/>
          <w:szCs w:val="24"/>
          <w:lang w:val="en-GB" w:eastAsia="ja-JP"/>
        </w:rPr>
        <w:t xml:space="preserve">’s legal aid lawyers. </w:t>
      </w:r>
    </w:p>
    <w:p w:rsidR="00651BE7" w:rsidRPr="00647752" w:rsidRDefault="00651BE7" w:rsidP="00FB6759">
      <w:pPr>
        <w:spacing w:after="0" w:line="240" w:lineRule="auto"/>
        <w:jc w:val="both"/>
        <w:rPr>
          <w:rFonts w:ascii="Times New Roman" w:eastAsia="MS Mincho" w:hAnsi="Times New Roman" w:cs="Times New Roman"/>
          <w:sz w:val="22"/>
          <w:szCs w:val="24"/>
          <w:lang w:val="en-GB" w:eastAsia="ja-JP"/>
        </w:rPr>
      </w:pPr>
    </w:p>
    <w:p w:rsidR="00084007" w:rsidRDefault="00651BE7" w:rsidP="00FB6759">
      <w:pPr>
        <w:spacing w:after="0" w:line="240" w:lineRule="auto"/>
        <w:jc w:val="both"/>
        <w:rPr>
          <w:rFonts w:ascii="Times New Roman" w:eastAsia="MS Mincho" w:hAnsi="Times New Roman" w:cs="Times New Roman"/>
          <w:sz w:val="22"/>
          <w:szCs w:val="24"/>
          <w:lang w:val="en-GB" w:eastAsia="ja-JP"/>
        </w:rPr>
      </w:pPr>
      <w:r w:rsidRPr="00647752">
        <w:rPr>
          <w:rFonts w:ascii="Times New Roman" w:eastAsia="MS Mincho" w:hAnsi="Times New Roman" w:cs="Times New Roman"/>
          <w:sz w:val="22"/>
          <w:szCs w:val="24"/>
          <w:lang w:val="en-GB" w:eastAsia="ja-JP"/>
        </w:rPr>
        <w:t xml:space="preserve">With UNDP support the PBA is working to remove barriers between the formal and informal justice.  </w:t>
      </w:r>
      <w:r w:rsidR="00084007">
        <w:rPr>
          <w:rFonts w:ascii="Times New Roman" w:eastAsia="MS Mincho" w:hAnsi="Times New Roman" w:cs="Times New Roman"/>
          <w:sz w:val="22"/>
          <w:szCs w:val="24"/>
          <w:lang w:val="en-GB" w:eastAsia="ja-JP"/>
        </w:rPr>
        <w:t>UNDP support enabled the PBA to raise</w:t>
      </w:r>
      <w:r w:rsidRPr="00647752">
        <w:rPr>
          <w:rFonts w:ascii="Times New Roman" w:eastAsia="MS Mincho" w:hAnsi="Times New Roman" w:cs="Times New Roman"/>
          <w:sz w:val="22"/>
          <w:szCs w:val="24"/>
          <w:lang w:val="en-GB" w:eastAsia="ja-JP"/>
        </w:rPr>
        <w:t xml:space="preserve"> the awareness of the </w:t>
      </w:r>
      <w:r w:rsidR="00084007" w:rsidRPr="00084007">
        <w:rPr>
          <w:rFonts w:ascii="Times New Roman" w:eastAsia="MS Mincho" w:hAnsi="Times New Roman" w:cs="Times New Roman"/>
          <w:i/>
          <w:sz w:val="22"/>
          <w:szCs w:val="24"/>
          <w:lang w:val="en-GB" w:eastAsia="ja-JP"/>
        </w:rPr>
        <w:t>m</w:t>
      </w:r>
      <w:r w:rsidR="00360CF0" w:rsidRPr="00084007">
        <w:rPr>
          <w:rFonts w:ascii="Times New Roman" w:eastAsia="MS Mincho" w:hAnsi="Times New Roman" w:cs="Times New Roman"/>
          <w:i/>
          <w:sz w:val="22"/>
          <w:szCs w:val="24"/>
          <w:lang w:val="en-GB" w:eastAsia="ja-JP"/>
        </w:rPr>
        <w:t>uqtar</w:t>
      </w:r>
      <w:r w:rsidR="00D35C46" w:rsidRPr="00084007">
        <w:rPr>
          <w:rFonts w:ascii="Times New Roman" w:eastAsia="MS Mincho" w:hAnsi="Times New Roman" w:cs="Times New Roman"/>
          <w:i/>
          <w:sz w:val="22"/>
          <w:szCs w:val="24"/>
          <w:lang w:val="en-GB" w:eastAsia="ja-JP"/>
        </w:rPr>
        <w:t>s</w:t>
      </w:r>
      <w:r w:rsidRPr="00647752">
        <w:rPr>
          <w:rFonts w:ascii="Times New Roman" w:eastAsia="MS Mincho" w:hAnsi="Times New Roman" w:cs="Times New Roman"/>
          <w:sz w:val="22"/>
          <w:szCs w:val="24"/>
          <w:lang w:val="en-GB" w:eastAsia="ja-JP"/>
        </w:rPr>
        <w:t xml:space="preserve"> that has resulted in an increase in the number of cases in the courts. </w:t>
      </w:r>
      <w:r w:rsidR="00084007">
        <w:rPr>
          <w:rFonts w:ascii="Times New Roman" w:eastAsia="MS Mincho" w:hAnsi="Times New Roman" w:cs="Times New Roman"/>
          <w:sz w:val="22"/>
          <w:szCs w:val="24"/>
          <w:lang w:val="en-GB" w:eastAsia="ja-JP"/>
        </w:rPr>
        <w:t xml:space="preserve">Almost </w:t>
      </w:r>
      <w:r w:rsidRPr="00647752">
        <w:rPr>
          <w:rFonts w:ascii="Times New Roman" w:eastAsia="MS Mincho" w:hAnsi="Times New Roman" w:cs="Times New Roman"/>
          <w:sz w:val="22"/>
          <w:szCs w:val="24"/>
          <w:lang w:val="en-GB" w:eastAsia="ja-JP"/>
        </w:rPr>
        <w:t>80% of the cases t</w:t>
      </w:r>
      <w:r w:rsidR="00084007">
        <w:rPr>
          <w:rFonts w:ascii="Times New Roman" w:eastAsia="MS Mincho" w:hAnsi="Times New Roman" w:cs="Times New Roman"/>
          <w:sz w:val="22"/>
          <w:szCs w:val="24"/>
          <w:lang w:val="en-GB" w:eastAsia="ja-JP"/>
        </w:rPr>
        <w:t>hat are coming to the PBA clinic</w:t>
      </w:r>
      <w:r w:rsidRPr="00647752">
        <w:rPr>
          <w:rFonts w:ascii="Times New Roman" w:eastAsia="MS Mincho" w:hAnsi="Times New Roman" w:cs="Times New Roman"/>
          <w:sz w:val="22"/>
          <w:szCs w:val="24"/>
          <w:lang w:val="en-GB" w:eastAsia="ja-JP"/>
        </w:rPr>
        <w:t xml:space="preserve"> are ultimately solved informally by traditional mechanisms including </w:t>
      </w:r>
      <w:r w:rsidR="00084007" w:rsidRPr="00084007">
        <w:rPr>
          <w:rFonts w:ascii="Times New Roman" w:eastAsia="MS Mincho" w:hAnsi="Times New Roman" w:cs="Times New Roman"/>
          <w:i/>
          <w:sz w:val="22"/>
          <w:szCs w:val="24"/>
          <w:lang w:val="en-GB" w:eastAsia="ja-JP"/>
        </w:rPr>
        <w:t>m</w:t>
      </w:r>
      <w:r w:rsidR="00360CF0" w:rsidRPr="00084007">
        <w:rPr>
          <w:rFonts w:ascii="Times New Roman" w:eastAsia="MS Mincho" w:hAnsi="Times New Roman" w:cs="Times New Roman"/>
          <w:i/>
          <w:sz w:val="22"/>
          <w:szCs w:val="24"/>
          <w:lang w:val="en-GB" w:eastAsia="ja-JP"/>
        </w:rPr>
        <w:t>uqtar</w:t>
      </w:r>
      <w:r w:rsidR="00D35C46" w:rsidRPr="00084007">
        <w:rPr>
          <w:rFonts w:ascii="Times New Roman" w:eastAsia="MS Mincho" w:hAnsi="Times New Roman" w:cs="Times New Roman"/>
          <w:i/>
          <w:sz w:val="22"/>
          <w:szCs w:val="24"/>
          <w:lang w:val="en-GB" w:eastAsia="ja-JP"/>
        </w:rPr>
        <w:t>s</w:t>
      </w:r>
      <w:r w:rsidRPr="00647752">
        <w:rPr>
          <w:rFonts w:ascii="Times New Roman" w:eastAsia="MS Mincho" w:hAnsi="Times New Roman" w:cs="Times New Roman"/>
          <w:sz w:val="22"/>
          <w:szCs w:val="24"/>
          <w:lang w:val="en-GB" w:eastAsia="ja-JP"/>
        </w:rPr>
        <w:t>. This is perceived by the PBA as having contribut</w:t>
      </w:r>
      <w:r w:rsidR="00084007">
        <w:rPr>
          <w:rFonts w:ascii="Times New Roman" w:eastAsia="MS Mincho" w:hAnsi="Times New Roman" w:cs="Times New Roman"/>
          <w:sz w:val="22"/>
          <w:szCs w:val="24"/>
          <w:lang w:val="en-GB" w:eastAsia="ja-JP"/>
        </w:rPr>
        <w:t>ed to peace in the community. The programme</w:t>
      </w:r>
      <w:r w:rsidRPr="00647752">
        <w:rPr>
          <w:rFonts w:ascii="Times New Roman" w:eastAsia="MS Mincho" w:hAnsi="Times New Roman" w:cs="Times New Roman"/>
          <w:sz w:val="22"/>
          <w:szCs w:val="24"/>
          <w:lang w:val="en-GB" w:eastAsia="ja-JP"/>
        </w:rPr>
        <w:t xml:space="preserve"> has also created a glossary of the terms </w:t>
      </w:r>
      <w:r w:rsidRPr="00647752">
        <w:rPr>
          <w:rFonts w:ascii="Times New Roman" w:eastAsia="MS Mincho" w:hAnsi="Times New Roman" w:cs="Times New Roman"/>
          <w:sz w:val="22"/>
          <w:szCs w:val="24"/>
          <w:lang w:val="en-GB" w:eastAsia="ja-JP"/>
        </w:rPr>
        <w:lastRenderedPageBreak/>
        <w:t xml:space="preserve">used in informal justice system to assist lawyers to bridge the gap between the informal and formal </w:t>
      </w:r>
      <w:r w:rsidR="00084007">
        <w:rPr>
          <w:rFonts w:ascii="Times New Roman" w:eastAsia="MS Mincho" w:hAnsi="Times New Roman" w:cs="Times New Roman"/>
          <w:sz w:val="22"/>
          <w:szCs w:val="24"/>
          <w:lang w:val="en-GB" w:eastAsia="ja-JP"/>
        </w:rPr>
        <w:t>justice.</w:t>
      </w:r>
    </w:p>
    <w:p w:rsidR="00084007" w:rsidRDefault="00084007" w:rsidP="00FB6759">
      <w:pPr>
        <w:spacing w:after="0" w:line="240" w:lineRule="auto"/>
        <w:jc w:val="both"/>
        <w:rPr>
          <w:rFonts w:ascii="Times New Roman" w:eastAsia="MS Mincho" w:hAnsi="Times New Roman" w:cs="Times New Roman"/>
          <w:sz w:val="22"/>
          <w:szCs w:val="24"/>
          <w:lang w:val="en-GB" w:eastAsia="ja-JP"/>
        </w:rPr>
      </w:pPr>
    </w:p>
    <w:p w:rsidR="007174C1" w:rsidRPr="00647752" w:rsidRDefault="00A77500" w:rsidP="00FB6759">
      <w:pPr>
        <w:spacing w:after="0" w:line="240" w:lineRule="auto"/>
        <w:jc w:val="both"/>
        <w:rPr>
          <w:rFonts w:ascii="Times New Roman" w:eastAsia="MS Mincho" w:hAnsi="Times New Roman" w:cs="Times New Roman"/>
          <w:sz w:val="22"/>
          <w:szCs w:val="24"/>
          <w:lang w:val="en-GB" w:eastAsia="ja-JP"/>
        </w:rPr>
      </w:pPr>
      <w:r w:rsidRPr="00647752">
        <w:rPr>
          <w:rFonts w:ascii="Times New Roman" w:eastAsia="MS Mincho" w:hAnsi="Times New Roman" w:cs="Times New Roman"/>
          <w:sz w:val="22"/>
          <w:szCs w:val="24"/>
          <w:lang w:val="en-GB" w:eastAsia="ja-JP"/>
        </w:rPr>
        <w:t xml:space="preserve">Under the </w:t>
      </w:r>
      <w:r w:rsidR="00084007">
        <w:rPr>
          <w:rFonts w:ascii="Times New Roman" w:eastAsia="MS Mincho" w:hAnsi="Times New Roman" w:cs="Times New Roman"/>
          <w:sz w:val="22"/>
          <w:szCs w:val="24"/>
          <w:lang w:val="en-GB" w:eastAsia="ja-JP"/>
        </w:rPr>
        <w:t>UNDP project the PBA</w:t>
      </w:r>
      <w:r w:rsidRPr="00647752">
        <w:rPr>
          <w:rFonts w:ascii="Times New Roman" w:eastAsia="MS Mincho" w:hAnsi="Times New Roman" w:cs="Times New Roman"/>
          <w:sz w:val="22"/>
          <w:szCs w:val="24"/>
          <w:lang w:val="en-GB" w:eastAsia="ja-JP"/>
        </w:rPr>
        <w:t xml:space="preserve"> has engaged and provided training with many </w:t>
      </w:r>
      <w:r w:rsidR="00084007" w:rsidRPr="00084007">
        <w:rPr>
          <w:rFonts w:ascii="Times New Roman" w:eastAsia="MS Mincho" w:hAnsi="Times New Roman" w:cs="Times New Roman"/>
          <w:i/>
          <w:sz w:val="22"/>
          <w:szCs w:val="24"/>
          <w:lang w:val="en-GB" w:eastAsia="ja-JP"/>
        </w:rPr>
        <w:t>m</w:t>
      </w:r>
      <w:r w:rsidR="00360CF0" w:rsidRPr="00084007">
        <w:rPr>
          <w:rFonts w:ascii="Times New Roman" w:eastAsia="MS Mincho" w:hAnsi="Times New Roman" w:cs="Times New Roman"/>
          <w:i/>
          <w:sz w:val="22"/>
          <w:szCs w:val="24"/>
          <w:lang w:val="en-GB" w:eastAsia="ja-JP"/>
        </w:rPr>
        <w:t>uqtar</w:t>
      </w:r>
      <w:r w:rsidR="00D35C46" w:rsidRPr="00084007">
        <w:rPr>
          <w:rFonts w:ascii="Times New Roman" w:eastAsia="MS Mincho" w:hAnsi="Times New Roman" w:cs="Times New Roman"/>
          <w:i/>
          <w:sz w:val="22"/>
          <w:szCs w:val="24"/>
          <w:lang w:val="en-GB" w:eastAsia="ja-JP"/>
        </w:rPr>
        <w:t>s</w:t>
      </w:r>
      <w:r w:rsidR="00084007">
        <w:rPr>
          <w:rFonts w:ascii="Times New Roman" w:eastAsia="MS Mincho" w:hAnsi="Times New Roman" w:cs="Times New Roman"/>
          <w:sz w:val="22"/>
          <w:szCs w:val="24"/>
          <w:lang w:val="en-GB" w:eastAsia="ja-JP"/>
        </w:rPr>
        <w:t xml:space="preserve">. The bar </w:t>
      </w:r>
      <w:r w:rsidRPr="00647752">
        <w:rPr>
          <w:rFonts w:ascii="Times New Roman" w:eastAsia="MS Mincho" w:hAnsi="Times New Roman" w:cs="Times New Roman"/>
          <w:sz w:val="22"/>
          <w:szCs w:val="24"/>
          <w:lang w:val="en-GB" w:eastAsia="ja-JP"/>
        </w:rPr>
        <w:t xml:space="preserve">has established an office for the </w:t>
      </w:r>
      <w:r w:rsidR="00084007" w:rsidRPr="00084007">
        <w:rPr>
          <w:rFonts w:ascii="Times New Roman" w:eastAsia="MS Mincho" w:hAnsi="Times New Roman" w:cs="Times New Roman"/>
          <w:i/>
          <w:sz w:val="22"/>
          <w:szCs w:val="24"/>
          <w:lang w:val="en-GB" w:eastAsia="ja-JP"/>
        </w:rPr>
        <w:t>m</w:t>
      </w:r>
      <w:r w:rsidR="00360CF0" w:rsidRPr="00084007">
        <w:rPr>
          <w:rFonts w:ascii="Times New Roman" w:eastAsia="MS Mincho" w:hAnsi="Times New Roman" w:cs="Times New Roman"/>
          <w:i/>
          <w:sz w:val="22"/>
          <w:szCs w:val="24"/>
          <w:lang w:val="en-GB" w:eastAsia="ja-JP"/>
        </w:rPr>
        <w:t>uqtar</w:t>
      </w:r>
      <w:r w:rsidR="00D35C46" w:rsidRPr="00084007">
        <w:rPr>
          <w:rFonts w:ascii="Times New Roman" w:eastAsia="MS Mincho" w:hAnsi="Times New Roman" w:cs="Times New Roman"/>
          <w:i/>
          <w:sz w:val="22"/>
          <w:szCs w:val="24"/>
          <w:lang w:val="en-GB" w:eastAsia="ja-JP"/>
        </w:rPr>
        <w:t>s</w:t>
      </w:r>
      <w:r w:rsidRPr="00647752">
        <w:rPr>
          <w:rFonts w:ascii="Times New Roman" w:eastAsia="MS Mincho" w:hAnsi="Times New Roman" w:cs="Times New Roman"/>
          <w:sz w:val="22"/>
          <w:szCs w:val="24"/>
          <w:lang w:val="en-GB" w:eastAsia="ja-JP"/>
        </w:rPr>
        <w:t xml:space="preserve"> and m</w:t>
      </w:r>
      <w:r w:rsidR="00084007">
        <w:rPr>
          <w:rFonts w:ascii="Times New Roman" w:eastAsia="MS Mincho" w:hAnsi="Times New Roman" w:cs="Times New Roman"/>
          <w:sz w:val="22"/>
          <w:szCs w:val="24"/>
          <w:lang w:val="en-GB" w:eastAsia="ja-JP"/>
        </w:rPr>
        <w:t>aintains contact with them, seeking</w:t>
      </w:r>
      <w:r w:rsidRPr="00647752">
        <w:rPr>
          <w:rFonts w:ascii="Times New Roman" w:eastAsia="MS Mincho" w:hAnsi="Times New Roman" w:cs="Times New Roman"/>
          <w:sz w:val="22"/>
          <w:szCs w:val="24"/>
          <w:lang w:val="en-GB" w:eastAsia="ja-JP"/>
        </w:rPr>
        <w:t xml:space="preserve"> to e</w:t>
      </w:r>
      <w:r w:rsidR="007A4437" w:rsidRPr="00647752">
        <w:rPr>
          <w:rFonts w:ascii="Times New Roman" w:eastAsia="MS Mincho" w:hAnsi="Times New Roman" w:cs="Times New Roman"/>
          <w:sz w:val="22"/>
          <w:szCs w:val="24"/>
          <w:lang w:val="en-GB" w:eastAsia="ja-JP"/>
        </w:rPr>
        <w:t>n</w:t>
      </w:r>
      <w:r w:rsidRPr="00647752">
        <w:rPr>
          <w:rFonts w:ascii="Times New Roman" w:eastAsia="MS Mincho" w:hAnsi="Times New Roman" w:cs="Times New Roman"/>
          <w:sz w:val="22"/>
          <w:szCs w:val="24"/>
          <w:lang w:val="en-GB" w:eastAsia="ja-JP"/>
        </w:rPr>
        <w:t xml:space="preserve">sure that the judgements of the </w:t>
      </w:r>
      <w:r w:rsidR="00084007" w:rsidRPr="00084007">
        <w:rPr>
          <w:rFonts w:ascii="Times New Roman" w:eastAsia="MS Mincho" w:hAnsi="Times New Roman" w:cs="Times New Roman"/>
          <w:i/>
          <w:sz w:val="22"/>
          <w:szCs w:val="24"/>
          <w:lang w:val="en-GB" w:eastAsia="ja-JP"/>
        </w:rPr>
        <w:t>m</w:t>
      </w:r>
      <w:r w:rsidR="00360CF0" w:rsidRPr="00084007">
        <w:rPr>
          <w:rFonts w:ascii="Times New Roman" w:eastAsia="MS Mincho" w:hAnsi="Times New Roman" w:cs="Times New Roman"/>
          <w:i/>
          <w:sz w:val="22"/>
          <w:szCs w:val="24"/>
          <w:lang w:val="en-GB" w:eastAsia="ja-JP"/>
        </w:rPr>
        <w:t>uqtar</w:t>
      </w:r>
      <w:r w:rsidR="007A4437" w:rsidRPr="00084007">
        <w:rPr>
          <w:rFonts w:ascii="Times New Roman" w:eastAsia="MS Mincho" w:hAnsi="Times New Roman" w:cs="Times New Roman"/>
          <w:i/>
          <w:sz w:val="22"/>
          <w:szCs w:val="24"/>
          <w:lang w:val="en-GB" w:eastAsia="ja-JP"/>
        </w:rPr>
        <w:t>s</w:t>
      </w:r>
      <w:r w:rsidRPr="00647752">
        <w:rPr>
          <w:rFonts w:ascii="Times New Roman" w:eastAsia="MS Mincho" w:hAnsi="Times New Roman" w:cs="Times New Roman"/>
          <w:sz w:val="22"/>
          <w:szCs w:val="24"/>
          <w:lang w:val="en-GB" w:eastAsia="ja-JP"/>
        </w:rPr>
        <w:t xml:space="preserve"> are not in conflict with the law. The </w:t>
      </w:r>
      <w:r w:rsidR="00084007" w:rsidRPr="00084007">
        <w:rPr>
          <w:rFonts w:ascii="Times New Roman" w:eastAsia="MS Mincho" w:hAnsi="Times New Roman" w:cs="Times New Roman"/>
          <w:i/>
          <w:sz w:val="22"/>
          <w:szCs w:val="24"/>
          <w:lang w:val="en-GB" w:eastAsia="ja-JP"/>
        </w:rPr>
        <w:t>m</w:t>
      </w:r>
      <w:r w:rsidR="00360CF0" w:rsidRPr="00084007">
        <w:rPr>
          <w:rFonts w:ascii="Times New Roman" w:eastAsia="MS Mincho" w:hAnsi="Times New Roman" w:cs="Times New Roman"/>
          <w:i/>
          <w:sz w:val="22"/>
          <w:szCs w:val="24"/>
          <w:lang w:val="en-GB" w:eastAsia="ja-JP"/>
        </w:rPr>
        <w:t>uqtar</w:t>
      </w:r>
      <w:r w:rsidR="00D35C46" w:rsidRPr="00084007">
        <w:rPr>
          <w:rFonts w:ascii="Times New Roman" w:eastAsia="MS Mincho" w:hAnsi="Times New Roman" w:cs="Times New Roman"/>
          <w:i/>
          <w:sz w:val="22"/>
          <w:szCs w:val="24"/>
          <w:lang w:val="en-GB" w:eastAsia="ja-JP"/>
        </w:rPr>
        <w:t>s</w:t>
      </w:r>
      <w:r w:rsidRPr="00647752">
        <w:rPr>
          <w:rFonts w:ascii="Times New Roman" w:eastAsia="MS Mincho" w:hAnsi="Times New Roman" w:cs="Times New Roman"/>
          <w:sz w:val="22"/>
          <w:szCs w:val="24"/>
          <w:lang w:val="en-GB" w:eastAsia="ja-JP"/>
        </w:rPr>
        <w:t xml:space="preserve"> have a very crucial role in performing mediation and solving </w:t>
      </w:r>
      <w:r w:rsidR="00084007">
        <w:rPr>
          <w:rFonts w:ascii="Times New Roman" w:eastAsia="MS Mincho" w:hAnsi="Times New Roman" w:cs="Times New Roman"/>
          <w:sz w:val="22"/>
          <w:szCs w:val="24"/>
          <w:lang w:val="en-GB" w:eastAsia="ja-JP"/>
        </w:rPr>
        <w:t xml:space="preserve">cases. In fact, almost </w:t>
      </w:r>
      <w:r w:rsidRPr="00647752">
        <w:rPr>
          <w:rFonts w:ascii="Times New Roman" w:eastAsia="MS Mincho" w:hAnsi="Times New Roman" w:cs="Times New Roman"/>
          <w:sz w:val="22"/>
          <w:szCs w:val="24"/>
          <w:lang w:val="en-GB" w:eastAsia="ja-JP"/>
        </w:rPr>
        <w:t>90% of cases that reach the courts have been agreed to in advance infor</w:t>
      </w:r>
      <w:r w:rsidR="00084007">
        <w:rPr>
          <w:rFonts w:ascii="Times New Roman" w:eastAsia="MS Mincho" w:hAnsi="Times New Roman" w:cs="Times New Roman"/>
          <w:sz w:val="22"/>
          <w:szCs w:val="24"/>
          <w:lang w:val="en-GB" w:eastAsia="ja-JP"/>
        </w:rPr>
        <w:t>mally between the parties by a</w:t>
      </w:r>
      <w:r w:rsidR="00E8775C">
        <w:rPr>
          <w:rFonts w:ascii="Times New Roman" w:eastAsia="MS Mincho" w:hAnsi="Times New Roman" w:cs="Times New Roman"/>
          <w:sz w:val="22"/>
          <w:szCs w:val="24"/>
          <w:lang w:val="en-GB" w:eastAsia="ja-JP"/>
        </w:rPr>
        <w:t xml:space="preserve"> </w:t>
      </w:r>
      <w:r w:rsidR="00084007" w:rsidRPr="00084007">
        <w:rPr>
          <w:rFonts w:ascii="Times New Roman" w:eastAsia="MS Mincho" w:hAnsi="Times New Roman" w:cs="Times New Roman"/>
          <w:i/>
          <w:sz w:val="22"/>
          <w:szCs w:val="24"/>
          <w:lang w:val="en-GB" w:eastAsia="ja-JP"/>
        </w:rPr>
        <w:t>m</w:t>
      </w:r>
      <w:r w:rsidR="00360CF0" w:rsidRPr="00084007">
        <w:rPr>
          <w:rFonts w:ascii="Times New Roman" w:eastAsia="MS Mincho" w:hAnsi="Times New Roman" w:cs="Times New Roman"/>
          <w:i/>
          <w:sz w:val="22"/>
          <w:szCs w:val="24"/>
          <w:lang w:val="en-GB" w:eastAsia="ja-JP"/>
        </w:rPr>
        <w:t>uqtar</w:t>
      </w:r>
      <w:r w:rsidRPr="00647752">
        <w:rPr>
          <w:rFonts w:ascii="Times New Roman" w:eastAsia="MS Mincho" w:hAnsi="Times New Roman" w:cs="Times New Roman"/>
          <w:sz w:val="22"/>
          <w:szCs w:val="24"/>
          <w:lang w:val="en-GB" w:eastAsia="ja-JP"/>
        </w:rPr>
        <w:t xml:space="preserve"> and onl</w:t>
      </w:r>
      <w:r w:rsidR="00084007">
        <w:rPr>
          <w:rFonts w:ascii="Times New Roman" w:eastAsia="MS Mincho" w:hAnsi="Times New Roman" w:cs="Times New Roman"/>
          <w:sz w:val="22"/>
          <w:szCs w:val="24"/>
          <w:lang w:val="en-GB" w:eastAsia="ja-JP"/>
        </w:rPr>
        <w:t>y need to be validated by the co</w:t>
      </w:r>
      <w:r w:rsidRPr="00647752">
        <w:rPr>
          <w:rFonts w:ascii="Times New Roman" w:eastAsia="MS Mincho" w:hAnsi="Times New Roman" w:cs="Times New Roman"/>
          <w:sz w:val="22"/>
          <w:szCs w:val="24"/>
          <w:lang w:val="en-GB" w:eastAsia="ja-JP"/>
        </w:rPr>
        <w:t xml:space="preserve">urt.       </w:t>
      </w:r>
    </w:p>
    <w:p w:rsidR="00A77500" w:rsidRPr="00647752" w:rsidRDefault="00A77500" w:rsidP="00FB6759">
      <w:pPr>
        <w:spacing w:after="0" w:line="240" w:lineRule="auto"/>
        <w:jc w:val="both"/>
        <w:rPr>
          <w:rFonts w:ascii="Times New Roman" w:eastAsia="MS Mincho" w:hAnsi="Times New Roman" w:cs="Times New Roman"/>
          <w:sz w:val="22"/>
          <w:szCs w:val="24"/>
          <w:lang w:val="en-GB" w:eastAsia="ja-JP"/>
        </w:rPr>
      </w:pPr>
    </w:p>
    <w:p w:rsidR="00BE76CD" w:rsidRPr="00647752" w:rsidRDefault="00373EF2" w:rsidP="00FB6759">
      <w:pPr>
        <w:spacing w:after="0" w:line="240" w:lineRule="auto"/>
        <w:jc w:val="both"/>
        <w:rPr>
          <w:rFonts w:ascii="Times New Roman" w:eastAsia="MS Mincho" w:hAnsi="Times New Roman" w:cs="Times New Roman"/>
          <w:sz w:val="22"/>
          <w:szCs w:val="24"/>
          <w:lang w:val="en-GB" w:eastAsia="ja-JP"/>
        </w:rPr>
      </w:pPr>
      <w:r>
        <w:rPr>
          <w:rFonts w:ascii="Times New Roman" w:eastAsia="MS Mincho" w:hAnsi="Times New Roman" w:cs="Times New Roman"/>
          <w:sz w:val="22"/>
          <w:szCs w:val="24"/>
          <w:lang w:val="en-GB" w:eastAsia="ja-JP"/>
        </w:rPr>
        <w:t>The programme</w:t>
      </w:r>
      <w:r w:rsidR="00651BE7" w:rsidRPr="00647752">
        <w:rPr>
          <w:rFonts w:ascii="Times New Roman" w:eastAsia="MS Mincho" w:hAnsi="Times New Roman" w:cs="Times New Roman"/>
          <w:sz w:val="22"/>
          <w:szCs w:val="24"/>
          <w:lang w:val="en-GB" w:eastAsia="ja-JP"/>
        </w:rPr>
        <w:t xml:space="preserve"> has also represented clients such as juveniles; detainees </w:t>
      </w:r>
      <w:r w:rsidR="00F374AD" w:rsidRPr="00647752">
        <w:rPr>
          <w:rFonts w:ascii="Times New Roman" w:eastAsia="MS Mincho" w:hAnsi="Times New Roman" w:cs="Times New Roman"/>
          <w:sz w:val="22"/>
          <w:szCs w:val="24"/>
          <w:lang w:val="en-GB" w:eastAsia="ja-JP"/>
        </w:rPr>
        <w:t>(</w:t>
      </w:r>
      <w:r w:rsidR="00554DEC" w:rsidRPr="00647752">
        <w:rPr>
          <w:rFonts w:ascii="Times New Roman" w:eastAsia="MS Mincho" w:hAnsi="Times New Roman" w:cs="Times New Roman"/>
          <w:sz w:val="22"/>
          <w:szCs w:val="24"/>
          <w:lang w:val="en-GB" w:eastAsia="ja-JP"/>
        </w:rPr>
        <w:t>pre-trial</w:t>
      </w:r>
      <w:r w:rsidR="00651BE7" w:rsidRPr="00647752">
        <w:rPr>
          <w:rFonts w:ascii="Times New Roman" w:eastAsia="MS Mincho" w:hAnsi="Times New Roman" w:cs="Times New Roman"/>
          <w:sz w:val="22"/>
          <w:szCs w:val="24"/>
          <w:lang w:val="en-GB" w:eastAsia="ja-JP"/>
        </w:rPr>
        <w:t xml:space="preserve"> detention), etc. and has established a relationship with officials at the prisons that have resulted in limited change. This has also made gaps in the system more apparent. The</w:t>
      </w:r>
      <w:r w:rsidR="000063A3">
        <w:rPr>
          <w:rFonts w:ascii="Times New Roman" w:eastAsia="MS Mincho" w:hAnsi="Times New Roman" w:cs="Times New Roman"/>
          <w:sz w:val="22"/>
          <w:szCs w:val="24"/>
          <w:lang w:val="en-GB" w:eastAsia="ja-JP"/>
        </w:rPr>
        <w:t xml:space="preserve"> </w:t>
      </w:r>
      <w:r w:rsidR="00651BE7" w:rsidRPr="00647752">
        <w:rPr>
          <w:rFonts w:ascii="Times New Roman" w:eastAsia="MS Mincho" w:hAnsi="Times New Roman" w:cs="Times New Roman"/>
          <w:sz w:val="22"/>
          <w:szCs w:val="24"/>
          <w:lang w:val="en-GB" w:eastAsia="ja-JP"/>
        </w:rPr>
        <w:t>PBA’s UNDP supported advocacy campaigns</w:t>
      </w:r>
      <w:r w:rsidR="007174C1" w:rsidRPr="00647752">
        <w:rPr>
          <w:rFonts w:ascii="Times New Roman" w:eastAsia="MS Mincho" w:hAnsi="Times New Roman" w:cs="Times New Roman"/>
          <w:sz w:val="22"/>
          <w:szCs w:val="24"/>
          <w:lang w:val="en-GB" w:eastAsia="ja-JP"/>
        </w:rPr>
        <w:t xml:space="preserve"> took on a very controversial issue of dru</w:t>
      </w:r>
      <w:r w:rsidR="000A6A05" w:rsidRPr="00647752">
        <w:rPr>
          <w:rFonts w:ascii="Times New Roman" w:eastAsia="MS Mincho" w:hAnsi="Times New Roman" w:cs="Times New Roman"/>
          <w:sz w:val="22"/>
          <w:szCs w:val="24"/>
          <w:lang w:val="en-GB" w:eastAsia="ja-JP"/>
        </w:rPr>
        <w:t>g</w:t>
      </w:r>
      <w:r w:rsidR="007174C1" w:rsidRPr="00647752">
        <w:rPr>
          <w:rFonts w:ascii="Times New Roman" w:eastAsia="MS Mincho" w:hAnsi="Times New Roman" w:cs="Times New Roman"/>
          <w:sz w:val="22"/>
          <w:szCs w:val="24"/>
          <w:lang w:val="en-GB" w:eastAsia="ja-JP"/>
        </w:rPr>
        <w:t xml:space="preserve"> abuse in Gaza</w:t>
      </w:r>
      <w:r w:rsidR="00651BE7" w:rsidRPr="00647752">
        <w:rPr>
          <w:rFonts w:ascii="Times New Roman" w:eastAsia="MS Mincho" w:hAnsi="Times New Roman" w:cs="Times New Roman"/>
          <w:sz w:val="22"/>
          <w:szCs w:val="24"/>
          <w:lang w:val="en-GB" w:eastAsia="ja-JP"/>
        </w:rPr>
        <w:t xml:space="preserve"> and the incidence of the drug </w:t>
      </w:r>
      <w:r>
        <w:rPr>
          <w:rFonts w:ascii="Times New Roman" w:eastAsia="MS Mincho" w:hAnsi="Times New Roman" w:cs="Times New Roman"/>
          <w:sz w:val="22"/>
          <w:szCs w:val="24"/>
          <w:lang w:val="en-GB" w:eastAsia="ja-JP"/>
        </w:rPr>
        <w:t>Tromodol</w:t>
      </w:r>
      <w:r w:rsidR="007174C1" w:rsidRPr="00647752">
        <w:rPr>
          <w:rFonts w:ascii="Times New Roman" w:eastAsia="MS Mincho" w:hAnsi="Times New Roman" w:cs="Times New Roman"/>
          <w:sz w:val="22"/>
          <w:szCs w:val="24"/>
          <w:lang w:val="en-GB" w:eastAsia="ja-JP"/>
        </w:rPr>
        <w:t xml:space="preserve"> being smuggled in via the tunnels</w:t>
      </w:r>
      <w:r w:rsidR="00651BE7" w:rsidRPr="00647752">
        <w:rPr>
          <w:rFonts w:ascii="Times New Roman" w:eastAsia="MS Mincho" w:hAnsi="Times New Roman" w:cs="Times New Roman"/>
          <w:sz w:val="22"/>
          <w:szCs w:val="24"/>
          <w:lang w:val="en-GB" w:eastAsia="ja-JP"/>
        </w:rPr>
        <w:t xml:space="preserve"> and abused by youth</w:t>
      </w:r>
      <w:r w:rsidR="007174C1" w:rsidRPr="00647752">
        <w:rPr>
          <w:rFonts w:ascii="Times New Roman" w:eastAsia="MS Mincho" w:hAnsi="Times New Roman" w:cs="Times New Roman"/>
          <w:sz w:val="22"/>
          <w:szCs w:val="24"/>
          <w:lang w:val="en-GB" w:eastAsia="ja-JP"/>
        </w:rPr>
        <w:t>.</w:t>
      </w:r>
      <w:r w:rsidR="000063A3">
        <w:rPr>
          <w:rFonts w:ascii="Times New Roman" w:eastAsia="MS Mincho" w:hAnsi="Times New Roman" w:cs="Times New Roman"/>
          <w:sz w:val="22"/>
          <w:szCs w:val="24"/>
          <w:lang w:val="en-GB" w:eastAsia="ja-JP"/>
        </w:rPr>
        <w:t xml:space="preserve"> </w:t>
      </w:r>
      <w:r w:rsidR="007174C1" w:rsidRPr="00647752">
        <w:rPr>
          <w:rFonts w:ascii="Times New Roman" w:eastAsia="MS Mincho" w:hAnsi="Times New Roman" w:cs="Times New Roman"/>
          <w:sz w:val="22"/>
          <w:szCs w:val="24"/>
          <w:lang w:val="en-GB" w:eastAsia="ja-JP"/>
        </w:rPr>
        <w:t xml:space="preserve">Another advocacy campaign is entitled, “My rights” that spreads information about rights for </w:t>
      </w:r>
      <w:r w:rsidR="00651BE7" w:rsidRPr="00647752">
        <w:rPr>
          <w:rFonts w:ascii="Times New Roman" w:eastAsia="MS Mincho" w:hAnsi="Times New Roman" w:cs="Times New Roman"/>
          <w:sz w:val="22"/>
          <w:szCs w:val="24"/>
          <w:lang w:val="en-GB" w:eastAsia="ja-JP"/>
        </w:rPr>
        <w:t>women</w:t>
      </w:r>
      <w:r w:rsidR="007174C1" w:rsidRPr="00647752">
        <w:rPr>
          <w:rFonts w:ascii="Times New Roman" w:eastAsia="MS Mincho" w:hAnsi="Times New Roman" w:cs="Times New Roman"/>
          <w:sz w:val="22"/>
          <w:szCs w:val="24"/>
          <w:lang w:val="en-GB" w:eastAsia="ja-JP"/>
        </w:rPr>
        <w:t xml:space="preserve">, workers and juveniles.  </w:t>
      </w:r>
    </w:p>
    <w:p w:rsidR="00BE76CD" w:rsidRPr="00647752" w:rsidRDefault="00BE76CD" w:rsidP="00FB6759">
      <w:pPr>
        <w:spacing w:after="0" w:line="240" w:lineRule="auto"/>
        <w:jc w:val="both"/>
        <w:rPr>
          <w:rFonts w:ascii="Times New Roman" w:eastAsia="MS Mincho" w:hAnsi="Times New Roman" w:cs="Times New Roman"/>
          <w:sz w:val="22"/>
          <w:szCs w:val="24"/>
          <w:u w:val="single"/>
          <w:lang w:val="en-GB" w:eastAsia="ja-JP"/>
        </w:rPr>
      </w:pPr>
    </w:p>
    <w:p w:rsidR="00532354" w:rsidRPr="00373EF2" w:rsidRDefault="00116102" w:rsidP="00FB6759">
      <w:pPr>
        <w:spacing w:after="0" w:line="240" w:lineRule="auto"/>
        <w:jc w:val="both"/>
        <w:rPr>
          <w:rFonts w:ascii="Times New Roman" w:eastAsia="MS Mincho" w:hAnsi="Times New Roman" w:cs="Times New Roman"/>
          <w:sz w:val="22"/>
          <w:szCs w:val="24"/>
          <w:lang w:val="en-GB" w:eastAsia="ja-JP"/>
        </w:rPr>
      </w:pPr>
      <w:r w:rsidRPr="00373EF2">
        <w:rPr>
          <w:rFonts w:ascii="Times New Roman" w:eastAsia="MS Mincho" w:hAnsi="Times New Roman" w:cs="Times New Roman"/>
          <w:sz w:val="22"/>
          <w:szCs w:val="24"/>
          <w:lang w:val="en-GB" w:eastAsia="ja-JP"/>
        </w:rPr>
        <w:t xml:space="preserve">In cooperation with </w:t>
      </w:r>
      <w:r w:rsidR="00373EF2" w:rsidRPr="00373EF2">
        <w:rPr>
          <w:rFonts w:ascii="Times New Roman" w:eastAsia="MS Mincho" w:hAnsi="Times New Roman" w:cs="Times New Roman"/>
          <w:i/>
          <w:sz w:val="22"/>
          <w:szCs w:val="24"/>
          <w:lang w:val="en-GB" w:eastAsia="ja-JP"/>
        </w:rPr>
        <w:t>Al-</w:t>
      </w:r>
      <w:r w:rsidRPr="00373EF2">
        <w:rPr>
          <w:rFonts w:ascii="Times New Roman" w:eastAsia="MS Mincho" w:hAnsi="Times New Roman" w:cs="Times New Roman"/>
          <w:i/>
          <w:sz w:val="22"/>
          <w:szCs w:val="24"/>
          <w:lang w:val="en-GB" w:eastAsia="ja-JP"/>
        </w:rPr>
        <w:t>Az</w:t>
      </w:r>
      <w:r w:rsidR="009A4C85" w:rsidRPr="00373EF2">
        <w:rPr>
          <w:rFonts w:ascii="Times New Roman" w:eastAsia="MS Mincho" w:hAnsi="Times New Roman" w:cs="Times New Roman"/>
          <w:i/>
          <w:sz w:val="22"/>
          <w:szCs w:val="24"/>
          <w:lang w:val="en-GB" w:eastAsia="ja-JP"/>
        </w:rPr>
        <w:t>h</w:t>
      </w:r>
      <w:r w:rsidRPr="00373EF2">
        <w:rPr>
          <w:rFonts w:ascii="Times New Roman" w:eastAsia="MS Mincho" w:hAnsi="Times New Roman" w:cs="Times New Roman"/>
          <w:i/>
          <w:sz w:val="22"/>
          <w:szCs w:val="24"/>
          <w:lang w:val="en-GB" w:eastAsia="ja-JP"/>
        </w:rPr>
        <w:t>ar</w:t>
      </w:r>
      <w:r w:rsidRPr="00373EF2">
        <w:rPr>
          <w:rFonts w:ascii="Times New Roman" w:eastAsia="MS Mincho" w:hAnsi="Times New Roman" w:cs="Times New Roman"/>
          <w:sz w:val="22"/>
          <w:szCs w:val="24"/>
          <w:lang w:val="en-GB" w:eastAsia="ja-JP"/>
        </w:rPr>
        <w:t xml:space="preserve"> University</w:t>
      </w:r>
      <w:r w:rsidR="00373EF2">
        <w:rPr>
          <w:rFonts w:ascii="Times New Roman" w:eastAsia="MS Mincho" w:hAnsi="Times New Roman" w:cs="Times New Roman"/>
          <w:sz w:val="22"/>
          <w:szCs w:val="24"/>
          <w:lang w:val="en-GB" w:eastAsia="ja-JP"/>
        </w:rPr>
        <w:t xml:space="preserve">, the PBA </w:t>
      </w:r>
      <w:r w:rsidRPr="00373EF2">
        <w:rPr>
          <w:rFonts w:ascii="Times New Roman" w:eastAsia="MS Mincho" w:hAnsi="Times New Roman" w:cs="Times New Roman"/>
          <w:sz w:val="22"/>
          <w:szCs w:val="24"/>
          <w:lang w:val="en-GB" w:eastAsia="ja-JP"/>
        </w:rPr>
        <w:t>undertook a pilot initiative to train</w:t>
      </w:r>
      <w:r w:rsidR="00373EF2">
        <w:rPr>
          <w:rFonts w:ascii="Times New Roman" w:eastAsia="MS Mincho" w:hAnsi="Times New Roman" w:cs="Times New Roman"/>
          <w:sz w:val="22"/>
          <w:szCs w:val="24"/>
          <w:lang w:val="en-GB" w:eastAsia="ja-JP"/>
        </w:rPr>
        <w:t xml:space="preserve"> law school graduates at its legal aid clinic.</w:t>
      </w:r>
      <w:r w:rsidR="000063A3">
        <w:rPr>
          <w:rFonts w:ascii="Times New Roman" w:eastAsia="MS Mincho" w:hAnsi="Times New Roman" w:cs="Times New Roman"/>
          <w:sz w:val="22"/>
          <w:szCs w:val="24"/>
          <w:lang w:val="en-GB" w:eastAsia="ja-JP"/>
        </w:rPr>
        <w:t xml:space="preserve"> </w:t>
      </w:r>
      <w:r w:rsidR="00373EF2">
        <w:rPr>
          <w:rFonts w:ascii="Times New Roman" w:eastAsia="MS Mincho" w:hAnsi="Times New Roman" w:cs="Times New Roman"/>
          <w:sz w:val="22"/>
          <w:szCs w:val="24"/>
          <w:lang w:val="en-GB" w:eastAsia="ja-JP"/>
        </w:rPr>
        <w:t xml:space="preserve">They </w:t>
      </w:r>
      <w:r w:rsidR="00BE76CD" w:rsidRPr="00373EF2">
        <w:rPr>
          <w:rFonts w:ascii="Times New Roman" w:eastAsia="MS Mincho" w:hAnsi="Times New Roman" w:cs="Times New Roman"/>
          <w:sz w:val="22"/>
          <w:szCs w:val="24"/>
          <w:lang w:val="en-GB" w:eastAsia="ja-JP"/>
        </w:rPr>
        <w:t xml:space="preserve">were trained </w:t>
      </w:r>
      <w:r w:rsidR="007A4437" w:rsidRPr="00373EF2">
        <w:rPr>
          <w:rFonts w:ascii="Times New Roman" w:eastAsia="MS Mincho" w:hAnsi="Times New Roman" w:cs="Times New Roman"/>
          <w:sz w:val="22"/>
          <w:szCs w:val="24"/>
          <w:lang w:val="en-GB" w:eastAsia="ja-JP"/>
        </w:rPr>
        <w:t xml:space="preserve">for </w:t>
      </w:r>
      <w:r w:rsidR="00373EF2">
        <w:rPr>
          <w:rFonts w:ascii="Times New Roman" w:eastAsia="MS Mincho" w:hAnsi="Times New Roman" w:cs="Times New Roman"/>
          <w:sz w:val="22"/>
          <w:szCs w:val="24"/>
          <w:lang w:val="en-GB" w:eastAsia="ja-JP"/>
        </w:rPr>
        <w:t>eight</w:t>
      </w:r>
      <w:r w:rsidR="00BE76CD" w:rsidRPr="00373EF2">
        <w:rPr>
          <w:rFonts w:ascii="Times New Roman" w:eastAsia="MS Mincho" w:hAnsi="Times New Roman" w:cs="Times New Roman"/>
          <w:sz w:val="22"/>
          <w:szCs w:val="24"/>
          <w:lang w:val="en-GB" w:eastAsia="ja-JP"/>
        </w:rPr>
        <w:t xml:space="preserve"> months</w:t>
      </w:r>
      <w:r w:rsidR="00373EF2">
        <w:rPr>
          <w:rFonts w:ascii="Times New Roman" w:eastAsia="MS Mincho" w:hAnsi="Times New Roman" w:cs="Times New Roman"/>
          <w:sz w:val="22"/>
          <w:szCs w:val="24"/>
          <w:lang w:val="en-GB" w:eastAsia="ja-JP"/>
        </w:rPr>
        <w:t xml:space="preserve"> at the legal aid clinic at </w:t>
      </w:r>
      <w:r w:rsidR="00373EF2">
        <w:rPr>
          <w:rFonts w:ascii="Times New Roman" w:eastAsia="MS Mincho" w:hAnsi="Times New Roman" w:cs="Times New Roman"/>
          <w:i/>
          <w:sz w:val="22"/>
          <w:szCs w:val="24"/>
          <w:lang w:val="en-GB" w:eastAsia="ja-JP"/>
        </w:rPr>
        <w:t>Al-Azhar</w:t>
      </w:r>
      <w:r w:rsidR="00373EF2">
        <w:rPr>
          <w:rFonts w:ascii="Times New Roman" w:eastAsia="MS Mincho" w:hAnsi="Times New Roman" w:cs="Times New Roman"/>
          <w:sz w:val="22"/>
          <w:szCs w:val="24"/>
          <w:lang w:val="en-GB" w:eastAsia="ja-JP"/>
        </w:rPr>
        <w:t xml:space="preserve"> University, followed by another two months of training the PBA clinic. There</w:t>
      </w:r>
      <w:r w:rsidRPr="00373EF2">
        <w:rPr>
          <w:rFonts w:ascii="Times New Roman" w:eastAsia="MS Mincho" w:hAnsi="Times New Roman" w:cs="Times New Roman"/>
          <w:sz w:val="22"/>
          <w:szCs w:val="24"/>
          <w:lang w:val="en-GB" w:eastAsia="ja-JP"/>
        </w:rPr>
        <w:t>after</w:t>
      </w:r>
      <w:r w:rsidR="00373EF2">
        <w:rPr>
          <w:rFonts w:ascii="Times New Roman" w:eastAsia="MS Mincho" w:hAnsi="Times New Roman" w:cs="Times New Roman"/>
          <w:sz w:val="22"/>
          <w:szCs w:val="24"/>
          <w:lang w:val="en-GB" w:eastAsia="ja-JP"/>
        </w:rPr>
        <w:t>,</w:t>
      </w:r>
      <w:r w:rsidRPr="00373EF2">
        <w:rPr>
          <w:rFonts w:ascii="Times New Roman" w:eastAsia="MS Mincho" w:hAnsi="Times New Roman" w:cs="Times New Roman"/>
          <w:sz w:val="22"/>
          <w:szCs w:val="24"/>
          <w:lang w:val="en-GB" w:eastAsia="ja-JP"/>
        </w:rPr>
        <w:t xml:space="preserve"> the students continue</w:t>
      </w:r>
      <w:r w:rsidR="00373EF2">
        <w:rPr>
          <w:rFonts w:ascii="Times New Roman" w:eastAsia="MS Mincho" w:hAnsi="Times New Roman" w:cs="Times New Roman"/>
          <w:sz w:val="22"/>
          <w:szCs w:val="24"/>
          <w:lang w:val="en-GB" w:eastAsia="ja-JP"/>
        </w:rPr>
        <w:t>d</w:t>
      </w:r>
      <w:r w:rsidRPr="00373EF2">
        <w:rPr>
          <w:rFonts w:ascii="Times New Roman" w:eastAsia="MS Mincho" w:hAnsi="Times New Roman" w:cs="Times New Roman"/>
          <w:sz w:val="22"/>
          <w:szCs w:val="24"/>
          <w:lang w:val="en-GB" w:eastAsia="ja-JP"/>
        </w:rPr>
        <w:t xml:space="preserve"> at the PBA for another two months of</w:t>
      </w:r>
      <w:r w:rsidR="00373EF2">
        <w:rPr>
          <w:rFonts w:ascii="Times New Roman" w:eastAsia="MS Mincho" w:hAnsi="Times New Roman" w:cs="Times New Roman"/>
          <w:sz w:val="22"/>
          <w:szCs w:val="24"/>
          <w:lang w:val="en-GB" w:eastAsia="ja-JP"/>
        </w:rPr>
        <w:t xml:space="preserve"> actual work with live clients.</w:t>
      </w:r>
    </w:p>
    <w:p w:rsidR="00532354" w:rsidRPr="00647752" w:rsidRDefault="00532354" w:rsidP="00FB6759">
      <w:pPr>
        <w:spacing w:after="0" w:line="240" w:lineRule="auto"/>
        <w:jc w:val="both"/>
        <w:rPr>
          <w:rFonts w:ascii="Times New Roman" w:eastAsia="MS Mincho" w:hAnsi="Times New Roman" w:cs="Times New Roman"/>
          <w:sz w:val="22"/>
          <w:szCs w:val="24"/>
          <w:lang w:val="en-GB" w:eastAsia="ja-JP"/>
        </w:rPr>
      </w:pPr>
    </w:p>
    <w:p w:rsidR="00F1463D" w:rsidRPr="00647752" w:rsidRDefault="00532354" w:rsidP="00FB6759">
      <w:pPr>
        <w:spacing w:after="0" w:line="240" w:lineRule="auto"/>
        <w:jc w:val="both"/>
        <w:rPr>
          <w:rFonts w:ascii="Times New Roman" w:eastAsia="MS Mincho" w:hAnsi="Times New Roman" w:cs="Times New Roman"/>
          <w:sz w:val="22"/>
          <w:szCs w:val="24"/>
          <w:lang w:val="en-GB" w:eastAsia="ja-JP"/>
        </w:rPr>
      </w:pPr>
      <w:r w:rsidRPr="00647752">
        <w:rPr>
          <w:rFonts w:ascii="Times New Roman" w:eastAsia="MS Mincho" w:hAnsi="Times New Roman" w:cs="Times New Roman"/>
          <w:sz w:val="22"/>
          <w:szCs w:val="24"/>
          <w:lang w:val="en-GB" w:eastAsia="ja-JP"/>
        </w:rPr>
        <w:t>T</w:t>
      </w:r>
      <w:r w:rsidR="00373EF2">
        <w:rPr>
          <w:rFonts w:ascii="Times New Roman" w:eastAsia="MS Mincho" w:hAnsi="Times New Roman" w:cs="Times New Roman"/>
          <w:sz w:val="22"/>
          <w:szCs w:val="24"/>
          <w:lang w:val="en-GB" w:eastAsia="ja-JP"/>
        </w:rPr>
        <w:t>he students interviewed by the e</w:t>
      </w:r>
      <w:r w:rsidRPr="00647752">
        <w:rPr>
          <w:rFonts w:ascii="Times New Roman" w:eastAsia="MS Mincho" w:hAnsi="Times New Roman" w:cs="Times New Roman"/>
          <w:sz w:val="22"/>
          <w:szCs w:val="24"/>
          <w:lang w:val="en-GB" w:eastAsia="ja-JP"/>
        </w:rPr>
        <w:t>valuation stated that they had benefited greatly from the initiative and had cooperated</w:t>
      </w:r>
      <w:r w:rsidR="00373EF2">
        <w:rPr>
          <w:rFonts w:ascii="Times New Roman" w:eastAsia="MS Mincho" w:hAnsi="Times New Roman" w:cs="Times New Roman"/>
          <w:sz w:val="22"/>
          <w:szCs w:val="24"/>
          <w:lang w:val="en-GB" w:eastAsia="ja-JP"/>
        </w:rPr>
        <w:t xml:space="preserve"> with grass</w:t>
      </w:r>
      <w:r w:rsidR="00BE76CD" w:rsidRPr="00647752">
        <w:rPr>
          <w:rFonts w:ascii="Times New Roman" w:eastAsia="MS Mincho" w:hAnsi="Times New Roman" w:cs="Times New Roman"/>
          <w:sz w:val="22"/>
          <w:szCs w:val="24"/>
          <w:lang w:val="en-GB" w:eastAsia="ja-JP"/>
        </w:rPr>
        <w:t xml:space="preserve">roots </w:t>
      </w:r>
      <w:r w:rsidR="00373EF2">
        <w:rPr>
          <w:rFonts w:ascii="Times New Roman" w:eastAsia="MS Mincho" w:hAnsi="Times New Roman" w:cs="Times New Roman"/>
          <w:sz w:val="22"/>
          <w:szCs w:val="24"/>
          <w:lang w:val="en-GB" w:eastAsia="ja-JP"/>
        </w:rPr>
        <w:t>organis</w:t>
      </w:r>
      <w:r w:rsidRPr="00647752">
        <w:rPr>
          <w:rFonts w:ascii="Times New Roman" w:eastAsia="MS Mincho" w:hAnsi="Times New Roman" w:cs="Times New Roman"/>
          <w:sz w:val="22"/>
          <w:szCs w:val="24"/>
          <w:lang w:val="en-GB" w:eastAsia="ja-JP"/>
        </w:rPr>
        <w:t>ations</w:t>
      </w:r>
      <w:r w:rsidR="00BE76CD" w:rsidRPr="00647752">
        <w:rPr>
          <w:rFonts w:ascii="Times New Roman" w:eastAsia="MS Mincho" w:hAnsi="Times New Roman" w:cs="Times New Roman"/>
          <w:sz w:val="22"/>
          <w:szCs w:val="24"/>
          <w:lang w:val="en-GB" w:eastAsia="ja-JP"/>
        </w:rPr>
        <w:t xml:space="preserve"> and do mobile legal aid clinics</w:t>
      </w:r>
      <w:r w:rsidRPr="00647752">
        <w:rPr>
          <w:rFonts w:ascii="Times New Roman" w:eastAsia="MS Mincho" w:hAnsi="Times New Roman" w:cs="Times New Roman"/>
          <w:sz w:val="22"/>
          <w:szCs w:val="24"/>
          <w:lang w:val="en-GB" w:eastAsia="ja-JP"/>
        </w:rPr>
        <w:t xml:space="preserve"> for v</w:t>
      </w:r>
      <w:r w:rsidR="00BE76CD" w:rsidRPr="00647752">
        <w:rPr>
          <w:rFonts w:ascii="Times New Roman" w:eastAsia="MS Mincho" w:hAnsi="Times New Roman" w:cs="Times New Roman"/>
          <w:sz w:val="22"/>
          <w:szCs w:val="24"/>
          <w:lang w:val="en-GB" w:eastAsia="ja-JP"/>
        </w:rPr>
        <w:t>ulnerable groups</w:t>
      </w:r>
      <w:r w:rsidRPr="00647752">
        <w:rPr>
          <w:rFonts w:ascii="Times New Roman" w:eastAsia="MS Mincho" w:hAnsi="Times New Roman" w:cs="Times New Roman"/>
          <w:sz w:val="22"/>
          <w:szCs w:val="24"/>
          <w:lang w:val="en-GB" w:eastAsia="ja-JP"/>
        </w:rPr>
        <w:t xml:space="preserve">.   There is great demand in rural communities for such outreach. For example, when the new graduates visited </w:t>
      </w:r>
      <w:r w:rsidR="009A4C85" w:rsidRPr="00647752">
        <w:rPr>
          <w:rFonts w:ascii="Times New Roman" w:eastAsia="MS Mincho" w:hAnsi="Times New Roman" w:cs="Times New Roman"/>
          <w:sz w:val="22"/>
          <w:szCs w:val="24"/>
          <w:lang w:val="en-GB" w:eastAsia="ja-JP"/>
        </w:rPr>
        <w:t xml:space="preserve">a </w:t>
      </w:r>
      <w:r w:rsidRPr="00647752">
        <w:rPr>
          <w:rFonts w:ascii="Times New Roman" w:eastAsia="MS Mincho" w:hAnsi="Times New Roman" w:cs="Times New Roman"/>
          <w:sz w:val="22"/>
          <w:szCs w:val="24"/>
          <w:lang w:val="en-GB" w:eastAsia="ja-JP"/>
        </w:rPr>
        <w:t xml:space="preserve">village </w:t>
      </w:r>
      <w:r w:rsidR="00373EF2">
        <w:rPr>
          <w:rFonts w:ascii="Times New Roman" w:eastAsia="MS Mincho" w:hAnsi="Times New Roman" w:cs="Times New Roman"/>
          <w:sz w:val="22"/>
          <w:szCs w:val="24"/>
          <w:lang w:val="en-GB" w:eastAsia="ja-JP"/>
        </w:rPr>
        <w:t xml:space="preserve">near </w:t>
      </w:r>
      <w:r w:rsidRPr="00647752">
        <w:rPr>
          <w:rFonts w:ascii="Times New Roman" w:eastAsia="MS Mincho" w:hAnsi="Times New Roman" w:cs="Times New Roman"/>
          <w:sz w:val="22"/>
          <w:szCs w:val="24"/>
          <w:lang w:val="en-GB" w:eastAsia="ja-JP"/>
        </w:rPr>
        <w:t>K</w:t>
      </w:r>
      <w:r w:rsidR="007B35E8" w:rsidRPr="00647752">
        <w:rPr>
          <w:rFonts w:ascii="Times New Roman" w:eastAsia="MS Mincho" w:hAnsi="Times New Roman" w:cs="Times New Roman"/>
          <w:sz w:val="22"/>
          <w:szCs w:val="24"/>
          <w:lang w:val="en-GB" w:eastAsia="ja-JP"/>
        </w:rPr>
        <w:t>h</w:t>
      </w:r>
      <w:r w:rsidRPr="00647752">
        <w:rPr>
          <w:rFonts w:ascii="Times New Roman" w:eastAsia="MS Mincho" w:hAnsi="Times New Roman" w:cs="Times New Roman"/>
          <w:sz w:val="22"/>
          <w:szCs w:val="24"/>
          <w:lang w:val="en-GB" w:eastAsia="ja-JP"/>
        </w:rPr>
        <w:t>an</w:t>
      </w:r>
      <w:r w:rsidR="00373EF2">
        <w:rPr>
          <w:rFonts w:ascii="Times New Roman" w:eastAsia="MS Mincho" w:hAnsi="Times New Roman" w:cs="Times New Roman"/>
          <w:sz w:val="22"/>
          <w:szCs w:val="24"/>
          <w:lang w:val="en-GB" w:eastAsia="ja-JP"/>
        </w:rPr>
        <w:t>Y</w:t>
      </w:r>
      <w:r w:rsidR="009A4C85" w:rsidRPr="00647752">
        <w:rPr>
          <w:rFonts w:ascii="Times New Roman" w:eastAsia="MS Mincho" w:hAnsi="Times New Roman" w:cs="Times New Roman"/>
          <w:sz w:val="22"/>
          <w:szCs w:val="24"/>
          <w:lang w:val="en-GB" w:eastAsia="ja-JP"/>
        </w:rPr>
        <w:t>ounis,</w:t>
      </w:r>
      <w:r w:rsidRPr="00647752">
        <w:rPr>
          <w:rFonts w:ascii="Times New Roman" w:eastAsia="MS Mincho" w:hAnsi="Times New Roman" w:cs="Times New Roman"/>
          <w:sz w:val="22"/>
          <w:szCs w:val="24"/>
          <w:lang w:val="en-GB" w:eastAsia="ja-JP"/>
        </w:rPr>
        <w:t>86 women and 104 men approached them for information and consultation.  Of thes</w:t>
      </w:r>
      <w:r w:rsidR="00373EF2">
        <w:rPr>
          <w:rFonts w:ascii="Times New Roman" w:eastAsia="MS Mincho" w:hAnsi="Times New Roman" w:cs="Times New Roman"/>
          <w:sz w:val="22"/>
          <w:szCs w:val="24"/>
          <w:lang w:val="en-GB" w:eastAsia="ja-JP"/>
        </w:rPr>
        <w:t>e, 20 were referred to the PBA</w:t>
      </w:r>
      <w:r w:rsidR="001C78B9">
        <w:rPr>
          <w:rFonts w:ascii="Times New Roman" w:eastAsia="MS Mincho" w:hAnsi="Times New Roman" w:cs="Times New Roman"/>
          <w:sz w:val="22"/>
          <w:szCs w:val="24"/>
          <w:lang w:val="en-GB" w:eastAsia="ja-JP"/>
        </w:rPr>
        <w:t xml:space="preserve">. </w:t>
      </w:r>
      <w:r w:rsidRPr="00647752">
        <w:rPr>
          <w:rFonts w:ascii="Times New Roman" w:eastAsia="MS Mincho" w:hAnsi="Times New Roman" w:cs="Times New Roman"/>
          <w:sz w:val="22"/>
          <w:szCs w:val="24"/>
          <w:lang w:val="en-GB" w:eastAsia="ja-JP"/>
        </w:rPr>
        <w:t xml:space="preserve">The new graduates stated that going forward, the PBA should conduct outreach for children to teach them about their rights. </w:t>
      </w:r>
      <w:r w:rsidR="00373EF2">
        <w:rPr>
          <w:rFonts w:ascii="Times New Roman" w:eastAsia="MS Mincho" w:hAnsi="Times New Roman" w:cs="Times New Roman"/>
          <w:sz w:val="22"/>
          <w:szCs w:val="24"/>
          <w:lang w:val="en-GB" w:eastAsia="ja-JP"/>
        </w:rPr>
        <w:t>The e</w:t>
      </w:r>
      <w:r w:rsidR="00F1463D" w:rsidRPr="00647752">
        <w:rPr>
          <w:rFonts w:ascii="Times New Roman" w:eastAsia="MS Mincho" w:hAnsi="Times New Roman" w:cs="Times New Roman"/>
          <w:sz w:val="22"/>
          <w:szCs w:val="24"/>
          <w:lang w:val="en-GB" w:eastAsia="ja-JP"/>
        </w:rPr>
        <w:t xml:space="preserve">valuation observes that </w:t>
      </w:r>
      <w:r w:rsidR="001C78B9">
        <w:rPr>
          <w:rFonts w:ascii="Times New Roman" w:eastAsia="MS Mincho" w:hAnsi="Times New Roman" w:cs="Times New Roman"/>
          <w:sz w:val="22"/>
          <w:szCs w:val="24"/>
          <w:lang w:val="en-GB" w:eastAsia="ja-JP"/>
        </w:rPr>
        <w:t>UNDP is effectively investing ten</w:t>
      </w:r>
      <w:r w:rsidR="00F1463D" w:rsidRPr="00647752">
        <w:rPr>
          <w:rFonts w:ascii="Times New Roman" w:eastAsia="MS Mincho" w:hAnsi="Times New Roman" w:cs="Times New Roman"/>
          <w:sz w:val="22"/>
          <w:szCs w:val="24"/>
          <w:lang w:val="en-GB" w:eastAsia="ja-JP"/>
        </w:rPr>
        <w:t xml:space="preserve"> months of training for the students, but they are</w:t>
      </w:r>
      <w:r w:rsidR="001C78B9">
        <w:rPr>
          <w:rFonts w:ascii="Times New Roman" w:eastAsia="MS Mincho" w:hAnsi="Times New Roman" w:cs="Times New Roman"/>
          <w:sz w:val="22"/>
          <w:szCs w:val="24"/>
          <w:lang w:val="en-GB" w:eastAsia="ja-JP"/>
        </w:rPr>
        <w:t xml:space="preserve"> only working with clients for two</w:t>
      </w:r>
      <w:r w:rsidR="00F1463D" w:rsidRPr="00647752">
        <w:rPr>
          <w:rFonts w:ascii="Times New Roman" w:eastAsia="MS Mincho" w:hAnsi="Times New Roman" w:cs="Times New Roman"/>
          <w:sz w:val="22"/>
          <w:szCs w:val="24"/>
          <w:lang w:val="en-GB" w:eastAsia="ja-JP"/>
        </w:rPr>
        <w:t xml:space="preserve"> months after completing their training. Thus, going forward, UNDP and the PBA might wish to increase the length of the new graduates’ emp</w:t>
      </w:r>
      <w:r w:rsidR="001C78B9">
        <w:rPr>
          <w:rFonts w:ascii="Times New Roman" w:eastAsia="MS Mincho" w:hAnsi="Times New Roman" w:cs="Times New Roman"/>
          <w:sz w:val="22"/>
          <w:szCs w:val="24"/>
          <w:lang w:val="en-GB" w:eastAsia="ja-JP"/>
        </w:rPr>
        <w:t xml:space="preserve">loyment </w:t>
      </w:r>
      <w:r w:rsidR="00F1463D" w:rsidRPr="00647752">
        <w:rPr>
          <w:rFonts w:ascii="Times New Roman" w:eastAsia="MS Mincho" w:hAnsi="Times New Roman" w:cs="Times New Roman"/>
          <w:sz w:val="22"/>
          <w:szCs w:val="24"/>
          <w:lang w:val="en-GB" w:eastAsia="ja-JP"/>
        </w:rPr>
        <w:t xml:space="preserve">to ensure that they </w:t>
      </w:r>
      <w:r w:rsidR="001C78B9">
        <w:rPr>
          <w:rFonts w:ascii="Times New Roman" w:eastAsia="MS Mincho" w:hAnsi="Times New Roman" w:cs="Times New Roman"/>
          <w:sz w:val="22"/>
          <w:szCs w:val="24"/>
          <w:lang w:val="en-GB" w:eastAsia="ja-JP"/>
        </w:rPr>
        <w:t>work with clients for at least six</w:t>
      </w:r>
      <w:r w:rsidR="00F1463D" w:rsidRPr="00647752">
        <w:rPr>
          <w:rFonts w:ascii="Times New Roman" w:eastAsia="MS Mincho" w:hAnsi="Times New Roman" w:cs="Times New Roman"/>
          <w:sz w:val="22"/>
          <w:szCs w:val="24"/>
          <w:lang w:val="en-GB" w:eastAsia="ja-JP"/>
        </w:rPr>
        <w:t xml:space="preserve"> months following the completion of all training.    </w:t>
      </w:r>
    </w:p>
    <w:p w:rsidR="000F0D4A" w:rsidRPr="00647752" w:rsidRDefault="000F0D4A" w:rsidP="00FB6759">
      <w:pPr>
        <w:spacing w:after="0" w:line="240" w:lineRule="auto"/>
        <w:jc w:val="both"/>
        <w:rPr>
          <w:rFonts w:ascii="Times New Roman" w:eastAsia="MS Mincho" w:hAnsi="Times New Roman" w:cs="Times New Roman"/>
          <w:sz w:val="22"/>
          <w:szCs w:val="24"/>
          <w:lang w:val="en-GB" w:eastAsia="ja-JP"/>
        </w:rPr>
      </w:pPr>
    </w:p>
    <w:p w:rsidR="00532354" w:rsidRPr="00647752" w:rsidRDefault="00F1463D" w:rsidP="00FB6759">
      <w:pPr>
        <w:spacing w:after="0" w:line="240" w:lineRule="auto"/>
        <w:jc w:val="both"/>
        <w:rPr>
          <w:rFonts w:ascii="Times New Roman" w:eastAsia="MS Mincho" w:hAnsi="Times New Roman" w:cs="Times New Roman"/>
          <w:sz w:val="22"/>
          <w:szCs w:val="24"/>
          <w:lang w:val="en-GB" w:eastAsia="ja-JP"/>
        </w:rPr>
      </w:pPr>
      <w:r w:rsidRPr="00647752">
        <w:rPr>
          <w:rFonts w:ascii="Times New Roman" w:eastAsia="MS Mincho" w:hAnsi="Times New Roman" w:cs="Times New Roman"/>
          <w:sz w:val="22"/>
          <w:szCs w:val="24"/>
          <w:lang w:val="en-GB" w:eastAsia="ja-JP"/>
        </w:rPr>
        <w:t xml:space="preserve">A key issue for the PBA legal aid programme going forward will be its sustainability and how to make the government ultimately fund legal aid. </w:t>
      </w:r>
      <w:r w:rsidR="001C78B9">
        <w:rPr>
          <w:rFonts w:ascii="Times New Roman" w:eastAsia="MS Mincho" w:hAnsi="Times New Roman" w:cs="Times New Roman"/>
          <w:sz w:val="22"/>
          <w:szCs w:val="24"/>
          <w:lang w:val="en-GB" w:eastAsia="ja-JP"/>
        </w:rPr>
        <w:t xml:space="preserve">The </w:t>
      </w:r>
      <w:r w:rsidRPr="00647752">
        <w:rPr>
          <w:rFonts w:ascii="Times New Roman" w:eastAsia="MS Mincho" w:hAnsi="Times New Roman" w:cs="Times New Roman"/>
          <w:sz w:val="22"/>
          <w:szCs w:val="24"/>
          <w:lang w:val="en-GB" w:eastAsia="ja-JP"/>
        </w:rPr>
        <w:t xml:space="preserve">PBA has recently developed a proposal to develop a permanent legal aid centre and UNDP is providing technical expertise for this project. </w:t>
      </w:r>
      <w:r w:rsidR="00A40A18" w:rsidRPr="00647752">
        <w:rPr>
          <w:rFonts w:ascii="Times New Roman" w:eastAsia="MS Mincho" w:hAnsi="Times New Roman" w:cs="Times New Roman"/>
          <w:sz w:val="22"/>
          <w:szCs w:val="24"/>
          <w:lang w:val="en-GB" w:eastAsia="ja-JP"/>
        </w:rPr>
        <w:t>Demand for the client-base</w:t>
      </w:r>
      <w:r w:rsidR="001C78B9">
        <w:rPr>
          <w:rFonts w:ascii="Times New Roman" w:eastAsia="MS Mincho" w:hAnsi="Times New Roman" w:cs="Times New Roman"/>
          <w:sz w:val="22"/>
          <w:szCs w:val="24"/>
          <w:lang w:val="en-GB" w:eastAsia="ja-JP"/>
        </w:rPr>
        <w:t xml:space="preserve">d legal services </w:t>
      </w:r>
      <w:r w:rsidR="00A40A18" w:rsidRPr="00647752">
        <w:rPr>
          <w:rFonts w:ascii="Times New Roman" w:eastAsia="MS Mincho" w:hAnsi="Times New Roman" w:cs="Times New Roman"/>
          <w:sz w:val="22"/>
          <w:szCs w:val="24"/>
          <w:lang w:val="en-GB" w:eastAsia="ja-JP"/>
        </w:rPr>
        <w:t>is expected to continue to grow as more citizens become aware of their rights and of the existence of options in Gaza for obtaining legal assistance. Yet, the PBA’s budget cannot be expected to handle an expansion of this magnitude in the legal clinic.</w:t>
      </w:r>
      <w:r w:rsidR="00A40A18" w:rsidRPr="00647752">
        <w:rPr>
          <w:rStyle w:val="FootnoteReference"/>
          <w:rFonts w:ascii="Times New Roman" w:eastAsia="MS Mincho" w:hAnsi="Times New Roman" w:cs="Times New Roman"/>
          <w:sz w:val="22"/>
          <w:szCs w:val="24"/>
          <w:lang w:val="en-GB" w:eastAsia="ja-JP"/>
        </w:rPr>
        <w:footnoteReference w:id="188"/>
      </w:r>
    </w:p>
    <w:p w:rsidR="00445445" w:rsidRPr="00647752" w:rsidRDefault="00445445" w:rsidP="00FB6759">
      <w:pPr>
        <w:spacing w:after="0" w:line="240" w:lineRule="auto"/>
        <w:jc w:val="both"/>
        <w:rPr>
          <w:rFonts w:ascii="Times New Roman" w:eastAsia="MS Mincho" w:hAnsi="Times New Roman" w:cs="Times New Roman"/>
          <w:sz w:val="22"/>
          <w:szCs w:val="24"/>
          <w:lang w:val="en-GB" w:eastAsia="ja-JP"/>
        </w:rPr>
      </w:pPr>
    </w:p>
    <w:p w:rsidR="00445445" w:rsidRPr="00647752" w:rsidRDefault="00A77500" w:rsidP="00FB6759">
      <w:pPr>
        <w:spacing w:after="0" w:line="240" w:lineRule="auto"/>
        <w:jc w:val="both"/>
        <w:rPr>
          <w:rFonts w:ascii="Times New Roman" w:eastAsia="MS Mincho" w:hAnsi="Times New Roman" w:cs="Times New Roman"/>
          <w:sz w:val="22"/>
          <w:szCs w:val="24"/>
          <w:lang w:val="en-GB" w:eastAsia="ja-JP"/>
        </w:rPr>
      </w:pPr>
      <w:r w:rsidRPr="00647752">
        <w:rPr>
          <w:rFonts w:ascii="Times New Roman" w:eastAsia="MS Mincho" w:hAnsi="Times New Roman" w:cs="Times New Roman"/>
          <w:sz w:val="22"/>
          <w:szCs w:val="24"/>
          <w:lang w:val="en-GB" w:eastAsia="ja-JP"/>
        </w:rPr>
        <w:t xml:space="preserve">Going forward, the PBA </w:t>
      </w:r>
      <w:r w:rsidR="0000156E" w:rsidRPr="00647752">
        <w:rPr>
          <w:rFonts w:ascii="Times New Roman" w:eastAsia="MS Mincho" w:hAnsi="Times New Roman" w:cs="Times New Roman"/>
          <w:sz w:val="22"/>
          <w:szCs w:val="24"/>
          <w:lang w:val="en-GB" w:eastAsia="ja-JP"/>
        </w:rPr>
        <w:t xml:space="preserve">in both Gaza and the West Bank </w:t>
      </w:r>
      <w:r w:rsidRPr="00647752">
        <w:rPr>
          <w:rFonts w:ascii="Times New Roman" w:eastAsia="MS Mincho" w:hAnsi="Times New Roman" w:cs="Times New Roman"/>
          <w:sz w:val="22"/>
          <w:szCs w:val="24"/>
          <w:lang w:val="en-GB" w:eastAsia="ja-JP"/>
        </w:rPr>
        <w:t>will face continuing issues for its membership and core functions as a bar including: 1) training of PBA membership</w:t>
      </w:r>
      <w:r w:rsidR="001C78B9">
        <w:rPr>
          <w:rFonts w:ascii="Times New Roman" w:eastAsia="MS Mincho" w:hAnsi="Times New Roman" w:cs="Times New Roman"/>
          <w:sz w:val="22"/>
          <w:szCs w:val="24"/>
          <w:lang w:val="en-GB" w:eastAsia="ja-JP"/>
        </w:rPr>
        <w:t xml:space="preserve"> and its c</w:t>
      </w:r>
      <w:r w:rsidR="002D2AAE" w:rsidRPr="00647752">
        <w:rPr>
          <w:rFonts w:ascii="Times New Roman" w:eastAsia="MS Mincho" w:hAnsi="Times New Roman" w:cs="Times New Roman"/>
          <w:sz w:val="22"/>
          <w:szCs w:val="24"/>
          <w:lang w:val="en-GB" w:eastAsia="ja-JP"/>
        </w:rPr>
        <w:t>ommittees</w:t>
      </w:r>
      <w:r w:rsidR="0000156E" w:rsidRPr="00647752">
        <w:rPr>
          <w:rFonts w:ascii="Times New Roman" w:eastAsia="MS Mincho" w:hAnsi="Times New Roman" w:cs="Times New Roman"/>
          <w:sz w:val="22"/>
          <w:szCs w:val="24"/>
          <w:lang w:val="en-GB" w:eastAsia="ja-JP"/>
        </w:rPr>
        <w:t xml:space="preserve"> (including strengthening professional ethics and discipline)</w:t>
      </w:r>
      <w:r w:rsidR="002D2AAE" w:rsidRPr="00647752">
        <w:rPr>
          <w:rFonts w:ascii="Times New Roman" w:eastAsia="MS Mincho" w:hAnsi="Times New Roman" w:cs="Times New Roman"/>
          <w:sz w:val="22"/>
          <w:szCs w:val="24"/>
          <w:lang w:val="en-GB" w:eastAsia="ja-JP"/>
        </w:rPr>
        <w:t xml:space="preserve">; </w:t>
      </w:r>
      <w:r w:rsidR="0000156E" w:rsidRPr="00647752">
        <w:rPr>
          <w:rFonts w:ascii="Times New Roman" w:eastAsia="MS Mincho" w:hAnsi="Times New Roman" w:cs="Times New Roman"/>
          <w:sz w:val="22"/>
          <w:szCs w:val="24"/>
          <w:lang w:val="en-GB" w:eastAsia="ja-JP"/>
        </w:rPr>
        <w:t xml:space="preserve">2) </w:t>
      </w:r>
      <w:r w:rsidR="002D2AAE" w:rsidRPr="00647752">
        <w:rPr>
          <w:rFonts w:ascii="Times New Roman" w:eastAsia="MS Mincho" w:hAnsi="Times New Roman" w:cs="Times New Roman"/>
          <w:sz w:val="22"/>
          <w:szCs w:val="24"/>
          <w:lang w:val="en-GB" w:eastAsia="ja-JP"/>
        </w:rPr>
        <w:t>improving the</w:t>
      </w:r>
      <w:r w:rsidRPr="00647752">
        <w:rPr>
          <w:rFonts w:ascii="Times New Roman" w:eastAsia="MS Mincho" w:hAnsi="Times New Roman" w:cs="Times New Roman"/>
          <w:sz w:val="22"/>
          <w:szCs w:val="24"/>
          <w:lang w:val="en-GB" w:eastAsia="ja-JP"/>
        </w:rPr>
        <w:t xml:space="preserve"> bar exam</w:t>
      </w:r>
      <w:r w:rsidR="001C78B9">
        <w:rPr>
          <w:rFonts w:ascii="Times New Roman" w:eastAsia="MS Mincho" w:hAnsi="Times New Roman" w:cs="Times New Roman"/>
          <w:sz w:val="22"/>
          <w:szCs w:val="24"/>
          <w:lang w:val="en-GB" w:eastAsia="ja-JP"/>
        </w:rPr>
        <w:t>;</w:t>
      </w:r>
      <w:r w:rsidRPr="00647752">
        <w:rPr>
          <w:rFonts w:ascii="Times New Roman" w:eastAsia="MS Mincho" w:hAnsi="Times New Roman" w:cs="Times New Roman"/>
          <w:sz w:val="22"/>
          <w:szCs w:val="24"/>
          <w:lang w:val="en-GB" w:eastAsia="ja-JP"/>
        </w:rPr>
        <w:t xml:space="preserve"> and continuing legal education programmes; </w:t>
      </w:r>
      <w:r w:rsidR="0000156E" w:rsidRPr="00647752">
        <w:rPr>
          <w:rFonts w:ascii="Times New Roman" w:eastAsia="MS Mincho" w:hAnsi="Times New Roman" w:cs="Times New Roman"/>
          <w:sz w:val="22"/>
          <w:szCs w:val="24"/>
          <w:lang w:val="en-GB" w:eastAsia="ja-JP"/>
        </w:rPr>
        <w:t>3</w:t>
      </w:r>
      <w:r w:rsidR="002D2AAE" w:rsidRPr="00647752">
        <w:rPr>
          <w:rFonts w:ascii="Times New Roman" w:eastAsia="MS Mincho" w:hAnsi="Times New Roman" w:cs="Times New Roman"/>
          <w:sz w:val="22"/>
          <w:szCs w:val="24"/>
          <w:lang w:val="en-GB" w:eastAsia="ja-JP"/>
        </w:rPr>
        <w:t>) supporting</w:t>
      </w:r>
      <w:r w:rsidRPr="00647752">
        <w:rPr>
          <w:rFonts w:ascii="Times New Roman" w:eastAsia="MS Mincho" w:hAnsi="Times New Roman" w:cs="Times New Roman"/>
          <w:sz w:val="22"/>
          <w:szCs w:val="24"/>
          <w:lang w:val="en-GB" w:eastAsia="ja-JP"/>
        </w:rPr>
        <w:t xml:space="preserve"> an independent and accountable justice system</w:t>
      </w:r>
      <w:r w:rsidR="002D2AAE" w:rsidRPr="00647752">
        <w:rPr>
          <w:rFonts w:ascii="Times New Roman" w:eastAsia="MS Mincho" w:hAnsi="Times New Roman" w:cs="Times New Roman"/>
          <w:sz w:val="22"/>
          <w:szCs w:val="24"/>
          <w:lang w:val="en-GB" w:eastAsia="ja-JP"/>
        </w:rPr>
        <w:t xml:space="preserve">; </w:t>
      </w:r>
      <w:r w:rsidR="0000156E" w:rsidRPr="00647752">
        <w:rPr>
          <w:rFonts w:ascii="Times New Roman" w:eastAsia="MS Mincho" w:hAnsi="Times New Roman" w:cs="Times New Roman"/>
          <w:sz w:val="22"/>
          <w:szCs w:val="24"/>
          <w:lang w:val="en-GB" w:eastAsia="ja-JP"/>
        </w:rPr>
        <w:t>4</w:t>
      </w:r>
      <w:r w:rsidRPr="00647752">
        <w:rPr>
          <w:rFonts w:ascii="Times New Roman" w:eastAsia="MS Mincho" w:hAnsi="Times New Roman" w:cs="Times New Roman"/>
          <w:sz w:val="22"/>
          <w:szCs w:val="24"/>
          <w:lang w:val="en-GB" w:eastAsia="ja-JP"/>
        </w:rPr>
        <w:t>) expanding its cooperation with regional</w:t>
      </w:r>
      <w:r w:rsidR="002D2AAE" w:rsidRPr="00647752">
        <w:rPr>
          <w:rFonts w:ascii="Times New Roman" w:eastAsia="MS Mincho" w:hAnsi="Times New Roman" w:cs="Times New Roman"/>
          <w:sz w:val="22"/>
          <w:szCs w:val="24"/>
          <w:lang w:val="en-GB" w:eastAsia="ja-JP"/>
        </w:rPr>
        <w:t xml:space="preserve"> and international bodies; and </w:t>
      </w:r>
      <w:r w:rsidR="0000156E" w:rsidRPr="00647752">
        <w:rPr>
          <w:rFonts w:ascii="Times New Roman" w:eastAsia="MS Mincho" w:hAnsi="Times New Roman" w:cs="Times New Roman"/>
          <w:sz w:val="22"/>
          <w:szCs w:val="24"/>
          <w:lang w:val="en-GB" w:eastAsia="ja-JP"/>
        </w:rPr>
        <w:t>5</w:t>
      </w:r>
      <w:r w:rsidRPr="00647752">
        <w:rPr>
          <w:rFonts w:ascii="Times New Roman" w:eastAsia="MS Mincho" w:hAnsi="Times New Roman" w:cs="Times New Roman"/>
          <w:sz w:val="22"/>
          <w:szCs w:val="24"/>
          <w:lang w:val="en-GB" w:eastAsia="ja-JP"/>
        </w:rPr>
        <w:t xml:space="preserve">) </w:t>
      </w:r>
      <w:r w:rsidR="002D2AAE" w:rsidRPr="00647752">
        <w:rPr>
          <w:rFonts w:ascii="Times New Roman" w:eastAsia="MS Mincho" w:hAnsi="Times New Roman" w:cs="Times New Roman"/>
          <w:sz w:val="22"/>
          <w:szCs w:val="24"/>
          <w:lang w:val="en-GB" w:eastAsia="ja-JP"/>
        </w:rPr>
        <w:t>continuing outreach with traditional leaders.</w:t>
      </w:r>
    </w:p>
    <w:p w:rsidR="00445445" w:rsidRPr="00647752" w:rsidRDefault="00445445" w:rsidP="00FB6759">
      <w:pPr>
        <w:spacing w:after="0" w:line="240" w:lineRule="auto"/>
        <w:jc w:val="both"/>
        <w:rPr>
          <w:rFonts w:ascii="Times New Roman" w:hAnsi="Times New Roman" w:cs="Times New Roman"/>
          <w:sz w:val="22"/>
          <w:szCs w:val="22"/>
          <w:lang w:val="en-GB"/>
        </w:rPr>
      </w:pPr>
    </w:p>
    <w:p w:rsidR="00445445" w:rsidRPr="00647752" w:rsidRDefault="00445445" w:rsidP="00FB6759">
      <w:pPr>
        <w:spacing w:after="0" w:line="240" w:lineRule="auto"/>
        <w:jc w:val="both"/>
        <w:rPr>
          <w:rFonts w:ascii="Times New Roman" w:hAnsi="Times New Roman" w:cs="Times New Roman"/>
          <w:i/>
          <w:sz w:val="22"/>
          <w:szCs w:val="22"/>
          <w:lang w:val="en-GB"/>
        </w:rPr>
      </w:pPr>
      <w:r w:rsidRPr="00647752">
        <w:rPr>
          <w:rFonts w:ascii="Times New Roman" w:hAnsi="Times New Roman" w:cs="Times New Roman"/>
          <w:i/>
          <w:sz w:val="22"/>
          <w:szCs w:val="22"/>
          <w:lang w:val="en-GB"/>
        </w:rPr>
        <w:lastRenderedPageBreak/>
        <w:t>Introduction of</w:t>
      </w:r>
      <w:r w:rsidR="001C78B9">
        <w:rPr>
          <w:rFonts w:ascii="Times New Roman" w:hAnsi="Times New Roman" w:cs="Times New Roman"/>
          <w:i/>
          <w:sz w:val="22"/>
          <w:szCs w:val="22"/>
          <w:lang w:val="en-GB"/>
        </w:rPr>
        <w:t xml:space="preserve"> the concept of clinical legal e</w:t>
      </w:r>
      <w:r w:rsidRPr="00647752">
        <w:rPr>
          <w:rFonts w:ascii="Times New Roman" w:hAnsi="Times New Roman" w:cs="Times New Roman"/>
          <w:i/>
          <w:sz w:val="22"/>
          <w:szCs w:val="22"/>
          <w:lang w:val="en-GB"/>
        </w:rPr>
        <w:t>ducation in Gaza</w:t>
      </w:r>
    </w:p>
    <w:p w:rsidR="00AB6D72" w:rsidRDefault="00AB6D72" w:rsidP="00FB6759">
      <w:pPr>
        <w:spacing w:after="0" w:line="240" w:lineRule="auto"/>
        <w:jc w:val="both"/>
        <w:rPr>
          <w:rFonts w:ascii="Times New Roman" w:eastAsia="MS Mincho" w:hAnsi="Times New Roman" w:cs="Times New Roman"/>
          <w:sz w:val="22"/>
          <w:szCs w:val="24"/>
          <w:lang w:val="en-GB" w:eastAsia="ja-JP"/>
        </w:rPr>
      </w:pPr>
    </w:p>
    <w:p w:rsidR="00980CB5" w:rsidRDefault="00980CB5" w:rsidP="00FB6759">
      <w:pPr>
        <w:spacing w:after="0" w:line="240" w:lineRule="auto"/>
        <w:jc w:val="both"/>
        <w:rPr>
          <w:rFonts w:ascii="Times New Roman" w:eastAsia="MS Mincho" w:hAnsi="Times New Roman" w:cs="Times New Roman"/>
          <w:sz w:val="22"/>
          <w:szCs w:val="24"/>
          <w:lang w:val="en-GB" w:eastAsia="ja-JP"/>
        </w:rPr>
      </w:pPr>
      <w:r w:rsidRPr="00647752">
        <w:rPr>
          <w:rFonts w:ascii="Times New Roman" w:eastAsia="MS Mincho" w:hAnsi="Times New Roman" w:cs="Times New Roman"/>
          <w:sz w:val="22"/>
          <w:szCs w:val="24"/>
          <w:lang w:val="en-GB" w:eastAsia="ja-JP"/>
        </w:rPr>
        <w:t xml:space="preserve">UNDP </w:t>
      </w:r>
      <w:r w:rsidR="00BB65D1" w:rsidRPr="00647752">
        <w:rPr>
          <w:rFonts w:ascii="Times New Roman" w:eastAsia="MS Mincho" w:hAnsi="Times New Roman" w:cs="Times New Roman"/>
          <w:sz w:val="22"/>
          <w:szCs w:val="24"/>
          <w:lang w:val="en-GB" w:eastAsia="ja-JP"/>
        </w:rPr>
        <w:t>support was instrumental in the</w:t>
      </w:r>
      <w:r w:rsidRPr="00647752">
        <w:rPr>
          <w:rFonts w:ascii="Times New Roman" w:eastAsia="MS Mincho" w:hAnsi="Times New Roman" w:cs="Times New Roman"/>
          <w:sz w:val="22"/>
          <w:szCs w:val="24"/>
          <w:lang w:val="en-GB" w:eastAsia="ja-JP"/>
        </w:rPr>
        <w:t xml:space="preserve"> establishment of clinical legal education programmes at three universities</w:t>
      </w:r>
      <w:r w:rsidR="001C78B9">
        <w:rPr>
          <w:rFonts w:ascii="Times New Roman" w:eastAsia="MS Mincho" w:hAnsi="Times New Roman" w:cs="Times New Roman"/>
          <w:sz w:val="22"/>
          <w:szCs w:val="24"/>
          <w:lang w:val="en-GB" w:eastAsia="ja-JP"/>
        </w:rPr>
        <w:t xml:space="preserve"> in Gaza (</w:t>
      </w:r>
      <w:r w:rsidR="001C78B9" w:rsidRPr="001C78B9">
        <w:rPr>
          <w:rFonts w:ascii="Times New Roman" w:eastAsia="MS Mincho" w:hAnsi="Times New Roman" w:cs="Times New Roman"/>
          <w:i/>
          <w:sz w:val="22"/>
          <w:szCs w:val="24"/>
          <w:lang w:val="en-GB" w:eastAsia="ja-JP"/>
        </w:rPr>
        <w:t>Al-</w:t>
      </w:r>
      <w:r w:rsidRPr="001C78B9">
        <w:rPr>
          <w:rFonts w:ascii="Times New Roman" w:eastAsia="MS Mincho" w:hAnsi="Times New Roman" w:cs="Times New Roman"/>
          <w:i/>
          <w:sz w:val="22"/>
          <w:szCs w:val="24"/>
          <w:lang w:val="en-GB" w:eastAsia="ja-JP"/>
        </w:rPr>
        <w:t>Az</w:t>
      </w:r>
      <w:r w:rsidR="00271018" w:rsidRPr="001C78B9">
        <w:rPr>
          <w:rFonts w:ascii="Times New Roman" w:eastAsia="MS Mincho" w:hAnsi="Times New Roman" w:cs="Times New Roman"/>
          <w:i/>
          <w:sz w:val="22"/>
          <w:szCs w:val="24"/>
          <w:lang w:val="en-GB" w:eastAsia="ja-JP"/>
        </w:rPr>
        <w:t>h</w:t>
      </w:r>
      <w:r w:rsidRPr="001C78B9">
        <w:rPr>
          <w:rFonts w:ascii="Times New Roman" w:eastAsia="MS Mincho" w:hAnsi="Times New Roman" w:cs="Times New Roman"/>
          <w:i/>
          <w:sz w:val="22"/>
          <w:szCs w:val="24"/>
          <w:lang w:val="en-GB" w:eastAsia="ja-JP"/>
        </w:rPr>
        <w:t>ar</w:t>
      </w:r>
      <w:r w:rsidRPr="00647752">
        <w:rPr>
          <w:rFonts w:ascii="Times New Roman" w:eastAsia="MS Mincho" w:hAnsi="Times New Roman" w:cs="Times New Roman"/>
          <w:sz w:val="22"/>
          <w:szCs w:val="24"/>
          <w:lang w:val="en-GB" w:eastAsia="ja-JP"/>
        </w:rPr>
        <w:t xml:space="preserve"> Universi</w:t>
      </w:r>
      <w:r w:rsidR="00105455">
        <w:rPr>
          <w:rFonts w:ascii="Times New Roman" w:eastAsia="MS Mincho" w:hAnsi="Times New Roman" w:cs="Times New Roman"/>
          <w:sz w:val="22"/>
          <w:szCs w:val="24"/>
          <w:lang w:val="en-GB" w:eastAsia="ja-JP"/>
        </w:rPr>
        <w:t xml:space="preserve">ty, the Islamic University in Gaza, </w:t>
      </w:r>
      <w:r w:rsidRPr="00647752">
        <w:rPr>
          <w:rFonts w:ascii="Times New Roman" w:eastAsia="MS Mincho" w:hAnsi="Times New Roman" w:cs="Times New Roman"/>
          <w:sz w:val="22"/>
          <w:szCs w:val="24"/>
          <w:lang w:val="en-GB" w:eastAsia="ja-JP"/>
        </w:rPr>
        <w:t>and</w:t>
      </w:r>
      <w:r w:rsidR="00105455">
        <w:rPr>
          <w:rFonts w:ascii="Times New Roman" w:eastAsia="MS Mincho" w:hAnsi="Times New Roman" w:cs="Times New Roman"/>
          <w:sz w:val="22"/>
          <w:szCs w:val="24"/>
          <w:lang w:val="en-GB" w:eastAsia="ja-JP"/>
        </w:rPr>
        <w:t xml:space="preserve"> the University of Palestine).</w:t>
      </w:r>
    </w:p>
    <w:p w:rsidR="00105455" w:rsidRPr="00647752" w:rsidRDefault="00105455" w:rsidP="00FB6759">
      <w:pPr>
        <w:spacing w:after="0" w:line="240" w:lineRule="auto"/>
        <w:jc w:val="both"/>
        <w:rPr>
          <w:rFonts w:ascii="Times New Roman" w:eastAsia="MS Mincho" w:hAnsi="Times New Roman" w:cs="Times New Roman"/>
          <w:sz w:val="22"/>
          <w:szCs w:val="24"/>
          <w:lang w:val="en-GB" w:eastAsia="ja-JP"/>
        </w:rPr>
      </w:pPr>
    </w:p>
    <w:p w:rsidR="00655A01" w:rsidRPr="00647752" w:rsidRDefault="00105455" w:rsidP="00FB6759">
      <w:pPr>
        <w:spacing w:after="0" w:line="240" w:lineRule="auto"/>
        <w:jc w:val="both"/>
        <w:rPr>
          <w:rFonts w:ascii="Times New Roman" w:hAnsi="Times New Roman" w:cs="Times New Roman"/>
          <w:sz w:val="22"/>
          <w:szCs w:val="22"/>
          <w:lang w:val="en-GB"/>
        </w:rPr>
      </w:pPr>
      <w:r>
        <w:rPr>
          <w:rFonts w:ascii="Times New Roman" w:eastAsia="MS Mincho" w:hAnsi="Times New Roman" w:cs="Times New Roman"/>
          <w:sz w:val="22"/>
          <w:szCs w:val="24"/>
          <w:lang w:val="en-GB" w:eastAsia="ja-JP"/>
        </w:rPr>
        <w:t>The evaluation organis</w:t>
      </w:r>
      <w:r w:rsidR="00C03A80" w:rsidRPr="00647752">
        <w:rPr>
          <w:rFonts w:ascii="Times New Roman" w:eastAsia="MS Mincho" w:hAnsi="Times New Roman" w:cs="Times New Roman"/>
          <w:sz w:val="22"/>
          <w:szCs w:val="24"/>
          <w:lang w:val="en-GB" w:eastAsia="ja-JP"/>
        </w:rPr>
        <w:t xml:space="preserve">ed a focus group of all </w:t>
      </w:r>
      <w:r>
        <w:rPr>
          <w:rFonts w:ascii="Times New Roman" w:eastAsia="MS Mincho" w:hAnsi="Times New Roman" w:cs="Times New Roman"/>
          <w:sz w:val="22"/>
          <w:szCs w:val="24"/>
          <w:lang w:val="en-GB" w:eastAsia="ja-JP"/>
        </w:rPr>
        <w:t xml:space="preserve">three universities hosted by </w:t>
      </w:r>
      <w:r w:rsidRPr="00105455">
        <w:rPr>
          <w:rFonts w:ascii="Times New Roman" w:eastAsia="MS Mincho" w:hAnsi="Times New Roman" w:cs="Times New Roman"/>
          <w:i/>
          <w:sz w:val="22"/>
          <w:szCs w:val="24"/>
          <w:lang w:val="en-GB" w:eastAsia="ja-JP"/>
        </w:rPr>
        <w:t>Al-</w:t>
      </w:r>
      <w:r w:rsidR="00271018" w:rsidRPr="00105455">
        <w:rPr>
          <w:rFonts w:ascii="Times New Roman" w:eastAsia="MS Mincho" w:hAnsi="Times New Roman" w:cs="Times New Roman"/>
          <w:i/>
          <w:sz w:val="22"/>
          <w:szCs w:val="24"/>
          <w:lang w:val="en-GB" w:eastAsia="ja-JP"/>
        </w:rPr>
        <w:t>Azhar</w:t>
      </w:r>
      <w:r>
        <w:rPr>
          <w:rFonts w:ascii="Times New Roman" w:eastAsia="MS Mincho" w:hAnsi="Times New Roman" w:cs="Times New Roman"/>
          <w:sz w:val="22"/>
          <w:szCs w:val="24"/>
          <w:lang w:val="en-GB" w:eastAsia="ja-JP"/>
        </w:rPr>
        <w:t xml:space="preserve"> University. </w:t>
      </w:r>
      <w:r w:rsidR="00C03A80" w:rsidRPr="00647752">
        <w:rPr>
          <w:rFonts w:ascii="Times New Roman" w:eastAsia="MS Mincho" w:hAnsi="Times New Roman" w:cs="Times New Roman"/>
          <w:sz w:val="22"/>
          <w:szCs w:val="24"/>
          <w:lang w:val="en-GB" w:eastAsia="ja-JP"/>
        </w:rPr>
        <w:t>All three institutions stated that the level of cooperation with UNDP had been exceptional to date with “24/7</w:t>
      </w:r>
      <w:r w:rsidR="00E63D7D" w:rsidRPr="00647752">
        <w:rPr>
          <w:rFonts w:ascii="Times New Roman" w:eastAsia="MS Mincho" w:hAnsi="Times New Roman" w:cs="Times New Roman"/>
          <w:sz w:val="22"/>
          <w:szCs w:val="24"/>
          <w:lang w:val="en-GB" w:eastAsia="ja-JP"/>
        </w:rPr>
        <w:t xml:space="preserve">” availability of the UNDP staff that included </w:t>
      </w:r>
      <w:r w:rsidR="00BA1280" w:rsidRPr="00647752">
        <w:rPr>
          <w:rFonts w:ascii="Times New Roman" w:eastAsia="MS Mincho" w:hAnsi="Times New Roman" w:cs="Times New Roman"/>
          <w:sz w:val="22"/>
          <w:szCs w:val="24"/>
          <w:lang w:val="en-GB" w:eastAsia="ja-JP"/>
        </w:rPr>
        <w:t xml:space="preserve">conducting a mapping exercise, </w:t>
      </w:r>
      <w:r w:rsidR="00E63D7D" w:rsidRPr="00647752">
        <w:rPr>
          <w:rFonts w:ascii="Times New Roman" w:eastAsia="MS Mincho" w:hAnsi="Times New Roman" w:cs="Times New Roman"/>
          <w:sz w:val="22"/>
          <w:szCs w:val="24"/>
          <w:lang w:val="en-GB" w:eastAsia="ja-JP"/>
        </w:rPr>
        <w:t>the develop</w:t>
      </w:r>
      <w:r>
        <w:rPr>
          <w:rFonts w:ascii="Times New Roman" w:eastAsia="MS Mincho" w:hAnsi="Times New Roman" w:cs="Times New Roman"/>
          <w:sz w:val="22"/>
          <w:szCs w:val="24"/>
          <w:lang w:val="en-GB" w:eastAsia="ja-JP"/>
        </w:rPr>
        <w:t>ment of a detailed action plan and curricula,</w:t>
      </w:r>
      <w:r w:rsidR="000063A3">
        <w:rPr>
          <w:rFonts w:ascii="Times New Roman" w:eastAsia="MS Mincho" w:hAnsi="Times New Roman" w:cs="Times New Roman"/>
          <w:sz w:val="22"/>
          <w:szCs w:val="24"/>
          <w:lang w:val="en-GB" w:eastAsia="ja-JP"/>
        </w:rPr>
        <w:t xml:space="preserve"> </w:t>
      </w:r>
      <w:r w:rsidR="00B42B9F" w:rsidRPr="00647752">
        <w:rPr>
          <w:rFonts w:ascii="Times New Roman" w:eastAsia="MS Mincho" w:hAnsi="Times New Roman" w:cs="Times New Roman"/>
          <w:sz w:val="22"/>
          <w:szCs w:val="24"/>
          <w:lang w:val="en-GB" w:eastAsia="ja-JP"/>
        </w:rPr>
        <w:t>recruitment</w:t>
      </w:r>
      <w:r w:rsidR="00E63D7D" w:rsidRPr="00647752">
        <w:rPr>
          <w:rFonts w:ascii="Times New Roman" w:eastAsia="MS Mincho" w:hAnsi="Times New Roman" w:cs="Times New Roman"/>
          <w:sz w:val="22"/>
          <w:szCs w:val="24"/>
          <w:lang w:val="en-GB" w:eastAsia="ja-JP"/>
        </w:rPr>
        <w:t xml:space="preserve"> of staff</w:t>
      </w:r>
      <w:r w:rsidR="00B42B9F" w:rsidRPr="00647752">
        <w:rPr>
          <w:rFonts w:ascii="Times New Roman" w:eastAsia="MS Mincho" w:hAnsi="Times New Roman" w:cs="Times New Roman"/>
          <w:sz w:val="22"/>
          <w:szCs w:val="24"/>
          <w:lang w:val="en-GB" w:eastAsia="ja-JP"/>
        </w:rPr>
        <w:t>, workshops</w:t>
      </w:r>
      <w:r w:rsidR="00E63D7D" w:rsidRPr="00647752">
        <w:rPr>
          <w:rFonts w:ascii="Times New Roman" w:eastAsia="MS Mincho" w:hAnsi="Times New Roman" w:cs="Times New Roman"/>
          <w:sz w:val="22"/>
          <w:szCs w:val="24"/>
          <w:lang w:val="en-GB" w:eastAsia="ja-JP"/>
        </w:rPr>
        <w:t xml:space="preserve"> and </w:t>
      </w:r>
      <w:r w:rsidR="00B42B9F" w:rsidRPr="00647752">
        <w:rPr>
          <w:rFonts w:ascii="Times New Roman" w:eastAsia="MS Mincho" w:hAnsi="Times New Roman" w:cs="Times New Roman"/>
          <w:sz w:val="22"/>
          <w:szCs w:val="24"/>
          <w:lang w:val="en-GB" w:eastAsia="ja-JP"/>
        </w:rPr>
        <w:t xml:space="preserve">assistance with </w:t>
      </w:r>
      <w:r w:rsidR="00E63D7D" w:rsidRPr="00647752">
        <w:rPr>
          <w:rFonts w:ascii="Times New Roman" w:eastAsia="MS Mincho" w:hAnsi="Times New Roman" w:cs="Times New Roman"/>
          <w:sz w:val="22"/>
          <w:szCs w:val="24"/>
          <w:lang w:val="en-GB" w:eastAsia="ja-JP"/>
        </w:rPr>
        <w:t xml:space="preserve">reporting. </w:t>
      </w:r>
      <w:r w:rsidR="009C77C8" w:rsidRPr="00647752">
        <w:rPr>
          <w:rFonts w:ascii="Times New Roman" w:eastAsia="MS Mincho" w:hAnsi="Times New Roman" w:cs="Times New Roman"/>
          <w:sz w:val="22"/>
          <w:szCs w:val="24"/>
          <w:lang w:val="en-GB" w:eastAsia="ja-JP"/>
        </w:rPr>
        <w:t xml:space="preserve">UNDP facilitated dialogue and a spirit of cooperation between the three universities on issues of women’s rights, etc. </w:t>
      </w:r>
      <w:r w:rsidR="00655A01" w:rsidRPr="00105455">
        <w:rPr>
          <w:rFonts w:ascii="Times New Roman" w:hAnsi="Times New Roman" w:cs="Times New Roman"/>
          <w:i/>
          <w:sz w:val="22"/>
          <w:szCs w:val="22"/>
          <w:lang w:val="en-GB"/>
        </w:rPr>
        <w:t>Al-Az</w:t>
      </w:r>
      <w:r w:rsidR="007A4437" w:rsidRPr="00105455">
        <w:rPr>
          <w:rFonts w:ascii="Times New Roman" w:hAnsi="Times New Roman" w:cs="Times New Roman"/>
          <w:i/>
          <w:sz w:val="22"/>
          <w:szCs w:val="22"/>
          <w:lang w:val="en-GB"/>
        </w:rPr>
        <w:t>h</w:t>
      </w:r>
      <w:r w:rsidR="00655A01" w:rsidRPr="00105455">
        <w:rPr>
          <w:rFonts w:ascii="Times New Roman" w:hAnsi="Times New Roman" w:cs="Times New Roman"/>
          <w:i/>
          <w:sz w:val="22"/>
          <w:szCs w:val="22"/>
          <w:lang w:val="en-GB"/>
        </w:rPr>
        <w:t>ar</w:t>
      </w:r>
      <w:r w:rsidR="00655A01" w:rsidRPr="00647752">
        <w:rPr>
          <w:rFonts w:ascii="Times New Roman" w:hAnsi="Times New Roman" w:cs="Times New Roman"/>
          <w:sz w:val="22"/>
          <w:szCs w:val="22"/>
          <w:lang w:val="en-GB"/>
        </w:rPr>
        <w:t xml:space="preserve"> Univers</w:t>
      </w:r>
      <w:r>
        <w:rPr>
          <w:rFonts w:ascii="Times New Roman" w:hAnsi="Times New Roman" w:cs="Times New Roman"/>
          <w:sz w:val="22"/>
          <w:szCs w:val="22"/>
          <w:lang w:val="en-GB"/>
        </w:rPr>
        <w:t xml:space="preserve">ity took a lead-role and organised a </w:t>
      </w:r>
      <w:r w:rsidR="00655A01" w:rsidRPr="00647752">
        <w:rPr>
          <w:rFonts w:ascii="Times New Roman" w:hAnsi="Times New Roman" w:cs="Times New Roman"/>
          <w:sz w:val="22"/>
          <w:szCs w:val="22"/>
          <w:lang w:val="en-GB"/>
        </w:rPr>
        <w:t xml:space="preserve">conference “Law and Development in </w:t>
      </w:r>
      <w:r w:rsidR="00DE216A" w:rsidRPr="00647752">
        <w:rPr>
          <w:rFonts w:ascii="Times New Roman" w:hAnsi="Times New Roman" w:cs="Times New Roman"/>
          <w:sz w:val="22"/>
          <w:szCs w:val="22"/>
          <w:lang w:val="en-GB"/>
        </w:rPr>
        <w:t>oPt</w:t>
      </w:r>
      <w:r w:rsidR="00655A01" w:rsidRPr="00647752">
        <w:rPr>
          <w:rFonts w:ascii="Times New Roman" w:hAnsi="Times New Roman" w:cs="Times New Roman"/>
          <w:sz w:val="22"/>
          <w:szCs w:val="22"/>
          <w:lang w:val="en-GB"/>
        </w:rPr>
        <w:t xml:space="preserve">: Existing Challenges and Future Prospects”, with UNDP support in order to deepen the understanding of the developmental perspective of law in the Palestinian context; and </w:t>
      </w:r>
      <w:r>
        <w:rPr>
          <w:rFonts w:ascii="Times New Roman" w:hAnsi="Times New Roman" w:cs="Times New Roman"/>
          <w:sz w:val="22"/>
          <w:szCs w:val="22"/>
          <w:lang w:val="en-GB"/>
        </w:rPr>
        <w:t xml:space="preserve">to </w:t>
      </w:r>
      <w:r w:rsidR="00655A01" w:rsidRPr="00647752">
        <w:rPr>
          <w:rFonts w:ascii="Times New Roman" w:hAnsi="Times New Roman" w:cs="Times New Roman"/>
          <w:sz w:val="22"/>
          <w:szCs w:val="22"/>
          <w:lang w:val="en-GB"/>
        </w:rPr>
        <w:t>examine the linkages between law and development.</w:t>
      </w:r>
    </w:p>
    <w:p w:rsidR="00AB6D72" w:rsidRDefault="00AB6D72" w:rsidP="00FB6759">
      <w:pPr>
        <w:spacing w:after="0" w:line="240" w:lineRule="auto"/>
        <w:jc w:val="both"/>
        <w:rPr>
          <w:rFonts w:ascii="Times New Roman" w:eastAsia="MS Mincho" w:hAnsi="Times New Roman" w:cs="Times New Roman"/>
          <w:sz w:val="22"/>
          <w:szCs w:val="24"/>
          <w:lang w:val="en-GB" w:eastAsia="ja-JP"/>
        </w:rPr>
      </w:pPr>
    </w:p>
    <w:p w:rsidR="009C77C8" w:rsidRPr="00647752" w:rsidRDefault="001A4373" w:rsidP="00FB6759">
      <w:pPr>
        <w:spacing w:after="0" w:line="240" w:lineRule="auto"/>
        <w:jc w:val="both"/>
        <w:rPr>
          <w:rFonts w:ascii="Times New Roman" w:hAnsi="Times New Roman" w:cs="Times New Roman"/>
          <w:sz w:val="22"/>
          <w:szCs w:val="22"/>
          <w:lang w:val="en-GB"/>
        </w:rPr>
      </w:pPr>
      <w:r>
        <w:rPr>
          <w:rFonts w:ascii="Times New Roman" w:eastAsia="MS Mincho" w:hAnsi="Times New Roman" w:cs="Times New Roman"/>
          <w:sz w:val="22"/>
          <w:szCs w:val="24"/>
          <w:lang w:val="en-GB" w:eastAsia="ja-JP"/>
        </w:rPr>
        <w:t>UNDP has</w:t>
      </w:r>
      <w:r w:rsidR="00E63D7D" w:rsidRPr="00647752">
        <w:rPr>
          <w:rFonts w:ascii="Times New Roman" w:eastAsia="MS Mincho" w:hAnsi="Times New Roman" w:cs="Times New Roman"/>
          <w:sz w:val="22"/>
          <w:szCs w:val="24"/>
          <w:lang w:val="en-GB" w:eastAsia="ja-JP"/>
        </w:rPr>
        <w:t xml:space="preserve"> also </w:t>
      </w:r>
      <w:r>
        <w:rPr>
          <w:rFonts w:ascii="Times New Roman" w:eastAsia="MS Mincho" w:hAnsi="Times New Roman" w:cs="Times New Roman"/>
          <w:sz w:val="22"/>
          <w:szCs w:val="24"/>
          <w:lang w:val="en-GB" w:eastAsia="ja-JP"/>
        </w:rPr>
        <w:t>helped to establish</w:t>
      </w:r>
      <w:r w:rsidR="00E63D7D" w:rsidRPr="00647752">
        <w:rPr>
          <w:rFonts w:ascii="Times New Roman" w:eastAsia="MS Mincho" w:hAnsi="Times New Roman" w:cs="Times New Roman"/>
          <w:sz w:val="22"/>
          <w:szCs w:val="24"/>
          <w:lang w:val="en-GB" w:eastAsia="ja-JP"/>
        </w:rPr>
        <w:t xml:space="preserve"> moot courts at the legal clinics</w:t>
      </w:r>
      <w:r w:rsidR="00655A01" w:rsidRPr="00647752">
        <w:rPr>
          <w:rFonts w:ascii="Times New Roman" w:eastAsia="MS Mincho" w:hAnsi="Times New Roman" w:cs="Times New Roman"/>
          <w:sz w:val="22"/>
          <w:szCs w:val="24"/>
          <w:lang w:val="en-GB" w:eastAsia="ja-JP"/>
        </w:rPr>
        <w:t xml:space="preserve">, including the first </w:t>
      </w:r>
      <w:r>
        <w:rPr>
          <w:rFonts w:ascii="Times New Roman" w:hAnsi="Times New Roman" w:cs="Times New Roman"/>
          <w:sz w:val="22"/>
          <w:szCs w:val="22"/>
          <w:lang w:val="en-GB"/>
        </w:rPr>
        <w:t xml:space="preserve">ICC moot court competition ever held in Gaza. </w:t>
      </w:r>
      <w:r w:rsidR="00E63D7D" w:rsidRPr="00647752">
        <w:rPr>
          <w:rFonts w:ascii="Times New Roman" w:eastAsia="MS Mincho" w:hAnsi="Times New Roman" w:cs="Times New Roman"/>
          <w:sz w:val="22"/>
          <w:szCs w:val="24"/>
          <w:lang w:val="en-GB" w:eastAsia="ja-JP"/>
        </w:rPr>
        <w:t>The practice of the moot courts has becom</w:t>
      </w:r>
      <w:r>
        <w:rPr>
          <w:rFonts w:ascii="Times New Roman" w:eastAsia="MS Mincho" w:hAnsi="Times New Roman" w:cs="Times New Roman"/>
          <w:sz w:val="22"/>
          <w:szCs w:val="24"/>
          <w:lang w:val="en-GB" w:eastAsia="ja-JP"/>
        </w:rPr>
        <w:t xml:space="preserve">e a part of the curriculum at </w:t>
      </w:r>
      <w:r w:rsidRPr="001A4373">
        <w:rPr>
          <w:rFonts w:ascii="Times New Roman" w:eastAsia="MS Mincho" w:hAnsi="Times New Roman" w:cs="Times New Roman"/>
          <w:i/>
          <w:sz w:val="22"/>
          <w:szCs w:val="24"/>
          <w:lang w:val="en-GB" w:eastAsia="ja-JP"/>
        </w:rPr>
        <w:t>Al-</w:t>
      </w:r>
      <w:r w:rsidR="00E63D7D" w:rsidRPr="001A4373">
        <w:rPr>
          <w:rFonts w:ascii="Times New Roman" w:eastAsia="MS Mincho" w:hAnsi="Times New Roman" w:cs="Times New Roman"/>
          <w:i/>
          <w:sz w:val="22"/>
          <w:szCs w:val="24"/>
          <w:lang w:val="en-GB" w:eastAsia="ja-JP"/>
        </w:rPr>
        <w:t xml:space="preserve"> Az</w:t>
      </w:r>
      <w:r w:rsidR="00271018" w:rsidRPr="001A4373">
        <w:rPr>
          <w:rFonts w:ascii="Times New Roman" w:eastAsia="MS Mincho" w:hAnsi="Times New Roman" w:cs="Times New Roman"/>
          <w:i/>
          <w:sz w:val="22"/>
          <w:szCs w:val="24"/>
          <w:lang w:val="en-GB" w:eastAsia="ja-JP"/>
        </w:rPr>
        <w:t>h</w:t>
      </w:r>
      <w:r w:rsidR="00E63D7D" w:rsidRPr="001A4373">
        <w:rPr>
          <w:rFonts w:ascii="Times New Roman" w:eastAsia="MS Mincho" w:hAnsi="Times New Roman" w:cs="Times New Roman"/>
          <w:i/>
          <w:sz w:val="22"/>
          <w:szCs w:val="24"/>
          <w:lang w:val="en-GB" w:eastAsia="ja-JP"/>
        </w:rPr>
        <w:t>ar</w:t>
      </w:r>
      <w:r>
        <w:rPr>
          <w:rFonts w:ascii="Times New Roman" w:eastAsia="MS Mincho" w:hAnsi="Times New Roman" w:cs="Times New Roman"/>
          <w:sz w:val="22"/>
          <w:szCs w:val="24"/>
          <w:lang w:val="en-GB" w:eastAsia="ja-JP"/>
        </w:rPr>
        <w:t xml:space="preserve"> University and the </w:t>
      </w:r>
      <w:r w:rsidR="00E63D7D" w:rsidRPr="00647752">
        <w:rPr>
          <w:rFonts w:ascii="Times New Roman" w:eastAsia="MS Mincho" w:hAnsi="Times New Roman" w:cs="Times New Roman"/>
          <w:sz w:val="22"/>
          <w:szCs w:val="24"/>
          <w:lang w:val="en-GB" w:eastAsia="ja-JP"/>
        </w:rPr>
        <w:t>University</w:t>
      </w:r>
      <w:r w:rsidR="000063A3">
        <w:rPr>
          <w:rFonts w:ascii="Times New Roman" w:eastAsia="MS Mincho" w:hAnsi="Times New Roman" w:cs="Times New Roman"/>
          <w:sz w:val="22"/>
          <w:szCs w:val="24"/>
          <w:lang w:val="en-GB" w:eastAsia="ja-JP"/>
        </w:rPr>
        <w:t xml:space="preserve"> </w:t>
      </w:r>
      <w:r>
        <w:rPr>
          <w:rFonts w:ascii="Times New Roman" w:eastAsia="MS Mincho" w:hAnsi="Times New Roman" w:cs="Times New Roman"/>
          <w:sz w:val="22"/>
          <w:szCs w:val="24"/>
          <w:lang w:val="en-GB" w:eastAsia="ja-JP"/>
        </w:rPr>
        <w:t xml:space="preserve">of Palestine </w:t>
      </w:r>
      <w:r w:rsidR="00B42B9F" w:rsidRPr="00647752">
        <w:rPr>
          <w:rFonts w:ascii="Times New Roman" w:eastAsia="MS Mincho" w:hAnsi="Times New Roman" w:cs="Times New Roman"/>
          <w:sz w:val="22"/>
          <w:szCs w:val="24"/>
          <w:lang w:val="en-GB" w:eastAsia="ja-JP"/>
        </w:rPr>
        <w:t>with the PBA taking a</w:t>
      </w:r>
      <w:r>
        <w:rPr>
          <w:rFonts w:ascii="Times New Roman" w:eastAsia="MS Mincho" w:hAnsi="Times New Roman" w:cs="Times New Roman"/>
          <w:sz w:val="22"/>
          <w:szCs w:val="24"/>
          <w:lang w:val="en-GB" w:eastAsia="ja-JP"/>
        </w:rPr>
        <w:t xml:space="preserve"> supervisory role. PNA judges</w:t>
      </w:r>
      <w:r w:rsidR="00F92608" w:rsidRPr="00647752">
        <w:rPr>
          <w:rFonts w:ascii="Times New Roman" w:eastAsia="MS Mincho" w:hAnsi="Times New Roman" w:cs="Times New Roman"/>
          <w:sz w:val="22"/>
          <w:szCs w:val="24"/>
          <w:lang w:val="en-GB" w:eastAsia="ja-JP"/>
        </w:rPr>
        <w:t xml:space="preserve"> have also pro</w:t>
      </w:r>
      <w:r>
        <w:rPr>
          <w:rFonts w:ascii="Times New Roman" w:eastAsia="MS Mincho" w:hAnsi="Times New Roman" w:cs="Times New Roman"/>
          <w:sz w:val="22"/>
          <w:szCs w:val="24"/>
          <w:lang w:val="en-GB" w:eastAsia="ja-JP"/>
        </w:rPr>
        <w:t xml:space="preserve">vided mentoring to the clinics. The </w:t>
      </w:r>
      <w:r w:rsidR="009E5701" w:rsidRPr="00647752">
        <w:rPr>
          <w:rFonts w:ascii="Times New Roman" w:eastAsia="MS Mincho" w:hAnsi="Times New Roman" w:cs="Times New Roman"/>
          <w:sz w:val="22"/>
          <w:szCs w:val="24"/>
          <w:lang w:val="en-GB" w:eastAsia="ja-JP"/>
        </w:rPr>
        <w:t xml:space="preserve">Palestinian Centre for Human Rights </w:t>
      </w:r>
      <w:r>
        <w:rPr>
          <w:rFonts w:ascii="Times New Roman" w:eastAsia="MS Mincho" w:hAnsi="Times New Roman" w:cs="Times New Roman"/>
          <w:sz w:val="22"/>
          <w:szCs w:val="24"/>
          <w:lang w:val="en-GB" w:eastAsia="ja-JP"/>
        </w:rPr>
        <w:t xml:space="preserve">(PCHR) </w:t>
      </w:r>
      <w:r w:rsidR="009E5701" w:rsidRPr="00647752">
        <w:rPr>
          <w:rFonts w:ascii="Times New Roman" w:eastAsia="MS Mincho" w:hAnsi="Times New Roman" w:cs="Times New Roman"/>
          <w:sz w:val="22"/>
          <w:szCs w:val="24"/>
          <w:lang w:val="en-GB" w:eastAsia="ja-JP"/>
        </w:rPr>
        <w:t>also pa</w:t>
      </w:r>
      <w:r>
        <w:rPr>
          <w:rFonts w:ascii="Times New Roman" w:eastAsia="MS Mincho" w:hAnsi="Times New Roman" w:cs="Times New Roman"/>
          <w:sz w:val="22"/>
          <w:szCs w:val="24"/>
          <w:lang w:val="en-GB" w:eastAsia="ja-JP"/>
        </w:rPr>
        <w:t xml:space="preserve">rticipated in the moot court competition </w:t>
      </w:r>
      <w:r w:rsidR="009E5701" w:rsidRPr="00647752">
        <w:rPr>
          <w:rFonts w:ascii="Times New Roman" w:eastAsia="MS Mincho" w:hAnsi="Times New Roman" w:cs="Times New Roman"/>
          <w:sz w:val="22"/>
          <w:szCs w:val="24"/>
          <w:lang w:val="en-GB" w:eastAsia="ja-JP"/>
        </w:rPr>
        <w:t>and confirmed that it was a success.</w:t>
      </w:r>
    </w:p>
    <w:p w:rsidR="00AB6D72" w:rsidRDefault="00AB6D72" w:rsidP="00FB6759">
      <w:pPr>
        <w:spacing w:after="0" w:line="240" w:lineRule="auto"/>
        <w:jc w:val="both"/>
        <w:rPr>
          <w:rFonts w:ascii="Times New Roman" w:eastAsia="MS Mincho" w:hAnsi="Times New Roman" w:cs="Times New Roman"/>
          <w:sz w:val="22"/>
          <w:szCs w:val="24"/>
          <w:lang w:val="en-GB" w:eastAsia="ja-JP"/>
        </w:rPr>
      </w:pPr>
    </w:p>
    <w:p w:rsidR="001A4373" w:rsidRDefault="00BA1280" w:rsidP="00FB6759">
      <w:pPr>
        <w:spacing w:after="0" w:line="240" w:lineRule="auto"/>
        <w:jc w:val="both"/>
        <w:rPr>
          <w:rFonts w:ascii="Times New Roman" w:eastAsia="MS Mincho" w:hAnsi="Times New Roman" w:cs="Times New Roman"/>
          <w:sz w:val="22"/>
          <w:szCs w:val="24"/>
          <w:lang w:val="en-GB" w:eastAsia="ja-JP"/>
        </w:rPr>
      </w:pPr>
      <w:r w:rsidRPr="00647752">
        <w:rPr>
          <w:rFonts w:ascii="Times New Roman" w:eastAsia="MS Mincho" w:hAnsi="Times New Roman" w:cs="Times New Roman"/>
          <w:sz w:val="22"/>
          <w:szCs w:val="24"/>
          <w:lang w:val="en-GB" w:eastAsia="ja-JP"/>
        </w:rPr>
        <w:t>UNDP support to clinical education can rightly be claimed</w:t>
      </w:r>
      <w:r w:rsidR="001A4373">
        <w:rPr>
          <w:rFonts w:ascii="Times New Roman" w:eastAsia="MS Mincho" w:hAnsi="Times New Roman" w:cs="Times New Roman"/>
          <w:sz w:val="22"/>
          <w:szCs w:val="24"/>
          <w:lang w:val="en-GB" w:eastAsia="ja-JP"/>
        </w:rPr>
        <w:t xml:space="preserve"> by UNDP as a “best practice”. </w:t>
      </w:r>
      <w:r w:rsidRPr="00647752">
        <w:rPr>
          <w:rFonts w:ascii="Times New Roman" w:eastAsia="MS Mincho" w:hAnsi="Times New Roman" w:cs="Times New Roman"/>
          <w:sz w:val="22"/>
          <w:szCs w:val="24"/>
          <w:lang w:val="en-GB" w:eastAsia="ja-JP"/>
        </w:rPr>
        <w:t>The initiative has had</w:t>
      </w:r>
      <w:r w:rsidR="00E63D7D" w:rsidRPr="00647752">
        <w:rPr>
          <w:rFonts w:ascii="Times New Roman" w:eastAsia="MS Mincho" w:hAnsi="Times New Roman" w:cs="Times New Roman"/>
          <w:sz w:val="22"/>
          <w:szCs w:val="24"/>
          <w:lang w:val="en-GB" w:eastAsia="ja-JP"/>
        </w:rPr>
        <w:t xml:space="preserve"> very fruitful</w:t>
      </w:r>
      <w:r w:rsidR="001A4373">
        <w:rPr>
          <w:rFonts w:ascii="Times New Roman" w:eastAsia="MS Mincho" w:hAnsi="Times New Roman" w:cs="Times New Roman"/>
          <w:sz w:val="22"/>
          <w:szCs w:val="24"/>
          <w:lang w:val="en-GB" w:eastAsia="ja-JP"/>
        </w:rPr>
        <w:t xml:space="preserve"> results, which are tangible. </w:t>
      </w:r>
      <w:r w:rsidR="00E63D7D" w:rsidRPr="00647752">
        <w:rPr>
          <w:rFonts w:ascii="Times New Roman" w:eastAsia="MS Mincho" w:hAnsi="Times New Roman" w:cs="Times New Roman"/>
          <w:sz w:val="22"/>
          <w:szCs w:val="24"/>
          <w:lang w:val="en-GB" w:eastAsia="ja-JP"/>
        </w:rPr>
        <w:t xml:space="preserve">Both the students and the trainee lawyers use the same procedures </w:t>
      </w:r>
      <w:r w:rsidR="001A4373">
        <w:rPr>
          <w:rFonts w:ascii="Times New Roman" w:eastAsia="MS Mincho" w:hAnsi="Times New Roman" w:cs="Times New Roman"/>
          <w:sz w:val="22"/>
          <w:szCs w:val="24"/>
          <w:lang w:val="en-GB" w:eastAsia="ja-JP"/>
        </w:rPr>
        <w:t xml:space="preserve">as if in a real court of law. </w:t>
      </w:r>
      <w:r w:rsidRPr="00647752">
        <w:rPr>
          <w:rFonts w:ascii="Times New Roman" w:eastAsia="MS Mincho" w:hAnsi="Times New Roman" w:cs="Times New Roman"/>
          <w:sz w:val="22"/>
          <w:szCs w:val="24"/>
          <w:lang w:val="en-GB" w:eastAsia="ja-JP"/>
        </w:rPr>
        <w:t>The students interviewed by the</w:t>
      </w:r>
      <w:r w:rsidR="001A4373">
        <w:rPr>
          <w:rFonts w:ascii="Times New Roman" w:eastAsia="MS Mincho" w:hAnsi="Times New Roman" w:cs="Times New Roman"/>
          <w:sz w:val="22"/>
          <w:szCs w:val="24"/>
          <w:lang w:val="en-GB" w:eastAsia="ja-JP"/>
        </w:rPr>
        <w:t xml:space="preserve"> e</w:t>
      </w:r>
      <w:r w:rsidRPr="00647752">
        <w:rPr>
          <w:rFonts w:ascii="Times New Roman" w:eastAsia="MS Mincho" w:hAnsi="Times New Roman" w:cs="Times New Roman"/>
          <w:sz w:val="22"/>
          <w:szCs w:val="24"/>
          <w:lang w:val="en-GB" w:eastAsia="ja-JP"/>
        </w:rPr>
        <w:t>valuation were unanimous in their view that the law school clinics had given them practical legal experience that they will use i</w:t>
      </w:r>
      <w:r w:rsidR="001A4373">
        <w:rPr>
          <w:rFonts w:ascii="Times New Roman" w:eastAsia="MS Mincho" w:hAnsi="Times New Roman" w:cs="Times New Roman"/>
          <w:sz w:val="22"/>
          <w:szCs w:val="24"/>
          <w:lang w:val="en-GB" w:eastAsia="ja-JP"/>
        </w:rPr>
        <w:t xml:space="preserve">n the future practice of law. </w:t>
      </w:r>
      <w:r w:rsidRPr="00647752">
        <w:rPr>
          <w:rFonts w:ascii="Times New Roman" w:eastAsia="MS Mincho" w:hAnsi="Times New Roman" w:cs="Times New Roman"/>
          <w:sz w:val="22"/>
          <w:szCs w:val="24"/>
          <w:lang w:val="en-GB" w:eastAsia="ja-JP"/>
        </w:rPr>
        <w:t xml:space="preserve">In addition, students and faculty </w:t>
      </w:r>
      <w:r w:rsidR="001A4373">
        <w:rPr>
          <w:rFonts w:ascii="Times New Roman" w:eastAsia="MS Mincho" w:hAnsi="Times New Roman" w:cs="Times New Roman"/>
          <w:sz w:val="22"/>
          <w:szCs w:val="24"/>
          <w:lang w:val="en-GB" w:eastAsia="ja-JP"/>
        </w:rPr>
        <w:t>cited the</w:t>
      </w:r>
      <w:r w:rsidR="00B42B9F" w:rsidRPr="00647752">
        <w:rPr>
          <w:rFonts w:ascii="Times New Roman" w:eastAsia="MS Mincho" w:hAnsi="Times New Roman" w:cs="Times New Roman"/>
          <w:sz w:val="22"/>
          <w:szCs w:val="24"/>
          <w:lang w:val="en-GB" w:eastAsia="ja-JP"/>
        </w:rPr>
        <w:t xml:space="preserve"> impact at the community level as a result of the advocacy and litigation undertaken by the clinics.</w:t>
      </w:r>
    </w:p>
    <w:p w:rsidR="009C77C8" w:rsidRPr="00647752" w:rsidRDefault="009C77C8" w:rsidP="00FB6759">
      <w:pPr>
        <w:spacing w:after="0" w:line="240" w:lineRule="auto"/>
        <w:jc w:val="both"/>
        <w:rPr>
          <w:rFonts w:ascii="Times New Roman" w:eastAsia="MS Mincho" w:hAnsi="Times New Roman" w:cs="Times New Roman"/>
          <w:sz w:val="22"/>
          <w:szCs w:val="24"/>
          <w:lang w:val="en-GB" w:eastAsia="ja-JP"/>
        </w:rPr>
      </w:pPr>
    </w:p>
    <w:p w:rsidR="00C03A80" w:rsidRPr="00647752" w:rsidRDefault="00B42B9F" w:rsidP="00FB6759">
      <w:pPr>
        <w:spacing w:after="0" w:line="240" w:lineRule="auto"/>
        <w:jc w:val="both"/>
        <w:rPr>
          <w:rFonts w:ascii="Times New Roman" w:eastAsia="MS Mincho" w:hAnsi="Times New Roman" w:cs="Times New Roman"/>
          <w:sz w:val="22"/>
          <w:szCs w:val="24"/>
          <w:lang w:val="en-GB" w:eastAsia="ja-JP"/>
        </w:rPr>
      </w:pPr>
      <w:r w:rsidRPr="00647752">
        <w:rPr>
          <w:rFonts w:ascii="Times New Roman" w:eastAsia="MS Mincho" w:hAnsi="Times New Roman" w:cs="Times New Roman"/>
          <w:sz w:val="22"/>
          <w:szCs w:val="24"/>
          <w:lang w:val="en-GB" w:eastAsia="ja-JP"/>
        </w:rPr>
        <w:t>For exam</w:t>
      </w:r>
      <w:r w:rsidR="00750D2B" w:rsidRPr="00647752">
        <w:rPr>
          <w:rFonts w:ascii="Times New Roman" w:eastAsia="MS Mincho" w:hAnsi="Times New Roman" w:cs="Times New Roman"/>
          <w:sz w:val="22"/>
          <w:szCs w:val="24"/>
          <w:lang w:val="en-GB" w:eastAsia="ja-JP"/>
        </w:rPr>
        <w:t>ple, UNDP support to the University of Palestine</w:t>
      </w:r>
      <w:r w:rsidR="001A4373">
        <w:rPr>
          <w:rFonts w:ascii="Times New Roman" w:eastAsia="MS Mincho" w:hAnsi="Times New Roman" w:cs="Times New Roman"/>
          <w:sz w:val="22"/>
          <w:szCs w:val="24"/>
          <w:lang w:val="en-GB" w:eastAsia="ja-JP"/>
        </w:rPr>
        <w:t xml:space="preserve"> enabled it </w:t>
      </w:r>
      <w:r w:rsidR="00750D2B" w:rsidRPr="00647752">
        <w:rPr>
          <w:rFonts w:ascii="Times New Roman" w:eastAsia="MS Mincho" w:hAnsi="Times New Roman" w:cs="Times New Roman"/>
          <w:sz w:val="22"/>
          <w:szCs w:val="24"/>
          <w:lang w:val="en-GB" w:eastAsia="ja-JP"/>
        </w:rPr>
        <w:t xml:space="preserve">to take on the environmental issue of raw sewage flowing into the sea near a residential neighbourhood, resulting in </w:t>
      </w:r>
      <w:r w:rsidR="00F92608" w:rsidRPr="00647752">
        <w:rPr>
          <w:rFonts w:ascii="Times New Roman" w:eastAsia="MS Mincho" w:hAnsi="Times New Roman" w:cs="Times New Roman"/>
          <w:sz w:val="22"/>
          <w:szCs w:val="24"/>
          <w:lang w:val="en-GB" w:eastAsia="ja-JP"/>
        </w:rPr>
        <w:t>the municipality agree</w:t>
      </w:r>
      <w:r w:rsidR="001A4373">
        <w:rPr>
          <w:rFonts w:ascii="Times New Roman" w:eastAsia="MS Mincho" w:hAnsi="Times New Roman" w:cs="Times New Roman"/>
          <w:sz w:val="22"/>
          <w:szCs w:val="24"/>
          <w:lang w:val="en-GB" w:eastAsia="ja-JP"/>
        </w:rPr>
        <w:t xml:space="preserve">ing to investigate the issue. </w:t>
      </w:r>
      <w:r w:rsidR="00F92608" w:rsidRPr="00647752">
        <w:rPr>
          <w:rFonts w:ascii="Times New Roman" w:eastAsia="MS Mincho" w:hAnsi="Times New Roman" w:cs="Times New Roman"/>
          <w:sz w:val="22"/>
          <w:szCs w:val="24"/>
          <w:lang w:val="en-GB" w:eastAsia="ja-JP"/>
        </w:rPr>
        <w:t>Environmental issues were new to Gaza and such advocacy represents a major advancement of the law</w:t>
      </w:r>
      <w:r w:rsidR="001A4373">
        <w:rPr>
          <w:rFonts w:ascii="Times New Roman" w:eastAsia="MS Mincho" w:hAnsi="Times New Roman" w:cs="Times New Roman"/>
          <w:sz w:val="22"/>
          <w:szCs w:val="24"/>
          <w:lang w:val="en-GB" w:eastAsia="ja-JP"/>
        </w:rPr>
        <w:t xml:space="preserve">. </w:t>
      </w:r>
      <w:r w:rsidR="009C77C8" w:rsidRPr="00647752">
        <w:rPr>
          <w:rFonts w:ascii="Times New Roman" w:eastAsia="MS Mincho" w:hAnsi="Times New Roman" w:cs="Times New Roman"/>
          <w:sz w:val="22"/>
          <w:szCs w:val="24"/>
          <w:lang w:val="en-GB" w:eastAsia="ja-JP"/>
        </w:rPr>
        <w:t>In another ca</w:t>
      </w:r>
      <w:r w:rsidR="001A4373">
        <w:rPr>
          <w:rFonts w:ascii="Times New Roman" w:eastAsia="MS Mincho" w:hAnsi="Times New Roman" w:cs="Times New Roman"/>
          <w:sz w:val="22"/>
          <w:szCs w:val="24"/>
          <w:lang w:val="en-GB" w:eastAsia="ja-JP"/>
        </w:rPr>
        <w:t xml:space="preserve">se, the </w:t>
      </w:r>
      <w:r w:rsidR="009C77C8" w:rsidRPr="00647752">
        <w:rPr>
          <w:rFonts w:ascii="Times New Roman" w:eastAsia="MS Mincho" w:hAnsi="Times New Roman" w:cs="Times New Roman"/>
          <w:sz w:val="22"/>
          <w:szCs w:val="24"/>
          <w:lang w:val="en-GB" w:eastAsia="ja-JP"/>
        </w:rPr>
        <w:t xml:space="preserve">clinic </w:t>
      </w:r>
      <w:r w:rsidR="001A4373">
        <w:rPr>
          <w:rFonts w:ascii="Times New Roman" w:eastAsia="MS Mincho" w:hAnsi="Times New Roman" w:cs="Times New Roman"/>
          <w:sz w:val="22"/>
          <w:szCs w:val="24"/>
          <w:lang w:val="en-GB" w:eastAsia="ja-JP"/>
        </w:rPr>
        <w:t>at the University of Palestine was able to convince the</w:t>
      </w:r>
      <w:r w:rsidR="009C77C8" w:rsidRPr="00647752">
        <w:rPr>
          <w:rFonts w:ascii="Times New Roman" w:eastAsia="MS Mincho" w:hAnsi="Times New Roman" w:cs="Times New Roman"/>
          <w:sz w:val="22"/>
          <w:szCs w:val="24"/>
          <w:lang w:val="en-GB" w:eastAsia="ja-JP"/>
        </w:rPr>
        <w:t xml:space="preserve"> municipality to reopen a walkway over a road that is used daily by school children to safely cross over the road o</w:t>
      </w:r>
      <w:r w:rsidR="001A4373">
        <w:rPr>
          <w:rFonts w:ascii="Times New Roman" w:eastAsia="MS Mincho" w:hAnsi="Times New Roman" w:cs="Times New Roman"/>
          <w:sz w:val="22"/>
          <w:szCs w:val="24"/>
          <w:lang w:val="en-GB" w:eastAsia="ja-JP"/>
        </w:rPr>
        <w:t>n their way to school each day.</w:t>
      </w:r>
    </w:p>
    <w:p w:rsidR="00AB6D72" w:rsidRDefault="00AB6D72" w:rsidP="00FB6759">
      <w:pPr>
        <w:spacing w:after="0" w:line="240" w:lineRule="auto"/>
        <w:jc w:val="both"/>
        <w:rPr>
          <w:rFonts w:ascii="Times New Roman" w:hAnsi="Times New Roman" w:cs="Times New Roman"/>
          <w:sz w:val="22"/>
          <w:szCs w:val="22"/>
          <w:lang w:val="en-GB"/>
        </w:rPr>
      </w:pPr>
    </w:p>
    <w:p w:rsidR="009C77C8" w:rsidRPr="00647752" w:rsidRDefault="009C77C8"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 xml:space="preserve">Finally, UNDP support to the three universities laid the groundwork for a paralegal training and diploma programme that </w:t>
      </w:r>
      <w:r w:rsidR="00271018" w:rsidRPr="00647752">
        <w:rPr>
          <w:rFonts w:ascii="Times New Roman" w:hAnsi="Times New Roman" w:cs="Times New Roman"/>
          <w:sz w:val="22"/>
          <w:szCs w:val="22"/>
          <w:lang w:val="en-GB"/>
        </w:rPr>
        <w:t>will begin</w:t>
      </w:r>
      <w:r w:rsidRPr="00647752">
        <w:rPr>
          <w:rFonts w:ascii="Times New Roman" w:hAnsi="Times New Roman" w:cs="Times New Roman"/>
          <w:sz w:val="22"/>
          <w:szCs w:val="22"/>
          <w:lang w:val="en-GB"/>
        </w:rPr>
        <w:t xml:space="preserve"> in 2013</w:t>
      </w:r>
      <w:r w:rsidR="00271018" w:rsidRPr="00647752">
        <w:rPr>
          <w:rFonts w:ascii="Times New Roman" w:hAnsi="Times New Roman" w:cs="Times New Roman"/>
          <w:sz w:val="22"/>
          <w:szCs w:val="22"/>
          <w:lang w:val="en-GB"/>
        </w:rPr>
        <w:t xml:space="preserve"> at the University College of Applied Sciences (UCAS)</w:t>
      </w:r>
      <w:r w:rsidRPr="00647752">
        <w:rPr>
          <w:rFonts w:ascii="Times New Roman" w:hAnsi="Times New Roman" w:cs="Times New Roman"/>
          <w:sz w:val="22"/>
          <w:szCs w:val="22"/>
          <w:lang w:val="en-GB"/>
        </w:rPr>
        <w:t>.</w:t>
      </w:r>
    </w:p>
    <w:p w:rsidR="00AB6D72" w:rsidRDefault="00AB6D72" w:rsidP="00FB6759">
      <w:pPr>
        <w:spacing w:after="0" w:line="240" w:lineRule="auto"/>
        <w:jc w:val="both"/>
        <w:rPr>
          <w:rFonts w:ascii="Times New Roman" w:hAnsi="Times New Roman" w:cs="Times New Roman"/>
          <w:sz w:val="22"/>
          <w:szCs w:val="22"/>
          <w:lang w:val="en-GB"/>
        </w:rPr>
      </w:pPr>
    </w:p>
    <w:p w:rsidR="00172C53" w:rsidRPr="00647752" w:rsidRDefault="00172C53"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 xml:space="preserve">On the whole, UNDP support to legal aid in </w:t>
      </w:r>
      <w:r w:rsidR="00DE216A" w:rsidRPr="00647752">
        <w:rPr>
          <w:rFonts w:ascii="Times New Roman" w:hAnsi="Times New Roman" w:cs="Times New Roman"/>
          <w:sz w:val="22"/>
          <w:szCs w:val="22"/>
          <w:lang w:val="en-GB"/>
        </w:rPr>
        <w:t>oPt</w:t>
      </w:r>
      <w:r w:rsidRPr="00647752">
        <w:rPr>
          <w:rFonts w:ascii="Times New Roman" w:hAnsi="Times New Roman" w:cs="Times New Roman"/>
          <w:sz w:val="22"/>
          <w:szCs w:val="22"/>
          <w:lang w:val="en-GB"/>
        </w:rPr>
        <w:t xml:space="preserve"> (including East Jerusalem, West Bank and Gaza) </w:t>
      </w:r>
      <w:r w:rsidR="001A4373">
        <w:rPr>
          <w:rFonts w:ascii="Times New Roman" w:hAnsi="Times New Roman" w:cs="Times New Roman"/>
          <w:sz w:val="22"/>
          <w:szCs w:val="22"/>
          <w:lang w:val="en-GB"/>
        </w:rPr>
        <w:t xml:space="preserve">has been extremely successful. </w:t>
      </w:r>
      <w:r w:rsidRPr="00647752">
        <w:rPr>
          <w:rFonts w:ascii="Times New Roman" w:hAnsi="Times New Roman" w:cs="Times New Roman"/>
          <w:sz w:val="22"/>
          <w:szCs w:val="22"/>
          <w:lang w:val="en-GB"/>
        </w:rPr>
        <w:t xml:space="preserve">Going forward, UNDP should strive to make the support more strategic in nature, </w:t>
      </w:r>
      <w:r w:rsidR="00EA2101" w:rsidRPr="00647752">
        <w:rPr>
          <w:rFonts w:ascii="Times New Roman" w:hAnsi="Times New Roman" w:cs="Times New Roman"/>
          <w:sz w:val="22"/>
          <w:szCs w:val="22"/>
          <w:lang w:val="en-GB"/>
        </w:rPr>
        <w:t xml:space="preserve">improve </w:t>
      </w:r>
      <w:r w:rsidRPr="00647752">
        <w:rPr>
          <w:rFonts w:ascii="Times New Roman" w:hAnsi="Times New Roman" w:cs="Times New Roman"/>
          <w:sz w:val="22"/>
          <w:szCs w:val="22"/>
          <w:lang w:val="en-GB"/>
        </w:rPr>
        <w:t>its trackin</w:t>
      </w:r>
      <w:r w:rsidR="00EA2101" w:rsidRPr="00647752">
        <w:rPr>
          <w:rFonts w:ascii="Times New Roman" w:hAnsi="Times New Roman" w:cs="Times New Roman"/>
          <w:sz w:val="22"/>
          <w:szCs w:val="22"/>
          <w:lang w:val="en-GB"/>
        </w:rPr>
        <w:t xml:space="preserve">g of criminal legal aid clients </w:t>
      </w:r>
      <w:r w:rsidRPr="00647752">
        <w:rPr>
          <w:rFonts w:ascii="Times New Roman" w:hAnsi="Times New Roman" w:cs="Times New Roman"/>
          <w:sz w:val="22"/>
          <w:szCs w:val="22"/>
          <w:lang w:val="en-GB"/>
        </w:rPr>
        <w:t xml:space="preserve">and </w:t>
      </w:r>
      <w:r w:rsidR="00EA2101" w:rsidRPr="00647752">
        <w:rPr>
          <w:rFonts w:ascii="Times New Roman" w:hAnsi="Times New Roman" w:cs="Times New Roman"/>
          <w:sz w:val="22"/>
          <w:szCs w:val="22"/>
          <w:lang w:val="en-GB"/>
        </w:rPr>
        <w:t xml:space="preserve">increase capacities for mobile justice and persons with disabilities in </w:t>
      </w:r>
      <w:r w:rsidR="001A4373">
        <w:rPr>
          <w:rFonts w:ascii="Times New Roman" w:hAnsi="Times New Roman" w:cs="Times New Roman"/>
          <w:sz w:val="22"/>
          <w:szCs w:val="22"/>
          <w:lang w:val="en-GB"/>
        </w:rPr>
        <w:t xml:space="preserve">the </w:t>
      </w:r>
      <w:r w:rsidR="00DE216A" w:rsidRPr="00647752">
        <w:rPr>
          <w:rFonts w:ascii="Times New Roman" w:hAnsi="Times New Roman" w:cs="Times New Roman"/>
          <w:sz w:val="22"/>
          <w:szCs w:val="22"/>
          <w:lang w:val="en-GB"/>
        </w:rPr>
        <w:t>oPt</w:t>
      </w:r>
      <w:r w:rsidR="001A4373">
        <w:rPr>
          <w:rFonts w:ascii="Times New Roman" w:hAnsi="Times New Roman" w:cs="Times New Roman"/>
          <w:sz w:val="22"/>
          <w:szCs w:val="22"/>
          <w:lang w:val="en-GB"/>
        </w:rPr>
        <w:t>.</w:t>
      </w:r>
      <w:r w:rsidR="00E8775C">
        <w:rPr>
          <w:rFonts w:ascii="Times New Roman" w:hAnsi="Times New Roman" w:cs="Times New Roman"/>
          <w:sz w:val="22"/>
          <w:szCs w:val="22"/>
          <w:lang w:val="en-GB"/>
        </w:rPr>
        <w:t xml:space="preserve"> </w:t>
      </w:r>
      <w:r w:rsidR="00EA2101" w:rsidRPr="00647752">
        <w:rPr>
          <w:rFonts w:ascii="Times New Roman" w:hAnsi="Times New Roman" w:cs="Times New Roman"/>
          <w:sz w:val="22"/>
          <w:szCs w:val="22"/>
          <w:lang w:val="en-GB"/>
        </w:rPr>
        <w:t>As mentioned above, UNDP could do a better job of “branding” training for UNDP supported legal aid (developing strong training platforms and templates approved by UNDP that include emphasis on effective representation, client confidentiality, follow-up an</w:t>
      </w:r>
      <w:r w:rsidR="001A4373">
        <w:rPr>
          <w:rFonts w:ascii="Times New Roman" w:hAnsi="Times New Roman" w:cs="Times New Roman"/>
          <w:sz w:val="22"/>
          <w:szCs w:val="22"/>
          <w:lang w:val="en-GB"/>
        </w:rPr>
        <w:t xml:space="preserve">d tracking of clients, etc.). </w:t>
      </w:r>
      <w:r w:rsidR="00EA2101" w:rsidRPr="00647752">
        <w:rPr>
          <w:rFonts w:ascii="Times New Roman" w:hAnsi="Times New Roman" w:cs="Times New Roman"/>
          <w:sz w:val="22"/>
          <w:szCs w:val="22"/>
          <w:lang w:val="en-GB"/>
        </w:rPr>
        <w:t xml:space="preserve">Beyond this, while </w:t>
      </w:r>
      <w:r w:rsidR="001A4373">
        <w:rPr>
          <w:rFonts w:ascii="Times New Roman" w:hAnsi="Times New Roman" w:cs="Times New Roman"/>
          <w:sz w:val="22"/>
          <w:szCs w:val="22"/>
          <w:lang w:val="en-GB"/>
        </w:rPr>
        <w:t>UNDP and the CSOs have capitalis</w:t>
      </w:r>
      <w:r w:rsidR="00EA2101" w:rsidRPr="00647752">
        <w:rPr>
          <w:rFonts w:ascii="Times New Roman" w:hAnsi="Times New Roman" w:cs="Times New Roman"/>
          <w:sz w:val="22"/>
          <w:szCs w:val="22"/>
          <w:lang w:val="en-GB"/>
        </w:rPr>
        <w:t>ed on discreet legal victories to effect change in the courts and some administrative agencies, UNDP could do a better job of capturing data and issues and feeding these up to the policy level</w:t>
      </w:r>
      <w:r w:rsidR="004B17F2" w:rsidRPr="00647752">
        <w:rPr>
          <w:rFonts w:ascii="Times New Roman" w:hAnsi="Times New Roman" w:cs="Times New Roman"/>
          <w:sz w:val="22"/>
          <w:szCs w:val="22"/>
          <w:lang w:val="en-GB"/>
        </w:rPr>
        <w:t xml:space="preserve"> going forward</w:t>
      </w:r>
      <w:r w:rsidR="00EA2101" w:rsidRPr="00647752">
        <w:rPr>
          <w:rFonts w:ascii="Times New Roman" w:hAnsi="Times New Roman" w:cs="Times New Roman"/>
          <w:sz w:val="22"/>
          <w:szCs w:val="22"/>
          <w:lang w:val="en-GB"/>
        </w:rPr>
        <w:t xml:space="preserve">. </w:t>
      </w:r>
    </w:p>
    <w:p w:rsidR="00AB6D72" w:rsidRDefault="00AB6D72" w:rsidP="00FB6759">
      <w:pPr>
        <w:spacing w:after="0" w:line="240" w:lineRule="auto"/>
        <w:jc w:val="both"/>
        <w:rPr>
          <w:rFonts w:ascii="Times New Roman" w:hAnsi="Times New Roman" w:cs="Times New Roman"/>
          <w:sz w:val="22"/>
          <w:szCs w:val="22"/>
          <w:lang w:val="en-GB"/>
        </w:rPr>
      </w:pPr>
    </w:p>
    <w:p w:rsidR="009C6067" w:rsidRPr="00647752" w:rsidRDefault="004B17F2"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UNDP support to clinical legal education should certainly be continued and deepened</w:t>
      </w:r>
      <w:r w:rsidR="001A4373">
        <w:rPr>
          <w:rFonts w:ascii="Times New Roman" w:hAnsi="Times New Roman" w:cs="Times New Roman"/>
          <w:sz w:val="22"/>
          <w:szCs w:val="22"/>
          <w:lang w:val="en-GB"/>
        </w:rPr>
        <w:t xml:space="preserve">. </w:t>
      </w:r>
      <w:r w:rsidRPr="00647752">
        <w:rPr>
          <w:rFonts w:ascii="Times New Roman" w:hAnsi="Times New Roman" w:cs="Times New Roman"/>
          <w:sz w:val="22"/>
          <w:szCs w:val="22"/>
          <w:lang w:val="en-GB"/>
        </w:rPr>
        <w:t>UNDP could support the law school</w:t>
      </w:r>
      <w:r w:rsidR="00B2664E">
        <w:rPr>
          <w:rFonts w:ascii="Times New Roman" w:hAnsi="Times New Roman" w:cs="Times New Roman"/>
          <w:sz w:val="22"/>
          <w:szCs w:val="22"/>
          <w:lang w:val="en-GB"/>
        </w:rPr>
        <w:t xml:space="preserve"> clinics to expand and diversify</w:t>
      </w:r>
      <w:r w:rsidRPr="00647752">
        <w:rPr>
          <w:rFonts w:ascii="Times New Roman" w:hAnsi="Times New Roman" w:cs="Times New Roman"/>
          <w:sz w:val="22"/>
          <w:szCs w:val="22"/>
          <w:lang w:val="en-GB"/>
        </w:rPr>
        <w:t xml:space="preserve"> on a pilot basis (i.e. by having specific clinic</w:t>
      </w:r>
      <w:r w:rsidR="00B2664E">
        <w:rPr>
          <w:rFonts w:ascii="Times New Roman" w:hAnsi="Times New Roman" w:cs="Times New Roman"/>
          <w:sz w:val="22"/>
          <w:szCs w:val="22"/>
          <w:lang w:val="en-GB"/>
        </w:rPr>
        <w:t>s</w:t>
      </w:r>
      <w:r w:rsidRPr="00647752">
        <w:rPr>
          <w:rFonts w:ascii="Times New Roman" w:hAnsi="Times New Roman" w:cs="Times New Roman"/>
          <w:sz w:val="22"/>
          <w:szCs w:val="22"/>
          <w:lang w:val="en-GB"/>
        </w:rPr>
        <w:t xml:space="preserve"> for </w:t>
      </w:r>
      <w:r w:rsidRPr="00647752">
        <w:rPr>
          <w:rFonts w:ascii="Times New Roman" w:hAnsi="Times New Roman" w:cs="Times New Roman"/>
          <w:sz w:val="22"/>
          <w:szCs w:val="22"/>
          <w:lang w:val="en-GB"/>
        </w:rPr>
        <w:lastRenderedPageBreak/>
        <w:t>environmental issues, person</w:t>
      </w:r>
      <w:r w:rsidR="00B2664E">
        <w:rPr>
          <w:rFonts w:ascii="Times New Roman" w:hAnsi="Times New Roman" w:cs="Times New Roman"/>
          <w:sz w:val="22"/>
          <w:szCs w:val="22"/>
          <w:lang w:val="en-GB"/>
        </w:rPr>
        <w:t xml:space="preserve">s with disabilities, etc.). </w:t>
      </w:r>
      <w:r w:rsidRPr="00647752">
        <w:rPr>
          <w:rFonts w:ascii="Times New Roman" w:hAnsi="Times New Roman" w:cs="Times New Roman"/>
          <w:sz w:val="22"/>
          <w:szCs w:val="22"/>
          <w:lang w:val="en-GB"/>
        </w:rPr>
        <w:t xml:space="preserve">Furthermore, the clinics are perhaps one </w:t>
      </w:r>
      <w:r w:rsidR="00B2664E">
        <w:rPr>
          <w:rFonts w:ascii="Times New Roman" w:hAnsi="Times New Roman" w:cs="Times New Roman"/>
          <w:sz w:val="22"/>
          <w:szCs w:val="22"/>
          <w:lang w:val="en-GB"/>
        </w:rPr>
        <w:t xml:space="preserve">of the best ways to bridge </w:t>
      </w:r>
      <w:r w:rsidRPr="00647752">
        <w:rPr>
          <w:rFonts w:ascii="Times New Roman" w:hAnsi="Times New Roman" w:cs="Times New Roman"/>
          <w:sz w:val="22"/>
          <w:szCs w:val="22"/>
          <w:lang w:val="en-GB"/>
        </w:rPr>
        <w:t xml:space="preserve">the West Bank </w:t>
      </w:r>
      <w:r w:rsidR="00B2664E">
        <w:rPr>
          <w:rFonts w:ascii="Times New Roman" w:hAnsi="Times New Roman" w:cs="Times New Roman"/>
          <w:sz w:val="22"/>
          <w:szCs w:val="22"/>
          <w:lang w:val="en-GB"/>
        </w:rPr>
        <w:t xml:space="preserve">and Gaza </w:t>
      </w:r>
      <w:r w:rsidRPr="00647752">
        <w:rPr>
          <w:rFonts w:ascii="Times New Roman" w:hAnsi="Times New Roman" w:cs="Times New Roman"/>
          <w:sz w:val="22"/>
          <w:szCs w:val="22"/>
          <w:lang w:val="en-GB"/>
        </w:rPr>
        <w:t>via electronic and media pl</w:t>
      </w:r>
      <w:r w:rsidR="00B2664E">
        <w:rPr>
          <w:rFonts w:ascii="Times New Roman" w:hAnsi="Times New Roman" w:cs="Times New Roman"/>
          <w:sz w:val="22"/>
          <w:szCs w:val="22"/>
          <w:lang w:val="en-GB"/>
        </w:rPr>
        <w:t>atforms for students and faculties</w:t>
      </w:r>
      <w:r w:rsidRPr="00647752">
        <w:rPr>
          <w:rFonts w:ascii="Times New Roman" w:hAnsi="Times New Roman" w:cs="Times New Roman"/>
          <w:sz w:val="22"/>
          <w:szCs w:val="22"/>
          <w:lang w:val="en-GB"/>
        </w:rPr>
        <w:t xml:space="preserve"> (i.e. use of video conferencing or internet broadcasts of lectures and Q&amp;A</w:t>
      </w:r>
      <w:r w:rsidR="00B2664E">
        <w:rPr>
          <w:rFonts w:ascii="Times New Roman" w:hAnsi="Times New Roman" w:cs="Times New Roman"/>
          <w:sz w:val="22"/>
          <w:szCs w:val="22"/>
          <w:lang w:val="en-GB"/>
        </w:rPr>
        <w:t>’s between students and faculties)</w:t>
      </w:r>
      <w:r w:rsidRPr="00647752">
        <w:rPr>
          <w:rFonts w:ascii="Times New Roman" w:hAnsi="Times New Roman" w:cs="Times New Roman"/>
          <w:sz w:val="22"/>
          <w:szCs w:val="22"/>
          <w:lang w:val="en-GB"/>
        </w:rPr>
        <w:t>.</w:t>
      </w:r>
      <w:r w:rsidR="00B2664E">
        <w:rPr>
          <w:rFonts w:ascii="Times New Roman" w:hAnsi="Times New Roman" w:cs="Times New Roman"/>
          <w:sz w:val="22"/>
          <w:szCs w:val="22"/>
          <w:lang w:val="en-GB"/>
        </w:rPr>
        <w:t xml:space="preserve"> All law schools </w:t>
      </w:r>
      <w:r w:rsidR="009C6067" w:rsidRPr="00647752">
        <w:rPr>
          <w:rFonts w:ascii="Times New Roman" w:hAnsi="Times New Roman" w:cs="Times New Roman"/>
          <w:sz w:val="22"/>
          <w:szCs w:val="22"/>
          <w:lang w:val="en-GB"/>
        </w:rPr>
        <w:t>could benefit from additional books and comparative resource materials.</w:t>
      </w:r>
    </w:p>
    <w:p w:rsidR="004B17F2" w:rsidRPr="00647752" w:rsidRDefault="004B17F2" w:rsidP="00FB6759">
      <w:pPr>
        <w:spacing w:after="0" w:line="240" w:lineRule="auto"/>
        <w:jc w:val="both"/>
        <w:rPr>
          <w:rFonts w:ascii="Times New Roman" w:hAnsi="Times New Roman" w:cs="Times New Roman"/>
          <w:sz w:val="22"/>
          <w:szCs w:val="22"/>
          <w:lang w:val="en-GB"/>
        </w:rPr>
      </w:pPr>
    </w:p>
    <w:p w:rsidR="00BB7FAA" w:rsidRPr="00647752" w:rsidRDefault="00B2664E" w:rsidP="00FB6759">
      <w:pPr>
        <w:spacing w:after="0" w:line="240" w:lineRule="auto"/>
        <w:jc w:val="both"/>
        <w:rPr>
          <w:rFonts w:ascii="Times New Roman" w:hAnsi="Times New Roman" w:cs="Times New Roman"/>
          <w:iCs/>
          <w:sz w:val="22"/>
          <w:szCs w:val="22"/>
          <w:lang w:val="en-GB"/>
        </w:rPr>
      </w:pPr>
      <w:r>
        <w:rPr>
          <w:rFonts w:ascii="Times New Roman" w:hAnsi="Times New Roman" w:cs="Times New Roman"/>
          <w:i/>
          <w:sz w:val="22"/>
          <w:szCs w:val="22"/>
          <w:lang w:val="en-GB"/>
        </w:rPr>
        <w:t>Output 4.2:</w:t>
      </w:r>
      <w:r w:rsidR="00BB7FAA" w:rsidRPr="00647752">
        <w:rPr>
          <w:rFonts w:ascii="Times New Roman" w:hAnsi="Times New Roman" w:cs="Times New Roman"/>
          <w:i/>
          <w:sz w:val="22"/>
          <w:szCs w:val="22"/>
          <w:lang w:val="en-GB"/>
        </w:rPr>
        <w:t xml:space="preserve"> Capacity of PNA judges and prosecutors reviewed and strengthened</w:t>
      </w:r>
    </w:p>
    <w:p w:rsidR="00AB6D72" w:rsidRDefault="00AB6D72" w:rsidP="00FB6759">
      <w:pPr>
        <w:spacing w:after="0" w:line="240" w:lineRule="auto"/>
        <w:jc w:val="both"/>
        <w:rPr>
          <w:rFonts w:ascii="Times New Roman" w:hAnsi="Times New Roman" w:cs="Times New Roman"/>
          <w:sz w:val="22"/>
          <w:szCs w:val="22"/>
          <w:lang w:val="en-GB"/>
        </w:rPr>
      </w:pPr>
    </w:p>
    <w:p w:rsidR="00B51D6F" w:rsidRPr="00647752" w:rsidRDefault="00BB7FAA"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The UNDP strategy in Gaza is aimed at fostering rule of law by improving the knowledge and skills of justice sector</w:t>
      </w:r>
      <w:r w:rsidR="00185847" w:rsidRPr="00647752">
        <w:rPr>
          <w:rFonts w:ascii="Times New Roman" w:hAnsi="Times New Roman" w:cs="Times New Roman"/>
          <w:sz w:val="22"/>
          <w:szCs w:val="22"/>
          <w:lang w:val="en-GB"/>
        </w:rPr>
        <w:t xml:space="preserve"> professionals. To that end,</w:t>
      </w:r>
      <w:r w:rsidRPr="00647752">
        <w:rPr>
          <w:rFonts w:ascii="Times New Roman" w:hAnsi="Times New Roman" w:cs="Times New Roman"/>
          <w:sz w:val="22"/>
          <w:szCs w:val="22"/>
          <w:lang w:val="en-GB"/>
        </w:rPr>
        <w:t xml:space="preserve"> UNDP and its partners have provided training to lawyers, law students, and community leaders.</w:t>
      </w:r>
      <w:r w:rsidRPr="00647752">
        <w:rPr>
          <w:rStyle w:val="FootnoteReference"/>
          <w:rFonts w:ascii="Times New Roman" w:hAnsi="Times New Roman" w:cs="Times New Roman"/>
          <w:sz w:val="22"/>
          <w:szCs w:val="22"/>
          <w:lang w:val="en-GB"/>
        </w:rPr>
        <w:footnoteReference w:id="189"/>
      </w:r>
      <w:r w:rsidRPr="00647752">
        <w:rPr>
          <w:rFonts w:ascii="Times New Roman" w:hAnsi="Times New Roman" w:cs="Times New Roman"/>
          <w:sz w:val="22"/>
          <w:szCs w:val="22"/>
          <w:lang w:val="en-GB"/>
        </w:rPr>
        <w:t xml:space="preserve">UNDP implemented </w:t>
      </w:r>
      <w:r w:rsidR="00A15AA0" w:rsidRPr="00647752">
        <w:rPr>
          <w:rFonts w:ascii="Times New Roman" w:hAnsi="Times New Roman" w:cs="Times New Roman"/>
          <w:sz w:val="22"/>
          <w:szCs w:val="22"/>
          <w:lang w:val="en-GB"/>
        </w:rPr>
        <w:t>training</w:t>
      </w:r>
      <w:r w:rsidRPr="00647752">
        <w:rPr>
          <w:rFonts w:ascii="Times New Roman" w:hAnsi="Times New Roman" w:cs="Times New Roman"/>
          <w:sz w:val="22"/>
          <w:szCs w:val="22"/>
          <w:lang w:val="en-GB"/>
        </w:rPr>
        <w:t xml:space="preserve"> for Gaza-based judges in 2012.</w:t>
      </w:r>
      <w:r w:rsidR="00B2259F" w:rsidRPr="00647752">
        <w:rPr>
          <w:rFonts w:ascii="Times New Roman" w:hAnsi="Times New Roman" w:cs="Times New Roman"/>
          <w:sz w:val="22"/>
          <w:szCs w:val="22"/>
          <w:lang w:val="en-GB"/>
        </w:rPr>
        <w:t>UNDP supported the HJC</w:t>
      </w:r>
      <w:r w:rsidR="00B2664E">
        <w:rPr>
          <w:rFonts w:ascii="Times New Roman" w:hAnsi="Times New Roman" w:cs="Times New Roman"/>
          <w:sz w:val="22"/>
          <w:szCs w:val="22"/>
          <w:lang w:val="en-GB"/>
        </w:rPr>
        <w:t xml:space="preserve"> to train 26 PNA judges from </w:t>
      </w:r>
      <w:r w:rsidR="00B51D6F" w:rsidRPr="00647752">
        <w:rPr>
          <w:rFonts w:ascii="Times New Roman" w:hAnsi="Times New Roman" w:cs="Times New Roman"/>
          <w:sz w:val="22"/>
          <w:szCs w:val="22"/>
          <w:lang w:val="en-GB"/>
        </w:rPr>
        <w:t>first instance</w:t>
      </w:r>
      <w:r w:rsidR="00B2259F" w:rsidRPr="00647752">
        <w:rPr>
          <w:rFonts w:ascii="Times New Roman" w:hAnsi="Times New Roman" w:cs="Times New Roman"/>
          <w:sz w:val="22"/>
          <w:szCs w:val="22"/>
          <w:lang w:val="en-GB"/>
        </w:rPr>
        <w:t xml:space="preserve"> and</w:t>
      </w:r>
      <w:r w:rsidR="00B51D6F" w:rsidRPr="00647752">
        <w:rPr>
          <w:rFonts w:ascii="Times New Roman" w:hAnsi="Times New Roman" w:cs="Times New Roman"/>
          <w:sz w:val="22"/>
          <w:szCs w:val="22"/>
          <w:lang w:val="en-GB"/>
        </w:rPr>
        <w:t xml:space="preserve"> appellate courts at the Jordanian Judicial Train</w:t>
      </w:r>
      <w:r w:rsidR="00B2664E">
        <w:rPr>
          <w:rFonts w:ascii="Times New Roman" w:hAnsi="Times New Roman" w:cs="Times New Roman"/>
          <w:sz w:val="22"/>
          <w:szCs w:val="22"/>
          <w:lang w:val="en-GB"/>
        </w:rPr>
        <w:t>ing Institute. The participating</w:t>
      </w:r>
      <w:r w:rsidR="00B51D6F" w:rsidRPr="00647752">
        <w:rPr>
          <w:rFonts w:ascii="Times New Roman" w:hAnsi="Times New Roman" w:cs="Times New Roman"/>
          <w:sz w:val="22"/>
          <w:szCs w:val="22"/>
          <w:lang w:val="en-GB"/>
        </w:rPr>
        <w:t xml:space="preserve"> judges receive</w:t>
      </w:r>
      <w:r w:rsidR="00B2259F" w:rsidRPr="00647752">
        <w:rPr>
          <w:rFonts w:ascii="Times New Roman" w:hAnsi="Times New Roman" w:cs="Times New Roman"/>
          <w:sz w:val="22"/>
          <w:szCs w:val="22"/>
          <w:lang w:val="en-GB"/>
        </w:rPr>
        <w:t>d</w:t>
      </w:r>
      <w:r w:rsidR="00B51D6F" w:rsidRPr="00647752">
        <w:rPr>
          <w:rFonts w:ascii="Times New Roman" w:hAnsi="Times New Roman" w:cs="Times New Roman"/>
          <w:sz w:val="22"/>
          <w:szCs w:val="22"/>
          <w:lang w:val="en-GB"/>
        </w:rPr>
        <w:t xml:space="preserve"> advanced training in civil and penal law which ultimately reflected upon their return where the group is inte</w:t>
      </w:r>
      <w:r w:rsidR="00B2664E">
        <w:rPr>
          <w:rFonts w:ascii="Times New Roman" w:hAnsi="Times New Roman" w:cs="Times New Roman"/>
          <w:sz w:val="22"/>
          <w:szCs w:val="22"/>
          <w:lang w:val="en-GB"/>
        </w:rPr>
        <w:t xml:space="preserve">nsively engaged in conferences and workshops as well as </w:t>
      </w:r>
      <w:r w:rsidR="00B51D6F" w:rsidRPr="00647752">
        <w:rPr>
          <w:rFonts w:ascii="Times New Roman" w:hAnsi="Times New Roman" w:cs="Times New Roman"/>
          <w:sz w:val="22"/>
          <w:szCs w:val="22"/>
          <w:lang w:val="en-GB"/>
        </w:rPr>
        <w:t>training</w:t>
      </w:r>
      <w:r w:rsidR="00B2664E">
        <w:rPr>
          <w:rFonts w:ascii="Times New Roman" w:hAnsi="Times New Roman" w:cs="Times New Roman"/>
          <w:sz w:val="22"/>
          <w:szCs w:val="22"/>
          <w:lang w:val="en-GB"/>
        </w:rPr>
        <w:t>s</w:t>
      </w:r>
      <w:r w:rsidR="00B51D6F" w:rsidRPr="00647752">
        <w:rPr>
          <w:rFonts w:ascii="Times New Roman" w:hAnsi="Times New Roman" w:cs="Times New Roman"/>
          <w:sz w:val="22"/>
          <w:szCs w:val="22"/>
          <w:lang w:val="en-GB"/>
        </w:rPr>
        <w:t xml:space="preserve"> of lawyers and law stud</w:t>
      </w:r>
      <w:r w:rsidR="00B2664E">
        <w:rPr>
          <w:rFonts w:ascii="Times New Roman" w:hAnsi="Times New Roman" w:cs="Times New Roman"/>
          <w:sz w:val="22"/>
          <w:szCs w:val="22"/>
          <w:lang w:val="en-GB"/>
        </w:rPr>
        <w:t>ents.</w:t>
      </w:r>
    </w:p>
    <w:p w:rsidR="00AB6D72" w:rsidRDefault="00AB6D72" w:rsidP="00FB6759">
      <w:pPr>
        <w:spacing w:after="0" w:line="240" w:lineRule="auto"/>
        <w:jc w:val="both"/>
        <w:rPr>
          <w:rFonts w:ascii="Times New Roman" w:hAnsi="Times New Roman" w:cs="Times New Roman"/>
          <w:sz w:val="22"/>
          <w:szCs w:val="22"/>
          <w:lang w:val="en-GB"/>
        </w:rPr>
      </w:pPr>
    </w:p>
    <w:p w:rsidR="00BB7FAA" w:rsidRPr="00647752" w:rsidRDefault="00B2664E"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PNA prosecutors also </w:t>
      </w:r>
      <w:r w:rsidR="00A9442A" w:rsidRPr="00647752">
        <w:rPr>
          <w:rFonts w:ascii="Times New Roman" w:hAnsi="Times New Roman" w:cs="Times New Roman"/>
          <w:sz w:val="22"/>
          <w:szCs w:val="22"/>
          <w:lang w:val="en-GB"/>
        </w:rPr>
        <w:t xml:space="preserve">received advanced </w:t>
      </w:r>
      <w:r w:rsidR="00B51D6F" w:rsidRPr="00647752">
        <w:rPr>
          <w:rFonts w:ascii="Times New Roman" w:hAnsi="Times New Roman" w:cs="Times New Roman"/>
          <w:sz w:val="22"/>
          <w:szCs w:val="22"/>
          <w:lang w:val="en-GB"/>
        </w:rPr>
        <w:t>training</w:t>
      </w:r>
      <w:r>
        <w:rPr>
          <w:rFonts w:ascii="Times New Roman" w:hAnsi="Times New Roman" w:cs="Times New Roman"/>
          <w:sz w:val="22"/>
          <w:szCs w:val="22"/>
          <w:lang w:val="en-GB"/>
        </w:rPr>
        <w:t xml:space="preserve">, including </w:t>
      </w:r>
      <w:r w:rsidR="005329A6">
        <w:rPr>
          <w:rFonts w:ascii="Times New Roman" w:hAnsi="Times New Roman" w:cs="Times New Roman"/>
          <w:sz w:val="22"/>
          <w:szCs w:val="22"/>
          <w:lang w:val="en-GB"/>
        </w:rPr>
        <w:t xml:space="preserve">during a </w:t>
      </w:r>
      <w:r>
        <w:rPr>
          <w:rFonts w:ascii="Times New Roman" w:hAnsi="Times New Roman" w:cs="Times New Roman"/>
          <w:sz w:val="22"/>
          <w:szCs w:val="22"/>
          <w:lang w:val="en-GB"/>
        </w:rPr>
        <w:t>training on fair trial standards organised jointly by UNDP and OHCHR.</w:t>
      </w:r>
      <w:r w:rsidR="000063A3">
        <w:rPr>
          <w:rFonts w:ascii="Times New Roman" w:hAnsi="Times New Roman" w:cs="Times New Roman"/>
          <w:sz w:val="22"/>
          <w:szCs w:val="22"/>
          <w:lang w:val="en-GB"/>
        </w:rPr>
        <w:t xml:space="preserve"> </w:t>
      </w:r>
      <w:r w:rsidR="00B51D6F" w:rsidRPr="00647752">
        <w:rPr>
          <w:rFonts w:ascii="Times New Roman" w:hAnsi="Times New Roman" w:cs="Times New Roman"/>
          <w:sz w:val="22"/>
          <w:szCs w:val="22"/>
          <w:lang w:val="en-GB"/>
        </w:rPr>
        <w:t xml:space="preserve">It has also been agreed between </w:t>
      </w:r>
      <w:r w:rsidR="00B2259F" w:rsidRPr="00647752">
        <w:rPr>
          <w:rFonts w:ascii="Times New Roman" w:hAnsi="Times New Roman" w:cs="Times New Roman"/>
          <w:sz w:val="22"/>
          <w:szCs w:val="22"/>
          <w:lang w:val="en-GB"/>
        </w:rPr>
        <w:t xml:space="preserve">the </w:t>
      </w:r>
      <w:r w:rsidR="00B51D6F" w:rsidRPr="00647752">
        <w:rPr>
          <w:rFonts w:ascii="Times New Roman" w:hAnsi="Times New Roman" w:cs="Times New Roman"/>
          <w:sz w:val="22"/>
          <w:szCs w:val="22"/>
          <w:lang w:val="en-GB"/>
        </w:rPr>
        <w:t>AG</w:t>
      </w:r>
      <w:r w:rsidR="005329A6">
        <w:rPr>
          <w:rFonts w:ascii="Times New Roman" w:hAnsi="Times New Roman" w:cs="Times New Roman"/>
          <w:sz w:val="22"/>
          <w:szCs w:val="22"/>
          <w:lang w:val="en-GB"/>
        </w:rPr>
        <w:t>O</w:t>
      </w:r>
      <w:r w:rsidR="00B51D6F" w:rsidRPr="00647752">
        <w:rPr>
          <w:rFonts w:ascii="Times New Roman" w:hAnsi="Times New Roman" w:cs="Times New Roman"/>
          <w:sz w:val="22"/>
          <w:szCs w:val="22"/>
          <w:lang w:val="en-GB"/>
        </w:rPr>
        <w:t xml:space="preserve"> and UNDP t</w:t>
      </w:r>
      <w:r w:rsidR="005329A6">
        <w:rPr>
          <w:rFonts w:ascii="Times New Roman" w:hAnsi="Times New Roman" w:cs="Times New Roman"/>
          <w:sz w:val="22"/>
          <w:szCs w:val="22"/>
          <w:lang w:val="en-GB"/>
        </w:rPr>
        <w:t xml:space="preserve">o send 54 prosecutors </w:t>
      </w:r>
      <w:r w:rsidR="00B51D6F" w:rsidRPr="00647752">
        <w:rPr>
          <w:rFonts w:ascii="Times New Roman" w:hAnsi="Times New Roman" w:cs="Times New Roman"/>
          <w:sz w:val="22"/>
          <w:szCs w:val="22"/>
          <w:lang w:val="en-GB"/>
        </w:rPr>
        <w:t xml:space="preserve">to Egypt to receive advanced training on prosecution </w:t>
      </w:r>
      <w:r w:rsidR="00B2259F" w:rsidRPr="00647752">
        <w:rPr>
          <w:rFonts w:ascii="Times New Roman" w:hAnsi="Times New Roman" w:cs="Times New Roman"/>
          <w:sz w:val="22"/>
          <w:szCs w:val="22"/>
          <w:lang w:val="en-GB"/>
        </w:rPr>
        <w:t>work</w:t>
      </w:r>
      <w:r w:rsidR="00B51D6F" w:rsidRPr="00647752">
        <w:rPr>
          <w:rFonts w:ascii="Times New Roman" w:hAnsi="Times New Roman" w:cs="Times New Roman"/>
          <w:sz w:val="22"/>
          <w:szCs w:val="22"/>
          <w:lang w:val="en-GB"/>
        </w:rPr>
        <w:t>.</w:t>
      </w:r>
      <w:r w:rsidR="005329A6" w:rsidRPr="00647752">
        <w:rPr>
          <w:rStyle w:val="FootnoteReference"/>
          <w:rFonts w:ascii="Times New Roman" w:hAnsi="Times New Roman" w:cs="Times New Roman"/>
          <w:sz w:val="22"/>
          <w:szCs w:val="22"/>
          <w:lang w:val="en-GB"/>
        </w:rPr>
        <w:footnoteReference w:id="190"/>
      </w:r>
      <w:r w:rsidR="00B51D6F" w:rsidRPr="00647752">
        <w:rPr>
          <w:rFonts w:ascii="Times New Roman" w:hAnsi="Times New Roman" w:cs="Times New Roman"/>
          <w:sz w:val="22"/>
          <w:szCs w:val="22"/>
          <w:lang w:val="en-GB"/>
        </w:rPr>
        <w:t xml:space="preserve"> Furthermore</w:t>
      </w:r>
      <w:r w:rsidR="005329A6">
        <w:rPr>
          <w:rFonts w:ascii="Times New Roman" w:hAnsi="Times New Roman" w:cs="Times New Roman"/>
          <w:sz w:val="22"/>
          <w:szCs w:val="22"/>
          <w:lang w:val="en-GB"/>
        </w:rPr>
        <w:t>,</w:t>
      </w:r>
      <w:r w:rsidR="000063A3">
        <w:rPr>
          <w:rFonts w:ascii="Times New Roman" w:hAnsi="Times New Roman" w:cs="Times New Roman"/>
          <w:sz w:val="22"/>
          <w:szCs w:val="22"/>
          <w:lang w:val="en-GB"/>
        </w:rPr>
        <w:t xml:space="preserve"> </w:t>
      </w:r>
      <w:r w:rsidR="005329A6">
        <w:rPr>
          <w:rFonts w:ascii="Times New Roman" w:hAnsi="Times New Roman" w:cs="Times New Roman"/>
          <w:sz w:val="22"/>
          <w:szCs w:val="22"/>
          <w:lang w:val="en-GB"/>
        </w:rPr>
        <w:t xml:space="preserve">PNA </w:t>
      </w:r>
      <w:r w:rsidR="00B51D6F" w:rsidRPr="00647752">
        <w:rPr>
          <w:rFonts w:ascii="Times New Roman" w:hAnsi="Times New Roman" w:cs="Times New Roman"/>
          <w:sz w:val="22"/>
          <w:szCs w:val="22"/>
          <w:lang w:val="en-GB"/>
        </w:rPr>
        <w:t xml:space="preserve">prosecutors have implemented several crime scene </w:t>
      </w:r>
      <w:r w:rsidR="00B2259F" w:rsidRPr="00647752">
        <w:rPr>
          <w:rFonts w:ascii="Times New Roman" w:hAnsi="Times New Roman" w:cs="Times New Roman"/>
          <w:sz w:val="22"/>
          <w:szCs w:val="22"/>
          <w:lang w:val="en-GB"/>
        </w:rPr>
        <w:t>investigation-training</w:t>
      </w:r>
      <w:r w:rsidR="005329A6">
        <w:rPr>
          <w:rFonts w:ascii="Times New Roman" w:hAnsi="Times New Roman" w:cs="Times New Roman"/>
          <w:sz w:val="22"/>
          <w:szCs w:val="22"/>
          <w:lang w:val="en-GB"/>
        </w:rPr>
        <w:t xml:space="preserve"> drills for the l</w:t>
      </w:r>
      <w:r w:rsidR="00B51D6F" w:rsidRPr="00647752">
        <w:rPr>
          <w:rFonts w:ascii="Times New Roman" w:hAnsi="Times New Roman" w:cs="Times New Roman"/>
          <w:sz w:val="22"/>
          <w:szCs w:val="22"/>
          <w:lang w:val="en-GB"/>
        </w:rPr>
        <w:t>aw students as part of the penal law course.</w:t>
      </w:r>
    </w:p>
    <w:p w:rsidR="00AB6D72" w:rsidRDefault="00AB6D72" w:rsidP="00FB6759">
      <w:pPr>
        <w:spacing w:after="0" w:line="240" w:lineRule="auto"/>
        <w:jc w:val="both"/>
        <w:rPr>
          <w:rFonts w:ascii="Times New Roman" w:hAnsi="Times New Roman" w:cs="Times New Roman"/>
          <w:bCs/>
          <w:iCs/>
          <w:sz w:val="22"/>
          <w:szCs w:val="22"/>
          <w:lang w:val="en-GB"/>
        </w:rPr>
      </w:pPr>
    </w:p>
    <w:p w:rsidR="00546551" w:rsidRPr="00647752" w:rsidRDefault="00B2259F" w:rsidP="00FB6759">
      <w:pPr>
        <w:spacing w:after="0" w:line="240" w:lineRule="auto"/>
        <w:jc w:val="both"/>
        <w:rPr>
          <w:rFonts w:ascii="Times New Roman" w:hAnsi="Times New Roman" w:cs="Times New Roman"/>
          <w:bCs/>
          <w:iCs/>
          <w:sz w:val="22"/>
          <w:szCs w:val="22"/>
          <w:lang w:val="en-GB"/>
        </w:rPr>
      </w:pPr>
      <w:r w:rsidRPr="00647752">
        <w:rPr>
          <w:rFonts w:ascii="Times New Roman" w:hAnsi="Times New Roman" w:cs="Times New Roman"/>
          <w:bCs/>
          <w:iCs/>
          <w:sz w:val="22"/>
          <w:szCs w:val="22"/>
          <w:lang w:val="en-GB"/>
        </w:rPr>
        <w:t xml:space="preserve">Going forward, a key question for UNDP and </w:t>
      </w:r>
      <w:r w:rsidR="005329A6">
        <w:rPr>
          <w:rFonts w:ascii="Times New Roman" w:hAnsi="Times New Roman" w:cs="Times New Roman"/>
          <w:bCs/>
          <w:iCs/>
          <w:sz w:val="22"/>
          <w:szCs w:val="22"/>
          <w:lang w:val="en-GB"/>
        </w:rPr>
        <w:t xml:space="preserve">its </w:t>
      </w:r>
      <w:r w:rsidRPr="00647752">
        <w:rPr>
          <w:rFonts w:ascii="Times New Roman" w:hAnsi="Times New Roman" w:cs="Times New Roman"/>
          <w:bCs/>
          <w:iCs/>
          <w:sz w:val="22"/>
          <w:szCs w:val="22"/>
          <w:lang w:val="en-GB"/>
        </w:rPr>
        <w:t>donors will be how and to wh</w:t>
      </w:r>
      <w:r w:rsidR="005329A6">
        <w:rPr>
          <w:rFonts w:ascii="Times New Roman" w:hAnsi="Times New Roman" w:cs="Times New Roman"/>
          <w:bCs/>
          <w:iCs/>
          <w:sz w:val="22"/>
          <w:szCs w:val="22"/>
          <w:lang w:val="en-GB"/>
        </w:rPr>
        <w:t>at extent should UNDP</w:t>
      </w:r>
      <w:r w:rsidRPr="00647752">
        <w:rPr>
          <w:rFonts w:ascii="Times New Roman" w:hAnsi="Times New Roman" w:cs="Times New Roman"/>
          <w:bCs/>
          <w:iCs/>
          <w:sz w:val="22"/>
          <w:szCs w:val="22"/>
          <w:lang w:val="en-GB"/>
        </w:rPr>
        <w:t xml:space="preserve"> engage with the formal </w:t>
      </w:r>
      <w:r w:rsidR="00554DEC" w:rsidRPr="00647752">
        <w:rPr>
          <w:rFonts w:ascii="Times New Roman" w:hAnsi="Times New Roman" w:cs="Times New Roman"/>
          <w:bCs/>
          <w:iCs/>
          <w:sz w:val="22"/>
          <w:szCs w:val="22"/>
          <w:lang w:val="en-GB"/>
        </w:rPr>
        <w:t>Hamas</w:t>
      </w:r>
      <w:r w:rsidRPr="00647752">
        <w:rPr>
          <w:rFonts w:ascii="Times New Roman" w:hAnsi="Times New Roman" w:cs="Times New Roman"/>
          <w:bCs/>
          <w:iCs/>
          <w:sz w:val="22"/>
          <w:szCs w:val="22"/>
          <w:lang w:val="en-GB"/>
        </w:rPr>
        <w:t>-led justice system.</w:t>
      </w:r>
      <w:r w:rsidR="000063A3">
        <w:rPr>
          <w:rFonts w:ascii="Times New Roman" w:hAnsi="Times New Roman" w:cs="Times New Roman"/>
          <w:bCs/>
          <w:iCs/>
          <w:sz w:val="22"/>
          <w:szCs w:val="22"/>
          <w:lang w:val="en-GB"/>
        </w:rPr>
        <w:t xml:space="preserve"> </w:t>
      </w:r>
      <w:r w:rsidR="009E5701" w:rsidRPr="00647752">
        <w:rPr>
          <w:rFonts w:ascii="Times New Roman" w:hAnsi="Times New Roman" w:cs="Times New Roman"/>
          <w:bCs/>
          <w:iCs/>
          <w:sz w:val="22"/>
          <w:szCs w:val="22"/>
          <w:lang w:val="en-GB"/>
        </w:rPr>
        <w:t>Many CSO</w:t>
      </w:r>
      <w:r w:rsidR="005329A6">
        <w:rPr>
          <w:rFonts w:ascii="Times New Roman" w:hAnsi="Times New Roman" w:cs="Times New Roman"/>
          <w:bCs/>
          <w:iCs/>
          <w:sz w:val="22"/>
          <w:szCs w:val="22"/>
          <w:lang w:val="en-GB"/>
        </w:rPr>
        <w:t>s and INGOs interviewed by the e</w:t>
      </w:r>
      <w:r w:rsidR="009E5701" w:rsidRPr="00647752">
        <w:rPr>
          <w:rFonts w:ascii="Times New Roman" w:hAnsi="Times New Roman" w:cs="Times New Roman"/>
          <w:bCs/>
          <w:iCs/>
          <w:sz w:val="22"/>
          <w:szCs w:val="22"/>
          <w:lang w:val="en-GB"/>
        </w:rPr>
        <w:t xml:space="preserve">valuation believe that UNDP can no longer appropriately engage with the demand side of justice only and that it should engage directly with the </w:t>
      </w:r>
      <w:r w:rsidR="00554DEC" w:rsidRPr="00647752">
        <w:rPr>
          <w:rFonts w:ascii="Times New Roman" w:hAnsi="Times New Roman" w:cs="Times New Roman"/>
          <w:bCs/>
          <w:iCs/>
          <w:sz w:val="22"/>
          <w:szCs w:val="22"/>
          <w:lang w:val="en-GB"/>
        </w:rPr>
        <w:t>Hamas</w:t>
      </w:r>
      <w:r w:rsidR="005329A6">
        <w:rPr>
          <w:rFonts w:ascii="Times New Roman" w:hAnsi="Times New Roman" w:cs="Times New Roman"/>
          <w:bCs/>
          <w:iCs/>
          <w:sz w:val="22"/>
          <w:szCs w:val="22"/>
          <w:lang w:val="en-GB"/>
        </w:rPr>
        <w:t xml:space="preserve"> judiciary. </w:t>
      </w:r>
      <w:r w:rsidR="009E5701" w:rsidRPr="00647752">
        <w:rPr>
          <w:rFonts w:ascii="Times New Roman" w:hAnsi="Times New Roman" w:cs="Times New Roman"/>
          <w:bCs/>
          <w:iCs/>
          <w:sz w:val="22"/>
          <w:szCs w:val="22"/>
          <w:lang w:val="en-GB"/>
        </w:rPr>
        <w:t xml:space="preserve">Whatever UNDP’s decision, it </w:t>
      </w:r>
      <w:r w:rsidR="00B9581E" w:rsidRPr="00647752">
        <w:rPr>
          <w:rFonts w:ascii="Times New Roman" w:hAnsi="Times New Roman" w:cs="Times New Roman"/>
          <w:bCs/>
          <w:iCs/>
          <w:sz w:val="22"/>
          <w:szCs w:val="22"/>
          <w:lang w:val="en-GB"/>
        </w:rPr>
        <w:t>needs</w:t>
      </w:r>
      <w:r w:rsidR="009E5701" w:rsidRPr="00647752">
        <w:rPr>
          <w:rFonts w:ascii="Times New Roman" w:hAnsi="Times New Roman" w:cs="Times New Roman"/>
          <w:bCs/>
          <w:iCs/>
          <w:sz w:val="22"/>
          <w:szCs w:val="22"/>
          <w:lang w:val="en-GB"/>
        </w:rPr>
        <w:t xml:space="preserve"> a clear policy on how it will engage in the future and whether it makes sense to continue to boycott the </w:t>
      </w:r>
      <w:r w:rsidR="00554DEC" w:rsidRPr="00647752">
        <w:rPr>
          <w:rFonts w:ascii="Times New Roman" w:hAnsi="Times New Roman" w:cs="Times New Roman"/>
          <w:bCs/>
          <w:iCs/>
          <w:sz w:val="22"/>
          <w:szCs w:val="22"/>
          <w:lang w:val="en-GB"/>
        </w:rPr>
        <w:t>Hamas</w:t>
      </w:r>
      <w:r w:rsidR="009E5701" w:rsidRPr="00647752">
        <w:rPr>
          <w:rFonts w:ascii="Times New Roman" w:hAnsi="Times New Roman" w:cs="Times New Roman"/>
          <w:bCs/>
          <w:iCs/>
          <w:sz w:val="22"/>
          <w:szCs w:val="22"/>
          <w:lang w:val="en-GB"/>
        </w:rPr>
        <w:t xml:space="preserve"> judiciary.</w:t>
      </w:r>
      <w:r w:rsidR="009E5701" w:rsidRPr="00647752">
        <w:rPr>
          <w:rStyle w:val="FootnoteReference"/>
          <w:rFonts w:ascii="Times New Roman" w:hAnsi="Times New Roman" w:cs="Times New Roman"/>
          <w:bCs/>
          <w:iCs/>
          <w:sz w:val="22"/>
          <w:szCs w:val="22"/>
          <w:lang w:val="en-GB"/>
        </w:rPr>
        <w:footnoteReference w:id="191"/>
      </w:r>
    </w:p>
    <w:p w:rsidR="009E5701" w:rsidRPr="00647752" w:rsidRDefault="009E5701" w:rsidP="00FB6759">
      <w:pPr>
        <w:spacing w:after="0" w:line="240" w:lineRule="auto"/>
        <w:jc w:val="both"/>
        <w:rPr>
          <w:rFonts w:ascii="Times New Roman" w:hAnsi="Times New Roman" w:cs="Times New Roman"/>
          <w:bCs/>
          <w:iCs/>
          <w:sz w:val="22"/>
          <w:szCs w:val="22"/>
          <w:lang w:val="en-GB"/>
        </w:rPr>
      </w:pPr>
    </w:p>
    <w:p w:rsidR="00BB7FAA" w:rsidRPr="00647752" w:rsidRDefault="005329A6" w:rsidP="00FB6759">
      <w:pPr>
        <w:spacing w:after="0" w:line="240" w:lineRule="auto"/>
        <w:jc w:val="both"/>
        <w:rPr>
          <w:rFonts w:ascii="Times New Roman" w:hAnsi="Times New Roman" w:cs="Times New Roman"/>
          <w:i/>
          <w:sz w:val="22"/>
          <w:szCs w:val="22"/>
          <w:lang w:val="en-GB"/>
        </w:rPr>
      </w:pPr>
      <w:r>
        <w:rPr>
          <w:rFonts w:ascii="Times New Roman" w:hAnsi="Times New Roman" w:cs="Times New Roman"/>
          <w:i/>
          <w:sz w:val="22"/>
          <w:szCs w:val="22"/>
          <w:lang w:val="en-GB"/>
        </w:rPr>
        <w:t>Output 4.3:</w:t>
      </w:r>
      <w:r w:rsidR="00BB7FAA" w:rsidRPr="00647752">
        <w:rPr>
          <w:rFonts w:ascii="Times New Roman" w:hAnsi="Times New Roman" w:cs="Times New Roman"/>
          <w:i/>
          <w:sz w:val="22"/>
          <w:szCs w:val="22"/>
          <w:lang w:val="en-GB"/>
        </w:rPr>
        <w:t xml:space="preserve"> Legal literacy and </w:t>
      </w:r>
      <w:r>
        <w:rPr>
          <w:rFonts w:ascii="Times New Roman" w:hAnsi="Times New Roman" w:cs="Times New Roman"/>
          <w:i/>
          <w:sz w:val="22"/>
          <w:szCs w:val="22"/>
          <w:lang w:val="en-GB"/>
        </w:rPr>
        <w:t>human rights awareness enhanced</w:t>
      </w:r>
    </w:p>
    <w:p w:rsidR="00402721" w:rsidRPr="00647752" w:rsidRDefault="00402721" w:rsidP="00FB6759">
      <w:pPr>
        <w:spacing w:after="0" w:line="240" w:lineRule="auto"/>
        <w:jc w:val="both"/>
        <w:rPr>
          <w:rFonts w:ascii="Times New Roman" w:hAnsi="Times New Roman" w:cs="Times New Roman"/>
          <w:i/>
          <w:sz w:val="22"/>
          <w:szCs w:val="22"/>
          <w:lang w:val="en-GB"/>
        </w:rPr>
      </w:pPr>
    </w:p>
    <w:p w:rsidR="008E53A1" w:rsidRPr="00647752" w:rsidRDefault="00DE5787"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UNDP has</w:t>
      </w:r>
      <w:r w:rsidR="00467A31" w:rsidRPr="00647752">
        <w:rPr>
          <w:rFonts w:ascii="Times New Roman" w:hAnsi="Times New Roman" w:cs="Times New Roman"/>
          <w:sz w:val="22"/>
          <w:szCs w:val="22"/>
          <w:lang w:val="en-GB"/>
        </w:rPr>
        <w:t xml:space="preserve"> also worked to foster legal literacy and rights awareness through public awareness campaigns and community meetings, with a particular focus on refugee camps and rural areas.</w:t>
      </w:r>
      <w:r w:rsidR="00467A31" w:rsidRPr="00647752">
        <w:rPr>
          <w:rStyle w:val="FootnoteReference"/>
          <w:rFonts w:ascii="Times New Roman" w:hAnsi="Times New Roman" w:cs="Times New Roman"/>
          <w:sz w:val="22"/>
          <w:szCs w:val="22"/>
          <w:lang w:val="en-GB"/>
        </w:rPr>
        <w:footnoteReference w:id="192"/>
      </w:r>
      <w:r w:rsidR="00F0746A" w:rsidRPr="00647752">
        <w:rPr>
          <w:rFonts w:ascii="Times New Roman" w:hAnsi="Times New Roman" w:cs="Times New Roman"/>
          <w:sz w:val="22"/>
          <w:szCs w:val="22"/>
          <w:lang w:val="en-GB"/>
        </w:rPr>
        <w:t>UNDP suppo</w:t>
      </w:r>
      <w:r w:rsidR="005329A6">
        <w:rPr>
          <w:rFonts w:ascii="Times New Roman" w:hAnsi="Times New Roman" w:cs="Times New Roman"/>
          <w:sz w:val="22"/>
          <w:szCs w:val="22"/>
          <w:lang w:val="en-GB"/>
        </w:rPr>
        <w:t>rted CSOs and journalists</w:t>
      </w:r>
      <w:r w:rsidR="00F0746A" w:rsidRPr="00647752">
        <w:rPr>
          <w:rFonts w:ascii="Times New Roman" w:hAnsi="Times New Roman" w:cs="Times New Roman"/>
          <w:sz w:val="22"/>
          <w:szCs w:val="22"/>
          <w:lang w:val="en-GB"/>
        </w:rPr>
        <w:t xml:space="preserve"> have developed newspaper articles </w:t>
      </w:r>
      <w:r w:rsidR="005329A6">
        <w:rPr>
          <w:rFonts w:ascii="Times New Roman" w:hAnsi="Times New Roman" w:cs="Times New Roman"/>
          <w:sz w:val="22"/>
          <w:szCs w:val="22"/>
          <w:lang w:val="en-GB"/>
        </w:rPr>
        <w:t xml:space="preserve">and radio spots </w:t>
      </w:r>
      <w:r w:rsidR="00F0746A" w:rsidRPr="00647752">
        <w:rPr>
          <w:rFonts w:ascii="Times New Roman" w:hAnsi="Times New Roman" w:cs="Times New Roman"/>
          <w:sz w:val="22"/>
          <w:szCs w:val="22"/>
          <w:lang w:val="en-GB"/>
        </w:rPr>
        <w:t xml:space="preserve">that are driving </w:t>
      </w:r>
      <w:r w:rsidR="005329A6">
        <w:rPr>
          <w:rFonts w:ascii="Times New Roman" w:hAnsi="Times New Roman" w:cs="Times New Roman"/>
          <w:sz w:val="22"/>
          <w:szCs w:val="22"/>
          <w:lang w:val="en-GB"/>
        </w:rPr>
        <w:t>clients to the legal clinics. The e</w:t>
      </w:r>
      <w:r w:rsidR="00947E2F" w:rsidRPr="00647752">
        <w:rPr>
          <w:rFonts w:ascii="Times New Roman" w:hAnsi="Times New Roman" w:cs="Times New Roman"/>
          <w:sz w:val="22"/>
          <w:szCs w:val="22"/>
          <w:lang w:val="en-GB"/>
        </w:rPr>
        <w:t>va</w:t>
      </w:r>
      <w:r w:rsidR="005329A6">
        <w:rPr>
          <w:rFonts w:ascii="Times New Roman" w:hAnsi="Times New Roman" w:cs="Times New Roman"/>
          <w:sz w:val="22"/>
          <w:szCs w:val="22"/>
          <w:lang w:val="en-GB"/>
        </w:rPr>
        <w:t>luation met with several organis</w:t>
      </w:r>
      <w:r w:rsidR="00947E2F" w:rsidRPr="00647752">
        <w:rPr>
          <w:rFonts w:ascii="Times New Roman" w:hAnsi="Times New Roman" w:cs="Times New Roman"/>
          <w:sz w:val="22"/>
          <w:szCs w:val="22"/>
          <w:lang w:val="en-GB"/>
        </w:rPr>
        <w:t>ations engaged in legal literacy and human rights awareness-raising</w:t>
      </w:r>
      <w:r w:rsidR="005329A6">
        <w:rPr>
          <w:rFonts w:ascii="Times New Roman" w:hAnsi="Times New Roman" w:cs="Times New Roman"/>
          <w:sz w:val="22"/>
          <w:szCs w:val="22"/>
          <w:lang w:val="en-GB"/>
        </w:rPr>
        <w:t>,</w:t>
      </w:r>
      <w:r w:rsidR="00947E2F" w:rsidRPr="00647752">
        <w:rPr>
          <w:rFonts w:ascii="Times New Roman" w:hAnsi="Times New Roman" w:cs="Times New Roman"/>
          <w:sz w:val="22"/>
          <w:szCs w:val="22"/>
          <w:lang w:val="en-GB"/>
        </w:rPr>
        <w:t xml:space="preserve"> including Hadaf</w:t>
      </w:r>
      <w:r w:rsidR="005329A6">
        <w:rPr>
          <w:rFonts w:ascii="Times New Roman" w:hAnsi="Times New Roman" w:cs="Times New Roman"/>
          <w:sz w:val="22"/>
          <w:szCs w:val="22"/>
          <w:lang w:val="en-GB"/>
        </w:rPr>
        <w:t xml:space="preserve"> Centre for Human Rights</w:t>
      </w:r>
      <w:r w:rsidR="00947E2F" w:rsidRPr="00647752">
        <w:rPr>
          <w:rFonts w:ascii="Times New Roman" w:hAnsi="Times New Roman" w:cs="Times New Roman"/>
          <w:sz w:val="22"/>
          <w:szCs w:val="22"/>
          <w:lang w:val="en-GB"/>
        </w:rPr>
        <w:t>, C</w:t>
      </w:r>
      <w:r w:rsidR="005329A6">
        <w:rPr>
          <w:rFonts w:ascii="Times New Roman" w:hAnsi="Times New Roman" w:cs="Times New Roman"/>
          <w:sz w:val="22"/>
          <w:szCs w:val="22"/>
          <w:lang w:val="en-GB"/>
        </w:rPr>
        <w:t xml:space="preserve">ommunity </w:t>
      </w:r>
      <w:r w:rsidR="00947E2F" w:rsidRPr="00647752">
        <w:rPr>
          <w:rFonts w:ascii="Times New Roman" w:hAnsi="Times New Roman" w:cs="Times New Roman"/>
          <w:sz w:val="22"/>
          <w:szCs w:val="22"/>
          <w:lang w:val="en-GB"/>
        </w:rPr>
        <w:t>M</w:t>
      </w:r>
      <w:r w:rsidR="005329A6">
        <w:rPr>
          <w:rFonts w:ascii="Times New Roman" w:hAnsi="Times New Roman" w:cs="Times New Roman"/>
          <w:sz w:val="22"/>
          <w:szCs w:val="22"/>
          <w:lang w:val="en-GB"/>
        </w:rPr>
        <w:t>edia Centre</w:t>
      </w:r>
      <w:r w:rsidR="00947E2F" w:rsidRPr="00647752">
        <w:rPr>
          <w:rFonts w:ascii="Times New Roman" w:hAnsi="Times New Roman" w:cs="Times New Roman"/>
          <w:sz w:val="22"/>
          <w:szCs w:val="22"/>
          <w:lang w:val="en-GB"/>
        </w:rPr>
        <w:t xml:space="preserve">, </w:t>
      </w:r>
      <w:r w:rsidR="006B02EB" w:rsidRPr="00647752">
        <w:rPr>
          <w:rFonts w:ascii="Times New Roman" w:hAnsi="Times New Roman" w:cs="Times New Roman"/>
          <w:sz w:val="22"/>
          <w:szCs w:val="22"/>
          <w:lang w:val="en-GB"/>
        </w:rPr>
        <w:t>Cult</w:t>
      </w:r>
      <w:r w:rsidR="005329A6">
        <w:rPr>
          <w:rFonts w:ascii="Times New Roman" w:hAnsi="Times New Roman" w:cs="Times New Roman"/>
          <w:sz w:val="22"/>
          <w:szCs w:val="22"/>
          <w:lang w:val="en-GB"/>
        </w:rPr>
        <w:t>ure and Free Though Association,</w:t>
      </w:r>
      <w:r w:rsidR="000063A3">
        <w:rPr>
          <w:rFonts w:ascii="Times New Roman" w:hAnsi="Times New Roman" w:cs="Times New Roman"/>
          <w:sz w:val="22"/>
          <w:szCs w:val="22"/>
          <w:lang w:val="en-GB"/>
        </w:rPr>
        <w:t xml:space="preserve"> </w:t>
      </w:r>
      <w:r w:rsidR="005329A6">
        <w:rPr>
          <w:rFonts w:ascii="Times New Roman" w:hAnsi="Times New Roman" w:cs="Times New Roman"/>
          <w:sz w:val="22"/>
          <w:szCs w:val="22"/>
          <w:lang w:val="en-GB"/>
        </w:rPr>
        <w:t>Union of Women Programs</w:t>
      </w:r>
      <w:r w:rsidR="006D0651" w:rsidRPr="00647752">
        <w:rPr>
          <w:rFonts w:ascii="Times New Roman" w:hAnsi="Times New Roman" w:cs="Times New Roman"/>
          <w:sz w:val="22"/>
          <w:szCs w:val="22"/>
          <w:lang w:val="en-GB"/>
        </w:rPr>
        <w:t xml:space="preserve"> Centres and </w:t>
      </w:r>
      <w:r w:rsidR="005329A6">
        <w:rPr>
          <w:rFonts w:ascii="Times New Roman" w:hAnsi="Times New Roman" w:cs="Times New Roman"/>
          <w:sz w:val="22"/>
          <w:szCs w:val="22"/>
          <w:lang w:val="en-GB"/>
        </w:rPr>
        <w:t>the Palestinian Centre</w:t>
      </w:r>
      <w:r w:rsidR="00947E2F" w:rsidRPr="00647752">
        <w:rPr>
          <w:rFonts w:ascii="Times New Roman" w:hAnsi="Times New Roman" w:cs="Times New Roman"/>
          <w:sz w:val="22"/>
          <w:szCs w:val="22"/>
          <w:lang w:val="en-GB"/>
        </w:rPr>
        <w:t xml:space="preserve"> for Human </w:t>
      </w:r>
      <w:r w:rsidR="005329A6">
        <w:rPr>
          <w:rFonts w:ascii="Times New Roman" w:hAnsi="Times New Roman" w:cs="Times New Roman"/>
          <w:sz w:val="22"/>
          <w:szCs w:val="22"/>
          <w:lang w:val="en-GB"/>
        </w:rPr>
        <w:t>Rights.</w:t>
      </w:r>
    </w:p>
    <w:p w:rsidR="00AB6D72" w:rsidRDefault="00AB6D72" w:rsidP="00FB6759">
      <w:pPr>
        <w:spacing w:after="0" w:line="240" w:lineRule="auto"/>
        <w:jc w:val="both"/>
        <w:rPr>
          <w:rFonts w:ascii="Times New Roman" w:hAnsi="Times New Roman" w:cs="Times New Roman"/>
          <w:sz w:val="22"/>
          <w:szCs w:val="22"/>
          <w:lang w:val="en-GB"/>
        </w:rPr>
      </w:pPr>
    </w:p>
    <w:p w:rsidR="00947E2F" w:rsidRPr="00647752" w:rsidRDefault="008E53A1"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For example, Hadaf published a pamphlet “Know your Rights” with 1</w:t>
      </w:r>
      <w:r w:rsidR="005329A6">
        <w:rPr>
          <w:rFonts w:ascii="Times New Roman" w:hAnsi="Times New Roman" w:cs="Times New Roman"/>
          <w:sz w:val="22"/>
          <w:szCs w:val="22"/>
          <w:lang w:val="en-GB"/>
        </w:rPr>
        <w:t>,</w:t>
      </w:r>
      <w:r w:rsidRPr="00647752">
        <w:rPr>
          <w:rFonts w:ascii="Times New Roman" w:hAnsi="Times New Roman" w:cs="Times New Roman"/>
          <w:sz w:val="22"/>
          <w:szCs w:val="22"/>
          <w:lang w:val="en-GB"/>
        </w:rPr>
        <w:t>000 copies and trained journalists and representatives of politica</w:t>
      </w:r>
      <w:r w:rsidR="005329A6">
        <w:rPr>
          <w:rFonts w:ascii="Times New Roman" w:hAnsi="Times New Roman" w:cs="Times New Roman"/>
          <w:sz w:val="22"/>
          <w:szCs w:val="22"/>
          <w:lang w:val="en-GB"/>
        </w:rPr>
        <w:t xml:space="preserve">l blocks in awareness-raising. </w:t>
      </w:r>
      <w:r w:rsidRPr="00647752">
        <w:rPr>
          <w:rFonts w:ascii="Times New Roman" w:hAnsi="Times New Roman" w:cs="Times New Roman"/>
          <w:sz w:val="22"/>
          <w:szCs w:val="22"/>
          <w:lang w:val="en-GB"/>
        </w:rPr>
        <w:t xml:space="preserve">In addition, Hadaf made a documentary film </w:t>
      </w:r>
      <w:r w:rsidR="00AD2D1A" w:rsidRPr="00647752">
        <w:rPr>
          <w:rFonts w:ascii="Times New Roman" w:hAnsi="Times New Roman" w:cs="Times New Roman"/>
          <w:sz w:val="22"/>
          <w:szCs w:val="22"/>
          <w:lang w:val="en-GB"/>
        </w:rPr>
        <w:t>entitled</w:t>
      </w:r>
      <w:r w:rsidRPr="00647752">
        <w:rPr>
          <w:rFonts w:ascii="Times New Roman" w:hAnsi="Times New Roman" w:cs="Times New Roman"/>
          <w:sz w:val="22"/>
          <w:szCs w:val="22"/>
          <w:lang w:val="en-GB"/>
        </w:rPr>
        <w:t>, “Raise your voice for Access to Justice” that was published on YouTube and shown to a live au</w:t>
      </w:r>
      <w:r w:rsidR="005329A6">
        <w:rPr>
          <w:rFonts w:ascii="Times New Roman" w:hAnsi="Times New Roman" w:cs="Times New Roman"/>
          <w:sz w:val="22"/>
          <w:szCs w:val="22"/>
          <w:lang w:val="en-GB"/>
        </w:rPr>
        <w:t xml:space="preserve">dience of 300 people in Gaza. </w:t>
      </w:r>
      <w:r w:rsidR="001F61D2" w:rsidRPr="00647752">
        <w:rPr>
          <w:rFonts w:ascii="Times New Roman" w:hAnsi="Times New Roman" w:cs="Times New Roman"/>
          <w:sz w:val="22"/>
          <w:szCs w:val="22"/>
          <w:lang w:val="en-GB"/>
        </w:rPr>
        <w:t>Hadaf also produced a number of radio spots</w:t>
      </w:r>
      <w:r w:rsidR="005329A6">
        <w:rPr>
          <w:rFonts w:ascii="Times New Roman" w:hAnsi="Times New Roman" w:cs="Times New Roman"/>
          <w:sz w:val="22"/>
          <w:szCs w:val="22"/>
          <w:lang w:val="en-GB"/>
        </w:rPr>
        <w:t>. Meanwhile, WAC</w:t>
      </w:r>
      <w:r w:rsidR="006B02EB" w:rsidRPr="00647752">
        <w:rPr>
          <w:rFonts w:ascii="Times New Roman" w:hAnsi="Times New Roman" w:cs="Times New Roman"/>
          <w:sz w:val="22"/>
          <w:szCs w:val="22"/>
          <w:lang w:val="en-GB"/>
        </w:rPr>
        <w:t xml:space="preserve"> has had </w:t>
      </w:r>
      <w:r w:rsidR="006B02EB" w:rsidRPr="00647752">
        <w:rPr>
          <w:rFonts w:ascii="Times New Roman" w:hAnsi="Times New Roman" w:cs="Times New Roman"/>
          <w:sz w:val="22"/>
          <w:szCs w:val="22"/>
          <w:lang w:val="en-GB"/>
        </w:rPr>
        <w:lastRenderedPageBreak/>
        <w:t xml:space="preserve">a number of specific </w:t>
      </w:r>
      <w:r w:rsidR="005329A6">
        <w:rPr>
          <w:rFonts w:ascii="Times New Roman" w:hAnsi="Times New Roman" w:cs="Times New Roman"/>
          <w:sz w:val="22"/>
          <w:szCs w:val="22"/>
          <w:lang w:val="en-GB"/>
        </w:rPr>
        <w:t xml:space="preserve">trainings for community leaders. </w:t>
      </w:r>
      <w:r w:rsidR="006B02EB" w:rsidRPr="00647752">
        <w:rPr>
          <w:rFonts w:ascii="Times New Roman" w:hAnsi="Times New Roman" w:cs="Times New Roman"/>
          <w:sz w:val="22"/>
          <w:szCs w:val="22"/>
          <w:lang w:val="en-GB"/>
        </w:rPr>
        <w:t>During these trainings men and women could come together and discuss issues of gender e</w:t>
      </w:r>
      <w:r w:rsidR="005329A6">
        <w:rPr>
          <w:rFonts w:ascii="Times New Roman" w:hAnsi="Times New Roman" w:cs="Times New Roman"/>
          <w:sz w:val="22"/>
          <w:szCs w:val="22"/>
          <w:lang w:val="en-GB"/>
        </w:rPr>
        <w:t>quality</w:t>
      </w:r>
      <w:r w:rsidR="006B02EB" w:rsidRPr="00647752">
        <w:rPr>
          <w:rFonts w:ascii="Times New Roman" w:hAnsi="Times New Roman" w:cs="Times New Roman"/>
          <w:sz w:val="22"/>
          <w:szCs w:val="22"/>
          <w:lang w:val="en-GB"/>
        </w:rPr>
        <w:t xml:space="preserve"> as well as ec</w:t>
      </w:r>
      <w:r w:rsidR="005329A6">
        <w:rPr>
          <w:rFonts w:ascii="Times New Roman" w:hAnsi="Times New Roman" w:cs="Times New Roman"/>
          <w:sz w:val="22"/>
          <w:szCs w:val="22"/>
          <w:lang w:val="en-GB"/>
        </w:rPr>
        <w:t xml:space="preserve">onomic empowerment of women. </w:t>
      </w:r>
      <w:r w:rsidR="001F61D2" w:rsidRPr="00647752">
        <w:rPr>
          <w:rFonts w:ascii="Times New Roman" w:hAnsi="Times New Roman" w:cs="Times New Roman"/>
          <w:sz w:val="22"/>
          <w:szCs w:val="22"/>
          <w:lang w:val="en-GB"/>
        </w:rPr>
        <w:t xml:space="preserve">The impact of these trainings at the outcome level is a demonstrated improvement in the treatment of women by the </w:t>
      </w:r>
      <w:r w:rsidR="005329A6" w:rsidRPr="005329A6">
        <w:rPr>
          <w:rFonts w:ascii="Times New Roman" w:hAnsi="Times New Roman" w:cs="Times New Roman"/>
          <w:i/>
          <w:sz w:val="22"/>
          <w:szCs w:val="22"/>
          <w:lang w:val="en-GB"/>
        </w:rPr>
        <w:t>m</w:t>
      </w:r>
      <w:r w:rsidR="00360CF0" w:rsidRPr="005329A6">
        <w:rPr>
          <w:rFonts w:ascii="Times New Roman" w:hAnsi="Times New Roman" w:cs="Times New Roman"/>
          <w:i/>
          <w:sz w:val="22"/>
          <w:szCs w:val="22"/>
          <w:lang w:val="en-GB"/>
        </w:rPr>
        <w:t>uqtar</w:t>
      </w:r>
      <w:r w:rsidR="00475EF1" w:rsidRPr="005329A6">
        <w:rPr>
          <w:rFonts w:ascii="Times New Roman" w:hAnsi="Times New Roman" w:cs="Times New Roman"/>
          <w:i/>
          <w:sz w:val="22"/>
          <w:szCs w:val="22"/>
          <w:lang w:val="en-GB"/>
        </w:rPr>
        <w:t>s</w:t>
      </w:r>
      <w:r w:rsidR="001F61D2" w:rsidRPr="00647752">
        <w:rPr>
          <w:rFonts w:ascii="Times New Roman" w:hAnsi="Times New Roman" w:cs="Times New Roman"/>
          <w:sz w:val="22"/>
          <w:szCs w:val="22"/>
          <w:lang w:val="en-GB"/>
        </w:rPr>
        <w:t xml:space="preserve">. </w:t>
      </w:r>
    </w:p>
    <w:p w:rsidR="00AB6D72" w:rsidRDefault="00AB6D72" w:rsidP="00FB6759">
      <w:pPr>
        <w:spacing w:after="0" w:line="240" w:lineRule="auto"/>
        <w:jc w:val="both"/>
        <w:rPr>
          <w:rFonts w:ascii="Times New Roman" w:hAnsi="Times New Roman" w:cs="Times New Roman"/>
          <w:sz w:val="22"/>
          <w:szCs w:val="22"/>
          <w:lang w:val="en-GB"/>
        </w:rPr>
      </w:pPr>
    </w:p>
    <w:p w:rsidR="00975CDE" w:rsidRPr="00647752" w:rsidRDefault="006B02EB"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As mentioned above, the Cul</w:t>
      </w:r>
      <w:r w:rsidR="001F61D2" w:rsidRPr="00647752">
        <w:rPr>
          <w:rFonts w:ascii="Times New Roman" w:hAnsi="Times New Roman" w:cs="Times New Roman"/>
          <w:sz w:val="22"/>
          <w:szCs w:val="22"/>
          <w:lang w:val="en-GB"/>
        </w:rPr>
        <w:t>ture and Free Thought Association</w:t>
      </w:r>
      <w:r w:rsidR="00F444DF" w:rsidRPr="00647752">
        <w:rPr>
          <w:rFonts w:ascii="Times New Roman" w:hAnsi="Times New Roman" w:cs="Times New Roman"/>
          <w:sz w:val="22"/>
          <w:szCs w:val="22"/>
          <w:lang w:val="en-GB"/>
        </w:rPr>
        <w:t xml:space="preserve"> has also produced UNDP supported trainings for </w:t>
      </w:r>
      <w:r w:rsidR="005329A6" w:rsidRPr="005329A6">
        <w:rPr>
          <w:rFonts w:ascii="Times New Roman" w:hAnsi="Times New Roman" w:cs="Times New Roman"/>
          <w:i/>
          <w:sz w:val="22"/>
          <w:szCs w:val="22"/>
          <w:lang w:val="en-GB"/>
        </w:rPr>
        <w:t>m</w:t>
      </w:r>
      <w:r w:rsidR="00360CF0" w:rsidRPr="005329A6">
        <w:rPr>
          <w:rFonts w:ascii="Times New Roman" w:hAnsi="Times New Roman" w:cs="Times New Roman"/>
          <w:i/>
          <w:sz w:val="22"/>
          <w:szCs w:val="22"/>
          <w:lang w:val="en-GB"/>
        </w:rPr>
        <w:t>uqtar</w:t>
      </w:r>
      <w:r w:rsidR="00D35C46" w:rsidRPr="005329A6">
        <w:rPr>
          <w:rFonts w:ascii="Times New Roman" w:hAnsi="Times New Roman" w:cs="Times New Roman"/>
          <w:i/>
          <w:sz w:val="22"/>
          <w:szCs w:val="22"/>
          <w:lang w:val="en-GB"/>
        </w:rPr>
        <w:t>s</w:t>
      </w:r>
      <w:r w:rsidR="00F444DF" w:rsidRPr="00647752">
        <w:rPr>
          <w:rFonts w:ascii="Times New Roman" w:hAnsi="Times New Roman" w:cs="Times New Roman"/>
          <w:sz w:val="22"/>
          <w:szCs w:val="22"/>
          <w:lang w:val="en-GB"/>
        </w:rPr>
        <w:t xml:space="preserve"> that resulted directly in one group of </w:t>
      </w:r>
      <w:r w:rsidR="005329A6" w:rsidRPr="005329A6">
        <w:rPr>
          <w:rFonts w:ascii="Times New Roman" w:hAnsi="Times New Roman" w:cs="Times New Roman"/>
          <w:i/>
          <w:sz w:val="22"/>
          <w:szCs w:val="22"/>
          <w:lang w:val="en-GB"/>
        </w:rPr>
        <w:t>m</w:t>
      </w:r>
      <w:r w:rsidR="00360CF0" w:rsidRPr="005329A6">
        <w:rPr>
          <w:rFonts w:ascii="Times New Roman" w:hAnsi="Times New Roman" w:cs="Times New Roman"/>
          <w:i/>
          <w:sz w:val="22"/>
          <w:szCs w:val="22"/>
          <w:lang w:val="en-GB"/>
        </w:rPr>
        <w:t>uqtar</w:t>
      </w:r>
      <w:r w:rsidR="00D35C46" w:rsidRPr="005329A6">
        <w:rPr>
          <w:rFonts w:ascii="Times New Roman" w:hAnsi="Times New Roman" w:cs="Times New Roman"/>
          <w:i/>
          <w:sz w:val="22"/>
          <w:szCs w:val="22"/>
          <w:lang w:val="en-GB"/>
        </w:rPr>
        <w:t>s</w:t>
      </w:r>
      <w:r w:rsidR="00F444DF" w:rsidRPr="00647752">
        <w:rPr>
          <w:rFonts w:ascii="Times New Roman" w:hAnsi="Times New Roman" w:cs="Times New Roman"/>
          <w:sz w:val="22"/>
          <w:szCs w:val="22"/>
          <w:lang w:val="en-GB"/>
        </w:rPr>
        <w:t xml:space="preserve"> approaching the HJC following the workshops in order to encourage the HJC to reform its procedures regarding cases involving women’s inheritance. </w:t>
      </w:r>
      <w:r w:rsidR="00B33974" w:rsidRPr="00647752">
        <w:rPr>
          <w:rFonts w:ascii="Times New Roman" w:hAnsi="Times New Roman" w:cs="Times New Roman"/>
          <w:sz w:val="22"/>
          <w:szCs w:val="22"/>
          <w:lang w:val="en-GB"/>
        </w:rPr>
        <w:t xml:space="preserve">One female </w:t>
      </w:r>
      <w:r w:rsidR="005329A6" w:rsidRPr="005329A6">
        <w:rPr>
          <w:rFonts w:ascii="Times New Roman" w:hAnsi="Times New Roman" w:cs="Times New Roman"/>
          <w:i/>
          <w:sz w:val="22"/>
          <w:szCs w:val="22"/>
          <w:lang w:val="en-GB"/>
        </w:rPr>
        <w:t>m</w:t>
      </w:r>
      <w:r w:rsidR="00360CF0" w:rsidRPr="005329A6">
        <w:rPr>
          <w:rFonts w:ascii="Times New Roman" w:hAnsi="Times New Roman" w:cs="Times New Roman"/>
          <w:i/>
          <w:sz w:val="22"/>
          <w:szCs w:val="22"/>
          <w:lang w:val="en-GB"/>
        </w:rPr>
        <w:t>uqtar</w:t>
      </w:r>
      <w:r w:rsidR="005329A6">
        <w:rPr>
          <w:rFonts w:ascii="Times New Roman" w:hAnsi="Times New Roman" w:cs="Times New Roman"/>
          <w:sz w:val="22"/>
          <w:szCs w:val="22"/>
          <w:lang w:val="en-GB"/>
        </w:rPr>
        <w:t xml:space="preserve"> interviewed by the evaluation </w:t>
      </w:r>
      <w:r w:rsidR="00B33974" w:rsidRPr="00647752">
        <w:rPr>
          <w:rFonts w:ascii="Times New Roman" w:hAnsi="Times New Roman" w:cs="Times New Roman"/>
          <w:sz w:val="22"/>
          <w:szCs w:val="22"/>
          <w:lang w:val="en-GB"/>
        </w:rPr>
        <w:t xml:space="preserve">stated that the UNDP supported trainings had enabled her to </w:t>
      </w:r>
      <w:r w:rsidR="005329A6">
        <w:rPr>
          <w:rFonts w:ascii="Times New Roman" w:hAnsi="Times New Roman" w:cs="Times New Roman"/>
          <w:sz w:val="22"/>
          <w:szCs w:val="22"/>
          <w:lang w:val="en-GB"/>
        </w:rPr>
        <w:t>learn about:  1</w:t>
      </w:r>
      <w:r w:rsidR="00975CDE" w:rsidRPr="00647752">
        <w:rPr>
          <w:rFonts w:ascii="Times New Roman" w:hAnsi="Times New Roman" w:cs="Times New Roman"/>
          <w:sz w:val="22"/>
          <w:szCs w:val="22"/>
          <w:lang w:val="en-GB"/>
        </w:rPr>
        <w:t xml:space="preserve">) legal aspects of women’s </w:t>
      </w:r>
      <w:r w:rsidR="005329A6">
        <w:rPr>
          <w:rFonts w:ascii="Times New Roman" w:hAnsi="Times New Roman" w:cs="Times New Roman"/>
          <w:sz w:val="22"/>
          <w:szCs w:val="22"/>
          <w:lang w:val="en-GB"/>
        </w:rPr>
        <w:t>issues; 2) psycho</w:t>
      </w:r>
      <w:r w:rsidR="00975CDE" w:rsidRPr="00647752">
        <w:rPr>
          <w:rFonts w:ascii="Times New Roman" w:hAnsi="Times New Roman" w:cs="Times New Roman"/>
          <w:sz w:val="22"/>
          <w:szCs w:val="22"/>
          <w:lang w:val="en-GB"/>
        </w:rPr>
        <w:t>social support</w:t>
      </w:r>
      <w:r w:rsidR="005329A6">
        <w:rPr>
          <w:rFonts w:ascii="Times New Roman" w:hAnsi="Times New Roman" w:cs="Times New Roman"/>
          <w:sz w:val="22"/>
          <w:szCs w:val="22"/>
          <w:lang w:val="en-GB"/>
        </w:rPr>
        <w:t xml:space="preserve">; and 3) how to conduct mediations. </w:t>
      </w:r>
      <w:r w:rsidR="00975CDE" w:rsidRPr="00647752">
        <w:rPr>
          <w:rFonts w:ascii="Times New Roman" w:hAnsi="Times New Roman" w:cs="Times New Roman"/>
          <w:sz w:val="22"/>
          <w:szCs w:val="22"/>
          <w:lang w:val="en-GB"/>
        </w:rPr>
        <w:t xml:space="preserve">Although she had previously been a preacher at a mosque for women and was used to solving problems, the UNDP support provided her with a new perspective. </w:t>
      </w:r>
    </w:p>
    <w:p w:rsidR="00AB6D72" w:rsidRDefault="00AB6D72" w:rsidP="00FB6759">
      <w:pPr>
        <w:spacing w:after="0" w:line="240" w:lineRule="auto"/>
        <w:jc w:val="both"/>
        <w:rPr>
          <w:rFonts w:ascii="Times New Roman" w:hAnsi="Times New Roman" w:cs="Times New Roman"/>
          <w:sz w:val="22"/>
          <w:szCs w:val="22"/>
          <w:lang w:val="en-GB"/>
        </w:rPr>
      </w:pPr>
    </w:p>
    <w:p w:rsidR="00546551" w:rsidRPr="00647752" w:rsidRDefault="00F0746A"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As mentioned, the PBA has in</w:t>
      </w:r>
      <w:r w:rsidR="005329A6">
        <w:rPr>
          <w:rFonts w:ascii="Times New Roman" w:hAnsi="Times New Roman" w:cs="Times New Roman"/>
          <w:sz w:val="22"/>
          <w:szCs w:val="22"/>
          <w:lang w:val="en-GB"/>
        </w:rPr>
        <w:t>troduced mobile legal c</w:t>
      </w:r>
      <w:r w:rsidRPr="00647752">
        <w:rPr>
          <w:rFonts w:ascii="Times New Roman" w:hAnsi="Times New Roman" w:cs="Times New Roman"/>
          <w:sz w:val="22"/>
          <w:szCs w:val="22"/>
          <w:lang w:val="en-GB"/>
        </w:rPr>
        <w:t xml:space="preserve">linics staffed by recent law school graduates that </w:t>
      </w:r>
      <w:r w:rsidR="005329A6">
        <w:rPr>
          <w:rFonts w:ascii="Times New Roman" w:hAnsi="Times New Roman" w:cs="Times New Roman"/>
          <w:sz w:val="22"/>
          <w:szCs w:val="22"/>
          <w:lang w:val="en-GB"/>
        </w:rPr>
        <w:t xml:space="preserve">aim to strengthen </w:t>
      </w:r>
      <w:r w:rsidRPr="00647752">
        <w:rPr>
          <w:rFonts w:ascii="Times New Roman" w:hAnsi="Times New Roman" w:cs="Times New Roman"/>
          <w:sz w:val="22"/>
          <w:szCs w:val="22"/>
          <w:lang w:val="en-GB"/>
        </w:rPr>
        <w:t>access to ju</w:t>
      </w:r>
      <w:r w:rsidR="005329A6">
        <w:rPr>
          <w:rFonts w:ascii="Times New Roman" w:hAnsi="Times New Roman" w:cs="Times New Roman"/>
          <w:sz w:val="22"/>
          <w:szCs w:val="22"/>
          <w:lang w:val="en-GB"/>
        </w:rPr>
        <w:t xml:space="preserve">stice in remote areas of Gaza. </w:t>
      </w:r>
      <w:r w:rsidR="00546551" w:rsidRPr="00647752">
        <w:rPr>
          <w:rFonts w:ascii="Times New Roman" w:hAnsi="Times New Roman" w:cs="Times New Roman"/>
          <w:sz w:val="22"/>
          <w:szCs w:val="22"/>
          <w:lang w:val="en-GB"/>
        </w:rPr>
        <w:t xml:space="preserve">In addition, </w:t>
      </w:r>
      <w:r w:rsidR="005329A6">
        <w:rPr>
          <w:rFonts w:ascii="Times New Roman" w:hAnsi="Times New Roman" w:cs="Times New Roman"/>
          <w:sz w:val="22"/>
          <w:szCs w:val="22"/>
          <w:lang w:val="en-GB"/>
        </w:rPr>
        <w:t xml:space="preserve">the </w:t>
      </w:r>
      <w:r w:rsidR="00546551" w:rsidRPr="00647752">
        <w:rPr>
          <w:rFonts w:ascii="Times New Roman" w:hAnsi="Times New Roman" w:cs="Times New Roman"/>
          <w:sz w:val="22"/>
          <w:szCs w:val="22"/>
          <w:lang w:val="en-GB"/>
        </w:rPr>
        <w:t>PBA has trained many lawyers, judges and prosecutors, as well as having specific trainings for traditional and community leaders.</w:t>
      </w:r>
      <w:r w:rsidR="005329A6">
        <w:rPr>
          <w:rFonts w:ascii="Times New Roman" w:hAnsi="Times New Roman" w:cs="Times New Roman"/>
          <w:sz w:val="22"/>
          <w:szCs w:val="22"/>
          <w:lang w:val="en-GB"/>
        </w:rPr>
        <w:t xml:space="preserve"> Notes from the e</w:t>
      </w:r>
      <w:r w:rsidR="008E53A1" w:rsidRPr="00647752">
        <w:rPr>
          <w:rFonts w:ascii="Times New Roman" w:hAnsi="Times New Roman" w:cs="Times New Roman"/>
          <w:sz w:val="22"/>
          <w:szCs w:val="22"/>
          <w:lang w:val="en-GB"/>
        </w:rPr>
        <w:t xml:space="preserve">valuation’s interviews with </w:t>
      </w:r>
      <w:r w:rsidR="005329A6" w:rsidRPr="005329A6">
        <w:rPr>
          <w:rFonts w:ascii="Times New Roman" w:hAnsi="Times New Roman" w:cs="Times New Roman"/>
          <w:i/>
          <w:sz w:val="22"/>
          <w:szCs w:val="22"/>
          <w:lang w:val="en-GB"/>
        </w:rPr>
        <w:t>m</w:t>
      </w:r>
      <w:r w:rsidR="00360CF0" w:rsidRPr="005329A6">
        <w:rPr>
          <w:rFonts w:ascii="Times New Roman" w:hAnsi="Times New Roman" w:cs="Times New Roman"/>
          <w:i/>
          <w:sz w:val="22"/>
          <w:szCs w:val="22"/>
          <w:lang w:val="en-GB"/>
        </w:rPr>
        <w:t>uqtar</w:t>
      </w:r>
      <w:r w:rsidR="00D35C46" w:rsidRPr="005329A6">
        <w:rPr>
          <w:rFonts w:ascii="Times New Roman" w:hAnsi="Times New Roman" w:cs="Times New Roman"/>
          <w:i/>
          <w:sz w:val="22"/>
          <w:szCs w:val="22"/>
          <w:lang w:val="en-GB"/>
        </w:rPr>
        <w:t>s</w:t>
      </w:r>
      <w:r w:rsidR="005329A6">
        <w:rPr>
          <w:rFonts w:ascii="Times New Roman" w:hAnsi="Times New Roman" w:cs="Times New Roman"/>
          <w:sz w:val="22"/>
          <w:szCs w:val="22"/>
          <w:lang w:val="en-GB"/>
        </w:rPr>
        <w:t xml:space="preserve"> that had participated in the </w:t>
      </w:r>
      <w:r w:rsidR="008E53A1" w:rsidRPr="00647752">
        <w:rPr>
          <w:rFonts w:ascii="Times New Roman" w:hAnsi="Times New Roman" w:cs="Times New Roman"/>
          <w:sz w:val="22"/>
          <w:szCs w:val="22"/>
          <w:lang w:val="en-GB"/>
        </w:rPr>
        <w:t>training a</w:t>
      </w:r>
      <w:r w:rsidR="005329A6">
        <w:rPr>
          <w:rFonts w:ascii="Times New Roman" w:hAnsi="Times New Roman" w:cs="Times New Roman"/>
          <w:sz w:val="22"/>
          <w:szCs w:val="22"/>
          <w:lang w:val="en-GB"/>
        </w:rPr>
        <w:t xml:space="preserve">re annexed to this report. </w:t>
      </w:r>
      <w:r w:rsidR="00011F4C" w:rsidRPr="00647752">
        <w:rPr>
          <w:rFonts w:ascii="Times New Roman" w:hAnsi="Times New Roman" w:cs="Times New Roman"/>
          <w:sz w:val="22"/>
          <w:szCs w:val="22"/>
          <w:lang w:val="en-GB"/>
        </w:rPr>
        <w:t>Clearly</w:t>
      </w:r>
      <w:r w:rsidR="005329A6">
        <w:rPr>
          <w:rFonts w:ascii="Times New Roman" w:hAnsi="Times New Roman" w:cs="Times New Roman"/>
          <w:sz w:val="22"/>
          <w:szCs w:val="22"/>
          <w:lang w:val="en-GB"/>
        </w:rPr>
        <w:t>,</w:t>
      </w:r>
      <w:r w:rsidR="00011F4C" w:rsidRPr="00647752">
        <w:rPr>
          <w:rFonts w:ascii="Times New Roman" w:hAnsi="Times New Roman" w:cs="Times New Roman"/>
          <w:sz w:val="22"/>
          <w:szCs w:val="22"/>
          <w:lang w:val="en-GB"/>
        </w:rPr>
        <w:t xml:space="preserve"> there is a need for continued engagement with traditional authorities in Gaza.</w:t>
      </w:r>
      <w:r w:rsidR="00011F4C" w:rsidRPr="00647752">
        <w:rPr>
          <w:rStyle w:val="FootnoteReference"/>
          <w:rFonts w:ascii="Times New Roman" w:hAnsi="Times New Roman" w:cs="Times New Roman"/>
          <w:sz w:val="22"/>
          <w:szCs w:val="22"/>
          <w:lang w:val="en-GB"/>
        </w:rPr>
        <w:footnoteReference w:id="193"/>
      </w:r>
      <w:r w:rsidRPr="00647752">
        <w:rPr>
          <w:rFonts w:ascii="Times New Roman" w:hAnsi="Times New Roman" w:cs="Times New Roman"/>
          <w:sz w:val="22"/>
          <w:szCs w:val="22"/>
          <w:lang w:val="en-GB"/>
        </w:rPr>
        <w:t xml:space="preserve">Output 4.3 is </w:t>
      </w:r>
      <w:r w:rsidR="005329A6">
        <w:rPr>
          <w:rFonts w:ascii="Times New Roman" w:hAnsi="Times New Roman" w:cs="Times New Roman"/>
          <w:sz w:val="22"/>
          <w:szCs w:val="22"/>
          <w:lang w:val="en-GB"/>
        </w:rPr>
        <w:t>closely related to Output 4.5</w:t>
      </w:r>
      <w:r w:rsidR="001D1C51" w:rsidRPr="00647752">
        <w:rPr>
          <w:rFonts w:ascii="Times New Roman" w:hAnsi="Times New Roman" w:cs="Times New Roman"/>
          <w:sz w:val="22"/>
          <w:szCs w:val="22"/>
          <w:lang w:val="en-GB"/>
        </w:rPr>
        <w:t xml:space="preserve">, discussed below. </w:t>
      </w:r>
    </w:p>
    <w:p w:rsidR="00EC4AB7" w:rsidRPr="00647752" w:rsidRDefault="00EC4AB7" w:rsidP="00FB6759">
      <w:pPr>
        <w:spacing w:after="0" w:line="240" w:lineRule="auto"/>
        <w:jc w:val="both"/>
        <w:rPr>
          <w:rFonts w:ascii="Times New Roman" w:hAnsi="Times New Roman" w:cs="Times New Roman"/>
          <w:sz w:val="22"/>
          <w:szCs w:val="22"/>
          <w:lang w:val="en-GB"/>
        </w:rPr>
      </w:pPr>
    </w:p>
    <w:p w:rsidR="00467A31" w:rsidRPr="00647752" w:rsidRDefault="005329A6" w:rsidP="00FB6759">
      <w:pPr>
        <w:spacing w:after="0" w:line="240" w:lineRule="auto"/>
        <w:jc w:val="both"/>
        <w:rPr>
          <w:rFonts w:ascii="Times New Roman" w:hAnsi="Times New Roman" w:cs="Times New Roman"/>
          <w:i/>
          <w:sz w:val="22"/>
          <w:szCs w:val="22"/>
          <w:lang w:val="en-GB"/>
        </w:rPr>
      </w:pPr>
      <w:r>
        <w:rPr>
          <w:rFonts w:ascii="Times New Roman" w:hAnsi="Times New Roman" w:cs="Times New Roman"/>
          <w:i/>
          <w:sz w:val="22"/>
          <w:szCs w:val="22"/>
          <w:lang w:val="en-GB"/>
        </w:rPr>
        <w:t>Output 4.4:</w:t>
      </w:r>
      <w:r w:rsidR="00BB7FAA" w:rsidRPr="00647752">
        <w:rPr>
          <w:rFonts w:ascii="Times New Roman" w:hAnsi="Times New Roman" w:cs="Times New Roman"/>
          <w:i/>
          <w:sz w:val="22"/>
          <w:szCs w:val="22"/>
          <w:lang w:val="en-GB"/>
        </w:rPr>
        <w:t xml:space="preserve"> Account</w:t>
      </w:r>
      <w:r>
        <w:rPr>
          <w:rFonts w:ascii="Times New Roman" w:hAnsi="Times New Roman" w:cs="Times New Roman"/>
          <w:i/>
          <w:sz w:val="22"/>
          <w:szCs w:val="22"/>
          <w:lang w:val="en-GB"/>
        </w:rPr>
        <w:t>ability mechanisms put in place</w:t>
      </w:r>
    </w:p>
    <w:p w:rsidR="00AB6D72" w:rsidRDefault="00AB6D72" w:rsidP="00FB6759">
      <w:pPr>
        <w:spacing w:after="0" w:line="240" w:lineRule="auto"/>
        <w:jc w:val="both"/>
        <w:rPr>
          <w:rFonts w:ascii="Times New Roman" w:hAnsi="Times New Roman" w:cs="Times New Roman"/>
          <w:sz w:val="22"/>
          <w:szCs w:val="22"/>
          <w:lang w:val="en-GB"/>
        </w:rPr>
      </w:pPr>
    </w:p>
    <w:p w:rsidR="005C6A1E" w:rsidRDefault="00467A31"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 xml:space="preserve">UNDP has supported justice sector monitoring in Gaza by developing the capacities of CSOs and developing auditing of cases relating to women and children, including </w:t>
      </w:r>
      <w:r w:rsidR="00C93F36">
        <w:rPr>
          <w:rFonts w:ascii="Times New Roman" w:hAnsi="Times New Roman" w:cs="Times New Roman"/>
          <w:sz w:val="22"/>
          <w:szCs w:val="22"/>
          <w:lang w:val="en-GB"/>
        </w:rPr>
        <w:t xml:space="preserve">by establishing data </w:t>
      </w:r>
      <w:r w:rsidRPr="00647752">
        <w:rPr>
          <w:rFonts w:ascii="Times New Roman" w:hAnsi="Times New Roman" w:cs="Times New Roman"/>
          <w:sz w:val="22"/>
          <w:szCs w:val="22"/>
          <w:lang w:val="en-GB"/>
        </w:rPr>
        <w:t>collect</w:t>
      </w:r>
      <w:r w:rsidR="00C93F36">
        <w:rPr>
          <w:rFonts w:ascii="Times New Roman" w:hAnsi="Times New Roman" w:cs="Times New Roman"/>
          <w:sz w:val="22"/>
          <w:szCs w:val="22"/>
          <w:lang w:val="en-GB"/>
        </w:rPr>
        <w:t xml:space="preserve">ion and feedback mechanisms. </w:t>
      </w:r>
      <w:r w:rsidRPr="00647752">
        <w:rPr>
          <w:rFonts w:ascii="Times New Roman" w:hAnsi="Times New Roman" w:cs="Times New Roman"/>
          <w:sz w:val="22"/>
          <w:szCs w:val="22"/>
          <w:lang w:val="en-GB"/>
        </w:rPr>
        <w:t xml:space="preserve">Several UNDP supported CSOs </w:t>
      </w:r>
      <w:r w:rsidR="00476279" w:rsidRPr="00647752">
        <w:rPr>
          <w:rFonts w:ascii="Times New Roman" w:hAnsi="Times New Roman" w:cs="Times New Roman"/>
          <w:sz w:val="22"/>
          <w:szCs w:val="22"/>
          <w:lang w:val="en-GB"/>
        </w:rPr>
        <w:t xml:space="preserve">(i.e. PICD) </w:t>
      </w:r>
      <w:r w:rsidRPr="00647752">
        <w:rPr>
          <w:rFonts w:ascii="Times New Roman" w:hAnsi="Times New Roman" w:cs="Times New Roman"/>
          <w:sz w:val="22"/>
          <w:szCs w:val="22"/>
          <w:lang w:val="en-GB"/>
        </w:rPr>
        <w:t>have trained journalists and members of the media to report more effectively on the justice system and human rights issues in Gaza.</w:t>
      </w:r>
    </w:p>
    <w:p w:rsidR="00EA50F4" w:rsidRPr="00647752" w:rsidRDefault="00EA50F4" w:rsidP="00FB6759">
      <w:pPr>
        <w:spacing w:after="0" w:line="240" w:lineRule="auto"/>
        <w:jc w:val="both"/>
        <w:rPr>
          <w:rFonts w:ascii="Times New Roman" w:hAnsi="Times New Roman" w:cs="Times New Roman"/>
          <w:sz w:val="22"/>
          <w:szCs w:val="22"/>
          <w:lang w:val="en-GB"/>
        </w:rPr>
      </w:pPr>
    </w:p>
    <w:p w:rsidR="00476279" w:rsidRPr="00647752" w:rsidRDefault="00EA50F4"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PICD informed the e</w:t>
      </w:r>
      <w:r w:rsidR="00476279" w:rsidRPr="00647752">
        <w:rPr>
          <w:rFonts w:ascii="Times New Roman" w:hAnsi="Times New Roman" w:cs="Times New Roman"/>
          <w:sz w:val="22"/>
          <w:szCs w:val="22"/>
          <w:lang w:val="en-GB"/>
        </w:rPr>
        <w:t>valuation that its work in observing the courts had been fiercely resisted by</w:t>
      </w:r>
      <w:r>
        <w:rPr>
          <w:rFonts w:ascii="Times New Roman" w:hAnsi="Times New Roman" w:cs="Times New Roman"/>
          <w:sz w:val="22"/>
          <w:szCs w:val="22"/>
          <w:lang w:val="en-GB"/>
        </w:rPr>
        <w:t xml:space="preserve"> the </w:t>
      </w:r>
      <w:r w:rsidR="00BF472B" w:rsidRPr="004832CA">
        <w:rPr>
          <w:rFonts w:ascii="Times New Roman" w:hAnsi="Times New Roman" w:cs="Times New Roman"/>
          <w:i/>
          <w:sz w:val="22"/>
          <w:szCs w:val="22"/>
          <w:lang w:val="en-GB"/>
        </w:rPr>
        <w:t>de facto</w:t>
      </w:r>
      <w:r w:rsidR="004832CA">
        <w:rPr>
          <w:rFonts w:ascii="Times New Roman" w:hAnsi="Times New Roman" w:cs="Times New Roman"/>
          <w:sz w:val="22"/>
          <w:szCs w:val="22"/>
          <w:lang w:val="en-GB"/>
        </w:rPr>
        <w:t xml:space="preserve"> authorities at first</w:t>
      </w:r>
      <w:r w:rsidR="00476279" w:rsidRPr="00647752">
        <w:rPr>
          <w:rFonts w:ascii="Times New Roman" w:hAnsi="Times New Roman" w:cs="Times New Roman"/>
          <w:sz w:val="22"/>
          <w:szCs w:val="22"/>
          <w:lang w:val="en-GB"/>
        </w:rPr>
        <w:t xml:space="preserve"> but over time, the court system gradually became more accessible and accustomed to journalists. </w:t>
      </w:r>
      <w:r w:rsidR="00270898" w:rsidRPr="00647752">
        <w:rPr>
          <w:rFonts w:ascii="Times New Roman" w:hAnsi="Times New Roman" w:cs="Times New Roman"/>
          <w:sz w:val="22"/>
          <w:szCs w:val="22"/>
          <w:lang w:val="en-GB"/>
        </w:rPr>
        <w:t>A new type of investigative j</w:t>
      </w:r>
      <w:r w:rsidR="004832CA">
        <w:rPr>
          <w:rFonts w:ascii="Times New Roman" w:hAnsi="Times New Roman" w:cs="Times New Roman"/>
          <w:sz w:val="22"/>
          <w:szCs w:val="22"/>
          <w:lang w:val="en-GB"/>
        </w:rPr>
        <w:t xml:space="preserve">ournalism has emerged in Gaza. </w:t>
      </w:r>
      <w:r w:rsidR="00270898" w:rsidRPr="00647752">
        <w:rPr>
          <w:rFonts w:ascii="Times New Roman" w:hAnsi="Times New Roman" w:cs="Times New Roman"/>
          <w:sz w:val="22"/>
          <w:szCs w:val="22"/>
          <w:lang w:val="en-GB"/>
        </w:rPr>
        <w:t>As of 2013, this had resulted in dozens of investigative reports on violations of due process and access to justice, as well as social advocacy from young media graduates that resulted in the release of women who were imprisoned as a result of their participation in political demonstrations.</w:t>
      </w:r>
      <w:r w:rsidR="00270898" w:rsidRPr="00647752">
        <w:rPr>
          <w:rStyle w:val="FootnoteReference"/>
          <w:rFonts w:ascii="Times New Roman" w:hAnsi="Times New Roman" w:cs="Times New Roman"/>
          <w:sz w:val="22"/>
          <w:szCs w:val="22"/>
          <w:lang w:val="en-GB"/>
        </w:rPr>
        <w:footnoteReference w:id="194"/>
      </w:r>
      <w:r w:rsidR="00270898" w:rsidRPr="00647752">
        <w:rPr>
          <w:rFonts w:ascii="Times New Roman" w:hAnsi="Times New Roman" w:cs="Times New Roman"/>
          <w:sz w:val="22"/>
          <w:szCs w:val="22"/>
          <w:lang w:val="en-GB"/>
        </w:rPr>
        <w:t xml:space="preserve"> There is evidence that the</w:t>
      </w:r>
      <w:r w:rsidR="000063A3">
        <w:rPr>
          <w:rFonts w:ascii="Times New Roman" w:hAnsi="Times New Roman" w:cs="Times New Roman"/>
          <w:sz w:val="22"/>
          <w:szCs w:val="22"/>
          <w:lang w:val="en-GB"/>
        </w:rPr>
        <w:t xml:space="preserve"> </w:t>
      </w:r>
      <w:r w:rsidR="00554DEC" w:rsidRPr="00647752">
        <w:rPr>
          <w:rFonts w:ascii="Times New Roman" w:hAnsi="Times New Roman" w:cs="Times New Roman"/>
          <w:sz w:val="22"/>
          <w:szCs w:val="22"/>
          <w:lang w:val="en-GB"/>
        </w:rPr>
        <w:t>Hamas</w:t>
      </w:r>
      <w:r w:rsidR="000063A3">
        <w:rPr>
          <w:rFonts w:ascii="Times New Roman" w:hAnsi="Times New Roman" w:cs="Times New Roman"/>
          <w:sz w:val="22"/>
          <w:szCs w:val="22"/>
          <w:lang w:val="en-GB"/>
        </w:rPr>
        <w:t xml:space="preserve"> </w:t>
      </w:r>
      <w:r w:rsidR="00270898" w:rsidRPr="00647752">
        <w:rPr>
          <w:rFonts w:ascii="Times New Roman" w:hAnsi="Times New Roman" w:cs="Times New Roman"/>
          <w:sz w:val="22"/>
          <w:szCs w:val="22"/>
          <w:lang w:val="en-GB"/>
        </w:rPr>
        <w:t xml:space="preserve">government has become more attuned to rule of law and access to justice as a result of UNDP’s interventions (i.e. </w:t>
      </w:r>
      <w:r w:rsidR="00554DEC" w:rsidRPr="00647752">
        <w:rPr>
          <w:rFonts w:ascii="Times New Roman" w:hAnsi="Times New Roman" w:cs="Times New Roman"/>
          <w:sz w:val="22"/>
          <w:szCs w:val="22"/>
          <w:lang w:val="en-GB"/>
        </w:rPr>
        <w:t>Hamas</w:t>
      </w:r>
      <w:r w:rsidR="000063A3">
        <w:rPr>
          <w:rFonts w:ascii="Times New Roman" w:hAnsi="Times New Roman" w:cs="Times New Roman"/>
          <w:sz w:val="22"/>
          <w:szCs w:val="22"/>
          <w:lang w:val="en-GB"/>
        </w:rPr>
        <w:t xml:space="preserve"> </w:t>
      </w:r>
      <w:r w:rsidR="00270898" w:rsidRPr="00647752">
        <w:rPr>
          <w:rFonts w:ascii="Times New Roman" w:hAnsi="Times New Roman" w:cs="Times New Roman"/>
          <w:sz w:val="22"/>
          <w:szCs w:val="22"/>
          <w:lang w:val="en-GB"/>
        </w:rPr>
        <w:t>spokesmen have publically addressed in the media citizen complaints of rights violations and UNDP has recently seen poster</w:t>
      </w:r>
      <w:r w:rsidR="004832CA">
        <w:rPr>
          <w:rFonts w:ascii="Times New Roman" w:hAnsi="Times New Roman" w:cs="Times New Roman"/>
          <w:sz w:val="22"/>
          <w:szCs w:val="22"/>
          <w:lang w:val="en-GB"/>
        </w:rPr>
        <w:t xml:space="preserve">s </w:t>
      </w:r>
      <w:r w:rsidR="00270898" w:rsidRPr="00647752">
        <w:rPr>
          <w:rFonts w:ascii="Times New Roman" w:hAnsi="Times New Roman" w:cs="Times New Roman"/>
          <w:sz w:val="22"/>
          <w:szCs w:val="22"/>
          <w:lang w:val="en-GB"/>
        </w:rPr>
        <w:t xml:space="preserve">proclaiming </w:t>
      </w:r>
      <w:r w:rsidR="00554DEC" w:rsidRPr="00647752">
        <w:rPr>
          <w:rFonts w:ascii="Times New Roman" w:hAnsi="Times New Roman" w:cs="Times New Roman"/>
          <w:sz w:val="22"/>
          <w:szCs w:val="22"/>
          <w:lang w:val="en-GB"/>
        </w:rPr>
        <w:t>Hamas</w:t>
      </w:r>
      <w:r w:rsidR="00270898" w:rsidRPr="00647752">
        <w:rPr>
          <w:rFonts w:ascii="Times New Roman" w:hAnsi="Times New Roman" w:cs="Times New Roman"/>
          <w:sz w:val="22"/>
          <w:szCs w:val="22"/>
          <w:lang w:val="en-GB"/>
        </w:rPr>
        <w:t xml:space="preserve"> to be the “Party of Rule of Law.”). </w:t>
      </w:r>
    </w:p>
    <w:p w:rsidR="00AB6D72" w:rsidRDefault="00AB6D72" w:rsidP="00FB6759">
      <w:pPr>
        <w:spacing w:after="0" w:line="240" w:lineRule="auto"/>
        <w:jc w:val="both"/>
        <w:rPr>
          <w:rFonts w:ascii="Times New Roman" w:eastAsia="MS Mincho" w:hAnsi="Times New Roman" w:cs="Times New Roman"/>
          <w:sz w:val="22"/>
          <w:szCs w:val="24"/>
          <w:lang w:val="en-GB" w:eastAsia="ja-JP"/>
        </w:rPr>
      </w:pPr>
    </w:p>
    <w:p w:rsidR="002F4DE5" w:rsidRPr="00647752" w:rsidRDefault="002F4DE5" w:rsidP="00FB6759">
      <w:pPr>
        <w:spacing w:after="0" w:line="240" w:lineRule="auto"/>
        <w:jc w:val="both"/>
        <w:rPr>
          <w:rFonts w:ascii="Times New Roman" w:hAnsi="Times New Roman" w:cs="Times New Roman"/>
          <w:sz w:val="22"/>
          <w:szCs w:val="22"/>
          <w:lang w:val="en-GB"/>
        </w:rPr>
      </w:pPr>
      <w:r w:rsidRPr="00647752">
        <w:rPr>
          <w:rFonts w:ascii="Times New Roman" w:eastAsia="MS Mincho" w:hAnsi="Times New Roman" w:cs="Times New Roman"/>
          <w:sz w:val="22"/>
          <w:szCs w:val="24"/>
          <w:lang w:val="en-GB" w:eastAsia="ja-JP"/>
        </w:rPr>
        <w:t xml:space="preserve">The UNDP </w:t>
      </w:r>
      <w:r w:rsidR="009E308C" w:rsidRPr="00647752">
        <w:rPr>
          <w:rFonts w:ascii="Times New Roman" w:eastAsia="MS Mincho" w:hAnsi="Times New Roman" w:cs="Times New Roman"/>
          <w:sz w:val="22"/>
          <w:szCs w:val="24"/>
          <w:lang w:val="en-GB" w:eastAsia="ja-JP"/>
        </w:rPr>
        <w:t xml:space="preserve">supported </w:t>
      </w:r>
      <w:r w:rsidR="004832CA">
        <w:rPr>
          <w:rFonts w:ascii="Times New Roman" w:eastAsia="MS Mincho" w:hAnsi="Times New Roman" w:cs="Times New Roman"/>
          <w:sz w:val="22"/>
          <w:szCs w:val="24"/>
          <w:lang w:val="en-GB" w:eastAsia="ja-JP"/>
        </w:rPr>
        <w:t>PBA p</w:t>
      </w:r>
      <w:r w:rsidRPr="00647752">
        <w:rPr>
          <w:rFonts w:ascii="Times New Roman" w:eastAsia="MS Mincho" w:hAnsi="Times New Roman" w:cs="Times New Roman"/>
          <w:sz w:val="22"/>
          <w:szCs w:val="24"/>
          <w:lang w:val="en-GB" w:eastAsia="ja-JP"/>
        </w:rPr>
        <w:t xml:space="preserve">roject is trying to use a soft approach </w:t>
      </w:r>
      <w:r w:rsidR="009E308C" w:rsidRPr="00647752">
        <w:rPr>
          <w:rFonts w:ascii="Times New Roman" w:eastAsia="MS Mincho" w:hAnsi="Times New Roman" w:cs="Times New Roman"/>
          <w:sz w:val="22"/>
          <w:szCs w:val="24"/>
          <w:lang w:val="en-GB" w:eastAsia="ja-JP"/>
        </w:rPr>
        <w:t xml:space="preserve">to justice sector oversight </w:t>
      </w:r>
      <w:r w:rsidRPr="00647752">
        <w:rPr>
          <w:rFonts w:ascii="Times New Roman" w:eastAsia="MS Mincho" w:hAnsi="Times New Roman" w:cs="Times New Roman"/>
          <w:sz w:val="22"/>
          <w:szCs w:val="24"/>
          <w:lang w:val="en-GB" w:eastAsia="ja-JP"/>
        </w:rPr>
        <w:t xml:space="preserve">due to the fact that </w:t>
      </w:r>
      <w:r w:rsidR="00554DEC" w:rsidRPr="00647752">
        <w:rPr>
          <w:rFonts w:ascii="Times New Roman" w:eastAsia="MS Mincho" w:hAnsi="Times New Roman" w:cs="Times New Roman"/>
          <w:sz w:val="22"/>
          <w:szCs w:val="24"/>
          <w:lang w:val="en-GB" w:eastAsia="ja-JP"/>
        </w:rPr>
        <w:t>Hamas</w:t>
      </w:r>
      <w:r w:rsidR="004832CA">
        <w:rPr>
          <w:rFonts w:ascii="Times New Roman" w:eastAsia="MS Mincho" w:hAnsi="Times New Roman" w:cs="Times New Roman"/>
          <w:sz w:val="22"/>
          <w:szCs w:val="24"/>
          <w:lang w:val="en-GB" w:eastAsia="ja-JP"/>
        </w:rPr>
        <w:t xml:space="preserve"> is </w:t>
      </w:r>
      <w:r w:rsidRPr="00647752">
        <w:rPr>
          <w:rFonts w:ascii="Times New Roman" w:eastAsia="MS Mincho" w:hAnsi="Times New Roman" w:cs="Times New Roman"/>
          <w:sz w:val="22"/>
          <w:szCs w:val="24"/>
          <w:lang w:val="en-GB" w:eastAsia="ja-JP"/>
        </w:rPr>
        <w:t>resistan</w:t>
      </w:r>
      <w:r w:rsidR="009E308C" w:rsidRPr="00647752">
        <w:rPr>
          <w:rFonts w:ascii="Times New Roman" w:eastAsia="MS Mincho" w:hAnsi="Times New Roman" w:cs="Times New Roman"/>
          <w:sz w:val="22"/>
          <w:szCs w:val="24"/>
          <w:lang w:val="en-GB" w:eastAsia="ja-JP"/>
        </w:rPr>
        <w:t>t to any notions that the courts should be subject to monitoring</w:t>
      </w:r>
      <w:r w:rsidR="004832CA">
        <w:rPr>
          <w:rFonts w:ascii="Times New Roman" w:eastAsia="MS Mincho" w:hAnsi="Times New Roman" w:cs="Times New Roman"/>
          <w:sz w:val="22"/>
          <w:szCs w:val="24"/>
          <w:lang w:val="en-GB" w:eastAsia="ja-JP"/>
        </w:rPr>
        <w:t>. The p</w:t>
      </w:r>
      <w:r w:rsidRPr="00647752">
        <w:rPr>
          <w:rFonts w:ascii="Times New Roman" w:eastAsia="MS Mincho" w:hAnsi="Times New Roman" w:cs="Times New Roman"/>
          <w:sz w:val="22"/>
          <w:szCs w:val="24"/>
          <w:lang w:val="en-GB" w:eastAsia="ja-JP"/>
        </w:rPr>
        <w:t xml:space="preserve">roject began training young graduates from law and journalism </w:t>
      </w:r>
      <w:r w:rsidR="009E308C" w:rsidRPr="00647752">
        <w:rPr>
          <w:rFonts w:ascii="Times New Roman" w:eastAsia="MS Mincho" w:hAnsi="Times New Roman" w:cs="Times New Roman"/>
          <w:sz w:val="22"/>
          <w:szCs w:val="24"/>
          <w:lang w:val="en-GB" w:eastAsia="ja-JP"/>
        </w:rPr>
        <w:t>faculties to identify</w:t>
      </w:r>
      <w:r w:rsidRPr="00647752">
        <w:rPr>
          <w:rFonts w:ascii="Times New Roman" w:eastAsia="MS Mincho" w:hAnsi="Times New Roman" w:cs="Times New Roman"/>
          <w:sz w:val="22"/>
          <w:szCs w:val="24"/>
          <w:lang w:val="en-GB" w:eastAsia="ja-JP"/>
        </w:rPr>
        <w:t xml:space="preserve"> gaps in the justice sector</w:t>
      </w:r>
      <w:r w:rsidR="004832CA">
        <w:rPr>
          <w:rFonts w:ascii="Times New Roman" w:eastAsia="MS Mincho" w:hAnsi="Times New Roman" w:cs="Times New Roman"/>
          <w:sz w:val="22"/>
          <w:szCs w:val="24"/>
          <w:lang w:val="en-GB" w:eastAsia="ja-JP"/>
        </w:rPr>
        <w:t xml:space="preserve"> and report on (non-)compliance</w:t>
      </w:r>
      <w:r w:rsidR="009E308C" w:rsidRPr="00647752">
        <w:rPr>
          <w:rFonts w:ascii="Times New Roman" w:eastAsia="MS Mincho" w:hAnsi="Times New Roman" w:cs="Times New Roman"/>
          <w:sz w:val="22"/>
          <w:szCs w:val="24"/>
          <w:lang w:val="en-GB" w:eastAsia="ja-JP"/>
        </w:rPr>
        <w:t xml:space="preserve">. </w:t>
      </w:r>
      <w:r w:rsidRPr="00647752">
        <w:rPr>
          <w:rFonts w:ascii="Times New Roman" w:eastAsia="MS Mincho" w:hAnsi="Times New Roman" w:cs="Times New Roman"/>
          <w:sz w:val="22"/>
          <w:szCs w:val="24"/>
          <w:lang w:val="en-GB" w:eastAsia="ja-JP"/>
        </w:rPr>
        <w:t xml:space="preserve">There have been a number of </w:t>
      </w:r>
      <w:r w:rsidR="009E308C" w:rsidRPr="00647752">
        <w:rPr>
          <w:rFonts w:ascii="Times New Roman" w:eastAsia="MS Mincho" w:hAnsi="Times New Roman" w:cs="Times New Roman"/>
          <w:sz w:val="22"/>
          <w:szCs w:val="24"/>
          <w:lang w:val="en-GB" w:eastAsia="ja-JP"/>
        </w:rPr>
        <w:t xml:space="preserve">recent </w:t>
      </w:r>
      <w:r w:rsidR="004832CA">
        <w:rPr>
          <w:rFonts w:ascii="Times New Roman" w:eastAsia="MS Mincho" w:hAnsi="Times New Roman" w:cs="Times New Roman"/>
          <w:sz w:val="22"/>
          <w:szCs w:val="24"/>
          <w:lang w:val="en-GB" w:eastAsia="ja-JP"/>
        </w:rPr>
        <w:t xml:space="preserve">examples of media articles. </w:t>
      </w:r>
      <w:r w:rsidRPr="00647752">
        <w:rPr>
          <w:rFonts w:ascii="Times New Roman" w:eastAsia="MS Mincho" w:hAnsi="Times New Roman" w:cs="Times New Roman"/>
          <w:sz w:val="22"/>
          <w:szCs w:val="24"/>
          <w:lang w:val="en-GB" w:eastAsia="ja-JP"/>
        </w:rPr>
        <w:t>A tangible example of change</w:t>
      </w:r>
      <w:r w:rsidR="009E308C" w:rsidRPr="00647752">
        <w:rPr>
          <w:rFonts w:ascii="Times New Roman" w:eastAsia="MS Mincho" w:hAnsi="Times New Roman" w:cs="Times New Roman"/>
          <w:sz w:val="22"/>
          <w:szCs w:val="24"/>
          <w:lang w:val="en-GB" w:eastAsia="ja-JP"/>
        </w:rPr>
        <w:t xml:space="preserve"> brought about by journalism</w:t>
      </w:r>
      <w:r w:rsidRPr="00647752">
        <w:rPr>
          <w:rFonts w:ascii="Times New Roman" w:eastAsia="MS Mincho" w:hAnsi="Times New Roman" w:cs="Times New Roman"/>
          <w:sz w:val="22"/>
          <w:szCs w:val="24"/>
          <w:lang w:val="en-GB" w:eastAsia="ja-JP"/>
        </w:rPr>
        <w:t xml:space="preserve"> is that the </w:t>
      </w:r>
      <w:r w:rsidR="009E308C" w:rsidRPr="00647752">
        <w:rPr>
          <w:rFonts w:ascii="Times New Roman" w:eastAsia="MS Mincho" w:hAnsi="Times New Roman" w:cs="Times New Roman"/>
          <w:sz w:val="22"/>
          <w:szCs w:val="24"/>
          <w:lang w:val="en-GB" w:eastAsia="ja-JP"/>
        </w:rPr>
        <w:t xml:space="preserve">police have </w:t>
      </w:r>
      <w:r w:rsidRPr="00647752">
        <w:rPr>
          <w:rFonts w:ascii="Times New Roman" w:eastAsia="MS Mincho" w:hAnsi="Times New Roman" w:cs="Times New Roman"/>
          <w:sz w:val="22"/>
          <w:szCs w:val="24"/>
          <w:lang w:val="en-GB" w:eastAsia="ja-JP"/>
        </w:rPr>
        <w:t xml:space="preserve">made limited changes </w:t>
      </w:r>
      <w:r w:rsidR="009E308C" w:rsidRPr="00647752">
        <w:rPr>
          <w:rFonts w:ascii="Times New Roman" w:eastAsia="MS Mincho" w:hAnsi="Times New Roman" w:cs="Times New Roman"/>
          <w:sz w:val="22"/>
          <w:szCs w:val="24"/>
          <w:lang w:val="en-GB" w:eastAsia="ja-JP"/>
        </w:rPr>
        <w:t xml:space="preserve">in their procedures and facilities in order </w:t>
      </w:r>
      <w:r w:rsidRPr="00647752">
        <w:rPr>
          <w:rFonts w:ascii="Times New Roman" w:eastAsia="MS Mincho" w:hAnsi="Times New Roman" w:cs="Times New Roman"/>
          <w:sz w:val="22"/>
          <w:szCs w:val="24"/>
          <w:lang w:val="en-GB" w:eastAsia="ja-JP"/>
        </w:rPr>
        <w:t xml:space="preserve">to become more sensitive to the needs of women (i.e. providing special </w:t>
      </w:r>
      <w:r w:rsidRPr="00647752">
        <w:rPr>
          <w:rFonts w:ascii="Times New Roman" w:eastAsia="MS Mincho" w:hAnsi="Times New Roman" w:cs="Times New Roman"/>
          <w:sz w:val="22"/>
          <w:szCs w:val="24"/>
          <w:lang w:val="en-GB" w:eastAsia="ja-JP"/>
        </w:rPr>
        <w:lastRenderedPageBreak/>
        <w:t>rooms</w:t>
      </w:r>
      <w:r w:rsidR="009E308C" w:rsidRPr="00647752">
        <w:rPr>
          <w:rFonts w:ascii="Times New Roman" w:eastAsia="MS Mincho" w:hAnsi="Times New Roman" w:cs="Times New Roman"/>
          <w:sz w:val="22"/>
          <w:szCs w:val="24"/>
          <w:lang w:val="en-GB" w:eastAsia="ja-JP"/>
        </w:rPr>
        <w:t xml:space="preserve"> at police stations</w:t>
      </w:r>
      <w:r w:rsidR="00A37304">
        <w:rPr>
          <w:rFonts w:ascii="Times New Roman" w:eastAsia="MS Mincho" w:hAnsi="Times New Roman" w:cs="Times New Roman"/>
          <w:sz w:val="22"/>
          <w:szCs w:val="24"/>
          <w:lang w:val="en-GB" w:eastAsia="ja-JP"/>
        </w:rPr>
        <w:t xml:space="preserve">). The </w:t>
      </w:r>
      <w:r w:rsidRPr="00647752">
        <w:rPr>
          <w:rFonts w:ascii="Times New Roman" w:eastAsia="MS Mincho" w:hAnsi="Times New Roman" w:cs="Times New Roman"/>
          <w:sz w:val="22"/>
          <w:szCs w:val="24"/>
          <w:lang w:val="en-GB" w:eastAsia="ja-JP"/>
        </w:rPr>
        <w:t xml:space="preserve">PBA has </w:t>
      </w:r>
      <w:r w:rsidR="009E308C" w:rsidRPr="00647752">
        <w:rPr>
          <w:rFonts w:ascii="Times New Roman" w:eastAsia="MS Mincho" w:hAnsi="Times New Roman" w:cs="Times New Roman"/>
          <w:sz w:val="22"/>
          <w:szCs w:val="24"/>
          <w:lang w:val="en-GB" w:eastAsia="ja-JP"/>
        </w:rPr>
        <w:t>also tried to engage</w:t>
      </w:r>
      <w:r w:rsidRPr="00647752">
        <w:rPr>
          <w:rFonts w:ascii="Times New Roman" w:eastAsia="MS Mincho" w:hAnsi="Times New Roman" w:cs="Times New Roman"/>
          <w:sz w:val="22"/>
          <w:szCs w:val="24"/>
          <w:lang w:val="en-GB" w:eastAsia="ja-JP"/>
        </w:rPr>
        <w:t xml:space="preserve"> m</w:t>
      </w:r>
      <w:r w:rsidR="009E308C" w:rsidRPr="00647752">
        <w:rPr>
          <w:rFonts w:ascii="Times New Roman" w:eastAsia="MS Mincho" w:hAnsi="Times New Roman" w:cs="Times New Roman"/>
          <w:sz w:val="22"/>
          <w:szCs w:val="24"/>
          <w:lang w:val="en-GB" w:eastAsia="ja-JP"/>
        </w:rPr>
        <w:t>ore prosecutors and judges in its programmes. The</w:t>
      </w:r>
      <w:r w:rsidR="00A37304">
        <w:rPr>
          <w:rFonts w:ascii="Times New Roman" w:eastAsia="MS Mincho" w:hAnsi="Times New Roman" w:cs="Times New Roman"/>
          <w:sz w:val="22"/>
          <w:szCs w:val="24"/>
          <w:lang w:val="en-GB" w:eastAsia="ja-JP"/>
        </w:rPr>
        <w:t xml:space="preserve"> PBA</w:t>
      </w:r>
      <w:r w:rsidRPr="00647752">
        <w:rPr>
          <w:rFonts w:ascii="Times New Roman" w:eastAsia="MS Mincho" w:hAnsi="Times New Roman" w:cs="Times New Roman"/>
          <w:sz w:val="22"/>
          <w:szCs w:val="24"/>
          <w:lang w:val="en-GB" w:eastAsia="ja-JP"/>
        </w:rPr>
        <w:t xml:space="preserve"> does not discriminate between </w:t>
      </w:r>
      <w:r w:rsidRPr="00A37304">
        <w:rPr>
          <w:rFonts w:ascii="Times New Roman" w:eastAsia="MS Mincho" w:hAnsi="Times New Roman" w:cs="Times New Roman"/>
          <w:i/>
          <w:sz w:val="22"/>
          <w:szCs w:val="24"/>
          <w:lang w:val="en-GB" w:eastAsia="ja-JP"/>
        </w:rPr>
        <w:t>de facto</w:t>
      </w:r>
      <w:r w:rsidRPr="00647752">
        <w:rPr>
          <w:rFonts w:ascii="Times New Roman" w:eastAsia="MS Mincho" w:hAnsi="Times New Roman" w:cs="Times New Roman"/>
          <w:sz w:val="22"/>
          <w:szCs w:val="24"/>
          <w:lang w:val="en-GB" w:eastAsia="ja-JP"/>
        </w:rPr>
        <w:t xml:space="preserve"> and abstaining judges</w:t>
      </w:r>
      <w:r w:rsidR="009E308C" w:rsidRPr="00647752">
        <w:rPr>
          <w:rFonts w:ascii="Times New Roman" w:eastAsia="MS Mincho" w:hAnsi="Times New Roman" w:cs="Times New Roman"/>
          <w:sz w:val="22"/>
          <w:szCs w:val="24"/>
          <w:lang w:val="en-GB" w:eastAsia="ja-JP"/>
        </w:rPr>
        <w:t xml:space="preserve"> (i.e. the judges that are boycotting the </w:t>
      </w:r>
      <w:r w:rsidR="00554DEC" w:rsidRPr="00647752">
        <w:rPr>
          <w:rFonts w:ascii="Times New Roman" w:eastAsia="MS Mincho" w:hAnsi="Times New Roman" w:cs="Times New Roman"/>
          <w:sz w:val="22"/>
          <w:szCs w:val="24"/>
          <w:lang w:val="en-GB" w:eastAsia="ja-JP"/>
        </w:rPr>
        <w:t>Hamas</w:t>
      </w:r>
      <w:r w:rsidR="009E308C" w:rsidRPr="00647752">
        <w:rPr>
          <w:rFonts w:ascii="Times New Roman" w:eastAsia="MS Mincho" w:hAnsi="Times New Roman" w:cs="Times New Roman"/>
          <w:sz w:val="22"/>
          <w:szCs w:val="24"/>
          <w:lang w:val="en-GB" w:eastAsia="ja-JP"/>
        </w:rPr>
        <w:t xml:space="preserve"> takeover) </w:t>
      </w:r>
      <w:r w:rsidRPr="00647752">
        <w:rPr>
          <w:rFonts w:ascii="Times New Roman" w:eastAsia="MS Mincho" w:hAnsi="Times New Roman" w:cs="Times New Roman"/>
          <w:sz w:val="22"/>
          <w:szCs w:val="24"/>
          <w:lang w:val="en-GB" w:eastAsia="ja-JP"/>
        </w:rPr>
        <w:t>and invites all just</w:t>
      </w:r>
      <w:r w:rsidR="009E308C" w:rsidRPr="00647752">
        <w:rPr>
          <w:rFonts w:ascii="Times New Roman" w:eastAsia="MS Mincho" w:hAnsi="Times New Roman" w:cs="Times New Roman"/>
          <w:sz w:val="22"/>
          <w:szCs w:val="24"/>
          <w:lang w:val="en-GB" w:eastAsia="ja-JP"/>
        </w:rPr>
        <w:t>ice actors to its conferences.</w:t>
      </w:r>
    </w:p>
    <w:p w:rsidR="002F4DE5" w:rsidRPr="00647752" w:rsidRDefault="002F4DE5" w:rsidP="00FB6759">
      <w:pPr>
        <w:spacing w:after="0" w:line="240" w:lineRule="auto"/>
        <w:rPr>
          <w:rFonts w:ascii="Times New Roman" w:hAnsi="Times New Roman" w:cs="Times New Roman"/>
          <w:sz w:val="22"/>
          <w:szCs w:val="22"/>
          <w:lang w:val="en-GB"/>
        </w:rPr>
      </w:pPr>
    </w:p>
    <w:p w:rsidR="00342C8C" w:rsidRPr="00647752" w:rsidRDefault="00A37304" w:rsidP="00FB6759">
      <w:pPr>
        <w:spacing w:after="0" w:line="240" w:lineRule="auto"/>
        <w:rPr>
          <w:rFonts w:ascii="Times New Roman" w:hAnsi="Times New Roman" w:cs="Times New Roman"/>
          <w:i/>
          <w:sz w:val="22"/>
          <w:szCs w:val="22"/>
          <w:lang w:val="en-GB"/>
        </w:rPr>
      </w:pPr>
      <w:r>
        <w:rPr>
          <w:rFonts w:ascii="Times New Roman" w:hAnsi="Times New Roman" w:cs="Times New Roman"/>
          <w:i/>
          <w:sz w:val="22"/>
          <w:szCs w:val="22"/>
          <w:lang w:val="en-GB"/>
        </w:rPr>
        <w:t>Output 4.5: Human rights advocacy promoted</w:t>
      </w:r>
    </w:p>
    <w:p w:rsidR="00571976" w:rsidRPr="00647752" w:rsidRDefault="00571976" w:rsidP="00FB6759">
      <w:pPr>
        <w:spacing w:after="0" w:line="240" w:lineRule="auto"/>
        <w:rPr>
          <w:rFonts w:ascii="Times New Roman" w:hAnsi="Times New Roman" w:cs="Times New Roman"/>
          <w:i/>
          <w:sz w:val="22"/>
          <w:szCs w:val="22"/>
          <w:lang w:val="en-GB"/>
        </w:rPr>
      </w:pPr>
    </w:p>
    <w:p w:rsidR="00AB6D72" w:rsidRDefault="00D444A3"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 xml:space="preserve">As already discussed </w:t>
      </w:r>
      <w:r w:rsidR="00B9581E" w:rsidRPr="00647752">
        <w:rPr>
          <w:rFonts w:ascii="Times New Roman" w:hAnsi="Times New Roman" w:cs="Times New Roman"/>
          <w:sz w:val="22"/>
          <w:szCs w:val="22"/>
          <w:lang w:val="en-GB"/>
        </w:rPr>
        <w:t>ab</w:t>
      </w:r>
      <w:r w:rsidR="00A37304">
        <w:rPr>
          <w:rFonts w:ascii="Times New Roman" w:hAnsi="Times New Roman" w:cs="Times New Roman"/>
          <w:sz w:val="22"/>
          <w:szCs w:val="22"/>
          <w:lang w:val="en-GB"/>
        </w:rPr>
        <w:t>ove, the network of legal aid providers</w:t>
      </w:r>
      <w:r w:rsidR="000063A3">
        <w:rPr>
          <w:rFonts w:ascii="Times New Roman" w:hAnsi="Times New Roman" w:cs="Times New Roman"/>
          <w:sz w:val="22"/>
          <w:szCs w:val="22"/>
          <w:lang w:val="en-GB"/>
        </w:rPr>
        <w:t xml:space="preserve"> </w:t>
      </w:r>
      <w:r w:rsidR="00A37304">
        <w:rPr>
          <w:rFonts w:ascii="Times New Roman" w:hAnsi="Times New Roman" w:cs="Times New Roman"/>
          <w:sz w:val="22"/>
          <w:szCs w:val="22"/>
          <w:lang w:val="en-GB"/>
        </w:rPr>
        <w:t xml:space="preserve">is heavily </w:t>
      </w:r>
      <w:r w:rsidRPr="00647752">
        <w:rPr>
          <w:rFonts w:ascii="Times New Roman" w:hAnsi="Times New Roman" w:cs="Times New Roman"/>
          <w:sz w:val="22"/>
          <w:szCs w:val="22"/>
          <w:lang w:val="en-GB"/>
        </w:rPr>
        <w:t>engaged in advocacy and community mobilization.</w:t>
      </w:r>
      <w:r w:rsidR="00EE35A9" w:rsidRPr="00647752">
        <w:rPr>
          <w:rStyle w:val="FootnoteReference"/>
          <w:rFonts w:ascii="Times New Roman" w:hAnsi="Times New Roman" w:cs="Times New Roman"/>
          <w:sz w:val="22"/>
          <w:szCs w:val="22"/>
          <w:lang w:val="en-GB"/>
        </w:rPr>
        <w:footnoteReference w:id="195"/>
      </w:r>
      <w:r w:rsidR="00A37304">
        <w:rPr>
          <w:rFonts w:ascii="Times New Roman" w:hAnsi="Times New Roman" w:cs="Times New Roman"/>
          <w:sz w:val="22"/>
          <w:szCs w:val="22"/>
          <w:lang w:val="en-GB"/>
        </w:rPr>
        <w:t xml:space="preserve"> In addition, the PBA and the </w:t>
      </w:r>
      <w:r w:rsidRPr="00647752">
        <w:rPr>
          <w:rFonts w:ascii="Times New Roman" w:hAnsi="Times New Roman" w:cs="Times New Roman"/>
          <w:sz w:val="22"/>
          <w:szCs w:val="22"/>
          <w:lang w:val="en-GB"/>
        </w:rPr>
        <w:t>university</w:t>
      </w:r>
      <w:r w:rsidR="00A37304">
        <w:rPr>
          <w:rFonts w:ascii="Times New Roman" w:hAnsi="Times New Roman" w:cs="Times New Roman"/>
          <w:sz w:val="22"/>
          <w:szCs w:val="22"/>
          <w:lang w:val="en-GB"/>
        </w:rPr>
        <w:t xml:space="preserve">-based legal aid clinics </w:t>
      </w:r>
      <w:r w:rsidRPr="00647752">
        <w:rPr>
          <w:rFonts w:ascii="Times New Roman" w:hAnsi="Times New Roman" w:cs="Times New Roman"/>
          <w:sz w:val="22"/>
          <w:szCs w:val="22"/>
          <w:lang w:val="en-GB"/>
        </w:rPr>
        <w:t xml:space="preserve">have </w:t>
      </w:r>
      <w:r w:rsidR="0040546B" w:rsidRPr="00647752">
        <w:rPr>
          <w:rFonts w:ascii="Times New Roman" w:hAnsi="Times New Roman" w:cs="Times New Roman"/>
          <w:sz w:val="22"/>
          <w:szCs w:val="22"/>
          <w:lang w:val="en-GB"/>
        </w:rPr>
        <w:t xml:space="preserve">sponsored discussions of the new civil code of </w:t>
      </w:r>
      <w:r w:rsidR="00A37304">
        <w:rPr>
          <w:rFonts w:ascii="Times New Roman" w:hAnsi="Times New Roman" w:cs="Times New Roman"/>
          <w:sz w:val="22"/>
          <w:szCs w:val="22"/>
          <w:lang w:val="en-GB"/>
        </w:rPr>
        <w:t xml:space="preserve">the </w:t>
      </w:r>
      <w:r w:rsidR="00A37304" w:rsidRPr="00A37304">
        <w:rPr>
          <w:rFonts w:ascii="Times New Roman" w:hAnsi="Times New Roman" w:cs="Times New Roman"/>
          <w:i/>
          <w:sz w:val="22"/>
          <w:szCs w:val="22"/>
          <w:lang w:val="en-GB"/>
        </w:rPr>
        <w:t>de facto</w:t>
      </w:r>
      <w:r w:rsidR="00A37304">
        <w:rPr>
          <w:rFonts w:ascii="Times New Roman" w:hAnsi="Times New Roman" w:cs="Times New Roman"/>
          <w:sz w:val="22"/>
          <w:szCs w:val="22"/>
          <w:lang w:val="en-GB"/>
        </w:rPr>
        <w:t xml:space="preserve"> authorities </w:t>
      </w:r>
      <w:r w:rsidR="0040546B" w:rsidRPr="00647752">
        <w:rPr>
          <w:rFonts w:ascii="Times New Roman" w:hAnsi="Times New Roman" w:cs="Times New Roman"/>
          <w:sz w:val="22"/>
          <w:szCs w:val="22"/>
          <w:lang w:val="en-GB"/>
        </w:rPr>
        <w:t>that resulted in some disputed chapters</w:t>
      </w:r>
      <w:r w:rsidR="00BF472B" w:rsidRPr="00647752">
        <w:rPr>
          <w:rFonts w:ascii="Times New Roman" w:hAnsi="Times New Roman" w:cs="Times New Roman"/>
          <w:sz w:val="22"/>
          <w:szCs w:val="22"/>
          <w:lang w:val="en-GB"/>
        </w:rPr>
        <w:t xml:space="preserve"> being put on hold</w:t>
      </w:r>
      <w:r w:rsidR="00A37304">
        <w:rPr>
          <w:rFonts w:ascii="Times New Roman" w:hAnsi="Times New Roman" w:cs="Times New Roman"/>
          <w:sz w:val="22"/>
          <w:szCs w:val="22"/>
          <w:lang w:val="en-GB"/>
        </w:rPr>
        <w:t xml:space="preserve">. </w:t>
      </w:r>
      <w:r w:rsidR="0040546B" w:rsidRPr="00647752">
        <w:rPr>
          <w:rFonts w:ascii="Times New Roman" w:hAnsi="Times New Roman" w:cs="Times New Roman"/>
          <w:sz w:val="22"/>
          <w:szCs w:val="22"/>
          <w:lang w:val="en-GB"/>
        </w:rPr>
        <w:t xml:space="preserve">The law schools have also engaged in additional </w:t>
      </w:r>
      <w:r w:rsidR="00A37304">
        <w:rPr>
          <w:rFonts w:ascii="Times New Roman" w:hAnsi="Times New Roman" w:cs="Times New Roman"/>
          <w:sz w:val="22"/>
          <w:szCs w:val="22"/>
          <w:lang w:val="en-GB"/>
        </w:rPr>
        <w:t xml:space="preserve">advocacy as mentioned above. </w:t>
      </w:r>
      <w:r w:rsidR="00342C8C" w:rsidRPr="00647752">
        <w:rPr>
          <w:rFonts w:ascii="Times New Roman" w:hAnsi="Times New Roman" w:cs="Times New Roman"/>
          <w:sz w:val="22"/>
          <w:szCs w:val="22"/>
          <w:lang w:val="en-GB"/>
        </w:rPr>
        <w:t>CSO media campaigns also have been responsible for improving social conditions in some communities in Gaza. Meanwhile, advocacy has led to reforms of the personal status laws and increased rights of women.</w:t>
      </w:r>
    </w:p>
    <w:p w:rsidR="00D444A3" w:rsidRPr="00647752" w:rsidRDefault="00D444A3" w:rsidP="00FB6759">
      <w:pPr>
        <w:spacing w:after="0" w:line="240" w:lineRule="auto"/>
        <w:jc w:val="both"/>
        <w:rPr>
          <w:rFonts w:ascii="Times New Roman" w:hAnsi="Times New Roman" w:cs="Times New Roman"/>
          <w:sz w:val="22"/>
          <w:szCs w:val="22"/>
          <w:lang w:val="en-GB"/>
        </w:rPr>
      </w:pPr>
    </w:p>
    <w:p w:rsidR="00BD69DC" w:rsidRDefault="000D6B00"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 xml:space="preserve">Many </w:t>
      </w:r>
      <w:r w:rsidR="00402721" w:rsidRPr="00647752">
        <w:rPr>
          <w:rFonts w:ascii="Times New Roman" w:hAnsi="Times New Roman" w:cs="Times New Roman"/>
          <w:sz w:val="22"/>
          <w:szCs w:val="22"/>
          <w:lang w:val="en-GB"/>
        </w:rPr>
        <w:t>of the CSOs supported by UNDP have recently engaged in intensified human rights advocacy in Gaza</w:t>
      </w:r>
      <w:r w:rsidR="00A37304">
        <w:rPr>
          <w:rFonts w:ascii="Times New Roman" w:hAnsi="Times New Roman" w:cs="Times New Roman"/>
          <w:sz w:val="22"/>
          <w:szCs w:val="22"/>
          <w:lang w:val="en-GB"/>
        </w:rPr>
        <w:t>. The e</w:t>
      </w:r>
      <w:r w:rsidRPr="00647752">
        <w:rPr>
          <w:rFonts w:ascii="Times New Roman" w:hAnsi="Times New Roman" w:cs="Times New Roman"/>
          <w:sz w:val="22"/>
          <w:szCs w:val="22"/>
          <w:lang w:val="en-GB"/>
        </w:rPr>
        <w:t>valuation me</w:t>
      </w:r>
      <w:r w:rsidR="00A37304">
        <w:rPr>
          <w:rFonts w:ascii="Times New Roman" w:hAnsi="Times New Roman" w:cs="Times New Roman"/>
          <w:sz w:val="22"/>
          <w:szCs w:val="22"/>
          <w:lang w:val="en-GB"/>
        </w:rPr>
        <w:t>t with a number of these organis</w:t>
      </w:r>
      <w:r w:rsidRPr="00647752">
        <w:rPr>
          <w:rFonts w:ascii="Times New Roman" w:hAnsi="Times New Roman" w:cs="Times New Roman"/>
          <w:sz w:val="22"/>
          <w:szCs w:val="22"/>
          <w:lang w:val="en-GB"/>
        </w:rPr>
        <w:t>ations including</w:t>
      </w:r>
      <w:r w:rsidR="00FD6284" w:rsidRPr="00647752">
        <w:rPr>
          <w:rFonts w:ascii="Times New Roman" w:hAnsi="Times New Roman" w:cs="Times New Roman"/>
          <w:sz w:val="22"/>
          <w:szCs w:val="22"/>
          <w:lang w:val="en-GB"/>
        </w:rPr>
        <w:t xml:space="preserve"> PICD and</w:t>
      </w:r>
      <w:r w:rsidR="00571976" w:rsidRPr="00647752">
        <w:rPr>
          <w:rFonts w:ascii="Times New Roman" w:hAnsi="Times New Roman" w:cs="Times New Roman"/>
          <w:sz w:val="22"/>
          <w:szCs w:val="22"/>
          <w:lang w:val="en-GB"/>
        </w:rPr>
        <w:t xml:space="preserve"> PNGO</w:t>
      </w:r>
      <w:r w:rsidR="00A37304">
        <w:rPr>
          <w:rFonts w:ascii="Times New Roman" w:hAnsi="Times New Roman" w:cs="Times New Roman"/>
          <w:sz w:val="22"/>
          <w:szCs w:val="22"/>
          <w:lang w:val="en-GB"/>
        </w:rPr>
        <w:t xml:space="preserve"> that </w:t>
      </w:r>
      <w:r w:rsidR="00FD6284" w:rsidRPr="00647752">
        <w:rPr>
          <w:rFonts w:ascii="Times New Roman" w:hAnsi="Times New Roman" w:cs="Times New Roman"/>
          <w:sz w:val="22"/>
          <w:szCs w:val="22"/>
          <w:lang w:val="en-GB"/>
        </w:rPr>
        <w:t>involved journalists and media in advocacy cam</w:t>
      </w:r>
      <w:r w:rsidR="00A37304">
        <w:rPr>
          <w:rFonts w:ascii="Times New Roman" w:hAnsi="Times New Roman" w:cs="Times New Roman"/>
          <w:sz w:val="22"/>
          <w:szCs w:val="22"/>
          <w:lang w:val="en-GB"/>
        </w:rPr>
        <w:t xml:space="preserve">paigns. PNGO, </w:t>
      </w:r>
      <w:r w:rsidR="00571976" w:rsidRPr="00647752">
        <w:rPr>
          <w:rFonts w:ascii="Times New Roman" w:hAnsi="Times New Roman" w:cs="Times New Roman"/>
          <w:sz w:val="22"/>
          <w:szCs w:val="22"/>
          <w:lang w:val="en-GB"/>
        </w:rPr>
        <w:t>an umbrella organization r</w:t>
      </w:r>
      <w:r w:rsidR="00A37304">
        <w:rPr>
          <w:rFonts w:ascii="Times New Roman" w:hAnsi="Times New Roman" w:cs="Times New Roman"/>
          <w:sz w:val="22"/>
          <w:szCs w:val="22"/>
          <w:lang w:val="en-GB"/>
        </w:rPr>
        <w:t>epresenting over 60 CSOs,</w:t>
      </w:r>
      <w:r w:rsidR="00FD6284" w:rsidRPr="00647752">
        <w:rPr>
          <w:rFonts w:ascii="Times New Roman" w:hAnsi="Times New Roman" w:cs="Times New Roman"/>
          <w:sz w:val="22"/>
          <w:szCs w:val="22"/>
          <w:lang w:val="en-GB"/>
        </w:rPr>
        <w:t xml:space="preserve"> conducted a series of workshops </w:t>
      </w:r>
      <w:r w:rsidR="00A37304">
        <w:rPr>
          <w:rFonts w:ascii="Times New Roman" w:hAnsi="Times New Roman" w:cs="Times New Roman"/>
          <w:sz w:val="22"/>
          <w:szCs w:val="22"/>
          <w:lang w:val="en-GB"/>
        </w:rPr>
        <w:t xml:space="preserve">with </w:t>
      </w:r>
      <w:r w:rsidR="006A4976" w:rsidRPr="00647752">
        <w:rPr>
          <w:rFonts w:ascii="Times New Roman" w:hAnsi="Times New Roman" w:cs="Times New Roman"/>
          <w:sz w:val="22"/>
          <w:szCs w:val="22"/>
          <w:lang w:val="en-GB"/>
        </w:rPr>
        <w:t>its membership to</w:t>
      </w:r>
      <w:r w:rsidR="00FD6284" w:rsidRPr="00647752">
        <w:rPr>
          <w:rFonts w:ascii="Times New Roman" w:hAnsi="Times New Roman" w:cs="Times New Roman"/>
          <w:sz w:val="22"/>
          <w:szCs w:val="22"/>
          <w:lang w:val="en-GB"/>
        </w:rPr>
        <w:t xml:space="preserve"> determine what advocacy campaigns </w:t>
      </w:r>
      <w:r w:rsidR="006A4976" w:rsidRPr="00647752">
        <w:rPr>
          <w:rFonts w:ascii="Times New Roman" w:hAnsi="Times New Roman" w:cs="Times New Roman"/>
          <w:sz w:val="22"/>
          <w:szCs w:val="22"/>
          <w:lang w:val="en-GB"/>
        </w:rPr>
        <w:t>it</w:t>
      </w:r>
      <w:r w:rsidR="00FD6284" w:rsidRPr="00647752">
        <w:rPr>
          <w:rFonts w:ascii="Times New Roman" w:hAnsi="Times New Roman" w:cs="Times New Roman"/>
          <w:sz w:val="22"/>
          <w:szCs w:val="22"/>
          <w:lang w:val="en-GB"/>
        </w:rPr>
        <w:t xml:space="preserve"> could undertake</w:t>
      </w:r>
      <w:r w:rsidR="006A4976" w:rsidRPr="00647752">
        <w:rPr>
          <w:rFonts w:ascii="Times New Roman" w:hAnsi="Times New Roman" w:cs="Times New Roman"/>
          <w:sz w:val="22"/>
          <w:szCs w:val="22"/>
          <w:lang w:val="en-GB"/>
        </w:rPr>
        <w:t xml:space="preserve"> with UNDP support</w:t>
      </w:r>
      <w:r w:rsidR="00A37304">
        <w:rPr>
          <w:rFonts w:ascii="Times New Roman" w:hAnsi="Times New Roman" w:cs="Times New Roman"/>
          <w:sz w:val="22"/>
          <w:szCs w:val="22"/>
          <w:lang w:val="en-GB"/>
        </w:rPr>
        <w:t>. PNGO selected different</w:t>
      </w:r>
      <w:r w:rsidR="00AC16DC" w:rsidRPr="00647752">
        <w:rPr>
          <w:rFonts w:ascii="Times New Roman" w:hAnsi="Times New Roman" w:cs="Times New Roman"/>
          <w:sz w:val="22"/>
          <w:szCs w:val="22"/>
          <w:lang w:val="en-GB"/>
        </w:rPr>
        <w:t xml:space="preserve"> CSOs to participate in the initiative across four sectors: women, youth, health and rehabilita</w:t>
      </w:r>
      <w:r w:rsidR="00A37304">
        <w:rPr>
          <w:rFonts w:ascii="Times New Roman" w:hAnsi="Times New Roman" w:cs="Times New Roman"/>
          <w:sz w:val="22"/>
          <w:szCs w:val="22"/>
          <w:lang w:val="en-GB"/>
        </w:rPr>
        <w:t>tion of Palestinian families.</w:t>
      </w:r>
    </w:p>
    <w:p w:rsidR="00BD69DC" w:rsidRDefault="00BD69DC" w:rsidP="00FB6759">
      <w:pPr>
        <w:spacing w:after="0" w:line="240" w:lineRule="auto"/>
        <w:jc w:val="both"/>
        <w:rPr>
          <w:rFonts w:ascii="Times New Roman" w:hAnsi="Times New Roman" w:cs="Times New Roman"/>
          <w:sz w:val="22"/>
          <w:szCs w:val="22"/>
          <w:lang w:val="en-GB"/>
        </w:rPr>
      </w:pPr>
    </w:p>
    <w:p w:rsidR="003C2288" w:rsidRPr="00647752" w:rsidRDefault="00FD6284"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Thereafter</w:t>
      </w:r>
      <w:r w:rsidR="00910BBC" w:rsidRPr="00647752">
        <w:rPr>
          <w:rFonts w:ascii="Times New Roman" w:hAnsi="Times New Roman" w:cs="Times New Roman"/>
          <w:sz w:val="22"/>
          <w:szCs w:val="22"/>
          <w:lang w:val="en-GB"/>
        </w:rPr>
        <w:t>, PNGO</w:t>
      </w:r>
      <w:r w:rsidR="00AC16DC" w:rsidRPr="00647752">
        <w:rPr>
          <w:rFonts w:ascii="Times New Roman" w:hAnsi="Times New Roman" w:cs="Times New Roman"/>
          <w:sz w:val="22"/>
          <w:szCs w:val="22"/>
          <w:lang w:val="en-GB"/>
        </w:rPr>
        <w:t xml:space="preserve"> conducted trainings</w:t>
      </w:r>
      <w:r w:rsidR="000063A3">
        <w:rPr>
          <w:rFonts w:ascii="Times New Roman" w:hAnsi="Times New Roman" w:cs="Times New Roman"/>
          <w:sz w:val="22"/>
          <w:szCs w:val="22"/>
          <w:lang w:val="en-GB"/>
        </w:rPr>
        <w:t xml:space="preserve"> </w:t>
      </w:r>
      <w:r w:rsidR="00AC16DC" w:rsidRPr="00647752">
        <w:rPr>
          <w:rFonts w:ascii="Times New Roman" w:hAnsi="Times New Roman" w:cs="Times New Roman"/>
          <w:sz w:val="22"/>
          <w:szCs w:val="22"/>
          <w:lang w:val="en-GB"/>
        </w:rPr>
        <w:t>for the CSOs to equip them to undertake a to</w:t>
      </w:r>
      <w:r w:rsidR="00910BBC" w:rsidRPr="00647752">
        <w:rPr>
          <w:rFonts w:ascii="Times New Roman" w:hAnsi="Times New Roman" w:cs="Times New Roman"/>
          <w:sz w:val="22"/>
          <w:szCs w:val="22"/>
          <w:lang w:val="en-GB"/>
        </w:rPr>
        <w:t>tal of three advocacy campaigns on the following issues: 1) “Decreasing the age of standing for election for the</w:t>
      </w:r>
      <w:r w:rsidR="00BD69DC">
        <w:rPr>
          <w:rFonts w:ascii="Times New Roman" w:hAnsi="Times New Roman" w:cs="Times New Roman"/>
          <w:sz w:val="22"/>
          <w:szCs w:val="22"/>
          <w:lang w:val="en-GB"/>
        </w:rPr>
        <w:t xml:space="preserve"> PLC</w:t>
      </w:r>
      <w:r w:rsidR="00910BBC" w:rsidRPr="00647752">
        <w:rPr>
          <w:rFonts w:ascii="Times New Roman" w:hAnsi="Times New Roman" w:cs="Times New Roman"/>
          <w:sz w:val="22"/>
          <w:szCs w:val="22"/>
          <w:lang w:val="en-GB"/>
        </w:rPr>
        <w:t xml:space="preserve"> to age 25</w:t>
      </w:r>
      <w:r w:rsidR="00BD69DC">
        <w:rPr>
          <w:rFonts w:ascii="Times New Roman" w:hAnsi="Times New Roman" w:cs="Times New Roman"/>
          <w:sz w:val="22"/>
          <w:szCs w:val="22"/>
          <w:lang w:val="en-GB"/>
        </w:rPr>
        <w:t xml:space="preserve"> and for the presidency</w:t>
      </w:r>
      <w:r w:rsidR="00910BBC" w:rsidRPr="00647752">
        <w:rPr>
          <w:rFonts w:ascii="Times New Roman" w:hAnsi="Times New Roman" w:cs="Times New Roman"/>
          <w:sz w:val="22"/>
          <w:szCs w:val="22"/>
          <w:lang w:val="en-GB"/>
        </w:rPr>
        <w:t xml:space="preserve"> to age 30”</w:t>
      </w:r>
      <w:r w:rsidR="00D26FE6" w:rsidRPr="00647752">
        <w:rPr>
          <w:rFonts w:ascii="Times New Roman" w:hAnsi="Times New Roman" w:cs="Times New Roman"/>
          <w:sz w:val="22"/>
          <w:szCs w:val="22"/>
          <w:lang w:val="en-GB"/>
        </w:rPr>
        <w:t>; 2</w:t>
      </w:r>
      <w:r w:rsidR="00910BBC" w:rsidRPr="00647752">
        <w:rPr>
          <w:rFonts w:ascii="Times New Roman" w:hAnsi="Times New Roman" w:cs="Times New Roman"/>
          <w:sz w:val="22"/>
          <w:szCs w:val="22"/>
          <w:lang w:val="en-GB"/>
        </w:rPr>
        <w:t>)</w:t>
      </w:r>
      <w:r w:rsidR="00BD69DC">
        <w:rPr>
          <w:rFonts w:ascii="Times New Roman" w:hAnsi="Times New Roman" w:cs="Times New Roman"/>
          <w:sz w:val="22"/>
          <w:szCs w:val="22"/>
          <w:lang w:val="en-GB"/>
        </w:rPr>
        <w:t xml:space="preserve"> “Reunification of Palestinian f</w:t>
      </w:r>
      <w:r w:rsidR="00910BBC" w:rsidRPr="00647752">
        <w:rPr>
          <w:rFonts w:ascii="Times New Roman" w:hAnsi="Times New Roman" w:cs="Times New Roman"/>
          <w:sz w:val="22"/>
          <w:szCs w:val="22"/>
          <w:lang w:val="en-GB"/>
        </w:rPr>
        <w:t>amilies between Gaza, the West Bank and Jerusalem”; and 3) “My Card of Rights” for persons with disabilities.</w:t>
      </w:r>
      <w:r w:rsidR="00BD69DC">
        <w:rPr>
          <w:rFonts w:ascii="Times New Roman" w:hAnsi="Times New Roman" w:cs="Times New Roman"/>
          <w:sz w:val="22"/>
          <w:szCs w:val="22"/>
          <w:lang w:val="en-GB"/>
        </w:rPr>
        <w:t xml:space="preserve"> In addition, PNGO organis</w:t>
      </w:r>
      <w:r w:rsidR="00910BBC" w:rsidRPr="00647752">
        <w:rPr>
          <w:rFonts w:ascii="Times New Roman" w:hAnsi="Times New Roman" w:cs="Times New Roman"/>
          <w:sz w:val="22"/>
          <w:szCs w:val="22"/>
          <w:lang w:val="en-GB"/>
        </w:rPr>
        <w:t>ed a follow-up conference on the role of CSOs in Gaza.</w:t>
      </w:r>
      <w:r w:rsidR="00BD69DC" w:rsidRPr="00647752">
        <w:rPr>
          <w:rStyle w:val="FootnoteReference"/>
          <w:rFonts w:ascii="Times New Roman" w:hAnsi="Times New Roman" w:cs="Times New Roman"/>
          <w:sz w:val="22"/>
          <w:szCs w:val="22"/>
          <w:lang w:val="en-GB"/>
        </w:rPr>
        <w:footnoteReference w:id="196"/>
      </w:r>
    </w:p>
    <w:p w:rsidR="00AB6D72" w:rsidRDefault="00AB6D72" w:rsidP="00FB6759">
      <w:pPr>
        <w:spacing w:after="0" w:line="240" w:lineRule="auto"/>
        <w:jc w:val="both"/>
        <w:rPr>
          <w:rFonts w:ascii="Times New Roman" w:hAnsi="Times New Roman" w:cs="Times New Roman"/>
          <w:sz w:val="22"/>
          <w:szCs w:val="22"/>
          <w:lang w:val="en-GB"/>
        </w:rPr>
      </w:pPr>
    </w:p>
    <w:p w:rsidR="00E12BB7" w:rsidRPr="00647752" w:rsidRDefault="003C2288"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As a result of these advo</w:t>
      </w:r>
      <w:r w:rsidR="00BD69DC">
        <w:rPr>
          <w:rFonts w:ascii="Times New Roman" w:hAnsi="Times New Roman" w:cs="Times New Roman"/>
          <w:sz w:val="22"/>
          <w:szCs w:val="22"/>
          <w:lang w:val="en-GB"/>
        </w:rPr>
        <w:t>cacy campaigns, the minimum age for electoral candidates was successfully reduced and a special</w:t>
      </w:r>
      <w:r w:rsidRPr="00647752">
        <w:rPr>
          <w:rFonts w:ascii="Times New Roman" w:hAnsi="Times New Roman" w:cs="Times New Roman"/>
          <w:sz w:val="22"/>
          <w:szCs w:val="22"/>
          <w:lang w:val="en-GB"/>
        </w:rPr>
        <w:t xml:space="preserve"> identity car</w:t>
      </w:r>
      <w:r w:rsidR="00B9581E" w:rsidRPr="00647752">
        <w:rPr>
          <w:rFonts w:ascii="Times New Roman" w:hAnsi="Times New Roman" w:cs="Times New Roman"/>
          <w:sz w:val="22"/>
          <w:szCs w:val="22"/>
          <w:lang w:val="en-GB"/>
        </w:rPr>
        <w:t>d</w:t>
      </w:r>
      <w:r w:rsidR="000063A3">
        <w:rPr>
          <w:rFonts w:ascii="Times New Roman" w:hAnsi="Times New Roman" w:cs="Times New Roman"/>
          <w:sz w:val="22"/>
          <w:szCs w:val="22"/>
          <w:lang w:val="en-GB"/>
        </w:rPr>
        <w:t xml:space="preserve"> </w:t>
      </w:r>
      <w:r w:rsidR="00BD69DC">
        <w:rPr>
          <w:rFonts w:ascii="Times New Roman" w:hAnsi="Times New Roman" w:cs="Times New Roman"/>
          <w:sz w:val="22"/>
          <w:szCs w:val="22"/>
          <w:lang w:val="en-GB"/>
        </w:rPr>
        <w:t xml:space="preserve">for persons with disabilities was developed. </w:t>
      </w:r>
      <w:r w:rsidRPr="00647752">
        <w:rPr>
          <w:rFonts w:ascii="Times New Roman" w:hAnsi="Times New Roman" w:cs="Times New Roman"/>
          <w:sz w:val="22"/>
          <w:szCs w:val="22"/>
          <w:lang w:val="en-GB"/>
        </w:rPr>
        <w:t>PNGO’s development of an</w:t>
      </w:r>
      <w:r w:rsidR="00BD69DC">
        <w:rPr>
          <w:rFonts w:ascii="Times New Roman" w:hAnsi="Times New Roman" w:cs="Times New Roman"/>
          <w:sz w:val="22"/>
          <w:szCs w:val="22"/>
          <w:lang w:val="en-GB"/>
        </w:rPr>
        <w:t xml:space="preserve"> i</w:t>
      </w:r>
      <w:r w:rsidRPr="00647752">
        <w:rPr>
          <w:rFonts w:ascii="Times New Roman" w:hAnsi="Times New Roman" w:cs="Times New Roman"/>
          <w:sz w:val="22"/>
          <w:szCs w:val="22"/>
          <w:lang w:val="en-GB"/>
        </w:rPr>
        <w:t>dentity card for disabled persons is extremely important as this is viewed as the key to the implementation of the La</w:t>
      </w:r>
      <w:r w:rsidR="00BD69DC">
        <w:rPr>
          <w:rFonts w:ascii="Times New Roman" w:hAnsi="Times New Roman" w:cs="Times New Roman"/>
          <w:sz w:val="22"/>
          <w:szCs w:val="22"/>
          <w:lang w:val="en-GB"/>
        </w:rPr>
        <w:t>w No. 4 on Disabilities (1999).</w:t>
      </w:r>
      <w:r w:rsidRPr="00647752">
        <w:rPr>
          <w:rFonts w:ascii="Times New Roman" w:hAnsi="Times New Roman" w:cs="Times New Roman"/>
          <w:sz w:val="22"/>
          <w:szCs w:val="22"/>
          <w:lang w:val="en-GB"/>
        </w:rPr>
        <w:t xml:space="preserve"> If someone has a ca</w:t>
      </w:r>
      <w:r w:rsidR="00B9581E" w:rsidRPr="00647752">
        <w:rPr>
          <w:rFonts w:ascii="Times New Roman" w:hAnsi="Times New Roman" w:cs="Times New Roman"/>
          <w:sz w:val="22"/>
          <w:szCs w:val="22"/>
          <w:lang w:val="en-GB"/>
        </w:rPr>
        <w:t xml:space="preserve">rd, then they have the rights. </w:t>
      </w:r>
      <w:r w:rsidR="00BD69DC">
        <w:rPr>
          <w:rFonts w:ascii="Times New Roman" w:hAnsi="Times New Roman" w:cs="Times New Roman"/>
          <w:sz w:val="22"/>
          <w:szCs w:val="22"/>
          <w:lang w:val="en-GB"/>
        </w:rPr>
        <w:t xml:space="preserve"> PNGO organis</w:t>
      </w:r>
      <w:r w:rsidRPr="00647752">
        <w:rPr>
          <w:rFonts w:ascii="Times New Roman" w:hAnsi="Times New Roman" w:cs="Times New Roman"/>
          <w:sz w:val="22"/>
          <w:szCs w:val="22"/>
          <w:lang w:val="en-GB"/>
        </w:rPr>
        <w:t xml:space="preserve">ed </w:t>
      </w:r>
      <w:r w:rsidR="00BD69DC">
        <w:rPr>
          <w:rFonts w:ascii="Times New Roman" w:hAnsi="Times New Roman" w:cs="Times New Roman"/>
          <w:sz w:val="22"/>
          <w:szCs w:val="22"/>
          <w:lang w:val="en-GB"/>
        </w:rPr>
        <w:t xml:space="preserve">several workshops to </w:t>
      </w:r>
      <w:r w:rsidRPr="00647752">
        <w:rPr>
          <w:rFonts w:ascii="Times New Roman" w:hAnsi="Times New Roman" w:cs="Times New Roman"/>
          <w:sz w:val="22"/>
          <w:szCs w:val="22"/>
          <w:lang w:val="en-GB"/>
        </w:rPr>
        <w:t xml:space="preserve">talk about the card and held meetings with </w:t>
      </w:r>
      <w:r w:rsidR="00BD69DC">
        <w:rPr>
          <w:rFonts w:ascii="Times New Roman" w:hAnsi="Times New Roman" w:cs="Times New Roman"/>
          <w:sz w:val="22"/>
          <w:szCs w:val="22"/>
          <w:lang w:val="en-GB"/>
        </w:rPr>
        <w:t xml:space="preserve">the </w:t>
      </w:r>
      <w:r w:rsidRPr="00647752">
        <w:rPr>
          <w:rFonts w:ascii="Times New Roman" w:hAnsi="Times New Roman" w:cs="Times New Roman"/>
          <w:sz w:val="22"/>
          <w:szCs w:val="22"/>
          <w:lang w:val="en-GB"/>
        </w:rPr>
        <w:t>Minister of Social Affairs in order to begin drafting the card and thereafter it was sent to the Prime Minster to be endorsed.    The percentage of the disabled in Gaza is</w:t>
      </w:r>
      <w:r w:rsidR="00BD69DC">
        <w:rPr>
          <w:rFonts w:ascii="Times New Roman" w:hAnsi="Times New Roman" w:cs="Times New Roman"/>
          <w:sz w:val="22"/>
          <w:szCs w:val="22"/>
          <w:lang w:val="en-GB"/>
        </w:rPr>
        <w:t xml:space="preserve"> 2.3 percent of the population.</w:t>
      </w:r>
      <w:r w:rsidRPr="00647752">
        <w:rPr>
          <w:rFonts w:ascii="Times New Roman" w:hAnsi="Times New Roman" w:cs="Times New Roman"/>
          <w:sz w:val="22"/>
          <w:szCs w:val="22"/>
          <w:lang w:val="en-GB"/>
        </w:rPr>
        <w:t xml:space="preserve"> In </w:t>
      </w:r>
      <w:r w:rsidR="00BD69DC">
        <w:rPr>
          <w:rFonts w:ascii="Times New Roman" w:hAnsi="Times New Roman" w:cs="Times New Roman"/>
          <w:sz w:val="22"/>
          <w:szCs w:val="22"/>
          <w:lang w:val="en-GB"/>
        </w:rPr>
        <w:t xml:space="preserve">the </w:t>
      </w:r>
      <w:r w:rsidRPr="00647752">
        <w:rPr>
          <w:rFonts w:ascii="Times New Roman" w:hAnsi="Times New Roman" w:cs="Times New Roman"/>
          <w:sz w:val="22"/>
          <w:szCs w:val="22"/>
          <w:lang w:val="en-GB"/>
        </w:rPr>
        <w:t>2008-09 war</w:t>
      </w:r>
      <w:r w:rsidR="00BD69DC">
        <w:rPr>
          <w:rFonts w:ascii="Times New Roman" w:hAnsi="Times New Roman" w:cs="Times New Roman"/>
          <w:sz w:val="22"/>
          <w:szCs w:val="22"/>
          <w:lang w:val="en-GB"/>
        </w:rPr>
        <w:t>,</w:t>
      </w:r>
      <w:r w:rsidRPr="00647752">
        <w:rPr>
          <w:rFonts w:ascii="Times New Roman" w:hAnsi="Times New Roman" w:cs="Times New Roman"/>
          <w:sz w:val="22"/>
          <w:szCs w:val="22"/>
          <w:lang w:val="en-GB"/>
        </w:rPr>
        <w:t xml:space="preserve"> approximately 600 persons were disabled as a result of attack. In November 2012 approximately 80 to 100 </w:t>
      </w:r>
      <w:r w:rsidR="00BD69DC">
        <w:rPr>
          <w:rFonts w:ascii="Times New Roman" w:hAnsi="Times New Roman" w:cs="Times New Roman"/>
          <w:sz w:val="22"/>
          <w:szCs w:val="22"/>
          <w:lang w:val="en-GB"/>
        </w:rPr>
        <w:t xml:space="preserve">people </w:t>
      </w:r>
      <w:r w:rsidRPr="00647752">
        <w:rPr>
          <w:rFonts w:ascii="Times New Roman" w:hAnsi="Times New Roman" w:cs="Times New Roman"/>
          <w:sz w:val="22"/>
          <w:szCs w:val="22"/>
          <w:lang w:val="en-GB"/>
        </w:rPr>
        <w:t>were</w:t>
      </w:r>
      <w:r w:rsidR="00BD69DC">
        <w:rPr>
          <w:rFonts w:ascii="Times New Roman" w:hAnsi="Times New Roman" w:cs="Times New Roman"/>
          <w:sz w:val="22"/>
          <w:szCs w:val="22"/>
          <w:lang w:val="en-GB"/>
        </w:rPr>
        <w:t xml:space="preserve"> disabled.</w:t>
      </w:r>
    </w:p>
    <w:p w:rsidR="00AB6D72" w:rsidRDefault="00AB6D72" w:rsidP="00FB6759">
      <w:pPr>
        <w:spacing w:after="0" w:line="240" w:lineRule="auto"/>
        <w:jc w:val="both"/>
        <w:rPr>
          <w:rFonts w:ascii="Times New Roman" w:hAnsi="Times New Roman" w:cs="Times New Roman"/>
          <w:sz w:val="22"/>
          <w:szCs w:val="22"/>
          <w:lang w:val="en-GB"/>
        </w:rPr>
      </w:pPr>
    </w:p>
    <w:p w:rsidR="00B81EB8" w:rsidRPr="00647752" w:rsidRDefault="00E12BB7" w:rsidP="00FB6759">
      <w:pPr>
        <w:spacing w:after="0" w:line="240" w:lineRule="auto"/>
        <w:jc w:val="both"/>
        <w:rPr>
          <w:rFonts w:ascii="Times New Roman" w:eastAsia="MS Mincho" w:hAnsi="Times New Roman" w:cs="Times New Roman"/>
          <w:sz w:val="22"/>
          <w:szCs w:val="24"/>
          <w:lang w:val="en-GB" w:eastAsia="ja-JP"/>
        </w:rPr>
      </w:pPr>
      <w:r w:rsidRPr="00647752">
        <w:rPr>
          <w:rFonts w:ascii="Times New Roman" w:hAnsi="Times New Roman" w:cs="Times New Roman"/>
          <w:sz w:val="22"/>
          <w:szCs w:val="22"/>
          <w:lang w:val="en-GB"/>
        </w:rPr>
        <w:t xml:space="preserve">Meanwhile, other UNDP supported CSOs </w:t>
      </w:r>
      <w:r w:rsidR="00BD69DC">
        <w:rPr>
          <w:rFonts w:ascii="Times New Roman" w:hAnsi="Times New Roman" w:cs="Times New Roman"/>
          <w:sz w:val="22"/>
          <w:szCs w:val="22"/>
          <w:lang w:val="en-GB"/>
        </w:rPr>
        <w:t>such as Hadaf</w:t>
      </w:r>
      <w:r w:rsidR="00E8775C">
        <w:rPr>
          <w:rFonts w:ascii="Times New Roman" w:hAnsi="Times New Roman" w:cs="Times New Roman"/>
          <w:sz w:val="22"/>
          <w:szCs w:val="22"/>
          <w:lang w:val="en-GB"/>
        </w:rPr>
        <w:t xml:space="preserve"> </w:t>
      </w:r>
      <w:r w:rsidRPr="00647752">
        <w:rPr>
          <w:rFonts w:ascii="Times New Roman" w:hAnsi="Times New Roman" w:cs="Times New Roman"/>
          <w:sz w:val="22"/>
          <w:szCs w:val="22"/>
          <w:lang w:val="en-GB"/>
        </w:rPr>
        <w:t xml:space="preserve">and CMC engaged in similar media campaigns.  CMC used UNDP support to train new media graduates on how to produce radio programmes, etc. on the rights of </w:t>
      </w:r>
      <w:r w:rsidR="00BD69DC">
        <w:rPr>
          <w:rFonts w:ascii="Times New Roman" w:hAnsi="Times New Roman" w:cs="Times New Roman"/>
          <w:sz w:val="22"/>
          <w:szCs w:val="22"/>
          <w:lang w:val="en-GB"/>
        </w:rPr>
        <w:t xml:space="preserve">juveniles and women’s rights. </w:t>
      </w:r>
      <w:r w:rsidRPr="00647752">
        <w:rPr>
          <w:rFonts w:ascii="Times New Roman" w:hAnsi="Times New Roman" w:cs="Times New Roman"/>
          <w:sz w:val="22"/>
          <w:szCs w:val="22"/>
          <w:lang w:val="en-GB"/>
        </w:rPr>
        <w:t>CMC trainings on the legal sys</w:t>
      </w:r>
      <w:r w:rsidR="00BD69DC">
        <w:rPr>
          <w:rFonts w:ascii="Times New Roman" w:hAnsi="Times New Roman" w:cs="Times New Roman"/>
          <w:sz w:val="22"/>
          <w:szCs w:val="22"/>
          <w:lang w:val="en-GB"/>
        </w:rPr>
        <w:t xml:space="preserve">tem included visits to courts. </w:t>
      </w:r>
      <w:r w:rsidRPr="00647752">
        <w:rPr>
          <w:rFonts w:ascii="Times New Roman" w:hAnsi="Times New Roman" w:cs="Times New Roman"/>
          <w:sz w:val="22"/>
          <w:szCs w:val="22"/>
          <w:lang w:val="en-GB"/>
        </w:rPr>
        <w:t xml:space="preserve">As a result, a series of newspaper articles were published on the rights of women and juveniles in Gaza. </w:t>
      </w:r>
    </w:p>
    <w:p w:rsidR="00356356" w:rsidRDefault="00356356" w:rsidP="00FB6759">
      <w:pPr>
        <w:spacing w:after="0" w:line="240" w:lineRule="auto"/>
        <w:rPr>
          <w:rFonts w:ascii="Times New Roman" w:eastAsia="MS Mincho" w:hAnsi="Times New Roman" w:cs="Times New Roman"/>
          <w:sz w:val="22"/>
          <w:szCs w:val="24"/>
          <w:lang w:val="en-GB" w:eastAsia="ja-JP"/>
        </w:rPr>
      </w:pPr>
    </w:p>
    <w:p w:rsidR="00BD69DC" w:rsidRDefault="00BD69DC" w:rsidP="00FB6759">
      <w:pPr>
        <w:spacing w:after="0" w:line="240" w:lineRule="auto"/>
        <w:rPr>
          <w:rFonts w:ascii="Times New Roman" w:eastAsia="MS Mincho" w:hAnsi="Times New Roman" w:cs="Times New Roman"/>
          <w:sz w:val="22"/>
          <w:szCs w:val="24"/>
          <w:lang w:val="en-GB" w:eastAsia="ja-JP"/>
        </w:rPr>
      </w:pPr>
    </w:p>
    <w:p w:rsidR="00BD69DC" w:rsidRDefault="00BD69DC" w:rsidP="00FB6759">
      <w:pPr>
        <w:spacing w:after="0" w:line="240" w:lineRule="auto"/>
        <w:rPr>
          <w:rFonts w:ascii="Times New Roman" w:eastAsia="MS Mincho" w:hAnsi="Times New Roman" w:cs="Times New Roman"/>
          <w:sz w:val="22"/>
          <w:szCs w:val="24"/>
          <w:lang w:val="en-GB" w:eastAsia="ja-JP"/>
        </w:rPr>
      </w:pPr>
    </w:p>
    <w:p w:rsidR="00BD69DC" w:rsidRDefault="00BD69DC" w:rsidP="00FB6759">
      <w:pPr>
        <w:spacing w:after="0" w:line="240" w:lineRule="auto"/>
        <w:rPr>
          <w:rFonts w:ascii="Times New Roman" w:eastAsia="MS Mincho" w:hAnsi="Times New Roman" w:cs="Times New Roman"/>
          <w:sz w:val="22"/>
          <w:szCs w:val="24"/>
          <w:lang w:val="en-GB" w:eastAsia="ja-JP"/>
        </w:rPr>
      </w:pPr>
    </w:p>
    <w:p w:rsidR="00BD69DC" w:rsidRDefault="00BD69DC" w:rsidP="00FB6759">
      <w:pPr>
        <w:spacing w:after="0" w:line="240" w:lineRule="auto"/>
        <w:rPr>
          <w:rFonts w:ascii="Times New Roman" w:eastAsia="MS Mincho" w:hAnsi="Times New Roman" w:cs="Times New Roman"/>
          <w:sz w:val="22"/>
          <w:szCs w:val="24"/>
          <w:lang w:val="en-GB" w:eastAsia="ja-JP"/>
        </w:rPr>
      </w:pPr>
    </w:p>
    <w:p w:rsidR="00BD69DC" w:rsidRDefault="00BD69DC" w:rsidP="00FB6759">
      <w:pPr>
        <w:spacing w:after="0" w:line="240" w:lineRule="auto"/>
        <w:rPr>
          <w:rFonts w:ascii="Times New Roman" w:eastAsia="MS Mincho" w:hAnsi="Times New Roman" w:cs="Times New Roman"/>
          <w:sz w:val="22"/>
          <w:szCs w:val="24"/>
          <w:lang w:val="en-GB" w:eastAsia="ja-JP"/>
        </w:rPr>
      </w:pPr>
    </w:p>
    <w:p w:rsidR="00D3096B" w:rsidRPr="00647752" w:rsidRDefault="00BD69DC" w:rsidP="00FB6759">
      <w:pPr>
        <w:spacing w:after="0" w:line="240" w:lineRule="auto"/>
        <w:jc w:val="both"/>
        <w:rPr>
          <w:rFonts w:ascii="Times New Roman" w:eastAsia="MS Mincho" w:hAnsi="Times New Roman" w:cs="Times New Roman"/>
          <w:i/>
          <w:sz w:val="22"/>
          <w:szCs w:val="24"/>
          <w:lang w:val="en-GB" w:eastAsia="ja-JP"/>
        </w:rPr>
      </w:pPr>
      <w:r>
        <w:rPr>
          <w:rFonts w:ascii="Times New Roman" w:eastAsia="MS Mincho" w:hAnsi="Times New Roman" w:cs="Times New Roman"/>
          <w:i/>
          <w:sz w:val="22"/>
          <w:szCs w:val="24"/>
          <w:lang w:val="en-GB" w:eastAsia="ja-JP"/>
        </w:rPr>
        <w:lastRenderedPageBreak/>
        <w:t xml:space="preserve">Independent </w:t>
      </w:r>
      <w:r w:rsidR="00D3096B" w:rsidRPr="00647752">
        <w:rPr>
          <w:rFonts w:ascii="Times New Roman" w:eastAsia="MS Mincho" w:hAnsi="Times New Roman" w:cs="Times New Roman"/>
          <w:i/>
          <w:sz w:val="22"/>
          <w:szCs w:val="24"/>
          <w:lang w:val="en-GB" w:eastAsia="ja-JP"/>
        </w:rPr>
        <w:t>Commission</w:t>
      </w:r>
      <w:r>
        <w:rPr>
          <w:rFonts w:ascii="Times New Roman" w:eastAsia="MS Mincho" w:hAnsi="Times New Roman" w:cs="Times New Roman"/>
          <w:i/>
          <w:sz w:val="22"/>
          <w:szCs w:val="24"/>
          <w:lang w:val="en-GB" w:eastAsia="ja-JP"/>
        </w:rPr>
        <w:t xml:space="preserve"> for Human Rights</w:t>
      </w:r>
    </w:p>
    <w:p w:rsidR="00D3096B" w:rsidRPr="00647752" w:rsidRDefault="00D3096B" w:rsidP="00FB6759">
      <w:pPr>
        <w:spacing w:after="0" w:line="240" w:lineRule="auto"/>
        <w:jc w:val="both"/>
        <w:rPr>
          <w:rFonts w:ascii="Times New Roman" w:eastAsia="MS Mincho" w:hAnsi="Times New Roman" w:cs="Times New Roman"/>
          <w:sz w:val="22"/>
          <w:szCs w:val="24"/>
          <w:lang w:val="en-GB" w:eastAsia="ja-JP"/>
        </w:rPr>
      </w:pPr>
    </w:p>
    <w:p w:rsidR="00A07943" w:rsidRPr="00647752" w:rsidRDefault="00A07943" w:rsidP="00FB6759">
      <w:pPr>
        <w:spacing w:after="0" w:line="240" w:lineRule="auto"/>
        <w:jc w:val="both"/>
        <w:rPr>
          <w:rFonts w:ascii="Times New Roman" w:eastAsia="MS Mincho" w:hAnsi="Times New Roman" w:cs="Times New Roman"/>
          <w:sz w:val="22"/>
          <w:szCs w:val="24"/>
          <w:lang w:val="en-GB" w:eastAsia="ja-JP"/>
        </w:rPr>
      </w:pPr>
      <w:r w:rsidRPr="00647752">
        <w:rPr>
          <w:rFonts w:ascii="Times New Roman" w:eastAsia="MS Mincho" w:hAnsi="Times New Roman" w:cs="Times New Roman"/>
          <w:sz w:val="22"/>
          <w:szCs w:val="24"/>
          <w:lang w:val="en-GB" w:eastAsia="ja-JP"/>
        </w:rPr>
        <w:t xml:space="preserve">An important body in Gaza </w:t>
      </w:r>
      <w:r w:rsidR="00391D3D" w:rsidRPr="00647752">
        <w:rPr>
          <w:rFonts w:ascii="Times New Roman" w:eastAsia="MS Mincho" w:hAnsi="Times New Roman" w:cs="Times New Roman"/>
          <w:sz w:val="22"/>
          <w:szCs w:val="24"/>
          <w:lang w:val="en-GB" w:eastAsia="ja-JP"/>
        </w:rPr>
        <w:t xml:space="preserve">and the West Bank </w:t>
      </w:r>
      <w:r w:rsidRPr="00647752">
        <w:rPr>
          <w:rFonts w:ascii="Times New Roman" w:eastAsia="MS Mincho" w:hAnsi="Times New Roman" w:cs="Times New Roman"/>
          <w:sz w:val="22"/>
          <w:szCs w:val="24"/>
          <w:lang w:val="en-GB" w:eastAsia="ja-JP"/>
        </w:rPr>
        <w:t xml:space="preserve">that UNDP should consider supporting </w:t>
      </w:r>
      <w:r w:rsidR="00BD69DC">
        <w:rPr>
          <w:rFonts w:ascii="Times New Roman" w:eastAsia="MS Mincho" w:hAnsi="Times New Roman" w:cs="Times New Roman"/>
          <w:sz w:val="22"/>
          <w:szCs w:val="24"/>
          <w:lang w:val="en-GB" w:eastAsia="ja-JP"/>
        </w:rPr>
        <w:t xml:space="preserve">is the Independent </w:t>
      </w:r>
      <w:r w:rsidRPr="00647752">
        <w:rPr>
          <w:rFonts w:ascii="Times New Roman" w:eastAsia="MS Mincho" w:hAnsi="Times New Roman" w:cs="Times New Roman"/>
          <w:sz w:val="22"/>
          <w:szCs w:val="24"/>
          <w:lang w:val="en-GB" w:eastAsia="ja-JP"/>
        </w:rPr>
        <w:t>Commission</w:t>
      </w:r>
      <w:r w:rsidR="00BD69DC">
        <w:rPr>
          <w:rFonts w:ascii="Times New Roman" w:eastAsia="MS Mincho" w:hAnsi="Times New Roman" w:cs="Times New Roman"/>
          <w:sz w:val="22"/>
          <w:szCs w:val="24"/>
          <w:lang w:val="en-GB" w:eastAsia="ja-JP"/>
        </w:rPr>
        <w:t xml:space="preserve"> for Human Rights (I</w:t>
      </w:r>
      <w:r w:rsidRPr="00647752">
        <w:rPr>
          <w:rFonts w:ascii="Times New Roman" w:eastAsia="MS Mincho" w:hAnsi="Times New Roman" w:cs="Times New Roman"/>
          <w:sz w:val="22"/>
          <w:szCs w:val="24"/>
          <w:lang w:val="en-GB" w:eastAsia="ja-JP"/>
        </w:rPr>
        <w:t>C</w:t>
      </w:r>
      <w:r w:rsidR="00BD69DC">
        <w:rPr>
          <w:rFonts w:ascii="Times New Roman" w:eastAsia="MS Mincho" w:hAnsi="Times New Roman" w:cs="Times New Roman"/>
          <w:sz w:val="22"/>
          <w:szCs w:val="24"/>
          <w:lang w:val="en-GB" w:eastAsia="ja-JP"/>
        </w:rPr>
        <w:t>HR), which</w:t>
      </w:r>
      <w:r w:rsidRPr="00647752">
        <w:rPr>
          <w:rFonts w:ascii="Times New Roman" w:eastAsia="MS Mincho" w:hAnsi="Times New Roman" w:cs="Times New Roman"/>
          <w:sz w:val="22"/>
          <w:szCs w:val="24"/>
          <w:lang w:val="en-GB" w:eastAsia="ja-JP"/>
        </w:rPr>
        <w:t xml:space="preserve"> has </w:t>
      </w:r>
      <w:r w:rsidR="004B0874" w:rsidRPr="00647752">
        <w:rPr>
          <w:rFonts w:ascii="Times New Roman" w:eastAsia="MS Mincho" w:hAnsi="Times New Roman" w:cs="Times New Roman"/>
          <w:sz w:val="22"/>
          <w:szCs w:val="24"/>
          <w:lang w:val="en-GB" w:eastAsia="ja-JP"/>
        </w:rPr>
        <w:t>a mandate</w:t>
      </w:r>
      <w:r w:rsidRPr="00647752">
        <w:rPr>
          <w:rFonts w:ascii="Times New Roman" w:eastAsia="MS Mincho" w:hAnsi="Times New Roman" w:cs="Times New Roman"/>
          <w:sz w:val="22"/>
          <w:szCs w:val="24"/>
          <w:lang w:val="en-GB" w:eastAsia="ja-JP"/>
        </w:rPr>
        <w:t xml:space="preserve"> of monitoring the courts and justice.</w:t>
      </w:r>
      <w:r w:rsidR="004B0874" w:rsidRPr="00647752">
        <w:rPr>
          <w:rStyle w:val="FootnoteReference"/>
          <w:rFonts w:ascii="Times New Roman" w:eastAsia="MS Mincho" w:hAnsi="Times New Roman" w:cs="Times New Roman"/>
          <w:sz w:val="22"/>
          <w:szCs w:val="24"/>
          <w:lang w:val="en-GB" w:eastAsia="ja-JP"/>
        </w:rPr>
        <w:footnoteReference w:id="197"/>
      </w:r>
      <w:r w:rsidR="004B0874" w:rsidRPr="00647752">
        <w:rPr>
          <w:rFonts w:ascii="Times New Roman" w:eastAsia="MS Mincho" w:hAnsi="Times New Roman" w:cs="Times New Roman"/>
          <w:sz w:val="22"/>
          <w:szCs w:val="24"/>
          <w:lang w:val="en-GB" w:eastAsia="ja-JP"/>
        </w:rPr>
        <w:t>In addition, monitoring</w:t>
      </w:r>
      <w:r w:rsidRPr="00647752">
        <w:rPr>
          <w:rFonts w:ascii="Times New Roman" w:eastAsia="MS Mincho" w:hAnsi="Times New Roman" w:cs="Times New Roman"/>
          <w:sz w:val="22"/>
          <w:szCs w:val="24"/>
          <w:lang w:val="en-GB" w:eastAsia="ja-JP"/>
        </w:rPr>
        <w:t xml:space="preserve"> separation of </w:t>
      </w:r>
      <w:r w:rsidR="00BD69DC">
        <w:rPr>
          <w:rFonts w:ascii="Times New Roman" w:eastAsia="MS Mincho" w:hAnsi="Times New Roman" w:cs="Times New Roman"/>
          <w:sz w:val="22"/>
          <w:szCs w:val="24"/>
          <w:lang w:val="en-GB" w:eastAsia="ja-JP"/>
        </w:rPr>
        <w:t>powers is a large issue for ICHR</w:t>
      </w:r>
      <w:r w:rsidRPr="00647752">
        <w:rPr>
          <w:rFonts w:ascii="Times New Roman" w:eastAsia="MS Mincho" w:hAnsi="Times New Roman" w:cs="Times New Roman"/>
          <w:sz w:val="22"/>
          <w:szCs w:val="24"/>
          <w:lang w:val="en-GB" w:eastAsia="ja-JP"/>
        </w:rPr>
        <w:t xml:space="preserve"> in Ga</w:t>
      </w:r>
      <w:r w:rsidR="00B9581E" w:rsidRPr="00647752">
        <w:rPr>
          <w:rFonts w:ascii="Times New Roman" w:eastAsia="MS Mincho" w:hAnsi="Times New Roman" w:cs="Times New Roman"/>
          <w:sz w:val="22"/>
          <w:szCs w:val="24"/>
          <w:lang w:val="en-GB" w:eastAsia="ja-JP"/>
        </w:rPr>
        <w:t xml:space="preserve">za and to some extent in the West </w:t>
      </w:r>
      <w:r w:rsidRPr="00647752">
        <w:rPr>
          <w:rFonts w:ascii="Times New Roman" w:eastAsia="MS Mincho" w:hAnsi="Times New Roman" w:cs="Times New Roman"/>
          <w:sz w:val="22"/>
          <w:szCs w:val="24"/>
          <w:lang w:val="en-GB" w:eastAsia="ja-JP"/>
        </w:rPr>
        <w:t>Bank</w:t>
      </w:r>
      <w:r w:rsidR="004B0874" w:rsidRPr="00647752">
        <w:rPr>
          <w:rFonts w:ascii="Times New Roman" w:eastAsia="MS Mincho" w:hAnsi="Times New Roman" w:cs="Times New Roman"/>
          <w:sz w:val="22"/>
          <w:szCs w:val="24"/>
          <w:lang w:val="en-GB" w:eastAsia="ja-JP"/>
        </w:rPr>
        <w:t>.</w:t>
      </w:r>
      <w:r w:rsidR="00BD69DC">
        <w:rPr>
          <w:rFonts w:ascii="Times New Roman" w:eastAsia="MS Mincho" w:hAnsi="Times New Roman" w:cs="Times New Roman"/>
          <w:sz w:val="22"/>
          <w:szCs w:val="24"/>
          <w:lang w:val="en-GB" w:eastAsia="ja-JP"/>
        </w:rPr>
        <w:t xml:space="preserve"> The I</w:t>
      </w:r>
      <w:r w:rsidR="004B0874" w:rsidRPr="00647752">
        <w:rPr>
          <w:rFonts w:ascii="Times New Roman" w:eastAsia="MS Mincho" w:hAnsi="Times New Roman" w:cs="Times New Roman"/>
          <w:sz w:val="22"/>
          <w:szCs w:val="24"/>
          <w:lang w:val="en-GB" w:eastAsia="ja-JP"/>
        </w:rPr>
        <w:t>C</w:t>
      </w:r>
      <w:r w:rsidR="00BD69DC">
        <w:rPr>
          <w:rFonts w:ascii="Times New Roman" w:eastAsia="MS Mincho" w:hAnsi="Times New Roman" w:cs="Times New Roman"/>
          <w:sz w:val="22"/>
          <w:szCs w:val="24"/>
          <w:lang w:val="en-GB" w:eastAsia="ja-JP"/>
        </w:rPr>
        <w:t>HR</w:t>
      </w:r>
      <w:r w:rsidR="004B0874" w:rsidRPr="00647752">
        <w:rPr>
          <w:rFonts w:ascii="Times New Roman" w:eastAsia="MS Mincho" w:hAnsi="Times New Roman" w:cs="Times New Roman"/>
          <w:sz w:val="22"/>
          <w:szCs w:val="24"/>
          <w:lang w:val="en-GB" w:eastAsia="ja-JP"/>
        </w:rPr>
        <w:t xml:space="preserve"> monitoring approach is </w:t>
      </w:r>
      <w:r w:rsidRPr="00647752">
        <w:rPr>
          <w:rFonts w:ascii="Times New Roman" w:eastAsia="MS Mincho" w:hAnsi="Times New Roman" w:cs="Times New Roman"/>
          <w:sz w:val="22"/>
          <w:szCs w:val="24"/>
          <w:lang w:val="en-GB" w:eastAsia="ja-JP"/>
        </w:rPr>
        <w:t xml:space="preserve">to pressure the legislative </w:t>
      </w:r>
      <w:r w:rsidR="004B0874" w:rsidRPr="00647752">
        <w:rPr>
          <w:rFonts w:ascii="Times New Roman" w:eastAsia="MS Mincho" w:hAnsi="Times New Roman" w:cs="Times New Roman"/>
          <w:sz w:val="22"/>
          <w:szCs w:val="24"/>
          <w:lang w:val="en-GB" w:eastAsia="ja-JP"/>
        </w:rPr>
        <w:t>authorities in Gaza to</w:t>
      </w:r>
      <w:r w:rsidR="00BD69DC">
        <w:rPr>
          <w:rFonts w:ascii="Times New Roman" w:eastAsia="MS Mincho" w:hAnsi="Times New Roman" w:cs="Times New Roman"/>
          <w:sz w:val="22"/>
          <w:szCs w:val="24"/>
          <w:lang w:val="en-GB" w:eastAsia="ja-JP"/>
        </w:rPr>
        <w:t xml:space="preserve"> monitor the government </w:t>
      </w:r>
      <w:r w:rsidRPr="00647752">
        <w:rPr>
          <w:rFonts w:ascii="Times New Roman" w:eastAsia="MS Mincho" w:hAnsi="Times New Roman" w:cs="Times New Roman"/>
          <w:sz w:val="22"/>
          <w:szCs w:val="24"/>
          <w:lang w:val="en-GB" w:eastAsia="ja-JP"/>
        </w:rPr>
        <w:t>an</w:t>
      </w:r>
      <w:r w:rsidR="00BD69DC">
        <w:rPr>
          <w:rFonts w:ascii="Times New Roman" w:eastAsia="MS Mincho" w:hAnsi="Times New Roman" w:cs="Times New Roman"/>
          <w:sz w:val="22"/>
          <w:szCs w:val="24"/>
          <w:lang w:val="en-GB" w:eastAsia="ja-JP"/>
        </w:rPr>
        <w:t>d to get the executive branch of government</w:t>
      </w:r>
      <w:r w:rsidRPr="00647752">
        <w:rPr>
          <w:rFonts w:ascii="Times New Roman" w:eastAsia="MS Mincho" w:hAnsi="Times New Roman" w:cs="Times New Roman"/>
          <w:sz w:val="22"/>
          <w:szCs w:val="24"/>
          <w:lang w:val="en-GB" w:eastAsia="ja-JP"/>
        </w:rPr>
        <w:t xml:space="preserve"> to respect the </w:t>
      </w:r>
      <w:r w:rsidR="004B0874" w:rsidRPr="00647752">
        <w:rPr>
          <w:rFonts w:ascii="Times New Roman" w:eastAsia="MS Mincho" w:hAnsi="Times New Roman" w:cs="Times New Roman"/>
          <w:sz w:val="22"/>
          <w:szCs w:val="24"/>
          <w:lang w:val="en-GB" w:eastAsia="ja-JP"/>
        </w:rPr>
        <w:t>rule of law</w:t>
      </w:r>
      <w:r w:rsidRPr="00647752">
        <w:rPr>
          <w:rFonts w:ascii="Times New Roman" w:eastAsia="MS Mincho" w:hAnsi="Times New Roman" w:cs="Times New Roman"/>
          <w:sz w:val="22"/>
          <w:szCs w:val="24"/>
          <w:lang w:val="en-GB" w:eastAsia="ja-JP"/>
        </w:rPr>
        <w:t>.</w:t>
      </w:r>
      <w:r w:rsidR="00BD69DC">
        <w:rPr>
          <w:rFonts w:ascii="Times New Roman" w:eastAsia="MS Mincho" w:hAnsi="Times New Roman" w:cs="Times New Roman"/>
          <w:sz w:val="22"/>
          <w:szCs w:val="24"/>
          <w:lang w:val="en-GB" w:eastAsia="ja-JP"/>
        </w:rPr>
        <w:t xml:space="preserve"> ICHR also works with </w:t>
      </w:r>
      <w:r w:rsidR="00BD69DC" w:rsidRPr="00BD69DC">
        <w:rPr>
          <w:rFonts w:ascii="Times New Roman" w:eastAsia="MS Mincho" w:hAnsi="Times New Roman" w:cs="Times New Roman"/>
          <w:i/>
          <w:sz w:val="22"/>
          <w:szCs w:val="24"/>
          <w:lang w:val="en-GB" w:eastAsia="ja-JP"/>
        </w:rPr>
        <w:t>Al-</w:t>
      </w:r>
      <w:r w:rsidR="001859D3" w:rsidRPr="00BD69DC">
        <w:rPr>
          <w:rFonts w:ascii="Times New Roman" w:eastAsia="MS Mincho" w:hAnsi="Times New Roman" w:cs="Times New Roman"/>
          <w:i/>
          <w:sz w:val="22"/>
          <w:szCs w:val="24"/>
          <w:lang w:val="en-GB" w:eastAsia="ja-JP"/>
        </w:rPr>
        <w:t>Azhar</w:t>
      </w:r>
      <w:r w:rsidRPr="00647752">
        <w:rPr>
          <w:rFonts w:ascii="Times New Roman" w:eastAsia="MS Mincho" w:hAnsi="Times New Roman" w:cs="Times New Roman"/>
          <w:sz w:val="22"/>
          <w:szCs w:val="24"/>
          <w:lang w:val="en-GB" w:eastAsia="ja-JP"/>
        </w:rPr>
        <w:t xml:space="preserve"> University</w:t>
      </w:r>
      <w:r w:rsidR="004B0874" w:rsidRPr="00647752">
        <w:rPr>
          <w:rFonts w:ascii="Times New Roman" w:eastAsia="MS Mincho" w:hAnsi="Times New Roman" w:cs="Times New Roman"/>
          <w:sz w:val="22"/>
          <w:szCs w:val="24"/>
          <w:lang w:val="en-GB" w:eastAsia="ja-JP"/>
        </w:rPr>
        <w:t xml:space="preserve"> to support the clinical legal education programme.  </w:t>
      </w:r>
    </w:p>
    <w:p w:rsidR="004B0874" w:rsidRPr="00647752" w:rsidRDefault="004B0874" w:rsidP="00FB6759">
      <w:pPr>
        <w:spacing w:after="0" w:line="240" w:lineRule="auto"/>
        <w:jc w:val="both"/>
        <w:rPr>
          <w:rFonts w:ascii="Times New Roman" w:eastAsia="MS Mincho" w:hAnsi="Times New Roman" w:cs="Times New Roman"/>
          <w:sz w:val="22"/>
          <w:szCs w:val="24"/>
          <w:lang w:val="en-GB" w:eastAsia="ja-JP"/>
        </w:rPr>
      </w:pPr>
    </w:p>
    <w:p w:rsidR="002A60C5" w:rsidRPr="00647752" w:rsidRDefault="00BD69DC" w:rsidP="00FB6759">
      <w:pPr>
        <w:spacing w:after="0" w:line="240" w:lineRule="auto"/>
        <w:jc w:val="both"/>
        <w:rPr>
          <w:rFonts w:ascii="Times New Roman" w:eastAsia="MS Mincho" w:hAnsi="Times New Roman" w:cs="Times New Roman"/>
          <w:sz w:val="22"/>
          <w:szCs w:val="24"/>
          <w:lang w:val="en-GB" w:eastAsia="ja-JP"/>
        </w:rPr>
      </w:pPr>
      <w:r>
        <w:rPr>
          <w:rFonts w:ascii="Times New Roman" w:eastAsia="MS Mincho" w:hAnsi="Times New Roman" w:cs="Times New Roman"/>
          <w:sz w:val="22"/>
          <w:szCs w:val="24"/>
          <w:lang w:val="en-GB" w:eastAsia="ja-JP"/>
        </w:rPr>
        <w:t>Going forward, ICHR</w:t>
      </w:r>
      <w:r w:rsidR="004B0874" w:rsidRPr="00647752">
        <w:rPr>
          <w:rFonts w:ascii="Times New Roman" w:eastAsia="MS Mincho" w:hAnsi="Times New Roman" w:cs="Times New Roman"/>
          <w:sz w:val="22"/>
          <w:szCs w:val="24"/>
          <w:lang w:val="en-GB" w:eastAsia="ja-JP"/>
        </w:rPr>
        <w:t xml:space="preserve"> recommends that UNDP focus on the “</w:t>
      </w:r>
      <w:r w:rsidR="00A07943" w:rsidRPr="00647752">
        <w:rPr>
          <w:rFonts w:ascii="Times New Roman" w:eastAsia="MS Mincho" w:hAnsi="Times New Roman" w:cs="Times New Roman"/>
          <w:sz w:val="22"/>
          <w:szCs w:val="24"/>
          <w:lang w:val="en-GB" w:eastAsia="ja-JP"/>
        </w:rPr>
        <w:t>hot spots</w:t>
      </w:r>
      <w:r w:rsidR="004B0874" w:rsidRPr="00647752">
        <w:rPr>
          <w:rFonts w:ascii="Times New Roman" w:eastAsia="MS Mincho" w:hAnsi="Times New Roman" w:cs="Times New Roman"/>
          <w:sz w:val="22"/>
          <w:szCs w:val="24"/>
          <w:lang w:val="en-GB" w:eastAsia="ja-JP"/>
        </w:rPr>
        <w:t>” in Gaza such as the application of the</w:t>
      </w:r>
      <w:r>
        <w:rPr>
          <w:rFonts w:ascii="Times New Roman" w:eastAsia="MS Mincho" w:hAnsi="Times New Roman" w:cs="Times New Roman"/>
          <w:sz w:val="22"/>
          <w:szCs w:val="24"/>
          <w:lang w:val="en-GB" w:eastAsia="ja-JP"/>
        </w:rPr>
        <w:t xml:space="preserve"> death penalty; torture and other cruel, inhuman or degrading treatment; </w:t>
      </w:r>
      <w:r w:rsidR="00A07943" w:rsidRPr="00647752">
        <w:rPr>
          <w:rFonts w:ascii="Times New Roman" w:eastAsia="MS Mincho" w:hAnsi="Times New Roman" w:cs="Times New Roman"/>
          <w:sz w:val="22"/>
          <w:szCs w:val="24"/>
          <w:lang w:val="en-GB" w:eastAsia="ja-JP"/>
        </w:rPr>
        <w:t xml:space="preserve">raising the awareness of </w:t>
      </w:r>
      <w:r>
        <w:rPr>
          <w:rFonts w:ascii="Times New Roman" w:eastAsia="MS Mincho" w:hAnsi="Times New Roman" w:cs="Times New Roman"/>
          <w:sz w:val="22"/>
          <w:szCs w:val="24"/>
          <w:lang w:val="en-GB" w:eastAsia="ja-JP"/>
        </w:rPr>
        <w:t xml:space="preserve">the </w:t>
      </w:r>
      <w:r w:rsidR="00A07943" w:rsidRPr="00647752">
        <w:rPr>
          <w:rFonts w:ascii="Times New Roman" w:eastAsia="MS Mincho" w:hAnsi="Times New Roman" w:cs="Times New Roman"/>
          <w:sz w:val="22"/>
          <w:szCs w:val="24"/>
          <w:lang w:val="en-GB" w:eastAsia="ja-JP"/>
        </w:rPr>
        <w:t xml:space="preserve">security forces to become </w:t>
      </w:r>
      <w:r>
        <w:rPr>
          <w:rFonts w:ascii="Times New Roman" w:eastAsia="MS Mincho" w:hAnsi="Times New Roman" w:cs="Times New Roman"/>
          <w:sz w:val="22"/>
          <w:szCs w:val="24"/>
          <w:lang w:val="en-GB" w:eastAsia="ja-JP"/>
        </w:rPr>
        <w:t xml:space="preserve">more accountable and tolerant; </w:t>
      </w:r>
      <w:r w:rsidR="004B0874" w:rsidRPr="00647752">
        <w:rPr>
          <w:rFonts w:ascii="Times New Roman" w:eastAsia="MS Mincho" w:hAnsi="Times New Roman" w:cs="Times New Roman"/>
          <w:sz w:val="22"/>
          <w:szCs w:val="24"/>
          <w:lang w:val="en-GB" w:eastAsia="ja-JP"/>
        </w:rPr>
        <w:t xml:space="preserve">and to </w:t>
      </w:r>
      <w:r w:rsidR="00A07943" w:rsidRPr="00647752">
        <w:rPr>
          <w:rFonts w:ascii="Times New Roman" w:eastAsia="MS Mincho" w:hAnsi="Times New Roman" w:cs="Times New Roman"/>
          <w:sz w:val="22"/>
          <w:szCs w:val="24"/>
          <w:lang w:val="en-GB" w:eastAsia="ja-JP"/>
        </w:rPr>
        <w:t xml:space="preserve">work indirectly with bodies that have a relationship with the </w:t>
      </w:r>
      <w:r w:rsidR="00554DEC" w:rsidRPr="00647752">
        <w:rPr>
          <w:rFonts w:ascii="Times New Roman" w:eastAsia="MS Mincho" w:hAnsi="Times New Roman" w:cs="Times New Roman"/>
          <w:sz w:val="22"/>
          <w:szCs w:val="24"/>
          <w:lang w:val="en-GB" w:eastAsia="ja-JP"/>
        </w:rPr>
        <w:t>Hamas</w:t>
      </w:r>
      <w:r w:rsidR="00FD3C19">
        <w:rPr>
          <w:rFonts w:ascii="Times New Roman" w:eastAsia="MS Mincho" w:hAnsi="Times New Roman" w:cs="Times New Roman"/>
          <w:sz w:val="22"/>
          <w:szCs w:val="24"/>
          <w:lang w:val="en-GB" w:eastAsia="ja-JP"/>
        </w:rPr>
        <w:t xml:space="preserve"> </w:t>
      </w:r>
      <w:r w:rsidR="00A07943" w:rsidRPr="00647752">
        <w:rPr>
          <w:rFonts w:ascii="Times New Roman" w:eastAsia="MS Mincho" w:hAnsi="Times New Roman" w:cs="Times New Roman"/>
          <w:sz w:val="22"/>
          <w:szCs w:val="24"/>
          <w:lang w:val="en-GB" w:eastAsia="ja-JP"/>
        </w:rPr>
        <w:t xml:space="preserve">government </w:t>
      </w:r>
      <w:r w:rsidR="004B0874" w:rsidRPr="00647752">
        <w:rPr>
          <w:rFonts w:ascii="Times New Roman" w:eastAsia="MS Mincho" w:hAnsi="Times New Roman" w:cs="Times New Roman"/>
          <w:sz w:val="22"/>
          <w:szCs w:val="24"/>
          <w:lang w:val="en-GB" w:eastAsia="ja-JP"/>
        </w:rPr>
        <w:t>to respect the rule of law.</w:t>
      </w:r>
    </w:p>
    <w:p w:rsidR="002A60C5" w:rsidRPr="00647752" w:rsidRDefault="002A60C5" w:rsidP="00FB6759">
      <w:pPr>
        <w:spacing w:after="0" w:line="240" w:lineRule="auto"/>
        <w:jc w:val="both"/>
        <w:rPr>
          <w:rFonts w:ascii="Times New Roman" w:eastAsia="MS Mincho" w:hAnsi="Times New Roman" w:cs="Times New Roman"/>
          <w:sz w:val="22"/>
          <w:szCs w:val="24"/>
          <w:lang w:val="en-GB" w:eastAsia="ja-JP"/>
        </w:rPr>
      </w:pPr>
    </w:p>
    <w:p w:rsidR="0049604A" w:rsidRPr="00647752" w:rsidRDefault="0049604A" w:rsidP="00FB6759">
      <w:pPr>
        <w:spacing w:after="0" w:line="240" w:lineRule="auto"/>
        <w:jc w:val="both"/>
        <w:rPr>
          <w:rFonts w:ascii="Times New Roman" w:eastAsia="MS Mincho" w:hAnsi="Times New Roman" w:cs="Times New Roman"/>
          <w:i/>
          <w:sz w:val="22"/>
          <w:szCs w:val="22"/>
          <w:lang w:val="en-GB" w:eastAsia="ja-JP"/>
        </w:rPr>
      </w:pPr>
      <w:r w:rsidRPr="00647752">
        <w:rPr>
          <w:rFonts w:ascii="Times New Roman" w:eastAsia="MS Mincho" w:hAnsi="Times New Roman" w:cs="Times New Roman"/>
          <w:i/>
          <w:sz w:val="22"/>
          <w:szCs w:val="22"/>
          <w:lang w:val="en-GB" w:eastAsia="ja-JP"/>
        </w:rPr>
        <w:t>Legal Task Force</w:t>
      </w:r>
      <w:r w:rsidR="00FD3C19">
        <w:rPr>
          <w:rFonts w:ascii="Times New Roman" w:eastAsia="MS Mincho" w:hAnsi="Times New Roman" w:cs="Times New Roman"/>
          <w:i/>
          <w:sz w:val="22"/>
          <w:szCs w:val="22"/>
          <w:lang w:val="en-GB" w:eastAsia="ja-JP"/>
        </w:rPr>
        <w:t xml:space="preserve"> </w:t>
      </w:r>
      <w:r w:rsidRPr="00647752">
        <w:rPr>
          <w:rFonts w:ascii="Times New Roman" w:eastAsia="MS Mincho" w:hAnsi="Times New Roman" w:cs="Times New Roman"/>
          <w:i/>
          <w:sz w:val="22"/>
          <w:szCs w:val="22"/>
          <w:lang w:val="en-GB" w:eastAsia="ja-JP"/>
        </w:rPr>
        <w:t xml:space="preserve">in Gaza  </w:t>
      </w:r>
    </w:p>
    <w:p w:rsidR="0049604A" w:rsidRPr="00647752" w:rsidRDefault="0049604A" w:rsidP="00FB6759">
      <w:pPr>
        <w:spacing w:after="0" w:line="240" w:lineRule="auto"/>
        <w:rPr>
          <w:rFonts w:ascii="Times New Roman" w:eastAsia="MS Mincho" w:hAnsi="Times New Roman" w:cs="Times New Roman"/>
          <w:sz w:val="22"/>
          <w:szCs w:val="24"/>
          <w:lang w:val="en-GB" w:eastAsia="ja-JP"/>
        </w:rPr>
      </w:pPr>
    </w:p>
    <w:p w:rsidR="0049604A" w:rsidRPr="00647752" w:rsidRDefault="00BD69DC" w:rsidP="00FB6759">
      <w:pPr>
        <w:spacing w:after="0" w:line="240" w:lineRule="auto"/>
        <w:jc w:val="both"/>
        <w:rPr>
          <w:rFonts w:ascii="Times New Roman" w:eastAsia="MS Mincho" w:hAnsi="Times New Roman" w:cs="Times New Roman"/>
          <w:sz w:val="22"/>
          <w:szCs w:val="24"/>
          <w:lang w:val="en-GB" w:eastAsia="ja-JP"/>
        </w:rPr>
      </w:pPr>
      <w:r>
        <w:rPr>
          <w:rFonts w:ascii="Times New Roman" w:eastAsia="MS Mincho" w:hAnsi="Times New Roman" w:cs="Times New Roman"/>
          <w:sz w:val="22"/>
          <w:szCs w:val="24"/>
          <w:lang w:val="en-GB" w:eastAsia="ja-JP"/>
        </w:rPr>
        <w:t xml:space="preserve">UNDP is a co-chair of the </w:t>
      </w:r>
      <w:r w:rsidR="0049604A" w:rsidRPr="00647752">
        <w:rPr>
          <w:rFonts w:ascii="Times New Roman" w:eastAsia="MS Mincho" w:hAnsi="Times New Roman" w:cs="Times New Roman"/>
          <w:sz w:val="22"/>
          <w:szCs w:val="24"/>
          <w:lang w:val="en-GB" w:eastAsia="ja-JP"/>
        </w:rPr>
        <w:t>Legal Task force (</w:t>
      </w:r>
      <w:r w:rsidR="00B9581E" w:rsidRPr="00647752">
        <w:rPr>
          <w:rFonts w:ascii="Times New Roman" w:eastAsia="MS Mincho" w:hAnsi="Times New Roman" w:cs="Times New Roman"/>
          <w:sz w:val="22"/>
          <w:szCs w:val="24"/>
          <w:lang w:val="en-GB" w:eastAsia="ja-JP"/>
        </w:rPr>
        <w:t>LTF</w:t>
      </w:r>
      <w:r>
        <w:rPr>
          <w:rFonts w:ascii="Times New Roman" w:eastAsia="MS Mincho" w:hAnsi="Times New Roman" w:cs="Times New Roman"/>
          <w:sz w:val="22"/>
          <w:szCs w:val="24"/>
          <w:lang w:val="en-GB" w:eastAsia="ja-JP"/>
        </w:rPr>
        <w:t xml:space="preserve">) in Gaza. </w:t>
      </w:r>
      <w:r w:rsidR="0049604A" w:rsidRPr="00647752">
        <w:rPr>
          <w:rFonts w:ascii="Times New Roman" w:eastAsia="MS Mincho" w:hAnsi="Times New Roman" w:cs="Times New Roman"/>
          <w:sz w:val="22"/>
          <w:szCs w:val="24"/>
          <w:lang w:val="en-GB" w:eastAsia="ja-JP"/>
        </w:rPr>
        <w:t>The LTF is incredibly popul</w:t>
      </w:r>
      <w:r>
        <w:rPr>
          <w:rFonts w:ascii="Times New Roman" w:eastAsia="MS Mincho" w:hAnsi="Times New Roman" w:cs="Times New Roman"/>
          <w:sz w:val="22"/>
          <w:szCs w:val="24"/>
          <w:lang w:val="en-GB" w:eastAsia="ja-JP"/>
        </w:rPr>
        <w:t>ar with donors and other organis</w:t>
      </w:r>
      <w:r w:rsidR="0049604A" w:rsidRPr="00647752">
        <w:rPr>
          <w:rFonts w:ascii="Times New Roman" w:eastAsia="MS Mincho" w:hAnsi="Times New Roman" w:cs="Times New Roman"/>
          <w:sz w:val="22"/>
          <w:szCs w:val="24"/>
          <w:lang w:val="en-GB" w:eastAsia="ja-JP"/>
        </w:rPr>
        <w:t>ations worki</w:t>
      </w:r>
      <w:r>
        <w:rPr>
          <w:rFonts w:ascii="Times New Roman" w:eastAsia="MS Mincho" w:hAnsi="Times New Roman" w:cs="Times New Roman"/>
          <w:sz w:val="22"/>
          <w:szCs w:val="24"/>
          <w:lang w:val="en-GB" w:eastAsia="ja-JP"/>
        </w:rPr>
        <w:t xml:space="preserve">ng in the rule of law sector. </w:t>
      </w:r>
      <w:r w:rsidR="0049604A" w:rsidRPr="00647752">
        <w:rPr>
          <w:rFonts w:ascii="Times New Roman" w:eastAsia="MS Mincho" w:hAnsi="Times New Roman" w:cs="Times New Roman"/>
          <w:sz w:val="22"/>
          <w:szCs w:val="24"/>
          <w:lang w:val="en-GB" w:eastAsia="ja-JP"/>
        </w:rPr>
        <w:t>A distinguishing feature of the L</w:t>
      </w:r>
      <w:r w:rsidR="00B9581E" w:rsidRPr="00647752">
        <w:rPr>
          <w:rFonts w:ascii="Times New Roman" w:eastAsia="MS Mincho" w:hAnsi="Times New Roman" w:cs="Times New Roman"/>
          <w:sz w:val="22"/>
          <w:szCs w:val="24"/>
          <w:lang w:val="en-GB" w:eastAsia="ja-JP"/>
        </w:rPr>
        <w:t xml:space="preserve">TF is </w:t>
      </w:r>
      <w:r w:rsidR="0049604A" w:rsidRPr="00647752">
        <w:rPr>
          <w:rFonts w:ascii="Times New Roman" w:eastAsia="MS Mincho" w:hAnsi="Times New Roman" w:cs="Times New Roman"/>
          <w:sz w:val="22"/>
          <w:szCs w:val="24"/>
          <w:lang w:val="en-GB" w:eastAsia="ja-JP"/>
        </w:rPr>
        <w:t>that its meetings are held in Arabic, compa</w:t>
      </w:r>
      <w:r>
        <w:rPr>
          <w:rFonts w:ascii="Times New Roman" w:eastAsia="MS Mincho" w:hAnsi="Times New Roman" w:cs="Times New Roman"/>
          <w:sz w:val="22"/>
          <w:szCs w:val="24"/>
          <w:lang w:val="en-GB" w:eastAsia="ja-JP"/>
        </w:rPr>
        <w:t xml:space="preserve">red with other working groups such as the </w:t>
      </w:r>
      <w:r w:rsidR="0049604A" w:rsidRPr="00647752">
        <w:rPr>
          <w:rFonts w:ascii="Times New Roman" w:eastAsia="MS Mincho" w:hAnsi="Times New Roman" w:cs="Times New Roman"/>
          <w:sz w:val="22"/>
          <w:szCs w:val="24"/>
          <w:lang w:val="en-GB" w:eastAsia="ja-JP"/>
        </w:rPr>
        <w:t xml:space="preserve">Protection </w:t>
      </w:r>
      <w:r>
        <w:rPr>
          <w:rFonts w:ascii="Times New Roman" w:eastAsia="MS Mincho" w:hAnsi="Times New Roman" w:cs="Times New Roman"/>
          <w:sz w:val="22"/>
          <w:szCs w:val="24"/>
          <w:lang w:val="en-GB" w:eastAsia="ja-JP"/>
        </w:rPr>
        <w:t xml:space="preserve">Cluster that are in English. </w:t>
      </w:r>
      <w:r w:rsidR="0049604A" w:rsidRPr="00647752">
        <w:rPr>
          <w:rFonts w:ascii="Times New Roman" w:eastAsia="MS Mincho" w:hAnsi="Times New Roman" w:cs="Times New Roman"/>
          <w:sz w:val="22"/>
          <w:szCs w:val="24"/>
          <w:lang w:val="en-GB" w:eastAsia="ja-JP"/>
        </w:rPr>
        <w:t>As of 2012, the majority of people who do rule of law work in Arabic actu</w:t>
      </w:r>
      <w:r>
        <w:rPr>
          <w:rFonts w:ascii="Times New Roman" w:eastAsia="MS Mincho" w:hAnsi="Times New Roman" w:cs="Times New Roman"/>
          <w:sz w:val="22"/>
          <w:szCs w:val="24"/>
          <w:lang w:val="en-GB" w:eastAsia="ja-JP"/>
        </w:rPr>
        <w:t xml:space="preserve">ally attend the LTF meetings. </w:t>
      </w:r>
      <w:r w:rsidR="0049604A" w:rsidRPr="00647752">
        <w:rPr>
          <w:rFonts w:ascii="Times New Roman" w:eastAsia="MS Mincho" w:hAnsi="Times New Roman" w:cs="Times New Roman"/>
          <w:sz w:val="22"/>
          <w:szCs w:val="24"/>
          <w:lang w:val="en-GB" w:eastAsia="ja-JP"/>
        </w:rPr>
        <w:t>According to UNDP</w:t>
      </w:r>
      <w:r>
        <w:rPr>
          <w:rFonts w:ascii="Times New Roman" w:eastAsia="MS Mincho" w:hAnsi="Times New Roman" w:cs="Times New Roman"/>
          <w:sz w:val="22"/>
          <w:szCs w:val="24"/>
          <w:lang w:val="en-GB" w:eastAsia="ja-JP"/>
        </w:rPr>
        <w:t>’s partners interviewed by the e</w:t>
      </w:r>
      <w:r w:rsidR="0049604A" w:rsidRPr="00647752">
        <w:rPr>
          <w:rFonts w:ascii="Times New Roman" w:eastAsia="MS Mincho" w:hAnsi="Times New Roman" w:cs="Times New Roman"/>
          <w:sz w:val="22"/>
          <w:szCs w:val="24"/>
          <w:lang w:val="en-GB" w:eastAsia="ja-JP"/>
        </w:rPr>
        <w:t>valuation, the LTF has proved to be a useful mecha</w:t>
      </w:r>
      <w:r>
        <w:rPr>
          <w:rFonts w:ascii="Times New Roman" w:eastAsia="MS Mincho" w:hAnsi="Times New Roman" w:cs="Times New Roman"/>
          <w:sz w:val="22"/>
          <w:szCs w:val="24"/>
          <w:lang w:val="en-GB" w:eastAsia="ja-JP"/>
        </w:rPr>
        <w:t>nism for updating partners.  At the same time,</w:t>
      </w:r>
      <w:r w:rsidR="0049604A" w:rsidRPr="00647752">
        <w:rPr>
          <w:rFonts w:ascii="Times New Roman" w:eastAsia="MS Mincho" w:hAnsi="Times New Roman" w:cs="Times New Roman"/>
          <w:sz w:val="22"/>
          <w:szCs w:val="24"/>
          <w:lang w:val="en-GB" w:eastAsia="ja-JP"/>
        </w:rPr>
        <w:t xml:space="preserve"> a criticism was raised that the LTF has been used too much for purely informational purposes, discusses too broad a spectrum of topics and could</w:t>
      </w:r>
      <w:r w:rsidR="00205164">
        <w:rPr>
          <w:rFonts w:ascii="Times New Roman" w:eastAsia="MS Mincho" w:hAnsi="Times New Roman" w:cs="Times New Roman"/>
          <w:sz w:val="22"/>
          <w:szCs w:val="24"/>
          <w:lang w:val="en-GB" w:eastAsia="ja-JP"/>
        </w:rPr>
        <w:t xml:space="preserve"> be made more action oriented. </w:t>
      </w:r>
      <w:r w:rsidR="0049604A" w:rsidRPr="00647752">
        <w:rPr>
          <w:rFonts w:ascii="Times New Roman" w:eastAsia="MS Mincho" w:hAnsi="Times New Roman" w:cs="Times New Roman"/>
          <w:sz w:val="22"/>
          <w:szCs w:val="24"/>
          <w:lang w:val="en-GB" w:eastAsia="ja-JP"/>
        </w:rPr>
        <w:t xml:space="preserve">A difficulty of the </w:t>
      </w:r>
      <w:r w:rsidR="00B9581E" w:rsidRPr="00647752">
        <w:rPr>
          <w:rFonts w:ascii="Times New Roman" w:eastAsia="MS Mincho" w:hAnsi="Times New Roman" w:cs="Times New Roman"/>
          <w:sz w:val="22"/>
          <w:szCs w:val="24"/>
          <w:lang w:val="en-GB" w:eastAsia="ja-JP"/>
        </w:rPr>
        <w:t>LTF</w:t>
      </w:r>
      <w:r w:rsidR="000063A3">
        <w:rPr>
          <w:rFonts w:ascii="Times New Roman" w:eastAsia="MS Mincho" w:hAnsi="Times New Roman" w:cs="Times New Roman"/>
          <w:sz w:val="22"/>
          <w:szCs w:val="24"/>
          <w:lang w:val="en-GB" w:eastAsia="ja-JP"/>
        </w:rPr>
        <w:t xml:space="preserve"> </w:t>
      </w:r>
      <w:r w:rsidR="00954AF0" w:rsidRPr="00647752">
        <w:rPr>
          <w:rFonts w:ascii="Times New Roman" w:eastAsia="MS Mincho" w:hAnsi="Times New Roman" w:cs="Times New Roman"/>
          <w:sz w:val="22"/>
          <w:szCs w:val="24"/>
          <w:lang w:val="en-GB" w:eastAsia="ja-JP"/>
        </w:rPr>
        <w:t>has been</w:t>
      </w:r>
      <w:r w:rsidR="000063A3">
        <w:rPr>
          <w:rFonts w:ascii="Times New Roman" w:eastAsia="MS Mincho" w:hAnsi="Times New Roman" w:cs="Times New Roman"/>
          <w:sz w:val="22"/>
          <w:szCs w:val="24"/>
          <w:lang w:val="en-GB" w:eastAsia="ja-JP"/>
        </w:rPr>
        <w:t xml:space="preserve"> </w:t>
      </w:r>
      <w:r w:rsidR="0049604A" w:rsidRPr="00647752">
        <w:rPr>
          <w:rFonts w:ascii="Times New Roman" w:eastAsia="MS Mincho" w:hAnsi="Times New Roman" w:cs="Times New Roman"/>
          <w:sz w:val="22"/>
          <w:szCs w:val="24"/>
          <w:lang w:val="en-GB" w:eastAsia="ja-JP"/>
        </w:rPr>
        <w:t xml:space="preserve">that its agendas sometimes </w:t>
      </w:r>
      <w:r w:rsidR="00954AF0" w:rsidRPr="00647752">
        <w:rPr>
          <w:rFonts w:ascii="Times New Roman" w:eastAsia="MS Mincho" w:hAnsi="Times New Roman" w:cs="Times New Roman"/>
          <w:sz w:val="22"/>
          <w:szCs w:val="24"/>
          <w:lang w:val="en-GB" w:eastAsia="ja-JP"/>
        </w:rPr>
        <w:t>did not</w:t>
      </w:r>
      <w:r w:rsidR="000063A3">
        <w:rPr>
          <w:rFonts w:ascii="Times New Roman" w:eastAsia="MS Mincho" w:hAnsi="Times New Roman" w:cs="Times New Roman"/>
          <w:sz w:val="22"/>
          <w:szCs w:val="24"/>
          <w:lang w:val="en-GB" w:eastAsia="ja-JP"/>
        </w:rPr>
        <w:t xml:space="preserve"> </w:t>
      </w:r>
      <w:r w:rsidR="0049604A" w:rsidRPr="00647752">
        <w:rPr>
          <w:rFonts w:ascii="Times New Roman" w:eastAsia="MS Mincho" w:hAnsi="Times New Roman" w:cs="Times New Roman"/>
          <w:sz w:val="22"/>
          <w:szCs w:val="24"/>
          <w:lang w:val="en-GB" w:eastAsia="ja-JP"/>
        </w:rPr>
        <w:t>relate to the</w:t>
      </w:r>
      <w:r w:rsidR="00205164">
        <w:rPr>
          <w:rFonts w:ascii="Times New Roman" w:eastAsia="MS Mincho" w:hAnsi="Times New Roman" w:cs="Times New Roman"/>
          <w:sz w:val="22"/>
          <w:szCs w:val="24"/>
          <w:lang w:val="en-GB" w:eastAsia="ja-JP"/>
        </w:rPr>
        <w:t xml:space="preserve"> overall humanitarian cluster. </w:t>
      </w:r>
      <w:r w:rsidR="0049604A" w:rsidRPr="00647752">
        <w:rPr>
          <w:rFonts w:ascii="Times New Roman" w:eastAsia="MS Mincho" w:hAnsi="Times New Roman" w:cs="Times New Roman"/>
          <w:sz w:val="22"/>
          <w:szCs w:val="24"/>
          <w:lang w:val="en-GB" w:eastAsia="ja-JP"/>
        </w:rPr>
        <w:t>It was also perceived that the LTF has often been “top heavy” with UNDP</w:t>
      </w:r>
      <w:r w:rsidR="00205164">
        <w:rPr>
          <w:rFonts w:ascii="Times New Roman" w:eastAsia="MS Mincho" w:hAnsi="Times New Roman" w:cs="Times New Roman"/>
          <w:sz w:val="22"/>
          <w:szCs w:val="24"/>
          <w:lang w:val="en-GB" w:eastAsia="ja-JP"/>
        </w:rPr>
        <w:t xml:space="preserve"> and NRC</w:t>
      </w:r>
      <w:r w:rsidR="0049604A" w:rsidRPr="00647752">
        <w:rPr>
          <w:rFonts w:ascii="Times New Roman" w:eastAsia="MS Mincho" w:hAnsi="Times New Roman" w:cs="Times New Roman"/>
          <w:sz w:val="22"/>
          <w:szCs w:val="24"/>
          <w:lang w:val="en-GB" w:eastAsia="ja-JP"/>
        </w:rPr>
        <w:t xml:space="preserve"> informa</w:t>
      </w:r>
      <w:r w:rsidR="00205164">
        <w:rPr>
          <w:rFonts w:ascii="Times New Roman" w:eastAsia="MS Mincho" w:hAnsi="Times New Roman" w:cs="Times New Roman"/>
          <w:sz w:val="22"/>
          <w:szCs w:val="24"/>
          <w:lang w:val="en-GB" w:eastAsia="ja-JP"/>
        </w:rPr>
        <w:t xml:space="preserve">tion </w:t>
      </w:r>
      <w:r w:rsidR="0049604A" w:rsidRPr="00647752">
        <w:rPr>
          <w:rFonts w:ascii="Times New Roman" w:eastAsia="MS Mincho" w:hAnsi="Times New Roman" w:cs="Times New Roman"/>
          <w:sz w:val="22"/>
          <w:szCs w:val="24"/>
          <w:lang w:val="en-GB" w:eastAsia="ja-JP"/>
        </w:rPr>
        <w:t>inste</w:t>
      </w:r>
      <w:r w:rsidR="00205164">
        <w:rPr>
          <w:rFonts w:ascii="Times New Roman" w:eastAsia="MS Mincho" w:hAnsi="Times New Roman" w:cs="Times New Roman"/>
          <w:sz w:val="22"/>
          <w:szCs w:val="24"/>
          <w:lang w:val="en-GB" w:eastAsia="ja-JP"/>
        </w:rPr>
        <w:t>ad of allowing different organis</w:t>
      </w:r>
      <w:r w:rsidR="0049604A" w:rsidRPr="00647752">
        <w:rPr>
          <w:rFonts w:ascii="Times New Roman" w:eastAsia="MS Mincho" w:hAnsi="Times New Roman" w:cs="Times New Roman"/>
          <w:sz w:val="22"/>
          <w:szCs w:val="24"/>
          <w:lang w:val="en-GB" w:eastAsia="ja-JP"/>
        </w:rPr>
        <w:t>ations to alternatively</w:t>
      </w:r>
      <w:r w:rsidR="00205164">
        <w:rPr>
          <w:rFonts w:ascii="Times New Roman" w:eastAsia="MS Mincho" w:hAnsi="Times New Roman" w:cs="Times New Roman"/>
          <w:sz w:val="22"/>
          <w:szCs w:val="24"/>
          <w:lang w:val="en-GB" w:eastAsia="ja-JP"/>
        </w:rPr>
        <w:t xml:space="preserve"> open the agenda in meetings. </w:t>
      </w:r>
      <w:r w:rsidR="00954AF0" w:rsidRPr="00647752">
        <w:rPr>
          <w:rFonts w:ascii="Times New Roman" w:eastAsia="MS Mincho" w:hAnsi="Times New Roman" w:cs="Times New Roman"/>
          <w:sz w:val="22"/>
          <w:szCs w:val="24"/>
          <w:lang w:val="en-GB" w:eastAsia="ja-JP"/>
        </w:rPr>
        <w:t>Largely as a result of these criticisms, the conduct of the LTF was recently</w:t>
      </w:r>
      <w:r w:rsidR="00205164">
        <w:rPr>
          <w:rFonts w:ascii="Times New Roman" w:eastAsia="MS Mincho" w:hAnsi="Times New Roman" w:cs="Times New Roman"/>
          <w:sz w:val="22"/>
          <w:szCs w:val="24"/>
          <w:lang w:val="en-GB" w:eastAsia="ja-JP"/>
        </w:rPr>
        <w:t xml:space="preserve"> revisited </w:t>
      </w:r>
      <w:r w:rsidR="00954AF0" w:rsidRPr="00647752">
        <w:rPr>
          <w:rFonts w:ascii="Times New Roman" w:eastAsia="MS Mincho" w:hAnsi="Times New Roman" w:cs="Times New Roman"/>
          <w:sz w:val="22"/>
          <w:szCs w:val="24"/>
          <w:lang w:val="en-GB" w:eastAsia="ja-JP"/>
        </w:rPr>
        <w:t xml:space="preserve">and its structure modified. </w:t>
      </w:r>
    </w:p>
    <w:p w:rsidR="0049604A" w:rsidRPr="00647752" w:rsidRDefault="0049604A" w:rsidP="00FB6759">
      <w:pPr>
        <w:spacing w:after="0" w:line="240" w:lineRule="auto"/>
        <w:jc w:val="both"/>
        <w:rPr>
          <w:rFonts w:ascii="Times New Roman" w:eastAsia="MS Mincho" w:hAnsi="Times New Roman" w:cs="Times New Roman"/>
          <w:sz w:val="22"/>
          <w:szCs w:val="24"/>
          <w:lang w:val="en-GB" w:eastAsia="ja-JP"/>
        </w:rPr>
      </w:pPr>
    </w:p>
    <w:p w:rsidR="0049604A" w:rsidRPr="00647752" w:rsidRDefault="0049604A" w:rsidP="00FB6759">
      <w:pPr>
        <w:spacing w:after="0" w:line="240" w:lineRule="auto"/>
        <w:jc w:val="both"/>
        <w:rPr>
          <w:rFonts w:ascii="Times New Roman" w:eastAsia="MS Mincho" w:hAnsi="Times New Roman" w:cs="Times New Roman"/>
          <w:sz w:val="22"/>
          <w:szCs w:val="24"/>
          <w:lang w:val="en-GB" w:eastAsia="ja-JP"/>
        </w:rPr>
      </w:pPr>
      <w:r w:rsidRPr="00647752">
        <w:rPr>
          <w:rFonts w:ascii="Times New Roman" w:eastAsia="MS Mincho" w:hAnsi="Times New Roman" w:cs="Times New Roman"/>
          <w:sz w:val="22"/>
          <w:szCs w:val="24"/>
          <w:lang w:val="en-GB" w:eastAsia="ja-JP"/>
        </w:rPr>
        <w:t xml:space="preserve">To its credit in a recent meeting </w:t>
      </w:r>
      <w:r w:rsidR="00205164">
        <w:rPr>
          <w:rFonts w:ascii="Times New Roman" w:eastAsia="MS Mincho" w:hAnsi="Times New Roman" w:cs="Times New Roman"/>
          <w:sz w:val="22"/>
          <w:szCs w:val="24"/>
          <w:lang w:val="en-GB" w:eastAsia="ja-JP"/>
        </w:rPr>
        <w:t xml:space="preserve">the </w:t>
      </w:r>
      <w:r w:rsidRPr="00647752">
        <w:rPr>
          <w:rFonts w:ascii="Times New Roman" w:eastAsia="MS Mincho" w:hAnsi="Times New Roman" w:cs="Times New Roman"/>
          <w:sz w:val="22"/>
          <w:szCs w:val="24"/>
          <w:lang w:val="en-GB" w:eastAsia="ja-JP"/>
        </w:rPr>
        <w:t>LTF discus</w:t>
      </w:r>
      <w:r w:rsidR="00205164">
        <w:rPr>
          <w:rFonts w:ascii="Times New Roman" w:eastAsia="MS Mincho" w:hAnsi="Times New Roman" w:cs="Times New Roman"/>
          <w:sz w:val="22"/>
          <w:szCs w:val="24"/>
          <w:lang w:val="en-GB" w:eastAsia="ja-JP"/>
        </w:rPr>
        <w:t>sed how to make LTF more action-</w:t>
      </w:r>
      <w:r w:rsidRPr="00647752">
        <w:rPr>
          <w:rFonts w:ascii="Times New Roman" w:eastAsia="MS Mincho" w:hAnsi="Times New Roman" w:cs="Times New Roman"/>
          <w:sz w:val="22"/>
          <w:szCs w:val="24"/>
          <w:lang w:val="en-GB" w:eastAsia="ja-JP"/>
        </w:rPr>
        <w:t>oriented with a few issues of special foc</w:t>
      </w:r>
      <w:r w:rsidR="00205164">
        <w:rPr>
          <w:rFonts w:ascii="Times New Roman" w:eastAsia="MS Mincho" w:hAnsi="Times New Roman" w:cs="Times New Roman"/>
          <w:sz w:val="22"/>
          <w:szCs w:val="24"/>
          <w:lang w:val="en-GB" w:eastAsia="ja-JP"/>
        </w:rPr>
        <w:t>us and how to bring in more NGOs</w:t>
      </w:r>
      <w:r w:rsidRPr="00647752">
        <w:rPr>
          <w:rFonts w:ascii="Times New Roman" w:eastAsia="MS Mincho" w:hAnsi="Times New Roman" w:cs="Times New Roman"/>
          <w:sz w:val="22"/>
          <w:szCs w:val="24"/>
          <w:lang w:val="en-GB" w:eastAsia="ja-JP"/>
        </w:rPr>
        <w:t>. Overall it is perceived that under UNDP’s leadership the LTF is now m</w:t>
      </w:r>
      <w:r w:rsidR="00205164">
        <w:rPr>
          <w:rFonts w:ascii="Times New Roman" w:eastAsia="MS Mincho" w:hAnsi="Times New Roman" w:cs="Times New Roman"/>
          <w:sz w:val="22"/>
          <w:szCs w:val="24"/>
          <w:lang w:val="en-GB" w:eastAsia="ja-JP"/>
        </w:rPr>
        <w:t xml:space="preserve">oving in the right direction. </w:t>
      </w:r>
      <w:r w:rsidRPr="00647752">
        <w:rPr>
          <w:rFonts w:ascii="Times New Roman" w:eastAsia="MS Mincho" w:hAnsi="Times New Roman" w:cs="Times New Roman"/>
          <w:sz w:val="22"/>
          <w:szCs w:val="24"/>
          <w:lang w:val="en-GB" w:eastAsia="ja-JP"/>
        </w:rPr>
        <w:t xml:space="preserve">UNDP’s partners suggested that going </w:t>
      </w:r>
      <w:r w:rsidR="00205164">
        <w:rPr>
          <w:rFonts w:ascii="Times New Roman" w:eastAsia="MS Mincho" w:hAnsi="Times New Roman" w:cs="Times New Roman"/>
          <w:sz w:val="22"/>
          <w:szCs w:val="24"/>
          <w:lang w:val="en-GB" w:eastAsia="ja-JP"/>
        </w:rPr>
        <w:t>forward the LTF could address: 1</w:t>
      </w:r>
      <w:r w:rsidRPr="00647752">
        <w:rPr>
          <w:rFonts w:ascii="Times New Roman" w:eastAsia="MS Mincho" w:hAnsi="Times New Roman" w:cs="Times New Roman"/>
          <w:sz w:val="22"/>
          <w:szCs w:val="24"/>
          <w:lang w:val="en-GB" w:eastAsia="ja-JP"/>
        </w:rPr>
        <w:t>) issues of accountability for Israel</w:t>
      </w:r>
      <w:r w:rsidR="00205164">
        <w:rPr>
          <w:rFonts w:ascii="Times New Roman" w:eastAsia="MS Mincho" w:hAnsi="Times New Roman" w:cs="Times New Roman"/>
          <w:sz w:val="22"/>
          <w:szCs w:val="24"/>
          <w:lang w:val="en-GB" w:eastAsia="ja-JP"/>
        </w:rPr>
        <w:t>i violations of human rights; 2</w:t>
      </w:r>
      <w:r w:rsidRPr="00647752">
        <w:rPr>
          <w:rFonts w:ascii="Times New Roman" w:eastAsia="MS Mincho" w:hAnsi="Times New Roman" w:cs="Times New Roman"/>
          <w:sz w:val="22"/>
          <w:szCs w:val="24"/>
          <w:lang w:val="en-GB" w:eastAsia="ja-JP"/>
        </w:rPr>
        <w:t>) the gap in coordination among the donors about rights violations by th</w:t>
      </w:r>
      <w:r w:rsidR="00205164">
        <w:rPr>
          <w:rFonts w:ascii="Times New Roman" w:eastAsia="MS Mincho" w:hAnsi="Times New Roman" w:cs="Times New Roman"/>
          <w:sz w:val="22"/>
          <w:szCs w:val="24"/>
          <w:lang w:val="en-GB" w:eastAsia="ja-JP"/>
        </w:rPr>
        <w:t>e local authorities in Gaza; 3</w:t>
      </w:r>
      <w:r w:rsidRPr="00647752">
        <w:rPr>
          <w:rFonts w:ascii="Times New Roman" w:eastAsia="MS Mincho" w:hAnsi="Times New Roman" w:cs="Times New Roman"/>
          <w:sz w:val="22"/>
          <w:szCs w:val="24"/>
          <w:lang w:val="en-GB" w:eastAsia="ja-JP"/>
        </w:rPr>
        <w:t>) the deat</w:t>
      </w:r>
      <w:r w:rsidR="00205164">
        <w:rPr>
          <w:rFonts w:ascii="Times New Roman" w:eastAsia="MS Mincho" w:hAnsi="Times New Roman" w:cs="Times New Roman"/>
          <w:sz w:val="22"/>
          <w:szCs w:val="24"/>
          <w:lang w:val="en-GB" w:eastAsia="ja-JP"/>
        </w:rPr>
        <w:t>h penalty as applied in Gaza; 4) freedom of expression; and 5</w:t>
      </w:r>
      <w:r w:rsidRPr="00647752">
        <w:rPr>
          <w:rFonts w:ascii="Times New Roman" w:eastAsia="MS Mincho" w:hAnsi="Times New Roman" w:cs="Times New Roman"/>
          <w:sz w:val="22"/>
          <w:szCs w:val="24"/>
          <w:lang w:val="en-GB" w:eastAsia="ja-JP"/>
        </w:rPr>
        <w:t xml:space="preserve">) </w:t>
      </w:r>
      <w:r w:rsidR="00AA7E46" w:rsidRPr="00647752">
        <w:rPr>
          <w:rFonts w:ascii="Times New Roman" w:eastAsia="MS Mincho" w:hAnsi="Times New Roman" w:cs="Times New Roman"/>
          <w:sz w:val="22"/>
          <w:szCs w:val="24"/>
          <w:lang w:val="en-GB" w:eastAsia="ja-JP"/>
        </w:rPr>
        <w:t>honour</w:t>
      </w:r>
      <w:r w:rsidR="00205164">
        <w:rPr>
          <w:rFonts w:ascii="Times New Roman" w:eastAsia="MS Mincho" w:hAnsi="Times New Roman" w:cs="Times New Roman"/>
          <w:sz w:val="22"/>
          <w:szCs w:val="24"/>
          <w:lang w:val="en-GB" w:eastAsia="ja-JP"/>
        </w:rPr>
        <w:t xml:space="preserve"> killings and women’s issues.</w:t>
      </w:r>
      <w:r w:rsidRPr="00647752">
        <w:rPr>
          <w:rFonts w:ascii="Times New Roman" w:eastAsia="MS Mincho" w:hAnsi="Times New Roman" w:cs="Times New Roman"/>
          <w:sz w:val="22"/>
          <w:szCs w:val="24"/>
          <w:lang w:val="en-GB" w:eastAsia="ja-JP"/>
        </w:rPr>
        <w:t xml:space="preserve">  Additional areas could include incidences of eviction from land by the </w:t>
      </w:r>
      <w:r w:rsidR="00AA7E46" w:rsidRPr="00647752">
        <w:rPr>
          <w:rFonts w:ascii="Times New Roman" w:eastAsia="MS Mincho" w:hAnsi="Times New Roman" w:cs="Times New Roman"/>
          <w:sz w:val="22"/>
          <w:szCs w:val="24"/>
          <w:lang w:val="en-GB" w:eastAsia="ja-JP"/>
        </w:rPr>
        <w:t>Hamas</w:t>
      </w:r>
      <w:r w:rsidRPr="00647752">
        <w:rPr>
          <w:rFonts w:ascii="Times New Roman" w:eastAsia="MS Mincho" w:hAnsi="Times New Roman" w:cs="Times New Roman"/>
          <w:sz w:val="22"/>
          <w:szCs w:val="24"/>
          <w:lang w:val="en-GB" w:eastAsia="ja-JP"/>
        </w:rPr>
        <w:t xml:space="preserve"> government and homes damages as a r</w:t>
      </w:r>
      <w:r w:rsidR="00205164">
        <w:rPr>
          <w:rFonts w:ascii="Times New Roman" w:eastAsia="MS Mincho" w:hAnsi="Times New Roman" w:cs="Times New Roman"/>
          <w:sz w:val="22"/>
          <w:szCs w:val="24"/>
          <w:lang w:val="en-GB" w:eastAsia="ja-JP"/>
        </w:rPr>
        <w:t xml:space="preserve">esult. </w:t>
      </w:r>
      <w:r w:rsidRPr="00647752">
        <w:rPr>
          <w:rFonts w:ascii="Times New Roman" w:eastAsia="MS Mincho" w:hAnsi="Times New Roman" w:cs="Times New Roman"/>
          <w:sz w:val="22"/>
          <w:szCs w:val="24"/>
          <w:lang w:val="en-GB" w:eastAsia="ja-JP"/>
        </w:rPr>
        <w:t>It was observed that the cluster as a whole could take on issues that are broader than t</w:t>
      </w:r>
      <w:r w:rsidR="00205164">
        <w:rPr>
          <w:rFonts w:ascii="Times New Roman" w:eastAsia="MS Mincho" w:hAnsi="Times New Roman" w:cs="Times New Roman"/>
          <w:sz w:val="22"/>
          <w:szCs w:val="24"/>
          <w:lang w:val="en-GB" w:eastAsia="ja-JP"/>
        </w:rPr>
        <w:t xml:space="preserve">he mandate of any one donor. </w:t>
      </w:r>
      <w:r w:rsidRPr="00647752">
        <w:rPr>
          <w:rFonts w:ascii="Times New Roman" w:eastAsia="MS Mincho" w:hAnsi="Times New Roman" w:cs="Times New Roman"/>
          <w:sz w:val="22"/>
          <w:szCs w:val="24"/>
          <w:lang w:val="en-GB" w:eastAsia="ja-JP"/>
        </w:rPr>
        <w:t xml:space="preserve">In general, the LTF could serve the purpose of “monitoring” the </w:t>
      </w:r>
      <w:r w:rsidR="00AA7E46" w:rsidRPr="00647752">
        <w:rPr>
          <w:rFonts w:ascii="Times New Roman" w:eastAsia="MS Mincho" w:hAnsi="Times New Roman" w:cs="Times New Roman"/>
          <w:sz w:val="22"/>
          <w:szCs w:val="24"/>
          <w:lang w:val="en-GB" w:eastAsia="ja-JP"/>
        </w:rPr>
        <w:t>Hamas</w:t>
      </w:r>
      <w:r w:rsidR="000063A3">
        <w:rPr>
          <w:rFonts w:ascii="Times New Roman" w:eastAsia="MS Mincho" w:hAnsi="Times New Roman" w:cs="Times New Roman"/>
          <w:sz w:val="22"/>
          <w:szCs w:val="24"/>
          <w:lang w:val="en-GB" w:eastAsia="ja-JP"/>
        </w:rPr>
        <w:t xml:space="preserve"> </w:t>
      </w:r>
      <w:r w:rsidRPr="00647752">
        <w:rPr>
          <w:rFonts w:ascii="Times New Roman" w:eastAsia="MS Mincho" w:hAnsi="Times New Roman" w:cs="Times New Roman"/>
          <w:sz w:val="22"/>
          <w:szCs w:val="24"/>
          <w:lang w:val="en-GB" w:eastAsia="ja-JP"/>
        </w:rPr>
        <w:t>government’s polic</w:t>
      </w:r>
      <w:r w:rsidR="00205164">
        <w:rPr>
          <w:rFonts w:ascii="Times New Roman" w:eastAsia="MS Mincho" w:hAnsi="Times New Roman" w:cs="Times New Roman"/>
          <w:sz w:val="22"/>
          <w:szCs w:val="24"/>
          <w:lang w:val="en-GB" w:eastAsia="ja-JP"/>
        </w:rPr>
        <w:t xml:space="preserve">ies in the rule of law sector. </w:t>
      </w:r>
      <w:r w:rsidRPr="00647752">
        <w:rPr>
          <w:rFonts w:ascii="Times New Roman" w:eastAsia="MS Mincho" w:hAnsi="Times New Roman" w:cs="Times New Roman"/>
          <w:sz w:val="22"/>
          <w:szCs w:val="24"/>
          <w:lang w:val="en-GB" w:eastAsia="ja-JP"/>
        </w:rPr>
        <w:t>A</w:t>
      </w:r>
      <w:r w:rsidR="00205164">
        <w:rPr>
          <w:rFonts w:ascii="Times New Roman" w:eastAsia="MS Mincho" w:hAnsi="Times New Roman" w:cs="Times New Roman"/>
          <w:sz w:val="22"/>
          <w:szCs w:val="24"/>
          <w:lang w:val="en-GB" w:eastAsia="ja-JP"/>
        </w:rPr>
        <w:t>t the moment very few organis</w:t>
      </w:r>
      <w:r w:rsidRPr="00647752">
        <w:rPr>
          <w:rFonts w:ascii="Times New Roman" w:eastAsia="MS Mincho" w:hAnsi="Times New Roman" w:cs="Times New Roman"/>
          <w:sz w:val="22"/>
          <w:szCs w:val="24"/>
          <w:lang w:val="en-GB" w:eastAsia="ja-JP"/>
        </w:rPr>
        <w:t xml:space="preserve">ations are actually monitoring </w:t>
      </w:r>
      <w:r w:rsidR="00AA7E46" w:rsidRPr="00647752">
        <w:rPr>
          <w:rFonts w:ascii="Times New Roman" w:eastAsia="MS Mincho" w:hAnsi="Times New Roman" w:cs="Times New Roman"/>
          <w:sz w:val="22"/>
          <w:szCs w:val="24"/>
          <w:lang w:val="en-GB" w:eastAsia="ja-JP"/>
        </w:rPr>
        <w:t>Hamas</w:t>
      </w:r>
      <w:r w:rsidR="00205164">
        <w:rPr>
          <w:rFonts w:ascii="Times New Roman" w:eastAsia="MS Mincho" w:hAnsi="Times New Roman" w:cs="Times New Roman"/>
          <w:sz w:val="22"/>
          <w:szCs w:val="24"/>
          <w:lang w:val="en-GB" w:eastAsia="ja-JP"/>
        </w:rPr>
        <w:t xml:space="preserve"> itself.</w:t>
      </w:r>
    </w:p>
    <w:p w:rsidR="0049604A" w:rsidRPr="00647752" w:rsidRDefault="0049604A" w:rsidP="00FB6759">
      <w:pPr>
        <w:spacing w:after="0" w:line="240" w:lineRule="auto"/>
        <w:jc w:val="both"/>
        <w:rPr>
          <w:rFonts w:ascii="Times New Roman" w:eastAsia="MS Mincho" w:hAnsi="Times New Roman" w:cs="Times New Roman"/>
          <w:sz w:val="22"/>
          <w:szCs w:val="24"/>
          <w:lang w:val="en-GB" w:eastAsia="ja-JP"/>
        </w:rPr>
      </w:pPr>
    </w:p>
    <w:p w:rsidR="00D615AE" w:rsidRPr="00D6650F" w:rsidRDefault="0049604A" w:rsidP="00FB6759">
      <w:pPr>
        <w:spacing w:after="0" w:line="240" w:lineRule="auto"/>
        <w:jc w:val="both"/>
        <w:rPr>
          <w:rFonts w:ascii="Times New Roman" w:eastAsia="MS Mincho" w:hAnsi="Times New Roman" w:cs="Times New Roman"/>
          <w:sz w:val="22"/>
          <w:szCs w:val="24"/>
          <w:lang w:val="en-GB" w:eastAsia="ja-JP"/>
        </w:rPr>
      </w:pPr>
      <w:r w:rsidRPr="00647752">
        <w:rPr>
          <w:rFonts w:ascii="Times New Roman" w:eastAsia="MS Mincho" w:hAnsi="Times New Roman" w:cs="Times New Roman"/>
          <w:sz w:val="22"/>
          <w:szCs w:val="24"/>
          <w:lang w:val="en-GB" w:eastAsia="ja-JP"/>
        </w:rPr>
        <w:lastRenderedPageBreak/>
        <w:t>OHCHR recently conducted two capacity building workshops with UNDP Gaza for lawyers who are in</w:t>
      </w:r>
      <w:r w:rsidR="00205164">
        <w:rPr>
          <w:rFonts w:ascii="Times New Roman" w:eastAsia="MS Mincho" w:hAnsi="Times New Roman" w:cs="Times New Roman"/>
          <w:sz w:val="22"/>
          <w:szCs w:val="24"/>
          <w:lang w:val="en-GB" w:eastAsia="ja-JP"/>
        </w:rPr>
        <w:t xml:space="preserve">volved in death penalty cases. </w:t>
      </w:r>
      <w:r w:rsidRPr="00647752">
        <w:rPr>
          <w:rFonts w:ascii="Times New Roman" w:eastAsia="MS Mincho" w:hAnsi="Times New Roman" w:cs="Times New Roman"/>
          <w:sz w:val="22"/>
          <w:szCs w:val="24"/>
          <w:lang w:val="en-GB" w:eastAsia="ja-JP"/>
        </w:rPr>
        <w:t>OHCHR stated that thes</w:t>
      </w:r>
      <w:r w:rsidR="00205164">
        <w:rPr>
          <w:rFonts w:ascii="Times New Roman" w:eastAsia="MS Mincho" w:hAnsi="Times New Roman" w:cs="Times New Roman"/>
          <w:sz w:val="22"/>
          <w:szCs w:val="24"/>
          <w:lang w:val="en-GB" w:eastAsia="ja-JP"/>
        </w:rPr>
        <w:t xml:space="preserve">e were done very well by UNDP. </w:t>
      </w:r>
      <w:r w:rsidRPr="00647752">
        <w:rPr>
          <w:rFonts w:ascii="Times New Roman" w:eastAsia="MS Mincho" w:hAnsi="Times New Roman" w:cs="Times New Roman"/>
          <w:sz w:val="22"/>
          <w:szCs w:val="24"/>
          <w:lang w:val="en-GB" w:eastAsia="ja-JP"/>
        </w:rPr>
        <w:t>Also OHCHR cooperated with UN</w:t>
      </w:r>
      <w:r w:rsidR="00205164">
        <w:rPr>
          <w:rFonts w:ascii="Times New Roman" w:eastAsia="MS Mincho" w:hAnsi="Times New Roman" w:cs="Times New Roman"/>
          <w:sz w:val="22"/>
          <w:szCs w:val="24"/>
          <w:lang w:val="en-GB" w:eastAsia="ja-JP"/>
        </w:rPr>
        <w:t xml:space="preserve">DP on putting the ICC </w:t>
      </w:r>
      <w:r w:rsidRPr="00647752">
        <w:rPr>
          <w:rFonts w:ascii="Times New Roman" w:eastAsia="MS Mincho" w:hAnsi="Times New Roman" w:cs="Times New Roman"/>
          <w:sz w:val="22"/>
          <w:szCs w:val="24"/>
          <w:lang w:val="en-GB" w:eastAsia="ja-JP"/>
        </w:rPr>
        <w:t>moot</w:t>
      </w:r>
      <w:r w:rsidR="00205164">
        <w:rPr>
          <w:rFonts w:ascii="Times New Roman" w:eastAsia="MS Mincho" w:hAnsi="Times New Roman" w:cs="Times New Roman"/>
          <w:sz w:val="22"/>
          <w:szCs w:val="24"/>
          <w:lang w:val="en-GB" w:eastAsia="ja-JP"/>
        </w:rPr>
        <w:t xml:space="preserve"> court competition together. </w:t>
      </w:r>
      <w:r w:rsidRPr="00647752">
        <w:rPr>
          <w:rFonts w:ascii="Times New Roman" w:eastAsia="MS Mincho" w:hAnsi="Times New Roman" w:cs="Times New Roman"/>
          <w:sz w:val="22"/>
          <w:szCs w:val="24"/>
          <w:lang w:val="en-GB" w:eastAsia="ja-JP"/>
        </w:rPr>
        <w:t xml:space="preserve">UNDP is also </w:t>
      </w:r>
      <w:r w:rsidR="00205164">
        <w:rPr>
          <w:rFonts w:ascii="Times New Roman" w:eastAsia="MS Mincho" w:hAnsi="Times New Roman" w:cs="Times New Roman"/>
          <w:sz w:val="22"/>
          <w:szCs w:val="24"/>
          <w:lang w:val="en-GB" w:eastAsia="ja-JP"/>
        </w:rPr>
        <w:t>very good at working with grassroots organis</w:t>
      </w:r>
      <w:r w:rsidRPr="00647752">
        <w:rPr>
          <w:rFonts w:ascii="Times New Roman" w:eastAsia="MS Mincho" w:hAnsi="Times New Roman" w:cs="Times New Roman"/>
          <w:sz w:val="22"/>
          <w:szCs w:val="24"/>
          <w:lang w:val="en-GB" w:eastAsia="ja-JP"/>
        </w:rPr>
        <w:t>ations and has a comparative advantage within the UNCT in this regard</w:t>
      </w:r>
      <w:r w:rsidR="00205164">
        <w:rPr>
          <w:rFonts w:ascii="Times New Roman" w:eastAsia="MS Mincho" w:hAnsi="Times New Roman" w:cs="Times New Roman"/>
          <w:sz w:val="22"/>
          <w:szCs w:val="24"/>
          <w:lang w:val="en-GB" w:eastAsia="ja-JP"/>
        </w:rPr>
        <w:t>.</w:t>
      </w:r>
      <w:r w:rsidRPr="00647752">
        <w:rPr>
          <w:rFonts w:ascii="Times New Roman" w:eastAsia="MS Mincho" w:hAnsi="Times New Roman" w:cs="Times New Roman"/>
          <w:sz w:val="22"/>
          <w:szCs w:val="24"/>
          <w:lang w:val="en-GB" w:eastAsia="ja-JP"/>
        </w:rPr>
        <w:t xml:space="preserve"> UNDP is also very well connected with academic </w:t>
      </w:r>
      <w:r w:rsidR="00205164">
        <w:rPr>
          <w:rFonts w:ascii="Times New Roman" w:eastAsia="MS Mincho" w:hAnsi="Times New Roman" w:cs="Times New Roman"/>
          <w:sz w:val="22"/>
          <w:szCs w:val="24"/>
          <w:lang w:val="en-GB" w:eastAsia="ja-JP"/>
        </w:rPr>
        <w:t xml:space="preserve">institutions. </w:t>
      </w:r>
      <w:r w:rsidR="00B06A7C" w:rsidRPr="00647752">
        <w:rPr>
          <w:rFonts w:ascii="Times New Roman" w:eastAsia="MS Mincho" w:hAnsi="Times New Roman" w:cs="Times New Roman"/>
          <w:sz w:val="22"/>
          <w:szCs w:val="24"/>
          <w:lang w:val="en-GB" w:eastAsia="ja-JP"/>
        </w:rPr>
        <w:t>At</w:t>
      </w:r>
      <w:r w:rsidRPr="00647752">
        <w:rPr>
          <w:rFonts w:ascii="Times New Roman" w:eastAsia="MS Mincho" w:hAnsi="Times New Roman" w:cs="Times New Roman"/>
          <w:sz w:val="22"/>
          <w:szCs w:val="24"/>
          <w:lang w:val="en-GB" w:eastAsia="ja-JP"/>
        </w:rPr>
        <w:t xml:space="preserve"> the moment, </w:t>
      </w:r>
      <w:r w:rsidR="00D6650F">
        <w:rPr>
          <w:rFonts w:ascii="Times New Roman" w:eastAsia="MS Mincho" w:hAnsi="Times New Roman" w:cs="Times New Roman"/>
          <w:sz w:val="22"/>
          <w:szCs w:val="24"/>
          <w:lang w:val="en-GB" w:eastAsia="ja-JP"/>
        </w:rPr>
        <w:t xml:space="preserve">UNDP does not employ an international staff member in Gaza; </w:t>
      </w:r>
      <w:r w:rsidRPr="00647752">
        <w:rPr>
          <w:rFonts w:ascii="Times New Roman" w:eastAsia="MS Mincho" w:hAnsi="Times New Roman" w:cs="Times New Roman"/>
          <w:sz w:val="22"/>
          <w:szCs w:val="24"/>
          <w:lang w:val="en-GB" w:eastAsia="ja-JP"/>
        </w:rPr>
        <w:t xml:space="preserve">OHCHR has </w:t>
      </w:r>
      <w:r w:rsidRPr="00AB6D72">
        <w:rPr>
          <w:rFonts w:ascii="Times New Roman" w:eastAsia="MS Mincho" w:hAnsi="Times New Roman" w:cs="Times New Roman"/>
          <w:sz w:val="22"/>
          <w:szCs w:val="22"/>
          <w:lang w:val="en-GB" w:eastAsia="ja-JP"/>
        </w:rPr>
        <w:t>asked the question of whether an expert advisor could add strategic value here.</w:t>
      </w:r>
    </w:p>
    <w:p w:rsidR="00A7293B" w:rsidRPr="00AB6D72" w:rsidRDefault="00A7293B" w:rsidP="00FB6759">
      <w:pPr>
        <w:spacing w:after="0" w:line="240" w:lineRule="auto"/>
        <w:jc w:val="both"/>
        <w:rPr>
          <w:rFonts w:ascii="Times New Roman" w:hAnsi="Times New Roman" w:cs="Times New Roman"/>
          <w:sz w:val="22"/>
          <w:szCs w:val="22"/>
          <w:lang w:val="en-GB"/>
        </w:rPr>
      </w:pPr>
    </w:p>
    <w:p w:rsidR="0023683A" w:rsidRPr="00AB6D72" w:rsidRDefault="0023683A" w:rsidP="00AB6D72">
      <w:pPr>
        <w:pStyle w:val="Heading3"/>
        <w:numPr>
          <w:ilvl w:val="0"/>
          <w:numId w:val="0"/>
        </w:numPr>
        <w:spacing w:before="0" w:after="0" w:line="240" w:lineRule="auto"/>
        <w:rPr>
          <w:rFonts w:ascii="Times New Roman" w:hAnsi="Times New Roman" w:cs="Times New Roman"/>
          <w:sz w:val="22"/>
          <w:szCs w:val="22"/>
          <w:lang w:val="en-GB"/>
        </w:rPr>
      </w:pPr>
      <w:bookmarkStart w:id="20" w:name="_Toc231801804"/>
      <w:r w:rsidRPr="00AB6D72">
        <w:rPr>
          <w:rFonts w:ascii="Times New Roman" w:hAnsi="Times New Roman" w:cs="Times New Roman"/>
          <w:sz w:val="22"/>
          <w:szCs w:val="22"/>
          <w:lang w:val="en-GB"/>
        </w:rPr>
        <w:t>Outcome 5:  Confidence building among stakeholders promoted</w:t>
      </w:r>
      <w:bookmarkEnd w:id="20"/>
    </w:p>
    <w:p w:rsidR="00AB6D72" w:rsidRPr="00AB6D72" w:rsidRDefault="00AB6D72" w:rsidP="00FB6759">
      <w:pPr>
        <w:spacing w:after="0" w:line="240" w:lineRule="auto"/>
        <w:jc w:val="both"/>
        <w:rPr>
          <w:rFonts w:ascii="Times New Roman" w:hAnsi="Times New Roman" w:cs="Times New Roman"/>
          <w:sz w:val="22"/>
          <w:szCs w:val="22"/>
          <w:lang w:val="en-GB"/>
        </w:rPr>
      </w:pPr>
    </w:p>
    <w:p w:rsidR="009661F7" w:rsidRPr="00647752" w:rsidRDefault="00325290" w:rsidP="00FB6759">
      <w:pPr>
        <w:spacing w:after="0" w:line="240" w:lineRule="auto"/>
        <w:jc w:val="both"/>
        <w:rPr>
          <w:rFonts w:ascii="Times New Roman" w:hAnsi="Times New Roman" w:cs="Times New Roman"/>
          <w:sz w:val="22"/>
          <w:szCs w:val="22"/>
          <w:lang w:val="en-GB"/>
        </w:rPr>
      </w:pPr>
      <w:r w:rsidRPr="00AB6D72">
        <w:rPr>
          <w:rFonts w:ascii="Times New Roman" w:hAnsi="Times New Roman" w:cs="Times New Roman"/>
          <w:sz w:val="22"/>
          <w:szCs w:val="22"/>
          <w:lang w:val="en-GB"/>
        </w:rPr>
        <w:t>The baselines for Outcome 5 identified the fact that in 2009</w:t>
      </w:r>
      <w:r w:rsidR="0098540E">
        <w:rPr>
          <w:rFonts w:ascii="Times New Roman" w:hAnsi="Times New Roman" w:cs="Times New Roman"/>
          <w:sz w:val="22"/>
          <w:szCs w:val="22"/>
          <w:lang w:val="en-GB"/>
        </w:rPr>
        <w:t>/2010</w:t>
      </w:r>
      <w:r w:rsidRPr="00AB6D72">
        <w:rPr>
          <w:rFonts w:ascii="Times New Roman" w:hAnsi="Times New Roman" w:cs="Times New Roman"/>
          <w:sz w:val="22"/>
          <w:szCs w:val="22"/>
          <w:lang w:val="en-GB"/>
        </w:rPr>
        <w:t xml:space="preserve"> there were limited networking opportunities</w:t>
      </w:r>
      <w:r w:rsidRPr="00647752">
        <w:rPr>
          <w:rFonts w:ascii="Times New Roman" w:hAnsi="Times New Roman" w:cs="Times New Roman"/>
          <w:sz w:val="22"/>
          <w:szCs w:val="22"/>
          <w:lang w:val="en-GB"/>
        </w:rPr>
        <w:t xml:space="preserve"> among CSOs engaged in similar initiatives in </w:t>
      </w:r>
      <w:r w:rsidR="0098540E">
        <w:rPr>
          <w:rFonts w:ascii="Times New Roman" w:hAnsi="Times New Roman" w:cs="Times New Roman"/>
          <w:sz w:val="22"/>
          <w:szCs w:val="22"/>
          <w:lang w:val="en-GB"/>
        </w:rPr>
        <w:t xml:space="preserve">the </w:t>
      </w:r>
      <w:r w:rsidR="00DE216A" w:rsidRPr="00647752">
        <w:rPr>
          <w:rFonts w:ascii="Times New Roman" w:hAnsi="Times New Roman" w:cs="Times New Roman"/>
          <w:sz w:val="22"/>
          <w:szCs w:val="22"/>
          <w:lang w:val="en-GB"/>
        </w:rPr>
        <w:t>oPt</w:t>
      </w:r>
      <w:r w:rsidRPr="00647752">
        <w:rPr>
          <w:rFonts w:ascii="Times New Roman" w:hAnsi="Times New Roman" w:cs="Times New Roman"/>
          <w:sz w:val="22"/>
          <w:szCs w:val="22"/>
          <w:lang w:val="en-GB"/>
        </w:rPr>
        <w:t>. Endemic to the s</w:t>
      </w:r>
      <w:r w:rsidR="0098540E">
        <w:rPr>
          <w:rFonts w:ascii="Times New Roman" w:hAnsi="Times New Roman" w:cs="Times New Roman"/>
          <w:sz w:val="22"/>
          <w:szCs w:val="22"/>
          <w:lang w:val="en-GB"/>
        </w:rPr>
        <w:t xml:space="preserve">ituation in both the </w:t>
      </w:r>
      <w:r w:rsidRPr="00647752">
        <w:rPr>
          <w:rFonts w:ascii="Times New Roman" w:hAnsi="Times New Roman" w:cs="Times New Roman"/>
          <w:sz w:val="22"/>
          <w:szCs w:val="22"/>
          <w:lang w:val="en-GB"/>
        </w:rPr>
        <w:t>West Bank and Gaza was a lack of trust by communities in the justice system. Addit</w:t>
      </w:r>
      <w:r w:rsidR="0098540E">
        <w:rPr>
          <w:rFonts w:ascii="Times New Roman" w:hAnsi="Times New Roman" w:cs="Times New Roman"/>
          <w:sz w:val="22"/>
          <w:szCs w:val="22"/>
          <w:lang w:val="en-GB"/>
        </w:rPr>
        <w:t xml:space="preserve">ionally, as of the start of </w:t>
      </w:r>
      <w:r w:rsidRPr="00647752">
        <w:rPr>
          <w:rFonts w:ascii="Times New Roman" w:hAnsi="Times New Roman" w:cs="Times New Roman"/>
          <w:sz w:val="22"/>
          <w:szCs w:val="22"/>
          <w:lang w:val="en-GB"/>
        </w:rPr>
        <w:t>UNDP</w:t>
      </w:r>
      <w:r w:rsidR="0098540E">
        <w:rPr>
          <w:rFonts w:ascii="Times New Roman" w:hAnsi="Times New Roman" w:cs="Times New Roman"/>
          <w:sz w:val="22"/>
          <w:szCs w:val="22"/>
          <w:lang w:val="en-GB"/>
        </w:rPr>
        <w:t>/PAPP’s</w:t>
      </w:r>
      <w:r w:rsidRPr="00647752">
        <w:rPr>
          <w:rFonts w:ascii="Times New Roman" w:hAnsi="Times New Roman" w:cs="Times New Roman"/>
          <w:sz w:val="22"/>
          <w:szCs w:val="22"/>
          <w:lang w:val="en-GB"/>
        </w:rPr>
        <w:t xml:space="preserve"> Rule of Law </w:t>
      </w:r>
      <w:r w:rsidR="00784D14" w:rsidRPr="00647752">
        <w:rPr>
          <w:rFonts w:ascii="Times New Roman" w:hAnsi="Times New Roman" w:cs="Times New Roman"/>
          <w:sz w:val="22"/>
          <w:szCs w:val="22"/>
          <w:lang w:val="en-GB"/>
        </w:rPr>
        <w:t xml:space="preserve">&amp; Access to Justice </w:t>
      </w:r>
      <w:r w:rsidRPr="00647752">
        <w:rPr>
          <w:rFonts w:ascii="Times New Roman" w:hAnsi="Times New Roman" w:cs="Times New Roman"/>
          <w:sz w:val="22"/>
          <w:szCs w:val="22"/>
          <w:lang w:val="en-GB"/>
        </w:rPr>
        <w:t>Program</w:t>
      </w:r>
      <w:r w:rsidR="0098540E">
        <w:rPr>
          <w:rFonts w:ascii="Times New Roman" w:hAnsi="Times New Roman" w:cs="Times New Roman"/>
          <w:sz w:val="22"/>
          <w:szCs w:val="22"/>
          <w:lang w:val="en-GB"/>
        </w:rPr>
        <w:t>me, there was a lack of harmonis</w:t>
      </w:r>
      <w:r w:rsidRPr="00647752">
        <w:rPr>
          <w:rFonts w:ascii="Times New Roman" w:hAnsi="Times New Roman" w:cs="Times New Roman"/>
          <w:sz w:val="22"/>
          <w:szCs w:val="22"/>
          <w:lang w:val="en-GB"/>
        </w:rPr>
        <w:t>ation betwee</w:t>
      </w:r>
      <w:r w:rsidR="0098540E">
        <w:rPr>
          <w:rFonts w:ascii="Times New Roman" w:hAnsi="Times New Roman" w:cs="Times New Roman"/>
          <w:sz w:val="22"/>
          <w:szCs w:val="22"/>
          <w:lang w:val="en-GB"/>
        </w:rPr>
        <w:t xml:space="preserve">n the legal systems </w:t>
      </w:r>
      <w:r w:rsidRPr="00647752">
        <w:rPr>
          <w:rFonts w:ascii="Times New Roman" w:hAnsi="Times New Roman" w:cs="Times New Roman"/>
          <w:sz w:val="22"/>
          <w:szCs w:val="22"/>
          <w:lang w:val="en-GB"/>
        </w:rPr>
        <w:t>the West Bank</w:t>
      </w:r>
      <w:r w:rsidR="0098540E">
        <w:rPr>
          <w:rFonts w:ascii="Times New Roman" w:hAnsi="Times New Roman" w:cs="Times New Roman"/>
          <w:sz w:val="22"/>
          <w:szCs w:val="22"/>
          <w:lang w:val="en-GB"/>
        </w:rPr>
        <w:t xml:space="preserve"> and Gaza</w:t>
      </w:r>
      <w:r w:rsidRPr="00647752">
        <w:rPr>
          <w:rFonts w:ascii="Times New Roman" w:hAnsi="Times New Roman" w:cs="Times New Roman"/>
          <w:sz w:val="22"/>
          <w:szCs w:val="22"/>
          <w:lang w:val="en-GB"/>
        </w:rPr>
        <w:t xml:space="preserve">, as well as deep internal divisions within institutions, </w:t>
      </w:r>
      <w:r w:rsidR="0098540E">
        <w:rPr>
          <w:rFonts w:ascii="Times New Roman" w:hAnsi="Times New Roman" w:cs="Times New Roman"/>
          <w:sz w:val="22"/>
          <w:szCs w:val="22"/>
          <w:lang w:val="en-GB"/>
        </w:rPr>
        <w:t xml:space="preserve">geographically, </w:t>
      </w:r>
      <w:r w:rsidRPr="00647752">
        <w:rPr>
          <w:rFonts w:ascii="Times New Roman" w:hAnsi="Times New Roman" w:cs="Times New Roman"/>
          <w:sz w:val="22"/>
          <w:szCs w:val="22"/>
          <w:lang w:val="en-GB"/>
        </w:rPr>
        <w:t>politic</w:t>
      </w:r>
      <w:r w:rsidR="0098540E">
        <w:rPr>
          <w:rFonts w:ascii="Times New Roman" w:hAnsi="Times New Roman" w:cs="Times New Roman"/>
          <w:sz w:val="22"/>
          <w:szCs w:val="22"/>
          <w:lang w:val="en-GB"/>
        </w:rPr>
        <w:t>ally and legally</w:t>
      </w:r>
      <w:r w:rsidRPr="00647752">
        <w:rPr>
          <w:rFonts w:ascii="Times New Roman" w:hAnsi="Times New Roman" w:cs="Times New Roman"/>
          <w:sz w:val="22"/>
          <w:szCs w:val="22"/>
          <w:lang w:val="en-GB"/>
        </w:rPr>
        <w:t>. As a result, there was little communication between</w:t>
      </w:r>
      <w:r w:rsidR="0098540E">
        <w:rPr>
          <w:rFonts w:ascii="Times New Roman" w:hAnsi="Times New Roman" w:cs="Times New Roman"/>
          <w:sz w:val="22"/>
          <w:szCs w:val="22"/>
          <w:lang w:val="en-GB"/>
        </w:rPr>
        <w:t xml:space="preserve"> legal professionals in </w:t>
      </w:r>
      <w:r w:rsidR="009661F7" w:rsidRPr="00647752">
        <w:rPr>
          <w:rFonts w:ascii="Times New Roman" w:hAnsi="Times New Roman" w:cs="Times New Roman"/>
          <w:sz w:val="22"/>
          <w:szCs w:val="22"/>
          <w:lang w:val="en-GB"/>
        </w:rPr>
        <w:t>the West Bank and Gaza.</w:t>
      </w:r>
    </w:p>
    <w:p w:rsidR="00AB6D72" w:rsidRDefault="00AB6D72" w:rsidP="00FB6759">
      <w:pPr>
        <w:spacing w:after="0" w:line="240" w:lineRule="auto"/>
        <w:jc w:val="both"/>
        <w:rPr>
          <w:rFonts w:ascii="Times New Roman" w:hAnsi="Times New Roman" w:cs="Times New Roman"/>
          <w:i/>
          <w:sz w:val="22"/>
          <w:szCs w:val="22"/>
          <w:lang w:val="en-GB"/>
        </w:rPr>
      </w:pPr>
    </w:p>
    <w:p w:rsidR="006853A8" w:rsidRPr="00647752" w:rsidRDefault="006853A8" w:rsidP="00FB6759">
      <w:pPr>
        <w:spacing w:after="0" w:line="240" w:lineRule="auto"/>
        <w:jc w:val="both"/>
        <w:rPr>
          <w:rFonts w:ascii="Times New Roman" w:hAnsi="Times New Roman" w:cs="Times New Roman"/>
          <w:i/>
          <w:sz w:val="22"/>
          <w:szCs w:val="22"/>
          <w:lang w:val="en-GB"/>
        </w:rPr>
      </w:pPr>
      <w:r w:rsidRPr="00647752">
        <w:rPr>
          <w:rFonts w:ascii="Times New Roman" w:hAnsi="Times New Roman" w:cs="Times New Roman"/>
          <w:i/>
          <w:sz w:val="22"/>
          <w:szCs w:val="22"/>
          <w:lang w:val="en-GB"/>
        </w:rPr>
        <w:t>Output 5.1: Advocacy capacity of CSOs strengthened</w:t>
      </w:r>
    </w:p>
    <w:p w:rsidR="00AB6D72" w:rsidRDefault="00AB6D72" w:rsidP="00FB6759">
      <w:pPr>
        <w:spacing w:after="0" w:line="240" w:lineRule="auto"/>
        <w:jc w:val="both"/>
        <w:rPr>
          <w:rFonts w:ascii="Times New Roman" w:hAnsi="Times New Roman" w:cs="Times New Roman"/>
          <w:sz w:val="22"/>
          <w:szCs w:val="22"/>
          <w:lang w:val="en-GB"/>
        </w:rPr>
      </w:pPr>
    </w:p>
    <w:p w:rsidR="00B90196" w:rsidRPr="00647752" w:rsidRDefault="00A7293B"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As discussed at several poin</w:t>
      </w:r>
      <w:r w:rsidR="0098540E">
        <w:rPr>
          <w:rFonts w:ascii="Times New Roman" w:hAnsi="Times New Roman" w:cs="Times New Roman"/>
          <w:sz w:val="22"/>
          <w:szCs w:val="22"/>
          <w:lang w:val="en-GB"/>
        </w:rPr>
        <w:t>ts in this report already, the p</w:t>
      </w:r>
      <w:r w:rsidRPr="00647752">
        <w:rPr>
          <w:rFonts w:ascii="Times New Roman" w:hAnsi="Times New Roman" w:cs="Times New Roman"/>
          <w:sz w:val="22"/>
          <w:szCs w:val="22"/>
          <w:lang w:val="en-GB"/>
        </w:rPr>
        <w:t>rogramme has acknowledged CSOs as critical partners in many o</w:t>
      </w:r>
      <w:r w:rsidR="0098540E">
        <w:rPr>
          <w:rFonts w:ascii="Times New Roman" w:hAnsi="Times New Roman" w:cs="Times New Roman"/>
          <w:sz w:val="22"/>
          <w:szCs w:val="22"/>
          <w:lang w:val="en-GB"/>
        </w:rPr>
        <w:t>f its initiatives. UNDP formalised and centralis</w:t>
      </w:r>
      <w:r w:rsidRPr="00647752">
        <w:rPr>
          <w:rFonts w:ascii="Times New Roman" w:hAnsi="Times New Roman" w:cs="Times New Roman"/>
          <w:sz w:val="22"/>
          <w:szCs w:val="22"/>
          <w:lang w:val="en-GB"/>
        </w:rPr>
        <w:t>ed this partnership through it</w:t>
      </w:r>
      <w:r w:rsidR="0098540E">
        <w:rPr>
          <w:rFonts w:ascii="Times New Roman" w:hAnsi="Times New Roman" w:cs="Times New Roman"/>
          <w:sz w:val="22"/>
          <w:szCs w:val="22"/>
          <w:lang w:val="en-GB"/>
        </w:rPr>
        <w:t>s CSI</w:t>
      </w:r>
      <w:r w:rsidR="009661F7" w:rsidRPr="00647752">
        <w:rPr>
          <w:rFonts w:ascii="Times New Roman" w:hAnsi="Times New Roman" w:cs="Times New Roman"/>
          <w:sz w:val="22"/>
          <w:szCs w:val="22"/>
          <w:lang w:val="en-GB"/>
        </w:rPr>
        <w:t xml:space="preserve">. </w:t>
      </w:r>
      <w:r w:rsidR="00F50C2E" w:rsidRPr="00647752">
        <w:rPr>
          <w:rFonts w:ascii="Times New Roman" w:hAnsi="Times New Roman" w:cs="Times New Roman"/>
          <w:sz w:val="22"/>
          <w:szCs w:val="22"/>
          <w:lang w:val="en-GB"/>
        </w:rPr>
        <w:t>Evidence of the success of the CSI and other capacity-building initiative</w:t>
      </w:r>
      <w:r w:rsidR="0098540E">
        <w:rPr>
          <w:rFonts w:ascii="Times New Roman" w:hAnsi="Times New Roman" w:cs="Times New Roman"/>
          <w:sz w:val="22"/>
          <w:szCs w:val="22"/>
          <w:lang w:val="en-GB"/>
        </w:rPr>
        <w:t xml:space="preserve">s can be found throughout this report. </w:t>
      </w:r>
      <w:r w:rsidR="00F50C2E" w:rsidRPr="00647752">
        <w:rPr>
          <w:rFonts w:ascii="Times New Roman" w:hAnsi="Times New Roman" w:cs="Times New Roman"/>
          <w:sz w:val="22"/>
          <w:szCs w:val="22"/>
          <w:lang w:val="en-GB"/>
        </w:rPr>
        <w:t>These g</w:t>
      </w:r>
      <w:r w:rsidRPr="00647752">
        <w:rPr>
          <w:rFonts w:ascii="Times New Roman" w:hAnsi="Times New Roman" w:cs="Times New Roman"/>
          <w:sz w:val="22"/>
          <w:szCs w:val="22"/>
          <w:lang w:val="en-GB"/>
        </w:rPr>
        <w:t>ains have been made through the CSI despite initial res</w:t>
      </w:r>
      <w:r w:rsidR="0098540E">
        <w:rPr>
          <w:rFonts w:ascii="Times New Roman" w:hAnsi="Times New Roman" w:cs="Times New Roman"/>
          <w:sz w:val="22"/>
          <w:szCs w:val="22"/>
          <w:lang w:val="en-GB"/>
        </w:rPr>
        <w:t xml:space="preserve">istance from the government </w:t>
      </w:r>
      <w:r w:rsidR="00F50C2E" w:rsidRPr="00647752">
        <w:rPr>
          <w:rFonts w:ascii="Times New Roman" w:hAnsi="Times New Roman" w:cs="Times New Roman"/>
          <w:sz w:val="22"/>
          <w:szCs w:val="22"/>
          <w:lang w:val="en-GB"/>
        </w:rPr>
        <w:t>and the PBA.</w:t>
      </w:r>
      <w:r w:rsidRPr="00647752">
        <w:rPr>
          <w:rStyle w:val="FootnoteReference"/>
          <w:rFonts w:ascii="Times New Roman" w:hAnsi="Times New Roman" w:cs="Times New Roman"/>
          <w:sz w:val="22"/>
          <w:szCs w:val="22"/>
          <w:lang w:val="en-GB"/>
        </w:rPr>
        <w:footnoteReference w:id="198"/>
      </w:r>
    </w:p>
    <w:p w:rsidR="00AB6D72" w:rsidRDefault="00AB6D72" w:rsidP="00FB6759">
      <w:pPr>
        <w:spacing w:after="0" w:line="240" w:lineRule="auto"/>
        <w:jc w:val="both"/>
        <w:rPr>
          <w:rFonts w:ascii="Times New Roman" w:hAnsi="Times New Roman" w:cs="Times New Roman"/>
          <w:sz w:val="22"/>
          <w:szCs w:val="22"/>
          <w:lang w:val="en-GB"/>
        </w:rPr>
      </w:pPr>
    </w:p>
    <w:p w:rsidR="00A7293B" w:rsidRPr="00647752" w:rsidRDefault="009661F7"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 xml:space="preserve">Essentially, Output 5.1 and 5.3 were </w:t>
      </w:r>
      <w:r w:rsidR="0098540E">
        <w:rPr>
          <w:rFonts w:ascii="Times New Roman" w:hAnsi="Times New Roman" w:cs="Times New Roman"/>
          <w:sz w:val="22"/>
          <w:szCs w:val="22"/>
          <w:lang w:val="en-GB"/>
        </w:rPr>
        <w:t>effectively “folded” into Outcome 2 (and Outcome</w:t>
      </w:r>
      <w:r w:rsidRPr="00647752">
        <w:rPr>
          <w:rFonts w:ascii="Times New Roman" w:hAnsi="Times New Roman" w:cs="Times New Roman"/>
          <w:sz w:val="22"/>
          <w:szCs w:val="22"/>
          <w:lang w:val="en-GB"/>
        </w:rPr>
        <w:t xml:space="preserve"> 4) discussed above.</w:t>
      </w:r>
      <w:r w:rsidR="000063A3">
        <w:rPr>
          <w:rFonts w:ascii="Times New Roman" w:hAnsi="Times New Roman" w:cs="Times New Roman"/>
          <w:sz w:val="22"/>
          <w:szCs w:val="22"/>
          <w:lang w:val="en-GB"/>
        </w:rPr>
        <w:t xml:space="preserve"> </w:t>
      </w:r>
      <w:r w:rsidR="00B90196" w:rsidRPr="00647752">
        <w:rPr>
          <w:rFonts w:ascii="Times New Roman" w:eastAsia="MS Mincho" w:hAnsi="Times New Roman" w:cs="Times New Roman"/>
          <w:sz w:val="22"/>
          <w:szCs w:val="24"/>
          <w:lang w:val="en-GB" w:eastAsia="ja-JP"/>
        </w:rPr>
        <w:t>Indeed, as discussed below, Output 5.3 was served, but in interviews with the CSOs themselves, they stated that no network had bee</w:t>
      </w:r>
      <w:r w:rsidR="0098540E">
        <w:rPr>
          <w:rFonts w:ascii="Times New Roman" w:eastAsia="MS Mincho" w:hAnsi="Times New Roman" w:cs="Times New Roman"/>
          <w:sz w:val="22"/>
          <w:szCs w:val="24"/>
          <w:lang w:val="en-GB" w:eastAsia="ja-JP"/>
        </w:rPr>
        <w:t xml:space="preserve">n achieved. </w:t>
      </w:r>
      <w:r w:rsidR="00B90196" w:rsidRPr="00647752">
        <w:rPr>
          <w:rFonts w:ascii="Times New Roman" w:eastAsia="MS Mincho" w:hAnsi="Times New Roman" w:cs="Times New Roman"/>
          <w:sz w:val="22"/>
          <w:szCs w:val="24"/>
          <w:lang w:val="en-GB" w:eastAsia="ja-JP"/>
        </w:rPr>
        <w:t>UNDP has discussed with CSOs whether they wanted a platform to meet with the P</w:t>
      </w:r>
      <w:r w:rsidR="0098540E">
        <w:rPr>
          <w:rFonts w:ascii="Times New Roman" w:eastAsia="MS Mincho" w:hAnsi="Times New Roman" w:cs="Times New Roman"/>
          <w:sz w:val="22"/>
          <w:szCs w:val="24"/>
          <w:lang w:val="en-GB" w:eastAsia="ja-JP"/>
        </w:rPr>
        <w:t>N</w:t>
      </w:r>
      <w:r w:rsidR="00B90196" w:rsidRPr="00647752">
        <w:rPr>
          <w:rFonts w:ascii="Times New Roman" w:eastAsia="MS Mincho" w:hAnsi="Times New Roman" w:cs="Times New Roman"/>
          <w:sz w:val="22"/>
          <w:szCs w:val="24"/>
          <w:lang w:val="en-GB" w:eastAsia="ja-JP"/>
        </w:rPr>
        <w:t xml:space="preserve">A </w:t>
      </w:r>
      <w:r w:rsidR="00AA7E46" w:rsidRPr="00647752">
        <w:rPr>
          <w:rFonts w:ascii="Times New Roman" w:eastAsia="MS Mincho" w:hAnsi="Times New Roman" w:cs="Times New Roman"/>
          <w:sz w:val="22"/>
          <w:szCs w:val="24"/>
          <w:lang w:val="en-GB" w:eastAsia="ja-JP"/>
        </w:rPr>
        <w:t>institutions;</w:t>
      </w:r>
      <w:r w:rsidR="0098540E">
        <w:rPr>
          <w:rFonts w:ascii="Times New Roman" w:eastAsia="MS Mincho" w:hAnsi="Times New Roman" w:cs="Times New Roman"/>
          <w:sz w:val="22"/>
          <w:szCs w:val="24"/>
          <w:lang w:val="en-GB" w:eastAsia="ja-JP"/>
        </w:rPr>
        <w:t xml:space="preserve"> some organis</w:t>
      </w:r>
      <w:r w:rsidR="00B90196" w:rsidRPr="00647752">
        <w:rPr>
          <w:rFonts w:ascii="Times New Roman" w:eastAsia="MS Mincho" w:hAnsi="Times New Roman" w:cs="Times New Roman"/>
          <w:sz w:val="22"/>
          <w:szCs w:val="24"/>
          <w:lang w:val="en-GB" w:eastAsia="ja-JP"/>
        </w:rPr>
        <w:t>ations were supportive of this idea, while others were not.</w:t>
      </w:r>
      <w:r w:rsidR="000063A3">
        <w:rPr>
          <w:rFonts w:ascii="Times New Roman" w:eastAsia="MS Mincho" w:hAnsi="Times New Roman" w:cs="Times New Roman"/>
          <w:sz w:val="22"/>
          <w:szCs w:val="24"/>
          <w:lang w:val="en-GB" w:eastAsia="ja-JP"/>
        </w:rPr>
        <w:t xml:space="preserve"> </w:t>
      </w:r>
      <w:r w:rsidR="00353971" w:rsidRPr="00647752">
        <w:rPr>
          <w:rFonts w:ascii="Times New Roman" w:eastAsia="MS Mincho" w:hAnsi="Times New Roman" w:cs="Times New Roman"/>
          <w:sz w:val="22"/>
          <w:szCs w:val="24"/>
          <w:lang w:val="en-GB" w:eastAsia="ja-JP"/>
        </w:rPr>
        <w:t>UNDP’s offers to assist in this regard were declined, as many CSOs are already working together on referrals, human rights, etc.</w:t>
      </w:r>
    </w:p>
    <w:p w:rsidR="00AB6D72" w:rsidRPr="0098540E" w:rsidRDefault="00AB6D72" w:rsidP="00FB6759">
      <w:pPr>
        <w:spacing w:after="0" w:line="240" w:lineRule="auto"/>
        <w:jc w:val="both"/>
        <w:rPr>
          <w:rFonts w:ascii="Times New Roman" w:hAnsi="Times New Roman" w:cs="Times New Roman"/>
          <w:sz w:val="22"/>
          <w:szCs w:val="22"/>
          <w:lang w:val="en-GB"/>
        </w:rPr>
      </w:pPr>
    </w:p>
    <w:p w:rsidR="002A641C" w:rsidRPr="00647752" w:rsidRDefault="006853A8" w:rsidP="00FB6759">
      <w:pPr>
        <w:spacing w:after="0" w:line="240" w:lineRule="auto"/>
        <w:jc w:val="both"/>
        <w:rPr>
          <w:rFonts w:ascii="Times New Roman" w:hAnsi="Times New Roman" w:cs="Times New Roman"/>
          <w:i/>
          <w:sz w:val="22"/>
          <w:szCs w:val="22"/>
          <w:lang w:val="en-GB"/>
        </w:rPr>
      </w:pPr>
      <w:r w:rsidRPr="00647752">
        <w:rPr>
          <w:rFonts w:ascii="Times New Roman" w:hAnsi="Times New Roman" w:cs="Times New Roman"/>
          <w:i/>
          <w:sz w:val="22"/>
          <w:szCs w:val="22"/>
          <w:lang w:val="en-GB"/>
        </w:rPr>
        <w:t>Output 5.2: Measurements and strategies for public confidence in justice service providers developed</w:t>
      </w:r>
    </w:p>
    <w:p w:rsidR="00AB6D72" w:rsidRDefault="00AB6D72" w:rsidP="00FB6759">
      <w:pPr>
        <w:spacing w:after="0" w:line="240" w:lineRule="auto"/>
        <w:jc w:val="both"/>
        <w:rPr>
          <w:rFonts w:ascii="Times New Roman" w:hAnsi="Times New Roman" w:cs="Times New Roman"/>
          <w:sz w:val="22"/>
          <w:szCs w:val="22"/>
          <w:lang w:val="en-GB"/>
        </w:rPr>
      </w:pPr>
    </w:p>
    <w:p w:rsidR="003622A6" w:rsidRPr="00647752" w:rsidRDefault="009A6D50"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Objective data is essential for measuring the baselines and setting benchmarks for the progress of any programme, and is particularly critical where, as here, the initiatives are aimed at generating positive change in the lives of real people.</w:t>
      </w:r>
      <w:r w:rsidRPr="00647752">
        <w:rPr>
          <w:rStyle w:val="FootnoteReference"/>
          <w:rFonts w:ascii="Times New Roman" w:hAnsi="Times New Roman" w:cs="Times New Roman"/>
          <w:sz w:val="22"/>
          <w:szCs w:val="22"/>
          <w:lang w:val="en-GB"/>
        </w:rPr>
        <w:footnoteReference w:id="199"/>
      </w:r>
      <w:r w:rsidR="006A23D0" w:rsidRPr="00647752">
        <w:rPr>
          <w:rFonts w:ascii="Times New Roman" w:hAnsi="Times New Roman" w:cs="Times New Roman"/>
          <w:sz w:val="22"/>
          <w:szCs w:val="22"/>
          <w:lang w:val="en-GB"/>
        </w:rPr>
        <w:t>UNDP has demonstrated awareness of this need by</w:t>
      </w:r>
      <w:r w:rsidR="000063A3">
        <w:rPr>
          <w:rFonts w:ascii="Times New Roman" w:hAnsi="Times New Roman" w:cs="Times New Roman"/>
          <w:sz w:val="22"/>
          <w:szCs w:val="22"/>
          <w:lang w:val="en-GB"/>
        </w:rPr>
        <w:t xml:space="preserve"> </w:t>
      </w:r>
      <w:r w:rsidR="006A23D0" w:rsidRPr="00647752">
        <w:rPr>
          <w:rFonts w:ascii="Times New Roman" w:hAnsi="Times New Roman" w:cs="Times New Roman"/>
          <w:sz w:val="22"/>
          <w:szCs w:val="22"/>
          <w:lang w:val="en-GB"/>
        </w:rPr>
        <w:t>gather</w:t>
      </w:r>
      <w:r w:rsidR="0098540E">
        <w:rPr>
          <w:rFonts w:ascii="Times New Roman" w:hAnsi="Times New Roman" w:cs="Times New Roman"/>
          <w:sz w:val="22"/>
          <w:szCs w:val="22"/>
          <w:lang w:val="en-GB"/>
        </w:rPr>
        <w:t>ing</w:t>
      </w:r>
      <w:r w:rsidR="006A23D0" w:rsidRPr="00647752">
        <w:rPr>
          <w:rFonts w:ascii="Times New Roman" w:hAnsi="Times New Roman" w:cs="Times New Roman"/>
          <w:sz w:val="22"/>
          <w:szCs w:val="22"/>
          <w:lang w:val="en-GB"/>
        </w:rPr>
        <w:t xml:space="preserve"> data on the public perceptions of performance of justice </w:t>
      </w:r>
      <w:r w:rsidR="0098540E">
        <w:rPr>
          <w:rFonts w:ascii="Times New Roman" w:hAnsi="Times New Roman" w:cs="Times New Roman"/>
          <w:sz w:val="22"/>
          <w:szCs w:val="22"/>
          <w:lang w:val="en-GB"/>
        </w:rPr>
        <w:t>and sector institutions.</w:t>
      </w:r>
      <w:r w:rsidR="006A23D0" w:rsidRPr="00647752">
        <w:rPr>
          <w:rFonts w:ascii="Times New Roman" w:hAnsi="Times New Roman" w:cs="Times New Roman"/>
          <w:sz w:val="22"/>
          <w:szCs w:val="22"/>
          <w:lang w:val="en-GB"/>
        </w:rPr>
        <w:t xml:space="preserve"> A</w:t>
      </w:r>
      <w:r w:rsidR="0098540E">
        <w:rPr>
          <w:rFonts w:ascii="Times New Roman" w:hAnsi="Times New Roman" w:cs="Times New Roman"/>
          <w:sz w:val="22"/>
          <w:szCs w:val="22"/>
          <w:lang w:val="en-GB"/>
        </w:rPr>
        <w:t xml:space="preserve"> survey covering both</w:t>
      </w:r>
      <w:r w:rsidR="00114CCE" w:rsidRPr="00647752">
        <w:rPr>
          <w:rFonts w:ascii="Times New Roman" w:hAnsi="Times New Roman" w:cs="Times New Roman"/>
          <w:sz w:val="22"/>
          <w:szCs w:val="22"/>
          <w:lang w:val="en-GB"/>
        </w:rPr>
        <w:t xml:space="preserve"> the West Bank and the Gaza Strip </w:t>
      </w:r>
      <w:r w:rsidR="006A23D0" w:rsidRPr="00647752">
        <w:rPr>
          <w:rFonts w:ascii="Times New Roman" w:hAnsi="Times New Roman" w:cs="Times New Roman"/>
          <w:sz w:val="22"/>
          <w:szCs w:val="22"/>
          <w:lang w:val="en-GB"/>
        </w:rPr>
        <w:t xml:space="preserve">served to </w:t>
      </w:r>
      <w:r w:rsidR="00114CCE" w:rsidRPr="00647752">
        <w:rPr>
          <w:rFonts w:ascii="Times New Roman" w:hAnsi="Times New Roman" w:cs="Times New Roman"/>
          <w:sz w:val="22"/>
          <w:szCs w:val="22"/>
          <w:lang w:val="en-GB"/>
        </w:rPr>
        <w:t>establish</w:t>
      </w:r>
      <w:r w:rsidR="006A23D0" w:rsidRPr="00647752">
        <w:rPr>
          <w:rFonts w:ascii="Times New Roman" w:hAnsi="Times New Roman" w:cs="Times New Roman"/>
          <w:sz w:val="22"/>
          <w:szCs w:val="22"/>
          <w:lang w:val="en-GB"/>
        </w:rPr>
        <w:t xml:space="preserve"> a baseline in this </w:t>
      </w:r>
      <w:r w:rsidR="00114CCE" w:rsidRPr="00647752">
        <w:rPr>
          <w:rFonts w:ascii="Times New Roman" w:hAnsi="Times New Roman" w:cs="Times New Roman"/>
          <w:sz w:val="22"/>
          <w:szCs w:val="22"/>
          <w:lang w:val="en-GB"/>
        </w:rPr>
        <w:t>regard.</w:t>
      </w:r>
      <w:r w:rsidR="00DE1FFD" w:rsidRPr="00647752">
        <w:rPr>
          <w:rStyle w:val="FootnoteReference"/>
          <w:rFonts w:ascii="Times New Roman" w:hAnsi="Times New Roman" w:cs="Times New Roman"/>
          <w:sz w:val="22"/>
          <w:szCs w:val="22"/>
          <w:lang w:val="en-GB"/>
        </w:rPr>
        <w:footnoteReference w:id="200"/>
      </w:r>
      <w:r w:rsidR="00114CCE" w:rsidRPr="00647752">
        <w:rPr>
          <w:rFonts w:ascii="Times New Roman" w:hAnsi="Times New Roman" w:cs="Times New Roman"/>
          <w:sz w:val="22"/>
          <w:szCs w:val="22"/>
          <w:lang w:val="en-GB"/>
        </w:rPr>
        <w:t xml:space="preserve"> The survey got r</w:t>
      </w:r>
      <w:r w:rsidR="006A23D0" w:rsidRPr="00647752">
        <w:rPr>
          <w:rFonts w:ascii="Times New Roman" w:hAnsi="Times New Roman" w:cs="Times New Roman"/>
          <w:sz w:val="22"/>
          <w:szCs w:val="22"/>
          <w:lang w:val="en-GB"/>
        </w:rPr>
        <w:t xml:space="preserve">esponses from 6,700 households, and </w:t>
      </w:r>
      <w:r w:rsidR="00114CCE" w:rsidRPr="00647752">
        <w:rPr>
          <w:rFonts w:ascii="Times New Roman" w:hAnsi="Times New Roman" w:cs="Times New Roman"/>
          <w:sz w:val="22"/>
          <w:szCs w:val="22"/>
          <w:lang w:val="en-GB"/>
        </w:rPr>
        <w:t xml:space="preserve">nearly 48.9% </w:t>
      </w:r>
      <w:r w:rsidR="006A23D0" w:rsidRPr="00647752">
        <w:rPr>
          <w:rFonts w:ascii="Times New Roman" w:hAnsi="Times New Roman" w:cs="Times New Roman"/>
          <w:sz w:val="22"/>
          <w:szCs w:val="22"/>
          <w:lang w:val="en-GB"/>
        </w:rPr>
        <w:t>of the responses came from women.</w:t>
      </w:r>
      <w:r w:rsidR="00C44A16" w:rsidRPr="00647752">
        <w:rPr>
          <w:rStyle w:val="FootnoteReference"/>
          <w:rFonts w:ascii="Times New Roman" w:hAnsi="Times New Roman" w:cs="Times New Roman"/>
          <w:sz w:val="22"/>
          <w:szCs w:val="22"/>
          <w:lang w:val="en-GB"/>
        </w:rPr>
        <w:footnoteReference w:id="201"/>
      </w:r>
      <w:r w:rsidR="006A23D0" w:rsidRPr="00647752">
        <w:rPr>
          <w:rFonts w:ascii="Times New Roman" w:hAnsi="Times New Roman" w:cs="Times New Roman"/>
          <w:sz w:val="22"/>
          <w:szCs w:val="22"/>
          <w:lang w:val="en-GB"/>
        </w:rPr>
        <w:t xml:space="preserve"> The responses were broadly positive, indicating growing public confidence in formal justice and security institutions.</w:t>
      </w:r>
      <w:r w:rsidR="00334A63" w:rsidRPr="00647752">
        <w:rPr>
          <w:rStyle w:val="FootnoteReference"/>
          <w:rFonts w:ascii="Times New Roman" w:hAnsi="Times New Roman" w:cs="Times New Roman"/>
          <w:sz w:val="22"/>
          <w:szCs w:val="22"/>
          <w:lang w:val="en-GB"/>
        </w:rPr>
        <w:footnoteReference w:id="202"/>
      </w:r>
    </w:p>
    <w:p w:rsidR="0098540E" w:rsidRDefault="0098540E" w:rsidP="00FB6759">
      <w:pPr>
        <w:spacing w:after="0" w:line="240" w:lineRule="auto"/>
        <w:jc w:val="both"/>
        <w:rPr>
          <w:rFonts w:ascii="Times New Roman" w:hAnsi="Times New Roman" w:cs="Times New Roman"/>
          <w:sz w:val="22"/>
          <w:szCs w:val="22"/>
          <w:lang w:val="en-GB"/>
        </w:rPr>
      </w:pPr>
    </w:p>
    <w:p w:rsidR="00114CCE" w:rsidRDefault="00511B1E"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lastRenderedPageBreak/>
        <w:t xml:space="preserve">In addition, </w:t>
      </w:r>
      <w:r w:rsidR="0098540E">
        <w:rPr>
          <w:rFonts w:ascii="Times New Roman" w:hAnsi="Times New Roman" w:cs="Times New Roman"/>
          <w:sz w:val="22"/>
          <w:szCs w:val="22"/>
          <w:lang w:val="en-GB"/>
        </w:rPr>
        <w:t>UNDP supported the PCBS in its</w:t>
      </w:r>
      <w:r w:rsidR="006A23D0" w:rsidRPr="00647752">
        <w:rPr>
          <w:rFonts w:ascii="Times New Roman" w:hAnsi="Times New Roman" w:cs="Times New Roman"/>
          <w:sz w:val="22"/>
          <w:szCs w:val="22"/>
          <w:lang w:val="en-GB"/>
        </w:rPr>
        <w:t xml:space="preserve"> efforts to collect justice </w:t>
      </w:r>
      <w:r w:rsidR="0098540E">
        <w:rPr>
          <w:rFonts w:ascii="Times New Roman" w:hAnsi="Times New Roman" w:cs="Times New Roman"/>
          <w:sz w:val="22"/>
          <w:szCs w:val="22"/>
          <w:lang w:val="en-GB"/>
        </w:rPr>
        <w:t xml:space="preserve">and security </w:t>
      </w:r>
      <w:r w:rsidR="006A23D0" w:rsidRPr="00647752">
        <w:rPr>
          <w:rFonts w:ascii="Times New Roman" w:hAnsi="Times New Roman" w:cs="Times New Roman"/>
          <w:sz w:val="22"/>
          <w:szCs w:val="22"/>
          <w:lang w:val="en-GB"/>
        </w:rPr>
        <w:t xml:space="preserve">sector data in order to assess performance of justice </w:t>
      </w:r>
      <w:r w:rsidR="009047F8" w:rsidRPr="00647752">
        <w:rPr>
          <w:rFonts w:ascii="Times New Roman" w:hAnsi="Times New Roman" w:cs="Times New Roman"/>
          <w:sz w:val="22"/>
          <w:szCs w:val="22"/>
          <w:lang w:val="en-GB"/>
        </w:rPr>
        <w:t xml:space="preserve">and security </w:t>
      </w:r>
      <w:r w:rsidR="006A23D0" w:rsidRPr="00647752">
        <w:rPr>
          <w:rFonts w:ascii="Times New Roman" w:hAnsi="Times New Roman" w:cs="Times New Roman"/>
          <w:sz w:val="22"/>
          <w:szCs w:val="22"/>
          <w:lang w:val="en-GB"/>
        </w:rPr>
        <w:t>institutions and track key rule of law indicators.</w:t>
      </w:r>
      <w:r w:rsidR="006A23D0" w:rsidRPr="00647752">
        <w:rPr>
          <w:rStyle w:val="FootnoteReference"/>
          <w:rFonts w:ascii="Times New Roman" w:hAnsi="Times New Roman" w:cs="Times New Roman"/>
          <w:sz w:val="22"/>
          <w:szCs w:val="22"/>
          <w:lang w:val="en-GB"/>
        </w:rPr>
        <w:footnoteReference w:id="203"/>
      </w:r>
      <w:r w:rsidR="006A23D0" w:rsidRPr="00647752">
        <w:rPr>
          <w:rFonts w:ascii="Times New Roman" w:hAnsi="Times New Roman" w:cs="Times New Roman"/>
          <w:sz w:val="22"/>
          <w:szCs w:val="22"/>
          <w:lang w:val="en-GB"/>
        </w:rPr>
        <w:t>UNDP intends to continue support of both of these initiatives in 2013</w:t>
      </w:r>
      <w:r w:rsidR="00C1271E" w:rsidRPr="00647752">
        <w:rPr>
          <w:rFonts w:ascii="Times New Roman" w:hAnsi="Times New Roman" w:cs="Times New Roman"/>
          <w:sz w:val="22"/>
          <w:szCs w:val="22"/>
          <w:lang w:val="en-GB"/>
        </w:rPr>
        <w:t>.</w:t>
      </w:r>
      <w:r w:rsidR="003622A6" w:rsidRPr="00647752">
        <w:rPr>
          <w:rStyle w:val="FootnoteReference"/>
          <w:rFonts w:ascii="Times New Roman" w:hAnsi="Times New Roman" w:cs="Times New Roman"/>
          <w:sz w:val="22"/>
          <w:szCs w:val="22"/>
          <w:lang w:val="en-GB"/>
        </w:rPr>
        <w:footnoteReference w:id="204"/>
      </w:r>
    </w:p>
    <w:p w:rsidR="0098540E" w:rsidRPr="00647752" w:rsidRDefault="0098540E" w:rsidP="00FB6759">
      <w:pPr>
        <w:spacing w:after="0" w:line="240" w:lineRule="auto"/>
        <w:jc w:val="both"/>
        <w:rPr>
          <w:rFonts w:ascii="Times New Roman" w:hAnsi="Times New Roman" w:cs="Times New Roman"/>
          <w:sz w:val="22"/>
          <w:szCs w:val="22"/>
          <w:lang w:val="en-GB"/>
        </w:rPr>
      </w:pPr>
    </w:p>
    <w:p w:rsidR="00B90196" w:rsidRPr="00647752" w:rsidRDefault="004C1876"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The k</w:t>
      </w:r>
      <w:r w:rsidR="00B90196" w:rsidRPr="00647752">
        <w:rPr>
          <w:rFonts w:ascii="Times New Roman" w:hAnsi="Times New Roman" w:cs="Times New Roman"/>
          <w:sz w:val="22"/>
          <w:szCs w:val="22"/>
          <w:lang w:val="en-GB"/>
        </w:rPr>
        <w:t xml:space="preserve">ey deliverable under Output 5.2 was the UNDP Public Perceptions </w:t>
      </w:r>
      <w:r w:rsidR="003C74ED" w:rsidRPr="00647752">
        <w:rPr>
          <w:rFonts w:ascii="Times New Roman" w:hAnsi="Times New Roman" w:cs="Times New Roman"/>
          <w:sz w:val="22"/>
          <w:szCs w:val="22"/>
          <w:lang w:val="en-GB"/>
        </w:rPr>
        <w:t>Survey that</w:t>
      </w:r>
      <w:r w:rsidR="00B90196" w:rsidRPr="00647752">
        <w:rPr>
          <w:rFonts w:ascii="Times New Roman" w:hAnsi="Times New Roman" w:cs="Times New Roman"/>
          <w:sz w:val="22"/>
          <w:szCs w:val="22"/>
          <w:lang w:val="en-GB"/>
        </w:rPr>
        <w:t xml:space="preserve"> includes the “Justi</w:t>
      </w:r>
      <w:r>
        <w:rPr>
          <w:rFonts w:ascii="Times New Roman" w:hAnsi="Times New Roman" w:cs="Times New Roman"/>
          <w:sz w:val="22"/>
          <w:szCs w:val="22"/>
          <w:lang w:val="en-GB"/>
        </w:rPr>
        <w:t xml:space="preserve">ce Sector Satisfaction Index”. </w:t>
      </w:r>
      <w:r w:rsidR="00B90196" w:rsidRPr="00647752">
        <w:rPr>
          <w:rFonts w:ascii="Times New Roman" w:hAnsi="Times New Roman" w:cs="Times New Roman"/>
          <w:sz w:val="22"/>
          <w:szCs w:val="22"/>
          <w:lang w:val="en-GB"/>
        </w:rPr>
        <w:t>The public perception survey h</w:t>
      </w:r>
      <w:r w:rsidR="00B80969" w:rsidRPr="00647752">
        <w:rPr>
          <w:rFonts w:ascii="Times New Roman" w:hAnsi="Times New Roman" w:cs="Times New Roman"/>
          <w:sz w:val="22"/>
          <w:szCs w:val="22"/>
          <w:lang w:val="en-GB"/>
        </w:rPr>
        <w:t xml:space="preserve">as been used extensively by </w:t>
      </w:r>
      <w:r w:rsidR="00B90196" w:rsidRPr="00647752">
        <w:rPr>
          <w:rFonts w:ascii="Times New Roman" w:hAnsi="Times New Roman" w:cs="Times New Roman"/>
          <w:sz w:val="22"/>
          <w:szCs w:val="22"/>
          <w:lang w:val="en-GB"/>
        </w:rPr>
        <w:t>UNDP and</w:t>
      </w:r>
      <w:r w:rsidR="00B80969" w:rsidRPr="00647752">
        <w:rPr>
          <w:rFonts w:ascii="Times New Roman" w:hAnsi="Times New Roman" w:cs="Times New Roman"/>
          <w:sz w:val="22"/>
          <w:szCs w:val="22"/>
          <w:lang w:val="en-GB"/>
        </w:rPr>
        <w:t xml:space="preserve"> the</w:t>
      </w:r>
      <w:r w:rsidR="00B90196" w:rsidRPr="00647752">
        <w:rPr>
          <w:rFonts w:ascii="Times New Roman" w:hAnsi="Times New Roman" w:cs="Times New Roman"/>
          <w:sz w:val="22"/>
          <w:szCs w:val="22"/>
          <w:lang w:val="en-GB"/>
        </w:rPr>
        <w:t xml:space="preserve"> donor community to plan</w:t>
      </w:r>
      <w:r w:rsidR="00511B1E" w:rsidRPr="00647752">
        <w:rPr>
          <w:rFonts w:ascii="Times New Roman" w:hAnsi="Times New Roman" w:cs="Times New Roman"/>
          <w:sz w:val="22"/>
          <w:szCs w:val="22"/>
          <w:lang w:val="en-GB"/>
        </w:rPr>
        <w:t xml:space="preserve"> further activities</w:t>
      </w:r>
      <w:r>
        <w:rPr>
          <w:rFonts w:ascii="Times New Roman" w:hAnsi="Times New Roman" w:cs="Times New Roman"/>
          <w:sz w:val="22"/>
          <w:szCs w:val="22"/>
          <w:lang w:val="en-GB"/>
        </w:rPr>
        <w:t>. UNDP intends to repeat the public perceptions s</w:t>
      </w:r>
      <w:r w:rsidR="00B90196" w:rsidRPr="00647752">
        <w:rPr>
          <w:rFonts w:ascii="Times New Roman" w:hAnsi="Times New Roman" w:cs="Times New Roman"/>
          <w:sz w:val="22"/>
          <w:szCs w:val="22"/>
          <w:lang w:val="en-GB"/>
        </w:rPr>
        <w:t>urvey every year; the rationale being that if the survey were repeated only every two or three years, it would expose the survey</w:t>
      </w:r>
      <w:r>
        <w:rPr>
          <w:rFonts w:ascii="Times New Roman" w:hAnsi="Times New Roman" w:cs="Times New Roman"/>
          <w:sz w:val="22"/>
          <w:szCs w:val="22"/>
          <w:lang w:val="en-GB"/>
        </w:rPr>
        <w:t xml:space="preserve"> to volatility.</w:t>
      </w:r>
    </w:p>
    <w:p w:rsidR="00AB6D72" w:rsidRDefault="00AB6D72" w:rsidP="00FB6759">
      <w:pPr>
        <w:spacing w:after="0" w:line="240" w:lineRule="auto"/>
        <w:jc w:val="both"/>
        <w:rPr>
          <w:rFonts w:ascii="Times New Roman" w:hAnsi="Times New Roman" w:cs="Times New Roman"/>
          <w:sz w:val="22"/>
          <w:szCs w:val="22"/>
          <w:lang w:val="en-GB"/>
        </w:rPr>
      </w:pPr>
    </w:p>
    <w:p w:rsidR="004C1876" w:rsidRDefault="00B90196"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 xml:space="preserve">More recently, UNDP has engaged the PCBS </w:t>
      </w:r>
      <w:r w:rsidR="004B0053" w:rsidRPr="00647752">
        <w:rPr>
          <w:rFonts w:ascii="Times New Roman" w:hAnsi="Times New Roman" w:cs="Times New Roman"/>
          <w:sz w:val="22"/>
          <w:szCs w:val="22"/>
          <w:lang w:val="en-GB"/>
        </w:rPr>
        <w:t xml:space="preserve">(a statutory quasi-governmental body) </w:t>
      </w:r>
      <w:r w:rsidRPr="00647752">
        <w:rPr>
          <w:rFonts w:ascii="Times New Roman" w:hAnsi="Times New Roman" w:cs="Times New Roman"/>
          <w:sz w:val="22"/>
          <w:szCs w:val="22"/>
          <w:lang w:val="en-GB"/>
        </w:rPr>
        <w:t xml:space="preserve">to conduct a study of Palestinian </w:t>
      </w:r>
      <w:r w:rsidR="009047F8" w:rsidRPr="00647752">
        <w:rPr>
          <w:rFonts w:ascii="Times New Roman" w:hAnsi="Times New Roman" w:cs="Times New Roman"/>
          <w:sz w:val="22"/>
          <w:szCs w:val="22"/>
          <w:lang w:val="en-GB"/>
        </w:rPr>
        <w:t>justice and security institutions</w:t>
      </w:r>
      <w:r w:rsidR="004C1876">
        <w:rPr>
          <w:rFonts w:ascii="Times New Roman" w:hAnsi="Times New Roman" w:cs="Times New Roman"/>
          <w:sz w:val="22"/>
          <w:szCs w:val="22"/>
          <w:lang w:val="en-GB"/>
        </w:rPr>
        <w:t xml:space="preserve">, i.e. the MOJ, the PCP, the AGO, the HJC, the </w:t>
      </w:r>
      <w:r w:rsidR="004C1876">
        <w:rPr>
          <w:rFonts w:ascii="Times New Roman" w:hAnsi="Times New Roman" w:cs="Times New Roman"/>
          <w:i/>
          <w:sz w:val="22"/>
          <w:szCs w:val="22"/>
          <w:lang w:val="en-GB"/>
        </w:rPr>
        <w:t>shari’a</w:t>
      </w:r>
      <w:r w:rsidR="004C1876">
        <w:rPr>
          <w:rFonts w:ascii="Times New Roman" w:hAnsi="Times New Roman" w:cs="Times New Roman"/>
          <w:sz w:val="22"/>
          <w:szCs w:val="22"/>
          <w:lang w:val="en-GB"/>
        </w:rPr>
        <w:t xml:space="preserve"> courts, the military courts and the PBA. </w:t>
      </w:r>
      <w:r w:rsidR="004B6CDE" w:rsidRPr="00647752">
        <w:rPr>
          <w:rFonts w:ascii="Times New Roman" w:hAnsi="Times New Roman" w:cs="Times New Roman"/>
          <w:sz w:val="22"/>
          <w:szCs w:val="22"/>
          <w:lang w:val="en-GB"/>
        </w:rPr>
        <w:t xml:space="preserve">The study seeks to document the </w:t>
      </w:r>
      <w:r w:rsidR="004C1876">
        <w:rPr>
          <w:rFonts w:ascii="Times New Roman" w:hAnsi="Times New Roman" w:cs="Times New Roman"/>
          <w:sz w:val="22"/>
          <w:szCs w:val="22"/>
          <w:lang w:val="en-GB"/>
        </w:rPr>
        <w:t xml:space="preserve">number and types of cases in each court, the number of practising lawyers etc. - based on 32 indicators from international examples. </w:t>
      </w:r>
      <w:r w:rsidRPr="00647752">
        <w:rPr>
          <w:rFonts w:ascii="Times New Roman" w:hAnsi="Times New Roman" w:cs="Times New Roman"/>
          <w:sz w:val="22"/>
          <w:szCs w:val="22"/>
          <w:lang w:val="en-GB"/>
        </w:rPr>
        <w:t>The resulting report is now in draft form</w:t>
      </w:r>
      <w:r w:rsidR="004B6CDE" w:rsidRPr="00647752">
        <w:rPr>
          <w:rFonts w:ascii="Times New Roman" w:hAnsi="Times New Roman" w:cs="Times New Roman"/>
          <w:sz w:val="22"/>
          <w:szCs w:val="22"/>
          <w:lang w:val="en-GB"/>
        </w:rPr>
        <w:t xml:space="preserve"> and is</w:t>
      </w:r>
      <w:r w:rsidRPr="00647752">
        <w:rPr>
          <w:rFonts w:ascii="Times New Roman" w:hAnsi="Times New Roman" w:cs="Times New Roman"/>
          <w:sz w:val="22"/>
          <w:szCs w:val="22"/>
          <w:lang w:val="en-GB"/>
        </w:rPr>
        <w:t xml:space="preserve"> the first of its kind ever done in </w:t>
      </w:r>
      <w:r w:rsidR="004C1876">
        <w:rPr>
          <w:rFonts w:ascii="Times New Roman" w:hAnsi="Times New Roman" w:cs="Times New Roman"/>
          <w:sz w:val="22"/>
          <w:szCs w:val="22"/>
          <w:lang w:val="en-GB"/>
        </w:rPr>
        <w:t xml:space="preserve">the </w:t>
      </w:r>
      <w:r w:rsidR="00DE216A" w:rsidRPr="00647752">
        <w:rPr>
          <w:rFonts w:ascii="Times New Roman" w:hAnsi="Times New Roman" w:cs="Times New Roman"/>
          <w:sz w:val="22"/>
          <w:szCs w:val="22"/>
          <w:lang w:val="en-GB"/>
        </w:rPr>
        <w:t>oPt</w:t>
      </w:r>
      <w:r w:rsidR="004C1876">
        <w:rPr>
          <w:rFonts w:ascii="Times New Roman" w:hAnsi="Times New Roman" w:cs="Times New Roman"/>
          <w:sz w:val="22"/>
          <w:szCs w:val="22"/>
          <w:lang w:val="en-GB"/>
        </w:rPr>
        <w:t>.</w:t>
      </w:r>
    </w:p>
    <w:p w:rsidR="004C1876" w:rsidRDefault="004C1876" w:rsidP="00FB6759">
      <w:pPr>
        <w:spacing w:after="0" w:line="240" w:lineRule="auto"/>
        <w:jc w:val="both"/>
        <w:rPr>
          <w:rFonts w:ascii="Times New Roman" w:hAnsi="Times New Roman" w:cs="Times New Roman"/>
          <w:sz w:val="22"/>
          <w:szCs w:val="22"/>
          <w:lang w:val="en-GB"/>
        </w:rPr>
      </w:pPr>
    </w:p>
    <w:p w:rsidR="00B90196" w:rsidRPr="00647752" w:rsidRDefault="00B90196"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Ultimately, this deliverable will benefit the P</w:t>
      </w:r>
      <w:r w:rsidR="004C1876">
        <w:rPr>
          <w:rFonts w:ascii="Times New Roman" w:hAnsi="Times New Roman" w:cs="Times New Roman"/>
          <w:sz w:val="22"/>
          <w:szCs w:val="22"/>
          <w:lang w:val="en-GB"/>
        </w:rPr>
        <w:t>NA itself, capturing</w:t>
      </w:r>
      <w:r w:rsidRPr="00647752">
        <w:rPr>
          <w:rFonts w:ascii="Times New Roman" w:hAnsi="Times New Roman" w:cs="Times New Roman"/>
          <w:sz w:val="22"/>
          <w:szCs w:val="22"/>
          <w:lang w:val="en-GB"/>
        </w:rPr>
        <w:t xml:space="preserve"> the voice of Palestinians themselves. This is an inherently sensitive </w:t>
      </w:r>
      <w:r w:rsidR="004B6CDE" w:rsidRPr="00647752">
        <w:rPr>
          <w:rFonts w:ascii="Times New Roman" w:hAnsi="Times New Roman" w:cs="Times New Roman"/>
          <w:sz w:val="22"/>
          <w:szCs w:val="22"/>
          <w:lang w:val="en-GB"/>
        </w:rPr>
        <w:t>endeavo</w:t>
      </w:r>
      <w:r w:rsidR="004C1876">
        <w:rPr>
          <w:rFonts w:ascii="Times New Roman" w:hAnsi="Times New Roman" w:cs="Times New Roman"/>
          <w:sz w:val="22"/>
          <w:szCs w:val="22"/>
          <w:lang w:val="en-GB"/>
        </w:rPr>
        <w:t>u</w:t>
      </w:r>
      <w:r w:rsidR="004B6CDE" w:rsidRPr="00647752">
        <w:rPr>
          <w:rFonts w:ascii="Times New Roman" w:hAnsi="Times New Roman" w:cs="Times New Roman"/>
          <w:sz w:val="22"/>
          <w:szCs w:val="22"/>
          <w:lang w:val="en-GB"/>
        </w:rPr>
        <w:t>r</w:t>
      </w:r>
      <w:r w:rsidRPr="00647752">
        <w:rPr>
          <w:rFonts w:ascii="Times New Roman" w:hAnsi="Times New Roman" w:cs="Times New Roman"/>
          <w:sz w:val="22"/>
          <w:szCs w:val="22"/>
          <w:lang w:val="en-GB"/>
        </w:rPr>
        <w:t xml:space="preserve"> and the PCBS is a neutral body to carry this out and obtain the buy-in of </w:t>
      </w:r>
      <w:r w:rsidR="00784D14" w:rsidRPr="00647752">
        <w:rPr>
          <w:rFonts w:ascii="Times New Roman" w:hAnsi="Times New Roman" w:cs="Times New Roman"/>
          <w:sz w:val="22"/>
          <w:szCs w:val="22"/>
          <w:lang w:val="en-GB"/>
        </w:rPr>
        <w:t xml:space="preserve">the different </w:t>
      </w:r>
      <w:r w:rsidRPr="00647752">
        <w:rPr>
          <w:rFonts w:ascii="Times New Roman" w:hAnsi="Times New Roman" w:cs="Times New Roman"/>
          <w:sz w:val="22"/>
          <w:szCs w:val="22"/>
          <w:lang w:val="en-GB"/>
        </w:rPr>
        <w:t>justice</w:t>
      </w:r>
      <w:r w:rsidR="000063A3">
        <w:rPr>
          <w:rFonts w:ascii="Times New Roman" w:hAnsi="Times New Roman" w:cs="Times New Roman"/>
          <w:sz w:val="22"/>
          <w:szCs w:val="22"/>
          <w:lang w:val="en-GB"/>
        </w:rPr>
        <w:t xml:space="preserve"> </w:t>
      </w:r>
      <w:r w:rsidR="00784D14" w:rsidRPr="00647752">
        <w:rPr>
          <w:rFonts w:ascii="Times New Roman" w:hAnsi="Times New Roman" w:cs="Times New Roman"/>
          <w:sz w:val="22"/>
          <w:szCs w:val="22"/>
          <w:lang w:val="en-GB"/>
        </w:rPr>
        <w:t xml:space="preserve">and security </w:t>
      </w:r>
      <w:r w:rsidRPr="00647752">
        <w:rPr>
          <w:rFonts w:ascii="Times New Roman" w:hAnsi="Times New Roman" w:cs="Times New Roman"/>
          <w:sz w:val="22"/>
          <w:szCs w:val="22"/>
          <w:lang w:val="en-GB"/>
        </w:rPr>
        <w:t>institutions. This is a real example of t</w:t>
      </w:r>
      <w:r w:rsidR="004C1876">
        <w:rPr>
          <w:rFonts w:ascii="Times New Roman" w:hAnsi="Times New Roman" w:cs="Times New Roman"/>
          <w:sz w:val="22"/>
          <w:szCs w:val="22"/>
          <w:lang w:val="en-GB"/>
        </w:rPr>
        <w:t xml:space="preserve">he contribution of the UNDP </w:t>
      </w:r>
      <w:r w:rsidRPr="00647752">
        <w:rPr>
          <w:rFonts w:ascii="Times New Roman" w:hAnsi="Times New Roman" w:cs="Times New Roman"/>
          <w:sz w:val="22"/>
          <w:szCs w:val="22"/>
          <w:lang w:val="en-GB"/>
        </w:rPr>
        <w:t>seconded sta</w:t>
      </w:r>
      <w:r w:rsidR="004C1876">
        <w:rPr>
          <w:rFonts w:ascii="Times New Roman" w:hAnsi="Times New Roman" w:cs="Times New Roman"/>
          <w:sz w:val="22"/>
          <w:szCs w:val="22"/>
          <w:lang w:val="en-GB"/>
        </w:rPr>
        <w:t>ff to the ministries, confirming the level of national ownership of the programme</w:t>
      </w:r>
      <w:r w:rsidRPr="00647752">
        <w:rPr>
          <w:rFonts w:ascii="Times New Roman" w:hAnsi="Times New Roman" w:cs="Times New Roman"/>
          <w:sz w:val="22"/>
          <w:szCs w:val="22"/>
          <w:lang w:val="en-GB"/>
        </w:rPr>
        <w:t xml:space="preserve">.     </w:t>
      </w:r>
    </w:p>
    <w:p w:rsidR="00B90196" w:rsidRPr="00647752" w:rsidRDefault="00B90196" w:rsidP="00FB6759">
      <w:pPr>
        <w:spacing w:after="0" w:line="240" w:lineRule="auto"/>
        <w:jc w:val="both"/>
        <w:rPr>
          <w:rFonts w:ascii="Times New Roman" w:hAnsi="Times New Roman" w:cs="Times New Roman"/>
          <w:sz w:val="22"/>
          <w:szCs w:val="22"/>
          <w:lang w:val="en-GB"/>
        </w:rPr>
      </w:pPr>
    </w:p>
    <w:p w:rsidR="006853A8" w:rsidRPr="00647752" w:rsidRDefault="006853A8" w:rsidP="00FB6759">
      <w:pPr>
        <w:spacing w:after="0" w:line="240" w:lineRule="auto"/>
        <w:jc w:val="both"/>
        <w:rPr>
          <w:rFonts w:ascii="Times New Roman" w:hAnsi="Times New Roman" w:cs="Times New Roman"/>
          <w:i/>
          <w:sz w:val="22"/>
          <w:szCs w:val="22"/>
          <w:lang w:val="en-GB"/>
        </w:rPr>
      </w:pPr>
      <w:r w:rsidRPr="00647752">
        <w:rPr>
          <w:rFonts w:ascii="Times New Roman" w:hAnsi="Times New Roman" w:cs="Times New Roman"/>
          <w:i/>
          <w:sz w:val="22"/>
          <w:szCs w:val="22"/>
          <w:lang w:val="en-GB"/>
        </w:rPr>
        <w:t>Output 5.3: Citizens’ access to justice service and information improved</w:t>
      </w:r>
    </w:p>
    <w:p w:rsidR="00AB6D72" w:rsidRDefault="00AB6D72" w:rsidP="00FB6759">
      <w:pPr>
        <w:spacing w:after="0" w:line="240" w:lineRule="auto"/>
        <w:jc w:val="both"/>
        <w:rPr>
          <w:rFonts w:ascii="Times New Roman" w:hAnsi="Times New Roman" w:cs="Times New Roman"/>
          <w:sz w:val="22"/>
          <w:szCs w:val="22"/>
          <w:lang w:val="en-GB"/>
        </w:rPr>
      </w:pPr>
    </w:p>
    <w:p w:rsidR="00907F38" w:rsidRPr="00647752" w:rsidRDefault="00B33433"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One of t</w:t>
      </w:r>
      <w:r w:rsidR="004C1876">
        <w:rPr>
          <w:rFonts w:ascii="Times New Roman" w:hAnsi="Times New Roman" w:cs="Times New Roman"/>
          <w:sz w:val="22"/>
          <w:szCs w:val="22"/>
          <w:lang w:val="en-GB"/>
        </w:rPr>
        <w:t>he challenges identified by the public perception s</w:t>
      </w:r>
      <w:r w:rsidRPr="00647752">
        <w:rPr>
          <w:rFonts w:ascii="Times New Roman" w:hAnsi="Times New Roman" w:cs="Times New Roman"/>
          <w:sz w:val="22"/>
          <w:szCs w:val="22"/>
          <w:lang w:val="en-GB"/>
        </w:rPr>
        <w:t xml:space="preserve">urvey was a lack of understanding on the part of the general public regarding the function of justice institutions and how to access them. In order to address this shortcoming, the </w:t>
      </w:r>
      <w:r w:rsidR="00784D14" w:rsidRPr="00647752">
        <w:rPr>
          <w:rFonts w:ascii="Times New Roman" w:hAnsi="Times New Roman" w:cs="Times New Roman"/>
          <w:sz w:val="22"/>
          <w:szCs w:val="22"/>
          <w:lang w:val="en-GB"/>
        </w:rPr>
        <w:t>MOJ</w:t>
      </w:r>
      <w:r w:rsidRPr="00647752">
        <w:rPr>
          <w:rFonts w:ascii="Times New Roman" w:hAnsi="Times New Roman" w:cs="Times New Roman"/>
          <w:sz w:val="22"/>
          <w:szCs w:val="22"/>
          <w:lang w:val="en-GB"/>
        </w:rPr>
        <w:t xml:space="preserve"> established a </w:t>
      </w:r>
      <w:r w:rsidR="007379C4" w:rsidRPr="00647752">
        <w:rPr>
          <w:rFonts w:ascii="Times New Roman" w:hAnsi="Times New Roman" w:cs="Times New Roman"/>
          <w:sz w:val="22"/>
          <w:szCs w:val="22"/>
          <w:lang w:val="en-GB"/>
        </w:rPr>
        <w:t xml:space="preserve">Justice Information Centre </w:t>
      </w:r>
      <w:r w:rsidRPr="00647752">
        <w:rPr>
          <w:rFonts w:ascii="Times New Roman" w:hAnsi="Times New Roman" w:cs="Times New Roman"/>
          <w:sz w:val="22"/>
          <w:szCs w:val="22"/>
          <w:lang w:val="en-GB"/>
        </w:rPr>
        <w:t xml:space="preserve">with the support of the UNDP. </w:t>
      </w:r>
      <w:r w:rsidR="00346D1C" w:rsidRPr="00647752">
        <w:rPr>
          <w:rFonts w:ascii="Times New Roman" w:hAnsi="Times New Roman" w:cs="Times New Roman"/>
          <w:sz w:val="22"/>
          <w:szCs w:val="22"/>
          <w:lang w:val="en-GB"/>
        </w:rPr>
        <w:t xml:space="preserve">Among other things, the </w:t>
      </w:r>
      <w:r w:rsidR="00784D14" w:rsidRPr="00647752">
        <w:rPr>
          <w:rFonts w:ascii="Times New Roman" w:hAnsi="Times New Roman" w:cs="Times New Roman"/>
          <w:sz w:val="22"/>
          <w:szCs w:val="22"/>
          <w:lang w:val="en-GB"/>
        </w:rPr>
        <w:t>c</w:t>
      </w:r>
      <w:r w:rsidRPr="00647752">
        <w:rPr>
          <w:rFonts w:ascii="Times New Roman" w:hAnsi="Times New Roman" w:cs="Times New Roman"/>
          <w:sz w:val="22"/>
          <w:szCs w:val="22"/>
          <w:lang w:val="en-GB"/>
        </w:rPr>
        <w:t>entre serve</w:t>
      </w:r>
      <w:r w:rsidR="00346D1C" w:rsidRPr="00647752">
        <w:rPr>
          <w:rFonts w:ascii="Times New Roman" w:hAnsi="Times New Roman" w:cs="Times New Roman"/>
          <w:sz w:val="22"/>
          <w:szCs w:val="22"/>
          <w:lang w:val="en-GB"/>
        </w:rPr>
        <w:t>s</w:t>
      </w:r>
      <w:r w:rsidR="004C1876">
        <w:rPr>
          <w:rFonts w:ascii="Times New Roman" w:hAnsi="Times New Roman" w:cs="Times New Roman"/>
          <w:sz w:val="22"/>
          <w:szCs w:val="22"/>
          <w:lang w:val="en-GB"/>
        </w:rPr>
        <w:t xml:space="preserve"> as a centralis</w:t>
      </w:r>
      <w:r w:rsidRPr="00647752">
        <w:rPr>
          <w:rFonts w:ascii="Times New Roman" w:hAnsi="Times New Roman" w:cs="Times New Roman"/>
          <w:sz w:val="22"/>
          <w:szCs w:val="22"/>
          <w:lang w:val="en-GB"/>
        </w:rPr>
        <w:t>ed information</w:t>
      </w:r>
      <w:r w:rsidR="00C1271E" w:rsidRPr="00647752">
        <w:rPr>
          <w:rFonts w:ascii="Times New Roman" w:hAnsi="Times New Roman" w:cs="Times New Roman"/>
          <w:sz w:val="22"/>
          <w:szCs w:val="22"/>
          <w:lang w:val="en-GB"/>
        </w:rPr>
        <w:t xml:space="preserve"> distribution point </w:t>
      </w:r>
      <w:r w:rsidR="00346D1C" w:rsidRPr="00647752">
        <w:rPr>
          <w:rFonts w:ascii="Times New Roman" w:hAnsi="Times New Roman" w:cs="Times New Roman"/>
          <w:sz w:val="22"/>
          <w:szCs w:val="22"/>
          <w:lang w:val="en-GB"/>
        </w:rPr>
        <w:t xml:space="preserve">on behalf of the justice sector, </w:t>
      </w:r>
      <w:r w:rsidRPr="00647752">
        <w:rPr>
          <w:rFonts w:ascii="Times New Roman" w:hAnsi="Times New Roman" w:cs="Times New Roman"/>
          <w:sz w:val="22"/>
          <w:szCs w:val="22"/>
          <w:lang w:val="en-GB"/>
        </w:rPr>
        <w:t>promote</w:t>
      </w:r>
      <w:r w:rsidR="00346D1C" w:rsidRPr="00647752">
        <w:rPr>
          <w:rFonts w:ascii="Times New Roman" w:hAnsi="Times New Roman" w:cs="Times New Roman"/>
          <w:sz w:val="22"/>
          <w:szCs w:val="22"/>
          <w:lang w:val="en-GB"/>
        </w:rPr>
        <w:t>s</w:t>
      </w:r>
      <w:r w:rsidRPr="00647752">
        <w:rPr>
          <w:rFonts w:ascii="Times New Roman" w:hAnsi="Times New Roman" w:cs="Times New Roman"/>
          <w:sz w:val="22"/>
          <w:szCs w:val="22"/>
          <w:lang w:val="en-GB"/>
        </w:rPr>
        <w:t xml:space="preserve"> media coverage of justice sector issues</w:t>
      </w:r>
      <w:r w:rsidR="00346D1C" w:rsidRPr="00647752">
        <w:rPr>
          <w:rFonts w:ascii="Times New Roman" w:hAnsi="Times New Roman" w:cs="Times New Roman"/>
          <w:sz w:val="22"/>
          <w:szCs w:val="22"/>
          <w:lang w:val="en-GB"/>
        </w:rPr>
        <w:t xml:space="preserve">, and </w:t>
      </w:r>
      <w:r w:rsidRPr="00647752">
        <w:rPr>
          <w:rFonts w:ascii="Times New Roman" w:hAnsi="Times New Roman" w:cs="Times New Roman"/>
          <w:sz w:val="22"/>
          <w:szCs w:val="22"/>
          <w:lang w:val="en-GB"/>
        </w:rPr>
        <w:t>support</w:t>
      </w:r>
      <w:r w:rsidR="00346D1C" w:rsidRPr="00647752">
        <w:rPr>
          <w:rFonts w:ascii="Times New Roman" w:hAnsi="Times New Roman" w:cs="Times New Roman"/>
          <w:sz w:val="22"/>
          <w:szCs w:val="22"/>
          <w:lang w:val="en-GB"/>
        </w:rPr>
        <w:t>s p</w:t>
      </w:r>
      <w:r w:rsidRPr="00647752">
        <w:rPr>
          <w:rFonts w:ascii="Times New Roman" w:hAnsi="Times New Roman" w:cs="Times New Roman"/>
          <w:sz w:val="22"/>
          <w:szCs w:val="22"/>
          <w:lang w:val="en-GB"/>
        </w:rPr>
        <w:t>artnerships</w:t>
      </w:r>
      <w:r w:rsidR="004C1876">
        <w:rPr>
          <w:rFonts w:ascii="Times New Roman" w:hAnsi="Times New Roman" w:cs="Times New Roman"/>
          <w:sz w:val="22"/>
          <w:szCs w:val="22"/>
          <w:lang w:val="en-GB"/>
        </w:rPr>
        <w:t xml:space="preserve"> with CSOs and academic institutions </w:t>
      </w:r>
      <w:r w:rsidRPr="00647752">
        <w:rPr>
          <w:rFonts w:ascii="Times New Roman" w:hAnsi="Times New Roman" w:cs="Times New Roman"/>
          <w:sz w:val="22"/>
          <w:szCs w:val="22"/>
          <w:lang w:val="en-GB"/>
        </w:rPr>
        <w:t>in order to promote enhanced legal discourse and justice sector reform.</w:t>
      </w:r>
      <w:r w:rsidRPr="00647752">
        <w:rPr>
          <w:rStyle w:val="FootnoteReference"/>
          <w:rFonts w:ascii="Times New Roman" w:hAnsi="Times New Roman" w:cs="Times New Roman"/>
          <w:sz w:val="22"/>
          <w:szCs w:val="22"/>
          <w:lang w:val="en-GB"/>
        </w:rPr>
        <w:footnoteReference w:id="205"/>
      </w:r>
      <w:r w:rsidR="007379C4" w:rsidRPr="00647752">
        <w:rPr>
          <w:rFonts w:ascii="Times New Roman" w:hAnsi="Times New Roman" w:cs="Times New Roman"/>
          <w:sz w:val="22"/>
          <w:szCs w:val="22"/>
          <w:lang w:val="en-GB"/>
        </w:rPr>
        <w:t xml:space="preserve">Two employees, both of whom are funded by UNDP, have been assigned to the </w:t>
      </w:r>
      <w:r w:rsidR="004C1876">
        <w:rPr>
          <w:rFonts w:ascii="Times New Roman" w:hAnsi="Times New Roman" w:cs="Times New Roman"/>
          <w:sz w:val="22"/>
          <w:szCs w:val="22"/>
          <w:lang w:val="en-GB"/>
        </w:rPr>
        <w:t>c</w:t>
      </w:r>
      <w:r w:rsidR="00AA7E46" w:rsidRPr="00647752">
        <w:rPr>
          <w:rFonts w:ascii="Times New Roman" w:hAnsi="Times New Roman" w:cs="Times New Roman"/>
          <w:sz w:val="22"/>
          <w:szCs w:val="22"/>
          <w:lang w:val="en-GB"/>
        </w:rPr>
        <w:t>entre</w:t>
      </w:r>
      <w:r w:rsidR="00346D1C" w:rsidRPr="00647752">
        <w:rPr>
          <w:rFonts w:ascii="Times New Roman" w:hAnsi="Times New Roman" w:cs="Times New Roman"/>
          <w:sz w:val="22"/>
          <w:szCs w:val="22"/>
          <w:lang w:val="en-GB"/>
        </w:rPr>
        <w:t>; one sustainability challenge will be to ensure that these employees are transitioned to civil service contracts.</w:t>
      </w:r>
      <w:r w:rsidR="007379C4" w:rsidRPr="00647752">
        <w:rPr>
          <w:rStyle w:val="FootnoteReference"/>
          <w:rFonts w:ascii="Times New Roman" w:hAnsi="Times New Roman" w:cs="Times New Roman"/>
          <w:sz w:val="22"/>
          <w:szCs w:val="22"/>
          <w:lang w:val="en-GB"/>
        </w:rPr>
        <w:footnoteReference w:id="206"/>
      </w:r>
      <w:r w:rsidR="004C1876">
        <w:rPr>
          <w:rFonts w:ascii="Times New Roman" w:hAnsi="Times New Roman" w:cs="Times New Roman"/>
          <w:sz w:val="22"/>
          <w:szCs w:val="22"/>
          <w:lang w:val="en-GB"/>
        </w:rPr>
        <w:t xml:space="preserve"> The Evaluation visited the court i</w:t>
      </w:r>
      <w:r w:rsidR="00907F38" w:rsidRPr="00647752">
        <w:rPr>
          <w:rFonts w:ascii="Times New Roman" w:hAnsi="Times New Roman" w:cs="Times New Roman"/>
          <w:sz w:val="22"/>
          <w:szCs w:val="22"/>
          <w:lang w:val="en-GB"/>
        </w:rPr>
        <w:t xml:space="preserve">nformation </w:t>
      </w:r>
      <w:r w:rsidR="004C1876">
        <w:rPr>
          <w:rFonts w:ascii="Times New Roman" w:hAnsi="Times New Roman" w:cs="Times New Roman"/>
          <w:sz w:val="22"/>
          <w:szCs w:val="22"/>
          <w:lang w:val="en-GB"/>
        </w:rPr>
        <w:t>p</w:t>
      </w:r>
      <w:r w:rsidR="00784D14" w:rsidRPr="00647752">
        <w:rPr>
          <w:rFonts w:ascii="Times New Roman" w:hAnsi="Times New Roman" w:cs="Times New Roman"/>
          <w:sz w:val="22"/>
          <w:szCs w:val="22"/>
          <w:lang w:val="en-GB"/>
        </w:rPr>
        <w:t>oint</w:t>
      </w:r>
      <w:r w:rsidR="00907F38" w:rsidRPr="00647752">
        <w:rPr>
          <w:rFonts w:ascii="Times New Roman" w:hAnsi="Times New Roman" w:cs="Times New Roman"/>
          <w:sz w:val="22"/>
          <w:szCs w:val="22"/>
          <w:lang w:val="en-GB"/>
        </w:rPr>
        <w:t xml:space="preserve"> in Jenin and confirmed a volume of usage consistent with UNDP’s reports.</w:t>
      </w:r>
    </w:p>
    <w:p w:rsidR="00AB6D72" w:rsidRDefault="00AB6D72" w:rsidP="00FB6759">
      <w:pPr>
        <w:spacing w:after="0" w:line="240" w:lineRule="auto"/>
        <w:jc w:val="both"/>
        <w:rPr>
          <w:rFonts w:ascii="Times New Roman" w:hAnsi="Times New Roman" w:cs="Times New Roman"/>
          <w:sz w:val="22"/>
          <w:szCs w:val="22"/>
          <w:lang w:val="en-GB"/>
        </w:rPr>
      </w:pPr>
    </w:p>
    <w:p w:rsidR="004E2265" w:rsidRPr="00647752" w:rsidRDefault="004C1876"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More informally, the p</w:t>
      </w:r>
      <w:r w:rsidR="005D6CB1" w:rsidRPr="00647752">
        <w:rPr>
          <w:rFonts w:ascii="Times New Roman" w:hAnsi="Times New Roman" w:cs="Times New Roman"/>
          <w:sz w:val="22"/>
          <w:szCs w:val="22"/>
          <w:lang w:val="en-GB"/>
        </w:rPr>
        <w:t xml:space="preserve">rogramme has encouraged </w:t>
      </w:r>
      <w:r w:rsidR="00061C87" w:rsidRPr="00647752">
        <w:rPr>
          <w:rFonts w:ascii="Times New Roman" w:hAnsi="Times New Roman" w:cs="Times New Roman"/>
          <w:sz w:val="22"/>
          <w:szCs w:val="22"/>
          <w:lang w:val="en-GB"/>
        </w:rPr>
        <w:t>consultative processes between national institutions and local communities</w:t>
      </w:r>
      <w:r>
        <w:rPr>
          <w:rFonts w:ascii="Times New Roman" w:hAnsi="Times New Roman" w:cs="Times New Roman"/>
          <w:sz w:val="22"/>
          <w:szCs w:val="22"/>
          <w:lang w:val="en-GB"/>
        </w:rPr>
        <w:t xml:space="preserve"> and CSOs across the different outcomes</w:t>
      </w:r>
      <w:r w:rsidR="005D6CB1" w:rsidRPr="00647752">
        <w:rPr>
          <w:rFonts w:ascii="Times New Roman" w:hAnsi="Times New Roman" w:cs="Times New Roman"/>
          <w:sz w:val="22"/>
          <w:szCs w:val="22"/>
          <w:lang w:val="en-GB"/>
        </w:rPr>
        <w:t>, enabling them to participate in reform, legislative processes, and accountability mechanisms</w:t>
      </w:r>
      <w:r w:rsidR="00061C87" w:rsidRPr="00647752">
        <w:rPr>
          <w:rFonts w:ascii="Times New Roman" w:hAnsi="Times New Roman" w:cs="Times New Roman"/>
          <w:sz w:val="22"/>
          <w:szCs w:val="22"/>
          <w:lang w:val="en-GB"/>
        </w:rPr>
        <w:t>.</w:t>
      </w:r>
      <w:r w:rsidR="00061C87" w:rsidRPr="00647752">
        <w:rPr>
          <w:rStyle w:val="FootnoteReference"/>
          <w:rFonts w:ascii="Times New Roman" w:hAnsi="Times New Roman" w:cs="Times New Roman"/>
          <w:sz w:val="22"/>
          <w:szCs w:val="22"/>
          <w:lang w:val="en-GB"/>
        </w:rPr>
        <w:footnoteReference w:id="207"/>
      </w:r>
      <w:r w:rsidR="00551564" w:rsidRPr="00647752">
        <w:rPr>
          <w:rFonts w:ascii="Times New Roman" w:hAnsi="Times New Roman" w:cs="Times New Roman"/>
          <w:sz w:val="22"/>
          <w:szCs w:val="22"/>
          <w:lang w:val="en-GB"/>
        </w:rPr>
        <w:t xml:space="preserve">At the intersection of justice and security, the UNDP, through the </w:t>
      </w:r>
      <w:r>
        <w:rPr>
          <w:rFonts w:ascii="Times New Roman" w:hAnsi="Times New Roman" w:cs="Times New Roman"/>
          <w:sz w:val="22"/>
          <w:szCs w:val="22"/>
          <w:lang w:val="en-GB"/>
        </w:rPr>
        <w:t>UNDP/</w:t>
      </w:r>
      <w:r w:rsidR="00B80969" w:rsidRPr="00647752">
        <w:rPr>
          <w:rFonts w:ascii="Times New Roman" w:hAnsi="Times New Roman" w:cs="Times New Roman"/>
          <w:sz w:val="22"/>
          <w:szCs w:val="22"/>
          <w:lang w:val="en-GB"/>
        </w:rPr>
        <w:t xml:space="preserve">EUPOL </w:t>
      </w:r>
      <w:r>
        <w:rPr>
          <w:rFonts w:ascii="Times New Roman" w:hAnsi="Times New Roman" w:cs="Times New Roman"/>
          <w:sz w:val="22"/>
          <w:szCs w:val="22"/>
          <w:lang w:val="en-GB"/>
        </w:rPr>
        <w:t>COPPS Joint P</w:t>
      </w:r>
      <w:r w:rsidR="00551564" w:rsidRPr="00647752">
        <w:rPr>
          <w:rFonts w:ascii="Times New Roman" w:hAnsi="Times New Roman" w:cs="Times New Roman"/>
          <w:sz w:val="22"/>
          <w:szCs w:val="22"/>
          <w:lang w:val="en-GB"/>
        </w:rPr>
        <w:t xml:space="preserve">rogramme, facilitated </w:t>
      </w:r>
      <w:r w:rsidR="00470A5C" w:rsidRPr="00647752">
        <w:rPr>
          <w:rFonts w:ascii="Times New Roman" w:hAnsi="Times New Roman" w:cs="Times New Roman"/>
          <w:sz w:val="22"/>
          <w:szCs w:val="22"/>
          <w:lang w:val="en-GB"/>
        </w:rPr>
        <w:t xml:space="preserve">the </w:t>
      </w:r>
      <w:r w:rsidR="008D0AB5" w:rsidRPr="00647752">
        <w:rPr>
          <w:rFonts w:ascii="Times New Roman" w:hAnsi="Times New Roman" w:cs="Times New Roman"/>
          <w:sz w:val="22"/>
          <w:szCs w:val="22"/>
          <w:lang w:val="en-GB"/>
        </w:rPr>
        <w:t>accountability</w:t>
      </w:r>
      <w:r w:rsidR="00091628" w:rsidRPr="00647752">
        <w:rPr>
          <w:rFonts w:ascii="Times New Roman" w:hAnsi="Times New Roman" w:cs="Times New Roman"/>
          <w:sz w:val="22"/>
          <w:szCs w:val="22"/>
          <w:lang w:val="en-GB"/>
        </w:rPr>
        <w:t xml:space="preserve"> of the </w:t>
      </w:r>
      <w:r w:rsidR="00470A5C" w:rsidRPr="00647752">
        <w:rPr>
          <w:rFonts w:ascii="Times New Roman" w:hAnsi="Times New Roman" w:cs="Times New Roman"/>
          <w:sz w:val="22"/>
          <w:szCs w:val="22"/>
          <w:lang w:val="en-GB"/>
        </w:rPr>
        <w:t>Bureau for Grievances and Human Rights (BGHR),</w:t>
      </w:r>
      <w:r w:rsidR="005D6CB1" w:rsidRPr="00647752">
        <w:rPr>
          <w:rFonts w:ascii="Times New Roman" w:hAnsi="Times New Roman" w:cs="Times New Roman"/>
          <w:sz w:val="22"/>
          <w:szCs w:val="22"/>
          <w:lang w:val="en-GB"/>
        </w:rPr>
        <w:t xml:space="preserve"> which processes and investigates complaints </w:t>
      </w:r>
      <w:r>
        <w:rPr>
          <w:rFonts w:ascii="Times New Roman" w:hAnsi="Times New Roman" w:cs="Times New Roman"/>
          <w:sz w:val="22"/>
          <w:szCs w:val="22"/>
          <w:lang w:val="en-GB"/>
        </w:rPr>
        <w:t xml:space="preserve">regarding human rights abuses. </w:t>
      </w:r>
      <w:r w:rsidR="005D6CB1" w:rsidRPr="00647752">
        <w:rPr>
          <w:rFonts w:ascii="Times New Roman" w:hAnsi="Times New Roman" w:cs="Times New Roman"/>
          <w:sz w:val="22"/>
          <w:szCs w:val="22"/>
          <w:lang w:val="en-GB"/>
        </w:rPr>
        <w:t>As such, the BGHR serves as a key</w:t>
      </w:r>
      <w:r w:rsidR="00470A5C" w:rsidRPr="00647752">
        <w:rPr>
          <w:rFonts w:ascii="Times New Roman" w:hAnsi="Times New Roman" w:cs="Times New Roman"/>
          <w:sz w:val="22"/>
          <w:szCs w:val="22"/>
          <w:lang w:val="en-GB"/>
        </w:rPr>
        <w:t xml:space="preserve"> component of efforts</w:t>
      </w:r>
      <w:r w:rsidR="005D6CB1" w:rsidRPr="00647752">
        <w:rPr>
          <w:rFonts w:ascii="Times New Roman" w:hAnsi="Times New Roman" w:cs="Times New Roman"/>
          <w:sz w:val="22"/>
          <w:szCs w:val="22"/>
          <w:lang w:val="en-GB"/>
        </w:rPr>
        <w:t xml:space="preserve"> to foster the sense that security institutions are effective and accountable</w:t>
      </w:r>
      <w:r w:rsidR="00470A5C" w:rsidRPr="00647752">
        <w:rPr>
          <w:rFonts w:ascii="Times New Roman" w:hAnsi="Times New Roman" w:cs="Times New Roman"/>
          <w:sz w:val="22"/>
          <w:szCs w:val="22"/>
          <w:lang w:val="en-GB"/>
        </w:rPr>
        <w:t>.</w:t>
      </w:r>
      <w:r w:rsidR="00470A5C" w:rsidRPr="00647752">
        <w:rPr>
          <w:rStyle w:val="FootnoteReference"/>
          <w:rFonts w:ascii="Times New Roman" w:hAnsi="Times New Roman" w:cs="Times New Roman"/>
          <w:sz w:val="22"/>
          <w:szCs w:val="22"/>
          <w:lang w:val="en-GB"/>
        </w:rPr>
        <w:footnoteReference w:id="208"/>
      </w:r>
    </w:p>
    <w:p w:rsidR="006853A8" w:rsidRPr="00647752" w:rsidRDefault="006853A8" w:rsidP="00FB6759">
      <w:pPr>
        <w:spacing w:after="0" w:line="240" w:lineRule="auto"/>
        <w:jc w:val="both"/>
        <w:rPr>
          <w:rFonts w:ascii="Times New Roman" w:hAnsi="Times New Roman" w:cs="Times New Roman"/>
          <w:i/>
          <w:sz w:val="22"/>
          <w:szCs w:val="22"/>
          <w:lang w:val="en-GB"/>
        </w:rPr>
      </w:pPr>
      <w:r w:rsidRPr="00647752">
        <w:rPr>
          <w:rFonts w:ascii="Times New Roman" w:hAnsi="Times New Roman" w:cs="Times New Roman"/>
          <w:i/>
          <w:sz w:val="22"/>
          <w:szCs w:val="22"/>
          <w:lang w:val="en-GB"/>
        </w:rPr>
        <w:lastRenderedPageBreak/>
        <w:t>Output 5.4: Efforts to achieve legal harmonization and consistency of legal systems throughout the oPt initiated</w:t>
      </w:r>
    </w:p>
    <w:p w:rsidR="00AB6D72" w:rsidRDefault="00AB6D72" w:rsidP="00FB6759">
      <w:pPr>
        <w:spacing w:after="0" w:line="240" w:lineRule="auto"/>
        <w:jc w:val="both"/>
        <w:rPr>
          <w:rFonts w:ascii="Times New Roman" w:hAnsi="Times New Roman" w:cs="Times New Roman"/>
          <w:sz w:val="22"/>
          <w:szCs w:val="22"/>
          <w:lang w:val="en-GB"/>
        </w:rPr>
      </w:pPr>
    </w:p>
    <w:p w:rsidR="00B83230" w:rsidRPr="00647752" w:rsidRDefault="00FC3EC8"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Due to the political separation between Fatah</w:t>
      </w:r>
      <w:r w:rsidR="004C1876">
        <w:rPr>
          <w:rFonts w:ascii="Times New Roman" w:hAnsi="Times New Roman" w:cs="Times New Roman"/>
          <w:sz w:val="22"/>
          <w:szCs w:val="22"/>
          <w:lang w:val="en-GB"/>
        </w:rPr>
        <w:t xml:space="preserve"> and Hamas</w:t>
      </w:r>
      <w:r w:rsidRPr="00647752">
        <w:rPr>
          <w:rFonts w:ascii="Times New Roman" w:hAnsi="Times New Roman" w:cs="Times New Roman"/>
          <w:sz w:val="22"/>
          <w:szCs w:val="22"/>
          <w:lang w:val="en-GB"/>
        </w:rPr>
        <w:t xml:space="preserve">, the work under </w:t>
      </w:r>
      <w:r w:rsidR="004C1876">
        <w:rPr>
          <w:rFonts w:ascii="Times New Roman" w:hAnsi="Times New Roman" w:cs="Times New Roman"/>
          <w:sz w:val="22"/>
          <w:szCs w:val="22"/>
          <w:lang w:val="en-GB"/>
        </w:rPr>
        <w:t xml:space="preserve">output 5.4 has been limited. </w:t>
      </w:r>
      <w:r w:rsidR="005D6CB1" w:rsidRPr="00647752">
        <w:rPr>
          <w:rFonts w:ascii="Times New Roman" w:hAnsi="Times New Roman" w:cs="Times New Roman"/>
          <w:sz w:val="22"/>
          <w:szCs w:val="22"/>
          <w:lang w:val="en-GB"/>
        </w:rPr>
        <w:t>As noted above, the legal framework of the oPt is a complex network of overlapping regimes that in many cases can be coordinated</w:t>
      </w:r>
      <w:r w:rsidR="004C1876">
        <w:rPr>
          <w:rFonts w:ascii="Times New Roman" w:hAnsi="Times New Roman" w:cs="Times New Roman"/>
          <w:sz w:val="22"/>
          <w:szCs w:val="22"/>
          <w:lang w:val="en-GB"/>
        </w:rPr>
        <w:t xml:space="preserve"> and consolidated - </w:t>
      </w:r>
      <w:r w:rsidR="00B83230" w:rsidRPr="00647752">
        <w:rPr>
          <w:rFonts w:ascii="Times New Roman" w:hAnsi="Times New Roman" w:cs="Times New Roman"/>
          <w:sz w:val="22"/>
          <w:szCs w:val="22"/>
          <w:lang w:val="en-GB"/>
        </w:rPr>
        <w:t>the laws themselves are often in need of improvement.  Implementation is also fragmented, as the result of historically poor communication between and across justice institutions.</w:t>
      </w:r>
    </w:p>
    <w:p w:rsidR="00AB6D72" w:rsidRDefault="00AB6D72" w:rsidP="00FB6759">
      <w:pPr>
        <w:spacing w:after="0" w:line="240" w:lineRule="auto"/>
        <w:jc w:val="both"/>
        <w:rPr>
          <w:rFonts w:ascii="Times New Roman" w:hAnsi="Times New Roman" w:cs="Times New Roman"/>
          <w:sz w:val="22"/>
          <w:szCs w:val="22"/>
          <w:lang w:val="en-GB"/>
        </w:rPr>
      </w:pPr>
    </w:p>
    <w:p w:rsidR="00027CCC" w:rsidRPr="00AB6D72" w:rsidRDefault="004C1876"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The way that the </w:t>
      </w:r>
      <w:r w:rsidR="00397C26">
        <w:rPr>
          <w:rFonts w:ascii="Times New Roman" w:hAnsi="Times New Roman" w:cs="Times New Roman"/>
          <w:sz w:val="22"/>
          <w:szCs w:val="22"/>
          <w:lang w:val="en-GB"/>
        </w:rPr>
        <w:t xml:space="preserve">programme </w:t>
      </w:r>
      <w:r w:rsidR="00FC3EC8" w:rsidRPr="00647752">
        <w:rPr>
          <w:rFonts w:ascii="Times New Roman" w:hAnsi="Times New Roman" w:cs="Times New Roman"/>
          <w:sz w:val="22"/>
          <w:szCs w:val="22"/>
          <w:lang w:val="en-GB"/>
        </w:rPr>
        <w:t xml:space="preserve">has addressed </w:t>
      </w:r>
      <w:r w:rsidR="00397C26">
        <w:rPr>
          <w:rFonts w:ascii="Times New Roman" w:hAnsi="Times New Roman" w:cs="Times New Roman"/>
          <w:sz w:val="22"/>
          <w:szCs w:val="22"/>
          <w:lang w:val="en-GB"/>
        </w:rPr>
        <w:t xml:space="preserve">output </w:t>
      </w:r>
      <w:r w:rsidR="00FC3EC8" w:rsidRPr="00647752">
        <w:rPr>
          <w:rFonts w:ascii="Times New Roman" w:hAnsi="Times New Roman" w:cs="Times New Roman"/>
          <w:sz w:val="22"/>
          <w:szCs w:val="22"/>
          <w:lang w:val="en-GB"/>
        </w:rPr>
        <w:t xml:space="preserve">5.4 has </w:t>
      </w:r>
      <w:r w:rsidR="00397C26">
        <w:rPr>
          <w:rFonts w:ascii="Times New Roman" w:hAnsi="Times New Roman" w:cs="Times New Roman"/>
          <w:sz w:val="22"/>
          <w:szCs w:val="22"/>
          <w:lang w:val="en-GB"/>
        </w:rPr>
        <w:t xml:space="preserve">been to attempt to tie the </w:t>
      </w:r>
      <w:r w:rsidR="00FC3EC8" w:rsidRPr="00647752">
        <w:rPr>
          <w:rFonts w:ascii="Times New Roman" w:hAnsi="Times New Roman" w:cs="Times New Roman"/>
          <w:sz w:val="22"/>
          <w:szCs w:val="22"/>
          <w:lang w:val="en-GB"/>
        </w:rPr>
        <w:t>W</w:t>
      </w:r>
      <w:r w:rsidR="00C1271E" w:rsidRPr="00647752">
        <w:rPr>
          <w:rFonts w:ascii="Times New Roman" w:hAnsi="Times New Roman" w:cs="Times New Roman"/>
          <w:sz w:val="22"/>
          <w:szCs w:val="22"/>
          <w:lang w:val="en-GB"/>
        </w:rPr>
        <w:t xml:space="preserve">est </w:t>
      </w:r>
      <w:r w:rsidR="00FC3EC8" w:rsidRPr="00647752">
        <w:rPr>
          <w:rFonts w:ascii="Times New Roman" w:hAnsi="Times New Roman" w:cs="Times New Roman"/>
          <w:sz w:val="22"/>
          <w:szCs w:val="22"/>
          <w:lang w:val="en-GB"/>
        </w:rPr>
        <w:t xml:space="preserve">Bank </w:t>
      </w:r>
      <w:r w:rsidR="00397C26">
        <w:rPr>
          <w:rFonts w:ascii="Times New Roman" w:hAnsi="Times New Roman" w:cs="Times New Roman"/>
          <w:sz w:val="22"/>
          <w:szCs w:val="22"/>
          <w:lang w:val="en-GB"/>
        </w:rPr>
        <w:t xml:space="preserve">and Gaza </w:t>
      </w:r>
      <w:r w:rsidR="00FC3EC8" w:rsidRPr="00647752">
        <w:rPr>
          <w:rFonts w:ascii="Times New Roman" w:hAnsi="Times New Roman" w:cs="Times New Roman"/>
          <w:sz w:val="22"/>
          <w:szCs w:val="22"/>
          <w:lang w:val="en-GB"/>
        </w:rPr>
        <w:t xml:space="preserve">together as much as </w:t>
      </w:r>
      <w:r w:rsidR="00397C26">
        <w:rPr>
          <w:rFonts w:ascii="Times New Roman" w:hAnsi="Times New Roman" w:cs="Times New Roman"/>
          <w:sz w:val="22"/>
          <w:szCs w:val="22"/>
          <w:lang w:val="en-GB"/>
        </w:rPr>
        <w:t>possible. For example, UNDP has sought input from the PBA in Gaza</w:t>
      </w:r>
      <w:r w:rsidR="00FC3EC8" w:rsidRPr="00647752">
        <w:rPr>
          <w:rFonts w:ascii="Times New Roman" w:hAnsi="Times New Roman" w:cs="Times New Roman"/>
          <w:sz w:val="22"/>
          <w:szCs w:val="22"/>
          <w:lang w:val="en-GB"/>
        </w:rPr>
        <w:t xml:space="preserve"> on the Penal Code to t</w:t>
      </w:r>
      <w:r w:rsidR="00397C26">
        <w:rPr>
          <w:rFonts w:ascii="Times New Roman" w:hAnsi="Times New Roman" w:cs="Times New Roman"/>
          <w:sz w:val="22"/>
          <w:szCs w:val="22"/>
          <w:lang w:val="en-GB"/>
        </w:rPr>
        <w:t>he extent possible. With the MOJ sponsored legal aid conference, the MO</w:t>
      </w:r>
      <w:r w:rsidR="00FC3EC8" w:rsidRPr="00647752">
        <w:rPr>
          <w:rFonts w:ascii="Times New Roman" w:hAnsi="Times New Roman" w:cs="Times New Roman"/>
          <w:sz w:val="22"/>
          <w:szCs w:val="22"/>
          <w:lang w:val="en-GB"/>
        </w:rPr>
        <w:t xml:space="preserve">J did try to bring up three judges from Gaza, but Israel denied their requests for entry. Also, the </w:t>
      </w:r>
      <w:r w:rsidR="00397C26">
        <w:rPr>
          <w:rFonts w:ascii="Times New Roman" w:hAnsi="Times New Roman" w:cs="Times New Roman"/>
          <w:i/>
          <w:sz w:val="22"/>
          <w:szCs w:val="22"/>
          <w:lang w:val="en-GB"/>
        </w:rPr>
        <w:t>Al-</w:t>
      </w:r>
      <w:r w:rsidR="00FC3EC8" w:rsidRPr="00647752">
        <w:rPr>
          <w:rFonts w:ascii="Times New Roman" w:hAnsi="Times New Roman" w:cs="Times New Roman"/>
          <w:i/>
          <w:sz w:val="22"/>
          <w:szCs w:val="22"/>
          <w:lang w:val="en-GB"/>
        </w:rPr>
        <w:t>Muqtafi</w:t>
      </w:r>
      <w:r w:rsidR="00FC3EC8" w:rsidRPr="00647752">
        <w:rPr>
          <w:rFonts w:ascii="Times New Roman" w:hAnsi="Times New Roman" w:cs="Times New Roman"/>
          <w:sz w:val="22"/>
          <w:szCs w:val="22"/>
          <w:lang w:val="en-GB"/>
        </w:rPr>
        <w:t xml:space="preserve"> database as well as all the other </w:t>
      </w:r>
      <w:r w:rsidR="00FC3EC8" w:rsidRPr="00AB6D72">
        <w:rPr>
          <w:rFonts w:ascii="Times New Roman" w:hAnsi="Times New Roman" w:cs="Times New Roman"/>
          <w:sz w:val="22"/>
          <w:szCs w:val="22"/>
          <w:lang w:val="en-GB"/>
        </w:rPr>
        <w:t>social media and electronically accessible media also helps t</w:t>
      </w:r>
      <w:r w:rsidR="00B80969" w:rsidRPr="00AB6D72">
        <w:rPr>
          <w:rFonts w:ascii="Times New Roman" w:hAnsi="Times New Roman" w:cs="Times New Roman"/>
          <w:sz w:val="22"/>
          <w:szCs w:val="22"/>
          <w:lang w:val="en-GB"/>
        </w:rPr>
        <w:t xml:space="preserve">ie the two legal communities </w:t>
      </w:r>
      <w:r w:rsidR="00C93CB1">
        <w:rPr>
          <w:rFonts w:ascii="Times New Roman" w:hAnsi="Times New Roman" w:cs="Times New Roman"/>
          <w:sz w:val="22"/>
          <w:szCs w:val="22"/>
          <w:lang w:val="en-GB"/>
        </w:rPr>
        <w:t xml:space="preserve">together. </w:t>
      </w:r>
    </w:p>
    <w:p w:rsidR="00AB6D72" w:rsidRPr="00AB6D72" w:rsidRDefault="00AB6D72" w:rsidP="00AB6D72">
      <w:pPr>
        <w:pStyle w:val="Heading2"/>
        <w:numPr>
          <w:ilvl w:val="0"/>
          <w:numId w:val="0"/>
        </w:numPr>
        <w:spacing w:before="0" w:after="0" w:line="240" w:lineRule="auto"/>
        <w:rPr>
          <w:rFonts w:ascii="Times New Roman" w:hAnsi="Times New Roman" w:cs="Times New Roman"/>
          <w:lang w:val="en-GB"/>
        </w:rPr>
      </w:pPr>
      <w:bookmarkStart w:id="21" w:name="_Toc231801805"/>
    </w:p>
    <w:p w:rsidR="00604DB5" w:rsidRPr="00AB6D72" w:rsidRDefault="007D1324" w:rsidP="00AB6D72">
      <w:pPr>
        <w:pStyle w:val="Heading2"/>
        <w:numPr>
          <w:ilvl w:val="0"/>
          <w:numId w:val="0"/>
        </w:numPr>
        <w:spacing w:before="0" w:after="0" w:line="240" w:lineRule="auto"/>
        <w:rPr>
          <w:rFonts w:ascii="Times New Roman" w:hAnsi="Times New Roman" w:cs="Times New Roman"/>
          <w:lang w:val="en-GB"/>
        </w:rPr>
      </w:pPr>
      <w:r w:rsidRPr="00AB6D72">
        <w:rPr>
          <w:rFonts w:ascii="Times New Roman" w:hAnsi="Times New Roman" w:cs="Times New Roman"/>
          <w:lang w:val="en-GB"/>
        </w:rPr>
        <w:t>Relevance</w:t>
      </w:r>
      <w:bookmarkEnd w:id="21"/>
    </w:p>
    <w:p w:rsidR="00AB6D72" w:rsidRPr="00AB6D72" w:rsidRDefault="00AB6D72" w:rsidP="00FB6759">
      <w:pPr>
        <w:spacing w:after="0" w:line="240" w:lineRule="auto"/>
        <w:jc w:val="both"/>
        <w:rPr>
          <w:rFonts w:ascii="Times New Roman" w:hAnsi="Times New Roman" w:cs="Times New Roman"/>
          <w:sz w:val="22"/>
          <w:szCs w:val="22"/>
          <w:lang w:val="en-GB"/>
        </w:rPr>
      </w:pPr>
    </w:p>
    <w:p w:rsidR="00FC16B0" w:rsidRPr="00647752" w:rsidRDefault="000848CF" w:rsidP="00FB6759">
      <w:pPr>
        <w:spacing w:after="0" w:line="240" w:lineRule="auto"/>
        <w:jc w:val="both"/>
        <w:rPr>
          <w:rFonts w:ascii="Times New Roman" w:hAnsi="Times New Roman" w:cs="Times New Roman"/>
          <w:sz w:val="22"/>
          <w:szCs w:val="22"/>
          <w:lang w:val="en-GB"/>
        </w:rPr>
      </w:pPr>
      <w:r w:rsidRPr="00AB6D72">
        <w:rPr>
          <w:rFonts w:ascii="Times New Roman" w:hAnsi="Times New Roman" w:cs="Times New Roman"/>
          <w:sz w:val="22"/>
          <w:szCs w:val="22"/>
          <w:lang w:val="en-GB"/>
        </w:rPr>
        <w:t>As indicated by the above discussion, t</w:t>
      </w:r>
      <w:r w:rsidR="00EC45AA" w:rsidRPr="00AB6D72">
        <w:rPr>
          <w:rFonts w:ascii="Times New Roman" w:hAnsi="Times New Roman" w:cs="Times New Roman"/>
          <w:sz w:val="22"/>
          <w:szCs w:val="22"/>
          <w:lang w:val="en-GB"/>
        </w:rPr>
        <w:t>he de</w:t>
      </w:r>
      <w:r w:rsidR="00C93CB1">
        <w:rPr>
          <w:rFonts w:ascii="Times New Roman" w:hAnsi="Times New Roman" w:cs="Times New Roman"/>
          <w:sz w:val="22"/>
          <w:szCs w:val="22"/>
          <w:lang w:val="en-GB"/>
        </w:rPr>
        <w:t>sign of the UNDP Rule of Law &amp;</w:t>
      </w:r>
      <w:r w:rsidR="00EC45AA" w:rsidRPr="00AB6D72">
        <w:rPr>
          <w:rFonts w:ascii="Times New Roman" w:hAnsi="Times New Roman" w:cs="Times New Roman"/>
          <w:sz w:val="22"/>
          <w:szCs w:val="22"/>
          <w:lang w:val="en-GB"/>
        </w:rPr>
        <w:t xml:space="preserve"> Access to Justice</w:t>
      </w:r>
      <w:r w:rsidR="00C93CB1">
        <w:rPr>
          <w:rFonts w:ascii="Times New Roman" w:hAnsi="Times New Roman" w:cs="Times New Roman"/>
          <w:sz w:val="22"/>
          <w:szCs w:val="22"/>
          <w:lang w:val="en-GB"/>
        </w:rPr>
        <w:t xml:space="preserve"> P</w:t>
      </w:r>
      <w:r w:rsidR="00EC45AA" w:rsidRPr="00647752">
        <w:rPr>
          <w:rFonts w:ascii="Times New Roman" w:hAnsi="Times New Roman" w:cs="Times New Roman"/>
          <w:sz w:val="22"/>
          <w:szCs w:val="22"/>
          <w:lang w:val="en-GB"/>
        </w:rPr>
        <w:t>rogramme has proven highly relevant to the needs of</w:t>
      </w:r>
      <w:r w:rsidR="00C93CB1">
        <w:rPr>
          <w:rFonts w:ascii="Times New Roman" w:hAnsi="Times New Roman" w:cs="Times New Roman"/>
          <w:sz w:val="22"/>
          <w:szCs w:val="22"/>
          <w:lang w:val="en-GB"/>
        </w:rPr>
        <w:t xml:space="preserve"> institutions and beneficiaries - </w:t>
      </w:r>
      <w:r w:rsidR="00EC45AA" w:rsidRPr="00647752">
        <w:rPr>
          <w:rFonts w:ascii="Times New Roman" w:hAnsi="Times New Roman" w:cs="Times New Roman"/>
          <w:sz w:val="22"/>
          <w:szCs w:val="22"/>
          <w:lang w:val="en-GB"/>
        </w:rPr>
        <w:t>especially g</w:t>
      </w:r>
      <w:r w:rsidR="00966A38" w:rsidRPr="00647752">
        <w:rPr>
          <w:rFonts w:ascii="Times New Roman" w:hAnsi="Times New Roman" w:cs="Times New Roman"/>
          <w:sz w:val="22"/>
          <w:szCs w:val="22"/>
          <w:lang w:val="en-GB"/>
        </w:rPr>
        <w:t>iven the severe deprivations suffered by Palestinians as a result of the continued Israeli occupation</w:t>
      </w:r>
      <w:r w:rsidR="00EC45AA" w:rsidRPr="00647752">
        <w:rPr>
          <w:rFonts w:ascii="Times New Roman" w:hAnsi="Times New Roman" w:cs="Times New Roman"/>
          <w:sz w:val="22"/>
          <w:szCs w:val="22"/>
          <w:lang w:val="en-GB"/>
        </w:rPr>
        <w:t>,</w:t>
      </w:r>
      <w:r w:rsidR="00966A38" w:rsidRPr="00647752">
        <w:rPr>
          <w:rFonts w:ascii="Times New Roman" w:hAnsi="Times New Roman" w:cs="Times New Roman"/>
          <w:sz w:val="22"/>
          <w:szCs w:val="22"/>
          <w:lang w:val="en-GB"/>
        </w:rPr>
        <w:t xml:space="preserve"> the low capacity of the P</w:t>
      </w:r>
      <w:r w:rsidR="00C93CB1">
        <w:rPr>
          <w:rFonts w:ascii="Times New Roman" w:hAnsi="Times New Roman" w:cs="Times New Roman"/>
          <w:sz w:val="22"/>
          <w:szCs w:val="22"/>
          <w:lang w:val="en-GB"/>
        </w:rPr>
        <w:t xml:space="preserve">NA </w:t>
      </w:r>
      <w:r w:rsidR="00EC45AA" w:rsidRPr="00647752">
        <w:rPr>
          <w:rFonts w:ascii="Times New Roman" w:hAnsi="Times New Roman" w:cs="Times New Roman"/>
          <w:sz w:val="22"/>
          <w:szCs w:val="22"/>
          <w:lang w:val="en-GB"/>
        </w:rPr>
        <w:t xml:space="preserve">justice </w:t>
      </w:r>
      <w:r w:rsidR="00C93CB1">
        <w:rPr>
          <w:rFonts w:ascii="Times New Roman" w:hAnsi="Times New Roman" w:cs="Times New Roman"/>
          <w:sz w:val="22"/>
          <w:szCs w:val="22"/>
          <w:lang w:val="en-GB"/>
        </w:rPr>
        <w:t xml:space="preserve">and security </w:t>
      </w:r>
      <w:r w:rsidR="00EC45AA" w:rsidRPr="00647752">
        <w:rPr>
          <w:rFonts w:ascii="Times New Roman" w:hAnsi="Times New Roman" w:cs="Times New Roman"/>
          <w:sz w:val="22"/>
          <w:szCs w:val="22"/>
          <w:lang w:val="en-GB"/>
        </w:rPr>
        <w:t>institutions</w:t>
      </w:r>
      <w:r w:rsidR="00C93CB1">
        <w:rPr>
          <w:rFonts w:ascii="Times New Roman" w:hAnsi="Times New Roman" w:cs="Times New Roman"/>
          <w:sz w:val="22"/>
          <w:szCs w:val="22"/>
          <w:lang w:val="en-GB"/>
        </w:rPr>
        <w:t>,</w:t>
      </w:r>
      <w:r w:rsidR="00EC45AA" w:rsidRPr="00647752">
        <w:rPr>
          <w:rFonts w:ascii="Times New Roman" w:hAnsi="Times New Roman" w:cs="Times New Roman"/>
          <w:sz w:val="22"/>
          <w:szCs w:val="22"/>
          <w:lang w:val="en-GB"/>
        </w:rPr>
        <w:t xml:space="preserve"> and</w:t>
      </w:r>
      <w:r w:rsidR="000063A3">
        <w:rPr>
          <w:rFonts w:ascii="Times New Roman" w:hAnsi="Times New Roman" w:cs="Times New Roman"/>
          <w:sz w:val="22"/>
          <w:szCs w:val="22"/>
          <w:lang w:val="en-GB"/>
        </w:rPr>
        <w:t xml:space="preserve"> </w:t>
      </w:r>
      <w:r w:rsidR="00EC45AA" w:rsidRPr="00647752">
        <w:rPr>
          <w:rFonts w:ascii="Times New Roman" w:hAnsi="Times New Roman" w:cs="Times New Roman"/>
          <w:sz w:val="22"/>
          <w:szCs w:val="22"/>
          <w:lang w:val="en-GB"/>
        </w:rPr>
        <w:t xml:space="preserve">general lack of </w:t>
      </w:r>
      <w:r w:rsidR="00966A38" w:rsidRPr="00647752">
        <w:rPr>
          <w:rFonts w:ascii="Times New Roman" w:hAnsi="Times New Roman" w:cs="Times New Roman"/>
          <w:sz w:val="22"/>
          <w:szCs w:val="22"/>
          <w:lang w:val="en-GB"/>
        </w:rPr>
        <w:t xml:space="preserve">knowledge of the law in </w:t>
      </w:r>
      <w:r w:rsidR="00C93CB1">
        <w:rPr>
          <w:rFonts w:ascii="Times New Roman" w:hAnsi="Times New Roman" w:cs="Times New Roman"/>
          <w:sz w:val="22"/>
          <w:szCs w:val="22"/>
          <w:lang w:val="en-GB"/>
        </w:rPr>
        <w:t xml:space="preserve">the </w:t>
      </w:r>
      <w:r w:rsidR="00DE216A" w:rsidRPr="00647752">
        <w:rPr>
          <w:rFonts w:ascii="Times New Roman" w:hAnsi="Times New Roman" w:cs="Times New Roman"/>
          <w:sz w:val="22"/>
          <w:szCs w:val="22"/>
          <w:lang w:val="en-GB"/>
        </w:rPr>
        <w:t>oPt</w:t>
      </w:r>
      <w:r w:rsidR="00EC45AA" w:rsidRPr="00647752">
        <w:rPr>
          <w:rFonts w:ascii="Times New Roman" w:hAnsi="Times New Roman" w:cs="Times New Roman"/>
          <w:sz w:val="22"/>
          <w:szCs w:val="22"/>
          <w:lang w:val="en-GB"/>
        </w:rPr>
        <w:t>.</w:t>
      </w:r>
      <w:r w:rsidR="00AF62C3" w:rsidRPr="00647752">
        <w:rPr>
          <w:rFonts w:ascii="Times New Roman" w:hAnsi="Times New Roman" w:cs="Times New Roman"/>
          <w:sz w:val="22"/>
          <w:szCs w:val="22"/>
          <w:lang w:val="en-GB"/>
        </w:rPr>
        <w:t xml:space="preserve">  Furthermore, UNDP support has aligned well with PNA institutional strategies, which has resulted in a high</w:t>
      </w:r>
      <w:r w:rsidR="000063A3">
        <w:rPr>
          <w:rFonts w:ascii="Times New Roman" w:hAnsi="Times New Roman" w:cs="Times New Roman"/>
          <w:sz w:val="22"/>
          <w:szCs w:val="22"/>
          <w:lang w:val="en-GB"/>
        </w:rPr>
        <w:t xml:space="preserve"> </w:t>
      </w:r>
      <w:r w:rsidR="00AF62C3" w:rsidRPr="00647752">
        <w:rPr>
          <w:rFonts w:ascii="Times New Roman" w:hAnsi="Times New Roman" w:cs="Times New Roman"/>
          <w:sz w:val="22"/>
          <w:szCs w:val="22"/>
          <w:lang w:val="en-GB"/>
        </w:rPr>
        <w:t xml:space="preserve">degree of national ownership. </w:t>
      </w:r>
    </w:p>
    <w:p w:rsidR="00AB6D72" w:rsidRDefault="00AB6D72" w:rsidP="00FB6759">
      <w:pPr>
        <w:spacing w:after="0" w:line="240" w:lineRule="auto"/>
        <w:jc w:val="both"/>
        <w:rPr>
          <w:rFonts w:ascii="Times New Roman" w:hAnsi="Times New Roman" w:cs="Times New Roman"/>
          <w:sz w:val="22"/>
          <w:szCs w:val="22"/>
          <w:lang w:val="en-GB"/>
        </w:rPr>
      </w:pPr>
    </w:p>
    <w:p w:rsidR="00564774" w:rsidRPr="00647752" w:rsidRDefault="002114A6"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A key consideration for UNDP going forward is how it can better balance its support to the three main justice institutions in the West Bank and, in particular, for UNDP to develop its own internal “red lines” and strategies for the ins</w:t>
      </w:r>
      <w:r w:rsidR="00C93CB1">
        <w:rPr>
          <w:rFonts w:ascii="Times New Roman" w:hAnsi="Times New Roman" w:cs="Times New Roman"/>
          <w:sz w:val="22"/>
          <w:szCs w:val="22"/>
          <w:lang w:val="en-GB"/>
        </w:rPr>
        <w:t>titutions. As noted above, the e</w:t>
      </w:r>
      <w:r w:rsidRPr="00647752">
        <w:rPr>
          <w:rFonts w:ascii="Times New Roman" w:hAnsi="Times New Roman" w:cs="Times New Roman"/>
          <w:sz w:val="22"/>
          <w:szCs w:val="22"/>
          <w:lang w:val="en-GB"/>
        </w:rPr>
        <w:t xml:space="preserve">valuation believes that </w:t>
      </w:r>
      <w:r w:rsidR="00BF5AC9" w:rsidRPr="00647752">
        <w:rPr>
          <w:rFonts w:ascii="Times New Roman" w:hAnsi="Times New Roman" w:cs="Times New Roman"/>
          <w:sz w:val="22"/>
          <w:szCs w:val="22"/>
          <w:lang w:val="en-GB"/>
        </w:rPr>
        <w:t>UNDP</w:t>
      </w:r>
      <w:r w:rsidRPr="00647752">
        <w:rPr>
          <w:rFonts w:ascii="Times New Roman" w:hAnsi="Times New Roman" w:cs="Times New Roman"/>
          <w:sz w:val="22"/>
          <w:szCs w:val="22"/>
          <w:lang w:val="en-GB"/>
        </w:rPr>
        <w:t xml:space="preserve"> should </w:t>
      </w:r>
      <w:r w:rsidR="00FC16B0" w:rsidRPr="00647752">
        <w:rPr>
          <w:rFonts w:ascii="Times New Roman" w:hAnsi="Times New Roman" w:cs="Times New Roman"/>
          <w:sz w:val="22"/>
          <w:szCs w:val="22"/>
          <w:lang w:val="en-GB"/>
        </w:rPr>
        <w:t>devote more attention to the judiciary.</w:t>
      </w:r>
    </w:p>
    <w:p w:rsidR="00AB6D72" w:rsidRDefault="00AB6D72" w:rsidP="00FB6759">
      <w:pPr>
        <w:spacing w:after="0" w:line="240" w:lineRule="auto"/>
        <w:jc w:val="both"/>
        <w:rPr>
          <w:rFonts w:ascii="Times New Roman" w:hAnsi="Times New Roman" w:cs="Times New Roman"/>
          <w:sz w:val="22"/>
          <w:szCs w:val="22"/>
          <w:lang w:val="en-GB"/>
        </w:rPr>
      </w:pPr>
    </w:p>
    <w:p w:rsidR="00AF62C3" w:rsidRPr="00647752" w:rsidRDefault="00EC45AA"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 xml:space="preserve">As </w:t>
      </w:r>
      <w:r w:rsidR="00897141" w:rsidRPr="00647752">
        <w:rPr>
          <w:rFonts w:ascii="Times New Roman" w:hAnsi="Times New Roman" w:cs="Times New Roman"/>
          <w:sz w:val="22"/>
          <w:szCs w:val="22"/>
          <w:lang w:val="en-GB"/>
        </w:rPr>
        <w:t>also discussed</w:t>
      </w:r>
      <w:r w:rsidR="00C93CB1">
        <w:rPr>
          <w:rFonts w:ascii="Times New Roman" w:hAnsi="Times New Roman" w:cs="Times New Roman"/>
          <w:sz w:val="22"/>
          <w:szCs w:val="22"/>
          <w:lang w:val="en-GB"/>
        </w:rPr>
        <w:t xml:space="preserve"> throughout this r</w:t>
      </w:r>
      <w:r w:rsidRPr="00647752">
        <w:rPr>
          <w:rFonts w:ascii="Times New Roman" w:hAnsi="Times New Roman" w:cs="Times New Roman"/>
          <w:sz w:val="22"/>
          <w:szCs w:val="22"/>
          <w:lang w:val="en-GB"/>
        </w:rPr>
        <w:t xml:space="preserve">eport some of UNDP’s interventions </w:t>
      </w:r>
      <w:r w:rsidR="00C93CB1">
        <w:rPr>
          <w:rFonts w:ascii="Times New Roman" w:hAnsi="Times New Roman" w:cs="Times New Roman"/>
          <w:sz w:val="22"/>
          <w:szCs w:val="22"/>
          <w:lang w:val="en-GB"/>
        </w:rPr>
        <w:t xml:space="preserve">could have been more strategic, </w:t>
      </w:r>
      <w:r w:rsidRPr="00647752">
        <w:rPr>
          <w:rFonts w:ascii="Times New Roman" w:hAnsi="Times New Roman" w:cs="Times New Roman"/>
          <w:sz w:val="22"/>
          <w:szCs w:val="22"/>
          <w:lang w:val="en-GB"/>
        </w:rPr>
        <w:t>especially the advocacy conducted v</w:t>
      </w:r>
      <w:r w:rsidR="00C93CB1">
        <w:rPr>
          <w:rFonts w:ascii="Times New Roman" w:hAnsi="Times New Roman" w:cs="Times New Roman"/>
          <w:sz w:val="22"/>
          <w:szCs w:val="22"/>
          <w:lang w:val="en-GB"/>
        </w:rPr>
        <w:t>ia the CSI</w:t>
      </w:r>
      <w:r w:rsidR="00462ACE" w:rsidRPr="00647752">
        <w:rPr>
          <w:rFonts w:ascii="Times New Roman" w:hAnsi="Times New Roman" w:cs="Times New Roman"/>
          <w:sz w:val="22"/>
          <w:szCs w:val="22"/>
          <w:lang w:val="en-GB"/>
        </w:rPr>
        <w:t xml:space="preserve">. </w:t>
      </w:r>
      <w:r w:rsidR="00F41A4E" w:rsidRPr="00647752">
        <w:rPr>
          <w:rFonts w:ascii="Times New Roman" w:hAnsi="Times New Roman" w:cs="Times New Roman"/>
          <w:sz w:val="22"/>
          <w:szCs w:val="22"/>
          <w:lang w:val="en-GB"/>
        </w:rPr>
        <w:t xml:space="preserve">Going forward, UNDP might consider deepening its commitments, but to fewer </w:t>
      </w:r>
      <w:r w:rsidR="00FC16B0" w:rsidRPr="00647752">
        <w:rPr>
          <w:rFonts w:ascii="Times New Roman" w:hAnsi="Times New Roman" w:cs="Times New Roman"/>
          <w:sz w:val="22"/>
          <w:szCs w:val="22"/>
          <w:lang w:val="en-GB"/>
        </w:rPr>
        <w:t xml:space="preserve">advocacy </w:t>
      </w:r>
      <w:r w:rsidR="00F41A4E" w:rsidRPr="00647752">
        <w:rPr>
          <w:rFonts w:ascii="Times New Roman" w:hAnsi="Times New Roman" w:cs="Times New Roman"/>
          <w:sz w:val="22"/>
          <w:szCs w:val="22"/>
          <w:lang w:val="en-GB"/>
        </w:rPr>
        <w:t>outputs with a smaller number of implementers</w:t>
      </w:r>
      <w:r w:rsidR="00FC16B0" w:rsidRPr="00647752">
        <w:rPr>
          <w:rFonts w:ascii="Times New Roman" w:hAnsi="Times New Roman" w:cs="Times New Roman"/>
          <w:sz w:val="22"/>
          <w:szCs w:val="22"/>
          <w:lang w:val="en-GB"/>
        </w:rPr>
        <w:t xml:space="preserve"> and/or to scale up legal aid while scaling back on its support to advocacy. </w:t>
      </w:r>
      <w:r w:rsidR="000C369C" w:rsidRPr="00C93CB1">
        <w:rPr>
          <w:rFonts w:ascii="Times New Roman" w:hAnsi="Times New Roman" w:cs="Times New Roman"/>
          <w:i/>
          <w:sz w:val="22"/>
          <w:szCs w:val="22"/>
          <w:lang w:val="en-GB"/>
        </w:rPr>
        <w:t>Shari’a</w:t>
      </w:r>
      <w:r w:rsidR="000848CF" w:rsidRPr="00647752">
        <w:rPr>
          <w:rFonts w:ascii="Times New Roman" w:hAnsi="Times New Roman" w:cs="Times New Roman"/>
          <w:sz w:val="22"/>
          <w:szCs w:val="22"/>
          <w:lang w:val="en-GB"/>
        </w:rPr>
        <w:t xml:space="preserve"> courts and enforcement of judgments are also a highly relevant area that was not directly targeted by th</w:t>
      </w:r>
      <w:r w:rsidR="00C93CB1">
        <w:rPr>
          <w:rFonts w:ascii="Times New Roman" w:hAnsi="Times New Roman" w:cs="Times New Roman"/>
          <w:sz w:val="22"/>
          <w:szCs w:val="22"/>
          <w:lang w:val="en-GB"/>
        </w:rPr>
        <w:t>e programme</w:t>
      </w:r>
      <w:r w:rsidR="00F75E4F" w:rsidRPr="00647752">
        <w:rPr>
          <w:rFonts w:ascii="Times New Roman" w:hAnsi="Times New Roman" w:cs="Times New Roman"/>
          <w:sz w:val="22"/>
          <w:szCs w:val="22"/>
          <w:lang w:val="en-GB"/>
        </w:rPr>
        <w:t>.</w:t>
      </w:r>
    </w:p>
    <w:p w:rsidR="00AB6D72" w:rsidRDefault="00AB6D72" w:rsidP="00FB6759">
      <w:pPr>
        <w:spacing w:after="0" w:line="240" w:lineRule="auto"/>
        <w:jc w:val="both"/>
        <w:rPr>
          <w:rFonts w:ascii="Times New Roman" w:hAnsi="Times New Roman" w:cs="Times New Roman"/>
          <w:sz w:val="22"/>
          <w:szCs w:val="22"/>
          <w:lang w:val="en-GB"/>
        </w:rPr>
      </w:pPr>
    </w:p>
    <w:p w:rsidR="00AF62C3" w:rsidRPr="00AB6D72" w:rsidRDefault="002E1CAE"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F</w:t>
      </w:r>
      <w:r w:rsidR="00C93CB1">
        <w:rPr>
          <w:rFonts w:ascii="Times New Roman" w:hAnsi="Times New Roman" w:cs="Times New Roman"/>
          <w:sz w:val="22"/>
          <w:szCs w:val="22"/>
          <w:lang w:val="en-GB"/>
        </w:rPr>
        <w:t>inally, the UNDP Rule of Law &amp;</w:t>
      </w:r>
      <w:r w:rsidRPr="00647752">
        <w:rPr>
          <w:rFonts w:ascii="Times New Roman" w:hAnsi="Times New Roman" w:cs="Times New Roman"/>
          <w:sz w:val="22"/>
          <w:szCs w:val="22"/>
          <w:lang w:val="en-GB"/>
        </w:rPr>
        <w:t xml:space="preserve"> Access to Justice Programme has aligned well with UNDP’s own corporate mandates that include a strong emphasis on access to justice and legal empowerment of the most</w:t>
      </w:r>
      <w:r w:rsidR="00C93CB1">
        <w:rPr>
          <w:rFonts w:ascii="Times New Roman" w:hAnsi="Times New Roman" w:cs="Times New Roman"/>
          <w:sz w:val="22"/>
          <w:szCs w:val="22"/>
          <w:lang w:val="en-GB"/>
        </w:rPr>
        <w:t xml:space="preserve"> vulnerable segments of society - </w:t>
      </w:r>
      <w:r w:rsidRPr="00647752">
        <w:rPr>
          <w:rFonts w:ascii="Times New Roman" w:hAnsi="Times New Roman" w:cs="Times New Roman"/>
          <w:sz w:val="22"/>
          <w:szCs w:val="22"/>
          <w:lang w:val="en-GB"/>
        </w:rPr>
        <w:t>especially women, children and persons with disabilities. As noted, above, however, one component of UNDP’s global mandate th</w:t>
      </w:r>
      <w:r w:rsidR="00C93CB1">
        <w:rPr>
          <w:rFonts w:ascii="Times New Roman" w:hAnsi="Times New Roman" w:cs="Times New Roman"/>
          <w:sz w:val="22"/>
          <w:szCs w:val="22"/>
          <w:lang w:val="en-GB"/>
        </w:rPr>
        <w:t>at was not specifically emphasis</w:t>
      </w:r>
      <w:r w:rsidRPr="00647752">
        <w:rPr>
          <w:rFonts w:ascii="Times New Roman" w:hAnsi="Times New Roman" w:cs="Times New Roman"/>
          <w:sz w:val="22"/>
          <w:szCs w:val="22"/>
          <w:lang w:val="en-GB"/>
        </w:rPr>
        <w:t xml:space="preserve">ed by the </w:t>
      </w:r>
      <w:r w:rsidR="00C93CB1">
        <w:rPr>
          <w:rFonts w:ascii="Times New Roman" w:hAnsi="Times New Roman" w:cs="Times New Roman"/>
          <w:sz w:val="22"/>
          <w:szCs w:val="22"/>
          <w:lang w:val="en-GB"/>
        </w:rPr>
        <w:t>p</w:t>
      </w:r>
      <w:r w:rsidRPr="00AB6D72">
        <w:rPr>
          <w:rFonts w:ascii="Times New Roman" w:hAnsi="Times New Roman" w:cs="Times New Roman"/>
          <w:sz w:val="22"/>
          <w:szCs w:val="22"/>
          <w:lang w:val="en-GB"/>
        </w:rPr>
        <w:t>rogramme was conflict prevention.</w:t>
      </w:r>
    </w:p>
    <w:p w:rsidR="00AB6D72" w:rsidRPr="00AB6D72" w:rsidRDefault="00AB6D72" w:rsidP="00AB6D72">
      <w:pPr>
        <w:pStyle w:val="Heading2"/>
        <w:numPr>
          <w:ilvl w:val="0"/>
          <w:numId w:val="0"/>
        </w:numPr>
        <w:spacing w:before="0" w:after="0" w:line="240" w:lineRule="auto"/>
        <w:rPr>
          <w:rFonts w:ascii="Times New Roman" w:eastAsiaTheme="minorHAnsi" w:hAnsi="Times New Roman" w:cs="Times New Roman"/>
          <w:b w:val="0"/>
          <w:bCs w:val="0"/>
          <w:lang w:val="en-GB"/>
        </w:rPr>
      </w:pPr>
      <w:bookmarkStart w:id="22" w:name="_Toc231801806"/>
    </w:p>
    <w:p w:rsidR="00604DB5" w:rsidRPr="00AB6D72" w:rsidRDefault="00604DB5" w:rsidP="00AB6D72">
      <w:pPr>
        <w:pStyle w:val="Heading2"/>
        <w:numPr>
          <w:ilvl w:val="0"/>
          <w:numId w:val="0"/>
        </w:numPr>
        <w:spacing w:before="0" w:after="0" w:line="240" w:lineRule="auto"/>
        <w:rPr>
          <w:rFonts w:ascii="Times New Roman" w:hAnsi="Times New Roman" w:cs="Times New Roman"/>
          <w:lang w:val="en-GB"/>
        </w:rPr>
      </w:pPr>
      <w:r w:rsidRPr="00AB6D72">
        <w:rPr>
          <w:rFonts w:ascii="Times New Roman" w:hAnsi="Times New Roman" w:cs="Times New Roman"/>
          <w:lang w:val="en-GB"/>
        </w:rPr>
        <w:t>Programme Oversight and Coordination</w:t>
      </w:r>
      <w:bookmarkEnd w:id="22"/>
    </w:p>
    <w:p w:rsidR="00AB6D72" w:rsidRPr="00AB6D72" w:rsidRDefault="00AB6D72" w:rsidP="00AB6D72">
      <w:pPr>
        <w:pStyle w:val="Heading3"/>
        <w:numPr>
          <w:ilvl w:val="0"/>
          <w:numId w:val="0"/>
        </w:numPr>
        <w:spacing w:before="0" w:after="0" w:line="240" w:lineRule="auto"/>
        <w:rPr>
          <w:rFonts w:ascii="Times New Roman" w:hAnsi="Times New Roman" w:cs="Times New Roman"/>
          <w:sz w:val="22"/>
          <w:szCs w:val="22"/>
          <w:lang w:val="en-GB"/>
        </w:rPr>
      </w:pPr>
      <w:bookmarkStart w:id="23" w:name="_Toc231801807"/>
    </w:p>
    <w:p w:rsidR="007D1324" w:rsidRPr="00C93CB1" w:rsidRDefault="007D1324" w:rsidP="00AB6D72">
      <w:pPr>
        <w:pStyle w:val="Heading3"/>
        <w:numPr>
          <w:ilvl w:val="0"/>
          <w:numId w:val="0"/>
        </w:numPr>
        <w:spacing w:before="0" w:after="0" w:line="240" w:lineRule="auto"/>
        <w:rPr>
          <w:rFonts w:ascii="Times New Roman" w:hAnsi="Times New Roman" w:cs="Times New Roman"/>
          <w:b w:val="0"/>
          <w:sz w:val="22"/>
          <w:szCs w:val="22"/>
          <w:lang w:val="en-GB"/>
        </w:rPr>
      </w:pPr>
      <w:r w:rsidRPr="00C93CB1">
        <w:rPr>
          <w:rFonts w:ascii="Times New Roman" w:hAnsi="Times New Roman" w:cs="Times New Roman"/>
          <w:b w:val="0"/>
          <w:sz w:val="22"/>
          <w:szCs w:val="22"/>
          <w:lang w:val="en-GB"/>
        </w:rPr>
        <w:t>Management</w:t>
      </w:r>
      <w:bookmarkEnd w:id="23"/>
    </w:p>
    <w:p w:rsidR="00AB6D72" w:rsidRDefault="00AB6D72" w:rsidP="00FB6759">
      <w:pPr>
        <w:spacing w:after="0" w:line="240" w:lineRule="auto"/>
        <w:jc w:val="both"/>
        <w:rPr>
          <w:rFonts w:ascii="Times New Roman" w:hAnsi="Times New Roman" w:cs="Times New Roman"/>
          <w:sz w:val="22"/>
          <w:szCs w:val="22"/>
          <w:lang w:val="en-GB"/>
        </w:rPr>
      </w:pPr>
    </w:p>
    <w:p w:rsidR="00DC725D" w:rsidRPr="00647752" w:rsidRDefault="00CB6635" w:rsidP="00DC725D">
      <w:pPr>
        <w:spacing w:after="0" w:line="240" w:lineRule="auto"/>
        <w:jc w:val="both"/>
        <w:rPr>
          <w:rFonts w:ascii="Times New Roman" w:eastAsia="MS Mincho" w:hAnsi="Times New Roman" w:cs="Times New Roman"/>
          <w:sz w:val="22"/>
          <w:szCs w:val="22"/>
          <w:lang w:val="en-GB" w:eastAsia="ja-JP"/>
        </w:rPr>
      </w:pPr>
      <w:r w:rsidRPr="00AB6D72">
        <w:rPr>
          <w:rFonts w:ascii="Times New Roman" w:hAnsi="Times New Roman" w:cs="Times New Roman"/>
          <w:sz w:val="22"/>
          <w:szCs w:val="22"/>
          <w:lang w:val="en-GB"/>
        </w:rPr>
        <w:t>The majority of s</w:t>
      </w:r>
      <w:r w:rsidR="00C93CB1">
        <w:rPr>
          <w:rFonts w:ascii="Times New Roman" w:hAnsi="Times New Roman" w:cs="Times New Roman"/>
          <w:sz w:val="22"/>
          <w:szCs w:val="22"/>
          <w:lang w:val="en-GB"/>
        </w:rPr>
        <w:t>takeholders interviewed by the e</w:t>
      </w:r>
      <w:r w:rsidRPr="00AB6D72">
        <w:rPr>
          <w:rFonts w:ascii="Times New Roman" w:hAnsi="Times New Roman" w:cs="Times New Roman"/>
          <w:sz w:val="22"/>
          <w:szCs w:val="22"/>
          <w:lang w:val="en-GB"/>
        </w:rPr>
        <w:t xml:space="preserve">valuation had high </w:t>
      </w:r>
      <w:r w:rsidR="00C93CB1">
        <w:rPr>
          <w:rFonts w:ascii="Times New Roman" w:hAnsi="Times New Roman" w:cs="Times New Roman"/>
          <w:sz w:val="22"/>
          <w:szCs w:val="22"/>
          <w:lang w:val="en-GB"/>
        </w:rPr>
        <w:t>praise for the management of</w:t>
      </w:r>
      <w:r w:rsidRPr="00647752">
        <w:rPr>
          <w:rFonts w:ascii="Times New Roman" w:hAnsi="Times New Roman" w:cs="Times New Roman"/>
          <w:sz w:val="22"/>
          <w:szCs w:val="22"/>
          <w:lang w:val="en-GB"/>
        </w:rPr>
        <w:t xml:space="preserve"> UNDP</w:t>
      </w:r>
      <w:r w:rsidR="00C93CB1">
        <w:rPr>
          <w:rFonts w:ascii="Times New Roman" w:hAnsi="Times New Roman" w:cs="Times New Roman"/>
          <w:sz w:val="22"/>
          <w:szCs w:val="22"/>
          <w:lang w:val="en-GB"/>
        </w:rPr>
        <w:t>/PAPP’s</w:t>
      </w:r>
      <w:r w:rsidRPr="00647752">
        <w:rPr>
          <w:rFonts w:ascii="Times New Roman" w:hAnsi="Times New Roman" w:cs="Times New Roman"/>
          <w:sz w:val="22"/>
          <w:szCs w:val="22"/>
          <w:lang w:val="en-GB"/>
        </w:rPr>
        <w:t xml:space="preserve"> Rul</w:t>
      </w:r>
      <w:r w:rsidR="00C93CB1">
        <w:rPr>
          <w:rFonts w:ascii="Times New Roman" w:hAnsi="Times New Roman" w:cs="Times New Roman"/>
          <w:sz w:val="22"/>
          <w:szCs w:val="22"/>
          <w:lang w:val="en-GB"/>
        </w:rPr>
        <w:t>e of Law &amp;</w:t>
      </w:r>
      <w:r w:rsidRPr="00647752">
        <w:rPr>
          <w:rFonts w:ascii="Times New Roman" w:hAnsi="Times New Roman" w:cs="Times New Roman"/>
          <w:sz w:val="22"/>
          <w:szCs w:val="22"/>
          <w:lang w:val="en-GB"/>
        </w:rPr>
        <w:t xml:space="preserve"> Access </w:t>
      </w:r>
      <w:r w:rsidR="00C93CB1">
        <w:rPr>
          <w:rFonts w:ascii="Times New Roman" w:hAnsi="Times New Roman" w:cs="Times New Roman"/>
          <w:sz w:val="22"/>
          <w:szCs w:val="22"/>
          <w:lang w:val="en-GB"/>
        </w:rPr>
        <w:t>to Justice Programme</w:t>
      </w:r>
      <w:r w:rsidR="001148CA" w:rsidRPr="00647752">
        <w:rPr>
          <w:rFonts w:ascii="Times New Roman" w:hAnsi="Times New Roman" w:cs="Times New Roman"/>
          <w:sz w:val="22"/>
          <w:szCs w:val="22"/>
          <w:lang w:val="en-GB"/>
        </w:rPr>
        <w:t>. There were several criticisms raised however, regarding UNDP’s procurement procedures, which were viewed as cumbersome and overly complicated by some stak</w:t>
      </w:r>
      <w:r w:rsidR="00C93CB1">
        <w:rPr>
          <w:rFonts w:ascii="Times New Roman" w:hAnsi="Times New Roman" w:cs="Times New Roman"/>
          <w:sz w:val="22"/>
          <w:szCs w:val="22"/>
          <w:lang w:val="en-GB"/>
        </w:rPr>
        <w:t>eholders. Additionally, UNDP’s d</w:t>
      </w:r>
      <w:r w:rsidR="001148CA" w:rsidRPr="00647752">
        <w:rPr>
          <w:rFonts w:ascii="Times New Roman" w:hAnsi="Times New Roman" w:cs="Times New Roman"/>
          <w:sz w:val="22"/>
          <w:szCs w:val="22"/>
          <w:lang w:val="en-GB"/>
        </w:rPr>
        <w:t>onors were not entirely satisfied with</w:t>
      </w:r>
      <w:r w:rsidR="00C93CB1">
        <w:rPr>
          <w:rFonts w:ascii="Times New Roman" w:hAnsi="Times New Roman" w:cs="Times New Roman"/>
          <w:sz w:val="22"/>
          <w:szCs w:val="22"/>
          <w:lang w:val="en-GB"/>
        </w:rPr>
        <w:t xml:space="preserve"> the level of reporting by UNDP - </w:t>
      </w:r>
      <w:r w:rsidR="001148CA" w:rsidRPr="00647752">
        <w:rPr>
          <w:rFonts w:ascii="Times New Roman" w:hAnsi="Times New Roman" w:cs="Times New Roman"/>
          <w:sz w:val="22"/>
          <w:szCs w:val="22"/>
          <w:lang w:val="en-GB"/>
        </w:rPr>
        <w:t>specifically, UNDP’s tracking of impac</w:t>
      </w:r>
      <w:r w:rsidR="00C93CB1">
        <w:rPr>
          <w:rFonts w:ascii="Times New Roman" w:hAnsi="Times New Roman" w:cs="Times New Roman"/>
          <w:sz w:val="22"/>
          <w:szCs w:val="22"/>
          <w:lang w:val="en-GB"/>
        </w:rPr>
        <w:t>t at the o</w:t>
      </w:r>
      <w:r w:rsidR="00556004" w:rsidRPr="00647752">
        <w:rPr>
          <w:rFonts w:ascii="Times New Roman" w:hAnsi="Times New Roman" w:cs="Times New Roman"/>
          <w:sz w:val="22"/>
          <w:szCs w:val="22"/>
          <w:lang w:val="en-GB"/>
        </w:rPr>
        <w:t xml:space="preserve">utcome level. </w:t>
      </w:r>
      <w:r w:rsidR="00E52DBE" w:rsidRPr="00647752">
        <w:rPr>
          <w:rFonts w:ascii="Times New Roman" w:hAnsi="Times New Roman" w:cs="Times New Roman"/>
          <w:sz w:val="22"/>
          <w:szCs w:val="22"/>
          <w:lang w:val="en-GB"/>
        </w:rPr>
        <w:t xml:space="preserve">UNDP is in a </w:t>
      </w:r>
      <w:r w:rsidR="00E52DBE" w:rsidRPr="00647752">
        <w:rPr>
          <w:rFonts w:ascii="Times New Roman" w:hAnsi="Times New Roman" w:cs="Times New Roman"/>
          <w:sz w:val="22"/>
          <w:szCs w:val="22"/>
          <w:lang w:val="en-GB"/>
        </w:rPr>
        <w:lastRenderedPageBreak/>
        <w:t xml:space="preserve">much better </w:t>
      </w:r>
      <w:r w:rsidR="00C93CB1">
        <w:rPr>
          <w:rFonts w:ascii="Times New Roman" w:hAnsi="Times New Roman" w:cs="Times New Roman"/>
          <w:sz w:val="22"/>
          <w:szCs w:val="22"/>
          <w:lang w:val="en-GB"/>
        </w:rPr>
        <w:t>position now than it was in 2010</w:t>
      </w:r>
      <w:r w:rsidR="00E52DBE" w:rsidRPr="00647752">
        <w:rPr>
          <w:rFonts w:ascii="Times New Roman" w:hAnsi="Times New Roman" w:cs="Times New Roman"/>
          <w:sz w:val="22"/>
          <w:szCs w:val="22"/>
          <w:lang w:val="en-GB"/>
        </w:rPr>
        <w:t xml:space="preserve"> to benchmark outcomes with measurable indicators and should establish </w:t>
      </w:r>
      <w:r w:rsidR="00556004" w:rsidRPr="00647752">
        <w:rPr>
          <w:rFonts w:ascii="Times New Roman" w:hAnsi="Times New Roman" w:cs="Times New Roman"/>
          <w:sz w:val="22"/>
          <w:szCs w:val="22"/>
          <w:lang w:val="en-GB"/>
        </w:rPr>
        <w:t>clear (evide</w:t>
      </w:r>
      <w:r w:rsidR="00C93CB1">
        <w:rPr>
          <w:rFonts w:ascii="Times New Roman" w:hAnsi="Times New Roman" w:cs="Times New Roman"/>
          <w:sz w:val="22"/>
          <w:szCs w:val="22"/>
          <w:lang w:val="en-GB"/>
        </w:rPr>
        <w:t>nce-</w:t>
      </w:r>
      <w:r w:rsidR="00556004" w:rsidRPr="00647752">
        <w:rPr>
          <w:rFonts w:ascii="Times New Roman" w:hAnsi="Times New Roman" w:cs="Times New Roman"/>
          <w:sz w:val="22"/>
          <w:szCs w:val="22"/>
          <w:lang w:val="en-GB"/>
        </w:rPr>
        <w:t xml:space="preserve">based) baselines and measurable indicators for </w:t>
      </w:r>
      <w:r w:rsidR="00DC725D">
        <w:rPr>
          <w:rFonts w:ascii="Times New Roman" w:hAnsi="Times New Roman" w:cs="Times New Roman"/>
          <w:sz w:val="22"/>
          <w:szCs w:val="22"/>
          <w:lang w:val="en-GB"/>
        </w:rPr>
        <w:t>the second phase of the programme.</w:t>
      </w:r>
    </w:p>
    <w:p w:rsidR="00AB6D72" w:rsidRDefault="00AB6D72" w:rsidP="00FB6759">
      <w:pPr>
        <w:spacing w:after="0" w:line="240" w:lineRule="auto"/>
        <w:jc w:val="both"/>
        <w:rPr>
          <w:rFonts w:ascii="Times New Roman" w:hAnsi="Times New Roman" w:cs="Times New Roman"/>
          <w:sz w:val="22"/>
          <w:szCs w:val="22"/>
          <w:lang w:val="en-GB"/>
        </w:rPr>
      </w:pPr>
    </w:p>
    <w:p w:rsidR="002B6716" w:rsidRDefault="00DC725D"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In some instances UNDP has not solidified </w:t>
      </w:r>
      <w:r w:rsidR="00B04FA6" w:rsidRPr="00647752">
        <w:rPr>
          <w:rFonts w:ascii="Times New Roman" w:hAnsi="Times New Roman" w:cs="Times New Roman"/>
          <w:sz w:val="22"/>
          <w:szCs w:val="22"/>
          <w:lang w:val="en-GB"/>
        </w:rPr>
        <w:t xml:space="preserve">its (internal) </w:t>
      </w:r>
      <w:r w:rsidR="002B6716" w:rsidRPr="00647752">
        <w:rPr>
          <w:rFonts w:ascii="Times New Roman" w:hAnsi="Times New Roman" w:cs="Times New Roman"/>
          <w:sz w:val="22"/>
          <w:szCs w:val="22"/>
          <w:lang w:val="en-GB"/>
        </w:rPr>
        <w:t xml:space="preserve">political analysis </w:t>
      </w:r>
      <w:r w:rsidR="00B04FA6" w:rsidRPr="00647752">
        <w:rPr>
          <w:rFonts w:ascii="Times New Roman" w:hAnsi="Times New Roman" w:cs="Times New Roman"/>
          <w:sz w:val="22"/>
          <w:szCs w:val="22"/>
          <w:lang w:val="en-GB"/>
        </w:rPr>
        <w:t>regarding</w:t>
      </w:r>
      <w:r w:rsidR="002B6716" w:rsidRPr="00647752">
        <w:rPr>
          <w:rFonts w:ascii="Times New Roman" w:hAnsi="Times New Roman" w:cs="Times New Roman"/>
          <w:sz w:val="22"/>
          <w:szCs w:val="22"/>
          <w:lang w:val="en-GB"/>
        </w:rPr>
        <w:t xml:space="preserve"> possible contingencies and risks</w:t>
      </w:r>
      <w:r w:rsidR="00B04FA6" w:rsidRPr="00647752">
        <w:rPr>
          <w:rFonts w:ascii="Times New Roman" w:hAnsi="Times New Roman" w:cs="Times New Roman"/>
          <w:sz w:val="22"/>
          <w:szCs w:val="22"/>
          <w:lang w:val="en-GB"/>
        </w:rPr>
        <w:t xml:space="preserve"> th</w:t>
      </w:r>
      <w:r w:rsidR="00CF7F84" w:rsidRPr="00647752">
        <w:rPr>
          <w:rFonts w:ascii="Times New Roman" w:hAnsi="Times New Roman" w:cs="Times New Roman"/>
          <w:sz w:val="22"/>
          <w:szCs w:val="22"/>
          <w:lang w:val="en-GB"/>
        </w:rPr>
        <w:t xml:space="preserve">at </w:t>
      </w:r>
      <w:r w:rsidR="00B04FA6" w:rsidRPr="00647752">
        <w:rPr>
          <w:rFonts w:ascii="Times New Roman" w:hAnsi="Times New Roman" w:cs="Times New Roman"/>
          <w:sz w:val="22"/>
          <w:szCs w:val="22"/>
          <w:lang w:val="en-GB"/>
        </w:rPr>
        <w:t>could impact the rule of law sector</w:t>
      </w:r>
      <w:r>
        <w:rPr>
          <w:rFonts w:ascii="Times New Roman" w:hAnsi="Times New Roman" w:cs="Times New Roman"/>
          <w:sz w:val="22"/>
          <w:szCs w:val="22"/>
          <w:lang w:val="en-GB"/>
        </w:rPr>
        <w:t xml:space="preserve"> (i.e. reunification of Fatah </w:t>
      </w:r>
      <w:r w:rsidR="002B6716" w:rsidRPr="00647752">
        <w:rPr>
          <w:rFonts w:ascii="Times New Roman" w:hAnsi="Times New Roman" w:cs="Times New Roman"/>
          <w:sz w:val="22"/>
          <w:szCs w:val="22"/>
          <w:lang w:val="en-GB"/>
        </w:rPr>
        <w:t xml:space="preserve">and </w:t>
      </w:r>
      <w:r w:rsidR="00AA7E46" w:rsidRPr="00647752">
        <w:rPr>
          <w:rFonts w:ascii="Times New Roman" w:hAnsi="Times New Roman" w:cs="Times New Roman"/>
          <w:sz w:val="22"/>
          <w:szCs w:val="22"/>
          <w:lang w:val="en-GB"/>
        </w:rPr>
        <w:t>Hamas</w:t>
      </w:r>
      <w:r w:rsidR="00B04FA6" w:rsidRPr="00647752">
        <w:rPr>
          <w:rFonts w:ascii="Times New Roman" w:hAnsi="Times New Roman" w:cs="Times New Roman"/>
          <w:sz w:val="22"/>
          <w:szCs w:val="22"/>
          <w:lang w:val="en-GB"/>
        </w:rPr>
        <w:t xml:space="preserve"> and its implications for the Palestinian Legislative Counsel, court structures, etc.</w:t>
      </w:r>
      <w:r w:rsidR="002B6716" w:rsidRPr="00647752">
        <w:rPr>
          <w:rFonts w:ascii="Times New Roman" w:hAnsi="Times New Roman" w:cs="Times New Roman"/>
          <w:sz w:val="22"/>
          <w:szCs w:val="22"/>
          <w:lang w:val="en-GB"/>
        </w:rPr>
        <w:t>)</w:t>
      </w:r>
      <w:r w:rsidR="00B04FA6" w:rsidRPr="00647752">
        <w:rPr>
          <w:rFonts w:ascii="Times New Roman" w:hAnsi="Times New Roman" w:cs="Times New Roman"/>
          <w:sz w:val="22"/>
          <w:szCs w:val="22"/>
          <w:lang w:val="en-GB"/>
        </w:rPr>
        <w:t xml:space="preserve">. Going forward, UNDP might consider involving </w:t>
      </w:r>
      <w:r w:rsidR="00DE499E" w:rsidRPr="00647752">
        <w:rPr>
          <w:rFonts w:ascii="Times New Roman" w:hAnsi="Times New Roman" w:cs="Times New Roman"/>
          <w:sz w:val="22"/>
          <w:szCs w:val="22"/>
          <w:lang w:val="en-GB"/>
        </w:rPr>
        <w:t xml:space="preserve">UNSCO experts in the </w:t>
      </w:r>
      <w:r>
        <w:rPr>
          <w:rFonts w:ascii="Times New Roman" w:hAnsi="Times New Roman" w:cs="Times New Roman"/>
          <w:sz w:val="22"/>
          <w:szCs w:val="22"/>
          <w:lang w:val="en-GB"/>
        </w:rPr>
        <w:t xml:space="preserve">discussion of the design of the </w:t>
      </w:r>
      <w:r w:rsidR="00DE499E" w:rsidRPr="00647752">
        <w:rPr>
          <w:rFonts w:ascii="Times New Roman" w:hAnsi="Times New Roman" w:cs="Times New Roman"/>
          <w:sz w:val="22"/>
          <w:szCs w:val="22"/>
          <w:lang w:val="en-GB"/>
        </w:rPr>
        <w:t>new</w:t>
      </w:r>
      <w:r>
        <w:rPr>
          <w:rFonts w:ascii="Times New Roman" w:hAnsi="Times New Roman" w:cs="Times New Roman"/>
          <w:sz w:val="22"/>
          <w:szCs w:val="22"/>
          <w:lang w:val="en-GB"/>
        </w:rPr>
        <w:t xml:space="preserve"> Programme D</w:t>
      </w:r>
      <w:r w:rsidR="00DE499E" w:rsidRPr="00647752">
        <w:rPr>
          <w:rFonts w:ascii="Times New Roman" w:hAnsi="Times New Roman" w:cs="Times New Roman"/>
          <w:sz w:val="22"/>
          <w:szCs w:val="22"/>
          <w:lang w:val="en-GB"/>
        </w:rPr>
        <w:t xml:space="preserve">ocument. </w:t>
      </w:r>
      <w:r>
        <w:rPr>
          <w:rFonts w:ascii="Times New Roman" w:hAnsi="Times New Roman" w:cs="Times New Roman"/>
          <w:sz w:val="22"/>
          <w:szCs w:val="22"/>
          <w:lang w:val="en-GB"/>
        </w:rPr>
        <w:t>The e</w:t>
      </w:r>
      <w:r w:rsidR="00B04FA6" w:rsidRPr="00647752">
        <w:rPr>
          <w:rFonts w:ascii="Times New Roman" w:hAnsi="Times New Roman" w:cs="Times New Roman"/>
          <w:sz w:val="22"/>
          <w:szCs w:val="22"/>
          <w:lang w:val="en-GB"/>
        </w:rPr>
        <w:t xml:space="preserve">valuation recommends that UNDP also formulate </w:t>
      </w:r>
      <w:r w:rsidR="002B6716" w:rsidRPr="00647752">
        <w:rPr>
          <w:rFonts w:ascii="Times New Roman" w:hAnsi="Times New Roman" w:cs="Times New Roman"/>
          <w:sz w:val="22"/>
          <w:szCs w:val="22"/>
          <w:lang w:val="en-GB"/>
        </w:rPr>
        <w:t xml:space="preserve">clear (internal) positions on engaging with supply-side justice in Gaza and other issues (i.e. how long </w:t>
      </w:r>
      <w:r w:rsidR="00B04FA6" w:rsidRPr="00647752">
        <w:rPr>
          <w:rFonts w:ascii="Times New Roman" w:hAnsi="Times New Roman" w:cs="Times New Roman"/>
          <w:sz w:val="22"/>
          <w:szCs w:val="22"/>
          <w:lang w:val="en-GB"/>
        </w:rPr>
        <w:t>should</w:t>
      </w:r>
      <w:r w:rsidR="002B6716" w:rsidRPr="00647752">
        <w:rPr>
          <w:rFonts w:ascii="Times New Roman" w:hAnsi="Times New Roman" w:cs="Times New Roman"/>
          <w:sz w:val="22"/>
          <w:szCs w:val="22"/>
          <w:lang w:val="en-GB"/>
        </w:rPr>
        <w:t xml:space="preserve"> UNDP continue </w:t>
      </w:r>
      <w:r w:rsidR="00A62809" w:rsidRPr="00647752">
        <w:rPr>
          <w:rFonts w:ascii="Times New Roman" w:hAnsi="Times New Roman" w:cs="Times New Roman"/>
          <w:sz w:val="22"/>
          <w:szCs w:val="22"/>
          <w:lang w:val="en-GB"/>
        </w:rPr>
        <w:t>to consider</w:t>
      </w:r>
      <w:r>
        <w:rPr>
          <w:rFonts w:ascii="Times New Roman" w:hAnsi="Times New Roman" w:cs="Times New Roman"/>
          <w:sz w:val="22"/>
          <w:szCs w:val="22"/>
          <w:lang w:val="en-GB"/>
        </w:rPr>
        <w:t xml:space="preserve"> the boycotting Hamas </w:t>
      </w:r>
      <w:r w:rsidR="002B6716" w:rsidRPr="00647752">
        <w:rPr>
          <w:rFonts w:ascii="Times New Roman" w:hAnsi="Times New Roman" w:cs="Times New Roman"/>
          <w:sz w:val="22"/>
          <w:szCs w:val="22"/>
          <w:lang w:val="en-GB"/>
        </w:rPr>
        <w:t>judges as viable</w:t>
      </w:r>
      <w:r w:rsidR="00A62809" w:rsidRPr="00647752">
        <w:rPr>
          <w:rFonts w:ascii="Times New Roman" w:hAnsi="Times New Roman" w:cs="Times New Roman"/>
          <w:sz w:val="22"/>
          <w:szCs w:val="22"/>
          <w:lang w:val="en-GB"/>
        </w:rPr>
        <w:t xml:space="preserve"> judicial actors</w:t>
      </w:r>
      <w:r w:rsidR="00B04FA6" w:rsidRPr="00647752">
        <w:rPr>
          <w:rFonts w:ascii="Times New Roman" w:hAnsi="Times New Roman" w:cs="Times New Roman"/>
          <w:sz w:val="22"/>
          <w:szCs w:val="22"/>
          <w:lang w:val="en-GB"/>
        </w:rPr>
        <w:t>,</w:t>
      </w:r>
      <w:r w:rsidR="00A62809" w:rsidRPr="00647752">
        <w:rPr>
          <w:rFonts w:ascii="Times New Roman" w:hAnsi="Times New Roman" w:cs="Times New Roman"/>
          <w:sz w:val="22"/>
          <w:szCs w:val="22"/>
          <w:lang w:val="en-GB"/>
        </w:rPr>
        <w:t xml:space="preserve"> when in reality mid-June 2013 will mark six years of </w:t>
      </w:r>
      <w:r w:rsidR="00AA7E46" w:rsidRPr="00647752">
        <w:rPr>
          <w:rFonts w:ascii="Times New Roman" w:hAnsi="Times New Roman" w:cs="Times New Roman"/>
          <w:sz w:val="22"/>
          <w:szCs w:val="22"/>
          <w:lang w:val="en-GB"/>
        </w:rPr>
        <w:t>Hamas</w:t>
      </w:r>
      <w:r w:rsidR="00A62809" w:rsidRPr="00647752">
        <w:rPr>
          <w:rFonts w:ascii="Times New Roman" w:hAnsi="Times New Roman" w:cs="Times New Roman"/>
          <w:sz w:val="22"/>
          <w:szCs w:val="22"/>
          <w:lang w:val="en-GB"/>
        </w:rPr>
        <w:t>-led administration of justice in Gaza and even leading CSOs have made a decision to end the boycott?</w:t>
      </w:r>
      <w:r w:rsidR="002B6716" w:rsidRPr="00647752">
        <w:rPr>
          <w:rFonts w:ascii="Times New Roman" w:hAnsi="Times New Roman" w:cs="Times New Roman"/>
          <w:sz w:val="22"/>
          <w:szCs w:val="22"/>
          <w:lang w:val="en-GB"/>
        </w:rPr>
        <w:t>).</w:t>
      </w:r>
    </w:p>
    <w:p w:rsidR="00DC725D" w:rsidRDefault="00DC725D" w:rsidP="00FB6759">
      <w:pPr>
        <w:spacing w:after="0" w:line="240" w:lineRule="auto"/>
        <w:jc w:val="both"/>
        <w:rPr>
          <w:rFonts w:ascii="Times New Roman" w:hAnsi="Times New Roman" w:cs="Times New Roman"/>
          <w:sz w:val="22"/>
          <w:szCs w:val="22"/>
          <w:lang w:val="en-GB"/>
        </w:rPr>
      </w:pPr>
    </w:p>
    <w:p w:rsidR="00527138" w:rsidRPr="00527138" w:rsidRDefault="00DC725D" w:rsidP="00527138">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t>The e</w:t>
      </w:r>
      <w:r w:rsidR="00E7152D" w:rsidRPr="00647752">
        <w:rPr>
          <w:rFonts w:ascii="Times New Roman" w:hAnsi="Times New Roman" w:cs="Times New Roman"/>
          <w:sz w:val="22"/>
          <w:szCs w:val="22"/>
          <w:lang w:val="en-GB"/>
        </w:rPr>
        <w:t>valuation noted several additional i</w:t>
      </w:r>
      <w:r>
        <w:rPr>
          <w:rFonts w:ascii="Times New Roman" w:hAnsi="Times New Roman" w:cs="Times New Roman"/>
          <w:sz w:val="22"/>
          <w:szCs w:val="22"/>
          <w:lang w:val="en-GB"/>
        </w:rPr>
        <w:t>ssues that have challenged the p</w:t>
      </w:r>
      <w:r w:rsidR="00E7152D" w:rsidRPr="00647752">
        <w:rPr>
          <w:rFonts w:ascii="Times New Roman" w:hAnsi="Times New Roman" w:cs="Times New Roman"/>
          <w:sz w:val="22"/>
          <w:szCs w:val="22"/>
          <w:lang w:val="en-GB"/>
        </w:rPr>
        <w:t>ro</w:t>
      </w:r>
      <w:r>
        <w:rPr>
          <w:rFonts w:ascii="Times New Roman" w:hAnsi="Times New Roman" w:cs="Times New Roman"/>
          <w:sz w:val="22"/>
          <w:szCs w:val="22"/>
          <w:lang w:val="en-GB"/>
        </w:rPr>
        <w:t xml:space="preserve">gramme. </w:t>
      </w:r>
      <w:r w:rsidR="00527138" w:rsidRPr="00647752">
        <w:rPr>
          <w:rFonts w:ascii="Times New Roman" w:eastAsia="MS Mincho" w:hAnsi="Times New Roman" w:cs="Times New Roman"/>
          <w:sz w:val="22"/>
          <w:szCs w:val="22"/>
          <w:lang w:val="en-GB" w:eastAsia="ja-JP"/>
        </w:rPr>
        <w:t>Principal among these is a lack of transportation available to enable UNDP programme staff to easily access remote parts of the West Bank. UNDP should explore the pos</w:t>
      </w:r>
      <w:r w:rsidR="00527138">
        <w:rPr>
          <w:rFonts w:ascii="Times New Roman" w:eastAsia="MS Mincho" w:hAnsi="Times New Roman" w:cs="Times New Roman"/>
          <w:sz w:val="22"/>
          <w:szCs w:val="22"/>
          <w:lang w:val="en-GB" w:eastAsia="ja-JP"/>
        </w:rPr>
        <w:t xml:space="preserve">sibility of opening a </w:t>
      </w:r>
      <w:r w:rsidR="00527138" w:rsidRPr="00647752">
        <w:rPr>
          <w:rFonts w:ascii="Times New Roman" w:eastAsia="MS Mincho" w:hAnsi="Times New Roman" w:cs="Times New Roman"/>
          <w:sz w:val="22"/>
          <w:szCs w:val="22"/>
          <w:lang w:val="en-GB" w:eastAsia="ja-JP"/>
        </w:rPr>
        <w:t>sub-office in the West Bank (</w:t>
      </w:r>
      <w:r w:rsidR="00527138">
        <w:rPr>
          <w:rFonts w:ascii="Times New Roman" w:eastAsia="MS Mincho" w:hAnsi="Times New Roman" w:cs="Times New Roman"/>
          <w:sz w:val="22"/>
          <w:szCs w:val="22"/>
          <w:lang w:val="en-GB" w:eastAsia="ja-JP"/>
        </w:rPr>
        <w:t>for instance in Hebron</w:t>
      </w:r>
      <w:r w:rsidR="00527138" w:rsidRPr="00647752">
        <w:rPr>
          <w:rFonts w:ascii="Times New Roman" w:eastAsia="MS Mincho" w:hAnsi="Times New Roman" w:cs="Times New Roman"/>
          <w:sz w:val="22"/>
          <w:szCs w:val="22"/>
          <w:lang w:val="en-GB" w:eastAsia="ja-JP"/>
        </w:rPr>
        <w:t>) in order to extend the reach of UNDP programme staff to more remote areas and to bring UNDP technical expertise closer to UNDP’s</w:t>
      </w:r>
      <w:r w:rsidR="000063A3">
        <w:rPr>
          <w:rFonts w:ascii="Times New Roman" w:eastAsia="MS Mincho" w:hAnsi="Times New Roman" w:cs="Times New Roman"/>
          <w:sz w:val="22"/>
          <w:szCs w:val="22"/>
          <w:lang w:val="en-GB" w:eastAsia="ja-JP"/>
        </w:rPr>
        <w:t xml:space="preserve"> </w:t>
      </w:r>
      <w:r w:rsidR="00527138" w:rsidRPr="00647752">
        <w:rPr>
          <w:rFonts w:ascii="Times New Roman" w:eastAsia="MS Mincho" w:hAnsi="Times New Roman" w:cs="Times New Roman"/>
          <w:sz w:val="22"/>
          <w:szCs w:val="22"/>
          <w:lang w:val="en-GB" w:eastAsia="ja-JP"/>
        </w:rPr>
        <w:t xml:space="preserve">implementers.  </w:t>
      </w:r>
    </w:p>
    <w:p w:rsidR="00AB6D72" w:rsidRDefault="00AB6D72" w:rsidP="00FB6759">
      <w:pPr>
        <w:spacing w:after="0" w:line="240" w:lineRule="auto"/>
        <w:jc w:val="both"/>
        <w:rPr>
          <w:rFonts w:ascii="Times New Roman" w:hAnsi="Times New Roman" w:cs="Times New Roman"/>
          <w:sz w:val="22"/>
          <w:szCs w:val="22"/>
          <w:lang w:val="en-GB"/>
        </w:rPr>
      </w:pPr>
    </w:p>
    <w:p w:rsidR="00C80500" w:rsidRPr="00AB6D72" w:rsidRDefault="00E7152D" w:rsidP="00FB6759">
      <w:pPr>
        <w:spacing w:after="0" w:line="240" w:lineRule="auto"/>
        <w:jc w:val="both"/>
        <w:rPr>
          <w:rFonts w:ascii="Times New Roman" w:hAnsi="Times New Roman" w:cs="Times New Roman"/>
          <w:i/>
          <w:sz w:val="22"/>
          <w:szCs w:val="22"/>
          <w:lang w:val="en-GB"/>
        </w:rPr>
      </w:pPr>
      <w:r w:rsidRPr="00647752">
        <w:rPr>
          <w:rFonts w:ascii="Times New Roman" w:hAnsi="Times New Roman" w:cs="Times New Roman"/>
          <w:sz w:val="22"/>
          <w:szCs w:val="22"/>
          <w:lang w:val="en-GB"/>
        </w:rPr>
        <w:t xml:space="preserve">As stated above, UNDP should provide </w:t>
      </w:r>
      <w:r w:rsidR="00DE4922" w:rsidRPr="00647752">
        <w:rPr>
          <w:rFonts w:ascii="Times New Roman" w:hAnsi="Times New Roman" w:cs="Times New Roman"/>
          <w:sz w:val="22"/>
          <w:szCs w:val="22"/>
          <w:lang w:val="en-GB"/>
        </w:rPr>
        <w:t>increased</w:t>
      </w:r>
      <w:r w:rsidRPr="00647752">
        <w:rPr>
          <w:rFonts w:ascii="Times New Roman" w:hAnsi="Times New Roman" w:cs="Times New Roman"/>
          <w:sz w:val="22"/>
          <w:szCs w:val="22"/>
          <w:lang w:val="en-GB"/>
        </w:rPr>
        <w:t xml:space="preserve"> technical expertise and mentoring o</w:t>
      </w:r>
      <w:r w:rsidR="00527138">
        <w:rPr>
          <w:rFonts w:ascii="Times New Roman" w:hAnsi="Times New Roman" w:cs="Times New Roman"/>
          <w:sz w:val="22"/>
          <w:szCs w:val="22"/>
          <w:lang w:val="en-GB"/>
        </w:rPr>
        <w:t xml:space="preserve">f the CSOs engaged in legal aid - </w:t>
      </w:r>
      <w:r w:rsidRPr="00647752">
        <w:rPr>
          <w:rFonts w:ascii="Times New Roman" w:hAnsi="Times New Roman" w:cs="Times New Roman"/>
          <w:sz w:val="22"/>
          <w:szCs w:val="22"/>
          <w:lang w:val="en-GB"/>
        </w:rPr>
        <w:t xml:space="preserve">especially the smaller grassroots CSOs to ensure that they adhere to common standards and quality control. </w:t>
      </w:r>
      <w:r w:rsidR="00527138">
        <w:rPr>
          <w:rFonts w:ascii="Times New Roman" w:hAnsi="Times New Roman" w:cs="Times New Roman"/>
          <w:sz w:val="22"/>
          <w:szCs w:val="22"/>
          <w:lang w:val="en-GB"/>
        </w:rPr>
        <w:t>Overall, UNDP should enhance the</w:t>
      </w:r>
      <w:r w:rsidRPr="00647752">
        <w:rPr>
          <w:rFonts w:ascii="Times New Roman" w:hAnsi="Times New Roman" w:cs="Times New Roman"/>
          <w:sz w:val="22"/>
          <w:szCs w:val="22"/>
          <w:lang w:val="en-GB"/>
        </w:rPr>
        <w:t xml:space="preserve"> knowledge products</w:t>
      </w:r>
      <w:r w:rsidR="00527138">
        <w:rPr>
          <w:rFonts w:ascii="Times New Roman" w:hAnsi="Times New Roman" w:cs="Times New Roman"/>
          <w:sz w:val="22"/>
          <w:szCs w:val="22"/>
          <w:lang w:val="en-GB"/>
        </w:rPr>
        <w:t xml:space="preserve"> produced by CSO partners, </w:t>
      </w:r>
      <w:r w:rsidRPr="00647752">
        <w:rPr>
          <w:rFonts w:ascii="Times New Roman" w:hAnsi="Times New Roman" w:cs="Times New Roman"/>
          <w:sz w:val="22"/>
          <w:szCs w:val="22"/>
          <w:lang w:val="en-GB"/>
        </w:rPr>
        <w:t>ensuri</w:t>
      </w:r>
      <w:r w:rsidR="00527138">
        <w:rPr>
          <w:rFonts w:ascii="Times New Roman" w:hAnsi="Times New Roman" w:cs="Times New Roman"/>
          <w:sz w:val="22"/>
          <w:szCs w:val="22"/>
          <w:lang w:val="en-GB"/>
        </w:rPr>
        <w:t>ng quality control and branding</w:t>
      </w:r>
      <w:r w:rsidRPr="00647752">
        <w:rPr>
          <w:rFonts w:ascii="Times New Roman" w:hAnsi="Times New Roman" w:cs="Times New Roman"/>
          <w:sz w:val="22"/>
          <w:szCs w:val="22"/>
          <w:lang w:val="en-GB"/>
        </w:rPr>
        <w:t xml:space="preserve">. </w:t>
      </w:r>
      <w:r w:rsidR="00123A57" w:rsidRPr="00647752">
        <w:rPr>
          <w:rFonts w:ascii="Times New Roman" w:hAnsi="Times New Roman" w:cs="Times New Roman"/>
          <w:sz w:val="22"/>
          <w:szCs w:val="22"/>
          <w:lang w:val="en-GB"/>
        </w:rPr>
        <w:t>To this end, UNDP might consider hir</w:t>
      </w:r>
      <w:r w:rsidR="00527138">
        <w:rPr>
          <w:rFonts w:ascii="Times New Roman" w:hAnsi="Times New Roman" w:cs="Times New Roman"/>
          <w:sz w:val="22"/>
          <w:szCs w:val="22"/>
          <w:lang w:val="en-GB"/>
        </w:rPr>
        <w:t xml:space="preserve">ing an additional staff member </w:t>
      </w:r>
      <w:r w:rsidR="00123A57" w:rsidRPr="00647752">
        <w:rPr>
          <w:rFonts w:ascii="Times New Roman" w:hAnsi="Times New Roman" w:cs="Times New Roman"/>
          <w:sz w:val="22"/>
          <w:szCs w:val="22"/>
          <w:lang w:val="en-GB"/>
        </w:rPr>
        <w:t xml:space="preserve">to act as a knowledge coordinator and supervise all </w:t>
      </w:r>
      <w:r w:rsidR="00123A57" w:rsidRPr="00AB6D72">
        <w:rPr>
          <w:rFonts w:ascii="Times New Roman" w:hAnsi="Times New Roman" w:cs="Times New Roman"/>
          <w:sz w:val="22"/>
          <w:szCs w:val="22"/>
          <w:lang w:val="en-GB"/>
        </w:rPr>
        <w:t xml:space="preserve">publications and social media funded by UNDP.  </w:t>
      </w:r>
    </w:p>
    <w:p w:rsidR="00C80500" w:rsidRPr="00AB6D72" w:rsidRDefault="00C80500" w:rsidP="00FB6759">
      <w:pPr>
        <w:spacing w:after="0" w:line="240" w:lineRule="auto"/>
        <w:jc w:val="both"/>
        <w:rPr>
          <w:rFonts w:ascii="Times New Roman" w:hAnsi="Times New Roman" w:cs="Times New Roman"/>
          <w:i/>
          <w:sz w:val="22"/>
          <w:szCs w:val="22"/>
          <w:lang w:val="en-GB"/>
        </w:rPr>
      </w:pPr>
    </w:p>
    <w:p w:rsidR="007D1324" w:rsidRPr="00527138" w:rsidRDefault="007D1324" w:rsidP="00AB6D72">
      <w:pPr>
        <w:pStyle w:val="Heading3"/>
        <w:numPr>
          <w:ilvl w:val="0"/>
          <w:numId w:val="0"/>
        </w:numPr>
        <w:spacing w:before="0" w:after="0" w:line="240" w:lineRule="auto"/>
        <w:rPr>
          <w:rFonts w:ascii="Times New Roman" w:hAnsi="Times New Roman" w:cs="Times New Roman"/>
          <w:b w:val="0"/>
          <w:sz w:val="22"/>
          <w:szCs w:val="22"/>
          <w:lang w:val="en-GB"/>
        </w:rPr>
      </w:pPr>
      <w:bookmarkStart w:id="24" w:name="_Toc231801808"/>
      <w:r w:rsidRPr="00527138">
        <w:rPr>
          <w:rFonts w:ascii="Times New Roman" w:hAnsi="Times New Roman" w:cs="Times New Roman"/>
          <w:b w:val="0"/>
          <w:sz w:val="22"/>
          <w:szCs w:val="22"/>
          <w:lang w:val="en-GB"/>
        </w:rPr>
        <w:t>Efficiencies</w:t>
      </w:r>
      <w:bookmarkEnd w:id="24"/>
    </w:p>
    <w:p w:rsidR="00AB6D72" w:rsidRPr="00AB6D72" w:rsidRDefault="00AB6D72" w:rsidP="00FB6759">
      <w:pPr>
        <w:spacing w:after="0" w:line="240" w:lineRule="auto"/>
        <w:jc w:val="both"/>
        <w:rPr>
          <w:rFonts w:ascii="Times New Roman" w:hAnsi="Times New Roman" w:cs="Times New Roman"/>
          <w:sz w:val="22"/>
          <w:szCs w:val="22"/>
          <w:lang w:val="en-GB"/>
        </w:rPr>
      </w:pPr>
    </w:p>
    <w:p w:rsidR="00A3292D" w:rsidRPr="00647752" w:rsidRDefault="00AF62C3" w:rsidP="00FB6759">
      <w:pPr>
        <w:spacing w:after="0" w:line="240" w:lineRule="auto"/>
        <w:jc w:val="both"/>
        <w:rPr>
          <w:rFonts w:ascii="Times New Roman" w:hAnsi="Times New Roman" w:cs="Times New Roman"/>
          <w:sz w:val="22"/>
          <w:szCs w:val="22"/>
          <w:lang w:val="en-GB"/>
        </w:rPr>
      </w:pPr>
      <w:r w:rsidRPr="00AB6D72">
        <w:rPr>
          <w:rFonts w:ascii="Times New Roman" w:hAnsi="Times New Roman" w:cs="Times New Roman"/>
          <w:sz w:val="22"/>
          <w:szCs w:val="22"/>
          <w:lang w:val="en-GB"/>
        </w:rPr>
        <w:t>Efficienc</w:t>
      </w:r>
      <w:r w:rsidR="00527138">
        <w:rPr>
          <w:rFonts w:ascii="Times New Roman" w:hAnsi="Times New Roman" w:cs="Times New Roman"/>
          <w:sz w:val="22"/>
          <w:szCs w:val="22"/>
          <w:lang w:val="en-GB"/>
        </w:rPr>
        <w:t>y within the context of an outcome e</w:t>
      </w:r>
      <w:r w:rsidRPr="00AB6D72">
        <w:rPr>
          <w:rFonts w:ascii="Times New Roman" w:hAnsi="Times New Roman" w:cs="Times New Roman"/>
          <w:sz w:val="22"/>
          <w:szCs w:val="22"/>
          <w:lang w:val="en-GB"/>
        </w:rPr>
        <w:t xml:space="preserve">valuation usually entails an assessment of the level of impact achieved </w:t>
      </w:r>
      <w:r w:rsidR="0049239E" w:rsidRPr="00AB6D72">
        <w:rPr>
          <w:rFonts w:ascii="Times New Roman" w:hAnsi="Times New Roman" w:cs="Times New Roman"/>
          <w:sz w:val="22"/>
          <w:szCs w:val="22"/>
          <w:lang w:val="en-GB"/>
        </w:rPr>
        <w:t>r</w:t>
      </w:r>
      <w:r w:rsidR="00961CE9" w:rsidRPr="00AB6D72">
        <w:rPr>
          <w:rFonts w:ascii="Times New Roman" w:hAnsi="Times New Roman" w:cs="Times New Roman"/>
          <w:sz w:val="22"/>
          <w:szCs w:val="22"/>
          <w:lang w:val="en-GB"/>
        </w:rPr>
        <w:t>elative to the amount of expenditure</w:t>
      </w:r>
      <w:r w:rsidR="00527138">
        <w:rPr>
          <w:rFonts w:ascii="Times New Roman" w:hAnsi="Times New Roman" w:cs="Times New Roman"/>
          <w:sz w:val="22"/>
          <w:szCs w:val="22"/>
          <w:lang w:val="en-GB"/>
        </w:rPr>
        <w:t xml:space="preserve"> of</w:t>
      </w:r>
      <w:r w:rsidR="00961CE9" w:rsidRPr="00AB6D72">
        <w:rPr>
          <w:rFonts w:ascii="Times New Roman" w:hAnsi="Times New Roman" w:cs="Times New Roman"/>
          <w:sz w:val="22"/>
          <w:szCs w:val="22"/>
          <w:lang w:val="en-GB"/>
        </w:rPr>
        <w:t xml:space="preserve"> funds during the programming period.</w:t>
      </w:r>
      <w:r w:rsidR="000063A3">
        <w:rPr>
          <w:rFonts w:ascii="Times New Roman" w:hAnsi="Times New Roman" w:cs="Times New Roman"/>
          <w:sz w:val="22"/>
          <w:szCs w:val="22"/>
          <w:lang w:val="en-GB"/>
        </w:rPr>
        <w:t xml:space="preserve"> </w:t>
      </w:r>
      <w:r w:rsidR="00961CE9" w:rsidRPr="00647752">
        <w:rPr>
          <w:rFonts w:ascii="Times New Roman" w:hAnsi="Times New Roman" w:cs="Times New Roman"/>
          <w:sz w:val="22"/>
          <w:szCs w:val="22"/>
          <w:lang w:val="en-GB"/>
        </w:rPr>
        <w:t xml:space="preserve">This is extremely difficult to quantify in the area of rule of law and access to justice programming in any country, but even more so within the unique context of </w:t>
      </w:r>
      <w:r w:rsidR="00527138">
        <w:rPr>
          <w:rFonts w:ascii="Times New Roman" w:hAnsi="Times New Roman" w:cs="Times New Roman"/>
          <w:sz w:val="22"/>
          <w:szCs w:val="22"/>
          <w:lang w:val="en-GB"/>
        </w:rPr>
        <w:t xml:space="preserve">the </w:t>
      </w:r>
      <w:r w:rsidR="00DE216A" w:rsidRPr="00647752">
        <w:rPr>
          <w:rFonts w:ascii="Times New Roman" w:hAnsi="Times New Roman" w:cs="Times New Roman"/>
          <w:sz w:val="22"/>
          <w:szCs w:val="22"/>
          <w:lang w:val="en-GB"/>
        </w:rPr>
        <w:t>oPt</w:t>
      </w:r>
      <w:r w:rsidR="00961CE9" w:rsidRPr="00647752">
        <w:rPr>
          <w:rFonts w:ascii="Times New Roman" w:hAnsi="Times New Roman" w:cs="Times New Roman"/>
          <w:sz w:val="22"/>
          <w:szCs w:val="22"/>
          <w:lang w:val="en-GB"/>
        </w:rPr>
        <w:t xml:space="preserve"> and the ongoing Israeli occupation. By its very nature, rule of law work is long-term</w:t>
      </w:r>
      <w:r w:rsidR="00AF5AFC" w:rsidRPr="00647752">
        <w:rPr>
          <w:rFonts w:ascii="Times New Roman" w:hAnsi="Times New Roman" w:cs="Times New Roman"/>
          <w:sz w:val="22"/>
          <w:szCs w:val="22"/>
          <w:lang w:val="en-GB"/>
        </w:rPr>
        <w:t xml:space="preserve"> and results at the level of institutions and institutional change often take many years to achieve even in the most optimal of development contexts.   </w:t>
      </w:r>
    </w:p>
    <w:p w:rsidR="00AB6D72" w:rsidRDefault="00AB6D72" w:rsidP="00FB6759">
      <w:pPr>
        <w:spacing w:after="0" w:line="240" w:lineRule="auto"/>
        <w:jc w:val="both"/>
        <w:rPr>
          <w:rFonts w:ascii="Times New Roman" w:hAnsi="Times New Roman" w:cs="Times New Roman"/>
          <w:sz w:val="22"/>
          <w:szCs w:val="22"/>
          <w:lang w:val="en-GB"/>
        </w:rPr>
      </w:pPr>
    </w:p>
    <w:p w:rsidR="00092572" w:rsidRPr="00647752" w:rsidRDefault="00AF5AFC"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 xml:space="preserve">Considering that the UNDP Rule of Law </w:t>
      </w:r>
      <w:r w:rsidR="00527138">
        <w:rPr>
          <w:rFonts w:ascii="Times New Roman" w:hAnsi="Times New Roman" w:cs="Times New Roman"/>
          <w:sz w:val="22"/>
          <w:szCs w:val="22"/>
          <w:lang w:val="en-GB"/>
        </w:rPr>
        <w:t xml:space="preserve">&amp; Access to Justice </w:t>
      </w:r>
      <w:r w:rsidRPr="00647752">
        <w:rPr>
          <w:rFonts w:ascii="Times New Roman" w:hAnsi="Times New Roman" w:cs="Times New Roman"/>
          <w:sz w:val="22"/>
          <w:szCs w:val="22"/>
          <w:lang w:val="en-GB"/>
        </w:rPr>
        <w:t xml:space="preserve">Programme </w:t>
      </w:r>
      <w:r w:rsidR="00527138">
        <w:rPr>
          <w:rFonts w:ascii="Times New Roman" w:hAnsi="Times New Roman" w:cs="Times New Roman"/>
          <w:sz w:val="22"/>
          <w:szCs w:val="22"/>
          <w:lang w:val="en-GB"/>
        </w:rPr>
        <w:t>in the oPt</w:t>
      </w:r>
      <w:r w:rsidR="00E8775C">
        <w:rPr>
          <w:rFonts w:ascii="Times New Roman" w:hAnsi="Times New Roman" w:cs="Times New Roman"/>
          <w:sz w:val="22"/>
          <w:szCs w:val="22"/>
          <w:lang w:val="en-GB"/>
        </w:rPr>
        <w:t xml:space="preserve"> </w:t>
      </w:r>
      <w:r w:rsidRPr="00647752">
        <w:rPr>
          <w:rFonts w:ascii="Times New Roman" w:hAnsi="Times New Roman" w:cs="Times New Roman"/>
          <w:sz w:val="22"/>
          <w:szCs w:val="22"/>
          <w:lang w:val="en-GB"/>
        </w:rPr>
        <w:t xml:space="preserve">did not truly become active until mid-2010 and the challenges </w:t>
      </w:r>
      <w:r w:rsidR="00B80969" w:rsidRPr="00647752">
        <w:rPr>
          <w:rFonts w:ascii="Times New Roman" w:hAnsi="Times New Roman" w:cs="Times New Roman"/>
          <w:sz w:val="22"/>
          <w:szCs w:val="22"/>
          <w:lang w:val="en-GB"/>
        </w:rPr>
        <w:t>that</w:t>
      </w:r>
      <w:r w:rsidRPr="00647752">
        <w:rPr>
          <w:rFonts w:ascii="Times New Roman" w:hAnsi="Times New Roman" w:cs="Times New Roman"/>
          <w:sz w:val="22"/>
          <w:szCs w:val="22"/>
          <w:lang w:val="en-GB"/>
        </w:rPr>
        <w:t xml:space="preserve"> UNDP </w:t>
      </w:r>
      <w:r w:rsidR="00B80969" w:rsidRPr="00647752">
        <w:rPr>
          <w:rFonts w:ascii="Times New Roman" w:hAnsi="Times New Roman" w:cs="Times New Roman"/>
          <w:sz w:val="22"/>
          <w:szCs w:val="22"/>
          <w:lang w:val="en-GB"/>
        </w:rPr>
        <w:t xml:space="preserve">faced </w:t>
      </w:r>
      <w:r w:rsidRPr="00647752">
        <w:rPr>
          <w:rFonts w:ascii="Times New Roman" w:hAnsi="Times New Roman" w:cs="Times New Roman"/>
          <w:sz w:val="22"/>
          <w:szCs w:val="22"/>
          <w:lang w:val="en-GB"/>
        </w:rPr>
        <w:t>at a political level</w:t>
      </w:r>
      <w:r w:rsidR="00B80969" w:rsidRPr="00647752">
        <w:rPr>
          <w:rFonts w:ascii="Times New Roman" w:hAnsi="Times New Roman" w:cs="Times New Roman"/>
          <w:sz w:val="22"/>
          <w:szCs w:val="22"/>
          <w:lang w:val="en-GB"/>
        </w:rPr>
        <w:t>,</w:t>
      </w:r>
      <w:r w:rsidRPr="00647752">
        <w:rPr>
          <w:rFonts w:ascii="Times New Roman" w:hAnsi="Times New Roman" w:cs="Times New Roman"/>
          <w:sz w:val="22"/>
          <w:szCs w:val="22"/>
          <w:lang w:val="en-GB"/>
        </w:rPr>
        <w:t xml:space="preserve"> the results that the </w:t>
      </w:r>
      <w:r w:rsidR="00527138">
        <w:rPr>
          <w:rFonts w:ascii="Times New Roman" w:hAnsi="Times New Roman" w:cs="Times New Roman"/>
          <w:sz w:val="22"/>
          <w:szCs w:val="22"/>
          <w:lang w:val="en-GB"/>
        </w:rPr>
        <w:t xml:space="preserve">programme has been able to achieve are substantial - </w:t>
      </w:r>
      <w:r w:rsidR="00A3292D" w:rsidRPr="00647752">
        <w:rPr>
          <w:rFonts w:ascii="Times New Roman" w:hAnsi="Times New Roman" w:cs="Times New Roman"/>
          <w:sz w:val="22"/>
          <w:szCs w:val="22"/>
          <w:lang w:val="en-GB"/>
        </w:rPr>
        <w:t xml:space="preserve">especially with regard to legal aid and clinical legal education. </w:t>
      </w:r>
      <w:r w:rsidR="00056D88" w:rsidRPr="00647752">
        <w:rPr>
          <w:rFonts w:ascii="Times New Roman" w:hAnsi="Times New Roman" w:cs="Times New Roman"/>
          <w:sz w:val="22"/>
          <w:szCs w:val="22"/>
          <w:lang w:val="en-GB"/>
        </w:rPr>
        <w:t xml:space="preserve">The main justice institutions have been </w:t>
      </w:r>
      <w:r w:rsidR="00E4741A" w:rsidRPr="00647752">
        <w:rPr>
          <w:rFonts w:ascii="Times New Roman" w:hAnsi="Times New Roman" w:cs="Times New Roman"/>
          <w:sz w:val="22"/>
          <w:szCs w:val="22"/>
          <w:lang w:val="en-GB"/>
        </w:rPr>
        <w:t xml:space="preserve">in constant flux and </w:t>
      </w:r>
      <w:r w:rsidR="00056D88" w:rsidRPr="00647752">
        <w:rPr>
          <w:rFonts w:ascii="Times New Roman" w:hAnsi="Times New Roman" w:cs="Times New Roman"/>
          <w:sz w:val="22"/>
          <w:szCs w:val="22"/>
          <w:lang w:val="en-GB"/>
        </w:rPr>
        <w:t xml:space="preserve">locked in a power struggle during the programming period that no </w:t>
      </w:r>
      <w:r w:rsidR="00527138">
        <w:rPr>
          <w:rFonts w:ascii="Times New Roman" w:hAnsi="Times New Roman" w:cs="Times New Roman"/>
          <w:sz w:val="22"/>
          <w:szCs w:val="22"/>
          <w:lang w:val="en-GB"/>
        </w:rPr>
        <w:t>international bi</w:t>
      </w:r>
      <w:r w:rsidR="00E4741A" w:rsidRPr="00647752">
        <w:rPr>
          <w:rFonts w:ascii="Times New Roman" w:hAnsi="Times New Roman" w:cs="Times New Roman"/>
          <w:sz w:val="22"/>
          <w:szCs w:val="22"/>
          <w:lang w:val="en-GB"/>
        </w:rPr>
        <w:t xml:space="preserve">lateral </w:t>
      </w:r>
      <w:r w:rsidR="00056D88" w:rsidRPr="00647752">
        <w:rPr>
          <w:rFonts w:ascii="Times New Roman" w:hAnsi="Times New Roman" w:cs="Times New Roman"/>
          <w:sz w:val="22"/>
          <w:szCs w:val="22"/>
          <w:lang w:val="en-GB"/>
        </w:rPr>
        <w:t xml:space="preserve">donor has </w:t>
      </w:r>
      <w:r w:rsidR="00E4741A" w:rsidRPr="00647752">
        <w:rPr>
          <w:rFonts w:ascii="Times New Roman" w:hAnsi="Times New Roman" w:cs="Times New Roman"/>
          <w:sz w:val="22"/>
          <w:szCs w:val="22"/>
          <w:lang w:val="en-GB"/>
        </w:rPr>
        <w:t xml:space="preserve">yet </w:t>
      </w:r>
      <w:r w:rsidR="00056D88" w:rsidRPr="00647752">
        <w:rPr>
          <w:rFonts w:ascii="Times New Roman" w:hAnsi="Times New Roman" w:cs="Times New Roman"/>
          <w:sz w:val="22"/>
          <w:szCs w:val="22"/>
          <w:lang w:val="en-GB"/>
        </w:rPr>
        <w:t>been able to resolve, much less UNDP.</w:t>
      </w:r>
    </w:p>
    <w:p w:rsidR="00AB6D72" w:rsidRDefault="00AB6D72" w:rsidP="00FB6759">
      <w:pPr>
        <w:spacing w:after="0" w:line="240" w:lineRule="auto"/>
        <w:jc w:val="both"/>
        <w:rPr>
          <w:rFonts w:ascii="Times New Roman" w:hAnsi="Times New Roman" w:cs="Times New Roman"/>
          <w:sz w:val="22"/>
          <w:szCs w:val="22"/>
          <w:lang w:val="en-GB"/>
        </w:rPr>
      </w:pPr>
    </w:p>
    <w:p w:rsidR="00AB6D72" w:rsidRDefault="00092572"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As noted above,</w:t>
      </w:r>
      <w:r w:rsidR="00A3292D" w:rsidRPr="00647752">
        <w:rPr>
          <w:rFonts w:ascii="Times New Roman" w:hAnsi="Times New Roman" w:cs="Times New Roman"/>
          <w:sz w:val="22"/>
          <w:szCs w:val="22"/>
          <w:lang w:val="en-GB"/>
        </w:rPr>
        <w:t xml:space="preserve"> th</w:t>
      </w:r>
      <w:r w:rsidR="00527138">
        <w:rPr>
          <w:rFonts w:ascii="Times New Roman" w:hAnsi="Times New Roman" w:cs="Times New Roman"/>
          <w:sz w:val="22"/>
          <w:szCs w:val="22"/>
          <w:lang w:val="en-GB"/>
        </w:rPr>
        <w:t>e point of most concern to the e</w:t>
      </w:r>
      <w:r w:rsidR="00A3292D" w:rsidRPr="00647752">
        <w:rPr>
          <w:rFonts w:ascii="Times New Roman" w:hAnsi="Times New Roman" w:cs="Times New Roman"/>
          <w:sz w:val="22"/>
          <w:szCs w:val="22"/>
          <w:lang w:val="en-GB"/>
        </w:rPr>
        <w:t xml:space="preserve">valuation in terms of </w:t>
      </w:r>
      <w:r w:rsidRPr="00647752">
        <w:rPr>
          <w:rFonts w:ascii="Times New Roman" w:hAnsi="Times New Roman" w:cs="Times New Roman"/>
          <w:sz w:val="22"/>
          <w:szCs w:val="22"/>
          <w:lang w:val="en-GB"/>
        </w:rPr>
        <w:t xml:space="preserve">cost </w:t>
      </w:r>
      <w:r w:rsidR="00527138">
        <w:rPr>
          <w:rFonts w:ascii="Times New Roman" w:hAnsi="Times New Roman" w:cs="Times New Roman"/>
          <w:sz w:val="22"/>
          <w:szCs w:val="22"/>
          <w:lang w:val="en-GB"/>
        </w:rPr>
        <w:t>efficiency was UNDP</w:t>
      </w:r>
      <w:r w:rsidR="00A3292D" w:rsidRPr="00647752">
        <w:rPr>
          <w:rFonts w:ascii="Times New Roman" w:hAnsi="Times New Roman" w:cs="Times New Roman"/>
          <w:sz w:val="22"/>
          <w:szCs w:val="22"/>
          <w:lang w:val="en-GB"/>
        </w:rPr>
        <w:t>’s s</w:t>
      </w:r>
      <w:r w:rsidR="00527138">
        <w:rPr>
          <w:rFonts w:ascii="Times New Roman" w:hAnsi="Times New Roman" w:cs="Times New Roman"/>
          <w:sz w:val="22"/>
          <w:szCs w:val="22"/>
          <w:lang w:val="en-GB"/>
        </w:rPr>
        <w:t xml:space="preserve">upport to advocacy campaigns </w:t>
      </w:r>
      <w:r w:rsidR="00A3292D" w:rsidRPr="00647752">
        <w:rPr>
          <w:rFonts w:ascii="Times New Roman" w:hAnsi="Times New Roman" w:cs="Times New Roman"/>
          <w:sz w:val="22"/>
          <w:szCs w:val="22"/>
          <w:lang w:val="en-GB"/>
        </w:rPr>
        <w:t xml:space="preserve">and whether UNDP support to advocacy could be made more strategic in nature. This, said, </w:t>
      </w:r>
      <w:r w:rsidR="00123F1B" w:rsidRPr="00647752">
        <w:rPr>
          <w:rFonts w:ascii="Times New Roman" w:hAnsi="Times New Roman" w:cs="Times New Roman"/>
          <w:sz w:val="22"/>
          <w:szCs w:val="22"/>
          <w:lang w:val="en-GB"/>
        </w:rPr>
        <w:t xml:space="preserve">both </w:t>
      </w:r>
      <w:r w:rsidR="00A3292D" w:rsidRPr="00647752">
        <w:rPr>
          <w:rFonts w:ascii="Times New Roman" w:hAnsi="Times New Roman" w:cs="Times New Roman"/>
          <w:sz w:val="22"/>
          <w:szCs w:val="22"/>
          <w:lang w:val="en-GB"/>
        </w:rPr>
        <w:t xml:space="preserve">UNDP </w:t>
      </w:r>
      <w:r w:rsidR="00123F1B" w:rsidRPr="00647752">
        <w:rPr>
          <w:rFonts w:ascii="Times New Roman" w:hAnsi="Times New Roman" w:cs="Times New Roman"/>
          <w:sz w:val="22"/>
          <w:szCs w:val="22"/>
          <w:lang w:val="en-GB"/>
        </w:rPr>
        <w:t>awareness-raising and advocacy campaigns have resulted in more</w:t>
      </w:r>
      <w:r w:rsidR="00A3292D" w:rsidRPr="00647752">
        <w:rPr>
          <w:rFonts w:ascii="Times New Roman" w:hAnsi="Times New Roman" w:cs="Times New Roman"/>
          <w:sz w:val="22"/>
          <w:szCs w:val="22"/>
          <w:lang w:val="en-GB"/>
        </w:rPr>
        <w:t xml:space="preserve"> clients </w:t>
      </w:r>
      <w:r w:rsidR="00123F1B" w:rsidRPr="00647752">
        <w:rPr>
          <w:rFonts w:ascii="Times New Roman" w:hAnsi="Times New Roman" w:cs="Times New Roman"/>
          <w:sz w:val="22"/>
          <w:szCs w:val="22"/>
          <w:lang w:val="en-GB"/>
        </w:rPr>
        <w:t>presenting</w:t>
      </w:r>
      <w:r w:rsidR="00A3292D" w:rsidRPr="00647752">
        <w:rPr>
          <w:rFonts w:ascii="Times New Roman" w:hAnsi="Times New Roman" w:cs="Times New Roman"/>
          <w:sz w:val="22"/>
          <w:szCs w:val="22"/>
          <w:lang w:val="en-GB"/>
        </w:rPr>
        <w:t xml:space="preserve"> themselves at</w:t>
      </w:r>
      <w:r w:rsidR="00527138">
        <w:rPr>
          <w:rFonts w:ascii="Times New Roman" w:hAnsi="Times New Roman" w:cs="Times New Roman"/>
          <w:sz w:val="22"/>
          <w:szCs w:val="22"/>
          <w:lang w:val="en-GB"/>
        </w:rPr>
        <w:t xml:space="preserve"> UNDP supported legal aid centre</w:t>
      </w:r>
      <w:r w:rsidR="00A3292D" w:rsidRPr="00647752">
        <w:rPr>
          <w:rFonts w:ascii="Times New Roman" w:hAnsi="Times New Roman" w:cs="Times New Roman"/>
          <w:sz w:val="22"/>
          <w:szCs w:val="22"/>
          <w:lang w:val="en-GB"/>
        </w:rPr>
        <w:t>s</w:t>
      </w:r>
      <w:r w:rsidR="00527138">
        <w:rPr>
          <w:rFonts w:ascii="Times New Roman" w:hAnsi="Times New Roman" w:cs="Times New Roman"/>
          <w:sz w:val="22"/>
          <w:szCs w:val="22"/>
          <w:lang w:val="en-GB"/>
        </w:rPr>
        <w:t xml:space="preserve">. </w:t>
      </w:r>
      <w:r w:rsidR="00123F1B" w:rsidRPr="00647752">
        <w:rPr>
          <w:rFonts w:ascii="Times New Roman" w:hAnsi="Times New Roman" w:cs="Times New Roman"/>
          <w:sz w:val="22"/>
          <w:szCs w:val="22"/>
          <w:lang w:val="en-GB"/>
        </w:rPr>
        <w:t>Ma</w:t>
      </w:r>
      <w:r w:rsidR="00527138">
        <w:rPr>
          <w:rFonts w:ascii="Times New Roman" w:hAnsi="Times New Roman" w:cs="Times New Roman"/>
          <w:sz w:val="22"/>
          <w:szCs w:val="22"/>
          <w:lang w:val="en-GB"/>
        </w:rPr>
        <w:t>ny clients interviewed by the evaluation</w:t>
      </w:r>
      <w:r w:rsidR="00A3292D" w:rsidRPr="00647752">
        <w:rPr>
          <w:rFonts w:ascii="Times New Roman" w:hAnsi="Times New Roman" w:cs="Times New Roman"/>
          <w:sz w:val="22"/>
          <w:szCs w:val="22"/>
          <w:lang w:val="en-GB"/>
        </w:rPr>
        <w:t xml:space="preserve"> state</w:t>
      </w:r>
      <w:r w:rsidR="00123F1B" w:rsidRPr="00647752">
        <w:rPr>
          <w:rFonts w:ascii="Times New Roman" w:hAnsi="Times New Roman" w:cs="Times New Roman"/>
          <w:sz w:val="22"/>
          <w:szCs w:val="22"/>
          <w:lang w:val="en-GB"/>
        </w:rPr>
        <w:t>d</w:t>
      </w:r>
      <w:r w:rsidR="00A3292D" w:rsidRPr="00647752">
        <w:rPr>
          <w:rFonts w:ascii="Times New Roman" w:hAnsi="Times New Roman" w:cs="Times New Roman"/>
          <w:sz w:val="22"/>
          <w:szCs w:val="22"/>
          <w:lang w:val="en-GB"/>
        </w:rPr>
        <w:t xml:space="preserve"> that they learned of the availability of free legal aid via a UNDP </w:t>
      </w:r>
      <w:r w:rsidR="00123F1B" w:rsidRPr="00647752">
        <w:rPr>
          <w:rFonts w:ascii="Times New Roman" w:hAnsi="Times New Roman" w:cs="Times New Roman"/>
          <w:sz w:val="22"/>
          <w:szCs w:val="22"/>
          <w:lang w:val="en-GB"/>
        </w:rPr>
        <w:t xml:space="preserve">awareness-raising </w:t>
      </w:r>
      <w:r w:rsidR="00A3292D" w:rsidRPr="00647752">
        <w:rPr>
          <w:rFonts w:ascii="Times New Roman" w:hAnsi="Times New Roman" w:cs="Times New Roman"/>
          <w:sz w:val="22"/>
          <w:szCs w:val="22"/>
          <w:lang w:val="en-GB"/>
        </w:rPr>
        <w:t xml:space="preserve">campaign. </w:t>
      </w:r>
      <w:r w:rsidRPr="00647752">
        <w:rPr>
          <w:rFonts w:ascii="Times New Roman" w:hAnsi="Times New Roman" w:cs="Times New Roman"/>
          <w:sz w:val="22"/>
          <w:szCs w:val="22"/>
          <w:lang w:val="en-GB"/>
        </w:rPr>
        <w:t>Thus, it is difficult to measure with certainty the cost-benefit of such outputs. UNDP may be able to consolidate some of the advocacy campaigns an</w:t>
      </w:r>
      <w:r w:rsidR="00DB6762" w:rsidRPr="00647752">
        <w:rPr>
          <w:rFonts w:ascii="Times New Roman" w:hAnsi="Times New Roman" w:cs="Times New Roman"/>
          <w:sz w:val="22"/>
          <w:szCs w:val="22"/>
          <w:lang w:val="en-GB"/>
        </w:rPr>
        <w:t xml:space="preserve">d publications to </w:t>
      </w:r>
      <w:r w:rsidRPr="00647752">
        <w:rPr>
          <w:rFonts w:ascii="Times New Roman" w:hAnsi="Times New Roman" w:cs="Times New Roman"/>
          <w:sz w:val="22"/>
          <w:szCs w:val="22"/>
          <w:lang w:val="en-GB"/>
        </w:rPr>
        <w:t xml:space="preserve">ensure that future grants are awarded based </w:t>
      </w:r>
      <w:r w:rsidR="00E34512" w:rsidRPr="00647752">
        <w:rPr>
          <w:rFonts w:ascii="Times New Roman" w:hAnsi="Times New Roman" w:cs="Times New Roman"/>
          <w:sz w:val="22"/>
          <w:szCs w:val="22"/>
          <w:lang w:val="en-GB"/>
        </w:rPr>
        <w:t>upon</w:t>
      </w:r>
      <w:r w:rsidRPr="00647752">
        <w:rPr>
          <w:rFonts w:ascii="Times New Roman" w:hAnsi="Times New Roman" w:cs="Times New Roman"/>
          <w:sz w:val="22"/>
          <w:szCs w:val="22"/>
          <w:lang w:val="en-GB"/>
        </w:rPr>
        <w:t xml:space="preserve"> CSOs</w:t>
      </w:r>
      <w:r w:rsidR="00FB27E8" w:rsidRPr="00647752">
        <w:rPr>
          <w:rFonts w:ascii="Times New Roman" w:hAnsi="Times New Roman" w:cs="Times New Roman"/>
          <w:sz w:val="22"/>
          <w:szCs w:val="22"/>
          <w:lang w:val="en-GB"/>
        </w:rPr>
        <w:t>’</w:t>
      </w:r>
      <w:r w:rsidRPr="00647752">
        <w:rPr>
          <w:rFonts w:ascii="Times New Roman" w:hAnsi="Times New Roman" w:cs="Times New Roman"/>
          <w:sz w:val="22"/>
          <w:szCs w:val="22"/>
          <w:lang w:val="en-GB"/>
        </w:rPr>
        <w:t xml:space="preserve"> demonstrated capacities and performance. </w:t>
      </w:r>
    </w:p>
    <w:p w:rsidR="00E4741A" w:rsidRPr="00647752" w:rsidRDefault="00527138" w:rsidP="00FB6759">
      <w:pPr>
        <w:spacing w:after="0" w:line="240" w:lineRule="auto"/>
        <w:jc w:val="both"/>
        <w:rPr>
          <w:rFonts w:ascii="Times New Roman" w:hAnsi="Times New Roman" w:cs="Times New Roman"/>
          <w:sz w:val="22"/>
          <w:szCs w:val="22"/>
          <w:lang w:val="en-GB"/>
        </w:rPr>
      </w:pPr>
      <w:r>
        <w:rPr>
          <w:rFonts w:ascii="Times New Roman" w:hAnsi="Times New Roman" w:cs="Times New Roman"/>
          <w:sz w:val="22"/>
          <w:szCs w:val="22"/>
          <w:lang w:val="en-GB"/>
        </w:rPr>
        <w:lastRenderedPageBreak/>
        <w:t>The e</w:t>
      </w:r>
      <w:r w:rsidR="00E4741A" w:rsidRPr="00647752">
        <w:rPr>
          <w:rFonts w:ascii="Times New Roman" w:hAnsi="Times New Roman" w:cs="Times New Roman"/>
          <w:sz w:val="22"/>
          <w:szCs w:val="22"/>
          <w:lang w:val="en-GB"/>
        </w:rPr>
        <w:t>valuation requested information from UNDP abou</w:t>
      </w:r>
      <w:r>
        <w:rPr>
          <w:rFonts w:ascii="Times New Roman" w:hAnsi="Times New Roman" w:cs="Times New Roman"/>
          <w:sz w:val="22"/>
          <w:szCs w:val="22"/>
          <w:lang w:val="en-GB"/>
        </w:rPr>
        <w:t xml:space="preserve">t rates of execution of </w:t>
      </w:r>
      <w:r w:rsidR="00E4741A" w:rsidRPr="00647752">
        <w:rPr>
          <w:rFonts w:ascii="Times New Roman" w:hAnsi="Times New Roman" w:cs="Times New Roman"/>
          <w:sz w:val="22"/>
          <w:szCs w:val="22"/>
          <w:lang w:val="en-GB"/>
        </w:rPr>
        <w:t xml:space="preserve">funds </w:t>
      </w:r>
      <w:r>
        <w:rPr>
          <w:rFonts w:ascii="Times New Roman" w:hAnsi="Times New Roman" w:cs="Times New Roman"/>
          <w:sz w:val="22"/>
          <w:szCs w:val="22"/>
          <w:lang w:val="en-GB"/>
        </w:rPr>
        <w:t>during the period 2010-2012. This was delivered to the e</w:t>
      </w:r>
      <w:r w:rsidR="00E4741A" w:rsidRPr="00647752">
        <w:rPr>
          <w:rFonts w:ascii="Times New Roman" w:hAnsi="Times New Roman" w:cs="Times New Roman"/>
          <w:sz w:val="22"/>
          <w:szCs w:val="22"/>
          <w:lang w:val="en-GB"/>
        </w:rPr>
        <w:t>valuation and it appears that the office achieved a high-rate of programme execution</w:t>
      </w:r>
      <w:r w:rsidR="00221B5B" w:rsidRPr="00647752">
        <w:rPr>
          <w:rFonts w:ascii="Times New Roman" w:hAnsi="Times New Roman" w:cs="Times New Roman"/>
          <w:sz w:val="22"/>
          <w:szCs w:val="22"/>
          <w:lang w:val="en-GB"/>
        </w:rPr>
        <w:t>.</w:t>
      </w:r>
    </w:p>
    <w:p w:rsidR="00092572" w:rsidRPr="00AB6D72" w:rsidRDefault="00092572" w:rsidP="00FB6759">
      <w:pPr>
        <w:spacing w:after="0" w:line="240" w:lineRule="auto"/>
        <w:jc w:val="both"/>
        <w:rPr>
          <w:rFonts w:ascii="Times New Roman" w:hAnsi="Times New Roman" w:cs="Times New Roman"/>
          <w:sz w:val="22"/>
          <w:szCs w:val="22"/>
          <w:lang w:val="en-GB"/>
        </w:rPr>
      </w:pPr>
    </w:p>
    <w:p w:rsidR="007D1324" w:rsidRPr="00527138" w:rsidRDefault="007D1324" w:rsidP="00AB6D72">
      <w:pPr>
        <w:pStyle w:val="Heading3"/>
        <w:numPr>
          <w:ilvl w:val="0"/>
          <w:numId w:val="0"/>
        </w:numPr>
        <w:spacing w:before="0" w:after="0" w:line="240" w:lineRule="auto"/>
        <w:rPr>
          <w:rFonts w:ascii="Times New Roman" w:hAnsi="Times New Roman" w:cs="Times New Roman"/>
          <w:b w:val="0"/>
          <w:sz w:val="22"/>
          <w:szCs w:val="22"/>
          <w:lang w:val="en-GB"/>
        </w:rPr>
      </w:pPr>
      <w:bookmarkStart w:id="25" w:name="_Toc231801809"/>
      <w:r w:rsidRPr="00527138">
        <w:rPr>
          <w:rFonts w:ascii="Times New Roman" w:hAnsi="Times New Roman" w:cs="Times New Roman"/>
          <w:b w:val="0"/>
          <w:sz w:val="22"/>
          <w:szCs w:val="22"/>
          <w:lang w:val="en-GB"/>
        </w:rPr>
        <w:t>M&amp;E</w:t>
      </w:r>
      <w:bookmarkEnd w:id="25"/>
    </w:p>
    <w:p w:rsidR="00AB6D72" w:rsidRPr="00AB6D72" w:rsidRDefault="00AB6D72" w:rsidP="00FB6759">
      <w:pPr>
        <w:spacing w:after="0" w:line="240" w:lineRule="auto"/>
        <w:jc w:val="both"/>
        <w:rPr>
          <w:rFonts w:ascii="Times New Roman" w:hAnsi="Times New Roman" w:cs="Times New Roman"/>
          <w:sz w:val="22"/>
          <w:szCs w:val="22"/>
          <w:lang w:val="en-GB"/>
        </w:rPr>
      </w:pPr>
    </w:p>
    <w:p w:rsidR="0025142F" w:rsidRPr="00647752" w:rsidRDefault="00DE499E" w:rsidP="00FB6759">
      <w:pPr>
        <w:spacing w:after="0" w:line="240" w:lineRule="auto"/>
        <w:jc w:val="both"/>
        <w:rPr>
          <w:rFonts w:ascii="Times New Roman" w:hAnsi="Times New Roman" w:cs="Times New Roman"/>
          <w:sz w:val="22"/>
          <w:szCs w:val="22"/>
          <w:lang w:val="en-GB"/>
        </w:rPr>
      </w:pPr>
      <w:r w:rsidRPr="00AB6D72">
        <w:rPr>
          <w:rFonts w:ascii="Times New Roman" w:hAnsi="Times New Roman" w:cs="Times New Roman"/>
          <w:sz w:val="22"/>
          <w:szCs w:val="22"/>
          <w:lang w:val="en-GB"/>
        </w:rPr>
        <w:t>When the UND</w:t>
      </w:r>
      <w:r w:rsidR="00527138">
        <w:rPr>
          <w:rFonts w:ascii="Times New Roman" w:hAnsi="Times New Roman" w:cs="Times New Roman"/>
          <w:sz w:val="22"/>
          <w:szCs w:val="22"/>
          <w:lang w:val="en-GB"/>
        </w:rPr>
        <w:t>P Rule of Law &amp;</w:t>
      </w:r>
      <w:r w:rsidRPr="00AB6D72">
        <w:rPr>
          <w:rFonts w:ascii="Times New Roman" w:hAnsi="Times New Roman" w:cs="Times New Roman"/>
          <w:sz w:val="22"/>
          <w:szCs w:val="22"/>
          <w:lang w:val="en-GB"/>
        </w:rPr>
        <w:t xml:space="preserve">Access to Justice Programme </w:t>
      </w:r>
      <w:r w:rsidR="00527138">
        <w:rPr>
          <w:rFonts w:ascii="Times New Roman" w:hAnsi="Times New Roman" w:cs="Times New Roman"/>
          <w:sz w:val="22"/>
          <w:szCs w:val="22"/>
          <w:lang w:val="en-GB"/>
        </w:rPr>
        <w:t>in the oPt</w:t>
      </w:r>
      <w:r w:rsidR="00E8775C">
        <w:rPr>
          <w:rFonts w:ascii="Times New Roman" w:hAnsi="Times New Roman" w:cs="Times New Roman"/>
          <w:sz w:val="22"/>
          <w:szCs w:val="22"/>
          <w:lang w:val="en-GB"/>
        </w:rPr>
        <w:t xml:space="preserve"> </w:t>
      </w:r>
      <w:r w:rsidRPr="00AB6D72">
        <w:rPr>
          <w:rFonts w:ascii="Times New Roman" w:hAnsi="Times New Roman" w:cs="Times New Roman"/>
          <w:sz w:val="22"/>
          <w:szCs w:val="22"/>
          <w:lang w:val="en-GB"/>
        </w:rPr>
        <w:t>was designed there were no clear</w:t>
      </w:r>
      <w:r w:rsidRPr="00647752">
        <w:rPr>
          <w:rFonts w:ascii="Times New Roman" w:hAnsi="Times New Roman" w:cs="Times New Roman"/>
          <w:sz w:val="22"/>
          <w:szCs w:val="22"/>
          <w:lang w:val="en-GB"/>
        </w:rPr>
        <w:t xml:space="preserve"> baselines. This posed a c</w:t>
      </w:r>
      <w:r w:rsidR="00A90CEC" w:rsidRPr="00647752">
        <w:rPr>
          <w:rFonts w:ascii="Times New Roman" w:hAnsi="Times New Roman" w:cs="Times New Roman"/>
          <w:sz w:val="22"/>
          <w:szCs w:val="22"/>
          <w:lang w:val="en-GB"/>
        </w:rPr>
        <w:t>hallenge for UNDP in designing the 2010 M&amp;E Plan and its indicators.    Donors were critical of UNDP’s 2011</w:t>
      </w:r>
      <w:r w:rsidR="00123F1B" w:rsidRPr="00647752">
        <w:rPr>
          <w:rFonts w:ascii="Times New Roman" w:hAnsi="Times New Roman" w:cs="Times New Roman"/>
          <w:sz w:val="22"/>
          <w:szCs w:val="22"/>
          <w:lang w:val="en-GB"/>
        </w:rPr>
        <w:t xml:space="preserve"> Annual Report</w:t>
      </w:r>
      <w:r w:rsidR="00527138">
        <w:rPr>
          <w:rFonts w:ascii="Times New Roman" w:hAnsi="Times New Roman" w:cs="Times New Roman"/>
          <w:sz w:val="22"/>
          <w:szCs w:val="22"/>
          <w:lang w:val="en-GB"/>
        </w:rPr>
        <w:t xml:space="preserve">. </w:t>
      </w:r>
      <w:r w:rsidR="00A90CEC" w:rsidRPr="00647752">
        <w:rPr>
          <w:rFonts w:ascii="Times New Roman" w:hAnsi="Times New Roman" w:cs="Times New Roman"/>
          <w:sz w:val="22"/>
          <w:szCs w:val="22"/>
          <w:lang w:val="en-GB"/>
        </w:rPr>
        <w:t xml:space="preserve">In response, UNDP </w:t>
      </w:r>
      <w:r w:rsidR="00A72F48" w:rsidRPr="00647752">
        <w:rPr>
          <w:rFonts w:ascii="Times New Roman" w:hAnsi="Times New Roman" w:cs="Times New Roman"/>
          <w:sz w:val="22"/>
          <w:szCs w:val="22"/>
          <w:lang w:val="en-GB"/>
        </w:rPr>
        <w:t xml:space="preserve">requested </w:t>
      </w:r>
      <w:r w:rsidR="00527138">
        <w:rPr>
          <w:rFonts w:ascii="Times New Roman" w:hAnsi="Times New Roman" w:cs="Times New Roman"/>
          <w:sz w:val="22"/>
          <w:szCs w:val="22"/>
          <w:lang w:val="en-GB"/>
        </w:rPr>
        <w:t>assistance from UNDP/</w:t>
      </w:r>
      <w:r w:rsidR="00A72F48" w:rsidRPr="00647752">
        <w:rPr>
          <w:rFonts w:ascii="Times New Roman" w:hAnsi="Times New Roman" w:cs="Times New Roman"/>
          <w:sz w:val="22"/>
          <w:szCs w:val="22"/>
          <w:lang w:val="en-GB"/>
        </w:rPr>
        <w:t>BCPR and the UNDP Regional Centre in Cairo in improv</w:t>
      </w:r>
      <w:r w:rsidR="00527138">
        <w:rPr>
          <w:rFonts w:ascii="Times New Roman" w:hAnsi="Times New Roman" w:cs="Times New Roman"/>
          <w:sz w:val="22"/>
          <w:szCs w:val="22"/>
          <w:lang w:val="en-GB"/>
        </w:rPr>
        <w:t xml:space="preserve">ing its reporting mechanisms. </w:t>
      </w:r>
      <w:r w:rsidR="00A72F48" w:rsidRPr="00647752">
        <w:rPr>
          <w:rFonts w:ascii="Times New Roman" w:hAnsi="Times New Roman" w:cs="Times New Roman"/>
          <w:sz w:val="22"/>
          <w:szCs w:val="22"/>
          <w:lang w:val="en-GB"/>
        </w:rPr>
        <w:t xml:space="preserve">UNDP </w:t>
      </w:r>
      <w:r w:rsidR="00A90CEC" w:rsidRPr="00647752">
        <w:rPr>
          <w:rFonts w:ascii="Times New Roman" w:hAnsi="Times New Roman" w:cs="Times New Roman"/>
          <w:sz w:val="22"/>
          <w:szCs w:val="22"/>
          <w:lang w:val="en-GB"/>
        </w:rPr>
        <w:t xml:space="preserve">has </w:t>
      </w:r>
      <w:r w:rsidR="00A72F48" w:rsidRPr="00647752">
        <w:rPr>
          <w:rFonts w:ascii="Times New Roman" w:hAnsi="Times New Roman" w:cs="Times New Roman"/>
          <w:sz w:val="22"/>
          <w:szCs w:val="22"/>
          <w:lang w:val="en-GB"/>
        </w:rPr>
        <w:t xml:space="preserve">also </w:t>
      </w:r>
      <w:r w:rsidR="00A90CEC" w:rsidRPr="00647752">
        <w:rPr>
          <w:rFonts w:ascii="Times New Roman" w:hAnsi="Times New Roman" w:cs="Times New Roman"/>
          <w:sz w:val="22"/>
          <w:szCs w:val="22"/>
          <w:lang w:val="en-GB"/>
        </w:rPr>
        <w:t>recently revised its M&amp;E plan to include more specific indicators.</w:t>
      </w:r>
      <w:r w:rsidR="000063A3">
        <w:rPr>
          <w:rFonts w:ascii="Times New Roman" w:hAnsi="Times New Roman" w:cs="Times New Roman"/>
          <w:sz w:val="22"/>
          <w:szCs w:val="22"/>
          <w:lang w:val="en-GB"/>
        </w:rPr>
        <w:t xml:space="preserve"> </w:t>
      </w:r>
      <w:r w:rsidR="008C2B67" w:rsidRPr="00647752">
        <w:rPr>
          <w:rFonts w:ascii="Times New Roman" w:hAnsi="Times New Roman" w:cs="Times New Roman"/>
          <w:sz w:val="22"/>
          <w:szCs w:val="22"/>
          <w:lang w:val="en-GB"/>
        </w:rPr>
        <w:t>Overall, UNDP did exercise close internal monitoring of all projects an</w:t>
      </w:r>
      <w:r w:rsidR="00527138">
        <w:rPr>
          <w:rFonts w:ascii="Times New Roman" w:hAnsi="Times New Roman" w:cs="Times New Roman"/>
          <w:sz w:val="22"/>
          <w:szCs w:val="22"/>
          <w:lang w:val="en-GB"/>
        </w:rPr>
        <w:t>d grant recipients</w:t>
      </w:r>
      <w:r w:rsidR="008C2B67" w:rsidRPr="00647752">
        <w:rPr>
          <w:rFonts w:ascii="Times New Roman" w:hAnsi="Times New Roman" w:cs="Times New Roman"/>
          <w:sz w:val="22"/>
          <w:szCs w:val="22"/>
          <w:lang w:val="en-GB"/>
        </w:rPr>
        <w:t xml:space="preserve">. At nearly every location that it visited, UNDP </w:t>
      </w:r>
      <w:r w:rsidR="00527138">
        <w:rPr>
          <w:rFonts w:ascii="Times New Roman" w:hAnsi="Times New Roman" w:cs="Times New Roman"/>
          <w:sz w:val="22"/>
          <w:szCs w:val="22"/>
          <w:lang w:val="en-GB"/>
        </w:rPr>
        <w:t>partners and beneficiary organis</w:t>
      </w:r>
      <w:r w:rsidR="008C2B67" w:rsidRPr="00647752">
        <w:rPr>
          <w:rFonts w:ascii="Times New Roman" w:hAnsi="Times New Roman" w:cs="Times New Roman"/>
          <w:sz w:val="22"/>
          <w:szCs w:val="22"/>
          <w:lang w:val="en-GB"/>
        </w:rPr>
        <w:t xml:space="preserve">ations were able to produce detailed records of their activities and outputs. </w:t>
      </w:r>
      <w:r w:rsidR="00527138">
        <w:rPr>
          <w:rFonts w:ascii="Times New Roman" w:hAnsi="Times New Roman" w:cs="Times New Roman"/>
          <w:sz w:val="22"/>
          <w:szCs w:val="22"/>
          <w:lang w:val="en-GB"/>
        </w:rPr>
        <w:t>As part of this e</w:t>
      </w:r>
      <w:r w:rsidR="00FA473F" w:rsidRPr="00647752">
        <w:rPr>
          <w:rFonts w:ascii="Times New Roman" w:hAnsi="Times New Roman" w:cs="Times New Roman"/>
          <w:sz w:val="22"/>
          <w:szCs w:val="22"/>
          <w:lang w:val="en-GB"/>
        </w:rPr>
        <w:t xml:space="preserve">valuation and other reports UNDP has made an effort to improve its </w:t>
      </w:r>
      <w:r w:rsidR="00527138">
        <w:rPr>
          <w:rFonts w:ascii="Times New Roman" w:hAnsi="Times New Roman" w:cs="Times New Roman"/>
          <w:sz w:val="22"/>
          <w:szCs w:val="22"/>
          <w:lang w:val="en-GB"/>
        </w:rPr>
        <w:t>documentation of impact at the o</w:t>
      </w:r>
      <w:r w:rsidR="00FA473F" w:rsidRPr="00647752">
        <w:rPr>
          <w:rFonts w:ascii="Times New Roman" w:hAnsi="Times New Roman" w:cs="Times New Roman"/>
          <w:sz w:val="22"/>
          <w:szCs w:val="22"/>
          <w:lang w:val="en-GB"/>
        </w:rPr>
        <w:t xml:space="preserve">utcome level and is committed to further streamlining its data collection and reporting efforts throughout all projects and partners. </w:t>
      </w:r>
    </w:p>
    <w:p w:rsidR="00A90CEC" w:rsidRPr="00AB6D72" w:rsidRDefault="00A90CEC" w:rsidP="00FB6759">
      <w:pPr>
        <w:spacing w:after="0" w:line="240" w:lineRule="auto"/>
        <w:jc w:val="both"/>
        <w:rPr>
          <w:rFonts w:ascii="Times New Roman" w:hAnsi="Times New Roman" w:cs="Times New Roman"/>
          <w:sz w:val="22"/>
          <w:szCs w:val="22"/>
          <w:lang w:val="en-GB"/>
        </w:rPr>
      </w:pPr>
    </w:p>
    <w:p w:rsidR="006853A8" w:rsidRPr="00AB6D72" w:rsidRDefault="007D1324" w:rsidP="00AB6D72">
      <w:pPr>
        <w:pStyle w:val="Heading2"/>
        <w:numPr>
          <w:ilvl w:val="0"/>
          <w:numId w:val="0"/>
        </w:numPr>
        <w:spacing w:before="0" w:after="0" w:line="240" w:lineRule="auto"/>
        <w:jc w:val="both"/>
        <w:rPr>
          <w:rFonts w:ascii="Times New Roman" w:hAnsi="Times New Roman" w:cs="Times New Roman"/>
          <w:lang w:val="en-GB"/>
        </w:rPr>
      </w:pPr>
      <w:bookmarkStart w:id="26" w:name="_Toc231801810"/>
      <w:r w:rsidRPr="00AB6D72">
        <w:rPr>
          <w:rFonts w:ascii="Times New Roman" w:hAnsi="Times New Roman" w:cs="Times New Roman"/>
          <w:lang w:val="en-GB"/>
        </w:rPr>
        <w:t xml:space="preserve">National Ownership, </w:t>
      </w:r>
      <w:r w:rsidR="00604DB5" w:rsidRPr="00AB6D72">
        <w:rPr>
          <w:rFonts w:ascii="Times New Roman" w:hAnsi="Times New Roman" w:cs="Times New Roman"/>
          <w:lang w:val="en-GB"/>
        </w:rPr>
        <w:t>Partnerships and Cooperation</w:t>
      </w:r>
      <w:bookmarkEnd w:id="26"/>
    </w:p>
    <w:p w:rsidR="00AB6D72" w:rsidRPr="00AB6D72" w:rsidRDefault="00AB6D72" w:rsidP="00FB6759">
      <w:pPr>
        <w:spacing w:after="0" w:line="240" w:lineRule="auto"/>
        <w:jc w:val="both"/>
        <w:rPr>
          <w:rFonts w:ascii="Times New Roman" w:hAnsi="Times New Roman" w:cs="Times New Roman"/>
          <w:sz w:val="22"/>
          <w:szCs w:val="22"/>
          <w:lang w:val="en-GB"/>
        </w:rPr>
      </w:pPr>
    </w:p>
    <w:p w:rsidR="00A17466" w:rsidRPr="00AB6D72" w:rsidRDefault="00C911A0" w:rsidP="00FB6759">
      <w:pPr>
        <w:spacing w:after="0" w:line="240" w:lineRule="auto"/>
        <w:jc w:val="both"/>
        <w:rPr>
          <w:rFonts w:ascii="Times New Roman" w:hAnsi="Times New Roman" w:cs="Times New Roman"/>
          <w:lang w:val="en-GB"/>
        </w:rPr>
      </w:pPr>
      <w:r w:rsidRPr="00647752">
        <w:rPr>
          <w:rFonts w:ascii="Times New Roman" w:hAnsi="Times New Roman" w:cs="Times New Roman"/>
          <w:sz w:val="22"/>
          <w:szCs w:val="22"/>
          <w:lang w:val="en-GB"/>
        </w:rPr>
        <w:t>Overall national ownership is now h</w:t>
      </w:r>
      <w:r w:rsidR="008405B0" w:rsidRPr="00647752">
        <w:rPr>
          <w:rFonts w:ascii="Times New Roman" w:hAnsi="Times New Roman" w:cs="Times New Roman"/>
          <w:sz w:val="22"/>
          <w:szCs w:val="22"/>
          <w:lang w:val="en-GB"/>
        </w:rPr>
        <w:t>igh thanks to UNDP’s engagement</w:t>
      </w:r>
      <w:r w:rsidR="00913FAC" w:rsidRPr="00647752">
        <w:rPr>
          <w:rFonts w:ascii="Times New Roman" w:hAnsi="Times New Roman" w:cs="Times New Roman"/>
          <w:sz w:val="22"/>
          <w:szCs w:val="22"/>
          <w:lang w:val="en-GB"/>
        </w:rPr>
        <w:t xml:space="preserve">, although the three main justice institutions themselves remain to some extent in competition with each other at a political level. </w:t>
      </w:r>
      <w:r w:rsidR="0050099F" w:rsidRPr="00647752">
        <w:rPr>
          <w:rFonts w:ascii="Times New Roman" w:hAnsi="Times New Roman" w:cs="Times New Roman"/>
          <w:sz w:val="22"/>
          <w:szCs w:val="22"/>
          <w:lang w:val="en-GB"/>
        </w:rPr>
        <w:t>As discussed above, UNDP should probably consider re-balancing its support to the justice institutions going forward to focus more on the judiciary.</w:t>
      </w:r>
      <w:r w:rsidRPr="00647752">
        <w:rPr>
          <w:rFonts w:ascii="Times New Roman" w:hAnsi="Times New Roman" w:cs="Times New Roman"/>
          <w:sz w:val="22"/>
          <w:szCs w:val="22"/>
          <w:lang w:val="en-GB"/>
        </w:rPr>
        <w:t xml:space="preserve"> The </w:t>
      </w:r>
      <w:r w:rsidR="00784D14" w:rsidRPr="00647752">
        <w:rPr>
          <w:rFonts w:ascii="Times New Roman" w:hAnsi="Times New Roman" w:cs="Times New Roman"/>
          <w:sz w:val="22"/>
          <w:szCs w:val="22"/>
          <w:lang w:val="en-GB"/>
        </w:rPr>
        <w:t xml:space="preserve">two branches of the </w:t>
      </w:r>
      <w:r w:rsidR="00AF49CC">
        <w:rPr>
          <w:rFonts w:ascii="Times New Roman" w:hAnsi="Times New Roman" w:cs="Times New Roman"/>
          <w:sz w:val="22"/>
          <w:szCs w:val="22"/>
          <w:lang w:val="en-GB"/>
        </w:rPr>
        <w:t xml:space="preserve">PBA </w:t>
      </w:r>
      <w:r w:rsidRPr="00647752">
        <w:rPr>
          <w:rFonts w:ascii="Times New Roman" w:hAnsi="Times New Roman" w:cs="Times New Roman"/>
          <w:sz w:val="22"/>
          <w:szCs w:val="22"/>
          <w:lang w:val="en-GB"/>
        </w:rPr>
        <w:t xml:space="preserve">are </w:t>
      </w:r>
      <w:r w:rsidR="0025142F" w:rsidRPr="00647752">
        <w:rPr>
          <w:rFonts w:ascii="Times New Roman" w:hAnsi="Times New Roman" w:cs="Times New Roman"/>
          <w:sz w:val="22"/>
          <w:szCs w:val="22"/>
          <w:lang w:val="en-GB"/>
        </w:rPr>
        <w:t>onboard</w:t>
      </w:r>
      <w:r w:rsidRPr="00647752">
        <w:rPr>
          <w:rFonts w:ascii="Times New Roman" w:hAnsi="Times New Roman" w:cs="Times New Roman"/>
          <w:sz w:val="22"/>
          <w:szCs w:val="22"/>
          <w:lang w:val="en-GB"/>
        </w:rPr>
        <w:t xml:space="preserve">, but </w:t>
      </w:r>
      <w:r w:rsidR="00AF49CC">
        <w:rPr>
          <w:rFonts w:ascii="Times New Roman" w:hAnsi="Times New Roman" w:cs="Times New Roman"/>
          <w:sz w:val="22"/>
          <w:szCs w:val="22"/>
          <w:lang w:val="en-GB"/>
        </w:rPr>
        <w:t xml:space="preserve">the </w:t>
      </w:r>
      <w:r w:rsidRPr="00647752">
        <w:rPr>
          <w:rFonts w:ascii="Times New Roman" w:hAnsi="Times New Roman" w:cs="Times New Roman"/>
          <w:sz w:val="22"/>
          <w:szCs w:val="22"/>
          <w:lang w:val="en-GB"/>
        </w:rPr>
        <w:t xml:space="preserve">Gaza </w:t>
      </w:r>
      <w:r w:rsidR="00AF49CC">
        <w:rPr>
          <w:rFonts w:ascii="Times New Roman" w:hAnsi="Times New Roman" w:cs="Times New Roman"/>
          <w:sz w:val="22"/>
          <w:szCs w:val="22"/>
          <w:lang w:val="en-GB"/>
        </w:rPr>
        <w:t xml:space="preserve">branch </w:t>
      </w:r>
      <w:r w:rsidRPr="00647752">
        <w:rPr>
          <w:rFonts w:ascii="Times New Roman" w:hAnsi="Times New Roman" w:cs="Times New Roman"/>
          <w:sz w:val="22"/>
          <w:szCs w:val="22"/>
          <w:lang w:val="en-GB"/>
        </w:rPr>
        <w:t xml:space="preserve">is more advanced than </w:t>
      </w:r>
      <w:r w:rsidR="00AF49CC">
        <w:rPr>
          <w:rFonts w:ascii="Times New Roman" w:hAnsi="Times New Roman" w:cs="Times New Roman"/>
          <w:sz w:val="22"/>
          <w:szCs w:val="22"/>
          <w:lang w:val="en-GB"/>
        </w:rPr>
        <w:t xml:space="preserve">the </w:t>
      </w:r>
      <w:r w:rsidRPr="00647752">
        <w:rPr>
          <w:rFonts w:ascii="Times New Roman" w:hAnsi="Times New Roman" w:cs="Times New Roman"/>
          <w:sz w:val="22"/>
          <w:szCs w:val="22"/>
          <w:lang w:val="en-GB"/>
        </w:rPr>
        <w:t xml:space="preserve">West </w:t>
      </w:r>
      <w:r w:rsidR="00086D59" w:rsidRPr="00647752">
        <w:rPr>
          <w:rFonts w:ascii="Times New Roman" w:hAnsi="Times New Roman" w:cs="Times New Roman"/>
          <w:sz w:val="22"/>
          <w:szCs w:val="22"/>
          <w:lang w:val="en-GB"/>
        </w:rPr>
        <w:t>Bank</w:t>
      </w:r>
      <w:r w:rsidR="00AF49CC">
        <w:rPr>
          <w:rFonts w:ascii="Times New Roman" w:hAnsi="Times New Roman" w:cs="Times New Roman"/>
          <w:sz w:val="22"/>
          <w:szCs w:val="22"/>
          <w:lang w:val="en-GB"/>
        </w:rPr>
        <w:t xml:space="preserve"> branch</w:t>
      </w:r>
      <w:r w:rsidR="00086D59" w:rsidRPr="00647752">
        <w:rPr>
          <w:rFonts w:ascii="Times New Roman" w:hAnsi="Times New Roman" w:cs="Times New Roman"/>
          <w:sz w:val="22"/>
          <w:szCs w:val="22"/>
          <w:lang w:val="en-GB"/>
        </w:rPr>
        <w:t>. Both</w:t>
      </w:r>
      <w:r w:rsidR="00AF49CC">
        <w:rPr>
          <w:rFonts w:ascii="Times New Roman" w:hAnsi="Times New Roman" w:cs="Times New Roman"/>
          <w:sz w:val="22"/>
          <w:szCs w:val="22"/>
          <w:lang w:val="en-GB"/>
        </w:rPr>
        <w:t xml:space="preserve"> branches </w:t>
      </w:r>
      <w:r w:rsidR="00913FAC" w:rsidRPr="00647752">
        <w:rPr>
          <w:rFonts w:ascii="Times New Roman" w:hAnsi="Times New Roman" w:cs="Times New Roman"/>
          <w:sz w:val="22"/>
          <w:szCs w:val="22"/>
          <w:lang w:val="en-GB"/>
        </w:rPr>
        <w:t xml:space="preserve">need to be supported to develop more comprehensive professional standards and ethics. </w:t>
      </w:r>
      <w:r w:rsidR="008405B0" w:rsidRPr="00647752">
        <w:rPr>
          <w:rFonts w:ascii="Times New Roman" w:hAnsi="Times New Roman" w:cs="Times New Roman"/>
          <w:sz w:val="22"/>
          <w:szCs w:val="22"/>
          <w:lang w:val="en-GB"/>
        </w:rPr>
        <w:t>The a</w:t>
      </w:r>
      <w:r w:rsidRPr="00647752">
        <w:rPr>
          <w:rFonts w:ascii="Times New Roman" w:hAnsi="Times New Roman" w:cs="Times New Roman"/>
          <w:sz w:val="22"/>
          <w:szCs w:val="22"/>
          <w:lang w:val="en-GB"/>
        </w:rPr>
        <w:t>cademic institutions should continue to be supported and legal aid clinics</w:t>
      </w:r>
      <w:r w:rsidR="00AF49CC">
        <w:rPr>
          <w:rFonts w:ascii="Times New Roman" w:hAnsi="Times New Roman" w:cs="Times New Roman"/>
          <w:sz w:val="22"/>
          <w:szCs w:val="22"/>
          <w:lang w:val="en-GB"/>
        </w:rPr>
        <w:t xml:space="preserve"> diversified with strong social </w:t>
      </w:r>
      <w:r w:rsidRPr="00647752">
        <w:rPr>
          <w:rFonts w:ascii="Times New Roman" w:hAnsi="Times New Roman" w:cs="Times New Roman"/>
          <w:sz w:val="22"/>
          <w:szCs w:val="22"/>
          <w:lang w:val="en-GB"/>
        </w:rPr>
        <w:t>media and/or teleconferencing platforms between Gaza and West Bank institutions</w:t>
      </w:r>
      <w:r w:rsidR="00784D14" w:rsidRPr="00647752">
        <w:rPr>
          <w:rFonts w:ascii="Times New Roman" w:hAnsi="Times New Roman" w:cs="Times New Roman"/>
          <w:sz w:val="22"/>
          <w:szCs w:val="22"/>
          <w:lang w:val="en-GB"/>
        </w:rPr>
        <w:t>.</w:t>
      </w:r>
      <w:r w:rsidR="008405B0" w:rsidRPr="00647752">
        <w:rPr>
          <w:rFonts w:ascii="Times New Roman" w:hAnsi="Times New Roman" w:cs="Times New Roman"/>
          <w:sz w:val="22"/>
          <w:szCs w:val="22"/>
          <w:lang w:val="en-GB"/>
        </w:rPr>
        <w:t xml:space="preserve"> As discussed above, a key question for UNDP going forward </w:t>
      </w:r>
      <w:r w:rsidR="008405B0" w:rsidRPr="00AB6D72">
        <w:rPr>
          <w:rFonts w:ascii="Times New Roman" w:hAnsi="Times New Roman" w:cs="Times New Roman"/>
          <w:sz w:val="22"/>
          <w:szCs w:val="22"/>
          <w:lang w:val="en-GB"/>
        </w:rPr>
        <w:t xml:space="preserve">will be how to begin to engage on the supply-side of justice in Gaza.  </w:t>
      </w:r>
    </w:p>
    <w:p w:rsidR="0025142F" w:rsidRPr="00AB6D72" w:rsidRDefault="0025142F" w:rsidP="00FB6759">
      <w:pPr>
        <w:spacing w:after="0" w:line="240" w:lineRule="auto"/>
        <w:jc w:val="both"/>
        <w:rPr>
          <w:rFonts w:ascii="Times New Roman" w:hAnsi="Times New Roman" w:cs="Times New Roman"/>
          <w:lang w:val="en-GB"/>
        </w:rPr>
      </w:pPr>
    </w:p>
    <w:p w:rsidR="00ED60A5" w:rsidRPr="00AB6D72" w:rsidRDefault="0025142F" w:rsidP="00AB6D72">
      <w:pPr>
        <w:pStyle w:val="Heading2"/>
        <w:numPr>
          <w:ilvl w:val="0"/>
          <w:numId w:val="0"/>
        </w:numPr>
        <w:spacing w:before="0" w:after="0" w:line="240" w:lineRule="auto"/>
        <w:jc w:val="both"/>
        <w:rPr>
          <w:rFonts w:ascii="Times New Roman" w:hAnsi="Times New Roman" w:cs="Times New Roman"/>
          <w:lang w:val="en-GB"/>
        </w:rPr>
      </w:pPr>
      <w:bookmarkStart w:id="27" w:name="_Toc231801811"/>
      <w:r w:rsidRPr="00AB6D72">
        <w:rPr>
          <w:rFonts w:ascii="Times New Roman" w:hAnsi="Times New Roman" w:cs="Times New Roman"/>
          <w:lang w:val="en-GB"/>
        </w:rPr>
        <w:t xml:space="preserve">UNCT and </w:t>
      </w:r>
      <w:r w:rsidR="00A17466" w:rsidRPr="00AB6D72">
        <w:rPr>
          <w:rFonts w:ascii="Times New Roman" w:hAnsi="Times New Roman" w:cs="Times New Roman"/>
          <w:lang w:val="en-GB"/>
        </w:rPr>
        <w:t>Donor</w:t>
      </w:r>
      <w:r w:rsidR="000063A3">
        <w:rPr>
          <w:rFonts w:ascii="Times New Roman" w:hAnsi="Times New Roman" w:cs="Times New Roman"/>
          <w:lang w:val="en-GB"/>
        </w:rPr>
        <w:t xml:space="preserve"> </w:t>
      </w:r>
      <w:r w:rsidRPr="00AB6D72">
        <w:rPr>
          <w:rFonts w:ascii="Times New Roman" w:hAnsi="Times New Roman" w:cs="Times New Roman"/>
          <w:lang w:val="en-GB"/>
        </w:rPr>
        <w:t>Coordination</w:t>
      </w:r>
      <w:r w:rsidR="000063A3">
        <w:rPr>
          <w:rFonts w:ascii="Times New Roman" w:hAnsi="Times New Roman" w:cs="Times New Roman"/>
          <w:lang w:val="en-GB"/>
        </w:rPr>
        <w:t xml:space="preserve"> </w:t>
      </w:r>
      <w:r w:rsidRPr="00AB6D72">
        <w:rPr>
          <w:rFonts w:ascii="Times New Roman" w:hAnsi="Times New Roman" w:cs="Times New Roman"/>
          <w:lang w:val="en-GB"/>
        </w:rPr>
        <w:t xml:space="preserve">and </w:t>
      </w:r>
      <w:r w:rsidR="00604DB5" w:rsidRPr="00AB6D72">
        <w:rPr>
          <w:rFonts w:ascii="Times New Roman" w:hAnsi="Times New Roman" w:cs="Times New Roman"/>
          <w:lang w:val="en-GB"/>
        </w:rPr>
        <w:t>Relations</w:t>
      </w:r>
      <w:bookmarkEnd w:id="27"/>
    </w:p>
    <w:p w:rsidR="00AB6D72" w:rsidRPr="00AB6D72" w:rsidRDefault="00AB6D72" w:rsidP="00FB6759">
      <w:pPr>
        <w:spacing w:after="0" w:line="240" w:lineRule="auto"/>
        <w:jc w:val="both"/>
        <w:rPr>
          <w:rFonts w:ascii="Times New Roman" w:hAnsi="Times New Roman" w:cs="Times New Roman"/>
          <w:sz w:val="22"/>
          <w:szCs w:val="22"/>
          <w:lang w:val="en-GB"/>
        </w:rPr>
      </w:pPr>
    </w:p>
    <w:p w:rsidR="002F2E91" w:rsidRPr="00647752" w:rsidRDefault="00221B5B" w:rsidP="00FB6759">
      <w:pPr>
        <w:spacing w:after="0" w:line="240" w:lineRule="auto"/>
        <w:jc w:val="both"/>
        <w:rPr>
          <w:rFonts w:ascii="Times New Roman" w:hAnsi="Times New Roman" w:cs="Times New Roman"/>
          <w:sz w:val="22"/>
          <w:szCs w:val="22"/>
          <w:lang w:val="en-GB"/>
        </w:rPr>
      </w:pPr>
      <w:r w:rsidRPr="00AB6D72">
        <w:rPr>
          <w:rFonts w:ascii="Times New Roman" w:hAnsi="Times New Roman" w:cs="Times New Roman"/>
          <w:sz w:val="22"/>
          <w:szCs w:val="22"/>
          <w:lang w:val="en-GB"/>
        </w:rPr>
        <w:t>The relationship between UNDP and its</w:t>
      </w:r>
      <w:r w:rsidR="00AF49CC">
        <w:rPr>
          <w:rFonts w:ascii="Times New Roman" w:hAnsi="Times New Roman" w:cs="Times New Roman"/>
          <w:sz w:val="22"/>
          <w:szCs w:val="22"/>
          <w:lang w:val="en-GB"/>
        </w:rPr>
        <w:t xml:space="preserve"> d</w:t>
      </w:r>
      <w:r w:rsidR="00B11C22" w:rsidRPr="00AB6D72">
        <w:rPr>
          <w:rFonts w:ascii="Times New Roman" w:hAnsi="Times New Roman" w:cs="Times New Roman"/>
          <w:sz w:val="22"/>
          <w:szCs w:val="22"/>
          <w:lang w:val="en-GB"/>
        </w:rPr>
        <w:t>onors</w:t>
      </w:r>
      <w:r w:rsidR="00AF49CC">
        <w:rPr>
          <w:rFonts w:ascii="Times New Roman" w:hAnsi="Times New Roman" w:cs="Times New Roman"/>
          <w:sz w:val="22"/>
          <w:szCs w:val="22"/>
          <w:lang w:val="en-GB"/>
        </w:rPr>
        <w:t xml:space="preserve"> is strong, but the d</w:t>
      </w:r>
      <w:r w:rsidRPr="00AB6D72">
        <w:rPr>
          <w:rFonts w:ascii="Times New Roman" w:hAnsi="Times New Roman" w:cs="Times New Roman"/>
          <w:sz w:val="22"/>
          <w:szCs w:val="22"/>
          <w:lang w:val="en-GB"/>
        </w:rPr>
        <w:t>onors</w:t>
      </w:r>
      <w:r w:rsidR="00B11C22" w:rsidRPr="00AB6D72">
        <w:rPr>
          <w:rFonts w:ascii="Times New Roman" w:hAnsi="Times New Roman" w:cs="Times New Roman"/>
          <w:sz w:val="22"/>
          <w:szCs w:val="22"/>
          <w:lang w:val="en-GB"/>
        </w:rPr>
        <w:t xml:space="preserve"> have requested that going forward, UNDP strive to demonstrate a link between the ou</w:t>
      </w:r>
      <w:r w:rsidR="00AF49CC">
        <w:rPr>
          <w:rFonts w:ascii="Times New Roman" w:hAnsi="Times New Roman" w:cs="Times New Roman"/>
          <w:sz w:val="22"/>
          <w:szCs w:val="22"/>
          <w:lang w:val="en-GB"/>
        </w:rPr>
        <w:t>tputs of the p</w:t>
      </w:r>
      <w:r w:rsidR="00B11C22" w:rsidRPr="00AB6D72">
        <w:rPr>
          <w:rFonts w:ascii="Times New Roman" w:hAnsi="Times New Roman" w:cs="Times New Roman"/>
          <w:sz w:val="22"/>
          <w:szCs w:val="22"/>
          <w:lang w:val="en-GB"/>
        </w:rPr>
        <w:t>rogramme and</w:t>
      </w:r>
      <w:r w:rsidR="00B11C22" w:rsidRPr="00647752">
        <w:rPr>
          <w:rFonts w:ascii="Times New Roman" w:hAnsi="Times New Roman" w:cs="Times New Roman"/>
          <w:sz w:val="22"/>
          <w:szCs w:val="22"/>
          <w:lang w:val="en-GB"/>
        </w:rPr>
        <w:t xml:space="preserve"> impact at the </w:t>
      </w:r>
      <w:r w:rsidR="00EF45EC" w:rsidRPr="00647752">
        <w:rPr>
          <w:rFonts w:ascii="Times New Roman" w:hAnsi="Times New Roman" w:cs="Times New Roman"/>
          <w:sz w:val="22"/>
          <w:szCs w:val="22"/>
          <w:lang w:val="en-GB"/>
        </w:rPr>
        <w:t>outcome</w:t>
      </w:r>
      <w:r w:rsidR="000063A3">
        <w:rPr>
          <w:rFonts w:ascii="Times New Roman" w:hAnsi="Times New Roman" w:cs="Times New Roman"/>
          <w:sz w:val="22"/>
          <w:szCs w:val="22"/>
          <w:lang w:val="en-GB"/>
        </w:rPr>
        <w:t xml:space="preserve"> </w:t>
      </w:r>
      <w:r w:rsidR="00B11C22" w:rsidRPr="00647752">
        <w:rPr>
          <w:rFonts w:ascii="Times New Roman" w:hAnsi="Times New Roman" w:cs="Times New Roman"/>
          <w:sz w:val="22"/>
          <w:szCs w:val="22"/>
          <w:lang w:val="en-GB"/>
        </w:rPr>
        <w:t>level</w:t>
      </w:r>
      <w:r w:rsidR="0025142F" w:rsidRPr="00647752">
        <w:rPr>
          <w:rFonts w:ascii="Times New Roman" w:hAnsi="Times New Roman" w:cs="Times New Roman"/>
          <w:sz w:val="22"/>
          <w:szCs w:val="22"/>
          <w:lang w:val="en-GB"/>
        </w:rPr>
        <w:t xml:space="preserve">. </w:t>
      </w:r>
      <w:r w:rsidRPr="00647752">
        <w:rPr>
          <w:rFonts w:ascii="Times New Roman" w:hAnsi="Times New Roman" w:cs="Times New Roman"/>
          <w:sz w:val="22"/>
          <w:szCs w:val="22"/>
          <w:lang w:val="en-GB"/>
        </w:rPr>
        <w:t>To this end, UNDP has revised its M&amp;E plan and stress</w:t>
      </w:r>
      <w:r w:rsidR="00FB27E8" w:rsidRPr="00647752">
        <w:rPr>
          <w:rFonts w:ascii="Times New Roman" w:hAnsi="Times New Roman" w:cs="Times New Roman"/>
          <w:sz w:val="22"/>
          <w:szCs w:val="22"/>
          <w:lang w:val="en-GB"/>
        </w:rPr>
        <w:t>ed</w:t>
      </w:r>
      <w:r w:rsidRPr="00647752">
        <w:rPr>
          <w:rFonts w:ascii="Times New Roman" w:hAnsi="Times New Roman" w:cs="Times New Roman"/>
          <w:sz w:val="22"/>
          <w:szCs w:val="22"/>
          <w:lang w:val="en-GB"/>
        </w:rPr>
        <w:t xml:space="preserve"> to its partners and beneficiaries that they will need to streamline data collection to a </w:t>
      </w:r>
      <w:r w:rsidR="00AF49CC">
        <w:rPr>
          <w:rFonts w:ascii="Times New Roman" w:hAnsi="Times New Roman" w:cs="Times New Roman"/>
          <w:sz w:val="22"/>
          <w:szCs w:val="22"/>
          <w:lang w:val="en-GB"/>
        </w:rPr>
        <w:t xml:space="preserve">greater degree in the future. </w:t>
      </w:r>
      <w:r w:rsidRPr="00647752">
        <w:rPr>
          <w:rFonts w:ascii="Times New Roman" w:hAnsi="Times New Roman" w:cs="Times New Roman"/>
          <w:sz w:val="22"/>
          <w:szCs w:val="22"/>
          <w:lang w:val="en-GB"/>
        </w:rPr>
        <w:t xml:space="preserve">Communication and coordination within the </w:t>
      </w:r>
      <w:r w:rsidR="00172C53" w:rsidRPr="00647752">
        <w:rPr>
          <w:rFonts w:ascii="Times New Roman" w:hAnsi="Times New Roman" w:cs="Times New Roman"/>
          <w:sz w:val="22"/>
          <w:szCs w:val="22"/>
          <w:lang w:val="en-GB"/>
        </w:rPr>
        <w:t xml:space="preserve">UNCT </w:t>
      </w:r>
      <w:r w:rsidRPr="00647752">
        <w:rPr>
          <w:rFonts w:ascii="Times New Roman" w:hAnsi="Times New Roman" w:cs="Times New Roman"/>
          <w:sz w:val="22"/>
          <w:szCs w:val="22"/>
          <w:lang w:val="en-GB"/>
        </w:rPr>
        <w:t xml:space="preserve">for the rule of law sector </w:t>
      </w:r>
      <w:r w:rsidR="00FB27E8" w:rsidRPr="00647752">
        <w:rPr>
          <w:rFonts w:ascii="Times New Roman" w:hAnsi="Times New Roman" w:cs="Times New Roman"/>
          <w:sz w:val="22"/>
          <w:szCs w:val="22"/>
          <w:lang w:val="en-GB"/>
        </w:rPr>
        <w:t>should also</w:t>
      </w:r>
      <w:r w:rsidRPr="00647752">
        <w:rPr>
          <w:rFonts w:ascii="Times New Roman" w:hAnsi="Times New Roman" w:cs="Times New Roman"/>
          <w:sz w:val="22"/>
          <w:szCs w:val="22"/>
          <w:lang w:val="en-GB"/>
        </w:rPr>
        <w:t xml:space="preserve"> be improved going forward. UNDP should continue to partner </w:t>
      </w:r>
      <w:r w:rsidR="00172C53" w:rsidRPr="00647752">
        <w:rPr>
          <w:rFonts w:ascii="Times New Roman" w:hAnsi="Times New Roman" w:cs="Times New Roman"/>
          <w:sz w:val="22"/>
          <w:szCs w:val="22"/>
          <w:lang w:val="en-GB"/>
        </w:rPr>
        <w:t xml:space="preserve">with UN Women, UNODC, </w:t>
      </w:r>
      <w:r w:rsidR="00EF45EC" w:rsidRPr="00647752">
        <w:rPr>
          <w:rFonts w:ascii="Times New Roman" w:hAnsi="Times New Roman" w:cs="Times New Roman"/>
          <w:sz w:val="22"/>
          <w:szCs w:val="22"/>
          <w:lang w:val="en-GB"/>
        </w:rPr>
        <w:t>O</w:t>
      </w:r>
      <w:r w:rsidR="00172C53" w:rsidRPr="00647752">
        <w:rPr>
          <w:rFonts w:ascii="Times New Roman" w:hAnsi="Times New Roman" w:cs="Times New Roman"/>
          <w:sz w:val="22"/>
          <w:szCs w:val="22"/>
          <w:lang w:val="en-GB"/>
        </w:rPr>
        <w:t>HCHR</w:t>
      </w:r>
      <w:r w:rsidR="00FA3A5A" w:rsidRPr="00647752">
        <w:rPr>
          <w:rFonts w:ascii="Times New Roman" w:hAnsi="Times New Roman" w:cs="Times New Roman"/>
          <w:sz w:val="22"/>
          <w:szCs w:val="22"/>
          <w:lang w:val="en-GB"/>
        </w:rPr>
        <w:t>, UNICEF</w:t>
      </w:r>
      <w:r w:rsidR="00172C53" w:rsidRPr="00647752">
        <w:rPr>
          <w:rFonts w:ascii="Times New Roman" w:hAnsi="Times New Roman" w:cs="Times New Roman"/>
          <w:sz w:val="22"/>
          <w:szCs w:val="22"/>
          <w:lang w:val="en-GB"/>
        </w:rPr>
        <w:t xml:space="preserve"> and other agencies to ensure a high degree of information flow</w:t>
      </w:r>
      <w:r w:rsidRPr="00647752">
        <w:rPr>
          <w:rFonts w:ascii="Times New Roman" w:hAnsi="Times New Roman" w:cs="Times New Roman"/>
          <w:sz w:val="22"/>
          <w:szCs w:val="22"/>
          <w:lang w:val="en-GB"/>
        </w:rPr>
        <w:t xml:space="preserve">. </w:t>
      </w:r>
      <w:r w:rsidR="00FA3A5A" w:rsidRPr="00647752">
        <w:rPr>
          <w:rFonts w:ascii="Times New Roman" w:hAnsi="Times New Roman" w:cs="Times New Roman"/>
          <w:sz w:val="22"/>
          <w:szCs w:val="22"/>
          <w:lang w:val="en-GB"/>
        </w:rPr>
        <w:t xml:space="preserve">UNICEF may offer particular synergies in legal aid and lawyer and paralegal trainings programmes. </w:t>
      </w:r>
    </w:p>
    <w:p w:rsidR="00172C53" w:rsidRPr="00647752" w:rsidRDefault="00172C53" w:rsidP="00FB6759">
      <w:pPr>
        <w:spacing w:after="0" w:line="240" w:lineRule="auto"/>
        <w:jc w:val="both"/>
        <w:rPr>
          <w:rFonts w:ascii="Times New Roman" w:hAnsi="Times New Roman" w:cs="Times New Roman"/>
          <w:sz w:val="22"/>
          <w:szCs w:val="22"/>
          <w:lang w:val="en-GB"/>
        </w:rPr>
      </w:pPr>
    </w:p>
    <w:p w:rsidR="00F56BA4" w:rsidRPr="00D409A8" w:rsidRDefault="00A17466" w:rsidP="00AB6D72">
      <w:pPr>
        <w:pStyle w:val="Heading2"/>
        <w:numPr>
          <w:ilvl w:val="0"/>
          <w:numId w:val="0"/>
        </w:numPr>
        <w:spacing w:before="0" w:after="0" w:line="240" w:lineRule="auto"/>
        <w:rPr>
          <w:rFonts w:ascii="Times New Roman" w:hAnsi="Times New Roman" w:cs="Times New Roman"/>
          <w:lang w:val="en-GB"/>
        </w:rPr>
      </w:pPr>
      <w:bookmarkStart w:id="28" w:name="_Toc231801812"/>
      <w:r w:rsidRPr="00D409A8">
        <w:rPr>
          <w:rFonts w:ascii="Times New Roman" w:hAnsi="Times New Roman" w:cs="Times New Roman"/>
          <w:lang w:val="en-GB"/>
        </w:rPr>
        <w:t>Sustainability</w:t>
      </w:r>
      <w:bookmarkEnd w:id="28"/>
    </w:p>
    <w:p w:rsidR="00AB6D72" w:rsidRDefault="00AB6D72" w:rsidP="00FB6759">
      <w:pPr>
        <w:spacing w:after="0" w:line="240" w:lineRule="auto"/>
        <w:jc w:val="both"/>
        <w:rPr>
          <w:rFonts w:ascii="Times New Roman" w:hAnsi="Times New Roman" w:cs="Times New Roman"/>
          <w:sz w:val="22"/>
          <w:szCs w:val="22"/>
          <w:lang w:val="en-GB"/>
        </w:rPr>
      </w:pPr>
    </w:p>
    <w:p w:rsidR="00965768" w:rsidRPr="00647752" w:rsidRDefault="00221B5B"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From the outset,</w:t>
      </w:r>
      <w:r w:rsidR="00AF49CC">
        <w:rPr>
          <w:rFonts w:ascii="Times New Roman" w:hAnsi="Times New Roman" w:cs="Times New Roman"/>
          <w:sz w:val="22"/>
          <w:szCs w:val="22"/>
          <w:lang w:val="en-GB"/>
        </w:rPr>
        <w:t xml:space="preserve"> the programme recognis</w:t>
      </w:r>
      <w:r w:rsidR="005B4053" w:rsidRPr="00647752">
        <w:rPr>
          <w:rFonts w:ascii="Times New Roman" w:hAnsi="Times New Roman" w:cs="Times New Roman"/>
          <w:sz w:val="22"/>
          <w:szCs w:val="22"/>
          <w:lang w:val="en-GB"/>
        </w:rPr>
        <w:t>ed the importance of ensuring national ownership at every stage in order to achieve sustainability.</w:t>
      </w:r>
      <w:r w:rsidR="005B4053" w:rsidRPr="00647752">
        <w:rPr>
          <w:rStyle w:val="FootnoteReference"/>
          <w:rFonts w:ascii="Times New Roman" w:hAnsi="Times New Roman" w:cs="Times New Roman"/>
          <w:sz w:val="22"/>
          <w:szCs w:val="22"/>
          <w:lang w:val="en-GB"/>
        </w:rPr>
        <w:footnoteReference w:id="209"/>
      </w:r>
      <w:r w:rsidR="005B4053" w:rsidRPr="00647752">
        <w:rPr>
          <w:rFonts w:ascii="Times New Roman" w:hAnsi="Times New Roman" w:cs="Times New Roman"/>
          <w:sz w:val="22"/>
          <w:szCs w:val="22"/>
          <w:lang w:val="en-GB"/>
        </w:rPr>
        <w:t xml:space="preserve"> This include</w:t>
      </w:r>
      <w:r w:rsidRPr="00647752">
        <w:rPr>
          <w:rFonts w:ascii="Times New Roman" w:hAnsi="Times New Roman" w:cs="Times New Roman"/>
          <w:sz w:val="22"/>
          <w:szCs w:val="22"/>
          <w:lang w:val="en-GB"/>
        </w:rPr>
        <w:t xml:space="preserve">d </w:t>
      </w:r>
      <w:r w:rsidR="005B4053" w:rsidRPr="00647752">
        <w:rPr>
          <w:rFonts w:ascii="Times New Roman" w:hAnsi="Times New Roman" w:cs="Times New Roman"/>
          <w:sz w:val="22"/>
          <w:szCs w:val="22"/>
          <w:lang w:val="en-GB"/>
        </w:rPr>
        <w:t>building on existing experience and established initiatives, and actively supporting existing coalitions and joint ventures.</w:t>
      </w:r>
      <w:r w:rsidR="005B4053" w:rsidRPr="00647752">
        <w:rPr>
          <w:rStyle w:val="FootnoteReference"/>
          <w:rFonts w:ascii="Times New Roman" w:hAnsi="Times New Roman" w:cs="Times New Roman"/>
          <w:sz w:val="22"/>
          <w:szCs w:val="22"/>
          <w:lang w:val="en-GB"/>
        </w:rPr>
        <w:footnoteReference w:id="210"/>
      </w:r>
      <w:r w:rsidR="00965768" w:rsidRPr="00647752">
        <w:rPr>
          <w:rFonts w:ascii="Times New Roman" w:hAnsi="Times New Roman" w:cs="Times New Roman"/>
          <w:sz w:val="22"/>
          <w:szCs w:val="22"/>
          <w:lang w:val="en-GB"/>
        </w:rPr>
        <w:t>Ho</w:t>
      </w:r>
      <w:r w:rsidR="00563BA3">
        <w:rPr>
          <w:rFonts w:ascii="Times New Roman" w:hAnsi="Times New Roman" w:cs="Times New Roman"/>
          <w:sz w:val="22"/>
          <w:szCs w:val="22"/>
          <w:lang w:val="en-GB"/>
        </w:rPr>
        <w:t>wever, sustainability will be key as p</w:t>
      </w:r>
      <w:r w:rsidR="00965768" w:rsidRPr="00647752">
        <w:rPr>
          <w:rFonts w:ascii="Times New Roman" w:hAnsi="Times New Roman" w:cs="Times New Roman"/>
          <w:sz w:val="22"/>
          <w:szCs w:val="22"/>
          <w:lang w:val="en-GB"/>
        </w:rPr>
        <w:t xml:space="preserve">rogramme </w:t>
      </w:r>
      <w:r w:rsidR="00792AAB" w:rsidRPr="00647752">
        <w:rPr>
          <w:rFonts w:ascii="Times New Roman" w:hAnsi="Times New Roman" w:cs="Times New Roman"/>
          <w:sz w:val="22"/>
          <w:szCs w:val="22"/>
          <w:lang w:val="en-GB"/>
        </w:rPr>
        <w:t>funding stream</w:t>
      </w:r>
      <w:r w:rsidR="00563BA3">
        <w:rPr>
          <w:rFonts w:ascii="Times New Roman" w:hAnsi="Times New Roman" w:cs="Times New Roman"/>
          <w:sz w:val="22"/>
          <w:szCs w:val="22"/>
          <w:lang w:val="en-GB"/>
        </w:rPr>
        <w:t>s (such as the Stabilis</w:t>
      </w:r>
      <w:r w:rsidR="00792AAB" w:rsidRPr="00647752">
        <w:rPr>
          <w:rFonts w:ascii="Times New Roman" w:hAnsi="Times New Roman" w:cs="Times New Roman"/>
          <w:sz w:val="22"/>
          <w:szCs w:val="22"/>
          <w:lang w:val="en-GB"/>
        </w:rPr>
        <w:t xml:space="preserve">ation Fund) </w:t>
      </w:r>
      <w:r w:rsidR="00563BA3">
        <w:rPr>
          <w:rFonts w:ascii="Times New Roman" w:hAnsi="Times New Roman" w:cs="Times New Roman"/>
          <w:sz w:val="22"/>
          <w:szCs w:val="22"/>
          <w:lang w:val="en-GB"/>
        </w:rPr>
        <w:t>come</w:t>
      </w:r>
      <w:r w:rsidR="00965768" w:rsidRPr="00647752">
        <w:rPr>
          <w:rFonts w:ascii="Times New Roman" w:hAnsi="Times New Roman" w:cs="Times New Roman"/>
          <w:sz w:val="22"/>
          <w:szCs w:val="22"/>
          <w:lang w:val="en-GB"/>
        </w:rPr>
        <w:t xml:space="preserve"> to an end, particularly since the PNA’s financial situation cre</w:t>
      </w:r>
      <w:r w:rsidR="00563BA3">
        <w:rPr>
          <w:rFonts w:ascii="Times New Roman" w:hAnsi="Times New Roman" w:cs="Times New Roman"/>
          <w:sz w:val="22"/>
          <w:szCs w:val="22"/>
          <w:lang w:val="en-GB"/>
        </w:rPr>
        <w:t>ates uncertainty about keeping p</w:t>
      </w:r>
      <w:r w:rsidR="00965768" w:rsidRPr="00647752">
        <w:rPr>
          <w:rFonts w:ascii="Times New Roman" w:hAnsi="Times New Roman" w:cs="Times New Roman"/>
          <w:sz w:val="22"/>
          <w:szCs w:val="22"/>
          <w:lang w:val="en-GB"/>
        </w:rPr>
        <w:t xml:space="preserve">rogramme-funded staff and expert positions </w:t>
      </w:r>
      <w:r w:rsidR="00965768" w:rsidRPr="00647752">
        <w:rPr>
          <w:rFonts w:ascii="Times New Roman" w:hAnsi="Times New Roman" w:cs="Times New Roman"/>
          <w:sz w:val="22"/>
          <w:szCs w:val="22"/>
          <w:lang w:val="en-GB"/>
        </w:rPr>
        <w:lastRenderedPageBreak/>
        <w:t>staffed</w:t>
      </w:r>
      <w:r w:rsidR="00792AAB" w:rsidRPr="00647752">
        <w:rPr>
          <w:rFonts w:ascii="Times New Roman" w:hAnsi="Times New Roman" w:cs="Times New Roman"/>
          <w:sz w:val="22"/>
          <w:szCs w:val="22"/>
          <w:lang w:val="en-GB"/>
        </w:rPr>
        <w:t>.</w:t>
      </w:r>
      <w:r w:rsidR="00792AAB" w:rsidRPr="00647752">
        <w:rPr>
          <w:rStyle w:val="FootnoteReference"/>
          <w:rFonts w:ascii="Times New Roman" w:hAnsi="Times New Roman" w:cs="Times New Roman"/>
          <w:sz w:val="22"/>
          <w:szCs w:val="22"/>
          <w:lang w:val="en-GB"/>
        </w:rPr>
        <w:footnoteReference w:id="211"/>
      </w:r>
      <w:r w:rsidR="00792AAB" w:rsidRPr="00647752">
        <w:rPr>
          <w:rFonts w:ascii="Times New Roman" w:hAnsi="Times New Roman" w:cs="Times New Roman"/>
          <w:sz w:val="22"/>
          <w:szCs w:val="22"/>
          <w:lang w:val="en-GB"/>
        </w:rPr>
        <w:t xml:space="preserve"> At this stage, however, </w:t>
      </w:r>
      <w:r w:rsidR="00CB3826" w:rsidRPr="00647752">
        <w:rPr>
          <w:rFonts w:ascii="Times New Roman" w:hAnsi="Times New Roman" w:cs="Times New Roman"/>
          <w:sz w:val="22"/>
          <w:szCs w:val="22"/>
          <w:lang w:val="en-GB"/>
        </w:rPr>
        <w:t>the outlook is mixed</w:t>
      </w:r>
      <w:r w:rsidR="00563BA3">
        <w:rPr>
          <w:rFonts w:ascii="Times New Roman" w:hAnsi="Times New Roman" w:cs="Times New Roman"/>
          <w:sz w:val="22"/>
          <w:szCs w:val="22"/>
          <w:lang w:val="en-GB"/>
        </w:rPr>
        <w:t>:</w:t>
      </w:r>
      <w:r w:rsidR="00792AAB" w:rsidRPr="00647752">
        <w:rPr>
          <w:rFonts w:ascii="Times New Roman" w:hAnsi="Times New Roman" w:cs="Times New Roman"/>
          <w:sz w:val="22"/>
          <w:szCs w:val="22"/>
          <w:lang w:val="en-GB"/>
        </w:rPr>
        <w:t xml:space="preserve"> despite</w:t>
      </w:r>
      <w:r w:rsidR="00965768" w:rsidRPr="00647752">
        <w:rPr>
          <w:rFonts w:ascii="Times New Roman" w:hAnsi="Times New Roman" w:cs="Times New Roman"/>
          <w:sz w:val="22"/>
          <w:szCs w:val="22"/>
          <w:lang w:val="en-GB"/>
        </w:rPr>
        <w:t xml:space="preserve"> the PNA’s fina</w:t>
      </w:r>
      <w:r w:rsidR="00563BA3">
        <w:rPr>
          <w:rFonts w:ascii="Times New Roman" w:hAnsi="Times New Roman" w:cs="Times New Roman"/>
          <w:sz w:val="22"/>
          <w:szCs w:val="22"/>
          <w:lang w:val="en-GB"/>
        </w:rPr>
        <w:t>ncial constraints, the MOJ</w:t>
      </w:r>
      <w:r w:rsidR="000063A3">
        <w:rPr>
          <w:rFonts w:ascii="Times New Roman" w:hAnsi="Times New Roman" w:cs="Times New Roman"/>
          <w:sz w:val="22"/>
          <w:szCs w:val="22"/>
          <w:lang w:val="en-GB"/>
        </w:rPr>
        <w:t xml:space="preserve"> </w:t>
      </w:r>
      <w:r w:rsidR="00965768" w:rsidRPr="00647752">
        <w:rPr>
          <w:rFonts w:ascii="Times New Roman" w:hAnsi="Times New Roman" w:cs="Times New Roman"/>
          <w:sz w:val="22"/>
          <w:szCs w:val="22"/>
          <w:lang w:val="en-GB"/>
        </w:rPr>
        <w:t xml:space="preserve">has transferred eight </w:t>
      </w:r>
      <w:r w:rsidR="00563BA3">
        <w:rPr>
          <w:rFonts w:ascii="Times New Roman" w:hAnsi="Times New Roman" w:cs="Times New Roman"/>
          <w:sz w:val="22"/>
          <w:szCs w:val="22"/>
          <w:lang w:val="en-GB"/>
        </w:rPr>
        <w:t>p</w:t>
      </w:r>
      <w:r w:rsidR="00792AAB" w:rsidRPr="00647752">
        <w:rPr>
          <w:rFonts w:ascii="Times New Roman" w:hAnsi="Times New Roman" w:cs="Times New Roman"/>
          <w:sz w:val="22"/>
          <w:szCs w:val="22"/>
          <w:lang w:val="en-GB"/>
        </w:rPr>
        <w:t>rogramme-funded</w:t>
      </w:r>
      <w:r w:rsidR="00965768" w:rsidRPr="00647752">
        <w:rPr>
          <w:rFonts w:ascii="Times New Roman" w:hAnsi="Times New Roman" w:cs="Times New Roman"/>
          <w:sz w:val="22"/>
          <w:szCs w:val="22"/>
          <w:lang w:val="en-GB"/>
        </w:rPr>
        <w:t xml:space="preserve"> staff onto permanent civil service contracts.</w:t>
      </w:r>
      <w:r w:rsidR="00965768" w:rsidRPr="00647752">
        <w:rPr>
          <w:rStyle w:val="FootnoteReference"/>
          <w:rFonts w:ascii="Times New Roman" w:hAnsi="Times New Roman" w:cs="Times New Roman"/>
          <w:sz w:val="22"/>
          <w:szCs w:val="22"/>
          <w:lang w:val="en-GB"/>
        </w:rPr>
        <w:footnoteReference w:id="212"/>
      </w:r>
      <w:r w:rsidR="00CB3826" w:rsidRPr="00647752">
        <w:rPr>
          <w:rFonts w:ascii="Times New Roman" w:hAnsi="Times New Roman" w:cs="Times New Roman"/>
          <w:sz w:val="22"/>
          <w:szCs w:val="22"/>
          <w:lang w:val="en-GB"/>
        </w:rPr>
        <w:t>Further staff transitions have been blocked by a bar on civil service appointments due to the government’s ongoing financia</w:t>
      </w:r>
      <w:r w:rsidR="00563BA3">
        <w:rPr>
          <w:rFonts w:ascii="Times New Roman" w:hAnsi="Times New Roman" w:cs="Times New Roman"/>
          <w:sz w:val="22"/>
          <w:szCs w:val="22"/>
          <w:lang w:val="en-GB"/>
        </w:rPr>
        <w:t>l constraints, undermining the p</w:t>
      </w:r>
      <w:r w:rsidR="00CB3826" w:rsidRPr="00647752">
        <w:rPr>
          <w:rFonts w:ascii="Times New Roman" w:hAnsi="Times New Roman" w:cs="Times New Roman"/>
          <w:sz w:val="22"/>
          <w:szCs w:val="22"/>
          <w:lang w:val="en-GB"/>
        </w:rPr>
        <w:t>rogramme’s sustainability strategy.</w:t>
      </w:r>
      <w:r w:rsidR="00CB3826" w:rsidRPr="00647752">
        <w:rPr>
          <w:rStyle w:val="FootnoteReference"/>
          <w:rFonts w:ascii="Times New Roman" w:hAnsi="Times New Roman" w:cs="Times New Roman"/>
          <w:sz w:val="22"/>
          <w:szCs w:val="22"/>
          <w:lang w:val="en-GB"/>
        </w:rPr>
        <w:footnoteReference w:id="213"/>
      </w:r>
    </w:p>
    <w:p w:rsidR="00563BA3" w:rsidRDefault="00563BA3" w:rsidP="00FB6759">
      <w:pPr>
        <w:spacing w:after="0" w:line="240" w:lineRule="auto"/>
        <w:jc w:val="both"/>
        <w:rPr>
          <w:rFonts w:ascii="Times New Roman" w:hAnsi="Times New Roman" w:cs="Times New Roman"/>
          <w:sz w:val="22"/>
          <w:szCs w:val="22"/>
          <w:lang w:val="en-GB"/>
        </w:rPr>
      </w:pPr>
    </w:p>
    <w:p w:rsidR="00EC4E4D" w:rsidRPr="00647752" w:rsidRDefault="00CB3826" w:rsidP="00FB6759">
      <w:pPr>
        <w:spacing w:after="0" w:line="240" w:lineRule="auto"/>
        <w:jc w:val="both"/>
        <w:rPr>
          <w:rFonts w:ascii="Times New Roman" w:hAnsi="Times New Roman" w:cs="Times New Roman"/>
          <w:sz w:val="22"/>
          <w:szCs w:val="22"/>
          <w:lang w:val="en-GB"/>
        </w:rPr>
      </w:pPr>
      <w:r w:rsidRPr="00647752">
        <w:rPr>
          <w:rFonts w:ascii="Times New Roman" w:hAnsi="Times New Roman" w:cs="Times New Roman"/>
          <w:sz w:val="22"/>
          <w:szCs w:val="22"/>
          <w:lang w:val="en-GB"/>
        </w:rPr>
        <w:t>Fortunately</w:t>
      </w:r>
      <w:r w:rsidR="00563BA3">
        <w:rPr>
          <w:rFonts w:ascii="Times New Roman" w:hAnsi="Times New Roman" w:cs="Times New Roman"/>
          <w:sz w:val="22"/>
          <w:szCs w:val="22"/>
          <w:lang w:val="en-GB"/>
        </w:rPr>
        <w:t>, certain components of the p</w:t>
      </w:r>
      <w:r w:rsidR="00792AAB" w:rsidRPr="00647752">
        <w:rPr>
          <w:rFonts w:ascii="Times New Roman" w:hAnsi="Times New Roman" w:cs="Times New Roman"/>
          <w:sz w:val="22"/>
          <w:szCs w:val="22"/>
          <w:lang w:val="en-GB"/>
        </w:rPr>
        <w:t xml:space="preserve">rogramme were designed and implemented with an eye towards the kind of training and capacity-building that will persist even if and when UNDP experts leave their posts. </w:t>
      </w:r>
      <w:r w:rsidRPr="00647752">
        <w:rPr>
          <w:rFonts w:ascii="Times New Roman" w:hAnsi="Times New Roman" w:cs="Times New Roman"/>
          <w:sz w:val="22"/>
          <w:szCs w:val="22"/>
          <w:lang w:val="en-GB"/>
        </w:rPr>
        <w:t>T</w:t>
      </w:r>
      <w:r w:rsidR="00563BA3">
        <w:rPr>
          <w:rFonts w:ascii="Times New Roman" w:hAnsi="Times New Roman" w:cs="Times New Roman"/>
          <w:sz w:val="22"/>
          <w:szCs w:val="22"/>
          <w:lang w:val="en-GB"/>
        </w:rPr>
        <w:t>he TAU and the PPMUs</w:t>
      </w:r>
      <w:r w:rsidRPr="00647752">
        <w:rPr>
          <w:rFonts w:ascii="Times New Roman" w:hAnsi="Times New Roman" w:cs="Times New Roman"/>
          <w:sz w:val="22"/>
          <w:szCs w:val="22"/>
          <w:lang w:val="en-GB"/>
        </w:rPr>
        <w:t xml:space="preserve"> represent a </w:t>
      </w:r>
      <w:r w:rsidR="00563BA3">
        <w:rPr>
          <w:rFonts w:ascii="Times New Roman" w:hAnsi="Times New Roman" w:cs="Times New Roman"/>
          <w:sz w:val="22"/>
          <w:szCs w:val="22"/>
          <w:lang w:val="en-GB"/>
        </w:rPr>
        <w:t xml:space="preserve">core element of this approach. The embedded </w:t>
      </w:r>
      <w:r w:rsidR="00792AAB" w:rsidRPr="00647752">
        <w:rPr>
          <w:rFonts w:ascii="Times New Roman" w:hAnsi="Times New Roman" w:cs="Times New Roman"/>
          <w:sz w:val="22"/>
          <w:szCs w:val="22"/>
          <w:lang w:val="en-GB"/>
        </w:rPr>
        <w:t>UN</w:t>
      </w:r>
      <w:r w:rsidR="00763539" w:rsidRPr="00647752">
        <w:rPr>
          <w:rFonts w:ascii="Times New Roman" w:hAnsi="Times New Roman" w:cs="Times New Roman"/>
          <w:sz w:val="22"/>
          <w:szCs w:val="22"/>
          <w:lang w:val="en-GB"/>
        </w:rPr>
        <w:t>DP</w:t>
      </w:r>
      <w:r w:rsidR="00563BA3">
        <w:rPr>
          <w:rFonts w:ascii="Times New Roman" w:hAnsi="Times New Roman" w:cs="Times New Roman"/>
          <w:sz w:val="22"/>
          <w:szCs w:val="22"/>
          <w:lang w:val="en-GB"/>
        </w:rPr>
        <w:t xml:space="preserve"> experts</w:t>
      </w:r>
      <w:r w:rsidR="000063A3">
        <w:rPr>
          <w:rFonts w:ascii="Times New Roman" w:hAnsi="Times New Roman" w:cs="Times New Roman"/>
          <w:sz w:val="22"/>
          <w:szCs w:val="22"/>
          <w:lang w:val="en-GB"/>
        </w:rPr>
        <w:t xml:space="preserve"> </w:t>
      </w:r>
      <w:r w:rsidR="00792AAB" w:rsidRPr="00647752">
        <w:rPr>
          <w:rFonts w:ascii="Times New Roman" w:hAnsi="Times New Roman" w:cs="Times New Roman"/>
          <w:sz w:val="22"/>
          <w:szCs w:val="22"/>
          <w:lang w:val="en-GB"/>
        </w:rPr>
        <w:t>have worked to train their national counterparts to ensure sustainability, particularly at the AGO and at the HJC.</w:t>
      </w:r>
      <w:r w:rsidR="00E43242" w:rsidRPr="00647752">
        <w:rPr>
          <w:rStyle w:val="FootnoteReference"/>
          <w:rFonts w:ascii="Times New Roman" w:hAnsi="Times New Roman" w:cs="Times New Roman"/>
          <w:sz w:val="22"/>
          <w:szCs w:val="22"/>
          <w:lang w:val="en-GB"/>
        </w:rPr>
        <w:footnoteReference w:id="214"/>
      </w:r>
      <w:r w:rsidRPr="00647752">
        <w:rPr>
          <w:rFonts w:ascii="Times New Roman" w:hAnsi="Times New Roman" w:cs="Times New Roman"/>
          <w:sz w:val="22"/>
          <w:szCs w:val="22"/>
          <w:lang w:val="en-GB"/>
        </w:rPr>
        <w:t xml:space="preserve">The UNDP has also helped rule of law institutions move away from </w:t>
      </w:r>
      <w:r w:rsidRPr="00563BA3">
        <w:rPr>
          <w:rFonts w:ascii="Times New Roman" w:hAnsi="Times New Roman" w:cs="Times New Roman"/>
          <w:i/>
          <w:sz w:val="22"/>
          <w:szCs w:val="22"/>
          <w:lang w:val="en-GB"/>
        </w:rPr>
        <w:t>ad hoc</w:t>
      </w:r>
      <w:r w:rsidRPr="00647752">
        <w:rPr>
          <w:rFonts w:ascii="Times New Roman" w:hAnsi="Times New Roman" w:cs="Times New Roman"/>
          <w:sz w:val="22"/>
          <w:szCs w:val="22"/>
          <w:lang w:val="en-GB"/>
        </w:rPr>
        <w:t xml:space="preserve"> tr</w:t>
      </w:r>
      <w:r w:rsidR="00563BA3">
        <w:rPr>
          <w:rFonts w:ascii="Times New Roman" w:hAnsi="Times New Roman" w:cs="Times New Roman"/>
          <w:sz w:val="22"/>
          <w:szCs w:val="22"/>
          <w:lang w:val="en-GB"/>
        </w:rPr>
        <w:t>aining to implement institutionalis</w:t>
      </w:r>
      <w:r w:rsidR="001F2285" w:rsidRPr="00647752">
        <w:rPr>
          <w:rFonts w:ascii="Times New Roman" w:hAnsi="Times New Roman" w:cs="Times New Roman"/>
          <w:sz w:val="22"/>
          <w:szCs w:val="22"/>
          <w:lang w:val="en-GB"/>
        </w:rPr>
        <w:t>ed</w:t>
      </w:r>
      <w:r w:rsidRPr="00647752">
        <w:rPr>
          <w:rFonts w:ascii="Times New Roman" w:hAnsi="Times New Roman" w:cs="Times New Roman"/>
          <w:sz w:val="22"/>
          <w:szCs w:val="22"/>
          <w:lang w:val="en-GB"/>
        </w:rPr>
        <w:t xml:space="preserve"> professional development schemes.</w:t>
      </w:r>
      <w:r w:rsidRPr="00647752">
        <w:rPr>
          <w:rStyle w:val="FootnoteReference"/>
          <w:rFonts w:ascii="Times New Roman" w:hAnsi="Times New Roman" w:cs="Times New Roman"/>
          <w:sz w:val="22"/>
          <w:szCs w:val="22"/>
          <w:lang w:val="en-GB"/>
        </w:rPr>
        <w:footnoteReference w:id="215"/>
      </w:r>
      <w:r w:rsidRPr="00647752">
        <w:rPr>
          <w:rFonts w:ascii="Times New Roman" w:hAnsi="Times New Roman" w:cs="Times New Roman"/>
          <w:sz w:val="22"/>
          <w:szCs w:val="22"/>
          <w:lang w:val="en-GB"/>
        </w:rPr>
        <w:t xml:space="preserve">In conjunction with the </w:t>
      </w:r>
      <w:r w:rsidR="00563BA3">
        <w:rPr>
          <w:rFonts w:ascii="Times New Roman" w:hAnsi="Times New Roman" w:cs="Times New Roman"/>
          <w:sz w:val="22"/>
          <w:szCs w:val="22"/>
          <w:lang w:val="en-GB"/>
        </w:rPr>
        <w:t>MO</w:t>
      </w:r>
      <w:r w:rsidR="00FE43A5" w:rsidRPr="00647752">
        <w:rPr>
          <w:rFonts w:ascii="Times New Roman" w:hAnsi="Times New Roman" w:cs="Times New Roman"/>
          <w:sz w:val="22"/>
          <w:szCs w:val="22"/>
          <w:lang w:val="en-GB"/>
        </w:rPr>
        <w:t>J</w:t>
      </w:r>
      <w:r w:rsidRPr="00647752">
        <w:rPr>
          <w:rFonts w:ascii="Times New Roman" w:hAnsi="Times New Roman" w:cs="Times New Roman"/>
          <w:sz w:val="22"/>
          <w:szCs w:val="22"/>
          <w:lang w:val="en-GB"/>
        </w:rPr>
        <w:t xml:space="preserve"> and Birzeit University, the UNDP has (and will continue to) support Ministry staff training through formal programmes and certificates</w:t>
      </w:r>
      <w:r w:rsidR="0099090D" w:rsidRPr="00647752">
        <w:rPr>
          <w:rFonts w:ascii="Times New Roman" w:hAnsi="Times New Roman" w:cs="Times New Roman"/>
          <w:sz w:val="22"/>
          <w:szCs w:val="22"/>
          <w:lang w:val="en-GB"/>
        </w:rPr>
        <w:t>.</w:t>
      </w:r>
      <w:r w:rsidR="0099090D" w:rsidRPr="00647752">
        <w:rPr>
          <w:rStyle w:val="FootnoteReference"/>
          <w:rFonts w:ascii="Times New Roman" w:hAnsi="Times New Roman" w:cs="Times New Roman"/>
          <w:sz w:val="22"/>
          <w:szCs w:val="22"/>
          <w:lang w:val="en-GB"/>
        </w:rPr>
        <w:footnoteReference w:id="216"/>
      </w:r>
    </w:p>
    <w:p w:rsidR="008405B0" w:rsidRPr="00647752" w:rsidRDefault="008405B0" w:rsidP="00FB6759">
      <w:pPr>
        <w:spacing w:after="0" w:line="240" w:lineRule="auto"/>
        <w:rPr>
          <w:rFonts w:ascii="Times New Roman" w:hAnsi="Times New Roman" w:cs="Times New Roman"/>
          <w:sz w:val="22"/>
          <w:szCs w:val="22"/>
          <w:lang w:val="en-GB"/>
        </w:rPr>
      </w:pPr>
    </w:p>
    <w:p w:rsidR="0016241C" w:rsidRDefault="0016241C" w:rsidP="0016241C">
      <w:pPr>
        <w:rPr>
          <w:rFonts w:ascii="Times New Roman" w:hAnsi="Times New Roman" w:cs="Times New Roman"/>
          <w:sz w:val="22"/>
          <w:szCs w:val="22"/>
          <w:lang w:val="en-GB"/>
        </w:rPr>
      </w:pPr>
      <w:bookmarkStart w:id="29" w:name="_Toc231801814"/>
    </w:p>
    <w:p w:rsidR="002D1EE7" w:rsidRDefault="002D1EE7" w:rsidP="0016241C">
      <w:pPr>
        <w:rPr>
          <w:rFonts w:ascii="Times New Roman" w:hAnsi="Times New Roman" w:cs="Times New Roman"/>
          <w:sz w:val="22"/>
          <w:szCs w:val="22"/>
          <w:lang w:val="en-GB"/>
        </w:rPr>
      </w:pPr>
    </w:p>
    <w:p w:rsidR="002D1EE7" w:rsidRDefault="002D1EE7">
      <w:pPr>
        <w:rPr>
          <w:rFonts w:ascii="Times New Roman" w:hAnsi="Times New Roman" w:cs="Times New Roman"/>
          <w:b/>
          <w:sz w:val="22"/>
          <w:szCs w:val="22"/>
          <w:lang w:val="en-GB"/>
        </w:rPr>
      </w:pPr>
      <w:r>
        <w:rPr>
          <w:rFonts w:ascii="Times New Roman" w:hAnsi="Times New Roman" w:cs="Times New Roman"/>
          <w:b/>
          <w:sz w:val="22"/>
          <w:szCs w:val="22"/>
          <w:lang w:val="en-GB"/>
        </w:rPr>
        <w:br w:type="page"/>
      </w:r>
    </w:p>
    <w:p w:rsidR="002D1EE7" w:rsidRDefault="002D1EE7" w:rsidP="002D1EE7">
      <w:pPr>
        <w:pStyle w:val="Heading1"/>
        <w:spacing w:after="0" w:line="240" w:lineRule="auto"/>
        <w:rPr>
          <w:rFonts w:ascii="Times New Roman" w:hAnsi="Times New Roman" w:cs="Times New Roman"/>
          <w:sz w:val="22"/>
          <w:szCs w:val="22"/>
          <w:lang w:val="en-GB"/>
        </w:rPr>
      </w:pPr>
      <w:r w:rsidRPr="008E5A68">
        <w:rPr>
          <w:rFonts w:ascii="Times New Roman" w:hAnsi="Times New Roman" w:cs="Times New Roman"/>
          <w:sz w:val="22"/>
          <w:szCs w:val="22"/>
          <w:lang w:val="en-GB"/>
        </w:rPr>
        <w:lastRenderedPageBreak/>
        <w:t>Conclusions and</w:t>
      </w:r>
      <w:r w:rsidR="000063A3">
        <w:rPr>
          <w:rFonts w:ascii="Times New Roman" w:hAnsi="Times New Roman" w:cs="Times New Roman"/>
          <w:sz w:val="22"/>
          <w:szCs w:val="22"/>
          <w:lang w:val="en-GB"/>
        </w:rPr>
        <w:t xml:space="preserve"> </w:t>
      </w:r>
      <w:r w:rsidRPr="008E5A68">
        <w:rPr>
          <w:rFonts w:ascii="Times New Roman" w:hAnsi="Times New Roman" w:cs="Times New Roman"/>
          <w:sz w:val="22"/>
          <w:szCs w:val="22"/>
          <w:lang w:val="en-GB"/>
        </w:rPr>
        <w:t>Recommendations</w:t>
      </w:r>
    </w:p>
    <w:p w:rsidR="002D1EE7" w:rsidRPr="004F767E" w:rsidRDefault="002D1EE7" w:rsidP="002D1EE7">
      <w:pPr>
        <w:spacing w:after="0" w:line="240" w:lineRule="auto"/>
        <w:rPr>
          <w:lang w:val="en-GB"/>
        </w:rPr>
      </w:pPr>
    </w:p>
    <w:p w:rsidR="002D1EE7" w:rsidRPr="00647752" w:rsidRDefault="002D1EE7" w:rsidP="002D1EE7">
      <w:pPr>
        <w:pBdr>
          <w:top w:val="single" w:sz="4" w:space="1" w:color="auto"/>
          <w:left w:val="single" w:sz="4" w:space="4" w:color="auto"/>
          <w:bottom w:val="single" w:sz="4" w:space="1" w:color="auto"/>
          <w:right w:val="single" w:sz="4" w:space="1" w:color="auto"/>
        </w:pBdr>
        <w:shd w:val="clear" w:color="auto" w:fill="D9D9D9"/>
        <w:spacing w:after="0" w:line="240" w:lineRule="auto"/>
        <w:jc w:val="both"/>
        <w:rPr>
          <w:rFonts w:ascii="Times New Roman" w:hAnsi="Times New Roman" w:cs="Times New Roman"/>
          <w:sz w:val="22"/>
          <w:szCs w:val="22"/>
          <w:lang w:val="en-GB"/>
        </w:rPr>
      </w:pPr>
      <w:r>
        <w:rPr>
          <w:rFonts w:ascii="Times New Roman" w:hAnsi="Times New Roman" w:cs="Times New Roman"/>
          <w:b/>
          <w:sz w:val="22"/>
          <w:szCs w:val="22"/>
          <w:lang w:val="en-GB"/>
        </w:rPr>
        <w:t xml:space="preserve">Conclusion 1: </w:t>
      </w:r>
      <w:r w:rsidRPr="00647752">
        <w:rPr>
          <w:rFonts w:ascii="Times New Roman" w:hAnsi="Times New Roman" w:cs="Times New Roman"/>
          <w:sz w:val="22"/>
          <w:szCs w:val="22"/>
          <w:lang w:val="en-GB"/>
        </w:rPr>
        <w:t>Ov</w:t>
      </w:r>
      <w:r>
        <w:rPr>
          <w:rFonts w:ascii="Times New Roman" w:hAnsi="Times New Roman" w:cs="Times New Roman"/>
          <w:sz w:val="22"/>
          <w:szCs w:val="22"/>
          <w:lang w:val="en-GB"/>
        </w:rPr>
        <w:t>erall, the UNDP Rule of Law &amp;</w:t>
      </w:r>
      <w:r w:rsidRPr="00647752">
        <w:rPr>
          <w:rFonts w:ascii="Times New Roman" w:hAnsi="Times New Roman" w:cs="Times New Roman"/>
          <w:sz w:val="22"/>
          <w:szCs w:val="22"/>
          <w:lang w:val="en-GB"/>
        </w:rPr>
        <w:t xml:space="preserve">Access to Justice Programme </w:t>
      </w:r>
      <w:r>
        <w:rPr>
          <w:rFonts w:ascii="Times New Roman" w:hAnsi="Times New Roman" w:cs="Times New Roman"/>
          <w:sz w:val="22"/>
          <w:szCs w:val="22"/>
          <w:lang w:val="en-GB"/>
        </w:rPr>
        <w:t>in the oPt</w:t>
      </w:r>
      <w:r w:rsidR="00E8775C">
        <w:rPr>
          <w:rFonts w:ascii="Times New Roman" w:hAnsi="Times New Roman" w:cs="Times New Roman"/>
          <w:sz w:val="22"/>
          <w:szCs w:val="22"/>
          <w:lang w:val="en-GB"/>
        </w:rPr>
        <w:t xml:space="preserve"> </w:t>
      </w:r>
      <w:r w:rsidRPr="00647752">
        <w:rPr>
          <w:rFonts w:ascii="Times New Roman" w:hAnsi="Times New Roman" w:cs="Times New Roman"/>
          <w:sz w:val="22"/>
          <w:szCs w:val="22"/>
          <w:lang w:val="en-GB"/>
        </w:rPr>
        <w:t>achieved a high level of im</w:t>
      </w:r>
      <w:r>
        <w:rPr>
          <w:rFonts w:ascii="Times New Roman" w:hAnsi="Times New Roman" w:cs="Times New Roman"/>
          <w:sz w:val="22"/>
          <w:szCs w:val="22"/>
          <w:lang w:val="en-GB"/>
        </w:rPr>
        <w:t xml:space="preserve">pact and outcome-level change </w:t>
      </w:r>
      <w:r w:rsidRPr="00647752">
        <w:rPr>
          <w:rFonts w:ascii="Times New Roman" w:hAnsi="Times New Roman" w:cs="Times New Roman"/>
          <w:sz w:val="22"/>
          <w:szCs w:val="22"/>
          <w:lang w:val="en-GB"/>
        </w:rPr>
        <w:t>within the context of extremely challenging politica</w:t>
      </w:r>
      <w:r>
        <w:rPr>
          <w:rFonts w:ascii="Times New Roman" w:hAnsi="Times New Roman" w:cs="Times New Roman"/>
          <w:sz w:val="22"/>
          <w:szCs w:val="22"/>
          <w:lang w:val="en-GB"/>
        </w:rPr>
        <w:t xml:space="preserve">l and security realities </w:t>
      </w:r>
      <w:r w:rsidRPr="00647752">
        <w:rPr>
          <w:rFonts w:ascii="Times New Roman" w:hAnsi="Times New Roman" w:cs="Times New Roman"/>
          <w:sz w:val="22"/>
          <w:szCs w:val="22"/>
          <w:lang w:val="en-GB"/>
        </w:rPr>
        <w:t>and according to it</w:t>
      </w:r>
      <w:r>
        <w:rPr>
          <w:rFonts w:ascii="Times New Roman" w:hAnsi="Times New Roman" w:cs="Times New Roman"/>
          <w:sz w:val="22"/>
          <w:szCs w:val="22"/>
          <w:lang w:val="en-GB"/>
        </w:rPr>
        <w:t xml:space="preserve">s funding and resource base. </w:t>
      </w:r>
      <w:r w:rsidRPr="00647752">
        <w:rPr>
          <w:rFonts w:ascii="Times New Roman" w:hAnsi="Times New Roman" w:cs="Times New Roman"/>
          <w:sz w:val="22"/>
          <w:szCs w:val="22"/>
          <w:lang w:val="en-GB"/>
        </w:rPr>
        <w:t xml:space="preserve">Especially critical were UNDP’s support </w:t>
      </w:r>
      <w:r>
        <w:rPr>
          <w:rFonts w:ascii="Times New Roman" w:hAnsi="Times New Roman" w:cs="Times New Roman"/>
          <w:sz w:val="22"/>
          <w:szCs w:val="22"/>
          <w:lang w:val="en-GB"/>
        </w:rPr>
        <w:t>to women and children via grass</w:t>
      </w:r>
      <w:r w:rsidRPr="00647752">
        <w:rPr>
          <w:rFonts w:ascii="Times New Roman" w:hAnsi="Times New Roman" w:cs="Times New Roman"/>
          <w:sz w:val="22"/>
          <w:szCs w:val="22"/>
          <w:lang w:val="en-GB"/>
        </w:rPr>
        <w:t xml:space="preserve">roots legal aid initiatives in </w:t>
      </w:r>
      <w:r>
        <w:rPr>
          <w:rFonts w:ascii="Times New Roman" w:hAnsi="Times New Roman" w:cs="Times New Roman"/>
          <w:sz w:val="22"/>
          <w:szCs w:val="22"/>
          <w:lang w:val="en-GB"/>
        </w:rPr>
        <w:t xml:space="preserve">both </w:t>
      </w:r>
      <w:r w:rsidRPr="00647752">
        <w:rPr>
          <w:rFonts w:ascii="Times New Roman" w:hAnsi="Times New Roman" w:cs="Times New Roman"/>
          <w:sz w:val="22"/>
          <w:szCs w:val="22"/>
          <w:lang w:val="en-GB"/>
        </w:rPr>
        <w:t>the West Bank and Gaza, as well as its support to the PNA justice institutions, lawyers and the PBA.</w:t>
      </w:r>
    </w:p>
    <w:p w:rsidR="002D1EE7" w:rsidRPr="00647752" w:rsidRDefault="002D1EE7" w:rsidP="002D1EE7">
      <w:pPr>
        <w:pBdr>
          <w:top w:val="single" w:sz="4" w:space="1" w:color="auto"/>
          <w:left w:val="single" w:sz="4" w:space="4" w:color="auto"/>
          <w:bottom w:val="single" w:sz="4" w:space="1" w:color="auto"/>
          <w:right w:val="single" w:sz="4" w:space="1" w:color="auto"/>
        </w:pBdr>
        <w:shd w:val="clear" w:color="auto" w:fill="D9D9D9"/>
        <w:spacing w:after="0" w:line="240" w:lineRule="auto"/>
        <w:jc w:val="both"/>
        <w:rPr>
          <w:rFonts w:ascii="Times New Roman" w:hAnsi="Times New Roman" w:cs="Times New Roman"/>
          <w:sz w:val="22"/>
          <w:szCs w:val="22"/>
          <w:lang w:val="en-GB"/>
        </w:rPr>
      </w:pPr>
      <w:r w:rsidRPr="00647752">
        <w:rPr>
          <w:rFonts w:ascii="Times New Roman" w:hAnsi="Times New Roman" w:cs="Times New Roman"/>
          <w:b/>
          <w:sz w:val="22"/>
          <w:szCs w:val="22"/>
          <w:lang w:val="en-GB"/>
        </w:rPr>
        <w:t>Recommendation 1</w:t>
      </w:r>
      <w:r>
        <w:rPr>
          <w:rFonts w:ascii="Times New Roman" w:hAnsi="Times New Roman" w:cs="Times New Roman"/>
          <w:b/>
          <w:sz w:val="22"/>
          <w:szCs w:val="22"/>
          <w:lang w:val="en-GB"/>
        </w:rPr>
        <w:t xml:space="preserve">: </w:t>
      </w:r>
      <w:r w:rsidRPr="00647752">
        <w:rPr>
          <w:rFonts w:ascii="Times New Roman" w:hAnsi="Times New Roman" w:cs="Times New Roman"/>
          <w:sz w:val="22"/>
          <w:szCs w:val="22"/>
          <w:lang w:val="en-GB"/>
        </w:rPr>
        <w:t>Overall, UNDP’s ach</w:t>
      </w:r>
      <w:r>
        <w:rPr>
          <w:rFonts w:ascii="Times New Roman" w:hAnsi="Times New Roman" w:cs="Times New Roman"/>
          <w:sz w:val="22"/>
          <w:szCs w:val="22"/>
          <w:lang w:val="en-GB"/>
        </w:rPr>
        <w:t xml:space="preserve">ievements and performance </w:t>
      </w:r>
      <w:r w:rsidRPr="00647752">
        <w:rPr>
          <w:rFonts w:ascii="Times New Roman" w:hAnsi="Times New Roman" w:cs="Times New Roman"/>
          <w:sz w:val="22"/>
          <w:szCs w:val="22"/>
          <w:lang w:val="en-GB"/>
        </w:rPr>
        <w:t>mitigate in favo</w:t>
      </w:r>
      <w:r>
        <w:rPr>
          <w:rFonts w:ascii="Times New Roman" w:hAnsi="Times New Roman" w:cs="Times New Roman"/>
          <w:sz w:val="22"/>
          <w:szCs w:val="22"/>
          <w:lang w:val="en-GB"/>
        </w:rPr>
        <w:t>u</w:t>
      </w:r>
      <w:r w:rsidRPr="00647752">
        <w:rPr>
          <w:rFonts w:ascii="Times New Roman" w:hAnsi="Times New Roman" w:cs="Times New Roman"/>
          <w:sz w:val="22"/>
          <w:szCs w:val="22"/>
          <w:lang w:val="en-GB"/>
        </w:rPr>
        <w:t xml:space="preserve">r of continued funding and a subsequent phase of the programme. </w:t>
      </w:r>
    </w:p>
    <w:p w:rsidR="002D1EE7" w:rsidRPr="00647752" w:rsidRDefault="002D1EE7" w:rsidP="002D1EE7">
      <w:pPr>
        <w:spacing w:after="0" w:line="240" w:lineRule="auto"/>
        <w:rPr>
          <w:rFonts w:ascii="Times New Roman" w:hAnsi="Times New Roman" w:cs="Times New Roman"/>
          <w:sz w:val="24"/>
          <w:szCs w:val="24"/>
          <w:lang w:val="en-GB"/>
        </w:rPr>
      </w:pPr>
    </w:p>
    <w:p w:rsidR="002D1EE7" w:rsidRPr="00563BA3" w:rsidRDefault="002D1EE7" w:rsidP="002D1EE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sz w:val="22"/>
          <w:szCs w:val="22"/>
          <w:lang w:val="en-GB"/>
        </w:rPr>
      </w:pPr>
      <w:r w:rsidRPr="00563BA3">
        <w:rPr>
          <w:rFonts w:ascii="Times New Roman" w:hAnsi="Times New Roman" w:cs="Times New Roman"/>
          <w:b/>
          <w:sz w:val="22"/>
          <w:szCs w:val="22"/>
          <w:lang w:val="en-GB"/>
        </w:rPr>
        <w:t xml:space="preserve">Conclusion 2: </w:t>
      </w:r>
      <w:r w:rsidRPr="00563BA3">
        <w:rPr>
          <w:rFonts w:ascii="Times New Roman" w:hAnsi="Times New Roman" w:cs="Times New Roman"/>
          <w:sz w:val="22"/>
          <w:szCs w:val="22"/>
          <w:lang w:val="en-GB"/>
        </w:rPr>
        <w:t>UND</w:t>
      </w:r>
      <w:r>
        <w:rPr>
          <w:rFonts w:ascii="Times New Roman" w:hAnsi="Times New Roman" w:cs="Times New Roman"/>
          <w:sz w:val="22"/>
          <w:szCs w:val="22"/>
          <w:lang w:val="en-GB"/>
        </w:rPr>
        <w:t xml:space="preserve">P instilled a high level of national </w:t>
      </w:r>
      <w:r w:rsidRPr="00563BA3">
        <w:rPr>
          <w:rFonts w:ascii="Times New Roman" w:hAnsi="Times New Roman" w:cs="Times New Roman"/>
          <w:sz w:val="22"/>
          <w:szCs w:val="22"/>
          <w:lang w:val="en-GB"/>
        </w:rPr>
        <w:t xml:space="preserve">ownership over justice sector development, but could possibly have developed a more coherent vision of what </w:t>
      </w:r>
      <w:r w:rsidRPr="00563BA3">
        <w:rPr>
          <w:rFonts w:ascii="Times New Roman" w:hAnsi="Times New Roman" w:cs="Times New Roman"/>
          <w:i/>
          <w:sz w:val="22"/>
          <w:szCs w:val="22"/>
          <w:lang w:val="en-GB"/>
        </w:rPr>
        <w:t>UNDP itself</w:t>
      </w:r>
      <w:r w:rsidRPr="00563BA3">
        <w:rPr>
          <w:rFonts w:ascii="Times New Roman" w:hAnsi="Times New Roman" w:cs="Times New Roman"/>
          <w:sz w:val="22"/>
          <w:szCs w:val="22"/>
          <w:lang w:val="en-GB"/>
        </w:rPr>
        <w:t xml:space="preserve"> believed should be the appropriate allocation of powers between the three judicial institutions of justice and advocated for this position with the justice institutions. At the moment, justice sector development continues to be challenged by political gridlo</w:t>
      </w:r>
      <w:r>
        <w:rPr>
          <w:rFonts w:ascii="Times New Roman" w:hAnsi="Times New Roman" w:cs="Times New Roman"/>
          <w:sz w:val="22"/>
          <w:szCs w:val="22"/>
          <w:lang w:val="en-GB"/>
        </w:rPr>
        <w:t xml:space="preserve">ck among the three institutions - </w:t>
      </w:r>
      <w:r w:rsidRPr="00563BA3">
        <w:rPr>
          <w:rFonts w:ascii="Times New Roman" w:hAnsi="Times New Roman" w:cs="Times New Roman"/>
          <w:sz w:val="22"/>
          <w:szCs w:val="22"/>
          <w:lang w:val="en-GB"/>
        </w:rPr>
        <w:t>especially with regar</w:t>
      </w:r>
      <w:r>
        <w:rPr>
          <w:rFonts w:ascii="Times New Roman" w:hAnsi="Times New Roman" w:cs="Times New Roman"/>
          <w:sz w:val="22"/>
          <w:szCs w:val="22"/>
          <w:lang w:val="en-GB"/>
        </w:rPr>
        <w:t>d to whether the MO</w:t>
      </w:r>
      <w:r w:rsidRPr="00563BA3">
        <w:rPr>
          <w:rFonts w:ascii="Times New Roman" w:hAnsi="Times New Roman" w:cs="Times New Roman"/>
          <w:sz w:val="22"/>
          <w:szCs w:val="22"/>
          <w:lang w:val="en-GB"/>
        </w:rPr>
        <w:t xml:space="preserve">J or </w:t>
      </w:r>
      <w:r>
        <w:rPr>
          <w:rFonts w:ascii="Times New Roman" w:hAnsi="Times New Roman" w:cs="Times New Roman"/>
          <w:sz w:val="22"/>
          <w:szCs w:val="22"/>
          <w:lang w:val="en-GB"/>
        </w:rPr>
        <w:t xml:space="preserve">the </w:t>
      </w:r>
      <w:r w:rsidRPr="00563BA3">
        <w:rPr>
          <w:rFonts w:ascii="Times New Roman" w:hAnsi="Times New Roman" w:cs="Times New Roman"/>
          <w:sz w:val="22"/>
          <w:szCs w:val="22"/>
          <w:lang w:val="en-GB"/>
        </w:rPr>
        <w:t>HJC has responsibility fo</w:t>
      </w:r>
      <w:r>
        <w:rPr>
          <w:rFonts w:ascii="Times New Roman" w:hAnsi="Times New Roman" w:cs="Times New Roman"/>
          <w:sz w:val="22"/>
          <w:szCs w:val="22"/>
          <w:lang w:val="en-GB"/>
        </w:rPr>
        <w:t>r the AGO</w:t>
      </w:r>
      <w:r w:rsidRPr="00563BA3">
        <w:rPr>
          <w:rFonts w:ascii="Times New Roman" w:hAnsi="Times New Roman" w:cs="Times New Roman"/>
          <w:sz w:val="22"/>
          <w:szCs w:val="22"/>
          <w:lang w:val="en-GB"/>
        </w:rPr>
        <w:t xml:space="preserve">. </w:t>
      </w:r>
      <w:r>
        <w:rPr>
          <w:rFonts w:ascii="Times New Roman" w:hAnsi="Times New Roman" w:cs="Times New Roman"/>
          <w:sz w:val="22"/>
          <w:szCs w:val="22"/>
          <w:lang w:val="en-GB"/>
        </w:rPr>
        <w:t>UNDP and its d</w:t>
      </w:r>
      <w:r w:rsidRPr="00563BA3">
        <w:rPr>
          <w:rFonts w:ascii="Times New Roman" w:hAnsi="Times New Roman" w:cs="Times New Roman"/>
          <w:sz w:val="22"/>
          <w:szCs w:val="22"/>
          <w:lang w:val="en-GB"/>
        </w:rPr>
        <w:t>onors could possibly ha</w:t>
      </w:r>
      <w:r>
        <w:rPr>
          <w:rFonts w:ascii="Times New Roman" w:hAnsi="Times New Roman" w:cs="Times New Roman"/>
          <w:sz w:val="22"/>
          <w:szCs w:val="22"/>
          <w:lang w:val="en-GB"/>
        </w:rPr>
        <w:t>ve done a better job of harmonis</w:t>
      </w:r>
      <w:r w:rsidRPr="00563BA3">
        <w:rPr>
          <w:rFonts w:ascii="Times New Roman" w:hAnsi="Times New Roman" w:cs="Times New Roman"/>
          <w:sz w:val="22"/>
          <w:szCs w:val="22"/>
          <w:lang w:val="en-GB"/>
        </w:rPr>
        <w:t>ing their positions on this issue.</w:t>
      </w:r>
    </w:p>
    <w:p w:rsidR="002D1EE7" w:rsidRPr="00647752" w:rsidRDefault="002D1EE7" w:rsidP="002D1EE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sz w:val="22"/>
          <w:szCs w:val="22"/>
          <w:lang w:val="en-GB"/>
        </w:rPr>
      </w:pPr>
      <w:r w:rsidRPr="00563BA3">
        <w:rPr>
          <w:rFonts w:ascii="Times New Roman" w:hAnsi="Times New Roman" w:cs="Times New Roman"/>
          <w:b/>
          <w:sz w:val="22"/>
          <w:szCs w:val="22"/>
          <w:lang w:val="en-GB"/>
        </w:rPr>
        <w:t>Recommendation 2</w:t>
      </w:r>
      <w:r>
        <w:rPr>
          <w:rFonts w:ascii="Times New Roman" w:hAnsi="Times New Roman" w:cs="Times New Roman"/>
          <w:b/>
          <w:sz w:val="22"/>
          <w:szCs w:val="22"/>
          <w:lang w:val="en-GB"/>
        </w:rPr>
        <w:t>:</w:t>
      </w:r>
      <w:r>
        <w:rPr>
          <w:rFonts w:ascii="Times New Roman" w:hAnsi="Times New Roman" w:cs="Times New Roman"/>
          <w:sz w:val="22"/>
          <w:szCs w:val="22"/>
          <w:lang w:val="en-GB"/>
        </w:rPr>
        <w:t xml:space="preserve"> UNDP should fulfil</w:t>
      </w:r>
      <w:r w:rsidRPr="00647752">
        <w:rPr>
          <w:rFonts w:ascii="Times New Roman" w:hAnsi="Times New Roman" w:cs="Times New Roman"/>
          <w:sz w:val="22"/>
          <w:szCs w:val="22"/>
          <w:lang w:val="en-GB"/>
        </w:rPr>
        <w:t xml:space="preserve"> a leadership role and put the hard issues such as separ</w:t>
      </w:r>
      <w:r>
        <w:rPr>
          <w:rFonts w:ascii="Times New Roman" w:hAnsi="Times New Roman" w:cs="Times New Roman"/>
          <w:sz w:val="22"/>
          <w:szCs w:val="22"/>
          <w:lang w:val="en-GB"/>
        </w:rPr>
        <w:t xml:space="preserve">ation of powers on the table. </w:t>
      </w:r>
      <w:r w:rsidRPr="00647752">
        <w:rPr>
          <w:rFonts w:ascii="Times New Roman" w:hAnsi="Times New Roman" w:cs="Times New Roman"/>
          <w:sz w:val="22"/>
          <w:szCs w:val="22"/>
          <w:lang w:val="en-GB"/>
        </w:rPr>
        <w:t>An attempt should be made to reach a consensus among the donors as to what is the responsible approach to the position of the AGO within the triad of justice institutions and bring technical expertis</w:t>
      </w:r>
      <w:r>
        <w:rPr>
          <w:rFonts w:ascii="Times New Roman" w:hAnsi="Times New Roman" w:cs="Times New Roman"/>
          <w:sz w:val="22"/>
          <w:szCs w:val="22"/>
          <w:lang w:val="en-GB"/>
        </w:rPr>
        <w:t xml:space="preserve">e to this on-going debate. </w:t>
      </w:r>
      <w:r w:rsidRPr="00647752">
        <w:rPr>
          <w:rFonts w:ascii="Times New Roman" w:hAnsi="Times New Roman" w:cs="Times New Roman"/>
          <w:sz w:val="22"/>
          <w:szCs w:val="22"/>
          <w:lang w:val="en-GB"/>
        </w:rPr>
        <w:t>Donors should reach a common approach and engage at the political level if necessary in an attempt to obtain resolution of this issue.</w:t>
      </w:r>
    </w:p>
    <w:p w:rsidR="002D1EE7" w:rsidRPr="00647752" w:rsidRDefault="002D1EE7" w:rsidP="002D1EE7">
      <w:pPr>
        <w:spacing w:after="0" w:line="240" w:lineRule="auto"/>
        <w:contextualSpacing/>
        <w:jc w:val="both"/>
        <w:rPr>
          <w:rFonts w:ascii="Times New Roman" w:hAnsi="Times New Roman" w:cs="Times New Roman"/>
          <w:sz w:val="22"/>
          <w:szCs w:val="22"/>
          <w:lang w:val="en-GB"/>
        </w:rPr>
      </w:pPr>
    </w:p>
    <w:p w:rsidR="002D1EE7" w:rsidRPr="007B54C4" w:rsidRDefault="002D1EE7" w:rsidP="002D1EE7">
      <w:p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Times New Roman" w:hAnsi="Times New Roman" w:cs="Times New Roman"/>
          <w:sz w:val="22"/>
          <w:szCs w:val="22"/>
          <w:lang w:val="en-GB"/>
        </w:rPr>
      </w:pPr>
      <w:r w:rsidRPr="007B54C4">
        <w:rPr>
          <w:rFonts w:ascii="Times New Roman" w:hAnsi="Times New Roman" w:cs="Times New Roman"/>
          <w:b/>
          <w:sz w:val="22"/>
          <w:szCs w:val="22"/>
          <w:lang w:val="en-GB"/>
        </w:rPr>
        <w:t>Conclusion 3</w:t>
      </w:r>
      <w:r>
        <w:rPr>
          <w:rFonts w:ascii="Times New Roman" w:hAnsi="Times New Roman" w:cs="Times New Roman"/>
          <w:sz w:val="22"/>
          <w:szCs w:val="22"/>
          <w:lang w:val="en-GB"/>
        </w:rPr>
        <w:t>:</w:t>
      </w:r>
      <w:r w:rsidRPr="007B54C4">
        <w:rPr>
          <w:rFonts w:ascii="Times New Roman" w:hAnsi="Times New Roman" w:cs="Times New Roman"/>
          <w:sz w:val="22"/>
          <w:szCs w:val="22"/>
          <w:lang w:val="en-GB"/>
        </w:rPr>
        <w:t xml:space="preserve"> UNDP capacitated the </w:t>
      </w:r>
      <w:r>
        <w:rPr>
          <w:rFonts w:ascii="Times New Roman" w:hAnsi="Times New Roman" w:cs="Times New Roman"/>
          <w:sz w:val="22"/>
          <w:szCs w:val="22"/>
          <w:lang w:val="en-GB"/>
        </w:rPr>
        <w:t>MO</w:t>
      </w:r>
      <w:r w:rsidRPr="007B54C4">
        <w:rPr>
          <w:rFonts w:ascii="Times New Roman" w:hAnsi="Times New Roman" w:cs="Times New Roman"/>
          <w:sz w:val="22"/>
          <w:szCs w:val="22"/>
          <w:lang w:val="en-GB"/>
        </w:rPr>
        <w:t>J at a crucial time in its development via the Quick Impact and</w:t>
      </w:r>
      <w:r>
        <w:rPr>
          <w:rFonts w:ascii="Times New Roman" w:hAnsi="Times New Roman" w:cs="Times New Roman"/>
          <w:sz w:val="22"/>
          <w:szCs w:val="22"/>
          <w:lang w:val="en-GB"/>
        </w:rPr>
        <w:t>, subsequently, the</w:t>
      </w:r>
      <w:r w:rsidRPr="007B54C4">
        <w:rPr>
          <w:rFonts w:ascii="Times New Roman" w:hAnsi="Times New Roman" w:cs="Times New Roman"/>
          <w:sz w:val="22"/>
          <w:szCs w:val="22"/>
          <w:lang w:val="en-GB"/>
        </w:rPr>
        <w:t xml:space="preserve"> Stab</w:t>
      </w:r>
      <w:r>
        <w:rPr>
          <w:rFonts w:ascii="Times New Roman" w:hAnsi="Times New Roman" w:cs="Times New Roman"/>
          <w:sz w:val="22"/>
          <w:szCs w:val="22"/>
          <w:lang w:val="en-GB"/>
        </w:rPr>
        <w:t xml:space="preserve">ilisation Fund. </w:t>
      </w:r>
      <w:r w:rsidRPr="007B54C4">
        <w:rPr>
          <w:rFonts w:ascii="Times New Roman" w:hAnsi="Times New Roman" w:cs="Times New Roman"/>
          <w:sz w:val="22"/>
          <w:szCs w:val="22"/>
          <w:lang w:val="en-GB"/>
        </w:rPr>
        <w:t>This has significantly str</w:t>
      </w:r>
      <w:r>
        <w:rPr>
          <w:rFonts w:ascii="Times New Roman" w:hAnsi="Times New Roman" w:cs="Times New Roman"/>
          <w:sz w:val="22"/>
          <w:szCs w:val="22"/>
          <w:lang w:val="en-GB"/>
        </w:rPr>
        <w:t>engthened the capacity of the MO</w:t>
      </w:r>
      <w:r w:rsidRPr="007B54C4">
        <w:rPr>
          <w:rFonts w:ascii="Times New Roman" w:hAnsi="Times New Roman" w:cs="Times New Roman"/>
          <w:sz w:val="22"/>
          <w:szCs w:val="22"/>
          <w:lang w:val="en-GB"/>
        </w:rPr>
        <w:t>J as evidenced</w:t>
      </w:r>
      <w:r>
        <w:rPr>
          <w:rFonts w:ascii="Times New Roman" w:hAnsi="Times New Roman" w:cs="Times New Roman"/>
          <w:sz w:val="22"/>
          <w:szCs w:val="22"/>
          <w:lang w:val="en-GB"/>
        </w:rPr>
        <w:t xml:space="preserve"> by the tasks carried-out by staff that are on Stabilis</w:t>
      </w:r>
      <w:r w:rsidRPr="007B54C4">
        <w:rPr>
          <w:rFonts w:ascii="Times New Roman" w:hAnsi="Times New Roman" w:cs="Times New Roman"/>
          <w:sz w:val="22"/>
          <w:szCs w:val="22"/>
          <w:lang w:val="en-GB"/>
        </w:rPr>
        <w:t>ation Fund con</w:t>
      </w:r>
      <w:r>
        <w:rPr>
          <w:rFonts w:ascii="Times New Roman" w:hAnsi="Times New Roman" w:cs="Times New Roman"/>
          <w:sz w:val="22"/>
          <w:szCs w:val="22"/>
          <w:lang w:val="en-GB"/>
        </w:rPr>
        <w:t xml:space="preserve">tracts. </w:t>
      </w:r>
      <w:r w:rsidRPr="007B54C4">
        <w:rPr>
          <w:rFonts w:ascii="Times New Roman" w:hAnsi="Times New Roman" w:cs="Times New Roman"/>
          <w:sz w:val="22"/>
          <w:szCs w:val="22"/>
          <w:lang w:val="en-GB"/>
        </w:rPr>
        <w:t>UNDP has not engaged with the formal justice institutions in Gaza due to the politica</w:t>
      </w:r>
      <w:r>
        <w:rPr>
          <w:rFonts w:ascii="Times New Roman" w:hAnsi="Times New Roman" w:cs="Times New Roman"/>
          <w:sz w:val="22"/>
          <w:szCs w:val="22"/>
          <w:lang w:val="en-GB"/>
        </w:rPr>
        <w:t>l situation and the “no-contact</w:t>
      </w:r>
      <w:r w:rsidRPr="007B54C4">
        <w:rPr>
          <w:rFonts w:ascii="Times New Roman" w:hAnsi="Times New Roman" w:cs="Times New Roman"/>
          <w:sz w:val="22"/>
          <w:szCs w:val="22"/>
          <w:lang w:val="en-GB"/>
        </w:rPr>
        <w:t>” policy regarding Hamas.</w:t>
      </w:r>
      <w:r>
        <w:rPr>
          <w:rFonts w:ascii="Times New Roman" w:hAnsi="Times New Roman" w:cs="Times New Roman"/>
          <w:sz w:val="22"/>
          <w:szCs w:val="22"/>
          <w:lang w:val="en-GB"/>
        </w:rPr>
        <w:t xml:space="preserve"> UNDP is bound by the Quartet p</w:t>
      </w:r>
      <w:r w:rsidRPr="007B54C4">
        <w:rPr>
          <w:rFonts w:ascii="Times New Roman" w:hAnsi="Times New Roman" w:cs="Times New Roman"/>
          <w:sz w:val="22"/>
          <w:szCs w:val="22"/>
          <w:lang w:val="en-GB"/>
        </w:rPr>
        <w:t>rinciples that will likely continue to place certain constraints upon its engagement with th</w:t>
      </w:r>
      <w:r>
        <w:rPr>
          <w:rFonts w:ascii="Times New Roman" w:hAnsi="Times New Roman" w:cs="Times New Roman"/>
          <w:sz w:val="22"/>
          <w:szCs w:val="22"/>
          <w:lang w:val="en-GB"/>
        </w:rPr>
        <w:t>e formal justice sector in Gaza.</w:t>
      </w:r>
    </w:p>
    <w:p w:rsidR="002D1EE7" w:rsidRPr="00647752" w:rsidRDefault="002D1EE7" w:rsidP="002D1EE7">
      <w:p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Times New Roman" w:hAnsi="Times New Roman" w:cs="Times New Roman"/>
          <w:sz w:val="22"/>
          <w:szCs w:val="22"/>
          <w:lang w:val="en-GB"/>
        </w:rPr>
      </w:pPr>
      <w:r w:rsidRPr="007B54C4">
        <w:rPr>
          <w:rFonts w:ascii="Times New Roman" w:hAnsi="Times New Roman" w:cs="Times New Roman"/>
          <w:b/>
          <w:sz w:val="22"/>
          <w:szCs w:val="22"/>
          <w:lang w:val="en-GB"/>
        </w:rPr>
        <w:t>Recommendation 3</w:t>
      </w:r>
      <w:r>
        <w:rPr>
          <w:rFonts w:ascii="Times New Roman" w:hAnsi="Times New Roman" w:cs="Times New Roman"/>
          <w:b/>
          <w:sz w:val="22"/>
          <w:szCs w:val="22"/>
          <w:lang w:val="en-GB"/>
        </w:rPr>
        <w:t>:</w:t>
      </w:r>
      <w:r w:rsidRPr="00647752">
        <w:rPr>
          <w:rFonts w:ascii="Times New Roman" w:hAnsi="Times New Roman" w:cs="Times New Roman"/>
          <w:sz w:val="22"/>
          <w:szCs w:val="22"/>
          <w:lang w:val="en-GB"/>
        </w:rPr>
        <w:t>UNDP should ad</w:t>
      </w:r>
      <w:r>
        <w:rPr>
          <w:rFonts w:ascii="Times New Roman" w:hAnsi="Times New Roman" w:cs="Times New Roman"/>
          <w:sz w:val="22"/>
          <w:szCs w:val="22"/>
          <w:lang w:val="en-GB"/>
        </w:rPr>
        <w:t xml:space="preserve">vocate with the PNA </w:t>
      </w:r>
      <w:r w:rsidRPr="00647752">
        <w:rPr>
          <w:rFonts w:ascii="Times New Roman" w:hAnsi="Times New Roman" w:cs="Times New Roman"/>
          <w:sz w:val="22"/>
          <w:szCs w:val="22"/>
          <w:lang w:val="en-GB"/>
        </w:rPr>
        <w:t>to transition ad</w:t>
      </w:r>
      <w:r>
        <w:rPr>
          <w:rFonts w:ascii="Times New Roman" w:hAnsi="Times New Roman" w:cs="Times New Roman"/>
          <w:sz w:val="22"/>
          <w:szCs w:val="22"/>
          <w:lang w:val="en-GB"/>
        </w:rPr>
        <w:t xml:space="preserve">ditional numbers of the Stabilisation Fund posts to regular </w:t>
      </w:r>
      <w:r w:rsidRPr="00647752">
        <w:rPr>
          <w:rFonts w:ascii="Times New Roman" w:hAnsi="Times New Roman" w:cs="Times New Roman"/>
          <w:sz w:val="22"/>
          <w:szCs w:val="22"/>
          <w:lang w:val="en-GB"/>
        </w:rPr>
        <w:t>civil service contracts and procure a commitment from the</w:t>
      </w:r>
      <w:r>
        <w:rPr>
          <w:rFonts w:ascii="Times New Roman" w:hAnsi="Times New Roman" w:cs="Times New Roman"/>
          <w:sz w:val="22"/>
          <w:szCs w:val="22"/>
          <w:lang w:val="en-GB"/>
        </w:rPr>
        <w:t xml:space="preserve"> PNA to fund these</w:t>
      </w:r>
      <w:r w:rsidRPr="00647752">
        <w:rPr>
          <w:rFonts w:ascii="Times New Roman" w:hAnsi="Times New Roman" w:cs="Times New Roman"/>
          <w:sz w:val="22"/>
          <w:szCs w:val="22"/>
          <w:lang w:val="en-GB"/>
        </w:rPr>
        <w:t xml:space="preserve"> pos</w:t>
      </w:r>
      <w:r>
        <w:rPr>
          <w:rFonts w:ascii="Times New Roman" w:hAnsi="Times New Roman" w:cs="Times New Roman"/>
          <w:sz w:val="22"/>
          <w:szCs w:val="22"/>
          <w:lang w:val="en-GB"/>
        </w:rPr>
        <w:t xml:space="preserve">itions. </w:t>
      </w:r>
      <w:r w:rsidRPr="00647752">
        <w:rPr>
          <w:rFonts w:ascii="Times New Roman" w:hAnsi="Times New Roman" w:cs="Times New Roman"/>
          <w:sz w:val="22"/>
          <w:szCs w:val="22"/>
          <w:lang w:val="en-GB"/>
        </w:rPr>
        <w:t xml:space="preserve">Going forward, a key question for UNDP and </w:t>
      </w:r>
      <w:r>
        <w:rPr>
          <w:rFonts w:ascii="Times New Roman" w:hAnsi="Times New Roman" w:cs="Times New Roman"/>
          <w:sz w:val="22"/>
          <w:szCs w:val="22"/>
          <w:lang w:val="en-GB"/>
        </w:rPr>
        <w:t xml:space="preserve">its </w:t>
      </w:r>
      <w:r w:rsidRPr="00647752">
        <w:rPr>
          <w:rFonts w:ascii="Times New Roman" w:hAnsi="Times New Roman" w:cs="Times New Roman"/>
          <w:sz w:val="22"/>
          <w:szCs w:val="22"/>
          <w:lang w:val="en-GB"/>
        </w:rPr>
        <w:t>donors will be how and to what extent should UNDP an</w:t>
      </w:r>
      <w:r>
        <w:rPr>
          <w:rFonts w:ascii="Times New Roman" w:hAnsi="Times New Roman" w:cs="Times New Roman"/>
          <w:sz w:val="22"/>
          <w:szCs w:val="22"/>
          <w:lang w:val="en-GB"/>
        </w:rPr>
        <w:t xml:space="preserve">d donors engage with the formal </w:t>
      </w:r>
      <w:r w:rsidRPr="00647752">
        <w:rPr>
          <w:rFonts w:ascii="Times New Roman" w:hAnsi="Times New Roman" w:cs="Times New Roman"/>
          <w:sz w:val="22"/>
          <w:szCs w:val="22"/>
          <w:lang w:val="en-GB"/>
        </w:rPr>
        <w:t>justice system in Gaza within the constraints of the Q</w:t>
      </w:r>
      <w:r>
        <w:rPr>
          <w:rFonts w:ascii="Times New Roman" w:hAnsi="Times New Roman" w:cs="Times New Roman"/>
          <w:sz w:val="22"/>
          <w:szCs w:val="22"/>
          <w:lang w:val="en-GB"/>
        </w:rPr>
        <w:t>uartet p</w:t>
      </w:r>
      <w:r w:rsidRPr="00647752">
        <w:rPr>
          <w:rFonts w:ascii="Times New Roman" w:hAnsi="Times New Roman" w:cs="Times New Roman"/>
          <w:sz w:val="22"/>
          <w:szCs w:val="22"/>
          <w:lang w:val="en-GB"/>
        </w:rPr>
        <w:t>rinciples</w:t>
      </w:r>
      <w:r>
        <w:rPr>
          <w:rFonts w:ascii="Times New Roman" w:hAnsi="Times New Roman" w:cs="Times New Roman"/>
          <w:sz w:val="22"/>
          <w:szCs w:val="22"/>
          <w:lang w:val="en-GB"/>
        </w:rPr>
        <w:t xml:space="preserve">. </w:t>
      </w:r>
      <w:r w:rsidRPr="00647752">
        <w:rPr>
          <w:rFonts w:ascii="Times New Roman" w:hAnsi="Times New Roman" w:cs="Times New Roman"/>
          <w:sz w:val="22"/>
          <w:szCs w:val="22"/>
          <w:lang w:val="en-GB"/>
        </w:rPr>
        <w:t>Many CSO</w:t>
      </w:r>
      <w:r>
        <w:rPr>
          <w:rFonts w:ascii="Times New Roman" w:hAnsi="Times New Roman" w:cs="Times New Roman"/>
          <w:sz w:val="22"/>
          <w:szCs w:val="22"/>
          <w:lang w:val="en-GB"/>
        </w:rPr>
        <w:t>s and INGOs interviewed by the e</w:t>
      </w:r>
      <w:r w:rsidRPr="00647752">
        <w:rPr>
          <w:rFonts w:ascii="Times New Roman" w:hAnsi="Times New Roman" w:cs="Times New Roman"/>
          <w:sz w:val="22"/>
          <w:szCs w:val="22"/>
          <w:lang w:val="en-GB"/>
        </w:rPr>
        <w:t>valuation believe that UNDP can no longer appropriately engage with the demand side of justice only and that it should engage directly with the Hamas-led</w:t>
      </w:r>
      <w:r>
        <w:rPr>
          <w:rFonts w:ascii="Times New Roman" w:hAnsi="Times New Roman" w:cs="Times New Roman"/>
          <w:sz w:val="22"/>
          <w:szCs w:val="22"/>
          <w:lang w:val="en-GB"/>
        </w:rPr>
        <w:t xml:space="preserve"> judiciary. </w:t>
      </w:r>
      <w:r w:rsidRPr="00647752">
        <w:rPr>
          <w:rFonts w:ascii="Times New Roman" w:hAnsi="Times New Roman" w:cs="Times New Roman"/>
          <w:sz w:val="22"/>
          <w:szCs w:val="22"/>
          <w:lang w:val="en-GB"/>
        </w:rPr>
        <w:t>Whatever UNDP’s decision, it should have a clear policy on how it will engage in the future and whether it makes sense to continue to boycott the Hamas-led judiciary.</w:t>
      </w:r>
      <w:r w:rsidR="000063A3">
        <w:rPr>
          <w:rFonts w:ascii="Times New Roman" w:hAnsi="Times New Roman" w:cs="Times New Roman"/>
          <w:sz w:val="22"/>
          <w:szCs w:val="22"/>
          <w:lang w:val="en-GB"/>
        </w:rPr>
        <w:t xml:space="preserve"> </w:t>
      </w:r>
      <w:r w:rsidRPr="00647752">
        <w:rPr>
          <w:rFonts w:ascii="Times New Roman" w:hAnsi="Times New Roman" w:cs="Times New Roman"/>
          <w:sz w:val="22"/>
          <w:szCs w:val="22"/>
          <w:lang w:val="en-GB"/>
        </w:rPr>
        <w:t>There are many rule of law issues in Gaza that may require some type of engagement in the future with the formal justice sector in order to be properly addressed (i.e. application of the death penalty; torture; low awareness of</w:t>
      </w:r>
      <w:r>
        <w:rPr>
          <w:rFonts w:ascii="Times New Roman" w:hAnsi="Times New Roman" w:cs="Times New Roman"/>
          <w:sz w:val="22"/>
          <w:szCs w:val="22"/>
          <w:lang w:val="en-GB"/>
        </w:rPr>
        <w:t xml:space="preserve"> the </w:t>
      </w:r>
      <w:r w:rsidRPr="00647752">
        <w:rPr>
          <w:rFonts w:ascii="Times New Roman" w:hAnsi="Times New Roman" w:cs="Times New Roman"/>
          <w:sz w:val="22"/>
          <w:szCs w:val="22"/>
          <w:lang w:val="en-GB"/>
        </w:rPr>
        <w:t xml:space="preserve">security forces on human rights issues, etc.). </w:t>
      </w:r>
    </w:p>
    <w:p w:rsidR="002D1EE7" w:rsidRPr="00647752" w:rsidRDefault="002D1EE7" w:rsidP="002D1EE7">
      <w:pPr>
        <w:spacing w:after="0" w:line="240" w:lineRule="auto"/>
        <w:contextualSpacing/>
        <w:jc w:val="both"/>
        <w:rPr>
          <w:rFonts w:ascii="Times New Roman" w:hAnsi="Times New Roman" w:cs="Times New Roman"/>
          <w:sz w:val="22"/>
          <w:szCs w:val="22"/>
          <w:lang w:val="en-GB"/>
        </w:rPr>
      </w:pPr>
    </w:p>
    <w:p w:rsidR="002D1EE7" w:rsidRPr="00B17694" w:rsidRDefault="002D1EE7" w:rsidP="002D1EE7">
      <w:p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Times New Roman" w:hAnsi="Times New Roman" w:cs="Times New Roman"/>
          <w:sz w:val="22"/>
          <w:szCs w:val="22"/>
          <w:lang w:val="en-GB"/>
        </w:rPr>
      </w:pPr>
      <w:r w:rsidRPr="00B17694">
        <w:rPr>
          <w:rFonts w:ascii="Times New Roman" w:hAnsi="Times New Roman" w:cs="Times New Roman"/>
          <w:b/>
          <w:sz w:val="22"/>
          <w:szCs w:val="22"/>
          <w:lang w:val="en-GB"/>
        </w:rPr>
        <w:t>Conclusion 4</w:t>
      </w:r>
      <w:r>
        <w:rPr>
          <w:rFonts w:ascii="Times New Roman" w:hAnsi="Times New Roman" w:cs="Times New Roman"/>
          <w:b/>
          <w:sz w:val="22"/>
          <w:szCs w:val="22"/>
          <w:lang w:val="en-GB"/>
        </w:rPr>
        <w:t>:</w:t>
      </w:r>
      <w:r>
        <w:rPr>
          <w:rFonts w:ascii="Times New Roman" w:hAnsi="Times New Roman" w:cs="Times New Roman"/>
          <w:sz w:val="22"/>
          <w:szCs w:val="22"/>
          <w:lang w:val="en-GB"/>
        </w:rPr>
        <w:t xml:space="preserve"> UNDP seconded experts at the MO</w:t>
      </w:r>
      <w:r w:rsidRPr="00B17694">
        <w:rPr>
          <w:rFonts w:ascii="Times New Roman" w:hAnsi="Times New Roman" w:cs="Times New Roman"/>
          <w:sz w:val="22"/>
          <w:szCs w:val="22"/>
          <w:lang w:val="en-GB"/>
        </w:rPr>
        <w:t xml:space="preserve">J have contributed much needed </w:t>
      </w:r>
      <w:r>
        <w:rPr>
          <w:rFonts w:ascii="Times New Roman" w:hAnsi="Times New Roman" w:cs="Times New Roman"/>
          <w:sz w:val="22"/>
          <w:szCs w:val="22"/>
          <w:lang w:val="en-GB"/>
        </w:rPr>
        <w:t xml:space="preserve">technical assistance </w:t>
      </w:r>
      <w:r w:rsidRPr="00B17694">
        <w:rPr>
          <w:rFonts w:ascii="Times New Roman" w:hAnsi="Times New Roman" w:cs="Times New Roman"/>
          <w:sz w:val="22"/>
          <w:szCs w:val="22"/>
          <w:lang w:val="en-GB"/>
        </w:rPr>
        <w:t>in a range of areas and issues including management, internal processes and procedures; intra-governmental communication; legislation and themati</w:t>
      </w:r>
      <w:r>
        <w:rPr>
          <w:rFonts w:ascii="Times New Roman" w:hAnsi="Times New Roman" w:cs="Times New Roman"/>
          <w:sz w:val="22"/>
          <w:szCs w:val="22"/>
          <w:lang w:val="en-GB"/>
        </w:rPr>
        <w:t xml:space="preserve">c portfolios such as gender. </w:t>
      </w:r>
      <w:r w:rsidRPr="00B17694">
        <w:rPr>
          <w:rFonts w:ascii="Times New Roman" w:hAnsi="Times New Roman" w:cs="Times New Roman"/>
          <w:sz w:val="22"/>
          <w:szCs w:val="22"/>
          <w:lang w:val="en-GB"/>
        </w:rPr>
        <w:t>This has</w:t>
      </w:r>
      <w:r>
        <w:rPr>
          <w:rFonts w:ascii="Times New Roman" w:hAnsi="Times New Roman" w:cs="Times New Roman"/>
          <w:sz w:val="22"/>
          <w:szCs w:val="22"/>
          <w:lang w:val="en-GB"/>
        </w:rPr>
        <w:t xml:space="preserve"> significantly increased the MOJ</w:t>
      </w:r>
      <w:r w:rsidRPr="00B17694">
        <w:rPr>
          <w:rFonts w:ascii="Times New Roman" w:hAnsi="Times New Roman" w:cs="Times New Roman"/>
          <w:sz w:val="22"/>
          <w:szCs w:val="22"/>
          <w:lang w:val="en-GB"/>
        </w:rPr>
        <w:t xml:space="preserve">’s capacities to draft legislation and has lent coherence to </w:t>
      </w:r>
      <w:r>
        <w:rPr>
          <w:rFonts w:ascii="Times New Roman" w:hAnsi="Times New Roman" w:cs="Times New Roman"/>
          <w:sz w:val="22"/>
          <w:szCs w:val="22"/>
          <w:lang w:val="en-GB"/>
        </w:rPr>
        <w:t>management and decision-making.</w:t>
      </w:r>
      <w:r w:rsidRPr="00B17694">
        <w:rPr>
          <w:rFonts w:ascii="Times New Roman" w:hAnsi="Times New Roman" w:cs="Times New Roman"/>
          <w:sz w:val="22"/>
          <w:szCs w:val="22"/>
          <w:lang w:val="en-GB"/>
        </w:rPr>
        <w:t xml:space="preserve"> Yet, across the board, the decisions of PNA institutions continue to be challenged in courts with too great a frequency</w:t>
      </w:r>
      <w:r>
        <w:rPr>
          <w:rFonts w:ascii="Times New Roman" w:hAnsi="Times New Roman" w:cs="Times New Roman"/>
          <w:sz w:val="22"/>
          <w:szCs w:val="22"/>
          <w:lang w:val="en-GB"/>
        </w:rPr>
        <w:t xml:space="preserve"> - </w:t>
      </w:r>
      <w:r w:rsidRPr="00B17694">
        <w:rPr>
          <w:rFonts w:ascii="Times New Roman" w:hAnsi="Times New Roman" w:cs="Times New Roman"/>
          <w:sz w:val="22"/>
          <w:szCs w:val="22"/>
          <w:lang w:val="en-GB"/>
        </w:rPr>
        <w:t>many of these cases appear to relate to non-implementation of court judgments by the authorities.</w:t>
      </w:r>
    </w:p>
    <w:p w:rsidR="002D1EE7" w:rsidRPr="0013130B" w:rsidRDefault="002D1EE7" w:rsidP="002D1EE7">
      <w:p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Times New Roman" w:hAnsi="Times New Roman" w:cs="Times New Roman"/>
          <w:sz w:val="22"/>
          <w:szCs w:val="22"/>
          <w:lang w:val="en-GB"/>
        </w:rPr>
      </w:pPr>
      <w:r w:rsidRPr="0013130B">
        <w:rPr>
          <w:rFonts w:ascii="Times New Roman" w:hAnsi="Times New Roman" w:cs="Times New Roman"/>
          <w:b/>
          <w:sz w:val="22"/>
          <w:szCs w:val="22"/>
          <w:lang w:val="en-GB"/>
        </w:rPr>
        <w:t>Recommendation 4:</w:t>
      </w:r>
      <w:r>
        <w:rPr>
          <w:rFonts w:ascii="Times New Roman" w:hAnsi="Times New Roman" w:cs="Times New Roman"/>
          <w:sz w:val="22"/>
          <w:szCs w:val="22"/>
          <w:lang w:val="en-GB"/>
        </w:rPr>
        <w:t xml:space="preserve"> UNDP should build </w:t>
      </w:r>
      <w:r w:rsidRPr="0013130B">
        <w:rPr>
          <w:rFonts w:ascii="Times New Roman" w:hAnsi="Times New Roman" w:cs="Times New Roman"/>
          <w:sz w:val="22"/>
          <w:szCs w:val="22"/>
          <w:lang w:val="en-GB"/>
        </w:rPr>
        <w:t>upon its valuable contr</w:t>
      </w:r>
      <w:r>
        <w:rPr>
          <w:rFonts w:ascii="Times New Roman" w:hAnsi="Times New Roman" w:cs="Times New Roman"/>
          <w:sz w:val="22"/>
          <w:szCs w:val="22"/>
          <w:lang w:val="en-GB"/>
        </w:rPr>
        <w:t xml:space="preserve">ibution and experience at the MOJ by lending </w:t>
      </w:r>
      <w:r w:rsidRPr="0013130B">
        <w:rPr>
          <w:rFonts w:ascii="Times New Roman" w:hAnsi="Times New Roman" w:cs="Times New Roman"/>
          <w:sz w:val="22"/>
          <w:szCs w:val="22"/>
          <w:lang w:val="en-GB"/>
        </w:rPr>
        <w:t>technical legal expertise to the legal staff working in other PNA institutions</w:t>
      </w:r>
      <w:r>
        <w:rPr>
          <w:rFonts w:ascii="Times New Roman" w:hAnsi="Times New Roman" w:cs="Times New Roman"/>
          <w:sz w:val="22"/>
          <w:szCs w:val="22"/>
          <w:lang w:val="en-GB"/>
        </w:rPr>
        <w:t>, including</w:t>
      </w:r>
      <w:r w:rsidRPr="0013130B">
        <w:rPr>
          <w:rFonts w:ascii="Times New Roman" w:hAnsi="Times New Roman" w:cs="Times New Roman"/>
          <w:sz w:val="22"/>
          <w:szCs w:val="22"/>
          <w:lang w:val="en-GB"/>
        </w:rPr>
        <w:t xml:space="preserve"> by holding </w:t>
      </w:r>
      <w:r w:rsidRPr="0013130B">
        <w:rPr>
          <w:rFonts w:ascii="Times New Roman" w:hAnsi="Times New Roman" w:cs="Times New Roman"/>
          <w:sz w:val="22"/>
          <w:szCs w:val="22"/>
          <w:lang w:val="en-GB"/>
        </w:rPr>
        <w:lastRenderedPageBreak/>
        <w:t>sp</w:t>
      </w:r>
      <w:r>
        <w:rPr>
          <w:rFonts w:ascii="Times New Roman" w:hAnsi="Times New Roman" w:cs="Times New Roman"/>
          <w:sz w:val="22"/>
          <w:szCs w:val="22"/>
          <w:lang w:val="en-GB"/>
        </w:rPr>
        <w:t>ecialis</w:t>
      </w:r>
      <w:r w:rsidRPr="0013130B">
        <w:rPr>
          <w:rFonts w:ascii="Times New Roman" w:hAnsi="Times New Roman" w:cs="Times New Roman"/>
          <w:sz w:val="22"/>
          <w:szCs w:val="22"/>
          <w:lang w:val="en-GB"/>
        </w:rPr>
        <w:t>ed workshops and semina</w:t>
      </w:r>
      <w:r>
        <w:rPr>
          <w:rFonts w:ascii="Times New Roman" w:hAnsi="Times New Roman" w:cs="Times New Roman"/>
          <w:sz w:val="22"/>
          <w:szCs w:val="22"/>
          <w:lang w:val="en-GB"/>
        </w:rPr>
        <w:t>rs</w:t>
      </w:r>
      <w:r w:rsidRPr="0013130B">
        <w:rPr>
          <w:rFonts w:ascii="Times New Roman" w:hAnsi="Times New Roman" w:cs="Times New Roman"/>
          <w:sz w:val="22"/>
          <w:szCs w:val="22"/>
          <w:lang w:val="en-GB"/>
        </w:rPr>
        <w:t>, assisting other PNA institutions to create standard o</w:t>
      </w:r>
      <w:r>
        <w:rPr>
          <w:rFonts w:ascii="Times New Roman" w:hAnsi="Times New Roman" w:cs="Times New Roman"/>
          <w:sz w:val="22"/>
          <w:szCs w:val="22"/>
          <w:lang w:val="en-GB"/>
        </w:rPr>
        <w:t>perating procedures and harmonis</w:t>
      </w:r>
      <w:r w:rsidRPr="0013130B">
        <w:rPr>
          <w:rFonts w:ascii="Times New Roman" w:hAnsi="Times New Roman" w:cs="Times New Roman"/>
          <w:sz w:val="22"/>
          <w:szCs w:val="22"/>
          <w:lang w:val="en-GB"/>
        </w:rPr>
        <w:t>e adm</w:t>
      </w:r>
      <w:r>
        <w:rPr>
          <w:rFonts w:ascii="Times New Roman" w:hAnsi="Times New Roman" w:cs="Times New Roman"/>
          <w:sz w:val="22"/>
          <w:szCs w:val="22"/>
          <w:lang w:val="en-GB"/>
        </w:rPr>
        <w:t xml:space="preserve">inistrative decision making. </w:t>
      </w:r>
      <w:r w:rsidRPr="0013130B">
        <w:rPr>
          <w:rFonts w:ascii="Times New Roman" w:hAnsi="Times New Roman" w:cs="Times New Roman"/>
          <w:sz w:val="22"/>
          <w:szCs w:val="22"/>
          <w:lang w:val="en-GB"/>
        </w:rPr>
        <w:t>UNDP should continue to contribute its technical advisory services to this effort through outputs that are pr</w:t>
      </w:r>
      <w:r>
        <w:rPr>
          <w:rFonts w:ascii="Times New Roman" w:hAnsi="Times New Roman" w:cs="Times New Roman"/>
          <w:sz w:val="22"/>
          <w:szCs w:val="22"/>
          <w:lang w:val="en-GB"/>
        </w:rPr>
        <w:t>oportionate to UNDP’s resources</w:t>
      </w:r>
      <w:r w:rsidRPr="0013130B">
        <w:rPr>
          <w:rFonts w:ascii="Times New Roman" w:hAnsi="Times New Roman" w:cs="Times New Roman"/>
          <w:sz w:val="22"/>
          <w:szCs w:val="22"/>
          <w:lang w:val="en-GB"/>
        </w:rPr>
        <w:t>.</w:t>
      </w:r>
    </w:p>
    <w:p w:rsidR="002D1EE7" w:rsidRPr="0013130B" w:rsidRDefault="002D1EE7" w:rsidP="002D1EE7">
      <w:pPr>
        <w:spacing w:after="0" w:line="240" w:lineRule="auto"/>
        <w:contextualSpacing/>
        <w:jc w:val="both"/>
        <w:rPr>
          <w:rFonts w:ascii="Times New Roman" w:hAnsi="Times New Roman" w:cs="Times New Roman"/>
          <w:sz w:val="22"/>
          <w:szCs w:val="22"/>
          <w:lang w:val="en-GB"/>
        </w:rPr>
      </w:pPr>
    </w:p>
    <w:p w:rsidR="002D1EE7" w:rsidRPr="0013130B" w:rsidRDefault="002D1EE7" w:rsidP="002D1EE7">
      <w:p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Times New Roman" w:hAnsi="Times New Roman" w:cs="Times New Roman"/>
          <w:sz w:val="22"/>
          <w:szCs w:val="22"/>
          <w:lang w:val="en-GB"/>
        </w:rPr>
      </w:pPr>
      <w:r w:rsidRPr="0013130B">
        <w:rPr>
          <w:rFonts w:ascii="Times New Roman" w:hAnsi="Times New Roman" w:cs="Times New Roman"/>
          <w:b/>
          <w:sz w:val="22"/>
          <w:szCs w:val="22"/>
          <w:lang w:val="en-GB"/>
        </w:rPr>
        <w:t>Conclusion 5</w:t>
      </w:r>
      <w:r>
        <w:rPr>
          <w:rFonts w:ascii="Times New Roman" w:hAnsi="Times New Roman" w:cs="Times New Roman"/>
          <w:sz w:val="22"/>
          <w:szCs w:val="22"/>
          <w:lang w:val="en-GB"/>
        </w:rPr>
        <w:t xml:space="preserve">: </w:t>
      </w:r>
      <w:r w:rsidRPr="0013130B">
        <w:rPr>
          <w:rFonts w:ascii="Times New Roman" w:hAnsi="Times New Roman" w:cs="Times New Roman"/>
          <w:sz w:val="22"/>
          <w:szCs w:val="22"/>
          <w:lang w:val="en-GB"/>
        </w:rPr>
        <w:t>UNDP’s “Justice for the Future” project has helped a new generation of lawyers remain engaged, enthusiastic and equipped to assume roles in PNA institutions and the legal profession.</w:t>
      </w:r>
    </w:p>
    <w:p w:rsidR="002D1EE7" w:rsidRPr="00647752" w:rsidRDefault="002D1EE7" w:rsidP="002D1EE7">
      <w:p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Times New Roman" w:hAnsi="Times New Roman" w:cs="Times New Roman"/>
          <w:sz w:val="22"/>
          <w:szCs w:val="22"/>
          <w:lang w:val="en-GB"/>
        </w:rPr>
      </w:pPr>
      <w:r w:rsidRPr="0013130B">
        <w:rPr>
          <w:rFonts w:ascii="Times New Roman" w:hAnsi="Times New Roman" w:cs="Times New Roman"/>
          <w:b/>
          <w:sz w:val="22"/>
          <w:szCs w:val="22"/>
          <w:lang w:val="en-GB"/>
        </w:rPr>
        <w:t>Recommendation 5</w:t>
      </w:r>
      <w:r>
        <w:rPr>
          <w:rFonts w:ascii="Times New Roman" w:hAnsi="Times New Roman" w:cs="Times New Roman"/>
          <w:b/>
          <w:sz w:val="22"/>
          <w:szCs w:val="22"/>
          <w:lang w:val="en-GB"/>
        </w:rPr>
        <w:t>:</w:t>
      </w:r>
      <w:r>
        <w:rPr>
          <w:rFonts w:ascii="Times New Roman" w:hAnsi="Times New Roman" w:cs="Times New Roman"/>
          <w:sz w:val="22"/>
          <w:szCs w:val="22"/>
          <w:lang w:val="en-GB"/>
        </w:rPr>
        <w:t xml:space="preserve"> U</w:t>
      </w:r>
      <w:r w:rsidRPr="0013130B">
        <w:rPr>
          <w:rFonts w:ascii="Times New Roman" w:hAnsi="Times New Roman" w:cs="Times New Roman"/>
          <w:sz w:val="22"/>
          <w:szCs w:val="22"/>
          <w:lang w:val="en-GB"/>
        </w:rPr>
        <w:t>NDP should explore ways in which to make the training curriculum for the “Justice for the Future</w:t>
      </w:r>
      <w:r w:rsidRPr="00647752">
        <w:rPr>
          <w:rFonts w:ascii="Times New Roman" w:hAnsi="Times New Roman" w:cs="Times New Roman"/>
          <w:sz w:val="22"/>
          <w:szCs w:val="22"/>
          <w:lang w:val="en-GB"/>
        </w:rPr>
        <w:t>” initiative more practical in nature and ensure that the inst</w:t>
      </w:r>
      <w:r>
        <w:rPr>
          <w:rFonts w:ascii="Times New Roman" w:hAnsi="Times New Roman" w:cs="Times New Roman"/>
          <w:sz w:val="22"/>
          <w:szCs w:val="22"/>
          <w:lang w:val="en-GB"/>
        </w:rPr>
        <w:t>itutions themselves have a well-</w:t>
      </w:r>
      <w:r w:rsidRPr="00647752">
        <w:rPr>
          <w:rFonts w:ascii="Times New Roman" w:hAnsi="Times New Roman" w:cs="Times New Roman"/>
          <w:sz w:val="22"/>
          <w:szCs w:val="22"/>
          <w:lang w:val="en-GB"/>
        </w:rPr>
        <w:t xml:space="preserve">articulated plan of how they </w:t>
      </w:r>
      <w:r>
        <w:rPr>
          <w:rFonts w:ascii="Times New Roman" w:hAnsi="Times New Roman" w:cs="Times New Roman"/>
          <w:sz w:val="22"/>
          <w:szCs w:val="22"/>
          <w:lang w:val="en-GB"/>
        </w:rPr>
        <w:t>will use the interns.</w:t>
      </w:r>
    </w:p>
    <w:p w:rsidR="002D1EE7" w:rsidRPr="00647752" w:rsidRDefault="002D1EE7" w:rsidP="002D1EE7">
      <w:pPr>
        <w:spacing w:after="0" w:line="240" w:lineRule="auto"/>
        <w:contextualSpacing/>
        <w:jc w:val="both"/>
        <w:rPr>
          <w:rFonts w:ascii="Times New Roman" w:hAnsi="Times New Roman" w:cs="Times New Roman"/>
          <w:sz w:val="22"/>
          <w:szCs w:val="22"/>
          <w:lang w:val="en-GB"/>
        </w:rPr>
      </w:pPr>
    </w:p>
    <w:p w:rsidR="002D1EE7" w:rsidRPr="0013130B" w:rsidRDefault="002D1EE7" w:rsidP="002D1EE7">
      <w:p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Times New Roman" w:hAnsi="Times New Roman" w:cs="Times New Roman"/>
          <w:sz w:val="22"/>
          <w:szCs w:val="22"/>
          <w:lang w:val="en-GB"/>
        </w:rPr>
      </w:pPr>
      <w:r w:rsidRPr="0013130B">
        <w:rPr>
          <w:rFonts w:ascii="Times New Roman" w:hAnsi="Times New Roman" w:cs="Times New Roman"/>
          <w:b/>
          <w:sz w:val="22"/>
          <w:szCs w:val="22"/>
          <w:lang w:val="en-GB"/>
        </w:rPr>
        <w:t>Conclusion 6</w:t>
      </w:r>
      <w:r>
        <w:rPr>
          <w:rFonts w:ascii="Times New Roman" w:hAnsi="Times New Roman" w:cs="Times New Roman"/>
          <w:b/>
          <w:sz w:val="22"/>
          <w:szCs w:val="22"/>
          <w:lang w:val="en-GB"/>
        </w:rPr>
        <w:t xml:space="preserve">: </w:t>
      </w:r>
      <w:r w:rsidRPr="0013130B">
        <w:rPr>
          <w:rFonts w:ascii="Times New Roman" w:hAnsi="Times New Roman" w:cs="Times New Roman"/>
          <w:sz w:val="22"/>
          <w:szCs w:val="22"/>
          <w:lang w:val="en-GB"/>
        </w:rPr>
        <w:t>UNDP has played a crucial role i</w:t>
      </w:r>
      <w:r>
        <w:rPr>
          <w:rFonts w:ascii="Times New Roman" w:hAnsi="Times New Roman" w:cs="Times New Roman"/>
          <w:sz w:val="22"/>
          <w:szCs w:val="22"/>
          <w:lang w:val="en-GB"/>
        </w:rPr>
        <w:t xml:space="preserve">n moving the justice actors </w:t>
      </w:r>
      <w:r w:rsidRPr="0013130B">
        <w:rPr>
          <w:rFonts w:ascii="Times New Roman" w:hAnsi="Times New Roman" w:cs="Times New Roman"/>
          <w:sz w:val="22"/>
          <w:szCs w:val="22"/>
          <w:lang w:val="en-GB"/>
        </w:rPr>
        <w:t xml:space="preserve">from a point of virtually zero discussion of concepts of legal aid in 2009 to an extremely robust debate involving all justice sector actors on how best </w:t>
      </w:r>
      <w:r>
        <w:rPr>
          <w:rFonts w:ascii="Times New Roman" w:hAnsi="Times New Roman" w:cs="Times New Roman"/>
          <w:sz w:val="22"/>
          <w:szCs w:val="22"/>
          <w:lang w:val="en-GB"/>
        </w:rPr>
        <w:t xml:space="preserve">to address this issue. </w:t>
      </w:r>
      <w:r w:rsidRPr="0013130B">
        <w:rPr>
          <w:rFonts w:ascii="Times New Roman" w:hAnsi="Times New Roman" w:cs="Times New Roman"/>
          <w:sz w:val="22"/>
          <w:szCs w:val="22"/>
          <w:lang w:val="en-GB"/>
        </w:rPr>
        <w:t>UNDP has furthermore been successful (and highly so in Gaza) in bring</w:t>
      </w:r>
      <w:r>
        <w:rPr>
          <w:rFonts w:ascii="Times New Roman" w:hAnsi="Times New Roman" w:cs="Times New Roman"/>
          <w:sz w:val="22"/>
          <w:szCs w:val="22"/>
          <w:lang w:val="en-GB"/>
        </w:rPr>
        <w:t>ing the PBA</w:t>
      </w:r>
      <w:r w:rsidRPr="0013130B">
        <w:rPr>
          <w:rFonts w:ascii="Times New Roman" w:hAnsi="Times New Roman" w:cs="Times New Roman"/>
          <w:sz w:val="22"/>
          <w:szCs w:val="22"/>
          <w:lang w:val="en-GB"/>
        </w:rPr>
        <w:t xml:space="preserve"> and law schools</w:t>
      </w:r>
      <w:r w:rsidR="000063A3">
        <w:rPr>
          <w:rFonts w:ascii="Times New Roman" w:hAnsi="Times New Roman" w:cs="Times New Roman"/>
          <w:sz w:val="22"/>
          <w:szCs w:val="22"/>
          <w:lang w:val="en-GB"/>
        </w:rPr>
        <w:t xml:space="preserve"> </w:t>
      </w:r>
      <w:r w:rsidR="00F23595">
        <w:rPr>
          <w:rFonts w:ascii="Times New Roman" w:hAnsi="Times New Roman" w:cs="Times New Roman"/>
          <w:sz w:val="22"/>
          <w:szCs w:val="22"/>
          <w:lang w:val="en-GB"/>
        </w:rPr>
        <w:t>on-board</w:t>
      </w:r>
      <w:bookmarkStart w:id="30" w:name="_GoBack"/>
      <w:bookmarkEnd w:id="30"/>
      <w:r>
        <w:rPr>
          <w:rFonts w:ascii="Times New Roman" w:hAnsi="Times New Roman" w:cs="Times New Roman"/>
          <w:sz w:val="22"/>
          <w:szCs w:val="22"/>
          <w:lang w:val="en-GB"/>
        </w:rPr>
        <w:t xml:space="preserve"> with free legal aid. </w:t>
      </w:r>
      <w:r w:rsidRPr="0013130B">
        <w:rPr>
          <w:rFonts w:ascii="Times New Roman" w:hAnsi="Times New Roman" w:cs="Times New Roman"/>
          <w:sz w:val="22"/>
          <w:szCs w:val="22"/>
          <w:lang w:val="en-GB"/>
        </w:rPr>
        <w:t>Much more intensive work needs to be done on the development and implementation of a legal aid framework soliciting input from both civil society and justice institutions</w:t>
      </w:r>
      <w:r>
        <w:rPr>
          <w:rFonts w:ascii="Times New Roman" w:hAnsi="Times New Roman" w:cs="Times New Roman"/>
          <w:sz w:val="22"/>
          <w:szCs w:val="22"/>
          <w:lang w:val="en-GB"/>
        </w:rPr>
        <w:t>.</w:t>
      </w:r>
    </w:p>
    <w:p w:rsidR="002D1EE7" w:rsidRPr="0013130B" w:rsidRDefault="002D1EE7" w:rsidP="002D1EE7">
      <w:p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Times New Roman" w:hAnsi="Times New Roman" w:cs="Times New Roman"/>
          <w:sz w:val="22"/>
          <w:szCs w:val="22"/>
          <w:lang w:val="en-GB"/>
        </w:rPr>
      </w:pPr>
      <w:r w:rsidRPr="0013130B">
        <w:rPr>
          <w:rFonts w:ascii="Times New Roman" w:hAnsi="Times New Roman" w:cs="Times New Roman"/>
          <w:b/>
          <w:sz w:val="22"/>
          <w:szCs w:val="22"/>
          <w:lang w:val="en-GB"/>
        </w:rPr>
        <w:t>Recommendation 6</w:t>
      </w:r>
      <w:r>
        <w:rPr>
          <w:rFonts w:ascii="Times New Roman" w:hAnsi="Times New Roman" w:cs="Times New Roman"/>
          <w:b/>
          <w:sz w:val="22"/>
          <w:szCs w:val="22"/>
          <w:lang w:val="en-GB"/>
        </w:rPr>
        <w:t>:</w:t>
      </w:r>
      <w:r w:rsidRPr="0013130B">
        <w:rPr>
          <w:rFonts w:ascii="Times New Roman" w:hAnsi="Times New Roman" w:cs="Times New Roman"/>
          <w:sz w:val="22"/>
          <w:szCs w:val="22"/>
          <w:lang w:val="en-GB"/>
        </w:rPr>
        <w:t xml:space="preserve">UNDP should continue to advocate </w:t>
      </w:r>
      <w:r>
        <w:rPr>
          <w:rFonts w:ascii="Times New Roman" w:hAnsi="Times New Roman" w:cs="Times New Roman"/>
          <w:sz w:val="22"/>
          <w:szCs w:val="22"/>
          <w:lang w:val="en-GB"/>
        </w:rPr>
        <w:t xml:space="preserve">for the expansion of the draft </w:t>
      </w:r>
      <w:r w:rsidRPr="0013130B">
        <w:rPr>
          <w:rFonts w:ascii="Times New Roman" w:hAnsi="Times New Roman" w:cs="Times New Roman"/>
          <w:sz w:val="22"/>
          <w:szCs w:val="22"/>
          <w:lang w:val="en-GB"/>
        </w:rPr>
        <w:t xml:space="preserve">Legal Aid </w:t>
      </w:r>
      <w:r>
        <w:rPr>
          <w:rFonts w:ascii="Times New Roman" w:hAnsi="Times New Roman" w:cs="Times New Roman"/>
          <w:sz w:val="22"/>
          <w:szCs w:val="22"/>
          <w:lang w:val="en-GB"/>
        </w:rPr>
        <w:t xml:space="preserve">Law </w:t>
      </w:r>
      <w:r w:rsidRPr="0013130B">
        <w:rPr>
          <w:rFonts w:ascii="Times New Roman" w:hAnsi="Times New Roman" w:cs="Times New Roman"/>
          <w:sz w:val="22"/>
          <w:szCs w:val="22"/>
          <w:lang w:val="en-GB"/>
        </w:rPr>
        <w:t>to come into compliance with international best practice and be available at all stages of t</w:t>
      </w:r>
      <w:r>
        <w:rPr>
          <w:rFonts w:ascii="Times New Roman" w:hAnsi="Times New Roman" w:cs="Times New Roman"/>
          <w:sz w:val="22"/>
          <w:szCs w:val="22"/>
          <w:lang w:val="en-GB"/>
        </w:rPr>
        <w:t xml:space="preserve">he criminal justice process. </w:t>
      </w:r>
      <w:r w:rsidRPr="0013130B">
        <w:rPr>
          <w:rFonts w:ascii="Times New Roman" w:hAnsi="Times New Roman" w:cs="Times New Roman"/>
          <w:sz w:val="22"/>
          <w:szCs w:val="22"/>
          <w:lang w:val="en-GB"/>
        </w:rPr>
        <w:t>UNDP</w:t>
      </w:r>
      <w:r>
        <w:rPr>
          <w:rFonts w:ascii="Times New Roman" w:hAnsi="Times New Roman" w:cs="Times New Roman"/>
          <w:sz w:val="22"/>
          <w:szCs w:val="22"/>
          <w:lang w:val="en-GB"/>
        </w:rPr>
        <w:t xml:space="preserve"> should continue to work with the MO</w:t>
      </w:r>
      <w:r w:rsidRPr="0013130B">
        <w:rPr>
          <w:rFonts w:ascii="Times New Roman" w:hAnsi="Times New Roman" w:cs="Times New Roman"/>
          <w:sz w:val="22"/>
          <w:szCs w:val="22"/>
          <w:lang w:val="en-GB"/>
        </w:rPr>
        <w:t>J and a wide range of stakeholders to develop a strategy for a compr</w:t>
      </w:r>
      <w:r>
        <w:rPr>
          <w:rFonts w:ascii="Times New Roman" w:hAnsi="Times New Roman" w:cs="Times New Roman"/>
          <w:sz w:val="22"/>
          <w:szCs w:val="22"/>
          <w:lang w:val="en-GB"/>
        </w:rPr>
        <w:t xml:space="preserve">ehensive legal aid system. </w:t>
      </w:r>
      <w:r w:rsidRPr="0013130B">
        <w:rPr>
          <w:rFonts w:ascii="Times New Roman" w:hAnsi="Times New Roman" w:cs="Times New Roman"/>
          <w:sz w:val="22"/>
          <w:szCs w:val="22"/>
          <w:lang w:val="en-GB"/>
        </w:rPr>
        <w:t xml:space="preserve">There </w:t>
      </w:r>
      <w:r>
        <w:rPr>
          <w:rFonts w:ascii="Times New Roman" w:hAnsi="Times New Roman" w:cs="Times New Roman"/>
          <w:sz w:val="22"/>
          <w:szCs w:val="22"/>
          <w:lang w:val="en-GB"/>
        </w:rPr>
        <w:t xml:space="preserve">are many models of legal aid. </w:t>
      </w:r>
      <w:r w:rsidRPr="0013130B">
        <w:rPr>
          <w:rFonts w:ascii="Times New Roman" w:hAnsi="Times New Roman" w:cs="Times New Roman"/>
          <w:sz w:val="22"/>
          <w:szCs w:val="22"/>
          <w:lang w:val="en-GB"/>
        </w:rPr>
        <w:t>UNDP should support a study to determine what models are</w:t>
      </w:r>
      <w:r>
        <w:rPr>
          <w:rFonts w:ascii="Times New Roman" w:hAnsi="Times New Roman" w:cs="Times New Roman"/>
          <w:sz w:val="22"/>
          <w:szCs w:val="22"/>
          <w:lang w:val="en-GB"/>
        </w:rPr>
        <w:t xml:space="preserve"> best suited to the </w:t>
      </w:r>
      <w:r w:rsidRPr="0013130B">
        <w:rPr>
          <w:rFonts w:ascii="Times New Roman" w:hAnsi="Times New Roman" w:cs="Times New Roman"/>
          <w:sz w:val="22"/>
          <w:szCs w:val="22"/>
          <w:lang w:val="en-GB"/>
        </w:rPr>
        <w:t>We</w:t>
      </w:r>
      <w:r>
        <w:rPr>
          <w:rFonts w:ascii="Times New Roman" w:hAnsi="Times New Roman" w:cs="Times New Roman"/>
          <w:sz w:val="22"/>
          <w:szCs w:val="22"/>
          <w:lang w:val="en-GB"/>
        </w:rPr>
        <w:t xml:space="preserve">st Bank and Gaza, respectively. </w:t>
      </w:r>
      <w:r w:rsidRPr="0013130B">
        <w:rPr>
          <w:rFonts w:ascii="Times New Roman" w:hAnsi="Times New Roman" w:cs="Times New Roman"/>
          <w:sz w:val="22"/>
          <w:szCs w:val="22"/>
          <w:lang w:val="en-GB"/>
        </w:rPr>
        <w:t xml:space="preserve">CSOs need to be encouraged to become engaged on the issue of a strategy for legal aid. </w:t>
      </w:r>
    </w:p>
    <w:p w:rsidR="002D1EE7" w:rsidRPr="00647752" w:rsidRDefault="002D1EE7" w:rsidP="002D1EE7">
      <w:pPr>
        <w:spacing w:after="0" w:line="240" w:lineRule="auto"/>
        <w:contextualSpacing/>
        <w:jc w:val="both"/>
        <w:rPr>
          <w:rFonts w:ascii="Times New Roman" w:hAnsi="Times New Roman" w:cs="Times New Roman"/>
          <w:sz w:val="22"/>
          <w:szCs w:val="22"/>
          <w:lang w:val="en-GB"/>
        </w:rPr>
      </w:pPr>
    </w:p>
    <w:p w:rsidR="002D1EE7" w:rsidRPr="0013130B" w:rsidRDefault="002D1EE7" w:rsidP="002D1EE7">
      <w:p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Times New Roman" w:hAnsi="Times New Roman" w:cs="Times New Roman"/>
          <w:sz w:val="22"/>
          <w:szCs w:val="22"/>
          <w:lang w:val="en-GB"/>
        </w:rPr>
      </w:pPr>
      <w:r w:rsidRPr="0013130B">
        <w:rPr>
          <w:rFonts w:ascii="Times New Roman" w:hAnsi="Times New Roman" w:cs="Times New Roman"/>
          <w:b/>
          <w:sz w:val="22"/>
          <w:szCs w:val="22"/>
          <w:lang w:val="en-GB"/>
        </w:rPr>
        <w:t xml:space="preserve">Conclusion </w:t>
      </w:r>
      <w:r>
        <w:rPr>
          <w:rFonts w:ascii="Times New Roman" w:hAnsi="Times New Roman" w:cs="Times New Roman"/>
          <w:b/>
          <w:sz w:val="22"/>
          <w:szCs w:val="22"/>
          <w:lang w:val="en-GB"/>
        </w:rPr>
        <w:t>7:</w:t>
      </w:r>
      <w:r w:rsidRPr="0013130B">
        <w:rPr>
          <w:rFonts w:ascii="Times New Roman" w:hAnsi="Times New Roman" w:cs="Times New Roman"/>
          <w:sz w:val="22"/>
          <w:szCs w:val="22"/>
          <w:lang w:val="en-GB"/>
        </w:rPr>
        <w:t xml:space="preserve">There is strong evidence that </w:t>
      </w:r>
      <w:r>
        <w:rPr>
          <w:rFonts w:ascii="Times New Roman" w:hAnsi="Times New Roman" w:cs="Times New Roman"/>
          <w:sz w:val="22"/>
          <w:szCs w:val="22"/>
          <w:lang w:val="en-GB"/>
        </w:rPr>
        <w:t xml:space="preserve">the </w:t>
      </w:r>
      <w:r w:rsidRPr="0013130B">
        <w:rPr>
          <w:rFonts w:ascii="Times New Roman" w:hAnsi="Times New Roman" w:cs="Times New Roman"/>
          <w:sz w:val="22"/>
          <w:szCs w:val="22"/>
          <w:lang w:val="en-GB"/>
        </w:rPr>
        <w:t xml:space="preserve">UNDP supported </w:t>
      </w:r>
      <w:r>
        <w:rPr>
          <w:rFonts w:ascii="Times New Roman" w:hAnsi="Times New Roman" w:cs="Times New Roman"/>
          <w:sz w:val="22"/>
          <w:szCs w:val="22"/>
          <w:lang w:val="en-GB"/>
        </w:rPr>
        <w:t>Legal Skills Diploma, Office Skills Diploma and Middle Management Certificate have enhanced the capacity of the MO</w:t>
      </w:r>
      <w:r w:rsidRPr="0013130B">
        <w:rPr>
          <w:rFonts w:ascii="Times New Roman" w:hAnsi="Times New Roman" w:cs="Times New Roman"/>
          <w:sz w:val="22"/>
          <w:szCs w:val="22"/>
          <w:lang w:val="en-GB"/>
        </w:rPr>
        <w:t xml:space="preserve">J and other institutions in </w:t>
      </w:r>
      <w:r>
        <w:rPr>
          <w:rFonts w:ascii="Times New Roman" w:hAnsi="Times New Roman" w:cs="Times New Roman"/>
          <w:sz w:val="22"/>
          <w:szCs w:val="22"/>
          <w:lang w:val="en-GB"/>
        </w:rPr>
        <w:t xml:space="preserve">the </w:t>
      </w:r>
      <w:r w:rsidRPr="0013130B">
        <w:rPr>
          <w:rFonts w:ascii="Times New Roman" w:hAnsi="Times New Roman" w:cs="Times New Roman"/>
          <w:sz w:val="22"/>
          <w:szCs w:val="22"/>
          <w:lang w:val="en-GB"/>
        </w:rPr>
        <w:t>oPt</w:t>
      </w:r>
      <w:r>
        <w:rPr>
          <w:rFonts w:ascii="Times New Roman" w:hAnsi="Times New Roman" w:cs="Times New Roman"/>
          <w:sz w:val="22"/>
          <w:szCs w:val="22"/>
          <w:lang w:val="en-GB"/>
        </w:rPr>
        <w:t>.</w:t>
      </w:r>
    </w:p>
    <w:p w:rsidR="002D1EE7" w:rsidRDefault="002D1EE7" w:rsidP="002D1EE7">
      <w:p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Times New Roman" w:hAnsi="Times New Roman" w:cs="Times New Roman"/>
          <w:sz w:val="22"/>
          <w:szCs w:val="22"/>
          <w:lang w:val="en-GB"/>
        </w:rPr>
      </w:pPr>
      <w:r w:rsidRPr="0013130B">
        <w:rPr>
          <w:rFonts w:ascii="Times New Roman" w:hAnsi="Times New Roman" w:cs="Times New Roman"/>
          <w:b/>
          <w:sz w:val="22"/>
          <w:szCs w:val="22"/>
          <w:lang w:val="en-GB"/>
        </w:rPr>
        <w:t xml:space="preserve">Recommendation </w:t>
      </w:r>
      <w:r>
        <w:rPr>
          <w:rFonts w:ascii="Times New Roman" w:hAnsi="Times New Roman" w:cs="Times New Roman"/>
          <w:b/>
          <w:sz w:val="22"/>
          <w:szCs w:val="22"/>
          <w:lang w:val="en-GB"/>
        </w:rPr>
        <w:t>7:</w:t>
      </w:r>
      <w:r w:rsidRPr="0013130B">
        <w:rPr>
          <w:rFonts w:ascii="Times New Roman" w:hAnsi="Times New Roman" w:cs="Times New Roman"/>
          <w:sz w:val="22"/>
          <w:szCs w:val="22"/>
          <w:lang w:val="en-GB"/>
        </w:rPr>
        <w:t xml:space="preserve">UNDP should explore ways to </w:t>
      </w:r>
      <w:r>
        <w:rPr>
          <w:rFonts w:ascii="Times New Roman" w:hAnsi="Times New Roman" w:cs="Times New Roman"/>
          <w:sz w:val="22"/>
          <w:szCs w:val="22"/>
          <w:lang w:val="en-GB"/>
        </w:rPr>
        <w:t>offer these accredited diploma courses to additional MOJ, HJC and AGO staff as well as other PNA institutions.</w:t>
      </w:r>
    </w:p>
    <w:p w:rsidR="002D1EE7" w:rsidRPr="00647752" w:rsidRDefault="002D1EE7" w:rsidP="002D1EE7">
      <w:pPr>
        <w:spacing w:after="0" w:line="240" w:lineRule="auto"/>
        <w:contextualSpacing/>
        <w:jc w:val="both"/>
        <w:rPr>
          <w:rFonts w:ascii="Times New Roman" w:hAnsi="Times New Roman" w:cs="Times New Roman"/>
          <w:sz w:val="22"/>
          <w:szCs w:val="22"/>
          <w:lang w:val="en-GB"/>
        </w:rPr>
      </w:pPr>
    </w:p>
    <w:p w:rsidR="002D1EE7" w:rsidRPr="0013130B" w:rsidRDefault="002D1EE7" w:rsidP="002D1EE7">
      <w:p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Times New Roman" w:hAnsi="Times New Roman" w:cs="Times New Roman"/>
          <w:sz w:val="22"/>
          <w:szCs w:val="22"/>
          <w:lang w:val="en-GB"/>
        </w:rPr>
      </w:pPr>
      <w:r w:rsidRPr="0013130B">
        <w:rPr>
          <w:rFonts w:ascii="Times New Roman" w:hAnsi="Times New Roman" w:cs="Times New Roman"/>
          <w:b/>
          <w:sz w:val="22"/>
          <w:szCs w:val="22"/>
          <w:lang w:val="en-GB"/>
        </w:rPr>
        <w:t>Conclusion 8</w:t>
      </w:r>
      <w:r>
        <w:rPr>
          <w:rFonts w:ascii="Times New Roman" w:hAnsi="Times New Roman" w:cs="Times New Roman"/>
          <w:b/>
          <w:sz w:val="22"/>
          <w:szCs w:val="22"/>
          <w:lang w:val="en-GB"/>
        </w:rPr>
        <w:t>:</w:t>
      </w:r>
      <w:r w:rsidRPr="0013130B">
        <w:rPr>
          <w:rFonts w:ascii="Times New Roman" w:hAnsi="Times New Roman" w:cs="Times New Roman"/>
          <w:sz w:val="22"/>
          <w:szCs w:val="22"/>
          <w:lang w:val="en-GB"/>
        </w:rPr>
        <w:t>UNDP’s awareness raising activities have resulted in an increased public i</w:t>
      </w:r>
      <w:r>
        <w:rPr>
          <w:rFonts w:ascii="Times New Roman" w:hAnsi="Times New Roman" w:cs="Times New Roman"/>
          <w:sz w:val="22"/>
          <w:szCs w:val="22"/>
          <w:lang w:val="en-GB"/>
        </w:rPr>
        <w:t>nterest and reliance upon the MO</w:t>
      </w:r>
      <w:r w:rsidRPr="0013130B">
        <w:rPr>
          <w:rFonts w:ascii="Times New Roman" w:hAnsi="Times New Roman" w:cs="Times New Roman"/>
          <w:sz w:val="22"/>
          <w:szCs w:val="22"/>
          <w:lang w:val="en-GB"/>
        </w:rPr>
        <w:t>J and its information resources.</w:t>
      </w:r>
    </w:p>
    <w:p w:rsidR="002D1EE7" w:rsidRPr="00647752" w:rsidRDefault="002D1EE7" w:rsidP="002D1EE7">
      <w:p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Times New Roman" w:hAnsi="Times New Roman" w:cs="Times New Roman"/>
          <w:sz w:val="22"/>
          <w:szCs w:val="22"/>
          <w:lang w:val="en-GB"/>
        </w:rPr>
      </w:pPr>
      <w:r w:rsidRPr="0013130B">
        <w:rPr>
          <w:rFonts w:ascii="Times New Roman" w:hAnsi="Times New Roman" w:cs="Times New Roman"/>
          <w:b/>
          <w:sz w:val="22"/>
          <w:szCs w:val="22"/>
          <w:lang w:val="en-GB"/>
        </w:rPr>
        <w:t>Recommendation 8</w:t>
      </w:r>
      <w:r>
        <w:rPr>
          <w:rFonts w:ascii="Times New Roman" w:hAnsi="Times New Roman" w:cs="Times New Roman"/>
          <w:sz w:val="22"/>
          <w:szCs w:val="22"/>
          <w:lang w:val="en-GB"/>
        </w:rPr>
        <w:t xml:space="preserve">: </w:t>
      </w:r>
      <w:r w:rsidRPr="00647752">
        <w:rPr>
          <w:rFonts w:ascii="Times New Roman" w:hAnsi="Times New Roman" w:cs="Times New Roman"/>
          <w:sz w:val="22"/>
          <w:szCs w:val="22"/>
          <w:lang w:val="en-GB"/>
        </w:rPr>
        <w:t>Going forward</w:t>
      </w:r>
      <w:r>
        <w:rPr>
          <w:rFonts w:ascii="Times New Roman" w:hAnsi="Times New Roman" w:cs="Times New Roman"/>
          <w:sz w:val="22"/>
          <w:szCs w:val="22"/>
          <w:lang w:val="en-GB"/>
        </w:rPr>
        <w:t>,</w:t>
      </w:r>
      <w:r w:rsidRPr="00647752">
        <w:rPr>
          <w:rFonts w:ascii="Times New Roman" w:hAnsi="Times New Roman" w:cs="Times New Roman"/>
          <w:sz w:val="22"/>
          <w:szCs w:val="22"/>
          <w:lang w:val="en-GB"/>
        </w:rPr>
        <w:t xml:space="preserve"> UNDP should provide tailored support to </w:t>
      </w:r>
      <w:r>
        <w:rPr>
          <w:rFonts w:ascii="Times New Roman" w:hAnsi="Times New Roman" w:cs="Times New Roman"/>
          <w:sz w:val="22"/>
          <w:szCs w:val="22"/>
          <w:lang w:val="en-GB"/>
        </w:rPr>
        <w:t xml:space="preserve">further </w:t>
      </w:r>
      <w:r w:rsidRPr="00647752">
        <w:rPr>
          <w:rFonts w:ascii="Times New Roman" w:hAnsi="Times New Roman" w:cs="Times New Roman"/>
          <w:sz w:val="22"/>
          <w:szCs w:val="22"/>
          <w:lang w:val="en-GB"/>
        </w:rPr>
        <w:t>enhance the capacity of</w:t>
      </w:r>
      <w:r>
        <w:rPr>
          <w:rFonts w:ascii="Times New Roman" w:hAnsi="Times New Roman" w:cs="Times New Roman"/>
          <w:sz w:val="22"/>
          <w:szCs w:val="22"/>
          <w:lang w:val="en-GB"/>
        </w:rPr>
        <w:t xml:space="preserve"> the Justice Information Centre</w:t>
      </w:r>
      <w:r w:rsidRPr="00647752">
        <w:rPr>
          <w:rFonts w:ascii="Times New Roman" w:hAnsi="Times New Roman" w:cs="Times New Roman"/>
          <w:sz w:val="22"/>
          <w:szCs w:val="22"/>
          <w:lang w:val="en-GB"/>
        </w:rPr>
        <w:t xml:space="preserve"> in order to educate the public on th</w:t>
      </w:r>
      <w:r>
        <w:rPr>
          <w:rFonts w:ascii="Times New Roman" w:hAnsi="Times New Roman" w:cs="Times New Roman"/>
          <w:sz w:val="22"/>
          <w:szCs w:val="22"/>
          <w:lang w:val="en-GB"/>
        </w:rPr>
        <w:t>e core public services of the MO</w:t>
      </w:r>
      <w:r w:rsidRPr="00647752">
        <w:rPr>
          <w:rFonts w:ascii="Times New Roman" w:hAnsi="Times New Roman" w:cs="Times New Roman"/>
          <w:sz w:val="22"/>
          <w:szCs w:val="22"/>
          <w:lang w:val="en-GB"/>
        </w:rPr>
        <w:t xml:space="preserve">J and how to obtain access to them. </w:t>
      </w:r>
    </w:p>
    <w:p w:rsidR="002D1EE7" w:rsidRPr="00647752" w:rsidRDefault="002D1EE7" w:rsidP="002D1EE7">
      <w:pPr>
        <w:spacing w:after="0" w:line="240" w:lineRule="auto"/>
        <w:contextualSpacing/>
        <w:jc w:val="both"/>
        <w:rPr>
          <w:rFonts w:ascii="Times New Roman" w:hAnsi="Times New Roman" w:cs="Times New Roman"/>
          <w:sz w:val="22"/>
          <w:szCs w:val="22"/>
          <w:lang w:val="en-GB"/>
        </w:rPr>
      </w:pPr>
    </w:p>
    <w:p w:rsidR="002D1EE7" w:rsidRPr="0013130B" w:rsidRDefault="002D1EE7" w:rsidP="002D1EE7">
      <w:p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Times New Roman" w:hAnsi="Times New Roman" w:cs="Times New Roman"/>
          <w:sz w:val="22"/>
          <w:szCs w:val="22"/>
          <w:lang w:val="en-GB"/>
        </w:rPr>
      </w:pPr>
      <w:r w:rsidRPr="0013130B">
        <w:rPr>
          <w:rFonts w:ascii="Times New Roman" w:hAnsi="Times New Roman" w:cs="Times New Roman"/>
          <w:b/>
          <w:sz w:val="22"/>
          <w:szCs w:val="22"/>
          <w:lang w:val="en-GB"/>
        </w:rPr>
        <w:t>Conclusion 9</w:t>
      </w:r>
      <w:r>
        <w:rPr>
          <w:rFonts w:ascii="Times New Roman" w:hAnsi="Times New Roman" w:cs="Times New Roman"/>
          <w:b/>
          <w:sz w:val="22"/>
          <w:szCs w:val="22"/>
          <w:lang w:val="en-GB"/>
        </w:rPr>
        <w:t xml:space="preserve">: </w:t>
      </w:r>
      <w:r w:rsidRPr="0013130B">
        <w:rPr>
          <w:rFonts w:ascii="Times New Roman" w:hAnsi="Times New Roman" w:cs="Times New Roman"/>
          <w:sz w:val="22"/>
          <w:szCs w:val="22"/>
          <w:lang w:val="en-GB"/>
        </w:rPr>
        <w:t>UNDP technical experts based at the AGO as well as UNDP trainings have significantly improved the work of the AGO (and beyond this, ma</w:t>
      </w:r>
      <w:r>
        <w:rPr>
          <w:rFonts w:ascii="Times New Roman" w:hAnsi="Times New Roman" w:cs="Times New Roman"/>
          <w:sz w:val="22"/>
          <w:szCs w:val="22"/>
          <w:lang w:val="en-GB"/>
        </w:rPr>
        <w:t xml:space="preserve">de in-kind contributions to </w:t>
      </w:r>
      <w:r w:rsidRPr="0013130B">
        <w:rPr>
          <w:rFonts w:ascii="Times New Roman" w:hAnsi="Times New Roman" w:cs="Times New Roman"/>
          <w:sz w:val="22"/>
          <w:szCs w:val="22"/>
          <w:lang w:val="en-GB"/>
        </w:rPr>
        <w:t>projects</w:t>
      </w:r>
      <w:r>
        <w:rPr>
          <w:rFonts w:ascii="Times New Roman" w:hAnsi="Times New Roman" w:cs="Times New Roman"/>
          <w:sz w:val="22"/>
          <w:szCs w:val="22"/>
          <w:lang w:val="en-GB"/>
        </w:rPr>
        <w:t xml:space="preserve">/programmes implemented by other donors). </w:t>
      </w:r>
      <w:r w:rsidRPr="0013130B">
        <w:rPr>
          <w:rFonts w:ascii="Times New Roman" w:hAnsi="Times New Roman" w:cs="Times New Roman"/>
          <w:sz w:val="22"/>
          <w:szCs w:val="22"/>
          <w:lang w:val="en-GB"/>
        </w:rPr>
        <w:t xml:space="preserve">The place of the AGO within the justice system, however, continues to be a subject </w:t>
      </w:r>
      <w:r>
        <w:rPr>
          <w:rFonts w:ascii="Times New Roman" w:hAnsi="Times New Roman" w:cs="Times New Roman"/>
          <w:sz w:val="22"/>
          <w:szCs w:val="22"/>
          <w:lang w:val="en-GB"/>
        </w:rPr>
        <w:t>of debate and t</w:t>
      </w:r>
      <w:r w:rsidRPr="0013130B">
        <w:rPr>
          <w:rFonts w:ascii="Times New Roman" w:hAnsi="Times New Roman" w:cs="Times New Roman"/>
          <w:sz w:val="22"/>
          <w:szCs w:val="22"/>
          <w:lang w:val="en-GB"/>
        </w:rPr>
        <w:t>here is a lack of coherence within t</w:t>
      </w:r>
      <w:r>
        <w:rPr>
          <w:rFonts w:ascii="Times New Roman" w:hAnsi="Times New Roman" w:cs="Times New Roman"/>
          <w:sz w:val="22"/>
          <w:szCs w:val="22"/>
          <w:lang w:val="en-GB"/>
        </w:rPr>
        <w:t>he donor community on whether MO</w:t>
      </w:r>
      <w:r w:rsidRPr="0013130B">
        <w:rPr>
          <w:rFonts w:ascii="Times New Roman" w:hAnsi="Times New Roman" w:cs="Times New Roman"/>
          <w:sz w:val="22"/>
          <w:szCs w:val="22"/>
          <w:lang w:val="en-GB"/>
        </w:rPr>
        <w:t xml:space="preserve">J or </w:t>
      </w:r>
      <w:r>
        <w:rPr>
          <w:rFonts w:ascii="Times New Roman" w:hAnsi="Times New Roman" w:cs="Times New Roman"/>
          <w:sz w:val="22"/>
          <w:szCs w:val="22"/>
          <w:lang w:val="en-GB"/>
        </w:rPr>
        <w:t xml:space="preserve">the </w:t>
      </w:r>
      <w:r w:rsidRPr="0013130B">
        <w:rPr>
          <w:rFonts w:ascii="Times New Roman" w:hAnsi="Times New Roman" w:cs="Times New Roman"/>
          <w:sz w:val="22"/>
          <w:szCs w:val="22"/>
          <w:lang w:val="en-GB"/>
        </w:rPr>
        <w:t xml:space="preserve">HJC has responsibility for the AGO and its prosecutors.   </w:t>
      </w:r>
    </w:p>
    <w:p w:rsidR="002D1EE7" w:rsidRPr="00647752" w:rsidRDefault="002D1EE7" w:rsidP="002D1EE7">
      <w:p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Times New Roman" w:hAnsi="Times New Roman" w:cs="Times New Roman"/>
          <w:sz w:val="22"/>
          <w:szCs w:val="22"/>
          <w:lang w:val="en-GB"/>
        </w:rPr>
      </w:pPr>
      <w:r w:rsidRPr="0013130B">
        <w:rPr>
          <w:rFonts w:ascii="Times New Roman" w:hAnsi="Times New Roman" w:cs="Times New Roman"/>
          <w:b/>
          <w:sz w:val="22"/>
          <w:szCs w:val="22"/>
          <w:lang w:val="en-GB"/>
        </w:rPr>
        <w:t>Recommendation 9</w:t>
      </w:r>
      <w:r>
        <w:rPr>
          <w:rFonts w:ascii="Times New Roman" w:hAnsi="Times New Roman" w:cs="Times New Roman"/>
          <w:b/>
          <w:sz w:val="22"/>
          <w:szCs w:val="22"/>
          <w:lang w:val="en-GB"/>
        </w:rPr>
        <w:t>:</w:t>
      </w:r>
      <w:r w:rsidRPr="0013130B">
        <w:rPr>
          <w:rFonts w:ascii="Times New Roman" w:hAnsi="Times New Roman" w:cs="Times New Roman"/>
          <w:sz w:val="22"/>
          <w:szCs w:val="22"/>
          <w:lang w:val="en-GB"/>
        </w:rPr>
        <w:t xml:space="preserve">UNDP and </w:t>
      </w:r>
      <w:r>
        <w:rPr>
          <w:rFonts w:ascii="Times New Roman" w:hAnsi="Times New Roman" w:cs="Times New Roman"/>
          <w:sz w:val="22"/>
          <w:szCs w:val="22"/>
          <w:lang w:val="en-GB"/>
        </w:rPr>
        <w:t xml:space="preserve">its </w:t>
      </w:r>
      <w:r w:rsidRPr="0013130B">
        <w:rPr>
          <w:rFonts w:ascii="Times New Roman" w:hAnsi="Times New Roman" w:cs="Times New Roman"/>
          <w:sz w:val="22"/>
          <w:szCs w:val="22"/>
          <w:lang w:val="en-GB"/>
        </w:rPr>
        <w:t>donors should firmly decide for themselves w</w:t>
      </w:r>
      <w:r>
        <w:rPr>
          <w:rFonts w:ascii="Times New Roman" w:hAnsi="Times New Roman" w:cs="Times New Roman"/>
          <w:sz w:val="22"/>
          <w:szCs w:val="22"/>
          <w:lang w:val="en-GB"/>
        </w:rPr>
        <w:t>hether the AGO is part of the MO</w:t>
      </w:r>
      <w:r w:rsidRPr="0013130B">
        <w:rPr>
          <w:rFonts w:ascii="Times New Roman" w:hAnsi="Times New Roman" w:cs="Times New Roman"/>
          <w:sz w:val="22"/>
          <w:szCs w:val="22"/>
          <w:lang w:val="en-GB"/>
        </w:rPr>
        <w:t>J or the HJC.</w:t>
      </w:r>
      <w:r w:rsidR="000063A3">
        <w:rPr>
          <w:rFonts w:ascii="Times New Roman" w:hAnsi="Times New Roman" w:cs="Times New Roman"/>
          <w:sz w:val="22"/>
          <w:szCs w:val="22"/>
          <w:lang w:val="en-GB"/>
        </w:rPr>
        <w:t xml:space="preserve"> </w:t>
      </w:r>
      <w:r w:rsidRPr="00647752">
        <w:rPr>
          <w:rFonts w:ascii="Times New Roman" w:hAnsi="Times New Roman" w:cs="Times New Roman"/>
          <w:sz w:val="22"/>
          <w:szCs w:val="22"/>
          <w:lang w:val="en-GB"/>
        </w:rPr>
        <w:t>This must be based upon a fi</w:t>
      </w:r>
      <w:r>
        <w:rPr>
          <w:rFonts w:ascii="Times New Roman" w:hAnsi="Times New Roman" w:cs="Times New Roman"/>
          <w:sz w:val="22"/>
          <w:szCs w:val="22"/>
          <w:lang w:val="en-GB"/>
        </w:rPr>
        <w:t xml:space="preserve">rm legal analysis of </w:t>
      </w:r>
      <w:r w:rsidRPr="00647752">
        <w:rPr>
          <w:rFonts w:ascii="Times New Roman" w:hAnsi="Times New Roman" w:cs="Times New Roman"/>
          <w:sz w:val="22"/>
          <w:szCs w:val="22"/>
          <w:lang w:val="en-GB"/>
        </w:rPr>
        <w:t>with r</w:t>
      </w:r>
      <w:r>
        <w:rPr>
          <w:rFonts w:ascii="Times New Roman" w:hAnsi="Times New Roman" w:cs="Times New Roman"/>
          <w:sz w:val="22"/>
          <w:szCs w:val="22"/>
          <w:lang w:val="en-GB"/>
        </w:rPr>
        <w:t>eference to the Basic Law (2003)</w:t>
      </w:r>
      <w:r w:rsidRPr="00647752">
        <w:rPr>
          <w:rFonts w:ascii="Times New Roman" w:hAnsi="Times New Roman" w:cs="Times New Roman"/>
          <w:sz w:val="22"/>
          <w:szCs w:val="22"/>
          <w:lang w:val="en-GB"/>
        </w:rPr>
        <w:t xml:space="preserve">, </w:t>
      </w:r>
      <w:r>
        <w:rPr>
          <w:rFonts w:ascii="Times New Roman" w:hAnsi="Times New Roman" w:cs="Times New Roman"/>
          <w:sz w:val="22"/>
          <w:szCs w:val="22"/>
          <w:lang w:val="en-GB"/>
        </w:rPr>
        <w:t>the Judicial Authority Law (</w:t>
      </w:r>
      <w:r w:rsidRPr="00647752">
        <w:rPr>
          <w:rFonts w:ascii="Times New Roman" w:hAnsi="Times New Roman" w:cs="Times New Roman"/>
          <w:sz w:val="22"/>
          <w:szCs w:val="22"/>
          <w:lang w:val="en-GB"/>
        </w:rPr>
        <w:t>2002</w:t>
      </w:r>
      <w:r>
        <w:rPr>
          <w:rFonts w:ascii="Times New Roman" w:hAnsi="Times New Roman" w:cs="Times New Roman"/>
          <w:sz w:val="22"/>
          <w:szCs w:val="22"/>
          <w:lang w:val="en-GB"/>
        </w:rPr>
        <w:t>)</w:t>
      </w:r>
      <w:r w:rsidRPr="00647752">
        <w:rPr>
          <w:rFonts w:ascii="Times New Roman" w:hAnsi="Times New Roman" w:cs="Times New Roman"/>
          <w:sz w:val="22"/>
          <w:szCs w:val="22"/>
          <w:lang w:val="en-GB"/>
        </w:rPr>
        <w:t>, historical antecedents and</w:t>
      </w:r>
      <w:r>
        <w:rPr>
          <w:rFonts w:ascii="Times New Roman" w:hAnsi="Times New Roman" w:cs="Times New Roman"/>
          <w:sz w:val="22"/>
          <w:szCs w:val="22"/>
          <w:lang w:val="en-GB"/>
        </w:rPr>
        <w:t xml:space="preserve"> international best practice. </w:t>
      </w:r>
      <w:r w:rsidRPr="00647752">
        <w:rPr>
          <w:rFonts w:ascii="Times New Roman" w:hAnsi="Times New Roman" w:cs="Times New Roman"/>
          <w:sz w:val="22"/>
          <w:szCs w:val="22"/>
          <w:lang w:val="en-GB"/>
        </w:rPr>
        <w:t>UNDP needs to assume a position</w:t>
      </w:r>
      <w:r>
        <w:rPr>
          <w:rFonts w:ascii="Times New Roman" w:hAnsi="Times New Roman" w:cs="Times New Roman"/>
          <w:sz w:val="22"/>
          <w:szCs w:val="22"/>
          <w:lang w:val="en-GB"/>
        </w:rPr>
        <w:t xml:space="preserve"> of leadership on this issue. </w:t>
      </w:r>
      <w:r w:rsidRPr="00647752">
        <w:rPr>
          <w:rFonts w:ascii="Times New Roman" w:hAnsi="Times New Roman" w:cs="Times New Roman"/>
          <w:sz w:val="22"/>
          <w:szCs w:val="22"/>
          <w:lang w:val="en-GB"/>
        </w:rPr>
        <w:t>Donors may wish to raise this issue at the political level in order to reach agreement among the three institutions and increase momen</w:t>
      </w:r>
      <w:r>
        <w:rPr>
          <w:rFonts w:ascii="Times New Roman" w:hAnsi="Times New Roman" w:cs="Times New Roman"/>
          <w:sz w:val="22"/>
          <w:szCs w:val="22"/>
          <w:lang w:val="en-GB"/>
        </w:rPr>
        <w:t>tum on justice sector reform</w:t>
      </w:r>
      <w:r w:rsidRPr="00647752">
        <w:rPr>
          <w:rFonts w:ascii="Times New Roman" w:hAnsi="Times New Roman" w:cs="Times New Roman"/>
          <w:sz w:val="22"/>
          <w:szCs w:val="22"/>
          <w:lang w:val="en-GB"/>
        </w:rPr>
        <w:t>. Meanwhile, UNDP should continue building the capacity of the AGO, especially the sustainability of the PPMU</w:t>
      </w:r>
      <w:r>
        <w:rPr>
          <w:rFonts w:ascii="Times New Roman" w:hAnsi="Times New Roman" w:cs="Times New Roman"/>
          <w:sz w:val="22"/>
          <w:szCs w:val="22"/>
          <w:lang w:val="en-GB"/>
        </w:rPr>
        <w:t>,</w:t>
      </w:r>
      <w:r w:rsidRPr="00647752">
        <w:rPr>
          <w:rFonts w:ascii="Times New Roman" w:hAnsi="Times New Roman" w:cs="Times New Roman"/>
          <w:sz w:val="22"/>
          <w:szCs w:val="22"/>
          <w:lang w:val="en-GB"/>
        </w:rPr>
        <w:t xml:space="preserve"> and to support the capacity development of AGO staff (especially administrative staff and </w:t>
      </w:r>
      <w:r>
        <w:rPr>
          <w:rFonts w:ascii="Times New Roman" w:hAnsi="Times New Roman" w:cs="Times New Roman"/>
          <w:sz w:val="22"/>
          <w:szCs w:val="22"/>
          <w:lang w:val="en-GB"/>
        </w:rPr>
        <w:t>with regard to M&amp;E capacities.</w:t>
      </w:r>
    </w:p>
    <w:p w:rsidR="002D1EE7" w:rsidRPr="00647752" w:rsidRDefault="002D1EE7" w:rsidP="002D1EE7">
      <w:pPr>
        <w:spacing w:after="0" w:line="240" w:lineRule="auto"/>
        <w:contextualSpacing/>
        <w:jc w:val="both"/>
        <w:rPr>
          <w:rFonts w:ascii="Times New Roman" w:hAnsi="Times New Roman" w:cs="Times New Roman"/>
          <w:sz w:val="22"/>
          <w:szCs w:val="22"/>
          <w:lang w:val="en-GB"/>
        </w:rPr>
      </w:pPr>
    </w:p>
    <w:p w:rsidR="002D1EE7" w:rsidRPr="00125F09" w:rsidRDefault="002D1EE7" w:rsidP="002D1EE7">
      <w:p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Times New Roman" w:hAnsi="Times New Roman" w:cs="Times New Roman"/>
          <w:sz w:val="22"/>
          <w:szCs w:val="22"/>
          <w:lang w:val="en-GB"/>
        </w:rPr>
      </w:pPr>
      <w:r w:rsidRPr="00125F09">
        <w:rPr>
          <w:rFonts w:ascii="Times New Roman" w:hAnsi="Times New Roman" w:cs="Times New Roman"/>
          <w:b/>
          <w:sz w:val="22"/>
          <w:szCs w:val="22"/>
          <w:lang w:val="en-GB"/>
        </w:rPr>
        <w:lastRenderedPageBreak/>
        <w:t>Conclusion 10</w:t>
      </w:r>
      <w:r>
        <w:rPr>
          <w:rFonts w:ascii="Times New Roman" w:hAnsi="Times New Roman" w:cs="Times New Roman"/>
          <w:b/>
          <w:sz w:val="22"/>
          <w:szCs w:val="22"/>
          <w:lang w:val="en-GB"/>
        </w:rPr>
        <w:t>:</w:t>
      </w:r>
      <w:r w:rsidRPr="00125F09">
        <w:rPr>
          <w:rFonts w:ascii="Times New Roman" w:hAnsi="Times New Roman" w:cs="Times New Roman"/>
          <w:sz w:val="22"/>
          <w:szCs w:val="22"/>
          <w:lang w:val="en-GB"/>
        </w:rPr>
        <w:t>UNDP’s overall impact upon the HJC and the courts has been strong to date (especially with regard to strengthening of the PPMU, establishment of court information points, judicial training</w:t>
      </w:r>
      <w:r>
        <w:rPr>
          <w:rFonts w:ascii="Times New Roman" w:hAnsi="Times New Roman" w:cs="Times New Roman"/>
          <w:sz w:val="22"/>
          <w:szCs w:val="22"/>
          <w:lang w:val="en-GB"/>
        </w:rPr>
        <w:t xml:space="preserve"> and development of the MIZAN2 case management system). </w:t>
      </w:r>
      <w:r w:rsidRPr="00125F09">
        <w:rPr>
          <w:rFonts w:ascii="Times New Roman" w:hAnsi="Times New Roman" w:cs="Times New Roman"/>
          <w:sz w:val="22"/>
          <w:szCs w:val="22"/>
          <w:lang w:val="en-GB"/>
        </w:rPr>
        <w:t>Yet, the HJC feels that it has received a smaller percentage of UNDP funding than it should have given the i</w:t>
      </w:r>
      <w:r>
        <w:rPr>
          <w:rFonts w:ascii="Times New Roman" w:hAnsi="Times New Roman" w:cs="Times New Roman"/>
          <w:sz w:val="22"/>
          <w:szCs w:val="22"/>
          <w:lang w:val="en-GB"/>
        </w:rPr>
        <w:t>mportance and functions of the judiciary</w:t>
      </w:r>
      <w:r w:rsidRPr="00125F09">
        <w:rPr>
          <w:rFonts w:ascii="Times New Roman" w:hAnsi="Times New Roman" w:cs="Times New Roman"/>
          <w:sz w:val="22"/>
          <w:szCs w:val="22"/>
          <w:lang w:val="en-GB"/>
        </w:rPr>
        <w:t xml:space="preserve">. </w:t>
      </w:r>
    </w:p>
    <w:p w:rsidR="002D1EE7" w:rsidRPr="00125F09" w:rsidRDefault="002D1EE7" w:rsidP="002D1EE7">
      <w:p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Times New Roman" w:hAnsi="Times New Roman" w:cs="Times New Roman"/>
          <w:sz w:val="22"/>
          <w:szCs w:val="22"/>
          <w:lang w:val="en-GB"/>
        </w:rPr>
      </w:pPr>
      <w:r w:rsidRPr="00125F09">
        <w:rPr>
          <w:rFonts w:ascii="Times New Roman" w:hAnsi="Times New Roman" w:cs="Times New Roman"/>
          <w:b/>
          <w:sz w:val="22"/>
          <w:szCs w:val="22"/>
          <w:lang w:val="en-GB"/>
        </w:rPr>
        <w:t>Recommendation 10</w:t>
      </w:r>
      <w:r>
        <w:rPr>
          <w:rFonts w:ascii="Times New Roman" w:hAnsi="Times New Roman" w:cs="Times New Roman"/>
          <w:b/>
          <w:sz w:val="22"/>
          <w:szCs w:val="22"/>
          <w:lang w:val="en-GB"/>
        </w:rPr>
        <w:t>:</w:t>
      </w:r>
      <w:r w:rsidRPr="00125F09">
        <w:rPr>
          <w:rFonts w:ascii="Times New Roman" w:hAnsi="Times New Roman" w:cs="Times New Roman"/>
          <w:sz w:val="22"/>
          <w:szCs w:val="22"/>
          <w:lang w:val="en-GB"/>
        </w:rPr>
        <w:t xml:space="preserve">Going forward, UNDP is urged </w:t>
      </w:r>
      <w:r>
        <w:rPr>
          <w:rFonts w:ascii="Times New Roman" w:hAnsi="Times New Roman" w:cs="Times New Roman"/>
          <w:sz w:val="22"/>
          <w:szCs w:val="22"/>
          <w:lang w:val="en-GB"/>
        </w:rPr>
        <w:t>to readjust its focus upon the three core</w:t>
      </w:r>
      <w:r w:rsidRPr="00125F09">
        <w:rPr>
          <w:rFonts w:ascii="Times New Roman" w:hAnsi="Times New Roman" w:cs="Times New Roman"/>
          <w:sz w:val="22"/>
          <w:szCs w:val="22"/>
          <w:lang w:val="en-GB"/>
        </w:rPr>
        <w:t xml:space="preserve"> justice institutions, so as to increase and upscale its programming for</w:t>
      </w:r>
      <w:r>
        <w:rPr>
          <w:rFonts w:ascii="Times New Roman" w:hAnsi="Times New Roman" w:cs="Times New Roman"/>
          <w:sz w:val="22"/>
          <w:szCs w:val="22"/>
          <w:lang w:val="en-GB"/>
        </w:rPr>
        <w:t xml:space="preserve"> the HJC </w:t>
      </w:r>
      <w:r w:rsidRPr="00125F09">
        <w:rPr>
          <w:rFonts w:ascii="Times New Roman" w:hAnsi="Times New Roman" w:cs="Times New Roman"/>
          <w:sz w:val="22"/>
          <w:szCs w:val="22"/>
          <w:lang w:val="en-GB"/>
        </w:rPr>
        <w:t xml:space="preserve">and </w:t>
      </w:r>
      <w:r>
        <w:rPr>
          <w:rFonts w:ascii="Times New Roman" w:hAnsi="Times New Roman" w:cs="Times New Roman"/>
          <w:sz w:val="22"/>
          <w:szCs w:val="22"/>
          <w:lang w:val="en-GB"/>
        </w:rPr>
        <w:t xml:space="preserve">the AGO. UNDP could expand its </w:t>
      </w:r>
      <w:r w:rsidRPr="00125F09">
        <w:rPr>
          <w:rFonts w:ascii="Times New Roman" w:hAnsi="Times New Roman" w:cs="Times New Roman"/>
          <w:sz w:val="22"/>
          <w:szCs w:val="22"/>
          <w:lang w:val="en-GB"/>
        </w:rPr>
        <w:t xml:space="preserve">support in specific areas such as inspection, enforcement, gender responsiveness, M&amp;E, and juvenile courts if the juvenile justice law is passed. UNDP should monitor some of the </w:t>
      </w:r>
      <w:r>
        <w:rPr>
          <w:rFonts w:ascii="Times New Roman" w:hAnsi="Times New Roman" w:cs="Times New Roman"/>
          <w:sz w:val="22"/>
          <w:szCs w:val="22"/>
          <w:lang w:val="en-GB"/>
        </w:rPr>
        <w:t xml:space="preserve">emerging issues of specialised courts in the West Bank (e.g. administrative courts, </w:t>
      </w:r>
      <w:r w:rsidRPr="00125F09">
        <w:rPr>
          <w:rFonts w:ascii="Times New Roman" w:hAnsi="Times New Roman" w:cs="Times New Roman"/>
          <w:sz w:val="22"/>
          <w:szCs w:val="22"/>
          <w:lang w:val="en-GB"/>
        </w:rPr>
        <w:t xml:space="preserve">corruption </w:t>
      </w:r>
      <w:r>
        <w:rPr>
          <w:rFonts w:ascii="Times New Roman" w:hAnsi="Times New Roman" w:cs="Times New Roman"/>
          <w:sz w:val="22"/>
          <w:szCs w:val="22"/>
          <w:lang w:val="en-GB"/>
        </w:rPr>
        <w:t xml:space="preserve">crimes court etc.). </w:t>
      </w:r>
      <w:r w:rsidRPr="00125F09">
        <w:rPr>
          <w:rFonts w:ascii="Times New Roman" w:hAnsi="Times New Roman" w:cs="Times New Roman"/>
          <w:sz w:val="22"/>
          <w:szCs w:val="22"/>
          <w:lang w:val="en-GB"/>
        </w:rPr>
        <w:t>Bringing the military justice system closer in-line with the civil court system (i.e. defining the persons to whom military justice applies; fair trials standards and the nexus with civil court procedures) could</w:t>
      </w:r>
      <w:r w:rsidR="000063A3">
        <w:rPr>
          <w:rFonts w:ascii="Times New Roman" w:hAnsi="Times New Roman" w:cs="Times New Roman"/>
          <w:sz w:val="22"/>
          <w:szCs w:val="22"/>
          <w:lang w:val="en-GB"/>
        </w:rPr>
        <w:t xml:space="preserve"> </w:t>
      </w:r>
      <w:r w:rsidRPr="00125F09">
        <w:rPr>
          <w:rFonts w:ascii="Times New Roman" w:hAnsi="Times New Roman" w:cs="Times New Roman"/>
          <w:sz w:val="22"/>
          <w:szCs w:val="22"/>
          <w:lang w:val="en-GB"/>
        </w:rPr>
        <w:t>also be an area of lim</w:t>
      </w:r>
      <w:r>
        <w:rPr>
          <w:rFonts w:ascii="Times New Roman" w:hAnsi="Times New Roman" w:cs="Times New Roman"/>
          <w:sz w:val="22"/>
          <w:szCs w:val="22"/>
          <w:lang w:val="en-GB"/>
        </w:rPr>
        <w:t xml:space="preserve">ited UNDP engagement - </w:t>
      </w:r>
      <w:r w:rsidRPr="00125F09">
        <w:rPr>
          <w:rFonts w:ascii="Times New Roman" w:hAnsi="Times New Roman" w:cs="Times New Roman"/>
          <w:sz w:val="22"/>
          <w:szCs w:val="22"/>
          <w:lang w:val="en-GB"/>
        </w:rPr>
        <w:t xml:space="preserve">resources permitting and only if such engagement would not overstretch UNDP’s existing programme. </w:t>
      </w:r>
    </w:p>
    <w:p w:rsidR="002D1EE7" w:rsidRPr="00125F09" w:rsidRDefault="002D1EE7" w:rsidP="002D1EE7">
      <w:pPr>
        <w:spacing w:after="0" w:line="240" w:lineRule="auto"/>
        <w:contextualSpacing/>
        <w:jc w:val="both"/>
        <w:rPr>
          <w:rFonts w:ascii="Times New Roman" w:hAnsi="Times New Roman" w:cs="Times New Roman"/>
          <w:sz w:val="22"/>
          <w:szCs w:val="22"/>
          <w:lang w:val="en-GB"/>
        </w:rPr>
      </w:pPr>
    </w:p>
    <w:p w:rsidR="002D1EE7" w:rsidRPr="00125F09" w:rsidRDefault="002D1EE7" w:rsidP="002D1EE7">
      <w:p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Times New Roman" w:hAnsi="Times New Roman" w:cs="Times New Roman"/>
          <w:sz w:val="22"/>
          <w:szCs w:val="22"/>
          <w:lang w:val="en-GB"/>
        </w:rPr>
      </w:pPr>
      <w:r w:rsidRPr="00125F09">
        <w:rPr>
          <w:rFonts w:ascii="Times New Roman" w:hAnsi="Times New Roman" w:cs="Times New Roman"/>
          <w:b/>
          <w:sz w:val="22"/>
          <w:szCs w:val="22"/>
          <w:lang w:val="en-GB"/>
        </w:rPr>
        <w:t>Conclusion 11</w:t>
      </w:r>
      <w:r>
        <w:rPr>
          <w:rFonts w:ascii="Times New Roman" w:hAnsi="Times New Roman" w:cs="Times New Roman"/>
          <w:b/>
          <w:sz w:val="22"/>
          <w:szCs w:val="22"/>
          <w:lang w:val="en-GB"/>
        </w:rPr>
        <w:t>:</w:t>
      </w:r>
      <w:r>
        <w:rPr>
          <w:rFonts w:ascii="Times New Roman" w:hAnsi="Times New Roman" w:cs="Times New Roman"/>
          <w:sz w:val="22"/>
          <w:szCs w:val="22"/>
          <w:lang w:val="en-GB"/>
        </w:rPr>
        <w:t xml:space="preserve"> MIZAN2</w:t>
      </w:r>
      <w:r w:rsidRPr="00125F09">
        <w:rPr>
          <w:rFonts w:ascii="Times New Roman" w:hAnsi="Times New Roman" w:cs="Times New Roman"/>
          <w:sz w:val="22"/>
          <w:szCs w:val="22"/>
          <w:lang w:val="en-GB"/>
        </w:rPr>
        <w:t xml:space="preserve"> is widely used by the </w:t>
      </w:r>
      <w:r>
        <w:rPr>
          <w:rFonts w:ascii="Times New Roman" w:hAnsi="Times New Roman" w:cs="Times New Roman"/>
          <w:sz w:val="22"/>
          <w:szCs w:val="22"/>
          <w:lang w:val="en-GB"/>
        </w:rPr>
        <w:t xml:space="preserve">justice institutions, academia and </w:t>
      </w:r>
      <w:r w:rsidRPr="00125F09">
        <w:rPr>
          <w:rFonts w:ascii="Times New Roman" w:hAnsi="Times New Roman" w:cs="Times New Roman"/>
          <w:sz w:val="22"/>
          <w:szCs w:val="22"/>
          <w:lang w:val="en-GB"/>
        </w:rPr>
        <w:t>me</w:t>
      </w:r>
      <w:r>
        <w:rPr>
          <w:rFonts w:ascii="Times New Roman" w:hAnsi="Times New Roman" w:cs="Times New Roman"/>
          <w:sz w:val="22"/>
          <w:szCs w:val="22"/>
          <w:lang w:val="en-GB"/>
        </w:rPr>
        <w:t>mbers of the legal profession. The system</w:t>
      </w:r>
      <w:r w:rsidRPr="00125F09">
        <w:rPr>
          <w:rFonts w:ascii="Times New Roman" w:hAnsi="Times New Roman" w:cs="Times New Roman"/>
          <w:sz w:val="22"/>
          <w:szCs w:val="22"/>
          <w:lang w:val="en-GB"/>
        </w:rPr>
        <w:t xml:space="preserve"> is still being </w:t>
      </w:r>
      <w:r>
        <w:rPr>
          <w:rFonts w:ascii="Times New Roman" w:hAnsi="Times New Roman" w:cs="Times New Roman"/>
          <w:sz w:val="22"/>
          <w:szCs w:val="22"/>
          <w:lang w:val="en-GB"/>
        </w:rPr>
        <w:t xml:space="preserve">rolled out (i.e. </w:t>
      </w:r>
      <w:r w:rsidRPr="00D22A9A">
        <w:rPr>
          <w:rFonts w:ascii="Times New Roman" w:hAnsi="Times New Roman" w:cs="Times New Roman"/>
          <w:i/>
          <w:sz w:val="22"/>
          <w:szCs w:val="22"/>
          <w:lang w:val="en-GB"/>
        </w:rPr>
        <w:t>shari’a</w:t>
      </w:r>
      <w:r w:rsidR="00E8775C">
        <w:rPr>
          <w:rFonts w:ascii="Times New Roman" w:hAnsi="Times New Roman" w:cs="Times New Roman"/>
          <w:i/>
          <w:sz w:val="22"/>
          <w:szCs w:val="22"/>
          <w:lang w:val="en-GB"/>
        </w:rPr>
        <w:t xml:space="preserve"> </w:t>
      </w:r>
      <w:r w:rsidRPr="00125F09">
        <w:rPr>
          <w:rFonts w:ascii="Times New Roman" w:hAnsi="Times New Roman" w:cs="Times New Roman"/>
          <w:sz w:val="22"/>
          <w:szCs w:val="22"/>
          <w:lang w:val="en-GB"/>
        </w:rPr>
        <w:t>courts are not yet part</w:t>
      </w:r>
      <w:r>
        <w:rPr>
          <w:rFonts w:ascii="Times New Roman" w:hAnsi="Times New Roman" w:cs="Times New Roman"/>
          <w:sz w:val="22"/>
          <w:szCs w:val="22"/>
          <w:lang w:val="en-GB"/>
        </w:rPr>
        <w:t xml:space="preserve"> of it) and there is a need to </w:t>
      </w:r>
      <w:r w:rsidRPr="00125F09">
        <w:rPr>
          <w:rFonts w:ascii="Times New Roman" w:hAnsi="Times New Roman" w:cs="Times New Roman"/>
          <w:sz w:val="22"/>
          <w:szCs w:val="22"/>
          <w:lang w:val="en-GB"/>
        </w:rPr>
        <w:t>develop new applications to further allow public and lawyer interaction with the courts electronically.</w:t>
      </w:r>
    </w:p>
    <w:p w:rsidR="002D1EE7" w:rsidRPr="00125F09" w:rsidRDefault="002D1EE7" w:rsidP="002D1EE7">
      <w:p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Times New Roman" w:hAnsi="Times New Roman" w:cs="Times New Roman"/>
          <w:sz w:val="22"/>
          <w:szCs w:val="22"/>
          <w:lang w:val="en-GB"/>
        </w:rPr>
      </w:pPr>
      <w:r w:rsidRPr="00125F09">
        <w:rPr>
          <w:rFonts w:ascii="Times New Roman" w:hAnsi="Times New Roman" w:cs="Times New Roman"/>
          <w:sz w:val="22"/>
          <w:szCs w:val="22"/>
          <w:lang w:val="en-GB"/>
        </w:rPr>
        <w:t>The system also requires frequent updates.</w:t>
      </w:r>
    </w:p>
    <w:p w:rsidR="002D1EE7" w:rsidRPr="00125F09" w:rsidRDefault="002D1EE7" w:rsidP="002D1EE7">
      <w:p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Times New Roman" w:hAnsi="Times New Roman" w:cs="Times New Roman"/>
          <w:sz w:val="22"/>
          <w:szCs w:val="22"/>
          <w:lang w:val="en-GB"/>
        </w:rPr>
      </w:pPr>
      <w:r w:rsidRPr="00125F09">
        <w:rPr>
          <w:rFonts w:ascii="Times New Roman" w:hAnsi="Times New Roman" w:cs="Times New Roman"/>
          <w:b/>
          <w:sz w:val="22"/>
          <w:szCs w:val="22"/>
          <w:lang w:val="en-GB"/>
        </w:rPr>
        <w:t>Recommendation 1</w:t>
      </w:r>
      <w:r>
        <w:rPr>
          <w:rFonts w:ascii="Times New Roman" w:hAnsi="Times New Roman" w:cs="Times New Roman"/>
          <w:b/>
          <w:sz w:val="22"/>
          <w:szCs w:val="22"/>
          <w:lang w:val="en-GB"/>
        </w:rPr>
        <w:t>1:</w:t>
      </w:r>
      <w:r w:rsidRPr="00125F09">
        <w:rPr>
          <w:rFonts w:ascii="Times New Roman" w:hAnsi="Times New Roman" w:cs="Times New Roman"/>
          <w:sz w:val="22"/>
          <w:szCs w:val="22"/>
          <w:lang w:val="en-GB"/>
        </w:rPr>
        <w:t>UNDP should support the HJ</w:t>
      </w:r>
      <w:r>
        <w:rPr>
          <w:rFonts w:ascii="Times New Roman" w:hAnsi="Times New Roman" w:cs="Times New Roman"/>
          <w:sz w:val="22"/>
          <w:szCs w:val="22"/>
          <w:lang w:val="en-GB"/>
        </w:rPr>
        <w:t>C to continue to update MIZAN2</w:t>
      </w:r>
      <w:r w:rsidRPr="00125F09">
        <w:rPr>
          <w:rFonts w:ascii="Times New Roman" w:hAnsi="Times New Roman" w:cs="Times New Roman"/>
          <w:sz w:val="22"/>
          <w:szCs w:val="22"/>
          <w:lang w:val="en-GB"/>
        </w:rPr>
        <w:t xml:space="preserve">, make </w:t>
      </w:r>
      <w:r>
        <w:rPr>
          <w:rFonts w:ascii="Times New Roman" w:hAnsi="Times New Roman" w:cs="Times New Roman"/>
          <w:sz w:val="22"/>
          <w:szCs w:val="22"/>
          <w:lang w:val="en-GB"/>
        </w:rPr>
        <w:t>the system faster and more user-</w:t>
      </w:r>
      <w:r w:rsidRPr="00125F09">
        <w:rPr>
          <w:rFonts w:ascii="Times New Roman" w:hAnsi="Times New Roman" w:cs="Times New Roman"/>
          <w:sz w:val="22"/>
          <w:szCs w:val="22"/>
          <w:lang w:val="en-GB"/>
        </w:rPr>
        <w:t xml:space="preserve">friendly; as </w:t>
      </w:r>
      <w:r>
        <w:rPr>
          <w:rFonts w:ascii="Times New Roman" w:hAnsi="Times New Roman" w:cs="Times New Roman"/>
          <w:sz w:val="22"/>
          <w:szCs w:val="22"/>
          <w:lang w:val="en-GB"/>
        </w:rPr>
        <w:t xml:space="preserve">well as to expand its reach to </w:t>
      </w:r>
      <w:r w:rsidRPr="00D22A9A">
        <w:rPr>
          <w:rFonts w:ascii="Times New Roman" w:hAnsi="Times New Roman" w:cs="Times New Roman"/>
          <w:i/>
          <w:sz w:val="22"/>
          <w:szCs w:val="22"/>
          <w:lang w:val="en-GB"/>
        </w:rPr>
        <w:t>shari’a</w:t>
      </w:r>
      <w:r w:rsidRPr="00125F09">
        <w:rPr>
          <w:rFonts w:ascii="Times New Roman" w:hAnsi="Times New Roman" w:cs="Times New Roman"/>
          <w:sz w:val="22"/>
          <w:szCs w:val="22"/>
          <w:lang w:val="en-GB"/>
        </w:rPr>
        <w:t xml:space="preserve"> courts and other justice institutions. </w:t>
      </w:r>
    </w:p>
    <w:p w:rsidR="002D1EE7" w:rsidRPr="00125F09" w:rsidRDefault="002D1EE7" w:rsidP="002D1EE7">
      <w:pPr>
        <w:spacing w:after="0" w:line="240" w:lineRule="auto"/>
        <w:contextualSpacing/>
        <w:jc w:val="both"/>
        <w:rPr>
          <w:rFonts w:ascii="Times New Roman" w:hAnsi="Times New Roman" w:cs="Times New Roman"/>
          <w:sz w:val="22"/>
          <w:szCs w:val="22"/>
          <w:lang w:val="en-GB"/>
        </w:rPr>
      </w:pPr>
    </w:p>
    <w:p w:rsidR="002D1EE7" w:rsidRPr="00125F09" w:rsidRDefault="002D1EE7" w:rsidP="002D1EE7">
      <w:p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Times New Roman" w:hAnsi="Times New Roman" w:cs="Times New Roman"/>
          <w:sz w:val="22"/>
          <w:szCs w:val="22"/>
          <w:lang w:val="en-GB"/>
        </w:rPr>
      </w:pPr>
      <w:r w:rsidRPr="00125F09">
        <w:rPr>
          <w:rFonts w:ascii="Times New Roman" w:hAnsi="Times New Roman" w:cs="Times New Roman"/>
          <w:b/>
          <w:sz w:val="22"/>
          <w:szCs w:val="22"/>
          <w:lang w:val="en-GB"/>
        </w:rPr>
        <w:t>Conclusion 12</w:t>
      </w:r>
      <w:r>
        <w:rPr>
          <w:rFonts w:ascii="Times New Roman" w:hAnsi="Times New Roman" w:cs="Times New Roman"/>
          <w:b/>
          <w:sz w:val="22"/>
          <w:szCs w:val="22"/>
          <w:lang w:val="en-GB"/>
        </w:rPr>
        <w:t>:</w:t>
      </w:r>
      <w:r w:rsidRPr="00125F09">
        <w:rPr>
          <w:rFonts w:ascii="Times New Roman" w:hAnsi="Times New Roman" w:cs="Times New Roman"/>
          <w:sz w:val="22"/>
          <w:szCs w:val="22"/>
          <w:lang w:val="en-GB"/>
        </w:rPr>
        <w:t xml:space="preserve">The court information points are an innovative mechanism that are already increasing access to justice at pilot locations by providing information to court users on their cases, scheduling, forms </w:t>
      </w:r>
      <w:r>
        <w:rPr>
          <w:rFonts w:ascii="Times New Roman" w:hAnsi="Times New Roman" w:cs="Times New Roman"/>
          <w:sz w:val="22"/>
          <w:szCs w:val="22"/>
          <w:lang w:val="en-GB"/>
        </w:rPr>
        <w:t xml:space="preserve">and locations of court rooms. </w:t>
      </w:r>
      <w:r w:rsidRPr="00125F09">
        <w:rPr>
          <w:rFonts w:ascii="Times New Roman" w:hAnsi="Times New Roman" w:cs="Times New Roman"/>
          <w:sz w:val="22"/>
          <w:szCs w:val="22"/>
          <w:lang w:val="en-GB"/>
        </w:rPr>
        <w:t>Yet, the information</w:t>
      </w:r>
      <w:r>
        <w:rPr>
          <w:rFonts w:ascii="Times New Roman" w:hAnsi="Times New Roman" w:cs="Times New Roman"/>
          <w:sz w:val="22"/>
          <w:szCs w:val="22"/>
          <w:lang w:val="en-GB"/>
        </w:rPr>
        <w:t xml:space="preserve"> points are not yet being utilis</w:t>
      </w:r>
      <w:r w:rsidRPr="00125F09">
        <w:rPr>
          <w:rFonts w:ascii="Times New Roman" w:hAnsi="Times New Roman" w:cs="Times New Roman"/>
          <w:sz w:val="22"/>
          <w:szCs w:val="22"/>
          <w:lang w:val="en-GB"/>
        </w:rPr>
        <w:t xml:space="preserve">ed to their full potential as distribution points of information and documents. </w:t>
      </w:r>
    </w:p>
    <w:p w:rsidR="002D1EE7" w:rsidRPr="00125F09" w:rsidRDefault="002D1EE7" w:rsidP="002D1EE7">
      <w:p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Times New Roman" w:hAnsi="Times New Roman" w:cs="Times New Roman"/>
          <w:sz w:val="22"/>
          <w:szCs w:val="22"/>
          <w:lang w:val="en-GB"/>
        </w:rPr>
      </w:pPr>
      <w:r w:rsidRPr="00125F09">
        <w:rPr>
          <w:rFonts w:ascii="Times New Roman" w:hAnsi="Times New Roman" w:cs="Times New Roman"/>
          <w:b/>
          <w:sz w:val="22"/>
          <w:szCs w:val="22"/>
          <w:lang w:val="en-GB"/>
        </w:rPr>
        <w:t>Recommendation 12</w:t>
      </w:r>
      <w:r>
        <w:rPr>
          <w:rFonts w:ascii="Times New Roman" w:hAnsi="Times New Roman" w:cs="Times New Roman"/>
          <w:b/>
          <w:sz w:val="22"/>
          <w:szCs w:val="22"/>
          <w:lang w:val="en-GB"/>
        </w:rPr>
        <w:t>:</w:t>
      </w:r>
      <w:r w:rsidRPr="00125F09">
        <w:rPr>
          <w:rFonts w:ascii="Times New Roman" w:hAnsi="Times New Roman" w:cs="Times New Roman"/>
          <w:sz w:val="22"/>
          <w:szCs w:val="22"/>
          <w:lang w:val="en-GB"/>
        </w:rPr>
        <w:t xml:space="preserve">Going forward, UNDP and </w:t>
      </w:r>
      <w:r>
        <w:rPr>
          <w:rFonts w:ascii="Times New Roman" w:hAnsi="Times New Roman" w:cs="Times New Roman"/>
          <w:sz w:val="22"/>
          <w:szCs w:val="22"/>
          <w:lang w:val="en-GB"/>
        </w:rPr>
        <w:t>the HJC should capitalis</w:t>
      </w:r>
      <w:r w:rsidRPr="00125F09">
        <w:rPr>
          <w:rFonts w:ascii="Times New Roman" w:hAnsi="Times New Roman" w:cs="Times New Roman"/>
          <w:sz w:val="22"/>
          <w:szCs w:val="22"/>
          <w:lang w:val="en-GB"/>
        </w:rPr>
        <w:t>e on the court information points as locations where brochures and publications about the law, PNA institutions and the courts can be distributed. The number of court information points could be expanded thr</w:t>
      </w:r>
      <w:r>
        <w:rPr>
          <w:rFonts w:ascii="Times New Roman" w:hAnsi="Times New Roman" w:cs="Times New Roman"/>
          <w:sz w:val="22"/>
          <w:szCs w:val="22"/>
          <w:lang w:val="en-GB"/>
        </w:rPr>
        <w:t>oughout the court system.</w:t>
      </w:r>
    </w:p>
    <w:p w:rsidR="002D1EE7" w:rsidRPr="00125F09" w:rsidRDefault="002D1EE7" w:rsidP="002D1EE7">
      <w:pPr>
        <w:spacing w:after="0" w:line="240" w:lineRule="auto"/>
        <w:contextualSpacing/>
        <w:jc w:val="both"/>
        <w:rPr>
          <w:rFonts w:ascii="Times New Roman" w:hAnsi="Times New Roman" w:cs="Times New Roman"/>
          <w:sz w:val="22"/>
          <w:szCs w:val="22"/>
          <w:lang w:val="en-GB"/>
        </w:rPr>
      </w:pPr>
    </w:p>
    <w:p w:rsidR="002D1EE7" w:rsidRPr="00125F09" w:rsidRDefault="002D1EE7" w:rsidP="002D1EE7">
      <w:p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Times New Roman" w:hAnsi="Times New Roman" w:cs="Times New Roman"/>
          <w:sz w:val="22"/>
          <w:szCs w:val="22"/>
          <w:lang w:val="en-GB"/>
        </w:rPr>
      </w:pPr>
      <w:r w:rsidRPr="00125F09">
        <w:rPr>
          <w:rFonts w:ascii="Times New Roman" w:hAnsi="Times New Roman" w:cs="Times New Roman"/>
          <w:b/>
          <w:sz w:val="22"/>
          <w:szCs w:val="22"/>
          <w:lang w:val="en-GB"/>
        </w:rPr>
        <w:t>Conclusion 13</w:t>
      </w:r>
      <w:r>
        <w:rPr>
          <w:rFonts w:ascii="Times New Roman" w:hAnsi="Times New Roman" w:cs="Times New Roman"/>
          <w:b/>
          <w:sz w:val="22"/>
          <w:szCs w:val="22"/>
          <w:lang w:val="en-GB"/>
        </w:rPr>
        <w:t>:</w:t>
      </w:r>
      <w:r w:rsidRPr="00125F09">
        <w:rPr>
          <w:rFonts w:ascii="Times New Roman" w:hAnsi="Times New Roman" w:cs="Times New Roman"/>
          <w:sz w:val="22"/>
          <w:szCs w:val="22"/>
          <w:lang w:val="en-GB"/>
        </w:rPr>
        <w:t xml:space="preserve">UNDP is partly responsible for the growth in the volume of cases in civil and </w:t>
      </w:r>
      <w:r w:rsidRPr="007F60FE">
        <w:rPr>
          <w:rFonts w:ascii="Times New Roman" w:hAnsi="Times New Roman" w:cs="Times New Roman"/>
          <w:i/>
          <w:sz w:val="22"/>
          <w:szCs w:val="22"/>
          <w:lang w:val="en-GB"/>
        </w:rPr>
        <w:t>shari’a</w:t>
      </w:r>
      <w:r>
        <w:rPr>
          <w:rFonts w:ascii="Times New Roman" w:hAnsi="Times New Roman" w:cs="Times New Roman"/>
          <w:sz w:val="22"/>
          <w:szCs w:val="22"/>
          <w:lang w:val="en-GB"/>
        </w:rPr>
        <w:t xml:space="preserve"> courts </w:t>
      </w:r>
      <w:r w:rsidRPr="00125F09">
        <w:rPr>
          <w:rFonts w:ascii="Times New Roman" w:hAnsi="Times New Roman" w:cs="Times New Roman"/>
          <w:sz w:val="22"/>
          <w:szCs w:val="22"/>
          <w:lang w:val="en-GB"/>
        </w:rPr>
        <w:t>but this increased caseload compounds problems with the civil courts enforcemen</w:t>
      </w:r>
      <w:r>
        <w:rPr>
          <w:rFonts w:ascii="Times New Roman" w:hAnsi="Times New Roman" w:cs="Times New Roman"/>
          <w:sz w:val="22"/>
          <w:szCs w:val="22"/>
          <w:lang w:val="en-GB"/>
        </w:rPr>
        <w:t xml:space="preserve">t and execution departments. </w:t>
      </w:r>
      <w:r w:rsidRPr="00125F09">
        <w:rPr>
          <w:rFonts w:ascii="Times New Roman" w:hAnsi="Times New Roman" w:cs="Times New Roman"/>
          <w:sz w:val="22"/>
          <w:szCs w:val="22"/>
          <w:lang w:val="en-GB"/>
        </w:rPr>
        <w:t xml:space="preserve">The </w:t>
      </w:r>
      <w:r w:rsidRPr="007F60FE">
        <w:rPr>
          <w:rFonts w:ascii="Times New Roman" w:hAnsi="Times New Roman" w:cs="Times New Roman"/>
          <w:i/>
          <w:sz w:val="22"/>
          <w:szCs w:val="22"/>
          <w:lang w:val="en-GB"/>
        </w:rPr>
        <w:t>shari’a</w:t>
      </w:r>
      <w:r>
        <w:rPr>
          <w:rFonts w:ascii="Times New Roman" w:hAnsi="Times New Roman" w:cs="Times New Roman"/>
          <w:sz w:val="22"/>
          <w:szCs w:val="22"/>
          <w:lang w:val="en-GB"/>
        </w:rPr>
        <w:t xml:space="preserve"> courts have no enforcement</w:t>
      </w:r>
      <w:r w:rsidRPr="00125F09">
        <w:rPr>
          <w:rFonts w:ascii="Times New Roman" w:hAnsi="Times New Roman" w:cs="Times New Roman"/>
          <w:sz w:val="22"/>
          <w:szCs w:val="22"/>
          <w:lang w:val="en-GB"/>
        </w:rPr>
        <w:t>/execution departments and still rely upon the c</w:t>
      </w:r>
      <w:r>
        <w:rPr>
          <w:rFonts w:ascii="Times New Roman" w:hAnsi="Times New Roman" w:cs="Times New Roman"/>
          <w:sz w:val="22"/>
          <w:szCs w:val="22"/>
          <w:lang w:val="en-GB"/>
        </w:rPr>
        <w:t>ivil courts for this function.</w:t>
      </w:r>
    </w:p>
    <w:p w:rsidR="002D1EE7" w:rsidRPr="00125F09" w:rsidRDefault="002D1EE7" w:rsidP="002D1EE7">
      <w:p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Times New Roman" w:hAnsi="Times New Roman" w:cs="Times New Roman"/>
          <w:sz w:val="22"/>
          <w:szCs w:val="22"/>
          <w:lang w:val="en-GB"/>
        </w:rPr>
      </w:pPr>
      <w:r w:rsidRPr="00125F09">
        <w:rPr>
          <w:rFonts w:ascii="Times New Roman" w:hAnsi="Times New Roman" w:cs="Times New Roman"/>
          <w:b/>
          <w:sz w:val="22"/>
          <w:szCs w:val="22"/>
          <w:lang w:val="en-GB"/>
        </w:rPr>
        <w:t>Recommendation 13</w:t>
      </w:r>
      <w:r>
        <w:rPr>
          <w:rFonts w:ascii="Times New Roman" w:hAnsi="Times New Roman" w:cs="Times New Roman"/>
          <w:b/>
          <w:sz w:val="22"/>
          <w:szCs w:val="22"/>
          <w:lang w:val="en-GB"/>
        </w:rPr>
        <w:t>:</w:t>
      </w:r>
      <w:r w:rsidRPr="00125F09">
        <w:rPr>
          <w:rFonts w:ascii="Times New Roman" w:hAnsi="Times New Roman" w:cs="Times New Roman"/>
          <w:sz w:val="22"/>
          <w:szCs w:val="22"/>
          <w:lang w:val="en-GB"/>
        </w:rPr>
        <w:t>UNDP should explore ways to support and strengthen the efficiency of the execution departments within the civil courts and to create mechanisms for the</w:t>
      </w:r>
      <w:r w:rsidR="00E8775C">
        <w:rPr>
          <w:rFonts w:ascii="Times New Roman" w:hAnsi="Times New Roman" w:cs="Times New Roman"/>
          <w:sz w:val="22"/>
          <w:szCs w:val="22"/>
          <w:lang w:val="en-GB"/>
        </w:rPr>
        <w:t xml:space="preserve"> </w:t>
      </w:r>
      <w:r w:rsidRPr="007F60FE">
        <w:rPr>
          <w:rFonts w:ascii="Times New Roman" w:hAnsi="Times New Roman" w:cs="Times New Roman"/>
          <w:i/>
          <w:sz w:val="22"/>
          <w:szCs w:val="22"/>
          <w:lang w:val="en-GB"/>
        </w:rPr>
        <w:t>shari’a</w:t>
      </w:r>
      <w:r w:rsidRPr="00125F09">
        <w:rPr>
          <w:rFonts w:ascii="Times New Roman" w:hAnsi="Times New Roman" w:cs="Times New Roman"/>
          <w:sz w:val="22"/>
          <w:szCs w:val="22"/>
          <w:lang w:val="en-GB"/>
        </w:rPr>
        <w:t xml:space="preserve"> court to enforce and execute judgments. </w:t>
      </w:r>
    </w:p>
    <w:p w:rsidR="002D1EE7" w:rsidRPr="00125F09" w:rsidRDefault="002D1EE7" w:rsidP="002D1EE7">
      <w:pPr>
        <w:spacing w:after="0" w:line="240" w:lineRule="auto"/>
        <w:contextualSpacing/>
        <w:jc w:val="both"/>
        <w:rPr>
          <w:rFonts w:ascii="Times New Roman" w:hAnsi="Times New Roman" w:cs="Times New Roman"/>
          <w:sz w:val="22"/>
          <w:szCs w:val="22"/>
          <w:lang w:val="en-GB"/>
        </w:rPr>
      </w:pPr>
    </w:p>
    <w:p w:rsidR="002D1EE7" w:rsidRPr="00125F09" w:rsidRDefault="002D1EE7" w:rsidP="002D1EE7">
      <w:p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Times New Roman" w:hAnsi="Times New Roman" w:cs="Times New Roman"/>
          <w:sz w:val="22"/>
          <w:szCs w:val="22"/>
          <w:lang w:val="en-GB"/>
        </w:rPr>
      </w:pPr>
      <w:r w:rsidRPr="00125F09">
        <w:rPr>
          <w:rFonts w:ascii="Times New Roman" w:hAnsi="Times New Roman" w:cs="Times New Roman"/>
          <w:b/>
          <w:sz w:val="22"/>
          <w:szCs w:val="22"/>
          <w:lang w:val="en-GB"/>
        </w:rPr>
        <w:t>Conclusion 14</w:t>
      </w:r>
      <w:r>
        <w:rPr>
          <w:rFonts w:ascii="Times New Roman" w:hAnsi="Times New Roman" w:cs="Times New Roman"/>
          <w:b/>
          <w:sz w:val="22"/>
          <w:szCs w:val="22"/>
          <w:lang w:val="en-GB"/>
        </w:rPr>
        <w:t>:</w:t>
      </w:r>
      <w:r w:rsidRPr="00125F09">
        <w:rPr>
          <w:rFonts w:ascii="Times New Roman" w:hAnsi="Times New Roman" w:cs="Times New Roman"/>
          <w:sz w:val="22"/>
          <w:szCs w:val="22"/>
          <w:lang w:val="en-GB"/>
        </w:rPr>
        <w:t>The PNA and its citizens remain severely challenged</w:t>
      </w:r>
      <w:r>
        <w:rPr>
          <w:rFonts w:ascii="Times New Roman" w:hAnsi="Times New Roman" w:cs="Times New Roman"/>
          <w:sz w:val="22"/>
          <w:szCs w:val="22"/>
          <w:lang w:val="en-GB"/>
        </w:rPr>
        <w:t xml:space="preserve"> by the effects of the Israeli occupation. </w:t>
      </w:r>
      <w:r w:rsidRPr="00125F09">
        <w:rPr>
          <w:rFonts w:ascii="Times New Roman" w:hAnsi="Times New Roman" w:cs="Times New Roman"/>
          <w:sz w:val="22"/>
          <w:szCs w:val="22"/>
          <w:lang w:val="en-GB"/>
        </w:rPr>
        <w:t>A lack of access to A</w:t>
      </w:r>
      <w:r>
        <w:rPr>
          <w:rFonts w:ascii="Times New Roman" w:hAnsi="Times New Roman" w:cs="Times New Roman"/>
          <w:sz w:val="22"/>
          <w:szCs w:val="22"/>
          <w:lang w:val="en-GB"/>
        </w:rPr>
        <w:t>rea C - despite the fact that the PNA</w:t>
      </w:r>
      <w:r w:rsidR="000063A3">
        <w:rPr>
          <w:rFonts w:ascii="Times New Roman" w:hAnsi="Times New Roman" w:cs="Times New Roman"/>
          <w:sz w:val="22"/>
          <w:szCs w:val="22"/>
          <w:lang w:val="en-GB"/>
        </w:rPr>
        <w:t xml:space="preserve"> </w:t>
      </w:r>
      <w:r>
        <w:rPr>
          <w:rFonts w:ascii="Times New Roman" w:hAnsi="Times New Roman" w:cs="Times New Roman"/>
          <w:sz w:val="22"/>
          <w:szCs w:val="22"/>
          <w:lang w:val="en-GB"/>
        </w:rPr>
        <w:t xml:space="preserve">has jurisdiction for this area - </w:t>
      </w:r>
      <w:r w:rsidRPr="00125F09">
        <w:rPr>
          <w:rFonts w:ascii="Times New Roman" w:hAnsi="Times New Roman" w:cs="Times New Roman"/>
          <w:sz w:val="22"/>
          <w:szCs w:val="22"/>
          <w:lang w:val="en-GB"/>
        </w:rPr>
        <w:t>is a fundamental barrier to ac</w:t>
      </w:r>
      <w:r>
        <w:rPr>
          <w:rFonts w:ascii="Times New Roman" w:hAnsi="Times New Roman" w:cs="Times New Roman"/>
          <w:sz w:val="22"/>
          <w:szCs w:val="22"/>
          <w:lang w:val="en-GB"/>
        </w:rPr>
        <w:t xml:space="preserve">cess to justice. </w:t>
      </w:r>
      <w:r w:rsidRPr="00125F09">
        <w:rPr>
          <w:rFonts w:ascii="Times New Roman" w:hAnsi="Times New Roman" w:cs="Times New Roman"/>
          <w:sz w:val="22"/>
          <w:szCs w:val="22"/>
          <w:lang w:val="en-GB"/>
        </w:rPr>
        <w:t xml:space="preserve">Beyond this it rises to the level of a violation of Annex 4 of the Oslo Accords. </w:t>
      </w:r>
    </w:p>
    <w:p w:rsidR="002D1EE7" w:rsidRPr="00125F09" w:rsidRDefault="002D1EE7" w:rsidP="002D1EE7">
      <w:p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Times New Roman" w:hAnsi="Times New Roman" w:cs="Times New Roman"/>
          <w:sz w:val="22"/>
          <w:szCs w:val="22"/>
          <w:lang w:val="en-GB"/>
        </w:rPr>
      </w:pPr>
      <w:r w:rsidRPr="00125F09">
        <w:rPr>
          <w:rFonts w:ascii="Times New Roman" w:hAnsi="Times New Roman" w:cs="Times New Roman"/>
          <w:b/>
          <w:sz w:val="22"/>
          <w:szCs w:val="22"/>
          <w:lang w:val="en-GB"/>
        </w:rPr>
        <w:t>Recommendation 14</w:t>
      </w:r>
      <w:r>
        <w:rPr>
          <w:rFonts w:ascii="Times New Roman" w:hAnsi="Times New Roman" w:cs="Times New Roman"/>
          <w:b/>
          <w:sz w:val="22"/>
          <w:szCs w:val="22"/>
          <w:lang w:val="en-GB"/>
        </w:rPr>
        <w:t>:</w:t>
      </w:r>
      <w:r w:rsidRPr="00125F09">
        <w:rPr>
          <w:rFonts w:ascii="Times New Roman" w:hAnsi="Times New Roman" w:cs="Times New Roman"/>
          <w:sz w:val="22"/>
          <w:szCs w:val="22"/>
          <w:lang w:val="en-GB"/>
        </w:rPr>
        <w:t xml:space="preserve"> While to date UNDP has addressed the issue of lack of access to Area C via its support to civil society and advocacy, more could be done to </w:t>
      </w:r>
      <w:r>
        <w:rPr>
          <w:rFonts w:ascii="Times New Roman" w:hAnsi="Times New Roman" w:cs="Times New Roman"/>
          <w:sz w:val="22"/>
          <w:szCs w:val="22"/>
          <w:lang w:val="en-GB"/>
        </w:rPr>
        <w:t xml:space="preserve">capacitate the PNA </w:t>
      </w:r>
      <w:r w:rsidRPr="00125F09">
        <w:rPr>
          <w:rFonts w:ascii="Times New Roman" w:hAnsi="Times New Roman" w:cs="Times New Roman"/>
          <w:sz w:val="22"/>
          <w:szCs w:val="22"/>
          <w:lang w:val="en-GB"/>
        </w:rPr>
        <w:t xml:space="preserve">to advocate for change directly </w:t>
      </w:r>
      <w:r>
        <w:rPr>
          <w:rFonts w:ascii="Times New Roman" w:hAnsi="Times New Roman" w:cs="Times New Roman"/>
          <w:sz w:val="22"/>
          <w:szCs w:val="22"/>
          <w:lang w:val="en-GB"/>
        </w:rPr>
        <w:t xml:space="preserve">with the Israel in this regard. </w:t>
      </w:r>
      <w:r w:rsidRPr="00125F09">
        <w:rPr>
          <w:rFonts w:ascii="Times New Roman" w:hAnsi="Times New Roman" w:cs="Times New Roman"/>
          <w:sz w:val="22"/>
          <w:szCs w:val="22"/>
          <w:lang w:val="en-GB"/>
        </w:rPr>
        <w:t>In general, UNDP support to Area C and East Jerusalem across all facets of the programme should expand in the future in order to meet unmet nee</w:t>
      </w:r>
      <w:r>
        <w:rPr>
          <w:rFonts w:ascii="Times New Roman" w:hAnsi="Times New Roman" w:cs="Times New Roman"/>
          <w:sz w:val="22"/>
          <w:szCs w:val="22"/>
          <w:lang w:val="en-GB"/>
        </w:rPr>
        <w:t xml:space="preserve">ds in those areas. </w:t>
      </w:r>
      <w:r w:rsidRPr="00125F09">
        <w:rPr>
          <w:rFonts w:ascii="Times New Roman" w:hAnsi="Times New Roman" w:cs="Times New Roman"/>
          <w:sz w:val="22"/>
          <w:szCs w:val="22"/>
          <w:lang w:val="en-GB"/>
        </w:rPr>
        <w:t>Such an</w:t>
      </w:r>
      <w:r>
        <w:rPr>
          <w:rFonts w:ascii="Times New Roman" w:hAnsi="Times New Roman" w:cs="Times New Roman"/>
          <w:sz w:val="22"/>
          <w:szCs w:val="22"/>
          <w:lang w:val="en-GB"/>
        </w:rPr>
        <w:t xml:space="preserve"> expansion </w:t>
      </w:r>
      <w:r w:rsidRPr="00125F09">
        <w:rPr>
          <w:rFonts w:ascii="Times New Roman" w:hAnsi="Times New Roman" w:cs="Times New Roman"/>
          <w:sz w:val="22"/>
          <w:szCs w:val="22"/>
          <w:lang w:val="en-GB"/>
        </w:rPr>
        <w:t>should be both CSO and justice institution-led.</w:t>
      </w:r>
    </w:p>
    <w:p w:rsidR="002D1EE7" w:rsidRDefault="002D1EE7" w:rsidP="002D1EE7">
      <w:pPr>
        <w:spacing w:after="0" w:line="240" w:lineRule="auto"/>
        <w:contextualSpacing/>
        <w:jc w:val="both"/>
        <w:rPr>
          <w:rFonts w:ascii="Times New Roman" w:hAnsi="Times New Roman" w:cs="Times New Roman"/>
          <w:sz w:val="22"/>
          <w:szCs w:val="22"/>
          <w:lang w:val="en-GB"/>
        </w:rPr>
      </w:pPr>
    </w:p>
    <w:p w:rsidR="002D1EE7" w:rsidRPr="00125F09" w:rsidRDefault="002D1EE7" w:rsidP="002D1EE7">
      <w:p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Times New Roman" w:hAnsi="Times New Roman" w:cs="Times New Roman"/>
          <w:sz w:val="22"/>
          <w:szCs w:val="22"/>
          <w:lang w:val="en-GB"/>
        </w:rPr>
      </w:pPr>
      <w:r w:rsidRPr="00125F09">
        <w:rPr>
          <w:rFonts w:ascii="Times New Roman" w:hAnsi="Times New Roman" w:cs="Times New Roman"/>
          <w:b/>
          <w:sz w:val="22"/>
          <w:szCs w:val="22"/>
          <w:lang w:val="en-GB"/>
        </w:rPr>
        <w:t>Conclusion 15</w:t>
      </w:r>
      <w:r>
        <w:rPr>
          <w:rFonts w:ascii="Times New Roman" w:hAnsi="Times New Roman" w:cs="Times New Roman"/>
          <w:b/>
          <w:sz w:val="22"/>
          <w:szCs w:val="22"/>
          <w:lang w:val="en-GB"/>
        </w:rPr>
        <w:t>:</w:t>
      </w:r>
      <w:r w:rsidRPr="00125F09">
        <w:rPr>
          <w:rFonts w:ascii="Times New Roman" w:hAnsi="Times New Roman" w:cs="Times New Roman"/>
          <w:sz w:val="22"/>
          <w:szCs w:val="22"/>
          <w:lang w:val="en-GB"/>
        </w:rPr>
        <w:t xml:space="preserve">The </w:t>
      </w:r>
      <w:r w:rsidRPr="00713442">
        <w:rPr>
          <w:rFonts w:ascii="Times New Roman" w:hAnsi="Times New Roman" w:cs="Times New Roman"/>
          <w:i/>
          <w:sz w:val="22"/>
          <w:szCs w:val="22"/>
          <w:lang w:val="en-GB"/>
        </w:rPr>
        <w:t>shari’a</w:t>
      </w:r>
      <w:r>
        <w:rPr>
          <w:rFonts w:ascii="Times New Roman" w:hAnsi="Times New Roman" w:cs="Times New Roman"/>
          <w:sz w:val="22"/>
          <w:szCs w:val="22"/>
          <w:lang w:val="en-GB"/>
        </w:rPr>
        <w:t xml:space="preserve"> c</w:t>
      </w:r>
      <w:r w:rsidRPr="00125F09">
        <w:rPr>
          <w:rFonts w:ascii="Times New Roman" w:hAnsi="Times New Roman" w:cs="Times New Roman"/>
          <w:sz w:val="22"/>
          <w:szCs w:val="22"/>
          <w:lang w:val="en-GB"/>
        </w:rPr>
        <w:t>ourts play a vital role in the lives of Palestini</w:t>
      </w:r>
      <w:r>
        <w:rPr>
          <w:rFonts w:ascii="Times New Roman" w:hAnsi="Times New Roman" w:cs="Times New Roman"/>
          <w:sz w:val="22"/>
          <w:szCs w:val="22"/>
          <w:lang w:val="en-GB"/>
        </w:rPr>
        <w:t xml:space="preserve">an women, children and families - </w:t>
      </w:r>
      <w:r w:rsidRPr="00125F09">
        <w:rPr>
          <w:rFonts w:ascii="Times New Roman" w:hAnsi="Times New Roman" w:cs="Times New Roman"/>
          <w:sz w:val="22"/>
          <w:szCs w:val="22"/>
          <w:lang w:val="en-GB"/>
        </w:rPr>
        <w:t>espec</w:t>
      </w:r>
      <w:r>
        <w:rPr>
          <w:rFonts w:ascii="Times New Roman" w:hAnsi="Times New Roman" w:cs="Times New Roman"/>
          <w:sz w:val="22"/>
          <w:szCs w:val="22"/>
          <w:lang w:val="en-GB"/>
        </w:rPr>
        <w:t>ially indigent beneficiaries, and fulfil</w:t>
      </w:r>
      <w:r w:rsidRPr="00125F09">
        <w:rPr>
          <w:rFonts w:ascii="Times New Roman" w:hAnsi="Times New Roman" w:cs="Times New Roman"/>
          <w:sz w:val="22"/>
          <w:szCs w:val="22"/>
          <w:lang w:val="en-GB"/>
        </w:rPr>
        <w:t xml:space="preserve"> both adjudicatory and protective functions for cases </w:t>
      </w:r>
      <w:r w:rsidRPr="00125F09">
        <w:rPr>
          <w:rFonts w:ascii="Times New Roman" w:hAnsi="Times New Roman" w:cs="Times New Roman"/>
          <w:sz w:val="22"/>
          <w:szCs w:val="22"/>
          <w:lang w:val="en-GB"/>
        </w:rPr>
        <w:lastRenderedPageBreak/>
        <w:t>of domestic violence and abuse, divo</w:t>
      </w:r>
      <w:r>
        <w:rPr>
          <w:rFonts w:ascii="Times New Roman" w:hAnsi="Times New Roman" w:cs="Times New Roman"/>
          <w:sz w:val="22"/>
          <w:szCs w:val="22"/>
          <w:lang w:val="en-GB"/>
        </w:rPr>
        <w:t xml:space="preserve">rce, custody and inheritance. </w:t>
      </w:r>
      <w:r w:rsidRPr="00125F09">
        <w:rPr>
          <w:rFonts w:ascii="Times New Roman" w:hAnsi="Times New Roman" w:cs="Times New Roman"/>
          <w:sz w:val="22"/>
          <w:szCs w:val="22"/>
          <w:lang w:val="en-GB"/>
        </w:rPr>
        <w:t xml:space="preserve">Yet, the </w:t>
      </w:r>
      <w:r w:rsidRPr="00713442">
        <w:rPr>
          <w:rFonts w:ascii="Times New Roman" w:hAnsi="Times New Roman" w:cs="Times New Roman"/>
          <w:i/>
          <w:sz w:val="22"/>
          <w:szCs w:val="22"/>
          <w:lang w:val="en-GB"/>
        </w:rPr>
        <w:t>shari’a</w:t>
      </w:r>
      <w:r>
        <w:rPr>
          <w:rFonts w:ascii="Times New Roman" w:hAnsi="Times New Roman" w:cs="Times New Roman"/>
          <w:sz w:val="22"/>
          <w:szCs w:val="22"/>
          <w:lang w:val="en-GB"/>
        </w:rPr>
        <w:t xml:space="preserve"> c</w:t>
      </w:r>
      <w:r w:rsidRPr="00125F09">
        <w:rPr>
          <w:rFonts w:ascii="Times New Roman" w:hAnsi="Times New Roman" w:cs="Times New Roman"/>
          <w:sz w:val="22"/>
          <w:szCs w:val="22"/>
          <w:lang w:val="en-GB"/>
        </w:rPr>
        <w:t>ourts have to date been largely ig</w:t>
      </w:r>
      <w:r>
        <w:rPr>
          <w:rFonts w:ascii="Times New Roman" w:hAnsi="Times New Roman" w:cs="Times New Roman"/>
          <w:sz w:val="22"/>
          <w:szCs w:val="22"/>
          <w:lang w:val="en-GB"/>
        </w:rPr>
        <w:t>nored by the international community. UNDP has been the only agency</w:t>
      </w:r>
      <w:r w:rsidRPr="00125F09">
        <w:rPr>
          <w:rFonts w:ascii="Times New Roman" w:hAnsi="Times New Roman" w:cs="Times New Roman"/>
          <w:sz w:val="22"/>
          <w:szCs w:val="22"/>
          <w:lang w:val="en-GB"/>
        </w:rPr>
        <w:t xml:space="preserve"> to address the needs of the </w:t>
      </w:r>
      <w:r w:rsidRPr="00713442">
        <w:rPr>
          <w:rFonts w:ascii="Times New Roman" w:hAnsi="Times New Roman" w:cs="Times New Roman"/>
          <w:i/>
          <w:sz w:val="22"/>
          <w:szCs w:val="22"/>
          <w:lang w:val="en-GB"/>
        </w:rPr>
        <w:t>shari’a</w:t>
      </w:r>
      <w:r w:rsidRPr="00125F09">
        <w:rPr>
          <w:rFonts w:ascii="Times New Roman" w:hAnsi="Times New Roman" w:cs="Times New Roman"/>
          <w:sz w:val="22"/>
          <w:szCs w:val="22"/>
          <w:lang w:val="en-GB"/>
        </w:rPr>
        <w:t xml:space="preserve"> court</w:t>
      </w:r>
      <w:r>
        <w:rPr>
          <w:rFonts w:ascii="Times New Roman" w:hAnsi="Times New Roman" w:cs="Times New Roman"/>
          <w:sz w:val="22"/>
          <w:szCs w:val="22"/>
          <w:lang w:val="en-GB"/>
        </w:rPr>
        <w:t>s, but only indirectly to date.</w:t>
      </w:r>
      <w:r w:rsidRPr="00125F09">
        <w:rPr>
          <w:rFonts w:ascii="Times New Roman" w:hAnsi="Times New Roman" w:cs="Times New Roman"/>
          <w:sz w:val="22"/>
          <w:szCs w:val="22"/>
          <w:lang w:val="en-GB"/>
        </w:rPr>
        <w:t xml:space="preserve"> Yet, even this minimal engagement by UNDP has resulted in a change of procedure in the courts themselves and the </w:t>
      </w:r>
      <w:r w:rsidRPr="00713442">
        <w:rPr>
          <w:rFonts w:ascii="Times New Roman" w:hAnsi="Times New Roman" w:cs="Times New Roman"/>
          <w:i/>
          <w:sz w:val="22"/>
          <w:szCs w:val="22"/>
          <w:lang w:val="en-GB"/>
        </w:rPr>
        <w:t>shari’a</w:t>
      </w:r>
      <w:r w:rsidR="00E8775C">
        <w:rPr>
          <w:rFonts w:ascii="Times New Roman" w:hAnsi="Times New Roman" w:cs="Times New Roman"/>
          <w:i/>
          <w:sz w:val="22"/>
          <w:szCs w:val="22"/>
          <w:lang w:val="en-GB"/>
        </w:rPr>
        <w:t xml:space="preserve"> </w:t>
      </w:r>
      <w:r w:rsidRPr="00125F09">
        <w:rPr>
          <w:rFonts w:ascii="Times New Roman" w:hAnsi="Times New Roman" w:cs="Times New Roman"/>
          <w:sz w:val="22"/>
          <w:szCs w:val="22"/>
          <w:lang w:val="en-GB"/>
        </w:rPr>
        <w:t xml:space="preserve">courts </w:t>
      </w:r>
      <w:r>
        <w:rPr>
          <w:rFonts w:ascii="Times New Roman" w:hAnsi="Times New Roman" w:cs="Times New Roman"/>
          <w:sz w:val="22"/>
          <w:szCs w:val="22"/>
          <w:lang w:val="en-GB"/>
        </w:rPr>
        <w:t xml:space="preserve">are </w:t>
      </w:r>
      <w:r w:rsidRPr="00125F09">
        <w:rPr>
          <w:rFonts w:ascii="Times New Roman" w:hAnsi="Times New Roman" w:cs="Times New Roman"/>
          <w:sz w:val="22"/>
          <w:szCs w:val="22"/>
          <w:lang w:val="en-GB"/>
        </w:rPr>
        <w:t>extremely open to</w:t>
      </w:r>
      <w:r>
        <w:rPr>
          <w:rFonts w:ascii="Times New Roman" w:hAnsi="Times New Roman" w:cs="Times New Roman"/>
          <w:sz w:val="22"/>
          <w:szCs w:val="22"/>
          <w:lang w:val="en-GB"/>
        </w:rPr>
        <w:t xml:space="preserve"> further engagement</w:t>
      </w:r>
      <w:r w:rsidRPr="00125F09">
        <w:rPr>
          <w:rFonts w:ascii="Times New Roman" w:hAnsi="Times New Roman" w:cs="Times New Roman"/>
          <w:sz w:val="22"/>
          <w:szCs w:val="22"/>
          <w:lang w:val="en-GB"/>
        </w:rPr>
        <w:t xml:space="preserve">. </w:t>
      </w:r>
    </w:p>
    <w:p w:rsidR="002D1EE7" w:rsidRPr="00125F09" w:rsidRDefault="002D1EE7" w:rsidP="002D1EE7">
      <w:p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Times New Roman" w:hAnsi="Times New Roman" w:cs="Times New Roman"/>
          <w:sz w:val="22"/>
          <w:szCs w:val="22"/>
          <w:lang w:val="en-GB"/>
        </w:rPr>
      </w:pPr>
      <w:r w:rsidRPr="00125F09">
        <w:rPr>
          <w:rFonts w:ascii="Times New Roman" w:hAnsi="Times New Roman" w:cs="Times New Roman"/>
          <w:b/>
          <w:sz w:val="22"/>
          <w:szCs w:val="22"/>
          <w:lang w:val="en-GB"/>
        </w:rPr>
        <w:t>Recommendation 15</w:t>
      </w:r>
      <w:r>
        <w:rPr>
          <w:rFonts w:ascii="Times New Roman" w:hAnsi="Times New Roman" w:cs="Times New Roman"/>
          <w:sz w:val="22"/>
          <w:szCs w:val="22"/>
          <w:lang w:val="en-GB"/>
        </w:rPr>
        <w:t xml:space="preserve">: </w:t>
      </w:r>
      <w:r w:rsidRPr="00125F09">
        <w:rPr>
          <w:rFonts w:ascii="Times New Roman" w:hAnsi="Times New Roman" w:cs="Times New Roman"/>
          <w:sz w:val="22"/>
          <w:szCs w:val="22"/>
          <w:lang w:val="en-GB"/>
        </w:rPr>
        <w:t xml:space="preserve">Considering the fundamental role that the </w:t>
      </w:r>
      <w:r w:rsidRPr="00713442">
        <w:rPr>
          <w:rFonts w:ascii="Times New Roman" w:hAnsi="Times New Roman" w:cs="Times New Roman"/>
          <w:i/>
          <w:sz w:val="22"/>
          <w:szCs w:val="22"/>
          <w:lang w:val="en-GB"/>
        </w:rPr>
        <w:t>shari’a</w:t>
      </w:r>
      <w:r w:rsidR="00E8775C">
        <w:rPr>
          <w:rFonts w:ascii="Times New Roman" w:hAnsi="Times New Roman" w:cs="Times New Roman"/>
          <w:i/>
          <w:sz w:val="22"/>
          <w:szCs w:val="22"/>
          <w:lang w:val="en-GB"/>
        </w:rPr>
        <w:t xml:space="preserve"> </w:t>
      </w:r>
      <w:r>
        <w:rPr>
          <w:rFonts w:ascii="Times New Roman" w:hAnsi="Times New Roman" w:cs="Times New Roman"/>
          <w:sz w:val="22"/>
          <w:szCs w:val="22"/>
          <w:lang w:val="en-GB"/>
        </w:rPr>
        <w:t>c</w:t>
      </w:r>
      <w:r w:rsidRPr="00125F09">
        <w:rPr>
          <w:rFonts w:ascii="Times New Roman" w:hAnsi="Times New Roman" w:cs="Times New Roman"/>
          <w:sz w:val="22"/>
          <w:szCs w:val="22"/>
          <w:lang w:val="en-GB"/>
        </w:rPr>
        <w:t xml:space="preserve">ourts play in protecting the </w:t>
      </w:r>
      <w:r>
        <w:rPr>
          <w:rFonts w:ascii="Times New Roman" w:hAnsi="Times New Roman" w:cs="Times New Roman"/>
          <w:sz w:val="22"/>
          <w:szCs w:val="22"/>
          <w:lang w:val="en-GB"/>
        </w:rPr>
        <w:t>rights of women and children, UNDP and its donors</w:t>
      </w:r>
      <w:r w:rsidRPr="00125F09">
        <w:rPr>
          <w:rFonts w:ascii="Times New Roman" w:hAnsi="Times New Roman" w:cs="Times New Roman"/>
          <w:sz w:val="22"/>
          <w:szCs w:val="22"/>
          <w:lang w:val="en-GB"/>
        </w:rPr>
        <w:t xml:space="preserve"> are encouraged to render urgent and immediate support to the </w:t>
      </w:r>
      <w:r w:rsidRPr="00713442">
        <w:rPr>
          <w:rFonts w:ascii="Times New Roman" w:hAnsi="Times New Roman" w:cs="Times New Roman"/>
          <w:i/>
          <w:sz w:val="22"/>
          <w:szCs w:val="22"/>
          <w:lang w:val="en-GB"/>
        </w:rPr>
        <w:t>shari’a</w:t>
      </w:r>
      <w:r w:rsidR="00E8775C">
        <w:rPr>
          <w:rFonts w:ascii="Times New Roman" w:hAnsi="Times New Roman" w:cs="Times New Roman"/>
          <w:i/>
          <w:sz w:val="22"/>
          <w:szCs w:val="22"/>
          <w:lang w:val="en-GB"/>
        </w:rPr>
        <w:t xml:space="preserve"> </w:t>
      </w:r>
      <w:r>
        <w:rPr>
          <w:rFonts w:ascii="Times New Roman" w:hAnsi="Times New Roman" w:cs="Times New Roman"/>
          <w:sz w:val="22"/>
          <w:szCs w:val="22"/>
          <w:lang w:val="en-GB"/>
        </w:rPr>
        <w:t xml:space="preserve">courts. </w:t>
      </w:r>
      <w:r w:rsidRPr="00125F09">
        <w:rPr>
          <w:rFonts w:ascii="Times New Roman" w:hAnsi="Times New Roman" w:cs="Times New Roman"/>
          <w:sz w:val="22"/>
          <w:szCs w:val="22"/>
          <w:lang w:val="en-GB"/>
        </w:rPr>
        <w:t xml:space="preserve">This should </w:t>
      </w:r>
      <w:r>
        <w:rPr>
          <w:rFonts w:ascii="Times New Roman" w:hAnsi="Times New Roman" w:cs="Times New Roman"/>
          <w:sz w:val="22"/>
          <w:szCs w:val="22"/>
          <w:lang w:val="en-GB"/>
        </w:rPr>
        <w:t xml:space="preserve">be a key priority for the </w:t>
      </w:r>
      <w:r w:rsidRPr="00125F09">
        <w:rPr>
          <w:rFonts w:ascii="Times New Roman" w:hAnsi="Times New Roman" w:cs="Times New Roman"/>
          <w:sz w:val="22"/>
          <w:szCs w:val="22"/>
          <w:lang w:val="en-GB"/>
        </w:rPr>
        <w:t>next ph</w:t>
      </w:r>
      <w:r>
        <w:rPr>
          <w:rFonts w:ascii="Times New Roman" w:hAnsi="Times New Roman" w:cs="Times New Roman"/>
          <w:sz w:val="22"/>
          <w:szCs w:val="22"/>
          <w:lang w:val="en-GB"/>
        </w:rPr>
        <w:t>ase of the UNDP Rule of Law &amp; Access to Justice Programme in the oPt</w:t>
      </w:r>
    </w:p>
    <w:p w:rsidR="002D1EE7" w:rsidRPr="00125F09" w:rsidRDefault="002D1EE7" w:rsidP="002D1EE7">
      <w:pPr>
        <w:spacing w:after="0" w:line="240" w:lineRule="auto"/>
        <w:contextualSpacing/>
        <w:jc w:val="both"/>
        <w:rPr>
          <w:rFonts w:ascii="Times New Roman" w:hAnsi="Times New Roman" w:cs="Times New Roman"/>
          <w:sz w:val="22"/>
          <w:szCs w:val="22"/>
          <w:lang w:val="en-GB"/>
        </w:rPr>
      </w:pPr>
    </w:p>
    <w:p w:rsidR="002D1EE7" w:rsidRPr="00125F09" w:rsidRDefault="002D1EE7" w:rsidP="002D1EE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sz w:val="22"/>
          <w:szCs w:val="22"/>
          <w:lang w:val="en-GB"/>
        </w:rPr>
      </w:pPr>
      <w:r w:rsidRPr="00125F09">
        <w:rPr>
          <w:rFonts w:ascii="Times New Roman" w:hAnsi="Times New Roman" w:cs="Times New Roman"/>
          <w:b/>
          <w:sz w:val="22"/>
          <w:szCs w:val="22"/>
          <w:lang w:val="en-GB"/>
        </w:rPr>
        <w:t>Conclusion 16</w:t>
      </w:r>
      <w:r>
        <w:rPr>
          <w:rFonts w:ascii="Times New Roman" w:hAnsi="Times New Roman" w:cs="Times New Roman"/>
          <w:sz w:val="22"/>
          <w:szCs w:val="22"/>
          <w:lang w:val="en-GB"/>
        </w:rPr>
        <w:t>:</w:t>
      </w:r>
      <w:r w:rsidRPr="00125F09">
        <w:rPr>
          <w:rFonts w:ascii="Times New Roman" w:hAnsi="Times New Roman" w:cs="Times New Roman"/>
          <w:sz w:val="22"/>
          <w:szCs w:val="22"/>
          <w:lang w:val="en-GB"/>
        </w:rPr>
        <w:t xml:space="preserve"> While not formally part of the UNDP</w:t>
      </w:r>
      <w:r>
        <w:rPr>
          <w:rFonts w:ascii="Times New Roman" w:hAnsi="Times New Roman" w:cs="Times New Roman"/>
          <w:sz w:val="22"/>
          <w:szCs w:val="22"/>
          <w:lang w:val="en-GB"/>
        </w:rPr>
        <w:t>/PAPP’s Rule of Law &amp;</w:t>
      </w:r>
      <w:r w:rsidRPr="00125F09">
        <w:rPr>
          <w:rFonts w:ascii="Times New Roman" w:hAnsi="Times New Roman" w:cs="Times New Roman"/>
          <w:sz w:val="22"/>
          <w:szCs w:val="22"/>
          <w:lang w:val="en-GB"/>
        </w:rPr>
        <w:t>Access to Justice Programme, UNDP’s support to the Palestinian Civil Police (PCP), Palestinian Anti-Corruption C</w:t>
      </w:r>
      <w:r>
        <w:rPr>
          <w:rFonts w:ascii="Times New Roman" w:hAnsi="Times New Roman" w:cs="Times New Roman"/>
          <w:sz w:val="22"/>
          <w:szCs w:val="22"/>
          <w:lang w:val="en-GB"/>
        </w:rPr>
        <w:t xml:space="preserve">ommission (PACC) and the </w:t>
      </w:r>
      <w:r w:rsidRPr="00125F09">
        <w:rPr>
          <w:rFonts w:ascii="Times New Roman" w:hAnsi="Times New Roman" w:cs="Times New Roman"/>
          <w:sz w:val="22"/>
          <w:szCs w:val="22"/>
          <w:lang w:val="en-GB"/>
        </w:rPr>
        <w:t xml:space="preserve">Corruption Crimes Court </w:t>
      </w:r>
      <w:r>
        <w:rPr>
          <w:rFonts w:ascii="Times New Roman" w:hAnsi="Times New Roman" w:cs="Times New Roman"/>
          <w:sz w:val="22"/>
          <w:szCs w:val="22"/>
          <w:lang w:val="en-GB"/>
        </w:rPr>
        <w:t>(CCC) via the UNDP/EUPOL COPPS Joint P</w:t>
      </w:r>
      <w:r w:rsidRPr="00125F09">
        <w:rPr>
          <w:rFonts w:ascii="Times New Roman" w:hAnsi="Times New Roman" w:cs="Times New Roman"/>
          <w:sz w:val="22"/>
          <w:szCs w:val="22"/>
          <w:lang w:val="en-GB"/>
        </w:rPr>
        <w:t>rogramme is serving to close the loop i</w:t>
      </w:r>
      <w:r>
        <w:rPr>
          <w:rFonts w:ascii="Times New Roman" w:hAnsi="Times New Roman" w:cs="Times New Roman"/>
          <w:sz w:val="22"/>
          <w:szCs w:val="22"/>
          <w:lang w:val="en-GB"/>
        </w:rPr>
        <w:t xml:space="preserve">n the criminal justice sector. </w:t>
      </w:r>
      <w:r w:rsidRPr="00125F09">
        <w:rPr>
          <w:rFonts w:ascii="Times New Roman" w:hAnsi="Times New Roman" w:cs="Times New Roman"/>
          <w:sz w:val="22"/>
          <w:szCs w:val="22"/>
          <w:lang w:val="en-GB"/>
        </w:rPr>
        <w:t>The overall effort is to br</w:t>
      </w:r>
      <w:r>
        <w:rPr>
          <w:rFonts w:ascii="Times New Roman" w:hAnsi="Times New Roman" w:cs="Times New Roman"/>
          <w:sz w:val="22"/>
          <w:szCs w:val="22"/>
          <w:lang w:val="en-GB"/>
        </w:rPr>
        <w:t>ing justice and security organis</w:t>
      </w:r>
      <w:r w:rsidRPr="00125F09">
        <w:rPr>
          <w:rFonts w:ascii="Times New Roman" w:hAnsi="Times New Roman" w:cs="Times New Roman"/>
          <w:sz w:val="22"/>
          <w:szCs w:val="22"/>
          <w:lang w:val="en-GB"/>
        </w:rPr>
        <w:t xml:space="preserve">ations together in the rule of law approach </w:t>
      </w:r>
      <w:r>
        <w:rPr>
          <w:rFonts w:ascii="Times New Roman" w:hAnsi="Times New Roman" w:cs="Times New Roman"/>
          <w:sz w:val="22"/>
          <w:szCs w:val="22"/>
          <w:lang w:val="en-GB"/>
        </w:rPr>
        <w:t xml:space="preserve">instead of a sector approach.  </w:t>
      </w:r>
      <w:r w:rsidRPr="00125F09">
        <w:rPr>
          <w:rFonts w:ascii="Times New Roman" w:hAnsi="Times New Roman" w:cs="Times New Roman"/>
          <w:sz w:val="22"/>
          <w:szCs w:val="22"/>
          <w:lang w:val="en-GB"/>
        </w:rPr>
        <w:t>UNDP’s expertise has been particularly valuable in the su</w:t>
      </w:r>
      <w:r>
        <w:rPr>
          <w:rFonts w:ascii="Times New Roman" w:hAnsi="Times New Roman" w:cs="Times New Roman"/>
          <w:sz w:val="22"/>
          <w:szCs w:val="22"/>
          <w:lang w:val="en-GB"/>
        </w:rPr>
        <w:t>pport of the PACC.</w:t>
      </w:r>
    </w:p>
    <w:p w:rsidR="002D1EE7" w:rsidRPr="00125F09" w:rsidRDefault="002D1EE7" w:rsidP="002D1EE7">
      <w:pPr>
        <w:pBdr>
          <w:top w:val="single" w:sz="4" w:space="1" w:color="auto"/>
          <w:left w:val="single" w:sz="4" w:space="4" w:color="auto"/>
          <w:bottom w:val="single" w:sz="4" w:space="1" w:color="auto"/>
          <w:right w:val="single" w:sz="4" w:space="4" w:color="auto"/>
        </w:pBdr>
        <w:shd w:val="clear" w:color="auto" w:fill="D9D9D9"/>
        <w:spacing w:after="0" w:line="240" w:lineRule="auto"/>
        <w:contextualSpacing/>
        <w:jc w:val="both"/>
        <w:rPr>
          <w:rFonts w:ascii="Times New Roman" w:hAnsi="Times New Roman" w:cs="Times New Roman"/>
          <w:sz w:val="22"/>
          <w:szCs w:val="22"/>
          <w:lang w:val="en-GB"/>
        </w:rPr>
      </w:pPr>
      <w:r w:rsidRPr="00125F09">
        <w:rPr>
          <w:rFonts w:ascii="Times New Roman" w:hAnsi="Times New Roman" w:cs="Times New Roman"/>
          <w:b/>
          <w:sz w:val="22"/>
          <w:szCs w:val="22"/>
          <w:lang w:val="en-GB"/>
        </w:rPr>
        <w:t>Recommendation 16</w:t>
      </w:r>
      <w:r>
        <w:rPr>
          <w:rFonts w:ascii="Times New Roman" w:hAnsi="Times New Roman" w:cs="Times New Roman"/>
          <w:sz w:val="22"/>
          <w:szCs w:val="22"/>
          <w:lang w:val="en-GB"/>
        </w:rPr>
        <w:t xml:space="preserve">: UNDP </w:t>
      </w:r>
      <w:r w:rsidRPr="00125F09">
        <w:rPr>
          <w:rFonts w:ascii="Times New Roman" w:hAnsi="Times New Roman" w:cs="Times New Roman"/>
          <w:sz w:val="22"/>
          <w:szCs w:val="22"/>
          <w:lang w:val="en-GB"/>
        </w:rPr>
        <w:t xml:space="preserve">should merge some elements of the UNDP/EUPOL COPPS </w:t>
      </w:r>
      <w:r>
        <w:rPr>
          <w:rFonts w:ascii="Times New Roman" w:hAnsi="Times New Roman" w:cs="Times New Roman"/>
          <w:sz w:val="22"/>
          <w:szCs w:val="22"/>
          <w:lang w:val="en-GB"/>
        </w:rPr>
        <w:t xml:space="preserve">Joint </w:t>
      </w:r>
      <w:r w:rsidRPr="00125F09">
        <w:rPr>
          <w:rFonts w:ascii="Times New Roman" w:hAnsi="Times New Roman" w:cs="Times New Roman"/>
          <w:sz w:val="22"/>
          <w:szCs w:val="22"/>
          <w:lang w:val="en-GB"/>
        </w:rPr>
        <w:t>Programm</w:t>
      </w:r>
      <w:r>
        <w:rPr>
          <w:rFonts w:ascii="Times New Roman" w:hAnsi="Times New Roman" w:cs="Times New Roman"/>
          <w:sz w:val="22"/>
          <w:szCs w:val="22"/>
          <w:lang w:val="en-GB"/>
        </w:rPr>
        <w:t>e with the UNDP Rule of Law &amp;</w:t>
      </w:r>
      <w:r w:rsidRPr="00125F09">
        <w:rPr>
          <w:rFonts w:ascii="Times New Roman" w:hAnsi="Times New Roman" w:cs="Times New Roman"/>
          <w:sz w:val="22"/>
          <w:szCs w:val="22"/>
          <w:lang w:val="en-GB"/>
        </w:rPr>
        <w:t xml:space="preserve">Access to Justice Programme </w:t>
      </w:r>
      <w:r>
        <w:rPr>
          <w:rFonts w:ascii="Times New Roman" w:hAnsi="Times New Roman" w:cs="Times New Roman"/>
          <w:sz w:val="22"/>
          <w:szCs w:val="22"/>
          <w:lang w:val="en-GB"/>
        </w:rPr>
        <w:t>in the oPt</w:t>
      </w:r>
      <w:r w:rsidR="00E8775C">
        <w:rPr>
          <w:rFonts w:ascii="Times New Roman" w:hAnsi="Times New Roman" w:cs="Times New Roman"/>
          <w:sz w:val="22"/>
          <w:szCs w:val="22"/>
          <w:lang w:val="en-GB"/>
        </w:rPr>
        <w:t xml:space="preserve"> </w:t>
      </w:r>
      <w:r w:rsidRPr="00125F09">
        <w:rPr>
          <w:rFonts w:ascii="Times New Roman" w:hAnsi="Times New Roman" w:cs="Times New Roman"/>
          <w:sz w:val="22"/>
          <w:szCs w:val="22"/>
          <w:lang w:val="en-GB"/>
        </w:rPr>
        <w:t>to the extent possible in</w:t>
      </w:r>
      <w:r>
        <w:rPr>
          <w:rFonts w:ascii="Times New Roman" w:hAnsi="Times New Roman" w:cs="Times New Roman"/>
          <w:sz w:val="22"/>
          <w:szCs w:val="22"/>
          <w:lang w:val="en-GB"/>
        </w:rPr>
        <w:t xml:space="preserve"> the next programming period. </w:t>
      </w:r>
      <w:r w:rsidRPr="00125F09">
        <w:rPr>
          <w:rFonts w:ascii="Times New Roman" w:hAnsi="Times New Roman" w:cs="Times New Roman"/>
          <w:sz w:val="22"/>
          <w:szCs w:val="22"/>
          <w:lang w:val="en-GB"/>
        </w:rPr>
        <w:t>This could be done by creating a sp</w:t>
      </w:r>
      <w:r>
        <w:rPr>
          <w:rFonts w:ascii="Times New Roman" w:hAnsi="Times New Roman" w:cs="Times New Roman"/>
          <w:sz w:val="22"/>
          <w:szCs w:val="22"/>
          <w:lang w:val="en-GB"/>
        </w:rPr>
        <w:t>ecific outcome for criminal j</w:t>
      </w:r>
      <w:r w:rsidRPr="00125F09">
        <w:rPr>
          <w:rFonts w:ascii="Times New Roman" w:hAnsi="Times New Roman" w:cs="Times New Roman"/>
          <w:sz w:val="22"/>
          <w:szCs w:val="22"/>
          <w:lang w:val="en-GB"/>
        </w:rPr>
        <w:t>ustice reform, but could a</w:t>
      </w:r>
      <w:r>
        <w:rPr>
          <w:rFonts w:ascii="Times New Roman" w:hAnsi="Times New Roman" w:cs="Times New Roman"/>
          <w:sz w:val="22"/>
          <w:szCs w:val="22"/>
          <w:lang w:val="en-GB"/>
        </w:rPr>
        <w:t>lso come under existing Outcome 1</w:t>
      </w:r>
      <w:r w:rsidRPr="00125F09">
        <w:rPr>
          <w:rFonts w:ascii="Times New Roman" w:hAnsi="Times New Roman" w:cs="Times New Roman"/>
          <w:sz w:val="22"/>
          <w:szCs w:val="22"/>
          <w:lang w:val="en-GB"/>
        </w:rPr>
        <w:t xml:space="preserve">.    </w:t>
      </w:r>
    </w:p>
    <w:p w:rsidR="002D1EE7" w:rsidRPr="00125F09" w:rsidRDefault="002D1EE7" w:rsidP="002D1EE7">
      <w:pPr>
        <w:spacing w:after="0" w:line="240" w:lineRule="auto"/>
        <w:jc w:val="both"/>
        <w:rPr>
          <w:rFonts w:ascii="Times New Roman" w:eastAsia="MS Mincho" w:hAnsi="Times New Roman" w:cs="Times New Roman"/>
          <w:sz w:val="22"/>
          <w:szCs w:val="22"/>
          <w:lang w:val="en-GB" w:eastAsia="ja-JP"/>
        </w:rPr>
      </w:pPr>
    </w:p>
    <w:p w:rsidR="002D1EE7" w:rsidRPr="00125F09" w:rsidRDefault="002D1EE7" w:rsidP="002D1EE7">
      <w:pPr>
        <w:pBdr>
          <w:top w:val="single" w:sz="4" w:space="1" w:color="auto"/>
          <w:left w:val="single" w:sz="4" w:space="4" w:color="auto"/>
          <w:bottom w:val="single" w:sz="4" w:space="1" w:color="auto"/>
          <w:right w:val="single" w:sz="4" w:space="4" w:color="auto"/>
        </w:pBdr>
        <w:shd w:val="clear" w:color="auto" w:fill="E0E0E0"/>
        <w:spacing w:after="0" w:line="240" w:lineRule="auto"/>
        <w:jc w:val="both"/>
        <w:rPr>
          <w:rFonts w:ascii="Times New Roman" w:eastAsia="MS Mincho" w:hAnsi="Times New Roman" w:cs="Times New Roman"/>
          <w:sz w:val="22"/>
          <w:szCs w:val="24"/>
          <w:lang w:val="en-GB" w:eastAsia="ja-JP"/>
        </w:rPr>
      </w:pPr>
      <w:r w:rsidRPr="00125F09">
        <w:rPr>
          <w:rFonts w:ascii="Times New Roman" w:eastAsia="MS Mincho" w:hAnsi="Times New Roman" w:cs="Times New Roman"/>
          <w:b/>
          <w:sz w:val="22"/>
          <w:szCs w:val="22"/>
          <w:lang w:val="en-GB" w:eastAsia="ja-JP"/>
        </w:rPr>
        <w:t>Conclusion 17</w:t>
      </w:r>
      <w:r>
        <w:rPr>
          <w:rFonts w:ascii="Times New Roman" w:eastAsia="MS Mincho" w:hAnsi="Times New Roman" w:cs="Times New Roman"/>
          <w:sz w:val="22"/>
          <w:szCs w:val="22"/>
          <w:lang w:val="en-GB" w:eastAsia="ja-JP"/>
        </w:rPr>
        <w:t xml:space="preserve">: The overall assessment of </w:t>
      </w:r>
      <w:r w:rsidRPr="00125F09">
        <w:rPr>
          <w:rFonts w:ascii="Times New Roman" w:eastAsia="MS Mincho" w:hAnsi="Times New Roman" w:cs="Times New Roman"/>
          <w:sz w:val="22"/>
          <w:szCs w:val="22"/>
          <w:lang w:val="en-GB" w:eastAsia="ja-JP"/>
        </w:rPr>
        <w:t>UNDP</w:t>
      </w:r>
      <w:r>
        <w:rPr>
          <w:rFonts w:ascii="Times New Roman" w:eastAsia="MS Mincho" w:hAnsi="Times New Roman" w:cs="Times New Roman"/>
          <w:sz w:val="22"/>
          <w:szCs w:val="22"/>
          <w:lang w:val="en-GB" w:eastAsia="ja-JP"/>
        </w:rPr>
        <w:t>’s</w:t>
      </w:r>
      <w:r w:rsidRPr="00125F09">
        <w:rPr>
          <w:rFonts w:ascii="Times New Roman" w:eastAsia="MS Mincho" w:hAnsi="Times New Roman" w:cs="Times New Roman"/>
          <w:sz w:val="22"/>
          <w:szCs w:val="22"/>
          <w:lang w:val="en-GB" w:eastAsia="ja-JP"/>
        </w:rPr>
        <w:t xml:space="preserve"> Civil Society Initiative is highly favourable. Key questions going for</w:t>
      </w:r>
      <w:r>
        <w:rPr>
          <w:rFonts w:ascii="Times New Roman" w:eastAsia="MS Mincho" w:hAnsi="Times New Roman" w:cs="Times New Roman"/>
          <w:sz w:val="22"/>
          <w:szCs w:val="22"/>
          <w:lang w:val="en-GB" w:eastAsia="ja-JP"/>
        </w:rPr>
        <w:t xml:space="preserve">ward for UNDP </w:t>
      </w:r>
      <w:r w:rsidRPr="00125F09">
        <w:rPr>
          <w:rFonts w:ascii="Times New Roman" w:eastAsia="MS Mincho" w:hAnsi="Times New Roman" w:cs="Times New Roman"/>
          <w:sz w:val="22"/>
          <w:szCs w:val="22"/>
          <w:lang w:val="en-GB" w:eastAsia="ja-JP"/>
        </w:rPr>
        <w:t>will be whether such awareness-raising and advocacy</w:t>
      </w:r>
      <w:r w:rsidR="000063A3">
        <w:rPr>
          <w:rFonts w:ascii="Times New Roman" w:eastAsia="MS Mincho" w:hAnsi="Times New Roman" w:cs="Times New Roman"/>
          <w:sz w:val="22"/>
          <w:szCs w:val="22"/>
          <w:lang w:val="en-GB" w:eastAsia="ja-JP"/>
        </w:rPr>
        <w:t xml:space="preserve"> </w:t>
      </w:r>
      <w:r w:rsidRPr="00125F09">
        <w:rPr>
          <w:rFonts w:ascii="Times New Roman" w:eastAsia="MS Mincho" w:hAnsi="Times New Roman" w:cs="Times New Roman"/>
          <w:sz w:val="22"/>
          <w:szCs w:val="22"/>
          <w:lang w:val="en-GB" w:eastAsia="ja-JP"/>
        </w:rPr>
        <w:t>can be made more strategic; are the most cost-effective use of limited resources; and whether awareness-raising and/or advocacy should be scaled-down in favour of sca</w:t>
      </w:r>
      <w:r>
        <w:rPr>
          <w:rFonts w:ascii="Times New Roman" w:eastAsia="MS Mincho" w:hAnsi="Times New Roman" w:cs="Times New Roman"/>
          <w:sz w:val="22"/>
          <w:szCs w:val="22"/>
          <w:lang w:val="en-GB" w:eastAsia="ja-JP"/>
        </w:rPr>
        <w:t>ling-up other aspects of the p</w:t>
      </w:r>
      <w:r w:rsidRPr="00125F09">
        <w:rPr>
          <w:rFonts w:ascii="Times New Roman" w:eastAsia="MS Mincho" w:hAnsi="Times New Roman" w:cs="Times New Roman"/>
          <w:sz w:val="22"/>
          <w:szCs w:val="22"/>
          <w:lang w:val="en-GB" w:eastAsia="ja-JP"/>
        </w:rPr>
        <w:t xml:space="preserve">rogramme. </w:t>
      </w:r>
    </w:p>
    <w:p w:rsidR="002D1EE7" w:rsidRPr="00125F09" w:rsidRDefault="002D1EE7" w:rsidP="002D1EE7">
      <w:pPr>
        <w:pBdr>
          <w:top w:val="single" w:sz="4" w:space="1" w:color="auto"/>
          <w:left w:val="single" w:sz="4" w:space="4" w:color="auto"/>
          <w:bottom w:val="single" w:sz="4" w:space="1" w:color="auto"/>
          <w:right w:val="single" w:sz="4" w:space="4" w:color="auto"/>
        </w:pBdr>
        <w:shd w:val="clear" w:color="auto" w:fill="E0E0E0"/>
        <w:spacing w:after="0" w:line="240" w:lineRule="auto"/>
        <w:contextualSpacing/>
        <w:jc w:val="both"/>
        <w:rPr>
          <w:rFonts w:ascii="Times New Roman" w:eastAsia="MS Mincho" w:hAnsi="Times New Roman" w:cs="Times New Roman"/>
          <w:sz w:val="22"/>
          <w:szCs w:val="22"/>
          <w:lang w:val="en-GB" w:eastAsia="ja-JP"/>
        </w:rPr>
      </w:pPr>
      <w:r w:rsidRPr="00125F09">
        <w:rPr>
          <w:rFonts w:ascii="Times New Roman" w:eastAsia="MS Mincho" w:hAnsi="Times New Roman" w:cs="Times New Roman"/>
          <w:b/>
          <w:sz w:val="22"/>
          <w:szCs w:val="22"/>
          <w:lang w:val="en-GB" w:eastAsia="ja-JP"/>
        </w:rPr>
        <w:t>Recommendation 17</w:t>
      </w:r>
      <w:r>
        <w:rPr>
          <w:rFonts w:ascii="Times New Roman" w:eastAsia="MS Mincho" w:hAnsi="Times New Roman" w:cs="Times New Roman"/>
          <w:b/>
          <w:sz w:val="22"/>
          <w:szCs w:val="22"/>
          <w:lang w:val="en-GB" w:eastAsia="ja-JP"/>
        </w:rPr>
        <w:t>:</w:t>
      </w:r>
      <w:r w:rsidRPr="00125F09">
        <w:rPr>
          <w:rFonts w:ascii="Times New Roman" w:eastAsia="MS Mincho" w:hAnsi="Times New Roman" w:cs="Times New Roman"/>
          <w:sz w:val="22"/>
          <w:szCs w:val="22"/>
          <w:lang w:val="en-GB" w:eastAsia="ja-JP"/>
        </w:rPr>
        <w:t xml:space="preserve"> Going forward</w:t>
      </w:r>
      <w:r>
        <w:rPr>
          <w:rFonts w:ascii="Times New Roman" w:eastAsia="MS Mincho" w:hAnsi="Times New Roman" w:cs="Times New Roman"/>
          <w:sz w:val="22"/>
          <w:szCs w:val="22"/>
          <w:lang w:val="en-GB" w:eastAsia="ja-JP"/>
        </w:rPr>
        <w:t xml:space="preserve">, </w:t>
      </w:r>
      <w:r w:rsidRPr="00125F09">
        <w:rPr>
          <w:rFonts w:ascii="Times New Roman" w:eastAsia="MS Mincho" w:hAnsi="Times New Roman" w:cs="Times New Roman"/>
          <w:sz w:val="22"/>
          <w:szCs w:val="22"/>
          <w:lang w:val="en-GB" w:eastAsia="ja-JP"/>
        </w:rPr>
        <w:t>UNDP is encouraged to critically assess in detail the performance of each of the CSO grant recipients, as well as their demonstrated capacities and relative strengths for both awareness-raising and advocacy</w:t>
      </w:r>
      <w:r>
        <w:rPr>
          <w:rFonts w:ascii="Times New Roman" w:eastAsia="MS Mincho" w:hAnsi="Times New Roman" w:cs="Times New Roman"/>
          <w:sz w:val="22"/>
          <w:szCs w:val="22"/>
          <w:lang w:val="en-GB" w:eastAsia="ja-JP"/>
        </w:rPr>
        <w:t xml:space="preserve">. </w:t>
      </w:r>
      <w:r w:rsidRPr="00125F09">
        <w:rPr>
          <w:rFonts w:ascii="Times New Roman" w:eastAsia="MS Mincho" w:hAnsi="Times New Roman" w:cs="Times New Roman"/>
          <w:sz w:val="22"/>
          <w:szCs w:val="22"/>
          <w:lang w:val="en-GB" w:eastAsia="ja-JP"/>
        </w:rPr>
        <w:t xml:space="preserve">It is certainly fair to say that not </w:t>
      </w:r>
      <w:r w:rsidRPr="00125F09">
        <w:rPr>
          <w:rFonts w:ascii="Times New Roman" w:eastAsia="MS Mincho" w:hAnsi="Times New Roman" w:cs="Times New Roman"/>
          <w:i/>
          <w:sz w:val="22"/>
          <w:szCs w:val="22"/>
          <w:lang w:val="en-GB" w:eastAsia="ja-JP"/>
        </w:rPr>
        <w:t xml:space="preserve">all </w:t>
      </w:r>
      <w:r>
        <w:rPr>
          <w:rFonts w:ascii="Times New Roman" w:eastAsia="MS Mincho" w:hAnsi="Times New Roman" w:cs="Times New Roman"/>
          <w:sz w:val="22"/>
          <w:szCs w:val="22"/>
          <w:lang w:val="en-GB" w:eastAsia="ja-JP"/>
        </w:rPr>
        <w:t xml:space="preserve">CSOs </w:t>
      </w:r>
      <w:r w:rsidRPr="00125F09">
        <w:rPr>
          <w:rFonts w:ascii="Times New Roman" w:eastAsia="MS Mincho" w:hAnsi="Times New Roman" w:cs="Times New Roman"/>
          <w:sz w:val="22"/>
          <w:szCs w:val="22"/>
          <w:lang w:val="en-GB" w:eastAsia="ja-JP"/>
        </w:rPr>
        <w:t xml:space="preserve">should be doing </w:t>
      </w:r>
      <w:r w:rsidRPr="00125F09">
        <w:rPr>
          <w:rFonts w:ascii="Times New Roman" w:eastAsia="MS Mincho" w:hAnsi="Times New Roman" w:cs="Times New Roman"/>
          <w:i/>
          <w:sz w:val="22"/>
          <w:szCs w:val="22"/>
          <w:lang w:val="en-GB" w:eastAsia="ja-JP"/>
        </w:rPr>
        <w:t xml:space="preserve">all </w:t>
      </w:r>
      <w:r w:rsidRPr="00125F09">
        <w:rPr>
          <w:rFonts w:ascii="Times New Roman" w:eastAsia="MS Mincho" w:hAnsi="Times New Roman" w:cs="Times New Roman"/>
          <w:sz w:val="22"/>
          <w:szCs w:val="22"/>
          <w:lang w:val="en-GB" w:eastAsia="ja-JP"/>
        </w:rPr>
        <w:t>things (i.e. legal aid, awareness-raising, advocacy and publications</w:t>
      </w:r>
      <w:r>
        <w:rPr>
          <w:rFonts w:ascii="Times New Roman" w:eastAsia="MS Mincho" w:hAnsi="Times New Roman" w:cs="Times New Roman"/>
          <w:sz w:val="22"/>
          <w:szCs w:val="22"/>
          <w:lang w:val="en-GB" w:eastAsia="ja-JP"/>
        </w:rPr>
        <w:t xml:space="preserve">) </w:t>
      </w:r>
      <w:r w:rsidRPr="00125F09">
        <w:rPr>
          <w:rFonts w:ascii="Times New Roman" w:eastAsia="MS Mincho" w:hAnsi="Times New Roman" w:cs="Times New Roman"/>
          <w:sz w:val="22"/>
          <w:szCs w:val="22"/>
          <w:lang w:val="en-GB" w:eastAsia="ja-JP"/>
        </w:rPr>
        <w:t xml:space="preserve">but should only be funded in areas for which they can demonstrate capacity and ability based upon their prior performance.   </w:t>
      </w:r>
    </w:p>
    <w:p w:rsidR="002D1EE7" w:rsidRPr="00125F09" w:rsidRDefault="002D1EE7" w:rsidP="002D1EE7">
      <w:pPr>
        <w:spacing w:after="0" w:line="240" w:lineRule="auto"/>
        <w:jc w:val="both"/>
        <w:rPr>
          <w:rFonts w:ascii="Times New Roman" w:eastAsia="MS Mincho" w:hAnsi="Times New Roman" w:cs="Times New Roman"/>
          <w:b/>
          <w:sz w:val="22"/>
          <w:szCs w:val="22"/>
          <w:lang w:val="en-GB" w:eastAsia="ja-JP"/>
        </w:rPr>
      </w:pPr>
    </w:p>
    <w:p w:rsidR="002D1EE7" w:rsidRPr="00125F09" w:rsidRDefault="002D1EE7" w:rsidP="002D1EE7">
      <w:pPr>
        <w:pBdr>
          <w:top w:val="single" w:sz="4" w:space="1" w:color="auto"/>
          <w:left w:val="single" w:sz="4" w:space="4" w:color="auto"/>
          <w:bottom w:val="single" w:sz="4" w:space="1" w:color="auto"/>
          <w:right w:val="single" w:sz="4" w:space="4" w:color="auto"/>
        </w:pBdr>
        <w:shd w:val="clear" w:color="auto" w:fill="E0E0E0"/>
        <w:spacing w:after="0" w:line="240" w:lineRule="auto"/>
        <w:jc w:val="both"/>
        <w:rPr>
          <w:rFonts w:ascii="Times New Roman" w:eastAsia="MS Mincho" w:hAnsi="Times New Roman" w:cs="Times New Roman"/>
          <w:sz w:val="22"/>
          <w:szCs w:val="22"/>
          <w:lang w:val="en-GB" w:eastAsia="ja-JP"/>
        </w:rPr>
      </w:pPr>
      <w:r w:rsidRPr="00125F09">
        <w:rPr>
          <w:rFonts w:ascii="Times New Roman" w:eastAsia="MS Mincho" w:hAnsi="Times New Roman" w:cs="Times New Roman"/>
          <w:b/>
          <w:sz w:val="22"/>
          <w:szCs w:val="22"/>
          <w:lang w:val="en-GB" w:eastAsia="ja-JP"/>
        </w:rPr>
        <w:t>Conclusion 18</w:t>
      </w:r>
      <w:r>
        <w:rPr>
          <w:rFonts w:ascii="Times New Roman" w:eastAsia="MS Mincho" w:hAnsi="Times New Roman" w:cs="Times New Roman"/>
          <w:sz w:val="22"/>
          <w:szCs w:val="22"/>
          <w:lang w:val="en-GB" w:eastAsia="ja-JP"/>
        </w:rPr>
        <w:t xml:space="preserve">: </w:t>
      </w:r>
      <w:r w:rsidRPr="00125F09">
        <w:rPr>
          <w:rFonts w:ascii="Times New Roman" w:eastAsia="MS Mincho" w:hAnsi="Times New Roman" w:cs="Times New Roman"/>
          <w:sz w:val="22"/>
          <w:szCs w:val="22"/>
          <w:lang w:val="en-GB" w:eastAsia="ja-JP"/>
        </w:rPr>
        <w:t xml:space="preserve">Rule of law </w:t>
      </w:r>
      <w:r>
        <w:rPr>
          <w:rFonts w:ascii="Times New Roman" w:eastAsia="MS Mincho" w:hAnsi="Times New Roman" w:cs="Times New Roman"/>
          <w:sz w:val="22"/>
          <w:szCs w:val="22"/>
          <w:lang w:val="en-GB" w:eastAsia="ja-JP"/>
        </w:rPr>
        <w:t xml:space="preserve">work is a long-term endeavour. </w:t>
      </w:r>
      <w:r w:rsidRPr="00125F09">
        <w:rPr>
          <w:rFonts w:ascii="Times New Roman" w:eastAsia="MS Mincho" w:hAnsi="Times New Roman" w:cs="Times New Roman"/>
          <w:sz w:val="22"/>
          <w:szCs w:val="22"/>
          <w:lang w:val="en-GB" w:eastAsia="ja-JP"/>
        </w:rPr>
        <w:t xml:space="preserve">In assessing the effectiveness of UNDP’s support to client-based legal </w:t>
      </w:r>
      <w:r>
        <w:rPr>
          <w:rFonts w:ascii="Times New Roman" w:eastAsia="MS Mincho" w:hAnsi="Times New Roman" w:cs="Times New Roman"/>
          <w:sz w:val="22"/>
          <w:szCs w:val="22"/>
          <w:lang w:val="en-GB" w:eastAsia="ja-JP"/>
        </w:rPr>
        <w:t xml:space="preserve">aid </w:t>
      </w:r>
      <w:r w:rsidRPr="00125F09">
        <w:rPr>
          <w:rFonts w:ascii="Times New Roman" w:eastAsia="MS Mincho" w:hAnsi="Times New Roman" w:cs="Times New Roman"/>
          <w:sz w:val="22"/>
          <w:szCs w:val="22"/>
          <w:lang w:val="en-GB" w:eastAsia="ja-JP"/>
        </w:rPr>
        <w:t>services it is important not to focus on numbers alone, but also to keep in mind t</w:t>
      </w:r>
      <w:r>
        <w:rPr>
          <w:rFonts w:ascii="Times New Roman" w:eastAsia="MS Mincho" w:hAnsi="Times New Roman" w:cs="Times New Roman"/>
          <w:sz w:val="22"/>
          <w:szCs w:val="22"/>
          <w:lang w:val="en-GB" w:eastAsia="ja-JP"/>
        </w:rPr>
        <w:t xml:space="preserve">he potential that such </w:t>
      </w:r>
      <w:r w:rsidRPr="00125F09">
        <w:rPr>
          <w:rFonts w:ascii="Times New Roman" w:eastAsia="MS Mincho" w:hAnsi="Times New Roman" w:cs="Times New Roman"/>
          <w:sz w:val="22"/>
          <w:szCs w:val="22"/>
          <w:lang w:val="en-GB" w:eastAsia="ja-JP"/>
        </w:rPr>
        <w:t xml:space="preserve">interventions have in the aggregate and over time to change the system. </w:t>
      </w:r>
    </w:p>
    <w:p w:rsidR="002D1EE7" w:rsidRPr="00125F09" w:rsidRDefault="002D1EE7" w:rsidP="002D1EE7">
      <w:pPr>
        <w:pBdr>
          <w:top w:val="single" w:sz="4" w:space="1" w:color="auto"/>
          <w:left w:val="single" w:sz="4" w:space="4" w:color="auto"/>
          <w:bottom w:val="single" w:sz="4" w:space="1" w:color="auto"/>
          <w:right w:val="single" w:sz="4" w:space="4" w:color="auto"/>
        </w:pBdr>
        <w:shd w:val="clear" w:color="auto" w:fill="E0E0E0"/>
        <w:spacing w:after="0" w:line="240" w:lineRule="auto"/>
        <w:jc w:val="both"/>
        <w:rPr>
          <w:rFonts w:ascii="Times New Roman" w:eastAsia="MS Mincho" w:hAnsi="Times New Roman" w:cs="Times New Roman"/>
          <w:sz w:val="22"/>
          <w:szCs w:val="22"/>
          <w:lang w:val="en-GB" w:eastAsia="ja-JP"/>
        </w:rPr>
      </w:pPr>
      <w:r w:rsidRPr="00125F09">
        <w:rPr>
          <w:rFonts w:ascii="Times New Roman" w:eastAsia="MS Mincho" w:hAnsi="Times New Roman" w:cs="Times New Roman"/>
          <w:b/>
          <w:sz w:val="22"/>
          <w:szCs w:val="22"/>
          <w:lang w:val="en-GB" w:eastAsia="ja-JP"/>
        </w:rPr>
        <w:t>Recommendation 18</w:t>
      </w:r>
      <w:r>
        <w:rPr>
          <w:rFonts w:ascii="Times New Roman" w:eastAsia="MS Mincho" w:hAnsi="Times New Roman" w:cs="Times New Roman"/>
          <w:b/>
          <w:sz w:val="22"/>
          <w:szCs w:val="22"/>
          <w:lang w:val="en-GB" w:eastAsia="ja-JP"/>
        </w:rPr>
        <w:t>:</w:t>
      </w:r>
      <w:r w:rsidRPr="00125F09">
        <w:rPr>
          <w:rFonts w:ascii="Times New Roman" w:eastAsia="MS Mincho" w:hAnsi="Times New Roman" w:cs="Times New Roman"/>
          <w:sz w:val="22"/>
          <w:szCs w:val="22"/>
          <w:lang w:val="en-GB" w:eastAsia="ja-JP"/>
        </w:rPr>
        <w:t xml:space="preserve">UNDP and </w:t>
      </w:r>
      <w:r>
        <w:rPr>
          <w:rFonts w:ascii="Times New Roman" w:eastAsia="MS Mincho" w:hAnsi="Times New Roman" w:cs="Times New Roman"/>
          <w:sz w:val="22"/>
          <w:szCs w:val="22"/>
          <w:lang w:val="en-GB" w:eastAsia="ja-JP"/>
        </w:rPr>
        <w:t xml:space="preserve">its </w:t>
      </w:r>
      <w:r w:rsidRPr="00125F09">
        <w:rPr>
          <w:rFonts w:ascii="Times New Roman" w:eastAsia="MS Mincho" w:hAnsi="Times New Roman" w:cs="Times New Roman"/>
          <w:sz w:val="22"/>
          <w:szCs w:val="22"/>
          <w:lang w:val="en-GB" w:eastAsia="ja-JP"/>
        </w:rPr>
        <w:t>donors should continue to support and scale-up client-based legal</w:t>
      </w:r>
      <w:r>
        <w:rPr>
          <w:rFonts w:ascii="Times New Roman" w:eastAsia="MS Mincho" w:hAnsi="Times New Roman" w:cs="Times New Roman"/>
          <w:sz w:val="22"/>
          <w:szCs w:val="22"/>
          <w:lang w:val="en-GB" w:eastAsia="ja-JP"/>
        </w:rPr>
        <w:t xml:space="preserve"> aid</w:t>
      </w:r>
      <w:r w:rsidRPr="00125F09">
        <w:rPr>
          <w:rFonts w:ascii="Times New Roman" w:eastAsia="MS Mincho" w:hAnsi="Times New Roman" w:cs="Times New Roman"/>
          <w:sz w:val="22"/>
          <w:szCs w:val="22"/>
          <w:lang w:val="en-GB" w:eastAsia="ja-JP"/>
        </w:rPr>
        <w:t xml:space="preserve"> se</w:t>
      </w:r>
      <w:r>
        <w:rPr>
          <w:rFonts w:ascii="Times New Roman" w:eastAsia="MS Mincho" w:hAnsi="Times New Roman" w:cs="Times New Roman"/>
          <w:sz w:val="22"/>
          <w:szCs w:val="22"/>
          <w:lang w:val="en-GB" w:eastAsia="ja-JP"/>
        </w:rPr>
        <w:t xml:space="preserve">rvices for vulnerable groups, particularly in the West Bank, including East Jerusalem. </w:t>
      </w:r>
      <w:r w:rsidRPr="00125F09">
        <w:rPr>
          <w:rFonts w:ascii="Times New Roman" w:eastAsia="MS Mincho" w:hAnsi="Times New Roman" w:cs="Times New Roman"/>
          <w:sz w:val="22"/>
          <w:szCs w:val="22"/>
          <w:lang w:val="en-GB" w:eastAsia="ja-JP"/>
        </w:rPr>
        <w:t>Going forward, UNDP should build upon its work to date and take the logical next steps for linking PNA supported initiatives for free legal aid and CSO initiatives in a comprehe</w:t>
      </w:r>
      <w:r>
        <w:rPr>
          <w:rFonts w:ascii="Times New Roman" w:eastAsia="MS Mincho" w:hAnsi="Times New Roman" w:cs="Times New Roman"/>
          <w:sz w:val="22"/>
          <w:szCs w:val="22"/>
          <w:lang w:val="en-GB" w:eastAsia="ja-JP"/>
        </w:rPr>
        <w:t>nsive legal aid strategy</w:t>
      </w:r>
      <w:r w:rsidRPr="00125F09">
        <w:rPr>
          <w:rFonts w:ascii="Times New Roman" w:eastAsia="MS Mincho" w:hAnsi="Times New Roman" w:cs="Times New Roman"/>
          <w:sz w:val="22"/>
          <w:szCs w:val="22"/>
          <w:lang w:val="en-GB" w:eastAsia="ja-JP"/>
        </w:rPr>
        <w:t xml:space="preserve">. </w:t>
      </w:r>
    </w:p>
    <w:p w:rsidR="002D1EE7" w:rsidRPr="00125F09" w:rsidRDefault="002D1EE7" w:rsidP="002D1EE7">
      <w:pPr>
        <w:spacing w:after="0" w:line="240" w:lineRule="auto"/>
        <w:jc w:val="both"/>
        <w:rPr>
          <w:rFonts w:ascii="Times New Roman" w:eastAsia="MS Mincho" w:hAnsi="Times New Roman" w:cs="Times New Roman"/>
          <w:sz w:val="22"/>
          <w:szCs w:val="22"/>
          <w:lang w:val="en-GB" w:eastAsia="ja-JP"/>
        </w:rPr>
      </w:pPr>
    </w:p>
    <w:p w:rsidR="002D1EE7" w:rsidRPr="00125F09" w:rsidRDefault="002D1EE7" w:rsidP="002D1EE7">
      <w:pPr>
        <w:pBdr>
          <w:top w:val="single" w:sz="4" w:space="1" w:color="auto"/>
          <w:left w:val="single" w:sz="4" w:space="4" w:color="auto"/>
          <w:bottom w:val="single" w:sz="4" w:space="1" w:color="auto"/>
          <w:right w:val="single" w:sz="4" w:space="4" w:color="auto"/>
        </w:pBdr>
        <w:shd w:val="clear" w:color="auto" w:fill="E0E0E0"/>
        <w:spacing w:after="0" w:line="240" w:lineRule="auto"/>
        <w:jc w:val="both"/>
        <w:rPr>
          <w:rFonts w:ascii="Times New Roman" w:eastAsia="MS Mincho" w:hAnsi="Times New Roman" w:cs="Times New Roman"/>
          <w:sz w:val="22"/>
          <w:szCs w:val="22"/>
          <w:lang w:val="en-GB" w:eastAsia="ja-JP"/>
        </w:rPr>
      </w:pPr>
      <w:r w:rsidRPr="00125F09">
        <w:rPr>
          <w:rFonts w:ascii="Times New Roman" w:eastAsia="MS Mincho" w:hAnsi="Times New Roman" w:cs="Times New Roman"/>
          <w:b/>
          <w:sz w:val="22"/>
          <w:szCs w:val="22"/>
          <w:lang w:val="en-GB" w:eastAsia="ja-JP"/>
        </w:rPr>
        <w:t>Conclusion 19</w:t>
      </w:r>
      <w:r>
        <w:rPr>
          <w:rFonts w:ascii="Times New Roman" w:eastAsia="MS Mincho" w:hAnsi="Times New Roman" w:cs="Times New Roman"/>
          <w:sz w:val="22"/>
          <w:szCs w:val="22"/>
          <w:lang w:val="en-GB" w:eastAsia="ja-JP"/>
        </w:rPr>
        <w:t>: As part of</w:t>
      </w:r>
      <w:r w:rsidRPr="00125F09">
        <w:rPr>
          <w:rFonts w:ascii="Times New Roman" w:eastAsia="MS Mincho" w:hAnsi="Times New Roman" w:cs="Times New Roman"/>
          <w:sz w:val="22"/>
          <w:szCs w:val="22"/>
          <w:lang w:val="en-GB" w:eastAsia="ja-JP"/>
        </w:rPr>
        <w:t xml:space="preserve"> t</w:t>
      </w:r>
      <w:r>
        <w:rPr>
          <w:rFonts w:ascii="Times New Roman" w:eastAsia="MS Mincho" w:hAnsi="Times New Roman" w:cs="Times New Roman"/>
          <w:sz w:val="22"/>
          <w:szCs w:val="22"/>
          <w:lang w:val="en-GB" w:eastAsia="ja-JP"/>
        </w:rPr>
        <w:t>he Civil Society Initiative</w:t>
      </w:r>
      <w:r w:rsidRPr="00125F09">
        <w:rPr>
          <w:rFonts w:ascii="Times New Roman" w:eastAsia="MS Mincho" w:hAnsi="Times New Roman" w:cs="Times New Roman"/>
          <w:sz w:val="22"/>
          <w:szCs w:val="22"/>
          <w:lang w:val="en-GB" w:eastAsia="ja-JP"/>
        </w:rPr>
        <w:t>, UNDP provided relatively few detailed instructions or guidelines for representation of clients or the types of cas</w:t>
      </w:r>
      <w:r>
        <w:rPr>
          <w:rFonts w:ascii="Times New Roman" w:eastAsia="MS Mincho" w:hAnsi="Times New Roman" w:cs="Times New Roman"/>
          <w:sz w:val="22"/>
          <w:szCs w:val="22"/>
          <w:lang w:val="en-GB" w:eastAsia="ja-JP"/>
        </w:rPr>
        <w:t>es that the CSOs should take on, particularly when it comes to the West Bank.</w:t>
      </w:r>
    </w:p>
    <w:p w:rsidR="002D1EE7" w:rsidRPr="00125F09" w:rsidRDefault="002D1EE7" w:rsidP="002D1EE7">
      <w:pPr>
        <w:pBdr>
          <w:top w:val="single" w:sz="4" w:space="1" w:color="auto"/>
          <w:left w:val="single" w:sz="4" w:space="4" w:color="auto"/>
          <w:bottom w:val="single" w:sz="4" w:space="1" w:color="auto"/>
          <w:right w:val="single" w:sz="4" w:space="4" w:color="auto"/>
        </w:pBdr>
        <w:shd w:val="clear" w:color="auto" w:fill="E0E0E0"/>
        <w:spacing w:after="0" w:line="240" w:lineRule="auto"/>
        <w:contextualSpacing/>
        <w:jc w:val="both"/>
        <w:rPr>
          <w:rFonts w:ascii="Times New Roman" w:eastAsia="MS Mincho" w:hAnsi="Times New Roman" w:cs="Times New Roman"/>
          <w:sz w:val="22"/>
          <w:szCs w:val="22"/>
          <w:lang w:val="en-GB" w:eastAsia="ja-JP"/>
        </w:rPr>
      </w:pPr>
      <w:r w:rsidRPr="00125F09">
        <w:rPr>
          <w:rFonts w:ascii="Times New Roman" w:eastAsia="MS Mincho" w:hAnsi="Times New Roman" w:cs="Times New Roman"/>
          <w:b/>
          <w:sz w:val="22"/>
          <w:szCs w:val="22"/>
          <w:lang w:val="en-GB" w:eastAsia="ja-JP"/>
        </w:rPr>
        <w:t>Recommendation 19</w:t>
      </w:r>
      <w:r>
        <w:rPr>
          <w:rFonts w:ascii="Times New Roman" w:eastAsia="MS Mincho" w:hAnsi="Times New Roman" w:cs="Times New Roman"/>
          <w:b/>
          <w:sz w:val="22"/>
          <w:szCs w:val="22"/>
          <w:lang w:val="en-GB" w:eastAsia="ja-JP"/>
        </w:rPr>
        <w:t>:</w:t>
      </w:r>
      <w:r w:rsidRPr="00125F09">
        <w:rPr>
          <w:rFonts w:ascii="Times New Roman" w:eastAsia="MS Mincho" w:hAnsi="Times New Roman" w:cs="Times New Roman"/>
          <w:sz w:val="22"/>
          <w:szCs w:val="22"/>
          <w:lang w:val="en-GB" w:eastAsia="ja-JP"/>
        </w:rPr>
        <w:t>Going forward, UNDP should develop a common training template and set of knowledge products for all CSOs engaged in</w:t>
      </w:r>
      <w:r>
        <w:rPr>
          <w:rFonts w:ascii="Times New Roman" w:eastAsia="MS Mincho" w:hAnsi="Times New Roman" w:cs="Times New Roman"/>
          <w:sz w:val="22"/>
          <w:szCs w:val="22"/>
          <w:lang w:val="en-GB" w:eastAsia="ja-JP"/>
        </w:rPr>
        <w:t xml:space="preserve"> legal aid with UNDP support. </w:t>
      </w:r>
      <w:r w:rsidRPr="00125F09">
        <w:rPr>
          <w:rFonts w:ascii="Times New Roman" w:eastAsia="MS Mincho" w:hAnsi="Times New Roman" w:cs="Times New Roman"/>
          <w:sz w:val="22"/>
          <w:szCs w:val="22"/>
          <w:lang w:val="en-GB" w:eastAsia="ja-JP"/>
        </w:rPr>
        <w:t>UNDP should consider scaling-up its support to client-based legal services in b</w:t>
      </w:r>
      <w:r>
        <w:rPr>
          <w:rFonts w:ascii="Times New Roman" w:eastAsia="MS Mincho" w:hAnsi="Times New Roman" w:cs="Times New Roman"/>
          <w:sz w:val="22"/>
          <w:szCs w:val="22"/>
          <w:lang w:val="en-GB" w:eastAsia="ja-JP"/>
        </w:rPr>
        <w:t>oth Area C and East Jerusalem</w:t>
      </w:r>
      <w:r w:rsidRPr="00125F09">
        <w:rPr>
          <w:rFonts w:ascii="Times New Roman" w:eastAsia="MS Mincho" w:hAnsi="Times New Roman" w:cs="Times New Roman"/>
          <w:sz w:val="22"/>
          <w:szCs w:val="22"/>
          <w:lang w:val="en-GB" w:eastAsia="ja-JP"/>
        </w:rPr>
        <w:t xml:space="preserve"> and creating a U</w:t>
      </w:r>
      <w:r>
        <w:rPr>
          <w:rFonts w:ascii="Times New Roman" w:eastAsia="MS Mincho" w:hAnsi="Times New Roman" w:cs="Times New Roman"/>
          <w:sz w:val="22"/>
          <w:szCs w:val="22"/>
          <w:lang w:val="en-GB" w:eastAsia="ja-JP"/>
        </w:rPr>
        <w:t xml:space="preserve">NDP “brand” for such services. </w:t>
      </w:r>
      <w:r w:rsidRPr="00125F09">
        <w:rPr>
          <w:rFonts w:ascii="Times New Roman" w:eastAsia="MS Mincho" w:hAnsi="Times New Roman" w:cs="Times New Roman"/>
          <w:sz w:val="22"/>
          <w:szCs w:val="22"/>
          <w:lang w:val="en-GB" w:eastAsia="ja-JP"/>
        </w:rPr>
        <w:t xml:space="preserve">This will ultimately serve to make UNDP legal assistance more structured throughout </w:t>
      </w:r>
      <w:r>
        <w:rPr>
          <w:rFonts w:ascii="Times New Roman" w:eastAsia="MS Mincho" w:hAnsi="Times New Roman" w:cs="Times New Roman"/>
          <w:sz w:val="22"/>
          <w:szCs w:val="22"/>
          <w:lang w:val="en-GB" w:eastAsia="ja-JP"/>
        </w:rPr>
        <w:t xml:space="preserve">the </w:t>
      </w:r>
      <w:r w:rsidRPr="00125F09">
        <w:rPr>
          <w:rFonts w:ascii="Times New Roman" w:eastAsia="MS Mincho" w:hAnsi="Times New Roman" w:cs="Times New Roman"/>
          <w:sz w:val="22"/>
          <w:szCs w:val="22"/>
          <w:lang w:val="en-GB" w:eastAsia="ja-JP"/>
        </w:rPr>
        <w:t xml:space="preserve">oPt. One element of the UNDP supported legal aid in Gaza that needs to be examined in more detail is the disparity between the number of criminal cases that receive consultation and the number </w:t>
      </w:r>
      <w:r>
        <w:rPr>
          <w:rFonts w:ascii="Times New Roman" w:eastAsia="MS Mincho" w:hAnsi="Times New Roman" w:cs="Times New Roman"/>
          <w:sz w:val="22"/>
          <w:szCs w:val="22"/>
          <w:lang w:val="en-GB" w:eastAsia="ja-JP"/>
        </w:rPr>
        <w:t xml:space="preserve">that receive representation. </w:t>
      </w:r>
      <w:r w:rsidRPr="00125F09">
        <w:rPr>
          <w:rFonts w:ascii="Times New Roman" w:eastAsia="MS Mincho" w:hAnsi="Times New Roman" w:cs="Times New Roman"/>
          <w:sz w:val="22"/>
          <w:szCs w:val="22"/>
          <w:lang w:val="en-GB" w:eastAsia="ja-JP"/>
        </w:rPr>
        <w:t xml:space="preserve">UNDP should strive to make the support more strategic in </w:t>
      </w:r>
      <w:r w:rsidRPr="00125F09">
        <w:rPr>
          <w:rFonts w:ascii="Times New Roman" w:eastAsia="MS Mincho" w:hAnsi="Times New Roman" w:cs="Times New Roman"/>
          <w:sz w:val="22"/>
          <w:szCs w:val="22"/>
          <w:lang w:val="en-GB" w:eastAsia="ja-JP"/>
        </w:rPr>
        <w:lastRenderedPageBreak/>
        <w:t xml:space="preserve">nature, improve its tracking of criminal </w:t>
      </w:r>
      <w:r>
        <w:rPr>
          <w:rFonts w:ascii="Times New Roman" w:eastAsia="MS Mincho" w:hAnsi="Times New Roman" w:cs="Times New Roman"/>
          <w:sz w:val="22"/>
          <w:szCs w:val="22"/>
          <w:lang w:val="en-GB" w:eastAsia="ja-JP"/>
        </w:rPr>
        <w:t>legal aid clients while</w:t>
      </w:r>
      <w:r w:rsidRPr="00125F09">
        <w:rPr>
          <w:rFonts w:ascii="Times New Roman" w:eastAsia="MS Mincho" w:hAnsi="Times New Roman" w:cs="Times New Roman"/>
          <w:sz w:val="22"/>
          <w:szCs w:val="22"/>
          <w:lang w:val="en-GB" w:eastAsia="ja-JP"/>
        </w:rPr>
        <w:t xml:space="preserve"> continu</w:t>
      </w:r>
      <w:r>
        <w:rPr>
          <w:rFonts w:ascii="Times New Roman" w:eastAsia="MS Mincho" w:hAnsi="Times New Roman" w:cs="Times New Roman"/>
          <w:sz w:val="22"/>
          <w:szCs w:val="22"/>
          <w:lang w:val="en-GB" w:eastAsia="ja-JP"/>
        </w:rPr>
        <w:t xml:space="preserve">e to focus on women and children. </w:t>
      </w:r>
      <w:r w:rsidRPr="00125F09">
        <w:rPr>
          <w:rFonts w:ascii="Times New Roman" w:eastAsia="MS Mincho" w:hAnsi="Times New Roman" w:cs="Times New Roman"/>
          <w:sz w:val="22"/>
          <w:szCs w:val="22"/>
          <w:lang w:val="en-GB" w:eastAsia="ja-JP"/>
        </w:rPr>
        <w:t>Persons with disabilities is a</w:t>
      </w:r>
      <w:r>
        <w:rPr>
          <w:rFonts w:ascii="Times New Roman" w:eastAsia="MS Mincho" w:hAnsi="Times New Roman" w:cs="Times New Roman"/>
          <w:sz w:val="22"/>
          <w:szCs w:val="22"/>
          <w:lang w:val="en-GB" w:eastAsia="ja-JP"/>
        </w:rPr>
        <w:t>lso a</w:t>
      </w:r>
      <w:r w:rsidRPr="00125F09">
        <w:rPr>
          <w:rFonts w:ascii="Times New Roman" w:eastAsia="MS Mincho" w:hAnsi="Times New Roman" w:cs="Times New Roman"/>
          <w:sz w:val="22"/>
          <w:szCs w:val="22"/>
          <w:lang w:val="en-GB" w:eastAsia="ja-JP"/>
        </w:rPr>
        <w:t xml:space="preserve"> sub-group of beneficiaries,</w:t>
      </w:r>
      <w:r w:rsidR="000063A3">
        <w:rPr>
          <w:rFonts w:ascii="Times New Roman" w:eastAsia="MS Mincho" w:hAnsi="Times New Roman" w:cs="Times New Roman"/>
          <w:sz w:val="22"/>
          <w:szCs w:val="22"/>
          <w:lang w:val="en-GB" w:eastAsia="ja-JP"/>
        </w:rPr>
        <w:t xml:space="preserve"> </w:t>
      </w:r>
      <w:r w:rsidRPr="00125F09">
        <w:rPr>
          <w:rFonts w:ascii="Times New Roman" w:eastAsia="MS Mincho" w:hAnsi="Times New Roman" w:cs="Times New Roman"/>
          <w:sz w:val="22"/>
          <w:szCs w:val="22"/>
          <w:lang w:val="en-GB" w:eastAsia="ja-JP"/>
        </w:rPr>
        <w:t>which UNDP should consider targeting.</w:t>
      </w:r>
    </w:p>
    <w:p w:rsidR="002D1EE7" w:rsidRPr="00125F09" w:rsidRDefault="002D1EE7" w:rsidP="002D1EE7">
      <w:pPr>
        <w:spacing w:after="0" w:line="240" w:lineRule="auto"/>
        <w:jc w:val="both"/>
        <w:rPr>
          <w:rFonts w:ascii="Times New Roman" w:eastAsia="MS Mincho" w:hAnsi="Times New Roman" w:cs="Times New Roman"/>
          <w:b/>
          <w:sz w:val="22"/>
          <w:szCs w:val="22"/>
          <w:lang w:val="en-GB" w:eastAsia="ja-JP"/>
        </w:rPr>
      </w:pPr>
    </w:p>
    <w:p w:rsidR="002D1EE7" w:rsidRPr="00125F09" w:rsidRDefault="002D1EE7" w:rsidP="002D1EE7">
      <w:pPr>
        <w:pBdr>
          <w:top w:val="single" w:sz="4" w:space="1" w:color="auto"/>
          <w:left w:val="single" w:sz="4" w:space="4" w:color="auto"/>
          <w:bottom w:val="single" w:sz="4" w:space="1" w:color="auto"/>
          <w:right w:val="single" w:sz="4" w:space="4" w:color="auto"/>
        </w:pBdr>
        <w:shd w:val="clear" w:color="auto" w:fill="E0E0E0"/>
        <w:spacing w:after="0" w:line="240" w:lineRule="auto"/>
        <w:jc w:val="both"/>
        <w:rPr>
          <w:rFonts w:ascii="Times New Roman" w:eastAsia="MS Mincho" w:hAnsi="Times New Roman" w:cs="Times New Roman"/>
          <w:sz w:val="22"/>
          <w:szCs w:val="22"/>
          <w:lang w:val="en-GB" w:eastAsia="ja-JP"/>
        </w:rPr>
      </w:pPr>
      <w:r w:rsidRPr="00125F09">
        <w:rPr>
          <w:rFonts w:ascii="Times New Roman" w:eastAsia="MS Mincho" w:hAnsi="Times New Roman" w:cs="Times New Roman"/>
          <w:b/>
          <w:sz w:val="22"/>
          <w:szCs w:val="22"/>
          <w:lang w:val="en-GB" w:eastAsia="ja-JP"/>
        </w:rPr>
        <w:t>Conclusion 20</w:t>
      </w:r>
      <w:r>
        <w:rPr>
          <w:rFonts w:ascii="Times New Roman" w:eastAsia="MS Mincho" w:hAnsi="Times New Roman" w:cs="Times New Roman"/>
          <w:sz w:val="22"/>
          <w:szCs w:val="22"/>
          <w:lang w:val="en-GB" w:eastAsia="ja-JP"/>
        </w:rPr>
        <w:t xml:space="preserve">:  </w:t>
      </w:r>
      <w:r w:rsidRPr="00125F09">
        <w:rPr>
          <w:rFonts w:ascii="Times New Roman" w:eastAsia="MS Mincho" w:hAnsi="Times New Roman" w:cs="Times New Roman"/>
          <w:sz w:val="22"/>
          <w:szCs w:val="22"/>
          <w:lang w:val="en-GB" w:eastAsia="ja-JP"/>
        </w:rPr>
        <w:t>UNDP</w:t>
      </w:r>
      <w:r>
        <w:rPr>
          <w:rFonts w:ascii="Times New Roman" w:eastAsia="MS Mincho" w:hAnsi="Times New Roman" w:cs="Times New Roman"/>
          <w:sz w:val="22"/>
          <w:szCs w:val="22"/>
          <w:lang w:val="en-GB" w:eastAsia="ja-JP"/>
        </w:rPr>
        <w:t>’s support to the PBA’s continuous training programme</w:t>
      </w:r>
      <w:r w:rsidRPr="00125F09">
        <w:rPr>
          <w:rFonts w:ascii="Times New Roman" w:eastAsia="MS Mincho" w:hAnsi="Times New Roman" w:cs="Times New Roman"/>
          <w:sz w:val="22"/>
          <w:szCs w:val="22"/>
          <w:lang w:val="en-GB" w:eastAsia="ja-JP"/>
        </w:rPr>
        <w:t xml:space="preserve"> appears to be gaining traction. Going forward, the PB</w:t>
      </w:r>
      <w:r>
        <w:rPr>
          <w:rFonts w:ascii="Times New Roman" w:eastAsia="MS Mincho" w:hAnsi="Times New Roman" w:cs="Times New Roman"/>
          <w:sz w:val="22"/>
          <w:szCs w:val="22"/>
          <w:lang w:val="en-GB" w:eastAsia="ja-JP"/>
        </w:rPr>
        <w:t xml:space="preserve">A in both </w:t>
      </w:r>
      <w:r w:rsidRPr="00125F09">
        <w:rPr>
          <w:rFonts w:ascii="Times New Roman" w:eastAsia="MS Mincho" w:hAnsi="Times New Roman" w:cs="Times New Roman"/>
          <w:sz w:val="22"/>
          <w:szCs w:val="22"/>
          <w:lang w:val="en-GB" w:eastAsia="ja-JP"/>
        </w:rPr>
        <w:t xml:space="preserve">the West Bank </w:t>
      </w:r>
      <w:r>
        <w:rPr>
          <w:rFonts w:ascii="Times New Roman" w:eastAsia="MS Mincho" w:hAnsi="Times New Roman" w:cs="Times New Roman"/>
          <w:sz w:val="22"/>
          <w:szCs w:val="22"/>
          <w:lang w:val="en-GB" w:eastAsia="ja-JP"/>
        </w:rPr>
        <w:t xml:space="preserve">and Gaza </w:t>
      </w:r>
      <w:r w:rsidRPr="00125F09">
        <w:rPr>
          <w:rFonts w:ascii="Times New Roman" w:eastAsia="MS Mincho" w:hAnsi="Times New Roman" w:cs="Times New Roman"/>
          <w:sz w:val="22"/>
          <w:szCs w:val="22"/>
          <w:lang w:val="en-GB" w:eastAsia="ja-JP"/>
        </w:rPr>
        <w:t>will face continuing issues for its membership and core functions as a b</w:t>
      </w:r>
      <w:r>
        <w:rPr>
          <w:rFonts w:ascii="Times New Roman" w:eastAsia="MS Mincho" w:hAnsi="Times New Roman" w:cs="Times New Roman"/>
          <w:sz w:val="22"/>
          <w:szCs w:val="22"/>
          <w:lang w:val="en-GB" w:eastAsia="ja-JP"/>
        </w:rPr>
        <w:t>ar including: 1) training of its membership and its c</w:t>
      </w:r>
      <w:r w:rsidRPr="00125F09">
        <w:rPr>
          <w:rFonts w:ascii="Times New Roman" w:eastAsia="MS Mincho" w:hAnsi="Times New Roman" w:cs="Times New Roman"/>
          <w:sz w:val="22"/>
          <w:szCs w:val="22"/>
          <w:lang w:val="en-GB" w:eastAsia="ja-JP"/>
        </w:rPr>
        <w:t xml:space="preserve">ommittees (including strengthening professional ethics and discipline); 2) improving the bar exam and continuing legal education programmes; 3) supporting an independent and accountable justice system; 4) expanding its cooperation with regional and international bodies; and 5) continuing outreach with traditional leaders.   </w:t>
      </w:r>
    </w:p>
    <w:p w:rsidR="002D1EE7" w:rsidRPr="00125F09" w:rsidRDefault="002D1EE7" w:rsidP="002D1EE7">
      <w:pPr>
        <w:pBdr>
          <w:top w:val="single" w:sz="4" w:space="1" w:color="auto"/>
          <w:left w:val="single" w:sz="4" w:space="4" w:color="auto"/>
          <w:bottom w:val="single" w:sz="4" w:space="1" w:color="auto"/>
          <w:right w:val="single" w:sz="4" w:space="4" w:color="auto"/>
        </w:pBdr>
        <w:shd w:val="clear" w:color="auto" w:fill="E0E0E0"/>
        <w:spacing w:after="0" w:line="240" w:lineRule="auto"/>
        <w:contextualSpacing/>
        <w:jc w:val="both"/>
        <w:rPr>
          <w:rFonts w:ascii="Times New Roman" w:eastAsia="MS Mincho" w:hAnsi="Times New Roman" w:cs="Times New Roman"/>
          <w:sz w:val="22"/>
          <w:szCs w:val="22"/>
          <w:lang w:val="en-GB" w:eastAsia="ja-JP"/>
        </w:rPr>
      </w:pPr>
      <w:r w:rsidRPr="00125F09">
        <w:rPr>
          <w:rFonts w:ascii="Times New Roman" w:eastAsia="MS Mincho" w:hAnsi="Times New Roman" w:cs="Times New Roman"/>
          <w:b/>
          <w:sz w:val="22"/>
          <w:szCs w:val="22"/>
          <w:lang w:val="en-GB" w:eastAsia="ja-JP"/>
        </w:rPr>
        <w:t>Recommendation 20</w:t>
      </w:r>
      <w:r>
        <w:rPr>
          <w:rFonts w:ascii="Times New Roman" w:eastAsia="MS Mincho" w:hAnsi="Times New Roman" w:cs="Times New Roman"/>
          <w:b/>
          <w:sz w:val="22"/>
          <w:szCs w:val="22"/>
          <w:lang w:val="en-GB" w:eastAsia="ja-JP"/>
        </w:rPr>
        <w:t xml:space="preserve">: </w:t>
      </w:r>
      <w:r w:rsidRPr="00125F09">
        <w:rPr>
          <w:rFonts w:ascii="Times New Roman" w:eastAsia="MS Mincho" w:hAnsi="Times New Roman" w:cs="Times New Roman"/>
          <w:sz w:val="22"/>
          <w:szCs w:val="22"/>
          <w:lang w:val="en-GB" w:eastAsia="ja-JP"/>
        </w:rPr>
        <w:t>UNDP should</w:t>
      </w:r>
      <w:r>
        <w:rPr>
          <w:rFonts w:ascii="Times New Roman" w:eastAsia="MS Mincho" w:hAnsi="Times New Roman" w:cs="Times New Roman"/>
          <w:sz w:val="22"/>
          <w:szCs w:val="22"/>
          <w:lang w:val="en-GB" w:eastAsia="ja-JP"/>
        </w:rPr>
        <w:t xml:space="preserve"> work to further institutionalise continuing legal education</w:t>
      </w:r>
      <w:r w:rsidRPr="00125F09">
        <w:rPr>
          <w:rFonts w:ascii="Times New Roman" w:eastAsia="MS Mincho" w:hAnsi="Times New Roman" w:cs="Times New Roman"/>
          <w:sz w:val="22"/>
          <w:szCs w:val="22"/>
          <w:lang w:val="en-GB" w:eastAsia="ja-JP"/>
        </w:rPr>
        <w:t xml:space="preserve"> and encourage the PBA in both West Bank and Gaza to make </w:t>
      </w:r>
      <w:r>
        <w:rPr>
          <w:rFonts w:ascii="Times New Roman" w:eastAsia="MS Mincho" w:hAnsi="Times New Roman" w:cs="Times New Roman"/>
          <w:sz w:val="22"/>
          <w:szCs w:val="22"/>
          <w:lang w:val="en-GB" w:eastAsia="ja-JP"/>
        </w:rPr>
        <w:t xml:space="preserve">it </w:t>
      </w:r>
      <w:r w:rsidRPr="00125F09">
        <w:rPr>
          <w:rFonts w:ascii="Times New Roman" w:eastAsia="MS Mincho" w:hAnsi="Times New Roman" w:cs="Times New Roman"/>
          <w:sz w:val="22"/>
          <w:szCs w:val="22"/>
          <w:lang w:val="en-GB" w:eastAsia="ja-JP"/>
        </w:rPr>
        <w:t>compulsory with mandated number of hours and core requir</w:t>
      </w:r>
      <w:r>
        <w:rPr>
          <w:rFonts w:ascii="Times New Roman" w:eastAsia="MS Mincho" w:hAnsi="Times New Roman" w:cs="Times New Roman"/>
          <w:sz w:val="22"/>
          <w:szCs w:val="22"/>
          <w:lang w:val="en-GB" w:eastAsia="ja-JP"/>
        </w:rPr>
        <w:t>ements for all licensed lawyers</w:t>
      </w:r>
      <w:r w:rsidRPr="00125F09">
        <w:rPr>
          <w:rFonts w:ascii="Times New Roman" w:eastAsia="MS Mincho" w:hAnsi="Times New Roman" w:cs="Times New Roman"/>
          <w:sz w:val="22"/>
          <w:szCs w:val="22"/>
          <w:lang w:val="en-GB" w:eastAsia="ja-JP"/>
        </w:rPr>
        <w:t xml:space="preserve"> (i</w:t>
      </w:r>
      <w:r>
        <w:rPr>
          <w:rFonts w:ascii="Times New Roman" w:eastAsia="MS Mincho" w:hAnsi="Times New Roman" w:cs="Times New Roman"/>
          <w:sz w:val="22"/>
          <w:szCs w:val="22"/>
          <w:lang w:val="en-GB" w:eastAsia="ja-JP"/>
        </w:rPr>
        <w:t xml:space="preserve">.e. a course in legal ethics). </w:t>
      </w:r>
      <w:r w:rsidRPr="00125F09">
        <w:rPr>
          <w:rFonts w:ascii="Times New Roman" w:eastAsia="MS Mincho" w:hAnsi="Times New Roman" w:cs="Times New Roman"/>
          <w:sz w:val="22"/>
          <w:szCs w:val="22"/>
          <w:lang w:val="en-GB" w:eastAsia="ja-JP"/>
        </w:rPr>
        <w:t xml:space="preserve">UNDP should also focus upon building a compulsory </w:t>
      </w:r>
      <w:r w:rsidRPr="001A5ED0">
        <w:rPr>
          <w:rFonts w:ascii="Times New Roman" w:eastAsia="MS Mincho" w:hAnsi="Times New Roman" w:cs="Times New Roman"/>
          <w:i/>
          <w:sz w:val="22"/>
          <w:szCs w:val="22"/>
          <w:lang w:val="en-GB" w:eastAsia="ja-JP"/>
        </w:rPr>
        <w:t>pro bono</w:t>
      </w:r>
      <w:r>
        <w:rPr>
          <w:rFonts w:ascii="Times New Roman" w:eastAsia="MS Mincho" w:hAnsi="Times New Roman" w:cs="Times New Roman"/>
          <w:sz w:val="22"/>
          <w:szCs w:val="22"/>
          <w:lang w:val="en-GB" w:eastAsia="ja-JP"/>
        </w:rPr>
        <w:t xml:space="preserve"> scheme within the PBA. </w:t>
      </w:r>
      <w:r w:rsidRPr="00125F09">
        <w:rPr>
          <w:rFonts w:ascii="Times New Roman" w:eastAsia="MS Mincho" w:hAnsi="Times New Roman" w:cs="Times New Roman"/>
          <w:sz w:val="22"/>
          <w:szCs w:val="22"/>
          <w:lang w:val="en-GB" w:eastAsia="ja-JP"/>
        </w:rPr>
        <w:t>In addition, the participation of female lawyers in t</w:t>
      </w:r>
      <w:r>
        <w:rPr>
          <w:rFonts w:ascii="Times New Roman" w:eastAsia="MS Mincho" w:hAnsi="Times New Roman" w:cs="Times New Roman"/>
          <w:sz w:val="22"/>
          <w:szCs w:val="22"/>
          <w:lang w:val="en-GB" w:eastAsia="ja-JP"/>
        </w:rPr>
        <w:t xml:space="preserve">he courses could be further enhanced. </w:t>
      </w:r>
      <w:r w:rsidRPr="00125F09">
        <w:rPr>
          <w:rFonts w:ascii="Times New Roman" w:eastAsia="MS Mincho" w:hAnsi="Times New Roman" w:cs="Times New Roman"/>
          <w:sz w:val="22"/>
          <w:szCs w:val="22"/>
          <w:lang w:val="en-GB" w:eastAsia="ja-JP"/>
        </w:rPr>
        <w:t>Beyond this, UNDP could support the PBA to coordinate with law schools in order to ensure compatibility of their curricula with the objectives of law practice and legal aid.</w:t>
      </w:r>
    </w:p>
    <w:p w:rsidR="002D1EE7" w:rsidRPr="00125F09" w:rsidRDefault="002D1EE7" w:rsidP="002D1EE7">
      <w:pPr>
        <w:spacing w:after="0" w:line="240" w:lineRule="auto"/>
        <w:jc w:val="both"/>
        <w:rPr>
          <w:rFonts w:ascii="Times New Roman" w:eastAsia="MS Mincho" w:hAnsi="Times New Roman" w:cs="Times New Roman"/>
          <w:sz w:val="22"/>
          <w:szCs w:val="22"/>
          <w:lang w:val="en-GB" w:eastAsia="ja-JP"/>
        </w:rPr>
      </w:pPr>
    </w:p>
    <w:p w:rsidR="002D1EE7" w:rsidRPr="00125F09" w:rsidRDefault="002D1EE7" w:rsidP="002D1EE7">
      <w:pPr>
        <w:pBdr>
          <w:top w:val="single" w:sz="4" w:space="1" w:color="auto"/>
          <w:left w:val="single" w:sz="4" w:space="4" w:color="auto"/>
          <w:bottom w:val="single" w:sz="4" w:space="1" w:color="auto"/>
          <w:right w:val="single" w:sz="4" w:space="4" w:color="auto"/>
        </w:pBdr>
        <w:shd w:val="clear" w:color="auto" w:fill="E0E0E0"/>
        <w:spacing w:after="0" w:line="240" w:lineRule="auto"/>
        <w:jc w:val="both"/>
        <w:rPr>
          <w:rFonts w:ascii="Times New Roman" w:eastAsia="MS Mincho" w:hAnsi="Times New Roman" w:cs="Times New Roman"/>
          <w:sz w:val="22"/>
          <w:szCs w:val="22"/>
          <w:lang w:val="en-GB" w:eastAsia="ja-JP"/>
        </w:rPr>
      </w:pPr>
      <w:r w:rsidRPr="00125F09">
        <w:rPr>
          <w:rFonts w:ascii="Times New Roman" w:eastAsia="MS Mincho" w:hAnsi="Times New Roman" w:cs="Times New Roman"/>
          <w:b/>
          <w:sz w:val="22"/>
          <w:szCs w:val="22"/>
          <w:lang w:val="en-GB" w:eastAsia="ja-JP"/>
        </w:rPr>
        <w:t>Conclusion 21</w:t>
      </w:r>
      <w:r>
        <w:rPr>
          <w:rFonts w:ascii="Times New Roman" w:eastAsia="MS Mincho" w:hAnsi="Times New Roman" w:cs="Times New Roman"/>
          <w:sz w:val="22"/>
          <w:szCs w:val="22"/>
          <w:lang w:val="en-GB" w:eastAsia="ja-JP"/>
        </w:rPr>
        <w:t>:</w:t>
      </w:r>
      <w:r w:rsidRPr="00125F09">
        <w:rPr>
          <w:rFonts w:ascii="Times New Roman" w:eastAsia="MS Mincho" w:hAnsi="Times New Roman" w:cs="Times New Roman"/>
          <w:sz w:val="22"/>
          <w:szCs w:val="22"/>
          <w:lang w:val="en-GB" w:eastAsia="ja-JP"/>
        </w:rPr>
        <w:t xml:space="preserve"> The West Bank law sch</w:t>
      </w:r>
      <w:r>
        <w:rPr>
          <w:rFonts w:ascii="Times New Roman" w:eastAsia="MS Mincho" w:hAnsi="Times New Roman" w:cs="Times New Roman"/>
          <w:sz w:val="22"/>
          <w:szCs w:val="22"/>
          <w:lang w:val="en-GB" w:eastAsia="ja-JP"/>
        </w:rPr>
        <w:t>ool clinics are not yet synergis</w:t>
      </w:r>
      <w:r w:rsidRPr="00125F09">
        <w:rPr>
          <w:rFonts w:ascii="Times New Roman" w:eastAsia="MS Mincho" w:hAnsi="Times New Roman" w:cs="Times New Roman"/>
          <w:sz w:val="22"/>
          <w:szCs w:val="22"/>
          <w:lang w:val="en-GB" w:eastAsia="ja-JP"/>
        </w:rPr>
        <w:t>ed with the PBA or CSOs to the same extent a</w:t>
      </w:r>
      <w:r>
        <w:rPr>
          <w:rFonts w:ascii="Times New Roman" w:eastAsia="MS Mincho" w:hAnsi="Times New Roman" w:cs="Times New Roman"/>
          <w:sz w:val="22"/>
          <w:szCs w:val="22"/>
          <w:lang w:val="en-GB" w:eastAsia="ja-JP"/>
        </w:rPr>
        <w:t xml:space="preserve">s their counterparts in Gaza. </w:t>
      </w:r>
      <w:r w:rsidRPr="00125F09">
        <w:rPr>
          <w:rFonts w:ascii="Times New Roman" w:eastAsia="MS Mincho" w:hAnsi="Times New Roman" w:cs="Times New Roman"/>
          <w:sz w:val="22"/>
          <w:szCs w:val="22"/>
          <w:lang w:val="en-GB" w:eastAsia="ja-JP"/>
        </w:rPr>
        <w:t>This can be attributed to both political will o</w:t>
      </w:r>
      <w:r>
        <w:rPr>
          <w:rFonts w:ascii="Times New Roman" w:eastAsia="MS Mincho" w:hAnsi="Times New Roman" w:cs="Times New Roman"/>
          <w:sz w:val="22"/>
          <w:szCs w:val="22"/>
          <w:lang w:val="en-GB" w:eastAsia="ja-JP"/>
        </w:rPr>
        <w:t xml:space="preserve">n the part of the PBA </w:t>
      </w:r>
      <w:r w:rsidRPr="00125F09">
        <w:rPr>
          <w:rFonts w:ascii="Times New Roman" w:eastAsia="MS Mincho" w:hAnsi="Times New Roman" w:cs="Times New Roman"/>
          <w:sz w:val="22"/>
          <w:szCs w:val="22"/>
          <w:lang w:val="en-GB" w:eastAsia="ja-JP"/>
        </w:rPr>
        <w:t>and, perhaps, the larger geog</w:t>
      </w:r>
      <w:r>
        <w:rPr>
          <w:rFonts w:ascii="Times New Roman" w:eastAsia="MS Mincho" w:hAnsi="Times New Roman" w:cs="Times New Roman"/>
          <w:sz w:val="22"/>
          <w:szCs w:val="22"/>
          <w:lang w:val="en-GB" w:eastAsia="ja-JP"/>
        </w:rPr>
        <w:t xml:space="preserve">raphic area of the West Bank. </w:t>
      </w:r>
      <w:r w:rsidRPr="00125F09">
        <w:rPr>
          <w:rFonts w:ascii="Times New Roman" w:eastAsia="MS Mincho" w:hAnsi="Times New Roman" w:cs="Times New Roman"/>
          <w:sz w:val="22"/>
          <w:szCs w:val="22"/>
          <w:lang w:val="en-GB" w:eastAsia="ja-JP"/>
        </w:rPr>
        <w:t>Most of the law school clinics have made contact</w:t>
      </w:r>
      <w:r>
        <w:rPr>
          <w:rFonts w:ascii="Times New Roman" w:eastAsia="MS Mincho" w:hAnsi="Times New Roman" w:cs="Times New Roman"/>
          <w:sz w:val="22"/>
          <w:szCs w:val="22"/>
          <w:lang w:val="en-GB" w:eastAsia="ja-JP"/>
        </w:rPr>
        <w:t>s on their own with CSOs.  The MO</w:t>
      </w:r>
      <w:r w:rsidRPr="00125F09">
        <w:rPr>
          <w:rFonts w:ascii="Times New Roman" w:eastAsia="MS Mincho" w:hAnsi="Times New Roman" w:cs="Times New Roman"/>
          <w:sz w:val="22"/>
          <w:szCs w:val="22"/>
          <w:lang w:val="en-GB" w:eastAsia="ja-JP"/>
        </w:rPr>
        <w:t>J has yet to be convinced of the appropriateness of l</w:t>
      </w:r>
      <w:r>
        <w:rPr>
          <w:rFonts w:ascii="Times New Roman" w:eastAsia="MS Mincho" w:hAnsi="Times New Roman" w:cs="Times New Roman"/>
          <w:sz w:val="22"/>
          <w:szCs w:val="22"/>
          <w:lang w:val="en-GB" w:eastAsia="ja-JP"/>
        </w:rPr>
        <w:t xml:space="preserve">aw school clinics </w:t>
      </w:r>
      <w:r w:rsidRPr="00125F09">
        <w:rPr>
          <w:rFonts w:ascii="Times New Roman" w:eastAsia="MS Mincho" w:hAnsi="Times New Roman" w:cs="Times New Roman"/>
          <w:sz w:val="22"/>
          <w:szCs w:val="22"/>
          <w:lang w:val="en-GB" w:eastAsia="ja-JP"/>
        </w:rPr>
        <w:t>providing legal aid to citizens.</w:t>
      </w:r>
      <w:r w:rsidRPr="00125F09">
        <w:rPr>
          <w:rFonts w:ascii="Times New Roman" w:eastAsia="MS Mincho" w:hAnsi="Times New Roman" w:cs="Times New Roman"/>
          <w:sz w:val="22"/>
          <w:szCs w:val="24"/>
          <w:lang w:val="en-GB" w:eastAsia="ja-JP"/>
        </w:rPr>
        <w:t xml:space="preserve"> A</w:t>
      </w:r>
      <w:r>
        <w:rPr>
          <w:rFonts w:ascii="Times New Roman" w:eastAsia="MS Mincho" w:hAnsi="Times New Roman" w:cs="Times New Roman"/>
          <w:sz w:val="22"/>
          <w:szCs w:val="24"/>
          <w:lang w:val="en-GB" w:eastAsia="ja-JP"/>
        </w:rPr>
        <w:t xml:space="preserve"> key issue for the </w:t>
      </w:r>
      <w:r w:rsidRPr="00125F09">
        <w:rPr>
          <w:rFonts w:ascii="Times New Roman" w:eastAsia="MS Mincho" w:hAnsi="Times New Roman" w:cs="Times New Roman"/>
          <w:sz w:val="22"/>
          <w:szCs w:val="24"/>
          <w:lang w:val="en-GB" w:eastAsia="ja-JP"/>
        </w:rPr>
        <w:t xml:space="preserve">legal aid programme going forward will be its sustainability and how to make the government ultimately fund legal aid.    </w:t>
      </w:r>
    </w:p>
    <w:p w:rsidR="002D1EE7" w:rsidRPr="00125F09" w:rsidRDefault="002D1EE7" w:rsidP="002D1EE7">
      <w:pPr>
        <w:pBdr>
          <w:top w:val="single" w:sz="4" w:space="1" w:color="auto"/>
          <w:left w:val="single" w:sz="4" w:space="4" w:color="auto"/>
          <w:bottom w:val="single" w:sz="4" w:space="1" w:color="auto"/>
          <w:right w:val="single" w:sz="4" w:space="4" w:color="auto"/>
        </w:pBdr>
        <w:shd w:val="clear" w:color="auto" w:fill="E0E0E0"/>
        <w:spacing w:after="0" w:line="240" w:lineRule="auto"/>
        <w:contextualSpacing/>
        <w:jc w:val="both"/>
        <w:rPr>
          <w:rFonts w:ascii="Times New Roman" w:eastAsia="MS Mincho" w:hAnsi="Times New Roman" w:cs="Times New Roman"/>
          <w:sz w:val="22"/>
          <w:szCs w:val="22"/>
          <w:lang w:val="en-GB" w:eastAsia="ja-JP"/>
        </w:rPr>
      </w:pPr>
      <w:r w:rsidRPr="00125F09">
        <w:rPr>
          <w:rFonts w:ascii="Times New Roman" w:eastAsia="MS Mincho" w:hAnsi="Times New Roman" w:cs="Times New Roman"/>
          <w:b/>
          <w:sz w:val="22"/>
          <w:szCs w:val="22"/>
          <w:lang w:val="en-GB" w:eastAsia="ja-JP"/>
        </w:rPr>
        <w:t>Recommendation 21</w:t>
      </w:r>
      <w:r>
        <w:rPr>
          <w:rFonts w:ascii="Times New Roman" w:eastAsia="MS Mincho" w:hAnsi="Times New Roman" w:cs="Times New Roman"/>
          <w:b/>
          <w:sz w:val="22"/>
          <w:szCs w:val="22"/>
          <w:lang w:val="en-GB" w:eastAsia="ja-JP"/>
        </w:rPr>
        <w:t>:</w:t>
      </w:r>
      <w:r w:rsidRPr="00125F09">
        <w:rPr>
          <w:rFonts w:ascii="Times New Roman" w:eastAsia="MS Mincho" w:hAnsi="Times New Roman" w:cs="Times New Roman"/>
          <w:sz w:val="22"/>
          <w:szCs w:val="22"/>
          <w:lang w:val="en-GB" w:eastAsia="ja-JP"/>
        </w:rPr>
        <w:t xml:space="preserve"> UNDP should explore ways to build sustainable partnerships between the PBA,</w:t>
      </w:r>
      <w:r>
        <w:rPr>
          <w:rFonts w:ascii="Times New Roman" w:eastAsia="MS Mincho" w:hAnsi="Times New Roman" w:cs="Times New Roman"/>
          <w:sz w:val="22"/>
          <w:szCs w:val="22"/>
          <w:lang w:val="en-GB" w:eastAsia="ja-JP"/>
        </w:rPr>
        <w:t xml:space="preserve"> CSOs</w:t>
      </w:r>
      <w:r w:rsidR="000063A3">
        <w:rPr>
          <w:rFonts w:ascii="Times New Roman" w:eastAsia="MS Mincho" w:hAnsi="Times New Roman" w:cs="Times New Roman"/>
          <w:sz w:val="22"/>
          <w:szCs w:val="22"/>
          <w:lang w:val="en-GB" w:eastAsia="ja-JP"/>
        </w:rPr>
        <w:t xml:space="preserve"> </w:t>
      </w:r>
      <w:r>
        <w:rPr>
          <w:rFonts w:ascii="Times New Roman" w:eastAsia="MS Mincho" w:hAnsi="Times New Roman" w:cs="Times New Roman"/>
          <w:sz w:val="22"/>
          <w:szCs w:val="22"/>
          <w:lang w:val="en-GB" w:eastAsia="ja-JP"/>
        </w:rPr>
        <w:t xml:space="preserve">and law school clinics in the West Bank. </w:t>
      </w:r>
      <w:r w:rsidRPr="00125F09">
        <w:rPr>
          <w:rFonts w:ascii="Times New Roman" w:eastAsia="MS Mincho" w:hAnsi="Times New Roman" w:cs="Times New Roman"/>
          <w:sz w:val="22"/>
          <w:szCs w:val="22"/>
          <w:lang w:val="en-GB" w:eastAsia="ja-JP"/>
        </w:rPr>
        <w:t>Meanwhile, UND</w:t>
      </w:r>
      <w:r>
        <w:rPr>
          <w:rFonts w:ascii="Times New Roman" w:eastAsia="MS Mincho" w:hAnsi="Times New Roman" w:cs="Times New Roman"/>
          <w:sz w:val="22"/>
          <w:szCs w:val="22"/>
          <w:lang w:val="en-GB" w:eastAsia="ja-JP"/>
        </w:rPr>
        <w:t>P should continue to keep the MO</w:t>
      </w:r>
      <w:r w:rsidRPr="00125F09">
        <w:rPr>
          <w:rFonts w:ascii="Times New Roman" w:eastAsia="MS Mincho" w:hAnsi="Times New Roman" w:cs="Times New Roman"/>
          <w:sz w:val="22"/>
          <w:szCs w:val="22"/>
          <w:lang w:val="en-GB" w:eastAsia="ja-JP"/>
        </w:rPr>
        <w:t xml:space="preserve">J informed about legal aid and law school clinics as part of an on-going effort to build a comprehensive legal aid system in </w:t>
      </w:r>
      <w:r>
        <w:rPr>
          <w:rFonts w:ascii="Times New Roman" w:eastAsia="MS Mincho" w:hAnsi="Times New Roman" w:cs="Times New Roman"/>
          <w:sz w:val="22"/>
          <w:szCs w:val="22"/>
          <w:lang w:val="en-GB" w:eastAsia="ja-JP"/>
        </w:rPr>
        <w:t xml:space="preserve">the </w:t>
      </w:r>
      <w:r w:rsidRPr="00125F09">
        <w:rPr>
          <w:rFonts w:ascii="Times New Roman" w:eastAsia="MS Mincho" w:hAnsi="Times New Roman" w:cs="Times New Roman"/>
          <w:sz w:val="22"/>
          <w:szCs w:val="22"/>
          <w:lang w:val="en-GB" w:eastAsia="ja-JP"/>
        </w:rPr>
        <w:t>oPt. UNDP support to clinical legal education should certain</w:t>
      </w:r>
      <w:r>
        <w:rPr>
          <w:rFonts w:ascii="Times New Roman" w:eastAsia="MS Mincho" w:hAnsi="Times New Roman" w:cs="Times New Roman"/>
          <w:sz w:val="22"/>
          <w:szCs w:val="22"/>
          <w:lang w:val="en-GB" w:eastAsia="ja-JP"/>
        </w:rPr>
        <w:t xml:space="preserve">ly be continued and indeed further deepened. </w:t>
      </w:r>
      <w:r w:rsidRPr="00125F09">
        <w:rPr>
          <w:rFonts w:ascii="Times New Roman" w:eastAsia="MS Mincho" w:hAnsi="Times New Roman" w:cs="Times New Roman"/>
          <w:sz w:val="22"/>
          <w:szCs w:val="22"/>
          <w:lang w:val="en-GB" w:eastAsia="ja-JP"/>
        </w:rPr>
        <w:t>Furthermore, the clinics are perhaps one of t</w:t>
      </w:r>
      <w:r>
        <w:rPr>
          <w:rFonts w:ascii="Times New Roman" w:eastAsia="MS Mincho" w:hAnsi="Times New Roman" w:cs="Times New Roman"/>
          <w:sz w:val="22"/>
          <w:szCs w:val="22"/>
          <w:lang w:val="en-GB" w:eastAsia="ja-JP"/>
        </w:rPr>
        <w:t xml:space="preserve">he best ways to bridge </w:t>
      </w:r>
      <w:r w:rsidRPr="00125F09">
        <w:rPr>
          <w:rFonts w:ascii="Times New Roman" w:eastAsia="MS Mincho" w:hAnsi="Times New Roman" w:cs="Times New Roman"/>
          <w:sz w:val="22"/>
          <w:szCs w:val="22"/>
          <w:lang w:val="en-GB" w:eastAsia="ja-JP"/>
        </w:rPr>
        <w:t>the West Bank</w:t>
      </w:r>
      <w:r>
        <w:rPr>
          <w:rFonts w:ascii="Times New Roman" w:eastAsia="MS Mincho" w:hAnsi="Times New Roman" w:cs="Times New Roman"/>
          <w:sz w:val="22"/>
          <w:szCs w:val="22"/>
          <w:lang w:val="en-GB" w:eastAsia="ja-JP"/>
        </w:rPr>
        <w:t xml:space="preserve"> and Gaza</w:t>
      </w:r>
      <w:r w:rsidRPr="00125F09">
        <w:rPr>
          <w:rFonts w:ascii="Times New Roman" w:eastAsia="MS Mincho" w:hAnsi="Times New Roman" w:cs="Times New Roman"/>
          <w:sz w:val="22"/>
          <w:szCs w:val="22"/>
          <w:lang w:val="en-GB" w:eastAsia="ja-JP"/>
        </w:rPr>
        <w:t xml:space="preserve"> via electronic and </w:t>
      </w:r>
      <w:r>
        <w:rPr>
          <w:rFonts w:ascii="Times New Roman" w:eastAsia="MS Mincho" w:hAnsi="Times New Roman" w:cs="Times New Roman"/>
          <w:sz w:val="22"/>
          <w:szCs w:val="22"/>
          <w:lang w:val="en-GB" w:eastAsia="ja-JP"/>
        </w:rPr>
        <w:t xml:space="preserve">social </w:t>
      </w:r>
      <w:r w:rsidRPr="00125F09">
        <w:rPr>
          <w:rFonts w:ascii="Times New Roman" w:eastAsia="MS Mincho" w:hAnsi="Times New Roman" w:cs="Times New Roman"/>
          <w:sz w:val="22"/>
          <w:szCs w:val="22"/>
          <w:lang w:val="en-GB" w:eastAsia="ja-JP"/>
        </w:rPr>
        <w:t>media platforms f</w:t>
      </w:r>
      <w:r>
        <w:rPr>
          <w:rFonts w:ascii="Times New Roman" w:eastAsia="MS Mincho" w:hAnsi="Times New Roman" w:cs="Times New Roman"/>
          <w:sz w:val="22"/>
          <w:szCs w:val="22"/>
          <w:lang w:val="en-GB" w:eastAsia="ja-JP"/>
        </w:rPr>
        <w:t xml:space="preserve">or students and faculty. </w:t>
      </w:r>
      <w:r w:rsidRPr="00125F09">
        <w:rPr>
          <w:rFonts w:ascii="Times New Roman" w:eastAsia="MS Mincho" w:hAnsi="Times New Roman" w:cs="Times New Roman"/>
          <w:sz w:val="22"/>
          <w:szCs w:val="22"/>
          <w:lang w:val="en-GB" w:eastAsia="ja-JP"/>
        </w:rPr>
        <w:t>All law schools in oPt could benefit from additional books and comparative resource materials.</w:t>
      </w:r>
    </w:p>
    <w:p w:rsidR="002D1EE7" w:rsidRPr="00125F09" w:rsidRDefault="002D1EE7" w:rsidP="002D1EE7">
      <w:pPr>
        <w:spacing w:after="0" w:line="240" w:lineRule="auto"/>
        <w:jc w:val="both"/>
        <w:rPr>
          <w:rFonts w:ascii="Times New Roman" w:eastAsia="MS Mincho" w:hAnsi="Times New Roman" w:cs="Times New Roman"/>
          <w:sz w:val="22"/>
          <w:szCs w:val="22"/>
          <w:lang w:val="en-GB" w:eastAsia="ja-JP"/>
        </w:rPr>
      </w:pPr>
    </w:p>
    <w:p w:rsidR="002D1EE7" w:rsidRPr="00125F09" w:rsidRDefault="002D1EE7" w:rsidP="002D1EE7">
      <w:pPr>
        <w:pBdr>
          <w:top w:val="single" w:sz="4" w:space="1" w:color="auto"/>
          <w:left w:val="single" w:sz="4" w:space="4" w:color="auto"/>
          <w:bottom w:val="single" w:sz="4" w:space="1" w:color="auto"/>
          <w:right w:val="single" w:sz="4" w:space="4" w:color="auto"/>
        </w:pBdr>
        <w:shd w:val="clear" w:color="auto" w:fill="E0E0E0"/>
        <w:spacing w:after="0" w:line="240" w:lineRule="auto"/>
        <w:jc w:val="both"/>
        <w:rPr>
          <w:rFonts w:ascii="Times New Roman" w:eastAsia="MS Mincho" w:hAnsi="Times New Roman" w:cs="Times New Roman"/>
          <w:sz w:val="22"/>
          <w:szCs w:val="24"/>
          <w:lang w:val="en-GB" w:eastAsia="ja-JP"/>
        </w:rPr>
      </w:pPr>
      <w:r w:rsidRPr="00125F09">
        <w:rPr>
          <w:rFonts w:ascii="Times New Roman" w:eastAsia="MS Mincho" w:hAnsi="Times New Roman" w:cs="Times New Roman"/>
          <w:b/>
          <w:sz w:val="22"/>
          <w:szCs w:val="24"/>
          <w:lang w:val="en-GB" w:eastAsia="ja-JP"/>
        </w:rPr>
        <w:t>Conclusion 22</w:t>
      </w:r>
      <w:r>
        <w:rPr>
          <w:rFonts w:ascii="Times New Roman" w:eastAsia="MS Mincho" w:hAnsi="Times New Roman" w:cs="Times New Roman"/>
          <w:b/>
          <w:sz w:val="22"/>
          <w:szCs w:val="24"/>
          <w:lang w:val="en-GB" w:eastAsia="ja-JP"/>
        </w:rPr>
        <w:t>:</w:t>
      </w:r>
      <w:r w:rsidRPr="00125F09">
        <w:rPr>
          <w:rFonts w:ascii="Times New Roman" w:eastAsia="MS Mincho" w:hAnsi="Times New Roman" w:cs="Times New Roman"/>
          <w:sz w:val="22"/>
          <w:szCs w:val="24"/>
          <w:lang w:val="en-GB" w:eastAsia="ja-JP"/>
        </w:rPr>
        <w:t>UNDP awareness-raising and advocacy in East Jerusalem and the West Bank has made an impact upon certain PA institutions</w:t>
      </w:r>
      <w:r>
        <w:rPr>
          <w:rFonts w:ascii="Times New Roman" w:eastAsia="MS Mincho" w:hAnsi="Times New Roman" w:cs="Times New Roman"/>
          <w:sz w:val="22"/>
          <w:szCs w:val="24"/>
          <w:lang w:val="en-GB" w:eastAsia="ja-JP"/>
        </w:rPr>
        <w:t xml:space="preserve"> and groups of beneficiaries. </w:t>
      </w:r>
      <w:r w:rsidRPr="00125F09">
        <w:rPr>
          <w:rFonts w:ascii="Times New Roman" w:eastAsia="MS Mincho" w:hAnsi="Times New Roman" w:cs="Times New Roman"/>
          <w:sz w:val="22"/>
          <w:szCs w:val="24"/>
          <w:lang w:val="en-GB" w:eastAsia="ja-JP"/>
        </w:rPr>
        <w:t>There is some evidence that more women are approaching CSOs for legal services as a resu</w:t>
      </w:r>
      <w:r>
        <w:rPr>
          <w:rFonts w:ascii="Times New Roman" w:eastAsia="MS Mincho" w:hAnsi="Times New Roman" w:cs="Times New Roman"/>
          <w:sz w:val="22"/>
          <w:szCs w:val="24"/>
          <w:lang w:val="en-GB" w:eastAsia="ja-JP"/>
        </w:rPr>
        <w:t xml:space="preserve">lt of such awareness-raising. </w:t>
      </w:r>
      <w:r w:rsidRPr="00125F09">
        <w:rPr>
          <w:rFonts w:ascii="Times New Roman" w:eastAsia="MS Mincho" w:hAnsi="Times New Roman" w:cs="Times New Roman"/>
          <w:sz w:val="22"/>
          <w:szCs w:val="24"/>
          <w:lang w:val="en-GB" w:eastAsia="ja-JP"/>
        </w:rPr>
        <w:t>CSO and aca</w:t>
      </w:r>
      <w:r>
        <w:rPr>
          <w:rFonts w:ascii="Times New Roman" w:eastAsia="MS Mincho" w:hAnsi="Times New Roman" w:cs="Times New Roman"/>
          <w:sz w:val="22"/>
          <w:szCs w:val="24"/>
          <w:lang w:val="en-GB" w:eastAsia="ja-JP"/>
        </w:rPr>
        <w:t>demic research on personal s</w:t>
      </w:r>
      <w:r w:rsidRPr="00125F09">
        <w:rPr>
          <w:rFonts w:ascii="Times New Roman" w:eastAsia="MS Mincho" w:hAnsi="Times New Roman" w:cs="Times New Roman"/>
          <w:sz w:val="22"/>
          <w:szCs w:val="24"/>
          <w:lang w:val="en-GB" w:eastAsia="ja-JP"/>
        </w:rPr>
        <w:t>tatus law is having an influence upon the P</w:t>
      </w:r>
      <w:r>
        <w:rPr>
          <w:rFonts w:ascii="Times New Roman" w:eastAsia="MS Mincho" w:hAnsi="Times New Roman" w:cs="Times New Roman"/>
          <w:sz w:val="22"/>
          <w:szCs w:val="24"/>
          <w:lang w:val="en-GB" w:eastAsia="ja-JP"/>
        </w:rPr>
        <w:t>N</w:t>
      </w:r>
      <w:r w:rsidRPr="00125F09">
        <w:rPr>
          <w:rFonts w:ascii="Times New Roman" w:eastAsia="MS Mincho" w:hAnsi="Times New Roman" w:cs="Times New Roman"/>
          <w:sz w:val="22"/>
          <w:szCs w:val="24"/>
          <w:lang w:val="en-GB" w:eastAsia="ja-JP"/>
        </w:rPr>
        <w:t>A, which has recen</w:t>
      </w:r>
      <w:r>
        <w:rPr>
          <w:rFonts w:ascii="Times New Roman" w:eastAsia="MS Mincho" w:hAnsi="Times New Roman" w:cs="Times New Roman"/>
          <w:sz w:val="22"/>
          <w:szCs w:val="24"/>
          <w:lang w:val="en-GB" w:eastAsia="ja-JP"/>
        </w:rPr>
        <w:t xml:space="preserve">tly organised a committee to review existing </w:t>
      </w:r>
      <w:r w:rsidRPr="00125F09">
        <w:rPr>
          <w:rFonts w:ascii="Times New Roman" w:eastAsia="MS Mincho" w:hAnsi="Times New Roman" w:cs="Times New Roman"/>
          <w:sz w:val="22"/>
          <w:szCs w:val="24"/>
          <w:lang w:val="en-GB" w:eastAsia="ja-JP"/>
        </w:rPr>
        <w:t xml:space="preserve">legislation. </w:t>
      </w:r>
      <w:r w:rsidRPr="00125F09">
        <w:rPr>
          <w:rFonts w:ascii="Times New Roman" w:eastAsia="MS Mincho" w:hAnsi="Times New Roman" w:cs="Times New Roman"/>
          <w:sz w:val="22"/>
          <w:szCs w:val="22"/>
          <w:lang w:val="en-GB" w:eastAsia="ja-JP"/>
        </w:rPr>
        <w:t xml:space="preserve">Within the cultural context of </w:t>
      </w:r>
      <w:r>
        <w:rPr>
          <w:rFonts w:ascii="Times New Roman" w:eastAsia="MS Mincho" w:hAnsi="Times New Roman" w:cs="Times New Roman"/>
          <w:sz w:val="22"/>
          <w:szCs w:val="22"/>
          <w:lang w:val="en-GB" w:eastAsia="ja-JP"/>
        </w:rPr>
        <w:t xml:space="preserve">the </w:t>
      </w:r>
      <w:r w:rsidRPr="00125F09">
        <w:rPr>
          <w:rFonts w:ascii="Times New Roman" w:eastAsia="MS Mincho" w:hAnsi="Times New Roman" w:cs="Times New Roman"/>
          <w:sz w:val="22"/>
          <w:szCs w:val="22"/>
          <w:lang w:val="en-GB" w:eastAsia="ja-JP"/>
        </w:rPr>
        <w:t>oPt, group meetings and live trainings for women are still viewed as the best way to increase awareness, but publications and documentary fi</w:t>
      </w:r>
      <w:r>
        <w:rPr>
          <w:rFonts w:ascii="Times New Roman" w:eastAsia="MS Mincho" w:hAnsi="Times New Roman" w:cs="Times New Roman"/>
          <w:sz w:val="22"/>
          <w:szCs w:val="22"/>
          <w:lang w:val="en-GB" w:eastAsia="ja-JP"/>
        </w:rPr>
        <w:t>lms are also making an impact.</w:t>
      </w:r>
    </w:p>
    <w:p w:rsidR="002D1EE7" w:rsidRPr="00125F09" w:rsidRDefault="002D1EE7" w:rsidP="002D1EE7">
      <w:pPr>
        <w:pBdr>
          <w:top w:val="single" w:sz="4" w:space="1" w:color="auto"/>
          <w:left w:val="single" w:sz="4" w:space="4" w:color="auto"/>
          <w:bottom w:val="single" w:sz="4" w:space="1" w:color="auto"/>
          <w:right w:val="single" w:sz="4" w:space="4" w:color="auto"/>
        </w:pBdr>
        <w:shd w:val="clear" w:color="auto" w:fill="E0E0E0"/>
        <w:spacing w:after="0" w:line="240" w:lineRule="auto"/>
        <w:jc w:val="both"/>
        <w:rPr>
          <w:rFonts w:ascii="Times New Roman" w:eastAsia="MS Mincho" w:hAnsi="Times New Roman" w:cs="Times New Roman"/>
          <w:sz w:val="22"/>
          <w:szCs w:val="22"/>
          <w:lang w:val="en-GB" w:eastAsia="ja-JP"/>
        </w:rPr>
      </w:pPr>
      <w:r w:rsidRPr="00125F09">
        <w:rPr>
          <w:rFonts w:ascii="Times New Roman" w:eastAsia="MS Mincho" w:hAnsi="Times New Roman" w:cs="Times New Roman"/>
          <w:b/>
          <w:sz w:val="22"/>
          <w:szCs w:val="24"/>
          <w:lang w:val="en-GB" w:eastAsia="ja-JP"/>
        </w:rPr>
        <w:t>Recommendation 22</w:t>
      </w:r>
      <w:r>
        <w:rPr>
          <w:rFonts w:ascii="Times New Roman" w:eastAsia="MS Mincho" w:hAnsi="Times New Roman" w:cs="Times New Roman"/>
          <w:b/>
          <w:sz w:val="22"/>
          <w:szCs w:val="24"/>
          <w:lang w:val="en-GB" w:eastAsia="ja-JP"/>
        </w:rPr>
        <w:t>:</w:t>
      </w:r>
      <w:r w:rsidRPr="00125F09">
        <w:rPr>
          <w:rFonts w:ascii="Times New Roman" w:eastAsia="MS Mincho" w:hAnsi="Times New Roman" w:cs="Times New Roman"/>
          <w:sz w:val="22"/>
          <w:szCs w:val="24"/>
          <w:lang w:val="en-GB" w:eastAsia="ja-JP"/>
        </w:rPr>
        <w:t xml:space="preserve">UNDP </w:t>
      </w:r>
      <w:r w:rsidRPr="00125F09">
        <w:rPr>
          <w:rFonts w:ascii="Times New Roman" w:eastAsia="MS Mincho" w:hAnsi="Times New Roman" w:cs="Times New Roman"/>
          <w:sz w:val="22"/>
          <w:szCs w:val="22"/>
          <w:lang w:val="en-GB" w:eastAsia="ja-JP"/>
        </w:rPr>
        <w:t>should continue to support the development of advocacy groups for remote areas of the West Bank and enhance its support to public</w:t>
      </w:r>
      <w:r>
        <w:rPr>
          <w:rFonts w:ascii="Times New Roman" w:eastAsia="MS Mincho" w:hAnsi="Times New Roman" w:cs="Times New Roman"/>
          <w:sz w:val="22"/>
          <w:szCs w:val="22"/>
          <w:lang w:val="en-GB" w:eastAsia="ja-JP"/>
        </w:rPr>
        <w:t xml:space="preserve">ations and documentary films. </w:t>
      </w:r>
      <w:r w:rsidRPr="00125F09">
        <w:rPr>
          <w:rFonts w:ascii="Times New Roman" w:eastAsia="MS Mincho" w:hAnsi="Times New Roman" w:cs="Times New Roman"/>
          <w:sz w:val="22"/>
          <w:szCs w:val="22"/>
          <w:lang w:val="en-GB" w:eastAsia="ja-JP"/>
        </w:rPr>
        <w:t xml:space="preserve">Enacting legislation that is </w:t>
      </w:r>
      <w:r>
        <w:rPr>
          <w:rFonts w:ascii="Times New Roman" w:eastAsia="MS Mincho" w:hAnsi="Times New Roman" w:cs="Times New Roman"/>
          <w:sz w:val="22"/>
          <w:szCs w:val="22"/>
          <w:lang w:val="en-GB" w:eastAsia="ja-JP"/>
        </w:rPr>
        <w:t xml:space="preserve">favourable to women’s rights </w:t>
      </w:r>
      <w:r w:rsidRPr="00125F09">
        <w:rPr>
          <w:rFonts w:ascii="Times New Roman" w:eastAsia="MS Mincho" w:hAnsi="Times New Roman" w:cs="Times New Roman"/>
          <w:sz w:val="22"/>
          <w:szCs w:val="22"/>
          <w:lang w:val="en-GB" w:eastAsia="ja-JP"/>
        </w:rPr>
        <w:t xml:space="preserve">requires sustained engagement and should be done in partnership with the UNDP supported </w:t>
      </w:r>
      <w:r>
        <w:rPr>
          <w:rFonts w:ascii="Times New Roman" w:eastAsia="MS Mincho" w:hAnsi="Times New Roman" w:cs="Times New Roman"/>
          <w:sz w:val="22"/>
          <w:szCs w:val="22"/>
          <w:lang w:val="en-GB" w:eastAsia="ja-JP"/>
        </w:rPr>
        <w:t xml:space="preserve">university legal aid clinics. </w:t>
      </w:r>
      <w:r w:rsidRPr="00125F09">
        <w:rPr>
          <w:rFonts w:ascii="Times New Roman" w:eastAsia="MS Mincho" w:hAnsi="Times New Roman" w:cs="Times New Roman"/>
          <w:sz w:val="22"/>
          <w:szCs w:val="22"/>
          <w:lang w:val="en-GB" w:eastAsia="ja-JP"/>
        </w:rPr>
        <w:t>UNDP should include training female members of t</w:t>
      </w:r>
      <w:r>
        <w:rPr>
          <w:rFonts w:ascii="Times New Roman" w:eastAsia="MS Mincho" w:hAnsi="Times New Roman" w:cs="Times New Roman"/>
          <w:sz w:val="22"/>
          <w:szCs w:val="22"/>
          <w:lang w:val="en-GB" w:eastAsia="ja-JP"/>
        </w:rPr>
        <w:t xml:space="preserve">he PLC. </w:t>
      </w:r>
      <w:r w:rsidRPr="00125F09">
        <w:rPr>
          <w:rFonts w:ascii="Times New Roman" w:eastAsia="MS Mincho" w:hAnsi="Times New Roman" w:cs="Times New Roman"/>
          <w:sz w:val="22"/>
          <w:szCs w:val="22"/>
          <w:lang w:val="en-GB" w:eastAsia="ja-JP"/>
        </w:rPr>
        <w:t>UNDP should continue to</w:t>
      </w:r>
      <w:r w:rsidR="000063A3">
        <w:rPr>
          <w:rFonts w:ascii="Times New Roman" w:eastAsia="MS Mincho" w:hAnsi="Times New Roman" w:cs="Times New Roman"/>
          <w:sz w:val="22"/>
          <w:szCs w:val="22"/>
          <w:lang w:val="en-GB" w:eastAsia="ja-JP"/>
        </w:rPr>
        <w:t xml:space="preserve"> </w:t>
      </w:r>
      <w:r w:rsidRPr="00125F09">
        <w:rPr>
          <w:rFonts w:ascii="Times New Roman" w:eastAsia="MS Mincho" w:hAnsi="Times New Roman" w:cs="Times New Roman"/>
          <w:sz w:val="22"/>
          <w:szCs w:val="22"/>
          <w:lang w:val="en-GB" w:eastAsia="ja-JP"/>
        </w:rPr>
        <w:t>broaden its</w:t>
      </w:r>
      <w:r w:rsidR="000063A3">
        <w:rPr>
          <w:rFonts w:ascii="Times New Roman" w:eastAsia="MS Mincho" w:hAnsi="Times New Roman" w:cs="Times New Roman"/>
          <w:sz w:val="22"/>
          <w:szCs w:val="22"/>
          <w:lang w:val="en-GB" w:eastAsia="ja-JP"/>
        </w:rPr>
        <w:t xml:space="preserve"> </w:t>
      </w:r>
      <w:r w:rsidRPr="00125F09">
        <w:rPr>
          <w:rFonts w:ascii="Times New Roman" w:eastAsia="MS Mincho" w:hAnsi="Times New Roman" w:cs="Times New Roman"/>
          <w:sz w:val="22"/>
          <w:szCs w:val="22"/>
          <w:lang w:val="en-GB" w:eastAsia="ja-JP"/>
        </w:rPr>
        <w:t xml:space="preserve">awareness-raising to include more health care institutions and link free legal aid with free health care for women. </w:t>
      </w:r>
    </w:p>
    <w:p w:rsidR="002D1EE7" w:rsidRPr="00125F09" w:rsidRDefault="002D1EE7" w:rsidP="002D1EE7">
      <w:pPr>
        <w:spacing w:after="0" w:line="240" w:lineRule="auto"/>
        <w:jc w:val="both"/>
        <w:rPr>
          <w:rFonts w:ascii="Times New Roman" w:eastAsia="MS Mincho" w:hAnsi="Times New Roman" w:cs="Times New Roman"/>
          <w:b/>
          <w:sz w:val="22"/>
          <w:szCs w:val="24"/>
          <w:lang w:val="en-GB" w:eastAsia="ja-JP"/>
        </w:rPr>
      </w:pPr>
    </w:p>
    <w:p w:rsidR="002D1EE7" w:rsidRPr="00125F09" w:rsidRDefault="002D1EE7" w:rsidP="002D1EE7">
      <w:pPr>
        <w:pBdr>
          <w:top w:val="single" w:sz="4" w:space="1" w:color="auto"/>
          <w:left w:val="single" w:sz="4" w:space="4" w:color="auto"/>
          <w:bottom w:val="single" w:sz="4" w:space="1" w:color="auto"/>
          <w:right w:val="single" w:sz="4" w:space="4" w:color="auto"/>
        </w:pBdr>
        <w:shd w:val="clear" w:color="auto" w:fill="E0E0E0"/>
        <w:spacing w:after="0" w:line="240" w:lineRule="auto"/>
        <w:jc w:val="both"/>
        <w:rPr>
          <w:rFonts w:ascii="Times New Roman" w:eastAsia="MS Mincho" w:hAnsi="Times New Roman" w:cs="Times New Roman"/>
          <w:b/>
          <w:sz w:val="22"/>
          <w:szCs w:val="24"/>
          <w:lang w:val="en-GB" w:eastAsia="ja-JP"/>
        </w:rPr>
      </w:pPr>
      <w:r w:rsidRPr="00125F09">
        <w:rPr>
          <w:rFonts w:ascii="Times New Roman" w:eastAsia="MS Mincho" w:hAnsi="Times New Roman" w:cs="Times New Roman"/>
          <w:b/>
          <w:sz w:val="22"/>
          <w:szCs w:val="24"/>
          <w:lang w:val="en-GB" w:eastAsia="ja-JP"/>
        </w:rPr>
        <w:t>Conclusion 23</w:t>
      </w:r>
      <w:r>
        <w:rPr>
          <w:rFonts w:ascii="Times New Roman" w:eastAsia="MS Mincho" w:hAnsi="Times New Roman" w:cs="Times New Roman"/>
          <w:b/>
          <w:sz w:val="22"/>
          <w:szCs w:val="24"/>
          <w:lang w:val="en-GB" w:eastAsia="ja-JP"/>
        </w:rPr>
        <w:t>:</w:t>
      </w:r>
      <w:r w:rsidRPr="00125F09">
        <w:rPr>
          <w:rFonts w:ascii="Times New Roman" w:eastAsia="MS Mincho" w:hAnsi="Times New Roman" w:cs="Times New Roman"/>
          <w:sz w:val="22"/>
          <w:szCs w:val="22"/>
          <w:lang w:val="en-GB" w:eastAsia="ja-JP"/>
        </w:rPr>
        <w:t xml:space="preserve"> Many of the CSOs in oPt remain </w:t>
      </w:r>
      <w:r>
        <w:rPr>
          <w:rFonts w:ascii="Times New Roman" w:eastAsia="MS Mincho" w:hAnsi="Times New Roman" w:cs="Times New Roman"/>
          <w:sz w:val="22"/>
          <w:szCs w:val="22"/>
          <w:lang w:val="en-GB" w:eastAsia="ja-JP"/>
        </w:rPr>
        <w:t xml:space="preserve">rather </w:t>
      </w:r>
      <w:r w:rsidRPr="00125F09">
        <w:rPr>
          <w:rFonts w:ascii="Times New Roman" w:eastAsia="MS Mincho" w:hAnsi="Times New Roman" w:cs="Times New Roman"/>
          <w:sz w:val="22"/>
          <w:szCs w:val="22"/>
          <w:lang w:val="en-GB" w:eastAsia="ja-JP"/>
        </w:rPr>
        <w:t>vague in their own mandates regarding youth and there are only a few Palestinian CSOs that are exclusively devoted to this demograp</w:t>
      </w:r>
      <w:r>
        <w:rPr>
          <w:rFonts w:ascii="Times New Roman" w:eastAsia="MS Mincho" w:hAnsi="Times New Roman" w:cs="Times New Roman"/>
          <w:sz w:val="22"/>
          <w:szCs w:val="22"/>
          <w:lang w:val="en-GB" w:eastAsia="ja-JP"/>
        </w:rPr>
        <w:t>hic. Within the context of the o</w:t>
      </w:r>
      <w:r w:rsidRPr="00125F09">
        <w:rPr>
          <w:rFonts w:ascii="Times New Roman" w:eastAsia="MS Mincho" w:hAnsi="Times New Roman" w:cs="Times New Roman"/>
          <w:sz w:val="22"/>
          <w:szCs w:val="22"/>
          <w:lang w:val="en-GB" w:eastAsia="ja-JP"/>
        </w:rPr>
        <w:t>c</w:t>
      </w:r>
      <w:r>
        <w:rPr>
          <w:rFonts w:ascii="Times New Roman" w:eastAsia="MS Mincho" w:hAnsi="Times New Roman" w:cs="Times New Roman"/>
          <w:sz w:val="22"/>
          <w:szCs w:val="22"/>
          <w:lang w:val="en-GB" w:eastAsia="ja-JP"/>
        </w:rPr>
        <w:t>cupation, social media and the i</w:t>
      </w:r>
      <w:r w:rsidRPr="00125F09">
        <w:rPr>
          <w:rFonts w:ascii="Times New Roman" w:eastAsia="MS Mincho" w:hAnsi="Times New Roman" w:cs="Times New Roman"/>
          <w:sz w:val="22"/>
          <w:szCs w:val="22"/>
          <w:lang w:val="en-GB" w:eastAsia="ja-JP"/>
        </w:rPr>
        <w:t>nternet are especially important resources for Palestinian youth</w:t>
      </w:r>
    </w:p>
    <w:p w:rsidR="002D1EE7" w:rsidRPr="00125F09" w:rsidRDefault="002D1EE7" w:rsidP="002D1EE7">
      <w:pPr>
        <w:pBdr>
          <w:top w:val="single" w:sz="4" w:space="1" w:color="auto"/>
          <w:left w:val="single" w:sz="4" w:space="4" w:color="auto"/>
          <w:bottom w:val="single" w:sz="4" w:space="1" w:color="auto"/>
          <w:right w:val="single" w:sz="4" w:space="4" w:color="auto"/>
        </w:pBdr>
        <w:shd w:val="clear" w:color="auto" w:fill="E0E0E0"/>
        <w:spacing w:after="0" w:line="240" w:lineRule="auto"/>
        <w:jc w:val="both"/>
        <w:rPr>
          <w:rFonts w:ascii="Times New Roman" w:eastAsia="MS Mincho" w:hAnsi="Times New Roman" w:cs="Times New Roman"/>
          <w:b/>
          <w:sz w:val="22"/>
          <w:szCs w:val="24"/>
          <w:lang w:val="en-GB" w:eastAsia="ja-JP"/>
        </w:rPr>
      </w:pPr>
      <w:r w:rsidRPr="00125F09">
        <w:rPr>
          <w:rFonts w:ascii="Times New Roman" w:eastAsia="MS Mincho" w:hAnsi="Times New Roman" w:cs="Times New Roman"/>
          <w:b/>
          <w:sz w:val="22"/>
          <w:szCs w:val="24"/>
          <w:lang w:val="en-GB" w:eastAsia="ja-JP"/>
        </w:rPr>
        <w:lastRenderedPageBreak/>
        <w:t>Recommendation 23</w:t>
      </w:r>
      <w:r>
        <w:rPr>
          <w:rFonts w:ascii="Times New Roman" w:eastAsia="MS Mincho" w:hAnsi="Times New Roman" w:cs="Times New Roman"/>
          <w:b/>
          <w:sz w:val="22"/>
          <w:szCs w:val="24"/>
          <w:lang w:val="en-GB" w:eastAsia="ja-JP"/>
        </w:rPr>
        <w:t>:</w:t>
      </w:r>
      <w:r w:rsidRPr="00125F09">
        <w:rPr>
          <w:rFonts w:ascii="Times New Roman" w:eastAsia="MS Mincho" w:hAnsi="Times New Roman" w:cs="Times New Roman"/>
          <w:sz w:val="22"/>
          <w:szCs w:val="22"/>
          <w:lang w:val="en-GB" w:eastAsia="ja-JP"/>
        </w:rPr>
        <w:t>UNDP should enhance its sup</w:t>
      </w:r>
      <w:r>
        <w:rPr>
          <w:rFonts w:ascii="Times New Roman" w:eastAsia="MS Mincho" w:hAnsi="Times New Roman" w:cs="Times New Roman"/>
          <w:sz w:val="22"/>
          <w:szCs w:val="22"/>
          <w:lang w:val="en-GB" w:eastAsia="ja-JP"/>
        </w:rPr>
        <w:t>port to youth under the p</w:t>
      </w:r>
      <w:r w:rsidRPr="00125F09">
        <w:rPr>
          <w:rFonts w:ascii="Times New Roman" w:eastAsia="MS Mincho" w:hAnsi="Times New Roman" w:cs="Times New Roman"/>
          <w:sz w:val="22"/>
          <w:szCs w:val="22"/>
          <w:lang w:val="en-GB" w:eastAsia="ja-JP"/>
        </w:rPr>
        <w:t>rogramme going forward</w:t>
      </w:r>
      <w:r>
        <w:rPr>
          <w:rFonts w:ascii="Times New Roman" w:eastAsia="MS Mincho" w:hAnsi="Times New Roman" w:cs="Times New Roman"/>
          <w:sz w:val="22"/>
          <w:szCs w:val="22"/>
          <w:lang w:val="en-GB" w:eastAsia="ja-JP"/>
        </w:rPr>
        <w:t>, for with regard to</w:t>
      </w:r>
      <w:r w:rsidRPr="00125F09">
        <w:rPr>
          <w:rFonts w:ascii="Times New Roman" w:eastAsia="MS Mincho" w:hAnsi="Times New Roman" w:cs="Times New Roman"/>
          <w:sz w:val="22"/>
          <w:szCs w:val="22"/>
          <w:lang w:val="en-GB" w:eastAsia="ja-JP"/>
        </w:rPr>
        <w:t xml:space="preserve"> client-based legal services and advocacy.</w:t>
      </w:r>
    </w:p>
    <w:p w:rsidR="002D1EE7" w:rsidRPr="00125F09" w:rsidRDefault="002D1EE7" w:rsidP="002D1EE7">
      <w:pPr>
        <w:spacing w:after="0" w:line="240" w:lineRule="auto"/>
        <w:jc w:val="both"/>
        <w:rPr>
          <w:rFonts w:ascii="Times New Roman" w:eastAsia="MS Mincho" w:hAnsi="Times New Roman" w:cs="Times New Roman"/>
          <w:b/>
          <w:sz w:val="22"/>
          <w:szCs w:val="24"/>
          <w:lang w:val="en-GB" w:eastAsia="ja-JP"/>
        </w:rPr>
      </w:pPr>
    </w:p>
    <w:p w:rsidR="002D1EE7" w:rsidRPr="00125F09" w:rsidRDefault="002D1EE7" w:rsidP="002D1EE7">
      <w:pPr>
        <w:pBdr>
          <w:top w:val="single" w:sz="4" w:space="1" w:color="auto"/>
          <w:left w:val="single" w:sz="4" w:space="4" w:color="auto"/>
          <w:bottom w:val="single" w:sz="4" w:space="1" w:color="auto"/>
          <w:right w:val="single" w:sz="4" w:space="4" w:color="auto"/>
        </w:pBdr>
        <w:shd w:val="clear" w:color="auto" w:fill="E0E0E0"/>
        <w:spacing w:after="0" w:line="240" w:lineRule="auto"/>
        <w:jc w:val="both"/>
        <w:rPr>
          <w:rFonts w:ascii="Times New Roman" w:eastAsia="MS Mincho" w:hAnsi="Times New Roman" w:cs="Times New Roman"/>
          <w:b/>
          <w:sz w:val="22"/>
          <w:szCs w:val="24"/>
          <w:lang w:val="en-GB" w:eastAsia="ja-JP"/>
        </w:rPr>
      </w:pPr>
      <w:r w:rsidRPr="00125F09">
        <w:rPr>
          <w:rFonts w:ascii="Times New Roman" w:eastAsia="MS Mincho" w:hAnsi="Times New Roman" w:cs="Times New Roman"/>
          <w:b/>
          <w:sz w:val="22"/>
          <w:szCs w:val="24"/>
          <w:lang w:val="en-GB" w:eastAsia="ja-JP"/>
        </w:rPr>
        <w:t>Conclusion 24</w:t>
      </w:r>
      <w:r>
        <w:rPr>
          <w:rFonts w:ascii="Times New Roman" w:eastAsia="MS Mincho" w:hAnsi="Times New Roman" w:cs="Times New Roman"/>
          <w:b/>
          <w:sz w:val="22"/>
          <w:szCs w:val="24"/>
          <w:lang w:val="en-GB" w:eastAsia="ja-JP"/>
        </w:rPr>
        <w:t>:</w:t>
      </w:r>
      <w:r w:rsidRPr="00125F09">
        <w:rPr>
          <w:rFonts w:ascii="Times New Roman" w:eastAsia="MS Mincho" w:hAnsi="Times New Roman" w:cs="Times New Roman"/>
          <w:sz w:val="22"/>
          <w:szCs w:val="22"/>
          <w:lang w:val="en-GB" w:eastAsia="ja-JP"/>
        </w:rPr>
        <w:t xml:space="preserve">Use of informal justice is not as widely used in </w:t>
      </w:r>
      <w:r>
        <w:rPr>
          <w:rFonts w:ascii="Times New Roman" w:eastAsia="MS Mincho" w:hAnsi="Times New Roman" w:cs="Times New Roman"/>
          <w:sz w:val="22"/>
          <w:szCs w:val="22"/>
          <w:lang w:val="en-GB" w:eastAsia="ja-JP"/>
        </w:rPr>
        <w:t xml:space="preserve">the </w:t>
      </w:r>
      <w:r w:rsidRPr="00125F09">
        <w:rPr>
          <w:rFonts w:ascii="Times New Roman" w:eastAsia="MS Mincho" w:hAnsi="Times New Roman" w:cs="Times New Roman"/>
          <w:sz w:val="22"/>
          <w:szCs w:val="22"/>
          <w:lang w:val="en-GB" w:eastAsia="ja-JP"/>
        </w:rPr>
        <w:t>We</w:t>
      </w:r>
      <w:r>
        <w:rPr>
          <w:rFonts w:ascii="Times New Roman" w:eastAsia="MS Mincho" w:hAnsi="Times New Roman" w:cs="Times New Roman"/>
          <w:sz w:val="22"/>
          <w:szCs w:val="22"/>
          <w:lang w:val="en-GB" w:eastAsia="ja-JP"/>
        </w:rPr>
        <w:t>st Bank as in Gaza and the MO</w:t>
      </w:r>
      <w:r w:rsidRPr="00125F09">
        <w:rPr>
          <w:rFonts w:ascii="Times New Roman" w:eastAsia="MS Mincho" w:hAnsi="Times New Roman" w:cs="Times New Roman"/>
          <w:sz w:val="22"/>
          <w:szCs w:val="22"/>
          <w:lang w:val="en-GB" w:eastAsia="ja-JP"/>
        </w:rPr>
        <w:t>J has been resistant to working wit</w:t>
      </w:r>
      <w:r>
        <w:rPr>
          <w:rFonts w:ascii="Times New Roman" w:eastAsia="MS Mincho" w:hAnsi="Times New Roman" w:cs="Times New Roman"/>
          <w:sz w:val="22"/>
          <w:szCs w:val="22"/>
          <w:lang w:val="en-GB" w:eastAsia="ja-JP"/>
        </w:rPr>
        <w:t>h the traditional justice actors. For a number of reasons</w:t>
      </w:r>
      <w:r w:rsidRPr="00125F09">
        <w:rPr>
          <w:rFonts w:ascii="Times New Roman" w:eastAsia="MS Mincho" w:hAnsi="Times New Roman" w:cs="Times New Roman"/>
          <w:sz w:val="22"/>
          <w:szCs w:val="22"/>
          <w:lang w:val="en-GB" w:eastAsia="ja-JP"/>
        </w:rPr>
        <w:t>, UNDP support for formal and informal justice linkages to the formal justice sector in the West Bank has not progressed as quickly as planned.</w:t>
      </w:r>
    </w:p>
    <w:p w:rsidR="002D1EE7" w:rsidRPr="00125F09" w:rsidRDefault="002D1EE7" w:rsidP="002D1EE7">
      <w:pPr>
        <w:pBdr>
          <w:top w:val="single" w:sz="4" w:space="1" w:color="auto"/>
          <w:left w:val="single" w:sz="4" w:space="4" w:color="auto"/>
          <w:bottom w:val="single" w:sz="4" w:space="1" w:color="auto"/>
          <w:right w:val="single" w:sz="4" w:space="4" w:color="auto"/>
        </w:pBdr>
        <w:shd w:val="clear" w:color="auto" w:fill="E0E0E0"/>
        <w:spacing w:after="0" w:line="240" w:lineRule="auto"/>
        <w:jc w:val="both"/>
        <w:rPr>
          <w:rFonts w:ascii="Times New Roman" w:eastAsia="MS Mincho" w:hAnsi="Times New Roman" w:cs="Times New Roman"/>
          <w:b/>
          <w:sz w:val="22"/>
          <w:szCs w:val="24"/>
          <w:lang w:val="en-GB" w:eastAsia="ja-JP"/>
        </w:rPr>
      </w:pPr>
      <w:r w:rsidRPr="00125F09">
        <w:rPr>
          <w:rFonts w:ascii="Times New Roman" w:eastAsia="MS Mincho" w:hAnsi="Times New Roman" w:cs="Times New Roman"/>
          <w:b/>
          <w:sz w:val="22"/>
          <w:szCs w:val="24"/>
          <w:lang w:val="en-GB" w:eastAsia="ja-JP"/>
        </w:rPr>
        <w:t>Recommendation 24</w:t>
      </w:r>
      <w:r>
        <w:rPr>
          <w:rFonts w:ascii="Times New Roman" w:eastAsia="MS Mincho" w:hAnsi="Times New Roman" w:cs="Times New Roman"/>
          <w:b/>
          <w:sz w:val="22"/>
          <w:szCs w:val="24"/>
          <w:lang w:val="en-GB" w:eastAsia="ja-JP"/>
        </w:rPr>
        <w:t>:</w:t>
      </w:r>
      <w:r w:rsidRPr="00125F09">
        <w:rPr>
          <w:rFonts w:ascii="Times New Roman" w:eastAsia="MS Mincho" w:hAnsi="Times New Roman" w:cs="Times New Roman"/>
          <w:sz w:val="22"/>
          <w:szCs w:val="22"/>
          <w:lang w:val="en-GB" w:eastAsia="ja-JP"/>
        </w:rPr>
        <w:t xml:space="preserve"> UNDP should support a study to ascertain how many cases are being generated by the informal justice sector in the West Bank and whether these are</w:t>
      </w:r>
      <w:r w:rsidR="000063A3">
        <w:rPr>
          <w:rFonts w:ascii="Times New Roman" w:eastAsia="MS Mincho" w:hAnsi="Times New Roman" w:cs="Times New Roman"/>
          <w:sz w:val="22"/>
          <w:szCs w:val="22"/>
          <w:lang w:val="en-GB" w:eastAsia="ja-JP"/>
        </w:rPr>
        <w:t xml:space="preserve"> </w:t>
      </w:r>
      <w:r>
        <w:rPr>
          <w:rFonts w:ascii="Times New Roman" w:eastAsia="MS Mincho" w:hAnsi="Times New Roman" w:cs="Times New Roman"/>
          <w:sz w:val="22"/>
          <w:szCs w:val="22"/>
          <w:lang w:val="en-GB" w:eastAsia="ja-JP"/>
        </w:rPr>
        <w:t>respective of women’s rights. The e</w:t>
      </w:r>
      <w:r w:rsidRPr="00125F09">
        <w:rPr>
          <w:rFonts w:ascii="Times New Roman" w:eastAsia="MS Mincho" w:hAnsi="Times New Roman" w:cs="Times New Roman"/>
          <w:sz w:val="22"/>
          <w:szCs w:val="22"/>
          <w:lang w:val="en-GB" w:eastAsia="ja-JP"/>
        </w:rPr>
        <w:t xml:space="preserve">valuation encourages UNDP and </w:t>
      </w:r>
      <w:r>
        <w:rPr>
          <w:rFonts w:ascii="Times New Roman" w:eastAsia="MS Mincho" w:hAnsi="Times New Roman" w:cs="Times New Roman"/>
          <w:sz w:val="22"/>
          <w:szCs w:val="22"/>
          <w:lang w:val="en-GB" w:eastAsia="ja-JP"/>
        </w:rPr>
        <w:t xml:space="preserve">its </w:t>
      </w:r>
      <w:r w:rsidRPr="00125F09">
        <w:rPr>
          <w:rFonts w:ascii="Times New Roman" w:eastAsia="MS Mincho" w:hAnsi="Times New Roman" w:cs="Times New Roman"/>
          <w:sz w:val="22"/>
          <w:szCs w:val="22"/>
          <w:lang w:val="en-GB" w:eastAsia="ja-JP"/>
        </w:rPr>
        <w:t>donors to fund more whitepapers and legisl</w:t>
      </w:r>
      <w:r>
        <w:rPr>
          <w:rFonts w:ascii="Times New Roman" w:eastAsia="MS Mincho" w:hAnsi="Times New Roman" w:cs="Times New Roman"/>
          <w:sz w:val="22"/>
          <w:szCs w:val="22"/>
          <w:lang w:val="en-GB" w:eastAsia="ja-JP"/>
        </w:rPr>
        <w:t xml:space="preserve">ative studies going forward. </w:t>
      </w:r>
      <w:r w:rsidRPr="00125F09">
        <w:rPr>
          <w:rFonts w:ascii="Times New Roman" w:eastAsia="MS Mincho" w:hAnsi="Times New Roman" w:cs="Times New Roman"/>
          <w:sz w:val="22"/>
          <w:szCs w:val="22"/>
          <w:lang w:val="en-GB" w:eastAsia="ja-JP"/>
        </w:rPr>
        <w:t xml:space="preserve">UNDP should increasingly position itself to be </w:t>
      </w:r>
      <w:r>
        <w:rPr>
          <w:rFonts w:ascii="Times New Roman" w:eastAsia="MS Mincho" w:hAnsi="Times New Roman" w:cs="Times New Roman"/>
          <w:sz w:val="22"/>
          <w:szCs w:val="22"/>
          <w:lang w:val="en-GB" w:eastAsia="ja-JP"/>
        </w:rPr>
        <w:t>a knowledge organis</w:t>
      </w:r>
      <w:r w:rsidRPr="00125F09">
        <w:rPr>
          <w:rFonts w:ascii="Times New Roman" w:eastAsia="MS Mincho" w:hAnsi="Times New Roman" w:cs="Times New Roman"/>
          <w:sz w:val="22"/>
          <w:szCs w:val="22"/>
          <w:lang w:val="en-GB" w:eastAsia="ja-JP"/>
        </w:rPr>
        <w:t>ation that provides t</w:t>
      </w:r>
      <w:r>
        <w:rPr>
          <w:rFonts w:ascii="Times New Roman" w:eastAsia="MS Mincho" w:hAnsi="Times New Roman" w:cs="Times New Roman"/>
          <w:sz w:val="22"/>
          <w:szCs w:val="22"/>
          <w:lang w:val="en-GB" w:eastAsia="ja-JP"/>
        </w:rPr>
        <w:t xml:space="preserve">echnical analysis and expertise - </w:t>
      </w:r>
      <w:r w:rsidRPr="00125F09">
        <w:rPr>
          <w:rFonts w:ascii="Times New Roman" w:eastAsia="MS Mincho" w:hAnsi="Times New Roman" w:cs="Times New Roman"/>
          <w:sz w:val="22"/>
          <w:szCs w:val="22"/>
          <w:lang w:val="en-GB" w:eastAsia="ja-JP"/>
        </w:rPr>
        <w:t>especially within a context of dimin</w:t>
      </w:r>
      <w:r>
        <w:rPr>
          <w:rFonts w:ascii="Times New Roman" w:eastAsia="MS Mincho" w:hAnsi="Times New Roman" w:cs="Times New Roman"/>
          <w:sz w:val="22"/>
          <w:szCs w:val="22"/>
          <w:lang w:val="en-GB" w:eastAsia="ja-JP"/>
        </w:rPr>
        <w:t xml:space="preserve">ishing financial resources. </w:t>
      </w:r>
      <w:r w:rsidRPr="00125F09">
        <w:rPr>
          <w:rFonts w:ascii="Times New Roman" w:eastAsia="MS Mincho" w:hAnsi="Times New Roman" w:cs="Times New Roman"/>
          <w:sz w:val="22"/>
          <w:szCs w:val="22"/>
          <w:lang w:val="en-GB" w:eastAsia="ja-JP"/>
        </w:rPr>
        <w:t>UNDP could also develop an informal justice strategy and build upon some of the successful approaches to working with traditional justice actors that have been piloted in Gaza with a focus on enhancing wom</w:t>
      </w:r>
      <w:r>
        <w:rPr>
          <w:rFonts w:ascii="Times New Roman" w:eastAsia="MS Mincho" w:hAnsi="Times New Roman" w:cs="Times New Roman"/>
          <w:sz w:val="22"/>
          <w:szCs w:val="22"/>
          <w:lang w:val="en-GB" w:eastAsia="ja-JP"/>
        </w:rPr>
        <w:t xml:space="preserve">en’s participation and standing - </w:t>
      </w:r>
      <w:r w:rsidRPr="00125F09">
        <w:rPr>
          <w:rFonts w:ascii="Times New Roman" w:eastAsia="MS Mincho" w:hAnsi="Times New Roman" w:cs="Times New Roman"/>
          <w:sz w:val="22"/>
          <w:szCs w:val="22"/>
          <w:lang w:val="en-GB" w:eastAsia="ja-JP"/>
        </w:rPr>
        <w:t xml:space="preserve">both as parties to disputes and as decision makers. </w:t>
      </w:r>
    </w:p>
    <w:p w:rsidR="002D1EE7" w:rsidRPr="00125F09" w:rsidRDefault="002D1EE7" w:rsidP="002D1EE7">
      <w:pPr>
        <w:spacing w:after="0" w:line="240" w:lineRule="auto"/>
        <w:jc w:val="both"/>
        <w:rPr>
          <w:rFonts w:ascii="Times New Roman" w:hAnsi="Times New Roman" w:cs="Times New Roman"/>
          <w:sz w:val="22"/>
          <w:szCs w:val="22"/>
          <w:highlight w:val="yellow"/>
          <w:lang w:val="en-GB"/>
        </w:rPr>
      </w:pPr>
    </w:p>
    <w:p w:rsidR="002D1EE7" w:rsidRPr="00125F09" w:rsidRDefault="002D1EE7" w:rsidP="002D1EE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sz w:val="22"/>
          <w:szCs w:val="22"/>
          <w:lang w:val="en-GB"/>
        </w:rPr>
      </w:pPr>
      <w:r w:rsidRPr="00125F09">
        <w:rPr>
          <w:rFonts w:ascii="Times New Roman" w:hAnsi="Times New Roman" w:cs="Times New Roman"/>
          <w:b/>
          <w:sz w:val="22"/>
          <w:szCs w:val="22"/>
          <w:lang w:val="en-GB"/>
        </w:rPr>
        <w:t>Conclusion25</w:t>
      </w:r>
      <w:r>
        <w:rPr>
          <w:rFonts w:ascii="Times New Roman" w:hAnsi="Times New Roman" w:cs="Times New Roman"/>
          <w:b/>
          <w:sz w:val="22"/>
          <w:szCs w:val="22"/>
          <w:lang w:val="en-GB"/>
        </w:rPr>
        <w:t xml:space="preserve">: </w:t>
      </w:r>
      <w:r w:rsidRPr="00125F09">
        <w:rPr>
          <w:rFonts w:ascii="Times New Roman" w:hAnsi="Times New Roman" w:cs="Times New Roman"/>
          <w:sz w:val="22"/>
          <w:szCs w:val="22"/>
          <w:lang w:val="en-GB"/>
        </w:rPr>
        <w:t>To date, despite much support to advocacy and awareness-raising</w:t>
      </w:r>
      <w:r w:rsidR="000063A3">
        <w:rPr>
          <w:rFonts w:ascii="Times New Roman" w:hAnsi="Times New Roman" w:cs="Times New Roman"/>
          <w:sz w:val="22"/>
          <w:szCs w:val="22"/>
          <w:lang w:val="en-GB"/>
        </w:rPr>
        <w:t xml:space="preserve"> </w:t>
      </w:r>
      <w:r w:rsidRPr="00125F09">
        <w:rPr>
          <w:rFonts w:ascii="Times New Roman" w:hAnsi="Times New Roman" w:cs="Times New Roman"/>
          <w:sz w:val="22"/>
          <w:szCs w:val="22"/>
          <w:lang w:val="en-GB"/>
        </w:rPr>
        <w:t>under the UNDP Rule of Law</w:t>
      </w:r>
      <w:r>
        <w:rPr>
          <w:rFonts w:ascii="Times New Roman" w:hAnsi="Times New Roman" w:cs="Times New Roman"/>
          <w:sz w:val="22"/>
          <w:szCs w:val="22"/>
          <w:lang w:val="en-GB"/>
        </w:rPr>
        <w:t>&amp;</w:t>
      </w:r>
      <w:r w:rsidRPr="00125F09">
        <w:rPr>
          <w:rFonts w:ascii="Times New Roman" w:hAnsi="Times New Roman" w:cs="Times New Roman"/>
          <w:sz w:val="22"/>
          <w:szCs w:val="22"/>
          <w:lang w:val="en-GB"/>
        </w:rPr>
        <w:t xml:space="preserve"> Access to Justice Programme, there has been little if any attention paid to c</w:t>
      </w:r>
      <w:r>
        <w:rPr>
          <w:rFonts w:ascii="Times New Roman" w:hAnsi="Times New Roman" w:cs="Times New Roman"/>
          <w:sz w:val="22"/>
          <w:szCs w:val="22"/>
          <w:lang w:val="en-GB"/>
        </w:rPr>
        <w:t xml:space="preserve">onflict resolution and peace. </w:t>
      </w:r>
      <w:r w:rsidRPr="00125F09">
        <w:rPr>
          <w:rFonts w:ascii="Times New Roman" w:hAnsi="Times New Roman" w:cs="Times New Roman"/>
          <w:sz w:val="22"/>
          <w:szCs w:val="22"/>
          <w:lang w:val="en-GB"/>
        </w:rPr>
        <w:t xml:space="preserve">There is currently no conflict prevention team within the UNDP Governance Unit.  </w:t>
      </w:r>
    </w:p>
    <w:p w:rsidR="002D1EE7" w:rsidRPr="00955D75" w:rsidRDefault="002D1EE7" w:rsidP="002D1EE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sz w:val="22"/>
          <w:szCs w:val="22"/>
          <w:lang w:val="en-GB"/>
        </w:rPr>
      </w:pPr>
      <w:r w:rsidRPr="00125F09">
        <w:rPr>
          <w:rFonts w:ascii="Times New Roman" w:hAnsi="Times New Roman" w:cs="Times New Roman"/>
          <w:b/>
          <w:sz w:val="22"/>
          <w:szCs w:val="22"/>
          <w:lang w:val="en-GB"/>
        </w:rPr>
        <w:t>Recommendation 25</w:t>
      </w:r>
      <w:r>
        <w:rPr>
          <w:rFonts w:ascii="Times New Roman" w:hAnsi="Times New Roman" w:cs="Times New Roman"/>
          <w:b/>
          <w:sz w:val="22"/>
          <w:szCs w:val="22"/>
          <w:lang w:val="en-GB"/>
        </w:rPr>
        <w:t xml:space="preserve">: </w:t>
      </w:r>
      <w:r>
        <w:rPr>
          <w:rFonts w:ascii="Times New Roman" w:hAnsi="Times New Roman" w:cs="Times New Roman"/>
          <w:sz w:val="22"/>
          <w:szCs w:val="22"/>
          <w:lang w:val="en-GB"/>
        </w:rPr>
        <w:t>The e</w:t>
      </w:r>
      <w:r w:rsidRPr="00125F09">
        <w:rPr>
          <w:rFonts w:ascii="Times New Roman" w:hAnsi="Times New Roman" w:cs="Times New Roman"/>
          <w:sz w:val="22"/>
          <w:szCs w:val="22"/>
          <w:lang w:val="en-GB"/>
        </w:rPr>
        <w:t>valuation suggests that possibilities for enhancing opportunities for dial</w:t>
      </w:r>
      <w:r>
        <w:rPr>
          <w:rFonts w:ascii="Times New Roman" w:hAnsi="Times New Roman" w:cs="Times New Roman"/>
          <w:sz w:val="22"/>
          <w:szCs w:val="22"/>
          <w:lang w:val="en-GB"/>
        </w:rPr>
        <w:t>ogue between politically polaris</w:t>
      </w:r>
      <w:r w:rsidRPr="00125F09">
        <w:rPr>
          <w:rFonts w:ascii="Times New Roman" w:hAnsi="Times New Roman" w:cs="Times New Roman"/>
          <w:sz w:val="22"/>
          <w:szCs w:val="22"/>
          <w:lang w:val="en-GB"/>
        </w:rPr>
        <w:t xml:space="preserve">ed groups in </w:t>
      </w:r>
      <w:r>
        <w:rPr>
          <w:rFonts w:ascii="Times New Roman" w:hAnsi="Times New Roman" w:cs="Times New Roman"/>
          <w:sz w:val="22"/>
          <w:szCs w:val="22"/>
          <w:lang w:val="en-GB"/>
        </w:rPr>
        <w:t xml:space="preserve">the </w:t>
      </w:r>
      <w:r w:rsidRPr="00125F09">
        <w:rPr>
          <w:rFonts w:ascii="Times New Roman" w:hAnsi="Times New Roman" w:cs="Times New Roman"/>
          <w:sz w:val="22"/>
          <w:szCs w:val="22"/>
          <w:lang w:val="en-GB"/>
        </w:rPr>
        <w:t>oPt should be exp</w:t>
      </w:r>
      <w:r>
        <w:rPr>
          <w:rFonts w:ascii="Times New Roman" w:hAnsi="Times New Roman" w:cs="Times New Roman"/>
          <w:sz w:val="22"/>
          <w:szCs w:val="22"/>
          <w:lang w:val="en-GB"/>
        </w:rPr>
        <w:t xml:space="preserve">lored by UNDP going forward. </w:t>
      </w:r>
      <w:r w:rsidRPr="00125F09">
        <w:rPr>
          <w:rFonts w:ascii="Times New Roman" w:hAnsi="Times New Roman" w:cs="Times New Roman"/>
          <w:sz w:val="22"/>
          <w:szCs w:val="22"/>
          <w:lang w:val="en-GB"/>
        </w:rPr>
        <w:t>Such work is extremely complex, given th</w:t>
      </w:r>
      <w:r>
        <w:rPr>
          <w:rFonts w:ascii="Times New Roman" w:hAnsi="Times New Roman" w:cs="Times New Roman"/>
          <w:sz w:val="22"/>
          <w:szCs w:val="22"/>
          <w:lang w:val="en-GB"/>
        </w:rPr>
        <w:t xml:space="preserve">e uniqueness of the </w:t>
      </w:r>
      <w:r w:rsidRPr="00125F09">
        <w:rPr>
          <w:rFonts w:ascii="Times New Roman" w:hAnsi="Times New Roman" w:cs="Times New Roman"/>
          <w:sz w:val="22"/>
          <w:szCs w:val="22"/>
          <w:lang w:val="en-GB"/>
        </w:rPr>
        <w:t>conflict (i.e. this is not an internal civil war, but a long standing</w:t>
      </w:r>
      <w:r>
        <w:rPr>
          <w:rFonts w:ascii="Times New Roman" w:hAnsi="Times New Roman" w:cs="Times New Roman"/>
          <w:sz w:val="22"/>
          <w:szCs w:val="22"/>
          <w:lang w:val="en-GB"/>
        </w:rPr>
        <w:t xml:space="preserve"> occupation). UNDP/BCPR</w:t>
      </w:r>
      <w:r w:rsidRPr="00125F09">
        <w:rPr>
          <w:rFonts w:ascii="Times New Roman" w:hAnsi="Times New Roman" w:cs="Times New Roman"/>
          <w:sz w:val="22"/>
          <w:szCs w:val="22"/>
          <w:lang w:val="en-GB"/>
        </w:rPr>
        <w:t xml:space="preserve"> has both a strong corporate mandate and a clear and proven comparative strength</w:t>
      </w:r>
      <w:r>
        <w:rPr>
          <w:rFonts w:ascii="Times New Roman" w:hAnsi="Times New Roman" w:cs="Times New Roman"/>
          <w:sz w:val="22"/>
          <w:szCs w:val="22"/>
          <w:lang w:val="en-GB"/>
        </w:rPr>
        <w:t xml:space="preserve"> in this area that is not yet </w:t>
      </w:r>
      <w:r w:rsidRPr="00125F09">
        <w:rPr>
          <w:rFonts w:ascii="Times New Roman" w:hAnsi="Times New Roman" w:cs="Times New Roman"/>
          <w:sz w:val="22"/>
          <w:szCs w:val="22"/>
          <w:lang w:val="en-GB"/>
        </w:rPr>
        <w:t xml:space="preserve">employed in </w:t>
      </w:r>
      <w:r>
        <w:rPr>
          <w:rFonts w:ascii="Times New Roman" w:hAnsi="Times New Roman" w:cs="Times New Roman"/>
          <w:sz w:val="22"/>
          <w:szCs w:val="22"/>
          <w:lang w:val="en-GB"/>
        </w:rPr>
        <w:t xml:space="preserve">the </w:t>
      </w:r>
      <w:r w:rsidRPr="00125F09">
        <w:rPr>
          <w:rFonts w:ascii="Times New Roman" w:hAnsi="Times New Roman" w:cs="Times New Roman"/>
          <w:sz w:val="22"/>
          <w:szCs w:val="22"/>
          <w:lang w:val="en-GB"/>
        </w:rPr>
        <w:t>oPt</w:t>
      </w:r>
      <w:r>
        <w:rPr>
          <w:rFonts w:ascii="Times New Roman" w:hAnsi="Times New Roman" w:cs="Times New Roman"/>
          <w:sz w:val="22"/>
          <w:szCs w:val="22"/>
          <w:lang w:val="en-GB"/>
        </w:rPr>
        <w:t>.</w:t>
      </w:r>
      <w:r w:rsidR="00E8775C">
        <w:rPr>
          <w:rFonts w:ascii="Times New Roman" w:hAnsi="Times New Roman" w:cs="Times New Roman"/>
          <w:sz w:val="22"/>
          <w:szCs w:val="22"/>
          <w:lang w:val="en-GB"/>
        </w:rPr>
        <w:t xml:space="preserve"> </w:t>
      </w:r>
      <w:r w:rsidRPr="00125F09">
        <w:rPr>
          <w:rFonts w:ascii="Times New Roman" w:hAnsi="Times New Roman" w:cs="Times New Roman"/>
          <w:sz w:val="22"/>
          <w:szCs w:val="22"/>
          <w:lang w:val="en-GB"/>
        </w:rPr>
        <w:t>Such work could be tied to legal e</w:t>
      </w:r>
      <w:r>
        <w:rPr>
          <w:rFonts w:ascii="Times New Roman" w:hAnsi="Times New Roman" w:cs="Times New Roman"/>
          <w:sz w:val="22"/>
          <w:szCs w:val="22"/>
          <w:lang w:val="en-GB"/>
        </w:rPr>
        <w:t xml:space="preserve">mpowerment and youth. </w:t>
      </w:r>
      <w:r w:rsidRPr="00125F09">
        <w:rPr>
          <w:rFonts w:ascii="Times New Roman" w:hAnsi="Times New Roman" w:cs="Times New Roman"/>
          <w:sz w:val="22"/>
          <w:szCs w:val="22"/>
          <w:lang w:val="en-GB"/>
        </w:rPr>
        <w:t>The recent establishment</w:t>
      </w:r>
      <w:r>
        <w:rPr>
          <w:rFonts w:ascii="Times New Roman" w:hAnsi="Times New Roman" w:cs="Times New Roman"/>
          <w:sz w:val="22"/>
          <w:szCs w:val="22"/>
          <w:lang w:val="en-GB"/>
        </w:rPr>
        <w:t xml:space="preserve"> of the Global Focal Point for Rule of L</w:t>
      </w:r>
      <w:r w:rsidRPr="00125F09">
        <w:rPr>
          <w:rFonts w:ascii="Times New Roman" w:hAnsi="Times New Roman" w:cs="Times New Roman"/>
          <w:sz w:val="22"/>
          <w:szCs w:val="22"/>
          <w:lang w:val="en-GB"/>
        </w:rPr>
        <w:t xml:space="preserve">aw may </w:t>
      </w:r>
      <w:r>
        <w:rPr>
          <w:rFonts w:ascii="Times New Roman" w:hAnsi="Times New Roman" w:cs="Times New Roman"/>
          <w:sz w:val="22"/>
          <w:szCs w:val="22"/>
          <w:lang w:val="en-GB"/>
        </w:rPr>
        <w:t xml:space="preserve">also present opportunities, for instance by drawing upon DPKO’s </w:t>
      </w:r>
      <w:r>
        <w:rPr>
          <w:rFonts w:ascii="Times New Roman" w:hAnsi="Times New Roman" w:cs="Times New Roman"/>
          <w:i/>
          <w:sz w:val="22"/>
          <w:szCs w:val="22"/>
          <w:lang w:val="en-GB"/>
        </w:rPr>
        <w:t>shari’a</w:t>
      </w:r>
      <w:r>
        <w:rPr>
          <w:rFonts w:ascii="Times New Roman" w:hAnsi="Times New Roman" w:cs="Times New Roman"/>
          <w:sz w:val="22"/>
          <w:szCs w:val="22"/>
          <w:lang w:val="en-GB"/>
        </w:rPr>
        <w:t xml:space="preserve"> law experts. </w:t>
      </w:r>
      <w:r w:rsidRPr="00125F09">
        <w:rPr>
          <w:rFonts w:ascii="Times New Roman" w:hAnsi="Times New Roman" w:cs="Times New Roman"/>
          <w:sz w:val="22"/>
          <w:szCs w:val="22"/>
          <w:lang w:val="en-GB"/>
        </w:rPr>
        <w:t>Additionally, UNDP might explore options for approaching th</w:t>
      </w:r>
      <w:r>
        <w:rPr>
          <w:rFonts w:ascii="Times New Roman" w:hAnsi="Times New Roman" w:cs="Times New Roman"/>
          <w:sz w:val="22"/>
          <w:szCs w:val="22"/>
          <w:lang w:val="en-GB"/>
        </w:rPr>
        <w:t>e UN</w:t>
      </w:r>
      <w:r w:rsidRPr="00125F09">
        <w:rPr>
          <w:rFonts w:ascii="Times New Roman" w:hAnsi="Times New Roman" w:cs="Times New Roman"/>
          <w:sz w:val="22"/>
          <w:szCs w:val="22"/>
          <w:lang w:val="en-GB"/>
        </w:rPr>
        <w:t xml:space="preserve"> Peace Buil</w:t>
      </w:r>
      <w:r>
        <w:rPr>
          <w:rFonts w:ascii="Times New Roman" w:hAnsi="Times New Roman" w:cs="Times New Roman"/>
          <w:sz w:val="22"/>
          <w:szCs w:val="22"/>
          <w:lang w:val="en-GB"/>
        </w:rPr>
        <w:t>ding Support Office and request them to conduct</w:t>
      </w:r>
      <w:r w:rsidRPr="00125F09">
        <w:rPr>
          <w:rFonts w:ascii="Times New Roman" w:hAnsi="Times New Roman" w:cs="Times New Roman"/>
          <w:sz w:val="22"/>
          <w:szCs w:val="22"/>
          <w:lang w:val="en-GB"/>
        </w:rPr>
        <w:t xml:space="preserve"> a mission in oPt</w:t>
      </w:r>
      <w:r>
        <w:rPr>
          <w:rFonts w:ascii="Times New Roman" w:hAnsi="Times New Roman" w:cs="Times New Roman"/>
          <w:sz w:val="22"/>
          <w:szCs w:val="22"/>
          <w:lang w:val="en-GB"/>
        </w:rPr>
        <w:t>.</w:t>
      </w:r>
      <w:r w:rsidR="00E8775C">
        <w:rPr>
          <w:rFonts w:ascii="Times New Roman" w:hAnsi="Times New Roman" w:cs="Times New Roman"/>
          <w:sz w:val="22"/>
          <w:szCs w:val="22"/>
          <w:lang w:val="en-GB"/>
        </w:rPr>
        <w:t xml:space="preserve"> </w:t>
      </w:r>
      <w:r w:rsidRPr="00125F09">
        <w:rPr>
          <w:rFonts w:ascii="Times New Roman" w:hAnsi="Times New Roman" w:cs="Times New Roman"/>
          <w:sz w:val="22"/>
          <w:szCs w:val="22"/>
          <w:lang w:val="en-GB"/>
        </w:rPr>
        <w:t>Community and religious leaders might be an entry point at the local level.</w:t>
      </w:r>
    </w:p>
    <w:p w:rsidR="002D1EE7" w:rsidRPr="00125F09" w:rsidRDefault="002D1EE7" w:rsidP="002D1EE7">
      <w:pPr>
        <w:spacing w:after="0" w:line="240" w:lineRule="auto"/>
        <w:jc w:val="both"/>
        <w:rPr>
          <w:rFonts w:ascii="Times New Roman" w:hAnsi="Times New Roman" w:cs="Times New Roman"/>
          <w:b/>
          <w:sz w:val="22"/>
          <w:szCs w:val="22"/>
          <w:lang w:val="en-GB"/>
        </w:rPr>
      </w:pPr>
    </w:p>
    <w:p w:rsidR="002D1EE7" w:rsidRPr="00125F09" w:rsidRDefault="002D1EE7" w:rsidP="002D1EE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sz w:val="22"/>
          <w:szCs w:val="22"/>
          <w:lang w:val="en-GB"/>
        </w:rPr>
      </w:pPr>
      <w:r w:rsidRPr="00125F09">
        <w:rPr>
          <w:rFonts w:ascii="Times New Roman" w:hAnsi="Times New Roman" w:cs="Times New Roman"/>
          <w:b/>
          <w:sz w:val="22"/>
          <w:szCs w:val="22"/>
          <w:lang w:val="en-GB"/>
        </w:rPr>
        <w:t>Conclusion 26</w:t>
      </w:r>
      <w:r>
        <w:rPr>
          <w:rFonts w:ascii="Times New Roman" w:hAnsi="Times New Roman" w:cs="Times New Roman"/>
          <w:b/>
          <w:sz w:val="22"/>
          <w:szCs w:val="22"/>
          <w:lang w:val="en-GB"/>
        </w:rPr>
        <w:t>:</w:t>
      </w:r>
      <w:r w:rsidRPr="00125F09">
        <w:rPr>
          <w:rFonts w:ascii="Times New Roman" w:hAnsi="Times New Roman" w:cs="Times New Roman"/>
          <w:sz w:val="22"/>
          <w:szCs w:val="22"/>
          <w:lang w:val="en-GB"/>
        </w:rPr>
        <w:t xml:space="preserve">Donors were critical of UNDP’s previous reporting and M&amp;E as having not </w:t>
      </w:r>
      <w:r>
        <w:rPr>
          <w:rFonts w:ascii="Times New Roman" w:hAnsi="Times New Roman" w:cs="Times New Roman"/>
          <w:sz w:val="22"/>
          <w:szCs w:val="22"/>
          <w:lang w:val="en-GB"/>
        </w:rPr>
        <w:t xml:space="preserve">sufficiently </w:t>
      </w:r>
      <w:r w:rsidRPr="00125F09">
        <w:rPr>
          <w:rFonts w:ascii="Times New Roman" w:hAnsi="Times New Roman" w:cs="Times New Roman"/>
          <w:sz w:val="22"/>
          <w:szCs w:val="22"/>
          <w:lang w:val="en-GB"/>
        </w:rPr>
        <w:t>dem</w:t>
      </w:r>
      <w:r>
        <w:rPr>
          <w:rFonts w:ascii="Times New Roman" w:hAnsi="Times New Roman" w:cs="Times New Roman"/>
          <w:sz w:val="22"/>
          <w:szCs w:val="22"/>
          <w:lang w:val="en-GB"/>
        </w:rPr>
        <w:t xml:space="preserve">onstrated evidence of impact. </w:t>
      </w:r>
      <w:r w:rsidRPr="00125F09">
        <w:rPr>
          <w:rFonts w:ascii="Times New Roman" w:hAnsi="Times New Roman" w:cs="Times New Roman"/>
          <w:sz w:val="22"/>
          <w:szCs w:val="22"/>
          <w:lang w:val="en-GB"/>
        </w:rPr>
        <w:t>UNDP has responded to these criticisms by redesigning its M&amp;E plan and contacting all its partners to collect more information and data of UNDP supported interventions.</w:t>
      </w:r>
    </w:p>
    <w:p w:rsidR="002D1EE7" w:rsidRPr="00647752" w:rsidRDefault="002D1EE7" w:rsidP="002D1EE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sz w:val="22"/>
          <w:szCs w:val="22"/>
          <w:lang w:val="en-GB"/>
        </w:rPr>
      </w:pPr>
      <w:r w:rsidRPr="00125F09">
        <w:rPr>
          <w:rFonts w:ascii="Times New Roman" w:hAnsi="Times New Roman" w:cs="Times New Roman"/>
          <w:b/>
          <w:sz w:val="22"/>
          <w:szCs w:val="22"/>
          <w:lang w:val="en-GB"/>
        </w:rPr>
        <w:t>Recommendation 26</w:t>
      </w:r>
      <w:r w:rsidRPr="00125F09">
        <w:rPr>
          <w:rFonts w:ascii="Times New Roman" w:hAnsi="Times New Roman" w:cs="Times New Roman"/>
          <w:sz w:val="22"/>
          <w:szCs w:val="22"/>
          <w:lang w:val="en-GB"/>
        </w:rPr>
        <w:t xml:space="preserve">:  UNDP is encouraged to continue to stress data collection and streamline processes for all partners to supply UNDP </w:t>
      </w:r>
      <w:r>
        <w:rPr>
          <w:rFonts w:ascii="Times New Roman" w:hAnsi="Times New Roman" w:cs="Times New Roman"/>
          <w:sz w:val="22"/>
          <w:szCs w:val="22"/>
          <w:lang w:val="en-GB"/>
        </w:rPr>
        <w:t>with evidence of impact at the o</w:t>
      </w:r>
      <w:r w:rsidRPr="00125F09">
        <w:rPr>
          <w:rFonts w:ascii="Times New Roman" w:hAnsi="Times New Roman" w:cs="Times New Roman"/>
          <w:sz w:val="22"/>
          <w:szCs w:val="22"/>
          <w:lang w:val="en-GB"/>
        </w:rPr>
        <w:t xml:space="preserve">utcome level on a regular basis. UNDP should continue </w:t>
      </w:r>
      <w:r w:rsidRPr="00647752">
        <w:rPr>
          <w:rFonts w:ascii="Times New Roman" w:hAnsi="Times New Roman" w:cs="Times New Roman"/>
          <w:sz w:val="22"/>
          <w:szCs w:val="22"/>
          <w:lang w:val="en-GB"/>
        </w:rPr>
        <w:t>to support periodic perception surveys and the collection of justice and security</w:t>
      </w:r>
      <w:r>
        <w:rPr>
          <w:rFonts w:ascii="Times New Roman" w:hAnsi="Times New Roman" w:cs="Times New Roman"/>
          <w:sz w:val="22"/>
          <w:szCs w:val="22"/>
          <w:lang w:val="en-GB"/>
        </w:rPr>
        <w:t xml:space="preserve"> sector data.</w:t>
      </w:r>
    </w:p>
    <w:p w:rsidR="002D1EE7" w:rsidRPr="00647752" w:rsidRDefault="002D1EE7" w:rsidP="002D1EE7">
      <w:pPr>
        <w:spacing w:after="0" w:line="240" w:lineRule="auto"/>
        <w:jc w:val="both"/>
        <w:rPr>
          <w:rFonts w:ascii="Times New Roman" w:hAnsi="Times New Roman" w:cs="Times New Roman"/>
          <w:b/>
          <w:u w:val="single"/>
          <w:lang w:val="en-GB"/>
        </w:rPr>
      </w:pPr>
    </w:p>
    <w:p w:rsidR="002D1EE7" w:rsidRPr="00647752" w:rsidRDefault="002D1EE7" w:rsidP="002D1EE7">
      <w:pPr>
        <w:spacing w:after="0" w:line="240" w:lineRule="auto"/>
        <w:jc w:val="both"/>
        <w:rPr>
          <w:rFonts w:ascii="Times New Roman" w:hAnsi="Times New Roman" w:cs="Times New Roman"/>
          <w:b/>
          <w:u w:val="single"/>
          <w:lang w:val="en-GB"/>
        </w:rPr>
      </w:pPr>
    </w:p>
    <w:p w:rsidR="002D1EE7" w:rsidRDefault="002D1EE7">
      <w:pPr>
        <w:rPr>
          <w:rFonts w:ascii="Times New Roman" w:hAnsi="Times New Roman" w:cs="Times New Roman"/>
          <w:b/>
          <w:sz w:val="22"/>
          <w:szCs w:val="22"/>
          <w:lang w:val="en-GB"/>
        </w:rPr>
      </w:pPr>
      <w:r>
        <w:rPr>
          <w:rFonts w:ascii="Times New Roman" w:hAnsi="Times New Roman" w:cs="Times New Roman"/>
          <w:b/>
          <w:sz w:val="22"/>
          <w:szCs w:val="22"/>
          <w:lang w:val="en-GB"/>
        </w:rPr>
        <w:br w:type="page"/>
      </w:r>
    </w:p>
    <w:p w:rsidR="00A17466" w:rsidRPr="0016241C" w:rsidRDefault="008E5A68" w:rsidP="0016241C">
      <w:pPr>
        <w:rPr>
          <w:rFonts w:ascii="Times New Roman" w:eastAsiaTheme="majorEastAsia" w:hAnsi="Times New Roman" w:cs="Times New Roman"/>
          <w:b/>
          <w:bCs/>
          <w:sz w:val="22"/>
          <w:szCs w:val="22"/>
          <w:lang w:val="en-GB"/>
        </w:rPr>
      </w:pPr>
      <w:r w:rsidRPr="0016241C">
        <w:rPr>
          <w:rFonts w:ascii="Times New Roman" w:hAnsi="Times New Roman" w:cs="Times New Roman"/>
          <w:b/>
          <w:sz w:val="22"/>
          <w:szCs w:val="22"/>
          <w:lang w:val="en-GB"/>
        </w:rPr>
        <w:lastRenderedPageBreak/>
        <w:t>Lessons L</w:t>
      </w:r>
      <w:r w:rsidR="00A17466" w:rsidRPr="0016241C">
        <w:rPr>
          <w:rFonts w:ascii="Times New Roman" w:hAnsi="Times New Roman" w:cs="Times New Roman"/>
          <w:b/>
          <w:sz w:val="22"/>
          <w:szCs w:val="22"/>
          <w:lang w:val="en-GB"/>
        </w:rPr>
        <w:t>earned</w:t>
      </w:r>
      <w:bookmarkEnd w:id="29"/>
    </w:p>
    <w:p w:rsidR="00B82CB9" w:rsidRPr="00B82CB9" w:rsidRDefault="00B82CB9" w:rsidP="00B82CB9">
      <w:pPr>
        <w:spacing w:after="0" w:line="240" w:lineRule="auto"/>
        <w:jc w:val="both"/>
        <w:rPr>
          <w:lang w:val="en-GB"/>
        </w:rPr>
      </w:pPr>
    </w:p>
    <w:p w:rsidR="00B82CB9" w:rsidRDefault="00AF4495" w:rsidP="00B82CB9">
      <w:pPr>
        <w:pStyle w:val="ListParagraph"/>
        <w:numPr>
          <w:ilvl w:val="0"/>
          <w:numId w:val="162"/>
        </w:numPr>
        <w:spacing w:after="0" w:line="240" w:lineRule="auto"/>
        <w:jc w:val="both"/>
        <w:rPr>
          <w:rFonts w:ascii="Times New Roman" w:hAnsi="Times New Roman" w:cs="Times New Roman"/>
          <w:sz w:val="22"/>
          <w:szCs w:val="22"/>
          <w:lang w:val="en-GB"/>
        </w:rPr>
      </w:pPr>
      <w:r w:rsidRPr="00B82CB9">
        <w:rPr>
          <w:rFonts w:ascii="Times New Roman" w:hAnsi="Times New Roman" w:cs="Times New Roman"/>
          <w:sz w:val="22"/>
          <w:szCs w:val="22"/>
          <w:lang w:val="en-GB"/>
        </w:rPr>
        <w:t>UNDP has faced some political obstacles among the major justice institutions that have hindered its abilit</w:t>
      </w:r>
      <w:r w:rsidR="00B82CB9">
        <w:rPr>
          <w:rFonts w:ascii="Times New Roman" w:hAnsi="Times New Roman" w:cs="Times New Roman"/>
          <w:sz w:val="22"/>
          <w:szCs w:val="22"/>
          <w:lang w:val="en-GB"/>
        </w:rPr>
        <w:t>ies to effect change.</w:t>
      </w:r>
      <w:r w:rsidR="000063A3">
        <w:rPr>
          <w:rFonts w:ascii="Times New Roman" w:hAnsi="Times New Roman" w:cs="Times New Roman"/>
          <w:sz w:val="22"/>
          <w:szCs w:val="22"/>
          <w:lang w:val="en-GB"/>
        </w:rPr>
        <w:t xml:space="preserve"> </w:t>
      </w:r>
      <w:r w:rsidRPr="00B82CB9">
        <w:rPr>
          <w:rFonts w:ascii="Times New Roman" w:hAnsi="Times New Roman" w:cs="Times New Roman"/>
          <w:sz w:val="22"/>
          <w:szCs w:val="22"/>
          <w:lang w:val="en-GB"/>
        </w:rPr>
        <w:t>It may be t</w:t>
      </w:r>
      <w:r w:rsidR="008E5A68">
        <w:rPr>
          <w:rFonts w:ascii="Times New Roman" w:hAnsi="Times New Roman" w:cs="Times New Roman"/>
          <w:sz w:val="22"/>
          <w:szCs w:val="22"/>
          <w:lang w:val="en-GB"/>
        </w:rPr>
        <w:t xml:space="preserve">ime for the international </w:t>
      </w:r>
      <w:r w:rsidRPr="00B82CB9">
        <w:rPr>
          <w:rFonts w:ascii="Times New Roman" w:hAnsi="Times New Roman" w:cs="Times New Roman"/>
          <w:sz w:val="22"/>
          <w:szCs w:val="22"/>
          <w:lang w:val="en-GB"/>
        </w:rPr>
        <w:t>community to ta</w:t>
      </w:r>
      <w:r w:rsidR="008E5A68">
        <w:rPr>
          <w:rFonts w:ascii="Times New Roman" w:hAnsi="Times New Roman" w:cs="Times New Roman"/>
          <w:sz w:val="22"/>
          <w:szCs w:val="22"/>
          <w:lang w:val="en-GB"/>
        </w:rPr>
        <w:t>ke this up with the Prime Minister’s O</w:t>
      </w:r>
      <w:r w:rsidRPr="00B82CB9">
        <w:rPr>
          <w:rFonts w:ascii="Times New Roman" w:hAnsi="Times New Roman" w:cs="Times New Roman"/>
          <w:sz w:val="22"/>
          <w:szCs w:val="22"/>
          <w:lang w:val="en-GB"/>
        </w:rPr>
        <w:t>ffice.</w:t>
      </w:r>
    </w:p>
    <w:p w:rsidR="00B82CB9" w:rsidRDefault="005173FD" w:rsidP="00B82CB9">
      <w:pPr>
        <w:pStyle w:val="ListParagraph"/>
        <w:numPr>
          <w:ilvl w:val="0"/>
          <w:numId w:val="162"/>
        </w:numPr>
        <w:spacing w:after="0" w:line="240" w:lineRule="auto"/>
        <w:jc w:val="both"/>
        <w:rPr>
          <w:rFonts w:ascii="Times New Roman" w:hAnsi="Times New Roman" w:cs="Times New Roman"/>
          <w:sz w:val="22"/>
          <w:szCs w:val="22"/>
          <w:lang w:val="en-GB"/>
        </w:rPr>
      </w:pPr>
      <w:r w:rsidRPr="008E5A68">
        <w:rPr>
          <w:rFonts w:ascii="Times New Roman" w:hAnsi="Times New Roman" w:cs="Times New Roman"/>
          <w:i/>
          <w:sz w:val="22"/>
          <w:szCs w:val="22"/>
          <w:lang w:val="en-GB"/>
        </w:rPr>
        <w:t>Shari’a</w:t>
      </w:r>
      <w:r w:rsidRPr="00B82CB9">
        <w:rPr>
          <w:rFonts w:ascii="Times New Roman" w:hAnsi="Times New Roman" w:cs="Times New Roman"/>
          <w:sz w:val="22"/>
          <w:szCs w:val="22"/>
          <w:lang w:val="en-GB"/>
        </w:rPr>
        <w:t xml:space="preserve"> courts play a unique and extremely important role in the Palestinian justice sector and impact especially on the lives of vulnerable women</w:t>
      </w:r>
      <w:r w:rsidR="004675F7" w:rsidRPr="00B82CB9">
        <w:rPr>
          <w:rFonts w:ascii="Times New Roman" w:hAnsi="Times New Roman" w:cs="Times New Roman"/>
          <w:sz w:val="22"/>
          <w:szCs w:val="22"/>
          <w:lang w:val="en-GB"/>
        </w:rPr>
        <w:t xml:space="preserve"> and should be supported</w:t>
      </w:r>
      <w:r w:rsidRPr="00B82CB9">
        <w:rPr>
          <w:rFonts w:ascii="Times New Roman" w:hAnsi="Times New Roman" w:cs="Times New Roman"/>
          <w:sz w:val="22"/>
          <w:szCs w:val="22"/>
          <w:lang w:val="en-GB"/>
        </w:rPr>
        <w:t>.</w:t>
      </w:r>
    </w:p>
    <w:p w:rsidR="00B82CB9" w:rsidRDefault="004675F7" w:rsidP="00B82CB9">
      <w:pPr>
        <w:pStyle w:val="ListParagraph"/>
        <w:numPr>
          <w:ilvl w:val="0"/>
          <w:numId w:val="162"/>
        </w:numPr>
        <w:spacing w:after="0" w:line="240" w:lineRule="auto"/>
        <w:jc w:val="both"/>
        <w:rPr>
          <w:rFonts w:ascii="Times New Roman" w:hAnsi="Times New Roman" w:cs="Times New Roman"/>
          <w:sz w:val="22"/>
          <w:szCs w:val="22"/>
          <w:lang w:val="en-GB"/>
        </w:rPr>
      </w:pPr>
      <w:r w:rsidRPr="00B82CB9">
        <w:rPr>
          <w:rFonts w:ascii="Times New Roman" w:hAnsi="Times New Roman" w:cs="Times New Roman"/>
          <w:sz w:val="22"/>
          <w:szCs w:val="22"/>
          <w:lang w:val="en-GB"/>
        </w:rPr>
        <w:t>Youth play an important role in both managing conflict and issues related to legal empowerment.</w:t>
      </w:r>
    </w:p>
    <w:p w:rsidR="00B82CB9" w:rsidRDefault="004675F7" w:rsidP="00B82CB9">
      <w:pPr>
        <w:pStyle w:val="ListParagraph"/>
        <w:numPr>
          <w:ilvl w:val="0"/>
          <w:numId w:val="162"/>
        </w:numPr>
        <w:spacing w:after="0" w:line="240" w:lineRule="auto"/>
        <w:jc w:val="both"/>
        <w:rPr>
          <w:rFonts w:ascii="Times New Roman" w:hAnsi="Times New Roman" w:cs="Times New Roman"/>
          <w:sz w:val="22"/>
          <w:szCs w:val="22"/>
          <w:lang w:val="en-GB"/>
        </w:rPr>
      </w:pPr>
      <w:r w:rsidRPr="00B82CB9">
        <w:rPr>
          <w:rFonts w:ascii="Times New Roman" w:hAnsi="Times New Roman" w:cs="Times New Roman"/>
          <w:sz w:val="22"/>
          <w:szCs w:val="22"/>
          <w:lang w:val="en-GB"/>
        </w:rPr>
        <w:t xml:space="preserve">Social media and </w:t>
      </w:r>
      <w:r w:rsidR="008E5A68">
        <w:rPr>
          <w:rFonts w:ascii="Times New Roman" w:hAnsi="Times New Roman" w:cs="Times New Roman"/>
          <w:sz w:val="22"/>
          <w:szCs w:val="22"/>
          <w:lang w:val="en-GB"/>
        </w:rPr>
        <w:t>i</w:t>
      </w:r>
      <w:r w:rsidR="00D63A8F" w:rsidRPr="00B82CB9">
        <w:rPr>
          <w:rFonts w:ascii="Times New Roman" w:hAnsi="Times New Roman" w:cs="Times New Roman"/>
          <w:sz w:val="22"/>
          <w:szCs w:val="22"/>
          <w:lang w:val="en-GB"/>
        </w:rPr>
        <w:t>nternet</w:t>
      </w:r>
      <w:r w:rsidR="000063A3">
        <w:rPr>
          <w:rFonts w:ascii="Times New Roman" w:hAnsi="Times New Roman" w:cs="Times New Roman"/>
          <w:sz w:val="22"/>
          <w:szCs w:val="22"/>
          <w:lang w:val="en-GB"/>
        </w:rPr>
        <w:t xml:space="preserve"> </w:t>
      </w:r>
      <w:r w:rsidRPr="00B82CB9">
        <w:rPr>
          <w:rFonts w:ascii="Times New Roman" w:hAnsi="Times New Roman" w:cs="Times New Roman"/>
          <w:sz w:val="22"/>
          <w:szCs w:val="22"/>
          <w:lang w:val="en-GB"/>
        </w:rPr>
        <w:t>“live links”</w:t>
      </w:r>
      <w:r w:rsidR="00D63A8F" w:rsidRPr="00B82CB9">
        <w:rPr>
          <w:rFonts w:ascii="Times New Roman" w:hAnsi="Times New Roman" w:cs="Times New Roman"/>
          <w:sz w:val="22"/>
          <w:szCs w:val="22"/>
          <w:lang w:val="en-GB"/>
        </w:rPr>
        <w:t>/</w:t>
      </w:r>
      <w:r w:rsidR="00FD16C5" w:rsidRPr="00B82CB9">
        <w:rPr>
          <w:rFonts w:ascii="Times New Roman" w:hAnsi="Times New Roman" w:cs="Times New Roman"/>
          <w:sz w:val="22"/>
          <w:szCs w:val="22"/>
          <w:lang w:val="en-GB"/>
        </w:rPr>
        <w:t>broadcasts offer</w:t>
      </w:r>
      <w:r w:rsidR="00D63A8F" w:rsidRPr="00B82CB9">
        <w:rPr>
          <w:rFonts w:ascii="Times New Roman" w:hAnsi="Times New Roman" w:cs="Times New Roman"/>
          <w:sz w:val="22"/>
          <w:szCs w:val="22"/>
          <w:lang w:val="en-GB"/>
        </w:rPr>
        <w:t xml:space="preserve"> possibilities for bringing together communities of practice and law students in Gaza and West Bank.</w:t>
      </w:r>
    </w:p>
    <w:p w:rsidR="00AF4495" w:rsidRPr="00B82CB9" w:rsidRDefault="00AF4495" w:rsidP="00B82CB9">
      <w:pPr>
        <w:pStyle w:val="ListParagraph"/>
        <w:numPr>
          <w:ilvl w:val="0"/>
          <w:numId w:val="162"/>
        </w:numPr>
        <w:spacing w:after="0" w:line="240" w:lineRule="auto"/>
        <w:jc w:val="both"/>
        <w:rPr>
          <w:rFonts w:ascii="Times New Roman" w:hAnsi="Times New Roman" w:cs="Times New Roman"/>
          <w:sz w:val="22"/>
          <w:szCs w:val="22"/>
          <w:lang w:val="en-GB"/>
        </w:rPr>
      </w:pPr>
      <w:r w:rsidRPr="00B82CB9">
        <w:rPr>
          <w:rFonts w:ascii="Times New Roman" w:hAnsi="Times New Roman" w:cs="Times New Roman"/>
          <w:sz w:val="22"/>
          <w:szCs w:val="22"/>
          <w:lang w:val="en-GB"/>
        </w:rPr>
        <w:t>UNDP itself benefits when donors are supplied with detailed information on a timely basis document</w:t>
      </w:r>
      <w:r w:rsidR="008E5A68">
        <w:rPr>
          <w:rFonts w:ascii="Times New Roman" w:hAnsi="Times New Roman" w:cs="Times New Roman"/>
          <w:sz w:val="22"/>
          <w:szCs w:val="22"/>
          <w:lang w:val="en-GB"/>
        </w:rPr>
        <w:t>ing the impact of UNDP outputs.</w:t>
      </w:r>
    </w:p>
    <w:p w:rsidR="00132956" w:rsidRPr="00B82CB9" w:rsidRDefault="00132956" w:rsidP="00FB6759">
      <w:pPr>
        <w:spacing w:after="0" w:line="240" w:lineRule="auto"/>
        <w:rPr>
          <w:rFonts w:ascii="Times New Roman" w:hAnsi="Times New Roman" w:cs="Times New Roman"/>
          <w:sz w:val="22"/>
          <w:szCs w:val="22"/>
          <w:lang w:val="en-GB"/>
        </w:rPr>
      </w:pPr>
    </w:p>
    <w:p w:rsidR="00132956" w:rsidRPr="00647752" w:rsidRDefault="00132956" w:rsidP="00132956">
      <w:pPr>
        <w:spacing w:after="0" w:line="240"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_________</w:t>
      </w:r>
    </w:p>
    <w:p w:rsidR="005173FD" w:rsidRPr="00647752" w:rsidRDefault="005173FD" w:rsidP="00FB6759">
      <w:pPr>
        <w:spacing w:after="0" w:line="240" w:lineRule="auto"/>
        <w:rPr>
          <w:rFonts w:ascii="Times New Roman" w:hAnsi="Times New Roman" w:cs="Times New Roman"/>
          <w:sz w:val="22"/>
          <w:szCs w:val="22"/>
          <w:lang w:val="en-GB"/>
        </w:rPr>
        <w:sectPr w:rsidR="005173FD" w:rsidRPr="00647752" w:rsidSect="00C43941">
          <w:type w:val="continuous"/>
          <w:pgSz w:w="12240" w:h="15840"/>
          <w:pgMar w:top="1440" w:right="1440" w:bottom="1440" w:left="1440" w:header="720" w:footer="720" w:gutter="0"/>
          <w:pgNumType w:start="1"/>
          <w:cols w:space="720"/>
          <w:docGrid w:linePitch="360"/>
        </w:sectPr>
      </w:pPr>
    </w:p>
    <w:p w:rsidR="00FF3870" w:rsidRPr="00132956" w:rsidRDefault="00052AEF" w:rsidP="00132956">
      <w:pPr>
        <w:pStyle w:val="Heading1"/>
        <w:spacing w:after="0" w:line="240" w:lineRule="auto"/>
        <w:rPr>
          <w:rFonts w:ascii="Times New Roman" w:hAnsi="Times New Roman" w:cs="Times New Roman"/>
          <w:sz w:val="22"/>
          <w:szCs w:val="22"/>
          <w:lang w:val="en-GB"/>
        </w:rPr>
      </w:pPr>
      <w:bookmarkStart w:id="31" w:name="_Toc231801816"/>
      <w:r w:rsidRPr="00132956">
        <w:rPr>
          <w:rFonts w:ascii="Times New Roman" w:hAnsi="Times New Roman" w:cs="Times New Roman"/>
          <w:sz w:val="22"/>
          <w:szCs w:val="22"/>
          <w:lang w:val="en-GB"/>
        </w:rPr>
        <w:lastRenderedPageBreak/>
        <w:t>Annex</w:t>
      </w:r>
      <w:r w:rsidR="00664464" w:rsidRPr="00132956">
        <w:rPr>
          <w:rFonts w:ascii="Times New Roman" w:hAnsi="Times New Roman" w:cs="Times New Roman"/>
          <w:sz w:val="22"/>
          <w:szCs w:val="22"/>
          <w:lang w:val="en-GB"/>
        </w:rPr>
        <w:t xml:space="preserve"> A</w:t>
      </w:r>
      <w:r w:rsidR="00D54E31" w:rsidRPr="00132956">
        <w:rPr>
          <w:rFonts w:ascii="Times New Roman" w:hAnsi="Times New Roman" w:cs="Times New Roman"/>
          <w:sz w:val="22"/>
          <w:szCs w:val="22"/>
          <w:lang w:val="en-GB"/>
        </w:rPr>
        <w:t xml:space="preserve">:  </w:t>
      </w:r>
      <w:r w:rsidR="009B25FF" w:rsidRPr="00132956">
        <w:rPr>
          <w:rFonts w:ascii="Times New Roman" w:hAnsi="Times New Roman" w:cs="Times New Roman"/>
          <w:sz w:val="22"/>
          <w:szCs w:val="22"/>
          <w:lang w:val="en-GB"/>
        </w:rPr>
        <w:t>Terms of Reference</w:t>
      </w:r>
      <w:bookmarkEnd w:id="31"/>
    </w:p>
    <w:p w:rsidR="00D54E31" w:rsidRPr="00132956" w:rsidRDefault="00D54E31" w:rsidP="00132956">
      <w:pPr>
        <w:spacing w:after="0" w:line="240" w:lineRule="auto"/>
        <w:jc w:val="both"/>
        <w:rPr>
          <w:rFonts w:ascii="Times New Roman" w:hAnsi="Times New Roman" w:cs="Times New Roman"/>
          <w:b/>
          <w:sz w:val="22"/>
          <w:szCs w:val="22"/>
          <w:lang w:val="en-GB"/>
        </w:rPr>
      </w:pPr>
    </w:p>
    <w:p w:rsidR="001447A9" w:rsidRPr="00132956" w:rsidRDefault="001447A9" w:rsidP="00132956">
      <w:pPr>
        <w:spacing w:after="0" w:line="240" w:lineRule="auto"/>
        <w:contextualSpacing/>
        <w:jc w:val="center"/>
        <w:rPr>
          <w:rFonts w:ascii="Times New Roman" w:hAnsi="Times New Roman" w:cs="Times New Roman"/>
          <w:b/>
          <w:sz w:val="22"/>
          <w:szCs w:val="22"/>
          <w:lang w:val="en-GB"/>
        </w:rPr>
      </w:pPr>
      <w:r w:rsidRPr="00132956">
        <w:rPr>
          <w:rFonts w:ascii="Times New Roman" w:hAnsi="Times New Roman" w:cs="Times New Roman"/>
          <w:b/>
          <w:sz w:val="22"/>
          <w:szCs w:val="22"/>
          <w:lang w:val="en-GB"/>
        </w:rPr>
        <w:t>TERMS OF REFERENCE</w:t>
      </w:r>
    </w:p>
    <w:p w:rsidR="001447A9" w:rsidRPr="00132956" w:rsidRDefault="001447A9" w:rsidP="00132956">
      <w:pPr>
        <w:spacing w:after="0" w:line="240" w:lineRule="auto"/>
        <w:contextualSpacing/>
        <w:jc w:val="both"/>
        <w:rPr>
          <w:rFonts w:ascii="Times New Roman" w:hAnsi="Times New Roman" w:cs="Times New Roman"/>
          <w:sz w:val="22"/>
          <w:szCs w:val="22"/>
          <w:lang w:val="en-GB"/>
        </w:rPr>
      </w:pPr>
    </w:p>
    <w:p w:rsidR="001447A9" w:rsidRPr="00132956" w:rsidRDefault="001447A9" w:rsidP="00132956">
      <w:pPr>
        <w:spacing w:after="0" w:line="240" w:lineRule="auto"/>
        <w:contextualSpacing/>
        <w:jc w:val="both"/>
        <w:rPr>
          <w:rFonts w:ascii="Times New Roman" w:hAnsi="Times New Roman" w:cs="Times New Roman"/>
          <w:sz w:val="22"/>
          <w:szCs w:val="22"/>
          <w:lang w:val="en-GB"/>
        </w:rPr>
      </w:pPr>
      <w:r w:rsidRPr="00132956">
        <w:rPr>
          <w:rFonts w:ascii="Times New Roman" w:hAnsi="Times New Roman" w:cs="Times New Roman"/>
          <w:sz w:val="22"/>
          <w:szCs w:val="22"/>
          <w:lang w:val="en-GB"/>
        </w:rPr>
        <w:t>1)  BACKGROUND AND CONTEXT</w:t>
      </w:r>
    </w:p>
    <w:p w:rsidR="001447A9" w:rsidRPr="00132956" w:rsidRDefault="001447A9" w:rsidP="00132956">
      <w:pPr>
        <w:spacing w:after="0" w:line="240" w:lineRule="auto"/>
        <w:contextualSpacing/>
        <w:jc w:val="both"/>
        <w:rPr>
          <w:rFonts w:ascii="Times New Roman" w:hAnsi="Times New Roman" w:cs="Times New Roman"/>
          <w:sz w:val="22"/>
          <w:szCs w:val="22"/>
          <w:lang w:val="en-GB"/>
        </w:rPr>
      </w:pPr>
    </w:p>
    <w:p w:rsidR="001447A9" w:rsidRPr="00132956" w:rsidRDefault="001447A9" w:rsidP="00132956">
      <w:pPr>
        <w:spacing w:after="0" w:line="240" w:lineRule="auto"/>
        <w:contextualSpacing/>
        <w:jc w:val="both"/>
        <w:rPr>
          <w:rFonts w:ascii="Times New Roman" w:hAnsi="Times New Roman" w:cs="Times New Roman"/>
          <w:sz w:val="22"/>
          <w:szCs w:val="22"/>
          <w:lang w:val="en-GB"/>
        </w:rPr>
      </w:pPr>
      <w:r w:rsidRPr="00132956">
        <w:rPr>
          <w:rFonts w:ascii="Times New Roman" w:hAnsi="Times New Roman" w:cs="Times New Roman"/>
          <w:sz w:val="22"/>
          <w:szCs w:val="22"/>
          <w:lang w:val="en-GB"/>
        </w:rPr>
        <w:t>In 2010, UNDP/</w:t>
      </w:r>
      <w:r w:rsidR="000C369C" w:rsidRPr="00132956">
        <w:rPr>
          <w:rFonts w:ascii="Times New Roman" w:hAnsi="Times New Roman" w:cs="Times New Roman"/>
          <w:sz w:val="22"/>
          <w:szCs w:val="22"/>
          <w:lang w:val="en-GB"/>
        </w:rPr>
        <w:t>PAPP</w:t>
      </w:r>
      <w:r w:rsidRPr="00132956">
        <w:rPr>
          <w:rFonts w:ascii="Times New Roman" w:hAnsi="Times New Roman" w:cs="Times New Roman"/>
          <w:sz w:val="22"/>
          <w:szCs w:val="22"/>
          <w:lang w:val="en-GB"/>
        </w:rPr>
        <w:t xml:space="preserve"> launched a comprehensive Rule of Law &amp; Access to Justice Programme in the occupied Palestinian Territory (oPt) with support from the governments of Canada, Sweden and the Netherlands as well as UNDP’s Bureau for Crisis Prevention and Recovery (BCPR). The three-year programme, which has attracted funding in excess of US$ 20 million, extends support for institutional capacity development to the main Palestinian justice sector institutions and aims to put in place a comprehensive access to justice strategy engaging actors at all levels, including the Palestinian Bar Association, civil society organisations, and academic institutions.</w:t>
      </w:r>
    </w:p>
    <w:p w:rsidR="001447A9" w:rsidRPr="00132956" w:rsidRDefault="001447A9" w:rsidP="00132956">
      <w:pPr>
        <w:spacing w:after="0" w:line="240" w:lineRule="auto"/>
        <w:contextualSpacing/>
        <w:jc w:val="both"/>
        <w:rPr>
          <w:rFonts w:ascii="Times New Roman" w:hAnsi="Times New Roman" w:cs="Times New Roman"/>
          <w:sz w:val="22"/>
          <w:szCs w:val="22"/>
          <w:lang w:val="en-GB"/>
        </w:rPr>
      </w:pPr>
    </w:p>
    <w:p w:rsidR="001447A9" w:rsidRPr="00132956" w:rsidRDefault="001447A9" w:rsidP="00132956">
      <w:pPr>
        <w:spacing w:after="0" w:line="240" w:lineRule="auto"/>
        <w:contextualSpacing/>
        <w:jc w:val="both"/>
        <w:rPr>
          <w:rFonts w:ascii="Times New Roman" w:hAnsi="Times New Roman" w:cs="Times New Roman"/>
          <w:sz w:val="22"/>
          <w:szCs w:val="22"/>
          <w:lang w:val="en-GB"/>
        </w:rPr>
      </w:pPr>
      <w:r w:rsidRPr="00132956">
        <w:rPr>
          <w:rFonts w:ascii="Times New Roman" w:hAnsi="Times New Roman" w:cs="Times New Roman"/>
          <w:sz w:val="22"/>
          <w:szCs w:val="22"/>
          <w:lang w:val="en-GB"/>
        </w:rPr>
        <w:t>In line with the subsequent National Development Plans and National Justice Sector Strategies, the programme has five key outputs:</w:t>
      </w:r>
    </w:p>
    <w:p w:rsidR="001447A9" w:rsidRPr="00132956" w:rsidRDefault="001447A9" w:rsidP="00132956">
      <w:pPr>
        <w:spacing w:after="0" w:line="240" w:lineRule="auto"/>
        <w:contextualSpacing/>
        <w:jc w:val="both"/>
        <w:rPr>
          <w:rFonts w:ascii="Times New Roman" w:hAnsi="Times New Roman" w:cs="Times New Roman"/>
          <w:sz w:val="22"/>
          <w:szCs w:val="22"/>
          <w:lang w:val="en-GB"/>
        </w:rPr>
      </w:pPr>
    </w:p>
    <w:p w:rsidR="001447A9" w:rsidRPr="00132956" w:rsidRDefault="001447A9" w:rsidP="00132956">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sidRPr="00132956">
        <w:rPr>
          <w:rFonts w:ascii="Times New Roman" w:hAnsi="Times New Roman" w:cs="Times New Roman"/>
          <w:sz w:val="22"/>
          <w:szCs w:val="22"/>
          <w:lang w:val="en-GB"/>
        </w:rPr>
        <w:t>Capacity of rule of law institutions strengthened;</w:t>
      </w:r>
    </w:p>
    <w:p w:rsidR="001447A9" w:rsidRPr="00132956" w:rsidRDefault="001447A9" w:rsidP="00132956">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sidRPr="00132956">
        <w:rPr>
          <w:rFonts w:ascii="Times New Roman" w:hAnsi="Times New Roman" w:cs="Times New Roman"/>
          <w:sz w:val="22"/>
          <w:szCs w:val="22"/>
          <w:lang w:val="en-GB"/>
        </w:rPr>
        <w:t>Access to justice at local and grassroots levels enhanced;</w:t>
      </w:r>
    </w:p>
    <w:p w:rsidR="001447A9" w:rsidRPr="00132956" w:rsidRDefault="001447A9" w:rsidP="00132956">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sidRPr="00132956">
        <w:rPr>
          <w:rFonts w:ascii="Times New Roman" w:hAnsi="Times New Roman" w:cs="Times New Roman"/>
          <w:sz w:val="22"/>
          <w:szCs w:val="22"/>
          <w:lang w:val="en-GB"/>
        </w:rPr>
        <w:t>Gender and juvenile justice improved;</w:t>
      </w:r>
    </w:p>
    <w:p w:rsidR="001447A9" w:rsidRPr="00132956" w:rsidRDefault="001447A9" w:rsidP="00132956">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sidRPr="00132956">
        <w:rPr>
          <w:rFonts w:ascii="Times New Roman" w:hAnsi="Times New Roman" w:cs="Times New Roman"/>
          <w:sz w:val="22"/>
          <w:szCs w:val="22"/>
          <w:lang w:val="en-GB"/>
        </w:rPr>
        <w:t xml:space="preserve">Rule of law in the Gaza Strip initiated; and </w:t>
      </w:r>
    </w:p>
    <w:p w:rsidR="001447A9" w:rsidRPr="00132956" w:rsidRDefault="001447A9" w:rsidP="00132956">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sidRPr="00132956">
        <w:rPr>
          <w:rFonts w:ascii="Times New Roman" w:hAnsi="Times New Roman" w:cs="Times New Roman"/>
          <w:sz w:val="22"/>
          <w:szCs w:val="22"/>
          <w:lang w:val="en-GB"/>
        </w:rPr>
        <w:t>Confidence-building amongst stakeholders promoted.</w:t>
      </w:r>
    </w:p>
    <w:p w:rsidR="00664464" w:rsidRPr="00132956" w:rsidRDefault="00664464" w:rsidP="00132956">
      <w:pPr>
        <w:spacing w:after="0" w:line="240" w:lineRule="auto"/>
        <w:contextualSpacing/>
        <w:jc w:val="both"/>
        <w:rPr>
          <w:rFonts w:ascii="Times New Roman" w:hAnsi="Times New Roman" w:cs="Times New Roman"/>
          <w:sz w:val="22"/>
          <w:szCs w:val="22"/>
          <w:lang w:val="en-GB"/>
        </w:rPr>
      </w:pPr>
    </w:p>
    <w:p w:rsidR="001447A9" w:rsidRPr="00132956" w:rsidRDefault="001447A9" w:rsidP="00132956">
      <w:pPr>
        <w:spacing w:after="0" w:line="240" w:lineRule="auto"/>
        <w:contextualSpacing/>
        <w:jc w:val="both"/>
        <w:rPr>
          <w:rFonts w:ascii="Times New Roman" w:hAnsi="Times New Roman" w:cs="Times New Roman"/>
          <w:sz w:val="22"/>
          <w:szCs w:val="22"/>
          <w:lang w:val="en-GB"/>
        </w:rPr>
      </w:pPr>
      <w:r w:rsidRPr="00132956">
        <w:rPr>
          <w:rFonts w:ascii="Times New Roman" w:hAnsi="Times New Roman" w:cs="Times New Roman"/>
          <w:sz w:val="22"/>
          <w:szCs w:val="22"/>
          <w:lang w:val="en-GB"/>
        </w:rPr>
        <w:t>As such, efforts are geared towards strengthening the institutional capacity of the Palestinian Ministry of Justice as well as other justice sector institutions; expanding the scope and breath of existing legal literacy and legal aid programmes; improving gender and juvenile justice conditions; and exploring modalities for engagement with the informal justice system(s) and their linkages with the formal system. Assistance is also being provided to support networks of legal professionals and to enhance public confidence in the justice system.</w:t>
      </w:r>
    </w:p>
    <w:p w:rsidR="001447A9" w:rsidRPr="00132956" w:rsidRDefault="001447A9" w:rsidP="00132956">
      <w:pPr>
        <w:spacing w:after="0" w:line="240" w:lineRule="auto"/>
        <w:contextualSpacing/>
        <w:jc w:val="both"/>
        <w:rPr>
          <w:rFonts w:ascii="Times New Roman" w:hAnsi="Times New Roman" w:cs="Times New Roman"/>
          <w:sz w:val="22"/>
          <w:szCs w:val="22"/>
          <w:lang w:val="en-GB"/>
        </w:rPr>
      </w:pPr>
    </w:p>
    <w:p w:rsidR="001447A9" w:rsidRPr="00132956" w:rsidRDefault="001447A9" w:rsidP="00132956">
      <w:pPr>
        <w:spacing w:after="0" w:line="240" w:lineRule="auto"/>
        <w:contextualSpacing/>
        <w:jc w:val="both"/>
        <w:rPr>
          <w:rFonts w:ascii="Times New Roman" w:hAnsi="Times New Roman" w:cs="Times New Roman"/>
          <w:sz w:val="22"/>
          <w:szCs w:val="22"/>
          <w:lang w:val="en-GB"/>
        </w:rPr>
      </w:pPr>
      <w:r w:rsidRPr="00132956">
        <w:rPr>
          <w:rFonts w:ascii="Times New Roman" w:hAnsi="Times New Roman" w:cs="Times New Roman"/>
          <w:sz w:val="22"/>
          <w:szCs w:val="22"/>
          <w:lang w:val="en-GB"/>
        </w:rPr>
        <w:t>2)</w:t>
      </w:r>
      <w:r w:rsidRPr="00132956">
        <w:rPr>
          <w:rFonts w:ascii="Times New Roman" w:hAnsi="Times New Roman" w:cs="Times New Roman"/>
          <w:sz w:val="22"/>
          <w:szCs w:val="22"/>
          <w:lang w:val="en-GB"/>
        </w:rPr>
        <w:tab/>
        <w:t>EVALUATION PURPOSE</w:t>
      </w:r>
    </w:p>
    <w:p w:rsidR="001447A9" w:rsidRPr="00132956" w:rsidRDefault="001447A9" w:rsidP="00132956">
      <w:pPr>
        <w:spacing w:after="0" w:line="240" w:lineRule="auto"/>
        <w:contextualSpacing/>
        <w:jc w:val="both"/>
        <w:rPr>
          <w:rFonts w:ascii="Times New Roman" w:hAnsi="Times New Roman" w:cs="Times New Roman"/>
          <w:sz w:val="22"/>
          <w:szCs w:val="22"/>
          <w:lang w:val="en-GB"/>
        </w:rPr>
      </w:pPr>
    </w:p>
    <w:p w:rsidR="001447A9" w:rsidRPr="00132956" w:rsidRDefault="001447A9" w:rsidP="00132956">
      <w:pPr>
        <w:spacing w:after="0" w:line="240" w:lineRule="auto"/>
        <w:contextualSpacing/>
        <w:jc w:val="both"/>
        <w:rPr>
          <w:rFonts w:ascii="Times New Roman" w:hAnsi="Times New Roman" w:cs="Times New Roman"/>
          <w:sz w:val="22"/>
          <w:szCs w:val="22"/>
          <w:lang w:val="en-GB"/>
        </w:rPr>
      </w:pPr>
      <w:r w:rsidRPr="00132956">
        <w:rPr>
          <w:rFonts w:ascii="Times New Roman" w:hAnsi="Times New Roman" w:cs="Times New Roman"/>
          <w:sz w:val="22"/>
          <w:szCs w:val="22"/>
          <w:lang w:val="en-GB"/>
        </w:rPr>
        <w:t>As part of a BCPR-led three stage evaluation, UNDP/</w:t>
      </w:r>
      <w:r w:rsidR="000C369C" w:rsidRPr="00132956">
        <w:rPr>
          <w:rFonts w:ascii="Times New Roman" w:hAnsi="Times New Roman" w:cs="Times New Roman"/>
          <w:sz w:val="22"/>
          <w:szCs w:val="22"/>
          <w:lang w:val="en-GB"/>
        </w:rPr>
        <w:t>PAPP</w:t>
      </w:r>
      <w:r w:rsidRPr="00132956">
        <w:rPr>
          <w:rFonts w:ascii="Times New Roman" w:hAnsi="Times New Roman" w:cs="Times New Roman"/>
          <w:sz w:val="22"/>
          <w:szCs w:val="22"/>
          <w:lang w:val="en-GB"/>
        </w:rPr>
        <w:t xml:space="preserve"> intends to commission an independent evaluation to assess the level of progress made towards achieving the outputs and outcomes listed in the Programme Document. In addition, the evaluation is expected to provide concrete recommendations for the second phase of the programme (2013-2016).</w:t>
      </w:r>
    </w:p>
    <w:p w:rsidR="001447A9" w:rsidRPr="00132956" w:rsidRDefault="001447A9" w:rsidP="00132956">
      <w:pPr>
        <w:spacing w:after="0" w:line="240" w:lineRule="auto"/>
        <w:contextualSpacing/>
        <w:jc w:val="both"/>
        <w:rPr>
          <w:rFonts w:ascii="Times New Roman" w:hAnsi="Times New Roman" w:cs="Times New Roman"/>
          <w:sz w:val="22"/>
          <w:szCs w:val="22"/>
          <w:lang w:val="en-GB"/>
        </w:rPr>
      </w:pPr>
    </w:p>
    <w:p w:rsidR="001447A9" w:rsidRPr="00132956" w:rsidRDefault="001447A9" w:rsidP="00132956">
      <w:pPr>
        <w:spacing w:after="0" w:line="240" w:lineRule="auto"/>
        <w:contextualSpacing/>
        <w:jc w:val="both"/>
        <w:rPr>
          <w:rFonts w:ascii="Times New Roman" w:hAnsi="Times New Roman" w:cs="Times New Roman"/>
          <w:sz w:val="22"/>
          <w:szCs w:val="22"/>
          <w:lang w:val="en-GB"/>
        </w:rPr>
      </w:pPr>
      <w:r w:rsidRPr="00132956">
        <w:rPr>
          <w:rFonts w:ascii="Times New Roman" w:hAnsi="Times New Roman" w:cs="Times New Roman"/>
          <w:sz w:val="22"/>
          <w:szCs w:val="22"/>
          <w:lang w:val="en-GB"/>
        </w:rPr>
        <w:t>3)</w:t>
      </w:r>
      <w:r w:rsidRPr="00132956">
        <w:rPr>
          <w:rFonts w:ascii="Times New Roman" w:hAnsi="Times New Roman" w:cs="Times New Roman"/>
          <w:sz w:val="22"/>
          <w:szCs w:val="22"/>
          <w:lang w:val="en-GB"/>
        </w:rPr>
        <w:tab/>
        <w:t>EVALUATION SCOPE AND OBJECTIVES</w:t>
      </w:r>
    </w:p>
    <w:p w:rsidR="001447A9" w:rsidRPr="00132956" w:rsidRDefault="001447A9" w:rsidP="00132956">
      <w:pPr>
        <w:spacing w:after="0" w:line="240" w:lineRule="auto"/>
        <w:contextualSpacing/>
        <w:jc w:val="both"/>
        <w:rPr>
          <w:rFonts w:ascii="Times New Roman" w:hAnsi="Times New Roman" w:cs="Times New Roman"/>
          <w:sz w:val="22"/>
          <w:szCs w:val="22"/>
          <w:lang w:val="en-GB"/>
        </w:rPr>
      </w:pPr>
    </w:p>
    <w:p w:rsidR="001447A9" w:rsidRPr="00132956" w:rsidRDefault="001447A9" w:rsidP="00132956">
      <w:pPr>
        <w:spacing w:after="0" w:line="240" w:lineRule="auto"/>
        <w:contextualSpacing/>
        <w:jc w:val="both"/>
        <w:rPr>
          <w:rFonts w:ascii="Times New Roman" w:hAnsi="Times New Roman" w:cs="Times New Roman"/>
          <w:sz w:val="22"/>
          <w:szCs w:val="22"/>
          <w:lang w:val="en-GB"/>
        </w:rPr>
      </w:pPr>
      <w:r w:rsidRPr="00132956">
        <w:rPr>
          <w:rFonts w:ascii="Times New Roman" w:hAnsi="Times New Roman" w:cs="Times New Roman"/>
          <w:sz w:val="22"/>
          <w:szCs w:val="22"/>
          <w:lang w:val="en-GB"/>
        </w:rPr>
        <w:t>In view of the above, the independent evaluation is expected to:</w:t>
      </w:r>
    </w:p>
    <w:p w:rsidR="001447A9" w:rsidRPr="00132956" w:rsidRDefault="001447A9" w:rsidP="00132956">
      <w:pPr>
        <w:spacing w:after="0" w:line="240" w:lineRule="auto"/>
        <w:contextualSpacing/>
        <w:jc w:val="both"/>
        <w:rPr>
          <w:rFonts w:ascii="Times New Roman" w:hAnsi="Times New Roman" w:cs="Times New Roman"/>
          <w:sz w:val="22"/>
          <w:szCs w:val="22"/>
          <w:lang w:val="en-GB"/>
        </w:rPr>
      </w:pPr>
    </w:p>
    <w:p w:rsidR="001447A9" w:rsidRPr="00132956" w:rsidRDefault="001447A9" w:rsidP="00132956">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sidRPr="00132956">
        <w:rPr>
          <w:rFonts w:ascii="Times New Roman" w:hAnsi="Times New Roman" w:cs="Times New Roman"/>
          <w:sz w:val="22"/>
          <w:szCs w:val="22"/>
          <w:lang w:val="en-GB"/>
        </w:rPr>
        <w:t>Assess the relevance of the programme in the context of the oPt and validate results achieved against the Programme Document and the M&amp;E Plan.</w:t>
      </w:r>
    </w:p>
    <w:p w:rsidR="001447A9" w:rsidRPr="00132956" w:rsidRDefault="001447A9" w:rsidP="00132956">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sidRPr="00132956">
        <w:rPr>
          <w:rFonts w:ascii="Times New Roman" w:hAnsi="Times New Roman" w:cs="Times New Roman"/>
          <w:sz w:val="22"/>
          <w:szCs w:val="22"/>
          <w:lang w:val="en-GB"/>
        </w:rPr>
        <w:t>Provide a comprehensive assessment of the overall impact of the programme, both at the ‘supply’ and the ‘demand’ side of the rule of law equation.</w:t>
      </w:r>
    </w:p>
    <w:p w:rsidR="001447A9" w:rsidRPr="00132956" w:rsidRDefault="001447A9" w:rsidP="00132956">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sidRPr="00132956">
        <w:rPr>
          <w:rFonts w:ascii="Times New Roman" w:hAnsi="Times New Roman" w:cs="Times New Roman"/>
          <w:sz w:val="22"/>
          <w:szCs w:val="22"/>
          <w:lang w:val="en-GB"/>
        </w:rPr>
        <w:t>Appraise UNDP/</w:t>
      </w:r>
      <w:r w:rsidR="000C369C" w:rsidRPr="00132956">
        <w:rPr>
          <w:rFonts w:ascii="Times New Roman" w:hAnsi="Times New Roman" w:cs="Times New Roman"/>
          <w:sz w:val="22"/>
          <w:szCs w:val="22"/>
          <w:lang w:val="en-GB"/>
        </w:rPr>
        <w:t>PAPP</w:t>
      </w:r>
      <w:r w:rsidRPr="00132956">
        <w:rPr>
          <w:rFonts w:ascii="Times New Roman" w:hAnsi="Times New Roman" w:cs="Times New Roman"/>
          <w:sz w:val="22"/>
          <w:szCs w:val="22"/>
          <w:lang w:val="en-GB"/>
        </w:rPr>
        <w:t>’s relations with relevant justice sector actors and stakeholders, including government institutions, professional unions, civil society organisations and academic institutions.</w:t>
      </w:r>
    </w:p>
    <w:p w:rsidR="001447A9" w:rsidRPr="00132956" w:rsidRDefault="001447A9" w:rsidP="00132956">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sidRPr="00132956">
        <w:rPr>
          <w:rFonts w:ascii="Times New Roman" w:hAnsi="Times New Roman" w:cs="Times New Roman"/>
          <w:sz w:val="22"/>
          <w:szCs w:val="22"/>
          <w:lang w:val="en-GB"/>
        </w:rPr>
        <w:t>Assess if and how activities have been carried out in a mutually reinforcing manner, including vis-à-vis other interventions in the Palestinian rule of law sector.</w:t>
      </w:r>
    </w:p>
    <w:p w:rsidR="001447A9" w:rsidRPr="00132956" w:rsidRDefault="001447A9" w:rsidP="00132956">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sidRPr="00132956">
        <w:rPr>
          <w:rFonts w:ascii="Times New Roman" w:hAnsi="Times New Roman" w:cs="Times New Roman"/>
          <w:sz w:val="22"/>
          <w:szCs w:val="22"/>
          <w:lang w:val="en-GB"/>
        </w:rPr>
        <w:t>Appraise the sustainability of the programme, including the institutionalisation of interventions.</w:t>
      </w:r>
    </w:p>
    <w:p w:rsidR="001447A9" w:rsidRPr="00132956" w:rsidRDefault="001447A9" w:rsidP="00132956">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sidRPr="00132956">
        <w:rPr>
          <w:rFonts w:ascii="Times New Roman" w:hAnsi="Times New Roman" w:cs="Times New Roman"/>
          <w:sz w:val="22"/>
          <w:szCs w:val="22"/>
          <w:lang w:val="en-GB"/>
        </w:rPr>
        <w:lastRenderedPageBreak/>
        <w:t>Review the programme’s efforts to mainstream gender and ensure the application of UNDP’s rights-based approach.</w:t>
      </w:r>
    </w:p>
    <w:p w:rsidR="001447A9" w:rsidRPr="00132956" w:rsidRDefault="001447A9" w:rsidP="00132956">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sidRPr="00132956">
        <w:rPr>
          <w:rFonts w:ascii="Times New Roman" w:hAnsi="Times New Roman" w:cs="Times New Roman"/>
          <w:sz w:val="22"/>
          <w:szCs w:val="22"/>
          <w:lang w:val="en-GB"/>
        </w:rPr>
        <w:t>Discuss the main challenges faced by the programme, including the ways in which UNDP/</w:t>
      </w:r>
      <w:r w:rsidR="000C369C" w:rsidRPr="00132956">
        <w:rPr>
          <w:rFonts w:ascii="Times New Roman" w:hAnsi="Times New Roman" w:cs="Times New Roman"/>
          <w:sz w:val="22"/>
          <w:szCs w:val="22"/>
          <w:lang w:val="en-GB"/>
        </w:rPr>
        <w:t>PAPP</w:t>
      </w:r>
      <w:r w:rsidRPr="00132956">
        <w:rPr>
          <w:rFonts w:ascii="Times New Roman" w:hAnsi="Times New Roman" w:cs="Times New Roman"/>
          <w:sz w:val="22"/>
          <w:szCs w:val="22"/>
          <w:lang w:val="en-GB"/>
        </w:rPr>
        <w:t xml:space="preserve"> has sought to overcome them.</w:t>
      </w:r>
    </w:p>
    <w:p w:rsidR="001447A9" w:rsidRPr="00132956" w:rsidRDefault="001447A9" w:rsidP="00132956">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sidRPr="00132956">
        <w:rPr>
          <w:rFonts w:ascii="Times New Roman" w:hAnsi="Times New Roman" w:cs="Times New Roman"/>
          <w:sz w:val="22"/>
          <w:szCs w:val="22"/>
          <w:lang w:val="en-GB"/>
        </w:rPr>
        <w:t>Assess relevance and utilisation of M&amp;E processes.</w:t>
      </w:r>
    </w:p>
    <w:p w:rsidR="001447A9" w:rsidRPr="00132956" w:rsidRDefault="001447A9" w:rsidP="00132956">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sidRPr="00132956">
        <w:rPr>
          <w:rFonts w:ascii="Times New Roman" w:hAnsi="Times New Roman" w:cs="Times New Roman"/>
          <w:sz w:val="22"/>
          <w:szCs w:val="22"/>
          <w:lang w:val="en-GB"/>
        </w:rPr>
        <w:t>Offer a comprehensive risk assessment, including UNDP/</w:t>
      </w:r>
      <w:r w:rsidR="000C369C" w:rsidRPr="00132956">
        <w:rPr>
          <w:rFonts w:ascii="Times New Roman" w:hAnsi="Times New Roman" w:cs="Times New Roman"/>
          <w:sz w:val="22"/>
          <w:szCs w:val="22"/>
          <w:lang w:val="en-GB"/>
        </w:rPr>
        <w:t>PAPP</w:t>
      </w:r>
      <w:r w:rsidRPr="00132956">
        <w:rPr>
          <w:rFonts w:ascii="Times New Roman" w:hAnsi="Times New Roman" w:cs="Times New Roman"/>
          <w:sz w:val="22"/>
          <w:szCs w:val="22"/>
          <w:lang w:val="en-GB"/>
        </w:rPr>
        <w:t>’s ability to manage existing risks effectively and responsibly.</w:t>
      </w:r>
    </w:p>
    <w:p w:rsidR="001447A9" w:rsidRPr="00132956" w:rsidRDefault="001447A9" w:rsidP="00132956">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sidRPr="00132956">
        <w:rPr>
          <w:rFonts w:ascii="Times New Roman" w:hAnsi="Times New Roman" w:cs="Times New Roman"/>
          <w:sz w:val="22"/>
          <w:szCs w:val="22"/>
          <w:lang w:val="en-GB"/>
        </w:rPr>
        <w:t>Capture lessons learned and best practices and provide concrete recommendations for the programme’s second phase.</w:t>
      </w:r>
    </w:p>
    <w:p w:rsidR="00664464" w:rsidRPr="00132956" w:rsidRDefault="00664464" w:rsidP="00132956">
      <w:pPr>
        <w:spacing w:after="0" w:line="240" w:lineRule="auto"/>
        <w:contextualSpacing/>
        <w:jc w:val="both"/>
        <w:rPr>
          <w:rFonts w:ascii="Times New Roman" w:hAnsi="Times New Roman" w:cs="Times New Roman"/>
          <w:sz w:val="22"/>
          <w:szCs w:val="22"/>
          <w:lang w:val="en-GB"/>
        </w:rPr>
      </w:pPr>
    </w:p>
    <w:p w:rsidR="001447A9" w:rsidRPr="00132956" w:rsidRDefault="001447A9" w:rsidP="00132956">
      <w:pPr>
        <w:spacing w:after="0" w:line="240" w:lineRule="auto"/>
        <w:contextualSpacing/>
        <w:jc w:val="both"/>
        <w:rPr>
          <w:rFonts w:ascii="Times New Roman" w:hAnsi="Times New Roman" w:cs="Times New Roman"/>
          <w:sz w:val="22"/>
          <w:szCs w:val="22"/>
          <w:lang w:val="en-GB"/>
        </w:rPr>
      </w:pPr>
      <w:r w:rsidRPr="00132956">
        <w:rPr>
          <w:rFonts w:ascii="Times New Roman" w:hAnsi="Times New Roman" w:cs="Times New Roman"/>
          <w:sz w:val="22"/>
          <w:szCs w:val="22"/>
          <w:lang w:val="en-GB"/>
        </w:rPr>
        <w:t>4)</w:t>
      </w:r>
      <w:r w:rsidRPr="00132956">
        <w:rPr>
          <w:rFonts w:ascii="Times New Roman" w:hAnsi="Times New Roman" w:cs="Times New Roman"/>
          <w:sz w:val="22"/>
          <w:szCs w:val="22"/>
          <w:lang w:val="en-GB"/>
        </w:rPr>
        <w:tab/>
        <w:t>EVALUATION QUESTIONS</w:t>
      </w:r>
    </w:p>
    <w:p w:rsidR="001447A9" w:rsidRPr="00132956" w:rsidRDefault="001447A9" w:rsidP="00132956">
      <w:pPr>
        <w:spacing w:after="0" w:line="240" w:lineRule="auto"/>
        <w:contextualSpacing/>
        <w:jc w:val="both"/>
        <w:rPr>
          <w:rFonts w:ascii="Times New Roman" w:hAnsi="Times New Roman" w:cs="Times New Roman"/>
          <w:sz w:val="22"/>
          <w:szCs w:val="22"/>
          <w:lang w:val="en-GB"/>
        </w:rPr>
      </w:pPr>
    </w:p>
    <w:p w:rsidR="001447A9" w:rsidRPr="00132956" w:rsidRDefault="001447A9" w:rsidP="00132956">
      <w:pPr>
        <w:spacing w:after="0" w:line="240" w:lineRule="auto"/>
        <w:contextualSpacing/>
        <w:jc w:val="both"/>
        <w:rPr>
          <w:rFonts w:ascii="Times New Roman" w:hAnsi="Times New Roman" w:cs="Times New Roman"/>
          <w:sz w:val="22"/>
          <w:szCs w:val="22"/>
          <w:lang w:val="en-GB"/>
        </w:rPr>
      </w:pPr>
      <w:r w:rsidRPr="00132956">
        <w:rPr>
          <w:rFonts w:ascii="Times New Roman" w:hAnsi="Times New Roman" w:cs="Times New Roman"/>
          <w:sz w:val="22"/>
          <w:szCs w:val="22"/>
          <w:lang w:val="en-GB"/>
        </w:rPr>
        <w:t>To define the information that the evaluation intends to generate, the following evaluation questions have been developed and agreed upon:</w:t>
      </w:r>
    </w:p>
    <w:p w:rsidR="001447A9" w:rsidRPr="00132956" w:rsidRDefault="001447A9" w:rsidP="00132956">
      <w:pPr>
        <w:spacing w:after="0" w:line="240" w:lineRule="auto"/>
        <w:contextualSpacing/>
        <w:jc w:val="both"/>
        <w:rPr>
          <w:rFonts w:ascii="Times New Roman" w:hAnsi="Times New Roman" w:cs="Times New Roman"/>
          <w:sz w:val="22"/>
          <w:szCs w:val="22"/>
          <w:lang w:val="en-GB"/>
        </w:rPr>
      </w:pPr>
    </w:p>
    <w:p w:rsidR="001447A9" w:rsidRPr="00132956" w:rsidRDefault="001447A9" w:rsidP="00132956">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sidRPr="00132956">
        <w:rPr>
          <w:rFonts w:ascii="Times New Roman" w:hAnsi="Times New Roman" w:cs="Times New Roman"/>
          <w:sz w:val="22"/>
          <w:szCs w:val="22"/>
          <w:lang w:val="en-GB"/>
        </w:rPr>
        <w:t>What progress towards achieving the outputs and outcomes listed in the Programme Document has been made? Are the outputs and outcomes relevant in the context of the oPt? How does programme implementation align with the original Programme Document?</w:t>
      </w:r>
    </w:p>
    <w:p w:rsidR="001447A9" w:rsidRPr="00132956" w:rsidRDefault="001447A9" w:rsidP="00132956">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sidRPr="00132956">
        <w:rPr>
          <w:rFonts w:ascii="Times New Roman" w:hAnsi="Times New Roman" w:cs="Times New Roman"/>
          <w:sz w:val="22"/>
          <w:szCs w:val="22"/>
          <w:lang w:val="en-GB"/>
        </w:rPr>
        <w:t>What factors have contributed to achieving (or not achieving) the intended outputs and outcomes?</w:t>
      </w:r>
    </w:p>
    <w:p w:rsidR="001447A9" w:rsidRPr="00132956" w:rsidRDefault="001447A9" w:rsidP="00132956">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sidRPr="00132956">
        <w:rPr>
          <w:rFonts w:ascii="Times New Roman" w:hAnsi="Times New Roman" w:cs="Times New Roman"/>
          <w:sz w:val="22"/>
          <w:szCs w:val="22"/>
          <w:lang w:val="en-GB"/>
        </w:rPr>
        <w:t>To what extent has UNDP/</w:t>
      </w:r>
      <w:r w:rsidR="000C369C" w:rsidRPr="00132956">
        <w:rPr>
          <w:rFonts w:ascii="Times New Roman" w:hAnsi="Times New Roman" w:cs="Times New Roman"/>
          <w:sz w:val="22"/>
          <w:szCs w:val="22"/>
          <w:lang w:val="en-GB"/>
        </w:rPr>
        <w:t>PAPP</w:t>
      </w:r>
      <w:r w:rsidRPr="00132956">
        <w:rPr>
          <w:rFonts w:ascii="Times New Roman" w:hAnsi="Times New Roman" w:cs="Times New Roman"/>
          <w:sz w:val="22"/>
          <w:szCs w:val="22"/>
          <w:lang w:val="en-GB"/>
        </w:rPr>
        <w:t xml:space="preserve"> been able to develop strong and enabling partnerships?</w:t>
      </w:r>
    </w:p>
    <w:p w:rsidR="001447A9" w:rsidRPr="00132956" w:rsidRDefault="001447A9" w:rsidP="00132956">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sidRPr="00132956">
        <w:rPr>
          <w:rFonts w:ascii="Times New Roman" w:hAnsi="Times New Roman" w:cs="Times New Roman"/>
          <w:sz w:val="22"/>
          <w:szCs w:val="22"/>
          <w:lang w:val="en-GB"/>
        </w:rPr>
        <w:t>Has the programme managed to adhere to key development principles, including national ownership, and ensure sustainability of results?</w:t>
      </w:r>
    </w:p>
    <w:p w:rsidR="001447A9" w:rsidRPr="00132956" w:rsidRDefault="001447A9" w:rsidP="00132956">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sidRPr="00132956">
        <w:rPr>
          <w:rFonts w:ascii="Times New Roman" w:hAnsi="Times New Roman" w:cs="Times New Roman"/>
          <w:sz w:val="22"/>
          <w:szCs w:val="22"/>
          <w:lang w:val="en-GB"/>
        </w:rPr>
        <w:t>To what extent has the programme managed to promote inclusiveness, gender mainstreaming and women’s empowerment?</w:t>
      </w:r>
    </w:p>
    <w:p w:rsidR="001447A9" w:rsidRPr="00132956" w:rsidRDefault="001447A9" w:rsidP="00132956">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sidRPr="00132956">
        <w:rPr>
          <w:rFonts w:ascii="Times New Roman" w:hAnsi="Times New Roman" w:cs="Times New Roman"/>
          <w:sz w:val="22"/>
          <w:szCs w:val="22"/>
          <w:lang w:val="en-GB"/>
        </w:rPr>
        <w:t>Was the M&amp;E Plan systematically applied and was it appropriate to the programme?</w:t>
      </w:r>
    </w:p>
    <w:p w:rsidR="001447A9" w:rsidRPr="00132956" w:rsidRDefault="001447A9" w:rsidP="00132956">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sidRPr="00132956">
        <w:rPr>
          <w:rFonts w:ascii="Times New Roman" w:hAnsi="Times New Roman" w:cs="Times New Roman"/>
          <w:sz w:val="22"/>
          <w:szCs w:val="22"/>
          <w:lang w:val="en-GB"/>
        </w:rPr>
        <w:t>Has the programme managed risks effectively and responsibly?</w:t>
      </w:r>
    </w:p>
    <w:p w:rsidR="00664464" w:rsidRPr="00132956" w:rsidRDefault="00664464" w:rsidP="00132956">
      <w:pPr>
        <w:spacing w:after="0" w:line="240" w:lineRule="auto"/>
        <w:contextualSpacing/>
        <w:jc w:val="both"/>
        <w:rPr>
          <w:rFonts w:ascii="Times New Roman" w:hAnsi="Times New Roman" w:cs="Times New Roman"/>
          <w:sz w:val="22"/>
          <w:szCs w:val="22"/>
          <w:lang w:val="en-GB"/>
        </w:rPr>
      </w:pPr>
    </w:p>
    <w:p w:rsidR="001447A9" w:rsidRPr="00132956" w:rsidRDefault="001447A9" w:rsidP="00132956">
      <w:pPr>
        <w:spacing w:after="0" w:line="240" w:lineRule="auto"/>
        <w:contextualSpacing/>
        <w:jc w:val="both"/>
        <w:rPr>
          <w:rFonts w:ascii="Times New Roman" w:hAnsi="Times New Roman" w:cs="Times New Roman"/>
          <w:sz w:val="22"/>
          <w:szCs w:val="22"/>
          <w:lang w:val="en-GB"/>
        </w:rPr>
      </w:pPr>
      <w:r w:rsidRPr="00132956">
        <w:rPr>
          <w:rFonts w:ascii="Times New Roman" w:hAnsi="Times New Roman" w:cs="Times New Roman"/>
          <w:sz w:val="22"/>
          <w:szCs w:val="22"/>
          <w:lang w:val="en-GB"/>
        </w:rPr>
        <w:t>5)</w:t>
      </w:r>
      <w:r w:rsidRPr="00132956">
        <w:rPr>
          <w:rFonts w:ascii="Times New Roman" w:hAnsi="Times New Roman" w:cs="Times New Roman"/>
          <w:sz w:val="22"/>
          <w:szCs w:val="22"/>
          <w:lang w:val="en-GB"/>
        </w:rPr>
        <w:tab/>
        <w:t>METHODOLOGY</w:t>
      </w:r>
    </w:p>
    <w:p w:rsidR="001447A9" w:rsidRPr="00132956" w:rsidRDefault="001447A9" w:rsidP="00132956">
      <w:pPr>
        <w:spacing w:after="0" w:line="240" w:lineRule="auto"/>
        <w:contextualSpacing/>
        <w:jc w:val="both"/>
        <w:rPr>
          <w:rFonts w:ascii="Times New Roman" w:hAnsi="Times New Roman" w:cs="Times New Roman"/>
          <w:sz w:val="22"/>
          <w:szCs w:val="22"/>
          <w:lang w:val="en-GB"/>
        </w:rPr>
      </w:pPr>
    </w:p>
    <w:p w:rsidR="001447A9" w:rsidRPr="00132956" w:rsidRDefault="001447A9" w:rsidP="00132956">
      <w:pPr>
        <w:spacing w:after="0" w:line="240" w:lineRule="auto"/>
        <w:contextualSpacing/>
        <w:jc w:val="both"/>
        <w:rPr>
          <w:rFonts w:ascii="Times New Roman" w:hAnsi="Times New Roman" w:cs="Times New Roman"/>
          <w:sz w:val="22"/>
          <w:szCs w:val="22"/>
          <w:lang w:val="en-GB"/>
        </w:rPr>
      </w:pPr>
      <w:r w:rsidRPr="00132956">
        <w:rPr>
          <w:rFonts w:ascii="Times New Roman" w:hAnsi="Times New Roman" w:cs="Times New Roman"/>
          <w:sz w:val="22"/>
          <w:szCs w:val="22"/>
          <w:lang w:val="en-GB"/>
        </w:rPr>
        <w:t xml:space="preserve">In line with UNDP’s M&amp;E guidelines, the incumbent is expected to: </w:t>
      </w:r>
    </w:p>
    <w:p w:rsidR="001447A9" w:rsidRPr="00132956" w:rsidRDefault="001447A9" w:rsidP="00132956">
      <w:pPr>
        <w:spacing w:after="0" w:line="240" w:lineRule="auto"/>
        <w:contextualSpacing/>
        <w:jc w:val="both"/>
        <w:rPr>
          <w:rFonts w:ascii="Times New Roman" w:hAnsi="Times New Roman" w:cs="Times New Roman"/>
          <w:sz w:val="22"/>
          <w:szCs w:val="22"/>
          <w:lang w:val="en-GB"/>
        </w:rPr>
      </w:pPr>
    </w:p>
    <w:p w:rsidR="001447A9" w:rsidRPr="00132956" w:rsidRDefault="001447A9" w:rsidP="00132956">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sidRPr="00132956">
        <w:rPr>
          <w:rFonts w:ascii="Times New Roman" w:hAnsi="Times New Roman" w:cs="Times New Roman"/>
          <w:sz w:val="22"/>
          <w:szCs w:val="22"/>
          <w:lang w:val="en-GB"/>
        </w:rPr>
        <w:t>Review all documentation related to the programme, including the Programme Document, annual work plans, progress reports, agreements, proposals, concept notes, previous evaluations and knowledge products (1 week).</w:t>
      </w:r>
    </w:p>
    <w:p w:rsidR="001447A9" w:rsidRPr="00132956" w:rsidRDefault="001447A9" w:rsidP="00132956">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sidRPr="00132956">
        <w:rPr>
          <w:rFonts w:ascii="Times New Roman" w:hAnsi="Times New Roman" w:cs="Times New Roman"/>
          <w:sz w:val="22"/>
          <w:szCs w:val="22"/>
          <w:lang w:val="en-GB"/>
        </w:rPr>
        <w:t>Collate all necessary data, including from sources other than UNDP/</w:t>
      </w:r>
      <w:r w:rsidR="000C369C" w:rsidRPr="00132956">
        <w:rPr>
          <w:rFonts w:ascii="Times New Roman" w:hAnsi="Times New Roman" w:cs="Times New Roman"/>
          <w:sz w:val="22"/>
          <w:szCs w:val="22"/>
          <w:lang w:val="en-GB"/>
        </w:rPr>
        <w:t>PAPP</w:t>
      </w:r>
      <w:r w:rsidRPr="00132956">
        <w:rPr>
          <w:rFonts w:ascii="Times New Roman" w:hAnsi="Times New Roman" w:cs="Times New Roman"/>
          <w:sz w:val="22"/>
          <w:szCs w:val="22"/>
          <w:lang w:val="en-GB"/>
        </w:rPr>
        <w:t xml:space="preserve"> (1 week).</w:t>
      </w:r>
    </w:p>
    <w:p w:rsidR="001447A9" w:rsidRPr="00132956" w:rsidRDefault="001447A9" w:rsidP="00132956">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sidRPr="00132956">
        <w:rPr>
          <w:rFonts w:ascii="Times New Roman" w:hAnsi="Times New Roman" w:cs="Times New Roman"/>
          <w:sz w:val="22"/>
          <w:szCs w:val="22"/>
          <w:lang w:val="en-GB"/>
        </w:rPr>
        <w:t>Interview key actors and stakeholders, including UNDP/</w:t>
      </w:r>
      <w:r w:rsidR="000C369C" w:rsidRPr="00132956">
        <w:rPr>
          <w:rFonts w:ascii="Times New Roman" w:hAnsi="Times New Roman" w:cs="Times New Roman"/>
          <w:sz w:val="22"/>
          <w:szCs w:val="22"/>
          <w:lang w:val="en-GB"/>
        </w:rPr>
        <w:t>PAPP</w:t>
      </w:r>
      <w:r w:rsidRPr="00132956">
        <w:rPr>
          <w:rFonts w:ascii="Times New Roman" w:hAnsi="Times New Roman" w:cs="Times New Roman"/>
          <w:sz w:val="22"/>
          <w:szCs w:val="22"/>
          <w:lang w:val="en-GB"/>
        </w:rPr>
        <w:t xml:space="preserve"> colleagues, relevant government institutions, civil society organisations, academic institutions, beneficiaries, international development agencies, donors/development partners and UN agencies (4 weeks).</w:t>
      </w:r>
    </w:p>
    <w:p w:rsidR="001447A9" w:rsidRPr="00132956" w:rsidRDefault="001447A9" w:rsidP="00132956">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sidRPr="00132956">
        <w:rPr>
          <w:rFonts w:ascii="Times New Roman" w:hAnsi="Times New Roman" w:cs="Times New Roman"/>
          <w:sz w:val="22"/>
          <w:szCs w:val="22"/>
          <w:lang w:val="en-GB"/>
        </w:rPr>
        <w:t>Draft a comprehensive evaluation report in English (2 weeks).</w:t>
      </w:r>
    </w:p>
    <w:p w:rsidR="00664464" w:rsidRPr="00132956" w:rsidRDefault="00664464" w:rsidP="00132956">
      <w:pPr>
        <w:spacing w:after="0" w:line="240" w:lineRule="auto"/>
        <w:contextualSpacing/>
        <w:jc w:val="both"/>
        <w:rPr>
          <w:rFonts w:ascii="Times New Roman" w:hAnsi="Times New Roman" w:cs="Times New Roman"/>
          <w:sz w:val="22"/>
          <w:szCs w:val="22"/>
          <w:lang w:val="en-GB"/>
        </w:rPr>
      </w:pPr>
    </w:p>
    <w:p w:rsidR="001447A9" w:rsidRPr="00132956" w:rsidRDefault="001447A9" w:rsidP="00132956">
      <w:pPr>
        <w:spacing w:after="0" w:line="240" w:lineRule="auto"/>
        <w:contextualSpacing/>
        <w:jc w:val="both"/>
        <w:rPr>
          <w:rFonts w:ascii="Times New Roman" w:hAnsi="Times New Roman" w:cs="Times New Roman"/>
          <w:sz w:val="22"/>
          <w:szCs w:val="22"/>
          <w:lang w:val="en-GB"/>
        </w:rPr>
      </w:pPr>
      <w:r w:rsidRPr="00132956">
        <w:rPr>
          <w:rFonts w:ascii="Times New Roman" w:hAnsi="Times New Roman" w:cs="Times New Roman"/>
          <w:sz w:val="22"/>
          <w:szCs w:val="22"/>
          <w:lang w:val="en-GB"/>
        </w:rPr>
        <w:t>6)</w:t>
      </w:r>
      <w:r w:rsidRPr="00132956">
        <w:rPr>
          <w:rFonts w:ascii="Times New Roman" w:hAnsi="Times New Roman" w:cs="Times New Roman"/>
          <w:sz w:val="22"/>
          <w:szCs w:val="22"/>
          <w:lang w:val="en-GB"/>
        </w:rPr>
        <w:tab/>
        <w:t>DELIVERABLES</w:t>
      </w:r>
    </w:p>
    <w:p w:rsidR="001447A9" w:rsidRPr="00132956" w:rsidRDefault="001447A9" w:rsidP="00132956">
      <w:pPr>
        <w:spacing w:after="0" w:line="240" w:lineRule="auto"/>
        <w:contextualSpacing/>
        <w:jc w:val="both"/>
        <w:rPr>
          <w:rFonts w:ascii="Times New Roman" w:hAnsi="Times New Roman" w:cs="Times New Roman"/>
          <w:sz w:val="22"/>
          <w:szCs w:val="22"/>
          <w:lang w:val="en-GB"/>
        </w:rPr>
      </w:pPr>
    </w:p>
    <w:p w:rsidR="001447A9" w:rsidRPr="00132956" w:rsidRDefault="001447A9" w:rsidP="00132956">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sidRPr="00132956">
        <w:rPr>
          <w:rFonts w:ascii="Times New Roman" w:hAnsi="Times New Roman" w:cs="Times New Roman"/>
          <w:sz w:val="22"/>
          <w:szCs w:val="22"/>
          <w:lang w:val="en-GB"/>
        </w:rPr>
        <w:t xml:space="preserve">An evaluation inception report, </w:t>
      </w:r>
      <w:r w:rsidR="00EE1557" w:rsidRPr="00132956">
        <w:rPr>
          <w:rFonts w:ascii="Times New Roman" w:hAnsi="Times New Roman" w:cs="Times New Roman"/>
          <w:sz w:val="22"/>
          <w:szCs w:val="22"/>
          <w:lang w:val="en-GB"/>
        </w:rPr>
        <w:t>tota</w:t>
      </w:r>
      <w:r w:rsidR="00132956" w:rsidRPr="00132956">
        <w:rPr>
          <w:rFonts w:ascii="Times New Roman" w:hAnsi="Times New Roman" w:cs="Times New Roman"/>
          <w:sz w:val="22"/>
          <w:szCs w:val="22"/>
          <w:lang w:val="en-GB"/>
        </w:rPr>
        <w:t>l</w:t>
      </w:r>
      <w:r w:rsidR="00EE1557" w:rsidRPr="00132956">
        <w:rPr>
          <w:rFonts w:ascii="Times New Roman" w:hAnsi="Times New Roman" w:cs="Times New Roman"/>
          <w:sz w:val="22"/>
          <w:szCs w:val="22"/>
          <w:lang w:val="en-GB"/>
        </w:rPr>
        <w:t>ling</w:t>
      </w:r>
      <w:r w:rsidRPr="00132956">
        <w:rPr>
          <w:rFonts w:ascii="Times New Roman" w:hAnsi="Times New Roman" w:cs="Times New Roman"/>
          <w:sz w:val="22"/>
          <w:szCs w:val="22"/>
          <w:lang w:val="en-GB"/>
        </w:rPr>
        <w:t xml:space="preserve"> 10 pages plus annexes, which outlines the methodology as well as proposed schedule of tasks and activities.</w:t>
      </w:r>
    </w:p>
    <w:p w:rsidR="001447A9" w:rsidRDefault="001447A9" w:rsidP="00132956">
      <w:pPr>
        <w:pStyle w:val="ListParagraph"/>
        <w:numPr>
          <w:ilvl w:val="0"/>
          <w:numId w:val="2"/>
        </w:numPr>
        <w:spacing w:after="0" w:line="240" w:lineRule="auto"/>
        <w:ind w:left="720" w:hanging="360"/>
        <w:contextualSpacing/>
        <w:jc w:val="both"/>
        <w:rPr>
          <w:rFonts w:ascii="Times New Roman" w:hAnsi="Times New Roman" w:cs="Times New Roman"/>
          <w:sz w:val="22"/>
          <w:szCs w:val="22"/>
          <w:lang w:val="en-GB"/>
        </w:rPr>
      </w:pPr>
      <w:r w:rsidRPr="00132956">
        <w:rPr>
          <w:rFonts w:ascii="Times New Roman" w:hAnsi="Times New Roman" w:cs="Times New Roman"/>
          <w:sz w:val="22"/>
          <w:szCs w:val="22"/>
          <w:lang w:val="en-GB"/>
        </w:rPr>
        <w:t xml:space="preserve">An evaluation report, </w:t>
      </w:r>
      <w:r w:rsidR="00EE1557" w:rsidRPr="00132956">
        <w:rPr>
          <w:rFonts w:ascii="Times New Roman" w:hAnsi="Times New Roman" w:cs="Times New Roman"/>
          <w:sz w:val="22"/>
          <w:szCs w:val="22"/>
          <w:lang w:val="en-GB"/>
        </w:rPr>
        <w:t>total</w:t>
      </w:r>
      <w:r w:rsidR="00132956" w:rsidRPr="00132956">
        <w:rPr>
          <w:rFonts w:ascii="Times New Roman" w:hAnsi="Times New Roman" w:cs="Times New Roman"/>
          <w:sz w:val="22"/>
          <w:szCs w:val="22"/>
          <w:lang w:val="en-GB"/>
        </w:rPr>
        <w:t>l</w:t>
      </w:r>
      <w:r w:rsidR="00EE1557" w:rsidRPr="00132956">
        <w:rPr>
          <w:rFonts w:ascii="Times New Roman" w:hAnsi="Times New Roman" w:cs="Times New Roman"/>
          <w:sz w:val="22"/>
          <w:szCs w:val="22"/>
          <w:lang w:val="en-GB"/>
        </w:rPr>
        <w:t>ing</w:t>
      </w:r>
      <w:r w:rsidRPr="00132956">
        <w:rPr>
          <w:rFonts w:ascii="Times New Roman" w:hAnsi="Times New Roman" w:cs="Times New Roman"/>
          <w:sz w:val="22"/>
          <w:szCs w:val="22"/>
          <w:lang w:val="en-GB"/>
        </w:rPr>
        <w:t xml:space="preserve"> 30 pages plus annexes, with an executive summary of not more than 5 pages describing key findings and recommendations. The incumbent will be expected to present the (draft) review during a number of stakeholder meetings.</w:t>
      </w:r>
    </w:p>
    <w:p w:rsidR="00132956" w:rsidRDefault="00132956" w:rsidP="00132956">
      <w:pPr>
        <w:spacing w:after="0" w:line="240" w:lineRule="auto"/>
        <w:contextualSpacing/>
        <w:jc w:val="both"/>
        <w:rPr>
          <w:rFonts w:ascii="Times New Roman" w:hAnsi="Times New Roman" w:cs="Times New Roman"/>
          <w:sz w:val="22"/>
          <w:szCs w:val="22"/>
          <w:lang w:val="en-GB"/>
        </w:rPr>
      </w:pPr>
    </w:p>
    <w:p w:rsidR="00132956" w:rsidRPr="00132956" w:rsidRDefault="00132956" w:rsidP="00132956">
      <w:pPr>
        <w:spacing w:after="0" w:line="240" w:lineRule="auto"/>
        <w:contextualSpacing/>
        <w:jc w:val="center"/>
        <w:rPr>
          <w:rFonts w:ascii="Times New Roman" w:hAnsi="Times New Roman" w:cs="Times New Roman"/>
          <w:sz w:val="22"/>
          <w:szCs w:val="22"/>
          <w:lang w:val="en-GB"/>
        </w:rPr>
      </w:pPr>
      <w:r>
        <w:rPr>
          <w:rFonts w:ascii="Times New Roman" w:hAnsi="Times New Roman" w:cs="Times New Roman"/>
          <w:sz w:val="22"/>
          <w:szCs w:val="22"/>
          <w:lang w:val="en-GB"/>
        </w:rPr>
        <w:t>_________</w:t>
      </w:r>
    </w:p>
    <w:p w:rsidR="00132956" w:rsidRPr="00132956" w:rsidRDefault="00132956" w:rsidP="00132956">
      <w:pPr>
        <w:spacing w:after="0" w:line="240" w:lineRule="auto"/>
        <w:contextualSpacing/>
        <w:jc w:val="both"/>
        <w:rPr>
          <w:rFonts w:ascii="Times New Roman" w:hAnsi="Times New Roman" w:cs="Times New Roman"/>
          <w:sz w:val="22"/>
          <w:szCs w:val="22"/>
          <w:lang w:val="en-GB"/>
        </w:rPr>
      </w:pPr>
    </w:p>
    <w:p w:rsidR="009B25FF" w:rsidRDefault="009B25FF" w:rsidP="00132956">
      <w:pPr>
        <w:spacing w:after="0" w:line="240" w:lineRule="auto"/>
        <w:jc w:val="both"/>
        <w:rPr>
          <w:rFonts w:ascii="Times New Roman" w:hAnsi="Times New Roman" w:cs="Times New Roman"/>
          <w:sz w:val="22"/>
          <w:szCs w:val="22"/>
          <w:lang w:val="en-GB"/>
        </w:rPr>
      </w:pPr>
    </w:p>
    <w:p w:rsidR="00132956" w:rsidRPr="00132956" w:rsidRDefault="00132956" w:rsidP="00132956">
      <w:pPr>
        <w:spacing w:after="0" w:line="240" w:lineRule="auto"/>
        <w:rPr>
          <w:rFonts w:ascii="Times New Roman" w:hAnsi="Times New Roman" w:cs="Times New Roman"/>
          <w:sz w:val="22"/>
          <w:szCs w:val="22"/>
          <w:lang w:val="en-GB"/>
        </w:rPr>
        <w:sectPr w:rsidR="00132956" w:rsidRPr="00132956" w:rsidSect="00F5671D">
          <w:headerReference w:type="even" r:id="rId20"/>
          <w:headerReference w:type="default" r:id="rId21"/>
          <w:footerReference w:type="default" r:id="rId22"/>
          <w:headerReference w:type="first" r:id="rId23"/>
          <w:pgSz w:w="12240" w:h="15840"/>
          <w:pgMar w:top="1440" w:right="1440" w:bottom="1440" w:left="1440" w:header="720" w:footer="720" w:gutter="0"/>
          <w:cols w:space="720"/>
          <w:docGrid w:linePitch="360"/>
        </w:sectPr>
      </w:pPr>
    </w:p>
    <w:p w:rsidR="00D041E8" w:rsidRPr="00132956" w:rsidRDefault="00052AEF" w:rsidP="00132956">
      <w:pPr>
        <w:pStyle w:val="Heading1"/>
        <w:spacing w:after="0" w:line="240" w:lineRule="auto"/>
        <w:rPr>
          <w:rFonts w:ascii="Times New Roman" w:hAnsi="Times New Roman" w:cs="Times New Roman"/>
          <w:sz w:val="22"/>
          <w:szCs w:val="22"/>
          <w:lang w:val="en-GB"/>
        </w:rPr>
      </w:pPr>
      <w:bookmarkStart w:id="32" w:name="_Toc231801817"/>
      <w:r w:rsidRPr="00132956">
        <w:rPr>
          <w:rFonts w:ascii="Times New Roman" w:hAnsi="Times New Roman" w:cs="Times New Roman"/>
          <w:sz w:val="22"/>
          <w:szCs w:val="22"/>
          <w:lang w:val="en-GB"/>
        </w:rPr>
        <w:lastRenderedPageBreak/>
        <w:t>Annex</w:t>
      </w:r>
      <w:r w:rsidR="00132956" w:rsidRPr="00132956">
        <w:rPr>
          <w:rFonts w:ascii="Times New Roman" w:hAnsi="Times New Roman" w:cs="Times New Roman"/>
          <w:sz w:val="22"/>
          <w:szCs w:val="22"/>
          <w:lang w:val="en-GB"/>
        </w:rPr>
        <w:t xml:space="preserve"> B</w:t>
      </w:r>
      <w:r w:rsidR="00132956">
        <w:rPr>
          <w:rFonts w:ascii="Times New Roman" w:hAnsi="Times New Roman" w:cs="Times New Roman"/>
          <w:sz w:val="22"/>
          <w:szCs w:val="22"/>
          <w:lang w:val="en-GB"/>
        </w:rPr>
        <w:t xml:space="preserve">: </w:t>
      </w:r>
      <w:r w:rsidR="00D041E8" w:rsidRPr="00132956">
        <w:rPr>
          <w:rFonts w:ascii="Times New Roman" w:hAnsi="Times New Roman" w:cs="Times New Roman"/>
          <w:sz w:val="22"/>
          <w:szCs w:val="22"/>
          <w:lang w:val="en-GB"/>
        </w:rPr>
        <w:t>Documents Reviewed</w:t>
      </w:r>
      <w:bookmarkEnd w:id="32"/>
    </w:p>
    <w:p w:rsidR="00B165C4" w:rsidRPr="00132956" w:rsidRDefault="00B165C4" w:rsidP="00132956">
      <w:pPr>
        <w:spacing w:after="0" w:line="240" w:lineRule="auto"/>
        <w:rPr>
          <w:rFonts w:ascii="Times New Roman" w:hAnsi="Times New Roman" w:cs="Times New Roman"/>
          <w:sz w:val="22"/>
          <w:szCs w:val="22"/>
          <w:lang w:val="en-GB"/>
        </w:rPr>
      </w:pPr>
    </w:p>
    <w:tbl>
      <w:tblPr>
        <w:tblW w:w="15321" w:type="dxa"/>
        <w:tblLayout w:type="fixed"/>
        <w:tblCellMar>
          <w:left w:w="29" w:type="dxa"/>
          <w:right w:w="0" w:type="dxa"/>
        </w:tblCellMar>
        <w:tblLook w:val="0400"/>
      </w:tblPr>
      <w:tblGrid>
        <w:gridCol w:w="3060"/>
        <w:gridCol w:w="12261"/>
      </w:tblGrid>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r w:rsidRPr="00132956">
              <w:rPr>
                <w:rFonts w:ascii="Times New Roman" w:eastAsia="Times New Roman" w:hAnsi="Times New Roman" w:cs="Times New Roman"/>
                <w:b/>
                <w:bCs/>
                <w:sz w:val="22"/>
                <w:szCs w:val="22"/>
                <w:lang w:val="en-GB"/>
              </w:rPr>
              <w:t>Programme Documents</w:t>
            </w: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UNDP Rule of Law &amp; Access to Justice Programme in the oPt</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UNDP-EUPOL COPPS Joint Programme</w:t>
            </w:r>
          </w:p>
          <w:p w:rsidR="00B165C4" w:rsidRPr="00132956" w:rsidRDefault="00B165C4" w:rsidP="00132956">
            <w:pPr>
              <w:spacing w:after="0" w:line="240" w:lineRule="auto"/>
              <w:rPr>
                <w:rFonts w:ascii="Times New Roman" w:eastAsia="Times New Roman" w:hAnsi="Times New Roman" w:cs="Times New Roman"/>
                <w:sz w:val="22"/>
                <w:szCs w:val="22"/>
                <w:lang w:val="en-GB"/>
              </w:rPr>
            </w:pPr>
          </w:p>
        </w:tc>
      </w:tr>
      <w:tr w:rsidR="00B165C4" w:rsidRPr="00132956">
        <w:trPr>
          <w:trHeight w:val="255"/>
        </w:trPr>
        <w:tc>
          <w:tcPr>
            <w:tcW w:w="3060" w:type="dxa"/>
            <w:tcBorders>
              <w:top w:val="nil"/>
              <w:left w:val="nil"/>
              <w:bottom w:val="nil"/>
              <w:right w:val="nil"/>
            </w:tcBorders>
            <w:shd w:val="clear" w:color="auto" w:fill="auto"/>
            <w:vAlign w:val="bottom"/>
          </w:tcPr>
          <w:p w:rsidR="00132956" w:rsidRPr="00132956" w:rsidRDefault="00132956" w:rsidP="00132956">
            <w:pPr>
              <w:spacing w:after="0" w:line="240" w:lineRule="auto"/>
              <w:rPr>
                <w:rFonts w:ascii="Times New Roman" w:eastAsia="Times New Roman" w:hAnsi="Times New Roman" w:cs="Times New Roman"/>
                <w:b/>
                <w:bCs/>
                <w:sz w:val="22"/>
                <w:szCs w:val="22"/>
                <w:lang w:val="en-GB"/>
              </w:rPr>
            </w:pPr>
            <w:r w:rsidRPr="00132956">
              <w:rPr>
                <w:rFonts w:ascii="Times New Roman" w:eastAsia="Times New Roman" w:hAnsi="Times New Roman" w:cs="Times New Roman"/>
                <w:b/>
                <w:bCs/>
                <w:sz w:val="22"/>
                <w:szCs w:val="22"/>
                <w:lang w:val="en-GB"/>
              </w:rPr>
              <w:t>Donor Agreements</w:t>
            </w:r>
          </w:p>
          <w:p w:rsidR="00132956" w:rsidRPr="00132956" w:rsidRDefault="00132956" w:rsidP="00132956">
            <w:pPr>
              <w:spacing w:after="0" w:line="240" w:lineRule="auto"/>
              <w:rPr>
                <w:rFonts w:ascii="Times New Roman" w:eastAsia="Times New Roman" w:hAnsi="Times New Roman" w:cs="Times New Roman"/>
                <w:b/>
                <w:bCs/>
                <w:sz w:val="22"/>
                <w:szCs w:val="22"/>
                <w:lang w:val="en-GB"/>
              </w:rPr>
            </w:pPr>
          </w:p>
          <w:p w:rsidR="00B165C4" w:rsidRPr="00132956" w:rsidRDefault="00B165C4" w:rsidP="00132956">
            <w:pPr>
              <w:spacing w:after="0" w:line="240" w:lineRule="auto"/>
              <w:rPr>
                <w:rFonts w:ascii="Times New Roman" w:eastAsia="Times New Roman" w:hAnsi="Times New Roman" w:cs="Times New Roman"/>
                <w:b/>
                <w:bCs/>
                <w:sz w:val="22"/>
                <w:szCs w:val="22"/>
                <w:lang w:val="en-GB"/>
              </w:rPr>
            </w:pPr>
            <w:r w:rsidRPr="00132956">
              <w:rPr>
                <w:rFonts w:ascii="Times New Roman" w:eastAsia="Times New Roman" w:hAnsi="Times New Roman" w:cs="Times New Roman"/>
                <w:b/>
                <w:bCs/>
                <w:sz w:val="22"/>
                <w:szCs w:val="22"/>
                <w:lang w:val="en-GB"/>
              </w:rPr>
              <w:t>Sida/Sweden</w:t>
            </w:r>
          </w:p>
        </w:tc>
        <w:tc>
          <w:tcPr>
            <w:tcW w:w="12261" w:type="dxa"/>
            <w:tcBorders>
              <w:top w:val="nil"/>
              <w:left w:val="nil"/>
              <w:bottom w:val="nil"/>
              <w:right w:val="nil"/>
            </w:tcBorders>
            <w:shd w:val="clear" w:color="auto" w:fill="auto"/>
            <w:vAlign w:val="bottom"/>
          </w:tcPr>
          <w:p w:rsidR="00B165C4" w:rsidRPr="00132956" w:rsidRDefault="00132956"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Agreement Sida/</w:t>
            </w:r>
            <w:r w:rsidR="00B165C4" w:rsidRPr="00132956">
              <w:rPr>
                <w:rFonts w:ascii="Times New Roman" w:eastAsia="Times New Roman" w:hAnsi="Times New Roman" w:cs="Times New Roman"/>
                <w:sz w:val="22"/>
                <w:szCs w:val="22"/>
                <w:lang w:val="en-GB"/>
              </w:rPr>
              <w:t>Sweden (10 June 2009)</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vAlign w:val="bottom"/>
          </w:tcPr>
          <w:p w:rsidR="009B510E" w:rsidRPr="00132956" w:rsidRDefault="00132956"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Amendment to Agreement Sida/</w:t>
            </w:r>
            <w:r w:rsidR="00B165C4" w:rsidRPr="00132956">
              <w:rPr>
                <w:rFonts w:ascii="Times New Roman" w:eastAsia="Times New Roman" w:hAnsi="Times New Roman" w:cs="Times New Roman"/>
                <w:sz w:val="22"/>
                <w:szCs w:val="22"/>
                <w:lang w:val="en-GB"/>
              </w:rPr>
              <w:t>Sweden (26 June 2012)</w:t>
            </w:r>
          </w:p>
          <w:p w:rsidR="00B165C4" w:rsidRPr="00132956" w:rsidRDefault="00B165C4" w:rsidP="00132956">
            <w:pPr>
              <w:spacing w:after="0" w:line="240" w:lineRule="auto"/>
              <w:rPr>
                <w:rFonts w:ascii="Times New Roman" w:eastAsia="Times New Roman" w:hAnsi="Times New Roman" w:cs="Times New Roman"/>
                <w:sz w:val="22"/>
                <w:szCs w:val="22"/>
                <w:lang w:val="en-GB"/>
              </w:rPr>
            </w:pP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r w:rsidRPr="00132956">
              <w:rPr>
                <w:rFonts w:ascii="Times New Roman" w:eastAsia="Times New Roman" w:hAnsi="Times New Roman" w:cs="Times New Roman"/>
                <w:b/>
                <w:bCs/>
                <w:sz w:val="22"/>
                <w:szCs w:val="22"/>
                <w:lang w:val="en-GB"/>
              </w:rPr>
              <w:t>CIDA/Canada</w:t>
            </w:r>
          </w:p>
        </w:tc>
        <w:tc>
          <w:tcPr>
            <w:tcW w:w="12261" w:type="dxa"/>
            <w:tcBorders>
              <w:top w:val="nil"/>
              <w:left w:val="nil"/>
              <w:bottom w:val="nil"/>
              <w:right w:val="nil"/>
            </w:tcBorders>
            <w:shd w:val="clear" w:color="auto" w:fill="auto"/>
            <w:vAlign w:val="bottom"/>
          </w:tcPr>
          <w:p w:rsidR="00B165C4" w:rsidRPr="00132956" w:rsidRDefault="00132956"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Grant Arrangement CIDA/</w:t>
            </w:r>
            <w:r w:rsidR="00B165C4" w:rsidRPr="00132956">
              <w:rPr>
                <w:rFonts w:ascii="Times New Roman" w:eastAsia="Times New Roman" w:hAnsi="Times New Roman" w:cs="Times New Roman"/>
                <w:sz w:val="22"/>
                <w:szCs w:val="22"/>
                <w:lang w:val="en-GB"/>
              </w:rPr>
              <w:t>Canada (31 March 2010)</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vAlign w:val="bottom"/>
          </w:tcPr>
          <w:p w:rsidR="00B165C4" w:rsidRPr="00132956" w:rsidRDefault="00132956"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Amendment/</w:t>
            </w:r>
            <w:r w:rsidR="00B165C4" w:rsidRPr="00132956">
              <w:rPr>
                <w:rFonts w:ascii="Times New Roman" w:eastAsia="Times New Roman" w:hAnsi="Times New Roman" w:cs="Times New Roman"/>
                <w:sz w:val="22"/>
                <w:szCs w:val="22"/>
                <w:lang w:val="en-GB"/>
              </w:rPr>
              <w:t>Grant Arrangement (28 September 2012)</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noWrap/>
            <w:vAlign w:val="center"/>
          </w:tcPr>
          <w:p w:rsidR="00B165C4" w:rsidRPr="00132956" w:rsidRDefault="00B165C4" w:rsidP="00132956">
            <w:pPr>
              <w:spacing w:after="0" w:line="240" w:lineRule="auto"/>
              <w:rPr>
                <w:rFonts w:ascii="Times New Roman" w:eastAsia="Times New Roman" w:hAnsi="Times New Roman" w:cs="Times New Roman"/>
                <w:sz w:val="22"/>
                <w:szCs w:val="22"/>
                <w:lang w:val="en-GB"/>
              </w:rPr>
            </w:pP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r w:rsidRPr="00132956">
              <w:rPr>
                <w:rFonts w:ascii="Times New Roman" w:eastAsia="Times New Roman" w:hAnsi="Times New Roman" w:cs="Times New Roman"/>
                <w:b/>
                <w:bCs/>
                <w:sz w:val="22"/>
                <w:szCs w:val="22"/>
                <w:lang w:val="en-GB"/>
              </w:rPr>
              <w:t>NRO</w:t>
            </w: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Arrangement Netherlands (9 June 2010)</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Amendment to Specific Arrangement (13 December 2011)</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noWrap/>
            <w:vAlign w:val="center"/>
          </w:tcPr>
          <w:p w:rsidR="00B165C4" w:rsidRPr="00132956" w:rsidRDefault="00B165C4" w:rsidP="00132956">
            <w:pPr>
              <w:spacing w:after="0" w:line="240" w:lineRule="auto"/>
              <w:rPr>
                <w:rFonts w:ascii="Times New Roman" w:eastAsia="Times New Roman" w:hAnsi="Times New Roman" w:cs="Times New Roman"/>
                <w:sz w:val="22"/>
                <w:szCs w:val="22"/>
                <w:lang w:val="en-GB"/>
              </w:rPr>
            </w:pP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r w:rsidRPr="00132956">
              <w:rPr>
                <w:rFonts w:ascii="Times New Roman" w:eastAsia="Times New Roman" w:hAnsi="Times New Roman" w:cs="Times New Roman"/>
                <w:b/>
                <w:bCs/>
                <w:sz w:val="22"/>
                <w:szCs w:val="22"/>
                <w:lang w:val="en-GB"/>
              </w:rPr>
              <w:t>N</w:t>
            </w:r>
            <w:r w:rsidR="00D0518E" w:rsidRPr="00132956">
              <w:rPr>
                <w:rFonts w:ascii="Times New Roman" w:eastAsia="Times New Roman" w:hAnsi="Times New Roman" w:cs="Times New Roman"/>
                <w:b/>
                <w:bCs/>
                <w:sz w:val="22"/>
                <w:szCs w:val="22"/>
                <w:lang w:val="en-GB"/>
              </w:rPr>
              <w:t>ational Justice Sector Strategy</w:t>
            </w: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Justice and Rule of Law National Strategy (2011-2013)</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noWrap/>
            <w:vAlign w:val="center"/>
          </w:tcPr>
          <w:p w:rsidR="00B165C4" w:rsidRPr="00132956" w:rsidRDefault="00B165C4" w:rsidP="00132956">
            <w:pPr>
              <w:spacing w:after="0" w:line="240" w:lineRule="auto"/>
              <w:rPr>
                <w:rFonts w:ascii="Times New Roman" w:eastAsia="Times New Roman" w:hAnsi="Times New Roman" w:cs="Times New Roman"/>
                <w:sz w:val="22"/>
                <w:szCs w:val="22"/>
                <w:lang w:val="en-GB"/>
              </w:rPr>
            </w:pP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132956" w:rsidP="00132956">
            <w:pPr>
              <w:spacing w:after="0" w:line="240" w:lineRule="auto"/>
              <w:rPr>
                <w:rFonts w:ascii="Times New Roman" w:eastAsia="Times New Roman" w:hAnsi="Times New Roman" w:cs="Times New Roman"/>
                <w:b/>
                <w:bCs/>
                <w:sz w:val="22"/>
                <w:szCs w:val="22"/>
                <w:lang w:val="en-GB"/>
              </w:rPr>
            </w:pPr>
            <w:r w:rsidRPr="00132956">
              <w:rPr>
                <w:rFonts w:ascii="Times New Roman" w:eastAsia="Times New Roman" w:hAnsi="Times New Roman" w:cs="Times New Roman"/>
                <w:b/>
                <w:bCs/>
                <w:sz w:val="22"/>
                <w:szCs w:val="22"/>
                <w:lang w:val="en-GB"/>
              </w:rPr>
              <w:t>Organis</w:t>
            </w:r>
            <w:r w:rsidR="00B165C4" w:rsidRPr="00132956">
              <w:rPr>
                <w:rFonts w:ascii="Times New Roman" w:eastAsia="Times New Roman" w:hAnsi="Times New Roman" w:cs="Times New Roman"/>
                <w:b/>
                <w:bCs/>
                <w:sz w:val="22"/>
                <w:szCs w:val="22"/>
                <w:lang w:val="en-GB"/>
              </w:rPr>
              <w:t>ati</w:t>
            </w:r>
            <w:r w:rsidRPr="00132956">
              <w:rPr>
                <w:rFonts w:ascii="Times New Roman" w:eastAsia="Times New Roman" w:hAnsi="Times New Roman" w:cs="Times New Roman"/>
                <w:b/>
                <w:bCs/>
                <w:sz w:val="22"/>
                <w:szCs w:val="22"/>
                <w:lang w:val="en-GB"/>
              </w:rPr>
              <w:t>on Chart</w:t>
            </w:r>
          </w:p>
        </w:tc>
        <w:tc>
          <w:tcPr>
            <w:tcW w:w="12261" w:type="dxa"/>
            <w:tcBorders>
              <w:top w:val="nil"/>
              <w:left w:val="nil"/>
              <w:bottom w:val="nil"/>
              <w:right w:val="nil"/>
            </w:tcBorders>
            <w:shd w:val="clear" w:color="auto" w:fill="auto"/>
            <w:vAlign w:val="bottom"/>
          </w:tcPr>
          <w:p w:rsidR="00B165C4" w:rsidRPr="00132956" w:rsidRDefault="00132956"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Organis</w:t>
            </w:r>
            <w:r w:rsidR="00B165C4" w:rsidRPr="00132956">
              <w:rPr>
                <w:rFonts w:ascii="Times New Roman" w:eastAsia="Times New Roman" w:hAnsi="Times New Roman" w:cs="Times New Roman"/>
                <w:sz w:val="22"/>
                <w:szCs w:val="22"/>
                <w:lang w:val="en-GB"/>
              </w:rPr>
              <w:t>ation Chart (December 2012)</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Staffing List (December 2012)</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noWrap/>
            <w:vAlign w:val="center"/>
          </w:tcPr>
          <w:p w:rsidR="00B165C4" w:rsidRPr="00132956" w:rsidRDefault="00B165C4" w:rsidP="00132956">
            <w:pPr>
              <w:spacing w:after="0" w:line="240" w:lineRule="auto"/>
              <w:rPr>
                <w:rFonts w:ascii="Times New Roman" w:eastAsia="Times New Roman" w:hAnsi="Times New Roman" w:cs="Times New Roman"/>
                <w:sz w:val="22"/>
                <w:szCs w:val="22"/>
                <w:lang w:val="en-GB"/>
              </w:rPr>
            </w:pP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r w:rsidRPr="00132956">
              <w:rPr>
                <w:rFonts w:ascii="Times New Roman" w:eastAsia="Times New Roman" w:hAnsi="Times New Roman" w:cs="Times New Roman"/>
                <w:b/>
                <w:bCs/>
                <w:sz w:val="22"/>
                <w:szCs w:val="22"/>
                <w:lang w:val="en-GB"/>
              </w:rPr>
              <w:t>National Development Plans</w:t>
            </w: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National Development Plan - Establishing the State - Building our Future (2011-2013)</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Programme of the Thirteenth Government (2009-2011)</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Palestinian Reform and Development Plan (2008-2010)</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noWrap/>
            <w:vAlign w:val="center"/>
          </w:tcPr>
          <w:p w:rsidR="00B165C4" w:rsidRPr="00132956" w:rsidRDefault="00B165C4" w:rsidP="00132956">
            <w:pPr>
              <w:spacing w:after="0" w:line="240" w:lineRule="auto"/>
              <w:rPr>
                <w:rFonts w:ascii="Times New Roman" w:eastAsia="Times New Roman" w:hAnsi="Times New Roman" w:cs="Times New Roman"/>
                <w:sz w:val="22"/>
                <w:szCs w:val="22"/>
                <w:lang w:val="en-GB"/>
              </w:rPr>
            </w:pP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r w:rsidRPr="00132956">
              <w:rPr>
                <w:rFonts w:ascii="Times New Roman" w:eastAsia="Times New Roman" w:hAnsi="Times New Roman" w:cs="Times New Roman"/>
                <w:b/>
                <w:bCs/>
                <w:sz w:val="22"/>
                <w:szCs w:val="22"/>
                <w:lang w:val="en-GB"/>
              </w:rPr>
              <w:t>Progress Reports</w:t>
            </w:r>
          </w:p>
        </w:tc>
        <w:tc>
          <w:tcPr>
            <w:tcW w:w="12261" w:type="dxa"/>
            <w:tcBorders>
              <w:top w:val="nil"/>
              <w:left w:val="nil"/>
              <w:bottom w:val="nil"/>
              <w:right w:val="nil"/>
            </w:tcBorders>
            <w:shd w:val="clear" w:color="auto" w:fill="auto"/>
            <w:vAlign w:val="bottom"/>
          </w:tcPr>
          <w:p w:rsidR="00B165C4" w:rsidRPr="00132956" w:rsidRDefault="009B510E"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 xml:space="preserve">2011 </w:t>
            </w:r>
            <w:r w:rsidR="00B165C4" w:rsidRPr="00132956">
              <w:rPr>
                <w:rFonts w:ascii="Times New Roman" w:eastAsia="Times New Roman" w:hAnsi="Times New Roman" w:cs="Times New Roman"/>
                <w:sz w:val="22"/>
                <w:szCs w:val="22"/>
                <w:lang w:val="en-GB"/>
              </w:rPr>
              <w:t>Annual Report UNDP Rule of Law &amp; Access to Justice Programme</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vAlign w:val="bottom"/>
          </w:tcPr>
          <w:p w:rsidR="00B165C4" w:rsidRPr="00132956" w:rsidRDefault="009B510E"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 xml:space="preserve">2010 </w:t>
            </w:r>
            <w:r w:rsidR="00B165C4" w:rsidRPr="00132956">
              <w:rPr>
                <w:rFonts w:ascii="Times New Roman" w:eastAsia="Times New Roman" w:hAnsi="Times New Roman" w:cs="Times New Roman"/>
                <w:sz w:val="22"/>
                <w:szCs w:val="22"/>
                <w:lang w:val="en-GB"/>
              </w:rPr>
              <w:t>Progress Report UNDP Rule of Law &amp; Access to Justice Programme</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noWrap/>
            <w:vAlign w:val="center"/>
          </w:tcPr>
          <w:p w:rsidR="00B165C4" w:rsidRPr="00132956" w:rsidRDefault="00B165C4" w:rsidP="00132956">
            <w:pPr>
              <w:spacing w:after="0" w:line="240" w:lineRule="auto"/>
              <w:rPr>
                <w:rFonts w:ascii="Times New Roman" w:eastAsia="Times New Roman" w:hAnsi="Times New Roman" w:cs="Times New Roman"/>
                <w:sz w:val="22"/>
                <w:szCs w:val="22"/>
                <w:lang w:val="en-GB"/>
              </w:rPr>
            </w:pP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r w:rsidRPr="00132956">
              <w:rPr>
                <w:rFonts w:ascii="Times New Roman" w:eastAsia="Times New Roman" w:hAnsi="Times New Roman" w:cs="Times New Roman"/>
                <w:b/>
                <w:bCs/>
                <w:sz w:val="22"/>
                <w:szCs w:val="22"/>
                <w:lang w:val="en-GB"/>
              </w:rPr>
              <w:t>Annual Work Plans</w:t>
            </w: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Rule of Law &amp; Access to Justice Pr</w:t>
            </w:r>
            <w:r w:rsidR="00132956" w:rsidRPr="00132956">
              <w:rPr>
                <w:rFonts w:ascii="Times New Roman" w:eastAsia="Times New Roman" w:hAnsi="Times New Roman" w:cs="Times New Roman"/>
                <w:sz w:val="22"/>
                <w:szCs w:val="22"/>
                <w:lang w:val="en-GB"/>
              </w:rPr>
              <w:t>ogramme - Annual Work Plan (2013</w:t>
            </w:r>
            <w:r w:rsidRPr="00132956">
              <w:rPr>
                <w:rFonts w:ascii="Times New Roman" w:eastAsia="Times New Roman" w:hAnsi="Times New Roman" w:cs="Times New Roman"/>
                <w:sz w:val="22"/>
                <w:szCs w:val="22"/>
                <w:lang w:val="en-GB"/>
              </w:rPr>
              <w:t>)</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Rule of Law &amp; Access to Justice Pr</w:t>
            </w:r>
            <w:r w:rsidR="00132956" w:rsidRPr="00132956">
              <w:rPr>
                <w:rFonts w:ascii="Times New Roman" w:eastAsia="Times New Roman" w:hAnsi="Times New Roman" w:cs="Times New Roman"/>
                <w:sz w:val="22"/>
                <w:szCs w:val="22"/>
                <w:lang w:val="en-GB"/>
              </w:rPr>
              <w:t>ogramme - Annual Work Plan (2012</w:t>
            </w:r>
            <w:r w:rsidRPr="00132956">
              <w:rPr>
                <w:rFonts w:ascii="Times New Roman" w:eastAsia="Times New Roman" w:hAnsi="Times New Roman" w:cs="Times New Roman"/>
                <w:sz w:val="22"/>
                <w:szCs w:val="22"/>
                <w:lang w:val="en-GB"/>
              </w:rPr>
              <w:t>)</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Rule of Law &amp; Access to Justice Pr</w:t>
            </w:r>
            <w:r w:rsidR="00132956" w:rsidRPr="00132956">
              <w:rPr>
                <w:rFonts w:ascii="Times New Roman" w:eastAsia="Times New Roman" w:hAnsi="Times New Roman" w:cs="Times New Roman"/>
                <w:sz w:val="22"/>
                <w:szCs w:val="22"/>
                <w:lang w:val="en-GB"/>
              </w:rPr>
              <w:t>ogramme - Annual Work Plan (2011</w:t>
            </w:r>
            <w:r w:rsidRPr="00132956">
              <w:rPr>
                <w:rFonts w:ascii="Times New Roman" w:eastAsia="Times New Roman" w:hAnsi="Times New Roman" w:cs="Times New Roman"/>
                <w:sz w:val="22"/>
                <w:szCs w:val="22"/>
                <w:lang w:val="en-GB"/>
              </w:rPr>
              <w:t>)</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Rule of Law &amp; Access to Justice Pr</w:t>
            </w:r>
            <w:r w:rsidR="00132956" w:rsidRPr="00132956">
              <w:rPr>
                <w:rFonts w:ascii="Times New Roman" w:eastAsia="Times New Roman" w:hAnsi="Times New Roman" w:cs="Times New Roman"/>
                <w:sz w:val="22"/>
                <w:szCs w:val="22"/>
                <w:lang w:val="en-GB"/>
              </w:rPr>
              <w:t>ogramme - Annual Work Plan (2010</w:t>
            </w:r>
            <w:r w:rsidRPr="00132956">
              <w:rPr>
                <w:rFonts w:ascii="Times New Roman" w:eastAsia="Times New Roman" w:hAnsi="Times New Roman" w:cs="Times New Roman"/>
                <w:sz w:val="22"/>
                <w:szCs w:val="22"/>
                <w:lang w:val="en-GB"/>
              </w:rPr>
              <w:t>)</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noWrap/>
            <w:vAlign w:val="center"/>
          </w:tcPr>
          <w:p w:rsidR="00B165C4" w:rsidRPr="00132956" w:rsidRDefault="00B165C4" w:rsidP="00132956">
            <w:pPr>
              <w:spacing w:after="0" w:line="240" w:lineRule="auto"/>
              <w:rPr>
                <w:rFonts w:ascii="Times New Roman" w:eastAsia="Times New Roman" w:hAnsi="Times New Roman" w:cs="Times New Roman"/>
                <w:sz w:val="22"/>
                <w:szCs w:val="22"/>
                <w:lang w:val="en-GB"/>
              </w:rPr>
            </w:pP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r w:rsidRPr="00132956">
              <w:rPr>
                <w:rFonts w:ascii="Times New Roman" w:eastAsia="Times New Roman" w:hAnsi="Times New Roman" w:cs="Times New Roman"/>
                <w:b/>
                <w:bCs/>
                <w:sz w:val="22"/>
                <w:szCs w:val="22"/>
                <w:lang w:val="en-GB"/>
              </w:rPr>
              <w:t>Programme Board Meetings</w:t>
            </w: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TOR Programme Board - UNDP Rule of Law &amp; Access to Justice Programme</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Agenda Programme Board Meeting (30 September 2010)</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Minutes Programme Board Meeting (30 September 2010)</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Agenda Programme Board Meeting (5 April 2011)</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Minutes Programme Board Meeting (5 April 2011)</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Agenda Programme Board Meeting (22 September 2011)</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Minutes Programme Board Meeting (22 September 2011)</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Agenda Programme Board Meeting (18 October 2012)</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Minutes Programme Board Meeting (18 October 2012)</w:t>
            </w:r>
          </w:p>
        </w:tc>
      </w:tr>
      <w:tr w:rsidR="00B165C4" w:rsidRPr="00132956">
        <w:trPr>
          <w:trHeight w:val="510"/>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r w:rsidRPr="00132956">
              <w:rPr>
                <w:rFonts w:ascii="Times New Roman" w:eastAsia="Times New Roman" w:hAnsi="Times New Roman" w:cs="Times New Roman"/>
                <w:b/>
                <w:bCs/>
                <w:sz w:val="22"/>
                <w:szCs w:val="22"/>
                <w:lang w:val="en-GB"/>
              </w:rPr>
              <w:t>Donor Meetings/Comments</w:t>
            </w: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Minutes Donor Coordination Meeting (17 August 2011)</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Minutes Donor Coordination Meeting (14 February 2011)</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Minutes Donor Coordination Meeting (17 December 2010)</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Consolidated Donor Comments (24 January 2011)</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Consolidated Donor Comments (5 May 2012)</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noWrap/>
            <w:vAlign w:val="center"/>
          </w:tcPr>
          <w:p w:rsidR="00B165C4" w:rsidRPr="00132956" w:rsidRDefault="00B165C4" w:rsidP="00132956">
            <w:pPr>
              <w:spacing w:after="0" w:line="240" w:lineRule="auto"/>
              <w:rPr>
                <w:rFonts w:ascii="Times New Roman" w:eastAsia="Times New Roman" w:hAnsi="Times New Roman" w:cs="Times New Roman"/>
                <w:sz w:val="22"/>
                <w:szCs w:val="22"/>
                <w:lang w:val="en-GB"/>
              </w:rPr>
            </w:pP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r w:rsidRPr="00132956">
              <w:rPr>
                <w:rFonts w:ascii="Times New Roman" w:eastAsia="Times New Roman" w:hAnsi="Times New Roman" w:cs="Times New Roman"/>
                <w:b/>
                <w:bCs/>
                <w:sz w:val="22"/>
                <w:szCs w:val="22"/>
                <w:lang w:val="en-GB"/>
              </w:rPr>
              <w:t>Strategic Review/M&amp;E Plan</w:t>
            </w: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M&amp;E Plan - UNDP Rule of Law &amp; Access to Justice Programme</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Strategic Review UNDP Rule of Law &amp; Access to Justice Programme (August 2011)</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noWrap/>
            <w:vAlign w:val="center"/>
          </w:tcPr>
          <w:p w:rsidR="00B165C4" w:rsidRPr="00132956" w:rsidRDefault="00B165C4" w:rsidP="00132956">
            <w:pPr>
              <w:spacing w:after="0" w:line="240" w:lineRule="auto"/>
              <w:rPr>
                <w:rFonts w:ascii="Times New Roman" w:eastAsia="Times New Roman" w:hAnsi="Times New Roman" w:cs="Times New Roman"/>
                <w:sz w:val="22"/>
                <w:szCs w:val="22"/>
                <w:lang w:val="en-GB"/>
              </w:rPr>
            </w:pP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r w:rsidRPr="00132956">
              <w:rPr>
                <w:rFonts w:ascii="Times New Roman" w:eastAsia="Times New Roman" w:hAnsi="Times New Roman" w:cs="Times New Roman"/>
                <w:b/>
                <w:bCs/>
                <w:sz w:val="22"/>
                <w:szCs w:val="22"/>
                <w:lang w:val="en-GB"/>
              </w:rPr>
              <w:t xml:space="preserve">Joint Capacity Assessment </w:t>
            </w: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Joint Capacity Assessment Ministry of Justice (June 2011)</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noWrap/>
            <w:vAlign w:val="center"/>
          </w:tcPr>
          <w:p w:rsidR="00B165C4" w:rsidRPr="00132956" w:rsidRDefault="00B165C4" w:rsidP="00132956">
            <w:pPr>
              <w:spacing w:after="0" w:line="240" w:lineRule="auto"/>
              <w:rPr>
                <w:rFonts w:ascii="Times New Roman" w:eastAsia="Times New Roman" w:hAnsi="Times New Roman" w:cs="Times New Roman"/>
                <w:sz w:val="22"/>
                <w:szCs w:val="22"/>
                <w:lang w:val="en-GB"/>
              </w:rPr>
            </w:pP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r w:rsidRPr="00132956">
              <w:rPr>
                <w:rFonts w:ascii="Times New Roman" w:eastAsia="Times New Roman" w:hAnsi="Times New Roman" w:cs="Times New Roman"/>
                <w:b/>
                <w:bCs/>
                <w:sz w:val="22"/>
                <w:szCs w:val="22"/>
                <w:lang w:val="en-GB"/>
              </w:rPr>
              <w:t>Knowledge Products</w:t>
            </w: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Mapping the Perceptions and Contributions of Non-State Actors (March 2009)</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Palestinian Legislation from a Women's Rights Perspective (September 2011)</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Legal Aid Services Provided by the Palestinian National Authority (October 2011)</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Public Perceptions of Palestinian Justice and Security Institutions (December 2011)</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noWrap/>
            <w:vAlign w:val="center"/>
          </w:tcPr>
          <w:p w:rsidR="00B165C4" w:rsidRPr="00132956" w:rsidRDefault="00B165C4" w:rsidP="00132956">
            <w:pPr>
              <w:spacing w:after="0" w:line="240" w:lineRule="auto"/>
              <w:rPr>
                <w:rFonts w:ascii="Times New Roman" w:eastAsia="Times New Roman" w:hAnsi="Times New Roman" w:cs="Times New Roman"/>
                <w:sz w:val="22"/>
                <w:szCs w:val="22"/>
                <w:lang w:val="en-GB"/>
              </w:rPr>
            </w:pP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r w:rsidRPr="00132956">
              <w:rPr>
                <w:rFonts w:ascii="Times New Roman" w:eastAsia="Times New Roman" w:hAnsi="Times New Roman" w:cs="Times New Roman"/>
                <w:b/>
                <w:bCs/>
                <w:sz w:val="22"/>
                <w:szCs w:val="22"/>
                <w:lang w:val="en-GB"/>
              </w:rPr>
              <w:t>Success Stories/Summary Notes</w:t>
            </w:r>
          </w:p>
        </w:tc>
        <w:tc>
          <w:tcPr>
            <w:tcW w:w="12261" w:type="dxa"/>
            <w:tcBorders>
              <w:top w:val="nil"/>
              <w:left w:val="nil"/>
              <w:bottom w:val="nil"/>
              <w:right w:val="nil"/>
            </w:tcBorders>
            <w:shd w:val="clear" w:color="auto" w:fill="auto"/>
            <w:vAlign w:val="bottom"/>
          </w:tcPr>
          <w:p w:rsidR="00B165C4" w:rsidRPr="00132956" w:rsidRDefault="00132956" w:rsidP="00132956">
            <w:pPr>
              <w:spacing w:after="0" w:line="240" w:lineRule="auto"/>
              <w:rPr>
                <w:rFonts w:ascii="Times New Roman" w:eastAsia="Times New Roman" w:hAnsi="Times New Roman" w:cs="Times New Roman"/>
                <w:sz w:val="22"/>
                <w:szCs w:val="22"/>
                <w:lang w:val="en-GB"/>
              </w:rPr>
            </w:pPr>
            <w:r>
              <w:rPr>
                <w:rFonts w:ascii="Times New Roman" w:eastAsia="Times New Roman" w:hAnsi="Times New Roman" w:cs="Times New Roman"/>
                <w:sz w:val="22"/>
                <w:szCs w:val="22"/>
                <w:lang w:val="en-GB"/>
              </w:rPr>
              <w:t>Al-</w:t>
            </w:r>
            <w:r w:rsidR="00B165C4" w:rsidRPr="00132956">
              <w:rPr>
                <w:rFonts w:ascii="Times New Roman" w:eastAsia="Times New Roman" w:hAnsi="Times New Roman" w:cs="Times New Roman"/>
                <w:sz w:val="22"/>
                <w:szCs w:val="22"/>
                <w:lang w:val="en-GB"/>
              </w:rPr>
              <w:t>Azhar University's Legal Conference (14 April 2011)</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National Reconciliation Seminar (29 May 2011)</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Network of Legal Aid Providers in Gaza (February 2012)</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Women &amp; Statehood Conference (5-6 July 2011)</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Joint Training Programme (October 2011)</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Consultation Conference on the Palestinian Penal Code (28-30 November 2010)</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vAlign w:val="bottom"/>
          </w:tcPr>
          <w:p w:rsidR="00B165C4" w:rsidRPr="00132956" w:rsidRDefault="00132956" w:rsidP="00132956">
            <w:pPr>
              <w:spacing w:after="0" w:line="240" w:lineRule="auto"/>
              <w:rPr>
                <w:rFonts w:ascii="Times New Roman" w:eastAsia="Times New Roman" w:hAnsi="Times New Roman" w:cs="Times New Roman"/>
                <w:sz w:val="22"/>
                <w:szCs w:val="22"/>
                <w:lang w:val="en-GB"/>
              </w:rPr>
            </w:pPr>
            <w:r>
              <w:rPr>
                <w:rFonts w:ascii="Times New Roman" w:eastAsia="Times New Roman" w:hAnsi="Times New Roman" w:cs="Times New Roman"/>
                <w:sz w:val="22"/>
                <w:szCs w:val="22"/>
                <w:lang w:val="en-GB"/>
              </w:rPr>
              <w:t>UNDP-</w:t>
            </w:r>
            <w:r w:rsidR="00B165C4" w:rsidRPr="00132956">
              <w:rPr>
                <w:rFonts w:ascii="Times New Roman" w:eastAsia="Times New Roman" w:hAnsi="Times New Roman" w:cs="Times New Roman"/>
                <w:sz w:val="22"/>
                <w:szCs w:val="22"/>
                <w:lang w:val="en-GB"/>
              </w:rPr>
              <w:t>EUPOL COPPS Training on Juvenile Justice (November-December 2010)</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Legal Aid Clinics Workshop (March 2012)</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Continuous Training Programme (September 2012)</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PBA Annual Conference (Gaza City - December 2012)</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National Human Rights Day Celebration (16 March 2011)</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noWrap/>
            <w:vAlign w:val="center"/>
          </w:tcPr>
          <w:p w:rsidR="00B165C4" w:rsidRPr="00132956" w:rsidRDefault="00B165C4" w:rsidP="00132956">
            <w:pPr>
              <w:spacing w:after="0" w:line="240" w:lineRule="auto"/>
              <w:rPr>
                <w:rFonts w:ascii="Times New Roman" w:eastAsia="Times New Roman" w:hAnsi="Times New Roman" w:cs="Times New Roman"/>
                <w:sz w:val="22"/>
                <w:szCs w:val="22"/>
                <w:lang w:val="en-GB"/>
              </w:rPr>
            </w:pP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r w:rsidRPr="00132956">
              <w:rPr>
                <w:rFonts w:ascii="Times New Roman" w:eastAsia="Times New Roman" w:hAnsi="Times New Roman" w:cs="Times New Roman"/>
                <w:b/>
                <w:bCs/>
                <w:sz w:val="22"/>
                <w:szCs w:val="22"/>
                <w:lang w:val="en-GB"/>
              </w:rPr>
              <w:t>Publications</w:t>
            </w: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Case St</w:t>
            </w:r>
            <w:r w:rsidR="00D0518E" w:rsidRPr="00132956">
              <w:rPr>
                <w:rFonts w:ascii="Times New Roman" w:eastAsia="Times New Roman" w:hAnsi="Times New Roman" w:cs="Times New Roman"/>
                <w:sz w:val="22"/>
                <w:szCs w:val="22"/>
                <w:lang w:val="en-GB"/>
              </w:rPr>
              <w:t>udy BCPR Annual Report (2011)</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DPG-Net (8 March 2011)</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E-Consultation DPKO (13 April 2011)</w:t>
            </w:r>
          </w:p>
        </w:tc>
      </w:tr>
      <w:tr w:rsidR="00B165C4" w:rsidRPr="00132956">
        <w:trPr>
          <w:trHeight w:val="22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CPR Practice News - UNDP Rule of Law &amp;</w:t>
            </w:r>
            <w:r w:rsidR="00D0518E" w:rsidRPr="00132956">
              <w:rPr>
                <w:rFonts w:ascii="Times New Roman" w:eastAsia="Times New Roman" w:hAnsi="Times New Roman" w:cs="Times New Roman"/>
                <w:sz w:val="22"/>
                <w:szCs w:val="22"/>
                <w:lang w:val="en-GB"/>
              </w:rPr>
              <w:t>Access to Justice Programme</w:t>
            </w:r>
          </w:p>
        </w:tc>
      </w:tr>
      <w:tr w:rsidR="00B165C4" w:rsidRPr="00132956">
        <w:trPr>
          <w:trHeight w:val="255"/>
        </w:trPr>
        <w:tc>
          <w:tcPr>
            <w:tcW w:w="3060"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b/>
                <w:bCs/>
                <w:sz w:val="22"/>
                <w:szCs w:val="22"/>
                <w:lang w:val="en-GB"/>
              </w:rPr>
            </w:pPr>
          </w:p>
        </w:tc>
        <w:tc>
          <w:tcPr>
            <w:tcW w:w="12261" w:type="dxa"/>
            <w:tcBorders>
              <w:top w:val="nil"/>
              <w:left w:val="nil"/>
              <w:bottom w:val="nil"/>
              <w:right w:val="nil"/>
            </w:tcBorders>
            <w:shd w:val="clear" w:color="auto" w:fill="auto"/>
            <w:vAlign w:val="bottom"/>
          </w:tcPr>
          <w:p w:rsidR="00B165C4" w:rsidRPr="00132956" w:rsidRDefault="00B165C4" w:rsidP="00132956">
            <w:pPr>
              <w:spacing w:after="0" w:line="240" w:lineRule="auto"/>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 xml:space="preserve">The Plight Of Children - This Week in </w:t>
            </w:r>
            <w:r w:rsidR="00DE216A" w:rsidRPr="00132956">
              <w:rPr>
                <w:rFonts w:ascii="Times New Roman" w:eastAsia="Times New Roman" w:hAnsi="Times New Roman" w:cs="Times New Roman"/>
                <w:sz w:val="22"/>
                <w:szCs w:val="22"/>
                <w:lang w:val="en-GB"/>
              </w:rPr>
              <w:t>oPt</w:t>
            </w:r>
            <w:r w:rsidRPr="00132956">
              <w:rPr>
                <w:rFonts w:ascii="Times New Roman" w:eastAsia="Times New Roman" w:hAnsi="Times New Roman" w:cs="Times New Roman"/>
                <w:sz w:val="22"/>
                <w:szCs w:val="22"/>
                <w:lang w:val="en-GB"/>
              </w:rPr>
              <w:t xml:space="preserve"> (December 2010)</w:t>
            </w:r>
          </w:p>
        </w:tc>
      </w:tr>
    </w:tbl>
    <w:p w:rsidR="00D041E8" w:rsidRPr="00132956" w:rsidRDefault="00D041E8" w:rsidP="00132956">
      <w:pPr>
        <w:pStyle w:val="Heading1"/>
        <w:spacing w:after="0" w:line="240" w:lineRule="auto"/>
        <w:rPr>
          <w:rFonts w:ascii="Times New Roman" w:hAnsi="Times New Roman" w:cs="Times New Roman"/>
          <w:sz w:val="22"/>
          <w:szCs w:val="22"/>
          <w:lang w:val="en-GB"/>
        </w:rPr>
        <w:sectPr w:rsidR="00D041E8" w:rsidRPr="00132956" w:rsidSect="00360CF0">
          <w:headerReference w:type="even" r:id="rId24"/>
          <w:headerReference w:type="default" r:id="rId25"/>
          <w:footerReference w:type="default" r:id="rId26"/>
          <w:headerReference w:type="first" r:id="rId27"/>
          <w:pgSz w:w="12240" w:h="15840"/>
          <w:pgMar w:top="1440" w:right="1440" w:bottom="1440" w:left="1440" w:header="720" w:footer="720" w:gutter="0"/>
          <w:cols w:space="720"/>
          <w:docGrid w:linePitch="360"/>
        </w:sectPr>
      </w:pPr>
    </w:p>
    <w:p w:rsidR="00E26271" w:rsidRDefault="00E26271" w:rsidP="00132956">
      <w:pPr>
        <w:spacing w:after="0" w:line="240" w:lineRule="auto"/>
        <w:rPr>
          <w:rFonts w:ascii="Times New Roman" w:hAnsi="Times New Roman" w:cs="Times New Roman"/>
          <w:sz w:val="22"/>
          <w:szCs w:val="22"/>
          <w:lang w:val="en-GB"/>
        </w:rPr>
      </w:pPr>
    </w:p>
    <w:p w:rsidR="00132956" w:rsidRPr="00132956" w:rsidRDefault="00132956" w:rsidP="00132956">
      <w:pPr>
        <w:spacing w:after="0" w:line="240"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_________</w:t>
      </w:r>
    </w:p>
    <w:p w:rsidR="00E26271" w:rsidRPr="00132956" w:rsidRDefault="00E26271" w:rsidP="00132956">
      <w:pPr>
        <w:spacing w:after="0" w:line="240" w:lineRule="auto"/>
        <w:rPr>
          <w:rFonts w:ascii="Times New Roman" w:hAnsi="Times New Roman" w:cs="Times New Roman"/>
          <w:sz w:val="22"/>
          <w:szCs w:val="22"/>
          <w:lang w:val="en-GB"/>
        </w:rPr>
      </w:pPr>
    </w:p>
    <w:p w:rsidR="00E26271" w:rsidRPr="00132956" w:rsidRDefault="00E26271" w:rsidP="00132956">
      <w:pPr>
        <w:pStyle w:val="Heading1"/>
        <w:spacing w:after="0" w:line="240" w:lineRule="auto"/>
        <w:rPr>
          <w:rFonts w:ascii="Times New Roman" w:hAnsi="Times New Roman" w:cs="Times New Roman"/>
          <w:sz w:val="22"/>
          <w:szCs w:val="22"/>
          <w:lang w:val="en-GB"/>
        </w:rPr>
      </w:pPr>
      <w:r w:rsidRPr="00132956">
        <w:rPr>
          <w:rFonts w:ascii="Times New Roman" w:hAnsi="Times New Roman" w:cs="Times New Roman"/>
          <w:sz w:val="22"/>
          <w:szCs w:val="22"/>
          <w:lang w:val="en-GB"/>
        </w:rPr>
        <w:br w:type="page"/>
      </w:r>
      <w:bookmarkStart w:id="33" w:name="_Toc231801818"/>
      <w:r w:rsidR="00052AEF" w:rsidRPr="00132956">
        <w:rPr>
          <w:rFonts w:ascii="Times New Roman" w:hAnsi="Times New Roman" w:cs="Times New Roman"/>
          <w:sz w:val="22"/>
          <w:szCs w:val="22"/>
          <w:lang w:val="en-GB"/>
        </w:rPr>
        <w:lastRenderedPageBreak/>
        <w:t>Annex</w:t>
      </w:r>
      <w:r w:rsidR="00132956">
        <w:rPr>
          <w:rFonts w:ascii="Times New Roman" w:hAnsi="Times New Roman" w:cs="Times New Roman"/>
          <w:sz w:val="22"/>
          <w:szCs w:val="22"/>
          <w:lang w:val="en-GB"/>
        </w:rPr>
        <w:t xml:space="preserve"> C: </w:t>
      </w:r>
      <w:r w:rsidRPr="00132956">
        <w:rPr>
          <w:rFonts w:ascii="Times New Roman" w:hAnsi="Times New Roman" w:cs="Times New Roman"/>
          <w:sz w:val="22"/>
          <w:szCs w:val="22"/>
          <w:lang w:val="en-GB"/>
        </w:rPr>
        <w:t>Agenda</w:t>
      </w:r>
      <w:bookmarkEnd w:id="33"/>
    </w:p>
    <w:p w:rsidR="00E26271" w:rsidRPr="00132956" w:rsidRDefault="00E26271" w:rsidP="00132956">
      <w:pPr>
        <w:spacing w:after="0" w:line="240" w:lineRule="auto"/>
        <w:rPr>
          <w:rFonts w:ascii="Times New Roman" w:hAnsi="Times New Roman" w:cs="Times New Roman"/>
          <w:sz w:val="22"/>
          <w:szCs w:val="22"/>
          <w:lang w:val="en-GB"/>
        </w:rPr>
      </w:pPr>
    </w:p>
    <w:p w:rsidR="005827A4" w:rsidRPr="00132956" w:rsidRDefault="005827A4" w:rsidP="00132956">
      <w:pPr>
        <w:spacing w:after="0" w:line="240" w:lineRule="auto"/>
        <w:ind w:right="-358"/>
        <w:jc w:val="center"/>
        <w:rPr>
          <w:rFonts w:ascii="Times New Roman" w:eastAsia="Times New Roman" w:hAnsi="Times New Roman" w:cs="Times New Roman"/>
          <w:b/>
          <w:bCs/>
          <w:sz w:val="22"/>
          <w:szCs w:val="22"/>
          <w:lang w:val="en-GB"/>
        </w:rPr>
      </w:pPr>
      <w:r w:rsidRPr="00132956">
        <w:rPr>
          <w:rFonts w:ascii="Times New Roman" w:eastAsia="Times New Roman" w:hAnsi="Times New Roman" w:cs="Times New Roman"/>
          <w:b/>
          <w:bCs/>
          <w:sz w:val="22"/>
          <w:szCs w:val="22"/>
          <w:lang w:val="en-GB"/>
        </w:rPr>
        <w:t>UNDP Rule of Law &amp; Access to Justice Programme in the oPt</w:t>
      </w:r>
    </w:p>
    <w:p w:rsidR="005827A4" w:rsidRPr="00132956" w:rsidRDefault="005827A4" w:rsidP="00132956">
      <w:pPr>
        <w:spacing w:after="0" w:line="240" w:lineRule="auto"/>
        <w:ind w:left="-270" w:right="-358"/>
        <w:jc w:val="center"/>
        <w:rPr>
          <w:rFonts w:ascii="Times New Roman" w:eastAsia="Times New Roman" w:hAnsi="Times New Roman" w:cs="Times New Roman"/>
          <w:b/>
          <w:bCs/>
          <w:sz w:val="22"/>
          <w:szCs w:val="22"/>
          <w:lang w:val="en-GB"/>
        </w:rPr>
      </w:pPr>
      <w:r w:rsidRPr="00132956">
        <w:rPr>
          <w:rFonts w:ascii="Times New Roman" w:eastAsia="Times New Roman" w:hAnsi="Times New Roman" w:cs="Times New Roman"/>
          <w:b/>
          <w:bCs/>
          <w:sz w:val="22"/>
          <w:szCs w:val="22"/>
          <w:lang w:val="en-GB"/>
        </w:rPr>
        <w:t>Agenda - Independent Evaluation</w:t>
      </w:r>
    </w:p>
    <w:p w:rsidR="005827A4" w:rsidRPr="00132956" w:rsidRDefault="005827A4" w:rsidP="00132956">
      <w:pPr>
        <w:spacing w:after="0" w:line="240" w:lineRule="auto"/>
        <w:ind w:left="-270" w:right="-358"/>
        <w:jc w:val="center"/>
        <w:rPr>
          <w:rFonts w:ascii="Times New Roman" w:eastAsia="Times New Roman" w:hAnsi="Times New Roman" w:cs="Times New Roman"/>
          <w:b/>
          <w:bCs/>
          <w:sz w:val="22"/>
          <w:szCs w:val="22"/>
          <w:lang w:val="en-GB"/>
        </w:rPr>
      </w:pPr>
      <w:r w:rsidRPr="00132956">
        <w:rPr>
          <w:rFonts w:ascii="Times New Roman" w:eastAsia="Times New Roman" w:hAnsi="Times New Roman" w:cs="Times New Roman"/>
          <w:b/>
          <w:bCs/>
          <w:sz w:val="22"/>
          <w:szCs w:val="22"/>
          <w:lang w:val="en-GB"/>
        </w:rPr>
        <w:t>8 January - 31 January 2013</w:t>
      </w:r>
    </w:p>
    <w:p w:rsidR="005827A4" w:rsidRPr="00132956" w:rsidRDefault="005827A4" w:rsidP="00132956">
      <w:pPr>
        <w:spacing w:after="0" w:line="240" w:lineRule="auto"/>
        <w:ind w:right="-358"/>
        <w:jc w:val="center"/>
        <w:rPr>
          <w:rFonts w:ascii="Times New Roman" w:eastAsia="Times New Roman" w:hAnsi="Times New Roman" w:cs="Times New Roman"/>
          <w:sz w:val="22"/>
          <w:szCs w:val="22"/>
          <w:lang w:val="en-GB"/>
        </w:rPr>
      </w:pPr>
    </w:p>
    <w:p w:rsidR="005827A4" w:rsidRPr="00132956" w:rsidRDefault="005827A4" w:rsidP="00132956">
      <w:pPr>
        <w:spacing w:after="0" w:line="240" w:lineRule="auto"/>
        <w:ind w:right="-358"/>
        <w:jc w:val="center"/>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w:t>
      </w:r>
    </w:p>
    <w:p w:rsidR="005827A4" w:rsidRPr="00132956" w:rsidRDefault="005827A4" w:rsidP="00132956">
      <w:pPr>
        <w:spacing w:after="0" w:line="240" w:lineRule="auto"/>
        <w:ind w:right="-358"/>
        <w:rPr>
          <w:rFonts w:ascii="Times New Roman" w:eastAsia="Times New Roman" w:hAnsi="Times New Roman" w:cs="Times New Roman"/>
          <w:sz w:val="22"/>
          <w:szCs w:val="22"/>
          <w:lang w:val="en-GB"/>
        </w:rPr>
      </w:pPr>
    </w:p>
    <w:p w:rsidR="005827A4" w:rsidRPr="00132956" w:rsidRDefault="005827A4" w:rsidP="00132956">
      <w:pPr>
        <w:spacing w:after="0" w:line="240" w:lineRule="auto"/>
        <w:ind w:left="-270" w:right="-358"/>
        <w:jc w:val="center"/>
        <w:rPr>
          <w:rFonts w:ascii="Times New Roman" w:eastAsia="Times New Roman" w:hAnsi="Times New Roman" w:cs="Times New Roman"/>
          <w:b/>
          <w:bCs/>
          <w:sz w:val="22"/>
          <w:szCs w:val="22"/>
          <w:u w:val="single"/>
          <w:lang w:val="en-GB"/>
        </w:rPr>
      </w:pPr>
      <w:r w:rsidRPr="00132956">
        <w:rPr>
          <w:rFonts w:ascii="Times New Roman" w:eastAsia="Times New Roman" w:hAnsi="Times New Roman" w:cs="Times New Roman"/>
          <w:b/>
          <w:bCs/>
          <w:sz w:val="22"/>
          <w:szCs w:val="22"/>
          <w:u w:val="single"/>
          <w:lang w:val="en-GB"/>
        </w:rPr>
        <w:t>Tuesday, 8 January 2013</w:t>
      </w:r>
    </w:p>
    <w:p w:rsidR="005827A4" w:rsidRPr="00132956" w:rsidRDefault="005827A4" w:rsidP="00132956">
      <w:pPr>
        <w:spacing w:after="0" w:line="240" w:lineRule="auto"/>
        <w:ind w:left="-270" w:right="-358"/>
        <w:rPr>
          <w:rFonts w:ascii="Times New Roman" w:eastAsia="Times New Roman" w:hAnsi="Times New Roman" w:cs="Times New Roman"/>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b/>
          <w:bCs/>
          <w:i/>
          <w:iCs/>
          <w:sz w:val="22"/>
          <w:szCs w:val="22"/>
          <w:lang w:val="en-GB"/>
        </w:rPr>
      </w:pPr>
      <w:r w:rsidRPr="00132956">
        <w:rPr>
          <w:rFonts w:ascii="Times New Roman" w:eastAsia="Times New Roman" w:hAnsi="Times New Roman" w:cs="Times New Roman"/>
          <w:b/>
          <w:bCs/>
          <w:i/>
          <w:iCs/>
          <w:sz w:val="22"/>
          <w:szCs w:val="22"/>
          <w:lang w:val="en-GB"/>
        </w:rPr>
        <w:t>10:00-10:30 Security Brief</w:t>
      </w:r>
    </w:p>
    <w:p w:rsidR="005827A4" w:rsidRPr="00132956" w:rsidRDefault="005827A4" w:rsidP="00132956">
      <w:pPr>
        <w:spacing w:after="0" w:line="240" w:lineRule="auto"/>
        <w:ind w:left="-270" w:right="-358"/>
        <w:rPr>
          <w:rFonts w:ascii="Times New Roman" w:eastAsia="Times New Roman" w:hAnsi="Times New Roman" w:cs="Times New Roman"/>
          <w:sz w:val="22"/>
          <w:szCs w:val="22"/>
          <w:lang w:val="en-GB"/>
        </w:rPr>
      </w:pPr>
    </w:p>
    <w:p w:rsidR="005827A4" w:rsidRPr="00132956" w:rsidRDefault="005827A4" w:rsidP="00132956">
      <w:pPr>
        <w:numPr>
          <w:ilvl w:val="0"/>
          <w:numId w:val="30"/>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Tomislav</w:t>
      </w:r>
      <w:r w:rsidR="00E8775C">
        <w:rPr>
          <w:rFonts w:ascii="Times New Roman" w:eastAsia="Times New Roman" w:hAnsi="Times New Roman" w:cs="Times New Roman"/>
          <w:sz w:val="22"/>
          <w:szCs w:val="22"/>
          <w:lang w:val="en-GB"/>
        </w:rPr>
        <w:t xml:space="preserve"> </w:t>
      </w:r>
      <w:r w:rsidRPr="00132956">
        <w:rPr>
          <w:rFonts w:ascii="Times New Roman" w:eastAsia="Times New Roman" w:hAnsi="Times New Roman" w:cs="Times New Roman"/>
          <w:sz w:val="22"/>
          <w:szCs w:val="22"/>
          <w:lang w:val="en-GB"/>
        </w:rPr>
        <w:t>Condic, Security Advisor</w:t>
      </w:r>
    </w:p>
    <w:p w:rsidR="005827A4" w:rsidRPr="00132956" w:rsidRDefault="005827A4" w:rsidP="00132956">
      <w:pPr>
        <w:spacing w:after="0" w:line="240" w:lineRule="auto"/>
        <w:ind w:left="-270" w:right="-358"/>
        <w:rPr>
          <w:rFonts w:ascii="Times New Roman" w:eastAsia="Times New Roman" w:hAnsi="Times New Roman" w:cs="Times New Roman"/>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i/>
          <w:iCs/>
          <w:sz w:val="22"/>
          <w:szCs w:val="22"/>
          <w:lang w:val="en-GB"/>
        </w:rPr>
      </w:pPr>
      <w:r w:rsidRPr="00132956">
        <w:rPr>
          <w:rFonts w:ascii="Times New Roman" w:eastAsia="Times New Roman" w:hAnsi="Times New Roman" w:cs="Times New Roman"/>
          <w:i/>
          <w:iCs/>
          <w:sz w:val="22"/>
          <w:szCs w:val="22"/>
          <w:lang w:val="en-GB"/>
        </w:rPr>
        <w:t>Venue: UNDP Office (Jerusalem)</w:t>
      </w:r>
    </w:p>
    <w:p w:rsidR="005827A4" w:rsidRPr="00132956" w:rsidRDefault="005827A4" w:rsidP="00132956">
      <w:pPr>
        <w:spacing w:after="0" w:line="240" w:lineRule="auto"/>
        <w:ind w:left="-270" w:right="-358"/>
        <w:rPr>
          <w:rFonts w:ascii="Times New Roman" w:eastAsia="Times New Roman" w:hAnsi="Times New Roman" w:cs="Times New Roman"/>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b/>
          <w:bCs/>
          <w:i/>
          <w:iCs/>
          <w:sz w:val="22"/>
          <w:szCs w:val="22"/>
          <w:lang w:val="en-GB"/>
        </w:rPr>
      </w:pPr>
      <w:r w:rsidRPr="00132956">
        <w:rPr>
          <w:rFonts w:ascii="Times New Roman" w:eastAsia="Times New Roman" w:hAnsi="Times New Roman" w:cs="Times New Roman"/>
          <w:b/>
          <w:bCs/>
          <w:i/>
          <w:iCs/>
          <w:sz w:val="22"/>
          <w:szCs w:val="22"/>
          <w:lang w:val="en-GB"/>
        </w:rPr>
        <w:t>10:30-12:00 UNDP Senior Management &amp; Team Leader/Senior Governance Advisor</w:t>
      </w:r>
    </w:p>
    <w:p w:rsidR="005827A4" w:rsidRPr="00132956" w:rsidRDefault="005827A4" w:rsidP="00132956">
      <w:pPr>
        <w:spacing w:after="0" w:line="240" w:lineRule="auto"/>
        <w:ind w:left="-270" w:right="-358"/>
        <w:rPr>
          <w:rFonts w:ascii="Times New Roman" w:eastAsia="Times New Roman" w:hAnsi="Times New Roman" w:cs="Times New Roman"/>
          <w:b/>
          <w:bCs/>
          <w:sz w:val="22"/>
          <w:szCs w:val="22"/>
          <w:lang w:val="en-GB"/>
        </w:rPr>
      </w:pPr>
    </w:p>
    <w:p w:rsidR="005827A4" w:rsidRPr="00132956" w:rsidRDefault="005827A4" w:rsidP="00132956">
      <w:pPr>
        <w:numPr>
          <w:ilvl w:val="0"/>
          <w:numId w:val="6"/>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Frode</w:t>
      </w:r>
      <w:r w:rsidR="00E8775C">
        <w:rPr>
          <w:rFonts w:ascii="Times New Roman" w:eastAsia="Times New Roman" w:hAnsi="Times New Roman" w:cs="Times New Roman"/>
          <w:sz w:val="22"/>
          <w:szCs w:val="22"/>
          <w:lang w:val="en-GB"/>
        </w:rPr>
        <w:t xml:space="preserve"> </w:t>
      </w:r>
      <w:r w:rsidRPr="00132956">
        <w:rPr>
          <w:rFonts w:ascii="Times New Roman" w:eastAsia="Times New Roman" w:hAnsi="Times New Roman" w:cs="Times New Roman"/>
          <w:sz w:val="22"/>
          <w:szCs w:val="22"/>
          <w:lang w:val="en-GB"/>
        </w:rPr>
        <w:t>Mauring, Special Representative</w:t>
      </w:r>
    </w:p>
    <w:p w:rsidR="005827A4" w:rsidRPr="00132956" w:rsidRDefault="005827A4" w:rsidP="00132956">
      <w:pPr>
        <w:numPr>
          <w:ilvl w:val="0"/>
          <w:numId w:val="6"/>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Yasmine</w:t>
      </w:r>
      <w:r w:rsidR="00E8775C">
        <w:rPr>
          <w:rFonts w:ascii="Times New Roman" w:eastAsia="Times New Roman" w:hAnsi="Times New Roman" w:cs="Times New Roman"/>
          <w:sz w:val="22"/>
          <w:szCs w:val="22"/>
          <w:lang w:val="en-GB"/>
        </w:rPr>
        <w:t xml:space="preserve"> </w:t>
      </w:r>
      <w:r w:rsidRPr="00132956">
        <w:rPr>
          <w:rFonts w:ascii="Times New Roman" w:eastAsia="Times New Roman" w:hAnsi="Times New Roman" w:cs="Times New Roman"/>
          <w:sz w:val="22"/>
          <w:szCs w:val="22"/>
          <w:lang w:val="en-GB"/>
        </w:rPr>
        <w:t>Sherif, Deputy Special Representative</w:t>
      </w:r>
    </w:p>
    <w:p w:rsidR="005827A4" w:rsidRPr="00132956" w:rsidRDefault="005827A4" w:rsidP="00132956">
      <w:pPr>
        <w:numPr>
          <w:ilvl w:val="0"/>
          <w:numId w:val="7"/>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Abla</w:t>
      </w:r>
      <w:r w:rsidR="00E8775C">
        <w:rPr>
          <w:rFonts w:ascii="Times New Roman" w:eastAsia="Times New Roman" w:hAnsi="Times New Roman" w:cs="Times New Roman"/>
          <w:sz w:val="22"/>
          <w:szCs w:val="22"/>
          <w:lang w:val="en-GB"/>
        </w:rPr>
        <w:t xml:space="preserve"> </w:t>
      </w:r>
      <w:r w:rsidRPr="00132956">
        <w:rPr>
          <w:rFonts w:ascii="Times New Roman" w:eastAsia="Times New Roman" w:hAnsi="Times New Roman" w:cs="Times New Roman"/>
          <w:sz w:val="22"/>
          <w:szCs w:val="22"/>
          <w:lang w:val="en-GB"/>
        </w:rPr>
        <w:t>Amawi, Team Leader/Senior Governance Advisor</w:t>
      </w:r>
    </w:p>
    <w:p w:rsidR="005827A4" w:rsidRPr="00132956" w:rsidRDefault="005827A4" w:rsidP="00132956">
      <w:pPr>
        <w:spacing w:after="0" w:line="240" w:lineRule="auto"/>
        <w:ind w:left="-270" w:right="-358"/>
        <w:rPr>
          <w:rFonts w:ascii="Times New Roman" w:eastAsia="Times New Roman" w:hAnsi="Times New Roman" w:cs="Times New Roman"/>
          <w:sz w:val="22"/>
          <w:szCs w:val="22"/>
          <w:lang w:val="en-GB"/>
        </w:rPr>
      </w:pPr>
    </w:p>
    <w:p w:rsidR="005827A4" w:rsidRDefault="005827A4" w:rsidP="00132956">
      <w:pPr>
        <w:spacing w:after="0" w:line="240" w:lineRule="auto"/>
        <w:ind w:left="-270" w:right="-358"/>
        <w:rPr>
          <w:rFonts w:ascii="Times New Roman" w:eastAsia="Times New Roman" w:hAnsi="Times New Roman" w:cs="Times New Roman"/>
          <w:i/>
          <w:iCs/>
          <w:sz w:val="22"/>
          <w:szCs w:val="22"/>
          <w:lang w:val="en-GB"/>
        </w:rPr>
      </w:pPr>
      <w:r w:rsidRPr="00132956">
        <w:rPr>
          <w:rFonts w:ascii="Times New Roman" w:eastAsia="Times New Roman" w:hAnsi="Times New Roman" w:cs="Times New Roman"/>
          <w:i/>
          <w:iCs/>
          <w:sz w:val="22"/>
          <w:szCs w:val="22"/>
          <w:lang w:val="en-GB"/>
        </w:rPr>
        <w:t>Venue: UNDP Office (Jerusalem)</w:t>
      </w:r>
    </w:p>
    <w:p w:rsidR="00132956" w:rsidRPr="00132956" w:rsidRDefault="00132956" w:rsidP="00132956">
      <w:pPr>
        <w:spacing w:after="0" w:line="240" w:lineRule="auto"/>
        <w:ind w:left="-270" w:right="-358"/>
        <w:rPr>
          <w:rFonts w:ascii="Times New Roman" w:eastAsia="Times New Roman" w:hAnsi="Times New Roman" w:cs="Times New Roman"/>
          <w:i/>
          <w:iCs/>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b/>
          <w:bCs/>
          <w:i/>
          <w:iCs/>
          <w:sz w:val="22"/>
          <w:szCs w:val="22"/>
          <w:lang w:val="en-GB"/>
        </w:rPr>
      </w:pPr>
      <w:r w:rsidRPr="00132956">
        <w:rPr>
          <w:rFonts w:ascii="Times New Roman" w:eastAsia="Times New Roman" w:hAnsi="Times New Roman" w:cs="Times New Roman"/>
          <w:b/>
          <w:bCs/>
          <w:i/>
          <w:iCs/>
          <w:sz w:val="22"/>
          <w:szCs w:val="22"/>
          <w:lang w:val="en-GB"/>
        </w:rPr>
        <w:t>12:30-14:00 UNDP Rule of Law &amp; Access to Justice Programme in the oPt</w:t>
      </w:r>
    </w:p>
    <w:p w:rsidR="005827A4" w:rsidRPr="00132956" w:rsidRDefault="005827A4" w:rsidP="00132956">
      <w:pPr>
        <w:spacing w:after="0" w:line="240" w:lineRule="auto"/>
        <w:ind w:left="-270" w:right="-358"/>
        <w:rPr>
          <w:rFonts w:ascii="Times New Roman" w:eastAsia="Times New Roman" w:hAnsi="Times New Roman" w:cs="Times New Roman"/>
          <w:b/>
          <w:bCs/>
          <w:i/>
          <w:iCs/>
          <w:sz w:val="22"/>
          <w:szCs w:val="22"/>
          <w:lang w:val="en-GB"/>
        </w:rPr>
      </w:pPr>
    </w:p>
    <w:p w:rsidR="005827A4" w:rsidRPr="00132956" w:rsidRDefault="005827A4" w:rsidP="00132956">
      <w:pPr>
        <w:numPr>
          <w:ilvl w:val="0"/>
          <w:numId w:val="7"/>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Maarten Barends, Chief Technical Specialist/Programme Manager</w:t>
      </w:r>
    </w:p>
    <w:p w:rsidR="005827A4" w:rsidRPr="00132956" w:rsidRDefault="005827A4" w:rsidP="00132956">
      <w:pPr>
        <w:numPr>
          <w:ilvl w:val="0"/>
          <w:numId w:val="7"/>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Carolyn Graydon, Deputy Programme Manager (West Bank)</w:t>
      </w:r>
    </w:p>
    <w:p w:rsidR="005827A4" w:rsidRPr="00132956" w:rsidRDefault="005827A4" w:rsidP="00132956">
      <w:pPr>
        <w:numPr>
          <w:ilvl w:val="0"/>
          <w:numId w:val="7"/>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Jihad Shomali, Access to Justice Analyst</w:t>
      </w:r>
    </w:p>
    <w:p w:rsidR="005827A4" w:rsidRPr="00132956" w:rsidRDefault="005827A4" w:rsidP="00132956">
      <w:pPr>
        <w:numPr>
          <w:ilvl w:val="0"/>
          <w:numId w:val="7"/>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Dareen</w:t>
      </w:r>
      <w:r w:rsidR="00E8775C">
        <w:rPr>
          <w:rFonts w:ascii="Times New Roman" w:eastAsia="Times New Roman" w:hAnsi="Times New Roman" w:cs="Times New Roman"/>
          <w:sz w:val="22"/>
          <w:szCs w:val="22"/>
          <w:lang w:val="en-GB"/>
        </w:rPr>
        <w:t xml:space="preserve"> </w:t>
      </w:r>
      <w:r w:rsidRPr="00132956">
        <w:rPr>
          <w:rFonts w:ascii="Times New Roman" w:eastAsia="Times New Roman" w:hAnsi="Times New Roman" w:cs="Times New Roman"/>
          <w:sz w:val="22"/>
          <w:szCs w:val="22"/>
          <w:lang w:val="en-GB"/>
        </w:rPr>
        <w:t>Khattab, Gender &amp; Juvenile Justice Analyst</w:t>
      </w:r>
    </w:p>
    <w:p w:rsidR="005827A4" w:rsidRPr="00132956" w:rsidRDefault="005827A4" w:rsidP="00132956">
      <w:pPr>
        <w:numPr>
          <w:ilvl w:val="0"/>
          <w:numId w:val="7"/>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Yousef</w:t>
      </w:r>
      <w:r w:rsidR="00E8775C">
        <w:rPr>
          <w:rFonts w:ascii="Times New Roman" w:eastAsia="Times New Roman" w:hAnsi="Times New Roman" w:cs="Times New Roman"/>
          <w:sz w:val="22"/>
          <w:szCs w:val="22"/>
          <w:lang w:val="en-GB"/>
        </w:rPr>
        <w:t xml:space="preserve"> </w:t>
      </w:r>
      <w:r w:rsidRPr="00132956">
        <w:rPr>
          <w:rFonts w:ascii="Times New Roman" w:eastAsia="Times New Roman" w:hAnsi="Times New Roman" w:cs="Times New Roman"/>
          <w:sz w:val="22"/>
          <w:szCs w:val="22"/>
          <w:lang w:val="en-GB"/>
        </w:rPr>
        <w:t>Adwan, Monitoring &amp; Evaluation Analyst</w:t>
      </w:r>
    </w:p>
    <w:p w:rsidR="005827A4" w:rsidRPr="00132956" w:rsidRDefault="005827A4" w:rsidP="00132956">
      <w:pPr>
        <w:numPr>
          <w:ilvl w:val="0"/>
          <w:numId w:val="7"/>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Sameer Jebril, Finance Associate</w:t>
      </w:r>
    </w:p>
    <w:p w:rsidR="005827A4" w:rsidRPr="00132956" w:rsidRDefault="005827A4" w:rsidP="00132956">
      <w:pPr>
        <w:numPr>
          <w:ilvl w:val="0"/>
          <w:numId w:val="7"/>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Julie Samara, Programme Assistant</w:t>
      </w:r>
    </w:p>
    <w:p w:rsidR="005827A4" w:rsidRPr="00132956" w:rsidRDefault="005827A4" w:rsidP="00132956">
      <w:pPr>
        <w:spacing w:after="0" w:line="240" w:lineRule="auto"/>
        <w:ind w:left="-270" w:right="-358"/>
        <w:rPr>
          <w:rFonts w:ascii="Times New Roman" w:eastAsia="Times New Roman" w:hAnsi="Times New Roman" w:cs="Times New Roman"/>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i/>
          <w:iCs/>
          <w:sz w:val="22"/>
          <w:szCs w:val="22"/>
          <w:lang w:val="en-GB"/>
        </w:rPr>
      </w:pPr>
      <w:r w:rsidRPr="00132956">
        <w:rPr>
          <w:rFonts w:ascii="Times New Roman" w:eastAsia="Times New Roman" w:hAnsi="Times New Roman" w:cs="Times New Roman"/>
          <w:i/>
          <w:iCs/>
          <w:sz w:val="22"/>
          <w:szCs w:val="22"/>
          <w:lang w:val="en-GB"/>
        </w:rPr>
        <w:t>Venue: UNDP Office (Ramallah)</w:t>
      </w:r>
    </w:p>
    <w:p w:rsidR="005827A4" w:rsidRPr="00132956" w:rsidRDefault="005827A4" w:rsidP="00132956">
      <w:pPr>
        <w:spacing w:after="0" w:line="240" w:lineRule="auto"/>
        <w:ind w:left="-270" w:right="-358"/>
        <w:rPr>
          <w:rFonts w:ascii="Times New Roman" w:eastAsia="Times New Roman" w:hAnsi="Times New Roman" w:cs="Times New Roman"/>
          <w:b/>
          <w:bCs/>
          <w:sz w:val="22"/>
          <w:szCs w:val="22"/>
          <w:u w:val="single"/>
          <w:lang w:val="en-GB"/>
        </w:rPr>
      </w:pPr>
    </w:p>
    <w:p w:rsidR="005827A4" w:rsidRPr="00132956" w:rsidRDefault="005827A4" w:rsidP="00132956">
      <w:pPr>
        <w:spacing w:after="0" w:line="240" w:lineRule="auto"/>
        <w:ind w:left="-270" w:right="-358"/>
        <w:rPr>
          <w:rFonts w:ascii="Times New Roman" w:eastAsia="Times New Roman" w:hAnsi="Times New Roman" w:cs="Times New Roman"/>
          <w:b/>
          <w:bCs/>
          <w:i/>
          <w:iCs/>
          <w:sz w:val="22"/>
          <w:szCs w:val="22"/>
          <w:lang w:val="en-GB"/>
        </w:rPr>
      </w:pPr>
      <w:r w:rsidRPr="00132956">
        <w:rPr>
          <w:rFonts w:ascii="Times New Roman" w:eastAsia="Times New Roman" w:hAnsi="Times New Roman" w:cs="Times New Roman"/>
          <w:b/>
          <w:bCs/>
          <w:i/>
          <w:iCs/>
          <w:sz w:val="22"/>
          <w:szCs w:val="22"/>
          <w:lang w:val="en-GB"/>
        </w:rPr>
        <w:t>15:00-16:30 Swedish International Development Cooperation Agency</w:t>
      </w:r>
    </w:p>
    <w:p w:rsidR="005827A4" w:rsidRPr="00132956" w:rsidRDefault="005827A4" w:rsidP="00132956">
      <w:pPr>
        <w:spacing w:after="0" w:line="240" w:lineRule="auto"/>
        <w:ind w:left="-270" w:right="-358"/>
        <w:rPr>
          <w:rFonts w:ascii="Times New Roman" w:eastAsia="Times New Roman" w:hAnsi="Times New Roman" w:cs="Times New Roman"/>
          <w:b/>
          <w:bCs/>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Fredrik Westerholm, Consul/Development Cooperation</w:t>
      </w:r>
    </w:p>
    <w:p w:rsidR="005827A4" w:rsidRPr="00132956" w:rsidRDefault="005827A4" w:rsidP="00132956">
      <w:pPr>
        <w:spacing w:after="0" w:line="240" w:lineRule="auto"/>
        <w:ind w:left="-270" w:right="-358"/>
        <w:rPr>
          <w:rFonts w:ascii="Times New Roman" w:eastAsia="Times New Roman" w:hAnsi="Times New Roman" w:cs="Times New Roman"/>
          <w:b/>
          <w:bCs/>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i/>
          <w:iCs/>
          <w:sz w:val="22"/>
          <w:szCs w:val="22"/>
          <w:lang w:val="en-GB"/>
        </w:rPr>
      </w:pPr>
      <w:r w:rsidRPr="00132956">
        <w:rPr>
          <w:rFonts w:ascii="Times New Roman" w:eastAsia="Times New Roman" w:hAnsi="Times New Roman" w:cs="Times New Roman"/>
          <w:i/>
          <w:iCs/>
          <w:sz w:val="22"/>
          <w:szCs w:val="22"/>
          <w:lang w:val="en-GB"/>
        </w:rPr>
        <w:t>Venue: Swedish Consulate (Jerusalem)</w:t>
      </w:r>
    </w:p>
    <w:p w:rsidR="005827A4" w:rsidRPr="00132956" w:rsidRDefault="005827A4" w:rsidP="00132956">
      <w:pPr>
        <w:spacing w:after="0" w:line="240" w:lineRule="auto"/>
        <w:ind w:left="-270" w:right="-358"/>
        <w:rPr>
          <w:rFonts w:ascii="Times New Roman" w:eastAsia="Times New Roman" w:hAnsi="Times New Roman" w:cs="Times New Roman"/>
          <w:b/>
          <w:bCs/>
          <w:sz w:val="22"/>
          <w:szCs w:val="22"/>
          <w:lang w:val="en-GB"/>
        </w:rPr>
      </w:pPr>
    </w:p>
    <w:p w:rsidR="005827A4" w:rsidRPr="00132956" w:rsidRDefault="005827A4" w:rsidP="00132956">
      <w:pPr>
        <w:spacing w:after="0" w:line="240" w:lineRule="auto"/>
        <w:ind w:left="-270" w:right="-358"/>
        <w:jc w:val="center"/>
        <w:rPr>
          <w:rFonts w:ascii="Times New Roman" w:eastAsia="Times New Roman" w:hAnsi="Times New Roman" w:cs="Times New Roman"/>
          <w:b/>
          <w:bCs/>
          <w:sz w:val="22"/>
          <w:szCs w:val="22"/>
          <w:u w:val="single"/>
          <w:lang w:val="en-GB"/>
        </w:rPr>
      </w:pPr>
      <w:r w:rsidRPr="00132956">
        <w:rPr>
          <w:rFonts w:ascii="Times New Roman" w:eastAsia="Times New Roman" w:hAnsi="Times New Roman" w:cs="Times New Roman"/>
          <w:b/>
          <w:bCs/>
          <w:sz w:val="22"/>
          <w:szCs w:val="22"/>
          <w:u w:val="single"/>
          <w:lang w:val="en-GB"/>
        </w:rPr>
        <w:t>Wednesday, 9 January 2013</w:t>
      </w:r>
    </w:p>
    <w:p w:rsidR="005827A4" w:rsidRPr="00132956" w:rsidRDefault="005827A4" w:rsidP="00132956">
      <w:pPr>
        <w:spacing w:after="0" w:line="240" w:lineRule="auto"/>
        <w:ind w:left="-270" w:right="-358"/>
        <w:jc w:val="center"/>
        <w:rPr>
          <w:rFonts w:ascii="Times New Roman" w:eastAsia="Times New Roman" w:hAnsi="Times New Roman" w:cs="Times New Roman"/>
          <w:b/>
          <w:bCs/>
          <w:sz w:val="22"/>
          <w:szCs w:val="22"/>
          <w:u w:val="single"/>
          <w:lang w:val="en-GB"/>
        </w:rPr>
      </w:pPr>
    </w:p>
    <w:p w:rsidR="005827A4" w:rsidRPr="00132956" w:rsidRDefault="005827A4" w:rsidP="00132956">
      <w:pPr>
        <w:spacing w:after="0" w:line="240" w:lineRule="auto"/>
        <w:ind w:left="-270" w:right="-358"/>
        <w:rPr>
          <w:rFonts w:ascii="Times New Roman" w:eastAsia="Times New Roman" w:hAnsi="Times New Roman" w:cs="Times New Roman"/>
          <w:b/>
          <w:bCs/>
          <w:i/>
          <w:iCs/>
          <w:sz w:val="22"/>
          <w:szCs w:val="22"/>
          <w:lang w:val="en-GB"/>
        </w:rPr>
      </w:pPr>
      <w:r w:rsidRPr="00132956">
        <w:rPr>
          <w:rFonts w:ascii="Times New Roman" w:eastAsia="Times New Roman" w:hAnsi="Times New Roman" w:cs="Times New Roman"/>
          <w:b/>
          <w:bCs/>
          <w:i/>
          <w:iCs/>
          <w:sz w:val="22"/>
          <w:szCs w:val="22"/>
          <w:lang w:val="en-GB"/>
        </w:rPr>
        <w:t>11:00-13:00 Plenary ROL Team Meeting</w:t>
      </w:r>
    </w:p>
    <w:p w:rsidR="005827A4" w:rsidRPr="00132956" w:rsidRDefault="005827A4" w:rsidP="00132956">
      <w:pPr>
        <w:spacing w:after="0" w:line="240" w:lineRule="auto"/>
        <w:ind w:left="-270" w:right="-358"/>
        <w:rPr>
          <w:rFonts w:ascii="Times New Roman" w:eastAsia="Times New Roman" w:hAnsi="Times New Roman" w:cs="Times New Roman"/>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i/>
          <w:iCs/>
          <w:sz w:val="22"/>
          <w:szCs w:val="22"/>
          <w:lang w:val="en-GB"/>
        </w:rPr>
      </w:pPr>
      <w:r w:rsidRPr="00132956">
        <w:rPr>
          <w:rFonts w:ascii="Times New Roman" w:eastAsia="Times New Roman" w:hAnsi="Times New Roman" w:cs="Times New Roman"/>
          <w:i/>
          <w:iCs/>
          <w:sz w:val="22"/>
          <w:szCs w:val="22"/>
          <w:lang w:val="en-GB"/>
        </w:rPr>
        <w:t>Venue: UNDP Office (Ramallah)</w:t>
      </w:r>
    </w:p>
    <w:p w:rsidR="005827A4" w:rsidRPr="00132956" w:rsidRDefault="005827A4" w:rsidP="00132956">
      <w:pPr>
        <w:spacing w:after="0" w:line="240" w:lineRule="auto"/>
        <w:ind w:right="-358"/>
        <w:rPr>
          <w:rFonts w:ascii="Times New Roman" w:eastAsia="Times New Roman" w:hAnsi="Times New Roman" w:cs="Times New Roman"/>
          <w:b/>
          <w:bCs/>
          <w:sz w:val="22"/>
          <w:szCs w:val="22"/>
          <w:u w:val="single"/>
          <w:lang w:val="en-GB"/>
        </w:rPr>
      </w:pPr>
    </w:p>
    <w:p w:rsidR="005827A4" w:rsidRPr="00132956" w:rsidRDefault="005827A4" w:rsidP="00132956">
      <w:pPr>
        <w:spacing w:after="0" w:line="240" w:lineRule="auto"/>
        <w:ind w:right="-358"/>
        <w:rPr>
          <w:rFonts w:ascii="Times New Roman" w:eastAsia="Times New Roman" w:hAnsi="Times New Roman" w:cs="Times New Roman"/>
          <w:b/>
          <w:bCs/>
          <w:sz w:val="22"/>
          <w:szCs w:val="22"/>
          <w:u w:val="single"/>
          <w:lang w:val="en-GB"/>
        </w:rPr>
      </w:pPr>
    </w:p>
    <w:p w:rsidR="005827A4" w:rsidRPr="00132956" w:rsidRDefault="005827A4" w:rsidP="00132956">
      <w:pPr>
        <w:spacing w:after="0" w:line="240" w:lineRule="auto"/>
        <w:ind w:right="-358"/>
        <w:rPr>
          <w:rFonts w:ascii="Times New Roman" w:eastAsia="Times New Roman" w:hAnsi="Times New Roman" w:cs="Times New Roman"/>
          <w:b/>
          <w:bCs/>
          <w:sz w:val="22"/>
          <w:szCs w:val="22"/>
          <w:u w:val="single"/>
          <w:lang w:val="en-GB"/>
        </w:rPr>
      </w:pPr>
    </w:p>
    <w:p w:rsidR="005827A4" w:rsidRPr="00132956" w:rsidRDefault="005827A4" w:rsidP="00132956">
      <w:pPr>
        <w:spacing w:after="0" w:line="240" w:lineRule="auto"/>
        <w:ind w:left="-270" w:right="-358"/>
        <w:jc w:val="center"/>
        <w:rPr>
          <w:rFonts w:ascii="Times New Roman" w:eastAsia="Times New Roman" w:hAnsi="Times New Roman" w:cs="Times New Roman"/>
          <w:b/>
          <w:bCs/>
          <w:sz w:val="22"/>
          <w:szCs w:val="22"/>
          <w:u w:val="single"/>
          <w:lang w:val="en-GB"/>
        </w:rPr>
      </w:pPr>
      <w:r w:rsidRPr="00132956">
        <w:rPr>
          <w:rFonts w:ascii="Times New Roman" w:eastAsia="Times New Roman" w:hAnsi="Times New Roman" w:cs="Times New Roman"/>
          <w:b/>
          <w:bCs/>
          <w:sz w:val="22"/>
          <w:szCs w:val="22"/>
          <w:u w:val="single"/>
          <w:lang w:val="en-GB"/>
        </w:rPr>
        <w:lastRenderedPageBreak/>
        <w:t>Thursday, 10 January 2013</w:t>
      </w:r>
    </w:p>
    <w:p w:rsidR="005827A4" w:rsidRPr="00132956" w:rsidRDefault="005827A4" w:rsidP="00132956">
      <w:pPr>
        <w:spacing w:after="0" w:line="240" w:lineRule="auto"/>
        <w:ind w:right="-358"/>
        <w:rPr>
          <w:rFonts w:ascii="Times New Roman" w:eastAsia="Times New Roman" w:hAnsi="Times New Roman" w:cs="Times New Roman"/>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b/>
          <w:bCs/>
          <w:i/>
          <w:iCs/>
          <w:sz w:val="22"/>
          <w:szCs w:val="22"/>
          <w:lang w:val="en-GB"/>
        </w:rPr>
      </w:pPr>
      <w:r w:rsidRPr="00132956">
        <w:rPr>
          <w:rFonts w:ascii="Times New Roman" w:eastAsia="Times New Roman" w:hAnsi="Times New Roman" w:cs="Times New Roman"/>
          <w:b/>
          <w:bCs/>
          <w:i/>
          <w:iCs/>
          <w:sz w:val="22"/>
          <w:szCs w:val="22"/>
          <w:lang w:val="en-GB"/>
        </w:rPr>
        <w:t>19:00-21:00 EU Police Co-ordinating Office for Palestinian Police Support</w:t>
      </w:r>
    </w:p>
    <w:p w:rsidR="005827A4" w:rsidRPr="00132956" w:rsidRDefault="005827A4" w:rsidP="00132956">
      <w:pPr>
        <w:spacing w:after="0" w:line="240" w:lineRule="auto"/>
        <w:ind w:left="-270" w:right="-358"/>
        <w:rPr>
          <w:rFonts w:ascii="Times New Roman" w:eastAsia="Times New Roman" w:hAnsi="Times New Roman" w:cs="Times New Roman"/>
          <w:sz w:val="22"/>
          <w:szCs w:val="22"/>
          <w:lang w:val="en-GB"/>
        </w:rPr>
      </w:pPr>
    </w:p>
    <w:p w:rsidR="005827A4" w:rsidRPr="00132956" w:rsidRDefault="005827A4" w:rsidP="00132956">
      <w:pPr>
        <w:numPr>
          <w:ilvl w:val="0"/>
          <w:numId w:val="28"/>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Mike Albers, Programme Director</w:t>
      </w:r>
    </w:p>
    <w:p w:rsidR="005827A4" w:rsidRPr="00132956" w:rsidRDefault="005827A4" w:rsidP="00132956">
      <w:pPr>
        <w:numPr>
          <w:ilvl w:val="0"/>
          <w:numId w:val="28"/>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Ana Kantor, Programme Advisor</w:t>
      </w:r>
    </w:p>
    <w:p w:rsidR="005827A4" w:rsidRPr="00132956" w:rsidRDefault="005827A4" w:rsidP="00132956">
      <w:pPr>
        <w:spacing w:after="0" w:line="240" w:lineRule="auto"/>
        <w:ind w:left="-270" w:right="-358"/>
        <w:rPr>
          <w:rFonts w:ascii="Times New Roman" w:eastAsia="Times New Roman" w:hAnsi="Times New Roman" w:cs="Times New Roman"/>
          <w:sz w:val="22"/>
          <w:szCs w:val="22"/>
          <w:lang w:val="en-GB"/>
        </w:rPr>
      </w:pPr>
    </w:p>
    <w:p w:rsidR="005827A4" w:rsidRDefault="005827A4" w:rsidP="00132956">
      <w:pPr>
        <w:spacing w:after="0" w:line="240" w:lineRule="auto"/>
        <w:ind w:left="-270" w:right="-358"/>
        <w:rPr>
          <w:rFonts w:ascii="Times New Roman" w:eastAsia="Times New Roman" w:hAnsi="Times New Roman" w:cs="Times New Roman"/>
          <w:i/>
          <w:iCs/>
          <w:sz w:val="22"/>
          <w:szCs w:val="22"/>
          <w:lang w:val="en-GB"/>
        </w:rPr>
      </w:pPr>
      <w:r w:rsidRPr="00132956">
        <w:rPr>
          <w:rFonts w:ascii="Times New Roman" w:eastAsia="Times New Roman" w:hAnsi="Times New Roman" w:cs="Times New Roman"/>
          <w:i/>
          <w:iCs/>
          <w:sz w:val="22"/>
          <w:szCs w:val="22"/>
          <w:lang w:val="en-GB"/>
        </w:rPr>
        <w:t>Venue: American Colony (Jerusalem)</w:t>
      </w:r>
    </w:p>
    <w:p w:rsidR="00132956" w:rsidRPr="00132956" w:rsidRDefault="00132956" w:rsidP="00132956">
      <w:pPr>
        <w:spacing w:after="0" w:line="240" w:lineRule="auto"/>
        <w:ind w:left="-270" w:right="-358"/>
        <w:rPr>
          <w:rFonts w:ascii="Times New Roman" w:eastAsia="Times New Roman" w:hAnsi="Times New Roman" w:cs="Times New Roman"/>
          <w:i/>
          <w:iCs/>
          <w:sz w:val="22"/>
          <w:szCs w:val="22"/>
          <w:lang w:val="en-GB"/>
        </w:rPr>
      </w:pPr>
    </w:p>
    <w:p w:rsidR="005827A4" w:rsidRPr="00132956" w:rsidRDefault="005827A4" w:rsidP="00132956">
      <w:pPr>
        <w:spacing w:after="0" w:line="240" w:lineRule="auto"/>
        <w:ind w:left="-270" w:right="-358"/>
        <w:jc w:val="center"/>
        <w:rPr>
          <w:rFonts w:ascii="Times New Roman" w:eastAsia="Times New Roman" w:hAnsi="Times New Roman" w:cs="Times New Roman"/>
          <w:b/>
          <w:bCs/>
          <w:sz w:val="22"/>
          <w:szCs w:val="22"/>
          <w:u w:val="single"/>
          <w:lang w:val="en-GB"/>
        </w:rPr>
      </w:pPr>
      <w:r w:rsidRPr="00132956">
        <w:rPr>
          <w:rFonts w:ascii="Times New Roman" w:eastAsia="Times New Roman" w:hAnsi="Times New Roman" w:cs="Times New Roman"/>
          <w:b/>
          <w:bCs/>
          <w:sz w:val="22"/>
          <w:szCs w:val="22"/>
          <w:u w:val="single"/>
          <w:lang w:val="en-GB"/>
        </w:rPr>
        <w:t>Friday, 11 January 2013</w:t>
      </w:r>
    </w:p>
    <w:p w:rsidR="005827A4" w:rsidRPr="00132956" w:rsidRDefault="005827A4" w:rsidP="00132956">
      <w:pPr>
        <w:spacing w:after="0" w:line="240" w:lineRule="auto"/>
        <w:ind w:left="-270" w:right="-358"/>
        <w:jc w:val="center"/>
        <w:rPr>
          <w:rFonts w:ascii="Times New Roman" w:eastAsia="Times New Roman" w:hAnsi="Times New Roman" w:cs="Times New Roman"/>
          <w:b/>
          <w:bCs/>
          <w:sz w:val="22"/>
          <w:szCs w:val="22"/>
          <w:u w:val="single"/>
          <w:lang w:val="en-GB"/>
        </w:rPr>
      </w:pPr>
    </w:p>
    <w:p w:rsidR="005827A4" w:rsidRPr="00132956" w:rsidRDefault="00132956" w:rsidP="00132956">
      <w:pPr>
        <w:spacing w:after="0" w:line="240" w:lineRule="auto"/>
        <w:ind w:left="-270" w:right="-358"/>
        <w:rPr>
          <w:rFonts w:ascii="Times New Roman" w:eastAsia="Times New Roman" w:hAnsi="Times New Roman" w:cs="Times New Roman"/>
          <w:b/>
          <w:bCs/>
          <w:i/>
          <w:iCs/>
          <w:sz w:val="22"/>
          <w:szCs w:val="22"/>
          <w:lang w:val="en-GB"/>
        </w:rPr>
      </w:pPr>
      <w:r>
        <w:rPr>
          <w:rFonts w:ascii="Times New Roman" w:eastAsia="Times New Roman" w:hAnsi="Times New Roman" w:cs="Times New Roman"/>
          <w:b/>
          <w:bCs/>
          <w:i/>
          <w:sz w:val="22"/>
          <w:szCs w:val="22"/>
          <w:lang w:val="en-GB"/>
        </w:rPr>
        <w:t>0</w:t>
      </w:r>
      <w:r w:rsidR="005827A4" w:rsidRPr="00132956">
        <w:rPr>
          <w:rFonts w:ascii="Times New Roman" w:eastAsia="Times New Roman" w:hAnsi="Times New Roman" w:cs="Times New Roman"/>
          <w:b/>
          <w:bCs/>
          <w:i/>
          <w:sz w:val="22"/>
          <w:szCs w:val="22"/>
          <w:lang w:val="en-GB"/>
        </w:rPr>
        <w:t>9:00-10:30</w:t>
      </w:r>
      <w:r w:rsidR="005827A4" w:rsidRPr="00132956">
        <w:rPr>
          <w:rFonts w:ascii="Times New Roman" w:eastAsia="Times New Roman" w:hAnsi="Times New Roman" w:cs="Times New Roman"/>
          <w:b/>
          <w:bCs/>
          <w:i/>
          <w:iCs/>
          <w:sz w:val="22"/>
          <w:szCs w:val="22"/>
          <w:lang w:val="en-GB"/>
        </w:rPr>
        <w:t>Canadian Representative Office</w:t>
      </w:r>
    </w:p>
    <w:p w:rsidR="005827A4" w:rsidRPr="00132956" w:rsidRDefault="005827A4" w:rsidP="00132956">
      <w:pPr>
        <w:spacing w:after="0" w:line="240" w:lineRule="auto"/>
        <w:ind w:left="-270" w:right="-358"/>
        <w:rPr>
          <w:rFonts w:ascii="Times New Roman" w:eastAsia="Times New Roman" w:hAnsi="Times New Roman" w:cs="Times New Roman"/>
          <w:b/>
          <w:bCs/>
          <w:sz w:val="22"/>
          <w:szCs w:val="22"/>
          <w:lang w:val="en-GB"/>
        </w:rPr>
      </w:pPr>
    </w:p>
    <w:p w:rsidR="005827A4" w:rsidRPr="00132956" w:rsidRDefault="005827A4" w:rsidP="00132956">
      <w:pPr>
        <w:numPr>
          <w:ilvl w:val="0"/>
          <w:numId w:val="8"/>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Zackaria</w:t>
      </w:r>
      <w:r w:rsidR="00E8775C">
        <w:rPr>
          <w:rFonts w:ascii="Times New Roman" w:eastAsia="Times New Roman" w:hAnsi="Times New Roman" w:cs="Times New Roman"/>
          <w:sz w:val="22"/>
          <w:szCs w:val="22"/>
          <w:lang w:val="en-GB"/>
        </w:rPr>
        <w:t xml:space="preserve"> </w:t>
      </w:r>
      <w:r w:rsidRPr="00132956">
        <w:rPr>
          <w:rFonts w:ascii="Times New Roman" w:eastAsia="Times New Roman" w:hAnsi="Times New Roman" w:cs="Times New Roman"/>
          <w:sz w:val="22"/>
          <w:szCs w:val="22"/>
          <w:lang w:val="en-GB"/>
        </w:rPr>
        <w:t>Sabella, Senior Project Officer</w:t>
      </w:r>
    </w:p>
    <w:p w:rsidR="005827A4" w:rsidRPr="00132956" w:rsidRDefault="005827A4" w:rsidP="00132956">
      <w:pPr>
        <w:numPr>
          <w:ilvl w:val="0"/>
          <w:numId w:val="8"/>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Sandra Leduc, Justice Reform Advisor</w:t>
      </w:r>
    </w:p>
    <w:p w:rsidR="005827A4" w:rsidRPr="00132956" w:rsidRDefault="005827A4" w:rsidP="00132956">
      <w:pPr>
        <w:numPr>
          <w:ilvl w:val="0"/>
          <w:numId w:val="8"/>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Karim</w:t>
      </w:r>
      <w:r w:rsidR="00E8775C">
        <w:rPr>
          <w:rFonts w:ascii="Times New Roman" w:eastAsia="Times New Roman" w:hAnsi="Times New Roman" w:cs="Times New Roman"/>
          <w:sz w:val="22"/>
          <w:szCs w:val="22"/>
          <w:lang w:val="en-GB"/>
        </w:rPr>
        <w:t xml:space="preserve"> </w:t>
      </w:r>
      <w:r w:rsidRPr="00132956">
        <w:rPr>
          <w:rFonts w:ascii="Times New Roman" w:eastAsia="Times New Roman" w:hAnsi="Times New Roman" w:cs="Times New Roman"/>
          <w:sz w:val="22"/>
          <w:szCs w:val="22"/>
          <w:lang w:val="en-GB"/>
        </w:rPr>
        <w:t>Morcos, Head of Development Cooperation</w:t>
      </w:r>
    </w:p>
    <w:p w:rsidR="005827A4" w:rsidRPr="00132956" w:rsidRDefault="005827A4" w:rsidP="00132956">
      <w:pPr>
        <w:spacing w:after="0" w:line="240" w:lineRule="auto"/>
        <w:ind w:left="-270" w:right="-358"/>
        <w:rPr>
          <w:rFonts w:ascii="Times New Roman" w:eastAsia="Times New Roman" w:hAnsi="Times New Roman" w:cs="Times New Roman"/>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i/>
          <w:iCs/>
          <w:sz w:val="22"/>
          <w:szCs w:val="22"/>
          <w:lang w:val="en-GB"/>
        </w:rPr>
      </w:pPr>
      <w:r w:rsidRPr="00132956">
        <w:rPr>
          <w:rFonts w:ascii="Times New Roman" w:eastAsia="Times New Roman" w:hAnsi="Times New Roman" w:cs="Times New Roman"/>
          <w:i/>
          <w:iCs/>
          <w:sz w:val="22"/>
          <w:szCs w:val="22"/>
          <w:lang w:val="en-GB"/>
        </w:rPr>
        <w:t>Venue: Canadian Representative Office (Ramallah)</w:t>
      </w:r>
    </w:p>
    <w:p w:rsidR="005827A4" w:rsidRPr="00132956" w:rsidRDefault="005827A4" w:rsidP="00132956">
      <w:pPr>
        <w:spacing w:after="0" w:line="240" w:lineRule="auto"/>
        <w:ind w:left="-270" w:right="-358"/>
        <w:rPr>
          <w:rFonts w:ascii="Times New Roman" w:eastAsia="Times New Roman" w:hAnsi="Times New Roman" w:cs="Times New Roman"/>
          <w:b/>
          <w:bCs/>
          <w:i/>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b/>
          <w:bCs/>
          <w:i/>
          <w:iCs/>
          <w:sz w:val="22"/>
          <w:szCs w:val="22"/>
          <w:lang w:val="en-GB"/>
        </w:rPr>
      </w:pPr>
      <w:r w:rsidRPr="00132956">
        <w:rPr>
          <w:rFonts w:ascii="Times New Roman" w:eastAsia="Times New Roman" w:hAnsi="Times New Roman" w:cs="Times New Roman"/>
          <w:b/>
          <w:bCs/>
          <w:i/>
          <w:sz w:val="22"/>
          <w:szCs w:val="22"/>
          <w:lang w:val="en-GB"/>
        </w:rPr>
        <w:t xml:space="preserve">11.00-12:30 </w:t>
      </w:r>
      <w:r w:rsidRPr="00132956">
        <w:rPr>
          <w:rFonts w:ascii="Times New Roman" w:eastAsia="Times New Roman" w:hAnsi="Times New Roman" w:cs="Times New Roman"/>
          <w:b/>
          <w:bCs/>
          <w:i/>
          <w:iCs/>
          <w:sz w:val="22"/>
          <w:szCs w:val="22"/>
          <w:lang w:val="en-GB"/>
        </w:rPr>
        <w:t>Netherlands Representative Office</w:t>
      </w:r>
    </w:p>
    <w:p w:rsidR="005827A4" w:rsidRPr="00132956" w:rsidRDefault="005827A4" w:rsidP="00132956">
      <w:pPr>
        <w:spacing w:after="0" w:line="240" w:lineRule="auto"/>
        <w:ind w:right="-358"/>
        <w:rPr>
          <w:rFonts w:ascii="Times New Roman" w:eastAsia="Times New Roman" w:hAnsi="Times New Roman" w:cs="Times New Roman"/>
          <w:b/>
          <w:bCs/>
          <w:sz w:val="22"/>
          <w:szCs w:val="22"/>
          <w:lang w:val="en-GB"/>
        </w:rPr>
      </w:pPr>
    </w:p>
    <w:p w:rsidR="005827A4" w:rsidRPr="00132956" w:rsidRDefault="005827A4" w:rsidP="00132956">
      <w:pPr>
        <w:numPr>
          <w:ilvl w:val="0"/>
          <w:numId w:val="8"/>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Simone Kreutzer, First Secretary/Rule of Law</w:t>
      </w:r>
    </w:p>
    <w:p w:rsidR="005827A4" w:rsidRPr="00132956" w:rsidRDefault="005827A4" w:rsidP="00132956">
      <w:pPr>
        <w:numPr>
          <w:ilvl w:val="0"/>
          <w:numId w:val="8"/>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Gert</w:t>
      </w:r>
      <w:r w:rsidR="00E8775C">
        <w:rPr>
          <w:rFonts w:ascii="Times New Roman" w:eastAsia="Times New Roman" w:hAnsi="Times New Roman" w:cs="Times New Roman"/>
          <w:sz w:val="22"/>
          <w:szCs w:val="22"/>
          <w:lang w:val="en-GB"/>
        </w:rPr>
        <w:t xml:space="preserve"> </w:t>
      </w:r>
      <w:r w:rsidRPr="00132956">
        <w:rPr>
          <w:rFonts w:ascii="Times New Roman" w:eastAsia="Times New Roman" w:hAnsi="Times New Roman" w:cs="Times New Roman"/>
          <w:sz w:val="22"/>
          <w:szCs w:val="22"/>
          <w:lang w:val="en-GB"/>
        </w:rPr>
        <w:t>Kampman, Head of Development Cooperation</w:t>
      </w:r>
    </w:p>
    <w:p w:rsidR="005827A4" w:rsidRPr="00132956" w:rsidRDefault="005827A4" w:rsidP="00132956">
      <w:pPr>
        <w:spacing w:after="0" w:line="240" w:lineRule="auto"/>
        <w:ind w:left="-270" w:right="-358"/>
        <w:rPr>
          <w:rFonts w:ascii="Times New Roman" w:eastAsia="Times New Roman" w:hAnsi="Times New Roman" w:cs="Times New Roman"/>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i/>
          <w:iCs/>
          <w:sz w:val="22"/>
          <w:szCs w:val="22"/>
          <w:lang w:val="en-GB"/>
        </w:rPr>
      </w:pPr>
      <w:r w:rsidRPr="00132956">
        <w:rPr>
          <w:rFonts w:ascii="Times New Roman" w:eastAsia="Times New Roman" w:hAnsi="Times New Roman" w:cs="Times New Roman"/>
          <w:i/>
          <w:iCs/>
          <w:sz w:val="22"/>
          <w:szCs w:val="22"/>
          <w:lang w:val="en-GB"/>
        </w:rPr>
        <w:t>Venue: Netherlands Representative Office (Ramallah)</w:t>
      </w:r>
    </w:p>
    <w:p w:rsidR="005827A4" w:rsidRPr="00132956" w:rsidRDefault="005827A4" w:rsidP="00132956">
      <w:pPr>
        <w:spacing w:after="0" w:line="240" w:lineRule="auto"/>
        <w:ind w:right="-358"/>
        <w:rPr>
          <w:rFonts w:ascii="Times New Roman" w:eastAsia="Times New Roman" w:hAnsi="Times New Roman" w:cs="Times New Roman"/>
          <w:b/>
          <w:bCs/>
          <w:sz w:val="22"/>
          <w:szCs w:val="22"/>
          <w:u w:val="single"/>
          <w:lang w:val="en-GB"/>
        </w:rPr>
      </w:pPr>
    </w:p>
    <w:p w:rsidR="005827A4" w:rsidRPr="00132956" w:rsidRDefault="005827A4" w:rsidP="00132956">
      <w:pPr>
        <w:spacing w:after="0" w:line="240" w:lineRule="auto"/>
        <w:ind w:left="-270" w:right="-358"/>
        <w:jc w:val="center"/>
        <w:rPr>
          <w:rFonts w:ascii="Times New Roman" w:eastAsia="Times New Roman" w:hAnsi="Times New Roman" w:cs="Times New Roman"/>
          <w:b/>
          <w:bCs/>
          <w:sz w:val="22"/>
          <w:szCs w:val="22"/>
          <w:u w:val="single"/>
          <w:lang w:val="en-GB"/>
        </w:rPr>
      </w:pPr>
      <w:r w:rsidRPr="00132956">
        <w:rPr>
          <w:rFonts w:ascii="Times New Roman" w:eastAsia="Times New Roman" w:hAnsi="Times New Roman" w:cs="Times New Roman"/>
          <w:b/>
          <w:bCs/>
          <w:sz w:val="22"/>
          <w:szCs w:val="22"/>
          <w:u w:val="single"/>
          <w:lang w:val="en-GB"/>
        </w:rPr>
        <w:t>Saturday, 12 January 2013</w:t>
      </w:r>
    </w:p>
    <w:p w:rsidR="005827A4" w:rsidRPr="00132956" w:rsidRDefault="005827A4" w:rsidP="00132956">
      <w:pPr>
        <w:spacing w:after="0" w:line="240" w:lineRule="auto"/>
        <w:ind w:right="-358"/>
        <w:rPr>
          <w:rFonts w:ascii="Times New Roman" w:eastAsia="Times New Roman" w:hAnsi="Times New Roman" w:cs="Times New Roman"/>
          <w:b/>
          <w:bCs/>
          <w:i/>
          <w:iCs/>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b/>
          <w:bCs/>
          <w:i/>
          <w:iCs/>
          <w:sz w:val="22"/>
          <w:szCs w:val="22"/>
          <w:lang w:val="en-GB"/>
        </w:rPr>
      </w:pPr>
      <w:r w:rsidRPr="00132956">
        <w:rPr>
          <w:rFonts w:ascii="Times New Roman" w:eastAsia="Times New Roman" w:hAnsi="Times New Roman" w:cs="Times New Roman"/>
          <w:b/>
          <w:bCs/>
          <w:i/>
          <w:iCs/>
          <w:sz w:val="22"/>
          <w:szCs w:val="22"/>
          <w:lang w:val="en-GB"/>
        </w:rPr>
        <w:t>09:00-10:00 Birzeit University’s Institute of Women’s Studies</w:t>
      </w:r>
    </w:p>
    <w:p w:rsidR="005827A4" w:rsidRPr="00132956" w:rsidRDefault="005827A4" w:rsidP="00132956">
      <w:pPr>
        <w:spacing w:after="0" w:line="240" w:lineRule="auto"/>
        <w:ind w:right="-358"/>
        <w:rPr>
          <w:rFonts w:ascii="Times New Roman" w:eastAsia="Times New Roman" w:hAnsi="Times New Roman" w:cs="Times New Roman"/>
          <w:sz w:val="22"/>
          <w:szCs w:val="22"/>
          <w:lang w:val="en-GB"/>
        </w:rPr>
      </w:pPr>
    </w:p>
    <w:p w:rsidR="005827A4" w:rsidRPr="00132956" w:rsidRDefault="005827A4" w:rsidP="00132956">
      <w:pPr>
        <w:numPr>
          <w:ilvl w:val="0"/>
          <w:numId w:val="26"/>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Islah</w:t>
      </w:r>
      <w:r w:rsidR="00E8775C">
        <w:rPr>
          <w:rFonts w:ascii="Times New Roman" w:eastAsia="Times New Roman" w:hAnsi="Times New Roman" w:cs="Times New Roman"/>
          <w:sz w:val="22"/>
          <w:szCs w:val="22"/>
          <w:lang w:val="en-GB"/>
        </w:rPr>
        <w:t xml:space="preserve"> </w:t>
      </w:r>
      <w:r w:rsidRPr="00132956">
        <w:rPr>
          <w:rFonts w:ascii="Times New Roman" w:eastAsia="Times New Roman" w:hAnsi="Times New Roman" w:cs="Times New Roman"/>
          <w:sz w:val="22"/>
          <w:szCs w:val="22"/>
          <w:lang w:val="en-GB"/>
        </w:rPr>
        <w:t>Jad, Director of the Institute of Women’s Studies</w:t>
      </w:r>
    </w:p>
    <w:p w:rsidR="005827A4" w:rsidRPr="00132956" w:rsidRDefault="005827A4" w:rsidP="00132956">
      <w:pPr>
        <w:numPr>
          <w:ilvl w:val="0"/>
          <w:numId w:val="26"/>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Sharry Lapp, Legal Researcher</w:t>
      </w:r>
    </w:p>
    <w:p w:rsidR="005827A4" w:rsidRPr="00132956" w:rsidRDefault="005827A4" w:rsidP="00132956">
      <w:pPr>
        <w:spacing w:after="0" w:line="240" w:lineRule="auto"/>
        <w:ind w:right="-358"/>
        <w:rPr>
          <w:rFonts w:ascii="Times New Roman" w:eastAsia="Times New Roman" w:hAnsi="Times New Roman" w:cs="Times New Roman"/>
          <w:b/>
          <w:bCs/>
          <w:i/>
          <w:iCs/>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i/>
          <w:iCs/>
          <w:sz w:val="22"/>
          <w:szCs w:val="22"/>
          <w:lang w:val="en-GB"/>
        </w:rPr>
      </w:pPr>
      <w:r w:rsidRPr="00132956">
        <w:rPr>
          <w:rFonts w:ascii="Times New Roman" w:eastAsia="Times New Roman" w:hAnsi="Times New Roman" w:cs="Times New Roman"/>
          <w:i/>
          <w:iCs/>
          <w:sz w:val="22"/>
          <w:szCs w:val="22"/>
          <w:lang w:val="en-GB"/>
        </w:rPr>
        <w:t>Venue: Birzeit University (Ramallah)</w:t>
      </w:r>
    </w:p>
    <w:p w:rsidR="005827A4" w:rsidRPr="00132956" w:rsidRDefault="005827A4" w:rsidP="00132956">
      <w:pPr>
        <w:spacing w:after="0" w:line="240" w:lineRule="auto"/>
        <w:ind w:right="-358"/>
        <w:rPr>
          <w:rFonts w:ascii="Times New Roman" w:eastAsia="Times New Roman" w:hAnsi="Times New Roman" w:cs="Times New Roman"/>
          <w:b/>
          <w:bCs/>
          <w:i/>
          <w:iCs/>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b/>
          <w:bCs/>
          <w:i/>
          <w:iCs/>
          <w:sz w:val="22"/>
          <w:szCs w:val="22"/>
          <w:lang w:val="en-GB"/>
        </w:rPr>
      </w:pPr>
      <w:r w:rsidRPr="00132956">
        <w:rPr>
          <w:rFonts w:ascii="Times New Roman" w:eastAsia="Times New Roman" w:hAnsi="Times New Roman" w:cs="Times New Roman"/>
          <w:b/>
          <w:bCs/>
          <w:i/>
          <w:iCs/>
          <w:sz w:val="22"/>
          <w:szCs w:val="22"/>
          <w:lang w:val="en-GB"/>
        </w:rPr>
        <w:t>10:30-12:00 Birzeit University’s Institute of Law</w:t>
      </w:r>
    </w:p>
    <w:p w:rsidR="005827A4" w:rsidRPr="00132956" w:rsidRDefault="005827A4" w:rsidP="00132956">
      <w:pPr>
        <w:spacing w:after="0" w:line="240" w:lineRule="auto"/>
        <w:ind w:left="-270" w:right="-358"/>
        <w:rPr>
          <w:rFonts w:ascii="Times New Roman" w:eastAsia="Times New Roman" w:hAnsi="Times New Roman" w:cs="Times New Roman"/>
          <w:sz w:val="22"/>
          <w:szCs w:val="22"/>
          <w:lang w:val="en-GB"/>
        </w:rPr>
      </w:pPr>
    </w:p>
    <w:p w:rsidR="005827A4" w:rsidRPr="00132956" w:rsidRDefault="005827A4" w:rsidP="00132956">
      <w:pPr>
        <w:numPr>
          <w:ilvl w:val="0"/>
          <w:numId w:val="26"/>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Jamil Salem, Director of the Institute of Law</w:t>
      </w:r>
    </w:p>
    <w:p w:rsidR="005827A4" w:rsidRPr="00132956" w:rsidRDefault="005827A4" w:rsidP="00132956">
      <w:pPr>
        <w:numPr>
          <w:ilvl w:val="0"/>
          <w:numId w:val="26"/>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Nadia Dauoud, Instruction Design Specialist</w:t>
      </w:r>
    </w:p>
    <w:p w:rsidR="005827A4" w:rsidRPr="00132956" w:rsidRDefault="005827A4" w:rsidP="00132956">
      <w:pPr>
        <w:numPr>
          <w:ilvl w:val="0"/>
          <w:numId w:val="26"/>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Reem</w:t>
      </w:r>
      <w:r w:rsidR="00E8775C">
        <w:rPr>
          <w:rFonts w:ascii="Times New Roman" w:eastAsia="Times New Roman" w:hAnsi="Times New Roman" w:cs="Times New Roman"/>
          <w:sz w:val="22"/>
          <w:szCs w:val="22"/>
          <w:lang w:val="en-GB"/>
        </w:rPr>
        <w:t xml:space="preserve"> </w:t>
      </w:r>
      <w:r w:rsidRPr="00132956">
        <w:rPr>
          <w:rFonts w:ascii="Times New Roman" w:eastAsia="Times New Roman" w:hAnsi="Times New Roman" w:cs="Times New Roman"/>
          <w:sz w:val="22"/>
          <w:szCs w:val="22"/>
          <w:lang w:val="en-GB"/>
        </w:rPr>
        <w:t>Botmeh, Researcher</w:t>
      </w:r>
    </w:p>
    <w:p w:rsidR="005827A4" w:rsidRPr="00132956" w:rsidRDefault="005827A4" w:rsidP="00132956">
      <w:pPr>
        <w:spacing w:after="0" w:line="240" w:lineRule="auto"/>
        <w:ind w:right="-358"/>
        <w:rPr>
          <w:rFonts w:ascii="Times New Roman" w:eastAsia="Times New Roman" w:hAnsi="Times New Roman" w:cs="Times New Roman"/>
          <w:b/>
          <w:bCs/>
          <w:i/>
          <w:iCs/>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i/>
          <w:iCs/>
          <w:sz w:val="22"/>
          <w:szCs w:val="22"/>
          <w:lang w:val="en-GB"/>
        </w:rPr>
      </w:pPr>
      <w:r w:rsidRPr="00132956">
        <w:rPr>
          <w:rFonts w:ascii="Times New Roman" w:eastAsia="Times New Roman" w:hAnsi="Times New Roman" w:cs="Times New Roman"/>
          <w:i/>
          <w:iCs/>
          <w:sz w:val="22"/>
          <w:szCs w:val="22"/>
          <w:lang w:val="en-GB"/>
        </w:rPr>
        <w:t>Venue: Birzeit University (Ramallah)</w:t>
      </w:r>
    </w:p>
    <w:p w:rsidR="005827A4" w:rsidRPr="00132956" w:rsidRDefault="005827A4" w:rsidP="00132956">
      <w:pPr>
        <w:spacing w:after="0" w:line="240" w:lineRule="auto"/>
        <w:ind w:right="-358"/>
        <w:rPr>
          <w:rFonts w:ascii="Times New Roman" w:eastAsia="Times New Roman" w:hAnsi="Times New Roman" w:cs="Times New Roman"/>
          <w:b/>
          <w:bCs/>
          <w:i/>
          <w:iCs/>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b/>
          <w:bCs/>
          <w:i/>
          <w:iCs/>
          <w:sz w:val="22"/>
          <w:szCs w:val="22"/>
          <w:lang w:val="en-GB"/>
        </w:rPr>
      </w:pPr>
      <w:r w:rsidRPr="00132956">
        <w:rPr>
          <w:rFonts w:ascii="Times New Roman" w:eastAsia="Times New Roman" w:hAnsi="Times New Roman" w:cs="Times New Roman"/>
          <w:b/>
          <w:bCs/>
          <w:i/>
          <w:iCs/>
          <w:sz w:val="22"/>
          <w:szCs w:val="22"/>
          <w:lang w:val="en-GB"/>
        </w:rPr>
        <w:t>12:00-13:30 Defence for Children International/</w:t>
      </w:r>
      <w:r w:rsidR="00DE216A" w:rsidRPr="00132956">
        <w:rPr>
          <w:rFonts w:ascii="Times New Roman" w:eastAsia="Times New Roman" w:hAnsi="Times New Roman" w:cs="Times New Roman"/>
          <w:b/>
          <w:bCs/>
          <w:i/>
          <w:iCs/>
          <w:sz w:val="22"/>
          <w:szCs w:val="22"/>
          <w:lang w:val="en-GB"/>
        </w:rPr>
        <w:t>oPt</w:t>
      </w:r>
    </w:p>
    <w:p w:rsidR="005827A4" w:rsidRPr="00132956" w:rsidRDefault="005827A4" w:rsidP="00132956">
      <w:pPr>
        <w:spacing w:after="0" w:line="240" w:lineRule="auto"/>
        <w:ind w:left="-270" w:right="-358"/>
        <w:rPr>
          <w:rFonts w:ascii="Times New Roman" w:eastAsia="Times New Roman" w:hAnsi="Times New Roman" w:cs="Times New Roman"/>
          <w:sz w:val="22"/>
          <w:szCs w:val="22"/>
          <w:lang w:val="en-GB"/>
        </w:rPr>
      </w:pPr>
    </w:p>
    <w:p w:rsidR="005827A4" w:rsidRPr="00132956" w:rsidRDefault="005827A4" w:rsidP="00132956">
      <w:pPr>
        <w:numPr>
          <w:ilvl w:val="0"/>
          <w:numId w:val="14"/>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Sukaina</w:t>
      </w:r>
      <w:r w:rsidR="00E8775C">
        <w:rPr>
          <w:rFonts w:ascii="Times New Roman" w:eastAsia="Times New Roman" w:hAnsi="Times New Roman" w:cs="Times New Roman"/>
          <w:sz w:val="22"/>
          <w:szCs w:val="22"/>
          <w:lang w:val="en-GB"/>
        </w:rPr>
        <w:t xml:space="preserve"> </w:t>
      </w:r>
      <w:r w:rsidRPr="00132956">
        <w:rPr>
          <w:rFonts w:ascii="Times New Roman" w:eastAsia="Times New Roman" w:hAnsi="Times New Roman" w:cs="Times New Roman"/>
          <w:sz w:val="22"/>
          <w:szCs w:val="22"/>
          <w:lang w:val="en-GB"/>
        </w:rPr>
        <w:t>Khalawi, Public Relations Officer</w:t>
      </w:r>
    </w:p>
    <w:p w:rsidR="005827A4" w:rsidRPr="00132956" w:rsidRDefault="005827A4" w:rsidP="00132956">
      <w:pPr>
        <w:numPr>
          <w:ilvl w:val="0"/>
          <w:numId w:val="14"/>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Khaled</w:t>
      </w:r>
      <w:r w:rsidR="00E8775C">
        <w:rPr>
          <w:rFonts w:ascii="Times New Roman" w:eastAsia="Times New Roman" w:hAnsi="Times New Roman" w:cs="Times New Roman"/>
          <w:sz w:val="22"/>
          <w:szCs w:val="22"/>
          <w:lang w:val="en-GB"/>
        </w:rPr>
        <w:t xml:space="preserve"> </w:t>
      </w:r>
      <w:r w:rsidRPr="00132956">
        <w:rPr>
          <w:rFonts w:ascii="Times New Roman" w:eastAsia="Times New Roman" w:hAnsi="Times New Roman" w:cs="Times New Roman"/>
          <w:sz w:val="22"/>
          <w:szCs w:val="22"/>
          <w:lang w:val="en-GB"/>
        </w:rPr>
        <w:t>Quzmar, Legal Advisor</w:t>
      </w:r>
    </w:p>
    <w:p w:rsidR="005827A4" w:rsidRPr="00132956" w:rsidRDefault="005827A4" w:rsidP="00132956">
      <w:pPr>
        <w:spacing w:after="0" w:line="240" w:lineRule="auto"/>
        <w:ind w:left="450" w:right="-358"/>
        <w:rPr>
          <w:rFonts w:ascii="Times New Roman" w:eastAsia="Times New Roman" w:hAnsi="Times New Roman" w:cs="Times New Roman"/>
          <w:sz w:val="22"/>
          <w:szCs w:val="22"/>
          <w:lang w:val="en-GB"/>
        </w:rPr>
      </w:pPr>
    </w:p>
    <w:p w:rsidR="005827A4" w:rsidRPr="00132956" w:rsidRDefault="005827A4" w:rsidP="00132956">
      <w:pPr>
        <w:numPr>
          <w:ilvl w:val="0"/>
          <w:numId w:val="14"/>
        </w:numPr>
        <w:spacing w:after="0" w:line="240" w:lineRule="auto"/>
        <w:ind w:right="-358"/>
        <w:rPr>
          <w:rFonts w:ascii="Times New Roman" w:eastAsia="Times New Roman" w:hAnsi="Times New Roman" w:cs="Times New Roman"/>
          <w:b/>
          <w:bCs/>
          <w:sz w:val="22"/>
          <w:szCs w:val="22"/>
          <w:lang w:val="en-GB"/>
        </w:rPr>
      </w:pPr>
      <w:r w:rsidRPr="00132956">
        <w:rPr>
          <w:rFonts w:ascii="Times New Roman" w:eastAsia="Times New Roman" w:hAnsi="Times New Roman" w:cs="Times New Roman"/>
          <w:b/>
          <w:bCs/>
          <w:sz w:val="22"/>
          <w:szCs w:val="22"/>
          <w:lang w:val="en-GB"/>
        </w:rPr>
        <w:t>Focus group discussion with beneficiaries (5-7)</w:t>
      </w:r>
    </w:p>
    <w:p w:rsidR="005827A4" w:rsidRPr="00132956" w:rsidRDefault="005827A4" w:rsidP="00132956">
      <w:pPr>
        <w:spacing w:after="0" w:line="240" w:lineRule="auto"/>
        <w:ind w:right="-358"/>
        <w:rPr>
          <w:rFonts w:ascii="Times New Roman" w:eastAsia="Times New Roman" w:hAnsi="Times New Roman" w:cs="Times New Roman"/>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i/>
          <w:iCs/>
          <w:sz w:val="22"/>
          <w:szCs w:val="22"/>
          <w:lang w:val="en-GB"/>
        </w:rPr>
      </w:pPr>
      <w:r w:rsidRPr="00132956">
        <w:rPr>
          <w:rFonts w:ascii="Times New Roman" w:eastAsia="Times New Roman" w:hAnsi="Times New Roman" w:cs="Times New Roman"/>
          <w:i/>
          <w:iCs/>
          <w:sz w:val="22"/>
          <w:szCs w:val="22"/>
          <w:lang w:val="en-GB"/>
        </w:rPr>
        <w:lastRenderedPageBreak/>
        <w:t>Venue: Defence for Children International/</w:t>
      </w:r>
      <w:r w:rsidR="00DE216A" w:rsidRPr="00132956">
        <w:rPr>
          <w:rFonts w:ascii="Times New Roman" w:eastAsia="Times New Roman" w:hAnsi="Times New Roman" w:cs="Times New Roman"/>
          <w:i/>
          <w:iCs/>
          <w:sz w:val="22"/>
          <w:szCs w:val="22"/>
          <w:lang w:val="en-GB"/>
        </w:rPr>
        <w:t>oPt</w:t>
      </w:r>
      <w:r w:rsidRPr="00132956">
        <w:rPr>
          <w:rFonts w:ascii="Times New Roman" w:eastAsia="Times New Roman" w:hAnsi="Times New Roman" w:cs="Times New Roman"/>
          <w:i/>
          <w:iCs/>
          <w:sz w:val="22"/>
          <w:szCs w:val="22"/>
          <w:lang w:val="en-GB"/>
        </w:rPr>
        <w:t xml:space="preserve"> (Ramallah)</w:t>
      </w:r>
    </w:p>
    <w:p w:rsidR="0019654C" w:rsidRDefault="0019654C" w:rsidP="00132956">
      <w:pPr>
        <w:spacing w:after="0" w:line="240" w:lineRule="auto"/>
        <w:ind w:left="-270" w:right="-358"/>
        <w:jc w:val="center"/>
        <w:rPr>
          <w:rFonts w:ascii="Times New Roman" w:eastAsia="Times New Roman" w:hAnsi="Times New Roman" w:cs="Times New Roman"/>
          <w:b/>
          <w:bCs/>
          <w:sz w:val="22"/>
          <w:szCs w:val="22"/>
          <w:u w:val="single"/>
          <w:lang w:val="en-GB"/>
        </w:rPr>
      </w:pPr>
    </w:p>
    <w:p w:rsidR="005827A4" w:rsidRPr="00132956" w:rsidRDefault="005827A4" w:rsidP="00132956">
      <w:pPr>
        <w:spacing w:after="0" w:line="240" w:lineRule="auto"/>
        <w:ind w:left="-270" w:right="-358"/>
        <w:jc w:val="center"/>
        <w:rPr>
          <w:rFonts w:ascii="Times New Roman" w:eastAsia="Times New Roman" w:hAnsi="Times New Roman" w:cs="Times New Roman"/>
          <w:i/>
          <w:iCs/>
          <w:sz w:val="22"/>
          <w:szCs w:val="22"/>
          <w:lang w:val="en-GB"/>
        </w:rPr>
      </w:pPr>
      <w:r w:rsidRPr="00132956">
        <w:rPr>
          <w:rFonts w:ascii="Times New Roman" w:eastAsia="Times New Roman" w:hAnsi="Times New Roman" w:cs="Times New Roman"/>
          <w:b/>
          <w:bCs/>
          <w:sz w:val="22"/>
          <w:szCs w:val="22"/>
          <w:u w:val="single"/>
          <w:lang w:val="en-GB"/>
        </w:rPr>
        <w:t>Sunday, 13 January 2013</w:t>
      </w:r>
    </w:p>
    <w:p w:rsidR="005827A4" w:rsidRPr="00132956" w:rsidRDefault="005827A4" w:rsidP="00132956">
      <w:pPr>
        <w:spacing w:after="0" w:line="240" w:lineRule="auto"/>
        <w:ind w:right="-358"/>
        <w:rPr>
          <w:rFonts w:ascii="Times New Roman" w:eastAsia="Times New Roman" w:hAnsi="Times New Roman" w:cs="Times New Roman"/>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b/>
          <w:bCs/>
          <w:i/>
          <w:iCs/>
          <w:sz w:val="22"/>
          <w:szCs w:val="22"/>
          <w:lang w:val="en-GB"/>
        </w:rPr>
      </w:pPr>
      <w:r w:rsidRPr="00132956">
        <w:rPr>
          <w:rFonts w:ascii="Times New Roman" w:eastAsia="Times New Roman" w:hAnsi="Times New Roman" w:cs="Times New Roman"/>
          <w:b/>
          <w:bCs/>
          <w:i/>
          <w:iCs/>
          <w:sz w:val="22"/>
          <w:szCs w:val="22"/>
          <w:lang w:val="en-GB"/>
        </w:rPr>
        <w:t>08:30-10:45 Ministry of Justice</w:t>
      </w:r>
    </w:p>
    <w:p w:rsidR="005827A4" w:rsidRPr="00132956" w:rsidRDefault="005827A4" w:rsidP="00132956">
      <w:pPr>
        <w:spacing w:after="0" w:line="240" w:lineRule="auto"/>
        <w:ind w:left="-270" w:right="-358"/>
        <w:rPr>
          <w:rFonts w:ascii="Times New Roman" w:eastAsia="Times New Roman" w:hAnsi="Times New Roman" w:cs="Times New Roman"/>
          <w:sz w:val="22"/>
          <w:szCs w:val="22"/>
          <w:lang w:val="en-GB"/>
        </w:rPr>
      </w:pPr>
    </w:p>
    <w:p w:rsidR="005827A4" w:rsidRPr="00132956" w:rsidRDefault="005827A4" w:rsidP="00132956">
      <w:pPr>
        <w:numPr>
          <w:ilvl w:val="0"/>
          <w:numId w:val="9"/>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 xml:space="preserve">Ali Muhanna, Minister of Justice </w:t>
      </w:r>
    </w:p>
    <w:p w:rsidR="005827A4" w:rsidRPr="00132956" w:rsidRDefault="005827A4" w:rsidP="00132956">
      <w:pPr>
        <w:numPr>
          <w:ilvl w:val="0"/>
          <w:numId w:val="9"/>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Khalil Karaja Al-Rifai, Deputy Minister of Justice</w:t>
      </w:r>
    </w:p>
    <w:p w:rsidR="005827A4" w:rsidRPr="00132956" w:rsidRDefault="005827A4" w:rsidP="00132956">
      <w:pPr>
        <w:numPr>
          <w:ilvl w:val="0"/>
          <w:numId w:val="9"/>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Oday Abu-Karsh,  Policy Advisor (UNDP)</w:t>
      </w:r>
    </w:p>
    <w:p w:rsidR="005827A4" w:rsidRPr="00132956" w:rsidRDefault="005827A4" w:rsidP="00132956">
      <w:pPr>
        <w:numPr>
          <w:ilvl w:val="0"/>
          <w:numId w:val="9"/>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Fatima Da’ana, Gender and Juvenile Justice Advisor (UNDP)</w:t>
      </w:r>
    </w:p>
    <w:p w:rsidR="005827A4" w:rsidRPr="00132956" w:rsidRDefault="005827A4" w:rsidP="00132956">
      <w:pPr>
        <w:spacing w:after="0" w:line="240" w:lineRule="auto"/>
        <w:ind w:left="450" w:right="-358"/>
        <w:rPr>
          <w:rFonts w:ascii="Times New Roman" w:eastAsia="Times New Roman" w:hAnsi="Times New Roman" w:cs="Times New Roman"/>
          <w:sz w:val="22"/>
          <w:szCs w:val="22"/>
          <w:lang w:val="en-GB"/>
        </w:rPr>
      </w:pPr>
    </w:p>
    <w:p w:rsidR="005827A4" w:rsidRPr="00132956" w:rsidRDefault="005827A4" w:rsidP="00132956">
      <w:pPr>
        <w:numPr>
          <w:ilvl w:val="0"/>
          <w:numId w:val="9"/>
        </w:numPr>
        <w:spacing w:after="0" w:line="240" w:lineRule="auto"/>
        <w:ind w:right="-358"/>
        <w:rPr>
          <w:rFonts w:ascii="Times New Roman" w:eastAsia="Times New Roman" w:hAnsi="Times New Roman" w:cs="Times New Roman"/>
          <w:b/>
          <w:bCs/>
          <w:sz w:val="22"/>
          <w:szCs w:val="22"/>
          <w:lang w:val="en-GB"/>
        </w:rPr>
      </w:pPr>
      <w:r w:rsidRPr="00132956">
        <w:rPr>
          <w:rFonts w:ascii="Times New Roman" w:eastAsia="Times New Roman" w:hAnsi="Times New Roman" w:cs="Times New Roman"/>
          <w:b/>
          <w:bCs/>
          <w:sz w:val="22"/>
          <w:szCs w:val="22"/>
          <w:lang w:val="en-GB"/>
        </w:rPr>
        <w:t>Focus group discussion with beneficiaries (5-7)</w:t>
      </w:r>
    </w:p>
    <w:p w:rsidR="005827A4" w:rsidRPr="00132956" w:rsidRDefault="005827A4" w:rsidP="00132956">
      <w:pPr>
        <w:spacing w:after="0" w:line="240" w:lineRule="auto"/>
        <w:ind w:left="-270" w:right="-358"/>
        <w:rPr>
          <w:rFonts w:ascii="Times New Roman" w:eastAsia="Times New Roman" w:hAnsi="Times New Roman" w:cs="Times New Roman"/>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i/>
          <w:iCs/>
          <w:sz w:val="22"/>
          <w:szCs w:val="22"/>
          <w:lang w:val="en-GB"/>
        </w:rPr>
      </w:pPr>
      <w:r w:rsidRPr="00132956">
        <w:rPr>
          <w:rFonts w:ascii="Times New Roman" w:eastAsia="Times New Roman" w:hAnsi="Times New Roman" w:cs="Times New Roman"/>
          <w:i/>
          <w:iCs/>
          <w:sz w:val="22"/>
          <w:szCs w:val="22"/>
          <w:lang w:val="en-GB"/>
        </w:rPr>
        <w:t>Venue: Ministry of Justice (Ramallah)</w:t>
      </w:r>
    </w:p>
    <w:p w:rsidR="005827A4" w:rsidRPr="00132956" w:rsidRDefault="005827A4" w:rsidP="00132956">
      <w:pPr>
        <w:spacing w:after="0" w:line="240" w:lineRule="auto"/>
        <w:ind w:left="-270" w:right="-358"/>
        <w:rPr>
          <w:rFonts w:ascii="Times New Roman" w:eastAsia="Times New Roman" w:hAnsi="Times New Roman" w:cs="Times New Roman"/>
          <w:i/>
          <w:iCs/>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i/>
          <w:iCs/>
          <w:sz w:val="22"/>
          <w:szCs w:val="22"/>
          <w:lang w:val="en-GB"/>
        </w:rPr>
      </w:pPr>
      <w:r w:rsidRPr="00132956">
        <w:rPr>
          <w:rFonts w:ascii="Times New Roman" w:eastAsia="Times New Roman" w:hAnsi="Times New Roman" w:cs="Times New Roman"/>
          <w:b/>
          <w:bCs/>
          <w:i/>
          <w:iCs/>
          <w:sz w:val="22"/>
          <w:szCs w:val="22"/>
          <w:lang w:val="en-GB"/>
        </w:rPr>
        <w:t xml:space="preserve">11:00-13.30 </w:t>
      </w:r>
      <w:r w:rsidR="0019654C">
        <w:rPr>
          <w:rFonts w:ascii="Times New Roman" w:eastAsia="Times New Roman" w:hAnsi="Times New Roman" w:cs="Times New Roman"/>
          <w:b/>
          <w:bCs/>
          <w:i/>
          <w:iCs/>
          <w:sz w:val="22"/>
          <w:szCs w:val="22"/>
          <w:lang w:val="en-GB"/>
        </w:rPr>
        <w:t xml:space="preserve">CSO </w:t>
      </w:r>
      <w:r w:rsidRPr="00132956">
        <w:rPr>
          <w:rFonts w:ascii="Times New Roman" w:eastAsia="Times New Roman" w:hAnsi="Times New Roman" w:cs="Times New Roman"/>
          <w:b/>
          <w:bCs/>
          <w:i/>
          <w:iCs/>
          <w:sz w:val="22"/>
          <w:szCs w:val="22"/>
          <w:lang w:val="en-GB"/>
        </w:rPr>
        <w:t>R</w:t>
      </w:r>
      <w:r w:rsidR="0019654C">
        <w:rPr>
          <w:rFonts w:ascii="Times New Roman" w:eastAsia="Times New Roman" w:hAnsi="Times New Roman" w:cs="Times New Roman"/>
          <w:b/>
          <w:bCs/>
          <w:i/>
          <w:iCs/>
          <w:sz w:val="22"/>
          <w:szCs w:val="22"/>
          <w:lang w:val="en-GB"/>
        </w:rPr>
        <w:t xml:space="preserve">oundtable: Musawa, </w:t>
      </w:r>
      <w:r w:rsidRPr="00132956">
        <w:rPr>
          <w:rFonts w:ascii="Times New Roman" w:eastAsia="Times New Roman" w:hAnsi="Times New Roman" w:cs="Times New Roman"/>
          <w:b/>
          <w:bCs/>
          <w:i/>
          <w:iCs/>
          <w:sz w:val="22"/>
          <w:szCs w:val="22"/>
          <w:lang w:val="en-GB"/>
        </w:rPr>
        <w:t>Al-Haq, Jerusalem Legal Aid and Human Rights Centre, Civic Coalition</w:t>
      </w:r>
    </w:p>
    <w:p w:rsidR="005827A4" w:rsidRPr="00132956" w:rsidRDefault="005827A4" w:rsidP="00132956">
      <w:pPr>
        <w:spacing w:after="0" w:line="240" w:lineRule="auto"/>
        <w:ind w:left="-270" w:right="-358"/>
        <w:rPr>
          <w:rFonts w:ascii="Times New Roman" w:eastAsia="Times New Roman" w:hAnsi="Times New Roman" w:cs="Times New Roman"/>
          <w:sz w:val="22"/>
          <w:szCs w:val="22"/>
          <w:lang w:val="en-GB"/>
        </w:rPr>
      </w:pPr>
    </w:p>
    <w:p w:rsidR="005827A4" w:rsidRPr="00132956" w:rsidRDefault="005827A4" w:rsidP="00132956">
      <w:pPr>
        <w:numPr>
          <w:ilvl w:val="0"/>
          <w:numId w:val="13"/>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Ibrahim Bharghouti, Executive Director (Musawa)</w:t>
      </w:r>
    </w:p>
    <w:p w:rsidR="005827A4" w:rsidRPr="00132956" w:rsidRDefault="005827A4" w:rsidP="00132956">
      <w:pPr>
        <w:numPr>
          <w:ilvl w:val="0"/>
          <w:numId w:val="13"/>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Addie Awwad, Programme Manager (Musawa)</w:t>
      </w:r>
    </w:p>
    <w:p w:rsidR="005827A4" w:rsidRPr="00132956" w:rsidRDefault="005827A4" w:rsidP="00132956">
      <w:pPr>
        <w:numPr>
          <w:ilvl w:val="0"/>
          <w:numId w:val="13"/>
        </w:numPr>
        <w:spacing w:after="0" w:line="240" w:lineRule="auto"/>
        <w:ind w:right="-358"/>
        <w:rPr>
          <w:rFonts w:ascii="Times New Roman" w:eastAsia="Times New Roman" w:hAnsi="Times New Roman" w:cs="Times New Roman"/>
          <w:sz w:val="22"/>
          <w:szCs w:val="22"/>
          <w:lang w:val="nl-NL"/>
        </w:rPr>
      </w:pPr>
      <w:r w:rsidRPr="00132956">
        <w:rPr>
          <w:rFonts w:ascii="Times New Roman" w:eastAsia="Times New Roman" w:hAnsi="Times New Roman" w:cs="Times New Roman"/>
          <w:sz w:val="22"/>
          <w:szCs w:val="22"/>
          <w:lang w:val="nl-NL"/>
        </w:rPr>
        <w:t>Shawan</w:t>
      </w:r>
      <w:r w:rsidR="0019654C">
        <w:rPr>
          <w:rFonts w:ascii="Times New Roman" w:eastAsia="Times New Roman" w:hAnsi="Times New Roman" w:cs="Times New Roman"/>
          <w:sz w:val="22"/>
          <w:szCs w:val="22"/>
          <w:lang w:val="nl-NL"/>
        </w:rPr>
        <w:t>Jabareen, General Director (Al-</w:t>
      </w:r>
      <w:r w:rsidRPr="00132956">
        <w:rPr>
          <w:rFonts w:ascii="Times New Roman" w:eastAsia="Times New Roman" w:hAnsi="Times New Roman" w:cs="Times New Roman"/>
          <w:sz w:val="22"/>
          <w:szCs w:val="22"/>
          <w:lang w:val="nl-NL"/>
        </w:rPr>
        <w:t>Haq)</w:t>
      </w:r>
    </w:p>
    <w:p w:rsidR="005827A4" w:rsidRPr="00132956" w:rsidRDefault="005827A4" w:rsidP="00132956">
      <w:pPr>
        <w:numPr>
          <w:ilvl w:val="0"/>
          <w:numId w:val="13"/>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Na</w:t>
      </w:r>
      <w:r w:rsidR="0019654C">
        <w:rPr>
          <w:rFonts w:ascii="Times New Roman" w:eastAsia="Times New Roman" w:hAnsi="Times New Roman" w:cs="Times New Roman"/>
          <w:sz w:val="22"/>
          <w:szCs w:val="22"/>
          <w:lang w:val="en-GB"/>
        </w:rPr>
        <w:t>sser Al-Rays, Legal Advisor (Al-</w:t>
      </w:r>
      <w:r w:rsidRPr="00132956">
        <w:rPr>
          <w:rFonts w:ascii="Times New Roman" w:eastAsia="Times New Roman" w:hAnsi="Times New Roman" w:cs="Times New Roman"/>
          <w:sz w:val="22"/>
          <w:szCs w:val="22"/>
          <w:lang w:val="en-GB"/>
        </w:rPr>
        <w:t>Haq)</w:t>
      </w:r>
    </w:p>
    <w:p w:rsidR="005827A4" w:rsidRPr="00132956" w:rsidRDefault="005827A4" w:rsidP="00132956">
      <w:pPr>
        <w:numPr>
          <w:ilvl w:val="0"/>
          <w:numId w:val="13"/>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To</w:t>
      </w:r>
      <w:r w:rsidR="0019654C">
        <w:rPr>
          <w:rFonts w:ascii="Times New Roman" w:eastAsia="Times New Roman" w:hAnsi="Times New Roman" w:cs="Times New Roman"/>
          <w:sz w:val="22"/>
          <w:szCs w:val="22"/>
          <w:lang w:val="en-GB"/>
        </w:rPr>
        <w:t>m Palmer, Programme Officer (Al-</w:t>
      </w:r>
      <w:r w:rsidRPr="00132956">
        <w:rPr>
          <w:rFonts w:ascii="Times New Roman" w:eastAsia="Times New Roman" w:hAnsi="Times New Roman" w:cs="Times New Roman"/>
          <w:sz w:val="22"/>
          <w:szCs w:val="22"/>
          <w:lang w:val="en-GB"/>
        </w:rPr>
        <w:t>Haq)</w:t>
      </w:r>
    </w:p>
    <w:p w:rsidR="005827A4" w:rsidRPr="00132956" w:rsidRDefault="005827A4" w:rsidP="00132956">
      <w:pPr>
        <w:numPr>
          <w:ilvl w:val="0"/>
          <w:numId w:val="13"/>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Issam</w:t>
      </w:r>
      <w:r w:rsidR="00E8775C">
        <w:rPr>
          <w:rFonts w:ascii="Times New Roman" w:eastAsia="Times New Roman" w:hAnsi="Times New Roman" w:cs="Times New Roman"/>
          <w:sz w:val="22"/>
          <w:szCs w:val="22"/>
          <w:lang w:val="en-GB"/>
        </w:rPr>
        <w:t xml:space="preserve"> </w:t>
      </w:r>
      <w:r w:rsidRPr="00132956">
        <w:rPr>
          <w:rFonts w:ascii="Times New Roman" w:eastAsia="Times New Roman" w:hAnsi="Times New Roman" w:cs="Times New Roman"/>
          <w:sz w:val="22"/>
          <w:szCs w:val="22"/>
          <w:lang w:val="en-GB"/>
        </w:rPr>
        <w:t xml:space="preserve">Arouri, General </w:t>
      </w:r>
      <w:r w:rsidRPr="0019654C">
        <w:rPr>
          <w:rFonts w:ascii="Times New Roman" w:eastAsia="Times New Roman" w:hAnsi="Times New Roman" w:cs="Times New Roman"/>
          <w:sz w:val="22"/>
          <w:szCs w:val="22"/>
          <w:lang w:val="en-GB"/>
        </w:rPr>
        <w:t>Director (</w:t>
      </w:r>
      <w:r w:rsidR="00FF6E0A" w:rsidRPr="0019654C">
        <w:rPr>
          <w:rFonts w:ascii="Times New Roman" w:eastAsia="Times New Roman" w:hAnsi="Times New Roman" w:cs="Times New Roman"/>
          <w:sz w:val="22"/>
          <w:szCs w:val="22"/>
          <w:lang w:val="en-GB"/>
        </w:rPr>
        <w:t>JLAC</w:t>
      </w:r>
      <w:r w:rsidRPr="0019654C">
        <w:rPr>
          <w:rFonts w:ascii="Times New Roman" w:eastAsia="Times New Roman" w:hAnsi="Times New Roman" w:cs="Times New Roman"/>
          <w:sz w:val="22"/>
          <w:szCs w:val="22"/>
          <w:lang w:val="en-GB"/>
        </w:rPr>
        <w:t>)</w:t>
      </w:r>
    </w:p>
    <w:p w:rsidR="005827A4" w:rsidRPr="00132956" w:rsidRDefault="005827A4" w:rsidP="00132956">
      <w:pPr>
        <w:numPr>
          <w:ilvl w:val="0"/>
          <w:numId w:val="13"/>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Zakaria</w:t>
      </w:r>
      <w:r w:rsidR="00E8775C">
        <w:rPr>
          <w:rFonts w:ascii="Times New Roman" w:eastAsia="Times New Roman" w:hAnsi="Times New Roman" w:cs="Times New Roman"/>
          <w:sz w:val="22"/>
          <w:szCs w:val="22"/>
          <w:lang w:val="en-GB"/>
        </w:rPr>
        <w:t xml:space="preserve"> </w:t>
      </w:r>
      <w:r w:rsidRPr="00132956">
        <w:rPr>
          <w:rFonts w:ascii="Times New Roman" w:eastAsia="Times New Roman" w:hAnsi="Times New Roman" w:cs="Times New Roman"/>
          <w:sz w:val="22"/>
          <w:szCs w:val="22"/>
          <w:lang w:val="en-GB"/>
        </w:rPr>
        <w:t>Odeh, General Director (Civic Coalition)</w:t>
      </w:r>
    </w:p>
    <w:p w:rsidR="005827A4" w:rsidRPr="00132956" w:rsidRDefault="005827A4" w:rsidP="00132956">
      <w:pPr>
        <w:spacing w:after="0" w:line="240" w:lineRule="auto"/>
        <w:ind w:left="450" w:right="-358"/>
        <w:rPr>
          <w:rFonts w:ascii="Times New Roman" w:eastAsia="Times New Roman" w:hAnsi="Times New Roman" w:cs="Times New Roman"/>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i/>
          <w:iCs/>
          <w:sz w:val="22"/>
          <w:szCs w:val="22"/>
          <w:lang w:val="en-GB"/>
        </w:rPr>
      </w:pPr>
      <w:r w:rsidRPr="00132956">
        <w:rPr>
          <w:rFonts w:ascii="Times New Roman" w:eastAsia="Times New Roman" w:hAnsi="Times New Roman" w:cs="Times New Roman"/>
          <w:i/>
          <w:iCs/>
          <w:sz w:val="22"/>
          <w:szCs w:val="22"/>
          <w:lang w:val="en-GB"/>
        </w:rPr>
        <w:t xml:space="preserve">Venue: UNDP (Ramallah) </w:t>
      </w:r>
    </w:p>
    <w:p w:rsidR="005827A4" w:rsidRPr="00132956" w:rsidRDefault="005827A4" w:rsidP="00132956">
      <w:pPr>
        <w:spacing w:after="0" w:line="240" w:lineRule="auto"/>
        <w:ind w:left="-270" w:right="-358"/>
        <w:rPr>
          <w:rFonts w:ascii="Times New Roman" w:eastAsia="Times New Roman" w:hAnsi="Times New Roman" w:cs="Times New Roman"/>
          <w:i/>
          <w:iCs/>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b/>
          <w:bCs/>
          <w:i/>
          <w:iCs/>
          <w:sz w:val="22"/>
          <w:szCs w:val="22"/>
          <w:lang w:val="en-GB"/>
        </w:rPr>
      </w:pPr>
      <w:r w:rsidRPr="00132956">
        <w:rPr>
          <w:rFonts w:ascii="Times New Roman" w:eastAsia="Times New Roman" w:hAnsi="Times New Roman" w:cs="Times New Roman"/>
          <w:b/>
          <w:bCs/>
          <w:i/>
          <w:iCs/>
          <w:sz w:val="22"/>
          <w:szCs w:val="22"/>
          <w:lang w:val="en-GB"/>
        </w:rPr>
        <w:t>14.00-16.00 Addameer</w:t>
      </w:r>
    </w:p>
    <w:p w:rsidR="005827A4" w:rsidRPr="00132956" w:rsidRDefault="005827A4" w:rsidP="00132956">
      <w:pPr>
        <w:spacing w:after="0" w:line="240" w:lineRule="auto"/>
        <w:ind w:left="-270" w:right="-358"/>
        <w:rPr>
          <w:rFonts w:ascii="Times New Roman" w:eastAsia="Times New Roman" w:hAnsi="Times New Roman" w:cs="Times New Roman"/>
          <w:b/>
          <w:bCs/>
          <w:i/>
          <w:iCs/>
          <w:sz w:val="22"/>
          <w:szCs w:val="22"/>
          <w:lang w:val="en-GB"/>
        </w:rPr>
      </w:pPr>
    </w:p>
    <w:p w:rsidR="005827A4" w:rsidRPr="00132956" w:rsidRDefault="005827A4" w:rsidP="00132956">
      <w:pPr>
        <w:numPr>
          <w:ilvl w:val="0"/>
          <w:numId w:val="14"/>
        </w:numPr>
        <w:spacing w:after="0" w:line="240" w:lineRule="auto"/>
        <w:ind w:right="-358"/>
        <w:rPr>
          <w:rFonts w:ascii="Times New Roman" w:eastAsia="Times New Roman" w:hAnsi="Times New Roman" w:cs="Times New Roman"/>
          <w:b/>
          <w:bCs/>
          <w:i/>
          <w:iCs/>
          <w:sz w:val="22"/>
          <w:szCs w:val="22"/>
          <w:lang w:val="en-GB"/>
        </w:rPr>
      </w:pPr>
      <w:r w:rsidRPr="00132956">
        <w:rPr>
          <w:rFonts w:ascii="Times New Roman" w:eastAsia="Times New Roman" w:hAnsi="Times New Roman" w:cs="Times New Roman"/>
          <w:sz w:val="22"/>
          <w:szCs w:val="22"/>
          <w:lang w:val="en-GB"/>
        </w:rPr>
        <w:t>Sahar Francis, Programme Manager</w:t>
      </w:r>
    </w:p>
    <w:p w:rsidR="005827A4" w:rsidRPr="00132956" w:rsidRDefault="005827A4" w:rsidP="00132956">
      <w:pPr>
        <w:spacing w:after="0" w:line="240" w:lineRule="auto"/>
        <w:ind w:right="-358"/>
        <w:rPr>
          <w:rFonts w:ascii="Times New Roman" w:eastAsia="Times New Roman" w:hAnsi="Times New Roman" w:cs="Times New Roman"/>
          <w:b/>
          <w:bCs/>
          <w:i/>
          <w:iCs/>
          <w:sz w:val="22"/>
          <w:szCs w:val="22"/>
          <w:lang w:val="en-GB"/>
        </w:rPr>
      </w:pPr>
    </w:p>
    <w:p w:rsidR="005827A4" w:rsidRPr="00132956" w:rsidRDefault="005827A4" w:rsidP="00132956">
      <w:pPr>
        <w:numPr>
          <w:ilvl w:val="0"/>
          <w:numId w:val="14"/>
        </w:numPr>
        <w:spacing w:after="0" w:line="240" w:lineRule="auto"/>
        <w:ind w:right="-358"/>
        <w:rPr>
          <w:rFonts w:ascii="Times New Roman" w:eastAsia="Times New Roman" w:hAnsi="Times New Roman" w:cs="Times New Roman"/>
          <w:b/>
          <w:bCs/>
          <w:sz w:val="22"/>
          <w:szCs w:val="22"/>
          <w:lang w:val="en-GB"/>
        </w:rPr>
      </w:pPr>
      <w:r w:rsidRPr="00132956">
        <w:rPr>
          <w:rFonts w:ascii="Times New Roman" w:eastAsia="Times New Roman" w:hAnsi="Times New Roman" w:cs="Times New Roman"/>
          <w:b/>
          <w:bCs/>
          <w:sz w:val="22"/>
          <w:szCs w:val="22"/>
          <w:lang w:val="en-GB"/>
        </w:rPr>
        <w:t>Focus group discussion with beneficiaries (3-5)</w:t>
      </w:r>
    </w:p>
    <w:p w:rsidR="005827A4" w:rsidRPr="00132956" w:rsidRDefault="005827A4" w:rsidP="00132956">
      <w:pPr>
        <w:spacing w:after="0" w:line="240" w:lineRule="auto"/>
        <w:ind w:left="-270" w:right="-358"/>
        <w:rPr>
          <w:rFonts w:ascii="Times New Roman" w:eastAsia="Times New Roman" w:hAnsi="Times New Roman" w:cs="Times New Roman"/>
          <w:i/>
          <w:iCs/>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i/>
          <w:iCs/>
          <w:sz w:val="22"/>
          <w:szCs w:val="22"/>
          <w:lang w:val="en-GB"/>
        </w:rPr>
      </w:pPr>
      <w:r w:rsidRPr="00132956">
        <w:rPr>
          <w:rFonts w:ascii="Times New Roman" w:eastAsia="Times New Roman" w:hAnsi="Times New Roman" w:cs="Times New Roman"/>
          <w:i/>
          <w:iCs/>
          <w:sz w:val="22"/>
          <w:szCs w:val="22"/>
          <w:lang w:val="en-GB"/>
        </w:rPr>
        <w:t xml:space="preserve">Venue: Addameer (Ramallah) </w:t>
      </w:r>
    </w:p>
    <w:p w:rsidR="005827A4" w:rsidRPr="00132956" w:rsidRDefault="005827A4" w:rsidP="00132956">
      <w:pPr>
        <w:spacing w:after="0" w:line="240" w:lineRule="auto"/>
        <w:ind w:left="-270" w:right="-358"/>
        <w:jc w:val="center"/>
        <w:rPr>
          <w:rFonts w:ascii="Times New Roman" w:eastAsia="Times New Roman" w:hAnsi="Times New Roman" w:cs="Times New Roman"/>
          <w:b/>
          <w:bCs/>
          <w:sz w:val="22"/>
          <w:szCs w:val="22"/>
          <w:u w:val="single"/>
          <w:lang w:val="en-GB"/>
        </w:rPr>
      </w:pPr>
      <w:r w:rsidRPr="00132956">
        <w:rPr>
          <w:rFonts w:ascii="Times New Roman" w:eastAsia="Times New Roman" w:hAnsi="Times New Roman" w:cs="Times New Roman"/>
          <w:b/>
          <w:bCs/>
          <w:sz w:val="22"/>
          <w:szCs w:val="22"/>
          <w:u w:val="single"/>
          <w:lang w:val="en-GB"/>
        </w:rPr>
        <w:t>Monday, 14 January 2013</w:t>
      </w:r>
    </w:p>
    <w:p w:rsidR="005827A4" w:rsidRPr="00132956" w:rsidRDefault="005827A4" w:rsidP="00132956">
      <w:pPr>
        <w:spacing w:after="0" w:line="240" w:lineRule="auto"/>
        <w:ind w:left="-270" w:right="-358"/>
        <w:rPr>
          <w:rFonts w:ascii="Times New Roman" w:eastAsia="Times New Roman" w:hAnsi="Times New Roman" w:cs="Times New Roman"/>
          <w:sz w:val="22"/>
          <w:szCs w:val="22"/>
          <w:lang w:val="en-GB"/>
        </w:rPr>
      </w:pPr>
    </w:p>
    <w:p w:rsidR="005827A4" w:rsidRPr="00132956" w:rsidRDefault="005827A4" w:rsidP="00132956">
      <w:pPr>
        <w:spacing w:after="0" w:line="240" w:lineRule="auto"/>
        <w:ind w:left="-270" w:right="-358"/>
        <w:jc w:val="both"/>
        <w:rPr>
          <w:rFonts w:ascii="Times New Roman" w:eastAsia="Times New Roman" w:hAnsi="Times New Roman" w:cs="Times New Roman"/>
          <w:b/>
          <w:bCs/>
          <w:i/>
          <w:iCs/>
          <w:sz w:val="22"/>
          <w:szCs w:val="22"/>
          <w:lang w:val="en-GB"/>
        </w:rPr>
      </w:pPr>
      <w:r w:rsidRPr="00132956">
        <w:rPr>
          <w:rFonts w:ascii="Times New Roman" w:eastAsia="Times New Roman" w:hAnsi="Times New Roman" w:cs="Times New Roman"/>
          <w:b/>
          <w:bCs/>
          <w:i/>
          <w:iCs/>
          <w:sz w:val="22"/>
          <w:szCs w:val="22"/>
          <w:lang w:val="en-GB"/>
        </w:rPr>
        <w:t>08:30-10:30 Shams</w:t>
      </w:r>
    </w:p>
    <w:p w:rsidR="005827A4" w:rsidRPr="00132956" w:rsidRDefault="005827A4" w:rsidP="00132956">
      <w:pPr>
        <w:spacing w:after="0" w:line="240" w:lineRule="auto"/>
        <w:ind w:left="-270" w:right="-358"/>
        <w:jc w:val="both"/>
        <w:rPr>
          <w:rFonts w:ascii="Times New Roman" w:eastAsia="Times New Roman" w:hAnsi="Times New Roman" w:cs="Times New Roman"/>
          <w:sz w:val="22"/>
          <w:szCs w:val="22"/>
          <w:lang w:val="en-GB"/>
        </w:rPr>
      </w:pPr>
    </w:p>
    <w:p w:rsidR="005827A4" w:rsidRPr="00132956" w:rsidRDefault="005827A4" w:rsidP="00132956">
      <w:pPr>
        <w:numPr>
          <w:ilvl w:val="0"/>
          <w:numId w:val="27"/>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Omar Rahhal, General Director</w:t>
      </w:r>
    </w:p>
    <w:p w:rsidR="005827A4" w:rsidRPr="00132956" w:rsidRDefault="005827A4" w:rsidP="00132956">
      <w:pPr>
        <w:spacing w:after="0" w:line="240" w:lineRule="auto"/>
        <w:ind w:left="450" w:right="-358"/>
        <w:rPr>
          <w:rFonts w:ascii="Times New Roman" w:eastAsia="Times New Roman" w:hAnsi="Times New Roman" w:cs="Times New Roman"/>
          <w:sz w:val="22"/>
          <w:szCs w:val="22"/>
          <w:lang w:val="en-GB"/>
        </w:rPr>
      </w:pPr>
    </w:p>
    <w:p w:rsidR="005827A4" w:rsidRPr="00132956" w:rsidRDefault="005827A4" w:rsidP="00132956">
      <w:pPr>
        <w:numPr>
          <w:ilvl w:val="0"/>
          <w:numId w:val="27"/>
        </w:numPr>
        <w:spacing w:after="0" w:line="240" w:lineRule="auto"/>
        <w:ind w:right="-358"/>
        <w:rPr>
          <w:rFonts w:ascii="Times New Roman" w:eastAsia="Times New Roman" w:hAnsi="Times New Roman" w:cs="Times New Roman"/>
          <w:b/>
          <w:bCs/>
          <w:sz w:val="22"/>
          <w:szCs w:val="22"/>
          <w:lang w:val="en-GB"/>
        </w:rPr>
      </w:pPr>
      <w:r w:rsidRPr="00132956">
        <w:rPr>
          <w:rFonts w:ascii="Times New Roman" w:eastAsia="Times New Roman" w:hAnsi="Times New Roman" w:cs="Times New Roman"/>
          <w:b/>
          <w:bCs/>
          <w:sz w:val="22"/>
          <w:szCs w:val="22"/>
          <w:lang w:val="en-GB"/>
        </w:rPr>
        <w:t>Focus group discussion with beneficiaries (5-7)</w:t>
      </w:r>
    </w:p>
    <w:p w:rsidR="005827A4" w:rsidRPr="00132956" w:rsidRDefault="005827A4" w:rsidP="00132956">
      <w:pPr>
        <w:spacing w:after="0" w:line="240" w:lineRule="auto"/>
        <w:ind w:right="-358"/>
        <w:rPr>
          <w:rFonts w:ascii="Times New Roman" w:eastAsia="Times New Roman" w:hAnsi="Times New Roman" w:cs="Times New Roman"/>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i/>
          <w:iCs/>
          <w:sz w:val="22"/>
          <w:szCs w:val="22"/>
          <w:lang w:val="en-GB"/>
        </w:rPr>
      </w:pPr>
      <w:r w:rsidRPr="00132956">
        <w:rPr>
          <w:rFonts w:ascii="Times New Roman" w:eastAsia="Times New Roman" w:hAnsi="Times New Roman" w:cs="Times New Roman"/>
          <w:i/>
          <w:iCs/>
          <w:sz w:val="22"/>
          <w:szCs w:val="22"/>
          <w:lang w:val="en-GB"/>
        </w:rPr>
        <w:t>Venue: Shams (Ramallah)</w:t>
      </w:r>
    </w:p>
    <w:p w:rsidR="005827A4" w:rsidRPr="00132956" w:rsidRDefault="005827A4" w:rsidP="00132956">
      <w:pPr>
        <w:spacing w:after="0" w:line="240" w:lineRule="auto"/>
        <w:ind w:left="-270" w:right="-358"/>
        <w:rPr>
          <w:rFonts w:ascii="Times New Roman" w:eastAsia="Times New Roman" w:hAnsi="Times New Roman" w:cs="Times New Roman"/>
          <w:b/>
          <w:bCs/>
          <w:i/>
          <w:iCs/>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i/>
          <w:iCs/>
          <w:sz w:val="22"/>
          <w:szCs w:val="22"/>
          <w:lang w:val="en-GB"/>
        </w:rPr>
      </w:pPr>
      <w:r w:rsidRPr="00132956">
        <w:rPr>
          <w:rFonts w:ascii="Times New Roman" w:eastAsia="Times New Roman" w:hAnsi="Times New Roman" w:cs="Times New Roman"/>
          <w:b/>
          <w:bCs/>
          <w:i/>
          <w:iCs/>
          <w:sz w:val="22"/>
          <w:szCs w:val="22"/>
          <w:lang w:val="en-GB"/>
        </w:rPr>
        <w:t>11:00-13:00 Palestinian Working Women Society for Development</w:t>
      </w:r>
    </w:p>
    <w:p w:rsidR="005827A4" w:rsidRPr="00132956" w:rsidRDefault="005827A4" w:rsidP="00132956">
      <w:pPr>
        <w:spacing w:after="0" w:line="240" w:lineRule="auto"/>
        <w:ind w:left="-270" w:right="-358"/>
        <w:rPr>
          <w:rFonts w:ascii="Times New Roman" w:eastAsia="Times New Roman" w:hAnsi="Times New Roman" w:cs="Times New Roman"/>
          <w:sz w:val="22"/>
          <w:szCs w:val="22"/>
          <w:lang w:val="en-GB"/>
        </w:rPr>
      </w:pPr>
    </w:p>
    <w:p w:rsidR="005827A4" w:rsidRPr="00132956" w:rsidRDefault="005827A4" w:rsidP="00132956">
      <w:pPr>
        <w:numPr>
          <w:ilvl w:val="0"/>
          <w:numId w:val="15"/>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Amal</w:t>
      </w:r>
      <w:r w:rsidR="00E8775C">
        <w:rPr>
          <w:rFonts w:ascii="Times New Roman" w:eastAsia="Times New Roman" w:hAnsi="Times New Roman" w:cs="Times New Roman"/>
          <w:sz w:val="22"/>
          <w:szCs w:val="22"/>
          <w:lang w:val="en-GB"/>
        </w:rPr>
        <w:t xml:space="preserve"> </w:t>
      </w:r>
      <w:r w:rsidRPr="00132956">
        <w:rPr>
          <w:rFonts w:ascii="Times New Roman" w:eastAsia="Times New Roman" w:hAnsi="Times New Roman" w:cs="Times New Roman"/>
          <w:sz w:val="22"/>
          <w:szCs w:val="22"/>
          <w:lang w:val="en-GB"/>
        </w:rPr>
        <w:t>Khreisheh, General Director</w:t>
      </w:r>
    </w:p>
    <w:p w:rsidR="005827A4" w:rsidRPr="00132956" w:rsidRDefault="005827A4" w:rsidP="00132956">
      <w:pPr>
        <w:numPr>
          <w:ilvl w:val="0"/>
          <w:numId w:val="15"/>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Issa Al-Shatley, Programme Manager</w:t>
      </w:r>
    </w:p>
    <w:p w:rsidR="005827A4" w:rsidRPr="00132956" w:rsidRDefault="005827A4" w:rsidP="00132956">
      <w:pPr>
        <w:spacing w:after="0" w:line="240" w:lineRule="auto"/>
        <w:ind w:left="450" w:right="-358"/>
        <w:rPr>
          <w:rFonts w:ascii="Times New Roman" w:eastAsia="Times New Roman" w:hAnsi="Times New Roman" w:cs="Times New Roman"/>
          <w:sz w:val="22"/>
          <w:szCs w:val="22"/>
          <w:lang w:val="en-GB"/>
        </w:rPr>
      </w:pPr>
    </w:p>
    <w:p w:rsidR="005827A4" w:rsidRPr="00132956" w:rsidRDefault="005827A4" w:rsidP="00132956">
      <w:pPr>
        <w:numPr>
          <w:ilvl w:val="0"/>
          <w:numId w:val="15"/>
        </w:numPr>
        <w:spacing w:after="0" w:line="240" w:lineRule="auto"/>
        <w:ind w:right="-358"/>
        <w:rPr>
          <w:rFonts w:ascii="Times New Roman" w:eastAsia="Times New Roman" w:hAnsi="Times New Roman" w:cs="Times New Roman"/>
          <w:b/>
          <w:bCs/>
          <w:i/>
          <w:iCs/>
          <w:sz w:val="22"/>
          <w:szCs w:val="22"/>
          <w:lang w:val="en-GB"/>
        </w:rPr>
      </w:pPr>
      <w:r w:rsidRPr="00132956">
        <w:rPr>
          <w:rFonts w:ascii="Times New Roman" w:eastAsia="Times New Roman" w:hAnsi="Times New Roman" w:cs="Times New Roman"/>
          <w:b/>
          <w:bCs/>
          <w:sz w:val="22"/>
          <w:szCs w:val="22"/>
          <w:lang w:val="en-GB"/>
        </w:rPr>
        <w:lastRenderedPageBreak/>
        <w:t>Focus group discussion with beneficiaries (5-7)</w:t>
      </w:r>
    </w:p>
    <w:p w:rsidR="005827A4" w:rsidRPr="00132956" w:rsidRDefault="005827A4" w:rsidP="00132956">
      <w:pPr>
        <w:spacing w:after="0" w:line="240" w:lineRule="auto"/>
        <w:ind w:right="-358"/>
        <w:rPr>
          <w:rFonts w:ascii="Times New Roman" w:eastAsia="Times New Roman" w:hAnsi="Times New Roman" w:cs="Times New Roman"/>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i/>
          <w:iCs/>
          <w:sz w:val="22"/>
          <w:szCs w:val="22"/>
          <w:lang w:val="en-GB"/>
        </w:rPr>
      </w:pPr>
      <w:r w:rsidRPr="00132956">
        <w:rPr>
          <w:rFonts w:ascii="Times New Roman" w:eastAsia="Times New Roman" w:hAnsi="Times New Roman" w:cs="Times New Roman"/>
          <w:i/>
          <w:iCs/>
          <w:sz w:val="22"/>
          <w:szCs w:val="22"/>
          <w:lang w:val="en-GB"/>
        </w:rPr>
        <w:t>Venue: Palestinian Working Women Society for Development (Ramallah)</w:t>
      </w:r>
    </w:p>
    <w:p w:rsidR="005827A4" w:rsidRPr="00132956" w:rsidRDefault="005827A4" w:rsidP="00132956">
      <w:pPr>
        <w:spacing w:after="0" w:line="240" w:lineRule="auto"/>
        <w:ind w:left="-270" w:right="-358"/>
        <w:rPr>
          <w:rFonts w:ascii="Times New Roman" w:eastAsia="Times New Roman" w:hAnsi="Times New Roman" w:cs="Times New Roman"/>
          <w:b/>
          <w:bCs/>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b/>
          <w:bCs/>
          <w:i/>
          <w:iCs/>
          <w:sz w:val="22"/>
          <w:szCs w:val="22"/>
          <w:lang w:val="en-GB"/>
        </w:rPr>
      </w:pPr>
      <w:r w:rsidRPr="00132956">
        <w:rPr>
          <w:rFonts w:ascii="Times New Roman" w:eastAsia="Times New Roman" w:hAnsi="Times New Roman" w:cs="Times New Roman"/>
          <w:b/>
          <w:bCs/>
          <w:i/>
          <w:iCs/>
          <w:sz w:val="22"/>
          <w:szCs w:val="22"/>
          <w:lang w:val="en-GB"/>
        </w:rPr>
        <w:t>13:30-15:30 Democracy and Workers Rights Centre</w:t>
      </w:r>
    </w:p>
    <w:p w:rsidR="005827A4" w:rsidRPr="00132956" w:rsidRDefault="005827A4" w:rsidP="00132956">
      <w:pPr>
        <w:spacing w:after="0" w:line="240" w:lineRule="auto"/>
        <w:ind w:left="-270" w:right="-358"/>
        <w:rPr>
          <w:rFonts w:ascii="Times New Roman" w:eastAsia="Times New Roman" w:hAnsi="Times New Roman" w:cs="Times New Roman"/>
          <w:sz w:val="22"/>
          <w:szCs w:val="22"/>
          <w:lang w:val="en-GB"/>
        </w:rPr>
      </w:pPr>
    </w:p>
    <w:p w:rsidR="005827A4" w:rsidRPr="00132956" w:rsidRDefault="005827A4" w:rsidP="00132956">
      <w:pPr>
        <w:numPr>
          <w:ilvl w:val="0"/>
          <w:numId w:val="14"/>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Yaser</w:t>
      </w:r>
      <w:r w:rsidR="00E8775C">
        <w:rPr>
          <w:rFonts w:ascii="Times New Roman" w:eastAsia="Times New Roman" w:hAnsi="Times New Roman" w:cs="Times New Roman"/>
          <w:sz w:val="22"/>
          <w:szCs w:val="22"/>
          <w:lang w:val="en-GB"/>
        </w:rPr>
        <w:t xml:space="preserve"> </w:t>
      </w:r>
      <w:r w:rsidRPr="00132956">
        <w:rPr>
          <w:rFonts w:ascii="Times New Roman" w:eastAsia="Times New Roman" w:hAnsi="Times New Roman" w:cs="Times New Roman"/>
          <w:sz w:val="22"/>
          <w:szCs w:val="22"/>
          <w:lang w:val="en-GB"/>
        </w:rPr>
        <w:t>Barghouthi, Project Coordinator</w:t>
      </w:r>
    </w:p>
    <w:p w:rsidR="005827A4" w:rsidRPr="00132956" w:rsidRDefault="005827A4" w:rsidP="00132956">
      <w:pPr>
        <w:numPr>
          <w:ilvl w:val="0"/>
          <w:numId w:val="14"/>
        </w:numPr>
        <w:spacing w:after="0" w:line="240" w:lineRule="auto"/>
        <w:ind w:right="-358"/>
        <w:rPr>
          <w:rFonts w:ascii="Times New Roman" w:eastAsia="Times New Roman" w:hAnsi="Times New Roman" w:cs="Times New Roman"/>
          <w:i/>
          <w:iCs/>
          <w:sz w:val="22"/>
          <w:szCs w:val="22"/>
          <w:lang w:val="en-GB"/>
        </w:rPr>
      </w:pPr>
      <w:r w:rsidRPr="00132956">
        <w:rPr>
          <w:rFonts w:ascii="Times New Roman" w:eastAsia="Times New Roman" w:hAnsi="Times New Roman" w:cs="Times New Roman"/>
          <w:sz w:val="22"/>
          <w:szCs w:val="22"/>
          <w:lang w:val="en-GB"/>
        </w:rPr>
        <w:t>Carine Abu Hmeid, Public Relations Officer</w:t>
      </w:r>
    </w:p>
    <w:p w:rsidR="005827A4" w:rsidRPr="00132956" w:rsidRDefault="005827A4" w:rsidP="00132956">
      <w:pPr>
        <w:spacing w:after="0" w:line="240" w:lineRule="auto"/>
        <w:ind w:left="450" w:right="-358"/>
        <w:rPr>
          <w:rFonts w:ascii="Times New Roman" w:eastAsia="Times New Roman" w:hAnsi="Times New Roman" w:cs="Times New Roman"/>
          <w:i/>
          <w:iCs/>
          <w:sz w:val="22"/>
          <w:szCs w:val="22"/>
          <w:lang w:val="en-GB"/>
        </w:rPr>
      </w:pPr>
    </w:p>
    <w:p w:rsidR="005827A4" w:rsidRPr="00132956" w:rsidRDefault="005827A4" w:rsidP="00132956">
      <w:pPr>
        <w:numPr>
          <w:ilvl w:val="0"/>
          <w:numId w:val="14"/>
        </w:numPr>
        <w:spacing w:after="0" w:line="240" w:lineRule="auto"/>
        <w:ind w:right="-358"/>
        <w:rPr>
          <w:rFonts w:ascii="Times New Roman" w:eastAsia="Times New Roman" w:hAnsi="Times New Roman" w:cs="Times New Roman"/>
          <w:b/>
          <w:bCs/>
          <w:sz w:val="22"/>
          <w:szCs w:val="22"/>
          <w:lang w:val="en-GB"/>
        </w:rPr>
      </w:pPr>
      <w:r w:rsidRPr="00132956">
        <w:rPr>
          <w:rFonts w:ascii="Times New Roman" w:eastAsia="Times New Roman" w:hAnsi="Times New Roman" w:cs="Times New Roman"/>
          <w:b/>
          <w:bCs/>
          <w:sz w:val="22"/>
          <w:szCs w:val="22"/>
          <w:lang w:val="en-GB"/>
        </w:rPr>
        <w:t>Focus group discussion with beneficiaries (5-7)</w:t>
      </w:r>
    </w:p>
    <w:p w:rsidR="005827A4" w:rsidRPr="00132956" w:rsidRDefault="005827A4" w:rsidP="00132956">
      <w:pPr>
        <w:spacing w:after="0" w:line="240" w:lineRule="auto"/>
        <w:ind w:right="-358"/>
        <w:rPr>
          <w:rFonts w:ascii="Times New Roman" w:eastAsia="Times New Roman" w:hAnsi="Times New Roman" w:cs="Times New Roman"/>
          <w:b/>
          <w:bCs/>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i/>
          <w:iCs/>
          <w:sz w:val="22"/>
          <w:szCs w:val="22"/>
          <w:lang w:val="en-GB"/>
        </w:rPr>
      </w:pPr>
      <w:r w:rsidRPr="00132956">
        <w:rPr>
          <w:rFonts w:ascii="Times New Roman" w:eastAsia="Times New Roman" w:hAnsi="Times New Roman" w:cs="Times New Roman"/>
          <w:i/>
          <w:iCs/>
          <w:sz w:val="22"/>
          <w:szCs w:val="22"/>
          <w:lang w:val="en-GB"/>
        </w:rPr>
        <w:t>Venue: Democracy and Workers Rights Centre (Ramallah)</w:t>
      </w:r>
    </w:p>
    <w:p w:rsidR="005827A4" w:rsidRPr="00132956" w:rsidRDefault="005827A4" w:rsidP="00132956">
      <w:pPr>
        <w:spacing w:after="0" w:line="240" w:lineRule="auto"/>
        <w:ind w:left="-270" w:right="-358"/>
        <w:rPr>
          <w:rFonts w:ascii="Times New Roman" w:eastAsia="Times New Roman" w:hAnsi="Times New Roman" w:cs="Times New Roman"/>
          <w:i/>
          <w:iCs/>
          <w:sz w:val="22"/>
          <w:szCs w:val="22"/>
          <w:lang w:val="en-GB"/>
        </w:rPr>
      </w:pPr>
    </w:p>
    <w:p w:rsidR="005827A4" w:rsidRPr="0019654C" w:rsidRDefault="005827A4" w:rsidP="0019654C">
      <w:pPr>
        <w:spacing w:after="0" w:line="240" w:lineRule="auto"/>
        <w:ind w:left="-270" w:right="-358"/>
        <w:rPr>
          <w:rFonts w:ascii="Times New Roman" w:eastAsia="Times New Roman" w:hAnsi="Times New Roman" w:cs="Times New Roman"/>
          <w:b/>
          <w:i/>
          <w:iCs/>
          <w:sz w:val="22"/>
          <w:szCs w:val="22"/>
          <w:lang w:val="en-GB"/>
        </w:rPr>
      </w:pPr>
      <w:r w:rsidRPr="00132956">
        <w:rPr>
          <w:rFonts w:ascii="Times New Roman" w:eastAsia="Times New Roman" w:hAnsi="Times New Roman" w:cs="Times New Roman"/>
          <w:b/>
          <w:i/>
          <w:iCs/>
          <w:sz w:val="22"/>
          <w:szCs w:val="22"/>
          <w:lang w:val="en-GB"/>
        </w:rPr>
        <w:t>16:00-17:00 Meeting with Judge Somoud</w:t>
      </w:r>
      <w:r w:rsidR="00E8775C">
        <w:rPr>
          <w:rFonts w:ascii="Times New Roman" w:eastAsia="Times New Roman" w:hAnsi="Times New Roman" w:cs="Times New Roman"/>
          <w:b/>
          <w:i/>
          <w:iCs/>
          <w:sz w:val="22"/>
          <w:szCs w:val="22"/>
          <w:lang w:val="en-GB"/>
        </w:rPr>
        <w:t xml:space="preserve"> </w:t>
      </w:r>
      <w:r w:rsidRPr="00132956">
        <w:rPr>
          <w:rFonts w:ascii="Times New Roman" w:eastAsia="Times New Roman" w:hAnsi="Times New Roman" w:cs="Times New Roman"/>
          <w:b/>
          <w:i/>
          <w:iCs/>
          <w:sz w:val="22"/>
          <w:szCs w:val="22"/>
          <w:lang w:val="en-GB"/>
        </w:rPr>
        <w:t>Damiri (</w:t>
      </w:r>
      <w:r w:rsidR="000C369C" w:rsidRPr="0019654C">
        <w:rPr>
          <w:rFonts w:ascii="Times New Roman" w:eastAsia="Times New Roman" w:hAnsi="Times New Roman" w:cs="Times New Roman"/>
          <w:b/>
          <w:iCs/>
          <w:sz w:val="22"/>
          <w:szCs w:val="22"/>
          <w:lang w:val="en-GB"/>
        </w:rPr>
        <w:t>Shari’a</w:t>
      </w:r>
      <w:r w:rsidRPr="00132956">
        <w:rPr>
          <w:rFonts w:ascii="Times New Roman" w:eastAsia="Times New Roman" w:hAnsi="Times New Roman" w:cs="Times New Roman"/>
          <w:b/>
          <w:i/>
          <w:iCs/>
          <w:sz w:val="22"/>
          <w:szCs w:val="22"/>
          <w:lang w:val="en-GB"/>
        </w:rPr>
        <w:t xml:space="preserve"> Courts)</w:t>
      </w:r>
    </w:p>
    <w:p w:rsidR="005827A4" w:rsidRPr="00132956" w:rsidRDefault="005827A4" w:rsidP="00132956">
      <w:pPr>
        <w:spacing w:after="0" w:line="240" w:lineRule="auto"/>
        <w:ind w:left="-270" w:right="-358"/>
        <w:jc w:val="center"/>
        <w:rPr>
          <w:rFonts w:ascii="Times New Roman" w:eastAsia="Times New Roman" w:hAnsi="Times New Roman" w:cs="Times New Roman"/>
          <w:b/>
          <w:bCs/>
          <w:sz w:val="22"/>
          <w:szCs w:val="22"/>
          <w:u w:val="single"/>
          <w:lang w:val="en-GB"/>
        </w:rPr>
      </w:pPr>
    </w:p>
    <w:p w:rsidR="005827A4" w:rsidRPr="00132956" w:rsidRDefault="005827A4" w:rsidP="00132956">
      <w:pPr>
        <w:spacing w:after="0" w:line="240" w:lineRule="auto"/>
        <w:ind w:left="-270" w:right="-358"/>
        <w:jc w:val="center"/>
        <w:rPr>
          <w:rFonts w:ascii="Times New Roman" w:eastAsia="Times New Roman" w:hAnsi="Times New Roman" w:cs="Times New Roman"/>
          <w:sz w:val="22"/>
          <w:szCs w:val="22"/>
          <w:u w:val="single"/>
          <w:lang w:val="en-GB"/>
        </w:rPr>
      </w:pPr>
      <w:r w:rsidRPr="00132956">
        <w:rPr>
          <w:rFonts w:ascii="Times New Roman" w:eastAsia="Times New Roman" w:hAnsi="Times New Roman" w:cs="Times New Roman"/>
          <w:b/>
          <w:bCs/>
          <w:sz w:val="22"/>
          <w:szCs w:val="22"/>
          <w:u w:val="single"/>
          <w:lang w:val="en-GB"/>
        </w:rPr>
        <w:t>Tuesday, 15 January 2013</w:t>
      </w:r>
    </w:p>
    <w:p w:rsidR="005827A4" w:rsidRPr="00132956" w:rsidRDefault="005827A4" w:rsidP="00132956">
      <w:pPr>
        <w:spacing w:after="0" w:line="240" w:lineRule="auto"/>
        <w:ind w:left="-270" w:right="-358"/>
        <w:rPr>
          <w:rFonts w:ascii="Times New Roman" w:eastAsia="Times New Roman" w:hAnsi="Times New Roman" w:cs="Times New Roman"/>
          <w:sz w:val="22"/>
          <w:szCs w:val="22"/>
          <w:lang w:val="en-GB"/>
        </w:rPr>
      </w:pPr>
    </w:p>
    <w:p w:rsidR="005827A4" w:rsidRPr="00132956" w:rsidRDefault="0019654C" w:rsidP="00132956">
      <w:pPr>
        <w:spacing w:after="0" w:line="240" w:lineRule="auto"/>
        <w:ind w:left="-270" w:right="-358"/>
        <w:rPr>
          <w:rFonts w:ascii="Times New Roman" w:eastAsia="Times New Roman" w:hAnsi="Times New Roman" w:cs="Times New Roman"/>
          <w:b/>
          <w:bCs/>
          <w:i/>
          <w:iCs/>
          <w:sz w:val="22"/>
          <w:szCs w:val="22"/>
          <w:lang w:val="en-GB"/>
        </w:rPr>
      </w:pPr>
      <w:r>
        <w:rPr>
          <w:rFonts w:ascii="Times New Roman" w:eastAsia="Times New Roman" w:hAnsi="Times New Roman" w:cs="Times New Roman"/>
          <w:b/>
          <w:bCs/>
          <w:i/>
          <w:iCs/>
          <w:sz w:val="22"/>
          <w:szCs w:val="22"/>
          <w:lang w:val="en-GB"/>
        </w:rPr>
        <w:t xml:space="preserve">10.00-12.30 CSO Roundtable: </w:t>
      </w:r>
      <w:r w:rsidR="005827A4" w:rsidRPr="00132956">
        <w:rPr>
          <w:rFonts w:ascii="Times New Roman" w:eastAsia="Times New Roman" w:hAnsi="Times New Roman" w:cs="Times New Roman"/>
          <w:b/>
          <w:bCs/>
          <w:i/>
          <w:iCs/>
          <w:sz w:val="22"/>
          <w:szCs w:val="22"/>
          <w:lang w:val="en-GB"/>
        </w:rPr>
        <w:t>Gisha, Physicians for Human Rights, Btselem, Public Committee Against Torture in Israel, Hamoked</w:t>
      </w:r>
    </w:p>
    <w:p w:rsidR="005827A4" w:rsidRPr="00132956" w:rsidRDefault="005827A4" w:rsidP="00132956">
      <w:pPr>
        <w:spacing w:after="0" w:line="240" w:lineRule="auto"/>
        <w:ind w:left="-270" w:right="-358"/>
        <w:rPr>
          <w:rFonts w:ascii="Times New Roman" w:eastAsia="Times New Roman" w:hAnsi="Times New Roman" w:cs="Times New Roman"/>
          <w:b/>
          <w:bCs/>
          <w:i/>
          <w:iCs/>
          <w:sz w:val="22"/>
          <w:szCs w:val="22"/>
          <w:lang w:val="en-GB"/>
        </w:rPr>
      </w:pPr>
    </w:p>
    <w:p w:rsidR="005827A4" w:rsidRPr="00132956" w:rsidRDefault="005827A4" w:rsidP="00132956">
      <w:pPr>
        <w:numPr>
          <w:ilvl w:val="0"/>
          <w:numId w:val="15"/>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Leora</w:t>
      </w:r>
      <w:r w:rsidR="00E8775C">
        <w:rPr>
          <w:rFonts w:ascii="Times New Roman" w:eastAsia="Times New Roman" w:hAnsi="Times New Roman" w:cs="Times New Roman"/>
          <w:sz w:val="22"/>
          <w:szCs w:val="22"/>
          <w:lang w:val="en-GB"/>
        </w:rPr>
        <w:t xml:space="preserve"> </w:t>
      </w:r>
      <w:r w:rsidRPr="00132956">
        <w:rPr>
          <w:rFonts w:ascii="Times New Roman" w:eastAsia="Times New Roman" w:hAnsi="Times New Roman" w:cs="Times New Roman"/>
          <w:sz w:val="22"/>
          <w:szCs w:val="22"/>
          <w:lang w:val="en-GB"/>
        </w:rPr>
        <w:t>Garton, Development Coordinator (Gisha)</w:t>
      </w:r>
    </w:p>
    <w:p w:rsidR="005827A4" w:rsidRPr="00132956" w:rsidRDefault="005827A4" w:rsidP="00132956">
      <w:pPr>
        <w:numPr>
          <w:ilvl w:val="0"/>
          <w:numId w:val="15"/>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Gila</w:t>
      </w:r>
      <w:r w:rsidR="00E8775C">
        <w:rPr>
          <w:rFonts w:ascii="Times New Roman" w:eastAsia="Times New Roman" w:hAnsi="Times New Roman" w:cs="Times New Roman"/>
          <w:sz w:val="22"/>
          <w:szCs w:val="22"/>
          <w:lang w:val="en-GB"/>
        </w:rPr>
        <w:t xml:space="preserve"> </w:t>
      </w:r>
      <w:r w:rsidRPr="00132956">
        <w:rPr>
          <w:rFonts w:ascii="Times New Roman" w:eastAsia="Times New Roman" w:hAnsi="Times New Roman" w:cs="Times New Roman"/>
          <w:sz w:val="22"/>
          <w:szCs w:val="22"/>
          <w:lang w:val="en-GB"/>
        </w:rPr>
        <w:t>Norich, Director of Development (Physicians for Human Rights)</w:t>
      </w:r>
    </w:p>
    <w:p w:rsidR="005827A4" w:rsidRPr="00132956" w:rsidRDefault="005827A4" w:rsidP="00132956">
      <w:pPr>
        <w:numPr>
          <w:ilvl w:val="0"/>
          <w:numId w:val="15"/>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Jessica Montell, Director (Btselem)</w:t>
      </w:r>
    </w:p>
    <w:p w:rsidR="005827A4" w:rsidRPr="00132956" w:rsidRDefault="005827A4" w:rsidP="00132956">
      <w:pPr>
        <w:numPr>
          <w:ilvl w:val="0"/>
          <w:numId w:val="15"/>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Daniel Sherman, Director of International Relations (Btselem)</w:t>
      </w:r>
    </w:p>
    <w:p w:rsidR="005827A4" w:rsidRPr="00132956" w:rsidRDefault="005827A4" w:rsidP="00132956">
      <w:pPr>
        <w:numPr>
          <w:ilvl w:val="0"/>
          <w:numId w:val="16"/>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Louis Frankenthaler, Development &amp; International Outreach Director (Public Committee Against Torture in Israel)</w:t>
      </w:r>
    </w:p>
    <w:p w:rsidR="005827A4" w:rsidRPr="00132956" w:rsidRDefault="005827A4" w:rsidP="00132956">
      <w:pPr>
        <w:numPr>
          <w:ilvl w:val="0"/>
          <w:numId w:val="16"/>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 xml:space="preserve">Dalia Kirstein, Executive Director (Hamoked) </w:t>
      </w:r>
    </w:p>
    <w:p w:rsidR="005827A4" w:rsidRPr="00132956" w:rsidRDefault="005827A4" w:rsidP="00132956">
      <w:pPr>
        <w:numPr>
          <w:ilvl w:val="0"/>
          <w:numId w:val="16"/>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Jessica Kirk-Bowman, Public Relations Officer (Hamoked)</w:t>
      </w:r>
    </w:p>
    <w:p w:rsidR="005827A4" w:rsidRPr="00132956" w:rsidRDefault="005827A4" w:rsidP="00132956">
      <w:pPr>
        <w:numPr>
          <w:ilvl w:val="0"/>
          <w:numId w:val="16"/>
        </w:numPr>
        <w:spacing w:after="0" w:line="240" w:lineRule="auto"/>
        <w:ind w:right="-358"/>
        <w:rPr>
          <w:rFonts w:ascii="Times New Roman" w:eastAsia="Times New Roman" w:hAnsi="Times New Roman" w:cs="Times New Roman"/>
          <w:b/>
          <w:bCs/>
          <w:i/>
          <w:iCs/>
          <w:sz w:val="22"/>
          <w:szCs w:val="22"/>
          <w:lang w:val="en-GB"/>
        </w:rPr>
      </w:pPr>
      <w:r w:rsidRPr="00132956">
        <w:rPr>
          <w:rFonts w:ascii="Times New Roman" w:eastAsia="Times New Roman" w:hAnsi="Times New Roman" w:cs="Times New Roman"/>
          <w:sz w:val="22"/>
          <w:szCs w:val="22"/>
          <w:lang w:val="en-GB"/>
        </w:rPr>
        <w:t>Kurt Aranson, Finance and Human Resources Officer (Hamoked)</w:t>
      </w:r>
    </w:p>
    <w:p w:rsidR="0019654C" w:rsidRDefault="0019654C" w:rsidP="00132956">
      <w:pPr>
        <w:spacing w:after="0" w:line="240" w:lineRule="auto"/>
        <w:ind w:right="-358"/>
        <w:rPr>
          <w:rFonts w:ascii="Times New Roman" w:eastAsia="Times New Roman" w:hAnsi="Times New Roman" w:cs="Times New Roman"/>
          <w:bCs/>
          <w:i/>
          <w:iCs/>
          <w:sz w:val="22"/>
          <w:szCs w:val="22"/>
          <w:lang w:val="en-GB"/>
        </w:rPr>
      </w:pPr>
    </w:p>
    <w:p w:rsidR="005827A4" w:rsidRPr="00132956" w:rsidRDefault="005827A4" w:rsidP="00132956">
      <w:pPr>
        <w:spacing w:after="0" w:line="240" w:lineRule="auto"/>
        <w:ind w:right="-358"/>
        <w:rPr>
          <w:rFonts w:ascii="Times New Roman" w:eastAsia="Times New Roman" w:hAnsi="Times New Roman" w:cs="Times New Roman"/>
          <w:bCs/>
          <w:i/>
          <w:iCs/>
          <w:sz w:val="22"/>
          <w:szCs w:val="22"/>
          <w:lang w:val="en-GB"/>
        </w:rPr>
      </w:pPr>
      <w:r w:rsidRPr="00132956">
        <w:rPr>
          <w:rFonts w:ascii="Times New Roman" w:eastAsia="Times New Roman" w:hAnsi="Times New Roman" w:cs="Times New Roman"/>
          <w:bCs/>
          <w:i/>
          <w:iCs/>
          <w:sz w:val="22"/>
          <w:szCs w:val="22"/>
          <w:lang w:val="en-GB"/>
        </w:rPr>
        <w:t>Venue: UNDP Office (Jerusalem)</w:t>
      </w:r>
    </w:p>
    <w:p w:rsidR="005827A4" w:rsidRPr="00132956" w:rsidRDefault="005827A4" w:rsidP="0019654C">
      <w:pPr>
        <w:spacing w:after="0" w:line="240" w:lineRule="auto"/>
        <w:ind w:right="-358"/>
        <w:rPr>
          <w:rFonts w:ascii="Times New Roman" w:eastAsia="Times New Roman" w:hAnsi="Times New Roman" w:cs="Times New Roman"/>
          <w:b/>
          <w:bCs/>
          <w:i/>
          <w:iCs/>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b/>
          <w:bCs/>
          <w:i/>
          <w:iCs/>
          <w:sz w:val="22"/>
          <w:szCs w:val="22"/>
          <w:lang w:val="en-GB"/>
        </w:rPr>
      </w:pPr>
      <w:r w:rsidRPr="00132956">
        <w:rPr>
          <w:rFonts w:ascii="Times New Roman" w:eastAsia="Times New Roman" w:hAnsi="Times New Roman" w:cs="Times New Roman"/>
          <w:b/>
          <w:bCs/>
          <w:i/>
          <w:iCs/>
          <w:sz w:val="22"/>
          <w:szCs w:val="22"/>
          <w:lang w:val="en-GB"/>
        </w:rPr>
        <w:t>13.30-15:00 High Judicial Council</w:t>
      </w:r>
    </w:p>
    <w:p w:rsidR="005827A4" w:rsidRPr="00132956" w:rsidRDefault="005827A4" w:rsidP="00132956">
      <w:pPr>
        <w:spacing w:after="0" w:line="240" w:lineRule="auto"/>
        <w:ind w:left="-270" w:right="-358"/>
        <w:rPr>
          <w:rFonts w:ascii="Times New Roman" w:eastAsia="Times New Roman" w:hAnsi="Times New Roman" w:cs="Times New Roman"/>
          <w:sz w:val="22"/>
          <w:szCs w:val="22"/>
          <w:lang w:val="en-GB"/>
        </w:rPr>
      </w:pPr>
    </w:p>
    <w:p w:rsidR="005827A4" w:rsidRPr="00132956" w:rsidRDefault="005827A4" w:rsidP="00132956">
      <w:pPr>
        <w:numPr>
          <w:ilvl w:val="0"/>
          <w:numId w:val="10"/>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Farid Al-Jallad, Chief Justice</w:t>
      </w:r>
    </w:p>
    <w:p w:rsidR="005827A4" w:rsidRPr="00132956" w:rsidRDefault="005827A4" w:rsidP="00132956">
      <w:pPr>
        <w:numPr>
          <w:ilvl w:val="0"/>
          <w:numId w:val="10"/>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Thuraya Al-Wazir, Head of the Planning &amp; Project Management Unit</w:t>
      </w:r>
    </w:p>
    <w:p w:rsidR="005827A4" w:rsidRPr="00132956" w:rsidRDefault="005827A4" w:rsidP="00132956">
      <w:pPr>
        <w:numPr>
          <w:ilvl w:val="0"/>
          <w:numId w:val="10"/>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Khaled</w:t>
      </w:r>
      <w:r w:rsidR="00E8775C">
        <w:rPr>
          <w:rFonts w:ascii="Times New Roman" w:eastAsia="Times New Roman" w:hAnsi="Times New Roman" w:cs="Times New Roman"/>
          <w:sz w:val="22"/>
          <w:szCs w:val="22"/>
          <w:lang w:val="en-GB"/>
        </w:rPr>
        <w:t xml:space="preserve"> </w:t>
      </w:r>
      <w:r w:rsidRPr="00132956">
        <w:rPr>
          <w:rFonts w:ascii="Times New Roman" w:eastAsia="Times New Roman" w:hAnsi="Times New Roman" w:cs="Times New Roman"/>
          <w:sz w:val="22"/>
          <w:szCs w:val="22"/>
          <w:lang w:val="en-GB"/>
        </w:rPr>
        <w:t>Shtayeh, Planning Manager (UNDP)</w:t>
      </w:r>
    </w:p>
    <w:p w:rsidR="005827A4" w:rsidRPr="00132956" w:rsidRDefault="005827A4" w:rsidP="00132956">
      <w:pPr>
        <w:spacing w:after="0" w:line="240" w:lineRule="auto"/>
        <w:ind w:left="-270" w:right="-358"/>
        <w:rPr>
          <w:rFonts w:ascii="Times New Roman" w:eastAsia="Times New Roman" w:hAnsi="Times New Roman" w:cs="Times New Roman"/>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i/>
          <w:iCs/>
          <w:sz w:val="22"/>
          <w:szCs w:val="22"/>
          <w:lang w:val="en-GB"/>
        </w:rPr>
      </w:pPr>
      <w:r w:rsidRPr="00132956">
        <w:rPr>
          <w:rFonts w:ascii="Times New Roman" w:eastAsia="Times New Roman" w:hAnsi="Times New Roman" w:cs="Times New Roman"/>
          <w:i/>
          <w:iCs/>
          <w:sz w:val="22"/>
          <w:szCs w:val="22"/>
          <w:lang w:val="en-GB"/>
        </w:rPr>
        <w:t>Venue: High Judicial Council (Ramallah)</w:t>
      </w:r>
    </w:p>
    <w:p w:rsidR="005827A4" w:rsidRPr="00132956" w:rsidRDefault="005827A4" w:rsidP="00132956">
      <w:pPr>
        <w:spacing w:after="0" w:line="240" w:lineRule="auto"/>
        <w:ind w:right="-358"/>
        <w:rPr>
          <w:rFonts w:ascii="Times New Roman" w:eastAsia="Times New Roman" w:hAnsi="Times New Roman" w:cs="Times New Roman"/>
          <w:b/>
          <w:bCs/>
          <w:i/>
          <w:iCs/>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b/>
          <w:bCs/>
          <w:i/>
          <w:iCs/>
          <w:sz w:val="22"/>
          <w:szCs w:val="22"/>
          <w:lang w:val="en-GB"/>
        </w:rPr>
      </w:pPr>
      <w:r w:rsidRPr="00132956">
        <w:rPr>
          <w:rFonts w:ascii="Times New Roman" w:eastAsia="Times New Roman" w:hAnsi="Times New Roman" w:cs="Times New Roman"/>
          <w:b/>
          <w:bCs/>
          <w:i/>
          <w:iCs/>
          <w:sz w:val="22"/>
          <w:szCs w:val="22"/>
          <w:lang w:val="en-GB"/>
        </w:rPr>
        <w:t>15:30-17:00 Attorney-General’s Office</w:t>
      </w:r>
    </w:p>
    <w:p w:rsidR="005827A4" w:rsidRPr="00132956" w:rsidRDefault="005827A4" w:rsidP="00132956">
      <w:pPr>
        <w:spacing w:after="0" w:line="240" w:lineRule="auto"/>
        <w:ind w:left="-270" w:right="-358"/>
        <w:rPr>
          <w:rFonts w:ascii="Times New Roman" w:eastAsia="Times New Roman" w:hAnsi="Times New Roman" w:cs="Times New Roman"/>
          <w:b/>
          <w:bCs/>
          <w:i/>
          <w:iCs/>
          <w:sz w:val="22"/>
          <w:szCs w:val="22"/>
          <w:lang w:val="en-GB"/>
        </w:rPr>
      </w:pPr>
    </w:p>
    <w:p w:rsidR="005827A4" w:rsidRPr="00132956" w:rsidRDefault="005827A4" w:rsidP="00132956">
      <w:pPr>
        <w:numPr>
          <w:ilvl w:val="0"/>
          <w:numId w:val="11"/>
        </w:numPr>
        <w:spacing w:after="0" w:line="240" w:lineRule="auto"/>
        <w:ind w:right="-358"/>
        <w:rPr>
          <w:rFonts w:ascii="Times New Roman" w:eastAsia="Times New Roman" w:hAnsi="Times New Roman" w:cs="Times New Roman"/>
          <w:b/>
          <w:bCs/>
          <w:i/>
          <w:iCs/>
          <w:sz w:val="22"/>
          <w:szCs w:val="22"/>
          <w:lang w:val="en-GB"/>
        </w:rPr>
      </w:pPr>
      <w:r w:rsidRPr="00132956">
        <w:rPr>
          <w:rFonts w:ascii="Times New Roman" w:eastAsia="Times New Roman" w:hAnsi="Times New Roman" w:cs="Times New Roman"/>
          <w:sz w:val="22"/>
          <w:szCs w:val="22"/>
          <w:lang w:val="en-GB"/>
        </w:rPr>
        <w:t>Abdu Al-Ghani Al-Awawi, Attorney-General</w:t>
      </w:r>
    </w:p>
    <w:p w:rsidR="005827A4" w:rsidRPr="00132956" w:rsidRDefault="005827A4" w:rsidP="00132956">
      <w:pPr>
        <w:numPr>
          <w:ilvl w:val="0"/>
          <w:numId w:val="11"/>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Charlie Jabaji, Planning Manager (UNDP)</w:t>
      </w:r>
    </w:p>
    <w:p w:rsidR="005827A4" w:rsidRPr="00132956" w:rsidRDefault="005827A4" w:rsidP="00132956">
      <w:pPr>
        <w:numPr>
          <w:ilvl w:val="0"/>
          <w:numId w:val="11"/>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Omar Al-Assouli, Donor Relations Officer (UNDP)</w:t>
      </w:r>
    </w:p>
    <w:p w:rsidR="005827A4" w:rsidRPr="00132956" w:rsidRDefault="005827A4" w:rsidP="00132956">
      <w:pPr>
        <w:spacing w:after="0" w:line="240" w:lineRule="auto"/>
        <w:ind w:left="-270" w:right="-358"/>
        <w:rPr>
          <w:rFonts w:ascii="Times New Roman" w:eastAsia="Times New Roman" w:hAnsi="Times New Roman" w:cs="Times New Roman"/>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i/>
          <w:iCs/>
          <w:sz w:val="22"/>
          <w:szCs w:val="22"/>
          <w:lang w:val="en-GB"/>
        </w:rPr>
      </w:pPr>
      <w:r w:rsidRPr="00132956">
        <w:rPr>
          <w:rFonts w:ascii="Times New Roman" w:eastAsia="Times New Roman" w:hAnsi="Times New Roman" w:cs="Times New Roman"/>
          <w:i/>
          <w:iCs/>
          <w:sz w:val="22"/>
          <w:szCs w:val="22"/>
          <w:lang w:val="en-GB"/>
        </w:rPr>
        <w:t>Venue: Attorney-General’s Office (Ramallah)</w:t>
      </w:r>
    </w:p>
    <w:p w:rsidR="005827A4" w:rsidRPr="00132956" w:rsidRDefault="005827A4" w:rsidP="0019654C">
      <w:pPr>
        <w:spacing w:after="0" w:line="240" w:lineRule="auto"/>
        <w:ind w:right="-358"/>
        <w:rPr>
          <w:rFonts w:ascii="Times New Roman" w:eastAsia="Times New Roman" w:hAnsi="Times New Roman" w:cs="Times New Roman"/>
          <w:b/>
          <w:bCs/>
          <w:i/>
          <w:iCs/>
          <w:sz w:val="22"/>
          <w:szCs w:val="22"/>
          <w:lang w:val="en-GB"/>
        </w:rPr>
      </w:pPr>
    </w:p>
    <w:p w:rsidR="005827A4" w:rsidRPr="0019654C" w:rsidRDefault="005827A4" w:rsidP="0019654C">
      <w:pPr>
        <w:spacing w:after="0" w:line="240" w:lineRule="auto"/>
        <w:ind w:left="-270" w:right="-358"/>
        <w:rPr>
          <w:rFonts w:ascii="Times New Roman" w:eastAsia="Times New Roman" w:hAnsi="Times New Roman" w:cs="Times New Roman"/>
          <w:b/>
          <w:bCs/>
          <w:i/>
          <w:iCs/>
          <w:sz w:val="22"/>
          <w:szCs w:val="22"/>
          <w:lang w:val="en-GB"/>
        </w:rPr>
      </w:pPr>
      <w:r w:rsidRPr="00132956">
        <w:rPr>
          <w:rFonts w:ascii="Times New Roman" w:eastAsia="Times New Roman" w:hAnsi="Times New Roman" w:cs="Times New Roman"/>
          <w:b/>
          <w:bCs/>
          <w:i/>
          <w:iCs/>
          <w:sz w:val="22"/>
          <w:szCs w:val="22"/>
          <w:lang w:val="en-GB"/>
        </w:rPr>
        <w:t>19:00 Team Dinner</w:t>
      </w:r>
    </w:p>
    <w:p w:rsidR="005827A4" w:rsidRPr="00132956" w:rsidRDefault="005827A4" w:rsidP="00132956">
      <w:pPr>
        <w:spacing w:after="0" w:line="240" w:lineRule="auto"/>
        <w:ind w:right="-358"/>
        <w:rPr>
          <w:rFonts w:ascii="Times New Roman" w:eastAsia="Times New Roman" w:hAnsi="Times New Roman" w:cs="Times New Roman"/>
          <w:b/>
          <w:bCs/>
          <w:sz w:val="22"/>
          <w:szCs w:val="22"/>
          <w:u w:val="single"/>
          <w:lang w:val="en-GB"/>
        </w:rPr>
      </w:pPr>
    </w:p>
    <w:p w:rsidR="00080B0D" w:rsidRPr="00132956" w:rsidRDefault="00080B0D" w:rsidP="00132956">
      <w:pPr>
        <w:spacing w:after="0" w:line="240" w:lineRule="auto"/>
        <w:ind w:left="-270" w:right="-358"/>
        <w:jc w:val="center"/>
        <w:rPr>
          <w:rFonts w:ascii="Times New Roman" w:hAnsi="Times New Roman" w:cs="Times New Roman"/>
          <w:b/>
          <w:bCs/>
          <w:sz w:val="22"/>
          <w:szCs w:val="22"/>
          <w:u w:val="single"/>
          <w:lang w:val="en-GB"/>
        </w:rPr>
      </w:pPr>
      <w:r w:rsidRPr="00132956">
        <w:rPr>
          <w:rFonts w:ascii="Times New Roman" w:hAnsi="Times New Roman" w:cs="Times New Roman"/>
          <w:b/>
          <w:bCs/>
          <w:sz w:val="22"/>
          <w:szCs w:val="22"/>
          <w:u w:val="single"/>
          <w:lang w:val="en-GB"/>
        </w:rPr>
        <w:lastRenderedPageBreak/>
        <w:t>Wednesday, 16 January 2013</w:t>
      </w:r>
    </w:p>
    <w:p w:rsidR="00080B0D" w:rsidRPr="00132956" w:rsidRDefault="00080B0D" w:rsidP="00132956">
      <w:pPr>
        <w:spacing w:after="0" w:line="240" w:lineRule="auto"/>
        <w:ind w:left="-270" w:right="-358"/>
        <w:rPr>
          <w:rFonts w:ascii="Times New Roman" w:hAnsi="Times New Roman" w:cs="Times New Roman"/>
          <w:b/>
          <w:bCs/>
          <w:sz w:val="22"/>
          <w:szCs w:val="22"/>
          <w:lang w:val="en-GB"/>
        </w:rPr>
      </w:pPr>
    </w:p>
    <w:p w:rsidR="00080B0D" w:rsidRPr="00132956" w:rsidRDefault="00080B0D" w:rsidP="00132956">
      <w:pPr>
        <w:spacing w:after="0" w:line="240" w:lineRule="auto"/>
        <w:ind w:left="-270" w:right="-358"/>
        <w:rPr>
          <w:rFonts w:ascii="Times New Roman" w:hAnsi="Times New Roman" w:cs="Times New Roman"/>
          <w:b/>
          <w:bCs/>
          <w:i/>
          <w:iCs/>
          <w:sz w:val="22"/>
          <w:szCs w:val="22"/>
          <w:lang w:val="en-GB"/>
        </w:rPr>
      </w:pPr>
      <w:r w:rsidRPr="00132956">
        <w:rPr>
          <w:rFonts w:ascii="Times New Roman" w:hAnsi="Times New Roman" w:cs="Times New Roman"/>
          <w:b/>
          <w:bCs/>
          <w:i/>
          <w:iCs/>
          <w:sz w:val="22"/>
          <w:szCs w:val="22"/>
          <w:lang w:val="en-GB"/>
        </w:rPr>
        <w:t>06:30 Departure to Gaza</w:t>
      </w:r>
    </w:p>
    <w:p w:rsidR="00080B0D" w:rsidRPr="00132956" w:rsidRDefault="00080B0D" w:rsidP="00132956">
      <w:pPr>
        <w:spacing w:after="0" w:line="240" w:lineRule="auto"/>
        <w:ind w:left="-270" w:right="-358"/>
        <w:rPr>
          <w:rFonts w:ascii="Times New Roman" w:hAnsi="Times New Roman" w:cs="Times New Roman"/>
          <w:b/>
          <w:bCs/>
          <w:i/>
          <w:iCs/>
          <w:sz w:val="22"/>
          <w:szCs w:val="22"/>
          <w:lang w:val="en-GB"/>
        </w:rPr>
      </w:pPr>
    </w:p>
    <w:p w:rsidR="00080B0D" w:rsidRPr="00132956" w:rsidRDefault="00080B0D" w:rsidP="00132956">
      <w:pPr>
        <w:spacing w:after="0" w:line="240" w:lineRule="auto"/>
        <w:ind w:left="-270" w:right="-358"/>
        <w:rPr>
          <w:rFonts w:ascii="Times New Roman" w:hAnsi="Times New Roman" w:cs="Times New Roman"/>
          <w:b/>
          <w:bCs/>
          <w:i/>
          <w:iCs/>
          <w:sz w:val="22"/>
          <w:szCs w:val="22"/>
          <w:lang w:val="en-GB"/>
        </w:rPr>
      </w:pPr>
      <w:r w:rsidRPr="00132956">
        <w:rPr>
          <w:rFonts w:ascii="Times New Roman" w:hAnsi="Times New Roman" w:cs="Times New Roman"/>
          <w:b/>
          <w:bCs/>
          <w:i/>
          <w:iCs/>
          <w:sz w:val="22"/>
          <w:szCs w:val="22"/>
          <w:lang w:val="en-GB"/>
        </w:rPr>
        <w:t>09:30-11:00 Al Atta’ Benevolent Association</w:t>
      </w:r>
    </w:p>
    <w:p w:rsidR="00080B0D" w:rsidRPr="00132956" w:rsidRDefault="00080B0D" w:rsidP="00132956">
      <w:pPr>
        <w:spacing w:after="0" w:line="240" w:lineRule="auto"/>
        <w:ind w:left="-270" w:right="-358"/>
        <w:rPr>
          <w:rFonts w:ascii="Times New Roman" w:hAnsi="Times New Roman" w:cs="Times New Roman"/>
          <w:b/>
          <w:bCs/>
          <w:i/>
          <w:iCs/>
          <w:sz w:val="22"/>
          <w:szCs w:val="22"/>
          <w:lang w:val="en-GB"/>
        </w:rPr>
      </w:pPr>
    </w:p>
    <w:p w:rsidR="00080B0D" w:rsidRPr="00132956" w:rsidRDefault="00080B0D" w:rsidP="00132956">
      <w:pPr>
        <w:numPr>
          <w:ilvl w:val="0"/>
          <w:numId w:val="16"/>
        </w:numPr>
        <w:spacing w:after="0" w:line="240" w:lineRule="auto"/>
        <w:ind w:right="-358"/>
        <w:rPr>
          <w:rFonts w:ascii="Times New Roman" w:hAnsi="Times New Roman" w:cs="Times New Roman"/>
          <w:iCs/>
          <w:sz w:val="22"/>
          <w:szCs w:val="22"/>
          <w:lang w:val="en-GB"/>
        </w:rPr>
      </w:pPr>
      <w:r w:rsidRPr="00132956">
        <w:rPr>
          <w:rFonts w:ascii="Times New Roman" w:hAnsi="Times New Roman" w:cs="Times New Roman"/>
          <w:iCs/>
          <w:sz w:val="22"/>
          <w:szCs w:val="22"/>
          <w:lang w:val="en-GB"/>
        </w:rPr>
        <w:t>Ibtiisam El Za’aneen, Board Director</w:t>
      </w:r>
    </w:p>
    <w:p w:rsidR="00080B0D" w:rsidRPr="00132956" w:rsidRDefault="00080B0D" w:rsidP="00132956">
      <w:pPr>
        <w:numPr>
          <w:ilvl w:val="0"/>
          <w:numId w:val="16"/>
        </w:numPr>
        <w:spacing w:after="0" w:line="240" w:lineRule="auto"/>
        <w:ind w:right="-358"/>
        <w:rPr>
          <w:rFonts w:ascii="Times New Roman" w:hAnsi="Times New Roman" w:cs="Times New Roman"/>
          <w:iCs/>
          <w:sz w:val="22"/>
          <w:szCs w:val="22"/>
          <w:lang w:val="en-GB"/>
        </w:rPr>
      </w:pPr>
      <w:r w:rsidRPr="00132956">
        <w:rPr>
          <w:rFonts w:ascii="Times New Roman" w:hAnsi="Times New Roman" w:cs="Times New Roman"/>
          <w:iCs/>
          <w:sz w:val="22"/>
          <w:szCs w:val="22"/>
          <w:lang w:val="en-GB"/>
        </w:rPr>
        <w:t>Mahasen El Za’aneen, Projects Coordinator</w:t>
      </w:r>
    </w:p>
    <w:p w:rsidR="00080B0D" w:rsidRPr="00132956" w:rsidRDefault="00080B0D" w:rsidP="00132956">
      <w:pPr>
        <w:numPr>
          <w:ilvl w:val="0"/>
          <w:numId w:val="16"/>
        </w:numPr>
        <w:spacing w:after="0" w:line="240" w:lineRule="auto"/>
        <w:ind w:right="-358"/>
        <w:rPr>
          <w:rFonts w:ascii="Times New Roman" w:hAnsi="Times New Roman" w:cs="Times New Roman"/>
          <w:iCs/>
          <w:sz w:val="22"/>
          <w:szCs w:val="22"/>
          <w:lang w:val="en-GB"/>
        </w:rPr>
      </w:pPr>
      <w:r w:rsidRPr="00132956">
        <w:rPr>
          <w:rFonts w:ascii="Times New Roman" w:hAnsi="Times New Roman" w:cs="Times New Roman"/>
          <w:iCs/>
          <w:sz w:val="22"/>
          <w:szCs w:val="22"/>
          <w:lang w:val="en-GB"/>
        </w:rPr>
        <w:t>Hala El Hattab, Lawyer</w:t>
      </w:r>
    </w:p>
    <w:p w:rsidR="00080B0D" w:rsidRPr="00132956" w:rsidRDefault="00080B0D" w:rsidP="00132956">
      <w:pPr>
        <w:spacing w:after="0" w:line="240" w:lineRule="auto"/>
        <w:ind w:left="-270" w:right="-358"/>
        <w:rPr>
          <w:rFonts w:ascii="Times New Roman" w:hAnsi="Times New Roman" w:cs="Times New Roman"/>
          <w:sz w:val="22"/>
          <w:szCs w:val="22"/>
          <w:lang w:val="en-GB"/>
        </w:rPr>
      </w:pPr>
    </w:p>
    <w:p w:rsidR="00080B0D" w:rsidRPr="00132956" w:rsidRDefault="00080B0D" w:rsidP="00132956">
      <w:pPr>
        <w:spacing w:after="0" w:line="240" w:lineRule="auto"/>
        <w:ind w:left="-270" w:right="-358"/>
        <w:rPr>
          <w:rFonts w:ascii="Times New Roman" w:hAnsi="Times New Roman" w:cs="Times New Roman"/>
          <w:i/>
          <w:iCs/>
          <w:sz w:val="22"/>
          <w:szCs w:val="22"/>
          <w:lang w:val="en-GB"/>
        </w:rPr>
      </w:pPr>
      <w:r w:rsidRPr="00132956">
        <w:rPr>
          <w:rFonts w:ascii="Times New Roman" w:hAnsi="Times New Roman" w:cs="Times New Roman"/>
          <w:i/>
          <w:iCs/>
          <w:sz w:val="22"/>
          <w:szCs w:val="22"/>
          <w:lang w:val="en-GB"/>
        </w:rPr>
        <w:t>Venue: Al Atta’ Benevolent Association (Beit</w:t>
      </w:r>
      <w:r w:rsidR="00E8775C">
        <w:rPr>
          <w:rFonts w:ascii="Times New Roman" w:hAnsi="Times New Roman" w:cs="Times New Roman"/>
          <w:i/>
          <w:iCs/>
          <w:sz w:val="22"/>
          <w:szCs w:val="22"/>
          <w:lang w:val="en-GB"/>
        </w:rPr>
        <w:t xml:space="preserve"> </w:t>
      </w:r>
      <w:r w:rsidRPr="00132956">
        <w:rPr>
          <w:rFonts w:ascii="Times New Roman" w:hAnsi="Times New Roman" w:cs="Times New Roman"/>
          <w:i/>
          <w:iCs/>
          <w:sz w:val="22"/>
          <w:szCs w:val="22"/>
          <w:lang w:val="en-GB"/>
        </w:rPr>
        <w:t>Hanoun)</w:t>
      </w:r>
    </w:p>
    <w:p w:rsidR="00080B0D" w:rsidRPr="00132956" w:rsidRDefault="00080B0D" w:rsidP="00132956">
      <w:pPr>
        <w:spacing w:after="0" w:line="240" w:lineRule="auto"/>
        <w:ind w:left="-270" w:right="-358"/>
        <w:rPr>
          <w:rFonts w:ascii="Times New Roman" w:hAnsi="Times New Roman" w:cs="Times New Roman"/>
          <w:sz w:val="22"/>
          <w:szCs w:val="22"/>
          <w:lang w:val="en-GB"/>
        </w:rPr>
      </w:pPr>
    </w:p>
    <w:p w:rsidR="00080B0D" w:rsidRPr="00132956" w:rsidRDefault="00080B0D" w:rsidP="00132956">
      <w:pPr>
        <w:spacing w:after="0" w:line="240" w:lineRule="auto"/>
        <w:ind w:left="-270" w:right="-358"/>
        <w:rPr>
          <w:rFonts w:ascii="Times New Roman" w:hAnsi="Times New Roman" w:cs="Times New Roman"/>
          <w:b/>
          <w:bCs/>
          <w:i/>
          <w:iCs/>
          <w:sz w:val="22"/>
          <w:szCs w:val="22"/>
          <w:lang w:val="en-GB"/>
        </w:rPr>
      </w:pPr>
      <w:r w:rsidRPr="00132956">
        <w:rPr>
          <w:rFonts w:ascii="Times New Roman" w:hAnsi="Times New Roman" w:cs="Times New Roman"/>
          <w:b/>
          <w:bCs/>
          <w:i/>
          <w:iCs/>
          <w:sz w:val="22"/>
          <w:szCs w:val="22"/>
          <w:lang w:val="en-GB"/>
        </w:rPr>
        <w:t>11:30-13:30</w:t>
      </w:r>
      <w:r w:rsidR="0019654C">
        <w:rPr>
          <w:rFonts w:ascii="Times New Roman" w:hAnsi="Times New Roman" w:cs="Times New Roman"/>
          <w:b/>
          <w:bCs/>
          <w:i/>
          <w:iCs/>
          <w:sz w:val="22"/>
          <w:szCs w:val="22"/>
          <w:lang w:val="en-GB"/>
        </w:rPr>
        <w:t xml:space="preserve"> CSO Roundtable: </w:t>
      </w:r>
      <w:r w:rsidRPr="00132956">
        <w:rPr>
          <w:rFonts w:ascii="Times New Roman" w:hAnsi="Times New Roman" w:cs="Times New Roman"/>
          <w:b/>
          <w:bCs/>
          <w:i/>
          <w:iCs/>
          <w:sz w:val="22"/>
          <w:szCs w:val="22"/>
          <w:lang w:val="en-GB"/>
        </w:rPr>
        <w:t>Women Affairs Center (WAC) and Aisha Association for Protection of Women and Children (Aisha)</w:t>
      </w:r>
    </w:p>
    <w:p w:rsidR="00080B0D" w:rsidRPr="00132956" w:rsidRDefault="00080B0D" w:rsidP="00132956">
      <w:pPr>
        <w:spacing w:after="0" w:line="240" w:lineRule="auto"/>
        <w:ind w:left="-270" w:right="-358"/>
        <w:rPr>
          <w:rFonts w:ascii="Times New Roman" w:hAnsi="Times New Roman" w:cs="Times New Roman"/>
          <w:sz w:val="22"/>
          <w:szCs w:val="22"/>
          <w:lang w:val="en-GB"/>
        </w:rPr>
      </w:pPr>
    </w:p>
    <w:p w:rsidR="00080B0D" w:rsidRPr="00132956" w:rsidRDefault="00080B0D" w:rsidP="00132956">
      <w:pPr>
        <w:numPr>
          <w:ilvl w:val="0"/>
          <w:numId w:val="18"/>
        </w:numPr>
        <w:spacing w:after="0" w:line="240" w:lineRule="auto"/>
        <w:ind w:right="-358"/>
        <w:rPr>
          <w:rFonts w:ascii="Times New Roman" w:hAnsi="Times New Roman" w:cs="Times New Roman"/>
          <w:sz w:val="22"/>
          <w:szCs w:val="22"/>
          <w:lang w:val="en-GB"/>
        </w:rPr>
      </w:pPr>
      <w:r w:rsidRPr="00132956">
        <w:rPr>
          <w:rFonts w:ascii="Times New Roman" w:hAnsi="Times New Roman" w:cs="Times New Roman"/>
          <w:sz w:val="22"/>
          <w:szCs w:val="22"/>
          <w:lang w:val="en-GB"/>
        </w:rPr>
        <w:t>Amal</w:t>
      </w:r>
      <w:r w:rsidR="00E8775C">
        <w:rPr>
          <w:rFonts w:ascii="Times New Roman" w:hAnsi="Times New Roman" w:cs="Times New Roman"/>
          <w:sz w:val="22"/>
          <w:szCs w:val="22"/>
          <w:lang w:val="en-GB"/>
        </w:rPr>
        <w:t xml:space="preserve"> </w:t>
      </w:r>
      <w:r w:rsidRPr="00132956">
        <w:rPr>
          <w:rFonts w:ascii="Times New Roman" w:hAnsi="Times New Roman" w:cs="Times New Roman"/>
          <w:sz w:val="22"/>
          <w:szCs w:val="22"/>
          <w:lang w:val="en-GB"/>
        </w:rPr>
        <w:t>Syam, Executive Director (WAC)</w:t>
      </w:r>
    </w:p>
    <w:p w:rsidR="00080B0D" w:rsidRPr="00132956" w:rsidRDefault="00080B0D" w:rsidP="00132956">
      <w:pPr>
        <w:numPr>
          <w:ilvl w:val="0"/>
          <w:numId w:val="18"/>
        </w:numPr>
        <w:spacing w:after="0" w:line="240" w:lineRule="auto"/>
        <w:ind w:right="-358"/>
        <w:rPr>
          <w:rFonts w:ascii="Times New Roman" w:hAnsi="Times New Roman" w:cs="Times New Roman"/>
          <w:sz w:val="22"/>
          <w:szCs w:val="22"/>
          <w:lang w:val="en-GB"/>
        </w:rPr>
      </w:pPr>
      <w:r w:rsidRPr="00132956">
        <w:rPr>
          <w:rFonts w:ascii="Times New Roman" w:hAnsi="Times New Roman" w:cs="Times New Roman"/>
          <w:sz w:val="22"/>
          <w:szCs w:val="22"/>
          <w:lang w:val="en-GB"/>
        </w:rPr>
        <w:t>Hala</w:t>
      </w:r>
      <w:r w:rsidR="00E8775C">
        <w:rPr>
          <w:rFonts w:ascii="Times New Roman" w:hAnsi="Times New Roman" w:cs="Times New Roman"/>
          <w:sz w:val="22"/>
          <w:szCs w:val="22"/>
          <w:lang w:val="en-GB"/>
        </w:rPr>
        <w:t xml:space="preserve"> </w:t>
      </w:r>
      <w:r w:rsidRPr="00132956">
        <w:rPr>
          <w:rFonts w:ascii="Times New Roman" w:hAnsi="Times New Roman" w:cs="Times New Roman"/>
          <w:sz w:val="22"/>
          <w:szCs w:val="22"/>
          <w:lang w:val="en-GB"/>
        </w:rPr>
        <w:t>Qishawa, Head of Programs (WAC)</w:t>
      </w:r>
    </w:p>
    <w:p w:rsidR="00080B0D" w:rsidRPr="00132956" w:rsidRDefault="00080B0D" w:rsidP="00132956">
      <w:pPr>
        <w:numPr>
          <w:ilvl w:val="0"/>
          <w:numId w:val="18"/>
        </w:numPr>
        <w:spacing w:after="0" w:line="240" w:lineRule="auto"/>
        <w:ind w:right="-358"/>
        <w:rPr>
          <w:rFonts w:ascii="Times New Roman" w:hAnsi="Times New Roman" w:cs="Times New Roman"/>
          <w:sz w:val="22"/>
          <w:szCs w:val="22"/>
          <w:lang w:val="en-GB"/>
        </w:rPr>
      </w:pPr>
      <w:r w:rsidRPr="00132956">
        <w:rPr>
          <w:rFonts w:ascii="Times New Roman" w:hAnsi="Times New Roman" w:cs="Times New Roman"/>
          <w:sz w:val="22"/>
          <w:szCs w:val="22"/>
          <w:lang w:val="en-GB"/>
        </w:rPr>
        <w:t>Suhair El Baba, Legal Clinic Lawyer (WAC)</w:t>
      </w:r>
    </w:p>
    <w:p w:rsidR="00080B0D" w:rsidRPr="00132956" w:rsidRDefault="00080B0D" w:rsidP="00132956">
      <w:pPr>
        <w:numPr>
          <w:ilvl w:val="0"/>
          <w:numId w:val="18"/>
        </w:numPr>
        <w:spacing w:after="0" w:line="240" w:lineRule="auto"/>
        <w:ind w:right="-358"/>
        <w:rPr>
          <w:rFonts w:ascii="Times New Roman" w:hAnsi="Times New Roman" w:cs="Times New Roman"/>
          <w:sz w:val="22"/>
          <w:szCs w:val="22"/>
          <w:lang w:val="en-GB"/>
        </w:rPr>
      </w:pPr>
      <w:r w:rsidRPr="00132956">
        <w:rPr>
          <w:rFonts w:ascii="Times New Roman" w:hAnsi="Times New Roman" w:cs="Times New Roman"/>
          <w:sz w:val="22"/>
          <w:szCs w:val="22"/>
          <w:lang w:val="en-GB"/>
        </w:rPr>
        <w:t>Elias El Jilda, Board Director (Aisha)</w:t>
      </w:r>
    </w:p>
    <w:p w:rsidR="00080B0D" w:rsidRPr="00132956" w:rsidRDefault="00080B0D" w:rsidP="00132956">
      <w:pPr>
        <w:numPr>
          <w:ilvl w:val="0"/>
          <w:numId w:val="18"/>
        </w:numPr>
        <w:spacing w:after="0" w:line="240" w:lineRule="auto"/>
        <w:ind w:right="-358"/>
        <w:rPr>
          <w:rFonts w:ascii="Times New Roman" w:hAnsi="Times New Roman" w:cs="Times New Roman"/>
          <w:sz w:val="22"/>
          <w:szCs w:val="22"/>
          <w:lang w:val="en-GB"/>
        </w:rPr>
      </w:pPr>
      <w:r w:rsidRPr="00132956">
        <w:rPr>
          <w:rFonts w:ascii="Times New Roman" w:hAnsi="Times New Roman" w:cs="Times New Roman"/>
          <w:sz w:val="22"/>
          <w:szCs w:val="22"/>
          <w:lang w:val="en-GB"/>
        </w:rPr>
        <w:t>Mariam Abu El Atta, Project Coordinator (Aisha)</w:t>
      </w:r>
    </w:p>
    <w:p w:rsidR="00080B0D" w:rsidRPr="00132956" w:rsidRDefault="00080B0D" w:rsidP="00132956">
      <w:pPr>
        <w:spacing w:after="0" w:line="240" w:lineRule="auto"/>
        <w:ind w:right="-358"/>
        <w:rPr>
          <w:rFonts w:ascii="Times New Roman" w:hAnsi="Times New Roman" w:cs="Times New Roman"/>
          <w:i/>
          <w:iCs/>
          <w:sz w:val="22"/>
          <w:szCs w:val="22"/>
          <w:lang w:val="en-GB"/>
        </w:rPr>
      </w:pPr>
    </w:p>
    <w:p w:rsidR="00080B0D" w:rsidRPr="00132956" w:rsidRDefault="00080B0D" w:rsidP="00132956">
      <w:pPr>
        <w:spacing w:after="0" w:line="240" w:lineRule="auto"/>
        <w:ind w:left="-270" w:right="-358"/>
        <w:rPr>
          <w:rFonts w:ascii="Times New Roman" w:hAnsi="Times New Roman" w:cs="Times New Roman"/>
          <w:i/>
          <w:iCs/>
          <w:sz w:val="22"/>
          <w:szCs w:val="22"/>
          <w:lang w:val="en-GB"/>
        </w:rPr>
      </w:pPr>
      <w:r w:rsidRPr="00132956">
        <w:rPr>
          <w:rFonts w:ascii="Times New Roman" w:hAnsi="Times New Roman" w:cs="Times New Roman"/>
          <w:i/>
          <w:iCs/>
          <w:sz w:val="22"/>
          <w:szCs w:val="22"/>
          <w:lang w:val="en-GB"/>
        </w:rPr>
        <w:t>Venue: Women Affairs Center (Gaza City)</w:t>
      </w:r>
    </w:p>
    <w:p w:rsidR="00080B0D" w:rsidRPr="00132956" w:rsidRDefault="00080B0D" w:rsidP="00132956">
      <w:pPr>
        <w:spacing w:after="0" w:line="240" w:lineRule="auto"/>
        <w:ind w:left="-270" w:right="-358"/>
        <w:rPr>
          <w:rFonts w:ascii="Times New Roman" w:hAnsi="Times New Roman" w:cs="Times New Roman"/>
          <w:b/>
          <w:bCs/>
          <w:i/>
          <w:iCs/>
          <w:sz w:val="22"/>
          <w:szCs w:val="22"/>
          <w:lang w:val="en-GB"/>
        </w:rPr>
      </w:pPr>
    </w:p>
    <w:p w:rsidR="00080B0D" w:rsidRPr="00132956" w:rsidRDefault="00080B0D" w:rsidP="00132956">
      <w:pPr>
        <w:spacing w:after="0" w:line="240" w:lineRule="auto"/>
        <w:ind w:left="-270" w:right="-358"/>
        <w:rPr>
          <w:rFonts w:ascii="Times New Roman" w:hAnsi="Times New Roman" w:cs="Times New Roman"/>
          <w:b/>
          <w:bCs/>
          <w:i/>
          <w:iCs/>
          <w:sz w:val="22"/>
          <w:szCs w:val="22"/>
          <w:lang w:val="en-GB"/>
        </w:rPr>
      </w:pPr>
      <w:r w:rsidRPr="00132956">
        <w:rPr>
          <w:rFonts w:ascii="Times New Roman" w:hAnsi="Times New Roman" w:cs="Times New Roman"/>
          <w:b/>
          <w:bCs/>
          <w:i/>
          <w:iCs/>
          <w:sz w:val="22"/>
          <w:szCs w:val="22"/>
          <w:lang w:val="en-GB"/>
        </w:rPr>
        <w:t>14:00-16:00 Palestinian Academic Institutions/Legal Aid Clinic at Al-Azhar University</w:t>
      </w:r>
    </w:p>
    <w:p w:rsidR="00080B0D" w:rsidRPr="00132956" w:rsidRDefault="00080B0D" w:rsidP="00132956">
      <w:pPr>
        <w:spacing w:after="0" w:line="240" w:lineRule="auto"/>
        <w:ind w:right="-358"/>
        <w:rPr>
          <w:rFonts w:ascii="Times New Roman" w:hAnsi="Times New Roman" w:cs="Times New Roman"/>
          <w:sz w:val="22"/>
          <w:szCs w:val="22"/>
          <w:lang w:val="en-GB"/>
        </w:rPr>
      </w:pPr>
    </w:p>
    <w:p w:rsidR="00080B0D" w:rsidRPr="00132956" w:rsidRDefault="00080B0D" w:rsidP="00132956">
      <w:pPr>
        <w:numPr>
          <w:ilvl w:val="0"/>
          <w:numId w:val="18"/>
        </w:numPr>
        <w:spacing w:after="0" w:line="240" w:lineRule="auto"/>
        <w:ind w:right="-358"/>
        <w:rPr>
          <w:rFonts w:ascii="Times New Roman" w:hAnsi="Times New Roman" w:cs="Times New Roman"/>
          <w:sz w:val="22"/>
          <w:szCs w:val="22"/>
          <w:lang w:val="en-GB"/>
        </w:rPr>
      </w:pPr>
      <w:r w:rsidRPr="00132956">
        <w:rPr>
          <w:rFonts w:ascii="Times New Roman" w:hAnsi="Times New Roman" w:cs="Times New Roman"/>
          <w:sz w:val="22"/>
          <w:szCs w:val="22"/>
          <w:lang w:val="en-GB"/>
        </w:rPr>
        <w:t>Dr.</w:t>
      </w:r>
      <w:r w:rsidR="00E8775C">
        <w:rPr>
          <w:rFonts w:ascii="Times New Roman" w:hAnsi="Times New Roman" w:cs="Times New Roman"/>
          <w:sz w:val="22"/>
          <w:szCs w:val="22"/>
          <w:lang w:val="en-GB"/>
        </w:rPr>
        <w:t xml:space="preserve"> </w:t>
      </w:r>
      <w:r w:rsidRPr="00132956">
        <w:rPr>
          <w:rFonts w:ascii="Times New Roman" w:hAnsi="Times New Roman" w:cs="Times New Roman"/>
          <w:sz w:val="22"/>
          <w:szCs w:val="22"/>
          <w:lang w:val="en-GB"/>
        </w:rPr>
        <w:t>Abdelr</w:t>
      </w:r>
      <w:r w:rsidR="0019654C">
        <w:rPr>
          <w:rFonts w:ascii="Times New Roman" w:hAnsi="Times New Roman" w:cs="Times New Roman"/>
          <w:sz w:val="22"/>
          <w:szCs w:val="22"/>
          <w:lang w:val="en-GB"/>
        </w:rPr>
        <w:t>ahman Abu El Nasser, Dean of Al-</w:t>
      </w:r>
      <w:r w:rsidRPr="00132956">
        <w:rPr>
          <w:rFonts w:ascii="Times New Roman" w:hAnsi="Times New Roman" w:cs="Times New Roman"/>
          <w:sz w:val="22"/>
          <w:szCs w:val="22"/>
          <w:lang w:val="en-GB"/>
        </w:rPr>
        <w:t>Azhar University School of Law</w:t>
      </w:r>
    </w:p>
    <w:p w:rsidR="00080B0D" w:rsidRPr="00132956" w:rsidRDefault="00080B0D" w:rsidP="00132956">
      <w:pPr>
        <w:numPr>
          <w:ilvl w:val="0"/>
          <w:numId w:val="18"/>
        </w:numPr>
        <w:spacing w:after="0" w:line="240" w:lineRule="auto"/>
        <w:ind w:right="-358"/>
        <w:rPr>
          <w:rFonts w:ascii="Times New Roman" w:hAnsi="Times New Roman" w:cs="Times New Roman"/>
          <w:sz w:val="22"/>
          <w:szCs w:val="22"/>
          <w:lang w:val="en-GB"/>
        </w:rPr>
      </w:pPr>
      <w:r w:rsidRPr="00132956">
        <w:rPr>
          <w:rFonts w:ascii="Times New Roman" w:hAnsi="Times New Roman" w:cs="Times New Roman"/>
          <w:sz w:val="22"/>
          <w:szCs w:val="22"/>
          <w:lang w:val="en-GB"/>
        </w:rPr>
        <w:t>Mr.</w:t>
      </w:r>
      <w:r w:rsidR="00E8775C">
        <w:rPr>
          <w:rFonts w:ascii="Times New Roman" w:hAnsi="Times New Roman" w:cs="Times New Roman"/>
          <w:sz w:val="22"/>
          <w:szCs w:val="22"/>
          <w:lang w:val="en-GB"/>
        </w:rPr>
        <w:t xml:space="preserve"> </w:t>
      </w:r>
      <w:r w:rsidRPr="00132956">
        <w:rPr>
          <w:rFonts w:ascii="Times New Roman" w:hAnsi="Times New Roman" w:cs="Times New Roman"/>
          <w:sz w:val="22"/>
          <w:szCs w:val="22"/>
          <w:lang w:val="en-GB"/>
        </w:rPr>
        <w:t xml:space="preserve">Ghassan Abu Aisha, Legal Clinic Coordinator </w:t>
      </w:r>
    </w:p>
    <w:p w:rsidR="00080B0D" w:rsidRPr="00B82CB9" w:rsidRDefault="00080B0D" w:rsidP="00B82CB9">
      <w:pPr>
        <w:numPr>
          <w:ilvl w:val="0"/>
          <w:numId w:val="18"/>
        </w:numPr>
        <w:spacing w:after="0" w:line="240" w:lineRule="auto"/>
        <w:ind w:right="-358"/>
        <w:rPr>
          <w:rFonts w:ascii="Times New Roman" w:hAnsi="Times New Roman" w:cs="Times New Roman"/>
          <w:sz w:val="22"/>
          <w:szCs w:val="22"/>
          <w:lang w:val="en-GB"/>
        </w:rPr>
      </w:pPr>
      <w:r w:rsidRPr="00132956">
        <w:rPr>
          <w:rFonts w:ascii="Times New Roman" w:hAnsi="Times New Roman" w:cs="Times New Roman"/>
          <w:sz w:val="22"/>
          <w:szCs w:val="22"/>
          <w:lang w:val="en-GB"/>
        </w:rPr>
        <w:t xml:space="preserve">Dr. Mohammed Abu Sa’ada, Deputy Rector of University of </w:t>
      </w:r>
      <w:r w:rsidR="0019654C">
        <w:rPr>
          <w:rFonts w:ascii="Times New Roman" w:hAnsi="Times New Roman" w:cs="Times New Roman"/>
          <w:sz w:val="22"/>
          <w:szCs w:val="22"/>
          <w:lang w:val="en-GB"/>
        </w:rPr>
        <w:t>Palestine</w:t>
      </w:r>
    </w:p>
    <w:p w:rsidR="00080B0D" w:rsidRPr="00132956" w:rsidRDefault="00080B0D" w:rsidP="00132956">
      <w:pPr>
        <w:spacing w:after="0" w:line="240" w:lineRule="auto"/>
        <w:ind w:left="450" w:right="-358"/>
        <w:rPr>
          <w:rFonts w:ascii="Times New Roman" w:hAnsi="Times New Roman" w:cs="Times New Roman"/>
          <w:sz w:val="22"/>
          <w:szCs w:val="22"/>
          <w:lang w:val="en-GB"/>
        </w:rPr>
      </w:pPr>
    </w:p>
    <w:p w:rsidR="00080B0D" w:rsidRPr="00132956" w:rsidRDefault="0019654C" w:rsidP="00132956">
      <w:pPr>
        <w:spacing w:after="0" w:line="240" w:lineRule="auto"/>
        <w:ind w:left="-270" w:right="-358"/>
        <w:rPr>
          <w:rFonts w:ascii="Times New Roman" w:hAnsi="Times New Roman" w:cs="Times New Roman"/>
          <w:i/>
          <w:iCs/>
          <w:sz w:val="22"/>
          <w:szCs w:val="22"/>
          <w:lang w:val="en-GB"/>
        </w:rPr>
      </w:pPr>
      <w:r>
        <w:rPr>
          <w:rFonts w:ascii="Times New Roman" w:hAnsi="Times New Roman" w:cs="Times New Roman"/>
          <w:i/>
          <w:iCs/>
          <w:sz w:val="22"/>
          <w:szCs w:val="22"/>
          <w:lang w:val="en-GB"/>
        </w:rPr>
        <w:t>Venue: Al-</w:t>
      </w:r>
      <w:r w:rsidR="00080B0D" w:rsidRPr="00132956">
        <w:rPr>
          <w:rFonts w:ascii="Times New Roman" w:hAnsi="Times New Roman" w:cs="Times New Roman"/>
          <w:i/>
          <w:iCs/>
          <w:sz w:val="22"/>
          <w:szCs w:val="22"/>
          <w:lang w:val="en-GB"/>
        </w:rPr>
        <w:t>Azhar University (Gaza City)</w:t>
      </w:r>
    </w:p>
    <w:p w:rsidR="00080B0D" w:rsidRPr="00132956" w:rsidRDefault="00080B0D" w:rsidP="0019654C">
      <w:pPr>
        <w:spacing w:after="0" w:line="240" w:lineRule="auto"/>
        <w:ind w:right="-358"/>
        <w:rPr>
          <w:rFonts w:ascii="Times New Roman" w:hAnsi="Times New Roman" w:cs="Times New Roman"/>
          <w:b/>
          <w:bCs/>
          <w:i/>
          <w:iCs/>
          <w:sz w:val="22"/>
          <w:szCs w:val="22"/>
          <w:lang w:val="en-GB"/>
        </w:rPr>
      </w:pPr>
    </w:p>
    <w:p w:rsidR="00080B0D" w:rsidRPr="00132956" w:rsidRDefault="00080B0D" w:rsidP="00132956">
      <w:pPr>
        <w:spacing w:after="0" w:line="240" w:lineRule="auto"/>
        <w:ind w:left="-270" w:right="-358"/>
        <w:rPr>
          <w:rFonts w:ascii="Times New Roman" w:hAnsi="Times New Roman" w:cs="Times New Roman"/>
          <w:b/>
          <w:bCs/>
          <w:i/>
          <w:iCs/>
          <w:sz w:val="22"/>
          <w:szCs w:val="22"/>
          <w:lang w:val="en-GB"/>
        </w:rPr>
      </w:pPr>
      <w:r w:rsidRPr="00132956">
        <w:rPr>
          <w:rFonts w:ascii="Times New Roman" w:hAnsi="Times New Roman" w:cs="Times New Roman"/>
          <w:b/>
          <w:bCs/>
          <w:i/>
          <w:iCs/>
          <w:sz w:val="22"/>
          <w:szCs w:val="22"/>
          <w:lang w:val="en-GB"/>
        </w:rPr>
        <w:t>18:00-20:00 UNDP Rule of Law &amp; Access to Justice Programme in the oPt</w:t>
      </w:r>
    </w:p>
    <w:p w:rsidR="00080B0D" w:rsidRPr="00132956" w:rsidRDefault="00080B0D" w:rsidP="00132956">
      <w:pPr>
        <w:spacing w:after="0" w:line="240" w:lineRule="auto"/>
        <w:ind w:left="-270" w:right="-358"/>
        <w:rPr>
          <w:rFonts w:ascii="Times New Roman" w:hAnsi="Times New Roman" w:cs="Times New Roman"/>
          <w:b/>
          <w:bCs/>
          <w:sz w:val="22"/>
          <w:szCs w:val="22"/>
          <w:lang w:val="en-GB"/>
        </w:rPr>
      </w:pPr>
    </w:p>
    <w:p w:rsidR="00080B0D" w:rsidRPr="00132956" w:rsidRDefault="00B82CB9" w:rsidP="00132956">
      <w:pPr>
        <w:numPr>
          <w:ilvl w:val="0"/>
          <w:numId w:val="17"/>
        </w:numPr>
        <w:spacing w:after="0" w:line="240" w:lineRule="auto"/>
        <w:ind w:right="-358"/>
        <w:rPr>
          <w:rFonts w:ascii="Times New Roman" w:hAnsi="Times New Roman" w:cs="Times New Roman"/>
          <w:sz w:val="22"/>
          <w:szCs w:val="22"/>
          <w:lang w:val="en-GB"/>
        </w:rPr>
      </w:pPr>
      <w:r>
        <w:rPr>
          <w:rFonts w:ascii="Times New Roman" w:hAnsi="Times New Roman" w:cs="Times New Roman"/>
          <w:sz w:val="22"/>
          <w:szCs w:val="22"/>
          <w:lang w:val="en-GB"/>
        </w:rPr>
        <w:t>Trond</w:t>
      </w:r>
      <w:r w:rsidR="00E8775C">
        <w:rPr>
          <w:rFonts w:ascii="Times New Roman" w:hAnsi="Times New Roman" w:cs="Times New Roman"/>
          <w:sz w:val="22"/>
          <w:szCs w:val="22"/>
          <w:lang w:val="en-GB"/>
        </w:rPr>
        <w:t xml:space="preserve"> </w:t>
      </w:r>
      <w:r>
        <w:rPr>
          <w:rFonts w:ascii="Times New Roman" w:hAnsi="Times New Roman" w:cs="Times New Roman"/>
          <w:sz w:val="22"/>
          <w:szCs w:val="22"/>
          <w:lang w:val="en-GB"/>
        </w:rPr>
        <w:t xml:space="preserve">Husby, Head of </w:t>
      </w:r>
      <w:r w:rsidR="00080B0D" w:rsidRPr="00132956">
        <w:rPr>
          <w:rFonts w:ascii="Times New Roman" w:hAnsi="Times New Roman" w:cs="Times New Roman"/>
          <w:sz w:val="22"/>
          <w:szCs w:val="22"/>
          <w:lang w:val="en-GB"/>
        </w:rPr>
        <w:t>Office</w:t>
      </w:r>
      <w:r w:rsidR="00E8775C">
        <w:rPr>
          <w:rFonts w:ascii="Times New Roman" w:hAnsi="Times New Roman" w:cs="Times New Roman"/>
          <w:sz w:val="22"/>
          <w:szCs w:val="22"/>
          <w:lang w:val="en-GB"/>
        </w:rPr>
        <w:t xml:space="preserve"> </w:t>
      </w:r>
      <w:r>
        <w:rPr>
          <w:rFonts w:ascii="Times New Roman" w:hAnsi="Times New Roman" w:cs="Times New Roman"/>
          <w:sz w:val="22"/>
          <w:szCs w:val="22"/>
          <w:lang w:val="en-GB"/>
        </w:rPr>
        <w:t>a.i.</w:t>
      </w:r>
    </w:p>
    <w:p w:rsidR="00080B0D" w:rsidRPr="00132956" w:rsidRDefault="00080B0D" w:rsidP="00132956">
      <w:pPr>
        <w:numPr>
          <w:ilvl w:val="0"/>
          <w:numId w:val="17"/>
        </w:numPr>
        <w:spacing w:after="0" w:line="240" w:lineRule="auto"/>
        <w:ind w:right="-358"/>
        <w:rPr>
          <w:rFonts w:ascii="Times New Roman" w:hAnsi="Times New Roman" w:cs="Times New Roman"/>
          <w:sz w:val="22"/>
          <w:szCs w:val="22"/>
          <w:lang w:val="en-GB"/>
        </w:rPr>
      </w:pPr>
      <w:r w:rsidRPr="00132956">
        <w:rPr>
          <w:rFonts w:ascii="Times New Roman" w:hAnsi="Times New Roman" w:cs="Times New Roman"/>
          <w:sz w:val="22"/>
          <w:szCs w:val="22"/>
          <w:lang w:val="en-GB"/>
        </w:rPr>
        <w:t>Ibrahim Abu-Shammalah, Deputy Programme Manager (Gaza)</w:t>
      </w:r>
    </w:p>
    <w:p w:rsidR="00080B0D" w:rsidRPr="00132956" w:rsidRDefault="00080B0D" w:rsidP="00132956">
      <w:pPr>
        <w:numPr>
          <w:ilvl w:val="0"/>
          <w:numId w:val="17"/>
        </w:numPr>
        <w:spacing w:after="0" w:line="240" w:lineRule="auto"/>
        <w:ind w:right="-358"/>
        <w:rPr>
          <w:rFonts w:ascii="Times New Roman" w:hAnsi="Times New Roman" w:cs="Times New Roman"/>
          <w:sz w:val="22"/>
          <w:szCs w:val="22"/>
          <w:lang w:val="en-GB"/>
        </w:rPr>
      </w:pPr>
      <w:r w:rsidRPr="00132956">
        <w:rPr>
          <w:rFonts w:ascii="Times New Roman" w:hAnsi="Times New Roman" w:cs="Times New Roman"/>
          <w:sz w:val="22"/>
          <w:szCs w:val="22"/>
          <w:lang w:val="en-GB"/>
        </w:rPr>
        <w:t>Dawoud Al-Massri, Access to Justice Analyst</w:t>
      </w:r>
    </w:p>
    <w:p w:rsidR="00080B0D" w:rsidRPr="00132956" w:rsidRDefault="00080B0D" w:rsidP="00132956">
      <w:pPr>
        <w:numPr>
          <w:ilvl w:val="0"/>
          <w:numId w:val="17"/>
        </w:numPr>
        <w:spacing w:after="0" w:line="240" w:lineRule="auto"/>
        <w:ind w:right="-358"/>
        <w:rPr>
          <w:rFonts w:ascii="Times New Roman" w:hAnsi="Times New Roman" w:cs="Times New Roman"/>
          <w:sz w:val="22"/>
          <w:szCs w:val="22"/>
          <w:lang w:val="en-GB"/>
        </w:rPr>
      </w:pPr>
      <w:r w:rsidRPr="00132956">
        <w:rPr>
          <w:rFonts w:ascii="Times New Roman" w:hAnsi="Times New Roman" w:cs="Times New Roman"/>
          <w:sz w:val="22"/>
          <w:szCs w:val="22"/>
          <w:lang w:val="en-GB"/>
        </w:rPr>
        <w:t>Reem Othman, Programme Assistant</w:t>
      </w:r>
    </w:p>
    <w:p w:rsidR="00080B0D" w:rsidRPr="00132956" w:rsidRDefault="00080B0D" w:rsidP="00132956">
      <w:pPr>
        <w:spacing w:after="0" w:line="240" w:lineRule="auto"/>
        <w:ind w:left="-270" w:right="-358"/>
        <w:rPr>
          <w:rFonts w:ascii="Times New Roman" w:hAnsi="Times New Roman" w:cs="Times New Roman"/>
          <w:sz w:val="22"/>
          <w:szCs w:val="22"/>
          <w:lang w:val="en-GB"/>
        </w:rPr>
      </w:pPr>
    </w:p>
    <w:p w:rsidR="00080B0D" w:rsidRPr="00132956" w:rsidRDefault="00080B0D" w:rsidP="00132956">
      <w:pPr>
        <w:spacing w:after="0" w:line="240" w:lineRule="auto"/>
        <w:ind w:left="-270" w:right="-358"/>
        <w:rPr>
          <w:rFonts w:ascii="Times New Roman" w:hAnsi="Times New Roman" w:cs="Times New Roman"/>
          <w:i/>
          <w:iCs/>
          <w:sz w:val="22"/>
          <w:szCs w:val="22"/>
          <w:lang w:val="en-GB"/>
        </w:rPr>
      </w:pPr>
      <w:r w:rsidRPr="00132956">
        <w:rPr>
          <w:rFonts w:ascii="Times New Roman" w:hAnsi="Times New Roman" w:cs="Times New Roman"/>
          <w:i/>
          <w:iCs/>
          <w:sz w:val="22"/>
          <w:szCs w:val="22"/>
          <w:lang w:val="en-GB"/>
        </w:rPr>
        <w:t>Venue: ArcMed Hotel (Gaza City)</w:t>
      </w:r>
    </w:p>
    <w:p w:rsidR="00080B0D" w:rsidRPr="00132956" w:rsidRDefault="00080B0D" w:rsidP="00132956">
      <w:pPr>
        <w:spacing w:after="0" w:line="240" w:lineRule="auto"/>
        <w:ind w:right="-358"/>
        <w:rPr>
          <w:rFonts w:ascii="Times New Roman" w:hAnsi="Times New Roman" w:cs="Times New Roman"/>
          <w:sz w:val="22"/>
          <w:szCs w:val="22"/>
          <w:u w:val="single"/>
          <w:lang w:val="en-GB"/>
        </w:rPr>
      </w:pPr>
    </w:p>
    <w:p w:rsidR="00080B0D" w:rsidRPr="00132956" w:rsidRDefault="00080B0D" w:rsidP="00132956">
      <w:pPr>
        <w:spacing w:after="0" w:line="240" w:lineRule="auto"/>
        <w:ind w:left="-270" w:right="-358"/>
        <w:jc w:val="center"/>
        <w:rPr>
          <w:rFonts w:ascii="Times New Roman" w:hAnsi="Times New Roman" w:cs="Times New Roman"/>
          <w:b/>
          <w:bCs/>
          <w:sz w:val="22"/>
          <w:szCs w:val="22"/>
          <w:u w:val="single"/>
          <w:lang w:val="en-GB"/>
        </w:rPr>
      </w:pPr>
      <w:r w:rsidRPr="00132956">
        <w:rPr>
          <w:rFonts w:ascii="Times New Roman" w:hAnsi="Times New Roman" w:cs="Times New Roman"/>
          <w:b/>
          <w:bCs/>
          <w:sz w:val="22"/>
          <w:szCs w:val="22"/>
          <w:u w:val="single"/>
          <w:lang w:val="en-GB"/>
        </w:rPr>
        <w:t>Thursday, 17 January 2013</w:t>
      </w:r>
    </w:p>
    <w:p w:rsidR="00080B0D" w:rsidRPr="00132956" w:rsidRDefault="00080B0D" w:rsidP="00132956">
      <w:pPr>
        <w:spacing w:after="0" w:line="240" w:lineRule="auto"/>
        <w:ind w:left="-270" w:right="-358"/>
        <w:rPr>
          <w:rFonts w:ascii="Times New Roman" w:hAnsi="Times New Roman" w:cs="Times New Roman"/>
          <w:b/>
          <w:bCs/>
          <w:sz w:val="22"/>
          <w:szCs w:val="22"/>
          <w:lang w:val="en-GB"/>
        </w:rPr>
      </w:pPr>
    </w:p>
    <w:p w:rsidR="00080B0D" w:rsidRPr="00132956" w:rsidRDefault="00080B0D" w:rsidP="00132956">
      <w:pPr>
        <w:spacing w:after="0" w:line="240" w:lineRule="auto"/>
        <w:ind w:left="-270" w:right="-358"/>
        <w:rPr>
          <w:rFonts w:ascii="Times New Roman" w:hAnsi="Times New Roman" w:cs="Times New Roman"/>
          <w:b/>
          <w:bCs/>
          <w:i/>
          <w:iCs/>
          <w:sz w:val="22"/>
          <w:szCs w:val="22"/>
          <w:lang w:val="en-GB"/>
        </w:rPr>
      </w:pPr>
      <w:r w:rsidRPr="00132956">
        <w:rPr>
          <w:rFonts w:ascii="Times New Roman" w:hAnsi="Times New Roman" w:cs="Times New Roman"/>
          <w:b/>
          <w:bCs/>
          <w:i/>
          <w:iCs/>
          <w:sz w:val="22"/>
          <w:szCs w:val="22"/>
          <w:lang w:val="en-GB"/>
        </w:rPr>
        <w:t>08:45-09:30 UN Office of High Commissioner for Human Rights (OHCHR)</w:t>
      </w:r>
    </w:p>
    <w:p w:rsidR="00080B0D" w:rsidRPr="00132956" w:rsidRDefault="00080B0D" w:rsidP="00132956">
      <w:pPr>
        <w:spacing w:after="0" w:line="240" w:lineRule="auto"/>
        <w:ind w:left="-270" w:right="-358"/>
        <w:rPr>
          <w:rFonts w:ascii="Times New Roman" w:hAnsi="Times New Roman" w:cs="Times New Roman"/>
          <w:b/>
          <w:bCs/>
          <w:sz w:val="22"/>
          <w:szCs w:val="22"/>
          <w:lang w:val="en-GB"/>
        </w:rPr>
      </w:pPr>
    </w:p>
    <w:p w:rsidR="00080B0D" w:rsidRPr="00132956" w:rsidRDefault="00B82CB9" w:rsidP="00132956">
      <w:pPr>
        <w:numPr>
          <w:ilvl w:val="0"/>
          <w:numId w:val="19"/>
        </w:numPr>
        <w:spacing w:after="0" w:line="240" w:lineRule="auto"/>
        <w:ind w:right="-358"/>
        <w:rPr>
          <w:rFonts w:ascii="Times New Roman" w:hAnsi="Times New Roman" w:cs="Times New Roman"/>
          <w:sz w:val="22"/>
          <w:szCs w:val="22"/>
          <w:lang w:val="en-GB"/>
        </w:rPr>
      </w:pPr>
      <w:r>
        <w:rPr>
          <w:rFonts w:ascii="Times New Roman" w:hAnsi="Times New Roman" w:cs="Times New Roman"/>
          <w:sz w:val="22"/>
          <w:szCs w:val="22"/>
          <w:lang w:val="en-GB"/>
        </w:rPr>
        <w:t xml:space="preserve">Bea Ferenci, </w:t>
      </w:r>
      <w:r w:rsidR="00080B0D" w:rsidRPr="00132956">
        <w:rPr>
          <w:rFonts w:ascii="Times New Roman" w:hAnsi="Times New Roman" w:cs="Times New Roman"/>
          <w:sz w:val="22"/>
          <w:szCs w:val="22"/>
          <w:lang w:val="en-GB"/>
        </w:rPr>
        <w:t>Human Rights Officer</w:t>
      </w:r>
    </w:p>
    <w:p w:rsidR="00080B0D" w:rsidRPr="00132956" w:rsidRDefault="00080B0D" w:rsidP="00132956">
      <w:pPr>
        <w:spacing w:after="0" w:line="240" w:lineRule="auto"/>
        <w:ind w:left="-270" w:right="-358"/>
        <w:rPr>
          <w:rFonts w:ascii="Times New Roman" w:hAnsi="Times New Roman" w:cs="Times New Roman"/>
          <w:sz w:val="22"/>
          <w:szCs w:val="22"/>
          <w:lang w:val="en-GB"/>
        </w:rPr>
      </w:pPr>
    </w:p>
    <w:p w:rsidR="00080B0D" w:rsidRPr="00132956" w:rsidRDefault="00080B0D" w:rsidP="00132956">
      <w:pPr>
        <w:spacing w:after="0" w:line="240" w:lineRule="auto"/>
        <w:ind w:left="-270" w:right="-358"/>
        <w:rPr>
          <w:rFonts w:ascii="Times New Roman" w:hAnsi="Times New Roman" w:cs="Times New Roman"/>
          <w:i/>
          <w:iCs/>
          <w:sz w:val="22"/>
          <w:szCs w:val="22"/>
          <w:lang w:val="en-GB"/>
        </w:rPr>
      </w:pPr>
      <w:r w:rsidRPr="00132956">
        <w:rPr>
          <w:rFonts w:ascii="Times New Roman" w:hAnsi="Times New Roman" w:cs="Times New Roman"/>
          <w:i/>
          <w:iCs/>
          <w:sz w:val="22"/>
          <w:szCs w:val="22"/>
          <w:lang w:val="en-GB"/>
        </w:rPr>
        <w:t>Venue: UNDP Office (Gaza City)</w:t>
      </w:r>
    </w:p>
    <w:p w:rsidR="00080B0D" w:rsidRPr="00132956" w:rsidRDefault="00080B0D" w:rsidP="00132956">
      <w:pPr>
        <w:spacing w:after="0" w:line="240" w:lineRule="auto"/>
        <w:ind w:left="-270" w:right="-358"/>
        <w:rPr>
          <w:rFonts w:ascii="Times New Roman" w:hAnsi="Times New Roman" w:cs="Times New Roman"/>
          <w:b/>
          <w:bCs/>
          <w:sz w:val="22"/>
          <w:szCs w:val="22"/>
          <w:lang w:val="en-GB"/>
        </w:rPr>
      </w:pPr>
    </w:p>
    <w:p w:rsidR="00080B0D" w:rsidRPr="00132956" w:rsidRDefault="00080B0D" w:rsidP="00132956">
      <w:pPr>
        <w:spacing w:after="0" w:line="240" w:lineRule="auto"/>
        <w:ind w:left="-270" w:right="-358"/>
        <w:rPr>
          <w:rFonts w:ascii="Times New Roman" w:hAnsi="Times New Roman" w:cs="Times New Roman"/>
          <w:b/>
          <w:bCs/>
          <w:i/>
          <w:iCs/>
          <w:sz w:val="22"/>
          <w:szCs w:val="22"/>
          <w:lang w:val="en-GB"/>
        </w:rPr>
      </w:pPr>
      <w:r w:rsidRPr="00132956">
        <w:rPr>
          <w:rFonts w:ascii="Times New Roman" w:hAnsi="Times New Roman" w:cs="Times New Roman"/>
          <w:b/>
          <w:bCs/>
          <w:i/>
          <w:iCs/>
          <w:sz w:val="22"/>
          <w:szCs w:val="22"/>
          <w:lang w:val="en-GB"/>
        </w:rPr>
        <w:t>10:15-11:30 Culture and Free Thought Association</w:t>
      </w:r>
    </w:p>
    <w:p w:rsidR="00080B0D" w:rsidRPr="00132956" w:rsidRDefault="00080B0D" w:rsidP="00132956">
      <w:pPr>
        <w:spacing w:after="0" w:line="240" w:lineRule="auto"/>
        <w:ind w:left="-270" w:right="-358"/>
        <w:rPr>
          <w:rFonts w:ascii="Times New Roman" w:hAnsi="Times New Roman" w:cs="Times New Roman"/>
          <w:b/>
          <w:bCs/>
          <w:sz w:val="22"/>
          <w:szCs w:val="22"/>
          <w:lang w:val="en-GB"/>
        </w:rPr>
      </w:pPr>
    </w:p>
    <w:p w:rsidR="00080B0D" w:rsidRPr="00132956" w:rsidRDefault="00080B0D" w:rsidP="00132956">
      <w:pPr>
        <w:numPr>
          <w:ilvl w:val="0"/>
          <w:numId w:val="19"/>
        </w:numPr>
        <w:spacing w:after="0" w:line="240" w:lineRule="auto"/>
        <w:ind w:right="-358"/>
        <w:rPr>
          <w:rFonts w:ascii="Times New Roman" w:hAnsi="Times New Roman" w:cs="Times New Roman"/>
          <w:b/>
          <w:bCs/>
          <w:sz w:val="22"/>
          <w:szCs w:val="22"/>
          <w:lang w:val="en-GB"/>
        </w:rPr>
      </w:pPr>
      <w:r w:rsidRPr="00132956">
        <w:rPr>
          <w:rFonts w:ascii="Times New Roman" w:hAnsi="Times New Roman" w:cs="Times New Roman"/>
          <w:sz w:val="22"/>
          <w:szCs w:val="22"/>
          <w:lang w:val="en-GB"/>
        </w:rPr>
        <w:lastRenderedPageBreak/>
        <w:t>Mariam Zaqout, Executive Director</w:t>
      </w:r>
    </w:p>
    <w:p w:rsidR="00080B0D" w:rsidRPr="00132956" w:rsidRDefault="00080B0D" w:rsidP="00132956">
      <w:pPr>
        <w:numPr>
          <w:ilvl w:val="0"/>
          <w:numId w:val="19"/>
        </w:numPr>
        <w:spacing w:after="0" w:line="240" w:lineRule="auto"/>
        <w:ind w:right="-358"/>
        <w:rPr>
          <w:rFonts w:ascii="Times New Roman" w:hAnsi="Times New Roman" w:cs="Times New Roman"/>
          <w:b/>
          <w:bCs/>
          <w:sz w:val="22"/>
          <w:szCs w:val="22"/>
          <w:lang w:val="en-GB"/>
        </w:rPr>
      </w:pPr>
      <w:r w:rsidRPr="00132956">
        <w:rPr>
          <w:rFonts w:ascii="Times New Roman" w:hAnsi="Times New Roman" w:cs="Times New Roman"/>
          <w:sz w:val="22"/>
          <w:szCs w:val="22"/>
          <w:lang w:val="en-GB"/>
        </w:rPr>
        <w:t>Hussam</w:t>
      </w:r>
      <w:r w:rsidR="00E8775C">
        <w:rPr>
          <w:rFonts w:ascii="Times New Roman" w:hAnsi="Times New Roman" w:cs="Times New Roman"/>
          <w:sz w:val="22"/>
          <w:szCs w:val="22"/>
          <w:lang w:val="en-GB"/>
        </w:rPr>
        <w:t xml:space="preserve"> </w:t>
      </w:r>
      <w:r w:rsidRPr="00132956">
        <w:rPr>
          <w:rFonts w:ascii="Times New Roman" w:hAnsi="Times New Roman" w:cs="Times New Roman"/>
          <w:sz w:val="22"/>
          <w:szCs w:val="22"/>
          <w:lang w:val="en-GB"/>
        </w:rPr>
        <w:t>Shehada, Programs Director</w:t>
      </w:r>
    </w:p>
    <w:p w:rsidR="00080B0D" w:rsidRPr="00132956" w:rsidRDefault="00080B0D" w:rsidP="00132956">
      <w:pPr>
        <w:spacing w:after="0" w:line="240" w:lineRule="auto"/>
        <w:ind w:left="450"/>
        <w:rPr>
          <w:rFonts w:ascii="Times New Roman" w:hAnsi="Times New Roman" w:cs="Times New Roman"/>
          <w:sz w:val="22"/>
          <w:szCs w:val="22"/>
          <w:u w:val="single"/>
          <w:lang w:val="en-GB"/>
        </w:rPr>
      </w:pPr>
    </w:p>
    <w:p w:rsidR="00080B0D" w:rsidRPr="0019654C" w:rsidRDefault="0019654C" w:rsidP="00132956">
      <w:pPr>
        <w:numPr>
          <w:ilvl w:val="0"/>
          <w:numId w:val="19"/>
        </w:numPr>
        <w:spacing w:after="0" w:line="240" w:lineRule="auto"/>
        <w:rPr>
          <w:rFonts w:ascii="Times New Roman" w:hAnsi="Times New Roman" w:cs="Times New Roman"/>
          <w:sz w:val="22"/>
          <w:szCs w:val="22"/>
          <w:lang w:val="en-GB"/>
        </w:rPr>
      </w:pPr>
      <w:r>
        <w:rPr>
          <w:rFonts w:ascii="Times New Roman" w:hAnsi="Times New Roman" w:cs="Times New Roman"/>
          <w:b/>
          <w:bCs/>
          <w:sz w:val="22"/>
          <w:szCs w:val="22"/>
          <w:lang w:val="en-GB"/>
        </w:rPr>
        <w:t xml:space="preserve">Focus group discussion with </w:t>
      </w:r>
      <w:r w:rsidR="00080B0D" w:rsidRPr="0019654C">
        <w:rPr>
          <w:rFonts w:ascii="Times New Roman" w:hAnsi="Times New Roman" w:cs="Times New Roman"/>
          <w:b/>
          <w:bCs/>
          <w:sz w:val="22"/>
          <w:szCs w:val="22"/>
          <w:lang w:val="en-GB"/>
        </w:rPr>
        <w:t>beneficiaries (3-5)</w:t>
      </w:r>
    </w:p>
    <w:p w:rsidR="00080B0D" w:rsidRPr="00132956" w:rsidRDefault="00080B0D" w:rsidP="00132956">
      <w:pPr>
        <w:spacing w:after="0" w:line="240" w:lineRule="auto"/>
        <w:ind w:right="-358"/>
        <w:rPr>
          <w:rFonts w:ascii="Times New Roman" w:hAnsi="Times New Roman" w:cs="Times New Roman"/>
          <w:sz w:val="22"/>
          <w:szCs w:val="22"/>
          <w:lang w:val="en-GB"/>
        </w:rPr>
      </w:pPr>
    </w:p>
    <w:p w:rsidR="00080B0D" w:rsidRPr="00132956" w:rsidRDefault="00080B0D" w:rsidP="00132956">
      <w:pPr>
        <w:spacing w:after="0" w:line="240" w:lineRule="auto"/>
        <w:ind w:left="-270" w:right="-358"/>
        <w:rPr>
          <w:rFonts w:ascii="Times New Roman" w:hAnsi="Times New Roman" w:cs="Times New Roman"/>
          <w:i/>
          <w:iCs/>
          <w:sz w:val="22"/>
          <w:szCs w:val="22"/>
          <w:lang w:val="en-GB"/>
        </w:rPr>
      </w:pPr>
      <w:r w:rsidRPr="00132956">
        <w:rPr>
          <w:rFonts w:ascii="Times New Roman" w:hAnsi="Times New Roman" w:cs="Times New Roman"/>
          <w:i/>
          <w:iCs/>
          <w:sz w:val="22"/>
          <w:szCs w:val="22"/>
          <w:lang w:val="en-GB"/>
        </w:rPr>
        <w:t>Venue: Culture and Free Thought Association (Khan Younis)</w:t>
      </w:r>
    </w:p>
    <w:p w:rsidR="00080B0D" w:rsidRPr="00132956" w:rsidRDefault="00080B0D" w:rsidP="00132956">
      <w:pPr>
        <w:spacing w:after="0" w:line="240" w:lineRule="auto"/>
        <w:ind w:left="-270" w:right="-358"/>
        <w:rPr>
          <w:rFonts w:ascii="Times New Roman" w:hAnsi="Times New Roman" w:cs="Times New Roman"/>
          <w:sz w:val="22"/>
          <w:szCs w:val="22"/>
          <w:lang w:val="en-GB"/>
        </w:rPr>
      </w:pPr>
    </w:p>
    <w:p w:rsidR="00080B0D" w:rsidRPr="00132956" w:rsidRDefault="00080B0D" w:rsidP="00132956">
      <w:pPr>
        <w:spacing w:after="0" w:line="240" w:lineRule="auto"/>
        <w:ind w:left="-270" w:right="-358"/>
        <w:rPr>
          <w:rFonts w:ascii="Times New Roman" w:hAnsi="Times New Roman" w:cs="Times New Roman"/>
          <w:b/>
          <w:bCs/>
          <w:i/>
          <w:iCs/>
          <w:sz w:val="22"/>
          <w:szCs w:val="22"/>
          <w:lang w:val="en-GB"/>
        </w:rPr>
      </w:pPr>
      <w:r w:rsidRPr="00132956">
        <w:rPr>
          <w:rFonts w:ascii="Times New Roman" w:hAnsi="Times New Roman" w:cs="Times New Roman"/>
          <w:b/>
          <w:bCs/>
          <w:i/>
          <w:iCs/>
          <w:sz w:val="22"/>
          <w:szCs w:val="22"/>
          <w:lang w:val="en-GB"/>
        </w:rPr>
        <w:t xml:space="preserve">12:00-13:30 </w:t>
      </w:r>
      <w:r w:rsidR="0019654C">
        <w:rPr>
          <w:rFonts w:ascii="Times New Roman" w:hAnsi="Times New Roman" w:cs="Times New Roman"/>
          <w:b/>
          <w:bCs/>
          <w:i/>
          <w:iCs/>
          <w:sz w:val="22"/>
          <w:szCs w:val="22"/>
          <w:lang w:val="en-GB"/>
        </w:rPr>
        <w:t xml:space="preserve">CSO Roundtable: </w:t>
      </w:r>
      <w:r w:rsidRPr="00132956">
        <w:rPr>
          <w:rFonts w:ascii="Times New Roman" w:hAnsi="Times New Roman" w:cs="Times New Roman"/>
          <w:b/>
          <w:bCs/>
          <w:i/>
          <w:iCs/>
          <w:sz w:val="22"/>
          <w:szCs w:val="22"/>
          <w:lang w:val="en-GB"/>
        </w:rPr>
        <w:t>National Society for Democracy and Law, Coalition for Justice and South Women Media Forum</w:t>
      </w:r>
    </w:p>
    <w:p w:rsidR="00080B0D" w:rsidRPr="00132956" w:rsidRDefault="00080B0D" w:rsidP="00132956">
      <w:pPr>
        <w:spacing w:after="0" w:line="240" w:lineRule="auto"/>
        <w:ind w:left="-270" w:right="-358"/>
        <w:rPr>
          <w:rFonts w:ascii="Times New Roman" w:hAnsi="Times New Roman" w:cs="Times New Roman"/>
          <w:b/>
          <w:bCs/>
          <w:sz w:val="22"/>
          <w:szCs w:val="22"/>
          <w:lang w:val="en-GB"/>
        </w:rPr>
      </w:pPr>
    </w:p>
    <w:p w:rsidR="00080B0D" w:rsidRPr="00132956" w:rsidRDefault="00080B0D" w:rsidP="00132956">
      <w:pPr>
        <w:numPr>
          <w:ilvl w:val="0"/>
          <w:numId w:val="19"/>
        </w:numPr>
        <w:spacing w:after="0" w:line="240" w:lineRule="auto"/>
        <w:ind w:right="-358"/>
        <w:rPr>
          <w:rFonts w:ascii="Times New Roman" w:hAnsi="Times New Roman" w:cs="Times New Roman"/>
          <w:sz w:val="22"/>
          <w:szCs w:val="22"/>
          <w:lang w:val="en-GB"/>
        </w:rPr>
      </w:pPr>
      <w:r w:rsidRPr="00132956">
        <w:rPr>
          <w:rFonts w:ascii="Times New Roman" w:hAnsi="Times New Roman" w:cs="Times New Roman"/>
          <w:sz w:val="22"/>
          <w:szCs w:val="22"/>
          <w:lang w:val="en-GB"/>
        </w:rPr>
        <w:t>Ibrahim Abu-Muamar, Executive Director</w:t>
      </w:r>
    </w:p>
    <w:p w:rsidR="00080B0D" w:rsidRPr="00132956" w:rsidRDefault="00080B0D" w:rsidP="00132956">
      <w:pPr>
        <w:numPr>
          <w:ilvl w:val="0"/>
          <w:numId w:val="19"/>
        </w:numPr>
        <w:spacing w:after="0" w:line="240" w:lineRule="auto"/>
        <w:ind w:right="-358"/>
        <w:rPr>
          <w:rFonts w:ascii="Times New Roman" w:hAnsi="Times New Roman" w:cs="Times New Roman"/>
          <w:sz w:val="22"/>
          <w:szCs w:val="22"/>
          <w:lang w:val="en-GB"/>
        </w:rPr>
      </w:pPr>
      <w:r w:rsidRPr="00132956">
        <w:rPr>
          <w:rFonts w:ascii="Times New Roman" w:hAnsi="Times New Roman" w:cs="Times New Roman"/>
          <w:sz w:val="22"/>
          <w:szCs w:val="22"/>
          <w:lang w:val="en-GB"/>
        </w:rPr>
        <w:t xml:space="preserve">Leila Mudalal, Executive Director </w:t>
      </w:r>
    </w:p>
    <w:p w:rsidR="00080B0D" w:rsidRPr="00132956" w:rsidRDefault="00080B0D" w:rsidP="00132956">
      <w:pPr>
        <w:numPr>
          <w:ilvl w:val="0"/>
          <w:numId w:val="19"/>
        </w:numPr>
        <w:spacing w:after="0" w:line="240" w:lineRule="auto"/>
        <w:ind w:right="-358"/>
        <w:rPr>
          <w:rFonts w:ascii="Times New Roman" w:hAnsi="Times New Roman" w:cs="Times New Roman"/>
          <w:sz w:val="22"/>
          <w:szCs w:val="22"/>
          <w:lang w:val="en-GB"/>
        </w:rPr>
      </w:pPr>
      <w:r w:rsidRPr="00132956">
        <w:rPr>
          <w:rFonts w:ascii="Times New Roman" w:hAnsi="Times New Roman" w:cs="Times New Roman"/>
          <w:sz w:val="22"/>
          <w:szCs w:val="22"/>
          <w:lang w:val="en-GB"/>
        </w:rPr>
        <w:t>Faten Abo-Shamala, Coordinator</w:t>
      </w:r>
    </w:p>
    <w:p w:rsidR="00080B0D" w:rsidRPr="00132956" w:rsidRDefault="00080B0D" w:rsidP="00132956">
      <w:pPr>
        <w:spacing w:after="0" w:line="240" w:lineRule="auto"/>
        <w:ind w:left="450" w:right="-358"/>
        <w:rPr>
          <w:rFonts w:ascii="Times New Roman" w:hAnsi="Times New Roman" w:cs="Times New Roman"/>
          <w:sz w:val="22"/>
          <w:szCs w:val="22"/>
          <w:lang w:val="en-GB"/>
        </w:rPr>
      </w:pPr>
    </w:p>
    <w:p w:rsidR="00080B0D" w:rsidRPr="0019654C" w:rsidRDefault="0019654C" w:rsidP="00132956">
      <w:pPr>
        <w:numPr>
          <w:ilvl w:val="0"/>
          <w:numId w:val="19"/>
        </w:numPr>
        <w:spacing w:after="0" w:line="240" w:lineRule="auto"/>
        <w:ind w:right="-358"/>
        <w:rPr>
          <w:rFonts w:ascii="Times New Roman" w:hAnsi="Times New Roman" w:cs="Times New Roman"/>
          <w:b/>
          <w:bCs/>
          <w:sz w:val="22"/>
          <w:szCs w:val="22"/>
          <w:lang w:val="en-GB"/>
        </w:rPr>
      </w:pPr>
      <w:r>
        <w:rPr>
          <w:rFonts w:ascii="Times New Roman" w:hAnsi="Times New Roman" w:cs="Times New Roman"/>
          <w:b/>
          <w:bCs/>
          <w:sz w:val="22"/>
          <w:szCs w:val="22"/>
          <w:lang w:val="en-GB"/>
        </w:rPr>
        <w:t xml:space="preserve">Focus group discussion with </w:t>
      </w:r>
      <w:r w:rsidR="00080B0D" w:rsidRPr="0019654C">
        <w:rPr>
          <w:rFonts w:ascii="Times New Roman" w:hAnsi="Times New Roman" w:cs="Times New Roman"/>
          <w:b/>
          <w:bCs/>
          <w:sz w:val="22"/>
          <w:szCs w:val="22"/>
          <w:lang w:val="en-GB"/>
        </w:rPr>
        <w:t xml:space="preserve">beneficiaries (3-5) </w:t>
      </w:r>
    </w:p>
    <w:p w:rsidR="00080B0D" w:rsidRPr="00132956" w:rsidRDefault="00080B0D" w:rsidP="00132956">
      <w:pPr>
        <w:spacing w:after="0" w:line="240" w:lineRule="auto"/>
        <w:ind w:left="-270" w:right="-358"/>
        <w:rPr>
          <w:rFonts w:ascii="Times New Roman" w:hAnsi="Times New Roman" w:cs="Times New Roman"/>
          <w:sz w:val="22"/>
          <w:szCs w:val="22"/>
          <w:lang w:val="en-GB"/>
        </w:rPr>
      </w:pPr>
    </w:p>
    <w:p w:rsidR="00080B0D" w:rsidRPr="00132956" w:rsidRDefault="00080B0D" w:rsidP="00132956">
      <w:pPr>
        <w:spacing w:after="0" w:line="240" w:lineRule="auto"/>
        <w:ind w:left="-270" w:right="-358"/>
        <w:rPr>
          <w:rFonts w:ascii="Times New Roman" w:hAnsi="Times New Roman" w:cs="Times New Roman"/>
          <w:i/>
          <w:iCs/>
          <w:sz w:val="22"/>
          <w:szCs w:val="22"/>
          <w:lang w:val="en-GB"/>
        </w:rPr>
      </w:pPr>
      <w:r w:rsidRPr="00132956">
        <w:rPr>
          <w:rFonts w:ascii="Times New Roman" w:hAnsi="Times New Roman" w:cs="Times New Roman"/>
          <w:i/>
          <w:iCs/>
          <w:sz w:val="22"/>
          <w:szCs w:val="22"/>
          <w:lang w:val="en-GB"/>
        </w:rPr>
        <w:t>Venue: National Society for Democracy and Law (Rafah)</w:t>
      </w:r>
    </w:p>
    <w:p w:rsidR="00080B0D" w:rsidRPr="00132956" w:rsidRDefault="00080B0D" w:rsidP="00132956">
      <w:pPr>
        <w:spacing w:after="0" w:line="240" w:lineRule="auto"/>
        <w:ind w:left="-270" w:right="-358"/>
        <w:rPr>
          <w:rFonts w:ascii="Times New Roman" w:hAnsi="Times New Roman" w:cs="Times New Roman"/>
          <w:b/>
          <w:bCs/>
          <w:sz w:val="22"/>
          <w:szCs w:val="22"/>
          <w:lang w:val="en-GB"/>
        </w:rPr>
      </w:pPr>
    </w:p>
    <w:p w:rsidR="00080B0D" w:rsidRPr="00132956" w:rsidRDefault="00080B0D" w:rsidP="00132956">
      <w:pPr>
        <w:spacing w:after="0" w:line="240" w:lineRule="auto"/>
        <w:ind w:left="-270" w:right="-358"/>
        <w:rPr>
          <w:rFonts w:ascii="Times New Roman" w:hAnsi="Times New Roman" w:cs="Times New Roman"/>
          <w:b/>
          <w:bCs/>
          <w:i/>
          <w:iCs/>
          <w:sz w:val="22"/>
          <w:szCs w:val="22"/>
          <w:lang w:val="en-GB"/>
        </w:rPr>
      </w:pPr>
      <w:r w:rsidRPr="00132956">
        <w:rPr>
          <w:rFonts w:ascii="Times New Roman" w:hAnsi="Times New Roman" w:cs="Times New Roman"/>
          <w:b/>
          <w:bCs/>
          <w:i/>
          <w:iCs/>
          <w:sz w:val="22"/>
          <w:szCs w:val="22"/>
          <w:lang w:val="en-GB"/>
        </w:rPr>
        <w:t xml:space="preserve">14:30-16:00 Norwegian Refugee Council (NRC) </w:t>
      </w:r>
    </w:p>
    <w:p w:rsidR="00080B0D" w:rsidRPr="00132956" w:rsidRDefault="00080B0D" w:rsidP="00132956">
      <w:pPr>
        <w:spacing w:after="0" w:line="240" w:lineRule="auto"/>
        <w:ind w:left="-270" w:right="-358"/>
        <w:rPr>
          <w:rFonts w:ascii="Times New Roman" w:hAnsi="Times New Roman" w:cs="Times New Roman"/>
          <w:b/>
          <w:bCs/>
          <w:sz w:val="22"/>
          <w:szCs w:val="22"/>
          <w:lang w:val="en-GB"/>
        </w:rPr>
      </w:pPr>
    </w:p>
    <w:p w:rsidR="00080B0D" w:rsidRPr="00132956" w:rsidRDefault="00080B0D" w:rsidP="00132956">
      <w:pPr>
        <w:numPr>
          <w:ilvl w:val="0"/>
          <w:numId w:val="19"/>
        </w:numPr>
        <w:spacing w:after="0" w:line="240" w:lineRule="auto"/>
        <w:ind w:right="-358"/>
        <w:rPr>
          <w:rFonts w:ascii="Times New Roman" w:hAnsi="Times New Roman" w:cs="Times New Roman"/>
          <w:sz w:val="22"/>
          <w:szCs w:val="22"/>
          <w:lang w:val="en-GB"/>
        </w:rPr>
      </w:pPr>
      <w:r w:rsidRPr="00132956">
        <w:rPr>
          <w:rFonts w:ascii="Times New Roman" w:hAnsi="Times New Roman" w:cs="Times New Roman"/>
          <w:sz w:val="22"/>
          <w:szCs w:val="22"/>
          <w:lang w:val="en-GB"/>
        </w:rPr>
        <w:t xml:space="preserve">Sarah Adamczyk, ICLA Project Coordinator, NRC </w:t>
      </w:r>
    </w:p>
    <w:p w:rsidR="00080B0D" w:rsidRPr="00132956" w:rsidRDefault="00080B0D" w:rsidP="00132956">
      <w:pPr>
        <w:numPr>
          <w:ilvl w:val="0"/>
          <w:numId w:val="19"/>
        </w:numPr>
        <w:spacing w:after="0" w:line="240" w:lineRule="auto"/>
        <w:ind w:right="-358"/>
        <w:rPr>
          <w:rFonts w:ascii="Times New Roman" w:hAnsi="Times New Roman" w:cs="Times New Roman"/>
          <w:sz w:val="22"/>
          <w:szCs w:val="22"/>
          <w:lang w:val="en-GB"/>
        </w:rPr>
      </w:pPr>
      <w:r w:rsidRPr="00132956">
        <w:rPr>
          <w:rFonts w:ascii="Times New Roman" w:hAnsi="Times New Roman" w:cs="Times New Roman"/>
          <w:sz w:val="22"/>
          <w:szCs w:val="22"/>
          <w:lang w:val="en-GB"/>
        </w:rPr>
        <w:t>Wafa El Kafarna, Program Assistant, NRC</w:t>
      </w:r>
    </w:p>
    <w:p w:rsidR="00080B0D" w:rsidRPr="00132956" w:rsidRDefault="00080B0D" w:rsidP="00132956">
      <w:pPr>
        <w:spacing w:after="0" w:line="240" w:lineRule="auto"/>
        <w:ind w:left="-270" w:right="-358"/>
        <w:rPr>
          <w:rFonts w:ascii="Times New Roman" w:hAnsi="Times New Roman" w:cs="Times New Roman"/>
          <w:sz w:val="22"/>
          <w:szCs w:val="22"/>
          <w:lang w:val="en-GB"/>
        </w:rPr>
      </w:pPr>
    </w:p>
    <w:p w:rsidR="00080B0D" w:rsidRPr="00132956" w:rsidRDefault="00080B0D" w:rsidP="00132956">
      <w:pPr>
        <w:spacing w:after="0" w:line="240" w:lineRule="auto"/>
        <w:ind w:left="-270" w:right="-358"/>
        <w:rPr>
          <w:rFonts w:ascii="Times New Roman" w:hAnsi="Times New Roman" w:cs="Times New Roman"/>
          <w:i/>
          <w:iCs/>
          <w:sz w:val="22"/>
          <w:szCs w:val="22"/>
          <w:lang w:val="en-GB"/>
        </w:rPr>
      </w:pPr>
      <w:r w:rsidRPr="00132956">
        <w:rPr>
          <w:rFonts w:ascii="Times New Roman" w:hAnsi="Times New Roman" w:cs="Times New Roman"/>
          <w:i/>
          <w:iCs/>
          <w:sz w:val="22"/>
          <w:szCs w:val="22"/>
          <w:lang w:val="en-GB"/>
        </w:rPr>
        <w:t>Venue: NRC Office (Gaza City)</w:t>
      </w:r>
    </w:p>
    <w:p w:rsidR="00080B0D" w:rsidRPr="00132956" w:rsidRDefault="00080B0D" w:rsidP="00132956">
      <w:pPr>
        <w:spacing w:after="0" w:line="240" w:lineRule="auto"/>
        <w:ind w:left="-270" w:right="-358"/>
        <w:rPr>
          <w:rFonts w:ascii="Times New Roman" w:hAnsi="Times New Roman" w:cs="Times New Roman"/>
          <w:sz w:val="22"/>
          <w:szCs w:val="22"/>
          <w:lang w:val="en-GB"/>
        </w:rPr>
      </w:pPr>
    </w:p>
    <w:p w:rsidR="00080B0D" w:rsidRPr="00132956" w:rsidRDefault="00080B0D" w:rsidP="00132956">
      <w:pPr>
        <w:spacing w:after="0" w:line="240" w:lineRule="auto"/>
        <w:ind w:left="-270" w:right="-358"/>
        <w:rPr>
          <w:rFonts w:ascii="Times New Roman" w:hAnsi="Times New Roman" w:cs="Times New Roman"/>
          <w:b/>
          <w:sz w:val="22"/>
          <w:szCs w:val="22"/>
          <w:lang w:val="en-GB"/>
        </w:rPr>
      </w:pPr>
      <w:r w:rsidRPr="00132956">
        <w:rPr>
          <w:rFonts w:ascii="Times New Roman" w:hAnsi="Times New Roman" w:cs="Times New Roman"/>
          <w:b/>
          <w:sz w:val="22"/>
          <w:szCs w:val="22"/>
          <w:lang w:val="en-GB"/>
        </w:rPr>
        <w:t>17:00-18:00 Independent Commission for Human Rights</w:t>
      </w:r>
    </w:p>
    <w:p w:rsidR="00080B0D" w:rsidRPr="00132956" w:rsidRDefault="00080B0D" w:rsidP="00132956">
      <w:pPr>
        <w:spacing w:after="0" w:line="240" w:lineRule="auto"/>
        <w:ind w:left="-270" w:right="-358"/>
        <w:rPr>
          <w:rFonts w:ascii="Times New Roman" w:hAnsi="Times New Roman" w:cs="Times New Roman"/>
          <w:sz w:val="22"/>
          <w:szCs w:val="22"/>
          <w:lang w:val="en-GB"/>
        </w:rPr>
      </w:pPr>
    </w:p>
    <w:p w:rsidR="00080B0D" w:rsidRPr="00132956" w:rsidRDefault="00080B0D" w:rsidP="00132956">
      <w:pPr>
        <w:spacing w:after="0" w:line="240" w:lineRule="auto"/>
        <w:ind w:left="-270" w:right="-358"/>
        <w:jc w:val="center"/>
        <w:rPr>
          <w:rFonts w:ascii="Times New Roman" w:hAnsi="Times New Roman" w:cs="Times New Roman"/>
          <w:b/>
          <w:bCs/>
          <w:sz w:val="22"/>
          <w:szCs w:val="22"/>
          <w:u w:val="single"/>
          <w:lang w:val="en-GB"/>
        </w:rPr>
      </w:pPr>
      <w:r w:rsidRPr="00132956">
        <w:rPr>
          <w:rFonts w:ascii="Times New Roman" w:hAnsi="Times New Roman" w:cs="Times New Roman"/>
          <w:b/>
          <w:bCs/>
          <w:sz w:val="22"/>
          <w:szCs w:val="22"/>
          <w:u w:val="single"/>
          <w:lang w:val="en-GB"/>
        </w:rPr>
        <w:t>Friday, 18 January 2013</w:t>
      </w:r>
    </w:p>
    <w:p w:rsidR="00080B0D" w:rsidRPr="00132956" w:rsidRDefault="00080B0D" w:rsidP="00132956">
      <w:pPr>
        <w:spacing w:after="0" w:line="240" w:lineRule="auto"/>
        <w:ind w:left="-270" w:right="-358"/>
        <w:rPr>
          <w:rFonts w:ascii="Times New Roman" w:hAnsi="Times New Roman" w:cs="Times New Roman"/>
          <w:sz w:val="22"/>
          <w:szCs w:val="22"/>
          <w:lang w:val="en-GB"/>
        </w:rPr>
      </w:pPr>
    </w:p>
    <w:p w:rsidR="00080B0D" w:rsidRPr="00132956" w:rsidRDefault="00080B0D" w:rsidP="00132956">
      <w:pPr>
        <w:spacing w:after="0" w:line="240" w:lineRule="auto"/>
        <w:ind w:left="2610" w:right="-358" w:firstLine="270"/>
        <w:jc w:val="center"/>
        <w:rPr>
          <w:rFonts w:ascii="Times New Roman" w:hAnsi="Times New Roman" w:cs="Times New Roman"/>
          <w:sz w:val="22"/>
          <w:szCs w:val="22"/>
          <w:lang w:val="en-GB"/>
        </w:rPr>
      </w:pPr>
    </w:p>
    <w:p w:rsidR="00080B0D" w:rsidRPr="00132956" w:rsidRDefault="0019654C" w:rsidP="00132956">
      <w:pPr>
        <w:spacing w:after="0" w:line="240" w:lineRule="auto"/>
        <w:ind w:left="360" w:right="-358"/>
        <w:jc w:val="center"/>
        <w:rPr>
          <w:rFonts w:ascii="Times New Roman" w:hAnsi="Times New Roman" w:cs="Times New Roman"/>
          <w:sz w:val="22"/>
          <w:szCs w:val="22"/>
          <w:lang w:val="en-GB"/>
        </w:rPr>
      </w:pPr>
      <w:r>
        <w:rPr>
          <w:rFonts w:ascii="Times New Roman" w:hAnsi="Times New Roman" w:cs="Times New Roman"/>
          <w:sz w:val="22"/>
          <w:szCs w:val="22"/>
          <w:lang w:val="en-GB"/>
        </w:rPr>
        <w:t>---------</w:t>
      </w:r>
    </w:p>
    <w:p w:rsidR="00080B0D" w:rsidRPr="00132956" w:rsidRDefault="00080B0D" w:rsidP="00132956">
      <w:pPr>
        <w:spacing w:after="0" w:line="240" w:lineRule="auto"/>
        <w:ind w:left="-270" w:right="-358"/>
        <w:rPr>
          <w:rFonts w:ascii="Times New Roman" w:hAnsi="Times New Roman" w:cs="Times New Roman"/>
          <w:sz w:val="22"/>
          <w:szCs w:val="22"/>
          <w:lang w:val="en-GB"/>
        </w:rPr>
      </w:pPr>
    </w:p>
    <w:p w:rsidR="00080B0D" w:rsidRPr="00132956" w:rsidRDefault="00080B0D" w:rsidP="00132956">
      <w:pPr>
        <w:spacing w:after="0" w:line="240" w:lineRule="auto"/>
        <w:ind w:left="-270" w:right="-358"/>
        <w:rPr>
          <w:rFonts w:ascii="Times New Roman" w:hAnsi="Times New Roman" w:cs="Times New Roman"/>
          <w:sz w:val="22"/>
          <w:szCs w:val="22"/>
          <w:lang w:val="en-GB"/>
        </w:rPr>
      </w:pPr>
    </w:p>
    <w:p w:rsidR="00080B0D" w:rsidRPr="00132956" w:rsidRDefault="00080B0D" w:rsidP="00132956">
      <w:pPr>
        <w:spacing w:after="0" w:line="240" w:lineRule="auto"/>
        <w:ind w:left="-270" w:right="-358"/>
        <w:jc w:val="center"/>
        <w:rPr>
          <w:rFonts w:ascii="Times New Roman" w:hAnsi="Times New Roman" w:cs="Times New Roman"/>
          <w:b/>
          <w:bCs/>
          <w:sz w:val="22"/>
          <w:szCs w:val="22"/>
          <w:u w:val="single"/>
          <w:lang w:val="en-GB"/>
        </w:rPr>
      </w:pPr>
      <w:r w:rsidRPr="00132956">
        <w:rPr>
          <w:rFonts w:ascii="Times New Roman" w:hAnsi="Times New Roman" w:cs="Times New Roman"/>
          <w:b/>
          <w:bCs/>
          <w:sz w:val="22"/>
          <w:szCs w:val="22"/>
          <w:u w:val="single"/>
          <w:lang w:val="en-GB"/>
        </w:rPr>
        <w:t>Saturday, 19 January 2013</w:t>
      </w:r>
    </w:p>
    <w:p w:rsidR="00080B0D" w:rsidRPr="00132956" w:rsidRDefault="00080B0D" w:rsidP="00132956">
      <w:pPr>
        <w:spacing w:after="0" w:line="240" w:lineRule="auto"/>
        <w:ind w:left="-270" w:right="-358"/>
        <w:rPr>
          <w:rFonts w:ascii="Times New Roman" w:hAnsi="Times New Roman" w:cs="Times New Roman"/>
          <w:sz w:val="22"/>
          <w:szCs w:val="22"/>
          <w:lang w:val="en-GB"/>
        </w:rPr>
      </w:pPr>
    </w:p>
    <w:p w:rsidR="00080B0D" w:rsidRPr="00132956" w:rsidRDefault="00080B0D" w:rsidP="00132956">
      <w:pPr>
        <w:spacing w:after="0" w:line="240" w:lineRule="auto"/>
        <w:ind w:left="-270" w:right="-358"/>
        <w:rPr>
          <w:rFonts w:ascii="Times New Roman" w:hAnsi="Times New Roman" w:cs="Times New Roman"/>
          <w:b/>
          <w:bCs/>
          <w:i/>
          <w:iCs/>
          <w:sz w:val="22"/>
          <w:szCs w:val="22"/>
          <w:lang w:val="en-GB"/>
        </w:rPr>
      </w:pPr>
      <w:r w:rsidRPr="00132956">
        <w:rPr>
          <w:rFonts w:ascii="Times New Roman" w:hAnsi="Times New Roman" w:cs="Times New Roman"/>
          <w:b/>
          <w:bCs/>
          <w:i/>
          <w:iCs/>
          <w:sz w:val="22"/>
          <w:szCs w:val="22"/>
          <w:lang w:val="en-GB"/>
        </w:rPr>
        <w:t>10:00-13:00 Palestinian Bar Association (PBA)</w:t>
      </w:r>
    </w:p>
    <w:p w:rsidR="00080B0D" w:rsidRPr="00132956" w:rsidRDefault="00080B0D" w:rsidP="00132956">
      <w:pPr>
        <w:spacing w:after="0" w:line="240" w:lineRule="auto"/>
        <w:ind w:right="-358"/>
        <w:rPr>
          <w:rFonts w:ascii="Times New Roman" w:hAnsi="Times New Roman" w:cs="Times New Roman"/>
          <w:sz w:val="22"/>
          <w:szCs w:val="22"/>
          <w:lang w:val="en-GB"/>
        </w:rPr>
      </w:pPr>
    </w:p>
    <w:p w:rsidR="0019654C" w:rsidRDefault="00080B0D" w:rsidP="00132956">
      <w:pPr>
        <w:pStyle w:val="ListParagraph"/>
        <w:numPr>
          <w:ilvl w:val="0"/>
          <w:numId w:val="31"/>
        </w:numPr>
        <w:spacing w:after="0" w:line="240" w:lineRule="auto"/>
        <w:ind w:right="-358"/>
        <w:rPr>
          <w:rFonts w:ascii="Times New Roman" w:hAnsi="Times New Roman" w:cs="Times New Roman"/>
          <w:b/>
          <w:bCs/>
          <w:i/>
          <w:iCs/>
          <w:sz w:val="22"/>
          <w:szCs w:val="22"/>
          <w:lang w:val="en-GB"/>
        </w:rPr>
      </w:pPr>
      <w:r w:rsidRPr="00132956">
        <w:rPr>
          <w:rFonts w:ascii="Times New Roman" w:hAnsi="Times New Roman" w:cs="Times New Roman"/>
          <w:b/>
          <w:bCs/>
          <w:i/>
          <w:iCs/>
          <w:sz w:val="22"/>
          <w:szCs w:val="22"/>
          <w:lang w:val="en-GB"/>
        </w:rPr>
        <w:t>Meeting with PBA Board members(45 minutes</w:t>
      </w:r>
      <w:r w:rsidR="0019654C">
        <w:rPr>
          <w:rFonts w:ascii="Times New Roman" w:hAnsi="Times New Roman" w:cs="Times New Roman"/>
          <w:b/>
          <w:bCs/>
          <w:i/>
          <w:iCs/>
          <w:sz w:val="22"/>
          <w:szCs w:val="22"/>
          <w:lang w:val="en-GB"/>
        </w:rPr>
        <w:t>)</w:t>
      </w:r>
    </w:p>
    <w:p w:rsidR="00080B0D" w:rsidRPr="00132956" w:rsidRDefault="00080B0D" w:rsidP="0019654C">
      <w:pPr>
        <w:pStyle w:val="ListParagraph"/>
        <w:numPr>
          <w:ilvl w:val="0"/>
          <w:numId w:val="0"/>
        </w:numPr>
        <w:spacing w:after="0" w:line="240" w:lineRule="auto"/>
        <w:ind w:left="810" w:right="-358"/>
        <w:rPr>
          <w:rFonts w:ascii="Times New Roman" w:hAnsi="Times New Roman" w:cs="Times New Roman"/>
          <w:b/>
          <w:bCs/>
          <w:i/>
          <w:iCs/>
          <w:sz w:val="22"/>
          <w:szCs w:val="22"/>
          <w:lang w:val="en-GB"/>
        </w:rPr>
      </w:pPr>
    </w:p>
    <w:p w:rsidR="00080B0D" w:rsidRPr="00132956" w:rsidRDefault="00080B0D" w:rsidP="00132956">
      <w:pPr>
        <w:numPr>
          <w:ilvl w:val="0"/>
          <w:numId w:val="18"/>
        </w:numPr>
        <w:spacing w:after="0" w:line="240" w:lineRule="auto"/>
        <w:ind w:right="-358"/>
        <w:rPr>
          <w:rFonts w:ascii="Times New Roman" w:hAnsi="Times New Roman" w:cs="Times New Roman"/>
          <w:sz w:val="22"/>
          <w:szCs w:val="22"/>
          <w:lang w:val="en-GB"/>
        </w:rPr>
      </w:pPr>
      <w:r w:rsidRPr="00132956">
        <w:rPr>
          <w:rFonts w:ascii="Times New Roman" w:hAnsi="Times New Roman" w:cs="Times New Roman"/>
          <w:sz w:val="22"/>
          <w:szCs w:val="22"/>
          <w:lang w:val="en-GB"/>
        </w:rPr>
        <w:t>Salama</w:t>
      </w:r>
      <w:r w:rsidR="00E8775C">
        <w:rPr>
          <w:rFonts w:ascii="Times New Roman" w:hAnsi="Times New Roman" w:cs="Times New Roman"/>
          <w:sz w:val="22"/>
          <w:szCs w:val="22"/>
          <w:lang w:val="en-GB"/>
        </w:rPr>
        <w:t xml:space="preserve"> </w:t>
      </w:r>
      <w:r w:rsidRPr="00132956">
        <w:rPr>
          <w:rFonts w:ascii="Times New Roman" w:hAnsi="Times New Roman" w:cs="Times New Roman"/>
          <w:sz w:val="22"/>
          <w:szCs w:val="22"/>
          <w:lang w:val="en-GB"/>
        </w:rPr>
        <w:t>Bseiso, Vice-Chairman</w:t>
      </w:r>
    </w:p>
    <w:p w:rsidR="00080B0D" w:rsidRPr="00132956" w:rsidRDefault="00E8775C" w:rsidP="00132956">
      <w:pPr>
        <w:numPr>
          <w:ilvl w:val="0"/>
          <w:numId w:val="18"/>
        </w:numPr>
        <w:spacing w:after="0" w:line="240" w:lineRule="auto"/>
        <w:ind w:right="-358"/>
        <w:rPr>
          <w:rFonts w:ascii="Times New Roman" w:hAnsi="Times New Roman" w:cs="Times New Roman"/>
          <w:sz w:val="22"/>
          <w:szCs w:val="22"/>
          <w:lang w:val="en-GB"/>
        </w:rPr>
      </w:pPr>
      <w:r>
        <w:rPr>
          <w:rFonts w:ascii="Times New Roman" w:hAnsi="Times New Roman" w:cs="Times New Roman"/>
          <w:sz w:val="22"/>
          <w:szCs w:val="22"/>
          <w:lang w:val="en-GB"/>
        </w:rPr>
        <w:t>PBA Board Members</w:t>
      </w:r>
    </w:p>
    <w:p w:rsidR="00080B0D" w:rsidRPr="00132956" w:rsidRDefault="00080B0D" w:rsidP="00132956">
      <w:pPr>
        <w:spacing w:after="0" w:line="240" w:lineRule="auto"/>
        <w:ind w:left="450" w:right="-358"/>
        <w:rPr>
          <w:rFonts w:ascii="Times New Roman" w:hAnsi="Times New Roman" w:cs="Times New Roman"/>
          <w:sz w:val="22"/>
          <w:szCs w:val="22"/>
          <w:lang w:val="en-GB"/>
        </w:rPr>
      </w:pPr>
    </w:p>
    <w:p w:rsidR="00080B0D" w:rsidRDefault="00080B0D" w:rsidP="00132956">
      <w:pPr>
        <w:pStyle w:val="ListParagraph"/>
        <w:numPr>
          <w:ilvl w:val="0"/>
          <w:numId w:val="31"/>
        </w:numPr>
        <w:spacing w:after="0" w:line="240" w:lineRule="auto"/>
        <w:ind w:right="-358"/>
        <w:rPr>
          <w:rFonts w:ascii="Times New Roman" w:hAnsi="Times New Roman" w:cs="Times New Roman"/>
          <w:b/>
          <w:bCs/>
          <w:i/>
          <w:iCs/>
          <w:sz w:val="22"/>
          <w:szCs w:val="22"/>
          <w:lang w:val="en-GB"/>
        </w:rPr>
      </w:pPr>
      <w:r w:rsidRPr="00132956">
        <w:rPr>
          <w:rFonts w:ascii="Times New Roman" w:hAnsi="Times New Roman" w:cs="Times New Roman"/>
          <w:b/>
          <w:bCs/>
          <w:i/>
          <w:iCs/>
          <w:sz w:val="22"/>
          <w:szCs w:val="22"/>
          <w:lang w:val="en-GB"/>
        </w:rPr>
        <w:t>M</w:t>
      </w:r>
      <w:r w:rsidR="0019654C">
        <w:rPr>
          <w:rFonts w:ascii="Times New Roman" w:hAnsi="Times New Roman" w:cs="Times New Roman"/>
          <w:b/>
          <w:bCs/>
          <w:i/>
          <w:iCs/>
          <w:sz w:val="22"/>
          <w:szCs w:val="22"/>
          <w:lang w:val="en-GB"/>
        </w:rPr>
        <w:t>eeting with PBA Project team/Awn Network (90 minutes</w:t>
      </w:r>
      <w:r w:rsidRPr="00132956">
        <w:rPr>
          <w:rFonts w:ascii="Times New Roman" w:hAnsi="Times New Roman" w:cs="Times New Roman"/>
          <w:b/>
          <w:bCs/>
          <w:i/>
          <w:iCs/>
          <w:sz w:val="22"/>
          <w:szCs w:val="22"/>
          <w:lang w:val="en-GB"/>
        </w:rPr>
        <w:t>)</w:t>
      </w:r>
    </w:p>
    <w:p w:rsidR="0019654C" w:rsidRPr="00132956" w:rsidRDefault="0019654C" w:rsidP="0019654C">
      <w:pPr>
        <w:pStyle w:val="ListParagraph"/>
        <w:numPr>
          <w:ilvl w:val="0"/>
          <w:numId w:val="0"/>
        </w:numPr>
        <w:spacing w:after="0" w:line="240" w:lineRule="auto"/>
        <w:ind w:left="810" w:right="-358"/>
        <w:rPr>
          <w:rFonts w:ascii="Times New Roman" w:hAnsi="Times New Roman" w:cs="Times New Roman"/>
          <w:b/>
          <w:bCs/>
          <w:i/>
          <w:iCs/>
          <w:sz w:val="22"/>
          <w:szCs w:val="22"/>
          <w:lang w:val="en-GB"/>
        </w:rPr>
      </w:pPr>
    </w:p>
    <w:p w:rsidR="00080B0D" w:rsidRPr="00132956" w:rsidRDefault="00080B0D" w:rsidP="00132956">
      <w:pPr>
        <w:numPr>
          <w:ilvl w:val="0"/>
          <w:numId w:val="18"/>
        </w:numPr>
        <w:spacing w:after="0" w:line="240" w:lineRule="auto"/>
        <w:ind w:right="-358"/>
        <w:rPr>
          <w:rFonts w:ascii="Times New Roman" w:hAnsi="Times New Roman" w:cs="Times New Roman"/>
          <w:sz w:val="22"/>
          <w:szCs w:val="22"/>
          <w:lang w:val="en-GB"/>
        </w:rPr>
      </w:pPr>
      <w:r w:rsidRPr="00132956">
        <w:rPr>
          <w:rFonts w:ascii="Times New Roman" w:hAnsi="Times New Roman" w:cs="Times New Roman"/>
          <w:sz w:val="22"/>
          <w:szCs w:val="22"/>
          <w:lang w:val="en-GB"/>
        </w:rPr>
        <w:t>Heba</w:t>
      </w:r>
      <w:r w:rsidR="00E8775C">
        <w:rPr>
          <w:rFonts w:ascii="Times New Roman" w:hAnsi="Times New Roman" w:cs="Times New Roman"/>
          <w:sz w:val="22"/>
          <w:szCs w:val="22"/>
          <w:lang w:val="en-GB"/>
        </w:rPr>
        <w:t xml:space="preserve"> </w:t>
      </w:r>
      <w:r w:rsidRPr="00132956">
        <w:rPr>
          <w:rFonts w:ascii="Times New Roman" w:hAnsi="Times New Roman" w:cs="Times New Roman"/>
          <w:sz w:val="22"/>
          <w:szCs w:val="22"/>
          <w:lang w:val="en-GB"/>
        </w:rPr>
        <w:t>Mourtaga, Coordinator</w:t>
      </w:r>
    </w:p>
    <w:p w:rsidR="00080B0D" w:rsidRPr="00132956" w:rsidRDefault="00080B0D" w:rsidP="00132956">
      <w:pPr>
        <w:numPr>
          <w:ilvl w:val="0"/>
          <w:numId w:val="18"/>
        </w:numPr>
        <w:spacing w:after="0" w:line="240" w:lineRule="auto"/>
        <w:ind w:right="-358"/>
        <w:rPr>
          <w:rFonts w:ascii="Times New Roman" w:hAnsi="Times New Roman" w:cs="Times New Roman"/>
          <w:sz w:val="22"/>
          <w:szCs w:val="22"/>
          <w:lang w:val="en-GB"/>
        </w:rPr>
      </w:pPr>
      <w:r w:rsidRPr="00132956">
        <w:rPr>
          <w:rFonts w:ascii="Times New Roman" w:hAnsi="Times New Roman" w:cs="Times New Roman"/>
          <w:sz w:val="22"/>
          <w:szCs w:val="22"/>
          <w:lang w:val="en-GB"/>
        </w:rPr>
        <w:t>Said Abdallah, Legal Clinic Lawyer</w:t>
      </w:r>
    </w:p>
    <w:p w:rsidR="00080B0D" w:rsidRPr="00132956" w:rsidRDefault="00080B0D" w:rsidP="00132956">
      <w:pPr>
        <w:numPr>
          <w:ilvl w:val="0"/>
          <w:numId w:val="20"/>
        </w:numPr>
        <w:spacing w:after="0" w:line="240" w:lineRule="auto"/>
        <w:ind w:right="-358"/>
        <w:rPr>
          <w:rFonts w:ascii="Times New Roman" w:hAnsi="Times New Roman" w:cs="Times New Roman"/>
          <w:sz w:val="22"/>
          <w:szCs w:val="22"/>
          <w:lang w:val="en-GB"/>
        </w:rPr>
      </w:pPr>
      <w:r w:rsidRPr="00132956">
        <w:rPr>
          <w:rFonts w:ascii="Times New Roman" w:hAnsi="Times New Roman" w:cs="Times New Roman"/>
          <w:sz w:val="22"/>
          <w:szCs w:val="22"/>
          <w:lang w:val="en-GB"/>
        </w:rPr>
        <w:t xml:space="preserve">Wafa Al-Ashqar, Legal Clinic </w:t>
      </w:r>
      <w:r w:rsidR="0019654C">
        <w:rPr>
          <w:rFonts w:ascii="Times New Roman" w:hAnsi="Times New Roman" w:cs="Times New Roman"/>
          <w:sz w:val="22"/>
          <w:szCs w:val="22"/>
          <w:lang w:val="en-GB"/>
        </w:rPr>
        <w:t>Lawyer</w:t>
      </w:r>
    </w:p>
    <w:p w:rsidR="00080B0D" w:rsidRPr="00132956" w:rsidRDefault="00080B0D" w:rsidP="00132956">
      <w:pPr>
        <w:numPr>
          <w:ilvl w:val="0"/>
          <w:numId w:val="20"/>
        </w:numPr>
        <w:spacing w:after="0" w:line="240" w:lineRule="auto"/>
        <w:ind w:right="-358"/>
        <w:rPr>
          <w:rFonts w:ascii="Times New Roman" w:hAnsi="Times New Roman" w:cs="Times New Roman"/>
          <w:sz w:val="22"/>
          <w:szCs w:val="22"/>
          <w:lang w:val="en-GB"/>
        </w:rPr>
      </w:pPr>
      <w:r w:rsidRPr="00132956">
        <w:rPr>
          <w:rFonts w:ascii="Times New Roman" w:hAnsi="Times New Roman" w:cs="Times New Roman"/>
          <w:sz w:val="22"/>
          <w:szCs w:val="22"/>
          <w:lang w:val="en-GB"/>
        </w:rPr>
        <w:t>Ahmed Amassi, Junior Lawyer</w:t>
      </w:r>
    </w:p>
    <w:p w:rsidR="00080B0D" w:rsidRPr="00132956" w:rsidRDefault="00080B0D" w:rsidP="00132956">
      <w:pPr>
        <w:numPr>
          <w:ilvl w:val="0"/>
          <w:numId w:val="20"/>
        </w:numPr>
        <w:spacing w:after="0" w:line="240" w:lineRule="auto"/>
        <w:ind w:right="-358"/>
        <w:rPr>
          <w:rFonts w:ascii="Times New Roman" w:hAnsi="Times New Roman" w:cs="Times New Roman"/>
          <w:sz w:val="22"/>
          <w:szCs w:val="22"/>
          <w:lang w:val="en-GB"/>
        </w:rPr>
      </w:pPr>
      <w:r w:rsidRPr="00132956">
        <w:rPr>
          <w:rFonts w:ascii="Times New Roman" w:hAnsi="Times New Roman" w:cs="Times New Roman"/>
          <w:sz w:val="22"/>
          <w:szCs w:val="22"/>
          <w:lang w:val="en-GB"/>
        </w:rPr>
        <w:t>Maher El Jamala,</w:t>
      </w:r>
      <w:r w:rsidR="00E8775C">
        <w:rPr>
          <w:rFonts w:ascii="Times New Roman" w:hAnsi="Times New Roman" w:cs="Times New Roman"/>
          <w:sz w:val="22"/>
          <w:szCs w:val="22"/>
          <w:lang w:val="en-GB"/>
        </w:rPr>
        <w:t xml:space="preserve"> </w:t>
      </w:r>
      <w:r w:rsidRPr="00132956">
        <w:rPr>
          <w:rFonts w:ascii="Times New Roman" w:hAnsi="Times New Roman" w:cs="Times New Roman"/>
          <w:sz w:val="22"/>
          <w:szCs w:val="22"/>
          <w:lang w:val="en-GB"/>
        </w:rPr>
        <w:t>Junior Lawyer</w:t>
      </w:r>
    </w:p>
    <w:p w:rsidR="00080B0D" w:rsidRPr="00132956" w:rsidRDefault="00080B0D" w:rsidP="00132956">
      <w:pPr>
        <w:numPr>
          <w:ilvl w:val="0"/>
          <w:numId w:val="20"/>
        </w:numPr>
        <w:spacing w:after="0" w:line="240" w:lineRule="auto"/>
        <w:ind w:right="-358"/>
        <w:rPr>
          <w:rFonts w:ascii="Times New Roman" w:hAnsi="Times New Roman" w:cs="Times New Roman"/>
          <w:sz w:val="22"/>
          <w:szCs w:val="22"/>
          <w:lang w:val="en-GB"/>
        </w:rPr>
      </w:pPr>
      <w:r w:rsidRPr="00132956">
        <w:rPr>
          <w:rFonts w:ascii="Times New Roman" w:hAnsi="Times New Roman" w:cs="Times New Roman"/>
          <w:sz w:val="22"/>
          <w:szCs w:val="22"/>
          <w:lang w:val="en-GB"/>
        </w:rPr>
        <w:t>Faten</w:t>
      </w:r>
      <w:r w:rsidR="00E8775C">
        <w:rPr>
          <w:rFonts w:ascii="Times New Roman" w:hAnsi="Times New Roman" w:cs="Times New Roman"/>
          <w:sz w:val="22"/>
          <w:szCs w:val="22"/>
          <w:lang w:val="en-GB"/>
        </w:rPr>
        <w:t xml:space="preserve"> </w:t>
      </w:r>
      <w:r w:rsidRPr="00132956">
        <w:rPr>
          <w:rFonts w:ascii="Times New Roman" w:hAnsi="Times New Roman" w:cs="Times New Roman"/>
          <w:sz w:val="22"/>
          <w:szCs w:val="22"/>
          <w:lang w:val="en-GB"/>
        </w:rPr>
        <w:t>Ghabayen,</w:t>
      </w:r>
      <w:r w:rsidR="00E8775C">
        <w:rPr>
          <w:rFonts w:ascii="Times New Roman" w:hAnsi="Times New Roman" w:cs="Times New Roman"/>
          <w:sz w:val="22"/>
          <w:szCs w:val="22"/>
          <w:lang w:val="en-GB"/>
        </w:rPr>
        <w:t xml:space="preserve"> </w:t>
      </w:r>
      <w:r w:rsidRPr="00132956">
        <w:rPr>
          <w:rFonts w:ascii="Times New Roman" w:hAnsi="Times New Roman" w:cs="Times New Roman"/>
          <w:sz w:val="22"/>
          <w:szCs w:val="22"/>
          <w:lang w:val="en-GB"/>
        </w:rPr>
        <w:t>Junior Lawyer</w:t>
      </w:r>
    </w:p>
    <w:p w:rsidR="00080B0D" w:rsidRPr="00132956" w:rsidRDefault="00080B0D" w:rsidP="00132956">
      <w:pPr>
        <w:numPr>
          <w:ilvl w:val="0"/>
          <w:numId w:val="20"/>
        </w:numPr>
        <w:spacing w:after="0" w:line="240" w:lineRule="auto"/>
        <w:ind w:right="-358"/>
        <w:rPr>
          <w:rFonts w:ascii="Times New Roman" w:hAnsi="Times New Roman" w:cs="Times New Roman"/>
          <w:sz w:val="22"/>
          <w:szCs w:val="22"/>
          <w:lang w:val="en-GB"/>
        </w:rPr>
      </w:pPr>
      <w:r w:rsidRPr="00132956">
        <w:rPr>
          <w:rFonts w:ascii="Times New Roman" w:hAnsi="Times New Roman" w:cs="Times New Roman"/>
          <w:sz w:val="22"/>
          <w:szCs w:val="22"/>
          <w:lang w:val="en-GB"/>
        </w:rPr>
        <w:lastRenderedPageBreak/>
        <w:t>Eman Abu Shanab,</w:t>
      </w:r>
      <w:r w:rsidR="00E8775C">
        <w:rPr>
          <w:rFonts w:ascii="Times New Roman" w:hAnsi="Times New Roman" w:cs="Times New Roman"/>
          <w:sz w:val="22"/>
          <w:szCs w:val="22"/>
          <w:lang w:val="en-GB"/>
        </w:rPr>
        <w:t xml:space="preserve"> </w:t>
      </w:r>
      <w:r w:rsidRPr="00132956">
        <w:rPr>
          <w:rFonts w:ascii="Times New Roman" w:hAnsi="Times New Roman" w:cs="Times New Roman"/>
          <w:sz w:val="22"/>
          <w:szCs w:val="22"/>
          <w:lang w:val="en-GB"/>
        </w:rPr>
        <w:t>Junior Lawyer</w:t>
      </w:r>
    </w:p>
    <w:p w:rsidR="00080B0D" w:rsidRPr="00132956" w:rsidRDefault="00080B0D" w:rsidP="00132956">
      <w:pPr>
        <w:spacing w:after="0" w:line="240" w:lineRule="auto"/>
        <w:ind w:right="-358"/>
        <w:rPr>
          <w:rFonts w:ascii="Times New Roman" w:hAnsi="Times New Roman" w:cs="Times New Roman"/>
          <w:b/>
          <w:bCs/>
          <w:i/>
          <w:iCs/>
          <w:sz w:val="22"/>
          <w:szCs w:val="22"/>
          <w:lang w:val="en-GB"/>
        </w:rPr>
      </w:pPr>
    </w:p>
    <w:p w:rsidR="00080B0D" w:rsidRPr="00132956" w:rsidRDefault="00080B0D" w:rsidP="00132956">
      <w:pPr>
        <w:spacing w:after="0" w:line="240" w:lineRule="auto"/>
        <w:ind w:left="-270" w:right="-358"/>
        <w:rPr>
          <w:rFonts w:ascii="Times New Roman" w:hAnsi="Times New Roman" w:cs="Times New Roman"/>
          <w:i/>
          <w:iCs/>
          <w:sz w:val="22"/>
          <w:szCs w:val="22"/>
          <w:lang w:val="en-GB"/>
        </w:rPr>
      </w:pPr>
      <w:r w:rsidRPr="00132956">
        <w:rPr>
          <w:rFonts w:ascii="Times New Roman" w:hAnsi="Times New Roman" w:cs="Times New Roman"/>
          <w:i/>
          <w:iCs/>
          <w:sz w:val="22"/>
          <w:szCs w:val="22"/>
          <w:lang w:val="en-GB"/>
        </w:rPr>
        <w:t>Venue: Palestinian Bar Association (Gaza (City)</w:t>
      </w:r>
    </w:p>
    <w:p w:rsidR="0019654C" w:rsidRDefault="0019654C" w:rsidP="00132956">
      <w:pPr>
        <w:spacing w:after="0" w:line="240" w:lineRule="auto"/>
        <w:ind w:left="-270" w:right="-358"/>
        <w:rPr>
          <w:rFonts w:ascii="Times New Roman" w:hAnsi="Times New Roman" w:cs="Times New Roman"/>
          <w:b/>
          <w:i/>
          <w:iCs/>
          <w:sz w:val="22"/>
          <w:szCs w:val="22"/>
          <w:lang w:val="en-GB"/>
        </w:rPr>
      </w:pPr>
    </w:p>
    <w:p w:rsidR="00080B0D" w:rsidRPr="00132956" w:rsidRDefault="00080B0D" w:rsidP="00132956">
      <w:pPr>
        <w:spacing w:after="0" w:line="240" w:lineRule="auto"/>
        <w:ind w:left="-270" w:right="-358"/>
        <w:rPr>
          <w:rFonts w:ascii="Times New Roman" w:hAnsi="Times New Roman" w:cs="Times New Roman"/>
          <w:b/>
          <w:i/>
          <w:iCs/>
          <w:sz w:val="22"/>
          <w:szCs w:val="22"/>
          <w:lang w:val="en-GB"/>
        </w:rPr>
      </w:pPr>
      <w:r w:rsidRPr="00132956">
        <w:rPr>
          <w:rFonts w:ascii="Times New Roman" w:hAnsi="Times New Roman" w:cs="Times New Roman"/>
          <w:b/>
          <w:i/>
          <w:iCs/>
          <w:sz w:val="22"/>
          <w:szCs w:val="22"/>
          <w:lang w:val="en-GB"/>
        </w:rPr>
        <w:t>14</w:t>
      </w:r>
      <w:r w:rsidR="0019654C">
        <w:rPr>
          <w:rFonts w:ascii="Times New Roman" w:hAnsi="Times New Roman" w:cs="Times New Roman"/>
          <w:b/>
          <w:i/>
          <w:iCs/>
          <w:sz w:val="22"/>
          <w:szCs w:val="22"/>
          <w:lang w:val="en-GB"/>
        </w:rPr>
        <w:t>:00-15:00 Community Leaders</w:t>
      </w:r>
    </w:p>
    <w:p w:rsidR="00080B0D" w:rsidRPr="00132956" w:rsidRDefault="00080B0D" w:rsidP="00132956">
      <w:pPr>
        <w:spacing w:after="0" w:line="240" w:lineRule="auto"/>
        <w:ind w:right="-358"/>
        <w:rPr>
          <w:rFonts w:ascii="Times New Roman" w:hAnsi="Times New Roman" w:cs="Times New Roman"/>
          <w:b/>
          <w:bCs/>
          <w:i/>
          <w:iCs/>
          <w:sz w:val="22"/>
          <w:szCs w:val="22"/>
          <w:lang w:val="en-GB"/>
        </w:rPr>
      </w:pPr>
    </w:p>
    <w:p w:rsidR="00080B0D" w:rsidRPr="00132956" w:rsidRDefault="0019654C" w:rsidP="00132956">
      <w:pPr>
        <w:numPr>
          <w:ilvl w:val="0"/>
          <w:numId w:val="20"/>
        </w:numPr>
        <w:spacing w:after="0" w:line="240" w:lineRule="auto"/>
        <w:ind w:right="-358"/>
        <w:rPr>
          <w:rFonts w:ascii="Times New Roman" w:hAnsi="Times New Roman" w:cs="Times New Roman"/>
          <w:sz w:val="22"/>
          <w:szCs w:val="22"/>
          <w:lang w:val="en-GB"/>
        </w:rPr>
      </w:pPr>
      <w:r>
        <w:rPr>
          <w:rFonts w:ascii="Times New Roman" w:hAnsi="Times New Roman" w:cs="Times New Roman"/>
          <w:sz w:val="22"/>
          <w:szCs w:val="22"/>
          <w:lang w:val="en-GB"/>
        </w:rPr>
        <w:t>Husny Al-</w:t>
      </w:r>
      <w:r w:rsidR="00080B0D" w:rsidRPr="00132956">
        <w:rPr>
          <w:rFonts w:ascii="Times New Roman" w:hAnsi="Times New Roman" w:cs="Times New Roman"/>
          <w:sz w:val="22"/>
          <w:szCs w:val="22"/>
          <w:lang w:val="en-GB"/>
        </w:rPr>
        <w:t>Mughani</w:t>
      </w:r>
    </w:p>
    <w:p w:rsidR="00080B0D" w:rsidRPr="00132956" w:rsidRDefault="00080B0D" w:rsidP="00132956">
      <w:pPr>
        <w:numPr>
          <w:ilvl w:val="0"/>
          <w:numId w:val="20"/>
        </w:numPr>
        <w:spacing w:after="0" w:line="240" w:lineRule="auto"/>
        <w:ind w:right="-358"/>
        <w:rPr>
          <w:rFonts w:ascii="Times New Roman" w:hAnsi="Times New Roman" w:cs="Times New Roman"/>
          <w:sz w:val="22"/>
          <w:szCs w:val="22"/>
          <w:lang w:val="en-GB"/>
        </w:rPr>
      </w:pPr>
      <w:r w:rsidRPr="00132956">
        <w:rPr>
          <w:rFonts w:ascii="Times New Roman" w:hAnsi="Times New Roman" w:cs="Times New Roman"/>
          <w:sz w:val="22"/>
          <w:szCs w:val="22"/>
          <w:lang w:val="en-GB"/>
        </w:rPr>
        <w:t xml:space="preserve">Saif Abu Ramadan </w:t>
      </w:r>
    </w:p>
    <w:p w:rsidR="00080B0D" w:rsidRPr="00132956" w:rsidRDefault="00080B0D" w:rsidP="00132956">
      <w:pPr>
        <w:numPr>
          <w:ilvl w:val="0"/>
          <w:numId w:val="20"/>
        </w:numPr>
        <w:spacing w:after="0" w:line="240" w:lineRule="auto"/>
        <w:ind w:right="-358"/>
        <w:rPr>
          <w:rFonts w:ascii="Times New Roman" w:hAnsi="Times New Roman" w:cs="Times New Roman"/>
          <w:sz w:val="22"/>
          <w:szCs w:val="22"/>
          <w:lang w:val="en-GB"/>
        </w:rPr>
      </w:pPr>
      <w:r w:rsidRPr="00132956">
        <w:rPr>
          <w:rFonts w:ascii="Times New Roman" w:hAnsi="Times New Roman" w:cs="Times New Roman"/>
          <w:sz w:val="22"/>
          <w:szCs w:val="22"/>
          <w:lang w:val="en-GB"/>
        </w:rPr>
        <w:t>5-7 Group of Community Figures</w:t>
      </w:r>
    </w:p>
    <w:p w:rsidR="00080B0D" w:rsidRPr="00132956" w:rsidRDefault="00080B0D" w:rsidP="00132956">
      <w:pPr>
        <w:spacing w:after="0" w:line="240" w:lineRule="auto"/>
        <w:ind w:right="-358"/>
        <w:rPr>
          <w:rFonts w:ascii="Times New Roman" w:hAnsi="Times New Roman" w:cs="Times New Roman"/>
          <w:sz w:val="22"/>
          <w:szCs w:val="22"/>
          <w:u w:val="single"/>
          <w:lang w:val="en-GB"/>
        </w:rPr>
      </w:pPr>
    </w:p>
    <w:p w:rsidR="00080B0D" w:rsidRPr="00132956" w:rsidRDefault="00080B0D" w:rsidP="00132956">
      <w:pPr>
        <w:spacing w:after="0" w:line="240" w:lineRule="auto"/>
        <w:ind w:right="-358"/>
        <w:rPr>
          <w:rFonts w:ascii="Times New Roman" w:hAnsi="Times New Roman" w:cs="Times New Roman"/>
          <w:sz w:val="22"/>
          <w:szCs w:val="22"/>
          <w:u w:val="single"/>
          <w:lang w:val="en-GB"/>
        </w:rPr>
      </w:pPr>
      <w:r w:rsidRPr="00132956">
        <w:rPr>
          <w:rFonts w:ascii="Times New Roman" w:hAnsi="Times New Roman" w:cs="Times New Roman"/>
          <w:i/>
          <w:iCs/>
          <w:sz w:val="22"/>
          <w:szCs w:val="22"/>
          <w:lang w:val="en-GB"/>
        </w:rPr>
        <w:t>Venue: Palestinian Bar Association (Gaza City)</w:t>
      </w:r>
    </w:p>
    <w:p w:rsidR="00080B0D" w:rsidRPr="00132956" w:rsidRDefault="00080B0D" w:rsidP="0019654C">
      <w:pPr>
        <w:spacing w:after="0" w:line="240" w:lineRule="auto"/>
        <w:ind w:right="-358"/>
        <w:rPr>
          <w:rFonts w:ascii="Times New Roman" w:hAnsi="Times New Roman" w:cs="Times New Roman"/>
          <w:sz w:val="22"/>
          <w:szCs w:val="22"/>
          <w:lang w:val="en-GB"/>
        </w:rPr>
      </w:pPr>
    </w:p>
    <w:p w:rsidR="00080B0D" w:rsidRPr="00132956" w:rsidRDefault="00080B0D" w:rsidP="00132956">
      <w:pPr>
        <w:spacing w:after="0" w:line="240" w:lineRule="auto"/>
        <w:ind w:left="-270" w:right="-358"/>
        <w:jc w:val="center"/>
        <w:rPr>
          <w:rFonts w:ascii="Times New Roman" w:hAnsi="Times New Roman" w:cs="Times New Roman"/>
          <w:b/>
          <w:bCs/>
          <w:sz w:val="22"/>
          <w:szCs w:val="22"/>
          <w:u w:val="single"/>
          <w:lang w:val="en-GB"/>
        </w:rPr>
      </w:pPr>
      <w:r w:rsidRPr="00132956">
        <w:rPr>
          <w:rFonts w:ascii="Times New Roman" w:hAnsi="Times New Roman" w:cs="Times New Roman"/>
          <w:b/>
          <w:bCs/>
          <w:sz w:val="22"/>
          <w:szCs w:val="22"/>
          <w:u w:val="single"/>
          <w:lang w:val="en-GB"/>
        </w:rPr>
        <w:t>Sunday, 20 January 2013</w:t>
      </w:r>
    </w:p>
    <w:p w:rsidR="00080B0D" w:rsidRPr="00132956" w:rsidRDefault="00080B0D" w:rsidP="00132956">
      <w:pPr>
        <w:spacing w:after="0" w:line="240" w:lineRule="auto"/>
        <w:ind w:left="-270" w:right="-358"/>
        <w:rPr>
          <w:rFonts w:ascii="Times New Roman" w:hAnsi="Times New Roman" w:cs="Times New Roman"/>
          <w:sz w:val="22"/>
          <w:szCs w:val="22"/>
          <w:lang w:val="en-GB"/>
        </w:rPr>
      </w:pPr>
    </w:p>
    <w:p w:rsidR="00080B0D" w:rsidRPr="00132956" w:rsidRDefault="00080B0D" w:rsidP="00132956">
      <w:pPr>
        <w:spacing w:after="0" w:line="240" w:lineRule="auto"/>
        <w:ind w:left="-270" w:right="-358"/>
        <w:rPr>
          <w:rFonts w:ascii="Times New Roman" w:hAnsi="Times New Roman" w:cs="Times New Roman"/>
          <w:b/>
          <w:bCs/>
          <w:i/>
          <w:iCs/>
          <w:sz w:val="22"/>
          <w:szCs w:val="22"/>
          <w:lang w:val="en-GB"/>
        </w:rPr>
      </w:pPr>
      <w:r w:rsidRPr="00132956">
        <w:rPr>
          <w:rFonts w:ascii="Times New Roman" w:hAnsi="Times New Roman" w:cs="Times New Roman"/>
          <w:b/>
          <w:bCs/>
          <w:i/>
          <w:iCs/>
          <w:sz w:val="22"/>
          <w:szCs w:val="22"/>
          <w:lang w:val="en-GB"/>
        </w:rPr>
        <w:t>09:30-10</w:t>
      </w:r>
      <w:r w:rsidR="009433D0">
        <w:rPr>
          <w:rFonts w:ascii="Times New Roman" w:hAnsi="Times New Roman" w:cs="Times New Roman"/>
          <w:b/>
          <w:bCs/>
          <w:i/>
          <w:iCs/>
          <w:sz w:val="22"/>
          <w:szCs w:val="22"/>
          <w:lang w:val="en-GB"/>
        </w:rPr>
        <w:t>:45Union of Women Programs Cent</w:t>
      </w:r>
      <w:r w:rsidRPr="00132956">
        <w:rPr>
          <w:rFonts w:ascii="Times New Roman" w:hAnsi="Times New Roman" w:cs="Times New Roman"/>
          <w:b/>
          <w:bCs/>
          <w:i/>
          <w:iCs/>
          <w:sz w:val="22"/>
          <w:szCs w:val="22"/>
          <w:lang w:val="en-GB"/>
        </w:rPr>
        <w:t>r</w:t>
      </w:r>
      <w:r w:rsidR="009433D0">
        <w:rPr>
          <w:rFonts w:ascii="Times New Roman" w:hAnsi="Times New Roman" w:cs="Times New Roman"/>
          <w:b/>
          <w:bCs/>
          <w:i/>
          <w:iCs/>
          <w:sz w:val="22"/>
          <w:szCs w:val="22"/>
          <w:lang w:val="en-GB"/>
        </w:rPr>
        <w:t>e</w:t>
      </w:r>
      <w:r w:rsidRPr="00132956">
        <w:rPr>
          <w:rFonts w:ascii="Times New Roman" w:hAnsi="Times New Roman" w:cs="Times New Roman"/>
          <w:b/>
          <w:bCs/>
          <w:i/>
          <w:iCs/>
          <w:sz w:val="22"/>
          <w:szCs w:val="22"/>
          <w:lang w:val="en-GB"/>
        </w:rPr>
        <w:t>s (UWPCs)</w:t>
      </w:r>
    </w:p>
    <w:p w:rsidR="00080B0D" w:rsidRPr="00132956" w:rsidRDefault="00080B0D" w:rsidP="00132956">
      <w:pPr>
        <w:spacing w:after="0" w:line="240" w:lineRule="auto"/>
        <w:ind w:left="-270" w:right="-358"/>
        <w:rPr>
          <w:rFonts w:ascii="Times New Roman" w:hAnsi="Times New Roman" w:cs="Times New Roman"/>
          <w:b/>
          <w:bCs/>
          <w:i/>
          <w:iCs/>
          <w:sz w:val="22"/>
          <w:szCs w:val="22"/>
          <w:lang w:val="en-GB"/>
        </w:rPr>
      </w:pPr>
    </w:p>
    <w:p w:rsidR="00080B0D" w:rsidRPr="00132956" w:rsidRDefault="00080B0D" w:rsidP="00132956">
      <w:pPr>
        <w:numPr>
          <w:ilvl w:val="0"/>
          <w:numId w:val="20"/>
        </w:numPr>
        <w:spacing w:after="0" w:line="240" w:lineRule="auto"/>
        <w:ind w:right="-358"/>
        <w:rPr>
          <w:rFonts w:ascii="Times New Roman" w:hAnsi="Times New Roman" w:cs="Times New Roman"/>
          <w:b/>
          <w:bCs/>
          <w:i/>
          <w:iCs/>
          <w:sz w:val="22"/>
          <w:szCs w:val="22"/>
          <w:lang w:val="en-GB"/>
        </w:rPr>
      </w:pPr>
      <w:r w:rsidRPr="00132956">
        <w:rPr>
          <w:rFonts w:ascii="Times New Roman" w:hAnsi="Times New Roman" w:cs="Times New Roman"/>
          <w:sz w:val="22"/>
          <w:szCs w:val="22"/>
          <w:lang w:val="en-GB"/>
        </w:rPr>
        <w:t>Tahrir El Hajj, General Director.</w:t>
      </w:r>
    </w:p>
    <w:p w:rsidR="00080B0D" w:rsidRPr="00132956" w:rsidRDefault="00080B0D" w:rsidP="00132956">
      <w:pPr>
        <w:numPr>
          <w:ilvl w:val="0"/>
          <w:numId w:val="20"/>
        </w:numPr>
        <w:spacing w:after="0" w:line="240" w:lineRule="auto"/>
        <w:ind w:right="-358"/>
        <w:rPr>
          <w:rFonts w:ascii="Times New Roman" w:hAnsi="Times New Roman" w:cs="Times New Roman"/>
          <w:b/>
          <w:bCs/>
          <w:i/>
          <w:iCs/>
          <w:sz w:val="22"/>
          <w:szCs w:val="22"/>
          <w:lang w:val="en-GB"/>
        </w:rPr>
      </w:pPr>
      <w:r w:rsidRPr="00132956">
        <w:rPr>
          <w:rFonts w:ascii="Times New Roman" w:hAnsi="Times New Roman" w:cs="Times New Roman"/>
          <w:sz w:val="22"/>
          <w:szCs w:val="22"/>
          <w:lang w:val="en-GB"/>
        </w:rPr>
        <w:t>Basema</w:t>
      </w:r>
      <w:r w:rsidR="00E8775C">
        <w:rPr>
          <w:rFonts w:ascii="Times New Roman" w:hAnsi="Times New Roman" w:cs="Times New Roman"/>
          <w:sz w:val="22"/>
          <w:szCs w:val="22"/>
          <w:lang w:val="en-GB"/>
        </w:rPr>
        <w:t xml:space="preserve"> </w:t>
      </w:r>
      <w:r w:rsidRPr="00132956">
        <w:rPr>
          <w:rFonts w:ascii="Times New Roman" w:hAnsi="Times New Roman" w:cs="Times New Roman"/>
          <w:sz w:val="22"/>
          <w:szCs w:val="22"/>
          <w:lang w:val="en-GB"/>
        </w:rPr>
        <w:t>Thaher, Legal Clinic Lawyer</w:t>
      </w:r>
    </w:p>
    <w:p w:rsidR="00080B0D" w:rsidRPr="00132956" w:rsidRDefault="00080B0D" w:rsidP="00132956">
      <w:pPr>
        <w:spacing w:after="0" w:line="240" w:lineRule="auto"/>
        <w:ind w:left="450" w:right="-358"/>
        <w:rPr>
          <w:rFonts w:ascii="Times New Roman" w:hAnsi="Times New Roman" w:cs="Times New Roman"/>
          <w:b/>
          <w:bCs/>
          <w:i/>
          <w:iCs/>
          <w:sz w:val="22"/>
          <w:szCs w:val="22"/>
          <w:lang w:val="en-GB"/>
        </w:rPr>
      </w:pPr>
    </w:p>
    <w:p w:rsidR="00080B0D" w:rsidRPr="0019654C" w:rsidRDefault="0019654C" w:rsidP="00132956">
      <w:pPr>
        <w:numPr>
          <w:ilvl w:val="0"/>
          <w:numId w:val="20"/>
        </w:numPr>
        <w:spacing w:after="0" w:line="240" w:lineRule="auto"/>
        <w:ind w:right="-358"/>
        <w:rPr>
          <w:rFonts w:ascii="Times New Roman" w:hAnsi="Times New Roman" w:cs="Times New Roman"/>
          <w:b/>
          <w:bCs/>
          <w:i/>
          <w:iCs/>
          <w:sz w:val="22"/>
          <w:szCs w:val="22"/>
          <w:lang w:val="en-GB"/>
        </w:rPr>
      </w:pPr>
      <w:r>
        <w:rPr>
          <w:rFonts w:ascii="Times New Roman" w:hAnsi="Times New Roman" w:cs="Times New Roman"/>
          <w:b/>
          <w:bCs/>
          <w:sz w:val="22"/>
          <w:szCs w:val="22"/>
          <w:lang w:val="en-GB"/>
        </w:rPr>
        <w:t xml:space="preserve">Focus group discussion with </w:t>
      </w:r>
      <w:r w:rsidR="00080B0D" w:rsidRPr="0019654C">
        <w:rPr>
          <w:rFonts w:ascii="Times New Roman" w:hAnsi="Times New Roman" w:cs="Times New Roman"/>
          <w:b/>
          <w:bCs/>
          <w:sz w:val="22"/>
          <w:szCs w:val="22"/>
          <w:lang w:val="en-GB"/>
        </w:rPr>
        <w:t>beneficiaries (3-5)</w:t>
      </w:r>
    </w:p>
    <w:p w:rsidR="00080B0D" w:rsidRPr="00132956" w:rsidRDefault="00080B0D" w:rsidP="00132956">
      <w:pPr>
        <w:spacing w:after="0" w:line="240" w:lineRule="auto"/>
        <w:ind w:left="-270" w:right="-358"/>
        <w:rPr>
          <w:rFonts w:ascii="Times New Roman" w:hAnsi="Times New Roman" w:cs="Times New Roman"/>
          <w:i/>
          <w:iCs/>
          <w:sz w:val="22"/>
          <w:szCs w:val="22"/>
          <w:u w:val="single"/>
          <w:lang w:val="en-GB"/>
        </w:rPr>
      </w:pPr>
    </w:p>
    <w:p w:rsidR="00080B0D" w:rsidRPr="00132956" w:rsidRDefault="00080B0D" w:rsidP="00132956">
      <w:pPr>
        <w:spacing w:after="0" w:line="240" w:lineRule="auto"/>
        <w:ind w:left="-270" w:right="-358"/>
        <w:rPr>
          <w:rFonts w:ascii="Times New Roman" w:hAnsi="Times New Roman" w:cs="Times New Roman"/>
          <w:i/>
          <w:iCs/>
          <w:sz w:val="22"/>
          <w:szCs w:val="22"/>
          <w:lang w:val="en-GB"/>
        </w:rPr>
      </w:pPr>
      <w:r w:rsidRPr="00132956">
        <w:rPr>
          <w:rFonts w:ascii="Times New Roman" w:hAnsi="Times New Roman" w:cs="Times New Roman"/>
          <w:i/>
          <w:iCs/>
          <w:sz w:val="22"/>
          <w:szCs w:val="22"/>
          <w:lang w:val="en-GB"/>
        </w:rPr>
        <w:t>Venue: UWPCs (Nuseirat)</w:t>
      </w:r>
    </w:p>
    <w:p w:rsidR="00080B0D" w:rsidRPr="00132956" w:rsidRDefault="00080B0D" w:rsidP="00132956">
      <w:pPr>
        <w:spacing w:after="0" w:line="240" w:lineRule="auto"/>
        <w:ind w:left="-270" w:right="-358"/>
        <w:rPr>
          <w:rFonts w:ascii="Times New Roman" w:hAnsi="Times New Roman" w:cs="Times New Roman"/>
          <w:b/>
          <w:bCs/>
          <w:sz w:val="22"/>
          <w:szCs w:val="22"/>
          <w:lang w:val="en-GB"/>
        </w:rPr>
      </w:pPr>
    </w:p>
    <w:p w:rsidR="00080B0D" w:rsidRPr="00132956" w:rsidRDefault="00080B0D" w:rsidP="00132956">
      <w:pPr>
        <w:spacing w:after="0" w:line="240" w:lineRule="auto"/>
        <w:ind w:left="-270" w:right="-358"/>
        <w:rPr>
          <w:rFonts w:ascii="Times New Roman" w:hAnsi="Times New Roman" w:cs="Times New Roman"/>
          <w:b/>
          <w:bCs/>
          <w:i/>
          <w:iCs/>
          <w:sz w:val="22"/>
          <w:szCs w:val="22"/>
          <w:lang w:val="en-GB"/>
        </w:rPr>
      </w:pPr>
      <w:r w:rsidRPr="00132956">
        <w:rPr>
          <w:rFonts w:ascii="Times New Roman" w:hAnsi="Times New Roman" w:cs="Times New Roman"/>
          <w:b/>
          <w:bCs/>
          <w:i/>
          <w:iCs/>
          <w:sz w:val="22"/>
          <w:szCs w:val="22"/>
          <w:lang w:val="en-GB"/>
        </w:rPr>
        <w:t>11:15-12:30 Palestinian Non-Governmental Organizations Network(PNGO) and Palestinian Institute for Communication and Development (PICD)</w:t>
      </w:r>
    </w:p>
    <w:p w:rsidR="00080B0D" w:rsidRPr="00132956" w:rsidRDefault="00080B0D" w:rsidP="00132956">
      <w:pPr>
        <w:spacing w:after="0" w:line="240" w:lineRule="auto"/>
        <w:ind w:left="-270" w:right="-358"/>
        <w:rPr>
          <w:rFonts w:ascii="Times New Roman" w:hAnsi="Times New Roman" w:cs="Times New Roman"/>
          <w:b/>
          <w:bCs/>
          <w:sz w:val="22"/>
          <w:szCs w:val="22"/>
          <w:lang w:val="en-GB"/>
        </w:rPr>
      </w:pPr>
    </w:p>
    <w:p w:rsidR="00080B0D" w:rsidRPr="00132956" w:rsidRDefault="00080B0D" w:rsidP="00132956">
      <w:pPr>
        <w:numPr>
          <w:ilvl w:val="0"/>
          <w:numId w:val="20"/>
        </w:numPr>
        <w:spacing w:after="0" w:line="240" w:lineRule="auto"/>
        <w:ind w:right="-358"/>
        <w:rPr>
          <w:rFonts w:ascii="Times New Roman" w:hAnsi="Times New Roman" w:cs="Times New Roman"/>
          <w:sz w:val="22"/>
          <w:szCs w:val="22"/>
          <w:lang w:val="en-GB"/>
        </w:rPr>
      </w:pPr>
      <w:r w:rsidRPr="00132956">
        <w:rPr>
          <w:rFonts w:ascii="Times New Roman" w:hAnsi="Times New Roman" w:cs="Times New Roman"/>
          <w:sz w:val="22"/>
          <w:szCs w:val="22"/>
          <w:lang w:val="en-GB"/>
        </w:rPr>
        <w:t>Amjad Al-Shawwa, Executive Director (PNGO)</w:t>
      </w:r>
    </w:p>
    <w:p w:rsidR="00080B0D" w:rsidRPr="00132956" w:rsidRDefault="00080B0D" w:rsidP="00132956">
      <w:pPr>
        <w:numPr>
          <w:ilvl w:val="0"/>
          <w:numId w:val="20"/>
        </w:numPr>
        <w:spacing w:after="0" w:line="240" w:lineRule="auto"/>
        <w:ind w:right="-358"/>
        <w:rPr>
          <w:rFonts w:ascii="Times New Roman" w:hAnsi="Times New Roman" w:cs="Times New Roman"/>
          <w:sz w:val="22"/>
          <w:szCs w:val="22"/>
          <w:lang w:val="en-GB"/>
        </w:rPr>
      </w:pPr>
      <w:r w:rsidRPr="00132956">
        <w:rPr>
          <w:rFonts w:ascii="Times New Roman" w:hAnsi="Times New Roman" w:cs="Times New Roman"/>
          <w:sz w:val="22"/>
          <w:szCs w:val="22"/>
          <w:lang w:val="en-GB"/>
        </w:rPr>
        <w:t>Elham Abu Msabeh, Coordinator (PNGO)</w:t>
      </w:r>
    </w:p>
    <w:p w:rsidR="00080B0D" w:rsidRPr="00132956" w:rsidRDefault="00080B0D" w:rsidP="00132956">
      <w:pPr>
        <w:numPr>
          <w:ilvl w:val="0"/>
          <w:numId w:val="20"/>
        </w:numPr>
        <w:spacing w:after="0" w:line="240" w:lineRule="auto"/>
        <w:ind w:right="-358"/>
        <w:rPr>
          <w:rFonts w:ascii="Times New Roman" w:hAnsi="Times New Roman" w:cs="Times New Roman"/>
          <w:sz w:val="22"/>
          <w:szCs w:val="22"/>
          <w:lang w:val="en-GB"/>
        </w:rPr>
      </w:pPr>
      <w:r w:rsidRPr="00132956">
        <w:rPr>
          <w:rFonts w:ascii="Times New Roman" w:hAnsi="Times New Roman" w:cs="Times New Roman"/>
          <w:sz w:val="22"/>
          <w:szCs w:val="22"/>
          <w:lang w:val="en-GB"/>
        </w:rPr>
        <w:t>Fathi</w:t>
      </w:r>
      <w:r w:rsidR="00E8775C">
        <w:rPr>
          <w:rFonts w:ascii="Times New Roman" w:hAnsi="Times New Roman" w:cs="Times New Roman"/>
          <w:sz w:val="22"/>
          <w:szCs w:val="22"/>
          <w:lang w:val="en-GB"/>
        </w:rPr>
        <w:t xml:space="preserve"> </w:t>
      </w:r>
      <w:r w:rsidRPr="00132956">
        <w:rPr>
          <w:rFonts w:ascii="Times New Roman" w:hAnsi="Times New Roman" w:cs="Times New Roman"/>
          <w:sz w:val="22"/>
          <w:szCs w:val="22"/>
          <w:lang w:val="en-GB"/>
        </w:rPr>
        <w:t>Sabbah, Executive Director(PICD)</w:t>
      </w:r>
    </w:p>
    <w:p w:rsidR="00080B0D" w:rsidRPr="00132956" w:rsidRDefault="00080B0D" w:rsidP="00132956">
      <w:pPr>
        <w:numPr>
          <w:ilvl w:val="0"/>
          <w:numId w:val="20"/>
        </w:numPr>
        <w:spacing w:after="0" w:line="240" w:lineRule="auto"/>
        <w:ind w:right="-358"/>
        <w:rPr>
          <w:rFonts w:ascii="Times New Roman" w:hAnsi="Times New Roman" w:cs="Times New Roman"/>
          <w:sz w:val="22"/>
          <w:szCs w:val="22"/>
          <w:lang w:val="en-GB"/>
        </w:rPr>
      </w:pPr>
      <w:r w:rsidRPr="00132956">
        <w:rPr>
          <w:rFonts w:ascii="Times New Roman" w:hAnsi="Times New Roman" w:cs="Times New Roman"/>
          <w:sz w:val="22"/>
          <w:szCs w:val="22"/>
          <w:lang w:val="en-GB"/>
        </w:rPr>
        <w:t>Ghada</w:t>
      </w:r>
      <w:r w:rsidR="00E8775C">
        <w:rPr>
          <w:rFonts w:ascii="Times New Roman" w:hAnsi="Times New Roman" w:cs="Times New Roman"/>
          <w:sz w:val="22"/>
          <w:szCs w:val="22"/>
          <w:lang w:val="en-GB"/>
        </w:rPr>
        <w:t xml:space="preserve"> </w:t>
      </w:r>
      <w:r w:rsidRPr="00132956">
        <w:rPr>
          <w:rFonts w:ascii="Times New Roman" w:hAnsi="Times New Roman" w:cs="Times New Roman"/>
          <w:sz w:val="22"/>
          <w:szCs w:val="22"/>
          <w:lang w:val="en-GB"/>
        </w:rPr>
        <w:t>Kord, Coordinator (PICD)</w:t>
      </w:r>
    </w:p>
    <w:p w:rsidR="00080B0D" w:rsidRPr="00132956" w:rsidRDefault="00080B0D" w:rsidP="00132956">
      <w:pPr>
        <w:spacing w:after="0" w:line="240" w:lineRule="auto"/>
        <w:ind w:left="450" w:right="-358"/>
        <w:rPr>
          <w:rFonts w:ascii="Times New Roman" w:hAnsi="Times New Roman" w:cs="Times New Roman"/>
          <w:sz w:val="22"/>
          <w:szCs w:val="22"/>
          <w:lang w:val="en-GB"/>
        </w:rPr>
      </w:pPr>
    </w:p>
    <w:p w:rsidR="00080B0D" w:rsidRPr="00132956" w:rsidRDefault="00080B0D" w:rsidP="00132956">
      <w:pPr>
        <w:spacing w:after="0" w:line="240" w:lineRule="auto"/>
        <w:ind w:left="-270" w:right="-358"/>
        <w:rPr>
          <w:rFonts w:ascii="Times New Roman" w:hAnsi="Times New Roman" w:cs="Times New Roman"/>
          <w:i/>
          <w:iCs/>
          <w:sz w:val="22"/>
          <w:szCs w:val="22"/>
          <w:lang w:val="en-GB"/>
        </w:rPr>
      </w:pPr>
      <w:r w:rsidRPr="00132956">
        <w:rPr>
          <w:rFonts w:ascii="Times New Roman" w:hAnsi="Times New Roman" w:cs="Times New Roman"/>
          <w:i/>
          <w:iCs/>
          <w:sz w:val="22"/>
          <w:szCs w:val="22"/>
          <w:lang w:val="en-GB"/>
        </w:rPr>
        <w:t>Venue: PNGO Network (Gaza City)</w:t>
      </w:r>
    </w:p>
    <w:p w:rsidR="00080B0D" w:rsidRPr="00132956" w:rsidRDefault="00080B0D" w:rsidP="00132956">
      <w:pPr>
        <w:spacing w:after="0" w:line="240" w:lineRule="auto"/>
        <w:ind w:left="-270" w:right="-358"/>
        <w:rPr>
          <w:rFonts w:ascii="Times New Roman" w:hAnsi="Times New Roman" w:cs="Times New Roman"/>
          <w:sz w:val="22"/>
          <w:szCs w:val="22"/>
          <w:lang w:val="en-GB"/>
        </w:rPr>
      </w:pPr>
    </w:p>
    <w:p w:rsidR="00080B0D" w:rsidRPr="00132956" w:rsidRDefault="00080B0D" w:rsidP="00132956">
      <w:pPr>
        <w:spacing w:after="0" w:line="240" w:lineRule="auto"/>
        <w:ind w:left="-270" w:right="-358"/>
        <w:rPr>
          <w:rFonts w:ascii="Times New Roman" w:hAnsi="Times New Roman" w:cs="Times New Roman"/>
          <w:b/>
          <w:bCs/>
          <w:i/>
          <w:iCs/>
          <w:sz w:val="22"/>
          <w:szCs w:val="22"/>
          <w:lang w:val="en-GB"/>
        </w:rPr>
      </w:pPr>
      <w:r w:rsidRPr="00132956">
        <w:rPr>
          <w:rFonts w:ascii="Times New Roman" w:hAnsi="Times New Roman" w:cs="Times New Roman"/>
          <w:b/>
          <w:bCs/>
          <w:i/>
          <w:iCs/>
          <w:sz w:val="22"/>
          <w:szCs w:val="22"/>
          <w:lang w:val="en-GB"/>
        </w:rPr>
        <w:t>12:45-14:00 Hadaf Centre for Human Rights and Community Media Centre</w:t>
      </w:r>
    </w:p>
    <w:p w:rsidR="00080B0D" w:rsidRPr="00132956" w:rsidRDefault="00080B0D" w:rsidP="00132956">
      <w:pPr>
        <w:spacing w:after="0" w:line="240" w:lineRule="auto"/>
        <w:ind w:left="-270" w:right="-358"/>
        <w:rPr>
          <w:rFonts w:ascii="Times New Roman" w:hAnsi="Times New Roman" w:cs="Times New Roman"/>
          <w:sz w:val="22"/>
          <w:szCs w:val="22"/>
          <w:lang w:val="en-GB"/>
        </w:rPr>
      </w:pPr>
    </w:p>
    <w:p w:rsidR="00080B0D" w:rsidRPr="00132956" w:rsidRDefault="00080B0D" w:rsidP="00132956">
      <w:pPr>
        <w:numPr>
          <w:ilvl w:val="0"/>
          <w:numId w:val="20"/>
        </w:numPr>
        <w:spacing w:after="0" w:line="240" w:lineRule="auto"/>
        <w:ind w:right="-358"/>
        <w:rPr>
          <w:rFonts w:ascii="Times New Roman" w:hAnsi="Times New Roman" w:cs="Times New Roman"/>
          <w:sz w:val="22"/>
          <w:szCs w:val="22"/>
          <w:lang w:val="en-GB"/>
        </w:rPr>
      </w:pPr>
      <w:r w:rsidRPr="00132956">
        <w:rPr>
          <w:rFonts w:ascii="Times New Roman" w:hAnsi="Times New Roman" w:cs="Times New Roman"/>
          <w:sz w:val="22"/>
          <w:szCs w:val="22"/>
          <w:lang w:val="en-GB"/>
        </w:rPr>
        <w:t>Y</w:t>
      </w:r>
      <w:r w:rsidR="00B82CB9">
        <w:rPr>
          <w:rFonts w:ascii="Times New Roman" w:hAnsi="Times New Roman" w:cs="Times New Roman"/>
          <w:sz w:val="22"/>
          <w:szCs w:val="22"/>
          <w:lang w:val="en-GB"/>
        </w:rPr>
        <w:t xml:space="preserve">ousef Safi, Executive Director </w:t>
      </w:r>
      <w:r w:rsidRPr="00132956">
        <w:rPr>
          <w:rFonts w:ascii="Times New Roman" w:hAnsi="Times New Roman" w:cs="Times New Roman"/>
          <w:sz w:val="22"/>
          <w:szCs w:val="22"/>
          <w:lang w:val="en-GB"/>
        </w:rPr>
        <w:t>(Hadaf)</w:t>
      </w:r>
    </w:p>
    <w:p w:rsidR="00080B0D" w:rsidRPr="0019654C" w:rsidRDefault="00080B0D" w:rsidP="0019654C">
      <w:pPr>
        <w:numPr>
          <w:ilvl w:val="0"/>
          <w:numId w:val="20"/>
        </w:numPr>
        <w:spacing w:after="0" w:line="240" w:lineRule="auto"/>
        <w:ind w:right="-358"/>
        <w:rPr>
          <w:rFonts w:ascii="Times New Roman" w:hAnsi="Times New Roman" w:cs="Times New Roman"/>
          <w:sz w:val="22"/>
          <w:szCs w:val="22"/>
          <w:lang w:val="en-GB"/>
        </w:rPr>
      </w:pPr>
      <w:r w:rsidRPr="00132956">
        <w:rPr>
          <w:rFonts w:ascii="Times New Roman" w:hAnsi="Times New Roman" w:cs="Times New Roman"/>
          <w:sz w:val="22"/>
          <w:szCs w:val="22"/>
          <w:lang w:val="en-GB"/>
        </w:rPr>
        <w:t>Andaleeb</w:t>
      </w:r>
      <w:r w:rsidR="00E8775C">
        <w:rPr>
          <w:rFonts w:ascii="Times New Roman" w:hAnsi="Times New Roman" w:cs="Times New Roman"/>
          <w:sz w:val="22"/>
          <w:szCs w:val="22"/>
          <w:lang w:val="en-GB"/>
        </w:rPr>
        <w:t xml:space="preserve"> </w:t>
      </w:r>
      <w:r w:rsidRPr="00132956">
        <w:rPr>
          <w:rFonts w:ascii="Times New Roman" w:hAnsi="Times New Roman" w:cs="Times New Roman"/>
          <w:sz w:val="22"/>
          <w:szCs w:val="22"/>
          <w:lang w:val="en-GB"/>
        </w:rPr>
        <w:t>Adwan, Executive Director (CMC)</w:t>
      </w:r>
    </w:p>
    <w:p w:rsidR="00080B0D" w:rsidRPr="00132956" w:rsidRDefault="00080B0D" w:rsidP="00132956">
      <w:pPr>
        <w:numPr>
          <w:ilvl w:val="0"/>
          <w:numId w:val="20"/>
        </w:numPr>
        <w:spacing w:after="0" w:line="240" w:lineRule="auto"/>
        <w:ind w:right="-358"/>
        <w:rPr>
          <w:rFonts w:ascii="Times New Roman" w:hAnsi="Times New Roman" w:cs="Times New Roman"/>
          <w:sz w:val="22"/>
          <w:szCs w:val="22"/>
          <w:lang w:val="en-GB"/>
        </w:rPr>
      </w:pPr>
      <w:r w:rsidRPr="00132956">
        <w:rPr>
          <w:rFonts w:ascii="Times New Roman" w:hAnsi="Times New Roman" w:cs="Times New Roman"/>
          <w:sz w:val="22"/>
          <w:szCs w:val="22"/>
          <w:lang w:val="en-GB"/>
        </w:rPr>
        <w:t>Azzam El-Saqqa, Board Director (CMC)</w:t>
      </w:r>
    </w:p>
    <w:p w:rsidR="00080B0D" w:rsidRPr="00132956" w:rsidRDefault="00080B0D" w:rsidP="00132956">
      <w:pPr>
        <w:spacing w:after="0" w:line="240" w:lineRule="auto"/>
        <w:ind w:left="-270" w:right="-358"/>
        <w:rPr>
          <w:rFonts w:ascii="Times New Roman" w:hAnsi="Times New Roman" w:cs="Times New Roman"/>
          <w:sz w:val="22"/>
          <w:szCs w:val="22"/>
          <w:lang w:val="en-GB"/>
        </w:rPr>
      </w:pPr>
    </w:p>
    <w:p w:rsidR="00080B0D" w:rsidRPr="00132956" w:rsidRDefault="00080B0D" w:rsidP="00132956">
      <w:pPr>
        <w:spacing w:after="0" w:line="240" w:lineRule="auto"/>
        <w:ind w:left="-270" w:right="-358"/>
        <w:rPr>
          <w:rFonts w:ascii="Times New Roman" w:hAnsi="Times New Roman" w:cs="Times New Roman"/>
          <w:i/>
          <w:iCs/>
          <w:sz w:val="22"/>
          <w:szCs w:val="22"/>
          <w:lang w:val="en-GB"/>
        </w:rPr>
      </w:pPr>
      <w:r w:rsidRPr="00132956">
        <w:rPr>
          <w:rFonts w:ascii="Times New Roman" w:hAnsi="Times New Roman" w:cs="Times New Roman"/>
          <w:i/>
          <w:iCs/>
          <w:sz w:val="22"/>
          <w:szCs w:val="22"/>
          <w:lang w:val="en-GB"/>
        </w:rPr>
        <w:t>Venue: Community Media Center (Gaza City)</w:t>
      </w:r>
    </w:p>
    <w:p w:rsidR="00080B0D" w:rsidRPr="00132956" w:rsidRDefault="00080B0D" w:rsidP="00132956">
      <w:pPr>
        <w:spacing w:after="0" w:line="240" w:lineRule="auto"/>
        <w:ind w:left="-270" w:right="-358"/>
        <w:rPr>
          <w:rFonts w:ascii="Times New Roman" w:hAnsi="Times New Roman" w:cs="Times New Roman"/>
          <w:sz w:val="22"/>
          <w:szCs w:val="22"/>
          <w:u w:val="single"/>
          <w:lang w:val="en-GB"/>
        </w:rPr>
      </w:pPr>
    </w:p>
    <w:p w:rsidR="00080B0D" w:rsidRPr="00132956" w:rsidRDefault="00080B0D" w:rsidP="00132956">
      <w:pPr>
        <w:spacing w:after="0" w:line="240" w:lineRule="auto"/>
        <w:ind w:left="-270" w:right="-358"/>
        <w:rPr>
          <w:rFonts w:ascii="Times New Roman" w:hAnsi="Times New Roman" w:cs="Times New Roman"/>
          <w:b/>
          <w:bCs/>
          <w:i/>
          <w:iCs/>
          <w:sz w:val="22"/>
          <w:szCs w:val="22"/>
          <w:lang w:val="en-GB"/>
        </w:rPr>
      </w:pPr>
      <w:r w:rsidRPr="00132956">
        <w:rPr>
          <w:rFonts w:ascii="Times New Roman" w:hAnsi="Times New Roman" w:cs="Times New Roman"/>
          <w:b/>
          <w:bCs/>
          <w:i/>
          <w:iCs/>
          <w:sz w:val="22"/>
          <w:szCs w:val="22"/>
          <w:lang w:val="en-GB"/>
        </w:rPr>
        <w:t>14:10-15:00 Palestinian Centre for Human Rights</w:t>
      </w:r>
    </w:p>
    <w:p w:rsidR="00080B0D" w:rsidRPr="00132956" w:rsidRDefault="00080B0D" w:rsidP="00132956">
      <w:pPr>
        <w:spacing w:after="0" w:line="240" w:lineRule="auto"/>
        <w:ind w:left="-270" w:right="-358"/>
        <w:rPr>
          <w:rFonts w:ascii="Times New Roman" w:hAnsi="Times New Roman" w:cs="Times New Roman"/>
          <w:b/>
          <w:bCs/>
          <w:i/>
          <w:iCs/>
          <w:sz w:val="22"/>
          <w:szCs w:val="22"/>
          <w:lang w:val="en-GB"/>
        </w:rPr>
      </w:pPr>
    </w:p>
    <w:p w:rsidR="00080B0D" w:rsidRPr="00132956" w:rsidRDefault="00080B0D" w:rsidP="00132956">
      <w:pPr>
        <w:numPr>
          <w:ilvl w:val="0"/>
          <w:numId w:val="20"/>
        </w:numPr>
        <w:spacing w:after="0" w:line="240" w:lineRule="auto"/>
        <w:ind w:right="-358"/>
        <w:rPr>
          <w:rFonts w:ascii="Times New Roman" w:hAnsi="Times New Roman" w:cs="Times New Roman"/>
          <w:sz w:val="22"/>
          <w:szCs w:val="22"/>
          <w:lang w:val="en-GB"/>
        </w:rPr>
      </w:pPr>
      <w:r w:rsidRPr="00132956">
        <w:rPr>
          <w:rFonts w:ascii="Times New Roman" w:hAnsi="Times New Roman" w:cs="Times New Roman"/>
          <w:sz w:val="22"/>
          <w:szCs w:val="22"/>
          <w:lang w:val="en-GB"/>
        </w:rPr>
        <w:t xml:space="preserve">Iyad El Alami, Head of Legal Unit </w:t>
      </w:r>
    </w:p>
    <w:p w:rsidR="00080B0D" w:rsidRPr="00132956" w:rsidRDefault="00080B0D" w:rsidP="00132956">
      <w:pPr>
        <w:numPr>
          <w:ilvl w:val="0"/>
          <w:numId w:val="20"/>
        </w:numPr>
        <w:spacing w:after="0" w:line="240" w:lineRule="auto"/>
        <w:ind w:right="-358"/>
        <w:rPr>
          <w:rFonts w:ascii="Times New Roman" w:hAnsi="Times New Roman" w:cs="Times New Roman"/>
          <w:sz w:val="22"/>
          <w:szCs w:val="22"/>
          <w:lang w:val="en-GB"/>
        </w:rPr>
      </w:pPr>
      <w:r w:rsidRPr="00132956">
        <w:rPr>
          <w:rFonts w:ascii="Times New Roman" w:hAnsi="Times New Roman" w:cs="Times New Roman"/>
          <w:sz w:val="22"/>
          <w:szCs w:val="22"/>
          <w:lang w:val="en-GB"/>
        </w:rPr>
        <w:t>Ibrahim Al-Sourani, Project Coordinator</w:t>
      </w:r>
    </w:p>
    <w:p w:rsidR="00080B0D" w:rsidRPr="00132956" w:rsidRDefault="00080B0D" w:rsidP="00132956">
      <w:pPr>
        <w:spacing w:after="0" w:line="240" w:lineRule="auto"/>
        <w:ind w:left="-270" w:right="-358"/>
        <w:rPr>
          <w:rFonts w:ascii="Times New Roman" w:hAnsi="Times New Roman" w:cs="Times New Roman"/>
          <w:i/>
          <w:iCs/>
          <w:sz w:val="22"/>
          <w:szCs w:val="22"/>
          <w:lang w:val="en-GB"/>
        </w:rPr>
      </w:pPr>
    </w:p>
    <w:p w:rsidR="00080B0D" w:rsidRPr="00132956" w:rsidRDefault="00080B0D" w:rsidP="00132956">
      <w:pPr>
        <w:spacing w:after="0" w:line="240" w:lineRule="auto"/>
        <w:ind w:left="-270" w:right="-358"/>
        <w:rPr>
          <w:rFonts w:ascii="Times New Roman" w:hAnsi="Times New Roman" w:cs="Times New Roman"/>
          <w:i/>
          <w:iCs/>
          <w:sz w:val="22"/>
          <w:szCs w:val="22"/>
          <w:lang w:val="en-GB"/>
        </w:rPr>
      </w:pPr>
      <w:r w:rsidRPr="00132956">
        <w:rPr>
          <w:rFonts w:ascii="Times New Roman" w:hAnsi="Times New Roman" w:cs="Times New Roman"/>
          <w:i/>
          <w:iCs/>
          <w:sz w:val="22"/>
          <w:szCs w:val="22"/>
          <w:lang w:val="en-GB"/>
        </w:rPr>
        <w:t>Venue: PCHR (Gaza City)</w:t>
      </w:r>
    </w:p>
    <w:p w:rsidR="00080B0D" w:rsidRDefault="00080B0D" w:rsidP="00132956">
      <w:pPr>
        <w:spacing w:after="0" w:line="240" w:lineRule="auto"/>
        <w:ind w:left="-270" w:right="-358"/>
        <w:rPr>
          <w:rFonts w:ascii="Times New Roman" w:hAnsi="Times New Roman" w:cs="Times New Roman"/>
          <w:i/>
          <w:iCs/>
          <w:sz w:val="22"/>
          <w:szCs w:val="22"/>
          <w:lang w:val="en-GB"/>
        </w:rPr>
      </w:pPr>
    </w:p>
    <w:p w:rsidR="0019654C" w:rsidRDefault="0019654C" w:rsidP="00132956">
      <w:pPr>
        <w:spacing w:after="0" w:line="240" w:lineRule="auto"/>
        <w:ind w:left="-270" w:right="-358"/>
        <w:rPr>
          <w:rFonts w:ascii="Times New Roman" w:hAnsi="Times New Roman" w:cs="Times New Roman"/>
          <w:i/>
          <w:iCs/>
          <w:sz w:val="22"/>
          <w:szCs w:val="22"/>
          <w:lang w:val="en-GB"/>
        </w:rPr>
      </w:pPr>
    </w:p>
    <w:p w:rsidR="0019654C" w:rsidRPr="00132956" w:rsidRDefault="0019654C" w:rsidP="00132956">
      <w:pPr>
        <w:spacing w:after="0" w:line="240" w:lineRule="auto"/>
        <w:ind w:left="-270" w:right="-358"/>
        <w:rPr>
          <w:rFonts w:ascii="Times New Roman" w:hAnsi="Times New Roman" w:cs="Times New Roman"/>
          <w:i/>
          <w:iCs/>
          <w:sz w:val="22"/>
          <w:szCs w:val="22"/>
          <w:lang w:val="en-GB"/>
        </w:rPr>
      </w:pPr>
    </w:p>
    <w:p w:rsidR="00080B0D" w:rsidRPr="00132956" w:rsidRDefault="00080B0D" w:rsidP="00132956">
      <w:pPr>
        <w:spacing w:after="0" w:line="240" w:lineRule="auto"/>
        <w:ind w:left="-270" w:right="-358"/>
        <w:jc w:val="center"/>
        <w:rPr>
          <w:rFonts w:ascii="Times New Roman" w:hAnsi="Times New Roman" w:cs="Times New Roman"/>
          <w:b/>
          <w:bCs/>
          <w:sz w:val="22"/>
          <w:szCs w:val="22"/>
          <w:u w:val="single"/>
          <w:lang w:val="en-GB"/>
        </w:rPr>
      </w:pPr>
      <w:r w:rsidRPr="00132956">
        <w:rPr>
          <w:rFonts w:ascii="Times New Roman" w:hAnsi="Times New Roman" w:cs="Times New Roman"/>
          <w:b/>
          <w:bCs/>
          <w:sz w:val="22"/>
          <w:szCs w:val="22"/>
          <w:u w:val="single"/>
          <w:lang w:val="en-GB"/>
        </w:rPr>
        <w:lastRenderedPageBreak/>
        <w:t>Monday, 21 January 2013</w:t>
      </w:r>
    </w:p>
    <w:p w:rsidR="00080B0D" w:rsidRPr="00132956" w:rsidRDefault="00080B0D" w:rsidP="00132956">
      <w:pPr>
        <w:spacing w:after="0" w:line="240" w:lineRule="auto"/>
        <w:ind w:left="-270" w:right="-358"/>
        <w:rPr>
          <w:rFonts w:ascii="Times New Roman" w:hAnsi="Times New Roman" w:cs="Times New Roman"/>
          <w:sz w:val="22"/>
          <w:szCs w:val="22"/>
          <w:lang w:val="en-GB"/>
        </w:rPr>
      </w:pPr>
    </w:p>
    <w:p w:rsidR="00080B0D" w:rsidRPr="00132956" w:rsidRDefault="00080B0D" w:rsidP="00132956">
      <w:pPr>
        <w:spacing w:after="0" w:line="240" w:lineRule="auto"/>
        <w:ind w:left="-270" w:right="-358"/>
        <w:rPr>
          <w:rFonts w:ascii="Times New Roman" w:hAnsi="Times New Roman" w:cs="Times New Roman"/>
          <w:b/>
          <w:bCs/>
          <w:i/>
          <w:iCs/>
          <w:sz w:val="22"/>
          <w:szCs w:val="22"/>
          <w:lang w:val="en-GB"/>
        </w:rPr>
      </w:pPr>
      <w:r w:rsidRPr="00132956">
        <w:rPr>
          <w:rFonts w:ascii="Times New Roman" w:hAnsi="Times New Roman" w:cs="Times New Roman"/>
          <w:b/>
          <w:bCs/>
          <w:i/>
          <w:iCs/>
          <w:sz w:val="22"/>
          <w:szCs w:val="22"/>
          <w:lang w:val="en-GB"/>
        </w:rPr>
        <w:t>09:30-10:30 Debriefing</w:t>
      </w:r>
    </w:p>
    <w:p w:rsidR="00080B0D" w:rsidRPr="00132956" w:rsidRDefault="00080B0D" w:rsidP="00132956">
      <w:pPr>
        <w:spacing w:after="0" w:line="240" w:lineRule="auto"/>
        <w:ind w:left="-270" w:right="-358"/>
        <w:rPr>
          <w:rFonts w:ascii="Times New Roman" w:hAnsi="Times New Roman" w:cs="Times New Roman"/>
          <w:b/>
          <w:bCs/>
          <w:i/>
          <w:iCs/>
          <w:sz w:val="22"/>
          <w:szCs w:val="22"/>
          <w:lang w:val="en-GB"/>
        </w:rPr>
      </w:pPr>
    </w:p>
    <w:p w:rsidR="00080B0D" w:rsidRPr="00132956" w:rsidRDefault="0019654C" w:rsidP="00132956">
      <w:pPr>
        <w:numPr>
          <w:ilvl w:val="0"/>
          <w:numId w:val="21"/>
        </w:numPr>
        <w:spacing w:after="0" w:line="240" w:lineRule="auto"/>
        <w:ind w:right="-358"/>
        <w:rPr>
          <w:rFonts w:ascii="Times New Roman" w:hAnsi="Times New Roman" w:cs="Times New Roman"/>
          <w:sz w:val="22"/>
          <w:szCs w:val="22"/>
          <w:lang w:val="en-GB"/>
        </w:rPr>
      </w:pPr>
      <w:r>
        <w:rPr>
          <w:rFonts w:ascii="Times New Roman" w:hAnsi="Times New Roman" w:cs="Times New Roman"/>
          <w:sz w:val="22"/>
          <w:szCs w:val="22"/>
          <w:lang w:val="en-GB"/>
        </w:rPr>
        <w:t>Trond</w:t>
      </w:r>
      <w:r w:rsidR="00E8775C">
        <w:rPr>
          <w:rFonts w:ascii="Times New Roman" w:hAnsi="Times New Roman" w:cs="Times New Roman"/>
          <w:sz w:val="22"/>
          <w:szCs w:val="22"/>
          <w:lang w:val="en-GB"/>
        </w:rPr>
        <w:t xml:space="preserve"> </w:t>
      </w:r>
      <w:r>
        <w:rPr>
          <w:rFonts w:ascii="Times New Roman" w:hAnsi="Times New Roman" w:cs="Times New Roman"/>
          <w:sz w:val="22"/>
          <w:szCs w:val="22"/>
          <w:lang w:val="en-GB"/>
        </w:rPr>
        <w:t xml:space="preserve">Husby, </w:t>
      </w:r>
      <w:r w:rsidR="00080B0D" w:rsidRPr="00132956">
        <w:rPr>
          <w:rFonts w:ascii="Times New Roman" w:hAnsi="Times New Roman" w:cs="Times New Roman"/>
          <w:sz w:val="22"/>
          <w:szCs w:val="22"/>
          <w:lang w:val="en-GB"/>
        </w:rPr>
        <w:t>Head of Office</w:t>
      </w:r>
      <w:r w:rsidR="00E8775C">
        <w:rPr>
          <w:rFonts w:ascii="Times New Roman" w:hAnsi="Times New Roman" w:cs="Times New Roman"/>
          <w:sz w:val="22"/>
          <w:szCs w:val="22"/>
          <w:lang w:val="en-GB"/>
        </w:rPr>
        <w:t xml:space="preserve"> </w:t>
      </w:r>
      <w:r>
        <w:rPr>
          <w:rFonts w:ascii="Times New Roman" w:hAnsi="Times New Roman" w:cs="Times New Roman"/>
          <w:sz w:val="22"/>
          <w:szCs w:val="22"/>
          <w:lang w:val="en-GB"/>
        </w:rPr>
        <w:t>a.i.</w:t>
      </w:r>
    </w:p>
    <w:p w:rsidR="00080B0D" w:rsidRPr="00132956" w:rsidRDefault="00080B0D" w:rsidP="00132956">
      <w:pPr>
        <w:numPr>
          <w:ilvl w:val="0"/>
          <w:numId w:val="21"/>
        </w:numPr>
        <w:spacing w:after="0" w:line="240" w:lineRule="auto"/>
        <w:ind w:right="-358"/>
        <w:rPr>
          <w:rFonts w:ascii="Times New Roman" w:hAnsi="Times New Roman" w:cs="Times New Roman"/>
          <w:sz w:val="22"/>
          <w:szCs w:val="22"/>
          <w:lang w:val="en-GB"/>
        </w:rPr>
      </w:pPr>
      <w:r w:rsidRPr="00132956">
        <w:rPr>
          <w:rFonts w:ascii="Times New Roman" w:hAnsi="Times New Roman" w:cs="Times New Roman"/>
          <w:sz w:val="22"/>
          <w:szCs w:val="22"/>
          <w:lang w:val="en-GB"/>
        </w:rPr>
        <w:t>Ibrahim Abu-Shammalah, Deputy Programme Manager (Gaza)</w:t>
      </w:r>
    </w:p>
    <w:p w:rsidR="00080B0D" w:rsidRPr="00132956" w:rsidRDefault="00080B0D" w:rsidP="00132956">
      <w:pPr>
        <w:numPr>
          <w:ilvl w:val="0"/>
          <w:numId w:val="21"/>
        </w:numPr>
        <w:spacing w:after="0" w:line="240" w:lineRule="auto"/>
        <w:ind w:right="-358"/>
        <w:rPr>
          <w:rFonts w:ascii="Times New Roman" w:hAnsi="Times New Roman" w:cs="Times New Roman"/>
          <w:sz w:val="22"/>
          <w:szCs w:val="22"/>
          <w:lang w:val="en-GB"/>
        </w:rPr>
      </w:pPr>
      <w:r w:rsidRPr="00132956">
        <w:rPr>
          <w:rFonts w:ascii="Times New Roman" w:hAnsi="Times New Roman" w:cs="Times New Roman"/>
          <w:sz w:val="22"/>
          <w:szCs w:val="22"/>
          <w:lang w:val="en-GB"/>
        </w:rPr>
        <w:t>Dawoud Al-Massri, Access to Justice Analyst</w:t>
      </w:r>
    </w:p>
    <w:p w:rsidR="00080B0D" w:rsidRPr="00132956" w:rsidRDefault="00080B0D" w:rsidP="00132956">
      <w:pPr>
        <w:numPr>
          <w:ilvl w:val="0"/>
          <w:numId w:val="21"/>
        </w:numPr>
        <w:spacing w:after="0" w:line="240" w:lineRule="auto"/>
        <w:ind w:right="-358"/>
        <w:rPr>
          <w:rFonts w:ascii="Times New Roman" w:hAnsi="Times New Roman" w:cs="Times New Roman"/>
          <w:sz w:val="22"/>
          <w:szCs w:val="22"/>
          <w:lang w:val="en-GB"/>
        </w:rPr>
      </w:pPr>
      <w:r w:rsidRPr="00132956">
        <w:rPr>
          <w:rFonts w:ascii="Times New Roman" w:hAnsi="Times New Roman" w:cs="Times New Roman"/>
          <w:sz w:val="22"/>
          <w:szCs w:val="22"/>
          <w:lang w:val="en-GB"/>
        </w:rPr>
        <w:t>Reem Othman, Programme Assistant</w:t>
      </w:r>
    </w:p>
    <w:p w:rsidR="00080B0D" w:rsidRPr="00132956" w:rsidRDefault="00080B0D" w:rsidP="00132956">
      <w:pPr>
        <w:spacing w:after="0" w:line="240" w:lineRule="auto"/>
        <w:ind w:right="-358"/>
        <w:rPr>
          <w:rFonts w:ascii="Times New Roman" w:hAnsi="Times New Roman" w:cs="Times New Roman"/>
          <w:b/>
          <w:bCs/>
          <w:i/>
          <w:iCs/>
          <w:sz w:val="22"/>
          <w:szCs w:val="22"/>
          <w:lang w:val="en-GB"/>
        </w:rPr>
      </w:pPr>
    </w:p>
    <w:p w:rsidR="00080B0D" w:rsidRPr="00132956" w:rsidRDefault="00080B0D" w:rsidP="00132956">
      <w:pPr>
        <w:spacing w:after="0" w:line="240" w:lineRule="auto"/>
        <w:ind w:left="-270" w:right="-358"/>
        <w:rPr>
          <w:rFonts w:ascii="Times New Roman" w:hAnsi="Times New Roman" w:cs="Times New Roman"/>
          <w:i/>
          <w:iCs/>
          <w:sz w:val="22"/>
          <w:szCs w:val="22"/>
          <w:lang w:val="en-GB"/>
        </w:rPr>
      </w:pPr>
      <w:r w:rsidRPr="00132956">
        <w:rPr>
          <w:rFonts w:ascii="Times New Roman" w:hAnsi="Times New Roman" w:cs="Times New Roman"/>
          <w:i/>
          <w:iCs/>
          <w:sz w:val="22"/>
          <w:szCs w:val="22"/>
          <w:lang w:val="en-GB"/>
        </w:rPr>
        <w:t>Venue: UNDP Office (Gaza City)</w:t>
      </w:r>
    </w:p>
    <w:p w:rsidR="00080B0D" w:rsidRPr="00132956" w:rsidRDefault="00080B0D" w:rsidP="00132956">
      <w:pPr>
        <w:spacing w:after="0" w:line="240" w:lineRule="auto"/>
        <w:ind w:right="-358"/>
        <w:rPr>
          <w:rFonts w:ascii="Times New Roman" w:hAnsi="Times New Roman" w:cs="Times New Roman"/>
          <w:sz w:val="22"/>
          <w:szCs w:val="22"/>
          <w:lang w:val="en-GB"/>
        </w:rPr>
      </w:pPr>
    </w:p>
    <w:p w:rsidR="00080B0D" w:rsidRPr="00132956" w:rsidRDefault="00080B0D" w:rsidP="00132956">
      <w:pPr>
        <w:spacing w:after="0" w:line="240" w:lineRule="auto"/>
        <w:ind w:left="-270" w:right="-358"/>
        <w:rPr>
          <w:rFonts w:ascii="Times New Roman" w:hAnsi="Times New Roman" w:cs="Times New Roman"/>
          <w:b/>
          <w:bCs/>
          <w:i/>
          <w:iCs/>
          <w:sz w:val="22"/>
          <w:szCs w:val="22"/>
          <w:lang w:val="en-GB"/>
        </w:rPr>
      </w:pPr>
      <w:r w:rsidRPr="00132956">
        <w:rPr>
          <w:rFonts w:ascii="Times New Roman" w:hAnsi="Times New Roman" w:cs="Times New Roman"/>
          <w:b/>
          <w:bCs/>
          <w:i/>
          <w:iCs/>
          <w:sz w:val="22"/>
          <w:szCs w:val="22"/>
          <w:lang w:val="en-GB"/>
        </w:rPr>
        <w:t xml:space="preserve">11:00 Departure </w:t>
      </w:r>
    </w:p>
    <w:p w:rsidR="005827A4" w:rsidRPr="00132956" w:rsidRDefault="005827A4" w:rsidP="00132956">
      <w:pPr>
        <w:spacing w:after="0" w:line="240" w:lineRule="auto"/>
        <w:ind w:left="-270" w:right="-358"/>
        <w:jc w:val="center"/>
        <w:rPr>
          <w:rFonts w:ascii="Times New Roman" w:eastAsia="Times New Roman" w:hAnsi="Times New Roman" w:cs="Times New Roman"/>
          <w:i/>
          <w:iCs/>
          <w:sz w:val="22"/>
          <w:szCs w:val="22"/>
          <w:lang w:val="en-GB"/>
        </w:rPr>
      </w:pPr>
    </w:p>
    <w:p w:rsidR="005827A4" w:rsidRPr="00132956" w:rsidRDefault="005827A4" w:rsidP="00132956">
      <w:pPr>
        <w:spacing w:after="0" w:line="240" w:lineRule="auto"/>
        <w:ind w:left="-270" w:right="-358"/>
        <w:jc w:val="center"/>
        <w:rPr>
          <w:rFonts w:ascii="Times New Roman" w:eastAsia="Times New Roman" w:hAnsi="Times New Roman" w:cs="Times New Roman"/>
          <w:b/>
          <w:bCs/>
          <w:sz w:val="22"/>
          <w:szCs w:val="22"/>
          <w:u w:val="single"/>
          <w:lang w:val="en-GB"/>
        </w:rPr>
      </w:pPr>
      <w:r w:rsidRPr="00132956">
        <w:rPr>
          <w:rFonts w:ascii="Times New Roman" w:eastAsia="Times New Roman" w:hAnsi="Times New Roman" w:cs="Times New Roman"/>
          <w:b/>
          <w:bCs/>
          <w:sz w:val="22"/>
          <w:szCs w:val="22"/>
          <w:u w:val="single"/>
          <w:lang w:val="en-GB"/>
        </w:rPr>
        <w:t>Tuesday, 22 January 2013</w:t>
      </w:r>
    </w:p>
    <w:p w:rsidR="005827A4" w:rsidRPr="00132956" w:rsidRDefault="005827A4" w:rsidP="00132956">
      <w:pPr>
        <w:spacing w:after="0" w:line="240" w:lineRule="auto"/>
        <w:ind w:right="-358"/>
        <w:rPr>
          <w:rFonts w:ascii="Times New Roman" w:eastAsia="Times New Roman" w:hAnsi="Times New Roman" w:cs="Times New Roman"/>
          <w:b/>
          <w:bCs/>
          <w:sz w:val="22"/>
          <w:szCs w:val="22"/>
          <w:lang w:val="en-GB"/>
        </w:rPr>
      </w:pPr>
    </w:p>
    <w:p w:rsidR="005827A4" w:rsidRPr="00132956" w:rsidRDefault="000B3F51" w:rsidP="00132956">
      <w:pPr>
        <w:spacing w:after="0" w:line="240" w:lineRule="auto"/>
        <w:ind w:left="-270" w:right="-358"/>
        <w:rPr>
          <w:rFonts w:ascii="Times New Roman" w:eastAsia="Times New Roman" w:hAnsi="Times New Roman" w:cs="Times New Roman"/>
          <w:i/>
          <w:iCs/>
          <w:sz w:val="22"/>
          <w:szCs w:val="22"/>
          <w:lang w:val="en-GB"/>
        </w:rPr>
      </w:pPr>
      <w:r w:rsidRPr="00132956">
        <w:rPr>
          <w:rFonts w:ascii="Times New Roman" w:eastAsia="Times New Roman" w:hAnsi="Times New Roman" w:cs="Times New Roman"/>
          <w:b/>
          <w:bCs/>
          <w:i/>
          <w:iCs/>
          <w:sz w:val="22"/>
          <w:szCs w:val="22"/>
          <w:lang w:val="en-GB"/>
        </w:rPr>
        <w:tab/>
        <w:t>TBA</w:t>
      </w:r>
    </w:p>
    <w:p w:rsidR="005827A4" w:rsidRPr="00132956" w:rsidRDefault="005827A4" w:rsidP="00132956">
      <w:pPr>
        <w:spacing w:after="0" w:line="240" w:lineRule="auto"/>
        <w:ind w:right="-358"/>
        <w:rPr>
          <w:rFonts w:ascii="Times New Roman" w:eastAsia="Times New Roman" w:hAnsi="Times New Roman" w:cs="Times New Roman"/>
          <w:b/>
          <w:bCs/>
          <w:i/>
          <w:iCs/>
          <w:sz w:val="22"/>
          <w:szCs w:val="22"/>
          <w:lang w:val="en-GB"/>
        </w:rPr>
      </w:pPr>
    </w:p>
    <w:p w:rsidR="005827A4" w:rsidRDefault="005827A4" w:rsidP="00132956">
      <w:pPr>
        <w:spacing w:after="0" w:line="240" w:lineRule="auto"/>
        <w:ind w:left="-270" w:right="-358"/>
        <w:jc w:val="center"/>
        <w:rPr>
          <w:rFonts w:ascii="Times New Roman" w:eastAsia="Times New Roman" w:hAnsi="Times New Roman" w:cs="Times New Roman"/>
          <w:b/>
          <w:bCs/>
          <w:sz w:val="22"/>
          <w:szCs w:val="22"/>
          <w:u w:val="single"/>
          <w:lang w:val="en-GB"/>
        </w:rPr>
      </w:pPr>
      <w:r w:rsidRPr="00132956">
        <w:rPr>
          <w:rFonts w:ascii="Times New Roman" w:eastAsia="Times New Roman" w:hAnsi="Times New Roman" w:cs="Times New Roman"/>
          <w:b/>
          <w:bCs/>
          <w:sz w:val="22"/>
          <w:szCs w:val="22"/>
          <w:u w:val="single"/>
          <w:lang w:val="en-GB"/>
        </w:rPr>
        <w:t>Wednesday, 23 January 2013</w:t>
      </w:r>
    </w:p>
    <w:p w:rsidR="0019654C" w:rsidRDefault="0019654C" w:rsidP="0019654C">
      <w:pPr>
        <w:spacing w:after="0" w:line="240" w:lineRule="auto"/>
        <w:ind w:left="-270" w:right="-358"/>
        <w:rPr>
          <w:rFonts w:ascii="Times New Roman" w:eastAsia="Times New Roman" w:hAnsi="Times New Roman" w:cs="Times New Roman"/>
          <w:b/>
          <w:bCs/>
          <w:i/>
          <w:sz w:val="22"/>
          <w:szCs w:val="22"/>
          <w:lang w:val="en-GB"/>
        </w:rPr>
      </w:pPr>
    </w:p>
    <w:p w:rsidR="005827A4" w:rsidRDefault="0019654C" w:rsidP="0019654C">
      <w:pPr>
        <w:spacing w:after="0" w:line="240" w:lineRule="auto"/>
        <w:ind w:left="-270" w:right="-358"/>
        <w:rPr>
          <w:rFonts w:ascii="Times New Roman" w:eastAsia="Times New Roman" w:hAnsi="Times New Roman" w:cs="Times New Roman"/>
          <w:b/>
          <w:bCs/>
          <w:i/>
          <w:sz w:val="22"/>
          <w:szCs w:val="22"/>
          <w:lang w:val="en-GB"/>
        </w:rPr>
      </w:pPr>
      <w:r>
        <w:rPr>
          <w:rFonts w:ascii="Times New Roman" w:eastAsia="Times New Roman" w:hAnsi="Times New Roman" w:cs="Times New Roman"/>
          <w:b/>
          <w:bCs/>
          <w:i/>
          <w:sz w:val="22"/>
          <w:szCs w:val="22"/>
          <w:lang w:val="en-GB"/>
        </w:rPr>
        <w:t>Drafting day</w:t>
      </w:r>
    </w:p>
    <w:p w:rsidR="0019654C" w:rsidRPr="0019654C" w:rsidRDefault="0019654C" w:rsidP="0019654C">
      <w:pPr>
        <w:spacing w:after="0" w:line="240" w:lineRule="auto"/>
        <w:ind w:left="-270" w:right="-358"/>
        <w:rPr>
          <w:rFonts w:ascii="Times New Roman" w:eastAsia="Times New Roman" w:hAnsi="Times New Roman" w:cs="Times New Roman"/>
          <w:b/>
          <w:bCs/>
          <w:i/>
          <w:sz w:val="22"/>
          <w:szCs w:val="22"/>
          <w:lang w:val="en-GB"/>
        </w:rPr>
      </w:pPr>
    </w:p>
    <w:p w:rsidR="005827A4" w:rsidRPr="00132956" w:rsidRDefault="005827A4" w:rsidP="00132956">
      <w:pPr>
        <w:spacing w:after="0" w:line="240" w:lineRule="auto"/>
        <w:ind w:left="-270" w:right="-358"/>
        <w:jc w:val="center"/>
        <w:rPr>
          <w:rFonts w:ascii="Times New Roman" w:eastAsia="Times New Roman" w:hAnsi="Times New Roman" w:cs="Times New Roman"/>
          <w:b/>
          <w:bCs/>
          <w:sz w:val="22"/>
          <w:szCs w:val="22"/>
          <w:u w:val="single"/>
          <w:lang w:val="en-GB"/>
        </w:rPr>
      </w:pPr>
      <w:r w:rsidRPr="00132956">
        <w:rPr>
          <w:rFonts w:ascii="Times New Roman" w:eastAsia="Times New Roman" w:hAnsi="Times New Roman" w:cs="Times New Roman"/>
          <w:b/>
          <w:bCs/>
          <w:sz w:val="22"/>
          <w:szCs w:val="22"/>
          <w:u w:val="single"/>
          <w:lang w:val="en-GB"/>
        </w:rPr>
        <w:t>Thursday, 24 January 2013</w:t>
      </w:r>
    </w:p>
    <w:p w:rsidR="005827A4" w:rsidRPr="00132956" w:rsidRDefault="005827A4" w:rsidP="00132956">
      <w:pPr>
        <w:spacing w:after="0" w:line="240" w:lineRule="auto"/>
        <w:ind w:left="-270" w:right="-358"/>
        <w:rPr>
          <w:rFonts w:ascii="Times New Roman" w:eastAsia="Times New Roman" w:hAnsi="Times New Roman" w:cs="Times New Roman"/>
          <w:b/>
          <w:bCs/>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b/>
          <w:bCs/>
          <w:i/>
          <w:iCs/>
          <w:sz w:val="22"/>
          <w:szCs w:val="22"/>
          <w:lang w:val="en-GB"/>
        </w:rPr>
      </w:pPr>
      <w:r w:rsidRPr="00132956">
        <w:rPr>
          <w:rFonts w:ascii="Times New Roman" w:eastAsia="Times New Roman" w:hAnsi="Times New Roman" w:cs="Times New Roman"/>
          <w:b/>
          <w:bCs/>
          <w:i/>
          <w:iCs/>
          <w:sz w:val="22"/>
          <w:szCs w:val="22"/>
          <w:lang w:val="en-GB"/>
        </w:rPr>
        <w:t>09:00-10:00 Ministry of Social Affairs</w:t>
      </w:r>
    </w:p>
    <w:p w:rsidR="005827A4" w:rsidRPr="00132956" w:rsidRDefault="005827A4" w:rsidP="00132956">
      <w:pPr>
        <w:spacing w:after="0" w:line="240" w:lineRule="auto"/>
        <w:ind w:left="-270" w:right="-358"/>
        <w:rPr>
          <w:rFonts w:ascii="Times New Roman" w:eastAsia="Times New Roman" w:hAnsi="Times New Roman" w:cs="Times New Roman"/>
          <w:sz w:val="22"/>
          <w:szCs w:val="22"/>
          <w:lang w:val="en-GB"/>
        </w:rPr>
      </w:pPr>
    </w:p>
    <w:p w:rsidR="005827A4" w:rsidRPr="00132956" w:rsidRDefault="005827A4" w:rsidP="00132956">
      <w:pPr>
        <w:numPr>
          <w:ilvl w:val="0"/>
          <w:numId w:val="22"/>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Majida Al-Masri, Minister of Social Affairs</w:t>
      </w:r>
    </w:p>
    <w:p w:rsidR="005827A4" w:rsidRPr="00132956" w:rsidRDefault="005827A4" w:rsidP="00132956">
      <w:pPr>
        <w:numPr>
          <w:ilvl w:val="0"/>
          <w:numId w:val="22"/>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Tala</w:t>
      </w:r>
      <w:r w:rsidR="00E8775C">
        <w:rPr>
          <w:rFonts w:ascii="Times New Roman" w:eastAsia="Times New Roman" w:hAnsi="Times New Roman" w:cs="Times New Roman"/>
          <w:sz w:val="22"/>
          <w:szCs w:val="22"/>
          <w:lang w:val="en-GB"/>
        </w:rPr>
        <w:t xml:space="preserve"> </w:t>
      </w:r>
      <w:r w:rsidRPr="00132956">
        <w:rPr>
          <w:rFonts w:ascii="Times New Roman" w:eastAsia="Times New Roman" w:hAnsi="Times New Roman" w:cs="Times New Roman"/>
          <w:sz w:val="22"/>
          <w:szCs w:val="22"/>
          <w:lang w:val="en-GB"/>
        </w:rPr>
        <w:t>Khalefeh, Public Relations Officer</w:t>
      </w:r>
    </w:p>
    <w:p w:rsidR="005827A4" w:rsidRPr="00132956" w:rsidRDefault="005827A4" w:rsidP="00132956">
      <w:pPr>
        <w:numPr>
          <w:ilvl w:val="0"/>
          <w:numId w:val="22"/>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Yaqoub</w:t>
      </w:r>
      <w:r w:rsidR="00E8775C">
        <w:rPr>
          <w:rFonts w:ascii="Times New Roman" w:eastAsia="Times New Roman" w:hAnsi="Times New Roman" w:cs="Times New Roman"/>
          <w:sz w:val="22"/>
          <w:szCs w:val="22"/>
          <w:lang w:val="en-GB"/>
        </w:rPr>
        <w:t xml:space="preserve"> </w:t>
      </w:r>
      <w:r w:rsidRPr="00132956">
        <w:rPr>
          <w:rFonts w:ascii="Times New Roman" w:eastAsia="Times New Roman" w:hAnsi="Times New Roman" w:cs="Times New Roman"/>
          <w:sz w:val="22"/>
          <w:szCs w:val="22"/>
          <w:lang w:val="en-GB"/>
        </w:rPr>
        <w:t>Omari, Juvenile Justice National Committee Coordinator</w:t>
      </w:r>
    </w:p>
    <w:p w:rsidR="005827A4" w:rsidRPr="00132956" w:rsidRDefault="005827A4" w:rsidP="00132956">
      <w:pPr>
        <w:spacing w:after="0" w:line="240" w:lineRule="auto"/>
        <w:ind w:left="-270" w:right="-358"/>
        <w:rPr>
          <w:rFonts w:ascii="Times New Roman" w:eastAsia="Times New Roman" w:hAnsi="Times New Roman" w:cs="Times New Roman"/>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i/>
          <w:iCs/>
          <w:sz w:val="22"/>
          <w:szCs w:val="22"/>
          <w:lang w:val="en-GB"/>
        </w:rPr>
      </w:pPr>
      <w:r w:rsidRPr="00132956">
        <w:rPr>
          <w:rFonts w:ascii="Times New Roman" w:eastAsia="Times New Roman" w:hAnsi="Times New Roman" w:cs="Times New Roman"/>
          <w:i/>
          <w:iCs/>
          <w:sz w:val="22"/>
          <w:szCs w:val="22"/>
          <w:lang w:val="en-GB"/>
        </w:rPr>
        <w:t>Venue: Ministry of Social Affairs (Ramallah)</w:t>
      </w:r>
    </w:p>
    <w:p w:rsidR="005827A4" w:rsidRPr="00132956" w:rsidRDefault="005827A4" w:rsidP="00132956">
      <w:pPr>
        <w:spacing w:after="0" w:line="240" w:lineRule="auto"/>
        <w:ind w:right="-358"/>
        <w:rPr>
          <w:rFonts w:ascii="Times New Roman" w:eastAsia="Times New Roman" w:hAnsi="Times New Roman" w:cs="Times New Roman"/>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b/>
          <w:bCs/>
          <w:i/>
          <w:iCs/>
          <w:sz w:val="22"/>
          <w:szCs w:val="22"/>
          <w:lang w:val="en-GB"/>
        </w:rPr>
      </w:pPr>
      <w:r w:rsidRPr="00132956">
        <w:rPr>
          <w:rFonts w:ascii="Times New Roman" w:eastAsia="Times New Roman" w:hAnsi="Times New Roman" w:cs="Times New Roman"/>
          <w:b/>
          <w:bCs/>
          <w:i/>
          <w:iCs/>
          <w:sz w:val="22"/>
          <w:szCs w:val="22"/>
          <w:lang w:val="en-GB"/>
        </w:rPr>
        <w:t>10:30-11:30 Visit to Dar Al-Amal Rehabilitation Centre</w:t>
      </w:r>
    </w:p>
    <w:p w:rsidR="005827A4" w:rsidRPr="00132956" w:rsidRDefault="005827A4" w:rsidP="00132956">
      <w:pPr>
        <w:spacing w:after="0" w:line="240" w:lineRule="auto"/>
        <w:ind w:right="-358"/>
        <w:rPr>
          <w:rFonts w:ascii="Times New Roman" w:eastAsia="Times New Roman" w:hAnsi="Times New Roman" w:cs="Times New Roman"/>
          <w:b/>
          <w:bCs/>
          <w:i/>
          <w:iCs/>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b/>
          <w:bCs/>
          <w:i/>
          <w:iCs/>
          <w:sz w:val="22"/>
          <w:szCs w:val="22"/>
          <w:lang w:val="en-GB"/>
        </w:rPr>
      </w:pPr>
      <w:r w:rsidRPr="00132956">
        <w:rPr>
          <w:rFonts w:ascii="Times New Roman" w:eastAsia="Times New Roman" w:hAnsi="Times New Roman" w:cs="Times New Roman"/>
          <w:b/>
          <w:bCs/>
          <w:i/>
          <w:iCs/>
          <w:sz w:val="22"/>
          <w:szCs w:val="22"/>
          <w:lang w:val="en-GB"/>
        </w:rPr>
        <w:t>12:00-14:00 Palestinian Maintenance Fund</w:t>
      </w:r>
    </w:p>
    <w:p w:rsidR="005827A4" w:rsidRPr="00132956" w:rsidRDefault="005827A4" w:rsidP="00132956">
      <w:pPr>
        <w:spacing w:after="0" w:line="240" w:lineRule="auto"/>
        <w:ind w:left="-270" w:right="-358"/>
        <w:rPr>
          <w:rFonts w:ascii="Times New Roman" w:eastAsia="Times New Roman" w:hAnsi="Times New Roman" w:cs="Times New Roman"/>
          <w:sz w:val="22"/>
          <w:szCs w:val="22"/>
          <w:lang w:val="en-GB"/>
        </w:rPr>
      </w:pPr>
    </w:p>
    <w:p w:rsidR="005827A4" w:rsidRPr="00132956" w:rsidRDefault="005827A4" w:rsidP="00132956">
      <w:pPr>
        <w:numPr>
          <w:ilvl w:val="0"/>
          <w:numId w:val="24"/>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Fatima Mu’aqat, General Director</w:t>
      </w:r>
    </w:p>
    <w:p w:rsidR="005827A4" w:rsidRPr="00132956" w:rsidRDefault="005827A4" w:rsidP="00132956">
      <w:pPr>
        <w:numPr>
          <w:ilvl w:val="0"/>
          <w:numId w:val="24"/>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Natasha Khaldi, Public Relations Officer</w:t>
      </w:r>
    </w:p>
    <w:p w:rsidR="005827A4" w:rsidRPr="00132956" w:rsidRDefault="005827A4" w:rsidP="00132956">
      <w:pPr>
        <w:spacing w:after="0" w:line="240" w:lineRule="auto"/>
        <w:ind w:left="450" w:right="-358"/>
        <w:rPr>
          <w:rFonts w:ascii="Times New Roman" w:eastAsia="Times New Roman" w:hAnsi="Times New Roman" w:cs="Times New Roman"/>
          <w:sz w:val="22"/>
          <w:szCs w:val="22"/>
          <w:lang w:val="en-GB"/>
        </w:rPr>
      </w:pPr>
    </w:p>
    <w:p w:rsidR="005827A4" w:rsidRPr="00132956" w:rsidRDefault="005827A4" w:rsidP="00132956">
      <w:pPr>
        <w:numPr>
          <w:ilvl w:val="0"/>
          <w:numId w:val="24"/>
        </w:numPr>
        <w:spacing w:after="0" w:line="240" w:lineRule="auto"/>
        <w:ind w:right="-358"/>
        <w:rPr>
          <w:rFonts w:ascii="Times New Roman" w:eastAsia="Times New Roman" w:hAnsi="Times New Roman" w:cs="Times New Roman"/>
          <w:b/>
          <w:bCs/>
          <w:i/>
          <w:iCs/>
          <w:sz w:val="22"/>
          <w:szCs w:val="22"/>
          <w:lang w:val="en-GB"/>
        </w:rPr>
      </w:pPr>
      <w:r w:rsidRPr="00132956">
        <w:rPr>
          <w:rFonts w:ascii="Times New Roman" w:eastAsia="Times New Roman" w:hAnsi="Times New Roman" w:cs="Times New Roman"/>
          <w:b/>
          <w:bCs/>
          <w:sz w:val="22"/>
          <w:szCs w:val="22"/>
          <w:lang w:val="en-GB"/>
        </w:rPr>
        <w:t>Focus group discussion with beneficiaries (3)</w:t>
      </w:r>
    </w:p>
    <w:p w:rsidR="005827A4" w:rsidRPr="00132956" w:rsidRDefault="005827A4" w:rsidP="00132956">
      <w:pPr>
        <w:spacing w:after="0" w:line="240" w:lineRule="auto"/>
        <w:ind w:left="-270" w:right="-358"/>
        <w:rPr>
          <w:rFonts w:ascii="Times New Roman" w:eastAsia="Times New Roman" w:hAnsi="Times New Roman" w:cs="Times New Roman"/>
          <w:i/>
          <w:iCs/>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i/>
          <w:iCs/>
          <w:sz w:val="22"/>
          <w:szCs w:val="22"/>
          <w:lang w:val="en-GB"/>
        </w:rPr>
      </w:pPr>
      <w:r w:rsidRPr="00132956">
        <w:rPr>
          <w:rFonts w:ascii="Times New Roman" w:eastAsia="Times New Roman" w:hAnsi="Times New Roman" w:cs="Times New Roman"/>
          <w:i/>
          <w:iCs/>
          <w:sz w:val="22"/>
          <w:szCs w:val="22"/>
          <w:lang w:val="en-GB"/>
        </w:rPr>
        <w:t>Venue: Palestinian Maintenance Fund (Ramallah)</w:t>
      </w:r>
    </w:p>
    <w:p w:rsidR="005827A4" w:rsidRPr="00132956" w:rsidRDefault="005827A4" w:rsidP="00132956">
      <w:pPr>
        <w:spacing w:after="0" w:line="240" w:lineRule="auto"/>
        <w:ind w:left="-270" w:right="-358"/>
        <w:rPr>
          <w:rFonts w:ascii="Times New Roman" w:eastAsia="Times New Roman" w:hAnsi="Times New Roman" w:cs="Times New Roman"/>
          <w:b/>
          <w:bCs/>
          <w:i/>
          <w:iCs/>
          <w:sz w:val="22"/>
          <w:szCs w:val="22"/>
          <w:lang w:val="en-GB"/>
        </w:rPr>
      </w:pPr>
    </w:p>
    <w:p w:rsidR="005827A4" w:rsidRPr="00132956" w:rsidRDefault="0019654C" w:rsidP="00132956">
      <w:pPr>
        <w:spacing w:after="0" w:line="240" w:lineRule="auto"/>
        <w:ind w:left="-270" w:right="-358"/>
        <w:rPr>
          <w:rFonts w:ascii="Times New Roman" w:eastAsia="Times New Roman" w:hAnsi="Times New Roman" w:cs="Times New Roman"/>
          <w:b/>
          <w:bCs/>
          <w:i/>
          <w:iCs/>
          <w:sz w:val="22"/>
          <w:szCs w:val="22"/>
          <w:lang w:val="en-GB"/>
        </w:rPr>
      </w:pPr>
      <w:r>
        <w:rPr>
          <w:rFonts w:ascii="Times New Roman" w:eastAsia="Times New Roman" w:hAnsi="Times New Roman" w:cs="Times New Roman"/>
          <w:b/>
          <w:bCs/>
          <w:i/>
          <w:iCs/>
          <w:sz w:val="22"/>
          <w:szCs w:val="22"/>
          <w:lang w:val="en-GB"/>
        </w:rPr>
        <w:t xml:space="preserve">14:30-16:30 </w:t>
      </w:r>
      <w:r w:rsidR="005827A4" w:rsidRPr="00132956">
        <w:rPr>
          <w:rFonts w:ascii="Times New Roman" w:eastAsia="Times New Roman" w:hAnsi="Times New Roman" w:cs="Times New Roman"/>
          <w:b/>
          <w:bCs/>
          <w:i/>
          <w:iCs/>
          <w:sz w:val="22"/>
          <w:szCs w:val="22"/>
          <w:lang w:val="en-GB"/>
        </w:rPr>
        <w:t>Palestinian Bar Association</w:t>
      </w:r>
    </w:p>
    <w:p w:rsidR="005827A4" w:rsidRPr="00132956" w:rsidRDefault="005827A4" w:rsidP="00132956">
      <w:pPr>
        <w:spacing w:after="0" w:line="240" w:lineRule="auto"/>
        <w:ind w:left="-270" w:right="-358"/>
        <w:rPr>
          <w:rFonts w:ascii="Times New Roman" w:eastAsia="Times New Roman" w:hAnsi="Times New Roman" w:cs="Times New Roman"/>
          <w:sz w:val="22"/>
          <w:szCs w:val="22"/>
          <w:lang w:val="en-GB"/>
        </w:rPr>
      </w:pPr>
    </w:p>
    <w:p w:rsidR="005827A4" w:rsidRPr="00132956" w:rsidRDefault="005827A4" w:rsidP="00132956">
      <w:pPr>
        <w:numPr>
          <w:ilvl w:val="0"/>
          <w:numId w:val="12"/>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Hussein Shabaneh, Chairman</w:t>
      </w:r>
    </w:p>
    <w:p w:rsidR="005827A4" w:rsidRPr="00132956" w:rsidRDefault="005827A4" w:rsidP="00132956">
      <w:pPr>
        <w:numPr>
          <w:ilvl w:val="0"/>
          <w:numId w:val="12"/>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Sahar</w:t>
      </w:r>
      <w:r w:rsidR="00E8775C">
        <w:rPr>
          <w:rFonts w:ascii="Times New Roman" w:eastAsia="Times New Roman" w:hAnsi="Times New Roman" w:cs="Times New Roman"/>
          <w:sz w:val="22"/>
          <w:szCs w:val="22"/>
          <w:lang w:val="en-GB"/>
        </w:rPr>
        <w:t xml:space="preserve"> </w:t>
      </w:r>
      <w:r w:rsidRPr="00132956">
        <w:rPr>
          <w:rFonts w:ascii="Times New Roman" w:eastAsia="Times New Roman" w:hAnsi="Times New Roman" w:cs="Times New Roman"/>
          <w:sz w:val="22"/>
          <w:szCs w:val="22"/>
          <w:lang w:val="en-GB"/>
        </w:rPr>
        <w:t>Smoom, Public Relations Officer</w:t>
      </w:r>
    </w:p>
    <w:p w:rsidR="005827A4" w:rsidRPr="00132956" w:rsidRDefault="005827A4" w:rsidP="00132956">
      <w:pPr>
        <w:numPr>
          <w:ilvl w:val="0"/>
          <w:numId w:val="12"/>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 xml:space="preserve">Khadeeja Abu-Hussein, Legal Researcher </w:t>
      </w:r>
    </w:p>
    <w:p w:rsidR="005827A4" w:rsidRPr="00132956" w:rsidRDefault="005827A4" w:rsidP="00132956">
      <w:pPr>
        <w:numPr>
          <w:ilvl w:val="0"/>
          <w:numId w:val="12"/>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Luna Arikat, Project Coordinator</w:t>
      </w:r>
    </w:p>
    <w:p w:rsidR="005827A4" w:rsidRPr="00132956" w:rsidRDefault="005827A4" w:rsidP="00132956">
      <w:pPr>
        <w:spacing w:after="0" w:line="240" w:lineRule="auto"/>
        <w:ind w:left="-270" w:right="-358"/>
        <w:rPr>
          <w:rFonts w:ascii="Times New Roman" w:eastAsia="Times New Roman" w:hAnsi="Times New Roman" w:cs="Times New Roman"/>
          <w:sz w:val="22"/>
          <w:szCs w:val="22"/>
          <w:lang w:val="en-GB"/>
        </w:rPr>
      </w:pPr>
    </w:p>
    <w:p w:rsidR="005827A4" w:rsidRPr="0019654C" w:rsidRDefault="0019654C" w:rsidP="0019654C">
      <w:pPr>
        <w:pStyle w:val="ListParagraph"/>
        <w:numPr>
          <w:ilvl w:val="0"/>
          <w:numId w:val="12"/>
        </w:numPr>
        <w:spacing w:after="0" w:line="240" w:lineRule="auto"/>
        <w:ind w:right="-358"/>
        <w:rPr>
          <w:rFonts w:ascii="Times New Roman" w:eastAsia="Times New Roman" w:hAnsi="Times New Roman" w:cs="Times New Roman"/>
          <w:b/>
          <w:bCs/>
          <w:iCs/>
          <w:sz w:val="22"/>
          <w:szCs w:val="22"/>
          <w:lang w:val="en-GB"/>
        </w:rPr>
      </w:pPr>
      <w:r>
        <w:rPr>
          <w:rFonts w:ascii="Times New Roman" w:eastAsia="Times New Roman" w:hAnsi="Times New Roman" w:cs="Times New Roman"/>
          <w:b/>
          <w:bCs/>
          <w:iCs/>
          <w:sz w:val="22"/>
          <w:szCs w:val="22"/>
          <w:lang w:val="en-GB"/>
        </w:rPr>
        <w:t>Focus group discussion with beneficiaries (5-7</w:t>
      </w:r>
      <w:r w:rsidR="005827A4" w:rsidRPr="0019654C">
        <w:rPr>
          <w:rFonts w:ascii="Times New Roman" w:eastAsia="Times New Roman" w:hAnsi="Times New Roman" w:cs="Times New Roman"/>
          <w:b/>
          <w:bCs/>
          <w:iCs/>
          <w:sz w:val="22"/>
          <w:szCs w:val="22"/>
          <w:lang w:val="en-GB"/>
        </w:rPr>
        <w:t>)</w:t>
      </w:r>
    </w:p>
    <w:p w:rsidR="0019654C" w:rsidRDefault="0019654C" w:rsidP="00132956">
      <w:pPr>
        <w:spacing w:after="0" w:line="240" w:lineRule="auto"/>
        <w:ind w:left="-270" w:right="-358"/>
        <w:rPr>
          <w:rFonts w:ascii="Times New Roman" w:eastAsia="Times New Roman" w:hAnsi="Times New Roman" w:cs="Times New Roman"/>
          <w:i/>
          <w:iCs/>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i/>
          <w:iCs/>
          <w:sz w:val="22"/>
          <w:szCs w:val="22"/>
          <w:lang w:val="en-GB"/>
        </w:rPr>
      </w:pPr>
      <w:r w:rsidRPr="00132956">
        <w:rPr>
          <w:rFonts w:ascii="Times New Roman" w:eastAsia="Times New Roman" w:hAnsi="Times New Roman" w:cs="Times New Roman"/>
          <w:i/>
          <w:iCs/>
          <w:sz w:val="22"/>
          <w:szCs w:val="22"/>
          <w:lang w:val="en-GB"/>
        </w:rPr>
        <w:t>Venue: Palestinian Bar Association (Ramallah)</w:t>
      </w:r>
    </w:p>
    <w:p w:rsidR="005827A4" w:rsidRPr="00132956" w:rsidRDefault="005827A4" w:rsidP="00132956">
      <w:pPr>
        <w:spacing w:after="0" w:line="240" w:lineRule="auto"/>
        <w:ind w:right="-358"/>
        <w:rPr>
          <w:rFonts w:ascii="Times New Roman" w:eastAsia="Times New Roman" w:hAnsi="Times New Roman" w:cs="Times New Roman"/>
          <w:b/>
          <w:bCs/>
          <w:sz w:val="22"/>
          <w:szCs w:val="22"/>
          <w:u w:val="single"/>
          <w:lang w:val="en-GB"/>
        </w:rPr>
      </w:pPr>
    </w:p>
    <w:p w:rsidR="005827A4" w:rsidRPr="00132956" w:rsidRDefault="005827A4" w:rsidP="00132956">
      <w:pPr>
        <w:spacing w:after="0" w:line="240" w:lineRule="auto"/>
        <w:ind w:left="-270" w:right="-358"/>
        <w:jc w:val="center"/>
        <w:rPr>
          <w:rFonts w:ascii="Times New Roman" w:eastAsia="Times New Roman" w:hAnsi="Times New Roman" w:cs="Times New Roman"/>
          <w:b/>
          <w:bCs/>
          <w:sz w:val="22"/>
          <w:szCs w:val="22"/>
          <w:u w:val="single"/>
          <w:lang w:val="en-GB"/>
        </w:rPr>
      </w:pPr>
      <w:r w:rsidRPr="00132956">
        <w:rPr>
          <w:rFonts w:ascii="Times New Roman" w:eastAsia="Times New Roman" w:hAnsi="Times New Roman" w:cs="Times New Roman"/>
          <w:b/>
          <w:bCs/>
          <w:sz w:val="22"/>
          <w:szCs w:val="22"/>
          <w:u w:val="single"/>
          <w:lang w:val="en-GB"/>
        </w:rPr>
        <w:t>Saturday, 26 January 2013</w:t>
      </w:r>
    </w:p>
    <w:p w:rsidR="005827A4" w:rsidRPr="00132956" w:rsidRDefault="005827A4" w:rsidP="00132956">
      <w:pPr>
        <w:spacing w:after="0" w:line="240" w:lineRule="auto"/>
        <w:ind w:left="-270" w:right="-358"/>
        <w:rPr>
          <w:rFonts w:ascii="Times New Roman" w:eastAsia="Times New Roman" w:hAnsi="Times New Roman" w:cs="Times New Roman"/>
          <w:b/>
          <w:bCs/>
          <w:sz w:val="22"/>
          <w:szCs w:val="22"/>
          <w:u w:val="single"/>
          <w:lang w:val="en-GB"/>
        </w:rPr>
      </w:pPr>
    </w:p>
    <w:p w:rsidR="005827A4" w:rsidRPr="00132956" w:rsidRDefault="005827A4" w:rsidP="00132956">
      <w:pPr>
        <w:spacing w:after="0" w:line="240" w:lineRule="auto"/>
        <w:ind w:left="-270" w:right="-358"/>
        <w:rPr>
          <w:rFonts w:ascii="Times New Roman" w:eastAsia="Times New Roman" w:hAnsi="Times New Roman" w:cs="Times New Roman"/>
          <w:b/>
          <w:bCs/>
          <w:i/>
          <w:iCs/>
          <w:sz w:val="22"/>
          <w:szCs w:val="22"/>
          <w:lang w:val="en-GB"/>
        </w:rPr>
      </w:pPr>
      <w:r w:rsidRPr="00132956">
        <w:rPr>
          <w:rFonts w:ascii="Times New Roman" w:eastAsia="Times New Roman" w:hAnsi="Times New Roman" w:cs="Times New Roman"/>
          <w:b/>
          <w:bCs/>
          <w:i/>
          <w:iCs/>
          <w:sz w:val="22"/>
          <w:szCs w:val="22"/>
          <w:lang w:val="en-GB"/>
        </w:rPr>
        <w:t>Drafting day</w:t>
      </w:r>
    </w:p>
    <w:p w:rsidR="005827A4" w:rsidRPr="00132956" w:rsidRDefault="005827A4" w:rsidP="00132956">
      <w:pPr>
        <w:spacing w:after="0" w:line="240" w:lineRule="auto"/>
        <w:ind w:right="-358"/>
        <w:rPr>
          <w:rFonts w:ascii="Times New Roman" w:eastAsia="Times New Roman" w:hAnsi="Times New Roman" w:cs="Times New Roman"/>
          <w:i/>
          <w:iCs/>
          <w:sz w:val="22"/>
          <w:szCs w:val="22"/>
          <w:lang w:val="en-GB"/>
        </w:rPr>
      </w:pPr>
    </w:p>
    <w:p w:rsidR="005827A4" w:rsidRPr="00132956" w:rsidRDefault="005827A4" w:rsidP="00132956">
      <w:pPr>
        <w:spacing w:after="0" w:line="240" w:lineRule="auto"/>
        <w:ind w:left="-270" w:right="-358"/>
        <w:jc w:val="center"/>
        <w:rPr>
          <w:rFonts w:ascii="Times New Roman" w:eastAsia="Times New Roman" w:hAnsi="Times New Roman" w:cs="Times New Roman"/>
          <w:b/>
          <w:bCs/>
          <w:sz w:val="22"/>
          <w:szCs w:val="22"/>
          <w:u w:val="single"/>
          <w:lang w:val="en-GB"/>
        </w:rPr>
      </w:pPr>
      <w:r w:rsidRPr="00132956">
        <w:rPr>
          <w:rFonts w:ascii="Times New Roman" w:eastAsia="Times New Roman" w:hAnsi="Times New Roman" w:cs="Times New Roman"/>
          <w:b/>
          <w:bCs/>
          <w:sz w:val="22"/>
          <w:szCs w:val="22"/>
          <w:u w:val="single"/>
          <w:lang w:val="en-GB"/>
        </w:rPr>
        <w:t>Sunday, 27 January 2013</w:t>
      </w:r>
    </w:p>
    <w:p w:rsidR="005827A4" w:rsidRPr="00132956" w:rsidRDefault="005827A4" w:rsidP="00132956">
      <w:pPr>
        <w:spacing w:after="0" w:line="240" w:lineRule="auto"/>
        <w:ind w:left="-270" w:right="-358"/>
        <w:rPr>
          <w:rFonts w:ascii="Times New Roman" w:eastAsia="Times New Roman" w:hAnsi="Times New Roman" w:cs="Times New Roman"/>
          <w:b/>
          <w:bCs/>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b/>
          <w:bCs/>
          <w:i/>
          <w:iCs/>
          <w:sz w:val="22"/>
          <w:szCs w:val="22"/>
          <w:lang w:val="en-GB"/>
        </w:rPr>
      </w:pPr>
      <w:r w:rsidRPr="00132956">
        <w:rPr>
          <w:rFonts w:ascii="Times New Roman" w:eastAsia="Times New Roman" w:hAnsi="Times New Roman" w:cs="Times New Roman"/>
          <w:b/>
          <w:bCs/>
          <w:i/>
          <w:iCs/>
          <w:sz w:val="22"/>
          <w:szCs w:val="22"/>
          <w:lang w:val="en-GB"/>
        </w:rPr>
        <w:t>09:00-11:00 Hebron University’s Legal Aid Clinic</w:t>
      </w:r>
    </w:p>
    <w:p w:rsidR="005827A4" w:rsidRPr="00132956" w:rsidRDefault="005827A4" w:rsidP="00132956">
      <w:pPr>
        <w:spacing w:after="0" w:line="240" w:lineRule="auto"/>
        <w:ind w:left="-270" w:right="-358"/>
        <w:rPr>
          <w:rFonts w:ascii="Times New Roman" w:eastAsia="Times New Roman" w:hAnsi="Times New Roman" w:cs="Times New Roman"/>
          <w:i/>
          <w:iCs/>
          <w:sz w:val="22"/>
          <w:szCs w:val="22"/>
          <w:lang w:val="en-GB"/>
        </w:rPr>
      </w:pPr>
    </w:p>
    <w:p w:rsidR="005827A4" w:rsidRPr="00132956" w:rsidRDefault="005827A4" w:rsidP="00132956">
      <w:pPr>
        <w:numPr>
          <w:ilvl w:val="0"/>
          <w:numId w:val="25"/>
        </w:numPr>
        <w:spacing w:after="0" w:line="240" w:lineRule="auto"/>
        <w:ind w:right="-358"/>
        <w:rPr>
          <w:rFonts w:ascii="Times New Roman" w:eastAsia="Times New Roman" w:hAnsi="Times New Roman" w:cs="Times New Roman"/>
          <w:i/>
          <w:iCs/>
          <w:sz w:val="22"/>
          <w:szCs w:val="22"/>
          <w:lang w:val="en-GB"/>
        </w:rPr>
      </w:pPr>
      <w:r w:rsidRPr="00132956">
        <w:rPr>
          <w:rFonts w:ascii="Times New Roman" w:eastAsia="Times New Roman" w:hAnsi="Times New Roman" w:cs="Times New Roman"/>
          <w:sz w:val="22"/>
          <w:szCs w:val="22"/>
          <w:lang w:val="en-GB"/>
        </w:rPr>
        <w:t>Mutaz</w:t>
      </w:r>
      <w:r w:rsidR="00E8775C">
        <w:rPr>
          <w:rFonts w:ascii="Times New Roman" w:eastAsia="Times New Roman" w:hAnsi="Times New Roman" w:cs="Times New Roman"/>
          <w:sz w:val="22"/>
          <w:szCs w:val="22"/>
          <w:lang w:val="en-GB"/>
        </w:rPr>
        <w:t xml:space="preserve"> </w:t>
      </w:r>
      <w:r w:rsidRPr="00132956">
        <w:rPr>
          <w:rFonts w:ascii="Times New Roman" w:eastAsia="Times New Roman" w:hAnsi="Times New Roman" w:cs="Times New Roman"/>
          <w:sz w:val="22"/>
          <w:szCs w:val="22"/>
          <w:lang w:val="en-GB"/>
        </w:rPr>
        <w:t>Qafisheh, Director of the Legal Aid Clinic</w:t>
      </w:r>
    </w:p>
    <w:p w:rsidR="005827A4" w:rsidRPr="00132956" w:rsidRDefault="005827A4" w:rsidP="00132956">
      <w:pPr>
        <w:numPr>
          <w:ilvl w:val="0"/>
          <w:numId w:val="25"/>
        </w:numPr>
        <w:spacing w:after="0" w:line="240" w:lineRule="auto"/>
        <w:ind w:right="-358"/>
        <w:rPr>
          <w:rFonts w:ascii="Times New Roman" w:eastAsia="Times New Roman" w:hAnsi="Times New Roman" w:cs="Times New Roman"/>
          <w:i/>
          <w:iCs/>
          <w:sz w:val="22"/>
          <w:szCs w:val="22"/>
          <w:lang w:val="en-GB"/>
        </w:rPr>
      </w:pPr>
      <w:r w:rsidRPr="00132956">
        <w:rPr>
          <w:rFonts w:ascii="Times New Roman" w:eastAsia="Times New Roman" w:hAnsi="Times New Roman" w:cs="Times New Roman"/>
          <w:sz w:val="22"/>
          <w:szCs w:val="22"/>
          <w:lang w:val="en-GB"/>
        </w:rPr>
        <w:t>Hyndam</w:t>
      </w:r>
      <w:r w:rsidR="00E8775C">
        <w:rPr>
          <w:rFonts w:ascii="Times New Roman" w:eastAsia="Times New Roman" w:hAnsi="Times New Roman" w:cs="Times New Roman"/>
          <w:sz w:val="22"/>
          <w:szCs w:val="22"/>
          <w:lang w:val="en-GB"/>
        </w:rPr>
        <w:t xml:space="preserve"> </w:t>
      </w:r>
      <w:r w:rsidRPr="00132956">
        <w:rPr>
          <w:rFonts w:ascii="Times New Roman" w:eastAsia="Times New Roman" w:hAnsi="Times New Roman" w:cs="Times New Roman"/>
          <w:sz w:val="22"/>
          <w:szCs w:val="22"/>
          <w:lang w:val="en-GB"/>
        </w:rPr>
        <w:t>Rjoub, Project Coordinator</w:t>
      </w:r>
    </w:p>
    <w:p w:rsidR="005827A4" w:rsidRPr="00132956" w:rsidRDefault="005827A4" w:rsidP="00132956">
      <w:pPr>
        <w:spacing w:after="0" w:line="240" w:lineRule="auto"/>
        <w:ind w:left="450" w:right="-358"/>
        <w:rPr>
          <w:rFonts w:ascii="Times New Roman" w:eastAsia="Times New Roman" w:hAnsi="Times New Roman" w:cs="Times New Roman"/>
          <w:i/>
          <w:iCs/>
          <w:sz w:val="22"/>
          <w:szCs w:val="22"/>
          <w:lang w:val="en-GB"/>
        </w:rPr>
      </w:pPr>
    </w:p>
    <w:p w:rsidR="005827A4" w:rsidRPr="00132956" w:rsidRDefault="005827A4" w:rsidP="00132956">
      <w:pPr>
        <w:numPr>
          <w:ilvl w:val="0"/>
          <w:numId w:val="25"/>
        </w:numPr>
        <w:spacing w:after="0" w:line="240" w:lineRule="auto"/>
        <w:ind w:right="-358"/>
        <w:rPr>
          <w:rFonts w:ascii="Times New Roman" w:eastAsia="Times New Roman" w:hAnsi="Times New Roman" w:cs="Times New Roman"/>
          <w:i/>
          <w:iCs/>
          <w:sz w:val="22"/>
          <w:szCs w:val="22"/>
          <w:lang w:val="en-GB"/>
        </w:rPr>
      </w:pPr>
      <w:r w:rsidRPr="00132956">
        <w:rPr>
          <w:rFonts w:ascii="Times New Roman" w:eastAsia="Times New Roman" w:hAnsi="Times New Roman" w:cs="Times New Roman"/>
          <w:b/>
          <w:bCs/>
          <w:sz w:val="22"/>
          <w:szCs w:val="22"/>
          <w:lang w:val="en-GB"/>
        </w:rPr>
        <w:t>Focus group discussion with beneficiaries (5-7)</w:t>
      </w:r>
    </w:p>
    <w:p w:rsidR="005827A4" w:rsidRPr="00132956" w:rsidRDefault="005827A4" w:rsidP="00132956">
      <w:pPr>
        <w:spacing w:after="0" w:line="240" w:lineRule="auto"/>
        <w:ind w:right="-358"/>
        <w:rPr>
          <w:rFonts w:ascii="Times New Roman" w:eastAsia="Times New Roman" w:hAnsi="Times New Roman" w:cs="Times New Roman"/>
          <w:i/>
          <w:iCs/>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i/>
          <w:iCs/>
          <w:sz w:val="22"/>
          <w:szCs w:val="22"/>
          <w:lang w:val="en-GB"/>
        </w:rPr>
      </w:pPr>
      <w:r w:rsidRPr="00132956">
        <w:rPr>
          <w:rFonts w:ascii="Times New Roman" w:eastAsia="Times New Roman" w:hAnsi="Times New Roman" w:cs="Times New Roman"/>
          <w:i/>
          <w:iCs/>
          <w:sz w:val="22"/>
          <w:szCs w:val="22"/>
          <w:lang w:val="en-GB"/>
        </w:rPr>
        <w:t>Venue: Hebron University (Hebron)</w:t>
      </w:r>
    </w:p>
    <w:p w:rsidR="005827A4" w:rsidRPr="00132956" w:rsidRDefault="005827A4" w:rsidP="00132956">
      <w:pPr>
        <w:spacing w:after="0" w:line="240" w:lineRule="auto"/>
        <w:ind w:right="-358"/>
        <w:rPr>
          <w:rFonts w:ascii="Times New Roman" w:eastAsia="Times New Roman" w:hAnsi="Times New Roman" w:cs="Times New Roman"/>
          <w:b/>
          <w:bCs/>
          <w:sz w:val="22"/>
          <w:szCs w:val="22"/>
          <w:u w:val="single"/>
          <w:lang w:val="en-GB"/>
        </w:rPr>
      </w:pPr>
    </w:p>
    <w:p w:rsidR="005827A4" w:rsidRPr="00132956" w:rsidRDefault="005827A4" w:rsidP="00132956">
      <w:pPr>
        <w:spacing w:after="0" w:line="240" w:lineRule="auto"/>
        <w:ind w:left="-270" w:right="-358"/>
        <w:rPr>
          <w:rFonts w:ascii="Times New Roman" w:eastAsia="Times New Roman" w:hAnsi="Times New Roman" w:cs="Times New Roman"/>
          <w:b/>
          <w:bCs/>
          <w:i/>
          <w:iCs/>
          <w:sz w:val="22"/>
          <w:szCs w:val="22"/>
          <w:lang w:val="en-GB"/>
        </w:rPr>
      </w:pPr>
      <w:r w:rsidRPr="00132956">
        <w:rPr>
          <w:rFonts w:ascii="Times New Roman" w:eastAsia="Times New Roman" w:hAnsi="Times New Roman" w:cs="Times New Roman"/>
          <w:b/>
          <w:bCs/>
          <w:i/>
          <w:iCs/>
          <w:sz w:val="22"/>
          <w:szCs w:val="22"/>
          <w:lang w:val="en-GB"/>
        </w:rPr>
        <w:t>11:30-13:30 Women’s Centre for Legal Aid and Counselling</w:t>
      </w:r>
    </w:p>
    <w:p w:rsidR="005827A4" w:rsidRPr="00132956" w:rsidRDefault="005827A4" w:rsidP="00132956">
      <w:pPr>
        <w:spacing w:after="0" w:line="240" w:lineRule="auto"/>
        <w:ind w:right="-358"/>
        <w:rPr>
          <w:rFonts w:ascii="Times New Roman" w:eastAsia="Times New Roman" w:hAnsi="Times New Roman" w:cs="Times New Roman"/>
          <w:sz w:val="22"/>
          <w:szCs w:val="22"/>
          <w:lang w:val="en-GB"/>
        </w:rPr>
      </w:pPr>
    </w:p>
    <w:p w:rsidR="005827A4" w:rsidRPr="00132956" w:rsidRDefault="005827A4" w:rsidP="00132956">
      <w:pPr>
        <w:numPr>
          <w:ilvl w:val="0"/>
          <w:numId w:val="23"/>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Maha Abu-Dayeh, General Director</w:t>
      </w:r>
    </w:p>
    <w:p w:rsidR="005827A4" w:rsidRPr="00132956" w:rsidRDefault="005827A4" w:rsidP="00132956">
      <w:pPr>
        <w:numPr>
          <w:ilvl w:val="0"/>
          <w:numId w:val="23"/>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Wejdan</w:t>
      </w:r>
      <w:r w:rsidR="00E8775C">
        <w:rPr>
          <w:rFonts w:ascii="Times New Roman" w:eastAsia="Times New Roman" w:hAnsi="Times New Roman" w:cs="Times New Roman"/>
          <w:sz w:val="22"/>
          <w:szCs w:val="22"/>
          <w:lang w:val="en-GB"/>
        </w:rPr>
        <w:t xml:space="preserve"> </w:t>
      </w:r>
      <w:r w:rsidRPr="00132956">
        <w:rPr>
          <w:rFonts w:ascii="Times New Roman" w:eastAsia="Times New Roman" w:hAnsi="Times New Roman" w:cs="Times New Roman"/>
          <w:sz w:val="22"/>
          <w:szCs w:val="22"/>
          <w:lang w:val="en-GB"/>
        </w:rPr>
        <w:t>Jaber, Programme Manager</w:t>
      </w:r>
    </w:p>
    <w:p w:rsidR="005827A4" w:rsidRPr="00132956" w:rsidRDefault="005827A4" w:rsidP="00132956">
      <w:pPr>
        <w:spacing w:after="0" w:line="240" w:lineRule="auto"/>
        <w:ind w:left="720" w:right="-358"/>
        <w:rPr>
          <w:rFonts w:ascii="Times New Roman" w:eastAsia="Times New Roman" w:hAnsi="Times New Roman" w:cs="Times New Roman"/>
          <w:sz w:val="22"/>
          <w:szCs w:val="22"/>
          <w:lang w:val="en-GB"/>
        </w:rPr>
      </w:pPr>
    </w:p>
    <w:p w:rsidR="005827A4" w:rsidRPr="00132956" w:rsidRDefault="005827A4" w:rsidP="00132956">
      <w:pPr>
        <w:numPr>
          <w:ilvl w:val="0"/>
          <w:numId w:val="23"/>
        </w:numPr>
        <w:spacing w:after="0" w:line="240" w:lineRule="auto"/>
        <w:ind w:right="-358"/>
        <w:rPr>
          <w:rFonts w:ascii="Times New Roman" w:eastAsia="Times New Roman" w:hAnsi="Times New Roman" w:cs="Times New Roman"/>
          <w:b/>
          <w:bCs/>
          <w:sz w:val="22"/>
          <w:szCs w:val="22"/>
          <w:lang w:val="en-GB"/>
        </w:rPr>
      </w:pPr>
      <w:r w:rsidRPr="00132956">
        <w:rPr>
          <w:rFonts w:ascii="Times New Roman" w:eastAsia="Times New Roman" w:hAnsi="Times New Roman" w:cs="Times New Roman"/>
          <w:b/>
          <w:bCs/>
          <w:sz w:val="22"/>
          <w:szCs w:val="22"/>
          <w:lang w:val="en-GB"/>
        </w:rPr>
        <w:t>Focus group discussion with beneficiaries (7-9)</w:t>
      </w:r>
    </w:p>
    <w:p w:rsidR="005827A4" w:rsidRPr="00132956" w:rsidRDefault="005827A4" w:rsidP="00132956">
      <w:pPr>
        <w:spacing w:after="0" w:line="240" w:lineRule="auto"/>
        <w:ind w:right="-358"/>
        <w:rPr>
          <w:rFonts w:ascii="Times New Roman" w:eastAsia="Times New Roman" w:hAnsi="Times New Roman" w:cs="Times New Roman"/>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i/>
          <w:iCs/>
          <w:sz w:val="22"/>
          <w:szCs w:val="22"/>
          <w:lang w:val="en-GB"/>
        </w:rPr>
      </w:pPr>
      <w:r w:rsidRPr="00132956">
        <w:rPr>
          <w:rFonts w:ascii="Times New Roman" w:eastAsia="Times New Roman" w:hAnsi="Times New Roman" w:cs="Times New Roman"/>
          <w:i/>
          <w:iCs/>
          <w:sz w:val="22"/>
          <w:szCs w:val="22"/>
          <w:lang w:val="en-GB"/>
        </w:rPr>
        <w:t>Venue: Women’s Centre for Legal Aid and Counselling (Hebron)</w:t>
      </w:r>
    </w:p>
    <w:p w:rsidR="005827A4" w:rsidRPr="00132956" w:rsidRDefault="005827A4" w:rsidP="00132956">
      <w:pPr>
        <w:spacing w:after="0" w:line="240" w:lineRule="auto"/>
        <w:ind w:right="-358"/>
        <w:rPr>
          <w:rFonts w:ascii="Times New Roman" w:eastAsia="Times New Roman" w:hAnsi="Times New Roman" w:cs="Times New Roman"/>
          <w:b/>
          <w:bCs/>
          <w:sz w:val="22"/>
          <w:szCs w:val="22"/>
          <w:u w:val="single"/>
          <w:lang w:val="en-GB"/>
        </w:rPr>
      </w:pPr>
    </w:p>
    <w:p w:rsidR="005827A4" w:rsidRPr="00132956" w:rsidRDefault="005827A4" w:rsidP="00132956">
      <w:pPr>
        <w:spacing w:after="0" w:line="240" w:lineRule="auto"/>
        <w:ind w:left="-270" w:right="-358"/>
        <w:rPr>
          <w:rFonts w:ascii="Times New Roman" w:eastAsia="Times New Roman" w:hAnsi="Times New Roman" w:cs="Times New Roman"/>
          <w:b/>
          <w:bCs/>
          <w:i/>
          <w:iCs/>
          <w:sz w:val="22"/>
          <w:szCs w:val="22"/>
          <w:lang w:val="en-GB"/>
        </w:rPr>
      </w:pPr>
      <w:r w:rsidRPr="00132956">
        <w:rPr>
          <w:rFonts w:ascii="Times New Roman" w:eastAsia="Times New Roman" w:hAnsi="Times New Roman" w:cs="Times New Roman"/>
          <w:b/>
          <w:bCs/>
          <w:i/>
          <w:iCs/>
          <w:sz w:val="22"/>
          <w:szCs w:val="22"/>
          <w:lang w:val="en-GB"/>
        </w:rPr>
        <w:t xml:space="preserve">14:00-16:00 Tour in Hebron </w:t>
      </w:r>
    </w:p>
    <w:p w:rsidR="005827A4" w:rsidRPr="00132956" w:rsidRDefault="005827A4" w:rsidP="00132956">
      <w:pPr>
        <w:spacing w:after="0" w:line="240" w:lineRule="auto"/>
        <w:ind w:right="-358"/>
        <w:rPr>
          <w:rFonts w:ascii="Times New Roman" w:eastAsia="Times New Roman" w:hAnsi="Times New Roman" w:cs="Times New Roman"/>
          <w:b/>
          <w:bCs/>
          <w:sz w:val="22"/>
          <w:szCs w:val="22"/>
          <w:u w:val="single"/>
          <w:lang w:val="en-GB"/>
        </w:rPr>
      </w:pPr>
    </w:p>
    <w:p w:rsidR="005827A4" w:rsidRPr="00132956" w:rsidRDefault="005827A4" w:rsidP="00132956">
      <w:pPr>
        <w:spacing w:after="0" w:line="240" w:lineRule="auto"/>
        <w:ind w:left="-270" w:right="-358"/>
        <w:jc w:val="center"/>
        <w:rPr>
          <w:rFonts w:ascii="Times New Roman" w:eastAsia="Times New Roman" w:hAnsi="Times New Roman" w:cs="Times New Roman"/>
          <w:b/>
          <w:bCs/>
          <w:sz w:val="22"/>
          <w:szCs w:val="22"/>
          <w:u w:val="single"/>
          <w:lang w:val="en-GB"/>
        </w:rPr>
      </w:pPr>
      <w:r w:rsidRPr="00132956">
        <w:rPr>
          <w:rFonts w:ascii="Times New Roman" w:eastAsia="Times New Roman" w:hAnsi="Times New Roman" w:cs="Times New Roman"/>
          <w:b/>
          <w:bCs/>
          <w:sz w:val="22"/>
          <w:szCs w:val="22"/>
          <w:u w:val="single"/>
          <w:lang w:val="en-GB"/>
        </w:rPr>
        <w:t>Monday, 28 January 2013</w:t>
      </w:r>
    </w:p>
    <w:p w:rsidR="005827A4" w:rsidRPr="00132956" w:rsidRDefault="005827A4" w:rsidP="00132956">
      <w:pPr>
        <w:spacing w:after="0" w:line="240" w:lineRule="auto"/>
        <w:ind w:right="-358"/>
        <w:rPr>
          <w:rFonts w:ascii="Times New Roman" w:eastAsia="Times New Roman" w:hAnsi="Times New Roman" w:cs="Times New Roman"/>
          <w:b/>
          <w:bCs/>
          <w:i/>
          <w:iCs/>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b/>
          <w:bCs/>
          <w:i/>
          <w:iCs/>
          <w:sz w:val="22"/>
          <w:szCs w:val="22"/>
          <w:lang w:val="en-GB"/>
        </w:rPr>
      </w:pPr>
      <w:r w:rsidRPr="00132956">
        <w:rPr>
          <w:rFonts w:ascii="Times New Roman" w:eastAsia="Times New Roman" w:hAnsi="Times New Roman" w:cs="Times New Roman"/>
          <w:b/>
          <w:bCs/>
          <w:i/>
          <w:iCs/>
          <w:sz w:val="22"/>
          <w:szCs w:val="22"/>
          <w:lang w:val="en-GB"/>
        </w:rPr>
        <w:t>09:30-10:15 Visit to Court Information Point (Jenin)</w:t>
      </w:r>
    </w:p>
    <w:p w:rsidR="005827A4" w:rsidRPr="00132956" w:rsidRDefault="005827A4" w:rsidP="00132956">
      <w:pPr>
        <w:spacing w:after="0" w:line="240" w:lineRule="auto"/>
        <w:ind w:right="-358"/>
        <w:rPr>
          <w:rFonts w:ascii="Times New Roman" w:eastAsia="Times New Roman" w:hAnsi="Times New Roman" w:cs="Times New Roman"/>
          <w:b/>
          <w:bCs/>
          <w:i/>
          <w:iCs/>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b/>
          <w:bCs/>
          <w:i/>
          <w:iCs/>
          <w:sz w:val="22"/>
          <w:szCs w:val="22"/>
          <w:lang w:val="en-GB"/>
        </w:rPr>
      </w:pPr>
      <w:r w:rsidRPr="00132956">
        <w:rPr>
          <w:rFonts w:ascii="Times New Roman" w:eastAsia="Times New Roman" w:hAnsi="Times New Roman" w:cs="Times New Roman"/>
          <w:b/>
          <w:bCs/>
          <w:i/>
          <w:iCs/>
          <w:sz w:val="22"/>
          <w:szCs w:val="22"/>
          <w:lang w:val="en-GB"/>
        </w:rPr>
        <w:t>11.30</w:t>
      </w:r>
      <w:r w:rsidR="0019654C">
        <w:rPr>
          <w:rFonts w:ascii="Times New Roman" w:eastAsia="Times New Roman" w:hAnsi="Times New Roman" w:cs="Times New Roman"/>
          <w:b/>
          <w:bCs/>
          <w:i/>
          <w:iCs/>
          <w:sz w:val="22"/>
          <w:szCs w:val="22"/>
          <w:lang w:val="en-GB"/>
        </w:rPr>
        <w:t xml:space="preserve"> -13:30 </w:t>
      </w:r>
      <w:r w:rsidRPr="00132956">
        <w:rPr>
          <w:rFonts w:ascii="Times New Roman" w:eastAsia="Times New Roman" w:hAnsi="Times New Roman" w:cs="Times New Roman"/>
          <w:b/>
          <w:bCs/>
          <w:i/>
          <w:iCs/>
          <w:sz w:val="22"/>
          <w:szCs w:val="22"/>
          <w:lang w:val="en-GB"/>
        </w:rPr>
        <w:t>Juhoud and Women for Life</w:t>
      </w:r>
    </w:p>
    <w:p w:rsidR="005827A4" w:rsidRPr="00132956" w:rsidRDefault="005827A4" w:rsidP="0019654C">
      <w:pPr>
        <w:spacing w:after="0" w:line="240" w:lineRule="auto"/>
        <w:ind w:right="-358"/>
        <w:rPr>
          <w:rFonts w:ascii="Times New Roman" w:eastAsia="Times New Roman" w:hAnsi="Times New Roman" w:cs="Times New Roman"/>
          <w:b/>
          <w:bCs/>
          <w:i/>
          <w:iCs/>
          <w:sz w:val="22"/>
          <w:szCs w:val="22"/>
          <w:lang w:val="en-GB"/>
        </w:rPr>
      </w:pPr>
    </w:p>
    <w:p w:rsidR="005827A4" w:rsidRPr="00132956" w:rsidRDefault="005827A4" w:rsidP="00132956">
      <w:pPr>
        <w:numPr>
          <w:ilvl w:val="0"/>
          <w:numId w:val="26"/>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Samira Al-Masri, Project Coordinator</w:t>
      </w:r>
    </w:p>
    <w:p w:rsidR="005827A4" w:rsidRPr="00132956" w:rsidRDefault="005827A4" w:rsidP="00132956">
      <w:pPr>
        <w:numPr>
          <w:ilvl w:val="0"/>
          <w:numId w:val="26"/>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Fatima Ali Issa, Programme Manager</w:t>
      </w:r>
    </w:p>
    <w:p w:rsidR="005827A4" w:rsidRPr="00132956" w:rsidRDefault="005827A4" w:rsidP="00132956">
      <w:pPr>
        <w:spacing w:after="0" w:line="240" w:lineRule="auto"/>
        <w:ind w:left="450" w:right="-358"/>
        <w:rPr>
          <w:rFonts w:ascii="Times New Roman" w:eastAsia="Times New Roman" w:hAnsi="Times New Roman" w:cs="Times New Roman"/>
          <w:sz w:val="22"/>
          <w:szCs w:val="22"/>
          <w:lang w:val="en-GB"/>
        </w:rPr>
      </w:pPr>
    </w:p>
    <w:p w:rsidR="005827A4" w:rsidRPr="00132956" w:rsidRDefault="005827A4" w:rsidP="00132956">
      <w:pPr>
        <w:numPr>
          <w:ilvl w:val="0"/>
          <w:numId w:val="26"/>
        </w:numPr>
        <w:spacing w:after="0" w:line="240" w:lineRule="auto"/>
        <w:ind w:right="-358"/>
        <w:rPr>
          <w:rFonts w:ascii="Times New Roman" w:eastAsia="Times New Roman" w:hAnsi="Times New Roman" w:cs="Times New Roman"/>
          <w:i/>
          <w:iCs/>
          <w:sz w:val="22"/>
          <w:szCs w:val="22"/>
          <w:lang w:val="en-GB"/>
        </w:rPr>
      </w:pPr>
      <w:r w:rsidRPr="00132956">
        <w:rPr>
          <w:rFonts w:ascii="Times New Roman" w:eastAsia="Times New Roman" w:hAnsi="Times New Roman" w:cs="Times New Roman"/>
          <w:b/>
          <w:bCs/>
          <w:sz w:val="22"/>
          <w:szCs w:val="22"/>
          <w:lang w:val="en-GB"/>
        </w:rPr>
        <w:t>Focus group discussion with beneficiaries (10-12)</w:t>
      </w:r>
    </w:p>
    <w:p w:rsidR="005827A4" w:rsidRPr="00132956" w:rsidRDefault="005827A4" w:rsidP="00132956">
      <w:pPr>
        <w:spacing w:after="0" w:line="240" w:lineRule="auto"/>
        <w:ind w:right="-358"/>
        <w:rPr>
          <w:rFonts w:ascii="Times New Roman" w:eastAsia="Times New Roman" w:hAnsi="Times New Roman" w:cs="Times New Roman"/>
          <w:sz w:val="22"/>
          <w:szCs w:val="22"/>
          <w:lang w:val="en-GB"/>
        </w:rPr>
      </w:pPr>
    </w:p>
    <w:p w:rsidR="005827A4" w:rsidRPr="00132956" w:rsidRDefault="005827A4" w:rsidP="00132956">
      <w:pPr>
        <w:spacing w:after="0" w:line="240" w:lineRule="auto"/>
        <w:ind w:left="-270" w:right="-358"/>
        <w:jc w:val="both"/>
        <w:rPr>
          <w:rFonts w:ascii="Times New Roman" w:eastAsia="Times New Roman" w:hAnsi="Times New Roman" w:cs="Times New Roman"/>
          <w:i/>
          <w:iCs/>
          <w:sz w:val="22"/>
          <w:szCs w:val="22"/>
          <w:lang w:val="en-GB"/>
        </w:rPr>
      </w:pPr>
      <w:r w:rsidRPr="00132956">
        <w:rPr>
          <w:rFonts w:ascii="Times New Roman" w:eastAsia="Times New Roman" w:hAnsi="Times New Roman" w:cs="Times New Roman"/>
          <w:i/>
          <w:iCs/>
          <w:sz w:val="22"/>
          <w:szCs w:val="22"/>
          <w:lang w:val="en-GB"/>
        </w:rPr>
        <w:t>Venue: Village Council (Salfit)</w:t>
      </w:r>
    </w:p>
    <w:p w:rsidR="005827A4" w:rsidRPr="00132956" w:rsidRDefault="005827A4" w:rsidP="00132956">
      <w:pPr>
        <w:spacing w:after="0" w:line="240" w:lineRule="auto"/>
        <w:ind w:right="-358"/>
        <w:jc w:val="both"/>
        <w:rPr>
          <w:rFonts w:ascii="Times New Roman" w:eastAsia="Times New Roman" w:hAnsi="Times New Roman" w:cs="Times New Roman"/>
          <w:i/>
          <w:iCs/>
          <w:sz w:val="22"/>
          <w:szCs w:val="22"/>
          <w:lang w:val="en-GB"/>
        </w:rPr>
      </w:pPr>
    </w:p>
    <w:p w:rsidR="005827A4" w:rsidRPr="00132956" w:rsidRDefault="005827A4" w:rsidP="00132956">
      <w:pPr>
        <w:spacing w:after="0" w:line="240" w:lineRule="auto"/>
        <w:ind w:left="-270" w:right="-358"/>
        <w:jc w:val="both"/>
        <w:rPr>
          <w:rFonts w:ascii="Times New Roman" w:eastAsia="Times New Roman" w:hAnsi="Times New Roman" w:cs="Times New Roman"/>
          <w:b/>
          <w:i/>
          <w:iCs/>
          <w:sz w:val="22"/>
          <w:szCs w:val="22"/>
          <w:lang w:val="en-GB"/>
        </w:rPr>
      </w:pPr>
      <w:r w:rsidRPr="00132956">
        <w:rPr>
          <w:rFonts w:ascii="Times New Roman" w:eastAsia="Times New Roman" w:hAnsi="Times New Roman" w:cs="Times New Roman"/>
          <w:b/>
          <w:i/>
          <w:iCs/>
          <w:sz w:val="22"/>
          <w:szCs w:val="22"/>
          <w:lang w:val="en-GB"/>
        </w:rPr>
        <w:t>14:00-15:30 Meeting with PLC Members</w:t>
      </w:r>
    </w:p>
    <w:p w:rsidR="005827A4" w:rsidRPr="00132956" w:rsidRDefault="005827A4" w:rsidP="0019654C">
      <w:pPr>
        <w:spacing w:after="0" w:line="240" w:lineRule="auto"/>
        <w:ind w:right="-358"/>
        <w:jc w:val="both"/>
        <w:rPr>
          <w:rFonts w:ascii="Times New Roman" w:eastAsia="Times New Roman" w:hAnsi="Times New Roman" w:cs="Times New Roman"/>
          <w:i/>
          <w:iCs/>
          <w:sz w:val="22"/>
          <w:szCs w:val="22"/>
          <w:lang w:val="en-GB"/>
        </w:rPr>
      </w:pPr>
    </w:p>
    <w:p w:rsidR="005827A4" w:rsidRPr="00132956" w:rsidRDefault="0019654C" w:rsidP="00132956">
      <w:pPr>
        <w:spacing w:after="0" w:line="240" w:lineRule="auto"/>
        <w:ind w:left="-270" w:right="-358"/>
        <w:jc w:val="both"/>
        <w:rPr>
          <w:rFonts w:ascii="Times New Roman" w:eastAsia="Times New Roman" w:hAnsi="Times New Roman" w:cs="Times New Roman"/>
          <w:i/>
          <w:iCs/>
          <w:sz w:val="22"/>
          <w:szCs w:val="22"/>
          <w:lang w:val="en-GB"/>
        </w:rPr>
      </w:pPr>
      <w:r>
        <w:rPr>
          <w:rFonts w:ascii="Times New Roman" w:eastAsia="Times New Roman" w:hAnsi="Times New Roman" w:cs="Times New Roman"/>
          <w:i/>
          <w:iCs/>
          <w:sz w:val="22"/>
          <w:szCs w:val="22"/>
          <w:lang w:val="en-GB"/>
        </w:rPr>
        <w:t xml:space="preserve">Venue: </w:t>
      </w:r>
      <w:r w:rsidR="005827A4" w:rsidRPr="00132956">
        <w:rPr>
          <w:rFonts w:ascii="Times New Roman" w:eastAsia="Times New Roman" w:hAnsi="Times New Roman" w:cs="Times New Roman"/>
          <w:i/>
          <w:iCs/>
          <w:sz w:val="22"/>
          <w:szCs w:val="22"/>
          <w:lang w:val="en-GB"/>
        </w:rPr>
        <w:t>TBC</w:t>
      </w:r>
    </w:p>
    <w:p w:rsidR="005827A4" w:rsidRPr="00132956" w:rsidRDefault="005827A4" w:rsidP="00132956">
      <w:pPr>
        <w:spacing w:after="0" w:line="240" w:lineRule="auto"/>
        <w:ind w:left="-270" w:right="-358"/>
        <w:jc w:val="both"/>
        <w:rPr>
          <w:rFonts w:ascii="Times New Roman" w:eastAsia="Times New Roman" w:hAnsi="Times New Roman" w:cs="Times New Roman"/>
          <w:i/>
          <w:iCs/>
          <w:sz w:val="22"/>
          <w:szCs w:val="22"/>
          <w:lang w:val="en-GB"/>
        </w:rPr>
      </w:pPr>
    </w:p>
    <w:p w:rsidR="005827A4" w:rsidRPr="00132956" w:rsidRDefault="005827A4" w:rsidP="00132956">
      <w:pPr>
        <w:spacing w:after="0" w:line="240" w:lineRule="auto"/>
        <w:ind w:left="-270" w:right="-358"/>
        <w:jc w:val="center"/>
        <w:rPr>
          <w:rFonts w:ascii="Times New Roman" w:eastAsia="Times New Roman" w:hAnsi="Times New Roman" w:cs="Times New Roman"/>
          <w:b/>
          <w:bCs/>
          <w:sz w:val="22"/>
          <w:szCs w:val="22"/>
          <w:u w:val="single"/>
          <w:lang w:val="en-GB"/>
        </w:rPr>
      </w:pPr>
      <w:r w:rsidRPr="00132956">
        <w:rPr>
          <w:rFonts w:ascii="Times New Roman" w:eastAsia="Times New Roman" w:hAnsi="Times New Roman" w:cs="Times New Roman"/>
          <w:b/>
          <w:bCs/>
          <w:sz w:val="22"/>
          <w:szCs w:val="22"/>
          <w:u w:val="single"/>
          <w:lang w:val="en-GB"/>
        </w:rPr>
        <w:t>Tuesday, 29 January 2013</w:t>
      </w:r>
    </w:p>
    <w:p w:rsidR="005827A4" w:rsidRPr="00132956" w:rsidRDefault="005827A4" w:rsidP="00132956">
      <w:pPr>
        <w:spacing w:after="0" w:line="240" w:lineRule="auto"/>
        <w:ind w:left="-270" w:right="-358"/>
        <w:rPr>
          <w:rFonts w:ascii="Times New Roman" w:eastAsia="Times New Roman" w:hAnsi="Times New Roman" w:cs="Times New Roman"/>
          <w:b/>
          <w:bCs/>
          <w:sz w:val="22"/>
          <w:szCs w:val="22"/>
          <w:u w:val="single"/>
          <w:lang w:val="en-GB"/>
        </w:rPr>
      </w:pPr>
    </w:p>
    <w:p w:rsidR="005827A4" w:rsidRPr="00132956" w:rsidRDefault="005827A4" w:rsidP="00132956">
      <w:pPr>
        <w:spacing w:after="0" w:line="240" w:lineRule="auto"/>
        <w:ind w:left="-270" w:right="-358"/>
        <w:rPr>
          <w:rFonts w:ascii="Times New Roman" w:eastAsia="Times New Roman" w:hAnsi="Times New Roman" w:cs="Times New Roman"/>
          <w:b/>
          <w:bCs/>
          <w:i/>
          <w:iCs/>
          <w:sz w:val="22"/>
          <w:szCs w:val="22"/>
          <w:lang w:val="en-GB"/>
        </w:rPr>
      </w:pPr>
      <w:r w:rsidRPr="00132956">
        <w:rPr>
          <w:rFonts w:ascii="Times New Roman" w:eastAsia="Times New Roman" w:hAnsi="Times New Roman" w:cs="Times New Roman"/>
          <w:b/>
          <w:bCs/>
          <w:i/>
          <w:iCs/>
          <w:sz w:val="22"/>
          <w:szCs w:val="22"/>
          <w:lang w:val="en-GB"/>
        </w:rPr>
        <w:t>Drafting day</w:t>
      </w:r>
    </w:p>
    <w:p w:rsidR="005827A4" w:rsidRPr="00132956" w:rsidRDefault="005827A4" w:rsidP="00132956">
      <w:pPr>
        <w:spacing w:after="0" w:line="240" w:lineRule="auto"/>
        <w:ind w:right="-358"/>
        <w:rPr>
          <w:rFonts w:ascii="Times New Roman" w:eastAsia="Times New Roman" w:hAnsi="Times New Roman" w:cs="Times New Roman"/>
          <w:b/>
          <w:bCs/>
          <w:i/>
          <w:iCs/>
          <w:sz w:val="22"/>
          <w:szCs w:val="22"/>
          <w:lang w:val="en-GB"/>
        </w:rPr>
      </w:pPr>
    </w:p>
    <w:p w:rsidR="005827A4" w:rsidRPr="00132956" w:rsidRDefault="005827A4" w:rsidP="00132956">
      <w:pPr>
        <w:spacing w:after="0" w:line="240" w:lineRule="auto"/>
        <w:ind w:left="-270" w:right="-358"/>
        <w:jc w:val="center"/>
        <w:rPr>
          <w:rFonts w:ascii="Times New Roman" w:eastAsia="Times New Roman" w:hAnsi="Times New Roman" w:cs="Times New Roman"/>
          <w:b/>
          <w:bCs/>
          <w:sz w:val="22"/>
          <w:szCs w:val="22"/>
          <w:u w:val="single"/>
          <w:lang w:val="en-GB"/>
        </w:rPr>
      </w:pPr>
      <w:r w:rsidRPr="00132956">
        <w:rPr>
          <w:rFonts w:ascii="Times New Roman" w:eastAsia="Times New Roman" w:hAnsi="Times New Roman" w:cs="Times New Roman"/>
          <w:b/>
          <w:bCs/>
          <w:sz w:val="22"/>
          <w:szCs w:val="22"/>
          <w:u w:val="single"/>
          <w:lang w:val="en-GB"/>
        </w:rPr>
        <w:lastRenderedPageBreak/>
        <w:t>Wednesday, 30 January 2012</w:t>
      </w:r>
    </w:p>
    <w:p w:rsidR="005827A4" w:rsidRPr="00132956" w:rsidRDefault="005827A4" w:rsidP="00132956">
      <w:pPr>
        <w:spacing w:after="0" w:line="240" w:lineRule="auto"/>
        <w:ind w:right="-358"/>
        <w:rPr>
          <w:rFonts w:ascii="Times New Roman" w:eastAsia="Times New Roman" w:hAnsi="Times New Roman" w:cs="Times New Roman"/>
          <w:b/>
          <w:bCs/>
          <w:i/>
          <w:iCs/>
          <w:sz w:val="22"/>
          <w:szCs w:val="22"/>
          <w:lang w:val="en-GB"/>
        </w:rPr>
      </w:pPr>
    </w:p>
    <w:p w:rsidR="005827A4" w:rsidRPr="00132956" w:rsidRDefault="005827A4" w:rsidP="00132956">
      <w:pPr>
        <w:spacing w:after="0" w:line="240" w:lineRule="auto"/>
        <w:ind w:left="-270" w:right="-358"/>
        <w:jc w:val="both"/>
        <w:rPr>
          <w:rFonts w:ascii="Times New Roman" w:eastAsia="Times New Roman" w:hAnsi="Times New Roman" w:cs="Times New Roman"/>
          <w:b/>
          <w:bCs/>
          <w:i/>
          <w:iCs/>
          <w:sz w:val="22"/>
          <w:szCs w:val="22"/>
          <w:lang w:val="en-GB"/>
        </w:rPr>
      </w:pPr>
      <w:r w:rsidRPr="00132956">
        <w:rPr>
          <w:rFonts w:ascii="Times New Roman" w:eastAsia="Times New Roman" w:hAnsi="Times New Roman" w:cs="Times New Roman"/>
          <w:b/>
          <w:bCs/>
          <w:i/>
          <w:iCs/>
          <w:sz w:val="22"/>
          <w:szCs w:val="22"/>
          <w:lang w:val="en-GB"/>
        </w:rPr>
        <w:t>Preparation for debriefings</w:t>
      </w:r>
    </w:p>
    <w:p w:rsidR="005827A4" w:rsidRPr="00132956" w:rsidRDefault="005827A4" w:rsidP="00132956">
      <w:pPr>
        <w:spacing w:after="0" w:line="240" w:lineRule="auto"/>
        <w:ind w:left="-270" w:right="-358"/>
        <w:jc w:val="center"/>
        <w:rPr>
          <w:rFonts w:ascii="Times New Roman" w:eastAsia="Times New Roman" w:hAnsi="Times New Roman" w:cs="Times New Roman"/>
          <w:b/>
          <w:bCs/>
          <w:sz w:val="22"/>
          <w:szCs w:val="22"/>
          <w:u w:val="single"/>
          <w:lang w:val="en-GB"/>
        </w:rPr>
      </w:pPr>
    </w:p>
    <w:p w:rsidR="005827A4" w:rsidRPr="00132956" w:rsidRDefault="005827A4" w:rsidP="00132956">
      <w:pPr>
        <w:spacing w:after="0" w:line="240" w:lineRule="auto"/>
        <w:ind w:left="-270" w:right="-358"/>
        <w:jc w:val="center"/>
        <w:rPr>
          <w:rFonts w:ascii="Times New Roman" w:eastAsia="Times New Roman" w:hAnsi="Times New Roman" w:cs="Times New Roman"/>
          <w:b/>
          <w:bCs/>
          <w:sz w:val="22"/>
          <w:szCs w:val="22"/>
          <w:u w:val="single"/>
          <w:lang w:val="en-GB"/>
        </w:rPr>
      </w:pPr>
      <w:r w:rsidRPr="00132956">
        <w:rPr>
          <w:rFonts w:ascii="Times New Roman" w:eastAsia="Times New Roman" w:hAnsi="Times New Roman" w:cs="Times New Roman"/>
          <w:b/>
          <w:bCs/>
          <w:sz w:val="22"/>
          <w:szCs w:val="22"/>
          <w:u w:val="single"/>
          <w:lang w:val="en-GB"/>
        </w:rPr>
        <w:t>Thursday, 31 January 2012</w:t>
      </w:r>
    </w:p>
    <w:p w:rsidR="005827A4" w:rsidRPr="00132956" w:rsidRDefault="005827A4" w:rsidP="00132956">
      <w:pPr>
        <w:spacing w:after="0" w:line="240" w:lineRule="auto"/>
        <w:ind w:left="-270" w:right="-358"/>
        <w:rPr>
          <w:rFonts w:ascii="Times New Roman" w:eastAsia="Times New Roman" w:hAnsi="Times New Roman" w:cs="Times New Roman"/>
          <w:b/>
          <w:bCs/>
          <w:i/>
          <w:iCs/>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b/>
          <w:bCs/>
          <w:i/>
          <w:iCs/>
          <w:sz w:val="22"/>
          <w:szCs w:val="22"/>
          <w:lang w:val="en-GB"/>
        </w:rPr>
      </w:pPr>
      <w:r w:rsidRPr="00132956">
        <w:rPr>
          <w:rFonts w:ascii="Times New Roman" w:eastAsia="Times New Roman" w:hAnsi="Times New Roman" w:cs="Times New Roman"/>
          <w:b/>
          <w:bCs/>
          <w:i/>
          <w:iCs/>
          <w:sz w:val="22"/>
          <w:szCs w:val="22"/>
          <w:lang w:val="en-GB"/>
        </w:rPr>
        <w:t>Debriefings</w:t>
      </w:r>
    </w:p>
    <w:p w:rsidR="005827A4" w:rsidRPr="00132956" w:rsidRDefault="005827A4" w:rsidP="00132956">
      <w:pPr>
        <w:spacing w:after="0" w:line="240" w:lineRule="auto"/>
        <w:ind w:left="-270" w:right="-358"/>
        <w:rPr>
          <w:rFonts w:ascii="Times New Roman" w:eastAsia="Times New Roman" w:hAnsi="Times New Roman" w:cs="Times New Roman"/>
          <w:b/>
          <w:bCs/>
          <w:i/>
          <w:iCs/>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b/>
          <w:bCs/>
          <w:i/>
          <w:iCs/>
          <w:sz w:val="22"/>
          <w:szCs w:val="22"/>
          <w:lang w:val="en-GB"/>
        </w:rPr>
      </w:pPr>
      <w:r w:rsidRPr="00132956">
        <w:rPr>
          <w:rFonts w:ascii="Times New Roman" w:eastAsia="Times New Roman" w:hAnsi="Times New Roman" w:cs="Times New Roman"/>
          <w:b/>
          <w:bCs/>
          <w:i/>
          <w:iCs/>
          <w:sz w:val="22"/>
          <w:szCs w:val="22"/>
          <w:lang w:val="en-GB"/>
        </w:rPr>
        <w:t>09:00-11:00 UNDP/</w:t>
      </w:r>
      <w:r w:rsidR="000C369C" w:rsidRPr="00132956">
        <w:rPr>
          <w:rFonts w:ascii="Times New Roman" w:eastAsia="Times New Roman" w:hAnsi="Times New Roman" w:cs="Times New Roman"/>
          <w:b/>
          <w:bCs/>
          <w:i/>
          <w:iCs/>
          <w:sz w:val="22"/>
          <w:szCs w:val="22"/>
          <w:lang w:val="en-GB"/>
        </w:rPr>
        <w:t>PAPP</w:t>
      </w:r>
    </w:p>
    <w:p w:rsidR="005827A4" w:rsidRPr="00132956" w:rsidRDefault="005827A4" w:rsidP="00132956">
      <w:pPr>
        <w:spacing w:after="0" w:line="240" w:lineRule="auto"/>
        <w:ind w:left="-270" w:right="-358"/>
        <w:rPr>
          <w:rFonts w:ascii="Times New Roman" w:eastAsia="Times New Roman" w:hAnsi="Times New Roman" w:cs="Times New Roman"/>
          <w:b/>
          <w:bCs/>
          <w:sz w:val="22"/>
          <w:szCs w:val="22"/>
          <w:lang w:val="en-GB"/>
        </w:rPr>
      </w:pPr>
    </w:p>
    <w:p w:rsidR="005827A4" w:rsidRPr="00132956" w:rsidRDefault="005827A4" w:rsidP="00132956">
      <w:pPr>
        <w:numPr>
          <w:ilvl w:val="0"/>
          <w:numId w:val="6"/>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Frode</w:t>
      </w:r>
      <w:r w:rsidR="00E8775C">
        <w:rPr>
          <w:rFonts w:ascii="Times New Roman" w:eastAsia="Times New Roman" w:hAnsi="Times New Roman" w:cs="Times New Roman"/>
          <w:sz w:val="22"/>
          <w:szCs w:val="22"/>
          <w:lang w:val="en-GB"/>
        </w:rPr>
        <w:t xml:space="preserve"> </w:t>
      </w:r>
      <w:r w:rsidRPr="00132956">
        <w:rPr>
          <w:rFonts w:ascii="Times New Roman" w:eastAsia="Times New Roman" w:hAnsi="Times New Roman" w:cs="Times New Roman"/>
          <w:sz w:val="22"/>
          <w:szCs w:val="22"/>
          <w:lang w:val="en-GB"/>
        </w:rPr>
        <w:t>Mauring, Special Representative</w:t>
      </w:r>
    </w:p>
    <w:p w:rsidR="005827A4" w:rsidRPr="00132956" w:rsidRDefault="005827A4" w:rsidP="00132956">
      <w:pPr>
        <w:numPr>
          <w:ilvl w:val="0"/>
          <w:numId w:val="6"/>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Yasmine</w:t>
      </w:r>
      <w:r w:rsidR="00E8775C">
        <w:rPr>
          <w:rFonts w:ascii="Times New Roman" w:eastAsia="Times New Roman" w:hAnsi="Times New Roman" w:cs="Times New Roman"/>
          <w:sz w:val="22"/>
          <w:szCs w:val="22"/>
          <w:lang w:val="en-GB"/>
        </w:rPr>
        <w:t xml:space="preserve"> </w:t>
      </w:r>
      <w:r w:rsidRPr="00132956">
        <w:rPr>
          <w:rFonts w:ascii="Times New Roman" w:eastAsia="Times New Roman" w:hAnsi="Times New Roman" w:cs="Times New Roman"/>
          <w:sz w:val="22"/>
          <w:szCs w:val="22"/>
          <w:lang w:val="en-GB"/>
        </w:rPr>
        <w:t>Sherif, Deputy Special Representative</w:t>
      </w:r>
    </w:p>
    <w:p w:rsidR="005827A4" w:rsidRPr="00132956" w:rsidRDefault="005827A4" w:rsidP="00132956">
      <w:pPr>
        <w:numPr>
          <w:ilvl w:val="0"/>
          <w:numId w:val="6"/>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Abla</w:t>
      </w:r>
      <w:r w:rsidR="00E8775C">
        <w:rPr>
          <w:rFonts w:ascii="Times New Roman" w:eastAsia="Times New Roman" w:hAnsi="Times New Roman" w:cs="Times New Roman"/>
          <w:sz w:val="22"/>
          <w:szCs w:val="22"/>
          <w:lang w:val="en-GB"/>
        </w:rPr>
        <w:t xml:space="preserve"> </w:t>
      </w:r>
      <w:r w:rsidRPr="00132956">
        <w:rPr>
          <w:rFonts w:ascii="Times New Roman" w:eastAsia="Times New Roman" w:hAnsi="Times New Roman" w:cs="Times New Roman"/>
          <w:sz w:val="22"/>
          <w:szCs w:val="22"/>
          <w:lang w:val="en-GB"/>
        </w:rPr>
        <w:t>Amawi, Team Leader/Senior Governance Advisor</w:t>
      </w:r>
    </w:p>
    <w:p w:rsidR="005827A4" w:rsidRPr="00132956" w:rsidRDefault="005827A4" w:rsidP="00132956">
      <w:pPr>
        <w:numPr>
          <w:ilvl w:val="0"/>
          <w:numId w:val="6"/>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Maarten Barends, Chief Technical Specialist/Programme Manager</w:t>
      </w:r>
    </w:p>
    <w:p w:rsidR="005827A4" w:rsidRPr="00132956" w:rsidRDefault="005827A4" w:rsidP="00132956">
      <w:pPr>
        <w:numPr>
          <w:ilvl w:val="0"/>
          <w:numId w:val="6"/>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Carolyn Graydon, Deputy Programme Manager (West Bank)</w:t>
      </w:r>
    </w:p>
    <w:p w:rsidR="005827A4" w:rsidRPr="00132956" w:rsidRDefault="005827A4" w:rsidP="00132956">
      <w:pPr>
        <w:spacing w:after="0" w:line="240" w:lineRule="auto"/>
        <w:ind w:left="-270" w:right="-358"/>
        <w:rPr>
          <w:rFonts w:ascii="Times New Roman" w:eastAsia="Times New Roman" w:hAnsi="Times New Roman" w:cs="Times New Roman"/>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i/>
          <w:iCs/>
          <w:sz w:val="22"/>
          <w:szCs w:val="22"/>
          <w:lang w:val="en-GB"/>
        </w:rPr>
      </w:pPr>
      <w:r w:rsidRPr="00132956">
        <w:rPr>
          <w:rFonts w:ascii="Times New Roman" w:eastAsia="Times New Roman" w:hAnsi="Times New Roman" w:cs="Times New Roman"/>
          <w:i/>
          <w:iCs/>
          <w:sz w:val="22"/>
          <w:szCs w:val="22"/>
          <w:lang w:val="en-GB"/>
        </w:rPr>
        <w:t>Venue: UNDP Office (Jerusalem)</w:t>
      </w:r>
    </w:p>
    <w:p w:rsidR="005827A4" w:rsidRPr="00132956" w:rsidRDefault="005827A4" w:rsidP="00132956">
      <w:pPr>
        <w:spacing w:after="0" w:line="240" w:lineRule="auto"/>
        <w:ind w:left="-270" w:right="-358"/>
        <w:rPr>
          <w:rFonts w:ascii="Times New Roman" w:eastAsia="Times New Roman" w:hAnsi="Times New Roman" w:cs="Times New Roman"/>
          <w:b/>
          <w:bCs/>
          <w:i/>
          <w:iCs/>
          <w:sz w:val="22"/>
          <w:szCs w:val="22"/>
          <w:lang w:val="en-GB"/>
        </w:rPr>
      </w:pPr>
    </w:p>
    <w:p w:rsidR="005827A4" w:rsidRPr="00132956" w:rsidRDefault="005827A4" w:rsidP="00132956">
      <w:pPr>
        <w:spacing w:after="0" w:line="240" w:lineRule="auto"/>
        <w:ind w:left="-270" w:right="-358"/>
        <w:rPr>
          <w:rFonts w:ascii="Times New Roman" w:eastAsia="Times New Roman" w:hAnsi="Times New Roman" w:cs="Times New Roman"/>
          <w:b/>
          <w:bCs/>
          <w:i/>
          <w:iCs/>
          <w:sz w:val="22"/>
          <w:szCs w:val="22"/>
          <w:lang w:val="en-GB"/>
        </w:rPr>
      </w:pPr>
      <w:r w:rsidRPr="00132956">
        <w:rPr>
          <w:rFonts w:ascii="Times New Roman" w:eastAsia="Times New Roman" w:hAnsi="Times New Roman" w:cs="Times New Roman"/>
          <w:b/>
          <w:bCs/>
          <w:i/>
          <w:iCs/>
          <w:sz w:val="22"/>
          <w:szCs w:val="22"/>
          <w:lang w:val="en-GB"/>
        </w:rPr>
        <w:t>12:00-14:00 Donors/Development Partners</w:t>
      </w:r>
    </w:p>
    <w:p w:rsidR="005827A4" w:rsidRPr="00132956" w:rsidRDefault="005827A4" w:rsidP="00132956">
      <w:pPr>
        <w:spacing w:after="0" w:line="240" w:lineRule="auto"/>
        <w:ind w:right="-358"/>
        <w:rPr>
          <w:rFonts w:ascii="Times New Roman" w:eastAsia="Times New Roman" w:hAnsi="Times New Roman" w:cs="Times New Roman"/>
          <w:sz w:val="22"/>
          <w:szCs w:val="22"/>
          <w:lang w:val="en-GB"/>
        </w:rPr>
      </w:pPr>
    </w:p>
    <w:p w:rsidR="005827A4" w:rsidRPr="00132956" w:rsidRDefault="005827A4" w:rsidP="00132956">
      <w:pPr>
        <w:numPr>
          <w:ilvl w:val="0"/>
          <w:numId w:val="8"/>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Zackaria</w:t>
      </w:r>
      <w:r w:rsidR="00E8775C">
        <w:rPr>
          <w:rFonts w:ascii="Times New Roman" w:eastAsia="Times New Roman" w:hAnsi="Times New Roman" w:cs="Times New Roman"/>
          <w:sz w:val="22"/>
          <w:szCs w:val="22"/>
          <w:lang w:val="en-GB"/>
        </w:rPr>
        <w:t xml:space="preserve"> </w:t>
      </w:r>
      <w:r w:rsidRPr="00132956">
        <w:rPr>
          <w:rFonts w:ascii="Times New Roman" w:eastAsia="Times New Roman" w:hAnsi="Times New Roman" w:cs="Times New Roman"/>
          <w:sz w:val="22"/>
          <w:szCs w:val="22"/>
          <w:lang w:val="en-GB"/>
        </w:rPr>
        <w:t>Sabella, Senior Project Officer, CIDA/Canada</w:t>
      </w:r>
    </w:p>
    <w:p w:rsidR="005827A4" w:rsidRPr="00132956" w:rsidRDefault="005827A4" w:rsidP="00132956">
      <w:pPr>
        <w:numPr>
          <w:ilvl w:val="0"/>
          <w:numId w:val="8"/>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Sandra Leduc, Justice Reform Advisor, CIDA/Canada</w:t>
      </w:r>
    </w:p>
    <w:p w:rsidR="005827A4" w:rsidRPr="00132956" w:rsidRDefault="005827A4" w:rsidP="00132956">
      <w:pPr>
        <w:numPr>
          <w:ilvl w:val="0"/>
          <w:numId w:val="8"/>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Karim</w:t>
      </w:r>
      <w:r w:rsidR="00E8775C">
        <w:rPr>
          <w:rFonts w:ascii="Times New Roman" w:eastAsia="Times New Roman" w:hAnsi="Times New Roman" w:cs="Times New Roman"/>
          <w:sz w:val="22"/>
          <w:szCs w:val="22"/>
          <w:lang w:val="en-GB"/>
        </w:rPr>
        <w:t xml:space="preserve"> </w:t>
      </w:r>
      <w:r w:rsidRPr="00132956">
        <w:rPr>
          <w:rFonts w:ascii="Times New Roman" w:eastAsia="Times New Roman" w:hAnsi="Times New Roman" w:cs="Times New Roman"/>
          <w:sz w:val="22"/>
          <w:szCs w:val="22"/>
          <w:lang w:val="en-GB"/>
        </w:rPr>
        <w:t>Morcos, Head of Development Cooperation, CIDA/Canada</w:t>
      </w:r>
    </w:p>
    <w:p w:rsidR="005827A4" w:rsidRPr="00132956" w:rsidRDefault="005827A4" w:rsidP="00132956">
      <w:pPr>
        <w:numPr>
          <w:ilvl w:val="0"/>
          <w:numId w:val="8"/>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Fredrik Westerholm, Consul/Development Cooperation, Sida/Sweden</w:t>
      </w:r>
    </w:p>
    <w:p w:rsidR="005827A4" w:rsidRPr="00132956" w:rsidRDefault="005827A4" w:rsidP="00132956">
      <w:pPr>
        <w:numPr>
          <w:ilvl w:val="0"/>
          <w:numId w:val="8"/>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Simone Kreutzer, First Secretary/Rule of Law, NRO</w:t>
      </w:r>
    </w:p>
    <w:p w:rsidR="005827A4" w:rsidRPr="00132956" w:rsidRDefault="005827A4" w:rsidP="00132956">
      <w:pPr>
        <w:numPr>
          <w:ilvl w:val="0"/>
          <w:numId w:val="8"/>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Gert</w:t>
      </w:r>
      <w:r w:rsidR="00E8775C">
        <w:rPr>
          <w:rFonts w:ascii="Times New Roman" w:eastAsia="Times New Roman" w:hAnsi="Times New Roman" w:cs="Times New Roman"/>
          <w:sz w:val="22"/>
          <w:szCs w:val="22"/>
          <w:lang w:val="en-GB"/>
        </w:rPr>
        <w:t xml:space="preserve"> </w:t>
      </w:r>
      <w:r w:rsidRPr="00132956">
        <w:rPr>
          <w:rFonts w:ascii="Times New Roman" w:eastAsia="Times New Roman" w:hAnsi="Times New Roman" w:cs="Times New Roman"/>
          <w:sz w:val="22"/>
          <w:szCs w:val="22"/>
          <w:lang w:val="en-GB"/>
        </w:rPr>
        <w:t>Kampman, Head of Development Cooperation, NRO</w:t>
      </w:r>
    </w:p>
    <w:p w:rsidR="005827A4" w:rsidRPr="00132956" w:rsidRDefault="005827A4" w:rsidP="00132956">
      <w:pPr>
        <w:spacing w:after="0" w:line="240" w:lineRule="auto"/>
        <w:ind w:left="-270" w:right="-358"/>
        <w:jc w:val="both"/>
        <w:rPr>
          <w:rFonts w:ascii="Times New Roman" w:eastAsia="Times New Roman" w:hAnsi="Times New Roman" w:cs="Times New Roman"/>
          <w:sz w:val="22"/>
          <w:szCs w:val="22"/>
          <w:lang w:val="en-GB"/>
        </w:rPr>
      </w:pPr>
    </w:p>
    <w:p w:rsidR="005827A4" w:rsidRPr="00132956" w:rsidRDefault="005827A4" w:rsidP="00132956">
      <w:pPr>
        <w:spacing w:after="0" w:line="240" w:lineRule="auto"/>
        <w:ind w:left="-270" w:right="-358"/>
        <w:jc w:val="both"/>
        <w:rPr>
          <w:rFonts w:ascii="Times New Roman" w:eastAsia="Times New Roman" w:hAnsi="Times New Roman" w:cs="Times New Roman"/>
          <w:i/>
          <w:iCs/>
          <w:sz w:val="22"/>
          <w:szCs w:val="22"/>
          <w:lang w:val="en-GB"/>
        </w:rPr>
      </w:pPr>
      <w:r w:rsidRPr="00132956">
        <w:rPr>
          <w:rFonts w:ascii="Times New Roman" w:eastAsia="Times New Roman" w:hAnsi="Times New Roman" w:cs="Times New Roman"/>
          <w:i/>
          <w:iCs/>
          <w:sz w:val="22"/>
          <w:szCs w:val="22"/>
          <w:lang w:val="en-GB"/>
        </w:rPr>
        <w:t>Venue: UNDP Office (Jerusalem)</w:t>
      </w:r>
    </w:p>
    <w:p w:rsidR="005827A4" w:rsidRPr="00132956" w:rsidRDefault="005827A4" w:rsidP="00132956">
      <w:pPr>
        <w:spacing w:after="0" w:line="240" w:lineRule="auto"/>
        <w:ind w:right="-358"/>
        <w:jc w:val="both"/>
        <w:rPr>
          <w:rFonts w:ascii="Times New Roman" w:eastAsia="Times New Roman" w:hAnsi="Times New Roman" w:cs="Times New Roman"/>
          <w:b/>
          <w:bCs/>
          <w:sz w:val="22"/>
          <w:szCs w:val="22"/>
          <w:lang w:val="en-GB"/>
        </w:rPr>
      </w:pPr>
    </w:p>
    <w:p w:rsidR="005827A4" w:rsidRPr="00132956" w:rsidRDefault="005827A4" w:rsidP="00132956">
      <w:pPr>
        <w:spacing w:after="0" w:line="240" w:lineRule="auto"/>
        <w:ind w:left="-270" w:right="-358"/>
        <w:jc w:val="both"/>
        <w:rPr>
          <w:rFonts w:ascii="Times New Roman" w:eastAsia="Times New Roman" w:hAnsi="Times New Roman" w:cs="Times New Roman"/>
          <w:b/>
          <w:bCs/>
          <w:i/>
          <w:iCs/>
          <w:sz w:val="22"/>
          <w:szCs w:val="22"/>
          <w:lang w:val="en-GB"/>
        </w:rPr>
      </w:pPr>
      <w:r w:rsidRPr="00132956">
        <w:rPr>
          <w:rFonts w:ascii="Times New Roman" w:eastAsia="Times New Roman" w:hAnsi="Times New Roman" w:cs="Times New Roman"/>
          <w:b/>
          <w:bCs/>
          <w:i/>
          <w:iCs/>
          <w:sz w:val="22"/>
          <w:szCs w:val="22"/>
          <w:lang w:val="en-GB"/>
        </w:rPr>
        <w:t>14:30-16:00 Ministry of Justice</w:t>
      </w:r>
    </w:p>
    <w:p w:rsidR="005827A4" w:rsidRPr="00132956" w:rsidRDefault="005827A4" w:rsidP="00132956">
      <w:pPr>
        <w:spacing w:after="0" w:line="240" w:lineRule="auto"/>
        <w:ind w:left="-270" w:right="-358"/>
        <w:jc w:val="both"/>
        <w:rPr>
          <w:rFonts w:ascii="Times New Roman" w:eastAsia="Times New Roman" w:hAnsi="Times New Roman" w:cs="Times New Roman"/>
          <w:sz w:val="22"/>
          <w:szCs w:val="22"/>
          <w:lang w:val="en-GB"/>
        </w:rPr>
      </w:pPr>
    </w:p>
    <w:p w:rsidR="005827A4" w:rsidRPr="00132956" w:rsidRDefault="005827A4" w:rsidP="00132956">
      <w:pPr>
        <w:numPr>
          <w:ilvl w:val="0"/>
          <w:numId w:val="9"/>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 xml:space="preserve">Ali Muhanna, Minister of Justice </w:t>
      </w:r>
    </w:p>
    <w:p w:rsidR="005827A4" w:rsidRPr="00132956" w:rsidRDefault="005827A4" w:rsidP="00132956">
      <w:pPr>
        <w:numPr>
          <w:ilvl w:val="0"/>
          <w:numId w:val="9"/>
        </w:numPr>
        <w:spacing w:after="0" w:line="240" w:lineRule="auto"/>
        <w:ind w:right="-358"/>
        <w:rPr>
          <w:rFonts w:ascii="Times New Roman" w:eastAsia="Times New Roman" w:hAnsi="Times New Roman" w:cs="Times New Roman"/>
          <w:sz w:val="22"/>
          <w:szCs w:val="22"/>
          <w:lang w:val="en-GB"/>
        </w:rPr>
      </w:pPr>
      <w:r w:rsidRPr="00132956">
        <w:rPr>
          <w:rFonts w:ascii="Times New Roman" w:eastAsia="Times New Roman" w:hAnsi="Times New Roman" w:cs="Times New Roman"/>
          <w:sz w:val="22"/>
          <w:szCs w:val="22"/>
          <w:lang w:val="en-GB"/>
        </w:rPr>
        <w:t>Khalil Karaja Al-Rifai, Deputy Minister of Justice</w:t>
      </w:r>
    </w:p>
    <w:p w:rsidR="005827A4" w:rsidRPr="00132956" w:rsidRDefault="005827A4" w:rsidP="00132956">
      <w:pPr>
        <w:spacing w:after="0" w:line="240" w:lineRule="auto"/>
        <w:ind w:left="-270" w:right="-358"/>
        <w:jc w:val="both"/>
        <w:rPr>
          <w:rFonts w:ascii="Times New Roman" w:eastAsia="Times New Roman" w:hAnsi="Times New Roman" w:cs="Times New Roman"/>
          <w:sz w:val="22"/>
          <w:szCs w:val="22"/>
          <w:lang w:val="en-GB"/>
        </w:rPr>
      </w:pPr>
    </w:p>
    <w:p w:rsidR="005827A4" w:rsidRPr="00132956" w:rsidRDefault="005827A4" w:rsidP="00132956">
      <w:pPr>
        <w:spacing w:after="0" w:line="240" w:lineRule="auto"/>
        <w:ind w:left="-270" w:right="-358"/>
        <w:jc w:val="both"/>
        <w:rPr>
          <w:rFonts w:ascii="Times New Roman" w:eastAsia="Times New Roman" w:hAnsi="Times New Roman" w:cs="Times New Roman"/>
          <w:i/>
          <w:iCs/>
          <w:sz w:val="22"/>
          <w:szCs w:val="22"/>
          <w:lang w:val="en-GB"/>
        </w:rPr>
      </w:pPr>
      <w:r w:rsidRPr="00132956">
        <w:rPr>
          <w:rFonts w:ascii="Times New Roman" w:eastAsia="Times New Roman" w:hAnsi="Times New Roman" w:cs="Times New Roman"/>
          <w:i/>
          <w:iCs/>
          <w:sz w:val="22"/>
          <w:szCs w:val="22"/>
          <w:lang w:val="en-GB"/>
        </w:rPr>
        <w:t>Venue: Ministry of Justice (Ramallah)</w:t>
      </w:r>
    </w:p>
    <w:p w:rsidR="0019654C" w:rsidRDefault="0019654C" w:rsidP="0019654C">
      <w:pPr>
        <w:spacing w:after="0" w:line="240" w:lineRule="auto"/>
        <w:ind w:right="-358"/>
        <w:jc w:val="both"/>
        <w:rPr>
          <w:rFonts w:ascii="Times New Roman" w:eastAsia="Times New Roman" w:hAnsi="Times New Roman" w:cs="Times New Roman"/>
          <w:i/>
          <w:iCs/>
          <w:sz w:val="22"/>
          <w:szCs w:val="22"/>
          <w:lang w:val="en-GB"/>
        </w:rPr>
      </w:pPr>
    </w:p>
    <w:p w:rsidR="0019654C" w:rsidRDefault="0019654C" w:rsidP="0019654C">
      <w:pPr>
        <w:spacing w:after="0" w:line="240" w:lineRule="auto"/>
        <w:ind w:left="-270" w:right="-358"/>
        <w:jc w:val="center"/>
        <w:rPr>
          <w:rFonts w:ascii="Times New Roman" w:eastAsia="Times New Roman" w:hAnsi="Times New Roman" w:cs="Times New Roman"/>
          <w:i/>
          <w:iCs/>
          <w:sz w:val="22"/>
          <w:szCs w:val="22"/>
          <w:lang w:val="en-GB"/>
        </w:rPr>
      </w:pPr>
      <w:r>
        <w:rPr>
          <w:rFonts w:ascii="Times New Roman" w:eastAsia="Times New Roman" w:hAnsi="Times New Roman" w:cs="Times New Roman"/>
          <w:i/>
          <w:iCs/>
          <w:sz w:val="22"/>
          <w:szCs w:val="22"/>
          <w:lang w:val="en-GB"/>
        </w:rPr>
        <w:t>_________</w:t>
      </w:r>
    </w:p>
    <w:p w:rsidR="0019654C" w:rsidRPr="00132956" w:rsidRDefault="0019654C" w:rsidP="00132956">
      <w:pPr>
        <w:spacing w:after="0" w:line="240" w:lineRule="auto"/>
        <w:ind w:left="-270" w:right="-358"/>
        <w:jc w:val="both"/>
        <w:rPr>
          <w:rFonts w:ascii="Times New Roman" w:eastAsia="Times New Roman" w:hAnsi="Times New Roman" w:cs="Times New Roman"/>
          <w:i/>
          <w:iCs/>
          <w:sz w:val="22"/>
          <w:szCs w:val="22"/>
          <w:lang w:val="en-GB"/>
        </w:rPr>
      </w:pPr>
    </w:p>
    <w:p w:rsidR="005F10F9" w:rsidRPr="00132956" w:rsidRDefault="005F10F9" w:rsidP="0019654C">
      <w:pPr>
        <w:spacing w:after="0" w:line="240" w:lineRule="auto"/>
        <w:ind w:right="-5040"/>
        <w:jc w:val="center"/>
        <w:rPr>
          <w:rFonts w:ascii="Times New Roman" w:hAnsi="Times New Roman" w:cs="Times New Roman"/>
          <w:sz w:val="22"/>
          <w:szCs w:val="22"/>
          <w:lang w:val="en-GB"/>
        </w:rPr>
      </w:pPr>
    </w:p>
    <w:sectPr w:rsidR="005F10F9" w:rsidRPr="00132956" w:rsidSect="001C3B1D">
      <w:headerReference w:type="even" r:id="rId28"/>
      <w:headerReference w:type="default" r:id="rId29"/>
      <w:footerReference w:type="default" r:id="rId30"/>
      <w:headerReference w:type="first" r:id="rId31"/>
      <w:type w:val="continuous"/>
      <w:pgSz w:w="12240" w:h="15840"/>
      <w:pgMar w:top="1440" w:right="1440" w:bottom="1440" w:left="1440" w:header="720" w:footer="720" w:gutter="0"/>
      <w:cols w:sep="1"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910" w:rsidRDefault="002D0910" w:rsidP="00E01091">
      <w:pPr>
        <w:spacing w:after="0" w:line="240" w:lineRule="auto"/>
      </w:pPr>
      <w:r>
        <w:separator/>
      </w:r>
    </w:p>
  </w:endnote>
  <w:endnote w:type="continuationSeparator" w:id="1">
    <w:p w:rsidR="002D0910" w:rsidRDefault="002D0910" w:rsidP="00E010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Papyrus">
    <w:panose1 w:val="03070502060502030205"/>
    <w:charset w:val="00"/>
    <w:family w:val="script"/>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DAA" w:rsidRDefault="00DC60E2" w:rsidP="00360CF0">
    <w:pPr>
      <w:pStyle w:val="Footer"/>
      <w:framePr w:wrap="around" w:vAnchor="text" w:hAnchor="margin" w:xAlign="right" w:y="1"/>
      <w:rPr>
        <w:rStyle w:val="PageNumber"/>
      </w:rPr>
    </w:pPr>
    <w:r>
      <w:rPr>
        <w:rStyle w:val="PageNumber"/>
      </w:rPr>
      <w:fldChar w:fldCharType="begin"/>
    </w:r>
    <w:r w:rsidR="00DD5DAA">
      <w:rPr>
        <w:rStyle w:val="PageNumber"/>
      </w:rPr>
      <w:instrText xml:space="preserve">PAGE  </w:instrText>
    </w:r>
    <w:r>
      <w:rPr>
        <w:rStyle w:val="PageNumber"/>
      </w:rPr>
      <w:fldChar w:fldCharType="end"/>
    </w:r>
  </w:p>
  <w:p w:rsidR="00DD5DAA" w:rsidRDefault="00DD5DAA" w:rsidP="00360CF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582119"/>
      <w:docPartObj>
        <w:docPartGallery w:val="Page Numbers (Bottom of Page)"/>
        <w:docPartUnique/>
      </w:docPartObj>
    </w:sdtPr>
    <w:sdtEndPr>
      <w:rPr>
        <w:rFonts w:ascii="Times New Roman" w:hAnsi="Times New Roman" w:cs="Times New Roman"/>
        <w:noProof/>
        <w:sz w:val="18"/>
        <w:szCs w:val="18"/>
      </w:rPr>
    </w:sdtEndPr>
    <w:sdtContent>
      <w:p w:rsidR="00DD5DAA" w:rsidRPr="00FB6759" w:rsidRDefault="00DC60E2">
        <w:pPr>
          <w:pStyle w:val="Footer"/>
          <w:jc w:val="center"/>
          <w:rPr>
            <w:rFonts w:ascii="Times New Roman" w:hAnsi="Times New Roman" w:cs="Times New Roman"/>
            <w:sz w:val="18"/>
            <w:szCs w:val="18"/>
          </w:rPr>
        </w:pPr>
        <w:r w:rsidRPr="00FB6759">
          <w:rPr>
            <w:rFonts w:ascii="Times New Roman" w:hAnsi="Times New Roman" w:cs="Times New Roman"/>
            <w:sz w:val="18"/>
            <w:szCs w:val="18"/>
          </w:rPr>
          <w:fldChar w:fldCharType="begin"/>
        </w:r>
        <w:r w:rsidR="00DD5DAA" w:rsidRPr="00FB6759">
          <w:rPr>
            <w:rFonts w:ascii="Times New Roman" w:hAnsi="Times New Roman" w:cs="Times New Roman"/>
            <w:sz w:val="18"/>
            <w:szCs w:val="18"/>
          </w:rPr>
          <w:instrText xml:space="preserve"> PAGE   \* MERGEFORMAT </w:instrText>
        </w:r>
        <w:r w:rsidRPr="00FB6759">
          <w:rPr>
            <w:rFonts w:ascii="Times New Roman" w:hAnsi="Times New Roman" w:cs="Times New Roman"/>
            <w:sz w:val="18"/>
            <w:szCs w:val="18"/>
          </w:rPr>
          <w:fldChar w:fldCharType="separate"/>
        </w:r>
        <w:r w:rsidR="00673862">
          <w:rPr>
            <w:rFonts w:ascii="Times New Roman" w:hAnsi="Times New Roman" w:cs="Times New Roman"/>
            <w:noProof/>
            <w:sz w:val="18"/>
            <w:szCs w:val="18"/>
          </w:rPr>
          <w:t>iii</w:t>
        </w:r>
        <w:r w:rsidRPr="00FB6759">
          <w:rPr>
            <w:rFonts w:ascii="Times New Roman" w:hAnsi="Times New Roman" w:cs="Times New Roman"/>
            <w:noProof/>
            <w:sz w:val="18"/>
            <w:szCs w:val="18"/>
          </w:rPr>
          <w:fldChar w:fldCharType="end"/>
        </w:r>
      </w:p>
    </w:sdtContent>
  </w:sdt>
  <w:p w:rsidR="00DD5DAA" w:rsidRDefault="00DD5D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DAA" w:rsidRPr="008A23BF" w:rsidRDefault="00DC60E2" w:rsidP="008A23BF">
    <w:pPr>
      <w:pStyle w:val="Footer"/>
      <w:framePr w:w="564" w:h="402" w:hRule="exact" w:wrap="around" w:vAnchor="text" w:hAnchor="page" w:x="5711" w:y="16"/>
      <w:jc w:val="center"/>
      <w:rPr>
        <w:rStyle w:val="PageNumber"/>
        <w:rFonts w:ascii="Times New Roman" w:hAnsi="Times New Roman" w:cs="Times New Roman"/>
        <w:sz w:val="18"/>
        <w:szCs w:val="18"/>
      </w:rPr>
    </w:pPr>
    <w:r w:rsidRPr="008A23BF">
      <w:rPr>
        <w:rStyle w:val="PageNumber"/>
        <w:rFonts w:ascii="Times New Roman" w:hAnsi="Times New Roman" w:cs="Times New Roman"/>
        <w:sz w:val="18"/>
        <w:szCs w:val="18"/>
      </w:rPr>
      <w:fldChar w:fldCharType="begin"/>
    </w:r>
    <w:r w:rsidR="00DD5DAA" w:rsidRPr="008A23BF">
      <w:rPr>
        <w:rStyle w:val="PageNumber"/>
        <w:rFonts w:ascii="Times New Roman" w:hAnsi="Times New Roman" w:cs="Times New Roman"/>
        <w:sz w:val="18"/>
        <w:szCs w:val="18"/>
      </w:rPr>
      <w:instrText xml:space="preserve">PAGE  </w:instrText>
    </w:r>
    <w:r w:rsidRPr="008A23BF">
      <w:rPr>
        <w:rStyle w:val="PageNumber"/>
        <w:rFonts w:ascii="Times New Roman" w:hAnsi="Times New Roman" w:cs="Times New Roman"/>
        <w:sz w:val="18"/>
        <w:szCs w:val="18"/>
      </w:rPr>
      <w:fldChar w:fldCharType="separate"/>
    </w:r>
    <w:r w:rsidR="00673862">
      <w:rPr>
        <w:rStyle w:val="PageNumber"/>
        <w:rFonts w:ascii="Times New Roman" w:hAnsi="Times New Roman" w:cs="Times New Roman"/>
        <w:noProof/>
        <w:sz w:val="18"/>
        <w:szCs w:val="18"/>
      </w:rPr>
      <w:t>71</w:t>
    </w:r>
    <w:r w:rsidRPr="008A23BF">
      <w:rPr>
        <w:rStyle w:val="PageNumber"/>
        <w:rFonts w:ascii="Times New Roman" w:hAnsi="Times New Roman" w:cs="Times New Roman"/>
        <w:sz w:val="18"/>
        <w:szCs w:val="18"/>
      </w:rPr>
      <w:fldChar w:fldCharType="end"/>
    </w:r>
  </w:p>
  <w:p w:rsidR="00DD5DAA" w:rsidRDefault="00DD5DAA" w:rsidP="00C43941">
    <w:pPr>
      <w:pStyle w:val="Footer"/>
      <w:ind w:right="360"/>
      <w:jc w:val="center"/>
    </w:pPr>
  </w:p>
  <w:p w:rsidR="00DD5DAA" w:rsidRDefault="00DD5DA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DAA" w:rsidRPr="00132956" w:rsidRDefault="00DC60E2" w:rsidP="00130A26">
    <w:pPr>
      <w:pStyle w:val="Footer"/>
      <w:framePr w:wrap="around" w:vAnchor="text" w:hAnchor="margin" w:xAlign="center" w:y="1"/>
      <w:rPr>
        <w:rStyle w:val="PageNumber"/>
        <w:rFonts w:ascii="Times New Roman" w:hAnsi="Times New Roman" w:cs="Times New Roman"/>
        <w:sz w:val="18"/>
        <w:szCs w:val="18"/>
      </w:rPr>
    </w:pPr>
    <w:r w:rsidRPr="00132956">
      <w:rPr>
        <w:rStyle w:val="PageNumber"/>
        <w:rFonts w:ascii="Times New Roman" w:hAnsi="Times New Roman" w:cs="Times New Roman"/>
        <w:sz w:val="18"/>
        <w:szCs w:val="18"/>
      </w:rPr>
      <w:fldChar w:fldCharType="begin"/>
    </w:r>
    <w:r w:rsidR="00DD5DAA" w:rsidRPr="00132956">
      <w:rPr>
        <w:rStyle w:val="PageNumber"/>
        <w:rFonts w:ascii="Times New Roman" w:hAnsi="Times New Roman" w:cs="Times New Roman"/>
        <w:sz w:val="18"/>
        <w:szCs w:val="18"/>
      </w:rPr>
      <w:instrText xml:space="preserve">PAGE  </w:instrText>
    </w:r>
    <w:r w:rsidRPr="00132956">
      <w:rPr>
        <w:rStyle w:val="PageNumber"/>
        <w:rFonts w:ascii="Times New Roman" w:hAnsi="Times New Roman" w:cs="Times New Roman"/>
        <w:sz w:val="18"/>
        <w:szCs w:val="18"/>
      </w:rPr>
      <w:fldChar w:fldCharType="separate"/>
    </w:r>
    <w:r w:rsidR="00673862">
      <w:rPr>
        <w:rStyle w:val="PageNumber"/>
        <w:rFonts w:ascii="Times New Roman" w:hAnsi="Times New Roman" w:cs="Times New Roman"/>
        <w:noProof/>
        <w:sz w:val="18"/>
        <w:szCs w:val="18"/>
      </w:rPr>
      <w:t>89</w:t>
    </w:r>
    <w:r w:rsidRPr="00132956">
      <w:rPr>
        <w:rStyle w:val="PageNumber"/>
        <w:rFonts w:ascii="Times New Roman" w:hAnsi="Times New Roman" w:cs="Times New Roman"/>
        <w:sz w:val="18"/>
        <w:szCs w:val="18"/>
      </w:rPr>
      <w:fldChar w:fldCharType="end"/>
    </w:r>
  </w:p>
  <w:p w:rsidR="00DD5DAA" w:rsidRDefault="00DD5DAA">
    <w:pPr>
      <w:pStyle w:val="Footer"/>
      <w:jc w:val="center"/>
    </w:pPr>
  </w:p>
  <w:p w:rsidR="00DD5DAA" w:rsidRDefault="00DD5DAA">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DAA" w:rsidRPr="00132956" w:rsidRDefault="00DC60E2" w:rsidP="00132956">
    <w:pPr>
      <w:pStyle w:val="Footer"/>
      <w:framePr w:wrap="around" w:vAnchor="text" w:hAnchor="page" w:x="5911" w:y="-134"/>
      <w:rPr>
        <w:rStyle w:val="PageNumber"/>
        <w:rFonts w:ascii="Times New Roman" w:hAnsi="Times New Roman" w:cs="Times New Roman"/>
        <w:sz w:val="18"/>
        <w:szCs w:val="18"/>
      </w:rPr>
    </w:pPr>
    <w:r w:rsidRPr="00132956">
      <w:rPr>
        <w:rStyle w:val="PageNumber"/>
        <w:rFonts w:ascii="Times New Roman" w:hAnsi="Times New Roman" w:cs="Times New Roman"/>
        <w:sz w:val="18"/>
        <w:szCs w:val="18"/>
      </w:rPr>
      <w:fldChar w:fldCharType="begin"/>
    </w:r>
    <w:r w:rsidR="00DD5DAA" w:rsidRPr="00132956">
      <w:rPr>
        <w:rStyle w:val="PageNumber"/>
        <w:rFonts w:ascii="Times New Roman" w:hAnsi="Times New Roman" w:cs="Times New Roman"/>
        <w:sz w:val="18"/>
        <w:szCs w:val="18"/>
      </w:rPr>
      <w:instrText xml:space="preserve">PAGE  </w:instrText>
    </w:r>
    <w:r w:rsidRPr="00132956">
      <w:rPr>
        <w:rStyle w:val="PageNumber"/>
        <w:rFonts w:ascii="Times New Roman" w:hAnsi="Times New Roman" w:cs="Times New Roman"/>
        <w:sz w:val="18"/>
        <w:szCs w:val="18"/>
      </w:rPr>
      <w:fldChar w:fldCharType="separate"/>
    </w:r>
    <w:r w:rsidR="00673862">
      <w:rPr>
        <w:rStyle w:val="PageNumber"/>
        <w:rFonts w:ascii="Times New Roman" w:hAnsi="Times New Roman" w:cs="Times New Roman"/>
        <w:noProof/>
        <w:sz w:val="18"/>
        <w:szCs w:val="18"/>
      </w:rPr>
      <w:t>91</w:t>
    </w:r>
    <w:r w:rsidRPr="00132956">
      <w:rPr>
        <w:rStyle w:val="PageNumber"/>
        <w:rFonts w:ascii="Times New Roman" w:hAnsi="Times New Roman" w:cs="Times New Roman"/>
        <w:sz w:val="18"/>
        <w:szCs w:val="18"/>
      </w:rPr>
      <w:fldChar w:fldCharType="end"/>
    </w:r>
  </w:p>
  <w:p w:rsidR="00DD5DAA" w:rsidRDefault="00DD5DAA" w:rsidP="0013295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DAA" w:rsidRDefault="00DD5DAA" w:rsidP="00646F4D">
    <w:pPr>
      <w:pStyle w:val="Footer"/>
      <w:jc w:val="center"/>
    </w:pPr>
  </w:p>
  <w:p w:rsidR="00DD5DAA" w:rsidRPr="00132956" w:rsidRDefault="00DC60E2" w:rsidP="00646F4D">
    <w:pPr>
      <w:pStyle w:val="Footer"/>
      <w:jc w:val="center"/>
      <w:rPr>
        <w:rFonts w:ascii="Times New Roman" w:hAnsi="Times New Roman" w:cs="Times New Roman"/>
        <w:sz w:val="18"/>
        <w:szCs w:val="18"/>
      </w:rPr>
    </w:pPr>
    <w:r w:rsidRPr="00132956">
      <w:rPr>
        <w:rFonts w:ascii="Times New Roman" w:hAnsi="Times New Roman" w:cs="Times New Roman"/>
        <w:sz w:val="18"/>
        <w:szCs w:val="18"/>
      </w:rPr>
      <w:fldChar w:fldCharType="begin"/>
    </w:r>
    <w:r w:rsidR="00DD5DAA" w:rsidRPr="00132956">
      <w:rPr>
        <w:rFonts w:ascii="Times New Roman" w:hAnsi="Times New Roman" w:cs="Times New Roman"/>
        <w:sz w:val="18"/>
        <w:szCs w:val="18"/>
      </w:rPr>
      <w:instrText xml:space="preserve"> PAGE   \* MERGEFORMAT </w:instrText>
    </w:r>
    <w:r w:rsidRPr="00132956">
      <w:rPr>
        <w:rFonts w:ascii="Times New Roman" w:hAnsi="Times New Roman" w:cs="Times New Roman"/>
        <w:sz w:val="18"/>
        <w:szCs w:val="18"/>
      </w:rPr>
      <w:fldChar w:fldCharType="separate"/>
    </w:r>
    <w:r w:rsidR="00673862">
      <w:rPr>
        <w:rFonts w:ascii="Times New Roman" w:hAnsi="Times New Roman" w:cs="Times New Roman"/>
        <w:noProof/>
        <w:sz w:val="18"/>
        <w:szCs w:val="18"/>
      </w:rPr>
      <w:t>93</w:t>
    </w:r>
    <w:r w:rsidRPr="00132956">
      <w:rPr>
        <w:rFonts w:ascii="Times New Roman" w:hAnsi="Times New Roman" w:cs="Times New Roman"/>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910" w:rsidRDefault="002D0910" w:rsidP="00E01091">
      <w:pPr>
        <w:spacing w:after="0" w:line="240" w:lineRule="auto"/>
      </w:pPr>
      <w:r>
        <w:separator/>
      </w:r>
    </w:p>
  </w:footnote>
  <w:footnote w:type="continuationSeparator" w:id="1">
    <w:p w:rsidR="002D0910" w:rsidRDefault="002D0910" w:rsidP="00E01091">
      <w:pPr>
        <w:spacing w:after="0" w:line="240" w:lineRule="auto"/>
      </w:pPr>
      <w:r>
        <w:continuationSeparator/>
      </w:r>
    </w:p>
  </w:footnote>
  <w:footnote w:id="2">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UNDP/PAPP, Procurement Notice for Individual Consultancy Services, Terms of Reference, 8 August 2012, at 2 (“Terms of Reference”).</w:t>
      </w:r>
    </w:p>
  </w:footnote>
  <w:footnote w:id="3">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Id. at 2-3</w:t>
      </w:r>
    </w:p>
  </w:footnote>
  <w:footnote w:id="4">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UNDP Strategic Plan, 2008-2011: Accelerating Global Progress on Human Development (2008), quoted in programme’s M&amp;E plan</w:t>
      </w:r>
    </w:p>
  </w:footnote>
  <w:footnote w:id="5">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See UNDP Handbook on Planning, Monitoring &amp; Evaluation (2009).</w:t>
      </w:r>
    </w:p>
  </w:footnote>
  <w:footnote w:id="6">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Terms of reference at 3</w:t>
      </w:r>
    </w:p>
  </w:footnote>
  <w:footnote w:id="7">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2011 Strategic Review at 18-19</w:t>
      </w:r>
    </w:p>
  </w:footnote>
  <w:footnote w:id="8">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M&amp;E plan at 6</w:t>
      </w:r>
    </w:p>
  </w:footnote>
  <w:footnote w:id="9">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The General National P</w:t>
      </w:r>
      <w:r>
        <w:rPr>
          <w:rFonts w:ascii="Times New Roman" w:hAnsi="Times New Roman" w:cs="Times New Roman"/>
          <w:sz w:val="18"/>
          <w:szCs w:val="18"/>
          <w:lang w:val="en-GB"/>
        </w:rPr>
        <w:t>alestinian Plan 2011-</w:t>
      </w:r>
      <w:r w:rsidRPr="004A29F9">
        <w:rPr>
          <w:rFonts w:ascii="Times New Roman" w:hAnsi="Times New Roman" w:cs="Times New Roman"/>
          <w:sz w:val="18"/>
          <w:szCs w:val="18"/>
          <w:lang w:val="en-GB"/>
        </w:rPr>
        <w:t xml:space="preserve">2013: Summary of Justice and Rule of Law Sector Strategy at 24 (“Justice and </w:t>
      </w:r>
      <w:r>
        <w:rPr>
          <w:rFonts w:ascii="Times New Roman" w:hAnsi="Times New Roman" w:cs="Times New Roman"/>
          <w:sz w:val="18"/>
          <w:szCs w:val="18"/>
          <w:lang w:val="en-GB"/>
        </w:rPr>
        <w:t>Rule of Law National Strategy”)</w:t>
      </w:r>
    </w:p>
  </w:footnote>
  <w:footnote w:id="10">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N</w:t>
      </w:r>
      <w:r>
        <w:rPr>
          <w:rFonts w:ascii="Times New Roman" w:hAnsi="Times New Roman" w:cs="Times New Roman"/>
          <w:sz w:val="18"/>
          <w:szCs w:val="18"/>
          <w:lang w:val="en-GB"/>
        </w:rPr>
        <w:t>ational Development Plan 2011-</w:t>
      </w:r>
      <w:r w:rsidRPr="004A29F9">
        <w:rPr>
          <w:rFonts w:ascii="Times New Roman" w:hAnsi="Times New Roman" w:cs="Times New Roman"/>
          <w:sz w:val="18"/>
          <w:szCs w:val="18"/>
          <w:lang w:val="en-GB"/>
        </w:rPr>
        <w:t>2013: Establishing the State, Building our Future at 1</w:t>
      </w:r>
      <w:r>
        <w:rPr>
          <w:rFonts w:ascii="Times New Roman" w:hAnsi="Times New Roman" w:cs="Times New Roman"/>
          <w:sz w:val="18"/>
          <w:szCs w:val="18"/>
          <w:lang w:val="en-GB"/>
        </w:rPr>
        <w:t>1 (“National Development Plan”)</w:t>
      </w:r>
    </w:p>
  </w:footnote>
  <w:footnote w:id="11">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Justice and Rule</w:t>
      </w:r>
      <w:r>
        <w:rPr>
          <w:rFonts w:ascii="Times New Roman" w:hAnsi="Times New Roman" w:cs="Times New Roman"/>
          <w:sz w:val="18"/>
          <w:szCs w:val="18"/>
          <w:lang w:val="en-GB"/>
        </w:rPr>
        <w:t xml:space="preserve"> of Law National Strategy at 25</w:t>
      </w:r>
    </w:p>
  </w:footnote>
  <w:footnote w:id="12">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UNDP/BCPR, UNDP Rule of Law &amp; Access to Justice Programme in the oPt: Strategic Review, 18 August 2011, at 9 (“2011 Strategic Review”); see also UNDP/EUPOL COPPS Joint Programme 2011-2013, Programme Document at</w:t>
      </w:r>
      <w:r>
        <w:rPr>
          <w:rFonts w:ascii="Times New Roman" w:hAnsi="Times New Roman" w:cs="Times New Roman"/>
          <w:sz w:val="18"/>
          <w:szCs w:val="18"/>
          <w:lang w:val="en-GB"/>
        </w:rPr>
        <w:t xml:space="preserve"> 4 (“COPPS Programme Document”)</w:t>
      </w:r>
    </w:p>
  </w:footnote>
  <w:footnote w:id="13">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2011 Strategic Review at 4</w:t>
      </w:r>
    </w:p>
  </w:footnote>
  <w:footnote w:id="14">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Id.</w:t>
      </w:r>
    </w:p>
  </w:footnote>
  <w:footnote w:id="15">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National Development Plan at 18</w:t>
      </w:r>
    </w:p>
  </w:footnote>
  <w:footnote w:id="16">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According to</w:t>
      </w:r>
      <w:r>
        <w:rPr>
          <w:rFonts w:ascii="Times New Roman" w:hAnsi="Times New Roman" w:cs="Times New Roman"/>
          <w:sz w:val="18"/>
          <w:szCs w:val="18"/>
          <w:lang w:val="en-GB"/>
        </w:rPr>
        <w:t xml:space="preserve"> an Israeli human rights organis</w:t>
      </w:r>
      <w:r w:rsidRPr="004A29F9">
        <w:rPr>
          <w:rFonts w:ascii="Times New Roman" w:hAnsi="Times New Roman" w:cs="Times New Roman"/>
          <w:sz w:val="18"/>
          <w:szCs w:val="18"/>
          <w:lang w:val="en-GB"/>
        </w:rPr>
        <w:t>ation cited in the 2011 Strategic Review, over 90 percent of complaints regarding settler violence filed with the Israeli police in recent years have been closed without indictment. See Displacement and Insecurity in Area C of the West Bank, UN Office for the Coordinator of Humanitarian Affairs (Special Focus, August 2011); see also 2</w:t>
      </w:r>
      <w:r>
        <w:rPr>
          <w:rFonts w:ascii="Times New Roman" w:hAnsi="Times New Roman" w:cs="Times New Roman"/>
          <w:sz w:val="18"/>
          <w:szCs w:val="18"/>
          <w:lang w:val="en-GB"/>
        </w:rPr>
        <w:t>011 Strategic Review at 5-6, 13</w:t>
      </w:r>
    </w:p>
  </w:footnote>
  <w:footnote w:id="17">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Id.</w:t>
      </w:r>
    </w:p>
  </w:footnote>
  <w:footnote w:id="18">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2011 Strategic Review at 6</w:t>
      </w:r>
    </w:p>
  </w:footnote>
  <w:footnote w:id="19">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Human Rights Watch, </w:t>
      </w:r>
      <w:r w:rsidRPr="004A29F9">
        <w:rPr>
          <w:rFonts w:ascii="Times New Roman" w:hAnsi="Times New Roman" w:cs="Times New Roman"/>
          <w:sz w:val="18"/>
          <w:szCs w:val="18"/>
          <w:lang w:val="en-GB"/>
        </w:rPr>
        <w:t xml:space="preserve">“Abusive System: Failures of Criminal Justice in Gaza”, 3 October 2012, </w:t>
      </w:r>
      <w:hyperlink r:id="rId1" w:history="1">
        <w:r w:rsidRPr="00426822">
          <w:rPr>
            <w:rStyle w:val="Hyperlink"/>
            <w:rFonts w:ascii="Times New Roman" w:hAnsi="Times New Roman" w:cs="Times New Roman"/>
            <w:sz w:val="18"/>
            <w:szCs w:val="18"/>
            <w:lang w:val="en-GB"/>
          </w:rPr>
          <w:t>http://www.hrw.org/reports/2012/10/03/abusive-system-0</w:t>
        </w:r>
      </w:hyperlink>
    </w:p>
  </w:footnote>
  <w:footnote w:id="20">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See 2011 Strategic Review at 6</w:t>
      </w:r>
    </w:p>
  </w:footnote>
  <w:footnote w:id="21">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Programme Document at 7</w:t>
      </w:r>
    </w:p>
  </w:footnote>
  <w:footnote w:id="22">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Justice and Rule</w:t>
      </w:r>
      <w:r>
        <w:rPr>
          <w:rFonts w:ascii="Times New Roman" w:hAnsi="Times New Roman" w:cs="Times New Roman"/>
          <w:sz w:val="18"/>
          <w:szCs w:val="18"/>
          <w:lang w:val="en-GB"/>
        </w:rPr>
        <w:t xml:space="preserve"> of Law National Strategy at 25</w:t>
      </w:r>
    </w:p>
  </w:footnote>
  <w:footnote w:id="23">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National Development Plan at 75</w:t>
      </w:r>
    </w:p>
  </w:footnote>
  <w:footnote w:id="24">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Justice and Rule</w:t>
      </w:r>
      <w:r>
        <w:rPr>
          <w:rFonts w:ascii="Times New Roman" w:hAnsi="Times New Roman" w:cs="Times New Roman"/>
          <w:sz w:val="18"/>
          <w:szCs w:val="18"/>
          <w:lang w:val="en-GB"/>
        </w:rPr>
        <w:t xml:space="preserve"> of Law National Strategy at 21</w:t>
      </w:r>
    </w:p>
  </w:footnote>
  <w:footnote w:id="25">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Id. at 9, 29-33</w:t>
      </w:r>
    </w:p>
  </w:footnote>
  <w:footnote w:id="26">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Id. at 9,</w:t>
      </w:r>
      <w:r>
        <w:rPr>
          <w:rFonts w:ascii="Times New Roman" w:hAnsi="Times New Roman" w:cs="Times New Roman"/>
          <w:sz w:val="18"/>
          <w:szCs w:val="18"/>
          <w:lang w:val="en-GB"/>
        </w:rPr>
        <w:t xml:space="preserve"> 33-34</w:t>
      </w:r>
    </w:p>
  </w:footnote>
  <w:footnote w:id="27">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Id. at 9, 36-37</w:t>
      </w:r>
    </w:p>
  </w:footnote>
  <w:footnote w:id="28">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Joint Capacity Assessment of the Ministry of Justice (June 2011) at </w:t>
      </w:r>
      <w:r>
        <w:rPr>
          <w:rFonts w:ascii="Times New Roman" w:hAnsi="Times New Roman" w:cs="Times New Roman"/>
          <w:sz w:val="18"/>
          <w:szCs w:val="18"/>
          <w:lang w:val="en-GB"/>
        </w:rPr>
        <w:t>5 (“Joint Capacity Assessment”)</w:t>
      </w:r>
    </w:p>
  </w:footnote>
  <w:footnote w:id="29">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Id.</w:t>
      </w:r>
    </w:p>
  </w:footnote>
  <w:footnote w:id="30">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Justice and Rule of La</w:t>
      </w:r>
      <w:r>
        <w:rPr>
          <w:rFonts w:ascii="Times New Roman" w:hAnsi="Times New Roman" w:cs="Times New Roman"/>
          <w:sz w:val="18"/>
          <w:szCs w:val="18"/>
          <w:lang w:val="en-GB"/>
        </w:rPr>
        <w:t>w National Strategy at 9, 34-36</w:t>
      </w:r>
    </w:p>
  </w:footnote>
  <w:footnote w:id="31">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Id. at 10, 49</w:t>
      </w:r>
    </w:p>
  </w:footnote>
  <w:footnote w:id="32">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Id. at 10</w:t>
      </w:r>
    </w:p>
  </w:footnote>
  <w:footnote w:id="33">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2011 Strategic Review at 12</w:t>
      </w:r>
    </w:p>
  </w:footnote>
  <w:footnote w:id="34">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Justice and Rule</w:t>
      </w:r>
      <w:r>
        <w:rPr>
          <w:rFonts w:ascii="Times New Roman" w:hAnsi="Times New Roman" w:cs="Times New Roman"/>
          <w:sz w:val="18"/>
          <w:szCs w:val="18"/>
          <w:lang w:val="en-GB"/>
        </w:rPr>
        <w:t xml:space="preserve"> of Law National Strategy at 10</w:t>
      </w:r>
    </w:p>
  </w:footnote>
  <w:footnote w:id="35">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Id. at 18</w:t>
      </w:r>
    </w:p>
  </w:footnote>
  <w:footnote w:id="36">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See article 43 of the Basic Law (2003)</w:t>
      </w:r>
    </w:p>
  </w:footnote>
  <w:footnote w:id="37">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Justice and Rule of Law</w:t>
      </w:r>
      <w:r>
        <w:rPr>
          <w:rFonts w:ascii="Times New Roman" w:hAnsi="Times New Roman" w:cs="Times New Roman"/>
          <w:sz w:val="18"/>
          <w:szCs w:val="18"/>
          <w:lang w:val="en-GB"/>
        </w:rPr>
        <w:t xml:space="preserve"> National Strategy at 12, 25-26</w:t>
      </w:r>
    </w:p>
  </w:footnote>
  <w:footnote w:id="38">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Justice and Rule of </w:t>
      </w:r>
      <w:r>
        <w:rPr>
          <w:rFonts w:ascii="Times New Roman" w:hAnsi="Times New Roman" w:cs="Times New Roman"/>
          <w:sz w:val="18"/>
          <w:szCs w:val="18"/>
          <w:lang w:val="en-GB"/>
        </w:rPr>
        <w:t>Law National Strategy at 13, 27</w:t>
      </w:r>
    </w:p>
  </w:footnote>
  <w:footnote w:id="39">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Id. at 11</w:t>
      </w:r>
    </w:p>
  </w:footnote>
  <w:footnote w:id="40">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Programme of the Thirteenth Government: Ending the Occupation, Establishing the State (2009-2011) at 16, 20 (“Programme of the Thirteenth Governmen</w:t>
      </w:r>
      <w:r>
        <w:rPr>
          <w:rFonts w:ascii="Times New Roman" w:hAnsi="Times New Roman" w:cs="Times New Roman"/>
          <w:sz w:val="18"/>
          <w:szCs w:val="18"/>
          <w:lang w:val="en-GB"/>
        </w:rPr>
        <w:t>t”); 2011 Strategic Review at 6</w:t>
      </w:r>
    </w:p>
  </w:footnote>
  <w:footnote w:id="41">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National Development Plan at 78. T</w:t>
      </w:r>
      <w:r w:rsidRPr="004A29F9">
        <w:rPr>
          <w:rFonts w:ascii="Times New Roman" w:hAnsi="Times New Roman" w:cs="Times New Roman"/>
          <w:sz w:val="18"/>
          <w:szCs w:val="18"/>
          <w:lang w:val="en-GB"/>
        </w:rPr>
        <w:t>he cost of court infrastructure is estimated at around USD 70 million to be spent over a period of 3 to 5 years, of which USD 58 million is pl</w:t>
      </w:r>
      <w:r>
        <w:rPr>
          <w:rFonts w:ascii="Times New Roman" w:hAnsi="Times New Roman" w:cs="Times New Roman"/>
          <w:sz w:val="18"/>
          <w:szCs w:val="18"/>
          <w:lang w:val="en-GB"/>
        </w:rPr>
        <w:t>anned for the next 3 years</w:t>
      </w:r>
    </w:p>
  </w:footnote>
  <w:footnote w:id="42">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Id. at 78</w:t>
      </w:r>
    </w:p>
  </w:footnote>
  <w:footnote w:id="43">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Id. </w:t>
      </w:r>
      <w:r w:rsidRPr="004A29F9">
        <w:rPr>
          <w:rFonts w:ascii="Times New Roman" w:hAnsi="Times New Roman" w:cs="Times New Roman"/>
          <w:sz w:val="18"/>
          <w:szCs w:val="18"/>
          <w:lang w:val="en-GB"/>
        </w:rPr>
        <w:t>USD 8 million w</w:t>
      </w:r>
      <w:r>
        <w:rPr>
          <w:rFonts w:ascii="Times New Roman" w:hAnsi="Times New Roman" w:cs="Times New Roman"/>
          <w:sz w:val="18"/>
          <w:szCs w:val="18"/>
          <w:lang w:val="en-GB"/>
        </w:rPr>
        <w:t>ere allocated for these efforts</w:t>
      </w:r>
    </w:p>
  </w:footnote>
  <w:footnote w:id="44">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Id. at 91</w:t>
      </w:r>
    </w:p>
  </w:footnote>
  <w:footnote w:id="45">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Justice and Rule o</w:t>
      </w:r>
      <w:r>
        <w:rPr>
          <w:rFonts w:ascii="Times New Roman" w:hAnsi="Times New Roman" w:cs="Times New Roman"/>
          <w:sz w:val="18"/>
          <w:szCs w:val="18"/>
          <w:lang w:val="en-GB"/>
        </w:rPr>
        <w:t xml:space="preserve">f Law National Strategy at 11. </w:t>
      </w:r>
      <w:r w:rsidRPr="004A29F9">
        <w:rPr>
          <w:rFonts w:ascii="Times New Roman" w:hAnsi="Times New Roman" w:cs="Times New Roman"/>
          <w:sz w:val="18"/>
          <w:szCs w:val="18"/>
          <w:lang w:val="en-GB"/>
        </w:rPr>
        <w:t>Note that this metric does not capture any data regarding the fairness and quality of the way the cases were disposed o</w:t>
      </w:r>
      <w:r>
        <w:rPr>
          <w:rFonts w:ascii="Times New Roman" w:hAnsi="Times New Roman" w:cs="Times New Roman"/>
          <w:sz w:val="18"/>
          <w:szCs w:val="18"/>
          <w:lang w:val="en-GB"/>
        </w:rPr>
        <w:t>f, whether positive or negative</w:t>
      </w:r>
    </w:p>
  </w:footnote>
  <w:footnote w:id="46">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Natio</w:t>
      </w:r>
      <w:r>
        <w:rPr>
          <w:rFonts w:ascii="Times New Roman" w:hAnsi="Times New Roman" w:cs="Times New Roman"/>
          <w:sz w:val="18"/>
          <w:szCs w:val="18"/>
          <w:lang w:val="en-GB"/>
        </w:rPr>
        <w:t>nal Development Plan at 26 n. 5</w:t>
      </w:r>
    </w:p>
  </w:footnote>
  <w:footnote w:id="47">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Justice and Rule of Law Nation</w:t>
      </w:r>
      <w:r>
        <w:rPr>
          <w:rFonts w:ascii="Times New Roman" w:hAnsi="Times New Roman" w:cs="Times New Roman"/>
          <w:sz w:val="18"/>
          <w:szCs w:val="18"/>
          <w:lang w:val="en-GB"/>
        </w:rPr>
        <w:t>al Strategy at 14-16; 22; 52-58</w:t>
      </w:r>
    </w:p>
  </w:footnote>
  <w:footnote w:id="48">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UNDP/PAPP, Programme Document: Supporting the Rule of Law and Access to Justice for the Palestinian People 2009-20</w:t>
      </w:r>
      <w:r>
        <w:rPr>
          <w:rFonts w:ascii="Times New Roman" w:hAnsi="Times New Roman" w:cs="Times New Roman"/>
          <w:sz w:val="18"/>
          <w:szCs w:val="18"/>
          <w:lang w:val="en-GB"/>
        </w:rPr>
        <w:t>12, at 2 (“Programme Document”)</w:t>
      </w:r>
    </w:p>
  </w:footnote>
  <w:footnote w:id="49">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Id. at 11</w:t>
      </w:r>
    </w:p>
  </w:footnote>
  <w:footnote w:id="50">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2011</w:t>
      </w:r>
      <w:r>
        <w:rPr>
          <w:rFonts w:ascii="Times New Roman" w:hAnsi="Times New Roman" w:cs="Times New Roman"/>
          <w:sz w:val="18"/>
          <w:szCs w:val="18"/>
          <w:lang w:val="en-GB"/>
        </w:rPr>
        <w:t xml:space="preserve"> Strategic Review</w:t>
      </w:r>
    </w:p>
  </w:footnote>
  <w:footnote w:id="51">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Id. at 11-17</w:t>
      </w:r>
    </w:p>
  </w:footnote>
  <w:footnote w:id="52">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2011 Annual Report</w:t>
      </w:r>
    </w:p>
  </w:footnote>
  <w:footnote w:id="53">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M&amp;E plan at 7</w:t>
      </w:r>
    </w:p>
  </w:footnote>
  <w:footnote w:id="54">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Id. at 8</w:t>
      </w:r>
    </w:p>
  </w:footnote>
  <w:footnote w:id="55">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I</w:t>
      </w:r>
      <w:r>
        <w:rPr>
          <w:rFonts w:ascii="Times New Roman" w:hAnsi="Times New Roman" w:cs="Times New Roman"/>
          <w:sz w:val="18"/>
          <w:szCs w:val="18"/>
          <w:lang w:val="en-GB"/>
        </w:rPr>
        <w:t>d. at 9</w:t>
      </w:r>
    </w:p>
  </w:footnote>
  <w:footnote w:id="56">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Id. at 10</w:t>
      </w:r>
    </w:p>
  </w:footnote>
  <w:footnote w:id="57">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Id. at 11</w:t>
      </w:r>
    </w:p>
  </w:footnote>
  <w:footnote w:id="58">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Se</w:t>
      </w:r>
      <w:r>
        <w:rPr>
          <w:rFonts w:ascii="Times New Roman" w:hAnsi="Times New Roman" w:cs="Times New Roman"/>
          <w:sz w:val="18"/>
          <w:szCs w:val="18"/>
          <w:lang w:val="en-GB"/>
        </w:rPr>
        <w:t>e discussion of Outcome 1, below</w:t>
      </w:r>
    </w:p>
  </w:footnote>
  <w:footnote w:id="59">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Se</w:t>
      </w:r>
      <w:r>
        <w:rPr>
          <w:rFonts w:ascii="Times New Roman" w:hAnsi="Times New Roman" w:cs="Times New Roman"/>
          <w:sz w:val="18"/>
          <w:szCs w:val="18"/>
          <w:lang w:val="en-GB"/>
        </w:rPr>
        <w:t>e discussion of Outcome 2, below</w:t>
      </w:r>
    </w:p>
  </w:footnote>
  <w:footnote w:id="60">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Se</w:t>
      </w:r>
      <w:r>
        <w:rPr>
          <w:rFonts w:ascii="Times New Roman" w:hAnsi="Times New Roman" w:cs="Times New Roman"/>
          <w:sz w:val="18"/>
          <w:szCs w:val="18"/>
          <w:lang w:val="en-GB"/>
        </w:rPr>
        <w:t>e discussion of Outcome 3, below</w:t>
      </w:r>
    </w:p>
  </w:footnote>
  <w:footnote w:id="61">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Se</w:t>
      </w:r>
      <w:r>
        <w:rPr>
          <w:rFonts w:ascii="Times New Roman" w:hAnsi="Times New Roman" w:cs="Times New Roman"/>
          <w:sz w:val="18"/>
          <w:szCs w:val="18"/>
          <w:lang w:val="en-GB"/>
        </w:rPr>
        <w:t>e discussion of Outcome 4, below</w:t>
      </w:r>
    </w:p>
  </w:footnote>
  <w:footnote w:id="62">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Se</w:t>
      </w:r>
      <w:r>
        <w:rPr>
          <w:rFonts w:ascii="Times New Roman" w:hAnsi="Times New Roman" w:cs="Times New Roman"/>
          <w:sz w:val="18"/>
          <w:szCs w:val="18"/>
          <w:lang w:val="en-GB"/>
        </w:rPr>
        <w:t>e discussion of Outcome 5, below</w:t>
      </w:r>
    </w:p>
  </w:footnote>
  <w:footnote w:id="63">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2012 Annual Report</w:t>
      </w:r>
    </w:p>
  </w:footnote>
  <w:footnote w:id="64">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Joint Capacity Assessment at 11; see also Access to Justice in the oPt: Mapping the Perceptions and Contributions of Non-State Actors (March 2009) (“Perceptions and Contributions</w:t>
      </w:r>
      <w:r>
        <w:rPr>
          <w:rFonts w:ascii="Times New Roman" w:hAnsi="Times New Roman" w:cs="Times New Roman"/>
          <w:sz w:val="18"/>
          <w:szCs w:val="18"/>
          <w:lang w:val="en-GB"/>
        </w:rPr>
        <w:t xml:space="preserve"> of NSAs”) at 22</w:t>
      </w:r>
    </w:p>
  </w:footnote>
  <w:footnote w:id="65">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2011 Strategic Review at 9-10</w:t>
      </w:r>
    </w:p>
  </w:footnote>
  <w:footnote w:id="66">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2012 Annual Report at 11</w:t>
      </w:r>
    </w:p>
  </w:footnote>
  <w:footnote w:id="67">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Id. at 7-8, 11</w:t>
      </w:r>
    </w:p>
  </w:footnote>
  <w:footnote w:id="68">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Joint Capacity Assessment at 16</w:t>
      </w:r>
    </w:p>
  </w:footnote>
  <w:footnote w:id="69">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The recruitment process supported by UNDP was transp</w:t>
      </w:r>
      <w:r>
        <w:rPr>
          <w:rFonts w:ascii="Times New Roman" w:hAnsi="Times New Roman" w:cs="Times New Roman"/>
          <w:sz w:val="18"/>
          <w:szCs w:val="18"/>
          <w:lang w:val="en-GB"/>
        </w:rPr>
        <w:t xml:space="preserve">arent and publicly advertised. </w:t>
      </w:r>
      <w:r w:rsidRPr="004A29F9">
        <w:rPr>
          <w:rFonts w:ascii="Times New Roman" w:hAnsi="Times New Roman" w:cs="Times New Roman"/>
          <w:sz w:val="18"/>
          <w:szCs w:val="18"/>
          <w:lang w:val="en-GB"/>
        </w:rPr>
        <w:t>Each applicant was required to pass a recr</w:t>
      </w:r>
      <w:r>
        <w:rPr>
          <w:rFonts w:ascii="Times New Roman" w:hAnsi="Times New Roman" w:cs="Times New Roman"/>
          <w:sz w:val="18"/>
          <w:szCs w:val="18"/>
          <w:lang w:val="en-GB"/>
        </w:rPr>
        <w:t xml:space="preserve">uitment exam. </w:t>
      </w:r>
      <w:r w:rsidRPr="004A29F9">
        <w:rPr>
          <w:rFonts w:ascii="Times New Roman" w:hAnsi="Times New Roman" w:cs="Times New Roman"/>
          <w:sz w:val="18"/>
          <w:szCs w:val="18"/>
          <w:lang w:val="en-GB"/>
        </w:rPr>
        <w:t>Those candidates who scored well on the recruitment exam then und</w:t>
      </w:r>
      <w:r>
        <w:rPr>
          <w:rFonts w:ascii="Times New Roman" w:hAnsi="Times New Roman" w:cs="Times New Roman"/>
          <w:sz w:val="18"/>
          <w:szCs w:val="18"/>
          <w:lang w:val="en-GB"/>
        </w:rPr>
        <w:t>erwent a series of interviews. UNDP supported the MO</w:t>
      </w:r>
      <w:r w:rsidRPr="004A29F9">
        <w:rPr>
          <w:rFonts w:ascii="Times New Roman" w:hAnsi="Times New Roman" w:cs="Times New Roman"/>
          <w:sz w:val="18"/>
          <w:szCs w:val="18"/>
          <w:lang w:val="en-GB"/>
        </w:rPr>
        <w:t>J to assemble three different committees for this purpose, in addition to a separate committee established for the sole purpose of reviewing existing staff members who were a</w:t>
      </w:r>
      <w:r>
        <w:rPr>
          <w:rFonts w:ascii="Times New Roman" w:hAnsi="Times New Roman" w:cs="Times New Roman"/>
          <w:sz w:val="18"/>
          <w:szCs w:val="18"/>
          <w:lang w:val="en-GB"/>
        </w:rPr>
        <w:t>pplying to switch to a Stabilisation Fund supported post (i</w:t>
      </w:r>
      <w:r w:rsidRPr="004A29F9">
        <w:rPr>
          <w:rFonts w:ascii="Times New Roman" w:hAnsi="Times New Roman" w:cs="Times New Roman"/>
          <w:sz w:val="18"/>
          <w:szCs w:val="18"/>
          <w:lang w:val="en-GB"/>
        </w:rPr>
        <w:t>n this process, UNDP effectively pushed-back against a proposal of the Deputy Minister</w:t>
      </w:r>
      <w:r>
        <w:rPr>
          <w:rFonts w:ascii="Times New Roman" w:hAnsi="Times New Roman" w:cs="Times New Roman"/>
          <w:sz w:val="18"/>
          <w:szCs w:val="18"/>
          <w:lang w:val="en-GB"/>
        </w:rPr>
        <w:t xml:space="preserve"> who wanted to automatically rehire existing MO</w:t>
      </w:r>
      <w:r w:rsidRPr="004A29F9">
        <w:rPr>
          <w:rFonts w:ascii="Times New Roman" w:hAnsi="Times New Roman" w:cs="Times New Roman"/>
          <w:sz w:val="18"/>
          <w:szCs w:val="18"/>
          <w:lang w:val="en-GB"/>
        </w:rPr>
        <w:t>J staff without</w:t>
      </w:r>
      <w:r>
        <w:rPr>
          <w:rFonts w:ascii="Times New Roman" w:hAnsi="Times New Roman" w:cs="Times New Roman"/>
          <w:sz w:val="18"/>
          <w:szCs w:val="18"/>
          <w:lang w:val="en-GB"/>
        </w:rPr>
        <w:t xml:space="preserve"> interviews). </w:t>
      </w:r>
      <w:r w:rsidRPr="004A29F9">
        <w:rPr>
          <w:rFonts w:ascii="Times New Roman" w:hAnsi="Times New Roman" w:cs="Times New Roman"/>
          <w:sz w:val="18"/>
          <w:szCs w:val="18"/>
          <w:lang w:val="en-GB"/>
        </w:rPr>
        <w:t>Only upon successful interview and recommendation by the interview committees was the candidate selec</w:t>
      </w:r>
      <w:r>
        <w:rPr>
          <w:rFonts w:ascii="Times New Roman" w:hAnsi="Times New Roman" w:cs="Times New Roman"/>
          <w:sz w:val="18"/>
          <w:szCs w:val="18"/>
          <w:lang w:val="en-GB"/>
        </w:rPr>
        <w:t xml:space="preserve">ted for possible appointment. A </w:t>
      </w:r>
      <w:r w:rsidRPr="004A29F9">
        <w:rPr>
          <w:rFonts w:ascii="Times New Roman" w:hAnsi="Times New Roman" w:cs="Times New Roman"/>
          <w:sz w:val="18"/>
          <w:szCs w:val="18"/>
          <w:lang w:val="en-GB"/>
        </w:rPr>
        <w:t>UNDP’s</w:t>
      </w:r>
      <w:r>
        <w:rPr>
          <w:rFonts w:ascii="Times New Roman" w:hAnsi="Times New Roman" w:cs="Times New Roman"/>
          <w:sz w:val="18"/>
          <w:szCs w:val="18"/>
          <w:lang w:val="en-GB"/>
        </w:rPr>
        <w:t xml:space="preserve"> seconded staff member at the MO</w:t>
      </w:r>
      <w:r w:rsidRPr="004A29F9">
        <w:rPr>
          <w:rFonts w:ascii="Times New Roman" w:hAnsi="Times New Roman" w:cs="Times New Roman"/>
          <w:sz w:val="18"/>
          <w:szCs w:val="18"/>
          <w:lang w:val="en-GB"/>
        </w:rPr>
        <w:t>J supervised this cr</w:t>
      </w:r>
      <w:r>
        <w:rPr>
          <w:rFonts w:ascii="Times New Roman" w:hAnsi="Times New Roman" w:cs="Times New Roman"/>
          <w:sz w:val="18"/>
          <w:szCs w:val="18"/>
          <w:lang w:val="en-GB"/>
        </w:rPr>
        <w:t xml:space="preserve">ucial process in building the MOJ’s capacity. </w:t>
      </w:r>
      <w:r w:rsidRPr="004A29F9">
        <w:rPr>
          <w:rFonts w:ascii="Times New Roman" w:hAnsi="Times New Roman" w:cs="Times New Roman"/>
          <w:sz w:val="18"/>
          <w:szCs w:val="18"/>
          <w:lang w:val="en-GB"/>
        </w:rPr>
        <w:t>Significantly, four outside parties were also incl</w:t>
      </w:r>
      <w:r>
        <w:rPr>
          <w:rFonts w:ascii="Times New Roman" w:hAnsi="Times New Roman" w:cs="Times New Roman"/>
          <w:sz w:val="18"/>
          <w:szCs w:val="18"/>
          <w:lang w:val="en-GB"/>
        </w:rPr>
        <w:t>uded in the process of Stabilisation</w:t>
      </w:r>
      <w:r w:rsidRPr="004A29F9">
        <w:rPr>
          <w:rFonts w:ascii="Times New Roman" w:hAnsi="Times New Roman" w:cs="Times New Roman"/>
          <w:sz w:val="18"/>
          <w:szCs w:val="18"/>
          <w:lang w:val="en-GB"/>
        </w:rPr>
        <w:t xml:space="preserve"> Fund hiring:  </w:t>
      </w:r>
      <w:r>
        <w:rPr>
          <w:rFonts w:ascii="Times New Roman" w:hAnsi="Times New Roman" w:cs="Times New Roman"/>
          <w:sz w:val="18"/>
          <w:szCs w:val="18"/>
          <w:lang w:val="en-GB"/>
        </w:rPr>
        <w:t xml:space="preserve">the Ministry of </w:t>
      </w:r>
      <w:r w:rsidRPr="004A29F9">
        <w:rPr>
          <w:rFonts w:ascii="Times New Roman" w:hAnsi="Times New Roman" w:cs="Times New Roman"/>
          <w:sz w:val="18"/>
          <w:szCs w:val="18"/>
          <w:lang w:val="en-GB"/>
        </w:rPr>
        <w:t>F</w:t>
      </w:r>
      <w:r>
        <w:rPr>
          <w:rFonts w:ascii="Times New Roman" w:hAnsi="Times New Roman" w:cs="Times New Roman"/>
          <w:sz w:val="18"/>
          <w:szCs w:val="18"/>
          <w:lang w:val="en-GB"/>
        </w:rPr>
        <w:t>inance</w:t>
      </w:r>
      <w:r w:rsidRPr="004A29F9">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the </w:t>
      </w:r>
      <w:r w:rsidRPr="004A29F9">
        <w:rPr>
          <w:rFonts w:ascii="Times New Roman" w:hAnsi="Times New Roman" w:cs="Times New Roman"/>
          <w:sz w:val="18"/>
          <w:szCs w:val="18"/>
          <w:lang w:val="en-GB"/>
        </w:rPr>
        <w:t xml:space="preserve">State Audit and Control; </w:t>
      </w:r>
      <w:r>
        <w:rPr>
          <w:rFonts w:ascii="Times New Roman" w:hAnsi="Times New Roman" w:cs="Times New Roman"/>
          <w:sz w:val="18"/>
          <w:szCs w:val="18"/>
          <w:lang w:val="en-GB"/>
        </w:rPr>
        <w:t xml:space="preserve">the </w:t>
      </w:r>
      <w:r w:rsidRPr="004A29F9">
        <w:rPr>
          <w:rFonts w:ascii="Times New Roman" w:hAnsi="Times New Roman" w:cs="Times New Roman"/>
          <w:sz w:val="18"/>
          <w:szCs w:val="18"/>
          <w:lang w:val="en-GB"/>
        </w:rPr>
        <w:t>Ge</w:t>
      </w:r>
      <w:r>
        <w:rPr>
          <w:rFonts w:ascii="Times New Roman" w:hAnsi="Times New Roman" w:cs="Times New Roman"/>
          <w:sz w:val="18"/>
          <w:szCs w:val="18"/>
          <w:lang w:val="en-GB"/>
        </w:rPr>
        <w:t xml:space="preserve">neral Personnel Counsel; and the Public Service Union. </w:t>
      </w:r>
      <w:r w:rsidRPr="004A29F9">
        <w:rPr>
          <w:rFonts w:ascii="Times New Roman" w:hAnsi="Times New Roman" w:cs="Times New Roman"/>
          <w:sz w:val="18"/>
          <w:szCs w:val="18"/>
          <w:lang w:val="en-GB"/>
        </w:rPr>
        <w:t>These parties sat on t</w:t>
      </w:r>
      <w:r>
        <w:rPr>
          <w:rFonts w:ascii="Times New Roman" w:hAnsi="Times New Roman" w:cs="Times New Roman"/>
          <w:sz w:val="18"/>
          <w:szCs w:val="18"/>
          <w:lang w:val="en-GB"/>
        </w:rPr>
        <w:t xml:space="preserve">he various hiring committees. </w:t>
      </w:r>
      <w:r w:rsidRPr="004A29F9">
        <w:rPr>
          <w:rFonts w:ascii="Times New Roman" w:hAnsi="Times New Roman" w:cs="Times New Roman"/>
          <w:sz w:val="18"/>
          <w:szCs w:val="18"/>
          <w:lang w:val="en-GB"/>
        </w:rPr>
        <w:t>Thus, the very proc</w:t>
      </w:r>
      <w:r>
        <w:rPr>
          <w:rFonts w:ascii="Times New Roman" w:hAnsi="Times New Roman" w:cs="Times New Roman"/>
          <w:sz w:val="18"/>
          <w:szCs w:val="18"/>
          <w:lang w:val="en-GB"/>
        </w:rPr>
        <w:t>ess of hiring under the Stabilis</w:t>
      </w:r>
      <w:r w:rsidRPr="004A29F9">
        <w:rPr>
          <w:rFonts w:ascii="Times New Roman" w:hAnsi="Times New Roman" w:cs="Times New Roman"/>
          <w:sz w:val="18"/>
          <w:szCs w:val="18"/>
          <w:lang w:val="en-GB"/>
        </w:rPr>
        <w:t>ation F</w:t>
      </w:r>
      <w:r>
        <w:rPr>
          <w:rFonts w:ascii="Times New Roman" w:hAnsi="Times New Roman" w:cs="Times New Roman"/>
          <w:sz w:val="18"/>
          <w:szCs w:val="18"/>
          <w:lang w:val="en-GB"/>
        </w:rPr>
        <w:t>und built the capacity of the MOJ</w:t>
      </w:r>
    </w:p>
  </w:footnote>
  <w:footnote w:id="70">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The MO</w:t>
      </w:r>
      <w:r w:rsidRPr="004A29F9">
        <w:rPr>
          <w:rFonts w:ascii="Times New Roman" w:hAnsi="Times New Roman" w:cs="Times New Roman"/>
          <w:sz w:val="18"/>
          <w:szCs w:val="18"/>
          <w:lang w:val="en-GB"/>
        </w:rPr>
        <w:t>J is transitioning from an administrative institution to a mor</w:t>
      </w:r>
      <w:r>
        <w:rPr>
          <w:rFonts w:ascii="Times New Roman" w:hAnsi="Times New Roman" w:cs="Times New Roman"/>
          <w:sz w:val="18"/>
          <w:szCs w:val="18"/>
          <w:lang w:val="en-GB"/>
        </w:rPr>
        <w:t>e service-orientated ministry. Currently, the MO</w:t>
      </w:r>
      <w:r w:rsidRPr="004A29F9">
        <w:rPr>
          <w:rFonts w:ascii="Times New Roman" w:hAnsi="Times New Roman" w:cs="Times New Roman"/>
          <w:sz w:val="18"/>
          <w:szCs w:val="18"/>
          <w:lang w:val="en-GB"/>
        </w:rPr>
        <w:t xml:space="preserve">J provides </w:t>
      </w:r>
      <w:r>
        <w:rPr>
          <w:rFonts w:ascii="Times New Roman" w:hAnsi="Times New Roman" w:cs="Times New Roman"/>
          <w:sz w:val="18"/>
          <w:szCs w:val="18"/>
          <w:lang w:val="en-GB"/>
        </w:rPr>
        <w:t>five key services for citizens:</w:t>
      </w:r>
      <w:r w:rsidRPr="004A29F9">
        <w:rPr>
          <w:rFonts w:ascii="Times New Roman" w:hAnsi="Times New Roman" w:cs="Times New Roman"/>
          <w:sz w:val="18"/>
          <w:szCs w:val="18"/>
          <w:lang w:val="en-GB"/>
        </w:rPr>
        <w:t xml:space="preserve"> a) au</w:t>
      </w:r>
      <w:r>
        <w:rPr>
          <w:rFonts w:ascii="Times New Roman" w:hAnsi="Times New Roman" w:cs="Times New Roman"/>
          <w:sz w:val="18"/>
          <w:szCs w:val="18"/>
          <w:lang w:val="en-GB"/>
        </w:rPr>
        <w:t xml:space="preserve">thentication of records; </w:t>
      </w:r>
      <w:r w:rsidRPr="004A29F9">
        <w:rPr>
          <w:rFonts w:ascii="Times New Roman" w:hAnsi="Times New Roman" w:cs="Times New Roman"/>
          <w:sz w:val="18"/>
          <w:szCs w:val="18"/>
          <w:lang w:val="en-GB"/>
        </w:rPr>
        <w:t>b) maintaining and providing justice records; c) supporting forensi</w:t>
      </w:r>
      <w:r>
        <w:rPr>
          <w:rFonts w:ascii="Times New Roman" w:hAnsi="Times New Roman" w:cs="Times New Roman"/>
          <w:sz w:val="18"/>
          <w:szCs w:val="18"/>
          <w:lang w:val="en-GB"/>
        </w:rPr>
        <w:t xml:space="preserve">c medicine and investigations; </w:t>
      </w:r>
      <w:r w:rsidRPr="004A29F9">
        <w:rPr>
          <w:rFonts w:ascii="Times New Roman" w:hAnsi="Times New Roman" w:cs="Times New Roman"/>
          <w:sz w:val="18"/>
          <w:szCs w:val="18"/>
          <w:lang w:val="en-GB"/>
        </w:rPr>
        <w:t xml:space="preserve">and d) certification of arbitrators and certification of translators. </w:t>
      </w:r>
    </w:p>
  </w:footnote>
  <w:footnote w:id="71">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2011 Strategic Review at 8</w:t>
      </w:r>
    </w:p>
  </w:footnote>
  <w:footnote w:id="72">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2012 Annual Report at 5</w:t>
      </w:r>
    </w:p>
  </w:footnote>
  <w:footnote w:id="73">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Join</w:t>
      </w:r>
      <w:r>
        <w:rPr>
          <w:rFonts w:ascii="Times New Roman" w:hAnsi="Times New Roman" w:cs="Times New Roman"/>
          <w:sz w:val="18"/>
          <w:szCs w:val="18"/>
          <w:lang w:val="en-GB"/>
        </w:rPr>
        <w:t>t Capacity Assessment at 21</w:t>
      </w:r>
    </w:p>
  </w:footnote>
  <w:footnote w:id="74">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Joint Capacity Assessment at 11</w:t>
      </w:r>
    </w:p>
  </w:footnote>
  <w:footnote w:id="75">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Id. at 22</w:t>
      </w:r>
    </w:p>
  </w:footnote>
  <w:footnote w:id="76">
    <w:p w:rsidR="00DD5DAA" w:rsidRPr="004A29F9" w:rsidRDefault="00DD5DAA" w:rsidP="004C6458">
      <w:pPr>
        <w:pStyle w:val="Footnote"/>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2011 Strategic Review at 5</w:t>
      </w:r>
    </w:p>
  </w:footnote>
  <w:footnote w:id="77">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2013 Annual Work Plan at 6</w:t>
      </w:r>
    </w:p>
  </w:footnote>
  <w:footnote w:id="78">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Justice and Rule</w:t>
      </w:r>
      <w:r>
        <w:rPr>
          <w:rFonts w:ascii="Times New Roman" w:hAnsi="Times New Roman" w:cs="Times New Roman"/>
          <w:sz w:val="18"/>
          <w:szCs w:val="18"/>
          <w:lang w:val="en-GB"/>
        </w:rPr>
        <w:t xml:space="preserve"> of Law National Strategy at 21</w:t>
      </w:r>
    </w:p>
  </w:footnote>
  <w:footnote w:id="79">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National Development Plan at 26</w:t>
      </w:r>
    </w:p>
  </w:footnote>
  <w:footnote w:id="80">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2012 Annual Report at 6</w:t>
      </w:r>
    </w:p>
  </w:footnote>
  <w:footnote w:id="81">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2011 Strate</w:t>
      </w:r>
      <w:r>
        <w:rPr>
          <w:rFonts w:ascii="Times New Roman" w:hAnsi="Times New Roman" w:cs="Times New Roman"/>
          <w:sz w:val="18"/>
          <w:szCs w:val="18"/>
          <w:lang w:val="en-GB"/>
        </w:rPr>
        <w:t>gic Review at 11</w:t>
      </w:r>
    </w:p>
  </w:footnote>
  <w:footnote w:id="82">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2012 Annual Report at 6</w:t>
      </w:r>
    </w:p>
  </w:footnote>
  <w:footnote w:id="83">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2012 Annual Report at 5</w:t>
      </w:r>
    </w:p>
  </w:footnote>
  <w:footnote w:id="84">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Nati</w:t>
      </w:r>
      <w:r>
        <w:rPr>
          <w:rFonts w:ascii="Times New Roman" w:hAnsi="Times New Roman" w:cs="Times New Roman"/>
          <w:sz w:val="18"/>
          <w:szCs w:val="18"/>
          <w:lang w:val="en-GB"/>
        </w:rPr>
        <w:t>onal Development Plan at 11, 26</w:t>
      </w:r>
    </w:p>
  </w:footnote>
  <w:footnote w:id="85">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UNDP/PAPP, Mapping Study: Legal Aid Services Provided by the Palestinian Na</w:t>
      </w:r>
      <w:r>
        <w:rPr>
          <w:rFonts w:ascii="Times New Roman" w:hAnsi="Times New Roman" w:cs="Times New Roman"/>
          <w:sz w:val="18"/>
          <w:szCs w:val="18"/>
          <w:lang w:val="en-GB"/>
        </w:rPr>
        <w:t>tional Authority (October 2011)</w:t>
      </w:r>
    </w:p>
  </w:footnote>
  <w:footnote w:id="86">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The draft law has been signed by the Minister of </w:t>
      </w:r>
      <w:r>
        <w:rPr>
          <w:rFonts w:ascii="Times New Roman" w:hAnsi="Times New Roman" w:cs="Times New Roman"/>
          <w:sz w:val="18"/>
          <w:szCs w:val="18"/>
          <w:lang w:val="en-GB"/>
        </w:rPr>
        <w:t>Justice and is now before the Prime Minister</w:t>
      </w:r>
      <w:r w:rsidRPr="004A29F9">
        <w:rPr>
          <w:rFonts w:ascii="Times New Roman" w:hAnsi="Times New Roman" w:cs="Times New Roman"/>
          <w:sz w:val="18"/>
          <w:szCs w:val="18"/>
          <w:lang w:val="en-GB"/>
        </w:rPr>
        <w:t xml:space="preserve"> who will circulate</w:t>
      </w:r>
      <w:r>
        <w:rPr>
          <w:rFonts w:ascii="Times New Roman" w:hAnsi="Times New Roman" w:cs="Times New Roman"/>
          <w:sz w:val="18"/>
          <w:szCs w:val="18"/>
          <w:lang w:val="en-GB"/>
        </w:rPr>
        <w:t xml:space="preserve"> to all ministries for comments. T</w:t>
      </w:r>
      <w:r w:rsidRPr="004A29F9">
        <w:rPr>
          <w:rFonts w:ascii="Times New Roman" w:hAnsi="Times New Roman" w:cs="Times New Roman"/>
          <w:sz w:val="18"/>
          <w:szCs w:val="18"/>
          <w:lang w:val="en-GB"/>
        </w:rPr>
        <w:t>hen it will be put through an</w:t>
      </w:r>
      <w:r>
        <w:rPr>
          <w:rFonts w:ascii="Times New Roman" w:hAnsi="Times New Roman" w:cs="Times New Roman"/>
          <w:sz w:val="18"/>
          <w:szCs w:val="18"/>
          <w:lang w:val="en-GB"/>
        </w:rPr>
        <w:t>other examination at the Council of Ministers</w:t>
      </w:r>
      <w:r w:rsidRPr="004A29F9">
        <w:rPr>
          <w:rFonts w:ascii="Times New Roman" w:hAnsi="Times New Roman" w:cs="Times New Roman"/>
          <w:sz w:val="18"/>
          <w:szCs w:val="18"/>
          <w:lang w:val="en-GB"/>
        </w:rPr>
        <w:t xml:space="preserve"> and finally, a public consultati</w:t>
      </w:r>
      <w:r>
        <w:rPr>
          <w:rFonts w:ascii="Times New Roman" w:hAnsi="Times New Roman" w:cs="Times New Roman"/>
          <w:sz w:val="18"/>
          <w:szCs w:val="18"/>
          <w:lang w:val="en-GB"/>
        </w:rPr>
        <w:t>on process will be held to fine-</w:t>
      </w:r>
      <w:r w:rsidRPr="004A29F9">
        <w:rPr>
          <w:rFonts w:ascii="Times New Roman" w:hAnsi="Times New Roman" w:cs="Times New Roman"/>
          <w:sz w:val="18"/>
          <w:szCs w:val="18"/>
          <w:lang w:val="en-GB"/>
        </w:rPr>
        <w:t>tune it</w:t>
      </w:r>
      <w:r>
        <w:rPr>
          <w:rFonts w:ascii="Times New Roman" w:hAnsi="Times New Roman" w:cs="Times New Roman"/>
          <w:sz w:val="18"/>
          <w:szCs w:val="18"/>
          <w:lang w:val="en-GB"/>
        </w:rPr>
        <w:t xml:space="preserve"> before it is sent to the President’s Office for final approval and signature (</w:t>
      </w:r>
      <w:r w:rsidRPr="004A29F9">
        <w:rPr>
          <w:rFonts w:ascii="Times New Roman" w:hAnsi="Times New Roman" w:cs="Times New Roman"/>
          <w:sz w:val="18"/>
          <w:szCs w:val="18"/>
          <w:lang w:val="en-GB"/>
        </w:rPr>
        <w:t>Art</w:t>
      </w:r>
      <w:r>
        <w:rPr>
          <w:rFonts w:ascii="Times New Roman" w:hAnsi="Times New Roman" w:cs="Times New Roman"/>
          <w:sz w:val="18"/>
          <w:szCs w:val="18"/>
          <w:lang w:val="en-GB"/>
        </w:rPr>
        <w:t>. 43 of the Basic Law (2003)</w:t>
      </w:r>
      <w:r w:rsidRPr="004A29F9">
        <w:rPr>
          <w:rFonts w:ascii="Times New Roman" w:hAnsi="Times New Roman" w:cs="Times New Roman"/>
          <w:sz w:val="18"/>
          <w:szCs w:val="18"/>
          <w:lang w:val="en-GB"/>
        </w:rPr>
        <w:t xml:space="preserve"> provides that in an emergen</w:t>
      </w:r>
      <w:r>
        <w:rPr>
          <w:rFonts w:ascii="Times New Roman" w:hAnsi="Times New Roman" w:cs="Times New Roman"/>
          <w:sz w:val="18"/>
          <w:szCs w:val="18"/>
          <w:lang w:val="en-GB"/>
        </w:rPr>
        <w:t>cy the President can make law; t</w:t>
      </w:r>
      <w:r w:rsidRPr="004A29F9">
        <w:rPr>
          <w:rFonts w:ascii="Times New Roman" w:hAnsi="Times New Roman" w:cs="Times New Roman"/>
          <w:sz w:val="18"/>
          <w:szCs w:val="18"/>
          <w:lang w:val="en-GB"/>
        </w:rPr>
        <w:t xml:space="preserve">his is the </w:t>
      </w:r>
      <w:r w:rsidRPr="002B00DE">
        <w:rPr>
          <w:rFonts w:ascii="Times New Roman" w:hAnsi="Times New Roman" w:cs="Times New Roman"/>
          <w:i/>
          <w:sz w:val="18"/>
          <w:szCs w:val="18"/>
          <w:lang w:val="en-GB"/>
        </w:rPr>
        <w:t>de facto</w:t>
      </w:r>
      <w:r w:rsidRPr="004A29F9">
        <w:rPr>
          <w:rFonts w:ascii="Times New Roman" w:hAnsi="Times New Roman" w:cs="Times New Roman"/>
          <w:sz w:val="18"/>
          <w:szCs w:val="18"/>
          <w:lang w:val="en-GB"/>
        </w:rPr>
        <w:t xml:space="preserve"> situ</w:t>
      </w:r>
      <w:r>
        <w:rPr>
          <w:rFonts w:ascii="Times New Roman" w:hAnsi="Times New Roman" w:cs="Times New Roman"/>
          <w:sz w:val="18"/>
          <w:szCs w:val="18"/>
          <w:lang w:val="en-GB"/>
        </w:rPr>
        <w:t>ation now in the absence of a functioning PLC)</w:t>
      </w:r>
    </w:p>
  </w:footnote>
  <w:footnote w:id="87">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See, e.g., UNDP/PAPP, A Review of Palestinian Legislation from a Women’s Rights Per</w:t>
      </w:r>
      <w:r>
        <w:rPr>
          <w:rFonts w:ascii="Times New Roman" w:hAnsi="Times New Roman" w:cs="Times New Roman"/>
          <w:sz w:val="18"/>
          <w:szCs w:val="18"/>
          <w:lang w:val="en-GB"/>
        </w:rPr>
        <w:t>s</w:t>
      </w:r>
      <w:r w:rsidRPr="004A29F9">
        <w:rPr>
          <w:rFonts w:ascii="Times New Roman" w:hAnsi="Times New Roman" w:cs="Times New Roman"/>
          <w:sz w:val="18"/>
          <w:szCs w:val="18"/>
          <w:lang w:val="en-GB"/>
        </w:rPr>
        <w:t xml:space="preserve">pective (September 2011) (“Women’s Rights Review”) at 4; for an overview of this historical evolution, see the following webpage prepared by the Institute of Law at Birzeit University: </w:t>
      </w:r>
      <w:hyperlink r:id="rId2" w:history="1">
        <w:r w:rsidRPr="00426822">
          <w:rPr>
            <w:rStyle w:val="Hyperlink"/>
            <w:rFonts w:ascii="Times New Roman" w:hAnsi="Times New Roman" w:cs="Times New Roman"/>
            <w:sz w:val="18"/>
            <w:szCs w:val="18"/>
            <w:lang w:val="en-GB"/>
          </w:rPr>
          <w:t>http://lawcenter.birzeit.edu/iol/en/index.php?action_id=210</w:t>
        </w:r>
      </w:hyperlink>
      <w:r>
        <w:rPr>
          <w:rFonts w:ascii="Times New Roman" w:hAnsi="Times New Roman" w:cs="Times New Roman"/>
          <w:sz w:val="18"/>
          <w:szCs w:val="18"/>
          <w:lang w:val="en-GB"/>
        </w:rPr>
        <w:t xml:space="preserve"> (accessed 6 January 2013)</w:t>
      </w:r>
    </w:p>
  </w:footnote>
  <w:footnote w:id="88">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Joint Capacity Assessment at 5; see also Perceptions</w:t>
      </w:r>
      <w:r>
        <w:rPr>
          <w:rFonts w:ascii="Times New Roman" w:hAnsi="Times New Roman" w:cs="Times New Roman"/>
          <w:sz w:val="18"/>
          <w:szCs w:val="18"/>
          <w:lang w:val="en-GB"/>
        </w:rPr>
        <w:t xml:space="preserve"> and Contributions of NSAs at 4</w:t>
      </w:r>
    </w:p>
  </w:footnote>
  <w:footnote w:id="89">
    <w:p w:rsidR="00DD5DAA" w:rsidRPr="004A29F9" w:rsidRDefault="00DD5DAA" w:rsidP="004C6458">
      <w:pPr>
        <w:pStyle w:val="FootnoteText"/>
        <w:tabs>
          <w:tab w:val="left" w:pos="360"/>
        </w:tabs>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National Developmen</w:t>
      </w:r>
      <w:r>
        <w:rPr>
          <w:rFonts w:ascii="Times New Roman" w:hAnsi="Times New Roman" w:cs="Times New Roman"/>
          <w:sz w:val="18"/>
          <w:szCs w:val="18"/>
          <w:lang w:val="en-GB"/>
        </w:rPr>
        <w:t>t Plan at 26</w:t>
      </w:r>
    </w:p>
  </w:footnote>
  <w:footnote w:id="90">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2011 Strategic Review at 11</w:t>
      </w:r>
    </w:p>
  </w:footnote>
  <w:footnote w:id="91">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2012 Annual Report at 5-7.</w:t>
      </w:r>
      <w:r w:rsidRPr="004A29F9">
        <w:rPr>
          <w:rFonts w:ascii="Times New Roman" w:hAnsi="Times New Roman" w:cs="Times New Roman"/>
          <w:sz w:val="18"/>
          <w:szCs w:val="18"/>
          <w:lang w:val="en-GB"/>
        </w:rPr>
        <w:t>The amendment to the penal code</w:t>
      </w:r>
      <w:r>
        <w:rPr>
          <w:rFonts w:ascii="Times New Roman" w:hAnsi="Times New Roman" w:cs="Times New Roman"/>
          <w:sz w:val="18"/>
          <w:szCs w:val="18"/>
          <w:lang w:val="en-GB"/>
        </w:rPr>
        <w:t xml:space="preserve"> has removed one of the “honour</w:t>
      </w:r>
      <w:r w:rsidRPr="004A29F9">
        <w:rPr>
          <w:rFonts w:ascii="Times New Roman" w:hAnsi="Times New Roman" w:cs="Times New Roman"/>
          <w:sz w:val="18"/>
          <w:szCs w:val="18"/>
          <w:lang w:val="en-GB"/>
        </w:rPr>
        <w:t xml:space="preserve"> crime</w:t>
      </w:r>
      <w:r>
        <w:rPr>
          <w:rFonts w:ascii="Times New Roman" w:hAnsi="Times New Roman" w:cs="Times New Roman"/>
          <w:sz w:val="18"/>
          <w:szCs w:val="18"/>
          <w:lang w:val="en-GB"/>
        </w:rPr>
        <w:t>”</w:t>
      </w:r>
      <w:r w:rsidRPr="004A29F9">
        <w:rPr>
          <w:rFonts w:ascii="Times New Roman" w:hAnsi="Times New Roman" w:cs="Times New Roman"/>
          <w:sz w:val="18"/>
          <w:szCs w:val="18"/>
          <w:lang w:val="en-GB"/>
        </w:rPr>
        <w:t xml:space="preserve"> defences</w:t>
      </w:r>
      <w:r>
        <w:rPr>
          <w:rFonts w:ascii="Times New Roman" w:hAnsi="Times New Roman" w:cs="Times New Roman"/>
          <w:sz w:val="18"/>
          <w:szCs w:val="18"/>
          <w:lang w:val="en-GB"/>
        </w:rPr>
        <w:t>;</w:t>
      </w:r>
      <w:r w:rsidRPr="004A29F9">
        <w:rPr>
          <w:rFonts w:ascii="Times New Roman" w:hAnsi="Times New Roman" w:cs="Times New Roman"/>
          <w:sz w:val="18"/>
          <w:szCs w:val="18"/>
          <w:lang w:val="en-GB"/>
        </w:rPr>
        <w:t xml:space="preserve"> however</w:t>
      </w:r>
      <w:r>
        <w:rPr>
          <w:rFonts w:ascii="Times New Roman" w:hAnsi="Times New Roman" w:cs="Times New Roman"/>
          <w:sz w:val="18"/>
          <w:szCs w:val="18"/>
          <w:lang w:val="en-GB"/>
        </w:rPr>
        <w:t>,</w:t>
      </w:r>
      <w:r w:rsidRPr="004A29F9">
        <w:rPr>
          <w:rFonts w:ascii="Times New Roman" w:hAnsi="Times New Roman" w:cs="Times New Roman"/>
          <w:sz w:val="18"/>
          <w:szCs w:val="18"/>
          <w:lang w:val="en-GB"/>
        </w:rPr>
        <w:t xml:space="preserve"> the general defenc</w:t>
      </w:r>
      <w:r>
        <w:rPr>
          <w:rFonts w:ascii="Times New Roman" w:hAnsi="Times New Roman" w:cs="Times New Roman"/>
          <w:sz w:val="18"/>
          <w:szCs w:val="18"/>
          <w:lang w:val="en-GB"/>
        </w:rPr>
        <w:t xml:space="preserve">e of provocation is still used </w:t>
      </w:r>
      <w:r w:rsidRPr="004A29F9">
        <w:rPr>
          <w:rFonts w:ascii="Times New Roman" w:hAnsi="Times New Roman" w:cs="Times New Roman"/>
          <w:sz w:val="18"/>
          <w:szCs w:val="18"/>
          <w:lang w:val="en-GB"/>
        </w:rPr>
        <w:t xml:space="preserve">to defend </w:t>
      </w:r>
      <w:r>
        <w:rPr>
          <w:rFonts w:ascii="Times New Roman" w:hAnsi="Times New Roman" w:cs="Times New Roman"/>
          <w:sz w:val="18"/>
          <w:szCs w:val="18"/>
          <w:lang w:val="en-GB"/>
        </w:rPr>
        <w:t>“</w:t>
      </w:r>
      <w:r w:rsidRPr="004A29F9">
        <w:rPr>
          <w:rFonts w:ascii="Times New Roman" w:hAnsi="Times New Roman" w:cs="Times New Roman"/>
          <w:sz w:val="18"/>
          <w:szCs w:val="18"/>
          <w:lang w:val="en-GB"/>
        </w:rPr>
        <w:t>honour crimes</w:t>
      </w:r>
      <w:r>
        <w:rPr>
          <w:rFonts w:ascii="Times New Roman" w:hAnsi="Times New Roman" w:cs="Times New Roman"/>
          <w:sz w:val="18"/>
          <w:szCs w:val="18"/>
          <w:lang w:val="en-GB"/>
        </w:rPr>
        <w:t>”</w:t>
      </w:r>
      <w:r w:rsidRPr="004A29F9">
        <w:rPr>
          <w:rFonts w:ascii="Times New Roman" w:hAnsi="Times New Roman" w:cs="Times New Roman"/>
          <w:sz w:val="18"/>
          <w:szCs w:val="18"/>
          <w:lang w:val="en-GB"/>
        </w:rPr>
        <w:t xml:space="preserve"> in practice so the abolition is not yet complete.</w:t>
      </w:r>
    </w:p>
  </w:footnote>
  <w:footnote w:id="92">
    <w:p w:rsidR="00DD5DAA" w:rsidRPr="004A29F9" w:rsidRDefault="00DD5DAA" w:rsidP="004C6458">
      <w:pPr>
        <w:pStyle w:val="FootnoteText"/>
        <w:tabs>
          <w:tab w:val="left" w:pos="360"/>
        </w:tabs>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2012 Annual Report at 5; see </w:t>
      </w:r>
      <w:r>
        <w:rPr>
          <w:rFonts w:ascii="Times New Roman" w:hAnsi="Times New Roman" w:cs="Times New Roman"/>
          <w:sz w:val="18"/>
          <w:szCs w:val="18"/>
          <w:lang w:val="en-GB"/>
        </w:rPr>
        <w:t>also 2013 Annual Work Plan at 6</w:t>
      </w:r>
    </w:p>
  </w:footnote>
  <w:footnote w:id="93">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Justice and Rule of La</w:t>
      </w:r>
      <w:r>
        <w:rPr>
          <w:rFonts w:ascii="Times New Roman" w:hAnsi="Times New Roman" w:cs="Times New Roman"/>
          <w:sz w:val="18"/>
          <w:szCs w:val="18"/>
          <w:lang w:val="en-GB"/>
        </w:rPr>
        <w:t>w National Strategy at 21</w:t>
      </w:r>
    </w:p>
  </w:footnote>
  <w:footnote w:id="94">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2013Annual Report at 30</w:t>
      </w:r>
    </w:p>
  </w:footnote>
  <w:footnote w:id="95">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Cf. USAID which has taken a more strict approach t</w:t>
      </w:r>
      <w:r>
        <w:rPr>
          <w:rFonts w:ascii="Times New Roman" w:hAnsi="Times New Roman" w:cs="Times New Roman"/>
          <w:sz w:val="18"/>
          <w:szCs w:val="18"/>
          <w:lang w:val="en-GB"/>
        </w:rPr>
        <w:t xml:space="preserve">hat the AGO is not part of the judiciary. </w:t>
      </w:r>
      <w:r w:rsidRPr="004A29F9">
        <w:rPr>
          <w:rFonts w:ascii="Times New Roman" w:hAnsi="Times New Roman" w:cs="Times New Roman"/>
          <w:sz w:val="18"/>
          <w:szCs w:val="18"/>
          <w:lang w:val="en-GB"/>
        </w:rPr>
        <w:t>USAID has declined to support joint traini</w:t>
      </w:r>
      <w:r>
        <w:rPr>
          <w:rFonts w:ascii="Times New Roman" w:hAnsi="Times New Roman" w:cs="Times New Roman"/>
          <w:sz w:val="18"/>
          <w:szCs w:val="18"/>
          <w:lang w:val="en-GB"/>
        </w:rPr>
        <w:t>ngs between these institutions</w:t>
      </w:r>
    </w:p>
  </w:footnote>
  <w:footnote w:id="96">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2011 Strategic Review at 10</w:t>
      </w:r>
    </w:p>
  </w:footnote>
  <w:footnote w:id="97">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UNDP experts also lent their support as a courtesy and in kind to the JSAP a U.S. Department of State </w:t>
      </w:r>
      <w:r>
        <w:rPr>
          <w:rFonts w:ascii="Times New Roman" w:hAnsi="Times New Roman" w:cs="Times New Roman"/>
          <w:sz w:val="18"/>
          <w:szCs w:val="18"/>
          <w:lang w:val="en-GB"/>
        </w:rPr>
        <w:t xml:space="preserve">INL funded project at the AGO. </w:t>
      </w:r>
      <w:r w:rsidRPr="004A29F9">
        <w:rPr>
          <w:rFonts w:ascii="Times New Roman" w:hAnsi="Times New Roman" w:cs="Times New Roman"/>
          <w:sz w:val="18"/>
          <w:szCs w:val="18"/>
          <w:lang w:val="en-GB"/>
        </w:rPr>
        <w:t>UNDP sat with the project periodically and advised JSAP for its phase-II and phase-III and helped prepare JSAP Phase III for then U.S. Secretary of State Hillary Clinton’s visit to the JSAP phase-III</w:t>
      </w:r>
      <w:r>
        <w:rPr>
          <w:rFonts w:ascii="Times New Roman" w:hAnsi="Times New Roman" w:cs="Times New Roman"/>
          <w:sz w:val="18"/>
          <w:szCs w:val="18"/>
          <w:lang w:val="en-GB"/>
        </w:rPr>
        <w:t xml:space="preserve"> steering committee meeting. </w:t>
      </w:r>
      <w:r w:rsidRPr="004A29F9">
        <w:rPr>
          <w:rFonts w:ascii="Times New Roman" w:hAnsi="Times New Roman" w:cs="Times New Roman"/>
          <w:sz w:val="18"/>
          <w:szCs w:val="18"/>
          <w:lang w:val="en-GB"/>
        </w:rPr>
        <w:t>UNDP experts helped JSAP to find premises a</w:t>
      </w:r>
      <w:r>
        <w:rPr>
          <w:rFonts w:ascii="Times New Roman" w:hAnsi="Times New Roman" w:cs="Times New Roman"/>
          <w:sz w:val="18"/>
          <w:szCs w:val="18"/>
          <w:lang w:val="en-GB"/>
        </w:rPr>
        <w:t xml:space="preserve">nd to furnish their premises. </w:t>
      </w:r>
      <w:r w:rsidRPr="004A29F9">
        <w:rPr>
          <w:rFonts w:ascii="Times New Roman" w:hAnsi="Times New Roman" w:cs="Times New Roman"/>
          <w:sz w:val="18"/>
          <w:szCs w:val="18"/>
          <w:lang w:val="en-GB"/>
        </w:rPr>
        <w:t>UNDP did this in coordinat</w:t>
      </w:r>
      <w:r>
        <w:rPr>
          <w:rFonts w:ascii="Times New Roman" w:hAnsi="Times New Roman" w:cs="Times New Roman"/>
          <w:sz w:val="18"/>
          <w:szCs w:val="18"/>
          <w:lang w:val="en-GB"/>
        </w:rPr>
        <w:t xml:space="preserve">ion with the public prosecutor offices </w:t>
      </w:r>
      <w:r w:rsidRPr="004A29F9">
        <w:rPr>
          <w:rFonts w:ascii="Times New Roman" w:hAnsi="Times New Roman" w:cs="Times New Roman"/>
          <w:sz w:val="18"/>
          <w:szCs w:val="18"/>
          <w:lang w:val="en-GB"/>
        </w:rPr>
        <w:t>and assisted the p</w:t>
      </w:r>
      <w:r>
        <w:rPr>
          <w:rFonts w:ascii="Times New Roman" w:hAnsi="Times New Roman" w:cs="Times New Roman"/>
          <w:sz w:val="18"/>
          <w:szCs w:val="18"/>
          <w:lang w:val="en-GB"/>
        </w:rPr>
        <w:t xml:space="preserve">rosecutors and JSAP to prioritise. </w:t>
      </w:r>
      <w:r w:rsidRPr="004A29F9">
        <w:rPr>
          <w:rFonts w:ascii="Times New Roman" w:hAnsi="Times New Roman" w:cs="Times New Roman"/>
          <w:sz w:val="18"/>
          <w:szCs w:val="18"/>
          <w:lang w:val="en-GB"/>
        </w:rPr>
        <w:t>As a result of UNDP’s in-kind contributions JSAP III/INL p</w:t>
      </w:r>
      <w:r>
        <w:rPr>
          <w:rFonts w:ascii="Times New Roman" w:hAnsi="Times New Roman" w:cs="Times New Roman"/>
          <w:sz w:val="18"/>
          <w:szCs w:val="18"/>
          <w:lang w:val="en-GB"/>
        </w:rPr>
        <w:t xml:space="preserve">hase two is being prepared. </w:t>
      </w:r>
      <w:r w:rsidRPr="004A29F9">
        <w:rPr>
          <w:rFonts w:ascii="Times New Roman" w:hAnsi="Times New Roman" w:cs="Times New Roman"/>
          <w:sz w:val="18"/>
          <w:szCs w:val="18"/>
          <w:lang w:val="en-GB"/>
        </w:rPr>
        <w:t>UNDP experts also support the U.S. Treasury on technical aspects and s</w:t>
      </w:r>
      <w:r>
        <w:rPr>
          <w:rFonts w:ascii="Times New Roman" w:hAnsi="Times New Roman" w:cs="Times New Roman"/>
          <w:sz w:val="18"/>
          <w:szCs w:val="18"/>
          <w:lang w:val="en-GB"/>
        </w:rPr>
        <w:t>upport to the Chief Prosecutor</w:t>
      </w:r>
    </w:p>
  </w:footnote>
  <w:footnote w:id="98">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Infrastructure remains a problem for HJC, not only the buil</w:t>
      </w:r>
      <w:r>
        <w:rPr>
          <w:rFonts w:ascii="Times New Roman" w:hAnsi="Times New Roman" w:cs="Times New Roman"/>
          <w:sz w:val="18"/>
          <w:szCs w:val="18"/>
          <w:lang w:val="en-GB"/>
        </w:rPr>
        <w:t>dings but also generators, fire-fighting</w:t>
      </w:r>
      <w:r w:rsidRPr="004A29F9">
        <w:rPr>
          <w:rFonts w:ascii="Times New Roman" w:hAnsi="Times New Roman" w:cs="Times New Roman"/>
          <w:sz w:val="18"/>
          <w:szCs w:val="18"/>
          <w:lang w:val="en-GB"/>
        </w:rPr>
        <w:t>/detection equipment.   Problems currently ar</w:t>
      </w:r>
      <w:r>
        <w:rPr>
          <w:rFonts w:ascii="Times New Roman" w:hAnsi="Times New Roman" w:cs="Times New Roman"/>
          <w:sz w:val="18"/>
          <w:szCs w:val="18"/>
          <w:lang w:val="en-GB"/>
        </w:rPr>
        <w:t xml:space="preserve">ise due to simple situations. </w:t>
      </w:r>
      <w:r w:rsidRPr="004A29F9">
        <w:rPr>
          <w:rFonts w:ascii="Times New Roman" w:hAnsi="Times New Roman" w:cs="Times New Roman"/>
          <w:sz w:val="18"/>
          <w:szCs w:val="18"/>
          <w:lang w:val="en-GB"/>
        </w:rPr>
        <w:t>For example, HJC’s lack of funds for power means that courth</w:t>
      </w:r>
      <w:r>
        <w:rPr>
          <w:rFonts w:ascii="Times New Roman" w:hAnsi="Times New Roman" w:cs="Times New Roman"/>
          <w:sz w:val="18"/>
          <w:szCs w:val="18"/>
          <w:lang w:val="en-GB"/>
        </w:rPr>
        <w:t xml:space="preserve">ouses are not properly heated. </w:t>
      </w:r>
      <w:r w:rsidRPr="004A29F9">
        <w:rPr>
          <w:rFonts w:ascii="Times New Roman" w:hAnsi="Times New Roman" w:cs="Times New Roman"/>
          <w:sz w:val="18"/>
          <w:szCs w:val="18"/>
          <w:lang w:val="en-GB"/>
        </w:rPr>
        <w:t xml:space="preserve">This has resulted in staff bringing their own electric heaters to the courthouses, which short-circuit the entire court’s electricity. Loss of power for long periods means that </w:t>
      </w:r>
      <w:r>
        <w:rPr>
          <w:rFonts w:ascii="Times New Roman" w:hAnsi="Times New Roman" w:cs="Times New Roman"/>
          <w:sz w:val="18"/>
          <w:szCs w:val="18"/>
          <w:lang w:val="en-GB"/>
        </w:rPr>
        <w:t xml:space="preserve">the </w:t>
      </w:r>
      <w:r w:rsidRPr="004A29F9">
        <w:rPr>
          <w:rFonts w:ascii="Times New Roman" w:hAnsi="Times New Roman" w:cs="Times New Roman"/>
          <w:sz w:val="18"/>
          <w:szCs w:val="18"/>
          <w:lang w:val="en-GB"/>
        </w:rPr>
        <w:t>HJC must perform its work man</w:t>
      </w:r>
      <w:r>
        <w:rPr>
          <w:rFonts w:ascii="Times New Roman" w:hAnsi="Times New Roman" w:cs="Times New Roman"/>
          <w:sz w:val="18"/>
          <w:szCs w:val="18"/>
          <w:lang w:val="en-GB"/>
        </w:rPr>
        <w:t xml:space="preserve">ually and data entry into the MIZAN2 database is delayed. </w:t>
      </w:r>
      <w:r w:rsidRPr="004A29F9">
        <w:rPr>
          <w:rFonts w:ascii="Times New Roman" w:hAnsi="Times New Roman" w:cs="Times New Roman"/>
          <w:sz w:val="18"/>
          <w:szCs w:val="18"/>
          <w:lang w:val="en-GB"/>
        </w:rPr>
        <w:t>With the financial crisis facing the PNA, even a simple notification to a party cannot proceed, because the staff and transport costs of the st</w:t>
      </w:r>
      <w:r>
        <w:rPr>
          <w:rFonts w:ascii="Times New Roman" w:hAnsi="Times New Roman" w:cs="Times New Roman"/>
          <w:sz w:val="18"/>
          <w:szCs w:val="18"/>
          <w:lang w:val="en-GB"/>
        </w:rPr>
        <w:t xml:space="preserve">aff member have not been paid. Reportedly, the </w:t>
      </w:r>
      <w:r w:rsidRPr="004A29F9">
        <w:rPr>
          <w:rFonts w:ascii="Times New Roman" w:hAnsi="Times New Roman" w:cs="Times New Roman"/>
          <w:sz w:val="18"/>
          <w:szCs w:val="18"/>
          <w:lang w:val="en-GB"/>
        </w:rPr>
        <w:t xml:space="preserve">HJC recently had a crisis in the Nablus courthouse because of rain. The switchboard was destroyed and </w:t>
      </w:r>
      <w:r>
        <w:rPr>
          <w:rFonts w:ascii="Times New Roman" w:hAnsi="Times New Roman" w:cs="Times New Roman"/>
          <w:sz w:val="18"/>
          <w:szCs w:val="18"/>
          <w:lang w:val="en-GB"/>
        </w:rPr>
        <w:t>the HJC lacked the NIS 1,600</w:t>
      </w:r>
      <w:r w:rsidRPr="004A29F9">
        <w:rPr>
          <w:rFonts w:ascii="Times New Roman" w:hAnsi="Times New Roman" w:cs="Times New Roman"/>
          <w:sz w:val="18"/>
          <w:szCs w:val="18"/>
          <w:lang w:val="en-GB"/>
        </w:rPr>
        <w:t xml:space="preserve"> required to pay for the install</w:t>
      </w:r>
      <w:r>
        <w:rPr>
          <w:rFonts w:ascii="Times New Roman" w:hAnsi="Times New Roman" w:cs="Times New Roman"/>
          <w:sz w:val="18"/>
          <w:szCs w:val="18"/>
          <w:lang w:val="en-GB"/>
        </w:rPr>
        <w:t>ation a second-</w:t>
      </w:r>
      <w:r w:rsidRPr="004A29F9">
        <w:rPr>
          <w:rFonts w:ascii="Times New Roman" w:hAnsi="Times New Roman" w:cs="Times New Roman"/>
          <w:sz w:val="18"/>
          <w:szCs w:val="18"/>
          <w:lang w:val="en-GB"/>
        </w:rPr>
        <w:t>hand switchbo</w:t>
      </w:r>
      <w:r>
        <w:rPr>
          <w:rFonts w:ascii="Times New Roman" w:hAnsi="Times New Roman" w:cs="Times New Roman"/>
          <w:sz w:val="18"/>
          <w:szCs w:val="18"/>
          <w:lang w:val="en-GB"/>
        </w:rPr>
        <w:t xml:space="preserve">ard. The elevator at the </w:t>
      </w:r>
      <w:r w:rsidRPr="004A29F9">
        <w:rPr>
          <w:rFonts w:ascii="Times New Roman" w:hAnsi="Times New Roman" w:cs="Times New Roman"/>
          <w:sz w:val="18"/>
          <w:szCs w:val="18"/>
          <w:lang w:val="en-GB"/>
        </w:rPr>
        <w:t>courthouse is</w:t>
      </w:r>
      <w:r>
        <w:rPr>
          <w:rFonts w:ascii="Times New Roman" w:hAnsi="Times New Roman" w:cs="Times New Roman"/>
          <w:sz w:val="18"/>
          <w:szCs w:val="18"/>
          <w:lang w:val="en-GB"/>
        </w:rPr>
        <w:t xml:space="preserve"> also currently out of order</w:t>
      </w:r>
    </w:p>
  </w:footnote>
  <w:footnote w:id="99">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The HJC has been able to identify its actual needs, but as with other justice institut</w:t>
      </w:r>
      <w:r>
        <w:rPr>
          <w:rFonts w:ascii="Times New Roman" w:hAnsi="Times New Roman" w:cs="Times New Roman"/>
          <w:sz w:val="18"/>
          <w:szCs w:val="18"/>
          <w:lang w:val="en-GB"/>
        </w:rPr>
        <w:t>ions, has lacked a robust M&amp;E system. UNDP informed the e</w:t>
      </w:r>
      <w:r w:rsidRPr="004A29F9">
        <w:rPr>
          <w:rFonts w:ascii="Times New Roman" w:hAnsi="Times New Roman" w:cs="Times New Roman"/>
          <w:sz w:val="18"/>
          <w:szCs w:val="18"/>
          <w:lang w:val="en-GB"/>
        </w:rPr>
        <w:t>valuation that it would like to work o</w:t>
      </w:r>
      <w:r>
        <w:rPr>
          <w:rFonts w:ascii="Times New Roman" w:hAnsi="Times New Roman" w:cs="Times New Roman"/>
          <w:sz w:val="18"/>
          <w:szCs w:val="18"/>
          <w:lang w:val="en-GB"/>
        </w:rPr>
        <w:t>n developing a package of M&amp;</w:t>
      </w:r>
      <w:r w:rsidRPr="004A29F9">
        <w:rPr>
          <w:rFonts w:ascii="Times New Roman" w:hAnsi="Times New Roman" w:cs="Times New Roman"/>
          <w:sz w:val="18"/>
          <w:szCs w:val="18"/>
          <w:lang w:val="en-GB"/>
        </w:rPr>
        <w:t>E assistance to all justice</w:t>
      </w:r>
      <w:r>
        <w:rPr>
          <w:rFonts w:ascii="Times New Roman" w:hAnsi="Times New Roman" w:cs="Times New Roman"/>
          <w:sz w:val="18"/>
          <w:szCs w:val="18"/>
          <w:lang w:val="en-GB"/>
        </w:rPr>
        <w:t xml:space="preserve"> institutions it works with during the programme’s</w:t>
      </w:r>
      <w:r w:rsidRPr="004A29F9">
        <w:rPr>
          <w:rFonts w:ascii="Times New Roman" w:hAnsi="Times New Roman" w:cs="Times New Roman"/>
          <w:sz w:val="18"/>
          <w:szCs w:val="18"/>
          <w:lang w:val="en-GB"/>
        </w:rPr>
        <w:t xml:space="preserve"> second phase to address thi</w:t>
      </w:r>
      <w:r>
        <w:rPr>
          <w:rFonts w:ascii="Times New Roman" w:hAnsi="Times New Roman" w:cs="Times New Roman"/>
          <w:sz w:val="18"/>
          <w:szCs w:val="18"/>
          <w:lang w:val="en-GB"/>
        </w:rPr>
        <w:t>s “across the board” weakness</w:t>
      </w:r>
    </w:p>
  </w:footnote>
  <w:footnote w:id="100">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2011 Strategic Review at 11</w:t>
      </w:r>
    </w:p>
  </w:footnote>
  <w:footnote w:id="101">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2013 Annual Work Plan at 7</w:t>
      </w:r>
    </w:p>
  </w:footnote>
  <w:footnote w:id="102">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Justice and Rule</w:t>
      </w:r>
      <w:r>
        <w:rPr>
          <w:rFonts w:ascii="Times New Roman" w:hAnsi="Times New Roman" w:cs="Times New Roman"/>
          <w:sz w:val="18"/>
          <w:szCs w:val="18"/>
          <w:lang w:val="en-GB"/>
        </w:rPr>
        <w:t xml:space="preserve"> of Law National Strategy at 12</w:t>
      </w:r>
    </w:p>
  </w:footnote>
  <w:footnote w:id="103">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Women’s Rights Review at 5</w:t>
      </w:r>
    </w:p>
  </w:footnote>
  <w:footnote w:id="104">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Recently one </w:t>
      </w:r>
      <w:r w:rsidRPr="00874D71">
        <w:rPr>
          <w:rFonts w:ascii="Times New Roman" w:hAnsi="Times New Roman" w:cs="Times New Roman"/>
          <w:i/>
          <w:sz w:val="18"/>
          <w:szCs w:val="18"/>
          <w:lang w:val="en-GB"/>
        </w:rPr>
        <w:t>shari’a</w:t>
      </w:r>
      <w:r w:rsidRPr="004A29F9">
        <w:rPr>
          <w:rFonts w:ascii="Times New Roman" w:hAnsi="Times New Roman" w:cs="Times New Roman"/>
          <w:sz w:val="18"/>
          <w:szCs w:val="18"/>
          <w:lang w:val="en-GB"/>
        </w:rPr>
        <w:t xml:space="preserve"> court judge submitted a proposal to the Islamic </w:t>
      </w:r>
      <w:r>
        <w:rPr>
          <w:rFonts w:ascii="Times New Roman" w:hAnsi="Times New Roman" w:cs="Times New Roman"/>
          <w:sz w:val="18"/>
          <w:szCs w:val="18"/>
          <w:lang w:val="en-GB"/>
        </w:rPr>
        <w:t>Development Bank to establish ten</w:t>
      </w:r>
      <w:r w:rsidRPr="004A29F9">
        <w:rPr>
          <w:rFonts w:ascii="Times New Roman" w:hAnsi="Times New Roman" w:cs="Times New Roman"/>
          <w:sz w:val="18"/>
          <w:szCs w:val="18"/>
          <w:lang w:val="en-GB"/>
        </w:rPr>
        <w:t xml:space="preserve"> visitation centres (one in each govern</w:t>
      </w:r>
      <w:r>
        <w:rPr>
          <w:rFonts w:ascii="Times New Roman" w:hAnsi="Times New Roman" w:cs="Times New Roman"/>
          <w:sz w:val="18"/>
          <w:szCs w:val="18"/>
          <w:lang w:val="en-GB"/>
        </w:rPr>
        <w:t>or</w:t>
      </w:r>
      <w:r w:rsidRPr="004A29F9">
        <w:rPr>
          <w:rFonts w:ascii="Times New Roman" w:hAnsi="Times New Roman" w:cs="Times New Roman"/>
          <w:sz w:val="18"/>
          <w:szCs w:val="18"/>
          <w:lang w:val="en-GB"/>
        </w:rPr>
        <w:t>ate with a room with toys and a social worker in attendan</w:t>
      </w:r>
      <w:r>
        <w:rPr>
          <w:rFonts w:ascii="Times New Roman" w:hAnsi="Times New Roman" w:cs="Times New Roman"/>
          <w:sz w:val="18"/>
          <w:szCs w:val="18"/>
          <w:lang w:val="en-GB"/>
        </w:rPr>
        <w:t xml:space="preserve">ce) but this was not granted. The </w:t>
      </w:r>
      <w:r w:rsidRPr="00874D71">
        <w:rPr>
          <w:rFonts w:ascii="Times New Roman" w:hAnsi="Times New Roman" w:cs="Times New Roman"/>
          <w:i/>
          <w:sz w:val="18"/>
          <w:szCs w:val="18"/>
          <w:lang w:val="en-GB"/>
        </w:rPr>
        <w:t>shari’a</w:t>
      </w:r>
      <w:r w:rsidRPr="004A29F9">
        <w:rPr>
          <w:rFonts w:ascii="Times New Roman" w:hAnsi="Times New Roman" w:cs="Times New Roman"/>
          <w:sz w:val="18"/>
          <w:szCs w:val="18"/>
          <w:lang w:val="en-GB"/>
        </w:rPr>
        <w:t xml:space="preserve"> courts also applied to t</w:t>
      </w:r>
      <w:r>
        <w:rPr>
          <w:rFonts w:ascii="Times New Roman" w:hAnsi="Times New Roman" w:cs="Times New Roman"/>
          <w:sz w:val="18"/>
          <w:szCs w:val="18"/>
          <w:lang w:val="en-GB"/>
        </w:rPr>
        <w:t xml:space="preserve">he Oman Sultanate to establish </w:t>
      </w:r>
      <w:r w:rsidRPr="00874D71">
        <w:rPr>
          <w:rFonts w:ascii="Times New Roman" w:hAnsi="Times New Roman" w:cs="Times New Roman"/>
          <w:i/>
          <w:sz w:val="18"/>
          <w:szCs w:val="18"/>
          <w:lang w:val="en-GB"/>
        </w:rPr>
        <w:t>shari’a</w:t>
      </w:r>
      <w:r>
        <w:rPr>
          <w:rFonts w:ascii="Times New Roman" w:hAnsi="Times New Roman" w:cs="Times New Roman"/>
          <w:sz w:val="18"/>
          <w:szCs w:val="18"/>
          <w:lang w:val="en-GB"/>
        </w:rPr>
        <w:t xml:space="preserve"> c</w:t>
      </w:r>
      <w:r w:rsidRPr="004A29F9">
        <w:rPr>
          <w:rFonts w:ascii="Times New Roman" w:hAnsi="Times New Roman" w:cs="Times New Roman"/>
          <w:sz w:val="18"/>
          <w:szCs w:val="18"/>
          <w:lang w:val="en-GB"/>
        </w:rPr>
        <w:t>ourt compounds in the govern</w:t>
      </w:r>
      <w:r>
        <w:rPr>
          <w:rFonts w:ascii="Times New Roman" w:hAnsi="Times New Roman" w:cs="Times New Roman"/>
          <w:sz w:val="18"/>
          <w:szCs w:val="18"/>
          <w:lang w:val="en-GB"/>
        </w:rPr>
        <w:t>or</w:t>
      </w:r>
      <w:r w:rsidRPr="004A29F9">
        <w:rPr>
          <w:rFonts w:ascii="Times New Roman" w:hAnsi="Times New Roman" w:cs="Times New Roman"/>
          <w:sz w:val="18"/>
          <w:szCs w:val="18"/>
          <w:lang w:val="en-GB"/>
        </w:rPr>
        <w:t>ates, but</w:t>
      </w:r>
      <w:r>
        <w:rPr>
          <w:rFonts w:ascii="Times New Roman" w:hAnsi="Times New Roman" w:cs="Times New Roman"/>
          <w:sz w:val="18"/>
          <w:szCs w:val="18"/>
          <w:lang w:val="en-GB"/>
        </w:rPr>
        <w:t xml:space="preserve"> this support has not materialised</w:t>
      </w:r>
    </w:p>
  </w:footnote>
  <w:footnote w:id="105">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These laws include the following: Art. 61 of the Civil and Commercial Procedure Law (2001) and Art.</w:t>
      </w:r>
      <w:r>
        <w:rPr>
          <w:rFonts w:ascii="Times New Roman" w:hAnsi="Times New Roman" w:cs="Times New Roman"/>
          <w:sz w:val="18"/>
          <w:szCs w:val="18"/>
          <w:lang w:val="en-GB"/>
        </w:rPr>
        <w:t xml:space="preserve">14 of the Basic Law (2003), </w:t>
      </w:r>
      <w:r w:rsidRPr="004A29F9">
        <w:rPr>
          <w:rFonts w:ascii="Times New Roman" w:hAnsi="Times New Roman" w:cs="Times New Roman"/>
          <w:sz w:val="18"/>
          <w:szCs w:val="18"/>
          <w:lang w:val="en-GB"/>
        </w:rPr>
        <w:t>establishing rights of the accused to a legal defense and reaffirming the principle of innocent until proven guilty; Art. 244 of the Penal C</w:t>
      </w:r>
      <w:r>
        <w:rPr>
          <w:rFonts w:ascii="Times New Roman" w:hAnsi="Times New Roman" w:cs="Times New Roman"/>
          <w:sz w:val="18"/>
          <w:szCs w:val="18"/>
          <w:lang w:val="en-GB"/>
        </w:rPr>
        <w:t xml:space="preserve">ode Procedure Law No. 3 (2001), </w:t>
      </w:r>
      <w:r w:rsidRPr="004A29F9">
        <w:rPr>
          <w:rFonts w:ascii="Times New Roman" w:hAnsi="Times New Roman" w:cs="Times New Roman"/>
          <w:sz w:val="18"/>
          <w:szCs w:val="18"/>
          <w:lang w:val="en-GB"/>
        </w:rPr>
        <w:t>providing that in cases of felonies, the courts shall appoint lega</w:t>
      </w:r>
      <w:r>
        <w:rPr>
          <w:rFonts w:ascii="Times New Roman" w:hAnsi="Times New Roman" w:cs="Times New Roman"/>
          <w:sz w:val="18"/>
          <w:szCs w:val="18"/>
          <w:lang w:val="en-GB"/>
        </w:rPr>
        <w:t>l representation to the accused</w:t>
      </w:r>
      <w:r w:rsidRPr="004A29F9">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and </w:t>
      </w:r>
      <w:r w:rsidRPr="004A29F9">
        <w:rPr>
          <w:rFonts w:ascii="Times New Roman" w:hAnsi="Times New Roman" w:cs="Times New Roman"/>
          <w:sz w:val="18"/>
          <w:szCs w:val="18"/>
          <w:lang w:val="en-GB"/>
        </w:rPr>
        <w:t>Law on th</w:t>
      </w:r>
      <w:r>
        <w:rPr>
          <w:rFonts w:ascii="Times New Roman" w:hAnsi="Times New Roman" w:cs="Times New Roman"/>
          <w:sz w:val="18"/>
          <w:szCs w:val="18"/>
          <w:lang w:val="en-GB"/>
        </w:rPr>
        <w:t xml:space="preserve">e Legal Profession No. 3 (1999) </w:t>
      </w:r>
      <w:r w:rsidRPr="004A29F9">
        <w:rPr>
          <w:rFonts w:ascii="Times New Roman" w:hAnsi="Times New Roman" w:cs="Times New Roman"/>
          <w:sz w:val="18"/>
          <w:szCs w:val="18"/>
          <w:lang w:val="en-GB"/>
        </w:rPr>
        <w:t xml:space="preserve">requiring the Palestinian Bar Association to provide </w:t>
      </w:r>
      <w:r>
        <w:rPr>
          <w:rFonts w:ascii="Times New Roman" w:hAnsi="Times New Roman" w:cs="Times New Roman"/>
          <w:sz w:val="18"/>
          <w:szCs w:val="18"/>
          <w:lang w:val="en-GB"/>
        </w:rPr>
        <w:t>legal aid for indigent persons</w:t>
      </w:r>
    </w:p>
  </w:footnote>
  <w:footnote w:id="106">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The e</w:t>
      </w:r>
      <w:r w:rsidRPr="004A29F9">
        <w:rPr>
          <w:rFonts w:ascii="Times New Roman" w:hAnsi="Times New Roman" w:cs="Times New Roman"/>
          <w:sz w:val="18"/>
          <w:szCs w:val="18"/>
          <w:lang w:val="en-GB"/>
        </w:rPr>
        <w:t xml:space="preserve">valuation report discusses the legal aid and awareness components of gender </w:t>
      </w:r>
      <w:r>
        <w:rPr>
          <w:rFonts w:ascii="Times New Roman" w:hAnsi="Times New Roman" w:cs="Times New Roman"/>
          <w:sz w:val="18"/>
          <w:szCs w:val="18"/>
          <w:lang w:val="en-GB"/>
        </w:rPr>
        <w:t>justice under Outcome2 and Outcome 4, respectively. Outcome</w:t>
      </w:r>
      <w:r w:rsidRPr="004A29F9">
        <w:rPr>
          <w:rFonts w:ascii="Times New Roman" w:hAnsi="Times New Roman" w:cs="Times New Roman"/>
          <w:sz w:val="18"/>
          <w:szCs w:val="18"/>
          <w:lang w:val="en-GB"/>
        </w:rPr>
        <w:t xml:space="preserve"> 3 discusses UNDP support to the normative and strategic frame</w:t>
      </w:r>
      <w:r>
        <w:rPr>
          <w:rFonts w:ascii="Times New Roman" w:hAnsi="Times New Roman" w:cs="Times New Roman"/>
          <w:sz w:val="18"/>
          <w:szCs w:val="18"/>
          <w:lang w:val="en-GB"/>
        </w:rPr>
        <w:t>work for gender justice in oPt</w:t>
      </w:r>
    </w:p>
  </w:footnote>
  <w:footnote w:id="107">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UNDP Mapping Study</w:t>
      </w:r>
      <w:r>
        <w:rPr>
          <w:rFonts w:ascii="Times New Roman" w:hAnsi="Times New Roman" w:cs="Times New Roman"/>
          <w:sz w:val="18"/>
          <w:szCs w:val="18"/>
          <w:lang w:val="en-GB"/>
        </w:rPr>
        <w:t xml:space="preserve"> (2011)</w:t>
      </w:r>
    </w:p>
  </w:footnote>
  <w:footnote w:id="108">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Id.</w:t>
      </w:r>
    </w:p>
  </w:footnote>
  <w:footnote w:id="109">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UNDP Mapping Study (2011)</w:t>
      </w:r>
    </w:p>
  </w:footnote>
  <w:footnote w:id="110">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According to the UNDP Mapping Study ICHR cas</w:t>
      </w:r>
      <w:r>
        <w:rPr>
          <w:rFonts w:ascii="Times New Roman" w:hAnsi="Times New Roman" w:cs="Times New Roman"/>
          <w:sz w:val="18"/>
          <w:szCs w:val="18"/>
          <w:lang w:val="en-GB"/>
        </w:rPr>
        <w:t>es in 2010 were as follows: a</w:t>
      </w:r>
      <w:r w:rsidRPr="004A29F9">
        <w:rPr>
          <w:rFonts w:ascii="Times New Roman" w:hAnsi="Times New Roman" w:cs="Times New Roman"/>
          <w:sz w:val="18"/>
          <w:szCs w:val="18"/>
          <w:lang w:val="en-GB"/>
        </w:rPr>
        <w:t xml:space="preserve">rbitrary </w:t>
      </w:r>
      <w:r>
        <w:rPr>
          <w:rFonts w:ascii="Times New Roman" w:hAnsi="Times New Roman" w:cs="Times New Roman"/>
          <w:sz w:val="18"/>
          <w:szCs w:val="18"/>
          <w:lang w:val="en-GB"/>
        </w:rPr>
        <w:t>detention/torture (381 cases); n</w:t>
      </w:r>
      <w:r w:rsidRPr="004A29F9">
        <w:rPr>
          <w:rFonts w:ascii="Times New Roman" w:hAnsi="Times New Roman" w:cs="Times New Roman"/>
          <w:sz w:val="18"/>
          <w:szCs w:val="18"/>
          <w:lang w:val="en-GB"/>
        </w:rPr>
        <w:t>on-execution o</w:t>
      </w:r>
      <w:r>
        <w:rPr>
          <w:rFonts w:ascii="Times New Roman" w:hAnsi="Times New Roman" w:cs="Times New Roman"/>
          <w:sz w:val="18"/>
          <w:szCs w:val="18"/>
          <w:lang w:val="en-GB"/>
        </w:rPr>
        <w:t>f court judgments (181 cases); b</w:t>
      </w:r>
      <w:r w:rsidRPr="004A29F9">
        <w:rPr>
          <w:rFonts w:ascii="Times New Roman" w:hAnsi="Times New Roman" w:cs="Times New Roman"/>
          <w:sz w:val="18"/>
          <w:szCs w:val="18"/>
          <w:lang w:val="en-GB"/>
        </w:rPr>
        <w:t xml:space="preserve">arring Palestinians from the civil services </w:t>
      </w:r>
      <w:r>
        <w:rPr>
          <w:rFonts w:ascii="Times New Roman" w:hAnsi="Times New Roman" w:cs="Times New Roman"/>
          <w:sz w:val="18"/>
          <w:szCs w:val="18"/>
          <w:lang w:val="en-GB"/>
        </w:rPr>
        <w:t>on security grounds (193 cases)</w:t>
      </w:r>
    </w:p>
  </w:footnote>
  <w:footnote w:id="111">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UNDP Mapping Study (2011)</w:t>
      </w:r>
    </w:p>
  </w:footnote>
  <w:footnote w:id="112">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UNDP Perception Survey</w:t>
      </w:r>
    </w:p>
  </w:footnote>
  <w:footnote w:id="113">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2013 Annual Work Plan at 7-8</w:t>
      </w:r>
    </w:p>
  </w:footnote>
  <w:footnote w:id="114">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Perceptions </w:t>
      </w:r>
      <w:r>
        <w:rPr>
          <w:rFonts w:ascii="Times New Roman" w:hAnsi="Times New Roman" w:cs="Times New Roman"/>
          <w:sz w:val="18"/>
          <w:szCs w:val="18"/>
          <w:lang w:val="en-GB"/>
        </w:rPr>
        <w:t>and Contributions of NSAs at 14</w:t>
      </w:r>
    </w:p>
  </w:footnote>
  <w:footnote w:id="115">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Joint Capacity Assessment at 36</w:t>
      </w:r>
    </w:p>
  </w:footnote>
  <w:footnote w:id="116">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Consolidated D</w:t>
      </w:r>
      <w:r>
        <w:rPr>
          <w:rFonts w:ascii="Times New Roman" w:hAnsi="Times New Roman" w:cs="Times New Roman"/>
          <w:sz w:val="18"/>
          <w:szCs w:val="18"/>
          <w:lang w:val="en-GB"/>
        </w:rPr>
        <w:t>onor Comments (5 May 2012) at 8</w:t>
      </w:r>
    </w:p>
  </w:footnote>
  <w:footnote w:id="117">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Joint Capacity Assessment at 36</w:t>
      </w:r>
    </w:p>
  </w:footnote>
  <w:footnote w:id="118">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2011 Strategic Review at 10</w:t>
      </w:r>
    </w:p>
  </w:footnote>
  <w:footnote w:id="119">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Joint Capacity Assessment at 38</w:t>
      </w:r>
    </w:p>
  </w:footnote>
  <w:footnote w:id="120">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Source: UNDP Rule of Law &amp;</w:t>
      </w:r>
      <w:r w:rsidRPr="004A29F9">
        <w:rPr>
          <w:rFonts w:ascii="Times New Roman" w:hAnsi="Times New Roman" w:cs="Times New Roman"/>
          <w:sz w:val="18"/>
          <w:szCs w:val="18"/>
          <w:lang w:val="en-GB"/>
        </w:rPr>
        <w:t>Acce</w:t>
      </w:r>
      <w:r>
        <w:rPr>
          <w:rFonts w:ascii="Times New Roman" w:hAnsi="Times New Roman" w:cs="Times New Roman"/>
          <w:sz w:val="18"/>
          <w:szCs w:val="18"/>
          <w:lang w:val="en-GB"/>
        </w:rPr>
        <w:t>ss to Justice Programme (2013)</w:t>
      </w:r>
    </w:p>
  </w:footnote>
  <w:footnote w:id="121">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Id. </w:t>
      </w:r>
    </w:p>
  </w:footnote>
  <w:footnote w:id="122">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UNICEF is currently leading an effort for dat</w:t>
      </w:r>
      <w:r>
        <w:rPr>
          <w:rFonts w:ascii="Times New Roman" w:hAnsi="Times New Roman" w:cs="Times New Roman"/>
          <w:sz w:val="18"/>
          <w:szCs w:val="18"/>
          <w:lang w:val="en-GB"/>
        </w:rPr>
        <w:t>a collection on child detention</w:t>
      </w:r>
    </w:p>
  </w:footnote>
  <w:footnote w:id="123">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Save the Children</w:t>
      </w:r>
      <w:r>
        <w:rPr>
          <w:rFonts w:ascii="Times New Roman" w:hAnsi="Times New Roman" w:cs="Times New Roman"/>
          <w:sz w:val="18"/>
          <w:szCs w:val="18"/>
          <w:lang w:val="en-GB"/>
        </w:rPr>
        <w:t>/Sweden</w:t>
      </w:r>
      <w:r w:rsidRPr="004A29F9">
        <w:rPr>
          <w:rFonts w:ascii="Times New Roman" w:hAnsi="Times New Roman" w:cs="Times New Roman"/>
          <w:sz w:val="18"/>
          <w:szCs w:val="18"/>
          <w:lang w:val="en-GB"/>
        </w:rPr>
        <w:t xml:space="preserve"> noted that this work was directly relevant to the P</w:t>
      </w:r>
      <w:r>
        <w:rPr>
          <w:rFonts w:ascii="Times New Roman" w:hAnsi="Times New Roman" w:cs="Times New Roman"/>
          <w:sz w:val="18"/>
          <w:szCs w:val="18"/>
          <w:lang w:val="en-GB"/>
        </w:rPr>
        <w:t>N</w:t>
      </w:r>
      <w:r w:rsidRPr="004A29F9">
        <w:rPr>
          <w:rFonts w:ascii="Times New Roman" w:hAnsi="Times New Roman" w:cs="Times New Roman"/>
          <w:sz w:val="18"/>
          <w:szCs w:val="18"/>
          <w:lang w:val="en-GB"/>
        </w:rPr>
        <w:t>A’s national strategies for women and children falli</w:t>
      </w:r>
      <w:r>
        <w:rPr>
          <w:rFonts w:ascii="Times New Roman" w:hAnsi="Times New Roman" w:cs="Times New Roman"/>
          <w:sz w:val="18"/>
          <w:szCs w:val="18"/>
          <w:lang w:val="en-GB"/>
        </w:rPr>
        <w:t>ng under the portfolio of the MO</w:t>
      </w:r>
      <w:r w:rsidRPr="004A29F9">
        <w:rPr>
          <w:rFonts w:ascii="Times New Roman" w:hAnsi="Times New Roman" w:cs="Times New Roman"/>
          <w:sz w:val="18"/>
          <w:szCs w:val="18"/>
          <w:lang w:val="en-GB"/>
        </w:rPr>
        <w:t xml:space="preserve">SA; yet, noted that </w:t>
      </w:r>
      <w:r>
        <w:rPr>
          <w:rFonts w:ascii="Times New Roman" w:hAnsi="Times New Roman" w:cs="Times New Roman"/>
          <w:sz w:val="18"/>
          <w:szCs w:val="18"/>
          <w:lang w:val="en-GB"/>
        </w:rPr>
        <w:t>it was even more important as MO</w:t>
      </w:r>
      <w:r w:rsidRPr="004A29F9">
        <w:rPr>
          <w:rFonts w:ascii="Times New Roman" w:hAnsi="Times New Roman" w:cs="Times New Roman"/>
          <w:sz w:val="18"/>
          <w:szCs w:val="18"/>
          <w:lang w:val="en-GB"/>
        </w:rPr>
        <w:t>SA is not act</w:t>
      </w:r>
      <w:r>
        <w:rPr>
          <w:rFonts w:ascii="Times New Roman" w:hAnsi="Times New Roman" w:cs="Times New Roman"/>
          <w:sz w:val="18"/>
          <w:szCs w:val="18"/>
          <w:lang w:val="en-GB"/>
        </w:rPr>
        <w:t>ively engaged in East Jerusalem</w:t>
      </w:r>
    </w:p>
  </w:footnote>
  <w:footnote w:id="124">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Hamoked further informed the e</w:t>
      </w:r>
      <w:r w:rsidRPr="004A29F9">
        <w:rPr>
          <w:rFonts w:ascii="Times New Roman" w:hAnsi="Times New Roman" w:cs="Times New Roman"/>
          <w:sz w:val="18"/>
          <w:szCs w:val="18"/>
          <w:lang w:val="en-GB"/>
        </w:rPr>
        <w:t>valuation that the compensation cases for detainees from the oPt have become increasingly more expensive as a result of the fact that the fees for filing, etc. needs to be paid upfront in cash (this ha</w:t>
      </w:r>
      <w:r>
        <w:rPr>
          <w:rFonts w:ascii="Times New Roman" w:hAnsi="Times New Roman" w:cs="Times New Roman"/>
          <w:sz w:val="18"/>
          <w:szCs w:val="18"/>
          <w:lang w:val="en-GB"/>
        </w:rPr>
        <w:t xml:space="preserve">s served as a great barrier to access to justice). </w:t>
      </w:r>
      <w:r w:rsidRPr="004A29F9">
        <w:rPr>
          <w:rFonts w:ascii="Times New Roman" w:hAnsi="Times New Roman" w:cs="Times New Roman"/>
          <w:sz w:val="18"/>
          <w:szCs w:val="18"/>
          <w:lang w:val="en-GB"/>
        </w:rPr>
        <w:t>If a family is filing a case, then the guarantee for the entire fee for each family</w:t>
      </w:r>
      <w:r>
        <w:rPr>
          <w:rFonts w:ascii="Times New Roman" w:hAnsi="Times New Roman" w:cs="Times New Roman"/>
          <w:sz w:val="18"/>
          <w:szCs w:val="18"/>
          <w:lang w:val="en-GB"/>
        </w:rPr>
        <w:t xml:space="preserve"> member has to be paid up front.</w:t>
      </w:r>
      <w:r w:rsidRPr="004A29F9">
        <w:rPr>
          <w:rFonts w:ascii="Times New Roman" w:hAnsi="Times New Roman" w:cs="Times New Roman"/>
          <w:sz w:val="18"/>
          <w:szCs w:val="18"/>
          <w:lang w:val="en-GB"/>
        </w:rPr>
        <w:t xml:space="preserve"> If filing fees are not paid or in default then it can impact other areas of these citizens lives (i.e</w:t>
      </w:r>
      <w:r>
        <w:rPr>
          <w:rFonts w:ascii="Times New Roman" w:hAnsi="Times New Roman" w:cs="Times New Roman"/>
          <w:sz w:val="18"/>
          <w:szCs w:val="18"/>
          <w:lang w:val="en-GB"/>
        </w:rPr>
        <w:t>. Israeli passport not renewed)</w:t>
      </w:r>
    </w:p>
  </w:footnote>
  <w:footnote w:id="125">
    <w:p w:rsidR="00DD5DAA" w:rsidRPr="004A29F9" w:rsidRDefault="00DD5DAA" w:rsidP="00445D4E">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T</w:t>
      </w:r>
      <w:r>
        <w:rPr>
          <w:rFonts w:ascii="Times New Roman" w:hAnsi="Times New Roman" w:cs="Times New Roman"/>
          <w:sz w:val="18"/>
          <w:szCs w:val="18"/>
          <w:lang w:val="en-GB"/>
        </w:rPr>
        <w:t>he village of Subaher is part of East Jerusalem, on the way to Bethlehem</w:t>
      </w:r>
    </w:p>
  </w:footnote>
  <w:footnote w:id="126">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Cases can get quite complex. Labour law prohibits arb</w:t>
      </w:r>
      <w:r>
        <w:rPr>
          <w:rFonts w:ascii="Times New Roman" w:hAnsi="Times New Roman" w:cs="Times New Roman"/>
          <w:sz w:val="18"/>
          <w:szCs w:val="18"/>
          <w:lang w:val="en-GB"/>
        </w:rPr>
        <w:t>itrary dismissal, but it does not</w:t>
      </w:r>
      <w:r w:rsidRPr="004A29F9">
        <w:rPr>
          <w:rFonts w:ascii="Times New Roman" w:hAnsi="Times New Roman" w:cs="Times New Roman"/>
          <w:sz w:val="18"/>
          <w:szCs w:val="18"/>
          <w:lang w:val="en-GB"/>
        </w:rPr>
        <w:t xml:space="preserve"> give the power to force the emp</w:t>
      </w:r>
      <w:r>
        <w:rPr>
          <w:rFonts w:ascii="Times New Roman" w:hAnsi="Times New Roman" w:cs="Times New Roman"/>
          <w:sz w:val="18"/>
          <w:szCs w:val="18"/>
          <w:lang w:val="en-GB"/>
        </w:rPr>
        <w:t xml:space="preserve">loyer to reinstate a person. </w:t>
      </w:r>
      <w:r w:rsidRPr="004A29F9">
        <w:rPr>
          <w:rFonts w:ascii="Times New Roman" w:hAnsi="Times New Roman" w:cs="Times New Roman"/>
          <w:sz w:val="18"/>
          <w:szCs w:val="18"/>
          <w:lang w:val="en-GB"/>
        </w:rPr>
        <w:t>In the case of a reported violation, the Labour Inspection Unit goes to the work place to certify that someone has been discriminated against and/</w:t>
      </w:r>
      <w:r>
        <w:rPr>
          <w:rFonts w:ascii="Times New Roman" w:hAnsi="Times New Roman" w:cs="Times New Roman"/>
          <w:sz w:val="18"/>
          <w:szCs w:val="18"/>
          <w:lang w:val="en-GB"/>
        </w:rPr>
        <w:t xml:space="preserve">or that there is a violation. </w:t>
      </w:r>
      <w:r w:rsidRPr="004A29F9">
        <w:rPr>
          <w:rFonts w:ascii="Times New Roman" w:hAnsi="Times New Roman" w:cs="Times New Roman"/>
          <w:sz w:val="18"/>
          <w:szCs w:val="18"/>
          <w:lang w:val="en-GB"/>
        </w:rPr>
        <w:t xml:space="preserve">The inspectors need to make a report </w:t>
      </w:r>
      <w:r>
        <w:rPr>
          <w:rFonts w:ascii="Times New Roman" w:hAnsi="Times New Roman" w:cs="Times New Roman"/>
          <w:sz w:val="18"/>
          <w:szCs w:val="18"/>
          <w:lang w:val="en-GB"/>
        </w:rPr>
        <w:t xml:space="preserve">and if they find a violation they can close a workplace in </w:t>
      </w:r>
      <w:r w:rsidR="000063A3">
        <w:rPr>
          <w:rFonts w:ascii="Times New Roman" w:hAnsi="Times New Roman" w:cs="Times New Roman"/>
          <w:sz w:val="18"/>
          <w:szCs w:val="18"/>
          <w:lang w:val="en-GB"/>
        </w:rPr>
        <w:t>case of</w:t>
      </w:r>
      <w:r>
        <w:rPr>
          <w:rFonts w:ascii="Times New Roman" w:hAnsi="Times New Roman" w:cs="Times New Roman"/>
          <w:sz w:val="18"/>
          <w:szCs w:val="18"/>
          <w:lang w:val="en-GB"/>
        </w:rPr>
        <w:t xml:space="preserve"> imminent danger to workers. </w:t>
      </w:r>
      <w:r w:rsidRPr="004A29F9">
        <w:rPr>
          <w:rFonts w:ascii="Times New Roman" w:hAnsi="Times New Roman" w:cs="Times New Roman"/>
          <w:sz w:val="18"/>
          <w:szCs w:val="18"/>
          <w:lang w:val="en-GB"/>
        </w:rPr>
        <w:t>UNDP will need to collect more data (i.e. such as the number of visits of labo</w:t>
      </w:r>
      <w:r>
        <w:rPr>
          <w:rFonts w:ascii="Times New Roman" w:hAnsi="Times New Roman" w:cs="Times New Roman"/>
          <w:sz w:val="18"/>
          <w:szCs w:val="18"/>
          <w:lang w:val="en-GB"/>
        </w:rPr>
        <w:t>ur inspectors</w:t>
      </w:r>
      <w:r w:rsidRPr="004A29F9">
        <w:rPr>
          <w:rFonts w:ascii="Times New Roman" w:hAnsi="Times New Roman" w:cs="Times New Roman"/>
          <w:sz w:val="18"/>
          <w:szCs w:val="18"/>
          <w:lang w:val="en-GB"/>
        </w:rPr>
        <w:t>, the number of violations that they have been able to handle and their level of awareness) in order to fully assess t</w:t>
      </w:r>
      <w:r>
        <w:rPr>
          <w:rFonts w:ascii="Times New Roman" w:hAnsi="Times New Roman" w:cs="Times New Roman"/>
          <w:sz w:val="18"/>
          <w:szCs w:val="18"/>
          <w:lang w:val="en-GB"/>
        </w:rPr>
        <w:t>he impact of the work of DWRC</w:t>
      </w:r>
    </w:p>
  </w:footnote>
  <w:footnote w:id="127">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UNDP defines “awareness-raising” to be the provision of community legal information/outreach, whereas it defines “advocacy” as using media/research/reports/monitoring, e</w:t>
      </w:r>
      <w:r>
        <w:rPr>
          <w:rFonts w:ascii="Times New Roman" w:hAnsi="Times New Roman" w:cs="Times New Roman"/>
          <w:sz w:val="18"/>
          <w:szCs w:val="18"/>
          <w:lang w:val="en-GB"/>
        </w:rPr>
        <w:t>tc. to achieve policy change</w:t>
      </w:r>
    </w:p>
  </w:footnote>
  <w:footnote w:id="128">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2011 Strategic Review at 12</w:t>
      </w:r>
    </w:p>
  </w:footnote>
  <w:footnote w:id="129">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Summary Note: Legal Aid Clinics Workshop (Mar</w:t>
      </w:r>
      <w:r>
        <w:rPr>
          <w:rFonts w:ascii="Times New Roman" w:hAnsi="Times New Roman" w:cs="Times New Roman"/>
          <w:sz w:val="18"/>
          <w:szCs w:val="18"/>
          <w:lang w:val="en-GB"/>
        </w:rPr>
        <w:t>ch 2012)</w:t>
      </w:r>
    </w:p>
  </w:footnote>
  <w:footnote w:id="130">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Id.</w:t>
      </w:r>
    </w:p>
  </w:footnote>
  <w:footnote w:id="131">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2011 Annual Report at 5</w:t>
      </w:r>
    </w:p>
  </w:footnote>
  <w:footnote w:id="132">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The personal s</w:t>
      </w:r>
      <w:r w:rsidRPr="004A29F9">
        <w:rPr>
          <w:rFonts w:ascii="Times New Roman" w:hAnsi="Times New Roman" w:cs="Times New Roman"/>
          <w:sz w:val="18"/>
          <w:szCs w:val="18"/>
          <w:lang w:val="en-GB"/>
        </w:rPr>
        <w:t>tatus law applicab</w:t>
      </w:r>
      <w:r>
        <w:rPr>
          <w:rFonts w:ascii="Times New Roman" w:hAnsi="Times New Roman" w:cs="Times New Roman"/>
          <w:sz w:val="18"/>
          <w:szCs w:val="18"/>
          <w:lang w:val="en-GB"/>
        </w:rPr>
        <w:t>le in the West Bank is the Jordanian P</w:t>
      </w:r>
      <w:r w:rsidRPr="004A29F9">
        <w:rPr>
          <w:rFonts w:ascii="Times New Roman" w:hAnsi="Times New Roman" w:cs="Times New Roman"/>
          <w:sz w:val="18"/>
          <w:szCs w:val="18"/>
          <w:lang w:val="en-GB"/>
        </w:rPr>
        <w:t>erso</w:t>
      </w:r>
      <w:r>
        <w:rPr>
          <w:rFonts w:ascii="Times New Roman" w:hAnsi="Times New Roman" w:cs="Times New Roman"/>
          <w:sz w:val="18"/>
          <w:szCs w:val="18"/>
          <w:lang w:val="en-GB"/>
        </w:rPr>
        <w:t>nal Status Law No.61 of 1976; in Gaza, it is</w:t>
      </w:r>
      <w:r w:rsidRPr="004A29F9">
        <w:rPr>
          <w:rFonts w:ascii="Times New Roman" w:hAnsi="Times New Roman" w:cs="Times New Roman"/>
          <w:sz w:val="18"/>
          <w:szCs w:val="18"/>
          <w:lang w:val="en-GB"/>
        </w:rPr>
        <w:t xml:space="preserve"> the Egyptian </w:t>
      </w:r>
      <w:r>
        <w:rPr>
          <w:rFonts w:ascii="Times New Roman" w:hAnsi="Times New Roman" w:cs="Times New Roman"/>
          <w:sz w:val="18"/>
          <w:szCs w:val="18"/>
          <w:lang w:val="en-GB"/>
        </w:rPr>
        <w:t xml:space="preserve">Law of Family Rights of 1954. </w:t>
      </w:r>
      <w:r w:rsidRPr="004A29F9">
        <w:rPr>
          <w:rFonts w:ascii="Times New Roman" w:hAnsi="Times New Roman" w:cs="Times New Roman"/>
          <w:sz w:val="18"/>
          <w:szCs w:val="18"/>
          <w:lang w:val="en-GB"/>
        </w:rPr>
        <w:t xml:space="preserve">These laws conflict with </w:t>
      </w:r>
      <w:r>
        <w:rPr>
          <w:rFonts w:ascii="Times New Roman" w:hAnsi="Times New Roman" w:cs="Times New Roman"/>
          <w:sz w:val="18"/>
          <w:szCs w:val="18"/>
          <w:lang w:val="en-GB"/>
        </w:rPr>
        <w:t xml:space="preserve">many provisions of more recent </w:t>
      </w:r>
      <w:r w:rsidRPr="004A29F9">
        <w:rPr>
          <w:rFonts w:ascii="Times New Roman" w:hAnsi="Times New Roman" w:cs="Times New Roman"/>
          <w:sz w:val="18"/>
          <w:szCs w:val="18"/>
          <w:lang w:val="en-GB"/>
        </w:rPr>
        <w:t>laws, including Articl</w:t>
      </w:r>
      <w:r>
        <w:rPr>
          <w:rFonts w:ascii="Times New Roman" w:hAnsi="Times New Roman" w:cs="Times New Roman"/>
          <w:sz w:val="18"/>
          <w:szCs w:val="18"/>
          <w:lang w:val="en-GB"/>
        </w:rPr>
        <w:t>e 9 of the Basic Law of 2003 and a presidential d</w:t>
      </w:r>
      <w:r w:rsidRPr="004A29F9">
        <w:rPr>
          <w:rFonts w:ascii="Times New Roman" w:hAnsi="Times New Roman" w:cs="Times New Roman"/>
          <w:sz w:val="18"/>
          <w:szCs w:val="18"/>
          <w:lang w:val="en-GB"/>
        </w:rPr>
        <w:t>ecre</w:t>
      </w:r>
      <w:r>
        <w:rPr>
          <w:rFonts w:ascii="Times New Roman" w:hAnsi="Times New Roman" w:cs="Times New Roman"/>
          <w:sz w:val="18"/>
          <w:szCs w:val="18"/>
          <w:lang w:val="en-GB"/>
        </w:rPr>
        <w:t xml:space="preserve">e of 2009 implementing CEDAW. </w:t>
      </w:r>
      <w:r w:rsidRPr="004A29F9">
        <w:rPr>
          <w:rFonts w:ascii="Times New Roman" w:hAnsi="Times New Roman" w:cs="Times New Roman"/>
          <w:sz w:val="18"/>
          <w:szCs w:val="18"/>
          <w:lang w:val="en-GB"/>
        </w:rPr>
        <w:t>Foremost among these is the age of legal marriage, which is set at 15 for girls and 1</w:t>
      </w:r>
      <w:r>
        <w:rPr>
          <w:rFonts w:ascii="Times New Roman" w:hAnsi="Times New Roman" w:cs="Times New Roman"/>
          <w:sz w:val="18"/>
          <w:szCs w:val="18"/>
          <w:lang w:val="en-GB"/>
        </w:rPr>
        <w:t>6 for boys under the Jordanian Personal Status Law</w:t>
      </w:r>
      <w:r w:rsidRPr="004A29F9">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The personal status laws apply </w:t>
      </w:r>
      <w:r w:rsidRPr="00836320">
        <w:rPr>
          <w:rFonts w:ascii="Times New Roman" w:hAnsi="Times New Roman" w:cs="Times New Roman"/>
          <w:i/>
          <w:sz w:val="18"/>
          <w:szCs w:val="18"/>
          <w:lang w:val="en-GB"/>
        </w:rPr>
        <w:t>shari’a</w:t>
      </w:r>
      <w:r w:rsidRPr="004A29F9">
        <w:rPr>
          <w:rFonts w:ascii="Times New Roman" w:hAnsi="Times New Roman" w:cs="Times New Roman"/>
          <w:sz w:val="18"/>
          <w:szCs w:val="18"/>
          <w:lang w:val="en-GB"/>
        </w:rPr>
        <w:t xml:space="preserve"> law to a variety of issues involving marriage, children and </w:t>
      </w:r>
      <w:r>
        <w:rPr>
          <w:rFonts w:ascii="Times New Roman" w:hAnsi="Times New Roman" w:cs="Times New Roman"/>
          <w:sz w:val="18"/>
          <w:szCs w:val="18"/>
          <w:lang w:val="en-GB"/>
        </w:rPr>
        <w:t xml:space="preserve">the family and spousal rights. </w:t>
      </w:r>
      <w:r w:rsidRPr="004A29F9">
        <w:rPr>
          <w:rFonts w:ascii="Times New Roman" w:hAnsi="Times New Roman" w:cs="Times New Roman"/>
          <w:sz w:val="18"/>
          <w:szCs w:val="18"/>
          <w:lang w:val="en-GB"/>
        </w:rPr>
        <w:t>T</w:t>
      </w:r>
      <w:r>
        <w:rPr>
          <w:rFonts w:ascii="Times New Roman" w:hAnsi="Times New Roman" w:cs="Times New Roman"/>
          <w:sz w:val="18"/>
          <w:szCs w:val="18"/>
          <w:lang w:val="en-GB"/>
        </w:rPr>
        <w:t>hey are the main laws by which</w:t>
      </w:r>
      <w:r w:rsidR="00E8775C">
        <w:rPr>
          <w:rFonts w:ascii="Times New Roman" w:hAnsi="Times New Roman" w:cs="Times New Roman"/>
          <w:sz w:val="18"/>
          <w:szCs w:val="18"/>
          <w:lang w:val="en-GB"/>
        </w:rPr>
        <w:t xml:space="preserve"> </w:t>
      </w:r>
      <w:r w:rsidRPr="00836320">
        <w:rPr>
          <w:rFonts w:ascii="Times New Roman" w:hAnsi="Times New Roman" w:cs="Times New Roman"/>
          <w:i/>
          <w:sz w:val="18"/>
          <w:szCs w:val="18"/>
          <w:lang w:val="en-GB"/>
        </w:rPr>
        <w:t>shari’a</w:t>
      </w:r>
      <w:r w:rsidR="00E8775C">
        <w:rPr>
          <w:rFonts w:ascii="Times New Roman" w:hAnsi="Times New Roman" w:cs="Times New Roman"/>
          <w:i/>
          <w:sz w:val="18"/>
          <w:szCs w:val="18"/>
          <w:lang w:val="en-GB"/>
        </w:rPr>
        <w:t xml:space="preserve"> </w:t>
      </w:r>
      <w:r>
        <w:rPr>
          <w:rFonts w:ascii="Times New Roman" w:hAnsi="Times New Roman" w:cs="Times New Roman"/>
          <w:sz w:val="18"/>
          <w:szCs w:val="18"/>
          <w:lang w:val="en-GB"/>
        </w:rPr>
        <w:t xml:space="preserve">courts reach their decisions. </w:t>
      </w:r>
      <w:r w:rsidRPr="004A29F9">
        <w:rPr>
          <w:rFonts w:ascii="Times New Roman" w:hAnsi="Times New Roman" w:cs="Times New Roman"/>
          <w:sz w:val="18"/>
          <w:szCs w:val="18"/>
          <w:lang w:val="en-GB"/>
        </w:rPr>
        <w:t xml:space="preserve">In 2012, the </w:t>
      </w:r>
      <w:r>
        <w:rPr>
          <w:rFonts w:ascii="Times New Roman" w:hAnsi="Times New Roman" w:cs="Times New Roman"/>
          <w:sz w:val="18"/>
          <w:szCs w:val="18"/>
          <w:lang w:val="en-GB"/>
        </w:rPr>
        <w:t xml:space="preserve">President </w:t>
      </w:r>
      <w:r w:rsidRPr="004A29F9">
        <w:rPr>
          <w:rFonts w:ascii="Times New Roman" w:hAnsi="Times New Roman" w:cs="Times New Roman"/>
          <w:sz w:val="18"/>
          <w:szCs w:val="18"/>
          <w:lang w:val="en-GB"/>
        </w:rPr>
        <w:t>issued a decision to have a national drafting team appointed to propose reform</w:t>
      </w:r>
      <w:r>
        <w:rPr>
          <w:rFonts w:ascii="Times New Roman" w:hAnsi="Times New Roman" w:cs="Times New Roman"/>
          <w:sz w:val="18"/>
          <w:szCs w:val="18"/>
          <w:lang w:val="en-GB"/>
        </w:rPr>
        <w:t xml:space="preserve">s to the Personal Status Law. </w:t>
      </w:r>
      <w:r w:rsidRPr="004A29F9">
        <w:rPr>
          <w:rFonts w:ascii="Times New Roman" w:hAnsi="Times New Roman" w:cs="Times New Roman"/>
          <w:sz w:val="18"/>
          <w:szCs w:val="18"/>
          <w:lang w:val="en-GB"/>
        </w:rPr>
        <w:t xml:space="preserve">A committee has been formed for this process that is inclusive of a wide-range of stakeholders; yet, the process of reform is </w:t>
      </w:r>
      <w:r>
        <w:rPr>
          <w:rFonts w:ascii="Times New Roman" w:hAnsi="Times New Roman" w:cs="Times New Roman"/>
          <w:sz w:val="18"/>
          <w:szCs w:val="18"/>
          <w:lang w:val="en-GB"/>
        </w:rPr>
        <w:t>expected to take considerable time</w:t>
      </w:r>
    </w:p>
  </w:footnote>
  <w:footnote w:id="133">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Palestinian Central Bureau of Statistics (PCBS), Press Release for International </w:t>
      </w:r>
      <w:r>
        <w:rPr>
          <w:rFonts w:ascii="Times New Roman" w:hAnsi="Times New Roman" w:cs="Times New Roman"/>
          <w:sz w:val="18"/>
          <w:szCs w:val="18"/>
          <w:lang w:val="en-GB"/>
        </w:rPr>
        <w:t>Youth Day 2010 (12 August 2010)</w:t>
      </w:r>
    </w:p>
  </w:footnote>
  <w:footnote w:id="134">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Defenc</w:t>
      </w:r>
      <w:r w:rsidRPr="004A29F9">
        <w:rPr>
          <w:rFonts w:ascii="Times New Roman" w:hAnsi="Times New Roman" w:cs="Times New Roman"/>
          <w:sz w:val="18"/>
          <w:szCs w:val="18"/>
          <w:lang w:val="en-GB"/>
        </w:rPr>
        <w:t>e</w:t>
      </w:r>
      <w:r>
        <w:rPr>
          <w:rFonts w:ascii="Times New Roman" w:hAnsi="Times New Roman" w:cs="Times New Roman"/>
          <w:sz w:val="18"/>
          <w:szCs w:val="18"/>
          <w:lang w:val="en-GB"/>
        </w:rPr>
        <w:t xml:space="preserve"> for Children International</w:t>
      </w:r>
    </w:p>
  </w:footnote>
  <w:footnote w:id="135">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Other UNDP supported CSOs that engage with rights of the child and juvenil</w:t>
      </w:r>
      <w:r>
        <w:rPr>
          <w:rFonts w:ascii="Times New Roman" w:hAnsi="Times New Roman" w:cs="Times New Roman"/>
          <w:sz w:val="18"/>
          <w:szCs w:val="18"/>
          <w:lang w:val="en-GB"/>
        </w:rPr>
        <w:t>e detainees include the Palestinian Youth Union, Defenc</w:t>
      </w:r>
      <w:r w:rsidRPr="004A29F9">
        <w:rPr>
          <w:rFonts w:ascii="Times New Roman" w:hAnsi="Times New Roman" w:cs="Times New Roman"/>
          <w:sz w:val="18"/>
          <w:szCs w:val="18"/>
          <w:lang w:val="en-GB"/>
        </w:rPr>
        <w:t>e for Ch</w:t>
      </w:r>
      <w:r>
        <w:rPr>
          <w:rFonts w:ascii="Times New Roman" w:hAnsi="Times New Roman" w:cs="Times New Roman"/>
          <w:sz w:val="18"/>
          <w:szCs w:val="18"/>
          <w:lang w:val="en-GB"/>
        </w:rPr>
        <w:t>ildren International</w:t>
      </w:r>
      <w:r w:rsidRPr="004A29F9">
        <w:rPr>
          <w:rFonts w:ascii="Times New Roman" w:hAnsi="Times New Roman" w:cs="Times New Roman"/>
          <w:sz w:val="18"/>
          <w:szCs w:val="18"/>
          <w:lang w:val="en-GB"/>
        </w:rPr>
        <w:t>, Terre des Hommes and</w:t>
      </w:r>
      <w:r>
        <w:rPr>
          <w:rFonts w:ascii="Times New Roman" w:hAnsi="Times New Roman" w:cs="Times New Roman"/>
          <w:sz w:val="18"/>
          <w:szCs w:val="18"/>
          <w:lang w:val="en-GB"/>
        </w:rPr>
        <w:t xml:space="preserve"> Save the Children/Sweden. </w:t>
      </w:r>
      <w:r w:rsidRPr="004A29F9">
        <w:rPr>
          <w:rFonts w:ascii="Times New Roman" w:hAnsi="Times New Roman" w:cs="Times New Roman"/>
          <w:sz w:val="18"/>
          <w:szCs w:val="18"/>
          <w:lang w:val="en-GB"/>
        </w:rPr>
        <w:t>As dis</w:t>
      </w:r>
      <w:r>
        <w:rPr>
          <w:rFonts w:ascii="Times New Roman" w:hAnsi="Times New Roman" w:cs="Times New Roman"/>
          <w:sz w:val="18"/>
          <w:szCs w:val="18"/>
          <w:lang w:val="en-GB"/>
        </w:rPr>
        <w:t>cussed above, UNDP also supports</w:t>
      </w:r>
      <w:r w:rsidRPr="004A29F9">
        <w:rPr>
          <w:rFonts w:ascii="Times New Roman" w:hAnsi="Times New Roman" w:cs="Times New Roman"/>
          <w:sz w:val="18"/>
          <w:szCs w:val="18"/>
          <w:lang w:val="en-GB"/>
        </w:rPr>
        <w:t xml:space="preserve"> the Ministry o</w:t>
      </w:r>
      <w:r>
        <w:rPr>
          <w:rFonts w:ascii="Times New Roman" w:hAnsi="Times New Roman" w:cs="Times New Roman"/>
          <w:sz w:val="18"/>
          <w:szCs w:val="18"/>
          <w:lang w:val="en-GB"/>
        </w:rPr>
        <w:t xml:space="preserve">f Social Affairs and the </w:t>
      </w:r>
      <w:r w:rsidRPr="00630EAF">
        <w:rPr>
          <w:rFonts w:ascii="Times New Roman" w:hAnsi="Times New Roman" w:cs="Times New Roman"/>
          <w:i/>
          <w:sz w:val="18"/>
          <w:szCs w:val="18"/>
          <w:lang w:val="en-GB"/>
        </w:rPr>
        <w:t>Dar Al-Amal</w:t>
      </w:r>
      <w:r>
        <w:rPr>
          <w:rFonts w:ascii="Times New Roman" w:hAnsi="Times New Roman" w:cs="Times New Roman"/>
          <w:sz w:val="18"/>
          <w:szCs w:val="18"/>
          <w:lang w:val="en-GB"/>
        </w:rPr>
        <w:t xml:space="preserve"> Juvenile Rehabilitation</w:t>
      </w:r>
      <w:r w:rsidRPr="004A29F9">
        <w:rPr>
          <w:rFonts w:ascii="Times New Roman" w:hAnsi="Times New Roman" w:cs="Times New Roman"/>
          <w:sz w:val="18"/>
          <w:szCs w:val="18"/>
          <w:lang w:val="en-GB"/>
        </w:rPr>
        <w:t xml:space="preserve"> Cen</w:t>
      </w:r>
      <w:r>
        <w:rPr>
          <w:rFonts w:ascii="Times New Roman" w:hAnsi="Times New Roman" w:cs="Times New Roman"/>
          <w:sz w:val="18"/>
          <w:szCs w:val="18"/>
          <w:lang w:val="en-GB"/>
        </w:rPr>
        <w:t>tre in Ramallah</w:t>
      </w:r>
    </w:p>
  </w:footnote>
  <w:footnote w:id="136">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The e</w:t>
      </w:r>
      <w:r w:rsidRPr="004A29F9">
        <w:rPr>
          <w:rFonts w:ascii="Times New Roman" w:hAnsi="Times New Roman" w:cs="Times New Roman"/>
          <w:sz w:val="18"/>
          <w:szCs w:val="18"/>
          <w:lang w:val="en-GB"/>
        </w:rPr>
        <w:t>valuation was shown detailed records mai</w:t>
      </w:r>
      <w:r>
        <w:rPr>
          <w:rFonts w:ascii="Times New Roman" w:hAnsi="Times New Roman" w:cs="Times New Roman"/>
          <w:sz w:val="18"/>
          <w:szCs w:val="18"/>
          <w:lang w:val="en-GB"/>
        </w:rPr>
        <w:t xml:space="preserve">ntained by Shams </w:t>
      </w:r>
      <w:r w:rsidRPr="004A29F9">
        <w:rPr>
          <w:rFonts w:ascii="Times New Roman" w:hAnsi="Times New Roman" w:cs="Times New Roman"/>
          <w:sz w:val="18"/>
          <w:szCs w:val="18"/>
          <w:lang w:val="en-GB"/>
        </w:rPr>
        <w:t xml:space="preserve">in bound binders archiving absolutely every detail and output of the UNDP grant, including </w:t>
      </w:r>
      <w:r>
        <w:rPr>
          <w:rFonts w:ascii="Times New Roman" w:hAnsi="Times New Roman" w:cs="Times New Roman"/>
          <w:sz w:val="18"/>
          <w:szCs w:val="18"/>
          <w:lang w:val="en-GB"/>
        </w:rPr>
        <w:t xml:space="preserve">list of names of participants. </w:t>
      </w:r>
      <w:r w:rsidRPr="004A29F9">
        <w:rPr>
          <w:rFonts w:ascii="Times New Roman" w:hAnsi="Times New Roman" w:cs="Times New Roman"/>
          <w:sz w:val="18"/>
          <w:szCs w:val="18"/>
          <w:lang w:val="en-GB"/>
        </w:rPr>
        <w:t>Each workshop had an evaluation sheet that students filled out that included reference to the fact that the cours</w:t>
      </w:r>
      <w:r>
        <w:rPr>
          <w:rFonts w:ascii="Times New Roman" w:hAnsi="Times New Roman" w:cs="Times New Roman"/>
          <w:sz w:val="18"/>
          <w:szCs w:val="18"/>
          <w:lang w:val="en-GB"/>
        </w:rPr>
        <w:t>e was funded by UNDP</w:t>
      </w:r>
    </w:p>
  </w:footnote>
  <w:footnote w:id="137">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The UNDP supported training of young lawyers at the PBA and law school clinics is </w:t>
      </w:r>
      <w:r>
        <w:rPr>
          <w:rFonts w:ascii="Times New Roman" w:hAnsi="Times New Roman" w:cs="Times New Roman"/>
          <w:sz w:val="18"/>
          <w:szCs w:val="18"/>
          <w:lang w:val="en-GB"/>
        </w:rPr>
        <w:t>also a form of legal awareness-</w:t>
      </w:r>
      <w:r w:rsidRPr="004A29F9">
        <w:rPr>
          <w:rFonts w:ascii="Times New Roman" w:hAnsi="Times New Roman" w:cs="Times New Roman"/>
          <w:sz w:val="18"/>
          <w:szCs w:val="18"/>
          <w:lang w:val="en-GB"/>
        </w:rPr>
        <w:t>raising. In addition</w:t>
      </w:r>
      <w:r>
        <w:rPr>
          <w:rFonts w:ascii="Times New Roman" w:hAnsi="Times New Roman" w:cs="Times New Roman"/>
          <w:sz w:val="18"/>
          <w:szCs w:val="18"/>
          <w:lang w:val="en-GB"/>
        </w:rPr>
        <w:t>,</w:t>
      </w:r>
      <w:r w:rsidRPr="004A29F9">
        <w:rPr>
          <w:rFonts w:ascii="Times New Roman" w:hAnsi="Times New Roman" w:cs="Times New Roman"/>
          <w:sz w:val="18"/>
          <w:szCs w:val="18"/>
          <w:lang w:val="en-GB"/>
        </w:rPr>
        <w:t xml:space="preserve"> other CSOs such as Save the Children</w:t>
      </w:r>
      <w:r>
        <w:rPr>
          <w:rFonts w:ascii="Times New Roman" w:hAnsi="Times New Roman" w:cs="Times New Roman"/>
          <w:sz w:val="18"/>
          <w:szCs w:val="18"/>
          <w:lang w:val="en-GB"/>
        </w:rPr>
        <w:t>/Sweden</w:t>
      </w:r>
      <w:r w:rsidRPr="004A29F9">
        <w:rPr>
          <w:rFonts w:ascii="Times New Roman" w:hAnsi="Times New Roman" w:cs="Times New Roman"/>
          <w:sz w:val="18"/>
          <w:szCs w:val="18"/>
          <w:lang w:val="en-GB"/>
        </w:rPr>
        <w:t xml:space="preserve"> and Defence for Children International used UNDP support to work with media aro</w:t>
      </w:r>
      <w:r>
        <w:rPr>
          <w:rFonts w:ascii="Times New Roman" w:hAnsi="Times New Roman" w:cs="Times New Roman"/>
          <w:sz w:val="18"/>
          <w:szCs w:val="18"/>
          <w:lang w:val="en-GB"/>
        </w:rPr>
        <w:t xml:space="preserve">und the issues of children. </w:t>
      </w:r>
      <w:r w:rsidRPr="004A29F9">
        <w:rPr>
          <w:rFonts w:ascii="Times New Roman" w:hAnsi="Times New Roman" w:cs="Times New Roman"/>
          <w:sz w:val="18"/>
          <w:szCs w:val="18"/>
          <w:lang w:val="en-GB"/>
        </w:rPr>
        <w:t>Beyond this, the UND</w:t>
      </w:r>
      <w:r>
        <w:rPr>
          <w:rFonts w:ascii="Times New Roman" w:hAnsi="Times New Roman" w:cs="Times New Roman"/>
          <w:sz w:val="18"/>
          <w:szCs w:val="18"/>
          <w:lang w:val="en-GB"/>
        </w:rPr>
        <w:t xml:space="preserve">P </w:t>
      </w:r>
      <w:r w:rsidRPr="004A29F9">
        <w:rPr>
          <w:rFonts w:ascii="Times New Roman" w:hAnsi="Times New Roman" w:cs="Times New Roman"/>
          <w:sz w:val="18"/>
          <w:szCs w:val="18"/>
          <w:lang w:val="en-GB"/>
        </w:rPr>
        <w:t>staf</w:t>
      </w:r>
      <w:r>
        <w:rPr>
          <w:rFonts w:ascii="Times New Roman" w:hAnsi="Times New Roman" w:cs="Times New Roman"/>
          <w:sz w:val="18"/>
          <w:szCs w:val="18"/>
          <w:lang w:val="en-GB"/>
        </w:rPr>
        <w:t xml:space="preserve">f and seconded experts at the MOJ have worked with the MOSA </w:t>
      </w:r>
      <w:r w:rsidRPr="004A29F9">
        <w:rPr>
          <w:rFonts w:ascii="Times New Roman" w:hAnsi="Times New Roman" w:cs="Times New Roman"/>
          <w:sz w:val="18"/>
          <w:szCs w:val="18"/>
          <w:lang w:val="en-GB"/>
        </w:rPr>
        <w:t>to ensure that when a child leaves the detention centre he/she will not have to take a year off of school or repeat a year of school, but can re-enter the school cu</w:t>
      </w:r>
      <w:r>
        <w:rPr>
          <w:rFonts w:ascii="Times New Roman" w:hAnsi="Times New Roman" w:cs="Times New Roman"/>
          <w:sz w:val="18"/>
          <w:szCs w:val="18"/>
          <w:lang w:val="en-GB"/>
        </w:rPr>
        <w:t>rriculum where they left off. UNDP is supporting the MO</w:t>
      </w:r>
      <w:r w:rsidRPr="004A29F9">
        <w:rPr>
          <w:rFonts w:ascii="Times New Roman" w:hAnsi="Times New Roman" w:cs="Times New Roman"/>
          <w:sz w:val="18"/>
          <w:szCs w:val="18"/>
          <w:lang w:val="en-GB"/>
        </w:rPr>
        <w:t>SA to hire lawyers who will advocate on behalf of ch</w:t>
      </w:r>
      <w:r>
        <w:rPr>
          <w:rFonts w:ascii="Times New Roman" w:hAnsi="Times New Roman" w:cs="Times New Roman"/>
          <w:sz w:val="18"/>
          <w:szCs w:val="18"/>
          <w:lang w:val="en-GB"/>
        </w:rPr>
        <w:t>ildren and interface with the government and civil society</w:t>
      </w:r>
      <w:r w:rsidRPr="004A29F9">
        <w:rPr>
          <w:rFonts w:ascii="Times New Roman" w:hAnsi="Times New Roman" w:cs="Times New Roman"/>
          <w:sz w:val="18"/>
          <w:szCs w:val="18"/>
          <w:lang w:val="en-GB"/>
        </w:rPr>
        <w:t xml:space="preserve"> on children’s rights and to provide in-house </w:t>
      </w:r>
      <w:r>
        <w:rPr>
          <w:rFonts w:ascii="Times New Roman" w:hAnsi="Times New Roman" w:cs="Times New Roman"/>
          <w:sz w:val="18"/>
          <w:szCs w:val="18"/>
          <w:lang w:val="en-GB"/>
        </w:rPr>
        <w:t>legal aid capacity at the MOSA</w:t>
      </w:r>
    </w:p>
  </w:footnote>
  <w:footnote w:id="138">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Perceptions </w:t>
      </w:r>
      <w:r>
        <w:rPr>
          <w:rFonts w:ascii="Times New Roman" w:hAnsi="Times New Roman" w:cs="Times New Roman"/>
          <w:sz w:val="18"/>
          <w:szCs w:val="18"/>
          <w:lang w:val="en-GB"/>
        </w:rPr>
        <w:t>and Contributions of NSAs at 12</w:t>
      </w:r>
    </w:p>
  </w:footnote>
  <w:footnote w:id="139">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Id. at 24</w:t>
      </w:r>
    </w:p>
  </w:footnote>
  <w:footnote w:id="140">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For a discussion of the evolution of Islamic law and the role that such traditional actors have always played in such legal systems, See, “The Spirit of Islamic Law”, Weiss, Bernard G. (Univ</w:t>
      </w:r>
      <w:r>
        <w:rPr>
          <w:rFonts w:ascii="Times New Roman" w:hAnsi="Times New Roman" w:cs="Times New Roman"/>
          <w:sz w:val="18"/>
          <w:szCs w:val="18"/>
          <w:lang w:val="en-GB"/>
        </w:rPr>
        <w:t>ersity of Georgia Press, 1998)</w:t>
      </w:r>
    </w:p>
  </w:footnote>
  <w:footnote w:id="141">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UNDP</w:t>
      </w:r>
      <w:r>
        <w:rPr>
          <w:rFonts w:ascii="Times New Roman" w:hAnsi="Times New Roman" w:cs="Times New Roman"/>
          <w:sz w:val="18"/>
          <w:szCs w:val="18"/>
          <w:lang w:val="en-GB"/>
        </w:rPr>
        <w:t xml:space="preserve"> Public Perceptions Survey at 5</w:t>
      </w:r>
    </w:p>
  </w:footnote>
  <w:footnote w:id="142">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2013 Annual Work Plan at 8-9</w:t>
      </w:r>
    </w:p>
  </w:footnote>
  <w:footnote w:id="143">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See, e.g., Summary Note, Women &amp; State</w:t>
      </w:r>
      <w:r>
        <w:rPr>
          <w:rFonts w:ascii="Times New Roman" w:hAnsi="Times New Roman" w:cs="Times New Roman"/>
          <w:sz w:val="18"/>
          <w:szCs w:val="18"/>
          <w:lang w:val="en-GB"/>
        </w:rPr>
        <w:t>hood Conference (5-6 July 2011)</w:t>
      </w:r>
    </w:p>
  </w:footnote>
  <w:footnote w:id="144">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Joint Capacity Assessment at 42 and 43; note, however, that one lawyer from the Legal Affairs and Research Directorate-General has been designated as the Ministry’</w:t>
      </w:r>
      <w:r>
        <w:rPr>
          <w:rFonts w:ascii="Times New Roman" w:hAnsi="Times New Roman" w:cs="Times New Roman"/>
          <w:sz w:val="18"/>
          <w:szCs w:val="18"/>
          <w:lang w:val="en-GB"/>
        </w:rPr>
        <w:t xml:space="preserve">s juvenile justice focal point. </w:t>
      </w:r>
      <w:r w:rsidRPr="004A29F9">
        <w:rPr>
          <w:rFonts w:ascii="Times New Roman" w:hAnsi="Times New Roman" w:cs="Times New Roman"/>
          <w:sz w:val="18"/>
          <w:szCs w:val="18"/>
          <w:lang w:val="en-GB"/>
        </w:rPr>
        <w:t xml:space="preserve">See </w:t>
      </w:r>
      <w:r>
        <w:rPr>
          <w:rFonts w:ascii="Times New Roman" w:hAnsi="Times New Roman" w:cs="Times New Roman"/>
          <w:sz w:val="18"/>
          <w:szCs w:val="18"/>
          <w:lang w:val="en-GB"/>
        </w:rPr>
        <w:t>also Women’s Rights Review at 4</w:t>
      </w:r>
    </w:p>
  </w:footnote>
  <w:footnote w:id="145">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Justice and Rule </w:t>
      </w:r>
      <w:r>
        <w:rPr>
          <w:rFonts w:ascii="Times New Roman" w:hAnsi="Times New Roman" w:cs="Times New Roman"/>
          <w:sz w:val="18"/>
          <w:szCs w:val="18"/>
          <w:lang w:val="en-GB"/>
        </w:rPr>
        <w:t>of Law National Strategy at 34</w:t>
      </w:r>
    </w:p>
  </w:footnote>
  <w:footnote w:id="146">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2011 Strategic Review at 13</w:t>
      </w:r>
    </w:p>
  </w:footnote>
  <w:footnote w:id="147">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Programme Board Meeting Minutes (22 September 2012) a</w:t>
      </w:r>
      <w:r>
        <w:rPr>
          <w:rFonts w:ascii="Times New Roman" w:hAnsi="Times New Roman" w:cs="Times New Roman"/>
          <w:sz w:val="18"/>
          <w:szCs w:val="18"/>
          <w:lang w:val="en-GB"/>
        </w:rPr>
        <w:t>t 6; 2013 Annual Work Plan at 9</w:t>
      </w:r>
    </w:p>
  </w:footnote>
  <w:footnote w:id="148">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At many points in this e</w:t>
      </w:r>
      <w:r w:rsidRPr="004A29F9">
        <w:rPr>
          <w:rFonts w:ascii="Times New Roman" w:hAnsi="Times New Roman" w:cs="Times New Roman"/>
          <w:sz w:val="18"/>
          <w:szCs w:val="18"/>
          <w:lang w:val="en-GB"/>
        </w:rPr>
        <w:t>valuation it is evident that</w:t>
      </w:r>
      <w:r>
        <w:rPr>
          <w:rFonts w:ascii="Times New Roman" w:hAnsi="Times New Roman" w:cs="Times New Roman"/>
          <w:sz w:val="18"/>
          <w:szCs w:val="18"/>
          <w:lang w:val="en-GB"/>
        </w:rPr>
        <w:t xml:space="preserve"> the outcomes</w:t>
      </w:r>
      <w:r w:rsidRPr="004A29F9">
        <w:rPr>
          <w:rFonts w:ascii="Times New Roman" w:hAnsi="Times New Roman" w:cs="Times New Roman"/>
          <w:sz w:val="18"/>
          <w:szCs w:val="18"/>
          <w:lang w:val="en-GB"/>
        </w:rPr>
        <w:t xml:space="preserve"> overlap (i.e. </w:t>
      </w:r>
      <w:r>
        <w:rPr>
          <w:rFonts w:ascii="Times New Roman" w:hAnsi="Times New Roman" w:cs="Times New Roman"/>
          <w:sz w:val="18"/>
          <w:szCs w:val="18"/>
          <w:lang w:val="en-GB"/>
        </w:rPr>
        <w:t xml:space="preserve">elements of Outcome 5 overlap with Outcome 2, etc.). </w:t>
      </w:r>
      <w:r w:rsidRPr="004A29F9">
        <w:rPr>
          <w:rFonts w:ascii="Times New Roman" w:hAnsi="Times New Roman" w:cs="Times New Roman"/>
          <w:sz w:val="18"/>
          <w:szCs w:val="18"/>
          <w:lang w:val="en-GB"/>
        </w:rPr>
        <w:t>Going forward UNDP should re</w:t>
      </w:r>
      <w:r>
        <w:rPr>
          <w:rFonts w:ascii="Times New Roman" w:hAnsi="Times New Roman" w:cs="Times New Roman"/>
          <w:sz w:val="18"/>
          <w:szCs w:val="18"/>
          <w:lang w:val="en-GB"/>
        </w:rPr>
        <w:t>-examine how these o</w:t>
      </w:r>
      <w:r w:rsidRPr="004A29F9">
        <w:rPr>
          <w:rFonts w:ascii="Times New Roman" w:hAnsi="Times New Roman" w:cs="Times New Roman"/>
          <w:sz w:val="18"/>
          <w:szCs w:val="18"/>
          <w:lang w:val="en-GB"/>
        </w:rPr>
        <w:t>utcomes might be</w:t>
      </w:r>
      <w:r>
        <w:rPr>
          <w:rFonts w:ascii="Times New Roman" w:hAnsi="Times New Roman" w:cs="Times New Roman"/>
          <w:sz w:val="18"/>
          <w:szCs w:val="18"/>
          <w:lang w:val="en-GB"/>
        </w:rPr>
        <w:t xml:space="preserve"> made more distinct or combined</w:t>
      </w:r>
    </w:p>
  </w:footnote>
  <w:footnote w:id="149">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A Review of Palestinian Legislation from a Women’s Rights Perspective” (March 2012)</w:t>
      </w:r>
    </w:p>
  </w:footnote>
  <w:footnote w:id="150">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Id. at 9-10</w:t>
      </w:r>
    </w:p>
  </w:footnote>
  <w:footnote w:id="151">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2012 Annual Report at 7; Review of Palestinian Legislation fro</w:t>
      </w:r>
      <w:r>
        <w:rPr>
          <w:rFonts w:ascii="Times New Roman" w:hAnsi="Times New Roman" w:cs="Times New Roman"/>
          <w:sz w:val="18"/>
          <w:szCs w:val="18"/>
          <w:lang w:val="en-GB"/>
        </w:rPr>
        <w:t>m a Women’s Rights Perspective”</w:t>
      </w:r>
    </w:p>
  </w:footnote>
  <w:footnote w:id="152">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See Maarten Barends and Sara Bailey, “The Plight of Children”, </w:t>
      </w:r>
      <w:r>
        <w:rPr>
          <w:rFonts w:ascii="Times New Roman" w:hAnsi="Times New Roman" w:cs="Times New Roman"/>
          <w:i/>
          <w:sz w:val="18"/>
          <w:szCs w:val="18"/>
          <w:lang w:val="en-GB"/>
        </w:rPr>
        <w:t>This Week in Palestine</w:t>
      </w:r>
      <w:r>
        <w:rPr>
          <w:rFonts w:ascii="Times New Roman" w:hAnsi="Times New Roman" w:cs="Times New Roman"/>
          <w:sz w:val="18"/>
          <w:szCs w:val="18"/>
          <w:lang w:val="en-GB"/>
        </w:rPr>
        <w:t xml:space="preserve"> (December 2010)</w:t>
      </w:r>
    </w:p>
  </w:footnote>
  <w:footnote w:id="153">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Joint Capacity Assessment at 43</w:t>
      </w:r>
    </w:p>
  </w:footnote>
  <w:footnote w:id="154">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2013 Annual Work Plan at 9</w:t>
      </w:r>
    </w:p>
  </w:footnote>
  <w:footnote w:id="155">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Id.</w:t>
      </w:r>
    </w:p>
  </w:footnote>
  <w:footnote w:id="156">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Barends and B</w:t>
      </w:r>
      <w:r>
        <w:rPr>
          <w:rFonts w:ascii="Times New Roman" w:hAnsi="Times New Roman" w:cs="Times New Roman"/>
          <w:sz w:val="18"/>
          <w:szCs w:val="18"/>
          <w:lang w:val="en-GB"/>
        </w:rPr>
        <w:t>ailey, “The Plight of Children”</w:t>
      </w:r>
    </w:p>
  </w:footnote>
  <w:footnote w:id="157">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2013 Annual Work Plan at 10</w:t>
      </w:r>
    </w:p>
  </w:footnote>
  <w:footnote w:id="158">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Public Perceptions Survey at 18</w:t>
      </w:r>
    </w:p>
  </w:footnote>
  <w:footnote w:id="159">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Perceptions </w:t>
      </w:r>
      <w:r>
        <w:rPr>
          <w:rFonts w:ascii="Times New Roman" w:hAnsi="Times New Roman" w:cs="Times New Roman"/>
          <w:sz w:val="18"/>
          <w:szCs w:val="18"/>
          <w:lang w:val="en-GB"/>
        </w:rPr>
        <w:t>and Contributions of NSAs at 18</w:t>
      </w:r>
    </w:p>
  </w:footnote>
  <w:footnote w:id="160">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Joint Capacity Assessment at 42</w:t>
      </w:r>
    </w:p>
  </w:footnote>
  <w:footnote w:id="161">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The assessment of UNDP’s work, in some sense depends </w:t>
      </w:r>
      <w:r>
        <w:rPr>
          <w:rFonts w:ascii="Times New Roman" w:hAnsi="Times New Roman" w:cs="Times New Roman"/>
          <w:sz w:val="18"/>
          <w:szCs w:val="18"/>
          <w:lang w:val="en-GB"/>
        </w:rPr>
        <w:t xml:space="preserve">upon what is the definition of GBV. UNDP does not address GBV directly but </w:t>
      </w:r>
      <w:r w:rsidR="000063A3">
        <w:rPr>
          <w:rFonts w:ascii="Times New Roman" w:hAnsi="Times New Roman" w:cs="Times New Roman"/>
          <w:sz w:val="18"/>
          <w:szCs w:val="18"/>
          <w:lang w:val="en-GB"/>
        </w:rPr>
        <w:t>takes a</w:t>
      </w:r>
      <w:r>
        <w:rPr>
          <w:rFonts w:ascii="Times New Roman" w:hAnsi="Times New Roman" w:cs="Times New Roman"/>
          <w:sz w:val="18"/>
          <w:szCs w:val="18"/>
          <w:lang w:val="en-GB"/>
        </w:rPr>
        <w:t xml:space="preserve"> broader normative approach. </w:t>
      </w:r>
      <w:r w:rsidRPr="004A29F9">
        <w:rPr>
          <w:rFonts w:ascii="Times New Roman" w:hAnsi="Times New Roman" w:cs="Times New Roman"/>
          <w:sz w:val="18"/>
          <w:szCs w:val="18"/>
          <w:lang w:val="en-GB"/>
        </w:rPr>
        <w:t>According to U</w:t>
      </w:r>
      <w:r>
        <w:rPr>
          <w:rFonts w:ascii="Times New Roman" w:hAnsi="Times New Roman" w:cs="Times New Roman"/>
          <w:sz w:val="18"/>
          <w:szCs w:val="18"/>
          <w:lang w:val="en-GB"/>
        </w:rPr>
        <w:t>NDP experts, the institutionalis</w:t>
      </w:r>
      <w:r w:rsidRPr="004A29F9">
        <w:rPr>
          <w:rFonts w:ascii="Times New Roman" w:hAnsi="Times New Roman" w:cs="Times New Roman"/>
          <w:sz w:val="18"/>
          <w:szCs w:val="18"/>
          <w:lang w:val="en-GB"/>
        </w:rPr>
        <w:t>ed discrimination of women is much more far-reaching</w:t>
      </w:r>
      <w:r>
        <w:rPr>
          <w:rFonts w:ascii="Times New Roman" w:hAnsi="Times New Roman" w:cs="Times New Roman"/>
          <w:sz w:val="18"/>
          <w:szCs w:val="18"/>
          <w:lang w:val="en-GB"/>
        </w:rPr>
        <w:t xml:space="preserve"> than domestic physical abuse. In this broad interpretation, </w:t>
      </w:r>
      <w:r w:rsidRPr="004A29F9">
        <w:rPr>
          <w:rFonts w:ascii="Times New Roman" w:hAnsi="Times New Roman" w:cs="Times New Roman"/>
          <w:sz w:val="18"/>
          <w:szCs w:val="18"/>
          <w:lang w:val="en-GB"/>
        </w:rPr>
        <w:t xml:space="preserve">GBV includes structural </w:t>
      </w:r>
      <w:r>
        <w:rPr>
          <w:rFonts w:ascii="Times New Roman" w:hAnsi="Times New Roman" w:cs="Times New Roman"/>
          <w:sz w:val="18"/>
          <w:szCs w:val="18"/>
          <w:lang w:val="en-GB"/>
        </w:rPr>
        <w:t xml:space="preserve">violence that is institutionalised. </w:t>
      </w:r>
      <w:r w:rsidRPr="004A29F9">
        <w:rPr>
          <w:rFonts w:ascii="Times New Roman" w:hAnsi="Times New Roman" w:cs="Times New Roman"/>
          <w:sz w:val="18"/>
          <w:szCs w:val="18"/>
          <w:lang w:val="en-GB"/>
        </w:rPr>
        <w:t>Thus, UNDP’s choice was to engage at the institutional level on discrimination against women, given the fact that other agencies (i.e. UN Women) were taking on domestic ph</w:t>
      </w:r>
      <w:r>
        <w:rPr>
          <w:rFonts w:ascii="Times New Roman" w:hAnsi="Times New Roman" w:cs="Times New Roman"/>
          <w:sz w:val="18"/>
          <w:szCs w:val="18"/>
          <w:lang w:val="en-GB"/>
        </w:rPr>
        <w:t xml:space="preserve">ysical violence more directly. </w:t>
      </w:r>
      <w:r w:rsidRPr="004A29F9">
        <w:rPr>
          <w:rFonts w:ascii="Times New Roman" w:hAnsi="Times New Roman" w:cs="Times New Roman"/>
          <w:sz w:val="18"/>
          <w:szCs w:val="18"/>
          <w:lang w:val="en-GB"/>
        </w:rPr>
        <w:t>This said, UNDP has worked with the police and has had direct</w:t>
      </w:r>
      <w:r>
        <w:rPr>
          <w:rFonts w:ascii="Times New Roman" w:hAnsi="Times New Roman" w:cs="Times New Roman"/>
          <w:sz w:val="18"/>
          <w:szCs w:val="18"/>
          <w:lang w:val="en-GB"/>
        </w:rPr>
        <w:t xml:space="preserve"> demand-side interventions. </w:t>
      </w:r>
      <w:r w:rsidRPr="004A29F9">
        <w:rPr>
          <w:rFonts w:ascii="Times New Roman" w:hAnsi="Times New Roman" w:cs="Times New Roman"/>
          <w:sz w:val="18"/>
          <w:szCs w:val="18"/>
          <w:lang w:val="en-GB"/>
        </w:rPr>
        <w:t xml:space="preserve">UNDP has also </w:t>
      </w:r>
      <w:r>
        <w:rPr>
          <w:rFonts w:ascii="Times New Roman" w:hAnsi="Times New Roman" w:cs="Times New Roman"/>
          <w:sz w:val="18"/>
          <w:szCs w:val="18"/>
          <w:lang w:val="en-GB"/>
        </w:rPr>
        <w:t xml:space="preserve">had to acknowledge the </w:t>
      </w:r>
      <w:r w:rsidRPr="004A29F9">
        <w:rPr>
          <w:rFonts w:ascii="Times New Roman" w:hAnsi="Times New Roman" w:cs="Times New Roman"/>
          <w:sz w:val="18"/>
          <w:szCs w:val="18"/>
          <w:lang w:val="en-GB"/>
        </w:rPr>
        <w:t>capacity absorption limitations o</w:t>
      </w:r>
      <w:r>
        <w:rPr>
          <w:rFonts w:ascii="Times New Roman" w:hAnsi="Times New Roman" w:cs="Times New Roman"/>
          <w:sz w:val="18"/>
          <w:szCs w:val="18"/>
          <w:lang w:val="en-GB"/>
        </w:rPr>
        <w:t>n the part of the MOJ</w:t>
      </w:r>
    </w:p>
  </w:footnote>
  <w:footnote w:id="162">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Pub</w:t>
      </w:r>
      <w:r>
        <w:rPr>
          <w:rFonts w:ascii="Times New Roman" w:hAnsi="Times New Roman" w:cs="Times New Roman"/>
          <w:sz w:val="18"/>
          <w:szCs w:val="18"/>
          <w:lang w:val="en-GB"/>
        </w:rPr>
        <w:t>lic Perceptions Survey at 10-11</w:t>
      </w:r>
    </w:p>
  </w:footnote>
  <w:footnote w:id="163">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Women’s Rights Review at 4</w:t>
      </w:r>
    </w:p>
  </w:footnote>
  <w:footnote w:id="164">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2013 Annual Work Plan at</w:t>
      </w:r>
      <w:r>
        <w:rPr>
          <w:rFonts w:ascii="Times New Roman" w:hAnsi="Times New Roman" w:cs="Times New Roman"/>
          <w:sz w:val="18"/>
          <w:szCs w:val="18"/>
          <w:lang w:val="en-GB"/>
        </w:rPr>
        <w:t xml:space="preserve"> 9; 2011 Strategic Review at 13</w:t>
      </w:r>
    </w:p>
  </w:footnote>
  <w:footnote w:id="165">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2011 Strategic Review at 13</w:t>
      </w:r>
    </w:p>
  </w:footnote>
  <w:footnote w:id="166">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Programme Document </w:t>
      </w:r>
      <w:r>
        <w:rPr>
          <w:rFonts w:ascii="Times New Roman" w:hAnsi="Times New Roman" w:cs="Times New Roman"/>
          <w:sz w:val="18"/>
          <w:szCs w:val="18"/>
          <w:lang w:val="en-GB"/>
        </w:rPr>
        <w:t>UNDP/EUPOL COPPS Joint Programme at 8, 13</w:t>
      </w:r>
    </w:p>
  </w:footnote>
  <w:footnote w:id="167">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Summary Note, UNDP-EUPOL COPPS Training on Juvenile Justice </w:t>
      </w:r>
      <w:r>
        <w:rPr>
          <w:rFonts w:ascii="Times New Roman" w:hAnsi="Times New Roman" w:cs="Times New Roman"/>
          <w:sz w:val="18"/>
          <w:szCs w:val="18"/>
          <w:lang w:val="en-GB"/>
        </w:rPr>
        <w:t>(November - December 2010) at 1</w:t>
      </w:r>
    </w:p>
  </w:footnote>
  <w:footnote w:id="168">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Id. at 2</w:t>
      </w:r>
    </w:p>
  </w:footnote>
  <w:footnote w:id="169">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Id. at 9-10</w:t>
      </w:r>
    </w:p>
  </w:footnote>
  <w:footnote w:id="170">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2011 Strategic Review at 13; see also 2013 Annual Work Plan a</w:t>
      </w:r>
      <w:r>
        <w:rPr>
          <w:rFonts w:ascii="Times New Roman" w:hAnsi="Times New Roman" w:cs="Times New Roman"/>
          <w:sz w:val="18"/>
          <w:szCs w:val="18"/>
          <w:lang w:val="en-GB"/>
        </w:rPr>
        <w:t>t 9 and 2012 Annual Report at 7</w:t>
      </w:r>
    </w:p>
  </w:footnote>
  <w:footnote w:id="171">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Consolidated D</w:t>
      </w:r>
      <w:r>
        <w:rPr>
          <w:rFonts w:ascii="Times New Roman" w:hAnsi="Times New Roman" w:cs="Times New Roman"/>
          <w:sz w:val="18"/>
          <w:szCs w:val="18"/>
          <w:lang w:val="en-GB"/>
        </w:rPr>
        <w:t>onor Comments (5 May 2012) at 9</w:t>
      </w:r>
    </w:p>
  </w:footnote>
  <w:footnote w:id="172">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2013 Annual Work Plan at 9</w:t>
      </w:r>
    </w:p>
  </w:footnote>
  <w:footnote w:id="173">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The problem with the </w:t>
      </w:r>
      <w:r w:rsidRPr="00381D8F">
        <w:rPr>
          <w:rFonts w:ascii="Times New Roman" w:hAnsi="Times New Roman" w:cs="Times New Roman"/>
          <w:i/>
          <w:sz w:val="18"/>
          <w:szCs w:val="18"/>
          <w:lang w:val="en-GB"/>
        </w:rPr>
        <w:t>shari’a</w:t>
      </w:r>
      <w:r w:rsidRPr="004A29F9">
        <w:rPr>
          <w:rFonts w:ascii="Times New Roman" w:hAnsi="Times New Roman" w:cs="Times New Roman"/>
          <w:sz w:val="18"/>
          <w:szCs w:val="18"/>
          <w:lang w:val="en-GB"/>
        </w:rPr>
        <w:t xml:space="preserve"> court</w:t>
      </w:r>
      <w:r>
        <w:rPr>
          <w:rFonts w:ascii="Times New Roman" w:hAnsi="Times New Roman" w:cs="Times New Roman"/>
          <w:sz w:val="18"/>
          <w:szCs w:val="18"/>
          <w:lang w:val="en-GB"/>
        </w:rPr>
        <w:t>s</w:t>
      </w:r>
      <w:r w:rsidRPr="004A29F9">
        <w:rPr>
          <w:rFonts w:ascii="Times New Roman" w:hAnsi="Times New Roman" w:cs="Times New Roman"/>
          <w:sz w:val="18"/>
          <w:szCs w:val="18"/>
          <w:lang w:val="en-GB"/>
        </w:rPr>
        <w:t xml:space="preserve"> is </w:t>
      </w:r>
      <w:r>
        <w:rPr>
          <w:rFonts w:ascii="Times New Roman" w:hAnsi="Times New Roman" w:cs="Times New Roman"/>
          <w:sz w:val="18"/>
          <w:szCs w:val="18"/>
          <w:lang w:val="en-GB"/>
        </w:rPr>
        <w:t>that they are not yet computeris</w:t>
      </w:r>
      <w:r w:rsidRPr="004A29F9">
        <w:rPr>
          <w:rFonts w:ascii="Times New Roman" w:hAnsi="Times New Roman" w:cs="Times New Roman"/>
          <w:sz w:val="18"/>
          <w:szCs w:val="18"/>
          <w:lang w:val="en-GB"/>
        </w:rPr>
        <w:t>ed and not yet linked to MIZAN</w:t>
      </w:r>
      <w:r>
        <w:rPr>
          <w:rFonts w:ascii="Times New Roman" w:hAnsi="Times New Roman" w:cs="Times New Roman"/>
          <w:sz w:val="18"/>
          <w:szCs w:val="18"/>
          <w:lang w:val="en-GB"/>
        </w:rPr>
        <w:t xml:space="preserve">2. Each </w:t>
      </w:r>
      <w:r w:rsidRPr="00381D8F">
        <w:rPr>
          <w:rFonts w:ascii="Times New Roman" w:hAnsi="Times New Roman" w:cs="Times New Roman"/>
          <w:i/>
          <w:sz w:val="18"/>
          <w:szCs w:val="18"/>
          <w:lang w:val="en-GB"/>
        </w:rPr>
        <w:t>shari’a</w:t>
      </w:r>
      <w:r w:rsidRPr="004A29F9">
        <w:rPr>
          <w:rFonts w:ascii="Times New Roman" w:hAnsi="Times New Roman" w:cs="Times New Roman"/>
          <w:sz w:val="18"/>
          <w:szCs w:val="18"/>
          <w:lang w:val="en-GB"/>
        </w:rPr>
        <w:t xml:space="preserve"> court operates “on a differ</w:t>
      </w:r>
      <w:r>
        <w:rPr>
          <w:rFonts w:ascii="Times New Roman" w:hAnsi="Times New Roman" w:cs="Times New Roman"/>
          <w:sz w:val="18"/>
          <w:szCs w:val="18"/>
          <w:lang w:val="en-GB"/>
        </w:rPr>
        <w:t>ent planet”. B</w:t>
      </w:r>
      <w:r w:rsidRPr="004A29F9">
        <w:rPr>
          <w:rFonts w:ascii="Times New Roman" w:hAnsi="Times New Roman" w:cs="Times New Roman"/>
          <w:sz w:val="18"/>
          <w:szCs w:val="18"/>
          <w:lang w:val="en-GB"/>
        </w:rPr>
        <w:t>ecause there is no database, and the individual courts do not commun</w:t>
      </w:r>
      <w:r>
        <w:rPr>
          <w:rFonts w:ascii="Times New Roman" w:hAnsi="Times New Roman" w:cs="Times New Roman"/>
          <w:sz w:val="18"/>
          <w:szCs w:val="18"/>
          <w:lang w:val="en-GB"/>
        </w:rPr>
        <w:t xml:space="preserve">icate, one </w:t>
      </w:r>
      <w:r w:rsidRPr="00381D8F">
        <w:rPr>
          <w:rFonts w:ascii="Times New Roman" w:hAnsi="Times New Roman" w:cs="Times New Roman"/>
          <w:i/>
          <w:sz w:val="18"/>
          <w:szCs w:val="18"/>
          <w:lang w:val="en-GB"/>
        </w:rPr>
        <w:t>shari’a</w:t>
      </w:r>
      <w:r w:rsidRPr="004A29F9">
        <w:rPr>
          <w:rFonts w:ascii="Times New Roman" w:hAnsi="Times New Roman" w:cs="Times New Roman"/>
          <w:sz w:val="18"/>
          <w:szCs w:val="18"/>
          <w:lang w:val="en-GB"/>
        </w:rPr>
        <w:t xml:space="preserve"> court may not have any record of what</w:t>
      </w:r>
      <w:r>
        <w:rPr>
          <w:rFonts w:ascii="Times New Roman" w:hAnsi="Times New Roman" w:cs="Times New Roman"/>
          <w:sz w:val="18"/>
          <w:szCs w:val="18"/>
          <w:lang w:val="en-GB"/>
        </w:rPr>
        <w:t xml:space="preserve"> has been done in another court</w:t>
      </w:r>
    </w:p>
  </w:footnote>
  <w:footnote w:id="174">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In 2011 approximately 700 juveniles </w:t>
      </w:r>
      <w:r>
        <w:rPr>
          <w:rFonts w:ascii="Times New Roman" w:hAnsi="Times New Roman" w:cs="Times New Roman"/>
          <w:sz w:val="18"/>
          <w:szCs w:val="18"/>
          <w:lang w:val="en-GB"/>
        </w:rPr>
        <w:t>cycled through the centre; i</w:t>
      </w:r>
      <w:r w:rsidRPr="004A29F9">
        <w:rPr>
          <w:rFonts w:ascii="Times New Roman" w:hAnsi="Times New Roman" w:cs="Times New Roman"/>
          <w:sz w:val="18"/>
          <w:szCs w:val="18"/>
          <w:lang w:val="en-GB"/>
        </w:rPr>
        <w:t xml:space="preserve">n 2012, </w:t>
      </w:r>
      <w:r>
        <w:rPr>
          <w:rFonts w:ascii="Times New Roman" w:hAnsi="Times New Roman" w:cs="Times New Roman"/>
          <w:sz w:val="18"/>
          <w:szCs w:val="18"/>
          <w:lang w:val="en-GB"/>
        </w:rPr>
        <w:t xml:space="preserve">the figure dropped to 356. </w:t>
      </w:r>
      <w:r w:rsidRPr="004A29F9">
        <w:rPr>
          <w:rFonts w:ascii="Times New Roman" w:hAnsi="Times New Roman" w:cs="Times New Roman"/>
          <w:sz w:val="18"/>
          <w:szCs w:val="18"/>
          <w:lang w:val="en-GB"/>
        </w:rPr>
        <w:t>In the month of January 2013, 40 juvenile</w:t>
      </w:r>
      <w:r>
        <w:rPr>
          <w:rFonts w:ascii="Times New Roman" w:hAnsi="Times New Roman" w:cs="Times New Roman"/>
          <w:sz w:val="18"/>
          <w:szCs w:val="18"/>
          <w:lang w:val="en-GB"/>
        </w:rPr>
        <w:t xml:space="preserve">s cycled through the centre; </w:t>
      </w:r>
      <w:r w:rsidRPr="004A29F9">
        <w:rPr>
          <w:rFonts w:ascii="Times New Roman" w:hAnsi="Times New Roman" w:cs="Times New Roman"/>
          <w:sz w:val="18"/>
          <w:szCs w:val="18"/>
          <w:lang w:val="en-GB"/>
        </w:rPr>
        <w:t>7 of these juv</w:t>
      </w:r>
      <w:r>
        <w:rPr>
          <w:rFonts w:ascii="Times New Roman" w:hAnsi="Times New Roman" w:cs="Times New Roman"/>
          <w:sz w:val="18"/>
          <w:szCs w:val="18"/>
          <w:lang w:val="en-GB"/>
        </w:rPr>
        <w:t>eniles were interviewed by the e</w:t>
      </w:r>
      <w:r w:rsidRPr="004A29F9">
        <w:rPr>
          <w:rFonts w:ascii="Times New Roman" w:hAnsi="Times New Roman" w:cs="Times New Roman"/>
          <w:sz w:val="18"/>
          <w:szCs w:val="18"/>
          <w:lang w:val="en-GB"/>
        </w:rPr>
        <w:t xml:space="preserve">valuation at the time of its site visit. </w:t>
      </w:r>
    </w:p>
  </w:footnote>
  <w:footnote w:id="175">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At the time of the e</w:t>
      </w:r>
      <w:r w:rsidRPr="004A29F9">
        <w:rPr>
          <w:rFonts w:ascii="Times New Roman" w:hAnsi="Times New Roman" w:cs="Times New Roman"/>
          <w:sz w:val="18"/>
          <w:szCs w:val="18"/>
          <w:lang w:val="en-GB"/>
        </w:rPr>
        <w:t>valua</w:t>
      </w:r>
      <w:r>
        <w:rPr>
          <w:rFonts w:ascii="Times New Roman" w:hAnsi="Times New Roman" w:cs="Times New Roman"/>
          <w:sz w:val="18"/>
          <w:szCs w:val="18"/>
          <w:lang w:val="en-GB"/>
        </w:rPr>
        <w:t>tion’s site visit,</w:t>
      </w:r>
      <w:r w:rsidR="00FD3C19">
        <w:rPr>
          <w:rFonts w:ascii="Times New Roman" w:hAnsi="Times New Roman" w:cs="Times New Roman"/>
          <w:sz w:val="18"/>
          <w:szCs w:val="18"/>
          <w:lang w:val="en-GB"/>
        </w:rPr>
        <w:t xml:space="preserve"> </w:t>
      </w:r>
      <w:r w:rsidRPr="004A29F9">
        <w:rPr>
          <w:rFonts w:ascii="Times New Roman" w:hAnsi="Times New Roman" w:cs="Times New Roman"/>
          <w:sz w:val="18"/>
          <w:szCs w:val="18"/>
          <w:lang w:val="en-GB"/>
        </w:rPr>
        <w:t xml:space="preserve">the </w:t>
      </w:r>
      <w:r>
        <w:rPr>
          <w:rFonts w:ascii="Times New Roman" w:hAnsi="Times New Roman" w:cs="Times New Roman"/>
          <w:sz w:val="18"/>
          <w:szCs w:val="18"/>
          <w:lang w:val="en-GB"/>
        </w:rPr>
        <w:t>entire building was cold. The e</w:t>
      </w:r>
      <w:r w:rsidRPr="004A29F9">
        <w:rPr>
          <w:rFonts w:ascii="Times New Roman" w:hAnsi="Times New Roman" w:cs="Times New Roman"/>
          <w:sz w:val="18"/>
          <w:szCs w:val="18"/>
          <w:lang w:val="en-GB"/>
        </w:rPr>
        <w:t>valuation also noted that windows needed to be replaced on the upper floors and heating of the facility</w:t>
      </w:r>
      <w:r>
        <w:rPr>
          <w:rFonts w:ascii="Times New Roman" w:hAnsi="Times New Roman" w:cs="Times New Roman"/>
          <w:sz w:val="18"/>
          <w:szCs w:val="18"/>
          <w:lang w:val="en-GB"/>
        </w:rPr>
        <w:t xml:space="preserve"> improved for the winter season</w:t>
      </w:r>
    </w:p>
  </w:footnote>
  <w:footnote w:id="176">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2011 Strategic Review at 14</w:t>
      </w:r>
    </w:p>
  </w:footnote>
  <w:footnote w:id="177">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Joint Capacity Assessment Minist</w:t>
      </w:r>
      <w:r>
        <w:rPr>
          <w:rFonts w:ascii="Times New Roman" w:hAnsi="Times New Roman" w:cs="Times New Roman"/>
          <w:sz w:val="18"/>
          <w:szCs w:val="18"/>
          <w:lang w:val="en-GB"/>
        </w:rPr>
        <w:t>ry of Justice (June 2011) at 62</w:t>
      </w:r>
    </w:p>
  </w:footnote>
  <w:footnote w:id="178">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2011 Strategic Review at 14</w:t>
      </w:r>
    </w:p>
  </w:footnote>
  <w:footnote w:id="179">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Public Perceptions Survey at 31</w:t>
      </w:r>
    </w:p>
  </w:footnote>
  <w:footnote w:id="180">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2011 Annual Report at 7</w:t>
      </w:r>
    </w:p>
  </w:footnote>
  <w:footnote w:id="181">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Id. at 15</w:t>
      </w:r>
    </w:p>
  </w:footnote>
  <w:footnote w:id="182">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Id. at 4</w:t>
      </w:r>
    </w:p>
  </w:footnote>
  <w:footnote w:id="183">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According to OCHA about 52% of the Palestinian populat</w:t>
      </w:r>
      <w:r>
        <w:rPr>
          <w:rFonts w:ascii="Times New Roman" w:hAnsi="Times New Roman" w:cs="Times New Roman"/>
          <w:sz w:val="18"/>
          <w:szCs w:val="18"/>
          <w:lang w:val="en-GB"/>
        </w:rPr>
        <w:t>ion is under age 18</w:t>
      </w:r>
    </w:p>
  </w:footnote>
  <w:footnote w:id="184">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The </w:t>
      </w:r>
      <w:r w:rsidRPr="004A29F9">
        <w:rPr>
          <w:rFonts w:ascii="Times New Roman" w:hAnsi="Times New Roman" w:cs="Times New Roman"/>
          <w:sz w:val="18"/>
          <w:szCs w:val="18"/>
          <w:lang w:val="en-GB"/>
        </w:rPr>
        <w:t>centres were originally established in</w:t>
      </w:r>
      <w:r>
        <w:rPr>
          <w:rFonts w:ascii="Times New Roman" w:hAnsi="Times New Roman" w:cs="Times New Roman"/>
          <w:sz w:val="18"/>
          <w:szCs w:val="18"/>
          <w:lang w:val="en-GB"/>
        </w:rPr>
        <w:t xml:space="preserve"> 1952 with the support of UNRWA</w:t>
      </w:r>
      <w:r w:rsidRPr="004A29F9">
        <w:rPr>
          <w:rFonts w:ascii="Times New Roman" w:hAnsi="Times New Roman" w:cs="Times New Roman"/>
          <w:sz w:val="18"/>
          <w:szCs w:val="18"/>
          <w:lang w:val="en-GB"/>
        </w:rPr>
        <w:t xml:space="preserve"> but a</w:t>
      </w:r>
      <w:r>
        <w:rPr>
          <w:rFonts w:ascii="Times New Roman" w:hAnsi="Times New Roman" w:cs="Times New Roman"/>
          <w:sz w:val="18"/>
          <w:szCs w:val="18"/>
          <w:lang w:val="en-GB"/>
        </w:rPr>
        <w:t>re run by the local communities</w:t>
      </w:r>
    </w:p>
  </w:footnote>
  <w:footnote w:id="185">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In particular one case was mentioned by WAC where a woman had been severely beaten and cut by her</w:t>
      </w:r>
      <w:r>
        <w:rPr>
          <w:rFonts w:ascii="Times New Roman" w:hAnsi="Times New Roman" w:cs="Times New Roman"/>
          <w:sz w:val="18"/>
          <w:szCs w:val="18"/>
          <w:lang w:val="en-GB"/>
        </w:rPr>
        <w:t xml:space="preserve"> husband and wanted a divorce. </w:t>
      </w:r>
      <w:r w:rsidRPr="004A29F9">
        <w:rPr>
          <w:rFonts w:ascii="Times New Roman" w:hAnsi="Times New Roman" w:cs="Times New Roman"/>
          <w:sz w:val="18"/>
          <w:szCs w:val="18"/>
          <w:lang w:val="en-GB"/>
        </w:rPr>
        <w:t>WAC was able to intervene and obtain protection for the wom</w:t>
      </w:r>
      <w:r>
        <w:rPr>
          <w:rFonts w:ascii="Times New Roman" w:hAnsi="Times New Roman" w:cs="Times New Roman"/>
          <w:sz w:val="18"/>
          <w:szCs w:val="18"/>
          <w:lang w:val="en-GB"/>
        </w:rPr>
        <w:t>en and mediation of the dispute</w:t>
      </w:r>
    </w:p>
  </w:footnote>
  <w:footnote w:id="186">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The PBA is the one of the few</w:t>
      </w:r>
      <w:r w:rsidRPr="004A29F9">
        <w:rPr>
          <w:rFonts w:ascii="Times New Roman" w:hAnsi="Times New Roman" w:cs="Times New Roman"/>
          <w:sz w:val="18"/>
          <w:szCs w:val="18"/>
          <w:lang w:val="en-GB"/>
        </w:rPr>
        <w:t xml:space="preserve"> institution</w:t>
      </w:r>
      <w:r>
        <w:rPr>
          <w:rFonts w:ascii="Times New Roman" w:hAnsi="Times New Roman" w:cs="Times New Roman"/>
          <w:sz w:val="18"/>
          <w:szCs w:val="18"/>
          <w:lang w:val="en-GB"/>
        </w:rPr>
        <w:t>s</w:t>
      </w:r>
      <w:r w:rsidRPr="004A29F9">
        <w:rPr>
          <w:rFonts w:ascii="Times New Roman" w:hAnsi="Times New Roman" w:cs="Times New Roman"/>
          <w:sz w:val="18"/>
          <w:szCs w:val="18"/>
          <w:lang w:val="en-GB"/>
        </w:rPr>
        <w:t xml:space="preserve"> in </w:t>
      </w:r>
      <w:r>
        <w:rPr>
          <w:rFonts w:ascii="Times New Roman" w:hAnsi="Times New Roman" w:cs="Times New Roman"/>
          <w:sz w:val="18"/>
          <w:szCs w:val="18"/>
          <w:lang w:val="en-GB"/>
        </w:rPr>
        <w:t xml:space="preserve">the </w:t>
      </w:r>
      <w:r w:rsidRPr="004A29F9">
        <w:rPr>
          <w:rFonts w:ascii="Times New Roman" w:hAnsi="Times New Roman" w:cs="Times New Roman"/>
          <w:sz w:val="18"/>
          <w:szCs w:val="18"/>
          <w:lang w:val="en-GB"/>
        </w:rPr>
        <w:t>oPt that was not affected</w:t>
      </w:r>
      <w:r>
        <w:rPr>
          <w:rFonts w:ascii="Times New Roman" w:hAnsi="Times New Roman" w:cs="Times New Roman"/>
          <w:sz w:val="18"/>
          <w:szCs w:val="18"/>
          <w:lang w:val="en-GB"/>
        </w:rPr>
        <w:t xml:space="preserve"> by the separation of </w:t>
      </w:r>
      <w:r w:rsidRPr="004A29F9">
        <w:rPr>
          <w:rFonts w:ascii="Times New Roman" w:hAnsi="Times New Roman" w:cs="Times New Roman"/>
          <w:sz w:val="18"/>
          <w:szCs w:val="18"/>
          <w:lang w:val="en-GB"/>
        </w:rPr>
        <w:t>Fatah</w:t>
      </w:r>
      <w:r>
        <w:rPr>
          <w:rFonts w:ascii="Times New Roman" w:hAnsi="Times New Roman" w:cs="Times New Roman"/>
          <w:sz w:val="18"/>
          <w:szCs w:val="18"/>
          <w:lang w:val="en-GB"/>
        </w:rPr>
        <w:t xml:space="preserve"> and Hamas. </w:t>
      </w:r>
      <w:r w:rsidRPr="004A29F9">
        <w:rPr>
          <w:rFonts w:ascii="Times New Roman" w:hAnsi="Times New Roman" w:cs="Times New Roman"/>
          <w:sz w:val="18"/>
          <w:szCs w:val="18"/>
          <w:lang w:val="en-GB"/>
        </w:rPr>
        <w:t>The PBA is regulated by law and funded</w:t>
      </w:r>
      <w:r>
        <w:rPr>
          <w:rFonts w:ascii="Times New Roman" w:hAnsi="Times New Roman" w:cs="Times New Roman"/>
          <w:sz w:val="18"/>
          <w:szCs w:val="18"/>
          <w:lang w:val="en-GB"/>
        </w:rPr>
        <w:t xml:space="preserve"> independently by its members. </w:t>
      </w:r>
      <w:r w:rsidRPr="004A29F9">
        <w:rPr>
          <w:rFonts w:ascii="Times New Roman" w:hAnsi="Times New Roman" w:cs="Times New Roman"/>
          <w:sz w:val="18"/>
          <w:szCs w:val="18"/>
          <w:lang w:val="en-GB"/>
        </w:rPr>
        <w:t>It refuses government funds and is f</w:t>
      </w:r>
      <w:r>
        <w:rPr>
          <w:rFonts w:ascii="Times New Roman" w:hAnsi="Times New Roman" w:cs="Times New Roman"/>
          <w:sz w:val="18"/>
          <w:szCs w:val="18"/>
          <w:lang w:val="en-GB"/>
        </w:rPr>
        <w:t>unded solely by its membership.</w:t>
      </w:r>
      <w:r w:rsidRPr="004A29F9">
        <w:rPr>
          <w:rFonts w:ascii="Times New Roman" w:hAnsi="Times New Roman" w:cs="Times New Roman"/>
          <w:sz w:val="18"/>
          <w:szCs w:val="18"/>
          <w:lang w:val="en-GB"/>
        </w:rPr>
        <w:t xml:space="preserve"> This fact has enabled th</w:t>
      </w:r>
      <w:r>
        <w:rPr>
          <w:rFonts w:ascii="Times New Roman" w:hAnsi="Times New Roman" w:cs="Times New Roman"/>
          <w:sz w:val="18"/>
          <w:szCs w:val="18"/>
          <w:lang w:val="en-GB"/>
        </w:rPr>
        <w:t xml:space="preserve">e PBA to survive politically. </w:t>
      </w:r>
      <w:r w:rsidRPr="004A29F9">
        <w:rPr>
          <w:rFonts w:ascii="Times New Roman" w:hAnsi="Times New Roman" w:cs="Times New Roman"/>
          <w:sz w:val="18"/>
          <w:szCs w:val="18"/>
          <w:lang w:val="en-GB"/>
        </w:rPr>
        <w:t>UNDP’s successful engagement with the PBA in Gaza stands in marked contrast to the situation in the West Bank</w:t>
      </w:r>
      <w:r>
        <w:rPr>
          <w:rFonts w:ascii="Times New Roman" w:hAnsi="Times New Roman" w:cs="Times New Roman"/>
          <w:sz w:val="18"/>
          <w:szCs w:val="18"/>
          <w:lang w:val="en-GB"/>
        </w:rPr>
        <w:t xml:space="preserve"> as described under above Outcome</w:t>
      </w:r>
      <w:r w:rsidRPr="004A29F9">
        <w:rPr>
          <w:rFonts w:ascii="Times New Roman" w:hAnsi="Times New Roman" w:cs="Times New Roman"/>
          <w:sz w:val="18"/>
          <w:szCs w:val="18"/>
          <w:lang w:val="en-GB"/>
        </w:rPr>
        <w:t xml:space="preserve"> 2 where UNDP, despite its best efforts, has not yet achieved as high a de</w:t>
      </w:r>
      <w:r>
        <w:rPr>
          <w:rFonts w:ascii="Times New Roman" w:hAnsi="Times New Roman" w:cs="Times New Roman"/>
          <w:sz w:val="18"/>
          <w:szCs w:val="18"/>
          <w:lang w:val="en-GB"/>
        </w:rPr>
        <w:t>gree of engagement with the PBA</w:t>
      </w:r>
    </w:p>
  </w:footnote>
  <w:footnote w:id="187">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Palestinian l</w:t>
      </w:r>
      <w:r w:rsidRPr="004A29F9">
        <w:rPr>
          <w:rFonts w:ascii="Times New Roman" w:hAnsi="Times New Roman" w:cs="Times New Roman"/>
          <w:sz w:val="18"/>
          <w:szCs w:val="18"/>
          <w:lang w:val="en-GB"/>
        </w:rPr>
        <w:t xml:space="preserve">aw currently limits legal aid to criminal cases (state provided legal aid). </w:t>
      </w:r>
      <w:r>
        <w:rPr>
          <w:rFonts w:ascii="Times New Roman" w:hAnsi="Times New Roman" w:cs="Times New Roman"/>
          <w:sz w:val="18"/>
          <w:szCs w:val="18"/>
          <w:lang w:val="en-GB"/>
        </w:rPr>
        <w:t xml:space="preserve">The </w:t>
      </w:r>
      <w:r>
        <w:rPr>
          <w:rFonts w:ascii="Times New Roman" w:hAnsi="Times New Roman" w:cs="Times New Roman"/>
          <w:i/>
          <w:sz w:val="18"/>
          <w:szCs w:val="18"/>
          <w:lang w:val="en-GB"/>
        </w:rPr>
        <w:t>de facto</w:t>
      </w:r>
      <w:r>
        <w:rPr>
          <w:rFonts w:ascii="Times New Roman" w:hAnsi="Times New Roman" w:cs="Times New Roman"/>
          <w:sz w:val="18"/>
          <w:szCs w:val="18"/>
          <w:lang w:val="en-GB"/>
        </w:rPr>
        <w:t xml:space="preserve"> authorities in Gaza have</w:t>
      </w:r>
      <w:r w:rsidRPr="004A29F9">
        <w:rPr>
          <w:rFonts w:ascii="Times New Roman" w:hAnsi="Times New Roman" w:cs="Times New Roman"/>
          <w:sz w:val="18"/>
          <w:szCs w:val="18"/>
          <w:lang w:val="en-GB"/>
        </w:rPr>
        <w:t xml:space="preserve"> tended to skip over this guarantee of state provided legal aid and is requiring the individual defendant to pay for legal </w:t>
      </w:r>
      <w:r>
        <w:rPr>
          <w:rFonts w:ascii="Times New Roman" w:hAnsi="Times New Roman" w:cs="Times New Roman"/>
          <w:sz w:val="18"/>
          <w:szCs w:val="18"/>
          <w:lang w:val="en-GB"/>
        </w:rPr>
        <w:t>aid out of his or her own pocket</w:t>
      </w:r>
    </w:p>
  </w:footnote>
  <w:footnote w:id="188">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PBA states that it has contributed about 10% of the costs of the UNDP proje</w:t>
      </w:r>
      <w:r>
        <w:rPr>
          <w:rFonts w:ascii="Times New Roman" w:hAnsi="Times New Roman" w:cs="Times New Roman"/>
          <w:sz w:val="18"/>
          <w:szCs w:val="18"/>
          <w:lang w:val="en-GB"/>
        </w:rPr>
        <w:t>ct thus far. The b</w:t>
      </w:r>
      <w:r w:rsidRPr="004A29F9">
        <w:rPr>
          <w:rFonts w:ascii="Times New Roman" w:hAnsi="Times New Roman" w:cs="Times New Roman"/>
          <w:sz w:val="18"/>
          <w:szCs w:val="18"/>
          <w:lang w:val="en-GB"/>
        </w:rPr>
        <w:t>ar association is audited and is accountable to its membershi</w:t>
      </w:r>
      <w:r>
        <w:rPr>
          <w:rFonts w:ascii="Times New Roman" w:hAnsi="Times New Roman" w:cs="Times New Roman"/>
          <w:sz w:val="18"/>
          <w:szCs w:val="18"/>
          <w:lang w:val="en-GB"/>
        </w:rPr>
        <w:t>p for every single activity. The 10% funding of the project</w:t>
      </w:r>
      <w:r w:rsidRPr="004A29F9">
        <w:rPr>
          <w:rFonts w:ascii="Times New Roman" w:hAnsi="Times New Roman" w:cs="Times New Roman"/>
          <w:sz w:val="18"/>
          <w:szCs w:val="18"/>
          <w:lang w:val="en-GB"/>
        </w:rPr>
        <w:t xml:space="preserve"> does not conflict w</w:t>
      </w:r>
      <w:r>
        <w:rPr>
          <w:rFonts w:ascii="Times New Roman" w:hAnsi="Times New Roman" w:cs="Times New Roman"/>
          <w:sz w:val="18"/>
          <w:szCs w:val="18"/>
          <w:lang w:val="en-GB"/>
        </w:rPr>
        <w:t xml:space="preserve">ith PBA’s larger goals but the board </w:t>
      </w:r>
      <w:r w:rsidRPr="004A29F9">
        <w:rPr>
          <w:rFonts w:ascii="Times New Roman" w:hAnsi="Times New Roman" w:cs="Times New Roman"/>
          <w:sz w:val="18"/>
          <w:szCs w:val="18"/>
          <w:lang w:val="en-GB"/>
        </w:rPr>
        <w:t>states that if it spent more than 10% on this initiative its member</w:t>
      </w:r>
      <w:r>
        <w:rPr>
          <w:rFonts w:ascii="Times New Roman" w:hAnsi="Times New Roman" w:cs="Times New Roman"/>
          <w:sz w:val="18"/>
          <w:szCs w:val="18"/>
          <w:lang w:val="en-GB"/>
        </w:rPr>
        <w:t xml:space="preserve">ship would complain about it. </w:t>
      </w:r>
      <w:r w:rsidRPr="004A29F9">
        <w:rPr>
          <w:rFonts w:ascii="Times New Roman" w:hAnsi="Times New Roman" w:cs="Times New Roman"/>
          <w:sz w:val="18"/>
          <w:szCs w:val="18"/>
          <w:lang w:val="en-GB"/>
        </w:rPr>
        <w:t>PBA has confirmed this in a r</w:t>
      </w:r>
      <w:r>
        <w:rPr>
          <w:rFonts w:ascii="Times New Roman" w:hAnsi="Times New Roman" w:cs="Times New Roman"/>
          <w:sz w:val="18"/>
          <w:szCs w:val="18"/>
          <w:lang w:val="en-GB"/>
        </w:rPr>
        <w:t xml:space="preserve">ecent poll of its membership. </w:t>
      </w:r>
      <w:r w:rsidRPr="004A29F9">
        <w:rPr>
          <w:rFonts w:ascii="Times New Roman" w:hAnsi="Times New Roman" w:cs="Times New Roman"/>
          <w:sz w:val="18"/>
          <w:szCs w:val="18"/>
          <w:lang w:val="en-GB"/>
        </w:rPr>
        <w:t>PBA has reached the conclusion, however, that nonetheless the project need</w:t>
      </w:r>
      <w:r>
        <w:rPr>
          <w:rFonts w:ascii="Times New Roman" w:hAnsi="Times New Roman" w:cs="Times New Roman"/>
          <w:sz w:val="18"/>
          <w:szCs w:val="18"/>
          <w:lang w:val="en-GB"/>
        </w:rPr>
        <w:t>s to be continued and expanded</w:t>
      </w:r>
    </w:p>
  </w:footnote>
  <w:footnote w:id="189">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2013 Annual Work Plan at 10</w:t>
      </w:r>
    </w:p>
  </w:footnote>
  <w:footnote w:id="190">
    <w:p w:rsidR="00DD5DAA" w:rsidRPr="004A29F9" w:rsidRDefault="00DD5DAA" w:rsidP="005329A6">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2013 Annual Work Plan at 10</w:t>
      </w:r>
    </w:p>
  </w:footnote>
  <w:footnote w:id="191">
    <w:p w:rsidR="00DD5DAA" w:rsidRPr="00B2664E" w:rsidRDefault="00DD5DAA" w:rsidP="004C6458">
      <w:pPr>
        <w:pStyle w:val="FootnoteText"/>
        <w:spacing w:after="0"/>
        <w:jc w:val="both"/>
        <w:rPr>
          <w:rFonts w:ascii="Times New Roman" w:hAnsi="Times New Roman" w:cs="Times New Roman"/>
          <w:sz w:val="18"/>
          <w:szCs w:val="18"/>
          <w:lang w:val="en-GB"/>
        </w:rPr>
      </w:pPr>
      <w:r w:rsidRPr="00B2664E">
        <w:rPr>
          <w:rStyle w:val="FootnoteReference"/>
          <w:rFonts w:ascii="Times New Roman" w:hAnsi="Times New Roman" w:cs="Times New Roman"/>
          <w:sz w:val="18"/>
          <w:szCs w:val="18"/>
          <w:lang w:val="en-GB"/>
        </w:rPr>
        <w:footnoteRef/>
      </w:r>
      <w:r w:rsidRPr="00B2664E">
        <w:rPr>
          <w:rFonts w:ascii="Times New Roman" w:hAnsi="Times New Roman" w:cs="Times New Roman"/>
          <w:bCs/>
          <w:iCs/>
          <w:sz w:val="18"/>
          <w:szCs w:val="18"/>
          <w:lang w:val="en-GB"/>
        </w:rPr>
        <w:t xml:space="preserve"> Hamas has not formally recognised Israel’s right to exist and the political situation between Israel and Gaza remains extremely fragile and volatile. The UN and the international community still maintain an official “no-contact” policy with Hamas. This appears to be softening somewhat, however, in light of the Arab Spring, the ascendency of the Muslim Brotherhood to power in Egypt and statements from Hamas indicating that they were willing to moderate their position on some key points following a cease-fire agreeme</w:t>
      </w:r>
      <w:r>
        <w:rPr>
          <w:rFonts w:ascii="Times New Roman" w:hAnsi="Times New Roman" w:cs="Times New Roman"/>
          <w:bCs/>
          <w:iCs/>
          <w:sz w:val="18"/>
          <w:szCs w:val="18"/>
          <w:lang w:val="en-GB"/>
        </w:rPr>
        <w:t>nt that ended eight days of Isr</w:t>
      </w:r>
      <w:r w:rsidRPr="00B2664E">
        <w:rPr>
          <w:rFonts w:ascii="Times New Roman" w:hAnsi="Times New Roman" w:cs="Times New Roman"/>
          <w:bCs/>
          <w:iCs/>
          <w:sz w:val="18"/>
          <w:szCs w:val="18"/>
          <w:lang w:val="en-GB"/>
        </w:rPr>
        <w:t>a</w:t>
      </w:r>
      <w:r>
        <w:rPr>
          <w:rFonts w:ascii="Times New Roman" w:hAnsi="Times New Roman" w:cs="Times New Roman"/>
          <w:bCs/>
          <w:iCs/>
          <w:sz w:val="18"/>
          <w:szCs w:val="18"/>
          <w:lang w:val="en-GB"/>
        </w:rPr>
        <w:t xml:space="preserve">eli bombardments in November 2012. One CSO </w:t>
      </w:r>
      <w:r w:rsidRPr="00B2664E">
        <w:rPr>
          <w:rFonts w:ascii="Times New Roman" w:hAnsi="Times New Roman" w:cs="Times New Roman"/>
          <w:bCs/>
          <w:iCs/>
          <w:sz w:val="18"/>
          <w:szCs w:val="18"/>
          <w:lang w:val="en-GB"/>
        </w:rPr>
        <w:t>criticized UNDP for not having a clear policy about reunifying the judiciary and stated that it was becoming increasingly difficult to engage with only the demand side of justice in Gaza and that it was now time for UNDP and the international community to come to the table to build the capacity of the Hamas</w:t>
      </w:r>
      <w:r>
        <w:rPr>
          <w:rFonts w:ascii="Times New Roman" w:hAnsi="Times New Roman" w:cs="Times New Roman"/>
          <w:bCs/>
          <w:iCs/>
          <w:sz w:val="18"/>
          <w:szCs w:val="18"/>
          <w:lang w:val="en-GB"/>
        </w:rPr>
        <w:t xml:space="preserve"> judiciary</w:t>
      </w:r>
    </w:p>
  </w:footnote>
  <w:footnote w:id="192">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Id. at 11</w:t>
      </w:r>
    </w:p>
  </w:footnote>
  <w:footnote w:id="193">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Islamic law has historically relied heavily upon such traditional authorities as a central and in many ways the most important el</w:t>
      </w:r>
      <w:r>
        <w:rPr>
          <w:rFonts w:ascii="Times New Roman" w:hAnsi="Times New Roman" w:cs="Times New Roman"/>
          <w:sz w:val="18"/>
          <w:szCs w:val="18"/>
          <w:lang w:val="en-GB"/>
        </w:rPr>
        <w:t>ement of the system of justice</w:t>
      </w:r>
    </w:p>
  </w:footnote>
  <w:footnote w:id="194">
    <w:p w:rsidR="00DD5DAA" w:rsidRPr="004A29F9" w:rsidRDefault="00DD5DAA" w:rsidP="00AB6D72">
      <w:pPr>
        <w:spacing w:after="0" w:line="240" w:lineRule="auto"/>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PICD states that the impact of the UNDP supported trainings can be seen in different ways: 1) within PICD it built its capacity to produce newsletters and magazines; 2) the journalists that were trained subsequently produced dozens of articles and</w:t>
      </w:r>
      <w:r>
        <w:rPr>
          <w:rFonts w:ascii="Times New Roman" w:hAnsi="Times New Roman" w:cs="Times New Roman"/>
          <w:sz w:val="18"/>
          <w:szCs w:val="18"/>
          <w:lang w:val="en-GB"/>
        </w:rPr>
        <w:t xml:space="preserve"> they began to write stories. </w:t>
      </w:r>
      <w:r w:rsidRPr="004A29F9">
        <w:rPr>
          <w:rFonts w:ascii="Times New Roman" w:hAnsi="Times New Roman" w:cs="Times New Roman"/>
          <w:sz w:val="18"/>
          <w:szCs w:val="18"/>
          <w:lang w:val="en-GB"/>
        </w:rPr>
        <w:t>PICD included these in the first ed</w:t>
      </w:r>
      <w:r>
        <w:rPr>
          <w:rFonts w:ascii="Times New Roman" w:hAnsi="Times New Roman" w:cs="Times New Roman"/>
          <w:sz w:val="18"/>
          <w:szCs w:val="18"/>
          <w:lang w:val="en-GB"/>
        </w:rPr>
        <w:t xml:space="preserve">ition of its magazine (entitled “Windows on Justice”). </w:t>
      </w:r>
      <w:r w:rsidRPr="004A29F9">
        <w:rPr>
          <w:rFonts w:ascii="Times New Roman" w:hAnsi="Times New Roman" w:cs="Times New Roman"/>
          <w:sz w:val="18"/>
          <w:szCs w:val="18"/>
          <w:lang w:val="en-GB"/>
        </w:rPr>
        <w:t>A new type of investigative journalism was seen emerging in Gaza (i.e. stories about female prisoners in prison</w:t>
      </w:r>
      <w:r>
        <w:rPr>
          <w:rFonts w:ascii="Times New Roman" w:hAnsi="Times New Roman" w:cs="Times New Roman"/>
          <w:sz w:val="18"/>
          <w:szCs w:val="18"/>
          <w:lang w:val="en-GB"/>
        </w:rPr>
        <w:t xml:space="preserve"> that saw many </w:t>
      </w:r>
      <w:r w:rsidRPr="004A29F9">
        <w:rPr>
          <w:rFonts w:ascii="Times New Roman" w:hAnsi="Times New Roman" w:cs="Times New Roman"/>
          <w:sz w:val="18"/>
          <w:szCs w:val="18"/>
          <w:lang w:val="en-GB"/>
        </w:rPr>
        <w:t>reaction</w:t>
      </w:r>
      <w:r>
        <w:rPr>
          <w:rFonts w:ascii="Times New Roman" w:hAnsi="Times New Roman" w:cs="Times New Roman"/>
          <w:sz w:val="18"/>
          <w:szCs w:val="18"/>
          <w:lang w:val="en-GB"/>
        </w:rPr>
        <w:t xml:space="preserve">s on Facebook and local websites). </w:t>
      </w:r>
      <w:r w:rsidRPr="004A29F9">
        <w:rPr>
          <w:rFonts w:ascii="Times New Roman" w:hAnsi="Times New Roman" w:cs="Times New Roman"/>
          <w:sz w:val="18"/>
          <w:szCs w:val="18"/>
          <w:lang w:val="en-GB"/>
        </w:rPr>
        <w:t>The PICD trained journalists who wrote the stories about the female prisoners were recently considered as candidates for th</w:t>
      </w:r>
      <w:r>
        <w:rPr>
          <w:rFonts w:ascii="Times New Roman" w:hAnsi="Times New Roman" w:cs="Times New Roman"/>
          <w:sz w:val="18"/>
          <w:szCs w:val="18"/>
          <w:lang w:val="en-GB"/>
        </w:rPr>
        <w:t>e “Dubai Journalism Awards”</w:t>
      </w:r>
    </w:p>
  </w:footnote>
  <w:footnote w:id="195">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The Awn network undertook a total of </w:t>
      </w:r>
      <w:r w:rsidRPr="004A29F9">
        <w:rPr>
          <w:rFonts w:ascii="Times New Roman" w:hAnsi="Times New Roman" w:cs="Times New Roman"/>
          <w:sz w:val="18"/>
          <w:szCs w:val="18"/>
          <w:lang w:val="en-GB"/>
        </w:rPr>
        <w:t xml:space="preserve">12 media </w:t>
      </w:r>
      <w:r>
        <w:rPr>
          <w:rFonts w:ascii="Times New Roman" w:hAnsi="Times New Roman" w:cs="Times New Roman"/>
          <w:sz w:val="18"/>
          <w:szCs w:val="18"/>
          <w:lang w:val="en-GB"/>
        </w:rPr>
        <w:t xml:space="preserve">campaigns with UNDP support. </w:t>
      </w:r>
      <w:r w:rsidRPr="004A29F9">
        <w:rPr>
          <w:rFonts w:ascii="Times New Roman" w:hAnsi="Times New Roman" w:cs="Times New Roman"/>
          <w:sz w:val="18"/>
          <w:szCs w:val="18"/>
          <w:lang w:val="en-GB"/>
        </w:rPr>
        <w:t>A table listing all media cam</w:t>
      </w:r>
      <w:r>
        <w:rPr>
          <w:rFonts w:ascii="Times New Roman" w:hAnsi="Times New Roman" w:cs="Times New Roman"/>
          <w:sz w:val="18"/>
          <w:szCs w:val="18"/>
          <w:lang w:val="en-GB"/>
        </w:rPr>
        <w:t>paigns is annexed to this report</w:t>
      </w:r>
    </w:p>
  </w:footnote>
  <w:footnote w:id="196">
    <w:p w:rsidR="00DD5DAA" w:rsidRPr="004A29F9" w:rsidRDefault="00DD5DAA" w:rsidP="00BD69DC">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Topics included: l</w:t>
      </w:r>
      <w:r w:rsidRPr="004A29F9">
        <w:rPr>
          <w:rFonts w:ascii="Times New Roman" w:hAnsi="Times New Roman" w:cs="Times New Roman"/>
          <w:sz w:val="18"/>
          <w:szCs w:val="18"/>
          <w:lang w:val="en-GB"/>
        </w:rPr>
        <w:t>egal systems and process; national laws; international human rights</w:t>
      </w:r>
      <w:r>
        <w:rPr>
          <w:rFonts w:ascii="Times New Roman" w:hAnsi="Times New Roman" w:cs="Times New Roman"/>
          <w:sz w:val="18"/>
          <w:szCs w:val="18"/>
          <w:lang w:val="en-GB"/>
        </w:rPr>
        <w:t xml:space="preserve"> law</w:t>
      </w:r>
      <w:r w:rsidRPr="004A29F9">
        <w:rPr>
          <w:rFonts w:ascii="Times New Roman" w:hAnsi="Times New Roman" w:cs="Times New Roman"/>
          <w:sz w:val="18"/>
          <w:szCs w:val="18"/>
          <w:lang w:val="en-GB"/>
        </w:rPr>
        <w:t xml:space="preserve">; judiciary system in </w:t>
      </w:r>
      <w:r>
        <w:rPr>
          <w:rFonts w:ascii="Times New Roman" w:hAnsi="Times New Roman" w:cs="Times New Roman"/>
          <w:sz w:val="18"/>
          <w:szCs w:val="18"/>
          <w:lang w:val="en-GB"/>
        </w:rPr>
        <w:t xml:space="preserve">the </w:t>
      </w:r>
      <w:r w:rsidRPr="004A29F9">
        <w:rPr>
          <w:rFonts w:ascii="Times New Roman" w:hAnsi="Times New Roman" w:cs="Times New Roman"/>
          <w:sz w:val="18"/>
          <w:szCs w:val="18"/>
          <w:lang w:val="en-GB"/>
        </w:rPr>
        <w:t>oPt; advocacy and medi</w:t>
      </w:r>
      <w:r>
        <w:rPr>
          <w:rFonts w:ascii="Times New Roman" w:hAnsi="Times New Roman" w:cs="Times New Roman"/>
          <w:sz w:val="18"/>
          <w:szCs w:val="18"/>
          <w:lang w:val="en-GB"/>
        </w:rPr>
        <w:t>a; and conflict transformation</w:t>
      </w:r>
    </w:p>
  </w:footnote>
  <w:footnote w:id="197">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The Independent </w:t>
      </w:r>
      <w:r w:rsidRPr="004A29F9">
        <w:rPr>
          <w:rFonts w:ascii="Times New Roman" w:hAnsi="Times New Roman" w:cs="Times New Roman"/>
          <w:sz w:val="18"/>
          <w:szCs w:val="18"/>
          <w:lang w:val="en-GB"/>
        </w:rPr>
        <w:t xml:space="preserve">Commission </w:t>
      </w:r>
      <w:r>
        <w:rPr>
          <w:rFonts w:ascii="Times New Roman" w:hAnsi="Times New Roman" w:cs="Times New Roman"/>
          <w:sz w:val="18"/>
          <w:szCs w:val="18"/>
          <w:lang w:val="en-GB"/>
        </w:rPr>
        <w:t>for Human Rights was established by p</w:t>
      </w:r>
      <w:r w:rsidRPr="004A29F9">
        <w:rPr>
          <w:rFonts w:ascii="Times New Roman" w:hAnsi="Times New Roman" w:cs="Times New Roman"/>
          <w:sz w:val="18"/>
          <w:szCs w:val="18"/>
          <w:lang w:val="en-GB"/>
        </w:rPr>
        <w:t xml:space="preserve">residential decree and </w:t>
      </w:r>
      <w:r>
        <w:rPr>
          <w:rFonts w:ascii="Times New Roman" w:hAnsi="Times New Roman" w:cs="Times New Roman"/>
          <w:sz w:val="18"/>
          <w:szCs w:val="18"/>
          <w:lang w:val="en-GB"/>
        </w:rPr>
        <w:t xml:space="preserve">is mentioned in the Basic Law (2003). </w:t>
      </w:r>
      <w:r w:rsidRPr="004A29F9">
        <w:rPr>
          <w:rFonts w:ascii="Times New Roman" w:hAnsi="Times New Roman" w:cs="Times New Roman"/>
          <w:sz w:val="18"/>
          <w:szCs w:val="18"/>
          <w:lang w:val="en-GB"/>
        </w:rPr>
        <w:t>Due to the political</w:t>
      </w:r>
      <w:r>
        <w:rPr>
          <w:rFonts w:ascii="Times New Roman" w:hAnsi="Times New Roman" w:cs="Times New Roman"/>
          <w:sz w:val="18"/>
          <w:szCs w:val="18"/>
          <w:lang w:val="en-GB"/>
        </w:rPr>
        <w:t xml:space="preserve"> situation the law that recognises the work of ICHR</w:t>
      </w:r>
      <w:r w:rsidRPr="004A29F9">
        <w:rPr>
          <w:rFonts w:ascii="Times New Roman" w:hAnsi="Times New Roman" w:cs="Times New Roman"/>
          <w:sz w:val="18"/>
          <w:szCs w:val="18"/>
          <w:lang w:val="en-GB"/>
        </w:rPr>
        <w:t xml:space="preserve"> was postp</w:t>
      </w:r>
      <w:r>
        <w:rPr>
          <w:rFonts w:ascii="Times New Roman" w:hAnsi="Times New Roman" w:cs="Times New Roman"/>
          <w:sz w:val="18"/>
          <w:szCs w:val="18"/>
          <w:lang w:val="en-GB"/>
        </w:rPr>
        <w:t xml:space="preserve">oned. </w:t>
      </w:r>
      <w:r w:rsidRPr="004A29F9">
        <w:rPr>
          <w:rFonts w:ascii="Times New Roman" w:hAnsi="Times New Roman" w:cs="Times New Roman"/>
          <w:sz w:val="18"/>
          <w:szCs w:val="18"/>
          <w:lang w:val="en-GB"/>
        </w:rPr>
        <w:t xml:space="preserve">It </w:t>
      </w:r>
      <w:r>
        <w:rPr>
          <w:rFonts w:ascii="Times New Roman" w:hAnsi="Times New Roman" w:cs="Times New Roman"/>
          <w:sz w:val="18"/>
          <w:szCs w:val="18"/>
          <w:lang w:val="en-GB"/>
        </w:rPr>
        <w:t>is still in draft form, but ICHR currently works pursuant to a p</w:t>
      </w:r>
      <w:r w:rsidRPr="004A29F9">
        <w:rPr>
          <w:rFonts w:ascii="Times New Roman" w:hAnsi="Times New Roman" w:cs="Times New Roman"/>
          <w:sz w:val="18"/>
          <w:szCs w:val="18"/>
          <w:lang w:val="en-GB"/>
        </w:rPr>
        <w:t>residential decree in both the West Bank and Gaza and receives complaints from citizens about the institutions affiliated with the PLO</w:t>
      </w:r>
      <w:r>
        <w:rPr>
          <w:rFonts w:ascii="Times New Roman" w:hAnsi="Times New Roman" w:cs="Times New Roman"/>
          <w:sz w:val="18"/>
          <w:szCs w:val="18"/>
          <w:lang w:val="en-GB"/>
        </w:rPr>
        <w:t>, trials, and legislation. ICHR</w:t>
      </w:r>
      <w:r w:rsidRPr="004A29F9">
        <w:rPr>
          <w:rFonts w:ascii="Times New Roman" w:hAnsi="Times New Roman" w:cs="Times New Roman"/>
          <w:sz w:val="18"/>
          <w:szCs w:val="18"/>
          <w:lang w:val="en-GB"/>
        </w:rPr>
        <w:t xml:space="preserve"> receives money from a consortium of donors includ</w:t>
      </w:r>
      <w:r>
        <w:rPr>
          <w:rFonts w:ascii="Times New Roman" w:hAnsi="Times New Roman" w:cs="Times New Roman"/>
          <w:sz w:val="18"/>
          <w:szCs w:val="18"/>
          <w:lang w:val="en-GB"/>
        </w:rPr>
        <w:t xml:space="preserve">ing Norway and the Netherlands </w:t>
      </w:r>
      <w:r w:rsidRPr="004A29F9">
        <w:rPr>
          <w:rFonts w:ascii="Times New Roman" w:hAnsi="Times New Roman" w:cs="Times New Roman"/>
          <w:sz w:val="18"/>
          <w:szCs w:val="18"/>
          <w:lang w:val="en-GB"/>
        </w:rPr>
        <w:t>but receives no funding from the P</w:t>
      </w:r>
      <w:r>
        <w:rPr>
          <w:rFonts w:ascii="Times New Roman" w:hAnsi="Times New Roman" w:cs="Times New Roman"/>
          <w:sz w:val="18"/>
          <w:szCs w:val="18"/>
          <w:lang w:val="en-GB"/>
        </w:rPr>
        <w:t>NA. ICHR</w:t>
      </w:r>
      <w:r w:rsidRPr="004A29F9">
        <w:rPr>
          <w:rFonts w:ascii="Times New Roman" w:hAnsi="Times New Roman" w:cs="Times New Roman"/>
          <w:sz w:val="18"/>
          <w:szCs w:val="18"/>
          <w:lang w:val="en-GB"/>
        </w:rPr>
        <w:t xml:space="preserve"> has faced </w:t>
      </w:r>
      <w:r>
        <w:rPr>
          <w:rFonts w:ascii="Times New Roman" w:hAnsi="Times New Roman" w:cs="Times New Roman"/>
          <w:sz w:val="18"/>
          <w:szCs w:val="18"/>
          <w:lang w:val="en-GB"/>
        </w:rPr>
        <w:t>allot of difficulties in Gaza: Hamas views the commission as an NGO and fails to recognis</w:t>
      </w:r>
      <w:r w:rsidRPr="004A29F9">
        <w:rPr>
          <w:rFonts w:ascii="Times New Roman" w:hAnsi="Times New Roman" w:cs="Times New Roman"/>
          <w:sz w:val="18"/>
          <w:szCs w:val="18"/>
          <w:lang w:val="en-GB"/>
        </w:rPr>
        <w:t>e its off</w:t>
      </w:r>
      <w:r>
        <w:rPr>
          <w:rFonts w:ascii="Times New Roman" w:hAnsi="Times New Roman" w:cs="Times New Roman"/>
          <w:sz w:val="18"/>
          <w:szCs w:val="18"/>
          <w:lang w:val="en-GB"/>
        </w:rPr>
        <w:t>icial status. Hamas accuses</w:t>
      </w:r>
      <w:r w:rsidR="000063A3">
        <w:rPr>
          <w:rFonts w:ascii="Times New Roman" w:hAnsi="Times New Roman" w:cs="Times New Roman"/>
          <w:sz w:val="18"/>
          <w:szCs w:val="18"/>
          <w:lang w:val="en-GB"/>
        </w:rPr>
        <w:t xml:space="preserve"> </w:t>
      </w:r>
      <w:r>
        <w:rPr>
          <w:rFonts w:ascii="Times New Roman" w:hAnsi="Times New Roman" w:cs="Times New Roman"/>
          <w:sz w:val="18"/>
          <w:szCs w:val="18"/>
          <w:lang w:val="en-GB"/>
        </w:rPr>
        <w:t>ICHR</w:t>
      </w:r>
      <w:r w:rsidR="000063A3">
        <w:rPr>
          <w:rFonts w:ascii="Times New Roman" w:hAnsi="Times New Roman" w:cs="Times New Roman"/>
          <w:sz w:val="18"/>
          <w:szCs w:val="18"/>
          <w:lang w:val="en-GB"/>
        </w:rPr>
        <w:t xml:space="preserve"> </w:t>
      </w:r>
      <w:r>
        <w:rPr>
          <w:rFonts w:ascii="Times New Roman" w:hAnsi="Times New Roman" w:cs="Times New Roman"/>
          <w:sz w:val="18"/>
          <w:szCs w:val="18"/>
          <w:lang w:val="en-GB"/>
        </w:rPr>
        <w:t>as being an agent of Fatah. In turn, the commission has informed Ham</w:t>
      </w:r>
      <w:r w:rsidRPr="004A29F9">
        <w:rPr>
          <w:rFonts w:ascii="Times New Roman" w:hAnsi="Times New Roman" w:cs="Times New Roman"/>
          <w:sz w:val="18"/>
          <w:szCs w:val="18"/>
          <w:lang w:val="en-GB"/>
        </w:rPr>
        <w:t>as that any alternative body created by Hamas would be</w:t>
      </w:r>
      <w:r>
        <w:rPr>
          <w:rFonts w:ascii="Times New Roman" w:hAnsi="Times New Roman" w:cs="Times New Roman"/>
          <w:sz w:val="18"/>
          <w:szCs w:val="18"/>
          <w:lang w:val="en-GB"/>
        </w:rPr>
        <w:t xml:space="preserve"> ignored by ICHR. </w:t>
      </w:r>
      <w:r w:rsidRPr="004A29F9">
        <w:rPr>
          <w:rFonts w:ascii="Times New Roman" w:hAnsi="Times New Roman" w:cs="Times New Roman"/>
          <w:sz w:val="18"/>
          <w:szCs w:val="18"/>
          <w:lang w:val="en-GB"/>
        </w:rPr>
        <w:t>This strategy appears to have convinced Hamas, w</w:t>
      </w:r>
      <w:r>
        <w:rPr>
          <w:rFonts w:ascii="Times New Roman" w:hAnsi="Times New Roman" w:cs="Times New Roman"/>
          <w:sz w:val="18"/>
          <w:szCs w:val="18"/>
          <w:lang w:val="en-GB"/>
        </w:rPr>
        <w:t xml:space="preserve">hich has kept relatively silent and has not </w:t>
      </w:r>
      <w:r w:rsidRPr="004A29F9">
        <w:rPr>
          <w:rFonts w:ascii="Times New Roman" w:hAnsi="Times New Roman" w:cs="Times New Roman"/>
          <w:sz w:val="18"/>
          <w:szCs w:val="18"/>
          <w:lang w:val="en-GB"/>
        </w:rPr>
        <w:t>created an alternative body. In an encouraging</w:t>
      </w:r>
      <w:r>
        <w:rPr>
          <w:rFonts w:ascii="Times New Roman" w:hAnsi="Times New Roman" w:cs="Times New Roman"/>
          <w:sz w:val="18"/>
          <w:szCs w:val="18"/>
          <w:lang w:val="en-GB"/>
        </w:rPr>
        <w:t xml:space="preserve"> sign, the commissioner </w:t>
      </w:r>
      <w:r w:rsidRPr="004A29F9">
        <w:rPr>
          <w:rFonts w:ascii="Times New Roman" w:hAnsi="Times New Roman" w:cs="Times New Roman"/>
          <w:sz w:val="18"/>
          <w:szCs w:val="18"/>
          <w:lang w:val="en-GB"/>
        </w:rPr>
        <w:t xml:space="preserve">of the IHRC visited </w:t>
      </w:r>
      <w:r>
        <w:rPr>
          <w:rFonts w:ascii="Times New Roman" w:hAnsi="Times New Roman" w:cs="Times New Roman"/>
          <w:sz w:val="18"/>
          <w:szCs w:val="18"/>
          <w:lang w:val="en-GB"/>
        </w:rPr>
        <w:t xml:space="preserve">Gaza in April </w:t>
      </w:r>
      <w:r w:rsidRPr="004A29F9">
        <w:rPr>
          <w:rFonts w:ascii="Times New Roman" w:hAnsi="Times New Roman" w:cs="Times New Roman"/>
          <w:sz w:val="18"/>
          <w:szCs w:val="18"/>
          <w:lang w:val="en-GB"/>
        </w:rPr>
        <w:t>2012 and succeeded</w:t>
      </w:r>
      <w:r>
        <w:rPr>
          <w:rFonts w:ascii="Times New Roman" w:hAnsi="Times New Roman" w:cs="Times New Roman"/>
          <w:sz w:val="18"/>
          <w:szCs w:val="18"/>
          <w:lang w:val="en-GB"/>
        </w:rPr>
        <w:t xml:space="preserve"> in getting permission from Hamas to visit prisons</w:t>
      </w:r>
    </w:p>
  </w:footnote>
  <w:footnote w:id="198">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UNDP/EUPOL COPPS Joint </w:t>
      </w:r>
      <w:r w:rsidRPr="004A29F9">
        <w:rPr>
          <w:rFonts w:ascii="Times New Roman" w:hAnsi="Times New Roman" w:cs="Times New Roman"/>
          <w:sz w:val="18"/>
          <w:szCs w:val="18"/>
          <w:lang w:val="en-GB"/>
        </w:rPr>
        <w:t>Programme Documen</w:t>
      </w:r>
      <w:r>
        <w:rPr>
          <w:rFonts w:ascii="Times New Roman" w:hAnsi="Times New Roman" w:cs="Times New Roman"/>
          <w:sz w:val="18"/>
          <w:szCs w:val="18"/>
          <w:lang w:val="en-GB"/>
        </w:rPr>
        <w:t>t at 9; 2012 Annual Report at 8</w:t>
      </w:r>
    </w:p>
  </w:footnote>
  <w:footnote w:id="199">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See generally M&amp;E plan</w:t>
      </w:r>
    </w:p>
  </w:footnote>
  <w:footnote w:id="200">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Consolidated Do</w:t>
      </w:r>
      <w:r>
        <w:rPr>
          <w:rFonts w:ascii="Times New Roman" w:hAnsi="Times New Roman" w:cs="Times New Roman"/>
          <w:sz w:val="18"/>
          <w:szCs w:val="18"/>
          <w:lang w:val="en-GB"/>
        </w:rPr>
        <w:t>nor Comments (5 May 2012) at 9; s</w:t>
      </w:r>
      <w:r w:rsidRPr="004A29F9">
        <w:rPr>
          <w:rFonts w:ascii="Times New Roman" w:hAnsi="Times New Roman" w:cs="Times New Roman"/>
          <w:sz w:val="18"/>
          <w:szCs w:val="18"/>
          <w:lang w:val="en-GB"/>
        </w:rPr>
        <w:t>ee generally P</w:t>
      </w:r>
      <w:r>
        <w:rPr>
          <w:rFonts w:ascii="Times New Roman" w:hAnsi="Times New Roman" w:cs="Times New Roman"/>
          <w:sz w:val="18"/>
          <w:szCs w:val="18"/>
          <w:lang w:val="en-GB"/>
        </w:rPr>
        <w:t>ublic Perceptions Survey</w:t>
      </w:r>
    </w:p>
  </w:footnote>
  <w:footnote w:id="201">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2011 Strategic Review at 16</w:t>
      </w:r>
    </w:p>
  </w:footnote>
  <w:footnote w:id="202">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P</w:t>
      </w:r>
      <w:r>
        <w:rPr>
          <w:rFonts w:ascii="Times New Roman" w:hAnsi="Times New Roman" w:cs="Times New Roman"/>
          <w:sz w:val="18"/>
          <w:szCs w:val="18"/>
          <w:lang w:val="en-GB"/>
        </w:rPr>
        <w:t>ublic Perceptions Survey at 4-5</w:t>
      </w:r>
    </w:p>
  </w:footnote>
  <w:footnote w:id="203">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2011 Strategic Review at 16</w:t>
      </w:r>
    </w:p>
  </w:footnote>
  <w:footnote w:id="204">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2013 Annual Work Plan at 12</w:t>
      </w:r>
    </w:p>
  </w:footnote>
  <w:footnote w:id="205">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Id.</w:t>
      </w:r>
    </w:p>
  </w:footnote>
  <w:footnote w:id="206">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Joint Capacity Assessment at 43</w:t>
      </w:r>
    </w:p>
  </w:footnote>
  <w:footnote w:id="207">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2012 Annual Report at 8</w:t>
      </w:r>
    </w:p>
  </w:footnote>
  <w:footnote w:id="208">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Programme Document </w:t>
      </w:r>
      <w:r>
        <w:rPr>
          <w:rFonts w:ascii="Times New Roman" w:hAnsi="Times New Roman" w:cs="Times New Roman"/>
          <w:sz w:val="18"/>
          <w:szCs w:val="18"/>
          <w:lang w:val="en-GB"/>
        </w:rPr>
        <w:t xml:space="preserve">UNDP/EUPOL COPPS Joint Programme at 7. </w:t>
      </w:r>
      <w:r w:rsidRPr="004A29F9">
        <w:rPr>
          <w:rFonts w:ascii="Times New Roman" w:hAnsi="Times New Roman" w:cs="Times New Roman"/>
          <w:sz w:val="18"/>
          <w:szCs w:val="18"/>
          <w:lang w:val="en-GB"/>
        </w:rPr>
        <w:t>Among the BGHR’s key functions:  receive, process and investigate complaints and grievances, both from individual citizens and from national and international human rights organisations; provide recommendations to the Chief of Police concerning these complaints and ensure prop</w:t>
      </w:r>
      <w:r>
        <w:rPr>
          <w:rFonts w:ascii="Times New Roman" w:hAnsi="Times New Roman" w:cs="Times New Roman"/>
          <w:sz w:val="18"/>
          <w:szCs w:val="18"/>
          <w:lang w:val="en-GB"/>
        </w:rPr>
        <w:t>er follow-up; prepare and analys</w:t>
      </w:r>
      <w:r w:rsidRPr="004A29F9">
        <w:rPr>
          <w:rFonts w:ascii="Times New Roman" w:hAnsi="Times New Roman" w:cs="Times New Roman"/>
          <w:sz w:val="18"/>
          <w:szCs w:val="18"/>
          <w:lang w:val="en-GB"/>
        </w:rPr>
        <w:t xml:space="preserve">e statistical data and provide policy advice; ensure compliance with national and international human rights standards, e.g. by visiting detention cells and </w:t>
      </w:r>
      <w:r>
        <w:rPr>
          <w:rFonts w:ascii="Times New Roman" w:hAnsi="Times New Roman" w:cs="Times New Roman"/>
          <w:sz w:val="18"/>
          <w:szCs w:val="18"/>
          <w:lang w:val="en-GB"/>
        </w:rPr>
        <w:t>correctional facilities; organis</w:t>
      </w:r>
      <w:r w:rsidRPr="004A29F9">
        <w:rPr>
          <w:rFonts w:ascii="Times New Roman" w:hAnsi="Times New Roman" w:cs="Times New Roman"/>
          <w:sz w:val="18"/>
          <w:szCs w:val="18"/>
          <w:lang w:val="en-GB"/>
        </w:rPr>
        <w:t>e human rights trainings for PCP personnel; and, raise public awareness of the BGH</w:t>
      </w:r>
      <w:r>
        <w:rPr>
          <w:rFonts w:ascii="Times New Roman" w:hAnsi="Times New Roman" w:cs="Times New Roman"/>
          <w:sz w:val="18"/>
          <w:szCs w:val="18"/>
          <w:lang w:val="en-GB"/>
        </w:rPr>
        <w:t>R and liaise with the media</w:t>
      </w:r>
    </w:p>
  </w:footnote>
  <w:footnote w:id="209">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Maarten Barends and Sara Bailey, “UNDP Rule of Law &amp; Access to Justice Programme in the West Bank and Gaza”, </w:t>
      </w:r>
      <w:r w:rsidRPr="004A29F9">
        <w:rPr>
          <w:rFonts w:ascii="Times New Roman" w:hAnsi="Times New Roman" w:cs="Times New Roman"/>
          <w:i/>
          <w:sz w:val="18"/>
          <w:szCs w:val="18"/>
          <w:lang w:val="en-GB"/>
        </w:rPr>
        <w:t>CPR Practice News</w:t>
      </w:r>
      <w:r>
        <w:rPr>
          <w:rFonts w:ascii="Times New Roman" w:hAnsi="Times New Roman" w:cs="Times New Roman"/>
          <w:sz w:val="18"/>
          <w:szCs w:val="18"/>
          <w:lang w:val="en-GB"/>
        </w:rPr>
        <w:t xml:space="preserve"> (October 2010)</w:t>
      </w:r>
    </w:p>
  </w:footnote>
  <w:footnote w:id="210">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 xml:space="preserve"> Id.</w:t>
      </w:r>
    </w:p>
  </w:footnote>
  <w:footnote w:id="211">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2011 Strategic Review at 9, 19</w:t>
      </w:r>
    </w:p>
  </w:footnote>
  <w:footnote w:id="212">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2012 Annual Report at 5</w:t>
      </w:r>
    </w:p>
  </w:footnote>
  <w:footnote w:id="213">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2013</w:t>
      </w:r>
      <w:r>
        <w:rPr>
          <w:rFonts w:ascii="Times New Roman" w:hAnsi="Times New Roman" w:cs="Times New Roman"/>
          <w:sz w:val="18"/>
          <w:szCs w:val="18"/>
          <w:lang w:val="en-GB"/>
        </w:rPr>
        <w:t xml:space="preserve"> Annual Work Plan at 5</w:t>
      </w:r>
    </w:p>
  </w:footnote>
  <w:footnote w:id="214">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sidRPr="004A29F9">
        <w:rPr>
          <w:rFonts w:ascii="Times New Roman" w:hAnsi="Times New Roman" w:cs="Times New Roman"/>
          <w:sz w:val="18"/>
          <w:szCs w:val="18"/>
          <w:lang w:val="en-GB"/>
        </w:rPr>
        <w:t>2011 Strategic Review at</w:t>
      </w:r>
      <w:r>
        <w:rPr>
          <w:rFonts w:ascii="Times New Roman" w:hAnsi="Times New Roman" w:cs="Times New Roman"/>
          <w:sz w:val="18"/>
          <w:szCs w:val="18"/>
          <w:lang w:val="en-GB"/>
        </w:rPr>
        <w:t xml:space="preserve"> 10; 2013 Annual Work Plan at 7</w:t>
      </w:r>
    </w:p>
  </w:footnote>
  <w:footnote w:id="215">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2012 Annual Report  at 6</w:t>
      </w:r>
    </w:p>
  </w:footnote>
  <w:footnote w:id="216">
    <w:p w:rsidR="00DD5DAA" w:rsidRPr="004A29F9" w:rsidRDefault="00DD5DAA" w:rsidP="004C6458">
      <w:pPr>
        <w:pStyle w:val="FootnoteText"/>
        <w:spacing w:after="0"/>
        <w:jc w:val="both"/>
        <w:rPr>
          <w:rFonts w:ascii="Times New Roman" w:hAnsi="Times New Roman" w:cs="Times New Roman"/>
          <w:sz w:val="18"/>
          <w:szCs w:val="18"/>
          <w:lang w:val="en-GB"/>
        </w:rPr>
      </w:pPr>
      <w:r w:rsidRPr="004A29F9">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2013 Annual Work Plan at 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DAA" w:rsidRDefault="00DD5DAA">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DAA" w:rsidRDefault="00DD5DAA">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DAA" w:rsidRDefault="00DD5DAA">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DAA" w:rsidRDefault="00DD5D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DAA" w:rsidRDefault="00DD5D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DAA" w:rsidRDefault="00DD5DA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DAA" w:rsidRDefault="00DD5DAA">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DAA" w:rsidRDefault="00DD5DA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DAA" w:rsidRDefault="00DD5DAA">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DAA" w:rsidRDefault="00DD5DAA">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DAA" w:rsidRDefault="00DD5DAA">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DAA" w:rsidRDefault="00DD5D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174"/>
    <w:multiLevelType w:val="multilevel"/>
    <w:tmpl w:val="BA8E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660773"/>
    <w:multiLevelType w:val="multilevel"/>
    <w:tmpl w:val="D426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B018AB"/>
    <w:multiLevelType w:val="multilevel"/>
    <w:tmpl w:val="F77E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C2766E"/>
    <w:multiLevelType w:val="multilevel"/>
    <w:tmpl w:val="3E5A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F77D26"/>
    <w:multiLevelType w:val="multilevel"/>
    <w:tmpl w:val="FB24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99316D"/>
    <w:multiLevelType w:val="multilevel"/>
    <w:tmpl w:val="9EE8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EA4359"/>
    <w:multiLevelType w:val="hybridMultilevel"/>
    <w:tmpl w:val="8F68EE6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Aria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Arial"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Arial"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05583489"/>
    <w:multiLevelType w:val="multilevel"/>
    <w:tmpl w:val="51DC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5CD4C73"/>
    <w:multiLevelType w:val="multilevel"/>
    <w:tmpl w:val="140A1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6372904"/>
    <w:multiLevelType w:val="multilevel"/>
    <w:tmpl w:val="72E2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738178D"/>
    <w:multiLevelType w:val="multilevel"/>
    <w:tmpl w:val="58EC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7B6725F"/>
    <w:multiLevelType w:val="multilevel"/>
    <w:tmpl w:val="D7CE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88E5145"/>
    <w:multiLevelType w:val="hybridMultilevel"/>
    <w:tmpl w:val="6F128836"/>
    <w:lvl w:ilvl="0" w:tplc="F7A2ACF0">
      <w:start w:val="1"/>
      <w:numFmt w:val="bullet"/>
      <w:pStyle w:val="ListParagraph"/>
      <w:lvlText w:val="-"/>
      <w:lvlJc w:val="left"/>
      <w:pPr>
        <w:ind w:left="1080" w:hanging="72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6A5CB7"/>
    <w:multiLevelType w:val="multilevel"/>
    <w:tmpl w:val="2C26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CC6C79"/>
    <w:multiLevelType w:val="multilevel"/>
    <w:tmpl w:val="6AB4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C177E95"/>
    <w:multiLevelType w:val="multilevel"/>
    <w:tmpl w:val="B8FA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C344C96"/>
    <w:multiLevelType w:val="multilevel"/>
    <w:tmpl w:val="CAD8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C35754E"/>
    <w:multiLevelType w:val="hybridMultilevel"/>
    <w:tmpl w:val="29949FE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Aria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Arial"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Arial" w:hint="default"/>
      </w:rPr>
    </w:lvl>
    <w:lvl w:ilvl="8" w:tplc="04090005" w:tentative="1">
      <w:start w:val="1"/>
      <w:numFmt w:val="bullet"/>
      <w:lvlText w:val=""/>
      <w:lvlJc w:val="left"/>
      <w:pPr>
        <w:ind w:left="6210" w:hanging="360"/>
      </w:pPr>
      <w:rPr>
        <w:rFonts w:ascii="Wingdings" w:hAnsi="Wingdings" w:hint="default"/>
      </w:rPr>
    </w:lvl>
  </w:abstractNum>
  <w:abstractNum w:abstractNumId="18">
    <w:nsid w:val="0DE12E89"/>
    <w:multiLevelType w:val="multilevel"/>
    <w:tmpl w:val="EB6C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EBA328B"/>
    <w:multiLevelType w:val="multilevel"/>
    <w:tmpl w:val="86F2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F752F31"/>
    <w:multiLevelType w:val="multilevel"/>
    <w:tmpl w:val="6AA6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F8479F6"/>
    <w:multiLevelType w:val="multilevel"/>
    <w:tmpl w:val="24C02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25D2081"/>
    <w:multiLevelType w:val="multilevel"/>
    <w:tmpl w:val="5050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2D95568"/>
    <w:multiLevelType w:val="multilevel"/>
    <w:tmpl w:val="85F0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30A26E6"/>
    <w:multiLevelType w:val="hybridMultilevel"/>
    <w:tmpl w:val="E8EE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3E0235D"/>
    <w:multiLevelType w:val="hybridMultilevel"/>
    <w:tmpl w:val="B7E09E52"/>
    <w:lvl w:ilvl="0" w:tplc="344EFE0E">
      <w:start w:val="1"/>
      <w:numFmt w:val="bullet"/>
      <w:pStyle w:val="bulletandquo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4AC2FAA"/>
    <w:multiLevelType w:val="multilevel"/>
    <w:tmpl w:val="AF24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51B639F"/>
    <w:multiLevelType w:val="multilevel"/>
    <w:tmpl w:val="2874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5494CE3"/>
    <w:multiLevelType w:val="multilevel"/>
    <w:tmpl w:val="AA9C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5504E4F"/>
    <w:multiLevelType w:val="multilevel"/>
    <w:tmpl w:val="D698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5D25273"/>
    <w:multiLevelType w:val="multilevel"/>
    <w:tmpl w:val="8D5A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5D7056D"/>
    <w:multiLevelType w:val="hybridMultilevel"/>
    <w:tmpl w:val="CD00309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Aria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Arial"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Arial" w:hint="default"/>
      </w:rPr>
    </w:lvl>
    <w:lvl w:ilvl="8" w:tplc="04090005" w:tentative="1">
      <w:start w:val="1"/>
      <w:numFmt w:val="bullet"/>
      <w:lvlText w:val=""/>
      <w:lvlJc w:val="left"/>
      <w:pPr>
        <w:ind w:left="6210" w:hanging="360"/>
      </w:pPr>
      <w:rPr>
        <w:rFonts w:ascii="Wingdings" w:hAnsi="Wingdings" w:hint="default"/>
      </w:rPr>
    </w:lvl>
  </w:abstractNum>
  <w:abstractNum w:abstractNumId="32">
    <w:nsid w:val="16F44E9E"/>
    <w:multiLevelType w:val="multilevel"/>
    <w:tmpl w:val="7E02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8792239"/>
    <w:multiLevelType w:val="multilevel"/>
    <w:tmpl w:val="6D5CE234"/>
    <w:lvl w:ilvl="0">
      <w:start w:val="1"/>
      <w:numFmt w:val="bullet"/>
      <w:lvlText w:val=""/>
      <w:lvlJc w:val="left"/>
      <w:pPr>
        <w:tabs>
          <w:tab w:val="num" w:pos="720"/>
        </w:tabs>
        <w:ind w:left="720" w:hanging="360"/>
      </w:pPr>
      <w:rPr>
        <w:rFonts w:ascii="Symbol" w:hAnsi="Symbol"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A2F3A95"/>
    <w:multiLevelType w:val="multilevel"/>
    <w:tmpl w:val="3E40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AC23480"/>
    <w:multiLevelType w:val="multilevel"/>
    <w:tmpl w:val="B8C4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AF85A76"/>
    <w:multiLevelType w:val="multilevel"/>
    <w:tmpl w:val="3C7A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BC62ECD"/>
    <w:multiLevelType w:val="multilevel"/>
    <w:tmpl w:val="5EEC0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BD27DB4"/>
    <w:multiLevelType w:val="multilevel"/>
    <w:tmpl w:val="636C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C29072E"/>
    <w:multiLevelType w:val="multilevel"/>
    <w:tmpl w:val="56FA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C8E3244"/>
    <w:multiLevelType w:val="multilevel"/>
    <w:tmpl w:val="1C70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C981ADB"/>
    <w:multiLevelType w:val="multilevel"/>
    <w:tmpl w:val="0994B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D087D08"/>
    <w:multiLevelType w:val="hybridMultilevel"/>
    <w:tmpl w:val="F17A9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DA57B23"/>
    <w:multiLevelType w:val="multilevel"/>
    <w:tmpl w:val="7FB6C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F553297"/>
    <w:multiLevelType w:val="multilevel"/>
    <w:tmpl w:val="F480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FAC3C8A"/>
    <w:multiLevelType w:val="multilevel"/>
    <w:tmpl w:val="5B7C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02F5BC7"/>
    <w:multiLevelType w:val="multilevel"/>
    <w:tmpl w:val="35C4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10209A6"/>
    <w:multiLevelType w:val="multilevel"/>
    <w:tmpl w:val="9482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16259F9"/>
    <w:multiLevelType w:val="multilevel"/>
    <w:tmpl w:val="EE64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1A85AD2"/>
    <w:multiLevelType w:val="multilevel"/>
    <w:tmpl w:val="08749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2263653"/>
    <w:multiLevelType w:val="multilevel"/>
    <w:tmpl w:val="B8A6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3CE5D59"/>
    <w:multiLevelType w:val="multilevel"/>
    <w:tmpl w:val="BAE6B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3EB1BF3"/>
    <w:multiLevelType w:val="hybridMultilevel"/>
    <w:tmpl w:val="2AD46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250C08CC"/>
    <w:multiLevelType w:val="multilevel"/>
    <w:tmpl w:val="577A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5EC16EB"/>
    <w:multiLevelType w:val="multilevel"/>
    <w:tmpl w:val="C9C2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6B93131"/>
    <w:multiLevelType w:val="multilevel"/>
    <w:tmpl w:val="BD54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7912075"/>
    <w:multiLevelType w:val="multilevel"/>
    <w:tmpl w:val="E1DA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822681A"/>
    <w:multiLevelType w:val="multilevel"/>
    <w:tmpl w:val="D288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8446655"/>
    <w:multiLevelType w:val="multilevel"/>
    <w:tmpl w:val="36B0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8481CF1"/>
    <w:multiLevelType w:val="hybridMultilevel"/>
    <w:tmpl w:val="B766448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Aria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Arial"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Arial" w:hint="default"/>
      </w:rPr>
    </w:lvl>
    <w:lvl w:ilvl="8" w:tplc="04090005" w:tentative="1">
      <w:start w:val="1"/>
      <w:numFmt w:val="bullet"/>
      <w:lvlText w:val=""/>
      <w:lvlJc w:val="left"/>
      <w:pPr>
        <w:ind w:left="6210" w:hanging="360"/>
      </w:pPr>
      <w:rPr>
        <w:rFonts w:ascii="Wingdings" w:hAnsi="Wingdings" w:hint="default"/>
      </w:rPr>
    </w:lvl>
  </w:abstractNum>
  <w:abstractNum w:abstractNumId="60">
    <w:nsid w:val="2ABF1EC2"/>
    <w:multiLevelType w:val="multilevel"/>
    <w:tmpl w:val="77660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D944D67"/>
    <w:multiLevelType w:val="multilevel"/>
    <w:tmpl w:val="5F74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DBC346B"/>
    <w:multiLevelType w:val="multilevel"/>
    <w:tmpl w:val="453E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E7759D0"/>
    <w:multiLevelType w:val="hybridMultilevel"/>
    <w:tmpl w:val="AFCA58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Aria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Arial"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Arial" w:hint="default"/>
      </w:rPr>
    </w:lvl>
    <w:lvl w:ilvl="8" w:tplc="04090005" w:tentative="1">
      <w:start w:val="1"/>
      <w:numFmt w:val="bullet"/>
      <w:lvlText w:val=""/>
      <w:lvlJc w:val="left"/>
      <w:pPr>
        <w:ind w:left="6210" w:hanging="360"/>
      </w:pPr>
      <w:rPr>
        <w:rFonts w:ascii="Wingdings" w:hAnsi="Wingdings" w:hint="default"/>
      </w:rPr>
    </w:lvl>
  </w:abstractNum>
  <w:abstractNum w:abstractNumId="64">
    <w:nsid w:val="3140321C"/>
    <w:multiLevelType w:val="multilevel"/>
    <w:tmpl w:val="2B4C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1ED0D86"/>
    <w:multiLevelType w:val="hybridMultilevel"/>
    <w:tmpl w:val="1290A0B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Aria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Arial"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Arial" w:hint="default"/>
      </w:rPr>
    </w:lvl>
    <w:lvl w:ilvl="8" w:tplc="04090005" w:tentative="1">
      <w:start w:val="1"/>
      <w:numFmt w:val="bullet"/>
      <w:lvlText w:val=""/>
      <w:lvlJc w:val="left"/>
      <w:pPr>
        <w:ind w:left="6210" w:hanging="360"/>
      </w:pPr>
      <w:rPr>
        <w:rFonts w:ascii="Wingdings" w:hAnsi="Wingdings" w:hint="default"/>
      </w:rPr>
    </w:lvl>
  </w:abstractNum>
  <w:abstractNum w:abstractNumId="66">
    <w:nsid w:val="327E57D5"/>
    <w:multiLevelType w:val="multilevel"/>
    <w:tmpl w:val="95BC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4067917"/>
    <w:multiLevelType w:val="multilevel"/>
    <w:tmpl w:val="81A2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4240875"/>
    <w:multiLevelType w:val="multilevel"/>
    <w:tmpl w:val="4AE0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477709B"/>
    <w:multiLevelType w:val="hybridMultilevel"/>
    <w:tmpl w:val="95F4543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Aria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Arial"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Arial" w:hint="default"/>
      </w:rPr>
    </w:lvl>
    <w:lvl w:ilvl="8" w:tplc="04090005" w:tentative="1">
      <w:start w:val="1"/>
      <w:numFmt w:val="bullet"/>
      <w:lvlText w:val=""/>
      <w:lvlJc w:val="left"/>
      <w:pPr>
        <w:ind w:left="6210" w:hanging="360"/>
      </w:pPr>
      <w:rPr>
        <w:rFonts w:ascii="Wingdings" w:hAnsi="Wingdings" w:hint="default"/>
      </w:rPr>
    </w:lvl>
  </w:abstractNum>
  <w:abstractNum w:abstractNumId="70">
    <w:nsid w:val="35443A3D"/>
    <w:multiLevelType w:val="multilevel"/>
    <w:tmpl w:val="1036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6714607"/>
    <w:multiLevelType w:val="multilevel"/>
    <w:tmpl w:val="658E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7F61764"/>
    <w:multiLevelType w:val="multilevel"/>
    <w:tmpl w:val="3D80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82943AE"/>
    <w:multiLevelType w:val="multilevel"/>
    <w:tmpl w:val="33B0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82B1602"/>
    <w:multiLevelType w:val="multilevel"/>
    <w:tmpl w:val="F54C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8985DDA"/>
    <w:multiLevelType w:val="multilevel"/>
    <w:tmpl w:val="58F29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B86470A"/>
    <w:multiLevelType w:val="multilevel"/>
    <w:tmpl w:val="345E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C653863"/>
    <w:multiLevelType w:val="hybridMultilevel"/>
    <w:tmpl w:val="5A24ACD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Aria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Arial"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Arial" w:hint="default"/>
      </w:rPr>
    </w:lvl>
    <w:lvl w:ilvl="8" w:tplc="04090005" w:tentative="1">
      <w:start w:val="1"/>
      <w:numFmt w:val="bullet"/>
      <w:lvlText w:val=""/>
      <w:lvlJc w:val="left"/>
      <w:pPr>
        <w:ind w:left="6210" w:hanging="360"/>
      </w:pPr>
      <w:rPr>
        <w:rFonts w:ascii="Wingdings" w:hAnsi="Wingdings" w:hint="default"/>
      </w:rPr>
    </w:lvl>
  </w:abstractNum>
  <w:abstractNum w:abstractNumId="78">
    <w:nsid w:val="3D0B0E0B"/>
    <w:multiLevelType w:val="hybridMultilevel"/>
    <w:tmpl w:val="EB7218AA"/>
    <w:lvl w:ilvl="0" w:tplc="F9F0EF62">
      <w:numFmt w:val="bullet"/>
      <w:lvlText w:val="•"/>
      <w:lvlJc w:val="left"/>
      <w:pPr>
        <w:ind w:left="1080" w:hanging="72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D2F71E4"/>
    <w:multiLevelType w:val="multilevel"/>
    <w:tmpl w:val="00EC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D4013D2"/>
    <w:multiLevelType w:val="multilevel"/>
    <w:tmpl w:val="1EA2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D4717BB"/>
    <w:multiLevelType w:val="multilevel"/>
    <w:tmpl w:val="3AD8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3FA27048"/>
    <w:multiLevelType w:val="hybridMultilevel"/>
    <w:tmpl w:val="A24CD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12E3717"/>
    <w:multiLevelType w:val="multilevel"/>
    <w:tmpl w:val="5F92D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13C62ED"/>
    <w:multiLevelType w:val="multilevel"/>
    <w:tmpl w:val="E890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13D7F58"/>
    <w:multiLevelType w:val="hybridMultilevel"/>
    <w:tmpl w:val="4EE2949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6">
    <w:nsid w:val="41C7406E"/>
    <w:multiLevelType w:val="multilevel"/>
    <w:tmpl w:val="FF2E1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426B569A"/>
    <w:multiLevelType w:val="multilevel"/>
    <w:tmpl w:val="22AC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5464EE1"/>
    <w:multiLevelType w:val="multilevel"/>
    <w:tmpl w:val="C3B2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6AB46B0"/>
    <w:multiLevelType w:val="hybridMultilevel"/>
    <w:tmpl w:val="E0FC9D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Aria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Arial"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Arial" w:hint="default"/>
      </w:rPr>
    </w:lvl>
    <w:lvl w:ilvl="8" w:tplc="04090005" w:tentative="1">
      <w:start w:val="1"/>
      <w:numFmt w:val="bullet"/>
      <w:lvlText w:val=""/>
      <w:lvlJc w:val="left"/>
      <w:pPr>
        <w:ind w:left="6210" w:hanging="360"/>
      </w:pPr>
      <w:rPr>
        <w:rFonts w:ascii="Wingdings" w:hAnsi="Wingdings" w:hint="default"/>
      </w:rPr>
    </w:lvl>
  </w:abstractNum>
  <w:abstractNum w:abstractNumId="90">
    <w:nsid w:val="46E052E8"/>
    <w:multiLevelType w:val="multilevel"/>
    <w:tmpl w:val="92AA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837352B"/>
    <w:multiLevelType w:val="hybridMultilevel"/>
    <w:tmpl w:val="6EBE0C8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Aria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Arial"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Arial" w:hint="default"/>
      </w:rPr>
    </w:lvl>
    <w:lvl w:ilvl="8" w:tplc="04090005" w:tentative="1">
      <w:start w:val="1"/>
      <w:numFmt w:val="bullet"/>
      <w:lvlText w:val=""/>
      <w:lvlJc w:val="left"/>
      <w:pPr>
        <w:ind w:left="6210" w:hanging="360"/>
      </w:pPr>
      <w:rPr>
        <w:rFonts w:ascii="Wingdings" w:hAnsi="Wingdings" w:hint="default"/>
      </w:rPr>
    </w:lvl>
  </w:abstractNum>
  <w:abstractNum w:abstractNumId="92">
    <w:nsid w:val="487746B5"/>
    <w:multiLevelType w:val="multilevel"/>
    <w:tmpl w:val="8F9E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487D15BB"/>
    <w:multiLevelType w:val="multilevel"/>
    <w:tmpl w:val="DC96D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88C6636"/>
    <w:multiLevelType w:val="hybridMultilevel"/>
    <w:tmpl w:val="081EB8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Aria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Arial"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Arial" w:hint="default"/>
      </w:rPr>
    </w:lvl>
    <w:lvl w:ilvl="8" w:tplc="04090005" w:tentative="1">
      <w:start w:val="1"/>
      <w:numFmt w:val="bullet"/>
      <w:lvlText w:val=""/>
      <w:lvlJc w:val="left"/>
      <w:pPr>
        <w:ind w:left="6210" w:hanging="360"/>
      </w:pPr>
      <w:rPr>
        <w:rFonts w:ascii="Wingdings" w:hAnsi="Wingdings" w:hint="default"/>
      </w:rPr>
    </w:lvl>
  </w:abstractNum>
  <w:abstractNum w:abstractNumId="95">
    <w:nsid w:val="48C60E85"/>
    <w:multiLevelType w:val="multilevel"/>
    <w:tmpl w:val="84F0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4A7E7E30"/>
    <w:multiLevelType w:val="multilevel"/>
    <w:tmpl w:val="96EC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4B537A01"/>
    <w:multiLevelType w:val="multilevel"/>
    <w:tmpl w:val="82E6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4BCF070D"/>
    <w:multiLevelType w:val="multilevel"/>
    <w:tmpl w:val="64B0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4BF40478"/>
    <w:multiLevelType w:val="hybridMultilevel"/>
    <w:tmpl w:val="236E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BF94AAC"/>
    <w:multiLevelType w:val="multilevel"/>
    <w:tmpl w:val="016841E0"/>
    <w:lvl w:ilvl="0">
      <w:start w:val="1"/>
      <w:numFmt w:val="upperRoman"/>
      <w:lvlText w:val="%1."/>
      <w:lvlJc w:val="left"/>
      <w:pPr>
        <w:ind w:left="0" w:firstLine="0"/>
      </w:pPr>
    </w:lvl>
    <w:lvl w:ilvl="1">
      <w:start w:val="1"/>
      <w:numFmt w:val="upperLetter"/>
      <w:pStyle w:val="Heading2"/>
      <w:lvlText w:val="%2."/>
      <w:lvlJc w:val="left"/>
      <w:pPr>
        <w:ind w:left="81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1">
    <w:nsid w:val="4D4D547A"/>
    <w:multiLevelType w:val="hybridMultilevel"/>
    <w:tmpl w:val="6BA627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Aria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Arial"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Arial" w:hint="default"/>
      </w:rPr>
    </w:lvl>
    <w:lvl w:ilvl="8" w:tplc="04090005" w:tentative="1">
      <w:start w:val="1"/>
      <w:numFmt w:val="bullet"/>
      <w:lvlText w:val=""/>
      <w:lvlJc w:val="left"/>
      <w:pPr>
        <w:ind w:left="6210" w:hanging="360"/>
      </w:pPr>
      <w:rPr>
        <w:rFonts w:ascii="Wingdings" w:hAnsi="Wingdings" w:hint="default"/>
      </w:rPr>
    </w:lvl>
  </w:abstractNum>
  <w:abstractNum w:abstractNumId="102">
    <w:nsid w:val="4D713A89"/>
    <w:multiLevelType w:val="multilevel"/>
    <w:tmpl w:val="BB1C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4E7A55DD"/>
    <w:multiLevelType w:val="hybridMultilevel"/>
    <w:tmpl w:val="8948305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Aria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Arial"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Arial" w:hint="default"/>
      </w:rPr>
    </w:lvl>
    <w:lvl w:ilvl="8" w:tplc="04090005" w:tentative="1">
      <w:start w:val="1"/>
      <w:numFmt w:val="bullet"/>
      <w:lvlText w:val=""/>
      <w:lvlJc w:val="left"/>
      <w:pPr>
        <w:ind w:left="6210" w:hanging="360"/>
      </w:pPr>
      <w:rPr>
        <w:rFonts w:ascii="Wingdings" w:hAnsi="Wingdings" w:hint="default"/>
      </w:rPr>
    </w:lvl>
  </w:abstractNum>
  <w:abstractNum w:abstractNumId="104">
    <w:nsid w:val="4F815E1C"/>
    <w:multiLevelType w:val="multilevel"/>
    <w:tmpl w:val="3A0C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0FB64D4"/>
    <w:multiLevelType w:val="multilevel"/>
    <w:tmpl w:val="C78C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515E36A1"/>
    <w:multiLevelType w:val="hybridMultilevel"/>
    <w:tmpl w:val="F500B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5192023B"/>
    <w:multiLevelType w:val="multilevel"/>
    <w:tmpl w:val="61A0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535D4C1C"/>
    <w:multiLevelType w:val="multilevel"/>
    <w:tmpl w:val="0EF4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53F46DDA"/>
    <w:multiLevelType w:val="multilevel"/>
    <w:tmpl w:val="28780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54CF5F31"/>
    <w:multiLevelType w:val="multilevel"/>
    <w:tmpl w:val="4200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557E1124"/>
    <w:multiLevelType w:val="hybridMultilevel"/>
    <w:tmpl w:val="4BF0AC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Aria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Arial"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Arial" w:hint="default"/>
      </w:rPr>
    </w:lvl>
    <w:lvl w:ilvl="8" w:tplc="04090005" w:tentative="1">
      <w:start w:val="1"/>
      <w:numFmt w:val="bullet"/>
      <w:lvlText w:val=""/>
      <w:lvlJc w:val="left"/>
      <w:pPr>
        <w:ind w:left="6210" w:hanging="360"/>
      </w:pPr>
      <w:rPr>
        <w:rFonts w:ascii="Wingdings" w:hAnsi="Wingdings" w:hint="default"/>
      </w:rPr>
    </w:lvl>
  </w:abstractNum>
  <w:abstractNum w:abstractNumId="112">
    <w:nsid w:val="564B3C1C"/>
    <w:multiLevelType w:val="multilevel"/>
    <w:tmpl w:val="590C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56856962"/>
    <w:multiLevelType w:val="multilevel"/>
    <w:tmpl w:val="5CF6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57104569"/>
    <w:multiLevelType w:val="multilevel"/>
    <w:tmpl w:val="0E66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57F04AE7"/>
    <w:multiLevelType w:val="multilevel"/>
    <w:tmpl w:val="6E9A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58864F77"/>
    <w:multiLevelType w:val="multilevel"/>
    <w:tmpl w:val="A404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58BA2962"/>
    <w:multiLevelType w:val="multilevel"/>
    <w:tmpl w:val="9A80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58E5120D"/>
    <w:multiLevelType w:val="multilevel"/>
    <w:tmpl w:val="4064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599D33FE"/>
    <w:multiLevelType w:val="multilevel"/>
    <w:tmpl w:val="C69E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5B2C7110"/>
    <w:multiLevelType w:val="hybridMultilevel"/>
    <w:tmpl w:val="E208FA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Aria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Arial"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Arial" w:hint="default"/>
      </w:rPr>
    </w:lvl>
    <w:lvl w:ilvl="8" w:tplc="04090005" w:tentative="1">
      <w:start w:val="1"/>
      <w:numFmt w:val="bullet"/>
      <w:lvlText w:val=""/>
      <w:lvlJc w:val="left"/>
      <w:pPr>
        <w:ind w:left="6210" w:hanging="360"/>
      </w:pPr>
      <w:rPr>
        <w:rFonts w:ascii="Wingdings" w:hAnsi="Wingdings" w:hint="default"/>
      </w:rPr>
    </w:lvl>
  </w:abstractNum>
  <w:abstractNum w:abstractNumId="121">
    <w:nsid w:val="5B9B14D5"/>
    <w:multiLevelType w:val="hybridMultilevel"/>
    <w:tmpl w:val="DECCE6EE"/>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2">
    <w:nsid w:val="5D135E93"/>
    <w:multiLevelType w:val="hybridMultilevel"/>
    <w:tmpl w:val="2F3A2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D2D5D94"/>
    <w:multiLevelType w:val="multilevel"/>
    <w:tmpl w:val="90767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5D3629F0"/>
    <w:multiLevelType w:val="multilevel"/>
    <w:tmpl w:val="4CB08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5ED259A8"/>
    <w:multiLevelType w:val="hybridMultilevel"/>
    <w:tmpl w:val="B5A03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5ED612CB"/>
    <w:multiLevelType w:val="multilevel"/>
    <w:tmpl w:val="77E6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5FE80980"/>
    <w:multiLevelType w:val="hybridMultilevel"/>
    <w:tmpl w:val="451472B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Aria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Arial"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Arial" w:hint="default"/>
      </w:rPr>
    </w:lvl>
    <w:lvl w:ilvl="8" w:tplc="04090005" w:tentative="1">
      <w:start w:val="1"/>
      <w:numFmt w:val="bullet"/>
      <w:lvlText w:val=""/>
      <w:lvlJc w:val="left"/>
      <w:pPr>
        <w:ind w:left="6210" w:hanging="360"/>
      </w:pPr>
      <w:rPr>
        <w:rFonts w:ascii="Wingdings" w:hAnsi="Wingdings" w:hint="default"/>
      </w:rPr>
    </w:lvl>
  </w:abstractNum>
  <w:abstractNum w:abstractNumId="128">
    <w:nsid w:val="62E40EEB"/>
    <w:multiLevelType w:val="multilevel"/>
    <w:tmpl w:val="0A16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64723842"/>
    <w:multiLevelType w:val="hybridMultilevel"/>
    <w:tmpl w:val="7CA8BCB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Aria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Arial"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Arial" w:hint="default"/>
      </w:rPr>
    </w:lvl>
    <w:lvl w:ilvl="8" w:tplc="04090005" w:tentative="1">
      <w:start w:val="1"/>
      <w:numFmt w:val="bullet"/>
      <w:lvlText w:val=""/>
      <w:lvlJc w:val="left"/>
      <w:pPr>
        <w:ind w:left="6210" w:hanging="360"/>
      </w:pPr>
      <w:rPr>
        <w:rFonts w:ascii="Wingdings" w:hAnsi="Wingdings" w:hint="default"/>
      </w:rPr>
    </w:lvl>
  </w:abstractNum>
  <w:abstractNum w:abstractNumId="130">
    <w:nsid w:val="64D93283"/>
    <w:multiLevelType w:val="hybridMultilevel"/>
    <w:tmpl w:val="09460E3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Aria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Arial"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Arial" w:hint="default"/>
      </w:rPr>
    </w:lvl>
    <w:lvl w:ilvl="8" w:tplc="04090005" w:tentative="1">
      <w:start w:val="1"/>
      <w:numFmt w:val="bullet"/>
      <w:lvlText w:val=""/>
      <w:lvlJc w:val="left"/>
      <w:pPr>
        <w:ind w:left="6210" w:hanging="360"/>
      </w:pPr>
      <w:rPr>
        <w:rFonts w:ascii="Wingdings" w:hAnsi="Wingdings" w:hint="default"/>
      </w:rPr>
    </w:lvl>
  </w:abstractNum>
  <w:abstractNum w:abstractNumId="131">
    <w:nsid w:val="652919AF"/>
    <w:multiLevelType w:val="multilevel"/>
    <w:tmpl w:val="274C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656F23A9"/>
    <w:multiLevelType w:val="multilevel"/>
    <w:tmpl w:val="86BC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65E96850"/>
    <w:multiLevelType w:val="multilevel"/>
    <w:tmpl w:val="0708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66D42F0F"/>
    <w:multiLevelType w:val="multilevel"/>
    <w:tmpl w:val="0612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676B2ED8"/>
    <w:multiLevelType w:val="multilevel"/>
    <w:tmpl w:val="9A3E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67F73985"/>
    <w:multiLevelType w:val="hybridMultilevel"/>
    <w:tmpl w:val="C2E432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nsid w:val="686A79D5"/>
    <w:multiLevelType w:val="multilevel"/>
    <w:tmpl w:val="408E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698D14E3"/>
    <w:multiLevelType w:val="hybridMultilevel"/>
    <w:tmpl w:val="53C2D4B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Aria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Arial"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Arial" w:hint="default"/>
      </w:rPr>
    </w:lvl>
    <w:lvl w:ilvl="8" w:tplc="04090005" w:tentative="1">
      <w:start w:val="1"/>
      <w:numFmt w:val="bullet"/>
      <w:lvlText w:val=""/>
      <w:lvlJc w:val="left"/>
      <w:pPr>
        <w:ind w:left="6210" w:hanging="360"/>
      </w:pPr>
      <w:rPr>
        <w:rFonts w:ascii="Wingdings" w:hAnsi="Wingdings" w:hint="default"/>
      </w:rPr>
    </w:lvl>
  </w:abstractNum>
  <w:abstractNum w:abstractNumId="139">
    <w:nsid w:val="69EA7D64"/>
    <w:multiLevelType w:val="multilevel"/>
    <w:tmpl w:val="675E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6B0B5B53"/>
    <w:multiLevelType w:val="multilevel"/>
    <w:tmpl w:val="AD16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6B962F60"/>
    <w:multiLevelType w:val="hybridMultilevel"/>
    <w:tmpl w:val="9A400BF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Aria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Arial"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Arial" w:hint="default"/>
      </w:rPr>
    </w:lvl>
    <w:lvl w:ilvl="8" w:tplc="04090005" w:tentative="1">
      <w:start w:val="1"/>
      <w:numFmt w:val="bullet"/>
      <w:lvlText w:val=""/>
      <w:lvlJc w:val="left"/>
      <w:pPr>
        <w:ind w:left="6210" w:hanging="360"/>
      </w:pPr>
      <w:rPr>
        <w:rFonts w:ascii="Wingdings" w:hAnsi="Wingdings" w:hint="default"/>
      </w:rPr>
    </w:lvl>
  </w:abstractNum>
  <w:abstractNum w:abstractNumId="142">
    <w:nsid w:val="6C1D67D2"/>
    <w:multiLevelType w:val="multilevel"/>
    <w:tmpl w:val="71DA5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6CDD20F3"/>
    <w:multiLevelType w:val="multilevel"/>
    <w:tmpl w:val="8C26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6EAC0771"/>
    <w:multiLevelType w:val="multilevel"/>
    <w:tmpl w:val="61A4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6F3E6590"/>
    <w:multiLevelType w:val="hybridMultilevel"/>
    <w:tmpl w:val="0B56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6F962332"/>
    <w:multiLevelType w:val="hybridMultilevel"/>
    <w:tmpl w:val="C7FCC21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Aria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Arial"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Arial" w:hint="default"/>
      </w:rPr>
    </w:lvl>
    <w:lvl w:ilvl="8" w:tplc="04090005" w:tentative="1">
      <w:start w:val="1"/>
      <w:numFmt w:val="bullet"/>
      <w:lvlText w:val=""/>
      <w:lvlJc w:val="left"/>
      <w:pPr>
        <w:ind w:left="6210" w:hanging="360"/>
      </w:pPr>
      <w:rPr>
        <w:rFonts w:ascii="Wingdings" w:hAnsi="Wingdings" w:hint="default"/>
      </w:rPr>
    </w:lvl>
  </w:abstractNum>
  <w:abstractNum w:abstractNumId="147">
    <w:nsid w:val="728A7980"/>
    <w:multiLevelType w:val="multilevel"/>
    <w:tmpl w:val="CA62B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72B42B07"/>
    <w:multiLevelType w:val="hybridMultilevel"/>
    <w:tmpl w:val="AC8E6E7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Aria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Arial"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Arial" w:hint="default"/>
      </w:rPr>
    </w:lvl>
    <w:lvl w:ilvl="8" w:tplc="04090005" w:tentative="1">
      <w:start w:val="1"/>
      <w:numFmt w:val="bullet"/>
      <w:lvlText w:val=""/>
      <w:lvlJc w:val="left"/>
      <w:pPr>
        <w:ind w:left="6210" w:hanging="360"/>
      </w:pPr>
      <w:rPr>
        <w:rFonts w:ascii="Wingdings" w:hAnsi="Wingdings" w:hint="default"/>
      </w:rPr>
    </w:lvl>
  </w:abstractNum>
  <w:abstractNum w:abstractNumId="149">
    <w:nsid w:val="74F06B1D"/>
    <w:multiLevelType w:val="hybridMultilevel"/>
    <w:tmpl w:val="09509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75006504"/>
    <w:multiLevelType w:val="hybridMultilevel"/>
    <w:tmpl w:val="E81295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nsid w:val="7599488F"/>
    <w:multiLevelType w:val="multilevel"/>
    <w:tmpl w:val="BC48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77431340"/>
    <w:multiLevelType w:val="multilevel"/>
    <w:tmpl w:val="4EC8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78035537"/>
    <w:multiLevelType w:val="multilevel"/>
    <w:tmpl w:val="DF5A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796D1E7E"/>
    <w:multiLevelType w:val="multilevel"/>
    <w:tmpl w:val="0340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799D4597"/>
    <w:multiLevelType w:val="multilevel"/>
    <w:tmpl w:val="0E98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7A2B03DE"/>
    <w:multiLevelType w:val="multilevel"/>
    <w:tmpl w:val="1640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7A5C7F6D"/>
    <w:multiLevelType w:val="multilevel"/>
    <w:tmpl w:val="B0DA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7A8811BF"/>
    <w:multiLevelType w:val="multilevel"/>
    <w:tmpl w:val="DA36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7D8520FF"/>
    <w:multiLevelType w:val="multilevel"/>
    <w:tmpl w:val="3718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7D9A51B5"/>
    <w:multiLevelType w:val="multilevel"/>
    <w:tmpl w:val="A2F6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7EE55F14"/>
    <w:multiLevelType w:val="multilevel"/>
    <w:tmpl w:val="94D4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7F32668A"/>
    <w:multiLevelType w:val="hybridMultilevel"/>
    <w:tmpl w:val="821E5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0"/>
  </w:num>
  <w:num w:numId="2">
    <w:abstractNumId w:val="78"/>
  </w:num>
  <w:num w:numId="3">
    <w:abstractNumId w:val="12"/>
  </w:num>
  <w:num w:numId="4">
    <w:abstractNumId w:val="99"/>
  </w:num>
  <w:num w:numId="5">
    <w:abstractNumId w:val="149"/>
  </w:num>
  <w:num w:numId="6">
    <w:abstractNumId w:val="6"/>
  </w:num>
  <w:num w:numId="7">
    <w:abstractNumId w:val="141"/>
  </w:num>
  <w:num w:numId="8">
    <w:abstractNumId w:val="146"/>
  </w:num>
  <w:num w:numId="9">
    <w:abstractNumId w:val="120"/>
  </w:num>
  <w:num w:numId="10">
    <w:abstractNumId w:val="89"/>
  </w:num>
  <w:num w:numId="11">
    <w:abstractNumId w:val="101"/>
  </w:num>
  <w:num w:numId="12">
    <w:abstractNumId w:val="130"/>
  </w:num>
  <w:num w:numId="13">
    <w:abstractNumId w:val="129"/>
  </w:num>
  <w:num w:numId="14">
    <w:abstractNumId w:val="91"/>
  </w:num>
  <w:num w:numId="15">
    <w:abstractNumId w:val="31"/>
  </w:num>
  <w:num w:numId="16">
    <w:abstractNumId w:val="17"/>
  </w:num>
  <w:num w:numId="17">
    <w:abstractNumId w:val="111"/>
  </w:num>
  <w:num w:numId="18">
    <w:abstractNumId w:val="77"/>
  </w:num>
  <w:num w:numId="19">
    <w:abstractNumId w:val="59"/>
  </w:num>
  <w:num w:numId="20">
    <w:abstractNumId w:val="127"/>
  </w:num>
  <w:num w:numId="21">
    <w:abstractNumId w:val="65"/>
  </w:num>
  <w:num w:numId="22">
    <w:abstractNumId w:val="69"/>
  </w:num>
  <w:num w:numId="23">
    <w:abstractNumId w:val="42"/>
  </w:num>
  <w:num w:numId="24">
    <w:abstractNumId w:val="103"/>
  </w:num>
  <w:num w:numId="25">
    <w:abstractNumId w:val="138"/>
  </w:num>
  <w:num w:numId="26">
    <w:abstractNumId w:val="63"/>
  </w:num>
  <w:num w:numId="27">
    <w:abstractNumId w:val="148"/>
  </w:num>
  <w:num w:numId="28">
    <w:abstractNumId w:val="94"/>
  </w:num>
  <w:num w:numId="29">
    <w:abstractNumId w:val="25"/>
  </w:num>
  <w:num w:numId="30">
    <w:abstractNumId w:val="85"/>
  </w:num>
  <w:num w:numId="31">
    <w:abstractNumId w:val="121"/>
  </w:num>
  <w:num w:numId="32">
    <w:abstractNumId w:val="82"/>
  </w:num>
  <w:num w:numId="33">
    <w:abstractNumId w:val="116"/>
  </w:num>
  <w:num w:numId="34">
    <w:abstractNumId w:val="61"/>
  </w:num>
  <w:num w:numId="35">
    <w:abstractNumId w:val="142"/>
  </w:num>
  <w:num w:numId="36">
    <w:abstractNumId w:val="134"/>
  </w:num>
  <w:num w:numId="37">
    <w:abstractNumId w:val="23"/>
  </w:num>
  <w:num w:numId="38">
    <w:abstractNumId w:val="64"/>
  </w:num>
  <w:num w:numId="39">
    <w:abstractNumId w:val="67"/>
  </w:num>
  <w:num w:numId="40">
    <w:abstractNumId w:val="66"/>
  </w:num>
  <w:num w:numId="41">
    <w:abstractNumId w:val="26"/>
  </w:num>
  <w:num w:numId="42">
    <w:abstractNumId w:val="33"/>
  </w:num>
  <w:num w:numId="43">
    <w:abstractNumId w:val="104"/>
  </w:num>
  <w:num w:numId="44">
    <w:abstractNumId w:val="16"/>
  </w:num>
  <w:num w:numId="45">
    <w:abstractNumId w:val="45"/>
  </w:num>
  <w:num w:numId="46">
    <w:abstractNumId w:val="68"/>
  </w:num>
  <w:num w:numId="47">
    <w:abstractNumId w:val="11"/>
  </w:num>
  <w:num w:numId="48">
    <w:abstractNumId w:val="95"/>
  </w:num>
  <w:num w:numId="49">
    <w:abstractNumId w:val="37"/>
  </w:num>
  <w:num w:numId="50">
    <w:abstractNumId w:val="110"/>
  </w:num>
  <w:num w:numId="51">
    <w:abstractNumId w:val="74"/>
  </w:num>
  <w:num w:numId="52">
    <w:abstractNumId w:val="49"/>
  </w:num>
  <w:num w:numId="53">
    <w:abstractNumId w:val="157"/>
  </w:num>
  <w:num w:numId="54">
    <w:abstractNumId w:val="20"/>
  </w:num>
  <w:num w:numId="55">
    <w:abstractNumId w:val="114"/>
  </w:num>
  <w:num w:numId="56">
    <w:abstractNumId w:val="76"/>
  </w:num>
  <w:num w:numId="57">
    <w:abstractNumId w:val="54"/>
  </w:num>
  <w:num w:numId="58">
    <w:abstractNumId w:val="133"/>
  </w:num>
  <w:num w:numId="59">
    <w:abstractNumId w:val="97"/>
  </w:num>
  <w:num w:numId="60">
    <w:abstractNumId w:val="19"/>
  </w:num>
  <w:num w:numId="61">
    <w:abstractNumId w:val="144"/>
  </w:num>
  <w:num w:numId="62">
    <w:abstractNumId w:val="87"/>
  </w:num>
  <w:num w:numId="63">
    <w:abstractNumId w:val="152"/>
  </w:num>
  <w:num w:numId="64">
    <w:abstractNumId w:val="147"/>
  </w:num>
  <w:num w:numId="65">
    <w:abstractNumId w:val="80"/>
  </w:num>
  <w:num w:numId="66">
    <w:abstractNumId w:val="48"/>
  </w:num>
  <w:num w:numId="67">
    <w:abstractNumId w:val="14"/>
  </w:num>
  <w:num w:numId="68">
    <w:abstractNumId w:val="117"/>
  </w:num>
  <w:num w:numId="69">
    <w:abstractNumId w:val="4"/>
  </w:num>
  <w:num w:numId="70">
    <w:abstractNumId w:val="15"/>
  </w:num>
  <w:num w:numId="71">
    <w:abstractNumId w:val="22"/>
  </w:num>
  <w:num w:numId="72">
    <w:abstractNumId w:val="108"/>
  </w:num>
  <w:num w:numId="73">
    <w:abstractNumId w:val="34"/>
  </w:num>
  <w:num w:numId="74">
    <w:abstractNumId w:val="135"/>
  </w:num>
  <w:num w:numId="75">
    <w:abstractNumId w:val="115"/>
  </w:num>
  <w:num w:numId="76">
    <w:abstractNumId w:val="30"/>
  </w:num>
  <w:num w:numId="77">
    <w:abstractNumId w:val="124"/>
  </w:num>
  <w:num w:numId="78">
    <w:abstractNumId w:val="86"/>
  </w:num>
  <w:num w:numId="79">
    <w:abstractNumId w:val="70"/>
  </w:num>
  <w:num w:numId="80">
    <w:abstractNumId w:val="119"/>
  </w:num>
  <w:num w:numId="81">
    <w:abstractNumId w:val="53"/>
  </w:num>
  <w:num w:numId="82">
    <w:abstractNumId w:val="27"/>
  </w:num>
  <w:num w:numId="83">
    <w:abstractNumId w:val="140"/>
  </w:num>
  <w:num w:numId="84">
    <w:abstractNumId w:val="41"/>
  </w:num>
  <w:num w:numId="85">
    <w:abstractNumId w:val="112"/>
  </w:num>
  <w:num w:numId="86">
    <w:abstractNumId w:val="139"/>
  </w:num>
  <w:num w:numId="87">
    <w:abstractNumId w:val="32"/>
  </w:num>
  <w:num w:numId="88">
    <w:abstractNumId w:val="35"/>
  </w:num>
  <w:num w:numId="89">
    <w:abstractNumId w:val="40"/>
  </w:num>
  <w:num w:numId="90">
    <w:abstractNumId w:val="98"/>
  </w:num>
  <w:num w:numId="91">
    <w:abstractNumId w:val="62"/>
  </w:num>
  <w:num w:numId="92">
    <w:abstractNumId w:val="73"/>
  </w:num>
  <w:num w:numId="93">
    <w:abstractNumId w:val="158"/>
  </w:num>
  <w:num w:numId="94">
    <w:abstractNumId w:val="55"/>
  </w:num>
  <w:num w:numId="95">
    <w:abstractNumId w:val="161"/>
  </w:num>
  <w:num w:numId="96">
    <w:abstractNumId w:val="75"/>
  </w:num>
  <w:num w:numId="97">
    <w:abstractNumId w:val="155"/>
  </w:num>
  <w:num w:numId="98">
    <w:abstractNumId w:val="113"/>
  </w:num>
  <w:num w:numId="99">
    <w:abstractNumId w:val="36"/>
  </w:num>
  <w:num w:numId="100">
    <w:abstractNumId w:val="44"/>
  </w:num>
  <w:num w:numId="101">
    <w:abstractNumId w:val="43"/>
  </w:num>
  <w:num w:numId="102">
    <w:abstractNumId w:val="96"/>
  </w:num>
  <w:num w:numId="103">
    <w:abstractNumId w:val="128"/>
  </w:num>
  <w:num w:numId="104">
    <w:abstractNumId w:val="159"/>
  </w:num>
  <w:num w:numId="105">
    <w:abstractNumId w:val="126"/>
  </w:num>
  <w:num w:numId="106">
    <w:abstractNumId w:val="137"/>
  </w:num>
  <w:num w:numId="107">
    <w:abstractNumId w:val="92"/>
  </w:num>
  <w:num w:numId="108">
    <w:abstractNumId w:val="60"/>
  </w:num>
  <w:num w:numId="109">
    <w:abstractNumId w:val="5"/>
  </w:num>
  <w:num w:numId="110">
    <w:abstractNumId w:val="160"/>
  </w:num>
  <w:num w:numId="111">
    <w:abstractNumId w:val="81"/>
  </w:num>
  <w:num w:numId="112">
    <w:abstractNumId w:val="88"/>
  </w:num>
  <w:num w:numId="113">
    <w:abstractNumId w:val="18"/>
  </w:num>
  <w:num w:numId="114">
    <w:abstractNumId w:val="83"/>
  </w:num>
  <w:num w:numId="115">
    <w:abstractNumId w:val="109"/>
  </w:num>
  <w:num w:numId="116">
    <w:abstractNumId w:val="0"/>
  </w:num>
  <w:num w:numId="117">
    <w:abstractNumId w:val="1"/>
  </w:num>
  <w:num w:numId="118">
    <w:abstractNumId w:val="132"/>
  </w:num>
  <w:num w:numId="119">
    <w:abstractNumId w:val="84"/>
  </w:num>
  <w:num w:numId="120">
    <w:abstractNumId w:val="9"/>
  </w:num>
  <w:num w:numId="121">
    <w:abstractNumId w:val="28"/>
  </w:num>
  <w:num w:numId="122">
    <w:abstractNumId w:val="143"/>
  </w:num>
  <w:num w:numId="123">
    <w:abstractNumId w:val="151"/>
  </w:num>
  <w:num w:numId="124">
    <w:abstractNumId w:val="46"/>
  </w:num>
  <w:num w:numId="125">
    <w:abstractNumId w:val="39"/>
  </w:num>
  <w:num w:numId="126">
    <w:abstractNumId w:val="131"/>
  </w:num>
  <w:num w:numId="127">
    <w:abstractNumId w:val="156"/>
  </w:num>
  <w:num w:numId="128">
    <w:abstractNumId w:val="153"/>
  </w:num>
  <w:num w:numId="129">
    <w:abstractNumId w:val="38"/>
  </w:num>
  <w:num w:numId="130">
    <w:abstractNumId w:val="13"/>
  </w:num>
  <w:num w:numId="131">
    <w:abstractNumId w:val="58"/>
  </w:num>
  <w:num w:numId="132">
    <w:abstractNumId w:val="50"/>
  </w:num>
  <w:num w:numId="133">
    <w:abstractNumId w:val="71"/>
  </w:num>
  <w:num w:numId="134">
    <w:abstractNumId w:val="79"/>
  </w:num>
  <w:num w:numId="135">
    <w:abstractNumId w:val="2"/>
  </w:num>
  <w:num w:numId="136">
    <w:abstractNumId w:val="3"/>
  </w:num>
  <w:num w:numId="137">
    <w:abstractNumId w:val="57"/>
  </w:num>
  <w:num w:numId="138">
    <w:abstractNumId w:val="56"/>
  </w:num>
  <w:num w:numId="139">
    <w:abstractNumId w:val="90"/>
  </w:num>
  <w:num w:numId="140">
    <w:abstractNumId w:val="118"/>
  </w:num>
  <w:num w:numId="141">
    <w:abstractNumId w:val="93"/>
  </w:num>
  <w:num w:numId="142">
    <w:abstractNumId w:val="47"/>
  </w:num>
  <w:num w:numId="143">
    <w:abstractNumId w:val="72"/>
  </w:num>
  <w:num w:numId="144">
    <w:abstractNumId w:val="8"/>
  </w:num>
  <w:num w:numId="145">
    <w:abstractNumId w:val="7"/>
  </w:num>
  <w:num w:numId="146">
    <w:abstractNumId w:val="21"/>
  </w:num>
  <w:num w:numId="147">
    <w:abstractNumId w:val="29"/>
  </w:num>
  <w:num w:numId="148">
    <w:abstractNumId w:val="102"/>
  </w:num>
  <w:num w:numId="149">
    <w:abstractNumId w:val="105"/>
  </w:num>
  <w:num w:numId="150">
    <w:abstractNumId w:val="154"/>
  </w:num>
  <w:num w:numId="151">
    <w:abstractNumId w:val="10"/>
  </w:num>
  <w:num w:numId="152">
    <w:abstractNumId w:val="123"/>
  </w:num>
  <w:num w:numId="153">
    <w:abstractNumId w:val="107"/>
  </w:num>
  <w:num w:numId="154">
    <w:abstractNumId w:val="51"/>
  </w:num>
  <w:num w:numId="155">
    <w:abstractNumId w:val="136"/>
  </w:num>
  <w:num w:numId="156">
    <w:abstractNumId w:val="24"/>
  </w:num>
  <w:num w:numId="157">
    <w:abstractNumId w:val="52"/>
  </w:num>
  <w:num w:numId="158">
    <w:abstractNumId w:val="162"/>
  </w:num>
  <w:num w:numId="159">
    <w:abstractNumId w:val="150"/>
  </w:num>
  <w:num w:numId="160">
    <w:abstractNumId w:val="122"/>
  </w:num>
  <w:num w:numId="161">
    <w:abstractNumId w:val="106"/>
  </w:num>
  <w:num w:numId="162">
    <w:abstractNumId w:val="145"/>
  </w:num>
  <w:num w:numId="163">
    <w:abstractNumId w:val="125"/>
  </w:num>
  <w:numIdMacAtCleanup w:val="1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n-GB" w:vendorID="64" w:dllVersion="131078" w:nlCheck="1" w:checkStyle="1"/>
  <w:stylePaneFormatFilter w:val="0004"/>
  <w:defaultTabStop w:val="720"/>
  <w:drawingGridHorizontalSpacing w:val="10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D902CC"/>
    <w:rsid w:val="0000156E"/>
    <w:rsid w:val="0000198D"/>
    <w:rsid w:val="00002B12"/>
    <w:rsid w:val="00002E8E"/>
    <w:rsid w:val="00004881"/>
    <w:rsid w:val="00005018"/>
    <w:rsid w:val="00005939"/>
    <w:rsid w:val="00005ECF"/>
    <w:rsid w:val="000063A3"/>
    <w:rsid w:val="0000733F"/>
    <w:rsid w:val="000076DA"/>
    <w:rsid w:val="00011A26"/>
    <w:rsid w:val="00011F4C"/>
    <w:rsid w:val="000131D2"/>
    <w:rsid w:val="0001384B"/>
    <w:rsid w:val="000148E1"/>
    <w:rsid w:val="00017193"/>
    <w:rsid w:val="00020B41"/>
    <w:rsid w:val="00022A3A"/>
    <w:rsid w:val="00024B68"/>
    <w:rsid w:val="00025E75"/>
    <w:rsid w:val="000279E9"/>
    <w:rsid w:val="00027C52"/>
    <w:rsid w:val="00027CCC"/>
    <w:rsid w:val="00030D26"/>
    <w:rsid w:val="00031625"/>
    <w:rsid w:val="00032DC2"/>
    <w:rsid w:val="0003373D"/>
    <w:rsid w:val="00033AD0"/>
    <w:rsid w:val="00033B65"/>
    <w:rsid w:val="00033F9F"/>
    <w:rsid w:val="00035E57"/>
    <w:rsid w:val="0003690D"/>
    <w:rsid w:val="00040E0C"/>
    <w:rsid w:val="00040EEE"/>
    <w:rsid w:val="0004140C"/>
    <w:rsid w:val="00041AD7"/>
    <w:rsid w:val="00041E90"/>
    <w:rsid w:val="000421E3"/>
    <w:rsid w:val="000429E0"/>
    <w:rsid w:val="00042C89"/>
    <w:rsid w:val="00043D49"/>
    <w:rsid w:val="00044148"/>
    <w:rsid w:val="00044516"/>
    <w:rsid w:val="000446E7"/>
    <w:rsid w:val="0004489B"/>
    <w:rsid w:val="00045BED"/>
    <w:rsid w:val="00046015"/>
    <w:rsid w:val="00047C33"/>
    <w:rsid w:val="00047F70"/>
    <w:rsid w:val="000500CC"/>
    <w:rsid w:val="00050309"/>
    <w:rsid w:val="000509C8"/>
    <w:rsid w:val="00051DC8"/>
    <w:rsid w:val="00052AEF"/>
    <w:rsid w:val="00052D03"/>
    <w:rsid w:val="00053B6C"/>
    <w:rsid w:val="0005440A"/>
    <w:rsid w:val="000555EF"/>
    <w:rsid w:val="00055AB7"/>
    <w:rsid w:val="00055E37"/>
    <w:rsid w:val="00055FDF"/>
    <w:rsid w:val="00056D88"/>
    <w:rsid w:val="00056E97"/>
    <w:rsid w:val="00056F87"/>
    <w:rsid w:val="00057D3E"/>
    <w:rsid w:val="000606E0"/>
    <w:rsid w:val="00061C87"/>
    <w:rsid w:val="000660F6"/>
    <w:rsid w:val="00067190"/>
    <w:rsid w:val="00071576"/>
    <w:rsid w:val="00071CAA"/>
    <w:rsid w:val="00071E5C"/>
    <w:rsid w:val="00071FCE"/>
    <w:rsid w:val="000721DA"/>
    <w:rsid w:val="00073134"/>
    <w:rsid w:val="00073F72"/>
    <w:rsid w:val="00074287"/>
    <w:rsid w:val="0007489C"/>
    <w:rsid w:val="000758A6"/>
    <w:rsid w:val="000759D7"/>
    <w:rsid w:val="00077BC1"/>
    <w:rsid w:val="00080B0D"/>
    <w:rsid w:val="00080B5C"/>
    <w:rsid w:val="00080D68"/>
    <w:rsid w:val="000816AF"/>
    <w:rsid w:val="00084007"/>
    <w:rsid w:val="000848CF"/>
    <w:rsid w:val="0008536B"/>
    <w:rsid w:val="00085D06"/>
    <w:rsid w:val="000860D2"/>
    <w:rsid w:val="00086D59"/>
    <w:rsid w:val="000911AB"/>
    <w:rsid w:val="00091628"/>
    <w:rsid w:val="00091994"/>
    <w:rsid w:val="00092572"/>
    <w:rsid w:val="000943F0"/>
    <w:rsid w:val="00094558"/>
    <w:rsid w:val="000946ED"/>
    <w:rsid w:val="000949A9"/>
    <w:rsid w:val="00095B86"/>
    <w:rsid w:val="000961B0"/>
    <w:rsid w:val="000A0C5D"/>
    <w:rsid w:val="000A1206"/>
    <w:rsid w:val="000A1610"/>
    <w:rsid w:val="000A1C29"/>
    <w:rsid w:val="000A22DF"/>
    <w:rsid w:val="000A2905"/>
    <w:rsid w:val="000A2EB4"/>
    <w:rsid w:val="000A3961"/>
    <w:rsid w:val="000A46D0"/>
    <w:rsid w:val="000A511D"/>
    <w:rsid w:val="000A5367"/>
    <w:rsid w:val="000A6A05"/>
    <w:rsid w:val="000A71EF"/>
    <w:rsid w:val="000A74EE"/>
    <w:rsid w:val="000A7DD7"/>
    <w:rsid w:val="000B006C"/>
    <w:rsid w:val="000B04A4"/>
    <w:rsid w:val="000B0885"/>
    <w:rsid w:val="000B174C"/>
    <w:rsid w:val="000B206E"/>
    <w:rsid w:val="000B293D"/>
    <w:rsid w:val="000B2B1D"/>
    <w:rsid w:val="000B3F51"/>
    <w:rsid w:val="000B4017"/>
    <w:rsid w:val="000B65D1"/>
    <w:rsid w:val="000B7CD7"/>
    <w:rsid w:val="000C042C"/>
    <w:rsid w:val="000C1D06"/>
    <w:rsid w:val="000C2381"/>
    <w:rsid w:val="000C23AB"/>
    <w:rsid w:val="000C369C"/>
    <w:rsid w:val="000C3FD1"/>
    <w:rsid w:val="000C40BF"/>
    <w:rsid w:val="000C4D17"/>
    <w:rsid w:val="000C4E7D"/>
    <w:rsid w:val="000C5D17"/>
    <w:rsid w:val="000C6BE3"/>
    <w:rsid w:val="000C7280"/>
    <w:rsid w:val="000C784D"/>
    <w:rsid w:val="000C7E3D"/>
    <w:rsid w:val="000D03A3"/>
    <w:rsid w:val="000D3D6C"/>
    <w:rsid w:val="000D48C5"/>
    <w:rsid w:val="000D6B00"/>
    <w:rsid w:val="000D6EA3"/>
    <w:rsid w:val="000E0014"/>
    <w:rsid w:val="000E09F1"/>
    <w:rsid w:val="000E0DBA"/>
    <w:rsid w:val="000E0ED1"/>
    <w:rsid w:val="000E0FD9"/>
    <w:rsid w:val="000E2B0E"/>
    <w:rsid w:val="000E2CF3"/>
    <w:rsid w:val="000E47E3"/>
    <w:rsid w:val="000E47EF"/>
    <w:rsid w:val="000E49D3"/>
    <w:rsid w:val="000E50C9"/>
    <w:rsid w:val="000E5326"/>
    <w:rsid w:val="000E5E29"/>
    <w:rsid w:val="000E666E"/>
    <w:rsid w:val="000E6B39"/>
    <w:rsid w:val="000F0673"/>
    <w:rsid w:val="000F0D4A"/>
    <w:rsid w:val="000F0D98"/>
    <w:rsid w:val="000F1850"/>
    <w:rsid w:val="000F2157"/>
    <w:rsid w:val="000F21D5"/>
    <w:rsid w:val="000F226C"/>
    <w:rsid w:val="000F23A4"/>
    <w:rsid w:val="000F4530"/>
    <w:rsid w:val="000F4C24"/>
    <w:rsid w:val="000F5E41"/>
    <w:rsid w:val="000F61B7"/>
    <w:rsid w:val="000F6216"/>
    <w:rsid w:val="000F64C5"/>
    <w:rsid w:val="000F70BB"/>
    <w:rsid w:val="000F76F9"/>
    <w:rsid w:val="000F7FA9"/>
    <w:rsid w:val="001002C7"/>
    <w:rsid w:val="00101C6C"/>
    <w:rsid w:val="00102C01"/>
    <w:rsid w:val="0010451B"/>
    <w:rsid w:val="00104521"/>
    <w:rsid w:val="00104854"/>
    <w:rsid w:val="00105455"/>
    <w:rsid w:val="001072E0"/>
    <w:rsid w:val="001117BE"/>
    <w:rsid w:val="001121ED"/>
    <w:rsid w:val="00113019"/>
    <w:rsid w:val="00113FCE"/>
    <w:rsid w:val="001148CA"/>
    <w:rsid w:val="00114934"/>
    <w:rsid w:val="00114CCE"/>
    <w:rsid w:val="00115387"/>
    <w:rsid w:val="00115BC1"/>
    <w:rsid w:val="00115F86"/>
    <w:rsid w:val="00116102"/>
    <w:rsid w:val="00117BC6"/>
    <w:rsid w:val="00117F26"/>
    <w:rsid w:val="00122A03"/>
    <w:rsid w:val="00123A57"/>
    <w:rsid w:val="00123F1B"/>
    <w:rsid w:val="00124678"/>
    <w:rsid w:val="001247E3"/>
    <w:rsid w:val="00124EE0"/>
    <w:rsid w:val="0012538E"/>
    <w:rsid w:val="00125F09"/>
    <w:rsid w:val="001262FB"/>
    <w:rsid w:val="00126D98"/>
    <w:rsid w:val="00130561"/>
    <w:rsid w:val="00130A26"/>
    <w:rsid w:val="0013130B"/>
    <w:rsid w:val="00131419"/>
    <w:rsid w:val="00132956"/>
    <w:rsid w:val="00132FC8"/>
    <w:rsid w:val="00133EC9"/>
    <w:rsid w:val="00134531"/>
    <w:rsid w:val="0013461E"/>
    <w:rsid w:val="00134719"/>
    <w:rsid w:val="00134BBF"/>
    <w:rsid w:val="00135254"/>
    <w:rsid w:val="001352FC"/>
    <w:rsid w:val="00136C3E"/>
    <w:rsid w:val="00136E9A"/>
    <w:rsid w:val="00136F05"/>
    <w:rsid w:val="00137620"/>
    <w:rsid w:val="00137E02"/>
    <w:rsid w:val="001406AB"/>
    <w:rsid w:val="00140BBB"/>
    <w:rsid w:val="001417F1"/>
    <w:rsid w:val="00141E67"/>
    <w:rsid w:val="0014357C"/>
    <w:rsid w:val="001437AF"/>
    <w:rsid w:val="0014429F"/>
    <w:rsid w:val="001447A9"/>
    <w:rsid w:val="00144ED7"/>
    <w:rsid w:val="00145F8F"/>
    <w:rsid w:val="00146082"/>
    <w:rsid w:val="00146D9C"/>
    <w:rsid w:val="001506C3"/>
    <w:rsid w:val="001507BE"/>
    <w:rsid w:val="00151D6F"/>
    <w:rsid w:val="00152425"/>
    <w:rsid w:val="00152C88"/>
    <w:rsid w:val="00152D13"/>
    <w:rsid w:val="00153D62"/>
    <w:rsid w:val="0015403D"/>
    <w:rsid w:val="00155254"/>
    <w:rsid w:val="00155776"/>
    <w:rsid w:val="00155CBA"/>
    <w:rsid w:val="00156289"/>
    <w:rsid w:val="001564A0"/>
    <w:rsid w:val="00157508"/>
    <w:rsid w:val="00157589"/>
    <w:rsid w:val="00157866"/>
    <w:rsid w:val="00157B50"/>
    <w:rsid w:val="001606AD"/>
    <w:rsid w:val="0016101B"/>
    <w:rsid w:val="00162321"/>
    <w:rsid w:val="001623F6"/>
    <w:rsid w:val="0016241C"/>
    <w:rsid w:val="001629D7"/>
    <w:rsid w:val="00162ABC"/>
    <w:rsid w:val="00163932"/>
    <w:rsid w:val="00164F4B"/>
    <w:rsid w:val="00165CD9"/>
    <w:rsid w:val="00165DE7"/>
    <w:rsid w:val="001664E1"/>
    <w:rsid w:val="0016666C"/>
    <w:rsid w:val="00166984"/>
    <w:rsid w:val="001706AF"/>
    <w:rsid w:val="00171CA2"/>
    <w:rsid w:val="00172C53"/>
    <w:rsid w:val="00172E0B"/>
    <w:rsid w:val="00175001"/>
    <w:rsid w:val="00175BC0"/>
    <w:rsid w:val="001762B5"/>
    <w:rsid w:val="001803F2"/>
    <w:rsid w:val="00180C37"/>
    <w:rsid w:val="00182020"/>
    <w:rsid w:val="001825B1"/>
    <w:rsid w:val="00185847"/>
    <w:rsid w:val="001859D3"/>
    <w:rsid w:val="001908AC"/>
    <w:rsid w:val="001913E7"/>
    <w:rsid w:val="001914BE"/>
    <w:rsid w:val="00192803"/>
    <w:rsid w:val="00193BFE"/>
    <w:rsid w:val="00194BE3"/>
    <w:rsid w:val="0019633B"/>
    <w:rsid w:val="0019654C"/>
    <w:rsid w:val="00196863"/>
    <w:rsid w:val="00197759"/>
    <w:rsid w:val="001A02B2"/>
    <w:rsid w:val="001A1394"/>
    <w:rsid w:val="001A22A6"/>
    <w:rsid w:val="001A2D59"/>
    <w:rsid w:val="001A4373"/>
    <w:rsid w:val="001A4B30"/>
    <w:rsid w:val="001A5294"/>
    <w:rsid w:val="001A5ED0"/>
    <w:rsid w:val="001A70D9"/>
    <w:rsid w:val="001B01EA"/>
    <w:rsid w:val="001B1568"/>
    <w:rsid w:val="001B1637"/>
    <w:rsid w:val="001B1DAE"/>
    <w:rsid w:val="001B232E"/>
    <w:rsid w:val="001B23BE"/>
    <w:rsid w:val="001B3652"/>
    <w:rsid w:val="001B4642"/>
    <w:rsid w:val="001B4C7E"/>
    <w:rsid w:val="001B6572"/>
    <w:rsid w:val="001B6CAD"/>
    <w:rsid w:val="001C10A7"/>
    <w:rsid w:val="001C10C5"/>
    <w:rsid w:val="001C1ADE"/>
    <w:rsid w:val="001C26CD"/>
    <w:rsid w:val="001C2C7A"/>
    <w:rsid w:val="001C2F09"/>
    <w:rsid w:val="001C3B1D"/>
    <w:rsid w:val="001C4ACE"/>
    <w:rsid w:val="001C7867"/>
    <w:rsid w:val="001C78B9"/>
    <w:rsid w:val="001D05A3"/>
    <w:rsid w:val="001D122A"/>
    <w:rsid w:val="001D15E5"/>
    <w:rsid w:val="001D160C"/>
    <w:rsid w:val="001D1C51"/>
    <w:rsid w:val="001D1E0F"/>
    <w:rsid w:val="001D220F"/>
    <w:rsid w:val="001D2912"/>
    <w:rsid w:val="001D3A44"/>
    <w:rsid w:val="001D7263"/>
    <w:rsid w:val="001E0559"/>
    <w:rsid w:val="001E1348"/>
    <w:rsid w:val="001E28ED"/>
    <w:rsid w:val="001E3CA5"/>
    <w:rsid w:val="001E4281"/>
    <w:rsid w:val="001E5482"/>
    <w:rsid w:val="001E5ED5"/>
    <w:rsid w:val="001E6445"/>
    <w:rsid w:val="001E75B4"/>
    <w:rsid w:val="001F041B"/>
    <w:rsid w:val="001F07C1"/>
    <w:rsid w:val="001F0A0E"/>
    <w:rsid w:val="001F0E09"/>
    <w:rsid w:val="001F19A3"/>
    <w:rsid w:val="001F2285"/>
    <w:rsid w:val="001F31B3"/>
    <w:rsid w:val="001F4C71"/>
    <w:rsid w:val="001F5858"/>
    <w:rsid w:val="001F61D2"/>
    <w:rsid w:val="002003A8"/>
    <w:rsid w:val="00200DB2"/>
    <w:rsid w:val="00201862"/>
    <w:rsid w:val="0020350B"/>
    <w:rsid w:val="00204F54"/>
    <w:rsid w:val="00205164"/>
    <w:rsid w:val="00205E42"/>
    <w:rsid w:val="00206184"/>
    <w:rsid w:val="002114A6"/>
    <w:rsid w:val="00212D57"/>
    <w:rsid w:val="00213782"/>
    <w:rsid w:val="00214415"/>
    <w:rsid w:val="0021530E"/>
    <w:rsid w:val="00215A42"/>
    <w:rsid w:val="00216640"/>
    <w:rsid w:val="00216799"/>
    <w:rsid w:val="00217247"/>
    <w:rsid w:val="00217469"/>
    <w:rsid w:val="00217543"/>
    <w:rsid w:val="00217717"/>
    <w:rsid w:val="00217D01"/>
    <w:rsid w:val="00220780"/>
    <w:rsid w:val="00221B5B"/>
    <w:rsid w:val="00221E66"/>
    <w:rsid w:val="002221A8"/>
    <w:rsid w:val="00222EC0"/>
    <w:rsid w:val="00222EC3"/>
    <w:rsid w:val="00225742"/>
    <w:rsid w:val="0022656E"/>
    <w:rsid w:val="0022720D"/>
    <w:rsid w:val="00227679"/>
    <w:rsid w:val="002309BB"/>
    <w:rsid w:val="00230B27"/>
    <w:rsid w:val="00230DE9"/>
    <w:rsid w:val="00233F59"/>
    <w:rsid w:val="0023451B"/>
    <w:rsid w:val="00235506"/>
    <w:rsid w:val="00235B18"/>
    <w:rsid w:val="00236395"/>
    <w:rsid w:val="00236473"/>
    <w:rsid w:val="0023683A"/>
    <w:rsid w:val="00237ECC"/>
    <w:rsid w:val="0024124F"/>
    <w:rsid w:val="00242741"/>
    <w:rsid w:val="0024622E"/>
    <w:rsid w:val="00247AF3"/>
    <w:rsid w:val="00247E35"/>
    <w:rsid w:val="0025142F"/>
    <w:rsid w:val="00251ABA"/>
    <w:rsid w:val="002523ED"/>
    <w:rsid w:val="0025355B"/>
    <w:rsid w:val="002544B0"/>
    <w:rsid w:val="00256C34"/>
    <w:rsid w:val="00257AE3"/>
    <w:rsid w:val="00262368"/>
    <w:rsid w:val="00263407"/>
    <w:rsid w:val="0026364C"/>
    <w:rsid w:val="00266952"/>
    <w:rsid w:val="002675A9"/>
    <w:rsid w:val="00270898"/>
    <w:rsid w:val="00271018"/>
    <w:rsid w:val="00272167"/>
    <w:rsid w:val="002726DB"/>
    <w:rsid w:val="00272AAE"/>
    <w:rsid w:val="0027491C"/>
    <w:rsid w:val="00276CCC"/>
    <w:rsid w:val="002772EC"/>
    <w:rsid w:val="00277B17"/>
    <w:rsid w:val="002813B8"/>
    <w:rsid w:val="00282150"/>
    <w:rsid w:val="0028278A"/>
    <w:rsid w:val="00282DC6"/>
    <w:rsid w:val="00284753"/>
    <w:rsid w:val="00284841"/>
    <w:rsid w:val="00284B87"/>
    <w:rsid w:val="00284C72"/>
    <w:rsid w:val="00285121"/>
    <w:rsid w:val="002851A6"/>
    <w:rsid w:val="00286A06"/>
    <w:rsid w:val="002912A9"/>
    <w:rsid w:val="00292D71"/>
    <w:rsid w:val="00294AF1"/>
    <w:rsid w:val="00295ECD"/>
    <w:rsid w:val="00297A6F"/>
    <w:rsid w:val="002A039A"/>
    <w:rsid w:val="002A0701"/>
    <w:rsid w:val="002A2B30"/>
    <w:rsid w:val="002A3F8B"/>
    <w:rsid w:val="002A4762"/>
    <w:rsid w:val="002A54E5"/>
    <w:rsid w:val="002A60C5"/>
    <w:rsid w:val="002A641C"/>
    <w:rsid w:val="002A673E"/>
    <w:rsid w:val="002B00DE"/>
    <w:rsid w:val="002B0388"/>
    <w:rsid w:val="002B0508"/>
    <w:rsid w:val="002B05EB"/>
    <w:rsid w:val="002B20CD"/>
    <w:rsid w:val="002B260B"/>
    <w:rsid w:val="002B3DFA"/>
    <w:rsid w:val="002B3F0A"/>
    <w:rsid w:val="002B63D8"/>
    <w:rsid w:val="002B6716"/>
    <w:rsid w:val="002B67B0"/>
    <w:rsid w:val="002B74C0"/>
    <w:rsid w:val="002C13E2"/>
    <w:rsid w:val="002C4576"/>
    <w:rsid w:val="002D0407"/>
    <w:rsid w:val="002D0910"/>
    <w:rsid w:val="002D0C47"/>
    <w:rsid w:val="002D115A"/>
    <w:rsid w:val="002D16D1"/>
    <w:rsid w:val="002D18F4"/>
    <w:rsid w:val="002D1BE7"/>
    <w:rsid w:val="002D1EE7"/>
    <w:rsid w:val="002D2AAE"/>
    <w:rsid w:val="002D34C7"/>
    <w:rsid w:val="002D3B49"/>
    <w:rsid w:val="002D4527"/>
    <w:rsid w:val="002D4C79"/>
    <w:rsid w:val="002D50D0"/>
    <w:rsid w:val="002D620F"/>
    <w:rsid w:val="002D6644"/>
    <w:rsid w:val="002D76AE"/>
    <w:rsid w:val="002E049A"/>
    <w:rsid w:val="002E0EC3"/>
    <w:rsid w:val="002E1CAE"/>
    <w:rsid w:val="002E1D70"/>
    <w:rsid w:val="002E29E3"/>
    <w:rsid w:val="002E39AC"/>
    <w:rsid w:val="002E46E3"/>
    <w:rsid w:val="002E5013"/>
    <w:rsid w:val="002E5172"/>
    <w:rsid w:val="002E5357"/>
    <w:rsid w:val="002E5B9F"/>
    <w:rsid w:val="002E72E3"/>
    <w:rsid w:val="002E7552"/>
    <w:rsid w:val="002E7823"/>
    <w:rsid w:val="002F1259"/>
    <w:rsid w:val="002F1A30"/>
    <w:rsid w:val="002F20BD"/>
    <w:rsid w:val="002F2E91"/>
    <w:rsid w:val="002F4791"/>
    <w:rsid w:val="002F4AEB"/>
    <w:rsid w:val="002F4DE5"/>
    <w:rsid w:val="002F604E"/>
    <w:rsid w:val="002F7F75"/>
    <w:rsid w:val="003001BE"/>
    <w:rsid w:val="003002EF"/>
    <w:rsid w:val="00300564"/>
    <w:rsid w:val="00300A36"/>
    <w:rsid w:val="00301E96"/>
    <w:rsid w:val="00302231"/>
    <w:rsid w:val="00303655"/>
    <w:rsid w:val="003039E7"/>
    <w:rsid w:val="00303D61"/>
    <w:rsid w:val="00303F57"/>
    <w:rsid w:val="00304444"/>
    <w:rsid w:val="00304558"/>
    <w:rsid w:val="00304E49"/>
    <w:rsid w:val="003055AB"/>
    <w:rsid w:val="0030603D"/>
    <w:rsid w:val="003060E4"/>
    <w:rsid w:val="00307DBD"/>
    <w:rsid w:val="00310B54"/>
    <w:rsid w:val="003114FB"/>
    <w:rsid w:val="0031207A"/>
    <w:rsid w:val="00312FC6"/>
    <w:rsid w:val="00313458"/>
    <w:rsid w:val="003136E0"/>
    <w:rsid w:val="0031449C"/>
    <w:rsid w:val="003147B6"/>
    <w:rsid w:val="00314B10"/>
    <w:rsid w:val="00315B02"/>
    <w:rsid w:val="00315E05"/>
    <w:rsid w:val="003165E5"/>
    <w:rsid w:val="003166B4"/>
    <w:rsid w:val="00316D56"/>
    <w:rsid w:val="0031706F"/>
    <w:rsid w:val="003172D5"/>
    <w:rsid w:val="00317CDB"/>
    <w:rsid w:val="0032023F"/>
    <w:rsid w:val="0032068D"/>
    <w:rsid w:val="003218D4"/>
    <w:rsid w:val="00325290"/>
    <w:rsid w:val="00325307"/>
    <w:rsid w:val="003253CD"/>
    <w:rsid w:val="00325876"/>
    <w:rsid w:val="003262E6"/>
    <w:rsid w:val="00326790"/>
    <w:rsid w:val="003271D3"/>
    <w:rsid w:val="003274A8"/>
    <w:rsid w:val="00327D51"/>
    <w:rsid w:val="00330042"/>
    <w:rsid w:val="00330518"/>
    <w:rsid w:val="00330875"/>
    <w:rsid w:val="00331389"/>
    <w:rsid w:val="00331F46"/>
    <w:rsid w:val="00332157"/>
    <w:rsid w:val="0033353A"/>
    <w:rsid w:val="00334A63"/>
    <w:rsid w:val="00334BD5"/>
    <w:rsid w:val="00335D49"/>
    <w:rsid w:val="0033681E"/>
    <w:rsid w:val="003376AE"/>
    <w:rsid w:val="00337827"/>
    <w:rsid w:val="003402BD"/>
    <w:rsid w:val="0034050F"/>
    <w:rsid w:val="0034179F"/>
    <w:rsid w:val="00341EBF"/>
    <w:rsid w:val="00342C8C"/>
    <w:rsid w:val="00342E7D"/>
    <w:rsid w:val="003444D4"/>
    <w:rsid w:val="00346945"/>
    <w:rsid w:val="00346D1C"/>
    <w:rsid w:val="00346D2F"/>
    <w:rsid w:val="003473E1"/>
    <w:rsid w:val="003500E4"/>
    <w:rsid w:val="00350990"/>
    <w:rsid w:val="003511A2"/>
    <w:rsid w:val="0035183E"/>
    <w:rsid w:val="003518D3"/>
    <w:rsid w:val="00351DAE"/>
    <w:rsid w:val="00352097"/>
    <w:rsid w:val="00353971"/>
    <w:rsid w:val="0035583A"/>
    <w:rsid w:val="00356356"/>
    <w:rsid w:val="00356C13"/>
    <w:rsid w:val="00357866"/>
    <w:rsid w:val="00360CF0"/>
    <w:rsid w:val="003617D3"/>
    <w:rsid w:val="003622A6"/>
    <w:rsid w:val="00362CB0"/>
    <w:rsid w:val="00364A21"/>
    <w:rsid w:val="00366602"/>
    <w:rsid w:val="003670F6"/>
    <w:rsid w:val="00367FD6"/>
    <w:rsid w:val="00370F22"/>
    <w:rsid w:val="00371A3F"/>
    <w:rsid w:val="00372098"/>
    <w:rsid w:val="003720EE"/>
    <w:rsid w:val="00372307"/>
    <w:rsid w:val="00372778"/>
    <w:rsid w:val="003730F7"/>
    <w:rsid w:val="003736AF"/>
    <w:rsid w:val="00373EF2"/>
    <w:rsid w:val="003741D8"/>
    <w:rsid w:val="0037425E"/>
    <w:rsid w:val="00374EE7"/>
    <w:rsid w:val="003765DA"/>
    <w:rsid w:val="00377479"/>
    <w:rsid w:val="003809F2"/>
    <w:rsid w:val="00381D8F"/>
    <w:rsid w:val="00382561"/>
    <w:rsid w:val="003825D0"/>
    <w:rsid w:val="003828FB"/>
    <w:rsid w:val="00382BD0"/>
    <w:rsid w:val="00383B89"/>
    <w:rsid w:val="003874D8"/>
    <w:rsid w:val="00390005"/>
    <w:rsid w:val="00391AA2"/>
    <w:rsid w:val="00391D3D"/>
    <w:rsid w:val="00392714"/>
    <w:rsid w:val="00392F95"/>
    <w:rsid w:val="0039433F"/>
    <w:rsid w:val="00395555"/>
    <w:rsid w:val="0039613E"/>
    <w:rsid w:val="00397C26"/>
    <w:rsid w:val="00397FDE"/>
    <w:rsid w:val="003A1CB7"/>
    <w:rsid w:val="003A1E6F"/>
    <w:rsid w:val="003A318D"/>
    <w:rsid w:val="003A3FB5"/>
    <w:rsid w:val="003A5FCB"/>
    <w:rsid w:val="003A66B9"/>
    <w:rsid w:val="003A7866"/>
    <w:rsid w:val="003B000D"/>
    <w:rsid w:val="003B1250"/>
    <w:rsid w:val="003B262C"/>
    <w:rsid w:val="003B26A0"/>
    <w:rsid w:val="003B4697"/>
    <w:rsid w:val="003B6547"/>
    <w:rsid w:val="003B6B8E"/>
    <w:rsid w:val="003C161D"/>
    <w:rsid w:val="003C2288"/>
    <w:rsid w:val="003C2483"/>
    <w:rsid w:val="003C268A"/>
    <w:rsid w:val="003C4797"/>
    <w:rsid w:val="003C74ED"/>
    <w:rsid w:val="003D0A0C"/>
    <w:rsid w:val="003D0B77"/>
    <w:rsid w:val="003D218B"/>
    <w:rsid w:val="003D222C"/>
    <w:rsid w:val="003D290D"/>
    <w:rsid w:val="003D3509"/>
    <w:rsid w:val="003D3E5B"/>
    <w:rsid w:val="003D4DF8"/>
    <w:rsid w:val="003D5406"/>
    <w:rsid w:val="003E0754"/>
    <w:rsid w:val="003E0B11"/>
    <w:rsid w:val="003E242C"/>
    <w:rsid w:val="003E24EC"/>
    <w:rsid w:val="003E27CB"/>
    <w:rsid w:val="003E29C5"/>
    <w:rsid w:val="003E3C52"/>
    <w:rsid w:val="003E4621"/>
    <w:rsid w:val="003E481A"/>
    <w:rsid w:val="003E4A37"/>
    <w:rsid w:val="003E5191"/>
    <w:rsid w:val="003E6426"/>
    <w:rsid w:val="003E7979"/>
    <w:rsid w:val="003F1E78"/>
    <w:rsid w:val="003F2334"/>
    <w:rsid w:val="003F2A8F"/>
    <w:rsid w:val="003F36E8"/>
    <w:rsid w:val="003F49F1"/>
    <w:rsid w:val="003F4A02"/>
    <w:rsid w:val="003F63AC"/>
    <w:rsid w:val="003F6DBE"/>
    <w:rsid w:val="003F6E23"/>
    <w:rsid w:val="003F757D"/>
    <w:rsid w:val="00400106"/>
    <w:rsid w:val="00400D2F"/>
    <w:rsid w:val="004014DF"/>
    <w:rsid w:val="00402721"/>
    <w:rsid w:val="00402C90"/>
    <w:rsid w:val="00404765"/>
    <w:rsid w:val="00404B16"/>
    <w:rsid w:val="00404DA1"/>
    <w:rsid w:val="00404E9F"/>
    <w:rsid w:val="0040546B"/>
    <w:rsid w:val="00405900"/>
    <w:rsid w:val="00407D2C"/>
    <w:rsid w:val="00410567"/>
    <w:rsid w:val="004106FF"/>
    <w:rsid w:val="004107C3"/>
    <w:rsid w:val="00410A90"/>
    <w:rsid w:val="004112BA"/>
    <w:rsid w:val="00412853"/>
    <w:rsid w:val="00413104"/>
    <w:rsid w:val="00413711"/>
    <w:rsid w:val="00414243"/>
    <w:rsid w:val="0041438F"/>
    <w:rsid w:val="00414ACB"/>
    <w:rsid w:val="00415404"/>
    <w:rsid w:val="004157B2"/>
    <w:rsid w:val="00416993"/>
    <w:rsid w:val="00417C13"/>
    <w:rsid w:val="00420396"/>
    <w:rsid w:val="00420404"/>
    <w:rsid w:val="00420941"/>
    <w:rsid w:val="00421077"/>
    <w:rsid w:val="00421A3C"/>
    <w:rsid w:val="00421BD3"/>
    <w:rsid w:val="0042216E"/>
    <w:rsid w:val="00422750"/>
    <w:rsid w:val="0042387F"/>
    <w:rsid w:val="004250DD"/>
    <w:rsid w:val="00427181"/>
    <w:rsid w:val="00427E85"/>
    <w:rsid w:val="00427E93"/>
    <w:rsid w:val="00431282"/>
    <w:rsid w:val="00431A92"/>
    <w:rsid w:val="004322C9"/>
    <w:rsid w:val="004324FD"/>
    <w:rsid w:val="00432CC6"/>
    <w:rsid w:val="00434B05"/>
    <w:rsid w:val="00434B21"/>
    <w:rsid w:val="00434FD3"/>
    <w:rsid w:val="00436085"/>
    <w:rsid w:val="004361F6"/>
    <w:rsid w:val="004417BA"/>
    <w:rsid w:val="004419FA"/>
    <w:rsid w:val="004429D8"/>
    <w:rsid w:val="00444A99"/>
    <w:rsid w:val="00445445"/>
    <w:rsid w:val="00445D4E"/>
    <w:rsid w:val="00445D8D"/>
    <w:rsid w:val="00445E1E"/>
    <w:rsid w:val="00447F98"/>
    <w:rsid w:val="00450042"/>
    <w:rsid w:val="00450A06"/>
    <w:rsid w:val="004510C8"/>
    <w:rsid w:val="004511C0"/>
    <w:rsid w:val="00452AE1"/>
    <w:rsid w:val="00453FA1"/>
    <w:rsid w:val="00454B59"/>
    <w:rsid w:val="004553BC"/>
    <w:rsid w:val="004555DE"/>
    <w:rsid w:val="00456491"/>
    <w:rsid w:val="00460D42"/>
    <w:rsid w:val="00461977"/>
    <w:rsid w:val="00462998"/>
    <w:rsid w:val="00462ACE"/>
    <w:rsid w:val="00463740"/>
    <w:rsid w:val="00463ED4"/>
    <w:rsid w:val="004675F7"/>
    <w:rsid w:val="00467620"/>
    <w:rsid w:val="00467970"/>
    <w:rsid w:val="00467A31"/>
    <w:rsid w:val="004709DB"/>
    <w:rsid w:val="00470A5C"/>
    <w:rsid w:val="00475EF1"/>
    <w:rsid w:val="00476279"/>
    <w:rsid w:val="00480D13"/>
    <w:rsid w:val="00481D91"/>
    <w:rsid w:val="004832CA"/>
    <w:rsid w:val="00483D5C"/>
    <w:rsid w:val="00483E05"/>
    <w:rsid w:val="00484233"/>
    <w:rsid w:val="0048525D"/>
    <w:rsid w:val="00485756"/>
    <w:rsid w:val="00486399"/>
    <w:rsid w:val="004872CC"/>
    <w:rsid w:val="00490531"/>
    <w:rsid w:val="00490A7A"/>
    <w:rsid w:val="00490D98"/>
    <w:rsid w:val="00491D6B"/>
    <w:rsid w:val="0049239E"/>
    <w:rsid w:val="004934D0"/>
    <w:rsid w:val="004938B0"/>
    <w:rsid w:val="00494326"/>
    <w:rsid w:val="0049432B"/>
    <w:rsid w:val="00494363"/>
    <w:rsid w:val="0049604A"/>
    <w:rsid w:val="00496EDD"/>
    <w:rsid w:val="004A29F9"/>
    <w:rsid w:val="004A3929"/>
    <w:rsid w:val="004A5878"/>
    <w:rsid w:val="004A5F7F"/>
    <w:rsid w:val="004B0053"/>
    <w:rsid w:val="004B0874"/>
    <w:rsid w:val="004B17F2"/>
    <w:rsid w:val="004B3437"/>
    <w:rsid w:val="004B371C"/>
    <w:rsid w:val="004B3A41"/>
    <w:rsid w:val="004B4613"/>
    <w:rsid w:val="004B4FD0"/>
    <w:rsid w:val="004B591A"/>
    <w:rsid w:val="004B6766"/>
    <w:rsid w:val="004B6A07"/>
    <w:rsid w:val="004B6CDE"/>
    <w:rsid w:val="004B777C"/>
    <w:rsid w:val="004B7EE5"/>
    <w:rsid w:val="004C11A6"/>
    <w:rsid w:val="004C1753"/>
    <w:rsid w:val="004C1876"/>
    <w:rsid w:val="004C4F6C"/>
    <w:rsid w:val="004C5AF5"/>
    <w:rsid w:val="004C5D64"/>
    <w:rsid w:val="004C6458"/>
    <w:rsid w:val="004C7395"/>
    <w:rsid w:val="004D028A"/>
    <w:rsid w:val="004D2B6B"/>
    <w:rsid w:val="004D55A7"/>
    <w:rsid w:val="004D68E7"/>
    <w:rsid w:val="004D7A0D"/>
    <w:rsid w:val="004E0BD3"/>
    <w:rsid w:val="004E1049"/>
    <w:rsid w:val="004E1A28"/>
    <w:rsid w:val="004E1EC8"/>
    <w:rsid w:val="004E2265"/>
    <w:rsid w:val="004E3832"/>
    <w:rsid w:val="004E4279"/>
    <w:rsid w:val="004E46D0"/>
    <w:rsid w:val="004E4920"/>
    <w:rsid w:val="004E532E"/>
    <w:rsid w:val="004E67F6"/>
    <w:rsid w:val="004F1095"/>
    <w:rsid w:val="004F2FAA"/>
    <w:rsid w:val="004F3446"/>
    <w:rsid w:val="004F3586"/>
    <w:rsid w:val="004F39FB"/>
    <w:rsid w:val="004F3BFB"/>
    <w:rsid w:val="004F4115"/>
    <w:rsid w:val="004F4FAB"/>
    <w:rsid w:val="004F66E8"/>
    <w:rsid w:val="004F767E"/>
    <w:rsid w:val="0050099F"/>
    <w:rsid w:val="0050227B"/>
    <w:rsid w:val="005032BB"/>
    <w:rsid w:val="00503AC9"/>
    <w:rsid w:val="00504AD1"/>
    <w:rsid w:val="005063E3"/>
    <w:rsid w:val="00507CE2"/>
    <w:rsid w:val="00510086"/>
    <w:rsid w:val="005114DF"/>
    <w:rsid w:val="00511B1E"/>
    <w:rsid w:val="00511C34"/>
    <w:rsid w:val="00512D2C"/>
    <w:rsid w:val="00513537"/>
    <w:rsid w:val="00513E96"/>
    <w:rsid w:val="00513F4E"/>
    <w:rsid w:val="0051484C"/>
    <w:rsid w:val="00516375"/>
    <w:rsid w:val="005173FD"/>
    <w:rsid w:val="005203E7"/>
    <w:rsid w:val="00521C53"/>
    <w:rsid w:val="00523116"/>
    <w:rsid w:val="00523321"/>
    <w:rsid w:val="00523EAE"/>
    <w:rsid w:val="0052472B"/>
    <w:rsid w:val="00524AED"/>
    <w:rsid w:val="00525715"/>
    <w:rsid w:val="00525E46"/>
    <w:rsid w:val="00525F2C"/>
    <w:rsid w:val="005263CA"/>
    <w:rsid w:val="00527138"/>
    <w:rsid w:val="005275EF"/>
    <w:rsid w:val="00531C0A"/>
    <w:rsid w:val="00532354"/>
    <w:rsid w:val="005329A6"/>
    <w:rsid w:val="00532AAC"/>
    <w:rsid w:val="00532CB2"/>
    <w:rsid w:val="0053540B"/>
    <w:rsid w:val="0054012D"/>
    <w:rsid w:val="00543D55"/>
    <w:rsid w:val="00543DED"/>
    <w:rsid w:val="0054569D"/>
    <w:rsid w:val="00546551"/>
    <w:rsid w:val="0054760B"/>
    <w:rsid w:val="00547643"/>
    <w:rsid w:val="00550767"/>
    <w:rsid w:val="00550C6A"/>
    <w:rsid w:val="00551564"/>
    <w:rsid w:val="00551B3A"/>
    <w:rsid w:val="0055281F"/>
    <w:rsid w:val="00552CD7"/>
    <w:rsid w:val="00552DE5"/>
    <w:rsid w:val="0055351F"/>
    <w:rsid w:val="005540A1"/>
    <w:rsid w:val="00554DEC"/>
    <w:rsid w:val="00555DF4"/>
    <w:rsid w:val="00556004"/>
    <w:rsid w:val="00556259"/>
    <w:rsid w:val="00561392"/>
    <w:rsid w:val="0056183A"/>
    <w:rsid w:val="00563BA3"/>
    <w:rsid w:val="00564774"/>
    <w:rsid w:val="00564D4B"/>
    <w:rsid w:val="005664BD"/>
    <w:rsid w:val="0056690E"/>
    <w:rsid w:val="005677BE"/>
    <w:rsid w:val="00567888"/>
    <w:rsid w:val="00567DE3"/>
    <w:rsid w:val="0057162B"/>
    <w:rsid w:val="00571976"/>
    <w:rsid w:val="00571F7C"/>
    <w:rsid w:val="0057221B"/>
    <w:rsid w:val="005735AB"/>
    <w:rsid w:val="00573697"/>
    <w:rsid w:val="005750ED"/>
    <w:rsid w:val="00576919"/>
    <w:rsid w:val="00576F3B"/>
    <w:rsid w:val="00577A70"/>
    <w:rsid w:val="0058162D"/>
    <w:rsid w:val="00582326"/>
    <w:rsid w:val="00582499"/>
    <w:rsid w:val="005827A4"/>
    <w:rsid w:val="00582B8C"/>
    <w:rsid w:val="00582C02"/>
    <w:rsid w:val="005836DC"/>
    <w:rsid w:val="0058401A"/>
    <w:rsid w:val="00584572"/>
    <w:rsid w:val="00585F15"/>
    <w:rsid w:val="00586784"/>
    <w:rsid w:val="00587507"/>
    <w:rsid w:val="00587DA0"/>
    <w:rsid w:val="00590ED1"/>
    <w:rsid w:val="00591F4A"/>
    <w:rsid w:val="00592464"/>
    <w:rsid w:val="0059465E"/>
    <w:rsid w:val="00595C50"/>
    <w:rsid w:val="00596676"/>
    <w:rsid w:val="005A05AD"/>
    <w:rsid w:val="005A253E"/>
    <w:rsid w:val="005A298C"/>
    <w:rsid w:val="005A48B4"/>
    <w:rsid w:val="005A6418"/>
    <w:rsid w:val="005A6433"/>
    <w:rsid w:val="005A68B7"/>
    <w:rsid w:val="005A69A1"/>
    <w:rsid w:val="005A7C7B"/>
    <w:rsid w:val="005B177A"/>
    <w:rsid w:val="005B25AC"/>
    <w:rsid w:val="005B3F43"/>
    <w:rsid w:val="005B4053"/>
    <w:rsid w:val="005B4B2B"/>
    <w:rsid w:val="005B4E40"/>
    <w:rsid w:val="005B4E9B"/>
    <w:rsid w:val="005B5217"/>
    <w:rsid w:val="005B604B"/>
    <w:rsid w:val="005B7148"/>
    <w:rsid w:val="005B7A65"/>
    <w:rsid w:val="005C00AD"/>
    <w:rsid w:val="005C0DD3"/>
    <w:rsid w:val="005C15D5"/>
    <w:rsid w:val="005C223E"/>
    <w:rsid w:val="005C46DE"/>
    <w:rsid w:val="005C693C"/>
    <w:rsid w:val="005C6A1E"/>
    <w:rsid w:val="005C715D"/>
    <w:rsid w:val="005D0376"/>
    <w:rsid w:val="005D07AE"/>
    <w:rsid w:val="005D1121"/>
    <w:rsid w:val="005D1E32"/>
    <w:rsid w:val="005D2C38"/>
    <w:rsid w:val="005D3E1B"/>
    <w:rsid w:val="005D4F89"/>
    <w:rsid w:val="005D5BDB"/>
    <w:rsid w:val="005D63D5"/>
    <w:rsid w:val="005D6CB1"/>
    <w:rsid w:val="005D7CEA"/>
    <w:rsid w:val="005E086A"/>
    <w:rsid w:val="005E0A37"/>
    <w:rsid w:val="005E0ACB"/>
    <w:rsid w:val="005E0D99"/>
    <w:rsid w:val="005E181D"/>
    <w:rsid w:val="005E18EB"/>
    <w:rsid w:val="005E19B1"/>
    <w:rsid w:val="005E1CFA"/>
    <w:rsid w:val="005E2F64"/>
    <w:rsid w:val="005E3DD7"/>
    <w:rsid w:val="005E48B5"/>
    <w:rsid w:val="005E5A57"/>
    <w:rsid w:val="005E6934"/>
    <w:rsid w:val="005F018E"/>
    <w:rsid w:val="005F02C4"/>
    <w:rsid w:val="005F0B0E"/>
    <w:rsid w:val="005F10F9"/>
    <w:rsid w:val="005F3109"/>
    <w:rsid w:val="005F348F"/>
    <w:rsid w:val="005F3CE6"/>
    <w:rsid w:val="005F426F"/>
    <w:rsid w:val="005F4635"/>
    <w:rsid w:val="005F580D"/>
    <w:rsid w:val="005F785A"/>
    <w:rsid w:val="0060003A"/>
    <w:rsid w:val="00600AC9"/>
    <w:rsid w:val="00600B22"/>
    <w:rsid w:val="0060181A"/>
    <w:rsid w:val="00602F39"/>
    <w:rsid w:val="00603356"/>
    <w:rsid w:val="0060357A"/>
    <w:rsid w:val="00603702"/>
    <w:rsid w:val="00603E1F"/>
    <w:rsid w:val="00604661"/>
    <w:rsid w:val="00604DB5"/>
    <w:rsid w:val="00606E9C"/>
    <w:rsid w:val="0060718D"/>
    <w:rsid w:val="006074C9"/>
    <w:rsid w:val="00612029"/>
    <w:rsid w:val="0061402A"/>
    <w:rsid w:val="00616977"/>
    <w:rsid w:val="006211DB"/>
    <w:rsid w:val="00621410"/>
    <w:rsid w:val="0062151D"/>
    <w:rsid w:val="00621949"/>
    <w:rsid w:val="00621E8A"/>
    <w:rsid w:val="006222AB"/>
    <w:rsid w:val="006223F9"/>
    <w:rsid w:val="006230F9"/>
    <w:rsid w:val="006238FE"/>
    <w:rsid w:val="0062426A"/>
    <w:rsid w:val="00624E12"/>
    <w:rsid w:val="006256A2"/>
    <w:rsid w:val="00626D88"/>
    <w:rsid w:val="00630EAF"/>
    <w:rsid w:val="00631166"/>
    <w:rsid w:val="00631FC2"/>
    <w:rsid w:val="006333B1"/>
    <w:rsid w:val="00633D96"/>
    <w:rsid w:val="00635A0B"/>
    <w:rsid w:val="00636183"/>
    <w:rsid w:val="006373C4"/>
    <w:rsid w:val="00640972"/>
    <w:rsid w:val="006414B8"/>
    <w:rsid w:val="00642B7F"/>
    <w:rsid w:val="00642FC0"/>
    <w:rsid w:val="0064375C"/>
    <w:rsid w:val="006437BD"/>
    <w:rsid w:val="006455B1"/>
    <w:rsid w:val="00645FC3"/>
    <w:rsid w:val="006462FB"/>
    <w:rsid w:val="00646F4D"/>
    <w:rsid w:val="00647175"/>
    <w:rsid w:val="00647610"/>
    <w:rsid w:val="00647752"/>
    <w:rsid w:val="0064775F"/>
    <w:rsid w:val="00647AC2"/>
    <w:rsid w:val="00650B87"/>
    <w:rsid w:val="006510EB"/>
    <w:rsid w:val="00651BE7"/>
    <w:rsid w:val="006522FF"/>
    <w:rsid w:val="00655A01"/>
    <w:rsid w:val="00655AF9"/>
    <w:rsid w:val="0065710F"/>
    <w:rsid w:val="006573C9"/>
    <w:rsid w:val="006602E0"/>
    <w:rsid w:val="006610FC"/>
    <w:rsid w:val="00664464"/>
    <w:rsid w:val="00664A90"/>
    <w:rsid w:val="0066629B"/>
    <w:rsid w:val="00666B4A"/>
    <w:rsid w:val="00666EFE"/>
    <w:rsid w:val="00671601"/>
    <w:rsid w:val="00672358"/>
    <w:rsid w:val="00673035"/>
    <w:rsid w:val="00673537"/>
    <w:rsid w:val="0067362A"/>
    <w:rsid w:val="00673862"/>
    <w:rsid w:val="00673DA6"/>
    <w:rsid w:val="006743E8"/>
    <w:rsid w:val="006743EE"/>
    <w:rsid w:val="006744F7"/>
    <w:rsid w:val="00674E85"/>
    <w:rsid w:val="00675883"/>
    <w:rsid w:val="00676042"/>
    <w:rsid w:val="0067673E"/>
    <w:rsid w:val="00676E72"/>
    <w:rsid w:val="00677396"/>
    <w:rsid w:val="00680ED3"/>
    <w:rsid w:val="00682C3B"/>
    <w:rsid w:val="006831BB"/>
    <w:rsid w:val="00683A9F"/>
    <w:rsid w:val="00684A08"/>
    <w:rsid w:val="006853A8"/>
    <w:rsid w:val="00686246"/>
    <w:rsid w:val="0068626B"/>
    <w:rsid w:val="006865F1"/>
    <w:rsid w:val="00687BF0"/>
    <w:rsid w:val="0069063F"/>
    <w:rsid w:val="006906B3"/>
    <w:rsid w:val="006912BA"/>
    <w:rsid w:val="006922AA"/>
    <w:rsid w:val="00692AFC"/>
    <w:rsid w:val="006930C3"/>
    <w:rsid w:val="006953DA"/>
    <w:rsid w:val="00695BD8"/>
    <w:rsid w:val="00695D86"/>
    <w:rsid w:val="00696431"/>
    <w:rsid w:val="00697F81"/>
    <w:rsid w:val="006A0734"/>
    <w:rsid w:val="006A1515"/>
    <w:rsid w:val="006A23D0"/>
    <w:rsid w:val="006A3A64"/>
    <w:rsid w:val="006A43D5"/>
    <w:rsid w:val="006A4976"/>
    <w:rsid w:val="006A53F1"/>
    <w:rsid w:val="006A5496"/>
    <w:rsid w:val="006A5F5C"/>
    <w:rsid w:val="006A711B"/>
    <w:rsid w:val="006A739E"/>
    <w:rsid w:val="006A7E57"/>
    <w:rsid w:val="006B02EB"/>
    <w:rsid w:val="006B0419"/>
    <w:rsid w:val="006B0429"/>
    <w:rsid w:val="006B1FAA"/>
    <w:rsid w:val="006B226A"/>
    <w:rsid w:val="006B2B68"/>
    <w:rsid w:val="006B524D"/>
    <w:rsid w:val="006B55C2"/>
    <w:rsid w:val="006B5948"/>
    <w:rsid w:val="006B6DFA"/>
    <w:rsid w:val="006B71D9"/>
    <w:rsid w:val="006B7CF2"/>
    <w:rsid w:val="006C03F3"/>
    <w:rsid w:val="006C09E5"/>
    <w:rsid w:val="006C15D1"/>
    <w:rsid w:val="006C17D9"/>
    <w:rsid w:val="006C2077"/>
    <w:rsid w:val="006C23B5"/>
    <w:rsid w:val="006C495A"/>
    <w:rsid w:val="006C51B1"/>
    <w:rsid w:val="006C58E1"/>
    <w:rsid w:val="006C735D"/>
    <w:rsid w:val="006D0651"/>
    <w:rsid w:val="006D25D9"/>
    <w:rsid w:val="006D3A59"/>
    <w:rsid w:val="006D48C8"/>
    <w:rsid w:val="006D58EA"/>
    <w:rsid w:val="006D6884"/>
    <w:rsid w:val="006D75EF"/>
    <w:rsid w:val="006E1A37"/>
    <w:rsid w:val="006E1AE4"/>
    <w:rsid w:val="006E1ECB"/>
    <w:rsid w:val="006E3798"/>
    <w:rsid w:val="006E382A"/>
    <w:rsid w:val="006E3D8A"/>
    <w:rsid w:val="006E4077"/>
    <w:rsid w:val="006E4C8E"/>
    <w:rsid w:val="006E50F5"/>
    <w:rsid w:val="006E5DD7"/>
    <w:rsid w:val="006E7C48"/>
    <w:rsid w:val="006E7F45"/>
    <w:rsid w:val="006F031D"/>
    <w:rsid w:val="006F055C"/>
    <w:rsid w:val="006F1691"/>
    <w:rsid w:val="006F2027"/>
    <w:rsid w:val="006F22E1"/>
    <w:rsid w:val="006F284D"/>
    <w:rsid w:val="006F4D48"/>
    <w:rsid w:val="006F5246"/>
    <w:rsid w:val="006F59F6"/>
    <w:rsid w:val="006F5A1E"/>
    <w:rsid w:val="006F6083"/>
    <w:rsid w:val="006F648A"/>
    <w:rsid w:val="006F73F3"/>
    <w:rsid w:val="006F7CD9"/>
    <w:rsid w:val="00700355"/>
    <w:rsid w:val="00701CD6"/>
    <w:rsid w:val="007024CC"/>
    <w:rsid w:val="00702598"/>
    <w:rsid w:val="00703D44"/>
    <w:rsid w:val="007056FD"/>
    <w:rsid w:val="00706EE4"/>
    <w:rsid w:val="00707233"/>
    <w:rsid w:val="00710E27"/>
    <w:rsid w:val="00712BD7"/>
    <w:rsid w:val="00713442"/>
    <w:rsid w:val="00713510"/>
    <w:rsid w:val="007154EB"/>
    <w:rsid w:val="007157DC"/>
    <w:rsid w:val="00715C01"/>
    <w:rsid w:val="00715D1B"/>
    <w:rsid w:val="00716819"/>
    <w:rsid w:val="007174C1"/>
    <w:rsid w:val="0072050B"/>
    <w:rsid w:val="0072211E"/>
    <w:rsid w:val="00723B7A"/>
    <w:rsid w:val="00723BCC"/>
    <w:rsid w:val="0072413D"/>
    <w:rsid w:val="007251E5"/>
    <w:rsid w:val="00725C24"/>
    <w:rsid w:val="007309E3"/>
    <w:rsid w:val="00732B67"/>
    <w:rsid w:val="00733495"/>
    <w:rsid w:val="00734E06"/>
    <w:rsid w:val="007357BC"/>
    <w:rsid w:val="00736268"/>
    <w:rsid w:val="00736AE9"/>
    <w:rsid w:val="00737490"/>
    <w:rsid w:val="007379C4"/>
    <w:rsid w:val="00737AD8"/>
    <w:rsid w:val="007402D9"/>
    <w:rsid w:val="00740455"/>
    <w:rsid w:val="00740DBF"/>
    <w:rsid w:val="00741652"/>
    <w:rsid w:val="00741913"/>
    <w:rsid w:val="00742FD0"/>
    <w:rsid w:val="007431EC"/>
    <w:rsid w:val="007439BB"/>
    <w:rsid w:val="007441F2"/>
    <w:rsid w:val="0074470C"/>
    <w:rsid w:val="00745EA9"/>
    <w:rsid w:val="00746198"/>
    <w:rsid w:val="00746952"/>
    <w:rsid w:val="00747385"/>
    <w:rsid w:val="007478D0"/>
    <w:rsid w:val="00747D25"/>
    <w:rsid w:val="00747F0E"/>
    <w:rsid w:val="00750217"/>
    <w:rsid w:val="00750D2B"/>
    <w:rsid w:val="00751D40"/>
    <w:rsid w:val="00752083"/>
    <w:rsid w:val="00752EB2"/>
    <w:rsid w:val="00752EE6"/>
    <w:rsid w:val="00754B98"/>
    <w:rsid w:val="00754E2E"/>
    <w:rsid w:val="007568E5"/>
    <w:rsid w:val="00756960"/>
    <w:rsid w:val="00756993"/>
    <w:rsid w:val="00756E68"/>
    <w:rsid w:val="007604F2"/>
    <w:rsid w:val="00760C61"/>
    <w:rsid w:val="00762AF9"/>
    <w:rsid w:val="00762F01"/>
    <w:rsid w:val="00762F0C"/>
    <w:rsid w:val="00763539"/>
    <w:rsid w:val="00764771"/>
    <w:rsid w:val="00765A62"/>
    <w:rsid w:val="00765D45"/>
    <w:rsid w:val="00766987"/>
    <w:rsid w:val="00767826"/>
    <w:rsid w:val="00767C32"/>
    <w:rsid w:val="007706A6"/>
    <w:rsid w:val="00770D55"/>
    <w:rsid w:val="00771D51"/>
    <w:rsid w:val="0077219C"/>
    <w:rsid w:val="00773272"/>
    <w:rsid w:val="0077367F"/>
    <w:rsid w:val="00773D5E"/>
    <w:rsid w:val="00774CE2"/>
    <w:rsid w:val="007752E6"/>
    <w:rsid w:val="007752F4"/>
    <w:rsid w:val="00775F68"/>
    <w:rsid w:val="00777EBE"/>
    <w:rsid w:val="00780B14"/>
    <w:rsid w:val="00783B04"/>
    <w:rsid w:val="00784492"/>
    <w:rsid w:val="00784D14"/>
    <w:rsid w:val="00785065"/>
    <w:rsid w:val="00785734"/>
    <w:rsid w:val="00785C8A"/>
    <w:rsid w:val="00786C32"/>
    <w:rsid w:val="00786FC3"/>
    <w:rsid w:val="00787F83"/>
    <w:rsid w:val="0079046A"/>
    <w:rsid w:val="00791A82"/>
    <w:rsid w:val="00792011"/>
    <w:rsid w:val="0079220A"/>
    <w:rsid w:val="00792495"/>
    <w:rsid w:val="00792AAB"/>
    <w:rsid w:val="0079304C"/>
    <w:rsid w:val="0079349A"/>
    <w:rsid w:val="007937C4"/>
    <w:rsid w:val="00795071"/>
    <w:rsid w:val="00795831"/>
    <w:rsid w:val="00795F1D"/>
    <w:rsid w:val="00796DB1"/>
    <w:rsid w:val="00797360"/>
    <w:rsid w:val="007A0639"/>
    <w:rsid w:val="007A0802"/>
    <w:rsid w:val="007A2100"/>
    <w:rsid w:val="007A4437"/>
    <w:rsid w:val="007A4A64"/>
    <w:rsid w:val="007A6635"/>
    <w:rsid w:val="007A6AAE"/>
    <w:rsid w:val="007B0EB6"/>
    <w:rsid w:val="007B17D6"/>
    <w:rsid w:val="007B2F7E"/>
    <w:rsid w:val="007B3540"/>
    <w:rsid w:val="007B35E8"/>
    <w:rsid w:val="007B5467"/>
    <w:rsid w:val="007B54C4"/>
    <w:rsid w:val="007B6BA6"/>
    <w:rsid w:val="007B6BDD"/>
    <w:rsid w:val="007C30CF"/>
    <w:rsid w:val="007C310C"/>
    <w:rsid w:val="007C34BD"/>
    <w:rsid w:val="007C3A80"/>
    <w:rsid w:val="007C59F0"/>
    <w:rsid w:val="007C5C05"/>
    <w:rsid w:val="007C62EF"/>
    <w:rsid w:val="007D0101"/>
    <w:rsid w:val="007D1324"/>
    <w:rsid w:val="007D1643"/>
    <w:rsid w:val="007D1F6B"/>
    <w:rsid w:val="007D4EA7"/>
    <w:rsid w:val="007D6552"/>
    <w:rsid w:val="007D7579"/>
    <w:rsid w:val="007E0A67"/>
    <w:rsid w:val="007E148F"/>
    <w:rsid w:val="007E28F2"/>
    <w:rsid w:val="007E7115"/>
    <w:rsid w:val="007F0E90"/>
    <w:rsid w:val="007F1322"/>
    <w:rsid w:val="007F202F"/>
    <w:rsid w:val="007F3340"/>
    <w:rsid w:val="007F4768"/>
    <w:rsid w:val="007F483B"/>
    <w:rsid w:val="007F5DF6"/>
    <w:rsid w:val="007F60FE"/>
    <w:rsid w:val="007F6154"/>
    <w:rsid w:val="008007ED"/>
    <w:rsid w:val="00801823"/>
    <w:rsid w:val="00804411"/>
    <w:rsid w:val="00807820"/>
    <w:rsid w:val="008105DF"/>
    <w:rsid w:val="008107E5"/>
    <w:rsid w:val="008135C1"/>
    <w:rsid w:val="00814EDD"/>
    <w:rsid w:val="008153B9"/>
    <w:rsid w:val="00815989"/>
    <w:rsid w:val="008167EE"/>
    <w:rsid w:val="008174EC"/>
    <w:rsid w:val="008179BA"/>
    <w:rsid w:val="00817A78"/>
    <w:rsid w:val="00820355"/>
    <w:rsid w:val="00820831"/>
    <w:rsid w:val="00820ADB"/>
    <w:rsid w:val="00820CF5"/>
    <w:rsid w:val="008217CB"/>
    <w:rsid w:val="00823DE9"/>
    <w:rsid w:val="00823EFB"/>
    <w:rsid w:val="008243CE"/>
    <w:rsid w:val="00827B92"/>
    <w:rsid w:val="00836320"/>
    <w:rsid w:val="00836BE4"/>
    <w:rsid w:val="00837635"/>
    <w:rsid w:val="008405B0"/>
    <w:rsid w:val="008413EF"/>
    <w:rsid w:val="00842A14"/>
    <w:rsid w:val="00844394"/>
    <w:rsid w:val="0084595D"/>
    <w:rsid w:val="008468BD"/>
    <w:rsid w:val="0084744B"/>
    <w:rsid w:val="0085061C"/>
    <w:rsid w:val="008519CE"/>
    <w:rsid w:val="0085327B"/>
    <w:rsid w:val="00853FE2"/>
    <w:rsid w:val="00854850"/>
    <w:rsid w:val="00855496"/>
    <w:rsid w:val="008554CC"/>
    <w:rsid w:val="00855978"/>
    <w:rsid w:val="00856EB1"/>
    <w:rsid w:val="008574F0"/>
    <w:rsid w:val="008574F4"/>
    <w:rsid w:val="008607E6"/>
    <w:rsid w:val="00860FB6"/>
    <w:rsid w:val="0086217E"/>
    <w:rsid w:val="00863979"/>
    <w:rsid w:val="008649AF"/>
    <w:rsid w:val="00865BBD"/>
    <w:rsid w:val="00866924"/>
    <w:rsid w:val="00867655"/>
    <w:rsid w:val="00867DB7"/>
    <w:rsid w:val="00872DF7"/>
    <w:rsid w:val="00873364"/>
    <w:rsid w:val="008733D9"/>
    <w:rsid w:val="00874D71"/>
    <w:rsid w:val="00874F89"/>
    <w:rsid w:val="00876870"/>
    <w:rsid w:val="008774AB"/>
    <w:rsid w:val="008774B0"/>
    <w:rsid w:val="00880412"/>
    <w:rsid w:val="00881110"/>
    <w:rsid w:val="00881549"/>
    <w:rsid w:val="00882079"/>
    <w:rsid w:val="00883D3C"/>
    <w:rsid w:val="008849C8"/>
    <w:rsid w:val="008863B3"/>
    <w:rsid w:val="00890C72"/>
    <w:rsid w:val="00891635"/>
    <w:rsid w:val="008923B6"/>
    <w:rsid w:val="008925C5"/>
    <w:rsid w:val="00892645"/>
    <w:rsid w:val="00893BDB"/>
    <w:rsid w:val="00894BDE"/>
    <w:rsid w:val="00895004"/>
    <w:rsid w:val="00896F8A"/>
    <w:rsid w:val="00897141"/>
    <w:rsid w:val="00897990"/>
    <w:rsid w:val="008A2090"/>
    <w:rsid w:val="008A23BF"/>
    <w:rsid w:val="008A2402"/>
    <w:rsid w:val="008A55EA"/>
    <w:rsid w:val="008A6641"/>
    <w:rsid w:val="008A6ED8"/>
    <w:rsid w:val="008A72EB"/>
    <w:rsid w:val="008B0010"/>
    <w:rsid w:val="008B086B"/>
    <w:rsid w:val="008B09FF"/>
    <w:rsid w:val="008B239D"/>
    <w:rsid w:val="008B34A6"/>
    <w:rsid w:val="008B4843"/>
    <w:rsid w:val="008B4F46"/>
    <w:rsid w:val="008B5A8E"/>
    <w:rsid w:val="008B6D51"/>
    <w:rsid w:val="008C0E3F"/>
    <w:rsid w:val="008C25EE"/>
    <w:rsid w:val="008C2B67"/>
    <w:rsid w:val="008C2FF7"/>
    <w:rsid w:val="008C3CB8"/>
    <w:rsid w:val="008C3DD4"/>
    <w:rsid w:val="008C4CE3"/>
    <w:rsid w:val="008C51E9"/>
    <w:rsid w:val="008C60D6"/>
    <w:rsid w:val="008D0AB5"/>
    <w:rsid w:val="008D2103"/>
    <w:rsid w:val="008D5E65"/>
    <w:rsid w:val="008D622D"/>
    <w:rsid w:val="008E1777"/>
    <w:rsid w:val="008E2D08"/>
    <w:rsid w:val="008E40E6"/>
    <w:rsid w:val="008E4410"/>
    <w:rsid w:val="008E53A1"/>
    <w:rsid w:val="008E53EC"/>
    <w:rsid w:val="008E54F4"/>
    <w:rsid w:val="008E5A68"/>
    <w:rsid w:val="008E6D6B"/>
    <w:rsid w:val="008E78CD"/>
    <w:rsid w:val="008F1872"/>
    <w:rsid w:val="008F2272"/>
    <w:rsid w:val="008F374B"/>
    <w:rsid w:val="008F3EDE"/>
    <w:rsid w:val="008F46A8"/>
    <w:rsid w:val="008F5B45"/>
    <w:rsid w:val="008F6D18"/>
    <w:rsid w:val="00901073"/>
    <w:rsid w:val="00901394"/>
    <w:rsid w:val="0090286F"/>
    <w:rsid w:val="0090333F"/>
    <w:rsid w:val="009043E7"/>
    <w:rsid w:val="009047F8"/>
    <w:rsid w:val="00906AA0"/>
    <w:rsid w:val="00907721"/>
    <w:rsid w:val="00907AD2"/>
    <w:rsid w:val="00907F38"/>
    <w:rsid w:val="00907F83"/>
    <w:rsid w:val="00910BBC"/>
    <w:rsid w:val="00911BED"/>
    <w:rsid w:val="00912CA6"/>
    <w:rsid w:val="00913287"/>
    <w:rsid w:val="00913FAC"/>
    <w:rsid w:val="00914848"/>
    <w:rsid w:val="00914A28"/>
    <w:rsid w:val="00915CD2"/>
    <w:rsid w:val="0091600E"/>
    <w:rsid w:val="009161A8"/>
    <w:rsid w:val="00916AD4"/>
    <w:rsid w:val="00921765"/>
    <w:rsid w:val="00923627"/>
    <w:rsid w:val="0092379C"/>
    <w:rsid w:val="00923DD0"/>
    <w:rsid w:val="00923E2F"/>
    <w:rsid w:val="00925114"/>
    <w:rsid w:val="009267D5"/>
    <w:rsid w:val="00927212"/>
    <w:rsid w:val="009307C1"/>
    <w:rsid w:val="00930EA8"/>
    <w:rsid w:val="00931402"/>
    <w:rsid w:val="00931B47"/>
    <w:rsid w:val="00932BDD"/>
    <w:rsid w:val="00934140"/>
    <w:rsid w:val="00936FF2"/>
    <w:rsid w:val="009411BC"/>
    <w:rsid w:val="00941994"/>
    <w:rsid w:val="00942542"/>
    <w:rsid w:val="009433D0"/>
    <w:rsid w:val="00944FCA"/>
    <w:rsid w:val="00946B04"/>
    <w:rsid w:val="00946E0E"/>
    <w:rsid w:val="00947E2F"/>
    <w:rsid w:val="00950E40"/>
    <w:rsid w:val="0095138A"/>
    <w:rsid w:val="0095286E"/>
    <w:rsid w:val="0095358D"/>
    <w:rsid w:val="00954476"/>
    <w:rsid w:val="00954666"/>
    <w:rsid w:val="00954A01"/>
    <w:rsid w:val="00954AF0"/>
    <w:rsid w:val="00955D75"/>
    <w:rsid w:val="0095604D"/>
    <w:rsid w:val="0095794A"/>
    <w:rsid w:val="0096045A"/>
    <w:rsid w:val="00960EE7"/>
    <w:rsid w:val="009613A0"/>
    <w:rsid w:val="00961681"/>
    <w:rsid w:val="00961CE9"/>
    <w:rsid w:val="0096248F"/>
    <w:rsid w:val="00963E0A"/>
    <w:rsid w:val="00964136"/>
    <w:rsid w:val="009643FB"/>
    <w:rsid w:val="009647E8"/>
    <w:rsid w:val="00964810"/>
    <w:rsid w:val="00965768"/>
    <w:rsid w:val="00965E77"/>
    <w:rsid w:val="009661F7"/>
    <w:rsid w:val="009663C6"/>
    <w:rsid w:val="00966A38"/>
    <w:rsid w:val="00970167"/>
    <w:rsid w:val="00970EDF"/>
    <w:rsid w:val="009713FC"/>
    <w:rsid w:val="00971779"/>
    <w:rsid w:val="00971BC2"/>
    <w:rsid w:val="00971E36"/>
    <w:rsid w:val="0097442A"/>
    <w:rsid w:val="00975724"/>
    <w:rsid w:val="00975CDE"/>
    <w:rsid w:val="009765A7"/>
    <w:rsid w:val="00980617"/>
    <w:rsid w:val="0098073D"/>
    <w:rsid w:val="00980CB5"/>
    <w:rsid w:val="00982FB7"/>
    <w:rsid w:val="00983CFA"/>
    <w:rsid w:val="0098436F"/>
    <w:rsid w:val="0098540E"/>
    <w:rsid w:val="0098636D"/>
    <w:rsid w:val="00987B93"/>
    <w:rsid w:val="0099090D"/>
    <w:rsid w:val="009919CE"/>
    <w:rsid w:val="0099202D"/>
    <w:rsid w:val="00992ADD"/>
    <w:rsid w:val="00994807"/>
    <w:rsid w:val="00994C1E"/>
    <w:rsid w:val="00995C6F"/>
    <w:rsid w:val="0099768C"/>
    <w:rsid w:val="00997854"/>
    <w:rsid w:val="00997F25"/>
    <w:rsid w:val="009A173F"/>
    <w:rsid w:val="009A17C8"/>
    <w:rsid w:val="009A190C"/>
    <w:rsid w:val="009A1FBB"/>
    <w:rsid w:val="009A26D7"/>
    <w:rsid w:val="009A43CE"/>
    <w:rsid w:val="009A45EC"/>
    <w:rsid w:val="009A4C85"/>
    <w:rsid w:val="009A52A5"/>
    <w:rsid w:val="009A60FB"/>
    <w:rsid w:val="009A65FC"/>
    <w:rsid w:val="009A6A3B"/>
    <w:rsid w:val="009A6AA6"/>
    <w:rsid w:val="009A6D50"/>
    <w:rsid w:val="009B0B63"/>
    <w:rsid w:val="009B0D09"/>
    <w:rsid w:val="009B0D6C"/>
    <w:rsid w:val="009B1BE4"/>
    <w:rsid w:val="009B2038"/>
    <w:rsid w:val="009B22B9"/>
    <w:rsid w:val="009B25FF"/>
    <w:rsid w:val="009B3497"/>
    <w:rsid w:val="009B510E"/>
    <w:rsid w:val="009B6463"/>
    <w:rsid w:val="009B731D"/>
    <w:rsid w:val="009B7A92"/>
    <w:rsid w:val="009C03B6"/>
    <w:rsid w:val="009C13AF"/>
    <w:rsid w:val="009C15EA"/>
    <w:rsid w:val="009C2672"/>
    <w:rsid w:val="009C2C07"/>
    <w:rsid w:val="009C2C22"/>
    <w:rsid w:val="009C4977"/>
    <w:rsid w:val="009C505B"/>
    <w:rsid w:val="009C5873"/>
    <w:rsid w:val="009C5BDB"/>
    <w:rsid w:val="009C5BEA"/>
    <w:rsid w:val="009C6067"/>
    <w:rsid w:val="009C65DB"/>
    <w:rsid w:val="009C6FB0"/>
    <w:rsid w:val="009C77C8"/>
    <w:rsid w:val="009D0416"/>
    <w:rsid w:val="009D1388"/>
    <w:rsid w:val="009D231B"/>
    <w:rsid w:val="009D261F"/>
    <w:rsid w:val="009D2848"/>
    <w:rsid w:val="009D300E"/>
    <w:rsid w:val="009D3498"/>
    <w:rsid w:val="009D4080"/>
    <w:rsid w:val="009D6008"/>
    <w:rsid w:val="009D7E48"/>
    <w:rsid w:val="009E1BD6"/>
    <w:rsid w:val="009E282F"/>
    <w:rsid w:val="009E308C"/>
    <w:rsid w:val="009E3CE4"/>
    <w:rsid w:val="009E5701"/>
    <w:rsid w:val="009E6776"/>
    <w:rsid w:val="009E6DB0"/>
    <w:rsid w:val="009F00C6"/>
    <w:rsid w:val="009F3181"/>
    <w:rsid w:val="009F4B90"/>
    <w:rsid w:val="009F4C30"/>
    <w:rsid w:val="009F5F2A"/>
    <w:rsid w:val="009F5FB1"/>
    <w:rsid w:val="009F67CE"/>
    <w:rsid w:val="009F7563"/>
    <w:rsid w:val="00A00429"/>
    <w:rsid w:val="00A0080B"/>
    <w:rsid w:val="00A01502"/>
    <w:rsid w:val="00A02787"/>
    <w:rsid w:val="00A03614"/>
    <w:rsid w:val="00A0458A"/>
    <w:rsid w:val="00A04670"/>
    <w:rsid w:val="00A04B13"/>
    <w:rsid w:val="00A04DE9"/>
    <w:rsid w:val="00A06685"/>
    <w:rsid w:val="00A0726A"/>
    <w:rsid w:val="00A07417"/>
    <w:rsid w:val="00A07943"/>
    <w:rsid w:val="00A07A7B"/>
    <w:rsid w:val="00A1111C"/>
    <w:rsid w:val="00A12535"/>
    <w:rsid w:val="00A138E1"/>
    <w:rsid w:val="00A14ECA"/>
    <w:rsid w:val="00A15AA0"/>
    <w:rsid w:val="00A15B21"/>
    <w:rsid w:val="00A1654D"/>
    <w:rsid w:val="00A17466"/>
    <w:rsid w:val="00A176BE"/>
    <w:rsid w:val="00A2067C"/>
    <w:rsid w:val="00A20BC5"/>
    <w:rsid w:val="00A20C9A"/>
    <w:rsid w:val="00A22081"/>
    <w:rsid w:val="00A22113"/>
    <w:rsid w:val="00A22703"/>
    <w:rsid w:val="00A22B1B"/>
    <w:rsid w:val="00A22C9C"/>
    <w:rsid w:val="00A22D3A"/>
    <w:rsid w:val="00A22FB3"/>
    <w:rsid w:val="00A23472"/>
    <w:rsid w:val="00A23ADA"/>
    <w:rsid w:val="00A242F4"/>
    <w:rsid w:val="00A245B5"/>
    <w:rsid w:val="00A25864"/>
    <w:rsid w:val="00A26EA6"/>
    <w:rsid w:val="00A2725E"/>
    <w:rsid w:val="00A30497"/>
    <w:rsid w:val="00A30DBD"/>
    <w:rsid w:val="00A318E1"/>
    <w:rsid w:val="00A31EA3"/>
    <w:rsid w:val="00A3292D"/>
    <w:rsid w:val="00A335AF"/>
    <w:rsid w:val="00A33A11"/>
    <w:rsid w:val="00A34EF4"/>
    <w:rsid w:val="00A362C8"/>
    <w:rsid w:val="00A36950"/>
    <w:rsid w:val="00A36DC8"/>
    <w:rsid w:val="00A37304"/>
    <w:rsid w:val="00A40A18"/>
    <w:rsid w:val="00A41B67"/>
    <w:rsid w:val="00A41BAF"/>
    <w:rsid w:val="00A41D1A"/>
    <w:rsid w:val="00A4214D"/>
    <w:rsid w:val="00A43539"/>
    <w:rsid w:val="00A43AFA"/>
    <w:rsid w:val="00A45E02"/>
    <w:rsid w:val="00A47364"/>
    <w:rsid w:val="00A520E8"/>
    <w:rsid w:val="00A5291F"/>
    <w:rsid w:val="00A54A59"/>
    <w:rsid w:val="00A56993"/>
    <w:rsid w:val="00A60A07"/>
    <w:rsid w:val="00A6122B"/>
    <w:rsid w:val="00A62809"/>
    <w:rsid w:val="00A62F4F"/>
    <w:rsid w:val="00A63447"/>
    <w:rsid w:val="00A63A20"/>
    <w:rsid w:val="00A6447B"/>
    <w:rsid w:val="00A669B3"/>
    <w:rsid w:val="00A701D1"/>
    <w:rsid w:val="00A70689"/>
    <w:rsid w:val="00A71CF3"/>
    <w:rsid w:val="00A7293B"/>
    <w:rsid w:val="00A72EE2"/>
    <w:rsid w:val="00A72F48"/>
    <w:rsid w:val="00A73A71"/>
    <w:rsid w:val="00A75257"/>
    <w:rsid w:val="00A75685"/>
    <w:rsid w:val="00A76455"/>
    <w:rsid w:val="00A77500"/>
    <w:rsid w:val="00A778A0"/>
    <w:rsid w:val="00A77A2F"/>
    <w:rsid w:val="00A809C8"/>
    <w:rsid w:val="00A83B43"/>
    <w:rsid w:val="00A83F1C"/>
    <w:rsid w:val="00A8466A"/>
    <w:rsid w:val="00A84E1D"/>
    <w:rsid w:val="00A85C5B"/>
    <w:rsid w:val="00A86BF2"/>
    <w:rsid w:val="00A871A9"/>
    <w:rsid w:val="00A8743B"/>
    <w:rsid w:val="00A90CEC"/>
    <w:rsid w:val="00A9225D"/>
    <w:rsid w:val="00A92C78"/>
    <w:rsid w:val="00A9442A"/>
    <w:rsid w:val="00A94DD3"/>
    <w:rsid w:val="00A94EC4"/>
    <w:rsid w:val="00A95A07"/>
    <w:rsid w:val="00A96A8E"/>
    <w:rsid w:val="00AA08C5"/>
    <w:rsid w:val="00AA0A89"/>
    <w:rsid w:val="00AA11E5"/>
    <w:rsid w:val="00AA19BB"/>
    <w:rsid w:val="00AA1E93"/>
    <w:rsid w:val="00AA25E0"/>
    <w:rsid w:val="00AA5BFA"/>
    <w:rsid w:val="00AA7E46"/>
    <w:rsid w:val="00AB0990"/>
    <w:rsid w:val="00AB28EB"/>
    <w:rsid w:val="00AB402A"/>
    <w:rsid w:val="00AB5575"/>
    <w:rsid w:val="00AB6D72"/>
    <w:rsid w:val="00AB7015"/>
    <w:rsid w:val="00AC0FD1"/>
    <w:rsid w:val="00AC1516"/>
    <w:rsid w:val="00AC153A"/>
    <w:rsid w:val="00AC16DC"/>
    <w:rsid w:val="00AC228C"/>
    <w:rsid w:val="00AC2CC0"/>
    <w:rsid w:val="00AC3216"/>
    <w:rsid w:val="00AC4AE4"/>
    <w:rsid w:val="00AC555F"/>
    <w:rsid w:val="00AC625D"/>
    <w:rsid w:val="00AC6D5D"/>
    <w:rsid w:val="00AC7D92"/>
    <w:rsid w:val="00AD023A"/>
    <w:rsid w:val="00AD0397"/>
    <w:rsid w:val="00AD228A"/>
    <w:rsid w:val="00AD2719"/>
    <w:rsid w:val="00AD2D1A"/>
    <w:rsid w:val="00AD365E"/>
    <w:rsid w:val="00AD64A0"/>
    <w:rsid w:val="00AD71EE"/>
    <w:rsid w:val="00AE002F"/>
    <w:rsid w:val="00AE1ED2"/>
    <w:rsid w:val="00AE2405"/>
    <w:rsid w:val="00AE309E"/>
    <w:rsid w:val="00AE3345"/>
    <w:rsid w:val="00AE3472"/>
    <w:rsid w:val="00AE35CF"/>
    <w:rsid w:val="00AE3749"/>
    <w:rsid w:val="00AE4BDA"/>
    <w:rsid w:val="00AE6951"/>
    <w:rsid w:val="00AF06D9"/>
    <w:rsid w:val="00AF07F7"/>
    <w:rsid w:val="00AF181F"/>
    <w:rsid w:val="00AF1887"/>
    <w:rsid w:val="00AF39D9"/>
    <w:rsid w:val="00AF4495"/>
    <w:rsid w:val="00AF493D"/>
    <w:rsid w:val="00AF49CC"/>
    <w:rsid w:val="00AF4A02"/>
    <w:rsid w:val="00AF57D9"/>
    <w:rsid w:val="00AF5AFC"/>
    <w:rsid w:val="00AF62C3"/>
    <w:rsid w:val="00AF6628"/>
    <w:rsid w:val="00AF775D"/>
    <w:rsid w:val="00AF7F80"/>
    <w:rsid w:val="00B01990"/>
    <w:rsid w:val="00B019F1"/>
    <w:rsid w:val="00B02015"/>
    <w:rsid w:val="00B022B1"/>
    <w:rsid w:val="00B04FA6"/>
    <w:rsid w:val="00B05EA0"/>
    <w:rsid w:val="00B060DB"/>
    <w:rsid w:val="00B06A7C"/>
    <w:rsid w:val="00B06D29"/>
    <w:rsid w:val="00B11AD3"/>
    <w:rsid w:val="00B11C22"/>
    <w:rsid w:val="00B1214F"/>
    <w:rsid w:val="00B12213"/>
    <w:rsid w:val="00B1387C"/>
    <w:rsid w:val="00B1652A"/>
    <w:rsid w:val="00B165C4"/>
    <w:rsid w:val="00B17694"/>
    <w:rsid w:val="00B17ECB"/>
    <w:rsid w:val="00B213D2"/>
    <w:rsid w:val="00B2259F"/>
    <w:rsid w:val="00B22782"/>
    <w:rsid w:val="00B254BC"/>
    <w:rsid w:val="00B2664E"/>
    <w:rsid w:val="00B271B1"/>
    <w:rsid w:val="00B306EA"/>
    <w:rsid w:val="00B319E0"/>
    <w:rsid w:val="00B31D56"/>
    <w:rsid w:val="00B32E9E"/>
    <w:rsid w:val="00B33433"/>
    <w:rsid w:val="00B33974"/>
    <w:rsid w:val="00B36BC1"/>
    <w:rsid w:val="00B374BE"/>
    <w:rsid w:val="00B412FD"/>
    <w:rsid w:val="00B413C4"/>
    <w:rsid w:val="00B42B9F"/>
    <w:rsid w:val="00B42D6C"/>
    <w:rsid w:val="00B44AEA"/>
    <w:rsid w:val="00B47DD3"/>
    <w:rsid w:val="00B502F9"/>
    <w:rsid w:val="00B5053F"/>
    <w:rsid w:val="00B507EF"/>
    <w:rsid w:val="00B50FC6"/>
    <w:rsid w:val="00B51247"/>
    <w:rsid w:val="00B51254"/>
    <w:rsid w:val="00B51D6F"/>
    <w:rsid w:val="00B53911"/>
    <w:rsid w:val="00B53DE7"/>
    <w:rsid w:val="00B579D6"/>
    <w:rsid w:val="00B6065E"/>
    <w:rsid w:val="00B61D2C"/>
    <w:rsid w:val="00B6218C"/>
    <w:rsid w:val="00B623CD"/>
    <w:rsid w:val="00B62F7E"/>
    <w:rsid w:val="00B64882"/>
    <w:rsid w:val="00B65046"/>
    <w:rsid w:val="00B65F9A"/>
    <w:rsid w:val="00B67123"/>
    <w:rsid w:val="00B67129"/>
    <w:rsid w:val="00B672DB"/>
    <w:rsid w:val="00B67C8B"/>
    <w:rsid w:val="00B702AC"/>
    <w:rsid w:val="00B7112B"/>
    <w:rsid w:val="00B728E8"/>
    <w:rsid w:val="00B7300E"/>
    <w:rsid w:val="00B743F1"/>
    <w:rsid w:val="00B74AA7"/>
    <w:rsid w:val="00B7525C"/>
    <w:rsid w:val="00B75508"/>
    <w:rsid w:val="00B75CF7"/>
    <w:rsid w:val="00B771E0"/>
    <w:rsid w:val="00B8007B"/>
    <w:rsid w:val="00B8032C"/>
    <w:rsid w:val="00B80969"/>
    <w:rsid w:val="00B80AE4"/>
    <w:rsid w:val="00B81919"/>
    <w:rsid w:val="00B81EB8"/>
    <w:rsid w:val="00B82115"/>
    <w:rsid w:val="00B82CB9"/>
    <w:rsid w:val="00B83230"/>
    <w:rsid w:val="00B845DE"/>
    <w:rsid w:val="00B84928"/>
    <w:rsid w:val="00B84E08"/>
    <w:rsid w:val="00B85720"/>
    <w:rsid w:val="00B85AC5"/>
    <w:rsid w:val="00B8748D"/>
    <w:rsid w:val="00B90196"/>
    <w:rsid w:val="00B9228C"/>
    <w:rsid w:val="00B92F89"/>
    <w:rsid w:val="00B9302F"/>
    <w:rsid w:val="00B93A83"/>
    <w:rsid w:val="00B9412F"/>
    <w:rsid w:val="00B9581E"/>
    <w:rsid w:val="00B96650"/>
    <w:rsid w:val="00B969D6"/>
    <w:rsid w:val="00B96F7A"/>
    <w:rsid w:val="00BA1280"/>
    <w:rsid w:val="00BA20B6"/>
    <w:rsid w:val="00BA2307"/>
    <w:rsid w:val="00BA2D09"/>
    <w:rsid w:val="00BA358D"/>
    <w:rsid w:val="00BA45C0"/>
    <w:rsid w:val="00BA4D69"/>
    <w:rsid w:val="00BA5D0C"/>
    <w:rsid w:val="00BA6BAE"/>
    <w:rsid w:val="00BB0D8E"/>
    <w:rsid w:val="00BB2A73"/>
    <w:rsid w:val="00BB309D"/>
    <w:rsid w:val="00BB3407"/>
    <w:rsid w:val="00BB3795"/>
    <w:rsid w:val="00BB3A49"/>
    <w:rsid w:val="00BB4BEF"/>
    <w:rsid w:val="00BB59AB"/>
    <w:rsid w:val="00BB5BC4"/>
    <w:rsid w:val="00BB65D1"/>
    <w:rsid w:val="00BB6C5E"/>
    <w:rsid w:val="00BB6DF1"/>
    <w:rsid w:val="00BB6DFE"/>
    <w:rsid w:val="00BB7419"/>
    <w:rsid w:val="00BB79F3"/>
    <w:rsid w:val="00BB7D7D"/>
    <w:rsid w:val="00BB7FAA"/>
    <w:rsid w:val="00BC04E1"/>
    <w:rsid w:val="00BC073F"/>
    <w:rsid w:val="00BC0D13"/>
    <w:rsid w:val="00BC127D"/>
    <w:rsid w:val="00BC16F2"/>
    <w:rsid w:val="00BC38D4"/>
    <w:rsid w:val="00BC4909"/>
    <w:rsid w:val="00BC4F8F"/>
    <w:rsid w:val="00BC5FB8"/>
    <w:rsid w:val="00BC6942"/>
    <w:rsid w:val="00BC72E9"/>
    <w:rsid w:val="00BC7ECE"/>
    <w:rsid w:val="00BD0895"/>
    <w:rsid w:val="00BD0DBA"/>
    <w:rsid w:val="00BD1629"/>
    <w:rsid w:val="00BD1921"/>
    <w:rsid w:val="00BD39FF"/>
    <w:rsid w:val="00BD56A2"/>
    <w:rsid w:val="00BD69DC"/>
    <w:rsid w:val="00BD6E41"/>
    <w:rsid w:val="00BD7B38"/>
    <w:rsid w:val="00BE1A6B"/>
    <w:rsid w:val="00BE1B46"/>
    <w:rsid w:val="00BE1FBF"/>
    <w:rsid w:val="00BE2C67"/>
    <w:rsid w:val="00BE3FF8"/>
    <w:rsid w:val="00BE6981"/>
    <w:rsid w:val="00BE7403"/>
    <w:rsid w:val="00BE767E"/>
    <w:rsid w:val="00BE76CD"/>
    <w:rsid w:val="00BE7B4A"/>
    <w:rsid w:val="00BF044A"/>
    <w:rsid w:val="00BF472B"/>
    <w:rsid w:val="00BF4A63"/>
    <w:rsid w:val="00BF5AC9"/>
    <w:rsid w:val="00BF5EE0"/>
    <w:rsid w:val="00C00C97"/>
    <w:rsid w:val="00C03A80"/>
    <w:rsid w:val="00C045D4"/>
    <w:rsid w:val="00C04614"/>
    <w:rsid w:val="00C10050"/>
    <w:rsid w:val="00C120AC"/>
    <w:rsid w:val="00C1271E"/>
    <w:rsid w:val="00C12962"/>
    <w:rsid w:val="00C12ACC"/>
    <w:rsid w:val="00C12E9B"/>
    <w:rsid w:val="00C15E7E"/>
    <w:rsid w:val="00C207B6"/>
    <w:rsid w:val="00C21A1A"/>
    <w:rsid w:val="00C22170"/>
    <w:rsid w:val="00C225E3"/>
    <w:rsid w:val="00C23520"/>
    <w:rsid w:val="00C2380B"/>
    <w:rsid w:val="00C23A73"/>
    <w:rsid w:val="00C23C02"/>
    <w:rsid w:val="00C2535F"/>
    <w:rsid w:val="00C256C9"/>
    <w:rsid w:val="00C263E4"/>
    <w:rsid w:val="00C35F6A"/>
    <w:rsid w:val="00C368E7"/>
    <w:rsid w:val="00C37442"/>
    <w:rsid w:val="00C40BB2"/>
    <w:rsid w:val="00C41326"/>
    <w:rsid w:val="00C4181E"/>
    <w:rsid w:val="00C422C4"/>
    <w:rsid w:val="00C4270B"/>
    <w:rsid w:val="00C43941"/>
    <w:rsid w:val="00C44A16"/>
    <w:rsid w:val="00C45DCF"/>
    <w:rsid w:val="00C45EEF"/>
    <w:rsid w:val="00C463E6"/>
    <w:rsid w:val="00C46858"/>
    <w:rsid w:val="00C47EF2"/>
    <w:rsid w:val="00C47F3E"/>
    <w:rsid w:val="00C50BEE"/>
    <w:rsid w:val="00C51D3C"/>
    <w:rsid w:val="00C53312"/>
    <w:rsid w:val="00C54152"/>
    <w:rsid w:val="00C549A0"/>
    <w:rsid w:val="00C550D4"/>
    <w:rsid w:val="00C56841"/>
    <w:rsid w:val="00C56E07"/>
    <w:rsid w:val="00C60496"/>
    <w:rsid w:val="00C60AE7"/>
    <w:rsid w:val="00C60D32"/>
    <w:rsid w:val="00C62713"/>
    <w:rsid w:val="00C63129"/>
    <w:rsid w:val="00C63BB6"/>
    <w:rsid w:val="00C6416B"/>
    <w:rsid w:val="00C6573A"/>
    <w:rsid w:val="00C664EA"/>
    <w:rsid w:val="00C668AB"/>
    <w:rsid w:val="00C70D91"/>
    <w:rsid w:val="00C72416"/>
    <w:rsid w:val="00C7272F"/>
    <w:rsid w:val="00C73741"/>
    <w:rsid w:val="00C76208"/>
    <w:rsid w:val="00C76781"/>
    <w:rsid w:val="00C770EF"/>
    <w:rsid w:val="00C77577"/>
    <w:rsid w:val="00C80500"/>
    <w:rsid w:val="00C81888"/>
    <w:rsid w:val="00C81AEA"/>
    <w:rsid w:val="00C81B83"/>
    <w:rsid w:val="00C81B96"/>
    <w:rsid w:val="00C81B9B"/>
    <w:rsid w:val="00C821EC"/>
    <w:rsid w:val="00C8255C"/>
    <w:rsid w:val="00C82961"/>
    <w:rsid w:val="00C82EEC"/>
    <w:rsid w:val="00C87C45"/>
    <w:rsid w:val="00C911A0"/>
    <w:rsid w:val="00C91610"/>
    <w:rsid w:val="00C9365F"/>
    <w:rsid w:val="00C9371C"/>
    <w:rsid w:val="00C93C9D"/>
    <w:rsid w:val="00C93CB1"/>
    <w:rsid w:val="00C93F36"/>
    <w:rsid w:val="00C95059"/>
    <w:rsid w:val="00C96CDA"/>
    <w:rsid w:val="00CA063A"/>
    <w:rsid w:val="00CA12FC"/>
    <w:rsid w:val="00CA1E3B"/>
    <w:rsid w:val="00CA21EF"/>
    <w:rsid w:val="00CA2E0F"/>
    <w:rsid w:val="00CA3294"/>
    <w:rsid w:val="00CA3840"/>
    <w:rsid w:val="00CA3BE0"/>
    <w:rsid w:val="00CA4636"/>
    <w:rsid w:val="00CA4791"/>
    <w:rsid w:val="00CA5587"/>
    <w:rsid w:val="00CA62CB"/>
    <w:rsid w:val="00CA6B45"/>
    <w:rsid w:val="00CB085F"/>
    <w:rsid w:val="00CB1A36"/>
    <w:rsid w:val="00CB1D2C"/>
    <w:rsid w:val="00CB2516"/>
    <w:rsid w:val="00CB3826"/>
    <w:rsid w:val="00CB3E55"/>
    <w:rsid w:val="00CB4712"/>
    <w:rsid w:val="00CB6635"/>
    <w:rsid w:val="00CB6FDB"/>
    <w:rsid w:val="00CC17FC"/>
    <w:rsid w:val="00CC2BF4"/>
    <w:rsid w:val="00CC2E88"/>
    <w:rsid w:val="00CC4B04"/>
    <w:rsid w:val="00CC537B"/>
    <w:rsid w:val="00CC74BD"/>
    <w:rsid w:val="00CD066C"/>
    <w:rsid w:val="00CD14DA"/>
    <w:rsid w:val="00CD2C75"/>
    <w:rsid w:val="00CD2F98"/>
    <w:rsid w:val="00CD4539"/>
    <w:rsid w:val="00CD45AF"/>
    <w:rsid w:val="00CD463B"/>
    <w:rsid w:val="00CD50FD"/>
    <w:rsid w:val="00CD7E56"/>
    <w:rsid w:val="00CE02AB"/>
    <w:rsid w:val="00CE0DDA"/>
    <w:rsid w:val="00CE1AEF"/>
    <w:rsid w:val="00CE5E17"/>
    <w:rsid w:val="00CE791D"/>
    <w:rsid w:val="00CF0B74"/>
    <w:rsid w:val="00CF12ED"/>
    <w:rsid w:val="00CF1B06"/>
    <w:rsid w:val="00CF2D5C"/>
    <w:rsid w:val="00CF3261"/>
    <w:rsid w:val="00CF6CED"/>
    <w:rsid w:val="00CF6F28"/>
    <w:rsid w:val="00CF747E"/>
    <w:rsid w:val="00CF7554"/>
    <w:rsid w:val="00CF7A0B"/>
    <w:rsid w:val="00CF7F84"/>
    <w:rsid w:val="00D02C04"/>
    <w:rsid w:val="00D0354D"/>
    <w:rsid w:val="00D03F1B"/>
    <w:rsid w:val="00D041E8"/>
    <w:rsid w:val="00D0518E"/>
    <w:rsid w:val="00D053FE"/>
    <w:rsid w:val="00D063E2"/>
    <w:rsid w:val="00D06D0D"/>
    <w:rsid w:val="00D073A2"/>
    <w:rsid w:val="00D0766A"/>
    <w:rsid w:val="00D11217"/>
    <w:rsid w:val="00D114FC"/>
    <w:rsid w:val="00D1198C"/>
    <w:rsid w:val="00D11B55"/>
    <w:rsid w:val="00D11C9A"/>
    <w:rsid w:val="00D13D91"/>
    <w:rsid w:val="00D142F5"/>
    <w:rsid w:val="00D14EBF"/>
    <w:rsid w:val="00D15F5C"/>
    <w:rsid w:val="00D17935"/>
    <w:rsid w:val="00D20809"/>
    <w:rsid w:val="00D20CD5"/>
    <w:rsid w:val="00D2130E"/>
    <w:rsid w:val="00D218D9"/>
    <w:rsid w:val="00D22611"/>
    <w:rsid w:val="00D22A9A"/>
    <w:rsid w:val="00D23290"/>
    <w:rsid w:val="00D23448"/>
    <w:rsid w:val="00D24A45"/>
    <w:rsid w:val="00D25006"/>
    <w:rsid w:val="00D25B36"/>
    <w:rsid w:val="00D2647A"/>
    <w:rsid w:val="00D26F04"/>
    <w:rsid w:val="00D26FE6"/>
    <w:rsid w:val="00D27FE2"/>
    <w:rsid w:val="00D30168"/>
    <w:rsid w:val="00D303C1"/>
    <w:rsid w:val="00D3096B"/>
    <w:rsid w:val="00D31177"/>
    <w:rsid w:val="00D31CA2"/>
    <w:rsid w:val="00D31EC8"/>
    <w:rsid w:val="00D34022"/>
    <w:rsid w:val="00D34EB6"/>
    <w:rsid w:val="00D354EA"/>
    <w:rsid w:val="00D35C46"/>
    <w:rsid w:val="00D35D9E"/>
    <w:rsid w:val="00D36349"/>
    <w:rsid w:val="00D37431"/>
    <w:rsid w:val="00D403DE"/>
    <w:rsid w:val="00D409A8"/>
    <w:rsid w:val="00D40F7F"/>
    <w:rsid w:val="00D42652"/>
    <w:rsid w:val="00D42A4F"/>
    <w:rsid w:val="00D444A3"/>
    <w:rsid w:val="00D45177"/>
    <w:rsid w:val="00D45231"/>
    <w:rsid w:val="00D45582"/>
    <w:rsid w:val="00D45F16"/>
    <w:rsid w:val="00D46C0C"/>
    <w:rsid w:val="00D46E3D"/>
    <w:rsid w:val="00D46EE5"/>
    <w:rsid w:val="00D476B3"/>
    <w:rsid w:val="00D47A9A"/>
    <w:rsid w:val="00D50EFC"/>
    <w:rsid w:val="00D5119C"/>
    <w:rsid w:val="00D52FB7"/>
    <w:rsid w:val="00D531B8"/>
    <w:rsid w:val="00D53357"/>
    <w:rsid w:val="00D5357E"/>
    <w:rsid w:val="00D536C7"/>
    <w:rsid w:val="00D540EF"/>
    <w:rsid w:val="00D54354"/>
    <w:rsid w:val="00D54E31"/>
    <w:rsid w:val="00D551BA"/>
    <w:rsid w:val="00D55E8B"/>
    <w:rsid w:val="00D569F4"/>
    <w:rsid w:val="00D56B2E"/>
    <w:rsid w:val="00D56C24"/>
    <w:rsid w:val="00D57A47"/>
    <w:rsid w:val="00D60684"/>
    <w:rsid w:val="00D615AE"/>
    <w:rsid w:val="00D63A8F"/>
    <w:rsid w:val="00D650F9"/>
    <w:rsid w:val="00D6650F"/>
    <w:rsid w:val="00D70303"/>
    <w:rsid w:val="00D70808"/>
    <w:rsid w:val="00D71306"/>
    <w:rsid w:val="00D74A73"/>
    <w:rsid w:val="00D75D2F"/>
    <w:rsid w:val="00D76037"/>
    <w:rsid w:val="00D77B20"/>
    <w:rsid w:val="00D80277"/>
    <w:rsid w:val="00D8092C"/>
    <w:rsid w:val="00D80CE2"/>
    <w:rsid w:val="00D82A4E"/>
    <w:rsid w:val="00D83EF1"/>
    <w:rsid w:val="00D84959"/>
    <w:rsid w:val="00D84B51"/>
    <w:rsid w:val="00D853E6"/>
    <w:rsid w:val="00D8585C"/>
    <w:rsid w:val="00D859C4"/>
    <w:rsid w:val="00D902CC"/>
    <w:rsid w:val="00D9134C"/>
    <w:rsid w:val="00D93937"/>
    <w:rsid w:val="00D947D2"/>
    <w:rsid w:val="00D959C6"/>
    <w:rsid w:val="00DA04C8"/>
    <w:rsid w:val="00DA284F"/>
    <w:rsid w:val="00DA336F"/>
    <w:rsid w:val="00DA354E"/>
    <w:rsid w:val="00DA379C"/>
    <w:rsid w:val="00DA3C28"/>
    <w:rsid w:val="00DA4142"/>
    <w:rsid w:val="00DA435D"/>
    <w:rsid w:val="00DA67C9"/>
    <w:rsid w:val="00DB1705"/>
    <w:rsid w:val="00DB24F8"/>
    <w:rsid w:val="00DB2B9D"/>
    <w:rsid w:val="00DB6762"/>
    <w:rsid w:val="00DB6868"/>
    <w:rsid w:val="00DB791F"/>
    <w:rsid w:val="00DC199C"/>
    <w:rsid w:val="00DC295E"/>
    <w:rsid w:val="00DC33E6"/>
    <w:rsid w:val="00DC4342"/>
    <w:rsid w:val="00DC4721"/>
    <w:rsid w:val="00DC48C4"/>
    <w:rsid w:val="00DC4D0A"/>
    <w:rsid w:val="00DC53EE"/>
    <w:rsid w:val="00DC60E2"/>
    <w:rsid w:val="00DC6BF9"/>
    <w:rsid w:val="00DC725D"/>
    <w:rsid w:val="00DC726A"/>
    <w:rsid w:val="00DC772C"/>
    <w:rsid w:val="00DC7C5A"/>
    <w:rsid w:val="00DD0B75"/>
    <w:rsid w:val="00DD1395"/>
    <w:rsid w:val="00DD230C"/>
    <w:rsid w:val="00DD4977"/>
    <w:rsid w:val="00DD5DAA"/>
    <w:rsid w:val="00DD5F0C"/>
    <w:rsid w:val="00DD6544"/>
    <w:rsid w:val="00DD6B99"/>
    <w:rsid w:val="00DE1ED5"/>
    <w:rsid w:val="00DE1FFD"/>
    <w:rsid w:val="00DE216A"/>
    <w:rsid w:val="00DE3881"/>
    <w:rsid w:val="00DE42F5"/>
    <w:rsid w:val="00DE4922"/>
    <w:rsid w:val="00DE499E"/>
    <w:rsid w:val="00DE4DF1"/>
    <w:rsid w:val="00DE5787"/>
    <w:rsid w:val="00DE5DBA"/>
    <w:rsid w:val="00DE7DD6"/>
    <w:rsid w:val="00DF027D"/>
    <w:rsid w:val="00DF0571"/>
    <w:rsid w:val="00DF06D1"/>
    <w:rsid w:val="00DF0E26"/>
    <w:rsid w:val="00DF11F2"/>
    <w:rsid w:val="00DF12F4"/>
    <w:rsid w:val="00DF218A"/>
    <w:rsid w:val="00DF21AF"/>
    <w:rsid w:val="00DF2886"/>
    <w:rsid w:val="00DF2F09"/>
    <w:rsid w:val="00DF30CC"/>
    <w:rsid w:val="00DF39FD"/>
    <w:rsid w:val="00DF40FE"/>
    <w:rsid w:val="00DF4ABF"/>
    <w:rsid w:val="00DF5516"/>
    <w:rsid w:val="00DF5817"/>
    <w:rsid w:val="00DF6FCB"/>
    <w:rsid w:val="00E01091"/>
    <w:rsid w:val="00E0111D"/>
    <w:rsid w:val="00E015CA"/>
    <w:rsid w:val="00E01EB7"/>
    <w:rsid w:val="00E037D4"/>
    <w:rsid w:val="00E04C42"/>
    <w:rsid w:val="00E05D63"/>
    <w:rsid w:val="00E06C5E"/>
    <w:rsid w:val="00E06E4C"/>
    <w:rsid w:val="00E1084C"/>
    <w:rsid w:val="00E10A11"/>
    <w:rsid w:val="00E12BB7"/>
    <w:rsid w:val="00E12D5B"/>
    <w:rsid w:val="00E13391"/>
    <w:rsid w:val="00E13492"/>
    <w:rsid w:val="00E15269"/>
    <w:rsid w:val="00E16C73"/>
    <w:rsid w:val="00E16D51"/>
    <w:rsid w:val="00E20236"/>
    <w:rsid w:val="00E212AA"/>
    <w:rsid w:val="00E224C3"/>
    <w:rsid w:val="00E229A4"/>
    <w:rsid w:val="00E22AE4"/>
    <w:rsid w:val="00E23F6D"/>
    <w:rsid w:val="00E25050"/>
    <w:rsid w:val="00E250CA"/>
    <w:rsid w:val="00E2597A"/>
    <w:rsid w:val="00E26271"/>
    <w:rsid w:val="00E27916"/>
    <w:rsid w:val="00E27CC2"/>
    <w:rsid w:val="00E30418"/>
    <w:rsid w:val="00E30ADA"/>
    <w:rsid w:val="00E30BA1"/>
    <w:rsid w:val="00E30E8F"/>
    <w:rsid w:val="00E31723"/>
    <w:rsid w:val="00E32383"/>
    <w:rsid w:val="00E32430"/>
    <w:rsid w:val="00E3249C"/>
    <w:rsid w:val="00E3279C"/>
    <w:rsid w:val="00E33282"/>
    <w:rsid w:val="00E34512"/>
    <w:rsid w:val="00E3763C"/>
    <w:rsid w:val="00E37C11"/>
    <w:rsid w:val="00E40715"/>
    <w:rsid w:val="00E4284D"/>
    <w:rsid w:val="00E43242"/>
    <w:rsid w:val="00E44E2D"/>
    <w:rsid w:val="00E4526F"/>
    <w:rsid w:val="00E45882"/>
    <w:rsid w:val="00E45A6E"/>
    <w:rsid w:val="00E46D28"/>
    <w:rsid w:val="00E4741A"/>
    <w:rsid w:val="00E50E16"/>
    <w:rsid w:val="00E5100F"/>
    <w:rsid w:val="00E513AD"/>
    <w:rsid w:val="00E51565"/>
    <w:rsid w:val="00E521AF"/>
    <w:rsid w:val="00E522B6"/>
    <w:rsid w:val="00E52C50"/>
    <w:rsid w:val="00E52DBE"/>
    <w:rsid w:val="00E53586"/>
    <w:rsid w:val="00E53FC6"/>
    <w:rsid w:val="00E55032"/>
    <w:rsid w:val="00E55041"/>
    <w:rsid w:val="00E55619"/>
    <w:rsid w:val="00E5635A"/>
    <w:rsid w:val="00E564A0"/>
    <w:rsid w:val="00E579AF"/>
    <w:rsid w:val="00E60A26"/>
    <w:rsid w:val="00E60FB5"/>
    <w:rsid w:val="00E61F8B"/>
    <w:rsid w:val="00E635CD"/>
    <w:rsid w:val="00E63D7D"/>
    <w:rsid w:val="00E65661"/>
    <w:rsid w:val="00E677FF"/>
    <w:rsid w:val="00E70D75"/>
    <w:rsid w:val="00E7152D"/>
    <w:rsid w:val="00E7216F"/>
    <w:rsid w:val="00E73C18"/>
    <w:rsid w:val="00E74539"/>
    <w:rsid w:val="00E74E70"/>
    <w:rsid w:val="00E755A6"/>
    <w:rsid w:val="00E75BBB"/>
    <w:rsid w:val="00E766DC"/>
    <w:rsid w:val="00E8063C"/>
    <w:rsid w:val="00E81216"/>
    <w:rsid w:val="00E82763"/>
    <w:rsid w:val="00E83F17"/>
    <w:rsid w:val="00E856F2"/>
    <w:rsid w:val="00E8775C"/>
    <w:rsid w:val="00E90998"/>
    <w:rsid w:val="00E92863"/>
    <w:rsid w:val="00E95AFF"/>
    <w:rsid w:val="00E96148"/>
    <w:rsid w:val="00E96758"/>
    <w:rsid w:val="00E96A83"/>
    <w:rsid w:val="00EA0D71"/>
    <w:rsid w:val="00EA2101"/>
    <w:rsid w:val="00EA2F42"/>
    <w:rsid w:val="00EA2FC7"/>
    <w:rsid w:val="00EA4B7F"/>
    <w:rsid w:val="00EA50F4"/>
    <w:rsid w:val="00EA5EAA"/>
    <w:rsid w:val="00EA7F41"/>
    <w:rsid w:val="00EB10E5"/>
    <w:rsid w:val="00EB2694"/>
    <w:rsid w:val="00EB2A5A"/>
    <w:rsid w:val="00EB37BA"/>
    <w:rsid w:val="00EB39BA"/>
    <w:rsid w:val="00EB4724"/>
    <w:rsid w:val="00EB47DE"/>
    <w:rsid w:val="00EB56AC"/>
    <w:rsid w:val="00EC0395"/>
    <w:rsid w:val="00EC10DF"/>
    <w:rsid w:val="00EC2CEC"/>
    <w:rsid w:val="00EC3559"/>
    <w:rsid w:val="00EC4380"/>
    <w:rsid w:val="00EC45AA"/>
    <w:rsid w:val="00EC4AB7"/>
    <w:rsid w:val="00EC4E4D"/>
    <w:rsid w:val="00EC5922"/>
    <w:rsid w:val="00EC5E8F"/>
    <w:rsid w:val="00EC663E"/>
    <w:rsid w:val="00EC7769"/>
    <w:rsid w:val="00EC78D7"/>
    <w:rsid w:val="00EC7B99"/>
    <w:rsid w:val="00ED0A08"/>
    <w:rsid w:val="00ED2183"/>
    <w:rsid w:val="00ED2950"/>
    <w:rsid w:val="00ED36DF"/>
    <w:rsid w:val="00ED55F4"/>
    <w:rsid w:val="00ED60A5"/>
    <w:rsid w:val="00ED7A04"/>
    <w:rsid w:val="00ED7D21"/>
    <w:rsid w:val="00EE08A7"/>
    <w:rsid w:val="00EE1557"/>
    <w:rsid w:val="00EE1643"/>
    <w:rsid w:val="00EE1BF2"/>
    <w:rsid w:val="00EE2180"/>
    <w:rsid w:val="00EE24E9"/>
    <w:rsid w:val="00EE27A6"/>
    <w:rsid w:val="00EE318D"/>
    <w:rsid w:val="00EE35A9"/>
    <w:rsid w:val="00EE3BB2"/>
    <w:rsid w:val="00EE4564"/>
    <w:rsid w:val="00EE502F"/>
    <w:rsid w:val="00EE62D0"/>
    <w:rsid w:val="00EE73DB"/>
    <w:rsid w:val="00EF29DA"/>
    <w:rsid w:val="00EF45EC"/>
    <w:rsid w:val="00EF493E"/>
    <w:rsid w:val="00EF5084"/>
    <w:rsid w:val="00EF62E1"/>
    <w:rsid w:val="00EF6C41"/>
    <w:rsid w:val="00F01331"/>
    <w:rsid w:val="00F0265C"/>
    <w:rsid w:val="00F04552"/>
    <w:rsid w:val="00F057DC"/>
    <w:rsid w:val="00F05A4C"/>
    <w:rsid w:val="00F0746A"/>
    <w:rsid w:val="00F079C8"/>
    <w:rsid w:val="00F10003"/>
    <w:rsid w:val="00F11A3C"/>
    <w:rsid w:val="00F11F0D"/>
    <w:rsid w:val="00F1265D"/>
    <w:rsid w:val="00F1403C"/>
    <w:rsid w:val="00F145C8"/>
    <w:rsid w:val="00F1463D"/>
    <w:rsid w:val="00F15573"/>
    <w:rsid w:val="00F15CC6"/>
    <w:rsid w:val="00F160C7"/>
    <w:rsid w:val="00F17097"/>
    <w:rsid w:val="00F2072C"/>
    <w:rsid w:val="00F20F82"/>
    <w:rsid w:val="00F21C12"/>
    <w:rsid w:val="00F22801"/>
    <w:rsid w:val="00F23595"/>
    <w:rsid w:val="00F239FC"/>
    <w:rsid w:val="00F25120"/>
    <w:rsid w:val="00F252B7"/>
    <w:rsid w:val="00F264E0"/>
    <w:rsid w:val="00F26CFE"/>
    <w:rsid w:val="00F31A20"/>
    <w:rsid w:val="00F33B01"/>
    <w:rsid w:val="00F34131"/>
    <w:rsid w:val="00F3691B"/>
    <w:rsid w:val="00F369B0"/>
    <w:rsid w:val="00F374AD"/>
    <w:rsid w:val="00F40AC4"/>
    <w:rsid w:val="00F40DE7"/>
    <w:rsid w:val="00F40ED3"/>
    <w:rsid w:val="00F41A4E"/>
    <w:rsid w:val="00F42C3A"/>
    <w:rsid w:val="00F432FC"/>
    <w:rsid w:val="00F433C0"/>
    <w:rsid w:val="00F43AD5"/>
    <w:rsid w:val="00F444DF"/>
    <w:rsid w:val="00F457B0"/>
    <w:rsid w:val="00F47ED4"/>
    <w:rsid w:val="00F50C2E"/>
    <w:rsid w:val="00F50E8F"/>
    <w:rsid w:val="00F5248C"/>
    <w:rsid w:val="00F52EA5"/>
    <w:rsid w:val="00F53AC7"/>
    <w:rsid w:val="00F54FDD"/>
    <w:rsid w:val="00F5671D"/>
    <w:rsid w:val="00F56BA4"/>
    <w:rsid w:val="00F6196D"/>
    <w:rsid w:val="00F6291F"/>
    <w:rsid w:val="00F62D1A"/>
    <w:rsid w:val="00F6322A"/>
    <w:rsid w:val="00F634B3"/>
    <w:rsid w:val="00F63CBE"/>
    <w:rsid w:val="00F63D39"/>
    <w:rsid w:val="00F64364"/>
    <w:rsid w:val="00F65783"/>
    <w:rsid w:val="00F6631E"/>
    <w:rsid w:val="00F6645C"/>
    <w:rsid w:val="00F66777"/>
    <w:rsid w:val="00F708B9"/>
    <w:rsid w:val="00F72635"/>
    <w:rsid w:val="00F738BE"/>
    <w:rsid w:val="00F73938"/>
    <w:rsid w:val="00F73C9C"/>
    <w:rsid w:val="00F73D73"/>
    <w:rsid w:val="00F75E4F"/>
    <w:rsid w:val="00F76199"/>
    <w:rsid w:val="00F76524"/>
    <w:rsid w:val="00F765A1"/>
    <w:rsid w:val="00F77044"/>
    <w:rsid w:val="00F80D4E"/>
    <w:rsid w:val="00F8114B"/>
    <w:rsid w:val="00F81569"/>
    <w:rsid w:val="00F81617"/>
    <w:rsid w:val="00F81692"/>
    <w:rsid w:val="00F81BAE"/>
    <w:rsid w:val="00F82628"/>
    <w:rsid w:val="00F82670"/>
    <w:rsid w:val="00F84C88"/>
    <w:rsid w:val="00F86D8B"/>
    <w:rsid w:val="00F87370"/>
    <w:rsid w:val="00F92608"/>
    <w:rsid w:val="00F939AA"/>
    <w:rsid w:val="00F93A38"/>
    <w:rsid w:val="00F94084"/>
    <w:rsid w:val="00F96E1A"/>
    <w:rsid w:val="00F975DF"/>
    <w:rsid w:val="00F97D80"/>
    <w:rsid w:val="00F97FF2"/>
    <w:rsid w:val="00FA0595"/>
    <w:rsid w:val="00FA2ADB"/>
    <w:rsid w:val="00FA364F"/>
    <w:rsid w:val="00FA3A5A"/>
    <w:rsid w:val="00FA473F"/>
    <w:rsid w:val="00FA5A0D"/>
    <w:rsid w:val="00FB12F3"/>
    <w:rsid w:val="00FB27E8"/>
    <w:rsid w:val="00FB63A0"/>
    <w:rsid w:val="00FB6759"/>
    <w:rsid w:val="00FB79A2"/>
    <w:rsid w:val="00FC026C"/>
    <w:rsid w:val="00FC086B"/>
    <w:rsid w:val="00FC08BB"/>
    <w:rsid w:val="00FC16B0"/>
    <w:rsid w:val="00FC3470"/>
    <w:rsid w:val="00FC3EC8"/>
    <w:rsid w:val="00FC5309"/>
    <w:rsid w:val="00FC675E"/>
    <w:rsid w:val="00FC7AC0"/>
    <w:rsid w:val="00FC7E3D"/>
    <w:rsid w:val="00FD0E3D"/>
    <w:rsid w:val="00FD16C5"/>
    <w:rsid w:val="00FD2B7D"/>
    <w:rsid w:val="00FD2C98"/>
    <w:rsid w:val="00FD3973"/>
    <w:rsid w:val="00FD3A65"/>
    <w:rsid w:val="00FD3C19"/>
    <w:rsid w:val="00FD40B3"/>
    <w:rsid w:val="00FD54F5"/>
    <w:rsid w:val="00FD5E0B"/>
    <w:rsid w:val="00FD6284"/>
    <w:rsid w:val="00FD696A"/>
    <w:rsid w:val="00FE0934"/>
    <w:rsid w:val="00FE140A"/>
    <w:rsid w:val="00FE1CC6"/>
    <w:rsid w:val="00FE3112"/>
    <w:rsid w:val="00FE35D8"/>
    <w:rsid w:val="00FE3A9A"/>
    <w:rsid w:val="00FE412D"/>
    <w:rsid w:val="00FE43A5"/>
    <w:rsid w:val="00FE4437"/>
    <w:rsid w:val="00FE4FE2"/>
    <w:rsid w:val="00FE500F"/>
    <w:rsid w:val="00FE5437"/>
    <w:rsid w:val="00FE6485"/>
    <w:rsid w:val="00FF1A01"/>
    <w:rsid w:val="00FF23FC"/>
    <w:rsid w:val="00FF2A9A"/>
    <w:rsid w:val="00FF36EA"/>
    <w:rsid w:val="00FF3870"/>
    <w:rsid w:val="00FF5463"/>
    <w:rsid w:val="00FF62F4"/>
    <w:rsid w:val="00FF6890"/>
    <w:rsid w:val="00FF6D9F"/>
    <w:rsid w:val="00FF6E0A"/>
    <w:rsid w:val="00FF79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footnote reference" w:uiPriority="99"/>
    <w:lsdException w:name="annotation reference" w:uiPriority="99"/>
    <w:lsdException w:name="Default Paragraph Font" w:uiPriority="1"/>
    <w:lsdException w:name="Body Text" w:uiPriority="99"/>
    <w:lsdException w:name="Hyperlink" w:uiPriority="99"/>
    <w:lsdException w:name="FollowedHyperlink" w:uiPriority="99"/>
    <w:lsdException w:name="Normal (Web)" w:uiPriority="99"/>
    <w:lsdException w:name="No List" w:uiPriority="99"/>
    <w:lsdException w:name="Balloon Text"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77A"/>
    <w:rPr>
      <w:rFonts w:ascii="Arial" w:hAnsi="Arial" w:cs="Arial"/>
      <w:sz w:val="20"/>
      <w:szCs w:val="20"/>
    </w:rPr>
  </w:style>
  <w:style w:type="paragraph" w:styleId="Heading1">
    <w:name w:val="heading 1"/>
    <w:basedOn w:val="Normal"/>
    <w:next w:val="Normal"/>
    <w:link w:val="Heading1Char"/>
    <w:uiPriority w:val="9"/>
    <w:qFormat/>
    <w:rsid w:val="00152C88"/>
    <w:pPr>
      <w:keepNext/>
      <w:keepLines/>
      <w:jc w:val="both"/>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C93C9D"/>
    <w:pPr>
      <w:keepNext/>
      <w:keepLines/>
      <w:numPr>
        <w:ilvl w:val="1"/>
        <w:numId w:val="1"/>
      </w:numPr>
      <w:spacing w:before="200"/>
      <w:ind w:left="0"/>
      <w:outlineLvl w:val="1"/>
    </w:pPr>
    <w:rPr>
      <w:rFonts w:eastAsiaTheme="majorEastAsia"/>
      <w:b/>
      <w:bCs/>
      <w:sz w:val="22"/>
      <w:szCs w:val="22"/>
    </w:rPr>
  </w:style>
  <w:style w:type="paragraph" w:styleId="Heading3">
    <w:name w:val="heading 3"/>
    <w:basedOn w:val="Normal"/>
    <w:next w:val="Normal"/>
    <w:link w:val="Heading3Char"/>
    <w:unhideWhenUsed/>
    <w:qFormat/>
    <w:rsid w:val="00C93C9D"/>
    <w:pPr>
      <w:keepNext/>
      <w:keepLines/>
      <w:numPr>
        <w:ilvl w:val="2"/>
        <w:numId w:val="1"/>
      </w:numPr>
      <w:spacing w:before="200"/>
      <w:ind w:left="0"/>
      <w:jc w:val="both"/>
      <w:outlineLvl w:val="2"/>
    </w:pPr>
    <w:rPr>
      <w:rFonts w:eastAsiaTheme="majorEastAsia"/>
      <w:b/>
      <w:bCs/>
      <w:i/>
    </w:rPr>
  </w:style>
  <w:style w:type="paragraph" w:styleId="Heading4">
    <w:name w:val="heading 4"/>
    <w:basedOn w:val="Normal"/>
    <w:next w:val="Normal"/>
    <w:link w:val="Heading4Char"/>
    <w:uiPriority w:val="9"/>
    <w:semiHidden/>
    <w:unhideWhenUsed/>
    <w:qFormat/>
    <w:rsid w:val="00D902C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902C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902C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902C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902CC"/>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D902CC"/>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E01091"/>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B214C5"/>
    <w:rPr>
      <w:rFonts w:ascii="Lucida Grande" w:hAnsi="Lucida Grande"/>
      <w:sz w:val="18"/>
      <w:szCs w:val="18"/>
    </w:rPr>
  </w:style>
  <w:style w:type="character" w:customStyle="1" w:styleId="BalloonTextChar0">
    <w:name w:val="Balloon Text Char"/>
    <w:basedOn w:val="DefaultParagraphFont"/>
    <w:uiPriority w:val="99"/>
    <w:semiHidden/>
    <w:rsid w:val="00B214C5"/>
    <w:rPr>
      <w:rFonts w:ascii="Lucida Grande" w:hAnsi="Lucida Grande"/>
      <w:sz w:val="18"/>
      <w:szCs w:val="18"/>
    </w:rPr>
  </w:style>
  <w:style w:type="character" w:customStyle="1" w:styleId="BalloonTextChar2">
    <w:name w:val="Balloon Text Char"/>
    <w:basedOn w:val="DefaultParagraphFont"/>
    <w:uiPriority w:val="99"/>
    <w:semiHidden/>
    <w:rsid w:val="00B214C5"/>
    <w:rPr>
      <w:rFonts w:ascii="Lucida Grande" w:hAnsi="Lucida Grande"/>
      <w:sz w:val="18"/>
      <w:szCs w:val="18"/>
    </w:rPr>
  </w:style>
  <w:style w:type="character" w:customStyle="1" w:styleId="BalloonTextChar3">
    <w:name w:val="Balloon Text Char"/>
    <w:basedOn w:val="DefaultParagraphFont"/>
    <w:uiPriority w:val="99"/>
    <w:semiHidden/>
    <w:rsid w:val="00B214C5"/>
    <w:rPr>
      <w:rFonts w:ascii="Lucida Grande" w:hAnsi="Lucida Grande"/>
      <w:sz w:val="18"/>
      <w:szCs w:val="18"/>
    </w:rPr>
  </w:style>
  <w:style w:type="character" w:customStyle="1" w:styleId="Heading1Char">
    <w:name w:val="Heading 1 Char"/>
    <w:basedOn w:val="DefaultParagraphFont"/>
    <w:link w:val="Heading1"/>
    <w:uiPriority w:val="9"/>
    <w:rsid w:val="00152C88"/>
    <w:rPr>
      <w:rFonts w:ascii="Arial" w:eastAsiaTheme="majorEastAsia" w:hAnsi="Arial" w:cs="Arial"/>
      <w:b/>
      <w:bCs/>
      <w:sz w:val="28"/>
      <w:szCs w:val="28"/>
    </w:rPr>
  </w:style>
  <w:style w:type="character" w:customStyle="1" w:styleId="Heading2Char">
    <w:name w:val="Heading 2 Char"/>
    <w:basedOn w:val="DefaultParagraphFont"/>
    <w:link w:val="Heading2"/>
    <w:uiPriority w:val="9"/>
    <w:rsid w:val="00C93C9D"/>
    <w:rPr>
      <w:rFonts w:ascii="Arial" w:eastAsiaTheme="majorEastAsia" w:hAnsi="Arial" w:cs="Arial"/>
      <w:b/>
      <w:bCs/>
    </w:rPr>
  </w:style>
  <w:style w:type="character" w:customStyle="1" w:styleId="Heading3Char">
    <w:name w:val="Heading 3 Char"/>
    <w:basedOn w:val="DefaultParagraphFont"/>
    <w:link w:val="Heading3"/>
    <w:rsid w:val="00C93C9D"/>
    <w:rPr>
      <w:rFonts w:ascii="Arial" w:eastAsiaTheme="majorEastAsia" w:hAnsi="Arial" w:cs="Arial"/>
      <w:b/>
      <w:bCs/>
      <w:i/>
      <w:sz w:val="20"/>
      <w:szCs w:val="20"/>
    </w:rPr>
  </w:style>
  <w:style w:type="character" w:customStyle="1" w:styleId="Heading4Char">
    <w:name w:val="Heading 4 Char"/>
    <w:basedOn w:val="DefaultParagraphFont"/>
    <w:link w:val="Heading4"/>
    <w:uiPriority w:val="9"/>
    <w:semiHidden/>
    <w:rsid w:val="00D902CC"/>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D902CC"/>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D902CC"/>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D902CC"/>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D902C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902CC"/>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FF38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4531"/>
    <w:pPr>
      <w:numPr>
        <w:numId w:val="3"/>
      </w:numPr>
    </w:pPr>
  </w:style>
  <w:style w:type="character" w:customStyle="1" w:styleId="BalloonTextChar1">
    <w:name w:val="Balloon Text Char1"/>
    <w:basedOn w:val="DefaultParagraphFont"/>
    <w:link w:val="BalloonText"/>
    <w:uiPriority w:val="99"/>
    <w:semiHidden/>
    <w:rsid w:val="00E01091"/>
    <w:rPr>
      <w:rFonts w:ascii="Tahoma" w:hAnsi="Tahoma" w:cs="Tahoma"/>
      <w:sz w:val="16"/>
      <w:szCs w:val="16"/>
    </w:rPr>
  </w:style>
  <w:style w:type="paragraph" w:styleId="Header">
    <w:name w:val="header"/>
    <w:basedOn w:val="Normal"/>
    <w:link w:val="HeaderChar"/>
    <w:unhideWhenUsed/>
    <w:rsid w:val="00E01091"/>
    <w:pPr>
      <w:tabs>
        <w:tab w:val="center" w:pos="4680"/>
        <w:tab w:val="right" w:pos="9360"/>
      </w:tabs>
      <w:spacing w:after="0" w:line="240" w:lineRule="auto"/>
    </w:pPr>
  </w:style>
  <w:style w:type="character" w:customStyle="1" w:styleId="HeaderChar">
    <w:name w:val="Header Char"/>
    <w:basedOn w:val="DefaultParagraphFont"/>
    <w:link w:val="Header"/>
    <w:rsid w:val="00E01091"/>
    <w:rPr>
      <w:rFonts w:ascii="Arial" w:hAnsi="Arial" w:cs="Arial"/>
      <w:sz w:val="20"/>
      <w:szCs w:val="20"/>
    </w:rPr>
  </w:style>
  <w:style w:type="paragraph" w:styleId="Footer">
    <w:name w:val="footer"/>
    <w:basedOn w:val="Normal"/>
    <w:link w:val="FooterChar"/>
    <w:uiPriority w:val="99"/>
    <w:unhideWhenUsed/>
    <w:rsid w:val="00B36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BC1"/>
    <w:rPr>
      <w:rFonts w:ascii="Arial" w:hAnsi="Arial" w:cs="Arial"/>
      <w:sz w:val="20"/>
      <w:szCs w:val="20"/>
    </w:rPr>
  </w:style>
  <w:style w:type="paragraph" w:styleId="TOCHeading">
    <w:name w:val="TOC Heading"/>
    <w:basedOn w:val="Heading1"/>
    <w:next w:val="Normal"/>
    <w:uiPriority w:val="39"/>
    <w:unhideWhenUsed/>
    <w:qFormat/>
    <w:rsid w:val="00576919"/>
    <w:pPr>
      <w:outlineLvl w:val="9"/>
    </w:pPr>
    <w:rPr>
      <w:rFonts w:asciiTheme="majorHAnsi" w:hAnsiTheme="majorHAnsi" w:cstheme="majorBidi"/>
      <w:color w:val="365F91" w:themeColor="accent1" w:themeShade="BF"/>
      <w:lang w:eastAsia="ja-JP"/>
    </w:rPr>
  </w:style>
  <w:style w:type="paragraph" w:styleId="TOC1">
    <w:name w:val="toc 1"/>
    <w:basedOn w:val="Normal"/>
    <w:next w:val="Normal"/>
    <w:autoRedefine/>
    <w:uiPriority w:val="39"/>
    <w:unhideWhenUsed/>
    <w:qFormat/>
    <w:rsid w:val="00576919"/>
    <w:pPr>
      <w:spacing w:after="100"/>
    </w:pPr>
  </w:style>
  <w:style w:type="paragraph" w:styleId="TOC2">
    <w:name w:val="toc 2"/>
    <w:basedOn w:val="Normal"/>
    <w:next w:val="Normal"/>
    <w:autoRedefine/>
    <w:uiPriority w:val="39"/>
    <w:unhideWhenUsed/>
    <w:qFormat/>
    <w:rsid w:val="00576919"/>
    <w:pPr>
      <w:spacing w:after="100"/>
      <w:ind w:left="200"/>
    </w:pPr>
  </w:style>
  <w:style w:type="paragraph" w:styleId="TOC3">
    <w:name w:val="toc 3"/>
    <w:basedOn w:val="Normal"/>
    <w:next w:val="Normal"/>
    <w:autoRedefine/>
    <w:uiPriority w:val="39"/>
    <w:unhideWhenUsed/>
    <w:qFormat/>
    <w:rsid w:val="00576919"/>
    <w:pPr>
      <w:spacing w:after="100"/>
      <w:ind w:left="400"/>
    </w:pPr>
  </w:style>
  <w:style w:type="character" w:styleId="Hyperlink">
    <w:name w:val="Hyperlink"/>
    <w:basedOn w:val="DefaultParagraphFont"/>
    <w:uiPriority w:val="99"/>
    <w:unhideWhenUsed/>
    <w:rsid w:val="00576919"/>
    <w:rPr>
      <w:color w:val="0000FF" w:themeColor="hyperlink"/>
      <w:u w:val="single"/>
    </w:rPr>
  </w:style>
  <w:style w:type="paragraph" w:styleId="FootnoteText">
    <w:name w:val="footnote text"/>
    <w:basedOn w:val="Normal"/>
    <w:link w:val="FootnoteTextChar"/>
    <w:unhideWhenUsed/>
    <w:rsid w:val="00C76781"/>
    <w:pPr>
      <w:spacing w:after="120" w:line="240" w:lineRule="auto"/>
    </w:pPr>
    <w:rPr>
      <w:sz w:val="16"/>
    </w:rPr>
  </w:style>
  <w:style w:type="character" w:customStyle="1" w:styleId="FootnoteTextChar">
    <w:name w:val="Footnote Text Char"/>
    <w:basedOn w:val="DefaultParagraphFont"/>
    <w:link w:val="FootnoteText"/>
    <w:rsid w:val="00C76781"/>
    <w:rPr>
      <w:rFonts w:ascii="Arial" w:hAnsi="Arial" w:cs="Arial"/>
      <w:sz w:val="16"/>
      <w:szCs w:val="20"/>
    </w:rPr>
  </w:style>
  <w:style w:type="character" w:styleId="FootnoteReference">
    <w:name w:val="footnote reference"/>
    <w:basedOn w:val="DefaultParagraphFont"/>
    <w:uiPriority w:val="99"/>
    <w:unhideWhenUsed/>
    <w:rsid w:val="003828FB"/>
    <w:rPr>
      <w:vertAlign w:val="superscript"/>
    </w:rPr>
  </w:style>
  <w:style w:type="paragraph" w:styleId="NormalWeb">
    <w:name w:val="Normal (Web)"/>
    <w:basedOn w:val="Normal"/>
    <w:uiPriority w:val="99"/>
    <w:rsid w:val="00576F3B"/>
    <w:pPr>
      <w:spacing w:beforeLines="1" w:afterLines="1" w:line="240" w:lineRule="auto"/>
    </w:pPr>
    <w:rPr>
      <w:rFonts w:ascii="Times" w:hAnsi="Times" w:cs="Times New Roman"/>
    </w:rPr>
  </w:style>
  <w:style w:type="paragraph" w:customStyle="1" w:styleId="Footnote">
    <w:name w:val="Footnote"/>
    <w:basedOn w:val="FootnoteText"/>
    <w:link w:val="FootnoteChar"/>
    <w:qFormat/>
    <w:rsid w:val="000A3961"/>
    <w:rPr>
      <w:szCs w:val="16"/>
    </w:rPr>
  </w:style>
  <w:style w:type="character" w:customStyle="1" w:styleId="FootnoteChar">
    <w:name w:val="Footnote Char"/>
    <w:basedOn w:val="FootnoteTextChar"/>
    <w:link w:val="Footnote"/>
    <w:rsid w:val="000A3961"/>
    <w:rPr>
      <w:rFonts w:ascii="Arial" w:hAnsi="Arial" w:cs="Arial"/>
      <w:sz w:val="16"/>
      <w:szCs w:val="16"/>
    </w:rPr>
  </w:style>
  <w:style w:type="paragraph" w:styleId="TOC4">
    <w:name w:val="toc 4"/>
    <w:basedOn w:val="Normal"/>
    <w:next w:val="Normal"/>
    <w:autoRedefine/>
    <w:uiPriority w:val="39"/>
    <w:unhideWhenUsed/>
    <w:rsid w:val="00115BC1"/>
    <w:pPr>
      <w:spacing w:after="100" w:line="240" w:lineRule="auto"/>
      <w:ind w:left="720"/>
    </w:pPr>
    <w:rPr>
      <w:rFonts w:asciiTheme="minorHAnsi" w:eastAsiaTheme="minorEastAsia" w:hAnsiTheme="minorHAnsi" w:cstheme="minorBidi"/>
      <w:sz w:val="24"/>
      <w:szCs w:val="24"/>
    </w:rPr>
  </w:style>
  <w:style w:type="paragraph" w:styleId="TOC5">
    <w:name w:val="toc 5"/>
    <w:basedOn w:val="Normal"/>
    <w:next w:val="Normal"/>
    <w:autoRedefine/>
    <w:uiPriority w:val="39"/>
    <w:unhideWhenUsed/>
    <w:rsid w:val="00115BC1"/>
    <w:pPr>
      <w:spacing w:after="100" w:line="240" w:lineRule="auto"/>
      <w:ind w:left="960"/>
    </w:pPr>
    <w:rPr>
      <w:rFonts w:asciiTheme="minorHAnsi" w:eastAsiaTheme="minorEastAsia" w:hAnsiTheme="minorHAnsi" w:cstheme="minorBidi"/>
      <w:sz w:val="24"/>
      <w:szCs w:val="24"/>
    </w:rPr>
  </w:style>
  <w:style w:type="paragraph" w:styleId="TOC6">
    <w:name w:val="toc 6"/>
    <w:basedOn w:val="Normal"/>
    <w:next w:val="Normal"/>
    <w:autoRedefine/>
    <w:uiPriority w:val="39"/>
    <w:unhideWhenUsed/>
    <w:rsid w:val="00115BC1"/>
    <w:pPr>
      <w:spacing w:after="100" w:line="240" w:lineRule="auto"/>
      <w:ind w:left="1200"/>
    </w:pPr>
    <w:rPr>
      <w:rFonts w:asciiTheme="minorHAnsi" w:eastAsiaTheme="minorEastAsia" w:hAnsiTheme="minorHAnsi" w:cstheme="minorBidi"/>
      <w:sz w:val="24"/>
      <w:szCs w:val="24"/>
    </w:rPr>
  </w:style>
  <w:style w:type="paragraph" w:styleId="TOC7">
    <w:name w:val="toc 7"/>
    <w:basedOn w:val="Normal"/>
    <w:next w:val="Normal"/>
    <w:autoRedefine/>
    <w:uiPriority w:val="39"/>
    <w:unhideWhenUsed/>
    <w:rsid w:val="00115BC1"/>
    <w:pPr>
      <w:spacing w:after="100" w:line="240" w:lineRule="auto"/>
      <w:ind w:left="1440"/>
    </w:pPr>
    <w:rPr>
      <w:rFonts w:asciiTheme="minorHAnsi" w:eastAsiaTheme="minorEastAsia" w:hAnsiTheme="minorHAnsi" w:cstheme="minorBidi"/>
      <w:sz w:val="24"/>
      <w:szCs w:val="24"/>
    </w:rPr>
  </w:style>
  <w:style w:type="paragraph" w:styleId="TOC8">
    <w:name w:val="toc 8"/>
    <w:basedOn w:val="Normal"/>
    <w:next w:val="Normal"/>
    <w:autoRedefine/>
    <w:uiPriority w:val="39"/>
    <w:unhideWhenUsed/>
    <w:rsid w:val="00115BC1"/>
    <w:pPr>
      <w:spacing w:after="100" w:line="240" w:lineRule="auto"/>
      <w:ind w:left="1680"/>
    </w:pPr>
    <w:rPr>
      <w:rFonts w:asciiTheme="minorHAnsi" w:eastAsiaTheme="minorEastAsia" w:hAnsiTheme="minorHAnsi" w:cstheme="minorBidi"/>
      <w:sz w:val="24"/>
      <w:szCs w:val="24"/>
    </w:rPr>
  </w:style>
  <w:style w:type="paragraph" w:styleId="TOC9">
    <w:name w:val="toc 9"/>
    <w:basedOn w:val="Normal"/>
    <w:next w:val="Normal"/>
    <w:autoRedefine/>
    <w:uiPriority w:val="39"/>
    <w:unhideWhenUsed/>
    <w:rsid w:val="00115BC1"/>
    <w:pPr>
      <w:spacing w:after="100" w:line="240" w:lineRule="auto"/>
      <w:ind w:left="1920"/>
    </w:pPr>
    <w:rPr>
      <w:rFonts w:asciiTheme="minorHAnsi" w:eastAsiaTheme="minorEastAsia" w:hAnsiTheme="minorHAnsi" w:cstheme="minorBidi"/>
      <w:sz w:val="24"/>
      <w:szCs w:val="24"/>
    </w:rPr>
  </w:style>
  <w:style w:type="numbering" w:customStyle="1" w:styleId="NoList1">
    <w:name w:val="No List1"/>
    <w:next w:val="NoList"/>
    <w:uiPriority w:val="99"/>
    <w:semiHidden/>
    <w:unhideWhenUsed/>
    <w:rsid w:val="005827A4"/>
  </w:style>
  <w:style w:type="paragraph" w:customStyle="1" w:styleId="bulletandquote">
    <w:name w:val="bullet and quote"/>
    <w:basedOn w:val="Normal"/>
    <w:qFormat/>
    <w:rsid w:val="005827A4"/>
    <w:pPr>
      <w:numPr>
        <w:numId w:val="29"/>
      </w:numPr>
      <w:spacing w:after="0" w:line="240" w:lineRule="auto"/>
      <w:jc w:val="both"/>
    </w:pPr>
    <w:rPr>
      <w:rFonts w:ascii="Times New Roman" w:eastAsia="Cambria" w:hAnsi="Times New Roman" w:cs="Times New Roman"/>
      <w:i/>
      <w:sz w:val="24"/>
      <w:szCs w:val="24"/>
    </w:rPr>
  </w:style>
  <w:style w:type="paragraph" w:customStyle="1" w:styleId="Default">
    <w:name w:val="Default"/>
    <w:rsid w:val="005827A4"/>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
    <w:name w:val="CM1"/>
    <w:basedOn w:val="Default"/>
    <w:next w:val="Default"/>
    <w:rsid w:val="005827A4"/>
  </w:style>
  <w:style w:type="paragraph" w:customStyle="1" w:styleId="CM4">
    <w:name w:val="CM4"/>
    <w:basedOn w:val="Default"/>
    <w:next w:val="Default"/>
    <w:rsid w:val="005827A4"/>
  </w:style>
  <w:style w:type="paragraph" w:customStyle="1" w:styleId="CM2">
    <w:name w:val="CM2"/>
    <w:basedOn w:val="Default"/>
    <w:next w:val="Default"/>
    <w:rsid w:val="005827A4"/>
  </w:style>
  <w:style w:type="paragraph" w:customStyle="1" w:styleId="CM3">
    <w:name w:val="CM3"/>
    <w:basedOn w:val="Default"/>
    <w:next w:val="Default"/>
    <w:rsid w:val="005827A4"/>
  </w:style>
  <w:style w:type="paragraph" w:customStyle="1" w:styleId="Memoheading">
    <w:name w:val="Memo heading"/>
    <w:rsid w:val="005827A4"/>
    <w:pPr>
      <w:spacing w:after="0" w:line="240" w:lineRule="auto"/>
    </w:pPr>
    <w:rPr>
      <w:rFonts w:ascii="Times New Roman" w:eastAsia="Times New Roman" w:hAnsi="Times New Roman" w:cs="Times New Roman"/>
      <w:noProof/>
      <w:sz w:val="20"/>
      <w:szCs w:val="20"/>
    </w:rPr>
  </w:style>
  <w:style w:type="paragraph" w:styleId="PlainText">
    <w:name w:val="Plain Text"/>
    <w:basedOn w:val="Normal"/>
    <w:link w:val="PlainTextChar"/>
    <w:rsid w:val="005827A4"/>
    <w:pPr>
      <w:spacing w:after="0" w:line="240" w:lineRule="auto"/>
    </w:pPr>
    <w:rPr>
      <w:rFonts w:ascii="Consolas" w:eastAsia="Times New Roman" w:hAnsi="Consolas" w:cs="Times New Roman"/>
      <w:sz w:val="21"/>
      <w:szCs w:val="21"/>
      <w:lang w:val="en-GB"/>
    </w:rPr>
  </w:style>
  <w:style w:type="character" w:customStyle="1" w:styleId="PlainTextChar">
    <w:name w:val="Plain Text Char"/>
    <w:basedOn w:val="DefaultParagraphFont"/>
    <w:link w:val="PlainText"/>
    <w:rsid w:val="005827A4"/>
    <w:rPr>
      <w:rFonts w:ascii="Consolas" w:eastAsia="Times New Roman" w:hAnsi="Consolas" w:cs="Times New Roman"/>
      <w:sz w:val="21"/>
      <w:szCs w:val="21"/>
      <w:lang w:val="en-GB"/>
    </w:rPr>
  </w:style>
  <w:style w:type="character" w:styleId="PageNumber">
    <w:name w:val="page number"/>
    <w:basedOn w:val="DefaultParagraphFont"/>
    <w:rsid w:val="005827A4"/>
  </w:style>
  <w:style w:type="table" w:customStyle="1" w:styleId="TableGrid1">
    <w:name w:val="Table Grid1"/>
    <w:basedOn w:val="TableNormal"/>
    <w:next w:val="TableGrid"/>
    <w:uiPriority w:val="59"/>
    <w:rsid w:val="005827A4"/>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0F2157"/>
    <w:rPr>
      <w:sz w:val="18"/>
      <w:szCs w:val="18"/>
    </w:rPr>
  </w:style>
  <w:style w:type="paragraph" w:styleId="CommentText">
    <w:name w:val="annotation text"/>
    <w:basedOn w:val="Normal"/>
    <w:link w:val="CommentTextChar"/>
    <w:uiPriority w:val="99"/>
    <w:rsid w:val="000F2157"/>
    <w:pPr>
      <w:spacing w:line="240" w:lineRule="auto"/>
    </w:pPr>
    <w:rPr>
      <w:sz w:val="24"/>
      <w:szCs w:val="24"/>
    </w:rPr>
  </w:style>
  <w:style w:type="character" w:customStyle="1" w:styleId="CommentTextChar">
    <w:name w:val="Comment Text Char"/>
    <w:basedOn w:val="DefaultParagraphFont"/>
    <w:link w:val="CommentText"/>
    <w:uiPriority w:val="99"/>
    <w:rsid w:val="000F2157"/>
    <w:rPr>
      <w:rFonts w:ascii="Arial" w:hAnsi="Arial" w:cs="Arial"/>
      <w:sz w:val="24"/>
      <w:szCs w:val="24"/>
    </w:rPr>
  </w:style>
  <w:style w:type="paragraph" w:styleId="CommentSubject">
    <w:name w:val="annotation subject"/>
    <w:basedOn w:val="CommentText"/>
    <w:next w:val="CommentText"/>
    <w:link w:val="CommentSubjectChar"/>
    <w:rsid w:val="000F2157"/>
    <w:rPr>
      <w:b/>
      <w:bCs/>
      <w:sz w:val="20"/>
      <w:szCs w:val="20"/>
    </w:rPr>
  </w:style>
  <w:style w:type="character" w:customStyle="1" w:styleId="CommentSubjectChar">
    <w:name w:val="Comment Subject Char"/>
    <w:basedOn w:val="CommentTextChar"/>
    <w:link w:val="CommentSubject"/>
    <w:rsid w:val="000F2157"/>
    <w:rPr>
      <w:rFonts w:ascii="Arial" w:hAnsi="Arial" w:cs="Arial"/>
      <w:b/>
      <w:bCs/>
      <w:sz w:val="20"/>
      <w:szCs w:val="20"/>
    </w:rPr>
  </w:style>
  <w:style w:type="character" w:customStyle="1" w:styleId="s-pref-r-pane">
    <w:name w:val="s-pref-r-pane"/>
    <w:basedOn w:val="DefaultParagraphFont"/>
    <w:rsid w:val="00080B0D"/>
  </w:style>
  <w:style w:type="character" w:styleId="SubtleEmphasis">
    <w:name w:val="Subtle Emphasis"/>
    <w:basedOn w:val="DefaultParagraphFont"/>
    <w:uiPriority w:val="19"/>
    <w:qFormat/>
    <w:rsid w:val="00ED60A5"/>
    <w:rPr>
      <w:i/>
      <w:iCs/>
      <w:color w:val="808080" w:themeColor="text1" w:themeTint="7F"/>
    </w:rPr>
  </w:style>
  <w:style w:type="character" w:styleId="FollowedHyperlink">
    <w:name w:val="FollowedHyperlink"/>
    <w:basedOn w:val="DefaultParagraphFont"/>
    <w:uiPriority w:val="99"/>
    <w:unhideWhenUsed/>
    <w:rsid w:val="00815989"/>
    <w:rPr>
      <w:color w:val="800080"/>
      <w:u w:val="single"/>
    </w:rPr>
  </w:style>
  <w:style w:type="table" w:customStyle="1" w:styleId="TableGrid2">
    <w:name w:val="Table Grid2"/>
    <w:basedOn w:val="TableNormal"/>
    <w:next w:val="TableGrid"/>
    <w:uiPriority w:val="59"/>
    <w:rsid w:val="003060E4"/>
    <w:pPr>
      <w:spacing w:after="0" w:line="240" w:lineRule="auto"/>
    </w:pPr>
    <w:rPr>
      <w:rFonts w:eastAsia="MS Mincho"/>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arkList-Accent21">
    <w:name w:val="Dark List - Accent 21"/>
    <w:basedOn w:val="TableNormal"/>
    <w:next w:val="DarkList-Accent2"/>
    <w:uiPriority w:val="70"/>
    <w:rsid w:val="0066629B"/>
    <w:pPr>
      <w:spacing w:after="0" w:line="240" w:lineRule="auto"/>
    </w:pPr>
    <w:rPr>
      <w:rFonts w:eastAsia="MS Mincho"/>
      <w:color w:val="FFFFFF"/>
      <w:sz w:val="24"/>
      <w:szCs w:val="24"/>
      <w:lang w:eastAsia="ja-JP"/>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2">
    <w:name w:val="Dark List Accent 2"/>
    <w:basedOn w:val="TableNormal"/>
    <w:rsid w:val="0066629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paragraph" w:styleId="Revision">
    <w:name w:val="Revision"/>
    <w:hidden/>
    <w:rsid w:val="00BC04E1"/>
    <w:pPr>
      <w:spacing w:after="0" w:line="240" w:lineRule="auto"/>
    </w:pPr>
    <w:rPr>
      <w:rFonts w:ascii="Arial" w:hAnsi="Arial" w:cs="Arial"/>
      <w:sz w:val="20"/>
      <w:szCs w:val="20"/>
    </w:rPr>
  </w:style>
  <w:style w:type="paragraph" w:customStyle="1" w:styleId="unknownstyle">
    <w:name w:val="unknown style"/>
    <w:uiPriority w:val="99"/>
    <w:rsid w:val="009433D0"/>
    <w:pPr>
      <w:widowControl w:val="0"/>
      <w:overflowPunct w:val="0"/>
      <w:autoSpaceDE w:val="0"/>
      <w:autoSpaceDN w:val="0"/>
      <w:adjustRightInd w:val="0"/>
      <w:spacing w:after="0" w:line="273" w:lineRule="auto"/>
    </w:pPr>
    <w:rPr>
      <w:rFonts w:ascii="Gill Sans MT" w:eastAsia="Times New Roman" w:hAnsi="Gill Sans MT" w:cs="Gill Sans MT"/>
      <w:caps/>
      <w:color w:val="000000"/>
      <w:kern w:val="28"/>
      <w:sz w:val="17"/>
      <w:szCs w:val="17"/>
      <w:lang w:val="fr-CH" w:eastAsia="fr-CH"/>
    </w:rPr>
  </w:style>
  <w:style w:type="paragraph" w:styleId="BodyText">
    <w:name w:val="Body Text"/>
    <w:basedOn w:val="Normal"/>
    <w:link w:val="BodyTextChar"/>
    <w:uiPriority w:val="99"/>
    <w:rsid w:val="009433D0"/>
    <w:pPr>
      <w:widowControl w:val="0"/>
      <w:overflowPunct w:val="0"/>
      <w:autoSpaceDE w:val="0"/>
      <w:autoSpaceDN w:val="0"/>
      <w:adjustRightInd w:val="0"/>
      <w:spacing w:after="180" w:line="300" w:lineRule="auto"/>
    </w:pPr>
    <w:rPr>
      <w:rFonts w:ascii="Papyrus" w:eastAsia="Times New Roman" w:hAnsi="Papyrus" w:cs="Papyrus"/>
      <w:color w:val="000000"/>
      <w:kern w:val="28"/>
      <w:sz w:val="22"/>
      <w:szCs w:val="22"/>
      <w:lang w:val="fr-CH" w:eastAsia="fr-CH"/>
    </w:rPr>
  </w:style>
  <w:style w:type="character" w:customStyle="1" w:styleId="BodyTextChar">
    <w:name w:val="Body Text Char"/>
    <w:basedOn w:val="DefaultParagraphFont"/>
    <w:link w:val="BodyText"/>
    <w:uiPriority w:val="99"/>
    <w:rsid w:val="009433D0"/>
    <w:rPr>
      <w:rFonts w:ascii="Papyrus" w:eastAsia="Times New Roman" w:hAnsi="Papyrus" w:cs="Papyrus"/>
      <w:color w:val="000000"/>
      <w:kern w:val="28"/>
      <w:lang w:val="fr-CH" w:eastAsia="fr-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note reference" w:uiPriority="99"/>
    <w:lsdException w:name="annotation reference" w:uiPriority="99"/>
    <w:lsdException w:name="Hyperlink" w:uiPriority="99"/>
    <w:lsdException w:name="FollowedHyperlink" w:uiPriority="99"/>
    <w:lsdException w:name="Normal (Web)" w:uiPriority="99"/>
    <w:lsdException w:name="No List" w:uiPriority="99"/>
    <w:lsdException w:name="Balloon Text"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77A"/>
    <w:rPr>
      <w:rFonts w:ascii="Arial" w:hAnsi="Arial" w:cs="Arial"/>
      <w:sz w:val="20"/>
      <w:szCs w:val="20"/>
    </w:rPr>
  </w:style>
  <w:style w:type="paragraph" w:styleId="Heading1">
    <w:name w:val="heading 1"/>
    <w:basedOn w:val="Normal"/>
    <w:next w:val="Normal"/>
    <w:link w:val="Heading1Char"/>
    <w:uiPriority w:val="9"/>
    <w:qFormat/>
    <w:rsid w:val="003828FB"/>
    <w:pPr>
      <w:keepNext/>
      <w:keepLines/>
      <w:numPr>
        <w:numId w:val="1"/>
      </w:numPr>
      <w:spacing w:before="48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C93C9D"/>
    <w:pPr>
      <w:keepNext/>
      <w:keepLines/>
      <w:numPr>
        <w:ilvl w:val="1"/>
        <w:numId w:val="1"/>
      </w:numPr>
      <w:spacing w:before="200"/>
      <w:ind w:left="0"/>
      <w:outlineLvl w:val="1"/>
    </w:pPr>
    <w:rPr>
      <w:rFonts w:eastAsiaTheme="majorEastAsia"/>
      <w:b/>
      <w:bCs/>
      <w:sz w:val="22"/>
      <w:szCs w:val="22"/>
    </w:rPr>
  </w:style>
  <w:style w:type="paragraph" w:styleId="Heading3">
    <w:name w:val="heading 3"/>
    <w:basedOn w:val="Normal"/>
    <w:next w:val="Normal"/>
    <w:link w:val="Heading3Char"/>
    <w:unhideWhenUsed/>
    <w:qFormat/>
    <w:rsid w:val="00C93C9D"/>
    <w:pPr>
      <w:keepNext/>
      <w:keepLines/>
      <w:numPr>
        <w:ilvl w:val="2"/>
        <w:numId w:val="1"/>
      </w:numPr>
      <w:spacing w:before="200"/>
      <w:ind w:left="0"/>
      <w:jc w:val="both"/>
      <w:outlineLvl w:val="2"/>
    </w:pPr>
    <w:rPr>
      <w:rFonts w:eastAsiaTheme="majorEastAsia"/>
      <w:b/>
      <w:bCs/>
      <w:i/>
    </w:rPr>
  </w:style>
  <w:style w:type="paragraph" w:styleId="Heading4">
    <w:name w:val="heading 4"/>
    <w:basedOn w:val="Normal"/>
    <w:next w:val="Normal"/>
    <w:link w:val="Heading4Char"/>
    <w:uiPriority w:val="9"/>
    <w:semiHidden/>
    <w:unhideWhenUsed/>
    <w:qFormat/>
    <w:rsid w:val="00D902C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902C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902C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902C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902CC"/>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D902CC"/>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E01091"/>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B214C5"/>
    <w:rPr>
      <w:rFonts w:ascii="Lucida Grande" w:hAnsi="Lucida Grande"/>
      <w:sz w:val="18"/>
      <w:szCs w:val="18"/>
    </w:rPr>
  </w:style>
  <w:style w:type="character" w:customStyle="1" w:styleId="BalloonTextChar0">
    <w:name w:val="Balloon Text Char"/>
    <w:basedOn w:val="DefaultParagraphFont"/>
    <w:uiPriority w:val="99"/>
    <w:semiHidden/>
    <w:rsid w:val="00B214C5"/>
    <w:rPr>
      <w:rFonts w:ascii="Lucida Grande" w:hAnsi="Lucida Grande"/>
      <w:sz w:val="18"/>
      <w:szCs w:val="18"/>
    </w:rPr>
  </w:style>
  <w:style w:type="character" w:customStyle="1" w:styleId="BalloonTextChar2">
    <w:name w:val="Balloon Text Char"/>
    <w:basedOn w:val="DefaultParagraphFont"/>
    <w:uiPriority w:val="99"/>
    <w:semiHidden/>
    <w:rsid w:val="00B214C5"/>
    <w:rPr>
      <w:rFonts w:ascii="Lucida Grande" w:hAnsi="Lucida Grande"/>
      <w:sz w:val="18"/>
      <w:szCs w:val="18"/>
    </w:rPr>
  </w:style>
  <w:style w:type="character" w:customStyle="1" w:styleId="BalloonTextChar3">
    <w:name w:val="Balloon Text Char"/>
    <w:basedOn w:val="DefaultParagraphFont"/>
    <w:uiPriority w:val="99"/>
    <w:semiHidden/>
    <w:rsid w:val="00B214C5"/>
    <w:rPr>
      <w:rFonts w:ascii="Lucida Grande" w:hAnsi="Lucida Grande"/>
      <w:sz w:val="18"/>
      <w:szCs w:val="18"/>
    </w:rPr>
  </w:style>
  <w:style w:type="character" w:customStyle="1" w:styleId="Heading1Char">
    <w:name w:val="Heading 1 Char"/>
    <w:basedOn w:val="DefaultParagraphFont"/>
    <w:link w:val="Heading1"/>
    <w:uiPriority w:val="9"/>
    <w:rsid w:val="003828FB"/>
    <w:rPr>
      <w:rFonts w:ascii="Arial" w:eastAsiaTheme="majorEastAsia" w:hAnsi="Arial" w:cs="Arial"/>
      <w:b/>
      <w:bCs/>
      <w:sz w:val="28"/>
      <w:szCs w:val="28"/>
    </w:rPr>
  </w:style>
  <w:style w:type="character" w:customStyle="1" w:styleId="Heading2Char">
    <w:name w:val="Heading 2 Char"/>
    <w:basedOn w:val="DefaultParagraphFont"/>
    <w:link w:val="Heading2"/>
    <w:uiPriority w:val="9"/>
    <w:rsid w:val="00C93C9D"/>
    <w:rPr>
      <w:rFonts w:ascii="Arial" w:eastAsiaTheme="majorEastAsia" w:hAnsi="Arial" w:cs="Arial"/>
      <w:b/>
      <w:bCs/>
    </w:rPr>
  </w:style>
  <w:style w:type="character" w:customStyle="1" w:styleId="Heading3Char">
    <w:name w:val="Heading 3 Char"/>
    <w:basedOn w:val="DefaultParagraphFont"/>
    <w:link w:val="Heading3"/>
    <w:rsid w:val="00C93C9D"/>
    <w:rPr>
      <w:rFonts w:ascii="Arial" w:eastAsiaTheme="majorEastAsia" w:hAnsi="Arial" w:cs="Arial"/>
      <w:b/>
      <w:bCs/>
      <w:i/>
      <w:sz w:val="20"/>
      <w:szCs w:val="20"/>
    </w:rPr>
  </w:style>
  <w:style w:type="character" w:customStyle="1" w:styleId="Heading4Char">
    <w:name w:val="Heading 4 Char"/>
    <w:basedOn w:val="DefaultParagraphFont"/>
    <w:link w:val="Heading4"/>
    <w:uiPriority w:val="9"/>
    <w:semiHidden/>
    <w:rsid w:val="00D902CC"/>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D902CC"/>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D902CC"/>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D902CC"/>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D902C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902CC"/>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FF38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4531"/>
    <w:pPr>
      <w:numPr>
        <w:numId w:val="3"/>
      </w:numPr>
    </w:pPr>
  </w:style>
  <w:style w:type="character" w:customStyle="1" w:styleId="BalloonTextChar1">
    <w:name w:val="Balloon Text Char1"/>
    <w:basedOn w:val="DefaultParagraphFont"/>
    <w:link w:val="BalloonText"/>
    <w:uiPriority w:val="99"/>
    <w:semiHidden/>
    <w:rsid w:val="00E01091"/>
    <w:rPr>
      <w:rFonts w:ascii="Tahoma" w:hAnsi="Tahoma" w:cs="Tahoma"/>
      <w:sz w:val="16"/>
      <w:szCs w:val="16"/>
    </w:rPr>
  </w:style>
  <w:style w:type="paragraph" w:styleId="Header">
    <w:name w:val="header"/>
    <w:basedOn w:val="Normal"/>
    <w:link w:val="HeaderChar"/>
    <w:unhideWhenUsed/>
    <w:rsid w:val="00E01091"/>
    <w:pPr>
      <w:tabs>
        <w:tab w:val="center" w:pos="4680"/>
        <w:tab w:val="right" w:pos="9360"/>
      </w:tabs>
      <w:spacing w:after="0" w:line="240" w:lineRule="auto"/>
    </w:pPr>
  </w:style>
  <w:style w:type="character" w:customStyle="1" w:styleId="HeaderChar">
    <w:name w:val="Header Char"/>
    <w:basedOn w:val="DefaultParagraphFont"/>
    <w:link w:val="Header"/>
    <w:rsid w:val="00E01091"/>
    <w:rPr>
      <w:rFonts w:ascii="Arial" w:hAnsi="Arial" w:cs="Arial"/>
      <w:sz w:val="20"/>
      <w:szCs w:val="20"/>
    </w:rPr>
  </w:style>
  <w:style w:type="paragraph" w:styleId="Footer">
    <w:name w:val="footer"/>
    <w:basedOn w:val="Normal"/>
    <w:link w:val="FooterChar"/>
    <w:uiPriority w:val="99"/>
    <w:unhideWhenUsed/>
    <w:rsid w:val="00B36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BC1"/>
    <w:rPr>
      <w:rFonts w:ascii="Arial" w:hAnsi="Arial" w:cs="Arial"/>
      <w:sz w:val="20"/>
      <w:szCs w:val="20"/>
    </w:rPr>
  </w:style>
  <w:style w:type="paragraph" w:styleId="TOCHeading">
    <w:name w:val="TOC Heading"/>
    <w:basedOn w:val="Heading1"/>
    <w:next w:val="Normal"/>
    <w:uiPriority w:val="39"/>
    <w:unhideWhenUsed/>
    <w:qFormat/>
    <w:rsid w:val="00576919"/>
    <w:pPr>
      <w:numPr>
        <w:numId w:val="0"/>
      </w:numPr>
      <w:outlineLvl w:val="9"/>
    </w:pPr>
    <w:rPr>
      <w:rFonts w:asciiTheme="majorHAnsi" w:hAnsiTheme="majorHAnsi" w:cstheme="majorBidi"/>
      <w:color w:val="365F91" w:themeColor="accent1" w:themeShade="BF"/>
      <w:lang w:eastAsia="ja-JP"/>
    </w:rPr>
  </w:style>
  <w:style w:type="paragraph" w:styleId="TOC1">
    <w:name w:val="toc 1"/>
    <w:basedOn w:val="Normal"/>
    <w:next w:val="Normal"/>
    <w:autoRedefine/>
    <w:uiPriority w:val="39"/>
    <w:unhideWhenUsed/>
    <w:qFormat/>
    <w:rsid w:val="00576919"/>
    <w:pPr>
      <w:spacing w:after="100"/>
    </w:pPr>
  </w:style>
  <w:style w:type="paragraph" w:styleId="TOC2">
    <w:name w:val="toc 2"/>
    <w:basedOn w:val="Normal"/>
    <w:next w:val="Normal"/>
    <w:autoRedefine/>
    <w:uiPriority w:val="39"/>
    <w:unhideWhenUsed/>
    <w:qFormat/>
    <w:rsid w:val="00576919"/>
    <w:pPr>
      <w:spacing w:after="100"/>
      <w:ind w:left="200"/>
    </w:pPr>
  </w:style>
  <w:style w:type="paragraph" w:styleId="TOC3">
    <w:name w:val="toc 3"/>
    <w:basedOn w:val="Normal"/>
    <w:next w:val="Normal"/>
    <w:autoRedefine/>
    <w:uiPriority w:val="39"/>
    <w:unhideWhenUsed/>
    <w:qFormat/>
    <w:rsid w:val="00576919"/>
    <w:pPr>
      <w:spacing w:after="100"/>
      <w:ind w:left="400"/>
    </w:pPr>
  </w:style>
  <w:style w:type="character" w:styleId="Hyperlink">
    <w:name w:val="Hyperlink"/>
    <w:basedOn w:val="DefaultParagraphFont"/>
    <w:uiPriority w:val="99"/>
    <w:unhideWhenUsed/>
    <w:rsid w:val="00576919"/>
    <w:rPr>
      <w:color w:val="0000FF" w:themeColor="hyperlink"/>
      <w:u w:val="single"/>
    </w:rPr>
  </w:style>
  <w:style w:type="paragraph" w:styleId="FootnoteText">
    <w:name w:val="footnote text"/>
    <w:basedOn w:val="Normal"/>
    <w:link w:val="FootnoteTextChar"/>
    <w:unhideWhenUsed/>
    <w:rsid w:val="00C76781"/>
    <w:pPr>
      <w:spacing w:after="120" w:line="240" w:lineRule="auto"/>
    </w:pPr>
    <w:rPr>
      <w:sz w:val="16"/>
    </w:rPr>
  </w:style>
  <w:style w:type="character" w:customStyle="1" w:styleId="FootnoteTextChar">
    <w:name w:val="Footnote Text Char"/>
    <w:basedOn w:val="DefaultParagraphFont"/>
    <w:link w:val="FootnoteText"/>
    <w:rsid w:val="00C76781"/>
    <w:rPr>
      <w:rFonts w:ascii="Arial" w:hAnsi="Arial" w:cs="Arial"/>
      <w:sz w:val="16"/>
      <w:szCs w:val="20"/>
    </w:rPr>
  </w:style>
  <w:style w:type="character" w:styleId="FootnoteReference">
    <w:name w:val="footnote reference"/>
    <w:basedOn w:val="DefaultParagraphFont"/>
    <w:uiPriority w:val="99"/>
    <w:unhideWhenUsed/>
    <w:rsid w:val="003828FB"/>
    <w:rPr>
      <w:vertAlign w:val="superscript"/>
    </w:rPr>
  </w:style>
  <w:style w:type="paragraph" w:styleId="NormalWeb">
    <w:name w:val="Normal (Web)"/>
    <w:basedOn w:val="Normal"/>
    <w:uiPriority w:val="99"/>
    <w:rsid w:val="00576F3B"/>
    <w:pPr>
      <w:spacing w:beforeLines="1" w:afterLines="1" w:line="240" w:lineRule="auto"/>
    </w:pPr>
    <w:rPr>
      <w:rFonts w:ascii="Times" w:hAnsi="Times" w:cs="Times New Roman"/>
    </w:rPr>
  </w:style>
  <w:style w:type="paragraph" w:customStyle="1" w:styleId="Footnote">
    <w:name w:val="Footnote"/>
    <w:basedOn w:val="FootnoteText"/>
    <w:link w:val="FootnoteChar"/>
    <w:qFormat/>
    <w:rsid w:val="000A3961"/>
    <w:rPr>
      <w:szCs w:val="16"/>
    </w:rPr>
  </w:style>
  <w:style w:type="character" w:customStyle="1" w:styleId="FootnoteChar">
    <w:name w:val="Footnote Char"/>
    <w:basedOn w:val="FootnoteTextChar"/>
    <w:link w:val="Footnote"/>
    <w:rsid w:val="000A3961"/>
    <w:rPr>
      <w:rFonts w:ascii="Arial" w:hAnsi="Arial" w:cs="Arial"/>
      <w:sz w:val="16"/>
      <w:szCs w:val="16"/>
    </w:rPr>
  </w:style>
  <w:style w:type="paragraph" w:styleId="TOC4">
    <w:name w:val="toc 4"/>
    <w:basedOn w:val="Normal"/>
    <w:next w:val="Normal"/>
    <w:autoRedefine/>
    <w:uiPriority w:val="39"/>
    <w:unhideWhenUsed/>
    <w:rsid w:val="00115BC1"/>
    <w:pPr>
      <w:spacing w:after="100" w:line="240" w:lineRule="auto"/>
      <w:ind w:left="720"/>
    </w:pPr>
    <w:rPr>
      <w:rFonts w:asciiTheme="minorHAnsi" w:eastAsiaTheme="minorEastAsia" w:hAnsiTheme="minorHAnsi" w:cstheme="minorBidi"/>
      <w:sz w:val="24"/>
      <w:szCs w:val="24"/>
    </w:rPr>
  </w:style>
  <w:style w:type="paragraph" w:styleId="TOC5">
    <w:name w:val="toc 5"/>
    <w:basedOn w:val="Normal"/>
    <w:next w:val="Normal"/>
    <w:autoRedefine/>
    <w:uiPriority w:val="39"/>
    <w:unhideWhenUsed/>
    <w:rsid w:val="00115BC1"/>
    <w:pPr>
      <w:spacing w:after="100" w:line="240" w:lineRule="auto"/>
      <w:ind w:left="960"/>
    </w:pPr>
    <w:rPr>
      <w:rFonts w:asciiTheme="minorHAnsi" w:eastAsiaTheme="minorEastAsia" w:hAnsiTheme="minorHAnsi" w:cstheme="minorBidi"/>
      <w:sz w:val="24"/>
      <w:szCs w:val="24"/>
    </w:rPr>
  </w:style>
  <w:style w:type="paragraph" w:styleId="TOC6">
    <w:name w:val="toc 6"/>
    <w:basedOn w:val="Normal"/>
    <w:next w:val="Normal"/>
    <w:autoRedefine/>
    <w:uiPriority w:val="39"/>
    <w:unhideWhenUsed/>
    <w:rsid w:val="00115BC1"/>
    <w:pPr>
      <w:spacing w:after="100" w:line="240" w:lineRule="auto"/>
      <w:ind w:left="1200"/>
    </w:pPr>
    <w:rPr>
      <w:rFonts w:asciiTheme="minorHAnsi" w:eastAsiaTheme="minorEastAsia" w:hAnsiTheme="minorHAnsi" w:cstheme="minorBidi"/>
      <w:sz w:val="24"/>
      <w:szCs w:val="24"/>
    </w:rPr>
  </w:style>
  <w:style w:type="paragraph" w:styleId="TOC7">
    <w:name w:val="toc 7"/>
    <w:basedOn w:val="Normal"/>
    <w:next w:val="Normal"/>
    <w:autoRedefine/>
    <w:uiPriority w:val="39"/>
    <w:unhideWhenUsed/>
    <w:rsid w:val="00115BC1"/>
    <w:pPr>
      <w:spacing w:after="100" w:line="240" w:lineRule="auto"/>
      <w:ind w:left="1440"/>
    </w:pPr>
    <w:rPr>
      <w:rFonts w:asciiTheme="minorHAnsi" w:eastAsiaTheme="minorEastAsia" w:hAnsiTheme="minorHAnsi" w:cstheme="minorBidi"/>
      <w:sz w:val="24"/>
      <w:szCs w:val="24"/>
    </w:rPr>
  </w:style>
  <w:style w:type="paragraph" w:styleId="TOC8">
    <w:name w:val="toc 8"/>
    <w:basedOn w:val="Normal"/>
    <w:next w:val="Normal"/>
    <w:autoRedefine/>
    <w:uiPriority w:val="39"/>
    <w:unhideWhenUsed/>
    <w:rsid w:val="00115BC1"/>
    <w:pPr>
      <w:spacing w:after="100" w:line="240" w:lineRule="auto"/>
      <w:ind w:left="1680"/>
    </w:pPr>
    <w:rPr>
      <w:rFonts w:asciiTheme="minorHAnsi" w:eastAsiaTheme="minorEastAsia" w:hAnsiTheme="minorHAnsi" w:cstheme="minorBidi"/>
      <w:sz w:val="24"/>
      <w:szCs w:val="24"/>
    </w:rPr>
  </w:style>
  <w:style w:type="paragraph" w:styleId="TOC9">
    <w:name w:val="toc 9"/>
    <w:basedOn w:val="Normal"/>
    <w:next w:val="Normal"/>
    <w:autoRedefine/>
    <w:uiPriority w:val="39"/>
    <w:unhideWhenUsed/>
    <w:rsid w:val="00115BC1"/>
    <w:pPr>
      <w:spacing w:after="100" w:line="240" w:lineRule="auto"/>
      <w:ind w:left="1920"/>
    </w:pPr>
    <w:rPr>
      <w:rFonts w:asciiTheme="minorHAnsi" w:eastAsiaTheme="minorEastAsia" w:hAnsiTheme="minorHAnsi" w:cstheme="minorBidi"/>
      <w:sz w:val="24"/>
      <w:szCs w:val="24"/>
    </w:rPr>
  </w:style>
  <w:style w:type="numbering" w:customStyle="1" w:styleId="NoList1">
    <w:name w:val="No List1"/>
    <w:next w:val="NoList"/>
    <w:uiPriority w:val="99"/>
    <w:semiHidden/>
    <w:unhideWhenUsed/>
    <w:rsid w:val="005827A4"/>
  </w:style>
  <w:style w:type="paragraph" w:customStyle="1" w:styleId="bulletandquote">
    <w:name w:val="bullet and quote"/>
    <w:basedOn w:val="Normal"/>
    <w:qFormat/>
    <w:rsid w:val="005827A4"/>
    <w:pPr>
      <w:numPr>
        <w:numId w:val="29"/>
      </w:numPr>
      <w:spacing w:after="0" w:line="240" w:lineRule="auto"/>
      <w:jc w:val="both"/>
    </w:pPr>
    <w:rPr>
      <w:rFonts w:ascii="Times New Roman" w:eastAsia="Cambria" w:hAnsi="Times New Roman" w:cs="Times New Roman"/>
      <w:i/>
      <w:sz w:val="24"/>
      <w:szCs w:val="24"/>
    </w:rPr>
  </w:style>
  <w:style w:type="paragraph" w:customStyle="1" w:styleId="Default">
    <w:name w:val="Default"/>
    <w:rsid w:val="005827A4"/>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
    <w:name w:val="CM1"/>
    <w:basedOn w:val="Default"/>
    <w:next w:val="Default"/>
    <w:rsid w:val="005827A4"/>
  </w:style>
  <w:style w:type="paragraph" w:customStyle="1" w:styleId="CM4">
    <w:name w:val="CM4"/>
    <w:basedOn w:val="Default"/>
    <w:next w:val="Default"/>
    <w:rsid w:val="005827A4"/>
  </w:style>
  <w:style w:type="paragraph" w:customStyle="1" w:styleId="CM2">
    <w:name w:val="CM2"/>
    <w:basedOn w:val="Default"/>
    <w:next w:val="Default"/>
    <w:rsid w:val="005827A4"/>
  </w:style>
  <w:style w:type="paragraph" w:customStyle="1" w:styleId="CM3">
    <w:name w:val="CM3"/>
    <w:basedOn w:val="Default"/>
    <w:next w:val="Default"/>
    <w:rsid w:val="005827A4"/>
  </w:style>
  <w:style w:type="paragraph" w:customStyle="1" w:styleId="Memoheading">
    <w:name w:val="Memo heading"/>
    <w:rsid w:val="005827A4"/>
    <w:pPr>
      <w:spacing w:after="0" w:line="240" w:lineRule="auto"/>
    </w:pPr>
    <w:rPr>
      <w:rFonts w:ascii="Times New Roman" w:eastAsia="Times New Roman" w:hAnsi="Times New Roman" w:cs="Times New Roman"/>
      <w:noProof/>
      <w:sz w:val="20"/>
      <w:szCs w:val="20"/>
    </w:rPr>
  </w:style>
  <w:style w:type="paragraph" w:styleId="PlainText">
    <w:name w:val="Plain Text"/>
    <w:basedOn w:val="Normal"/>
    <w:link w:val="PlainTextChar"/>
    <w:rsid w:val="005827A4"/>
    <w:pPr>
      <w:spacing w:after="0" w:line="240" w:lineRule="auto"/>
    </w:pPr>
    <w:rPr>
      <w:rFonts w:ascii="Consolas" w:eastAsia="Times New Roman" w:hAnsi="Consolas" w:cs="Times New Roman"/>
      <w:sz w:val="21"/>
      <w:szCs w:val="21"/>
      <w:lang w:val="en-GB"/>
    </w:rPr>
  </w:style>
  <w:style w:type="character" w:customStyle="1" w:styleId="PlainTextChar">
    <w:name w:val="Plain Text Char"/>
    <w:basedOn w:val="DefaultParagraphFont"/>
    <w:link w:val="PlainText"/>
    <w:rsid w:val="005827A4"/>
    <w:rPr>
      <w:rFonts w:ascii="Consolas" w:eastAsia="Times New Roman" w:hAnsi="Consolas" w:cs="Times New Roman"/>
      <w:sz w:val="21"/>
      <w:szCs w:val="21"/>
      <w:lang w:val="en-GB"/>
    </w:rPr>
  </w:style>
  <w:style w:type="character" w:styleId="PageNumber">
    <w:name w:val="page number"/>
    <w:basedOn w:val="DefaultParagraphFont"/>
    <w:rsid w:val="005827A4"/>
  </w:style>
  <w:style w:type="table" w:customStyle="1" w:styleId="TableGrid1">
    <w:name w:val="Table Grid1"/>
    <w:basedOn w:val="TableNormal"/>
    <w:next w:val="TableGrid"/>
    <w:uiPriority w:val="59"/>
    <w:rsid w:val="005827A4"/>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0F2157"/>
    <w:rPr>
      <w:sz w:val="18"/>
      <w:szCs w:val="18"/>
    </w:rPr>
  </w:style>
  <w:style w:type="paragraph" w:styleId="CommentText">
    <w:name w:val="annotation text"/>
    <w:basedOn w:val="Normal"/>
    <w:link w:val="CommentTextChar"/>
    <w:uiPriority w:val="99"/>
    <w:rsid w:val="000F2157"/>
    <w:pPr>
      <w:spacing w:line="240" w:lineRule="auto"/>
    </w:pPr>
    <w:rPr>
      <w:sz w:val="24"/>
      <w:szCs w:val="24"/>
    </w:rPr>
  </w:style>
  <w:style w:type="character" w:customStyle="1" w:styleId="CommentTextChar">
    <w:name w:val="Comment Text Char"/>
    <w:basedOn w:val="DefaultParagraphFont"/>
    <w:link w:val="CommentText"/>
    <w:uiPriority w:val="99"/>
    <w:rsid w:val="000F2157"/>
    <w:rPr>
      <w:rFonts w:ascii="Arial" w:hAnsi="Arial" w:cs="Arial"/>
      <w:sz w:val="24"/>
      <w:szCs w:val="24"/>
    </w:rPr>
  </w:style>
  <w:style w:type="paragraph" w:styleId="CommentSubject">
    <w:name w:val="annotation subject"/>
    <w:basedOn w:val="CommentText"/>
    <w:next w:val="CommentText"/>
    <w:link w:val="CommentSubjectChar"/>
    <w:rsid w:val="000F2157"/>
    <w:rPr>
      <w:b/>
      <w:bCs/>
      <w:sz w:val="20"/>
      <w:szCs w:val="20"/>
    </w:rPr>
  </w:style>
  <w:style w:type="character" w:customStyle="1" w:styleId="CommentSubjectChar">
    <w:name w:val="Comment Subject Char"/>
    <w:basedOn w:val="CommentTextChar"/>
    <w:link w:val="CommentSubject"/>
    <w:rsid w:val="000F2157"/>
    <w:rPr>
      <w:rFonts w:ascii="Arial" w:hAnsi="Arial" w:cs="Arial"/>
      <w:b/>
      <w:bCs/>
      <w:sz w:val="20"/>
      <w:szCs w:val="20"/>
    </w:rPr>
  </w:style>
  <w:style w:type="character" w:customStyle="1" w:styleId="s-pref-r-pane">
    <w:name w:val="s-pref-r-pane"/>
    <w:basedOn w:val="DefaultParagraphFont"/>
    <w:rsid w:val="00080B0D"/>
  </w:style>
  <w:style w:type="character" w:styleId="SubtleEmphasis">
    <w:name w:val="Subtle Emphasis"/>
    <w:basedOn w:val="DefaultParagraphFont"/>
    <w:uiPriority w:val="19"/>
    <w:qFormat/>
    <w:rsid w:val="00ED60A5"/>
    <w:rPr>
      <w:i/>
      <w:iCs/>
      <w:color w:val="808080" w:themeColor="text1" w:themeTint="7F"/>
    </w:rPr>
  </w:style>
  <w:style w:type="character" w:styleId="FollowedHyperlink">
    <w:name w:val="FollowedHyperlink"/>
    <w:basedOn w:val="DefaultParagraphFont"/>
    <w:uiPriority w:val="99"/>
    <w:unhideWhenUsed/>
    <w:rsid w:val="00815989"/>
    <w:rPr>
      <w:color w:val="800080"/>
      <w:u w:val="single"/>
    </w:rPr>
  </w:style>
  <w:style w:type="table" w:customStyle="1" w:styleId="TableGrid2">
    <w:name w:val="Table Grid2"/>
    <w:basedOn w:val="TableNormal"/>
    <w:next w:val="TableGrid"/>
    <w:uiPriority w:val="59"/>
    <w:rsid w:val="003060E4"/>
    <w:pPr>
      <w:spacing w:after="0" w:line="240" w:lineRule="auto"/>
    </w:pPr>
    <w:rPr>
      <w:rFonts w:eastAsia="ＭＳ 明朝"/>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arkList-Accent21">
    <w:name w:val="Dark List - Accent 21"/>
    <w:basedOn w:val="TableNormal"/>
    <w:next w:val="DarkList-Accent2"/>
    <w:uiPriority w:val="70"/>
    <w:rsid w:val="0066629B"/>
    <w:pPr>
      <w:spacing w:after="0" w:line="240" w:lineRule="auto"/>
    </w:pPr>
    <w:rPr>
      <w:rFonts w:eastAsia="ＭＳ 明朝"/>
      <w:color w:val="FFFFFF"/>
      <w:sz w:val="24"/>
      <w:szCs w:val="24"/>
      <w:lang w:eastAsia="ja-JP"/>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2">
    <w:name w:val="Dark List Accent 2"/>
    <w:basedOn w:val="TableNormal"/>
    <w:rsid w:val="0066629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paragraph" w:styleId="Revision">
    <w:name w:val="Revision"/>
    <w:hidden/>
    <w:rsid w:val="00BC04E1"/>
    <w:pPr>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46103472">
      <w:bodyDiv w:val="1"/>
      <w:marLeft w:val="0"/>
      <w:marRight w:val="0"/>
      <w:marTop w:val="0"/>
      <w:marBottom w:val="0"/>
      <w:divBdr>
        <w:top w:val="none" w:sz="0" w:space="0" w:color="auto"/>
        <w:left w:val="none" w:sz="0" w:space="0" w:color="auto"/>
        <w:bottom w:val="none" w:sz="0" w:space="0" w:color="auto"/>
        <w:right w:val="none" w:sz="0" w:space="0" w:color="auto"/>
      </w:divBdr>
      <w:divsChild>
        <w:div w:id="869222945">
          <w:marLeft w:val="0"/>
          <w:marRight w:val="0"/>
          <w:marTop w:val="0"/>
          <w:marBottom w:val="0"/>
          <w:divBdr>
            <w:top w:val="none" w:sz="0" w:space="0" w:color="auto"/>
            <w:left w:val="none" w:sz="0" w:space="0" w:color="auto"/>
            <w:bottom w:val="none" w:sz="0" w:space="0" w:color="auto"/>
            <w:right w:val="none" w:sz="0" w:space="0" w:color="auto"/>
          </w:divBdr>
          <w:divsChild>
            <w:div w:id="2073890081">
              <w:marLeft w:val="0"/>
              <w:marRight w:val="0"/>
              <w:marTop w:val="0"/>
              <w:marBottom w:val="0"/>
              <w:divBdr>
                <w:top w:val="none" w:sz="0" w:space="0" w:color="auto"/>
                <w:left w:val="none" w:sz="0" w:space="0" w:color="auto"/>
                <w:bottom w:val="none" w:sz="0" w:space="0" w:color="auto"/>
                <w:right w:val="none" w:sz="0" w:space="0" w:color="auto"/>
              </w:divBdr>
              <w:divsChild>
                <w:div w:id="4882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050576">
      <w:bodyDiv w:val="1"/>
      <w:marLeft w:val="0"/>
      <w:marRight w:val="0"/>
      <w:marTop w:val="0"/>
      <w:marBottom w:val="0"/>
      <w:divBdr>
        <w:top w:val="none" w:sz="0" w:space="0" w:color="auto"/>
        <w:left w:val="none" w:sz="0" w:space="0" w:color="auto"/>
        <w:bottom w:val="none" w:sz="0" w:space="0" w:color="auto"/>
        <w:right w:val="none" w:sz="0" w:space="0" w:color="auto"/>
      </w:divBdr>
    </w:div>
    <w:div w:id="477914889">
      <w:bodyDiv w:val="1"/>
      <w:marLeft w:val="0"/>
      <w:marRight w:val="0"/>
      <w:marTop w:val="0"/>
      <w:marBottom w:val="0"/>
      <w:divBdr>
        <w:top w:val="none" w:sz="0" w:space="0" w:color="auto"/>
        <w:left w:val="none" w:sz="0" w:space="0" w:color="auto"/>
        <w:bottom w:val="none" w:sz="0" w:space="0" w:color="auto"/>
        <w:right w:val="none" w:sz="0" w:space="0" w:color="auto"/>
      </w:divBdr>
    </w:div>
    <w:div w:id="481389149">
      <w:bodyDiv w:val="1"/>
      <w:marLeft w:val="0"/>
      <w:marRight w:val="0"/>
      <w:marTop w:val="0"/>
      <w:marBottom w:val="0"/>
      <w:divBdr>
        <w:top w:val="none" w:sz="0" w:space="0" w:color="auto"/>
        <w:left w:val="none" w:sz="0" w:space="0" w:color="auto"/>
        <w:bottom w:val="none" w:sz="0" w:space="0" w:color="auto"/>
        <w:right w:val="none" w:sz="0" w:space="0" w:color="auto"/>
      </w:divBdr>
    </w:div>
    <w:div w:id="492916974">
      <w:bodyDiv w:val="1"/>
      <w:marLeft w:val="0"/>
      <w:marRight w:val="0"/>
      <w:marTop w:val="0"/>
      <w:marBottom w:val="0"/>
      <w:divBdr>
        <w:top w:val="none" w:sz="0" w:space="0" w:color="auto"/>
        <w:left w:val="none" w:sz="0" w:space="0" w:color="auto"/>
        <w:bottom w:val="none" w:sz="0" w:space="0" w:color="auto"/>
        <w:right w:val="none" w:sz="0" w:space="0" w:color="auto"/>
      </w:divBdr>
    </w:div>
    <w:div w:id="508719029">
      <w:bodyDiv w:val="1"/>
      <w:marLeft w:val="0"/>
      <w:marRight w:val="0"/>
      <w:marTop w:val="0"/>
      <w:marBottom w:val="0"/>
      <w:divBdr>
        <w:top w:val="none" w:sz="0" w:space="0" w:color="auto"/>
        <w:left w:val="none" w:sz="0" w:space="0" w:color="auto"/>
        <w:bottom w:val="none" w:sz="0" w:space="0" w:color="auto"/>
        <w:right w:val="none" w:sz="0" w:space="0" w:color="auto"/>
      </w:divBdr>
    </w:div>
    <w:div w:id="544298419">
      <w:bodyDiv w:val="1"/>
      <w:marLeft w:val="0"/>
      <w:marRight w:val="0"/>
      <w:marTop w:val="0"/>
      <w:marBottom w:val="0"/>
      <w:divBdr>
        <w:top w:val="none" w:sz="0" w:space="0" w:color="auto"/>
        <w:left w:val="none" w:sz="0" w:space="0" w:color="auto"/>
        <w:bottom w:val="none" w:sz="0" w:space="0" w:color="auto"/>
        <w:right w:val="none" w:sz="0" w:space="0" w:color="auto"/>
      </w:divBdr>
      <w:divsChild>
        <w:div w:id="1013996811">
          <w:marLeft w:val="0"/>
          <w:marRight w:val="0"/>
          <w:marTop w:val="0"/>
          <w:marBottom w:val="0"/>
          <w:divBdr>
            <w:top w:val="none" w:sz="0" w:space="0" w:color="auto"/>
            <w:left w:val="none" w:sz="0" w:space="0" w:color="auto"/>
            <w:bottom w:val="none" w:sz="0" w:space="0" w:color="auto"/>
            <w:right w:val="none" w:sz="0" w:space="0" w:color="auto"/>
          </w:divBdr>
          <w:divsChild>
            <w:div w:id="60950437">
              <w:marLeft w:val="0"/>
              <w:marRight w:val="0"/>
              <w:marTop w:val="0"/>
              <w:marBottom w:val="0"/>
              <w:divBdr>
                <w:top w:val="none" w:sz="0" w:space="0" w:color="auto"/>
                <w:left w:val="none" w:sz="0" w:space="0" w:color="auto"/>
                <w:bottom w:val="none" w:sz="0" w:space="0" w:color="auto"/>
                <w:right w:val="none" w:sz="0" w:space="0" w:color="auto"/>
              </w:divBdr>
              <w:divsChild>
                <w:div w:id="96419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127740">
      <w:bodyDiv w:val="1"/>
      <w:marLeft w:val="0"/>
      <w:marRight w:val="0"/>
      <w:marTop w:val="0"/>
      <w:marBottom w:val="0"/>
      <w:divBdr>
        <w:top w:val="none" w:sz="0" w:space="0" w:color="auto"/>
        <w:left w:val="none" w:sz="0" w:space="0" w:color="auto"/>
        <w:bottom w:val="none" w:sz="0" w:space="0" w:color="auto"/>
        <w:right w:val="none" w:sz="0" w:space="0" w:color="auto"/>
      </w:divBdr>
    </w:div>
    <w:div w:id="999311415">
      <w:bodyDiv w:val="1"/>
      <w:marLeft w:val="0"/>
      <w:marRight w:val="0"/>
      <w:marTop w:val="0"/>
      <w:marBottom w:val="0"/>
      <w:divBdr>
        <w:top w:val="none" w:sz="0" w:space="0" w:color="auto"/>
        <w:left w:val="none" w:sz="0" w:space="0" w:color="auto"/>
        <w:bottom w:val="none" w:sz="0" w:space="0" w:color="auto"/>
        <w:right w:val="none" w:sz="0" w:space="0" w:color="auto"/>
      </w:divBdr>
    </w:div>
    <w:div w:id="1041321478">
      <w:bodyDiv w:val="1"/>
      <w:marLeft w:val="0"/>
      <w:marRight w:val="0"/>
      <w:marTop w:val="0"/>
      <w:marBottom w:val="0"/>
      <w:divBdr>
        <w:top w:val="none" w:sz="0" w:space="0" w:color="auto"/>
        <w:left w:val="none" w:sz="0" w:space="0" w:color="auto"/>
        <w:bottom w:val="none" w:sz="0" w:space="0" w:color="auto"/>
        <w:right w:val="none" w:sz="0" w:space="0" w:color="auto"/>
      </w:divBdr>
    </w:div>
    <w:div w:id="1050767169">
      <w:bodyDiv w:val="1"/>
      <w:marLeft w:val="0"/>
      <w:marRight w:val="0"/>
      <w:marTop w:val="0"/>
      <w:marBottom w:val="0"/>
      <w:divBdr>
        <w:top w:val="none" w:sz="0" w:space="0" w:color="auto"/>
        <w:left w:val="none" w:sz="0" w:space="0" w:color="auto"/>
        <w:bottom w:val="none" w:sz="0" w:space="0" w:color="auto"/>
        <w:right w:val="none" w:sz="0" w:space="0" w:color="auto"/>
      </w:divBdr>
    </w:div>
    <w:div w:id="1341354135">
      <w:bodyDiv w:val="1"/>
      <w:marLeft w:val="0"/>
      <w:marRight w:val="0"/>
      <w:marTop w:val="0"/>
      <w:marBottom w:val="0"/>
      <w:divBdr>
        <w:top w:val="none" w:sz="0" w:space="0" w:color="auto"/>
        <w:left w:val="none" w:sz="0" w:space="0" w:color="auto"/>
        <w:bottom w:val="none" w:sz="0" w:space="0" w:color="auto"/>
        <w:right w:val="none" w:sz="0" w:space="0" w:color="auto"/>
      </w:divBdr>
      <w:divsChild>
        <w:div w:id="1773478956">
          <w:marLeft w:val="0"/>
          <w:marRight w:val="0"/>
          <w:marTop w:val="0"/>
          <w:marBottom w:val="0"/>
          <w:divBdr>
            <w:top w:val="none" w:sz="0" w:space="0" w:color="auto"/>
            <w:left w:val="none" w:sz="0" w:space="0" w:color="auto"/>
            <w:bottom w:val="none" w:sz="0" w:space="0" w:color="auto"/>
            <w:right w:val="none" w:sz="0" w:space="0" w:color="auto"/>
          </w:divBdr>
        </w:div>
      </w:divsChild>
    </w:div>
    <w:div w:id="1463575103">
      <w:bodyDiv w:val="1"/>
      <w:marLeft w:val="0"/>
      <w:marRight w:val="0"/>
      <w:marTop w:val="0"/>
      <w:marBottom w:val="0"/>
      <w:divBdr>
        <w:top w:val="none" w:sz="0" w:space="0" w:color="auto"/>
        <w:left w:val="none" w:sz="0" w:space="0" w:color="auto"/>
        <w:bottom w:val="none" w:sz="0" w:space="0" w:color="auto"/>
        <w:right w:val="none" w:sz="0" w:space="0" w:color="auto"/>
      </w:divBdr>
    </w:div>
    <w:div w:id="1575116581">
      <w:bodyDiv w:val="1"/>
      <w:marLeft w:val="0"/>
      <w:marRight w:val="0"/>
      <w:marTop w:val="0"/>
      <w:marBottom w:val="0"/>
      <w:divBdr>
        <w:top w:val="none" w:sz="0" w:space="0" w:color="auto"/>
        <w:left w:val="none" w:sz="0" w:space="0" w:color="auto"/>
        <w:bottom w:val="none" w:sz="0" w:space="0" w:color="auto"/>
        <w:right w:val="none" w:sz="0" w:space="0" w:color="auto"/>
      </w:divBdr>
    </w:div>
    <w:div w:id="1580945549">
      <w:bodyDiv w:val="1"/>
      <w:marLeft w:val="0"/>
      <w:marRight w:val="0"/>
      <w:marTop w:val="0"/>
      <w:marBottom w:val="0"/>
      <w:divBdr>
        <w:top w:val="none" w:sz="0" w:space="0" w:color="auto"/>
        <w:left w:val="none" w:sz="0" w:space="0" w:color="auto"/>
        <w:bottom w:val="none" w:sz="0" w:space="0" w:color="auto"/>
        <w:right w:val="none" w:sz="0" w:space="0" w:color="auto"/>
      </w:divBdr>
    </w:div>
    <w:div w:id="1694645295">
      <w:bodyDiv w:val="1"/>
      <w:marLeft w:val="0"/>
      <w:marRight w:val="0"/>
      <w:marTop w:val="0"/>
      <w:marBottom w:val="0"/>
      <w:divBdr>
        <w:top w:val="none" w:sz="0" w:space="0" w:color="auto"/>
        <w:left w:val="none" w:sz="0" w:space="0" w:color="auto"/>
        <w:bottom w:val="none" w:sz="0" w:space="0" w:color="auto"/>
        <w:right w:val="none" w:sz="0" w:space="0" w:color="auto"/>
      </w:divBdr>
    </w:div>
    <w:div w:id="1782140869">
      <w:bodyDiv w:val="1"/>
      <w:marLeft w:val="0"/>
      <w:marRight w:val="0"/>
      <w:marTop w:val="0"/>
      <w:marBottom w:val="0"/>
      <w:divBdr>
        <w:top w:val="none" w:sz="0" w:space="0" w:color="auto"/>
        <w:left w:val="none" w:sz="0" w:space="0" w:color="auto"/>
        <w:bottom w:val="none" w:sz="0" w:space="0" w:color="auto"/>
        <w:right w:val="none" w:sz="0" w:space="0" w:color="auto"/>
      </w:divBdr>
    </w:div>
    <w:div w:id="1867713030">
      <w:bodyDiv w:val="1"/>
      <w:marLeft w:val="0"/>
      <w:marRight w:val="0"/>
      <w:marTop w:val="0"/>
      <w:marBottom w:val="0"/>
      <w:divBdr>
        <w:top w:val="none" w:sz="0" w:space="0" w:color="auto"/>
        <w:left w:val="none" w:sz="0" w:space="0" w:color="auto"/>
        <w:bottom w:val="none" w:sz="0" w:space="0" w:color="auto"/>
        <w:right w:val="none" w:sz="0" w:space="0" w:color="auto"/>
      </w:divBdr>
      <w:divsChild>
        <w:div w:id="2074113001">
          <w:marLeft w:val="0"/>
          <w:marRight w:val="0"/>
          <w:marTop w:val="0"/>
          <w:marBottom w:val="0"/>
          <w:divBdr>
            <w:top w:val="none" w:sz="0" w:space="0" w:color="auto"/>
            <w:left w:val="none" w:sz="0" w:space="0" w:color="auto"/>
            <w:bottom w:val="none" w:sz="0" w:space="0" w:color="auto"/>
            <w:right w:val="none" w:sz="0" w:space="0" w:color="auto"/>
          </w:divBdr>
        </w:div>
      </w:divsChild>
    </w:div>
    <w:div w:id="1993291203">
      <w:bodyDiv w:val="1"/>
      <w:marLeft w:val="0"/>
      <w:marRight w:val="0"/>
      <w:marTop w:val="0"/>
      <w:marBottom w:val="0"/>
      <w:divBdr>
        <w:top w:val="none" w:sz="0" w:space="0" w:color="auto"/>
        <w:left w:val="none" w:sz="0" w:space="0" w:color="auto"/>
        <w:bottom w:val="none" w:sz="0" w:space="0" w:color="auto"/>
        <w:right w:val="none" w:sz="0" w:space="0" w:color="auto"/>
      </w:divBdr>
    </w:div>
    <w:div w:id="201695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5.xml"/><Relationship Id="rId34" Type="http://schemas.microsoft.com/office/2007/relationships/stylesWithEffects" Target="stylesWithEffects.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header" Target="header6.xml"/><Relationship Id="rId28" Type="http://schemas.openxmlformats.org/officeDocument/2006/relationships/header" Target="header10.xml"/><Relationship Id="rId10" Type="http://schemas.openxmlformats.org/officeDocument/2006/relationships/hyperlink" Target="http://www.google.com/url?sa=i&amp;source=images&amp;cd=&amp;docid=Md5ZcCFPNM58LM&amp;tbnid=_mbBM3C1hLnKWM:&amp;ved=0CAgQjRwwAA&amp;url=http://en.dat-see.com/&amp;ei=3DebUZXqCIuSswa53oCQBA&amp;psig=AFQjCNHPKu0ktrNEfsuS4-ThHd8rF0doIQ&amp;ust=1369213276193109" TargetMode="External"/><Relationship Id="rId19" Type="http://schemas.openxmlformats.org/officeDocument/2006/relationships/header" Target="header3.xml"/><Relationship Id="rId31" Type="http://schemas.openxmlformats.org/officeDocument/2006/relationships/header" Target="header1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lawcenter.birzeit.edu/iol/en/index.php?action_id=210" TargetMode="External"/><Relationship Id="rId1" Type="http://schemas.openxmlformats.org/officeDocument/2006/relationships/hyperlink" Target="http://www.hrw.org/reports/2012/10/03/abusive-system-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3797B-B136-5B47-8944-9E633196C4A6}">
  <ds:schemaRefs>
    <ds:schemaRef ds:uri="http://schemas.openxmlformats.org/officeDocument/2006/bibliography"/>
  </ds:schemaRefs>
</ds:datastoreItem>
</file>

<file path=customXml/itemProps2.xml><?xml version="1.0" encoding="utf-8"?>
<ds:datastoreItem xmlns:ds="http://schemas.openxmlformats.org/officeDocument/2006/customXml" ds:itemID="{AE402A83-F16B-324E-88B8-ED2F2C3DCC00}">
  <ds:schemaRefs>
    <ds:schemaRef ds:uri="http://schemas.openxmlformats.org/officeDocument/2006/bibliography"/>
  </ds:schemaRefs>
</ds:datastoreItem>
</file>

<file path=customXml/itemProps3.xml><?xml version="1.0" encoding="utf-8"?>
<ds:datastoreItem xmlns:ds="http://schemas.openxmlformats.org/officeDocument/2006/customXml" ds:itemID="{BAAAEC2F-1B52-634E-B039-C478B598B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117</Pages>
  <Words>56007</Words>
  <Characters>319246</Characters>
  <Application>Microsoft Office Word</Application>
  <DocSecurity>0</DocSecurity>
  <Lines>2660</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Langan</dc:creator>
  <cp:lastModifiedBy>maarten.barends</cp:lastModifiedBy>
  <cp:revision>6</cp:revision>
  <cp:lastPrinted>2013-04-14T16:31:00Z</cp:lastPrinted>
  <dcterms:created xsi:type="dcterms:W3CDTF">2013-06-21T10:31:00Z</dcterms:created>
  <dcterms:modified xsi:type="dcterms:W3CDTF">2013-06-23T21:55:00Z</dcterms:modified>
</cp:coreProperties>
</file>