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7111" w14:textId="77777777" w:rsidR="004F5838" w:rsidRDefault="004F5838" w:rsidP="00FF76AD">
      <w:pPr>
        <w:pStyle w:val="Title"/>
        <w:jc w:val="center"/>
      </w:pPr>
      <w:r>
        <w:t>Mid-Term Review of the joint UNDP/UNEP GEF Project “MENARID GEF IW</w:t>
      </w:r>
      <w:proofErr w:type="gramStart"/>
      <w:r>
        <w:t>:LEARN</w:t>
      </w:r>
      <w:proofErr w:type="gramEnd"/>
      <w:r>
        <w:t>: Strengthening IW Portfolio Delivery and Impact”</w:t>
      </w:r>
    </w:p>
    <w:p w14:paraId="46EFD3E0" w14:textId="77777777" w:rsidR="001B4338" w:rsidRDefault="001B4338" w:rsidP="001B4338"/>
    <w:p w14:paraId="79A01A9A" w14:textId="2543596B" w:rsidR="001B4338" w:rsidRPr="001B4338" w:rsidRDefault="001B4338" w:rsidP="001B4338">
      <w:pPr>
        <w:rPr>
          <w:rFonts w:asciiTheme="majorHAnsi" w:hAnsiTheme="majorHAnsi"/>
          <w:sz w:val="20"/>
          <w:szCs w:val="20"/>
        </w:rPr>
      </w:pPr>
      <w:r w:rsidRPr="001B4338">
        <w:rPr>
          <w:rFonts w:asciiTheme="majorHAnsi" w:hAnsiTheme="majorHAnsi"/>
          <w:sz w:val="20"/>
          <w:szCs w:val="20"/>
        </w:rPr>
        <w:t xml:space="preserve">UNDP </w:t>
      </w:r>
      <w:proofErr w:type="gramStart"/>
      <w:r w:rsidRPr="001B4338">
        <w:rPr>
          <w:rFonts w:asciiTheme="majorHAnsi" w:hAnsiTheme="majorHAnsi"/>
          <w:sz w:val="20"/>
          <w:szCs w:val="20"/>
        </w:rPr>
        <w:t>PIMS  number</w:t>
      </w:r>
      <w:proofErr w:type="gramEnd"/>
      <w:r w:rsidRPr="001B4338">
        <w:rPr>
          <w:rFonts w:asciiTheme="majorHAnsi" w:hAnsiTheme="majorHAnsi"/>
          <w:sz w:val="20"/>
          <w:szCs w:val="20"/>
        </w:rPr>
        <w:t xml:space="preserve"> 4219</w:t>
      </w:r>
    </w:p>
    <w:p w14:paraId="28B71370" w14:textId="35AD6DA5" w:rsidR="001B4338" w:rsidRPr="001B4338" w:rsidRDefault="001B4338" w:rsidP="001B4338">
      <w:pPr>
        <w:rPr>
          <w:rFonts w:asciiTheme="majorHAnsi" w:hAnsiTheme="majorHAnsi"/>
          <w:sz w:val="20"/>
          <w:szCs w:val="20"/>
        </w:rPr>
      </w:pPr>
      <w:r w:rsidRPr="001B4338">
        <w:rPr>
          <w:rFonts w:asciiTheme="majorHAnsi" w:hAnsiTheme="majorHAnsi"/>
          <w:sz w:val="20"/>
          <w:szCs w:val="20"/>
        </w:rPr>
        <w:t xml:space="preserve">UNEP Project </w:t>
      </w:r>
      <w:proofErr w:type="gramStart"/>
      <w:r w:rsidRPr="001B4338">
        <w:rPr>
          <w:rFonts w:asciiTheme="majorHAnsi" w:hAnsiTheme="majorHAnsi"/>
          <w:sz w:val="20"/>
          <w:szCs w:val="20"/>
        </w:rPr>
        <w:t>Number  GFL</w:t>
      </w:r>
      <w:proofErr w:type="gramEnd"/>
      <w:r w:rsidRPr="001B4338">
        <w:rPr>
          <w:rFonts w:asciiTheme="majorHAnsi" w:hAnsiTheme="majorHAnsi"/>
          <w:sz w:val="20"/>
          <w:szCs w:val="20"/>
        </w:rPr>
        <w:t>/4219</w:t>
      </w:r>
    </w:p>
    <w:p w14:paraId="0E298B2C" w14:textId="77777777" w:rsidR="001B4338" w:rsidRPr="001B4338" w:rsidRDefault="001B4338" w:rsidP="001B4338"/>
    <w:p w14:paraId="272DF8CA" w14:textId="77777777" w:rsidR="0003453B" w:rsidRDefault="0003453B"/>
    <w:p w14:paraId="29AE2431" w14:textId="77777777" w:rsidR="0003453B" w:rsidRDefault="0003453B"/>
    <w:p w14:paraId="18AF383B" w14:textId="29949B09" w:rsidR="0003453B" w:rsidRPr="00EF470D" w:rsidRDefault="00EF470D">
      <w:pPr>
        <w:rPr>
          <w:rFonts w:asciiTheme="majorHAnsi" w:hAnsiTheme="majorHAnsi"/>
          <w:sz w:val="22"/>
          <w:szCs w:val="22"/>
        </w:rPr>
      </w:pPr>
      <w:r w:rsidRPr="00EF470D">
        <w:rPr>
          <w:rFonts w:asciiTheme="majorHAnsi" w:hAnsiTheme="majorHAnsi"/>
          <w:sz w:val="22"/>
          <w:szCs w:val="22"/>
        </w:rPr>
        <w:t xml:space="preserve">Andrew Menz, February 2013 </w:t>
      </w:r>
    </w:p>
    <w:p w14:paraId="150CED67" w14:textId="77777777" w:rsidR="0003453B" w:rsidRDefault="0003453B"/>
    <w:p w14:paraId="2BFC4436" w14:textId="77777777" w:rsidR="0003453B" w:rsidRDefault="0003453B"/>
    <w:p w14:paraId="07D1A383" w14:textId="77777777" w:rsidR="0003453B" w:rsidRDefault="0003453B"/>
    <w:p w14:paraId="731DADD2" w14:textId="77777777" w:rsidR="002C2AE9" w:rsidRDefault="002C2AE9" w:rsidP="002C2AE9">
      <w:pPr>
        <w:rPr>
          <w:rFonts w:asciiTheme="majorHAnsi" w:hAnsiTheme="majorHAnsi"/>
          <w:sz w:val="72"/>
          <w:szCs w:val="72"/>
        </w:rPr>
        <w:sectPr w:rsidR="002C2AE9" w:rsidSect="00070154">
          <w:headerReference w:type="even" r:id="rId9"/>
          <w:headerReference w:type="default" r:id="rId10"/>
          <w:footerReference w:type="even" r:id="rId11"/>
          <w:footerReference w:type="default" r:id="rId12"/>
          <w:pgSz w:w="11906" w:h="16838"/>
          <w:pgMar w:top="1440" w:right="1440" w:bottom="1440" w:left="1440" w:header="708" w:footer="708" w:gutter="0"/>
          <w:pgNumType w:fmt="lowerRoman" w:start="1"/>
          <w:cols w:space="708"/>
          <w:titlePg/>
          <w:docGrid w:linePitch="360"/>
        </w:sectPr>
      </w:pPr>
    </w:p>
    <w:p w14:paraId="50991515" w14:textId="64F763BE" w:rsidR="003C195C" w:rsidRPr="0003453B" w:rsidRDefault="003C195C" w:rsidP="002C2AE9">
      <w:pPr>
        <w:tabs>
          <w:tab w:val="left" w:pos="496"/>
          <w:tab w:val="left" w:pos="744"/>
        </w:tabs>
        <w:rPr>
          <w:rFonts w:asciiTheme="majorHAnsi" w:hAnsiTheme="majorHAnsi"/>
          <w:sz w:val="72"/>
          <w:szCs w:val="72"/>
        </w:rPr>
      </w:pPr>
    </w:p>
    <w:p w14:paraId="4DF4EAA0" w14:textId="77777777" w:rsidR="00C91059" w:rsidRDefault="00C91059" w:rsidP="000F12E2">
      <w:pPr>
        <w:pStyle w:val="Heading1"/>
        <w:numPr>
          <w:ilvl w:val="0"/>
          <w:numId w:val="0"/>
        </w:numPr>
      </w:pPr>
      <w:bookmarkStart w:id="0" w:name="_Toc222479123"/>
      <w:r>
        <w:t>Acknowledgments</w:t>
      </w:r>
      <w:bookmarkEnd w:id="0"/>
    </w:p>
    <w:p w14:paraId="72DB97D5" w14:textId="348489A8" w:rsidR="005B2891" w:rsidRPr="00EF470D" w:rsidRDefault="005B2891" w:rsidP="005B2891">
      <w:pPr>
        <w:rPr>
          <w:rFonts w:asciiTheme="majorHAnsi" w:hAnsiTheme="majorHAnsi"/>
          <w:sz w:val="22"/>
          <w:szCs w:val="22"/>
        </w:rPr>
      </w:pPr>
      <w:proofErr w:type="gramStart"/>
      <w:r w:rsidRPr="00EF470D">
        <w:rPr>
          <w:rFonts w:asciiTheme="majorHAnsi" w:hAnsiTheme="majorHAnsi"/>
          <w:sz w:val="22"/>
          <w:szCs w:val="22"/>
        </w:rPr>
        <w:t>This independent Mid Term Evaluation has been prepared by Andrew Menz</w:t>
      </w:r>
      <w:proofErr w:type="gramEnd"/>
      <w:r w:rsidRPr="00EF470D">
        <w:rPr>
          <w:rFonts w:asciiTheme="majorHAnsi" w:hAnsiTheme="majorHAnsi"/>
          <w:sz w:val="22"/>
          <w:szCs w:val="22"/>
        </w:rPr>
        <w:t xml:space="preserve">. The views expressed and comments made are </w:t>
      </w:r>
      <w:proofErr w:type="gramStart"/>
      <w:r w:rsidRPr="00EF470D">
        <w:rPr>
          <w:rFonts w:asciiTheme="majorHAnsi" w:hAnsiTheme="majorHAnsi"/>
          <w:sz w:val="22"/>
          <w:szCs w:val="22"/>
        </w:rPr>
        <w:t>his own</w:t>
      </w:r>
      <w:proofErr w:type="gramEnd"/>
      <w:r w:rsidRPr="00EF470D">
        <w:rPr>
          <w:rFonts w:asciiTheme="majorHAnsi" w:hAnsiTheme="majorHAnsi"/>
          <w:sz w:val="22"/>
          <w:szCs w:val="22"/>
        </w:rPr>
        <w:t xml:space="preserve">. </w:t>
      </w:r>
    </w:p>
    <w:p w14:paraId="7FE90FF0" w14:textId="77777777" w:rsidR="00EF470D" w:rsidRPr="00EF470D" w:rsidRDefault="00EF470D" w:rsidP="005B2891">
      <w:pPr>
        <w:rPr>
          <w:rFonts w:asciiTheme="majorHAnsi" w:hAnsiTheme="majorHAnsi"/>
          <w:sz w:val="22"/>
          <w:szCs w:val="22"/>
        </w:rPr>
      </w:pPr>
    </w:p>
    <w:p w14:paraId="1C6046B0" w14:textId="6AC41867" w:rsidR="005B2891" w:rsidRPr="00EF470D" w:rsidRDefault="005B2891" w:rsidP="005B2891">
      <w:pPr>
        <w:rPr>
          <w:rFonts w:asciiTheme="majorHAnsi" w:hAnsiTheme="majorHAnsi"/>
          <w:sz w:val="22"/>
          <w:szCs w:val="22"/>
        </w:rPr>
      </w:pPr>
      <w:r w:rsidRPr="00EF470D">
        <w:rPr>
          <w:rFonts w:asciiTheme="majorHAnsi" w:hAnsiTheme="majorHAnsi"/>
          <w:sz w:val="22"/>
          <w:szCs w:val="22"/>
        </w:rPr>
        <w:t>He would like to express his gratitude to all those who have assisted with the mission and in particular Mr Mish Hamid from the Pr</w:t>
      </w:r>
      <w:r w:rsidR="00EF470D" w:rsidRPr="00EF470D">
        <w:rPr>
          <w:rFonts w:asciiTheme="majorHAnsi" w:hAnsiTheme="majorHAnsi"/>
          <w:sz w:val="22"/>
          <w:szCs w:val="22"/>
        </w:rPr>
        <w:t xml:space="preserve">oject Coordination Unit for his constant availability and organisational support. </w:t>
      </w:r>
    </w:p>
    <w:p w14:paraId="6D5CCE39" w14:textId="791C517B" w:rsidR="00EF470D" w:rsidRDefault="00EF470D">
      <w:r>
        <w:br w:type="page"/>
      </w:r>
    </w:p>
    <w:p w14:paraId="4E6EDE35" w14:textId="1B1F5B75" w:rsidR="005B2891" w:rsidRPr="00EF470D" w:rsidRDefault="00EF470D" w:rsidP="00EF470D">
      <w:pPr>
        <w:jc w:val="center"/>
        <w:rPr>
          <w:b/>
        </w:rPr>
      </w:pPr>
      <w:r w:rsidRPr="00EF470D">
        <w:rPr>
          <w:b/>
        </w:rPr>
        <w:t>Contents</w:t>
      </w:r>
    </w:p>
    <w:p w14:paraId="31658CB6" w14:textId="77777777" w:rsidR="00EF470D" w:rsidRPr="00EF470D" w:rsidRDefault="00EF470D" w:rsidP="00EF15CD">
      <w:pPr>
        <w:pStyle w:val="TOC1"/>
        <w:rPr>
          <w:noProof/>
          <w:color w:val="auto"/>
          <w:lang w:val="en-US" w:eastAsia="ja-JP"/>
        </w:rPr>
      </w:pPr>
      <w:r w:rsidRPr="00EF470D">
        <w:fldChar w:fldCharType="begin"/>
      </w:r>
      <w:r w:rsidRPr="00EF470D">
        <w:instrText xml:space="preserve"> TOC \o "1-3" </w:instrText>
      </w:r>
      <w:r w:rsidRPr="00EF470D">
        <w:fldChar w:fldCharType="separate"/>
      </w:r>
      <w:r w:rsidRPr="00EF470D">
        <w:rPr>
          <w:noProof/>
        </w:rPr>
        <w:t>Acknowledgments</w:t>
      </w:r>
      <w:r w:rsidRPr="00EF470D">
        <w:rPr>
          <w:noProof/>
        </w:rPr>
        <w:tab/>
      </w:r>
      <w:r w:rsidRPr="00EF470D">
        <w:rPr>
          <w:noProof/>
        </w:rPr>
        <w:fldChar w:fldCharType="begin"/>
      </w:r>
      <w:r w:rsidRPr="00EF470D">
        <w:rPr>
          <w:noProof/>
        </w:rPr>
        <w:instrText xml:space="preserve"> PAGEREF _Toc222479123 \h </w:instrText>
      </w:r>
      <w:r w:rsidRPr="00EF470D">
        <w:rPr>
          <w:noProof/>
        </w:rPr>
      </w:r>
      <w:r w:rsidRPr="00EF470D">
        <w:rPr>
          <w:noProof/>
        </w:rPr>
        <w:fldChar w:fldCharType="separate"/>
      </w:r>
      <w:r w:rsidRPr="00EF470D">
        <w:rPr>
          <w:noProof/>
        </w:rPr>
        <w:t>ii</w:t>
      </w:r>
      <w:r w:rsidRPr="00EF470D">
        <w:rPr>
          <w:noProof/>
        </w:rPr>
        <w:fldChar w:fldCharType="end"/>
      </w:r>
    </w:p>
    <w:p w14:paraId="1FD3E88D" w14:textId="77777777" w:rsidR="00EF470D" w:rsidRPr="00EF470D" w:rsidRDefault="00EF470D" w:rsidP="00EF15CD">
      <w:pPr>
        <w:pStyle w:val="TOC1"/>
        <w:rPr>
          <w:noProof/>
          <w:color w:val="auto"/>
          <w:lang w:val="en-US" w:eastAsia="ja-JP"/>
        </w:rPr>
      </w:pPr>
      <w:r w:rsidRPr="00EF470D">
        <w:rPr>
          <w:noProof/>
        </w:rPr>
        <w:t>Abbreviations</w:t>
      </w:r>
      <w:r w:rsidRPr="00EF470D">
        <w:rPr>
          <w:noProof/>
        </w:rPr>
        <w:tab/>
      </w:r>
      <w:r w:rsidRPr="00EF470D">
        <w:rPr>
          <w:noProof/>
        </w:rPr>
        <w:fldChar w:fldCharType="begin"/>
      </w:r>
      <w:r w:rsidRPr="00EF470D">
        <w:rPr>
          <w:noProof/>
        </w:rPr>
        <w:instrText xml:space="preserve"> PAGEREF _Toc222479124 \h </w:instrText>
      </w:r>
      <w:r w:rsidRPr="00EF470D">
        <w:rPr>
          <w:noProof/>
        </w:rPr>
      </w:r>
      <w:r w:rsidRPr="00EF470D">
        <w:rPr>
          <w:noProof/>
        </w:rPr>
        <w:fldChar w:fldCharType="separate"/>
      </w:r>
      <w:r w:rsidRPr="00EF470D">
        <w:rPr>
          <w:noProof/>
        </w:rPr>
        <w:t>iii</w:t>
      </w:r>
      <w:r w:rsidRPr="00EF470D">
        <w:rPr>
          <w:noProof/>
        </w:rPr>
        <w:fldChar w:fldCharType="end"/>
      </w:r>
    </w:p>
    <w:p w14:paraId="1F8D392C" w14:textId="77777777" w:rsidR="00EF470D" w:rsidRPr="00EF470D" w:rsidRDefault="00EF470D" w:rsidP="00EF15CD">
      <w:pPr>
        <w:pStyle w:val="TOC1"/>
        <w:rPr>
          <w:noProof/>
          <w:color w:val="auto"/>
          <w:lang w:val="en-US" w:eastAsia="ja-JP"/>
        </w:rPr>
      </w:pPr>
      <w:r w:rsidRPr="00EF470D">
        <w:rPr>
          <w:noProof/>
        </w:rPr>
        <w:t>Executive Summary</w:t>
      </w:r>
      <w:r w:rsidRPr="00EF470D">
        <w:rPr>
          <w:noProof/>
        </w:rPr>
        <w:tab/>
      </w:r>
      <w:r w:rsidRPr="00EF470D">
        <w:rPr>
          <w:noProof/>
        </w:rPr>
        <w:fldChar w:fldCharType="begin"/>
      </w:r>
      <w:r w:rsidRPr="00EF470D">
        <w:rPr>
          <w:noProof/>
        </w:rPr>
        <w:instrText xml:space="preserve"> PAGEREF _Toc222479125 \h </w:instrText>
      </w:r>
      <w:r w:rsidRPr="00EF470D">
        <w:rPr>
          <w:noProof/>
        </w:rPr>
      </w:r>
      <w:r w:rsidRPr="00EF470D">
        <w:rPr>
          <w:noProof/>
        </w:rPr>
        <w:fldChar w:fldCharType="separate"/>
      </w:r>
      <w:r w:rsidRPr="00EF470D">
        <w:rPr>
          <w:noProof/>
        </w:rPr>
        <w:t>v</w:t>
      </w:r>
      <w:r w:rsidRPr="00EF470D">
        <w:rPr>
          <w:noProof/>
        </w:rPr>
        <w:fldChar w:fldCharType="end"/>
      </w:r>
    </w:p>
    <w:p w14:paraId="07D71F8F" w14:textId="77777777" w:rsidR="00EF470D" w:rsidRPr="00EF470D" w:rsidRDefault="00EF470D">
      <w:pPr>
        <w:pStyle w:val="TOC2"/>
        <w:tabs>
          <w:tab w:val="right" w:leader="dot" w:pos="9010"/>
        </w:tabs>
        <w:rPr>
          <w:rFonts w:asciiTheme="majorHAnsi" w:hAnsiTheme="majorHAnsi"/>
          <w:noProof/>
          <w:sz w:val="24"/>
          <w:szCs w:val="24"/>
          <w:lang w:val="en-US" w:eastAsia="ja-JP"/>
        </w:rPr>
      </w:pPr>
      <w:r w:rsidRPr="00EF470D">
        <w:rPr>
          <w:rFonts w:asciiTheme="majorHAnsi" w:hAnsiTheme="majorHAnsi"/>
          <w:noProof/>
        </w:rPr>
        <w:t>Project description</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_Toc222479126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v</w:t>
      </w:r>
      <w:r w:rsidRPr="00EF470D">
        <w:rPr>
          <w:rFonts w:asciiTheme="majorHAnsi" w:hAnsiTheme="majorHAnsi"/>
          <w:noProof/>
        </w:rPr>
        <w:fldChar w:fldCharType="end"/>
      </w:r>
    </w:p>
    <w:p w14:paraId="62E26ADE" w14:textId="77777777" w:rsidR="00EF470D" w:rsidRPr="00EF470D" w:rsidRDefault="00EF470D">
      <w:pPr>
        <w:pStyle w:val="TOC2"/>
        <w:tabs>
          <w:tab w:val="right" w:leader="dot" w:pos="9010"/>
        </w:tabs>
        <w:rPr>
          <w:rFonts w:asciiTheme="majorHAnsi" w:hAnsiTheme="majorHAnsi"/>
          <w:noProof/>
          <w:sz w:val="24"/>
          <w:szCs w:val="24"/>
          <w:lang w:val="en-US" w:eastAsia="ja-JP"/>
        </w:rPr>
      </w:pPr>
      <w:r w:rsidRPr="00EF470D">
        <w:rPr>
          <w:rFonts w:asciiTheme="majorHAnsi" w:hAnsiTheme="majorHAnsi"/>
          <w:noProof/>
        </w:rPr>
        <w:t>Context and purpose of evaluation</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_Toc222479127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vi</w:t>
      </w:r>
      <w:r w:rsidRPr="00EF470D">
        <w:rPr>
          <w:rFonts w:asciiTheme="majorHAnsi" w:hAnsiTheme="majorHAnsi"/>
          <w:noProof/>
        </w:rPr>
        <w:fldChar w:fldCharType="end"/>
      </w:r>
    </w:p>
    <w:p w14:paraId="232AB026" w14:textId="77777777" w:rsidR="00EF470D" w:rsidRPr="00EF470D" w:rsidRDefault="00EF470D">
      <w:pPr>
        <w:pStyle w:val="TOC2"/>
        <w:tabs>
          <w:tab w:val="right" w:leader="dot" w:pos="9010"/>
        </w:tabs>
        <w:rPr>
          <w:rFonts w:asciiTheme="majorHAnsi" w:hAnsiTheme="majorHAnsi"/>
          <w:noProof/>
          <w:sz w:val="24"/>
          <w:szCs w:val="24"/>
          <w:lang w:val="en-US" w:eastAsia="ja-JP"/>
        </w:rPr>
      </w:pPr>
      <w:r w:rsidRPr="00EF470D">
        <w:rPr>
          <w:rFonts w:asciiTheme="majorHAnsi" w:hAnsiTheme="majorHAnsi"/>
          <w:noProof/>
        </w:rPr>
        <w:t>Main conclusions, recommendations and lessons learned</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_Toc222479128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vi</w:t>
      </w:r>
      <w:r w:rsidRPr="00EF470D">
        <w:rPr>
          <w:rFonts w:asciiTheme="majorHAnsi" w:hAnsiTheme="majorHAnsi"/>
          <w:noProof/>
        </w:rPr>
        <w:fldChar w:fldCharType="end"/>
      </w:r>
    </w:p>
    <w:p w14:paraId="37B4720E" w14:textId="45D84098" w:rsidR="00EF470D" w:rsidRPr="00EF470D" w:rsidRDefault="00EF470D" w:rsidP="00EF15CD">
      <w:pPr>
        <w:pStyle w:val="TOC1"/>
        <w:rPr>
          <w:noProof/>
          <w:color w:val="auto"/>
          <w:lang w:val="en-US" w:eastAsia="ja-JP"/>
        </w:rPr>
      </w:pPr>
      <w:r w:rsidRPr="00EF470D">
        <w:rPr>
          <w:noProof/>
        </w:rPr>
        <w:t>1.</w:t>
      </w:r>
      <w:r w:rsidR="006C543C">
        <w:rPr>
          <w:noProof/>
          <w:color w:val="auto"/>
          <w:lang w:val="en-US" w:eastAsia="ja-JP"/>
        </w:rPr>
        <w:t xml:space="preserve"> </w:t>
      </w:r>
      <w:r w:rsidRPr="00EF470D">
        <w:rPr>
          <w:noProof/>
        </w:rPr>
        <w:t>Introduction</w:t>
      </w:r>
      <w:r w:rsidRPr="00EF470D">
        <w:rPr>
          <w:noProof/>
        </w:rPr>
        <w:tab/>
      </w:r>
      <w:r w:rsidRPr="00EF470D">
        <w:rPr>
          <w:noProof/>
        </w:rPr>
        <w:fldChar w:fldCharType="begin"/>
      </w:r>
      <w:r w:rsidRPr="00EF470D">
        <w:rPr>
          <w:noProof/>
        </w:rPr>
        <w:instrText xml:space="preserve"> PAGEREF _Toc222479129 \h </w:instrText>
      </w:r>
      <w:r w:rsidRPr="00EF470D">
        <w:rPr>
          <w:noProof/>
        </w:rPr>
      </w:r>
      <w:r w:rsidRPr="00EF470D">
        <w:rPr>
          <w:noProof/>
        </w:rPr>
        <w:fldChar w:fldCharType="separate"/>
      </w:r>
      <w:r w:rsidRPr="00EF470D">
        <w:rPr>
          <w:noProof/>
        </w:rPr>
        <w:t>1</w:t>
      </w:r>
      <w:r w:rsidRPr="00EF470D">
        <w:rPr>
          <w:noProof/>
        </w:rPr>
        <w:fldChar w:fldCharType="end"/>
      </w:r>
    </w:p>
    <w:p w14:paraId="20884B2B"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1.1</w:t>
      </w:r>
      <w:r w:rsidRPr="00EF470D">
        <w:rPr>
          <w:rFonts w:asciiTheme="majorHAnsi" w:hAnsiTheme="majorHAnsi"/>
          <w:noProof/>
          <w:sz w:val="24"/>
          <w:szCs w:val="24"/>
          <w:lang w:val="en-US" w:eastAsia="ja-JP"/>
        </w:rPr>
        <w:tab/>
      </w:r>
      <w:r w:rsidRPr="00EF470D">
        <w:rPr>
          <w:rFonts w:asciiTheme="majorHAnsi" w:hAnsiTheme="majorHAnsi"/>
          <w:noProof/>
        </w:rPr>
        <w:t>Project Implementation</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_Toc222479130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1</w:t>
      </w:r>
      <w:r w:rsidRPr="00EF470D">
        <w:rPr>
          <w:rFonts w:asciiTheme="majorHAnsi" w:hAnsiTheme="majorHAnsi"/>
          <w:noProof/>
        </w:rPr>
        <w:fldChar w:fldCharType="end"/>
      </w:r>
    </w:p>
    <w:p w14:paraId="27B8806C"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1.2</w:t>
      </w:r>
      <w:r w:rsidRPr="00EF470D">
        <w:rPr>
          <w:rFonts w:asciiTheme="majorHAnsi" w:hAnsiTheme="majorHAnsi"/>
          <w:noProof/>
          <w:sz w:val="24"/>
          <w:szCs w:val="24"/>
          <w:lang w:val="en-US" w:eastAsia="ja-JP"/>
        </w:rPr>
        <w:tab/>
      </w:r>
      <w:r w:rsidRPr="00EF470D">
        <w:rPr>
          <w:rFonts w:asciiTheme="majorHAnsi" w:hAnsiTheme="majorHAnsi"/>
          <w:noProof/>
        </w:rPr>
        <w:t>Project Context</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_Toc222479131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1</w:t>
      </w:r>
      <w:r w:rsidRPr="00EF470D">
        <w:rPr>
          <w:rFonts w:asciiTheme="majorHAnsi" w:hAnsiTheme="majorHAnsi"/>
          <w:noProof/>
        </w:rPr>
        <w:fldChar w:fldCharType="end"/>
      </w:r>
    </w:p>
    <w:p w14:paraId="6C2373DE"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1.3</w:t>
      </w:r>
      <w:r w:rsidRPr="00EF470D">
        <w:rPr>
          <w:rFonts w:asciiTheme="majorHAnsi" w:hAnsiTheme="majorHAnsi"/>
          <w:noProof/>
          <w:sz w:val="24"/>
          <w:szCs w:val="24"/>
          <w:lang w:val="en-US" w:eastAsia="ja-JP"/>
        </w:rPr>
        <w:tab/>
      </w:r>
      <w:r w:rsidRPr="00EF470D">
        <w:rPr>
          <w:rFonts w:asciiTheme="majorHAnsi" w:hAnsiTheme="majorHAnsi"/>
          <w:noProof/>
        </w:rPr>
        <w:t>Relevance to GEF Programmes</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_Toc222479132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2</w:t>
      </w:r>
      <w:r w:rsidRPr="00EF470D">
        <w:rPr>
          <w:rFonts w:asciiTheme="majorHAnsi" w:hAnsiTheme="majorHAnsi"/>
          <w:noProof/>
        </w:rPr>
        <w:fldChar w:fldCharType="end"/>
      </w:r>
    </w:p>
    <w:p w14:paraId="2720F42D"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1.4</w:t>
      </w:r>
      <w:r w:rsidRPr="00EF470D">
        <w:rPr>
          <w:rFonts w:asciiTheme="majorHAnsi" w:hAnsiTheme="majorHAnsi"/>
          <w:noProof/>
          <w:sz w:val="24"/>
          <w:szCs w:val="24"/>
          <w:lang w:val="en-US" w:eastAsia="ja-JP"/>
        </w:rPr>
        <w:tab/>
      </w:r>
      <w:r w:rsidRPr="00EF470D">
        <w:rPr>
          <w:rFonts w:asciiTheme="majorHAnsi" w:hAnsiTheme="majorHAnsi"/>
          <w:noProof/>
        </w:rPr>
        <w:t>The Project</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_Toc222479133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2</w:t>
      </w:r>
      <w:r w:rsidRPr="00EF470D">
        <w:rPr>
          <w:rFonts w:asciiTheme="majorHAnsi" w:hAnsiTheme="majorHAnsi"/>
          <w:noProof/>
        </w:rPr>
        <w:fldChar w:fldCharType="end"/>
      </w:r>
    </w:p>
    <w:p w14:paraId="364424CF"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1.4.1</w:t>
      </w:r>
      <w:r w:rsidRPr="0065008D">
        <w:rPr>
          <w:rFonts w:asciiTheme="majorHAnsi" w:hAnsiTheme="majorHAnsi"/>
          <w:i w:val="0"/>
          <w:noProof/>
          <w:sz w:val="24"/>
          <w:szCs w:val="24"/>
          <w:lang w:val="en-US" w:eastAsia="ja-JP"/>
        </w:rPr>
        <w:tab/>
      </w:r>
      <w:r w:rsidRPr="0065008D">
        <w:rPr>
          <w:rFonts w:asciiTheme="majorHAnsi" w:hAnsiTheme="majorHAnsi"/>
          <w:i w:val="0"/>
          <w:noProof/>
        </w:rPr>
        <w:t>Project Activities</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_Toc222479134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3</w:t>
      </w:r>
      <w:r w:rsidRPr="0065008D">
        <w:rPr>
          <w:rFonts w:asciiTheme="majorHAnsi" w:hAnsiTheme="majorHAnsi"/>
          <w:i w:val="0"/>
          <w:noProof/>
        </w:rPr>
        <w:fldChar w:fldCharType="end"/>
      </w:r>
    </w:p>
    <w:p w14:paraId="6F44F775"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1.4.2</w:t>
      </w:r>
      <w:r w:rsidRPr="0065008D">
        <w:rPr>
          <w:rFonts w:asciiTheme="majorHAnsi" w:hAnsiTheme="majorHAnsi"/>
          <w:i w:val="0"/>
          <w:noProof/>
          <w:sz w:val="24"/>
          <w:szCs w:val="24"/>
          <w:lang w:val="en-US" w:eastAsia="ja-JP"/>
        </w:rPr>
        <w:tab/>
      </w:r>
      <w:r w:rsidRPr="0065008D">
        <w:rPr>
          <w:rFonts w:asciiTheme="majorHAnsi" w:hAnsiTheme="majorHAnsi"/>
          <w:i w:val="0"/>
          <w:noProof/>
        </w:rPr>
        <w:t>Project Budget</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_Toc222479135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11</w:t>
      </w:r>
      <w:r w:rsidRPr="0065008D">
        <w:rPr>
          <w:rFonts w:asciiTheme="majorHAnsi" w:hAnsiTheme="majorHAnsi"/>
          <w:i w:val="0"/>
          <w:noProof/>
        </w:rPr>
        <w:fldChar w:fldCharType="end"/>
      </w:r>
    </w:p>
    <w:p w14:paraId="43D630AD"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1.4.3</w:t>
      </w:r>
      <w:r w:rsidRPr="0065008D">
        <w:rPr>
          <w:rFonts w:asciiTheme="majorHAnsi" w:hAnsiTheme="majorHAnsi"/>
          <w:i w:val="0"/>
          <w:noProof/>
          <w:sz w:val="24"/>
          <w:szCs w:val="24"/>
          <w:lang w:val="en-US" w:eastAsia="ja-JP"/>
        </w:rPr>
        <w:tab/>
      </w:r>
      <w:r w:rsidRPr="0065008D">
        <w:rPr>
          <w:rFonts w:asciiTheme="majorHAnsi" w:hAnsiTheme="majorHAnsi"/>
          <w:i w:val="0"/>
          <w:noProof/>
        </w:rPr>
        <w:t>Project Duration</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_Toc222479136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12</w:t>
      </w:r>
      <w:r w:rsidRPr="0065008D">
        <w:rPr>
          <w:rFonts w:asciiTheme="majorHAnsi" w:hAnsiTheme="majorHAnsi"/>
          <w:i w:val="0"/>
          <w:noProof/>
        </w:rPr>
        <w:fldChar w:fldCharType="end"/>
      </w:r>
    </w:p>
    <w:p w14:paraId="0B16295A"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1.4.4</w:t>
      </w:r>
      <w:r w:rsidRPr="0065008D">
        <w:rPr>
          <w:rFonts w:asciiTheme="majorHAnsi" w:hAnsiTheme="majorHAnsi"/>
          <w:i w:val="0"/>
          <w:noProof/>
          <w:sz w:val="24"/>
          <w:szCs w:val="24"/>
          <w:lang w:val="en-US" w:eastAsia="ja-JP"/>
        </w:rPr>
        <w:tab/>
      </w:r>
      <w:r w:rsidRPr="0065008D">
        <w:rPr>
          <w:rFonts w:asciiTheme="majorHAnsi" w:hAnsiTheme="majorHAnsi"/>
          <w:i w:val="0"/>
          <w:noProof/>
        </w:rPr>
        <w:t>Institutional arrangements</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_Toc222479137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12</w:t>
      </w:r>
      <w:r w:rsidRPr="0065008D">
        <w:rPr>
          <w:rFonts w:asciiTheme="majorHAnsi" w:hAnsiTheme="majorHAnsi"/>
          <w:i w:val="0"/>
          <w:noProof/>
        </w:rPr>
        <w:fldChar w:fldCharType="end"/>
      </w:r>
    </w:p>
    <w:p w14:paraId="6C3D26A1"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1.4.5</w:t>
      </w:r>
      <w:r w:rsidRPr="0065008D">
        <w:rPr>
          <w:rFonts w:asciiTheme="majorHAnsi" w:hAnsiTheme="majorHAnsi"/>
          <w:i w:val="0"/>
          <w:noProof/>
          <w:sz w:val="24"/>
          <w:szCs w:val="24"/>
          <w:lang w:val="en-US" w:eastAsia="ja-JP"/>
        </w:rPr>
        <w:tab/>
      </w:r>
      <w:r w:rsidRPr="0065008D">
        <w:rPr>
          <w:rFonts w:asciiTheme="majorHAnsi" w:hAnsiTheme="majorHAnsi"/>
          <w:i w:val="0"/>
          <w:noProof/>
        </w:rPr>
        <w:t>Project execution</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_Toc222479138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15</w:t>
      </w:r>
      <w:r w:rsidRPr="0065008D">
        <w:rPr>
          <w:rFonts w:asciiTheme="majorHAnsi" w:hAnsiTheme="majorHAnsi"/>
          <w:i w:val="0"/>
          <w:noProof/>
        </w:rPr>
        <w:fldChar w:fldCharType="end"/>
      </w:r>
    </w:p>
    <w:p w14:paraId="00FFCC87" w14:textId="00833C05" w:rsidR="00EF470D" w:rsidRPr="00EF470D" w:rsidRDefault="00EF470D" w:rsidP="00EF15CD">
      <w:pPr>
        <w:pStyle w:val="TOC1"/>
        <w:rPr>
          <w:noProof/>
          <w:color w:val="auto"/>
          <w:lang w:val="en-US" w:eastAsia="ja-JP"/>
        </w:rPr>
      </w:pPr>
      <w:r w:rsidRPr="00EF470D">
        <w:rPr>
          <w:noProof/>
        </w:rPr>
        <w:t>2.</w:t>
      </w:r>
      <w:r w:rsidR="006C543C">
        <w:rPr>
          <w:noProof/>
          <w:color w:val="auto"/>
          <w:lang w:val="en-US" w:eastAsia="ja-JP"/>
        </w:rPr>
        <w:t xml:space="preserve"> </w:t>
      </w:r>
      <w:r w:rsidRPr="00EF470D">
        <w:rPr>
          <w:noProof/>
        </w:rPr>
        <w:t>Scope, Objective and Methods of Evaluation</w:t>
      </w:r>
      <w:r w:rsidRPr="00EF470D">
        <w:rPr>
          <w:noProof/>
        </w:rPr>
        <w:tab/>
      </w:r>
      <w:r w:rsidRPr="00EF470D">
        <w:rPr>
          <w:noProof/>
        </w:rPr>
        <w:fldChar w:fldCharType="begin"/>
      </w:r>
      <w:r w:rsidRPr="00EF470D">
        <w:rPr>
          <w:noProof/>
        </w:rPr>
        <w:instrText xml:space="preserve"> PAGEREF _Toc222479139 \h </w:instrText>
      </w:r>
      <w:r w:rsidRPr="00EF470D">
        <w:rPr>
          <w:noProof/>
        </w:rPr>
      </w:r>
      <w:r w:rsidRPr="00EF470D">
        <w:rPr>
          <w:noProof/>
        </w:rPr>
        <w:fldChar w:fldCharType="separate"/>
      </w:r>
      <w:r w:rsidRPr="00EF470D">
        <w:rPr>
          <w:noProof/>
        </w:rPr>
        <w:t>15</w:t>
      </w:r>
      <w:r w:rsidRPr="00EF470D">
        <w:rPr>
          <w:noProof/>
        </w:rPr>
        <w:fldChar w:fldCharType="end"/>
      </w:r>
    </w:p>
    <w:p w14:paraId="70560904" w14:textId="7C183547" w:rsidR="00EF470D" w:rsidRPr="00EF470D" w:rsidRDefault="00EF470D" w:rsidP="00EF15CD">
      <w:pPr>
        <w:pStyle w:val="TOC1"/>
        <w:rPr>
          <w:noProof/>
          <w:color w:val="auto"/>
          <w:lang w:val="en-US" w:eastAsia="ja-JP"/>
        </w:rPr>
      </w:pPr>
      <w:r w:rsidRPr="00EF470D">
        <w:rPr>
          <w:noProof/>
        </w:rPr>
        <w:t>3.</w:t>
      </w:r>
      <w:r w:rsidR="006C543C">
        <w:rPr>
          <w:noProof/>
          <w:color w:val="auto"/>
          <w:lang w:val="en-US" w:eastAsia="ja-JP"/>
        </w:rPr>
        <w:t xml:space="preserve"> </w:t>
      </w:r>
      <w:r w:rsidRPr="00EF470D">
        <w:rPr>
          <w:noProof/>
        </w:rPr>
        <w:t>Project Performance and Impact</w:t>
      </w:r>
      <w:r w:rsidRPr="00EF470D">
        <w:rPr>
          <w:noProof/>
        </w:rPr>
        <w:tab/>
      </w:r>
      <w:r w:rsidRPr="00EF470D">
        <w:rPr>
          <w:noProof/>
        </w:rPr>
        <w:fldChar w:fldCharType="begin"/>
      </w:r>
      <w:r w:rsidRPr="00EF470D">
        <w:rPr>
          <w:noProof/>
        </w:rPr>
        <w:instrText xml:space="preserve"> PAGEREF _Toc222479140 \h </w:instrText>
      </w:r>
      <w:r w:rsidRPr="00EF470D">
        <w:rPr>
          <w:noProof/>
        </w:rPr>
      </w:r>
      <w:r w:rsidRPr="00EF470D">
        <w:rPr>
          <w:noProof/>
        </w:rPr>
        <w:fldChar w:fldCharType="separate"/>
      </w:r>
      <w:r w:rsidRPr="00EF470D">
        <w:rPr>
          <w:noProof/>
        </w:rPr>
        <w:t>16</w:t>
      </w:r>
      <w:r w:rsidRPr="00EF470D">
        <w:rPr>
          <w:noProof/>
        </w:rPr>
        <w:fldChar w:fldCharType="end"/>
      </w:r>
    </w:p>
    <w:p w14:paraId="2FA4E494"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3.1</w:t>
      </w:r>
      <w:r w:rsidRPr="00EF470D">
        <w:rPr>
          <w:rFonts w:asciiTheme="majorHAnsi" w:hAnsiTheme="majorHAnsi"/>
          <w:noProof/>
          <w:sz w:val="24"/>
          <w:szCs w:val="24"/>
          <w:lang w:val="en-US" w:eastAsia="ja-JP"/>
        </w:rPr>
        <w:tab/>
      </w:r>
      <w:r w:rsidRPr="00EF470D">
        <w:rPr>
          <w:rFonts w:asciiTheme="majorHAnsi" w:hAnsiTheme="majorHAnsi"/>
          <w:noProof/>
        </w:rPr>
        <w:t>Attainment of objectives and planned results (progress to-date)</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_Toc222479141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16</w:t>
      </w:r>
      <w:r w:rsidRPr="00EF470D">
        <w:rPr>
          <w:rFonts w:asciiTheme="majorHAnsi" w:hAnsiTheme="majorHAnsi"/>
          <w:noProof/>
        </w:rPr>
        <w:fldChar w:fldCharType="end"/>
      </w:r>
    </w:p>
    <w:p w14:paraId="63E1C606"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3.1.1</w:t>
      </w:r>
      <w:r w:rsidRPr="0065008D">
        <w:rPr>
          <w:rFonts w:asciiTheme="majorHAnsi" w:hAnsiTheme="majorHAnsi"/>
          <w:i w:val="0"/>
          <w:noProof/>
          <w:sz w:val="24"/>
          <w:szCs w:val="24"/>
          <w:lang w:val="en-US" w:eastAsia="ja-JP"/>
        </w:rPr>
        <w:tab/>
      </w:r>
      <w:r w:rsidRPr="0065008D">
        <w:rPr>
          <w:rFonts w:asciiTheme="majorHAnsi" w:hAnsiTheme="majorHAnsi"/>
          <w:i w:val="0"/>
          <w:noProof/>
        </w:rPr>
        <w:t>Achievement of outputs and activities</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_Toc222479142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16</w:t>
      </w:r>
      <w:r w:rsidRPr="0065008D">
        <w:rPr>
          <w:rFonts w:asciiTheme="majorHAnsi" w:hAnsiTheme="majorHAnsi"/>
          <w:i w:val="0"/>
          <w:noProof/>
        </w:rPr>
        <w:fldChar w:fldCharType="end"/>
      </w:r>
    </w:p>
    <w:p w14:paraId="6776C039"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3.1.2</w:t>
      </w:r>
      <w:r w:rsidRPr="0065008D">
        <w:rPr>
          <w:rFonts w:asciiTheme="majorHAnsi" w:hAnsiTheme="majorHAnsi"/>
          <w:i w:val="0"/>
          <w:noProof/>
          <w:sz w:val="24"/>
          <w:szCs w:val="24"/>
          <w:lang w:val="en-US" w:eastAsia="ja-JP"/>
        </w:rPr>
        <w:tab/>
      </w:r>
      <w:r w:rsidRPr="0065008D">
        <w:rPr>
          <w:rFonts w:asciiTheme="majorHAnsi" w:hAnsiTheme="majorHAnsi"/>
          <w:i w:val="0"/>
          <w:noProof/>
        </w:rPr>
        <w:t>Relevance</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_Toc222479143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28</w:t>
      </w:r>
      <w:r w:rsidRPr="0065008D">
        <w:rPr>
          <w:rFonts w:asciiTheme="majorHAnsi" w:hAnsiTheme="majorHAnsi"/>
          <w:i w:val="0"/>
          <w:noProof/>
        </w:rPr>
        <w:fldChar w:fldCharType="end"/>
      </w:r>
    </w:p>
    <w:p w14:paraId="51B94810"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3.1.3</w:t>
      </w:r>
      <w:r w:rsidRPr="0065008D">
        <w:rPr>
          <w:rFonts w:asciiTheme="majorHAnsi" w:hAnsiTheme="majorHAnsi"/>
          <w:i w:val="0"/>
          <w:noProof/>
          <w:sz w:val="24"/>
          <w:szCs w:val="24"/>
          <w:lang w:val="en-US" w:eastAsia="ja-JP"/>
        </w:rPr>
        <w:tab/>
      </w:r>
      <w:r w:rsidRPr="0065008D">
        <w:rPr>
          <w:rFonts w:asciiTheme="majorHAnsi" w:hAnsiTheme="majorHAnsi"/>
          <w:i w:val="0"/>
          <w:noProof/>
        </w:rPr>
        <w:t>Effectiveness – achievement against Outcome indicators</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_Toc222479144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28</w:t>
      </w:r>
      <w:r w:rsidRPr="0065008D">
        <w:rPr>
          <w:rFonts w:asciiTheme="majorHAnsi" w:hAnsiTheme="majorHAnsi"/>
          <w:i w:val="0"/>
          <w:noProof/>
        </w:rPr>
        <w:fldChar w:fldCharType="end"/>
      </w:r>
    </w:p>
    <w:p w14:paraId="4C0E633B"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3.1.4</w:t>
      </w:r>
      <w:r w:rsidRPr="0065008D">
        <w:rPr>
          <w:rFonts w:asciiTheme="majorHAnsi" w:hAnsiTheme="majorHAnsi"/>
          <w:i w:val="0"/>
          <w:noProof/>
          <w:sz w:val="24"/>
          <w:szCs w:val="24"/>
          <w:lang w:val="en-US" w:eastAsia="ja-JP"/>
        </w:rPr>
        <w:tab/>
      </w:r>
      <w:r w:rsidRPr="0065008D">
        <w:rPr>
          <w:rFonts w:asciiTheme="majorHAnsi" w:hAnsiTheme="majorHAnsi"/>
          <w:i w:val="0"/>
          <w:noProof/>
        </w:rPr>
        <w:t>Efficiency</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_Toc222479145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38</w:t>
      </w:r>
      <w:r w:rsidRPr="0065008D">
        <w:rPr>
          <w:rFonts w:asciiTheme="majorHAnsi" w:hAnsiTheme="majorHAnsi"/>
          <w:i w:val="0"/>
          <w:noProof/>
        </w:rPr>
        <w:fldChar w:fldCharType="end"/>
      </w:r>
    </w:p>
    <w:p w14:paraId="5F01AAF8"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3.1.5</w:t>
      </w:r>
      <w:r w:rsidRPr="0065008D">
        <w:rPr>
          <w:rFonts w:asciiTheme="majorHAnsi" w:hAnsiTheme="majorHAnsi"/>
          <w:i w:val="0"/>
          <w:noProof/>
          <w:sz w:val="24"/>
          <w:szCs w:val="24"/>
          <w:lang w:val="en-US" w:eastAsia="ja-JP"/>
        </w:rPr>
        <w:tab/>
      </w:r>
      <w:r w:rsidRPr="0065008D">
        <w:rPr>
          <w:rFonts w:asciiTheme="majorHAnsi" w:hAnsiTheme="majorHAnsi"/>
          <w:i w:val="0"/>
          <w:noProof/>
        </w:rPr>
        <w:t>Assumptions and Risks</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_Toc222479146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39</w:t>
      </w:r>
      <w:r w:rsidRPr="0065008D">
        <w:rPr>
          <w:rFonts w:asciiTheme="majorHAnsi" w:hAnsiTheme="majorHAnsi"/>
          <w:i w:val="0"/>
          <w:noProof/>
        </w:rPr>
        <w:fldChar w:fldCharType="end"/>
      </w:r>
    </w:p>
    <w:p w14:paraId="5E08D272"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3.2</w:t>
      </w:r>
      <w:r w:rsidRPr="00EF470D">
        <w:rPr>
          <w:rFonts w:asciiTheme="majorHAnsi" w:hAnsiTheme="majorHAnsi"/>
          <w:noProof/>
          <w:sz w:val="24"/>
          <w:szCs w:val="24"/>
          <w:lang w:val="en-US" w:eastAsia="ja-JP"/>
        </w:rPr>
        <w:tab/>
      </w:r>
      <w:r w:rsidRPr="00EF470D">
        <w:rPr>
          <w:rFonts w:asciiTheme="majorHAnsi" w:hAnsiTheme="majorHAnsi"/>
          <w:noProof/>
        </w:rPr>
        <w:t>Assessment of the progress towards achievement and sustainability of project outcomes</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_Toc222479147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41</w:t>
      </w:r>
      <w:r w:rsidRPr="00EF470D">
        <w:rPr>
          <w:rFonts w:asciiTheme="majorHAnsi" w:hAnsiTheme="majorHAnsi"/>
          <w:noProof/>
        </w:rPr>
        <w:fldChar w:fldCharType="end"/>
      </w:r>
    </w:p>
    <w:p w14:paraId="137E3DE7"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3.3</w:t>
      </w:r>
      <w:r w:rsidRPr="00EF470D">
        <w:rPr>
          <w:rFonts w:asciiTheme="majorHAnsi" w:hAnsiTheme="majorHAnsi"/>
          <w:noProof/>
          <w:sz w:val="24"/>
          <w:szCs w:val="24"/>
          <w:lang w:val="en-US" w:eastAsia="ja-JP"/>
        </w:rPr>
        <w:tab/>
      </w:r>
      <w:r w:rsidRPr="00EF470D">
        <w:rPr>
          <w:rFonts w:asciiTheme="majorHAnsi" w:hAnsiTheme="majorHAnsi"/>
          <w:noProof/>
        </w:rPr>
        <w:t>Catalytic role</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_Toc222479148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42</w:t>
      </w:r>
      <w:r w:rsidRPr="00EF470D">
        <w:rPr>
          <w:rFonts w:asciiTheme="majorHAnsi" w:hAnsiTheme="majorHAnsi"/>
          <w:noProof/>
        </w:rPr>
        <w:fldChar w:fldCharType="end"/>
      </w:r>
    </w:p>
    <w:p w14:paraId="6D197C44" w14:textId="77777777" w:rsidR="00EF470D" w:rsidRPr="0065008D" w:rsidRDefault="00EF470D">
      <w:pPr>
        <w:pStyle w:val="TOC2"/>
        <w:tabs>
          <w:tab w:val="left" w:pos="529"/>
          <w:tab w:val="right" w:leader="dot" w:pos="9010"/>
        </w:tabs>
        <w:rPr>
          <w:rFonts w:asciiTheme="majorHAnsi" w:hAnsiTheme="majorHAnsi"/>
          <w:i/>
          <w:noProof/>
          <w:sz w:val="24"/>
          <w:szCs w:val="24"/>
          <w:lang w:val="en-US" w:eastAsia="ja-JP"/>
        </w:rPr>
      </w:pPr>
      <w:r w:rsidRPr="0065008D">
        <w:rPr>
          <w:rFonts w:asciiTheme="majorHAnsi" w:hAnsiTheme="majorHAnsi"/>
          <w:i/>
          <w:noProof/>
        </w:rPr>
        <w:t>3.4</w:t>
      </w:r>
      <w:r w:rsidRPr="0065008D">
        <w:rPr>
          <w:rFonts w:asciiTheme="majorHAnsi" w:hAnsiTheme="majorHAnsi"/>
          <w:i/>
          <w:noProof/>
          <w:sz w:val="24"/>
          <w:szCs w:val="24"/>
          <w:lang w:val="en-US" w:eastAsia="ja-JP"/>
        </w:rPr>
        <w:tab/>
      </w:r>
      <w:r w:rsidRPr="0065008D">
        <w:rPr>
          <w:rFonts w:asciiTheme="majorHAnsi" w:hAnsiTheme="majorHAnsi"/>
          <w:i/>
          <w:noProof/>
        </w:rPr>
        <w:t>Assessment of Monitoring and Evaluation Systems</w:t>
      </w:r>
      <w:r w:rsidRPr="0065008D">
        <w:rPr>
          <w:rFonts w:asciiTheme="majorHAnsi" w:hAnsiTheme="majorHAnsi"/>
          <w:i/>
          <w:noProof/>
        </w:rPr>
        <w:tab/>
      </w:r>
      <w:r w:rsidRPr="0065008D">
        <w:rPr>
          <w:rFonts w:asciiTheme="majorHAnsi" w:hAnsiTheme="majorHAnsi"/>
          <w:i/>
          <w:noProof/>
        </w:rPr>
        <w:fldChar w:fldCharType="begin"/>
      </w:r>
      <w:r w:rsidRPr="0065008D">
        <w:rPr>
          <w:rFonts w:asciiTheme="majorHAnsi" w:hAnsiTheme="majorHAnsi"/>
          <w:i/>
          <w:noProof/>
        </w:rPr>
        <w:instrText xml:space="preserve"> PAGEREF _Toc222479149 \h </w:instrText>
      </w:r>
      <w:r w:rsidRPr="0065008D">
        <w:rPr>
          <w:rFonts w:asciiTheme="majorHAnsi" w:hAnsiTheme="majorHAnsi"/>
          <w:i/>
          <w:noProof/>
        </w:rPr>
      </w:r>
      <w:r w:rsidRPr="0065008D">
        <w:rPr>
          <w:rFonts w:asciiTheme="majorHAnsi" w:hAnsiTheme="majorHAnsi"/>
          <w:i/>
          <w:noProof/>
        </w:rPr>
        <w:fldChar w:fldCharType="separate"/>
      </w:r>
      <w:r w:rsidRPr="0065008D">
        <w:rPr>
          <w:rFonts w:asciiTheme="majorHAnsi" w:hAnsiTheme="majorHAnsi"/>
          <w:i/>
          <w:noProof/>
        </w:rPr>
        <w:t>42</w:t>
      </w:r>
      <w:r w:rsidRPr="0065008D">
        <w:rPr>
          <w:rFonts w:asciiTheme="majorHAnsi" w:hAnsiTheme="majorHAnsi"/>
          <w:i/>
          <w:noProof/>
        </w:rPr>
        <w:fldChar w:fldCharType="end"/>
      </w:r>
    </w:p>
    <w:p w14:paraId="05C12322" w14:textId="77777777" w:rsidR="00EF470D" w:rsidRPr="0065008D" w:rsidRDefault="00EF470D">
      <w:pPr>
        <w:pStyle w:val="TOC3"/>
        <w:tabs>
          <w:tab w:val="left" w:pos="916"/>
          <w:tab w:val="right" w:leader="dot" w:pos="9010"/>
        </w:tabs>
        <w:rPr>
          <w:rFonts w:asciiTheme="majorHAnsi" w:hAnsiTheme="majorHAnsi"/>
          <w:noProof/>
          <w:sz w:val="24"/>
          <w:szCs w:val="24"/>
          <w:lang w:val="en-US" w:eastAsia="ja-JP"/>
        </w:rPr>
      </w:pPr>
      <w:r w:rsidRPr="0065008D">
        <w:rPr>
          <w:rFonts w:asciiTheme="majorHAnsi" w:hAnsiTheme="majorHAnsi"/>
          <w:noProof/>
        </w:rPr>
        <w:t>3.4.1</w:t>
      </w:r>
      <w:r w:rsidRPr="0065008D">
        <w:rPr>
          <w:rFonts w:asciiTheme="majorHAnsi" w:hAnsiTheme="majorHAnsi"/>
          <w:noProof/>
          <w:sz w:val="24"/>
          <w:szCs w:val="24"/>
          <w:lang w:val="en-US" w:eastAsia="ja-JP"/>
        </w:rPr>
        <w:tab/>
      </w:r>
      <w:r w:rsidRPr="0065008D">
        <w:rPr>
          <w:rFonts w:asciiTheme="majorHAnsi" w:hAnsiTheme="majorHAnsi"/>
          <w:noProof/>
        </w:rPr>
        <w:t>M&amp;E design</w:t>
      </w:r>
      <w:r w:rsidRPr="0065008D">
        <w:rPr>
          <w:rFonts w:asciiTheme="majorHAnsi" w:hAnsiTheme="majorHAnsi"/>
          <w:noProof/>
        </w:rPr>
        <w:tab/>
      </w:r>
      <w:r w:rsidRPr="0065008D">
        <w:rPr>
          <w:rFonts w:asciiTheme="majorHAnsi" w:hAnsiTheme="majorHAnsi"/>
          <w:noProof/>
        </w:rPr>
        <w:fldChar w:fldCharType="begin"/>
      </w:r>
      <w:r w:rsidRPr="0065008D">
        <w:rPr>
          <w:rFonts w:asciiTheme="majorHAnsi" w:hAnsiTheme="majorHAnsi"/>
          <w:noProof/>
        </w:rPr>
        <w:instrText xml:space="preserve"> PAGEREF _Toc222479150 \h </w:instrText>
      </w:r>
      <w:r w:rsidRPr="0065008D">
        <w:rPr>
          <w:rFonts w:asciiTheme="majorHAnsi" w:hAnsiTheme="majorHAnsi"/>
          <w:noProof/>
        </w:rPr>
      </w:r>
      <w:r w:rsidRPr="0065008D">
        <w:rPr>
          <w:rFonts w:asciiTheme="majorHAnsi" w:hAnsiTheme="majorHAnsi"/>
          <w:noProof/>
        </w:rPr>
        <w:fldChar w:fldCharType="separate"/>
      </w:r>
      <w:r w:rsidRPr="0065008D">
        <w:rPr>
          <w:rFonts w:asciiTheme="majorHAnsi" w:hAnsiTheme="majorHAnsi"/>
          <w:noProof/>
        </w:rPr>
        <w:t>42</w:t>
      </w:r>
      <w:r w:rsidRPr="0065008D">
        <w:rPr>
          <w:rFonts w:asciiTheme="majorHAnsi" w:hAnsiTheme="majorHAnsi"/>
          <w:noProof/>
        </w:rPr>
        <w:fldChar w:fldCharType="end"/>
      </w:r>
    </w:p>
    <w:p w14:paraId="5D6D8E84" w14:textId="77777777" w:rsidR="00EF470D" w:rsidRPr="0065008D" w:rsidRDefault="00EF470D">
      <w:pPr>
        <w:pStyle w:val="TOC3"/>
        <w:tabs>
          <w:tab w:val="left" w:pos="916"/>
          <w:tab w:val="right" w:leader="dot" w:pos="9010"/>
        </w:tabs>
        <w:rPr>
          <w:rFonts w:asciiTheme="majorHAnsi" w:hAnsiTheme="majorHAnsi"/>
          <w:noProof/>
          <w:sz w:val="24"/>
          <w:szCs w:val="24"/>
          <w:lang w:val="en-US" w:eastAsia="ja-JP"/>
        </w:rPr>
      </w:pPr>
      <w:r w:rsidRPr="0065008D">
        <w:rPr>
          <w:rFonts w:asciiTheme="majorHAnsi" w:hAnsiTheme="majorHAnsi"/>
          <w:noProof/>
        </w:rPr>
        <w:t>3.4.2</w:t>
      </w:r>
      <w:r w:rsidRPr="0065008D">
        <w:rPr>
          <w:rFonts w:asciiTheme="majorHAnsi" w:hAnsiTheme="majorHAnsi"/>
          <w:noProof/>
          <w:sz w:val="24"/>
          <w:szCs w:val="24"/>
          <w:lang w:val="en-US" w:eastAsia="ja-JP"/>
        </w:rPr>
        <w:tab/>
      </w:r>
      <w:r w:rsidRPr="0065008D">
        <w:rPr>
          <w:rFonts w:asciiTheme="majorHAnsi" w:hAnsiTheme="majorHAnsi"/>
          <w:noProof/>
        </w:rPr>
        <w:t>M&amp;E plan implementation</w:t>
      </w:r>
      <w:r w:rsidRPr="0065008D">
        <w:rPr>
          <w:rFonts w:asciiTheme="majorHAnsi" w:hAnsiTheme="majorHAnsi"/>
          <w:noProof/>
        </w:rPr>
        <w:tab/>
      </w:r>
      <w:r w:rsidRPr="0065008D">
        <w:rPr>
          <w:rFonts w:asciiTheme="majorHAnsi" w:hAnsiTheme="majorHAnsi"/>
          <w:noProof/>
        </w:rPr>
        <w:fldChar w:fldCharType="begin"/>
      </w:r>
      <w:r w:rsidRPr="0065008D">
        <w:rPr>
          <w:rFonts w:asciiTheme="majorHAnsi" w:hAnsiTheme="majorHAnsi"/>
          <w:noProof/>
        </w:rPr>
        <w:instrText xml:space="preserve"> PAGEREF _Toc222479151 \h </w:instrText>
      </w:r>
      <w:r w:rsidRPr="0065008D">
        <w:rPr>
          <w:rFonts w:asciiTheme="majorHAnsi" w:hAnsiTheme="majorHAnsi"/>
          <w:noProof/>
        </w:rPr>
      </w:r>
      <w:r w:rsidRPr="0065008D">
        <w:rPr>
          <w:rFonts w:asciiTheme="majorHAnsi" w:hAnsiTheme="majorHAnsi"/>
          <w:noProof/>
        </w:rPr>
        <w:fldChar w:fldCharType="separate"/>
      </w:r>
      <w:r w:rsidRPr="0065008D">
        <w:rPr>
          <w:rFonts w:asciiTheme="majorHAnsi" w:hAnsiTheme="majorHAnsi"/>
          <w:noProof/>
        </w:rPr>
        <w:t>43</w:t>
      </w:r>
      <w:r w:rsidRPr="0065008D">
        <w:rPr>
          <w:rFonts w:asciiTheme="majorHAnsi" w:hAnsiTheme="majorHAnsi"/>
          <w:noProof/>
        </w:rPr>
        <w:fldChar w:fldCharType="end"/>
      </w:r>
    </w:p>
    <w:p w14:paraId="4F013C83" w14:textId="77777777" w:rsidR="00EF470D" w:rsidRPr="0065008D" w:rsidRDefault="00EF470D">
      <w:pPr>
        <w:pStyle w:val="TOC3"/>
        <w:tabs>
          <w:tab w:val="left" w:pos="916"/>
          <w:tab w:val="right" w:leader="dot" w:pos="9010"/>
        </w:tabs>
        <w:rPr>
          <w:rFonts w:asciiTheme="majorHAnsi" w:hAnsiTheme="majorHAnsi"/>
          <w:noProof/>
          <w:sz w:val="24"/>
          <w:szCs w:val="24"/>
          <w:lang w:val="en-US" w:eastAsia="ja-JP"/>
        </w:rPr>
      </w:pPr>
      <w:r w:rsidRPr="0065008D">
        <w:rPr>
          <w:rFonts w:asciiTheme="majorHAnsi" w:hAnsiTheme="majorHAnsi"/>
          <w:noProof/>
        </w:rPr>
        <w:t>3.4.3</w:t>
      </w:r>
      <w:r w:rsidRPr="0065008D">
        <w:rPr>
          <w:rFonts w:asciiTheme="majorHAnsi" w:hAnsiTheme="majorHAnsi"/>
          <w:noProof/>
          <w:sz w:val="24"/>
          <w:szCs w:val="24"/>
          <w:lang w:val="en-US" w:eastAsia="ja-JP"/>
        </w:rPr>
        <w:tab/>
      </w:r>
      <w:r w:rsidRPr="0065008D">
        <w:rPr>
          <w:rFonts w:asciiTheme="majorHAnsi" w:hAnsiTheme="majorHAnsi"/>
          <w:noProof/>
        </w:rPr>
        <w:t>Budgeting and funding for M&amp;E activities</w:t>
      </w:r>
      <w:r w:rsidRPr="0065008D">
        <w:rPr>
          <w:rFonts w:asciiTheme="majorHAnsi" w:hAnsiTheme="majorHAnsi"/>
          <w:noProof/>
        </w:rPr>
        <w:tab/>
      </w:r>
      <w:r w:rsidRPr="0065008D">
        <w:rPr>
          <w:rFonts w:asciiTheme="majorHAnsi" w:hAnsiTheme="majorHAnsi"/>
          <w:noProof/>
        </w:rPr>
        <w:fldChar w:fldCharType="begin"/>
      </w:r>
      <w:r w:rsidRPr="0065008D">
        <w:rPr>
          <w:rFonts w:asciiTheme="majorHAnsi" w:hAnsiTheme="majorHAnsi"/>
          <w:noProof/>
        </w:rPr>
        <w:instrText xml:space="preserve"> PAGEREF _Toc222479152 \h </w:instrText>
      </w:r>
      <w:r w:rsidRPr="0065008D">
        <w:rPr>
          <w:rFonts w:asciiTheme="majorHAnsi" w:hAnsiTheme="majorHAnsi"/>
          <w:noProof/>
        </w:rPr>
      </w:r>
      <w:r w:rsidRPr="0065008D">
        <w:rPr>
          <w:rFonts w:asciiTheme="majorHAnsi" w:hAnsiTheme="majorHAnsi"/>
          <w:noProof/>
        </w:rPr>
        <w:fldChar w:fldCharType="separate"/>
      </w:r>
      <w:r w:rsidRPr="0065008D">
        <w:rPr>
          <w:rFonts w:asciiTheme="majorHAnsi" w:hAnsiTheme="majorHAnsi"/>
          <w:noProof/>
        </w:rPr>
        <w:t>44</w:t>
      </w:r>
      <w:r w:rsidRPr="0065008D">
        <w:rPr>
          <w:rFonts w:asciiTheme="majorHAnsi" w:hAnsiTheme="majorHAnsi"/>
          <w:noProof/>
        </w:rPr>
        <w:fldChar w:fldCharType="end"/>
      </w:r>
    </w:p>
    <w:p w14:paraId="7D7B5044" w14:textId="77777777" w:rsidR="00EF470D" w:rsidRPr="0065008D" w:rsidRDefault="00EF470D">
      <w:pPr>
        <w:pStyle w:val="TOC3"/>
        <w:tabs>
          <w:tab w:val="left" w:pos="916"/>
          <w:tab w:val="right" w:leader="dot" w:pos="9010"/>
        </w:tabs>
        <w:rPr>
          <w:rFonts w:asciiTheme="majorHAnsi" w:hAnsiTheme="majorHAnsi"/>
          <w:noProof/>
          <w:sz w:val="24"/>
          <w:szCs w:val="24"/>
          <w:lang w:val="en-US" w:eastAsia="ja-JP"/>
        </w:rPr>
      </w:pPr>
      <w:r w:rsidRPr="0065008D">
        <w:rPr>
          <w:rFonts w:asciiTheme="majorHAnsi" w:hAnsiTheme="majorHAnsi"/>
          <w:noProof/>
        </w:rPr>
        <w:t>3.4.4</w:t>
      </w:r>
      <w:r w:rsidRPr="0065008D">
        <w:rPr>
          <w:rFonts w:asciiTheme="majorHAnsi" w:hAnsiTheme="majorHAnsi"/>
          <w:noProof/>
          <w:sz w:val="24"/>
          <w:szCs w:val="24"/>
          <w:lang w:val="en-US" w:eastAsia="ja-JP"/>
        </w:rPr>
        <w:tab/>
      </w:r>
      <w:r w:rsidRPr="0065008D">
        <w:rPr>
          <w:rFonts w:asciiTheme="majorHAnsi" w:hAnsiTheme="majorHAnsi"/>
          <w:noProof/>
        </w:rPr>
        <w:t>Long-term monitoring</w:t>
      </w:r>
      <w:r w:rsidRPr="0065008D">
        <w:rPr>
          <w:rFonts w:asciiTheme="majorHAnsi" w:hAnsiTheme="majorHAnsi"/>
          <w:noProof/>
        </w:rPr>
        <w:tab/>
      </w:r>
      <w:r w:rsidRPr="0065008D">
        <w:rPr>
          <w:rFonts w:asciiTheme="majorHAnsi" w:hAnsiTheme="majorHAnsi"/>
          <w:noProof/>
        </w:rPr>
        <w:fldChar w:fldCharType="begin"/>
      </w:r>
      <w:r w:rsidRPr="0065008D">
        <w:rPr>
          <w:rFonts w:asciiTheme="majorHAnsi" w:hAnsiTheme="majorHAnsi"/>
          <w:noProof/>
        </w:rPr>
        <w:instrText xml:space="preserve"> PAGEREF _Toc222479153 \h </w:instrText>
      </w:r>
      <w:r w:rsidRPr="0065008D">
        <w:rPr>
          <w:rFonts w:asciiTheme="majorHAnsi" w:hAnsiTheme="majorHAnsi"/>
          <w:noProof/>
        </w:rPr>
      </w:r>
      <w:r w:rsidRPr="0065008D">
        <w:rPr>
          <w:rFonts w:asciiTheme="majorHAnsi" w:hAnsiTheme="majorHAnsi"/>
          <w:noProof/>
        </w:rPr>
        <w:fldChar w:fldCharType="separate"/>
      </w:r>
      <w:r w:rsidRPr="0065008D">
        <w:rPr>
          <w:rFonts w:asciiTheme="majorHAnsi" w:hAnsiTheme="majorHAnsi"/>
          <w:noProof/>
        </w:rPr>
        <w:t>44</w:t>
      </w:r>
      <w:r w:rsidRPr="0065008D">
        <w:rPr>
          <w:rFonts w:asciiTheme="majorHAnsi" w:hAnsiTheme="majorHAnsi"/>
          <w:noProof/>
        </w:rPr>
        <w:fldChar w:fldCharType="end"/>
      </w:r>
    </w:p>
    <w:p w14:paraId="7EC3495E" w14:textId="77777777" w:rsidR="00EF470D" w:rsidRPr="00EF470D" w:rsidRDefault="00EF470D">
      <w:pPr>
        <w:pStyle w:val="TOC2"/>
        <w:tabs>
          <w:tab w:val="left" w:pos="529"/>
          <w:tab w:val="right" w:leader="dot" w:pos="9010"/>
        </w:tabs>
        <w:rPr>
          <w:rFonts w:asciiTheme="majorHAnsi" w:hAnsiTheme="majorHAnsi"/>
          <w:noProof/>
          <w:sz w:val="24"/>
          <w:szCs w:val="24"/>
          <w:lang w:val="en-US" w:eastAsia="ja-JP"/>
        </w:rPr>
      </w:pPr>
      <w:r w:rsidRPr="00EF470D">
        <w:rPr>
          <w:rFonts w:asciiTheme="majorHAnsi" w:hAnsiTheme="majorHAnsi"/>
          <w:noProof/>
        </w:rPr>
        <w:t>3.5</w:t>
      </w:r>
      <w:r w:rsidRPr="00EF470D">
        <w:rPr>
          <w:rFonts w:asciiTheme="majorHAnsi" w:hAnsiTheme="majorHAnsi"/>
          <w:noProof/>
          <w:sz w:val="24"/>
          <w:szCs w:val="24"/>
          <w:lang w:val="en-US" w:eastAsia="ja-JP"/>
        </w:rPr>
        <w:tab/>
      </w:r>
      <w:r w:rsidRPr="00EF470D">
        <w:rPr>
          <w:rFonts w:asciiTheme="majorHAnsi" w:hAnsiTheme="majorHAnsi"/>
          <w:noProof/>
        </w:rPr>
        <w:t>Assessment of processes that affected attainment of project results</w:t>
      </w:r>
      <w:r w:rsidRPr="00EF470D">
        <w:rPr>
          <w:rFonts w:asciiTheme="majorHAnsi" w:hAnsiTheme="majorHAnsi"/>
          <w:noProof/>
        </w:rPr>
        <w:tab/>
      </w:r>
      <w:r w:rsidRPr="00EF470D">
        <w:rPr>
          <w:rFonts w:asciiTheme="majorHAnsi" w:hAnsiTheme="majorHAnsi"/>
          <w:noProof/>
        </w:rPr>
        <w:fldChar w:fldCharType="begin"/>
      </w:r>
      <w:r w:rsidRPr="00EF470D">
        <w:rPr>
          <w:rFonts w:asciiTheme="majorHAnsi" w:hAnsiTheme="majorHAnsi"/>
          <w:noProof/>
        </w:rPr>
        <w:instrText xml:space="preserve"> PAGEREF _Toc222479154 \h </w:instrText>
      </w:r>
      <w:r w:rsidRPr="00EF470D">
        <w:rPr>
          <w:rFonts w:asciiTheme="majorHAnsi" w:hAnsiTheme="majorHAnsi"/>
          <w:noProof/>
        </w:rPr>
      </w:r>
      <w:r w:rsidRPr="00EF470D">
        <w:rPr>
          <w:rFonts w:asciiTheme="majorHAnsi" w:hAnsiTheme="majorHAnsi"/>
          <w:noProof/>
        </w:rPr>
        <w:fldChar w:fldCharType="separate"/>
      </w:r>
      <w:r w:rsidRPr="00EF470D">
        <w:rPr>
          <w:rFonts w:asciiTheme="majorHAnsi" w:hAnsiTheme="majorHAnsi"/>
          <w:noProof/>
        </w:rPr>
        <w:t>45</w:t>
      </w:r>
      <w:r w:rsidRPr="00EF470D">
        <w:rPr>
          <w:rFonts w:asciiTheme="majorHAnsi" w:hAnsiTheme="majorHAnsi"/>
          <w:noProof/>
        </w:rPr>
        <w:fldChar w:fldCharType="end"/>
      </w:r>
    </w:p>
    <w:p w14:paraId="24E2A757"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3.5.1</w:t>
      </w:r>
      <w:r w:rsidRPr="0065008D">
        <w:rPr>
          <w:rFonts w:asciiTheme="majorHAnsi" w:hAnsiTheme="majorHAnsi"/>
          <w:i w:val="0"/>
          <w:noProof/>
          <w:sz w:val="24"/>
          <w:szCs w:val="24"/>
          <w:lang w:val="en-US" w:eastAsia="ja-JP"/>
        </w:rPr>
        <w:tab/>
      </w:r>
      <w:r w:rsidRPr="0065008D">
        <w:rPr>
          <w:rFonts w:asciiTheme="majorHAnsi" w:hAnsiTheme="majorHAnsi"/>
          <w:i w:val="0"/>
          <w:noProof/>
        </w:rPr>
        <w:t>Preparation and readiness</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_Toc222479155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45</w:t>
      </w:r>
      <w:r w:rsidRPr="0065008D">
        <w:rPr>
          <w:rFonts w:asciiTheme="majorHAnsi" w:hAnsiTheme="majorHAnsi"/>
          <w:i w:val="0"/>
          <w:noProof/>
        </w:rPr>
        <w:fldChar w:fldCharType="end"/>
      </w:r>
    </w:p>
    <w:p w14:paraId="263A88C0"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3.5.2</w:t>
      </w:r>
      <w:r w:rsidRPr="0065008D">
        <w:rPr>
          <w:rFonts w:asciiTheme="majorHAnsi" w:hAnsiTheme="majorHAnsi"/>
          <w:i w:val="0"/>
          <w:noProof/>
          <w:sz w:val="24"/>
          <w:szCs w:val="24"/>
          <w:lang w:val="en-US" w:eastAsia="ja-JP"/>
        </w:rPr>
        <w:tab/>
      </w:r>
      <w:r w:rsidRPr="0065008D">
        <w:rPr>
          <w:rFonts w:asciiTheme="majorHAnsi" w:hAnsiTheme="majorHAnsi"/>
          <w:i w:val="0"/>
          <w:noProof/>
        </w:rPr>
        <w:t>Implementation approach and adaptive management</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_Toc222479156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46</w:t>
      </w:r>
      <w:r w:rsidRPr="0065008D">
        <w:rPr>
          <w:rFonts w:asciiTheme="majorHAnsi" w:hAnsiTheme="majorHAnsi"/>
          <w:i w:val="0"/>
          <w:noProof/>
        </w:rPr>
        <w:fldChar w:fldCharType="end"/>
      </w:r>
    </w:p>
    <w:p w14:paraId="2E9D06EB"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3.5.3</w:t>
      </w:r>
      <w:r w:rsidRPr="0065008D">
        <w:rPr>
          <w:rFonts w:asciiTheme="majorHAnsi" w:hAnsiTheme="majorHAnsi"/>
          <w:i w:val="0"/>
          <w:noProof/>
          <w:sz w:val="24"/>
          <w:szCs w:val="24"/>
          <w:lang w:val="en-US" w:eastAsia="ja-JP"/>
        </w:rPr>
        <w:tab/>
      </w:r>
      <w:r w:rsidRPr="0065008D">
        <w:rPr>
          <w:rFonts w:asciiTheme="majorHAnsi" w:hAnsiTheme="majorHAnsi"/>
          <w:i w:val="0"/>
          <w:noProof/>
        </w:rPr>
        <w:t>Stakeholder involvement</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_Toc222479157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48</w:t>
      </w:r>
      <w:r w:rsidRPr="0065008D">
        <w:rPr>
          <w:rFonts w:asciiTheme="majorHAnsi" w:hAnsiTheme="majorHAnsi"/>
          <w:i w:val="0"/>
          <w:noProof/>
        </w:rPr>
        <w:fldChar w:fldCharType="end"/>
      </w:r>
    </w:p>
    <w:p w14:paraId="591F1EB1" w14:textId="77777777" w:rsidR="00EF470D" w:rsidRPr="0065008D" w:rsidRDefault="00EF470D">
      <w:pPr>
        <w:pStyle w:val="TOC3"/>
        <w:tabs>
          <w:tab w:val="left" w:pos="916"/>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3.5.4</w:t>
      </w:r>
      <w:r w:rsidRPr="0065008D">
        <w:rPr>
          <w:rFonts w:asciiTheme="majorHAnsi" w:hAnsiTheme="majorHAnsi"/>
          <w:i w:val="0"/>
          <w:noProof/>
          <w:sz w:val="24"/>
          <w:szCs w:val="24"/>
          <w:lang w:val="en-US" w:eastAsia="ja-JP"/>
        </w:rPr>
        <w:tab/>
      </w:r>
      <w:r w:rsidRPr="0065008D">
        <w:rPr>
          <w:rFonts w:asciiTheme="majorHAnsi" w:hAnsiTheme="majorHAnsi"/>
          <w:i w:val="0"/>
          <w:noProof/>
        </w:rPr>
        <w:t>Financial planning and management</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_Toc222479158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48</w:t>
      </w:r>
      <w:r w:rsidRPr="0065008D">
        <w:rPr>
          <w:rFonts w:asciiTheme="majorHAnsi" w:hAnsiTheme="majorHAnsi"/>
          <w:i w:val="0"/>
          <w:noProof/>
        </w:rPr>
        <w:fldChar w:fldCharType="end"/>
      </w:r>
    </w:p>
    <w:p w14:paraId="19E9446B" w14:textId="77777777" w:rsidR="00EF470D" w:rsidRPr="0065008D" w:rsidRDefault="00EF470D">
      <w:pPr>
        <w:pStyle w:val="TOC3"/>
        <w:tabs>
          <w:tab w:val="right" w:leader="dot" w:pos="9010"/>
        </w:tabs>
        <w:rPr>
          <w:rFonts w:asciiTheme="majorHAnsi" w:hAnsiTheme="majorHAnsi"/>
          <w:i w:val="0"/>
          <w:noProof/>
          <w:sz w:val="24"/>
          <w:szCs w:val="24"/>
          <w:lang w:val="en-US" w:eastAsia="ja-JP"/>
        </w:rPr>
      </w:pPr>
      <w:r w:rsidRPr="0065008D">
        <w:rPr>
          <w:rFonts w:asciiTheme="majorHAnsi" w:hAnsiTheme="majorHAnsi"/>
          <w:i w:val="0"/>
          <w:noProof/>
        </w:rPr>
        <w:t>UNDP and UNEP supervision and backstopping</w:t>
      </w:r>
      <w:r w:rsidRPr="0065008D">
        <w:rPr>
          <w:rFonts w:asciiTheme="majorHAnsi" w:hAnsiTheme="majorHAnsi"/>
          <w:i w:val="0"/>
          <w:noProof/>
        </w:rPr>
        <w:tab/>
      </w:r>
      <w:r w:rsidRPr="0065008D">
        <w:rPr>
          <w:rFonts w:asciiTheme="majorHAnsi" w:hAnsiTheme="majorHAnsi"/>
          <w:i w:val="0"/>
          <w:noProof/>
        </w:rPr>
        <w:fldChar w:fldCharType="begin"/>
      </w:r>
      <w:r w:rsidRPr="0065008D">
        <w:rPr>
          <w:rFonts w:asciiTheme="majorHAnsi" w:hAnsiTheme="majorHAnsi"/>
          <w:i w:val="0"/>
          <w:noProof/>
        </w:rPr>
        <w:instrText xml:space="preserve"> PAGEREF _Toc222479159 \h </w:instrText>
      </w:r>
      <w:r w:rsidRPr="0065008D">
        <w:rPr>
          <w:rFonts w:asciiTheme="majorHAnsi" w:hAnsiTheme="majorHAnsi"/>
          <w:i w:val="0"/>
          <w:noProof/>
        </w:rPr>
      </w:r>
      <w:r w:rsidRPr="0065008D">
        <w:rPr>
          <w:rFonts w:asciiTheme="majorHAnsi" w:hAnsiTheme="majorHAnsi"/>
          <w:i w:val="0"/>
          <w:noProof/>
        </w:rPr>
        <w:fldChar w:fldCharType="separate"/>
      </w:r>
      <w:r w:rsidRPr="0065008D">
        <w:rPr>
          <w:rFonts w:asciiTheme="majorHAnsi" w:hAnsiTheme="majorHAnsi"/>
          <w:i w:val="0"/>
          <w:noProof/>
        </w:rPr>
        <w:t>51</w:t>
      </w:r>
      <w:r w:rsidRPr="0065008D">
        <w:rPr>
          <w:rFonts w:asciiTheme="majorHAnsi" w:hAnsiTheme="majorHAnsi"/>
          <w:i w:val="0"/>
          <w:noProof/>
        </w:rPr>
        <w:fldChar w:fldCharType="end"/>
      </w:r>
    </w:p>
    <w:p w14:paraId="24F287BA" w14:textId="4E93B701" w:rsidR="00EF470D" w:rsidRPr="00EF470D" w:rsidRDefault="00EF470D" w:rsidP="00EF15CD">
      <w:pPr>
        <w:pStyle w:val="TOC1"/>
        <w:rPr>
          <w:noProof/>
          <w:color w:val="auto"/>
          <w:lang w:val="en-US" w:eastAsia="ja-JP"/>
        </w:rPr>
      </w:pPr>
      <w:r w:rsidRPr="00EF470D">
        <w:rPr>
          <w:noProof/>
        </w:rPr>
        <w:t>4.</w:t>
      </w:r>
      <w:r w:rsidR="006C543C">
        <w:rPr>
          <w:noProof/>
          <w:color w:val="auto"/>
          <w:lang w:val="en-US" w:eastAsia="ja-JP"/>
        </w:rPr>
        <w:t xml:space="preserve"> </w:t>
      </w:r>
      <w:r w:rsidRPr="00EF470D">
        <w:rPr>
          <w:noProof/>
        </w:rPr>
        <w:t>Conclusions and Rating</w:t>
      </w:r>
      <w:r w:rsidRPr="00EF470D">
        <w:rPr>
          <w:noProof/>
        </w:rPr>
        <w:tab/>
      </w:r>
      <w:r w:rsidRPr="00EF470D">
        <w:rPr>
          <w:noProof/>
        </w:rPr>
        <w:fldChar w:fldCharType="begin"/>
      </w:r>
      <w:r w:rsidRPr="00EF470D">
        <w:rPr>
          <w:noProof/>
        </w:rPr>
        <w:instrText xml:space="preserve"> PAGEREF _Toc222479160 \h </w:instrText>
      </w:r>
      <w:r w:rsidRPr="00EF470D">
        <w:rPr>
          <w:noProof/>
        </w:rPr>
      </w:r>
      <w:r w:rsidRPr="00EF470D">
        <w:rPr>
          <w:noProof/>
        </w:rPr>
        <w:fldChar w:fldCharType="separate"/>
      </w:r>
      <w:r w:rsidRPr="00EF470D">
        <w:rPr>
          <w:noProof/>
        </w:rPr>
        <w:t>51</w:t>
      </w:r>
      <w:r w:rsidRPr="00EF470D">
        <w:rPr>
          <w:noProof/>
        </w:rPr>
        <w:fldChar w:fldCharType="end"/>
      </w:r>
    </w:p>
    <w:p w14:paraId="074DAFA8" w14:textId="293EC4E5" w:rsidR="00EF470D" w:rsidRPr="00EF470D" w:rsidRDefault="00EF470D" w:rsidP="00EF15CD">
      <w:pPr>
        <w:pStyle w:val="TOC1"/>
        <w:rPr>
          <w:noProof/>
          <w:color w:val="auto"/>
          <w:lang w:val="en-US" w:eastAsia="ja-JP"/>
        </w:rPr>
      </w:pPr>
      <w:r w:rsidRPr="00EF470D">
        <w:rPr>
          <w:noProof/>
        </w:rPr>
        <w:t>5.</w:t>
      </w:r>
      <w:r w:rsidR="006C543C">
        <w:rPr>
          <w:noProof/>
          <w:color w:val="auto"/>
          <w:lang w:val="en-US" w:eastAsia="ja-JP"/>
        </w:rPr>
        <w:t xml:space="preserve"> </w:t>
      </w:r>
      <w:r w:rsidRPr="00EF470D">
        <w:rPr>
          <w:noProof/>
        </w:rPr>
        <w:t>Lessons Learned</w:t>
      </w:r>
      <w:r w:rsidRPr="00EF470D">
        <w:rPr>
          <w:noProof/>
        </w:rPr>
        <w:tab/>
      </w:r>
      <w:r w:rsidRPr="00EF470D">
        <w:rPr>
          <w:noProof/>
        </w:rPr>
        <w:fldChar w:fldCharType="begin"/>
      </w:r>
      <w:r w:rsidRPr="00EF470D">
        <w:rPr>
          <w:noProof/>
        </w:rPr>
        <w:instrText xml:space="preserve"> PAGEREF _Toc222479161 \h </w:instrText>
      </w:r>
      <w:r w:rsidRPr="00EF470D">
        <w:rPr>
          <w:noProof/>
        </w:rPr>
      </w:r>
      <w:r w:rsidRPr="00EF470D">
        <w:rPr>
          <w:noProof/>
        </w:rPr>
        <w:fldChar w:fldCharType="separate"/>
      </w:r>
      <w:r w:rsidRPr="00EF470D">
        <w:rPr>
          <w:noProof/>
        </w:rPr>
        <w:t>54</w:t>
      </w:r>
      <w:r w:rsidRPr="00EF470D">
        <w:rPr>
          <w:noProof/>
        </w:rPr>
        <w:fldChar w:fldCharType="end"/>
      </w:r>
    </w:p>
    <w:p w14:paraId="4A5885A4" w14:textId="6FCDF03E" w:rsidR="00EF470D" w:rsidRPr="00EF470D" w:rsidRDefault="00EF470D" w:rsidP="00EF15CD">
      <w:pPr>
        <w:pStyle w:val="TOC1"/>
        <w:rPr>
          <w:noProof/>
          <w:color w:val="auto"/>
          <w:lang w:val="en-US" w:eastAsia="ja-JP"/>
        </w:rPr>
      </w:pPr>
      <w:r w:rsidRPr="00EF470D">
        <w:rPr>
          <w:noProof/>
        </w:rPr>
        <w:t>6.</w:t>
      </w:r>
      <w:r w:rsidR="006C543C">
        <w:rPr>
          <w:noProof/>
          <w:color w:val="auto"/>
          <w:lang w:val="en-US" w:eastAsia="ja-JP"/>
        </w:rPr>
        <w:t xml:space="preserve"> </w:t>
      </w:r>
      <w:r w:rsidRPr="00EF470D">
        <w:rPr>
          <w:noProof/>
        </w:rPr>
        <w:t>Recommendations</w:t>
      </w:r>
      <w:r w:rsidRPr="00EF470D">
        <w:rPr>
          <w:noProof/>
        </w:rPr>
        <w:tab/>
      </w:r>
      <w:r w:rsidRPr="00EF470D">
        <w:rPr>
          <w:noProof/>
        </w:rPr>
        <w:fldChar w:fldCharType="begin"/>
      </w:r>
      <w:r w:rsidRPr="00EF470D">
        <w:rPr>
          <w:noProof/>
        </w:rPr>
        <w:instrText xml:space="preserve"> PAGEREF _Toc222479162 \h </w:instrText>
      </w:r>
      <w:r w:rsidRPr="00EF470D">
        <w:rPr>
          <w:noProof/>
        </w:rPr>
      </w:r>
      <w:r w:rsidRPr="00EF470D">
        <w:rPr>
          <w:noProof/>
        </w:rPr>
        <w:fldChar w:fldCharType="separate"/>
      </w:r>
      <w:r w:rsidRPr="00EF470D">
        <w:rPr>
          <w:noProof/>
        </w:rPr>
        <w:t>55</w:t>
      </w:r>
      <w:r w:rsidRPr="00EF470D">
        <w:rPr>
          <w:noProof/>
        </w:rPr>
        <w:fldChar w:fldCharType="end"/>
      </w:r>
    </w:p>
    <w:p w14:paraId="410BB49A" w14:textId="77777777" w:rsidR="00EF470D" w:rsidRPr="00EF470D" w:rsidRDefault="00EF470D" w:rsidP="00EF15CD">
      <w:pPr>
        <w:pStyle w:val="TOC1"/>
        <w:rPr>
          <w:noProof/>
          <w:color w:val="auto"/>
          <w:lang w:val="en-US" w:eastAsia="ja-JP"/>
        </w:rPr>
      </w:pPr>
      <w:r w:rsidRPr="00EF470D">
        <w:rPr>
          <w:noProof/>
        </w:rPr>
        <w:t>Annexes:</w:t>
      </w:r>
      <w:r w:rsidRPr="00EF470D">
        <w:rPr>
          <w:noProof/>
        </w:rPr>
        <w:tab/>
      </w:r>
      <w:r w:rsidRPr="00EF470D">
        <w:rPr>
          <w:noProof/>
        </w:rPr>
        <w:fldChar w:fldCharType="begin"/>
      </w:r>
      <w:r w:rsidRPr="00EF470D">
        <w:rPr>
          <w:noProof/>
        </w:rPr>
        <w:instrText xml:space="preserve"> PAGEREF _Toc222479163 \h </w:instrText>
      </w:r>
      <w:r w:rsidRPr="00EF470D">
        <w:rPr>
          <w:noProof/>
        </w:rPr>
      </w:r>
      <w:r w:rsidRPr="00EF470D">
        <w:rPr>
          <w:noProof/>
        </w:rPr>
        <w:fldChar w:fldCharType="separate"/>
      </w:r>
      <w:r w:rsidRPr="00EF470D">
        <w:rPr>
          <w:noProof/>
        </w:rPr>
        <w:t>58</w:t>
      </w:r>
      <w:r w:rsidRPr="00EF470D">
        <w:rPr>
          <w:noProof/>
        </w:rPr>
        <w:fldChar w:fldCharType="end"/>
      </w:r>
    </w:p>
    <w:p w14:paraId="47D9CCAC" w14:textId="679E5CDE" w:rsidR="006C543C" w:rsidRDefault="00EF470D" w:rsidP="00FF76AD">
      <w:pPr>
        <w:rPr>
          <w:rFonts w:asciiTheme="majorHAnsi" w:hAnsiTheme="majorHAnsi"/>
        </w:rPr>
      </w:pPr>
      <w:r w:rsidRPr="00EF470D">
        <w:rPr>
          <w:rFonts w:asciiTheme="majorHAnsi" w:hAnsiTheme="majorHAnsi"/>
        </w:rPr>
        <w:fldChar w:fldCharType="end"/>
      </w:r>
    </w:p>
    <w:p w14:paraId="415D9979" w14:textId="77777777" w:rsidR="006C543C" w:rsidRDefault="006C543C">
      <w:pPr>
        <w:rPr>
          <w:rFonts w:asciiTheme="majorHAnsi" w:hAnsiTheme="majorHAnsi"/>
        </w:rPr>
      </w:pPr>
      <w:r>
        <w:rPr>
          <w:rFonts w:asciiTheme="majorHAnsi" w:hAnsiTheme="majorHAnsi"/>
        </w:rPr>
        <w:br w:type="page"/>
      </w:r>
    </w:p>
    <w:p w14:paraId="45264127" w14:textId="77777777" w:rsidR="00966305" w:rsidRDefault="00966305" w:rsidP="00FF76AD">
      <w:pPr>
        <w:rPr>
          <w:rFonts w:asciiTheme="majorHAnsi" w:hAnsiTheme="majorHAnsi"/>
        </w:rPr>
      </w:pPr>
    </w:p>
    <w:p w14:paraId="374B860E" w14:textId="575CC51F" w:rsidR="00E86C9A" w:rsidRDefault="00540CD7" w:rsidP="000F12E2">
      <w:pPr>
        <w:pStyle w:val="Heading1"/>
        <w:numPr>
          <w:ilvl w:val="0"/>
          <w:numId w:val="0"/>
        </w:numPr>
      </w:pPr>
      <w:bookmarkStart w:id="1" w:name="_Toc320280618"/>
      <w:bookmarkStart w:id="2" w:name="_Toc341527028"/>
      <w:bookmarkStart w:id="3" w:name="_Toc222479124"/>
      <w:r w:rsidRPr="007D1C06">
        <w:t>Abbreviations</w:t>
      </w:r>
      <w:bookmarkStart w:id="4" w:name="_Toc320280619"/>
      <w:bookmarkStart w:id="5" w:name="_Toc341527029"/>
      <w:bookmarkEnd w:id="1"/>
      <w:bookmarkEnd w:id="2"/>
      <w:bookmarkEnd w:id="3"/>
    </w:p>
    <w:p w14:paraId="26B724B3" w14:textId="77777777" w:rsidR="00AE5BF4" w:rsidRDefault="00AE5BF4" w:rsidP="00AE5BF4"/>
    <w:p w14:paraId="6A79934E" w14:textId="77777777" w:rsidR="00AE5BF4" w:rsidRDefault="00AE5BF4" w:rsidP="00AE5BF4"/>
    <w:tbl>
      <w:tblPr>
        <w:tblW w:w="0" w:type="auto"/>
        <w:tblLook w:val="0000" w:firstRow="0" w:lastRow="0" w:firstColumn="0" w:lastColumn="0" w:noHBand="0" w:noVBand="0"/>
      </w:tblPr>
      <w:tblGrid>
        <w:gridCol w:w="1809"/>
        <w:gridCol w:w="7371"/>
      </w:tblGrid>
      <w:tr w:rsidR="00AE5BF4" w:rsidRPr="00DE431E" w14:paraId="0E9D4A91" w14:textId="77777777" w:rsidTr="00AE5BF4">
        <w:trPr>
          <w:trHeight w:val="315"/>
        </w:trPr>
        <w:tc>
          <w:tcPr>
            <w:tcW w:w="1809" w:type="dxa"/>
            <w:noWrap/>
          </w:tcPr>
          <w:p w14:paraId="4E7E944C"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CoP</w:t>
            </w:r>
          </w:p>
        </w:tc>
        <w:tc>
          <w:tcPr>
            <w:tcW w:w="7371" w:type="dxa"/>
            <w:noWrap/>
            <w:vAlign w:val="bottom"/>
          </w:tcPr>
          <w:p w14:paraId="690C0EB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Community of Practice</w:t>
            </w:r>
          </w:p>
        </w:tc>
      </w:tr>
      <w:tr w:rsidR="00AE5BF4" w:rsidRPr="00DE431E" w14:paraId="4F10AD35" w14:textId="77777777" w:rsidTr="00AE5BF4">
        <w:trPr>
          <w:trHeight w:val="315"/>
        </w:trPr>
        <w:tc>
          <w:tcPr>
            <w:tcW w:w="1809" w:type="dxa"/>
            <w:noWrap/>
          </w:tcPr>
          <w:p w14:paraId="755BBE3B"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FAO</w:t>
            </w:r>
          </w:p>
        </w:tc>
        <w:tc>
          <w:tcPr>
            <w:tcW w:w="7371" w:type="dxa"/>
            <w:noWrap/>
            <w:vAlign w:val="bottom"/>
          </w:tcPr>
          <w:p w14:paraId="5B9DC80E"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Food and Agriculture Organization</w:t>
            </w:r>
          </w:p>
        </w:tc>
      </w:tr>
      <w:tr w:rsidR="00AE5BF4" w:rsidRPr="00DE431E" w14:paraId="71A49679" w14:textId="77777777" w:rsidTr="00AE5BF4">
        <w:trPr>
          <w:trHeight w:val="315"/>
        </w:trPr>
        <w:tc>
          <w:tcPr>
            <w:tcW w:w="1809" w:type="dxa"/>
            <w:noWrap/>
          </w:tcPr>
          <w:p w14:paraId="6C8CD715"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GEF</w:t>
            </w:r>
          </w:p>
        </w:tc>
        <w:tc>
          <w:tcPr>
            <w:tcW w:w="7371" w:type="dxa"/>
            <w:noWrap/>
            <w:vAlign w:val="bottom"/>
          </w:tcPr>
          <w:p w14:paraId="72243224"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Global Environment Facility</w:t>
            </w:r>
          </w:p>
        </w:tc>
      </w:tr>
      <w:tr w:rsidR="00C60AAB" w:rsidRPr="00DE431E" w14:paraId="4C100DCF" w14:textId="77777777" w:rsidTr="00AE5BF4">
        <w:trPr>
          <w:trHeight w:val="315"/>
        </w:trPr>
        <w:tc>
          <w:tcPr>
            <w:tcW w:w="1809" w:type="dxa"/>
            <w:noWrap/>
          </w:tcPr>
          <w:p w14:paraId="50DE0594" w14:textId="1EEE9E09" w:rsidR="00C60AAB" w:rsidRPr="00C60AAB" w:rsidRDefault="00C60AAB" w:rsidP="00AE5BF4">
            <w:pPr>
              <w:rPr>
                <w:rFonts w:asciiTheme="majorHAnsi" w:hAnsiTheme="majorHAnsi"/>
                <w:sz w:val="22"/>
                <w:szCs w:val="22"/>
              </w:rPr>
            </w:pPr>
            <w:r>
              <w:rPr>
                <w:rFonts w:asciiTheme="majorHAnsi" w:hAnsiTheme="majorHAnsi"/>
                <w:sz w:val="22"/>
                <w:szCs w:val="22"/>
              </w:rPr>
              <w:t>GEF-SEC</w:t>
            </w:r>
          </w:p>
        </w:tc>
        <w:tc>
          <w:tcPr>
            <w:tcW w:w="7371" w:type="dxa"/>
            <w:noWrap/>
            <w:vAlign w:val="bottom"/>
          </w:tcPr>
          <w:p w14:paraId="7088D2E8" w14:textId="43317EF5" w:rsidR="00C60AAB" w:rsidRPr="00C60AAB" w:rsidRDefault="00C60AAB" w:rsidP="00AE5BF4">
            <w:pPr>
              <w:rPr>
                <w:rFonts w:asciiTheme="majorHAnsi" w:hAnsiTheme="majorHAnsi" w:cs="Arial"/>
                <w:color w:val="1A1A1A"/>
                <w:sz w:val="22"/>
                <w:szCs w:val="22"/>
                <w:lang w:val="en-US"/>
              </w:rPr>
            </w:pPr>
            <w:r>
              <w:rPr>
                <w:rFonts w:asciiTheme="majorHAnsi" w:hAnsiTheme="majorHAnsi" w:cs="Arial"/>
                <w:color w:val="1A1A1A"/>
                <w:sz w:val="22"/>
                <w:szCs w:val="22"/>
                <w:lang w:val="en-US"/>
              </w:rPr>
              <w:t xml:space="preserve">GEF Secretariat </w:t>
            </w:r>
          </w:p>
        </w:tc>
      </w:tr>
      <w:tr w:rsidR="00C60AAB" w:rsidRPr="00DE431E" w14:paraId="7B3F3E2B" w14:textId="77777777" w:rsidTr="00AE5BF4">
        <w:trPr>
          <w:trHeight w:val="315"/>
        </w:trPr>
        <w:tc>
          <w:tcPr>
            <w:tcW w:w="1809" w:type="dxa"/>
            <w:noWrap/>
          </w:tcPr>
          <w:p w14:paraId="09B3BFC1" w14:textId="0BCF070F" w:rsidR="00C60AAB" w:rsidRPr="00C60AAB" w:rsidRDefault="00C60AAB" w:rsidP="00AE5BF4">
            <w:pPr>
              <w:rPr>
                <w:rFonts w:asciiTheme="majorHAnsi" w:hAnsiTheme="majorHAnsi"/>
                <w:sz w:val="22"/>
                <w:szCs w:val="22"/>
              </w:rPr>
            </w:pPr>
            <w:r w:rsidRPr="00C60AAB">
              <w:rPr>
                <w:rFonts w:asciiTheme="majorHAnsi" w:hAnsiTheme="majorHAnsi"/>
                <w:sz w:val="22"/>
                <w:szCs w:val="22"/>
              </w:rPr>
              <w:t>GETF</w:t>
            </w:r>
          </w:p>
        </w:tc>
        <w:tc>
          <w:tcPr>
            <w:tcW w:w="7371" w:type="dxa"/>
            <w:noWrap/>
            <w:vAlign w:val="bottom"/>
          </w:tcPr>
          <w:p w14:paraId="4FD00AE8" w14:textId="4440FA4C" w:rsidR="00C60AAB" w:rsidRPr="00C60AAB" w:rsidRDefault="00C60AAB" w:rsidP="00AE5BF4">
            <w:pPr>
              <w:rPr>
                <w:rFonts w:asciiTheme="majorHAnsi" w:hAnsiTheme="majorHAnsi"/>
                <w:sz w:val="22"/>
                <w:szCs w:val="22"/>
              </w:rPr>
            </w:pPr>
            <w:r w:rsidRPr="00C60AAB">
              <w:rPr>
                <w:rFonts w:asciiTheme="majorHAnsi" w:hAnsiTheme="majorHAnsi" w:cs="Arial"/>
                <w:color w:val="1A1A1A"/>
                <w:sz w:val="22"/>
                <w:szCs w:val="22"/>
                <w:lang w:val="en-US"/>
              </w:rPr>
              <w:t>Global Environment &amp; Technology Foundation</w:t>
            </w:r>
          </w:p>
        </w:tc>
      </w:tr>
      <w:tr w:rsidR="00AE5BF4" w:rsidRPr="00DE431E" w14:paraId="71EB3579" w14:textId="77777777" w:rsidTr="00AE5BF4">
        <w:trPr>
          <w:trHeight w:val="315"/>
        </w:trPr>
        <w:tc>
          <w:tcPr>
            <w:tcW w:w="1809" w:type="dxa"/>
            <w:noWrap/>
          </w:tcPr>
          <w:p w14:paraId="2C2A9203"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GW</w:t>
            </w:r>
          </w:p>
        </w:tc>
        <w:tc>
          <w:tcPr>
            <w:tcW w:w="7371" w:type="dxa"/>
            <w:noWrap/>
            <w:vAlign w:val="bottom"/>
          </w:tcPr>
          <w:p w14:paraId="783059A0"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Groundwater</w:t>
            </w:r>
          </w:p>
        </w:tc>
      </w:tr>
      <w:tr w:rsidR="00AE5BF4" w:rsidRPr="00DE431E" w14:paraId="67D75096" w14:textId="77777777" w:rsidTr="00AE5BF4">
        <w:tblPrEx>
          <w:tblLook w:val="01E0" w:firstRow="1" w:lastRow="1" w:firstColumn="1" w:lastColumn="1" w:noHBand="0" w:noVBand="0"/>
        </w:tblPrEx>
        <w:tc>
          <w:tcPr>
            <w:tcW w:w="1809" w:type="dxa"/>
          </w:tcPr>
          <w:p w14:paraId="24351BEC"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GWP-Med</w:t>
            </w:r>
          </w:p>
        </w:tc>
        <w:tc>
          <w:tcPr>
            <w:tcW w:w="7371" w:type="dxa"/>
          </w:tcPr>
          <w:p w14:paraId="247CEE8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Global Water Partnership - Mediterranean</w:t>
            </w:r>
          </w:p>
        </w:tc>
      </w:tr>
      <w:tr w:rsidR="00AE5BF4" w:rsidRPr="00DE431E" w14:paraId="23114026" w14:textId="77777777" w:rsidTr="00AE5BF4">
        <w:trPr>
          <w:trHeight w:val="315"/>
        </w:trPr>
        <w:tc>
          <w:tcPr>
            <w:tcW w:w="1809" w:type="dxa"/>
            <w:noWrap/>
          </w:tcPr>
          <w:p w14:paraId="789F1A20"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IA</w:t>
            </w:r>
          </w:p>
        </w:tc>
        <w:tc>
          <w:tcPr>
            <w:tcW w:w="7371" w:type="dxa"/>
            <w:noWrap/>
            <w:vAlign w:val="bottom"/>
          </w:tcPr>
          <w:p w14:paraId="0ABA2B0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Implementing Agency (GEF)</w:t>
            </w:r>
          </w:p>
        </w:tc>
      </w:tr>
      <w:tr w:rsidR="00792685" w:rsidRPr="00DE431E" w14:paraId="6D8C59FF" w14:textId="77777777" w:rsidTr="00AE5BF4">
        <w:trPr>
          <w:trHeight w:val="315"/>
        </w:trPr>
        <w:tc>
          <w:tcPr>
            <w:tcW w:w="1809" w:type="dxa"/>
            <w:noWrap/>
          </w:tcPr>
          <w:p w14:paraId="69558DB3" w14:textId="0F20D3C4" w:rsidR="00792685" w:rsidRPr="00792685" w:rsidRDefault="00792685" w:rsidP="00AE5BF4">
            <w:pPr>
              <w:rPr>
                <w:rFonts w:asciiTheme="majorHAnsi" w:hAnsiTheme="majorHAnsi"/>
                <w:sz w:val="22"/>
                <w:szCs w:val="22"/>
              </w:rPr>
            </w:pPr>
            <w:r w:rsidRPr="00792685">
              <w:rPr>
                <w:rFonts w:asciiTheme="majorHAnsi" w:hAnsiTheme="majorHAnsi" w:cs="Helvetica"/>
                <w:sz w:val="22"/>
                <w:szCs w:val="22"/>
                <w:lang w:val="en-US"/>
              </w:rPr>
              <w:t>IBRD</w:t>
            </w:r>
          </w:p>
        </w:tc>
        <w:tc>
          <w:tcPr>
            <w:tcW w:w="7371" w:type="dxa"/>
            <w:noWrap/>
            <w:vAlign w:val="bottom"/>
          </w:tcPr>
          <w:p w14:paraId="1229ED96" w14:textId="3C2C841C" w:rsidR="00792685" w:rsidRPr="00C60AAB" w:rsidRDefault="00792685" w:rsidP="00AE5BF4">
            <w:pPr>
              <w:rPr>
                <w:rFonts w:asciiTheme="majorHAnsi" w:hAnsiTheme="majorHAnsi"/>
                <w:sz w:val="22"/>
                <w:szCs w:val="22"/>
              </w:rPr>
            </w:pPr>
            <w:r w:rsidRPr="00C60AAB">
              <w:rPr>
                <w:rFonts w:asciiTheme="majorHAnsi" w:hAnsiTheme="majorHAnsi"/>
                <w:sz w:val="22"/>
                <w:szCs w:val="22"/>
              </w:rPr>
              <w:t>International</w:t>
            </w:r>
            <w:r>
              <w:rPr>
                <w:rFonts w:asciiTheme="majorHAnsi" w:hAnsiTheme="majorHAnsi"/>
                <w:sz w:val="22"/>
                <w:szCs w:val="22"/>
              </w:rPr>
              <w:t xml:space="preserve"> Bank for Reconstruction and Development </w:t>
            </w:r>
          </w:p>
        </w:tc>
      </w:tr>
      <w:tr w:rsidR="00AE5BF4" w:rsidRPr="00DE431E" w14:paraId="41AB9DEF" w14:textId="77777777" w:rsidTr="00AE5BF4">
        <w:trPr>
          <w:trHeight w:val="315"/>
        </w:trPr>
        <w:tc>
          <w:tcPr>
            <w:tcW w:w="1809" w:type="dxa"/>
            <w:noWrap/>
          </w:tcPr>
          <w:p w14:paraId="3A4A11BF"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ICARDA</w:t>
            </w:r>
          </w:p>
        </w:tc>
        <w:tc>
          <w:tcPr>
            <w:tcW w:w="7371" w:type="dxa"/>
            <w:noWrap/>
            <w:vAlign w:val="bottom"/>
          </w:tcPr>
          <w:p w14:paraId="46979E95"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International Center for Agricultural Research in the Dry Areas</w:t>
            </w:r>
          </w:p>
        </w:tc>
      </w:tr>
      <w:tr w:rsidR="006B5B10" w:rsidRPr="00DE431E" w14:paraId="765B197D" w14:textId="77777777" w:rsidTr="00AE5BF4">
        <w:trPr>
          <w:trHeight w:val="315"/>
        </w:trPr>
        <w:tc>
          <w:tcPr>
            <w:tcW w:w="1809" w:type="dxa"/>
            <w:noWrap/>
          </w:tcPr>
          <w:p w14:paraId="0BA8D129" w14:textId="1FEDDAA8" w:rsidR="006B5B10" w:rsidRPr="00C60AAB" w:rsidRDefault="006B5B10" w:rsidP="00AE5BF4">
            <w:pPr>
              <w:rPr>
                <w:rFonts w:asciiTheme="majorHAnsi" w:hAnsiTheme="majorHAnsi"/>
                <w:sz w:val="22"/>
                <w:szCs w:val="22"/>
              </w:rPr>
            </w:pPr>
            <w:r w:rsidRPr="00C60AAB">
              <w:rPr>
                <w:rFonts w:asciiTheme="majorHAnsi" w:hAnsiTheme="majorHAnsi"/>
                <w:sz w:val="22"/>
                <w:szCs w:val="22"/>
              </w:rPr>
              <w:t>ICPDR</w:t>
            </w:r>
          </w:p>
        </w:tc>
        <w:tc>
          <w:tcPr>
            <w:tcW w:w="7371" w:type="dxa"/>
            <w:noWrap/>
            <w:vAlign w:val="bottom"/>
          </w:tcPr>
          <w:p w14:paraId="666CC8AA" w14:textId="09202F63" w:rsidR="006B5B10" w:rsidRPr="00C60AAB" w:rsidRDefault="006B5B10" w:rsidP="00AE5BF4">
            <w:pPr>
              <w:rPr>
                <w:rFonts w:asciiTheme="majorHAnsi" w:hAnsiTheme="majorHAnsi"/>
                <w:sz w:val="22"/>
                <w:szCs w:val="22"/>
              </w:rPr>
            </w:pPr>
            <w:r w:rsidRPr="00C60AAB">
              <w:rPr>
                <w:rFonts w:asciiTheme="majorHAnsi" w:hAnsiTheme="majorHAnsi"/>
                <w:sz w:val="22"/>
                <w:szCs w:val="22"/>
              </w:rPr>
              <w:t>International Commission for the Protection of the Danube River</w:t>
            </w:r>
          </w:p>
        </w:tc>
      </w:tr>
      <w:tr w:rsidR="00AE5BF4" w:rsidRPr="00DE431E" w14:paraId="760C303A" w14:textId="77777777" w:rsidTr="00AE5BF4">
        <w:trPr>
          <w:trHeight w:val="315"/>
        </w:trPr>
        <w:tc>
          <w:tcPr>
            <w:tcW w:w="1809" w:type="dxa"/>
            <w:noWrap/>
          </w:tcPr>
          <w:p w14:paraId="728687FB"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ICT</w:t>
            </w:r>
          </w:p>
        </w:tc>
        <w:tc>
          <w:tcPr>
            <w:tcW w:w="7371" w:type="dxa"/>
            <w:noWrap/>
            <w:vAlign w:val="bottom"/>
          </w:tcPr>
          <w:p w14:paraId="2E1BA81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Information and Communication Technology</w:t>
            </w:r>
          </w:p>
        </w:tc>
      </w:tr>
      <w:tr w:rsidR="00AE5BF4" w:rsidRPr="00DE431E" w14:paraId="13C345BB" w14:textId="77777777" w:rsidTr="00AE5BF4">
        <w:trPr>
          <w:trHeight w:val="315"/>
        </w:trPr>
        <w:tc>
          <w:tcPr>
            <w:tcW w:w="1809" w:type="dxa"/>
            <w:noWrap/>
          </w:tcPr>
          <w:p w14:paraId="347E2C2F"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IFAD</w:t>
            </w:r>
          </w:p>
        </w:tc>
        <w:tc>
          <w:tcPr>
            <w:tcW w:w="7371" w:type="dxa"/>
            <w:noWrap/>
            <w:vAlign w:val="bottom"/>
          </w:tcPr>
          <w:p w14:paraId="6771CC9B"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International Fund for Agricultural Development</w:t>
            </w:r>
          </w:p>
        </w:tc>
      </w:tr>
      <w:tr w:rsidR="00C60AAB" w:rsidRPr="00DE431E" w14:paraId="78560D93" w14:textId="77777777" w:rsidTr="00AE5BF4">
        <w:trPr>
          <w:trHeight w:val="315"/>
        </w:trPr>
        <w:tc>
          <w:tcPr>
            <w:tcW w:w="1809" w:type="dxa"/>
            <w:noWrap/>
          </w:tcPr>
          <w:p w14:paraId="68CDC261" w14:textId="1853C614" w:rsidR="00C60AAB" w:rsidRPr="00C60AAB" w:rsidRDefault="00C60AAB" w:rsidP="00AE5BF4">
            <w:pPr>
              <w:rPr>
                <w:rFonts w:asciiTheme="majorHAnsi" w:hAnsiTheme="majorHAnsi"/>
                <w:sz w:val="22"/>
                <w:szCs w:val="22"/>
              </w:rPr>
            </w:pPr>
            <w:r>
              <w:rPr>
                <w:rFonts w:asciiTheme="majorHAnsi" w:hAnsiTheme="majorHAnsi"/>
                <w:sz w:val="22"/>
                <w:szCs w:val="22"/>
              </w:rPr>
              <w:t>IFC</w:t>
            </w:r>
          </w:p>
        </w:tc>
        <w:tc>
          <w:tcPr>
            <w:tcW w:w="7371" w:type="dxa"/>
            <w:noWrap/>
            <w:vAlign w:val="bottom"/>
          </w:tcPr>
          <w:p w14:paraId="38A6F6C7" w14:textId="60E2A28A" w:rsidR="00C60AAB" w:rsidRPr="00C60AAB" w:rsidRDefault="00C60AAB" w:rsidP="00AE5BF4">
            <w:pPr>
              <w:rPr>
                <w:rFonts w:asciiTheme="majorHAnsi" w:hAnsiTheme="majorHAnsi"/>
                <w:sz w:val="22"/>
                <w:szCs w:val="22"/>
              </w:rPr>
            </w:pPr>
            <w:r>
              <w:rPr>
                <w:rFonts w:asciiTheme="majorHAnsi" w:hAnsiTheme="majorHAnsi"/>
                <w:sz w:val="22"/>
                <w:szCs w:val="22"/>
              </w:rPr>
              <w:t>International Finance Corporation</w:t>
            </w:r>
          </w:p>
        </w:tc>
      </w:tr>
      <w:tr w:rsidR="00AE5BF4" w:rsidRPr="00DE431E" w14:paraId="7417C870" w14:textId="77777777" w:rsidTr="00AE5BF4">
        <w:trPr>
          <w:trHeight w:val="315"/>
        </w:trPr>
        <w:tc>
          <w:tcPr>
            <w:tcW w:w="1809" w:type="dxa"/>
            <w:noWrap/>
          </w:tcPr>
          <w:p w14:paraId="67C031FD"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IHP</w:t>
            </w:r>
          </w:p>
        </w:tc>
        <w:tc>
          <w:tcPr>
            <w:tcW w:w="7371" w:type="dxa"/>
            <w:noWrap/>
            <w:vAlign w:val="bottom"/>
          </w:tcPr>
          <w:p w14:paraId="534AB53D"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International Hydrological Programme (UNESCO)</w:t>
            </w:r>
          </w:p>
        </w:tc>
      </w:tr>
      <w:tr w:rsidR="00AE5BF4" w:rsidRPr="00DE431E" w14:paraId="11310453" w14:textId="77777777" w:rsidTr="00AE5BF4">
        <w:trPr>
          <w:trHeight w:val="315"/>
        </w:trPr>
        <w:tc>
          <w:tcPr>
            <w:tcW w:w="1809" w:type="dxa"/>
            <w:noWrap/>
          </w:tcPr>
          <w:p w14:paraId="37F3709C"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IUCN WANI</w:t>
            </w:r>
          </w:p>
        </w:tc>
        <w:tc>
          <w:tcPr>
            <w:tcW w:w="7371" w:type="dxa"/>
            <w:noWrap/>
            <w:vAlign w:val="bottom"/>
          </w:tcPr>
          <w:p w14:paraId="1133F454"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International Union for Conservation of Nature - Water and Nature Initiative</w:t>
            </w:r>
          </w:p>
        </w:tc>
      </w:tr>
      <w:tr w:rsidR="00AE5BF4" w:rsidRPr="00DE431E" w14:paraId="6E165413" w14:textId="77777777" w:rsidTr="00AE5BF4">
        <w:trPr>
          <w:trHeight w:val="315"/>
        </w:trPr>
        <w:tc>
          <w:tcPr>
            <w:tcW w:w="1809" w:type="dxa"/>
            <w:noWrap/>
          </w:tcPr>
          <w:p w14:paraId="1F028107"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IW</w:t>
            </w:r>
          </w:p>
        </w:tc>
        <w:tc>
          <w:tcPr>
            <w:tcW w:w="7371" w:type="dxa"/>
            <w:noWrap/>
            <w:vAlign w:val="bottom"/>
          </w:tcPr>
          <w:p w14:paraId="3E1CB34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International Waters</w:t>
            </w:r>
          </w:p>
        </w:tc>
      </w:tr>
      <w:tr w:rsidR="00AE5BF4" w:rsidRPr="00DE431E" w14:paraId="249D1F1D" w14:textId="77777777" w:rsidTr="00AE5BF4">
        <w:trPr>
          <w:trHeight w:val="315"/>
        </w:trPr>
        <w:tc>
          <w:tcPr>
            <w:tcW w:w="1809" w:type="dxa"/>
            <w:noWrap/>
          </w:tcPr>
          <w:p w14:paraId="69A46053"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IW</w:t>
            </w:r>
            <w:proofErr w:type="gramStart"/>
            <w:r w:rsidRPr="00C60AAB">
              <w:rPr>
                <w:rFonts w:asciiTheme="majorHAnsi" w:hAnsiTheme="majorHAnsi"/>
                <w:sz w:val="22"/>
                <w:szCs w:val="22"/>
              </w:rPr>
              <w:t>:LEARN</w:t>
            </w:r>
            <w:proofErr w:type="gramEnd"/>
          </w:p>
        </w:tc>
        <w:tc>
          <w:tcPr>
            <w:tcW w:w="7371" w:type="dxa"/>
            <w:noWrap/>
            <w:vAlign w:val="bottom"/>
          </w:tcPr>
          <w:p w14:paraId="62104111"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International Waters Learning Exchange and Resource Network</w:t>
            </w:r>
          </w:p>
        </w:tc>
      </w:tr>
      <w:tr w:rsidR="00AE5BF4" w:rsidRPr="00DE431E" w14:paraId="38AEE6B7" w14:textId="77777777" w:rsidTr="00AE5BF4">
        <w:trPr>
          <w:trHeight w:val="315"/>
        </w:trPr>
        <w:tc>
          <w:tcPr>
            <w:tcW w:w="1809" w:type="dxa"/>
            <w:noWrap/>
          </w:tcPr>
          <w:p w14:paraId="3ABF71A1"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IWC</w:t>
            </w:r>
          </w:p>
        </w:tc>
        <w:tc>
          <w:tcPr>
            <w:tcW w:w="7371" w:type="dxa"/>
            <w:noWrap/>
            <w:vAlign w:val="bottom"/>
          </w:tcPr>
          <w:p w14:paraId="5D76FC03"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GEF International Waters Conference</w:t>
            </w:r>
          </w:p>
        </w:tc>
      </w:tr>
      <w:tr w:rsidR="00AE5BF4" w:rsidRPr="00DE431E" w14:paraId="5E150D8E" w14:textId="77777777" w:rsidTr="00AE5BF4">
        <w:trPr>
          <w:trHeight w:val="315"/>
        </w:trPr>
        <w:tc>
          <w:tcPr>
            <w:tcW w:w="1809" w:type="dxa"/>
            <w:noWrap/>
          </w:tcPr>
          <w:p w14:paraId="28D5DC57"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IWCAM</w:t>
            </w:r>
          </w:p>
        </w:tc>
        <w:tc>
          <w:tcPr>
            <w:tcW w:w="7371" w:type="dxa"/>
            <w:noWrap/>
            <w:vAlign w:val="bottom"/>
          </w:tcPr>
          <w:p w14:paraId="2F72B1A0"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Integrated Watershed and Coastal Area Management</w:t>
            </w:r>
          </w:p>
        </w:tc>
      </w:tr>
      <w:tr w:rsidR="00AE5BF4" w:rsidRPr="00DE431E" w14:paraId="17B7B3E9" w14:textId="77777777" w:rsidTr="00AE5BF4">
        <w:trPr>
          <w:trHeight w:val="315"/>
        </w:trPr>
        <w:tc>
          <w:tcPr>
            <w:tcW w:w="1809" w:type="dxa"/>
            <w:noWrap/>
          </w:tcPr>
          <w:p w14:paraId="68B5F6E5"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IWRM</w:t>
            </w:r>
          </w:p>
        </w:tc>
        <w:tc>
          <w:tcPr>
            <w:tcW w:w="7371" w:type="dxa"/>
            <w:noWrap/>
            <w:vAlign w:val="bottom"/>
          </w:tcPr>
          <w:p w14:paraId="27CDA821"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Integrated Water Resource Management</w:t>
            </w:r>
          </w:p>
        </w:tc>
      </w:tr>
      <w:tr w:rsidR="00AE5BF4" w:rsidRPr="00DE431E" w14:paraId="50059734" w14:textId="77777777" w:rsidTr="00AE5BF4">
        <w:trPr>
          <w:trHeight w:val="315"/>
        </w:trPr>
        <w:tc>
          <w:tcPr>
            <w:tcW w:w="1809" w:type="dxa"/>
            <w:noWrap/>
          </w:tcPr>
          <w:p w14:paraId="07657EEA"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KM (S)</w:t>
            </w:r>
          </w:p>
        </w:tc>
        <w:tc>
          <w:tcPr>
            <w:tcW w:w="7371" w:type="dxa"/>
            <w:noWrap/>
            <w:vAlign w:val="bottom"/>
          </w:tcPr>
          <w:p w14:paraId="5BC28217"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Knowledge Management (System)</w:t>
            </w:r>
          </w:p>
        </w:tc>
      </w:tr>
      <w:tr w:rsidR="00C60AAB" w:rsidRPr="00DE431E" w14:paraId="7AF1583A" w14:textId="77777777" w:rsidTr="00AE5BF4">
        <w:trPr>
          <w:trHeight w:val="315"/>
        </w:trPr>
        <w:tc>
          <w:tcPr>
            <w:tcW w:w="1809" w:type="dxa"/>
            <w:noWrap/>
          </w:tcPr>
          <w:p w14:paraId="23E0A55A" w14:textId="17D2933F" w:rsidR="00C60AAB" w:rsidRPr="00C60AAB" w:rsidRDefault="00C60AAB" w:rsidP="00AE5BF4">
            <w:pPr>
              <w:rPr>
                <w:rFonts w:asciiTheme="majorHAnsi" w:hAnsiTheme="majorHAnsi"/>
                <w:sz w:val="22"/>
                <w:szCs w:val="22"/>
              </w:rPr>
            </w:pPr>
            <w:r>
              <w:rPr>
                <w:rFonts w:asciiTheme="majorHAnsi" w:hAnsiTheme="majorHAnsi"/>
                <w:sz w:val="22"/>
                <w:szCs w:val="22"/>
              </w:rPr>
              <w:t>LAC</w:t>
            </w:r>
          </w:p>
        </w:tc>
        <w:tc>
          <w:tcPr>
            <w:tcW w:w="7371" w:type="dxa"/>
            <w:noWrap/>
            <w:vAlign w:val="bottom"/>
          </w:tcPr>
          <w:p w14:paraId="7C343C11" w14:textId="52DD883E" w:rsidR="00C60AAB" w:rsidRPr="00C60AAB" w:rsidRDefault="00C60AAB" w:rsidP="00AE5BF4">
            <w:pPr>
              <w:rPr>
                <w:rFonts w:asciiTheme="majorHAnsi" w:hAnsiTheme="majorHAnsi"/>
                <w:sz w:val="22"/>
                <w:szCs w:val="22"/>
              </w:rPr>
            </w:pPr>
            <w:r>
              <w:rPr>
                <w:rFonts w:asciiTheme="majorHAnsi" w:hAnsiTheme="majorHAnsi"/>
                <w:sz w:val="22"/>
                <w:szCs w:val="22"/>
              </w:rPr>
              <w:t xml:space="preserve">Latin America and the Caribbean </w:t>
            </w:r>
          </w:p>
        </w:tc>
      </w:tr>
      <w:tr w:rsidR="00AE5BF4" w:rsidRPr="00DE431E" w14:paraId="495D6916" w14:textId="77777777" w:rsidTr="00AE5BF4">
        <w:trPr>
          <w:trHeight w:val="315"/>
        </w:trPr>
        <w:tc>
          <w:tcPr>
            <w:tcW w:w="1809" w:type="dxa"/>
            <w:noWrap/>
          </w:tcPr>
          <w:p w14:paraId="02F60A2E"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LME</w:t>
            </w:r>
          </w:p>
        </w:tc>
        <w:tc>
          <w:tcPr>
            <w:tcW w:w="7371" w:type="dxa"/>
            <w:noWrap/>
            <w:vAlign w:val="bottom"/>
          </w:tcPr>
          <w:p w14:paraId="33F14128"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Large Marine Ecosystem</w:t>
            </w:r>
          </w:p>
        </w:tc>
      </w:tr>
      <w:tr w:rsidR="00AE5BF4" w:rsidRPr="00DE431E" w14:paraId="1B8D59A3" w14:textId="77777777" w:rsidTr="00AE5BF4">
        <w:trPr>
          <w:trHeight w:val="315"/>
        </w:trPr>
        <w:tc>
          <w:tcPr>
            <w:tcW w:w="1809" w:type="dxa"/>
            <w:noWrap/>
          </w:tcPr>
          <w:p w14:paraId="1F953B6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M&amp;E</w:t>
            </w:r>
          </w:p>
        </w:tc>
        <w:tc>
          <w:tcPr>
            <w:tcW w:w="7371" w:type="dxa"/>
            <w:noWrap/>
            <w:vAlign w:val="bottom"/>
          </w:tcPr>
          <w:p w14:paraId="3B1479B1"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Monitoring and Evaluation</w:t>
            </w:r>
          </w:p>
        </w:tc>
      </w:tr>
      <w:tr w:rsidR="00AE5BF4" w:rsidRPr="00DE431E" w14:paraId="0261EB06" w14:textId="77777777" w:rsidTr="00AE5BF4">
        <w:trPr>
          <w:trHeight w:val="315"/>
        </w:trPr>
        <w:tc>
          <w:tcPr>
            <w:tcW w:w="1809" w:type="dxa"/>
            <w:noWrap/>
          </w:tcPr>
          <w:p w14:paraId="15C136A4"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MDG</w:t>
            </w:r>
          </w:p>
        </w:tc>
        <w:tc>
          <w:tcPr>
            <w:tcW w:w="7371" w:type="dxa"/>
            <w:noWrap/>
            <w:vAlign w:val="bottom"/>
          </w:tcPr>
          <w:p w14:paraId="3059DC37" w14:textId="77777777" w:rsidR="00AE5BF4" w:rsidRPr="00C60AAB" w:rsidRDefault="00AE5BF4" w:rsidP="00AE5BF4">
            <w:pPr>
              <w:rPr>
                <w:rFonts w:asciiTheme="majorHAnsi" w:hAnsiTheme="majorHAnsi"/>
                <w:sz w:val="22"/>
                <w:szCs w:val="22"/>
              </w:rPr>
            </w:pPr>
            <w:r w:rsidRPr="00C60AAB">
              <w:rPr>
                <w:rStyle w:val="Emphasis"/>
                <w:rFonts w:asciiTheme="majorHAnsi" w:hAnsiTheme="majorHAnsi"/>
                <w:i w:val="0"/>
                <w:iCs w:val="0"/>
                <w:sz w:val="22"/>
                <w:szCs w:val="22"/>
              </w:rPr>
              <w:t>Millennium Development Goal</w:t>
            </w:r>
          </w:p>
        </w:tc>
      </w:tr>
      <w:tr w:rsidR="00AE5BF4" w:rsidRPr="00DE431E" w14:paraId="2F7DC296" w14:textId="77777777" w:rsidTr="00AE5BF4">
        <w:tblPrEx>
          <w:tblLook w:val="01E0" w:firstRow="1" w:lastRow="1" w:firstColumn="1" w:lastColumn="1" w:noHBand="0" w:noVBand="0"/>
        </w:tblPrEx>
        <w:tc>
          <w:tcPr>
            <w:tcW w:w="1809" w:type="dxa"/>
          </w:tcPr>
          <w:p w14:paraId="0181EBC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MED EUWI</w:t>
            </w:r>
          </w:p>
        </w:tc>
        <w:tc>
          <w:tcPr>
            <w:tcW w:w="7371" w:type="dxa"/>
          </w:tcPr>
          <w:p w14:paraId="703EACF2"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Mediterranean Component of the EU Water Initiative</w:t>
            </w:r>
          </w:p>
        </w:tc>
      </w:tr>
      <w:tr w:rsidR="00AE5BF4" w:rsidRPr="00DE431E" w14:paraId="3898EAA1" w14:textId="77777777" w:rsidTr="00AE5BF4">
        <w:trPr>
          <w:trHeight w:val="315"/>
        </w:trPr>
        <w:tc>
          <w:tcPr>
            <w:tcW w:w="1809" w:type="dxa"/>
            <w:noWrap/>
          </w:tcPr>
          <w:p w14:paraId="069EB2E9"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MENA</w:t>
            </w:r>
          </w:p>
        </w:tc>
        <w:tc>
          <w:tcPr>
            <w:tcW w:w="7371" w:type="dxa"/>
            <w:noWrap/>
            <w:vAlign w:val="bottom"/>
          </w:tcPr>
          <w:p w14:paraId="114253E3"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Middle East and North Africa</w:t>
            </w:r>
          </w:p>
        </w:tc>
      </w:tr>
      <w:tr w:rsidR="00AE5BF4" w:rsidRPr="00DE431E" w14:paraId="6E79BDF0" w14:textId="77777777" w:rsidTr="00AE5BF4">
        <w:trPr>
          <w:trHeight w:val="315"/>
        </w:trPr>
        <w:tc>
          <w:tcPr>
            <w:tcW w:w="1809" w:type="dxa"/>
            <w:noWrap/>
          </w:tcPr>
          <w:p w14:paraId="5D6E010C"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MENARID</w:t>
            </w:r>
          </w:p>
        </w:tc>
        <w:tc>
          <w:tcPr>
            <w:tcW w:w="7371" w:type="dxa"/>
            <w:noWrap/>
            <w:vAlign w:val="bottom"/>
          </w:tcPr>
          <w:p w14:paraId="602B0C0A"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Middle East and North Africa Regional Development</w:t>
            </w:r>
          </w:p>
        </w:tc>
      </w:tr>
      <w:tr w:rsidR="00AE5BF4" w:rsidRPr="00DE431E" w14:paraId="47C195BF" w14:textId="77777777" w:rsidTr="00AE5BF4">
        <w:trPr>
          <w:trHeight w:val="315"/>
        </w:trPr>
        <w:tc>
          <w:tcPr>
            <w:tcW w:w="1809" w:type="dxa"/>
            <w:noWrap/>
          </w:tcPr>
          <w:p w14:paraId="4F788604"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MERCOSUR</w:t>
            </w:r>
          </w:p>
        </w:tc>
        <w:tc>
          <w:tcPr>
            <w:tcW w:w="7371" w:type="dxa"/>
            <w:noWrap/>
            <w:vAlign w:val="bottom"/>
          </w:tcPr>
          <w:p w14:paraId="5DBA1B99"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Mercado Común del Sur - Southern Common Market</w:t>
            </w:r>
          </w:p>
        </w:tc>
      </w:tr>
      <w:tr w:rsidR="006B5B10" w:rsidRPr="00DE431E" w14:paraId="0FAFE5C6" w14:textId="77777777" w:rsidTr="00AE5BF4">
        <w:trPr>
          <w:trHeight w:val="315"/>
        </w:trPr>
        <w:tc>
          <w:tcPr>
            <w:tcW w:w="1809" w:type="dxa"/>
            <w:noWrap/>
          </w:tcPr>
          <w:p w14:paraId="3E8C61FA" w14:textId="6A0E8F21" w:rsidR="006B5B10" w:rsidRPr="00C60AAB" w:rsidRDefault="006B5B10" w:rsidP="00AE5BF4">
            <w:pPr>
              <w:rPr>
                <w:rFonts w:asciiTheme="majorHAnsi" w:hAnsiTheme="majorHAnsi"/>
                <w:sz w:val="22"/>
                <w:szCs w:val="22"/>
              </w:rPr>
            </w:pPr>
            <w:r w:rsidRPr="00C60AAB">
              <w:rPr>
                <w:rFonts w:asciiTheme="majorHAnsi" w:hAnsiTheme="majorHAnsi"/>
                <w:sz w:val="22"/>
                <w:szCs w:val="22"/>
              </w:rPr>
              <w:t>MTE</w:t>
            </w:r>
          </w:p>
        </w:tc>
        <w:tc>
          <w:tcPr>
            <w:tcW w:w="7371" w:type="dxa"/>
            <w:noWrap/>
            <w:vAlign w:val="bottom"/>
          </w:tcPr>
          <w:p w14:paraId="2A9776A8" w14:textId="4B95D9A7" w:rsidR="006B5B10" w:rsidRPr="00C60AAB" w:rsidRDefault="006B5B10" w:rsidP="00AE5BF4">
            <w:pPr>
              <w:rPr>
                <w:rFonts w:asciiTheme="majorHAnsi" w:hAnsiTheme="majorHAnsi"/>
                <w:sz w:val="22"/>
                <w:szCs w:val="22"/>
              </w:rPr>
            </w:pPr>
            <w:r w:rsidRPr="00C60AAB">
              <w:rPr>
                <w:rFonts w:asciiTheme="majorHAnsi" w:hAnsiTheme="majorHAnsi"/>
                <w:sz w:val="22"/>
                <w:szCs w:val="22"/>
              </w:rPr>
              <w:t>Mid-Term Evaluation (Evaluator)</w:t>
            </w:r>
          </w:p>
        </w:tc>
      </w:tr>
      <w:tr w:rsidR="00AE5BF4" w:rsidRPr="00DE431E" w14:paraId="5918A548" w14:textId="77777777" w:rsidTr="00AE5BF4">
        <w:trPr>
          <w:trHeight w:val="315"/>
        </w:trPr>
        <w:tc>
          <w:tcPr>
            <w:tcW w:w="1809" w:type="dxa"/>
            <w:noWrap/>
          </w:tcPr>
          <w:p w14:paraId="58AFCF75"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NGO</w:t>
            </w:r>
          </w:p>
        </w:tc>
        <w:tc>
          <w:tcPr>
            <w:tcW w:w="7371" w:type="dxa"/>
            <w:noWrap/>
            <w:vAlign w:val="bottom"/>
          </w:tcPr>
          <w:p w14:paraId="6BB6A659"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Non-governmental Organization</w:t>
            </w:r>
          </w:p>
        </w:tc>
      </w:tr>
      <w:tr w:rsidR="006B5B10" w:rsidRPr="00DE431E" w14:paraId="53F118BE" w14:textId="77777777" w:rsidTr="00AE5BF4">
        <w:trPr>
          <w:trHeight w:val="315"/>
        </w:trPr>
        <w:tc>
          <w:tcPr>
            <w:tcW w:w="1809" w:type="dxa"/>
            <w:noWrap/>
          </w:tcPr>
          <w:p w14:paraId="41EB8332" w14:textId="634F1940" w:rsidR="006B5B10" w:rsidRPr="00C60AAB" w:rsidRDefault="006B5B10" w:rsidP="00AE5BF4">
            <w:pPr>
              <w:rPr>
                <w:rFonts w:asciiTheme="majorHAnsi" w:hAnsiTheme="majorHAnsi"/>
                <w:sz w:val="22"/>
                <w:szCs w:val="22"/>
              </w:rPr>
            </w:pPr>
            <w:r w:rsidRPr="00C60AAB">
              <w:rPr>
                <w:rFonts w:asciiTheme="majorHAnsi" w:hAnsiTheme="majorHAnsi"/>
                <w:sz w:val="22"/>
                <w:szCs w:val="22"/>
              </w:rPr>
              <w:t>PCU</w:t>
            </w:r>
          </w:p>
        </w:tc>
        <w:tc>
          <w:tcPr>
            <w:tcW w:w="7371" w:type="dxa"/>
            <w:noWrap/>
            <w:vAlign w:val="bottom"/>
          </w:tcPr>
          <w:p w14:paraId="0314E711" w14:textId="6C889021" w:rsidR="006B5B10" w:rsidRPr="00C60AAB" w:rsidRDefault="006B5B10" w:rsidP="00AE5BF4">
            <w:pPr>
              <w:rPr>
                <w:rFonts w:asciiTheme="majorHAnsi" w:hAnsiTheme="majorHAnsi"/>
                <w:sz w:val="22"/>
                <w:szCs w:val="22"/>
              </w:rPr>
            </w:pPr>
            <w:r w:rsidRPr="00C60AAB">
              <w:rPr>
                <w:rFonts w:asciiTheme="majorHAnsi" w:hAnsiTheme="majorHAnsi"/>
                <w:sz w:val="22"/>
                <w:szCs w:val="22"/>
              </w:rPr>
              <w:t xml:space="preserve">Project Coordination Unit </w:t>
            </w:r>
          </w:p>
        </w:tc>
      </w:tr>
      <w:tr w:rsidR="00C60AAB" w:rsidRPr="00C60AAB" w14:paraId="7C8CB138" w14:textId="77777777" w:rsidTr="00AE5BF4">
        <w:trPr>
          <w:trHeight w:val="315"/>
        </w:trPr>
        <w:tc>
          <w:tcPr>
            <w:tcW w:w="1809" w:type="dxa"/>
            <w:noWrap/>
          </w:tcPr>
          <w:p w14:paraId="4F79051E" w14:textId="544277DE" w:rsidR="00C60AAB" w:rsidRPr="00C60AAB" w:rsidRDefault="00C60AAB" w:rsidP="00AE5BF4">
            <w:pPr>
              <w:rPr>
                <w:rFonts w:asciiTheme="majorHAnsi" w:hAnsiTheme="majorHAnsi"/>
                <w:sz w:val="22"/>
                <w:szCs w:val="22"/>
              </w:rPr>
            </w:pPr>
            <w:r w:rsidRPr="00C60AAB">
              <w:rPr>
                <w:rFonts w:asciiTheme="majorHAnsi" w:hAnsiTheme="majorHAnsi"/>
                <w:sz w:val="22"/>
                <w:szCs w:val="22"/>
              </w:rPr>
              <w:t>PEMSEA</w:t>
            </w:r>
          </w:p>
        </w:tc>
        <w:tc>
          <w:tcPr>
            <w:tcW w:w="7371" w:type="dxa"/>
            <w:noWrap/>
            <w:vAlign w:val="bottom"/>
          </w:tcPr>
          <w:p w14:paraId="70C6252A" w14:textId="3C77A003" w:rsidR="00C60AAB" w:rsidRPr="00C60AAB" w:rsidRDefault="00C60AAB" w:rsidP="00AE5BF4">
            <w:pPr>
              <w:rPr>
                <w:rFonts w:asciiTheme="majorHAnsi" w:hAnsiTheme="majorHAnsi"/>
                <w:sz w:val="22"/>
                <w:szCs w:val="22"/>
              </w:rPr>
            </w:pPr>
            <w:r w:rsidRPr="00C60AAB">
              <w:rPr>
                <w:rFonts w:asciiTheme="majorHAnsi" w:hAnsiTheme="majorHAnsi" w:cs="Arial"/>
                <w:color w:val="262626"/>
                <w:sz w:val="22"/>
                <w:szCs w:val="22"/>
                <w:lang w:val="en-US"/>
              </w:rPr>
              <w:t>Partnerships in Environmental Management for the Seas of East Asia</w:t>
            </w:r>
          </w:p>
        </w:tc>
      </w:tr>
      <w:tr w:rsidR="00AE5BF4" w:rsidRPr="00DE431E" w14:paraId="600E873C" w14:textId="77777777" w:rsidTr="00AE5BF4">
        <w:trPr>
          <w:trHeight w:val="315"/>
        </w:trPr>
        <w:tc>
          <w:tcPr>
            <w:tcW w:w="1809" w:type="dxa"/>
            <w:noWrap/>
          </w:tcPr>
          <w:p w14:paraId="1BE72311"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PIF</w:t>
            </w:r>
          </w:p>
        </w:tc>
        <w:tc>
          <w:tcPr>
            <w:tcW w:w="7371" w:type="dxa"/>
            <w:noWrap/>
            <w:vAlign w:val="bottom"/>
          </w:tcPr>
          <w:p w14:paraId="0D3908AD"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Project Identification Form</w:t>
            </w:r>
          </w:p>
        </w:tc>
      </w:tr>
      <w:tr w:rsidR="00AE5BF4" w:rsidRPr="00DE431E" w14:paraId="618BC258" w14:textId="77777777" w:rsidTr="00AE5BF4">
        <w:trPr>
          <w:trHeight w:val="315"/>
        </w:trPr>
        <w:tc>
          <w:tcPr>
            <w:tcW w:w="1809" w:type="dxa"/>
            <w:noWrap/>
          </w:tcPr>
          <w:p w14:paraId="2866FBB3"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PIR</w:t>
            </w:r>
          </w:p>
        </w:tc>
        <w:tc>
          <w:tcPr>
            <w:tcW w:w="7371" w:type="dxa"/>
            <w:noWrap/>
            <w:vAlign w:val="bottom"/>
          </w:tcPr>
          <w:p w14:paraId="11D2DD98"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Project Implementation Review</w:t>
            </w:r>
          </w:p>
        </w:tc>
      </w:tr>
      <w:tr w:rsidR="006B5B10" w:rsidRPr="00DE431E" w14:paraId="16409F85" w14:textId="77777777" w:rsidTr="00AE5BF4">
        <w:tblPrEx>
          <w:tblLook w:val="01E0" w:firstRow="1" w:lastRow="1" w:firstColumn="1" w:lastColumn="1" w:noHBand="0" w:noVBand="0"/>
        </w:tblPrEx>
        <w:tc>
          <w:tcPr>
            <w:tcW w:w="1809" w:type="dxa"/>
          </w:tcPr>
          <w:p w14:paraId="22A3BE55" w14:textId="4834762D" w:rsidR="006B5B10" w:rsidRPr="00C60AAB" w:rsidRDefault="006B5B10" w:rsidP="00AE5BF4">
            <w:pPr>
              <w:rPr>
                <w:rFonts w:asciiTheme="majorHAnsi" w:hAnsiTheme="majorHAnsi"/>
                <w:sz w:val="22"/>
                <w:szCs w:val="22"/>
              </w:rPr>
            </w:pPr>
            <w:r w:rsidRPr="00C60AAB">
              <w:rPr>
                <w:rFonts w:asciiTheme="majorHAnsi" w:hAnsiTheme="majorHAnsi"/>
                <w:sz w:val="22"/>
                <w:szCs w:val="22"/>
              </w:rPr>
              <w:t>PM</w:t>
            </w:r>
          </w:p>
        </w:tc>
        <w:tc>
          <w:tcPr>
            <w:tcW w:w="7371" w:type="dxa"/>
          </w:tcPr>
          <w:p w14:paraId="7EC99406" w14:textId="1FA6736B" w:rsidR="006B5B10" w:rsidRPr="00C60AAB" w:rsidRDefault="006B5B10" w:rsidP="00AE5BF4">
            <w:pPr>
              <w:rPr>
                <w:rFonts w:asciiTheme="majorHAnsi" w:hAnsiTheme="majorHAnsi"/>
                <w:sz w:val="22"/>
                <w:szCs w:val="22"/>
              </w:rPr>
            </w:pPr>
            <w:r w:rsidRPr="00C60AAB">
              <w:rPr>
                <w:rFonts w:asciiTheme="majorHAnsi" w:hAnsiTheme="majorHAnsi"/>
                <w:sz w:val="22"/>
                <w:szCs w:val="22"/>
              </w:rPr>
              <w:t xml:space="preserve">Project Manager </w:t>
            </w:r>
          </w:p>
        </w:tc>
      </w:tr>
      <w:tr w:rsidR="006B5B10" w:rsidRPr="00DE431E" w14:paraId="7A6201D5" w14:textId="77777777" w:rsidTr="00AE5BF4">
        <w:tblPrEx>
          <w:tblLook w:val="01E0" w:firstRow="1" w:lastRow="1" w:firstColumn="1" w:lastColumn="1" w:noHBand="0" w:noVBand="0"/>
        </w:tblPrEx>
        <w:tc>
          <w:tcPr>
            <w:tcW w:w="1809" w:type="dxa"/>
          </w:tcPr>
          <w:p w14:paraId="7080CD38" w14:textId="1CED4510" w:rsidR="006B5B10" w:rsidRPr="00C60AAB" w:rsidRDefault="006B5B10" w:rsidP="00AE5BF4">
            <w:pPr>
              <w:rPr>
                <w:rFonts w:asciiTheme="majorHAnsi" w:hAnsiTheme="majorHAnsi"/>
                <w:sz w:val="22"/>
                <w:szCs w:val="22"/>
              </w:rPr>
            </w:pPr>
            <w:r w:rsidRPr="00C60AAB">
              <w:rPr>
                <w:rFonts w:asciiTheme="majorHAnsi" w:hAnsiTheme="majorHAnsi"/>
                <w:sz w:val="22"/>
                <w:szCs w:val="22"/>
              </w:rPr>
              <w:t>PSC</w:t>
            </w:r>
          </w:p>
        </w:tc>
        <w:tc>
          <w:tcPr>
            <w:tcW w:w="7371" w:type="dxa"/>
          </w:tcPr>
          <w:p w14:paraId="184DC3EC" w14:textId="557F33E1" w:rsidR="006B5B10" w:rsidRPr="00C60AAB" w:rsidRDefault="006B5B10" w:rsidP="00AE5BF4">
            <w:pPr>
              <w:rPr>
                <w:rFonts w:asciiTheme="majorHAnsi" w:hAnsiTheme="majorHAnsi"/>
                <w:sz w:val="22"/>
                <w:szCs w:val="22"/>
              </w:rPr>
            </w:pPr>
            <w:r w:rsidRPr="00C60AAB">
              <w:rPr>
                <w:rFonts w:asciiTheme="majorHAnsi" w:hAnsiTheme="majorHAnsi"/>
                <w:sz w:val="22"/>
                <w:szCs w:val="22"/>
              </w:rPr>
              <w:t xml:space="preserve">Project Steering Committee </w:t>
            </w:r>
          </w:p>
        </w:tc>
      </w:tr>
      <w:tr w:rsidR="00AE5BF4" w:rsidRPr="00DE431E" w14:paraId="1D7E41DA" w14:textId="77777777" w:rsidTr="00AE5BF4">
        <w:tblPrEx>
          <w:tblLook w:val="01E0" w:firstRow="1" w:lastRow="1" w:firstColumn="1" w:lastColumn="1" w:noHBand="0" w:noVBand="0"/>
        </w:tblPrEx>
        <w:tc>
          <w:tcPr>
            <w:tcW w:w="1809" w:type="dxa"/>
          </w:tcPr>
          <w:p w14:paraId="071C8C61"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PPG</w:t>
            </w:r>
          </w:p>
        </w:tc>
        <w:tc>
          <w:tcPr>
            <w:tcW w:w="7371" w:type="dxa"/>
          </w:tcPr>
          <w:p w14:paraId="6D42247A"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Project Preparatory Grant phase</w:t>
            </w:r>
          </w:p>
        </w:tc>
      </w:tr>
      <w:tr w:rsidR="006B5B10" w:rsidRPr="00DE431E" w14:paraId="771AF3E7" w14:textId="77777777" w:rsidTr="00AE5BF4">
        <w:trPr>
          <w:trHeight w:val="315"/>
        </w:trPr>
        <w:tc>
          <w:tcPr>
            <w:tcW w:w="1809" w:type="dxa"/>
            <w:noWrap/>
          </w:tcPr>
          <w:p w14:paraId="304B7309" w14:textId="600BCD37" w:rsidR="006B5B10" w:rsidRPr="00C60AAB" w:rsidRDefault="006B5B10" w:rsidP="00AE5BF4">
            <w:pPr>
              <w:rPr>
                <w:rFonts w:asciiTheme="majorHAnsi" w:hAnsiTheme="majorHAnsi"/>
                <w:sz w:val="22"/>
                <w:szCs w:val="22"/>
              </w:rPr>
            </w:pPr>
            <w:r w:rsidRPr="00C60AAB">
              <w:rPr>
                <w:rFonts w:asciiTheme="majorHAnsi" w:hAnsiTheme="majorHAnsi"/>
                <w:sz w:val="22"/>
                <w:szCs w:val="22"/>
              </w:rPr>
              <w:t>RCU-CEP</w:t>
            </w:r>
          </w:p>
        </w:tc>
        <w:tc>
          <w:tcPr>
            <w:tcW w:w="7371" w:type="dxa"/>
            <w:noWrap/>
            <w:vAlign w:val="bottom"/>
          </w:tcPr>
          <w:p w14:paraId="5988FB3B" w14:textId="15652701" w:rsidR="006B5B10" w:rsidRPr="00C60AAB" w:rsidRDefault="006B5B10" w:rsidP="00AE5BF4">
            <w:pPr>
              <w:rPr>
                <w:rFonts w:asciiTheme="majorHAnsi" w:hAnsiTheme="majorHAnsi"/>
                <w:sz w:val="22"/>
                <w:szCs w:val="22"/>
              </w:rPr>
            </w:pPr>
            <w:r w:rsidRPr="00C60AAB">
              <w:rPr>
                <w:rFonts w:asciiTheme="majorHAnsi" w:hAnsiTheme="majorHAnsi"/>
                <w:sz w:val="22"/>
                <w:szCs w:val="22"/>
              </w:rPr>
              <w:t xml:space="preserve">Regional Coordination Unit – Caribbean Environment Programme </w:t>
            </w:r>
          </w:p>
        </w:tc>
      </w:tr>
      <w:tr w:rsidR="00C60AAB" w:rsidRPr="00DE431E" w14:paraId="3436FC8D" w14:textId="77777777" w:rsidTr="00AE5BF4">
        <w:trPr>
          <w:trHeight w:val="315"/>
        </w:trPr>
        <w:tc>
          <w:tcPr>
            <w:tcW w:w="1809" w:type="dxa"/>
            <w:noWrap/>
          </w:tcPr>
          <w:p w14:paraId="7BF05440" w14:textId="3C836EB6" w:rsidR="00C60AAB" w:rsidRPr="00C60AAB" w:rsidRDefault="00C60AAB" w:rsidP="00AE5BF4">
            <w:pPr>
              <w:rPr>
                <w:rFonts w:asciiTheme="majorHAnsi" w:hAnsiTheme="majorHAnsi"/>
                <w:sz w:val="22"/>
                <w:szCs w:val="22"/>
              </w:rPr>
            </w:pPr>
            <w:r>
              <w:rPr>
                <w:rFonts w:asciiTheme="majorHAnsi" w:hAnsiTheme="majorHAnsi"/>
                <w:sz w:val="22"/>
                <w:szCs w:val="22"/>
              </w:rPr>
              <w:t>RTA</w:t>
            </w:r>
          </w:p>
        </w:tc>
        <w:tc>
          <w:tcPr>
            <w:tcW w:w="7371" w:type="dxa"/>
            <w:noWrap/>
            <w:vAlign w:val="bottom"/>
          </w:tcPr>
          <w:p w14:paraId="4DDD0C8B" w14:textId="193B0C85" w:rsidR="00C60AAB" w:rsidRPr="00C60AAB" w:rsidRDefault="00C60AAB" w:rsidP="00AE5BF4">
            <w:pPr>
              <w:rPr>
                <w:rFonts w:asciiTheme="majorHAnsi" w:hAnsiTheme="majorHAnsi"/>
                <w:sz w:val="22"/>
                <w:szCs w:val="22"/>
              </w:rPr>
            </w:pPr>
            <w:r>
              <w:rPr>
                <w:rFonts w:asciiTheme="majorHAnsi" w:hAnsiTheme="majorHAnsi"/>
                <w:sz w:val="22"/>
                <w:szCs w:val="22"/>
              </w:rPr>
              <w:t xml:space="preserve">Regional Technical Adviser (GEF) </w:t>
            </w:r>
          </w:p>
        </w:tc>
      </w:tr>
      <w:tr w:rsidR="00AE5BF4" w:rsidRPr="00DE431E" w14:paraId="3B62CDCE" w14:textId="77777777" w:rsidTr="00AE5BF4">
        <w:trPr>
          <w:trHeight w:val="315"/>
        </w:trPr>
        <w:tc>
          <w:tcPr>
            <w:tcW w:w="1809" w:type="dxa"/>
            <w:noWrap/>
          </w:tcPr>
          <w:p w14:paraId="2BC42D0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SAP</w:t>
            </w:r>
          </w:p>
        </w:tc>
        <w:tc>
          <w:tcPr>
            <w:tcW w:w="7371" w:type="dxa"/>
            <w:noWrap/>
            <w:vAlign w:val="bottom"/>
          </w:tcPr>
          <w:p w14:paraId="2000023E"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Strategic Action Programme</w:t>
            </w:r>
          </w:p>
        </w:tc>
      </w:tr>
      <w:tr w:rsidR="006B5B10" w:rsidRPr="00DE431E" w14:paraId="2291E78A" w14:textId="77777777" w:rsidTr="00AE5BF4">
        <w:tblPrEx>
          <w:tblLook w:val="01E0" w:firstRow="1" w:lastRow="1" w:firstColumn="1" w:lastColumn="1" w:noHBand="0" w:noVBand="0"/>
        </w:tblPrEx>
        <w:tc>
          <w:tcPr>
            <w:tcW w:w="1809" w:type="dxa"/>
          </w:tcPr>
          <w:p w14:paraId="53D8F900" w14:textId="526C5D3E" w:rsidR="006B5B10" w:rsidRPr="00C60AAB" w:rsidRDefault="006B5B10" w:rsidP="00AE5BF4">
            <w:pPr>
              <w:rPr>
                <w:rFonts w:asciiTheme="majorHAnsi" w:hAnsiTheme="majorHAnsi"/>
                <w:sz w:val="22"/>
                <w:szCs w:val="22"/>
              </w:rPr>
            </w:pPr>
            <w:r w:rsidRPr="00C60AAB">
              <w:rPr>
                <w:rFonts w:asciiTheme="majorHAnsi" w:hAnsiTheme="majorHAnsi"/>
                <w:sz w:val="22"/>
                <w:szCs w:val="22"/>
              </w:rPr>
              <w:t xml:space="preserve">SCM </w:t>
            </w:r>
          </w:p>
        </w:tc>
        <w:tc>
          <w:tcPr>
            <w:tcW w:w="7371" w:type="dxa"/>
          </w:tcPr>
          <w:p w14:paraId="45D54A58" w14:textId="2241F1A3" w:rsidR="006B5B10" w:rsidRPr="00C60AAB" w:rsidRDefault="006B5B10" w:rsidP="00AE5BF4">
            <w:pPr>
              <w:rPr>
                <w:rFonts w:asciiTheme="majorHAnsi" w:hAnsiTheme="majorHAnsi"/>
                <w:sz w:val="22"/>
                <w:szCs w:val="22"/>
              </w:rPr>
            </w:pPr>
            <w:r w:rsidRPr="00C60AAB">
              <w:rPr>
                <w:rFonts w:asciiTheme="majorHAnsi" w:hAnsiTheme="majorHAnsi"/>
                <w:sz w:val="22"/>
                <w:szCs w:val="22"/>
              </w:rPr>
              <w:t>Steering Committee Meeting</w:t>
            </w:r>
          </w:p>
        </w:tc>
      </w:tr>
      <w:tr w:rsidR="00AE5BF4" w:rsidRPr="00DE431E" w14:paraId="0699FE9C" w14:textId="77777777" w:rsidTr="00AE5BF4">
        <w:tblPrEx>
          <w:tblLook w:val="01E0" w:firstRow="1" w:lastRow="1" w:firstColumn="1" w:lastColumn="1" w:noHBand="0" w:noVBand="0"/>
        </w:tblPrEx>
        <w:tc>
          <w:tcPr>
            <w:tcW w:w="1809" w:type="dxa"/>
          </w:tcPr>
          <w:p w14:paraId="587E2409"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SEE</w:t>
            </w:r>
          </w:p>
        </w:tc>
        <w:tc>
          <w:tcPr>
            <w:tcW w:w="7371" w:type="dxa"/>
          </w:tcPr>
          <w:p w14:paraId="7A39630E"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South Eastern Europe</w:t>
            </w:r>
          </w:p>
        </w:tc>
      </w:tr>
      <w:tr w:rsidR="00AE5BF4" w:rsidRPr="00DE431E" w14:paraId="2F0FBF7A" w14:textId="77777777" w:rsidTr="00AE5BF4">
        <w:trPr>
          <w:trHeight w:val="315"/>
        </w:trPr>
        <w:tc>
          <w:tcPr>
            <w:tcW w:w="1809" w:type="dxa"/>
            <w:noWrap/>
          </w:tcPr>
          <w:p w14:paraId="68FD97F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TDA</w:t>
            </w:r>
          </w:p>
        </w:tc>
        <w:tc>
          <w:tcPr>
            <w:tcW w:w="7371" w:type="dxa"/>
            <w:noWrap/>
            <w:vAlign w:val="bottom"/>
          </w:tcPr>
          <w:p w14:paraId="63BB99FF"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Transboundary Diagnostic Analysis</w:t>
            </w:r>
          </w:p>
        </w:tc>
      </w:tr>
      <w:tr w:rsidR="006B5B10" w:rsidRPr="00DE431E" w14:paraId="54CFDC99" w14:textId="77777777" w:rsidTr="00AE5BF4">
        <w:trPr>
          <w:trHeight w:val="315"/>
        </w:trPr>
        <w:tc>
          <w:tcPr>
            <w:tcW w:w="1809" w:type="dxa"/>
            <w:noWrap/>
          </w:tcPr>
          <w:p w14:paraId="211F1754" w14:textId="454EB0E0" w:rsidR="006B5B10" w:rsidRPr="00C60AAB" w:rsidRDefault="006B5B10" w:rsidP="00AE5BF4">
            <w:pPr>
              <w:rPr>
                <w:rFonts w:asciiTheme="majorHAnsi" w:hAnsiTheme="majorHAnsi"/>
                <w:sz w:val="22"/>
                <w:szCs w:val="22"/>
              </w:rPr>
            </w:pPr>
            <w:r w:rsidRPr="00C60AAB">
              <w:rPr>
                <w:rFonts w:asciiTheme="majorHAnsi" w:hAnsiTheme="majorHAnsi"/>
                <w:sz w:val="22"/>
                <w:szCs w:val="22"/>
              </w:rPr>
              <w:t>ToR</w:t>
            </w:r>
          </w:p>
        </w:tc>
        <w:tc>
          <w:tcPr>
            <w:tcW w:w="7371" w:type="dxa"/>
            <w:noWrap/>
            <w:vAlign w:val="bottom"/>
          </w:tcPr>
          <w:p w14:paraId="40CEB3AD" w14:textId="76E44C4D" w:rsidR="006B5B10" w:rsidRPr="00C60AAB" w:rsidRDefault="006B5B10" w:rsidP="00AE5BF4">
            <w:pPr>
              <w:rPr>
                <w:rFonts w:asciiTheme="majorHAnsi" w:hAnsiTheme="majorHAnsi"/>
                <w:sz w:val="22"/>
                <w:szCs w:val="22"/>
              </w:rPr>
            </w:pPr>
            <w:r w:rsidRPr="00C60AAB">
              <w:rPr>
                <w:rFonts w:asciiTheme="majorHAnsi" w:hAnsiTheme="majorHAnsi"/>
                <w:sz w:val="22"/>
                <w:szCs w:val="22"/>
              </w:rPr>
              <w:t xml:space="preserve">Terms of Reference </w:t>
            </w:r>
          </w:p>
        </w:tc>
      </w:tr>
      <w:tr w:rsidR="00AE5BF4" w:rsidRPr="00DE431E" w14:paraId="0EC17D59" w14:textId="77777777" w:rsidTr="00AE5BF4">
        <w:trPr>
          <w:trHeight w:val="315"/>
        </w:trPr>
        <w:tc>
          <w:tcPr>
            <w:tcW w:w="1809" w:type="dxa"/>
            <w:noWrap/>
          </w:tcPr>
          <w:p w14:paraId="0A317E1F"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TWM</w:t>
            </w:r>
          </w:p>
        </w:tc>
        <w:tc>
          <w:tcPr>
            <w:tcW w:w="7371" w:type="dxa"/>
            <w:noWrap/>
            <w:vAlign w:val="bottom"/>
          </w:tcPr>
          <w:p w14:paraId="27C013BA"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Transboundary Water Management</w:t>
            </w:r>
          </w:p>
        </w:tc>
      </w:tr>
      <w:tr w:rsidR="00AE5BF4" w:rsidRPr="00DE431E" w14:paraId="004FC6C3" w14:textId="77777777" w:rsidTr="00AE5BF4">
        <w:tblPrEx>
          <w:tblLook w:val="01E0" w:firstRow="1" w:lastRow="1" w:firstColumn="1" w:lastColumn="1" w:noHBand="0" w:noVBand="0"/>
        </w:tblPrEx>
        <w:tc>
          <w:tcPr>
            <w:tcW w:w="1809" w:type="dxa"/>
          </w:tcPr>
          <w:p w14:paraId="2FF26A58"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TWRM</w:t>
            </w:r>
          </w:p>
        </w:tc>
        <w:tc>
          <w:tcPr>
            <w:tcW w:w="7371" w:type="dxa"/>
          </w:tcPr>
          <w:p w14:paraId="01E66F7D"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Transboundary Water Resources Management</w:t>
            </w:r>
          </w:p>
        </w:tc>
      </w:tr>
      <w:tr w:rsidR="00AE5BF4" w:rsidRPr="00DE431E" w14:paraId="0485449B" w14:textId="77777777" w:rsidTr="00AE5BF4">
        <w:trPr>
          <w:trHeight w:val="315"/>
        </w:trPr>
        <w:tc>
          <w:tcPr>
            <w:tcW w:w="1809" w:type="dxa"/>
            <w:noWrap/>
          </w:tcPr>
          <w:p w14:paraId="27F4CE3E"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UNDP</w:t>
            </w:r>
          </w:p>
        </w:tc>
        <w:tc>
          <w:tcPr>
            <w:tcW w:w="7371" w:type="dxa"/>
            <w:noWrap/>
            <w:vAlign w:val="bottom"/>
          </w:tcPr>
          <w:p w14:paraId="7598DDE3"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United Nations Development Programme</w:t>
            </w:r>
          </w:p>
        </w:tc>
      </w:tr>
      <w:tr w:rsidR="00C60AAB" w:rsidRPr="00DE431E" w14:paraId="68EFBDAE" w14:textId="77777777" w:rsidTr="00AE5BF4">
        <w:tblPrEx>
          <w:tblLook w:val="01E0" w:firstRow="1" w:lastRow="1" w:firstColumn="1" w:lastColumn="1" w:noHBand="0" w:noVBand="0"/>
        </w:tblPrEx>
        <w:tc>
          <w:tcPr>
            <w:tcW w:w="1809" w:type="dxa"/>
          </w:tcPr>
          <w:p w14:paraId="324309DB" w14:textId="504CA20A" w:rsidR="00C60AAB" w:rsidRPr="00C60AAB" w:rsidRDefault="00C60AAB" w:rsidP="00AE5BF4">
            <w:pPr>
              <w:rPr>
                <w:rFonts w:asciiTheme="majorHAnsi" w:hAnsiTheme="majorHAnsi"/>
                <w:sz w:val="22"/>
                <w:szCs w:val="22"/>
              </w:rPr>
            </w:pPr>
            <w:r>
              <w:rPr>
                <w:rFonts w:asciiTheme="majorHAnsi" w:hAnsiTheme="majorHAnsi"/>
                <w:sz w:val="22"/>
                <w:szCs w:val="22"/>
              </w:rPr>
              <w:t>UNECA</w:t>
            </w:r>
          </w:p>
        </w:tc>
        <w:tc>
          <w:tcPr>
            <w:tcW w:w="7371" w:type="dxa"/>
          </w:tcPr>
          <w:p w14:paraId="50DDD2E0" w14:textId="26F12DB4" w:rsidR="00C60AAB" w:rsidRPr="00C60AAB" w:rsidRDefault="00C60AAB" w:rsidP="00AE5BF4">
            <w:pPr>
              <w:rPr>
                <w:rFonts w:asciiTheme="majorHAnsi" w:hAnsiTheme="majorHAnsi"/>
                <w:sz w:val="22"/>
                <w:szCs w:val="22"/>
              </w:rPr>
            </w:pPr>
            <w:r>
              <w:rPr>
                <w:rFonts w:asciiTheme="majorHAnsi" w:hAnsiTheme="majorHAnsi"/>
                <w:sz w:val="22"/>
                <w:szCs w:val="22"/>
              </w:rPr>
              <w:t>United Nations Economic Commission for Africa</w:t>
            </w:r>
          </w:p>
        </w:tc>
      </w:tr>
      <w:tr w:rsidR="00AE5BF4" w:rsidRPr="00DE431E" w14:paraId="5C0DAAF5" w14:textId="77777777" w:rsidTr="00AE5BF4">
        <w:tblPrEx>
          <w:tblLook w:val="01E0" w:firstRow="1" w:lastRow="1" w:firstColumn="1" w:lastColumn="1" w:noHBand="0" w:noVBand="0"/>
        </w:tblPrEx>
        <w:tc>
          <w:tcPr>
            <w:tcW w:w="1809" w:type="dxa"/>
          </w:tcPr>
          <w:p w14:paraId="6ADB5922"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UNECE</w:t>
            </w:r>
          </w:p>
        </w:tc>
        <w:tc>
          <w:tcPr>
            <w:tcW w:w="7371" w:type="dxa"/>
          </w:tcPr>
          <w:p w14:paraId="7BF75F3D"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United Nations Economic Commission for Europe</w:t>
            </w:r>
          </w:p>
        </w:tc>
      </w:tr>
      <w:tr w:rsidR="00AE5BF4" w:rsidRPr="00DE431E" w14:paraId="276E9C0B" w14:textId="77777777" w:rsidTr="00AE5BF4">
        <w:trPr>
          <w:trHeight w:val="315"/>
        </w:trPr>
        <w:tc>
          <w:tcPr>
            <w:tcW w:w="1809" w:type="dxa"/>
            <w:noWrap/>
          </w:tcPr>
          <w:p w14:paraId="13646654"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 xml:space="preserve">UNEP </w:t>
            </w:r>
          </w:p>
        </w:tc>
        <w:tc>
          <w:tcPr>
            <w:tcW w:w="7371" w:type="dxa"/>
            <w:noWrap/>
            <w:vAlign w:val="bottom"/>
          </w:tcPr>
          <w:p w14:paraId="0DB65885"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 xml:space="preserve">United Nations Environment Programme </w:t>
            </w:r>
          </w:p>
        </w:tc>
      </w:tr>
      <w:tr w:rsidR="00C60AAB" w:rsidRPr="00DE431E" w14:paraId="61D27C71" w14:textId="77777777" w:rsidTr="00AE5BF4">
        <w:trPr>
          <w:trHeight w:val="315"/>
        </w:trPr>
        <w:tc>
          <w:tcPr>
            <w:tcW w:w="1809" w:type="dxa"/>
            <w:noWrap/>
          </w:tcPr>
          <w:p w14:paraId="03B04A24" w14:textId="62FCF751" w:rsidR="00C60AAB" w:rsidRPr="00C60AAB" w:rsidRDefault="00C60AAB" w:rsidP="00AE5BF4">
            <w:pPr>
              <w:rPr>
                <w:rFonts w:asciiTheme="majorHAnsi" w:hAnsiTheme="majorHAnsi"/>
                <w:sz w:val="22"/>
                <w:szCs w:val="22"/>
              </w:rPr>
            </w:pPr>
            <w:r>
              <w:rPr>
                <w:rFonts w:asciiTheme="majorHAnsi" w:hAnsiTheme="majorHAnsi"/>
                <w:sz w:val="22"/>
                <w:szCs w:val="22"/>
              </w:rPr>
              <w:t>UNEP-DEWA</w:t>
            </w:r>
          </w:p>
        </w:tc>
        <w:tc>
          <w:tcPr>
            <w:tcW w:w="7371" w:type="dxa"/>
            <w:noWrap/>
            <w:vAlign w:val="bottom"/>
          </w:tcPr>
          <w:p w14:paraId="1D18F743" w14:textId="403E9325" w:rsidR="00C60AAB" w:rsidRPr="00C60AAB" w:rsidRDefault="00C60AAB" w:rsidP="00AE5BF4">
            <w:pPr>
              <w:rPr>
                <w:rFonts w:asciiTheme="majorHAnsi" w:hAnsiTheme="majorHAnsi"/>
                <w:sz w:val="22"/>
                <w:szCs w:val="22"/>
              </w:rPr>
            </w:pPr>
            <w:r>
              <w:rPr>
                <w:rFonts w:asciiTheme="majorHAnsi" w:hAnsiTheme="majorHAnsi"/>
                <w:sz w:val="22"/>
                <w:szCs w:val="22"/>
              </w:rPr>
              <w:t xml:space="preserve">UNEP – Division of Early Warning and Assessment </w:t>
            </w:r>
          </w:p>
        </w:tc>
      </w:tr>
      <w:tr w:rsidR="00AE5BF4" w:rsidRPr="00DE431E" w14:paraId="2CBF3AA6" w14:textId="77777777" w:rsidTr="00AE5BF4">
        <w:trPr>
          <w:trHeight w:val="315"/>
        </w:trPr>
        <w:tc>
          <w:tcPr>
            <w:tcW w:w="1809" w:type="dxa"/>
            <w:noWrap/>
          </w:tcPr>
          <w:p w14:paraId="59650E89"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UNESCO</w:t>
            </w:r>
          </w:p>
        </w:tc>
        <w:tc>
          <w:tcPr>
            <w:tcW w:w="7371" w:type="dxa"/>
            <w:noWrap/>
            <w:vAlign w:val="bottom"/>
          </w:tcPr>
          <w:p w14:paraId="14EB94FC"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United Nations Educational, Scientific and Cultural Organization</w:t>
            </w:r>
          </w:p>
        </w:tc>
      </w:tr>
      <w:tr w:rsidR="00AE5BF4" w:rsidRPr="00DE431E" w14:paraId="6251EA3F" w14:textId="77777777" w:rsidTr="00AE5BF4">
        <w:tblPrEx>
          <w:tblLook w:val="01E0" w:firstRow="1" w:lastRow="1" w:firstColumn="1" w:lastColumn="1" w:noHBand="0" w:noVBand="0"/>
        </w:tblPrEx>
        <w:tc>
          <w:tcPr>
            <w:tcW w:w="1809" w:type="dxa"/>
          </w:tcPr>
          <w:p w14:paraId="4487E7B5"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WFD</w:t>
            </w:r>
          </w:p>
        </w:tc>
        <w:tc>
          <w:tcPr>
            <w:tcW w:w="7371" w:type="dxa"/>
          </w:tcPr>
          <w:p w14:paraId="2CD0D396"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EU Water Framework Directive</w:t>
            </w:r>
          </w:p>
        </w:tc>
      </w:tr>
      <w:tr w:rsidR="00AE5BF4" w:rsidRPr="00DE431E" w14:paraId="79BA3421" w14:textId="77777777" w:rsidTr="00AE5BF4">
        <w:tblPrEx>
          <w:tblLook w:val="01E0" w:firstRow="1" w:lastRow="1" w:firstColumn="1" w:lastColumn="1" w:noHBand="0" w:noVBand="0"/>
        </w:tblPrEx>
        <w:tc>
          <w:tcPr>
            <w:tcW w:w="1809" w:type="dxa"/>
          </w:tcPr>
          <w:p w14:paraId="1563400F"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UNU-INWEH</w:t>
            </w:r>
          </w:p>
        </w:tc>
        <w:tc>
          <w:tcPr>
            <w:tcW w:w="7371" w:type="dxa"/>
          </w:tcPr>
          <w:p w14:paraId="1B9D39AC"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United Nations University - Institute for Water, Environment and Health</w:t>
            </w:r>
          </w:p>
        </w:tc>
      </w:tr>
      <w:tr w:rsidR="00AE5BF4" w:rsidRPr="00DE431E" w14:paraId="4BD6D457" w14:textId="77777777" w:rsidTr="00AE5BF4">
        <w:trPr>
          <w:trHeight w:val="315"/>
        </w:trPr>
        <w:tc>
          <w:tcPr>
            <w:tcW w:w="1809" w:type="dxa"/>
            <w:noWrap/>
          </w:tcPr>
          <w:p w14:paraId="776EBC1D"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 xml:space="preserve">WWF </w:t>
            </w:r>
          </w:p>
        </w:tc>
        <w:tc>
          <w:tcPr>
            <w:tcW w:w="7371" w:type="dxa"/>
            <w:noWrap/>
            <w:vAlign w:val="bottom"/>
          </w:tcPr>
          <w:p w14:paraId="6E33948D" w14:textId="77777777" w:rsidR="00AE5BF4" w:rsidRPr="00C60AAB" w:rsidRDefault="00AE5BF4" w:rsidP="00AE5BF4">
            <w:pPr>
              <w:rPr>
                <w:rFonts w:asciiTheme="majorHAnsi" w:hAnsiTheme="majorHAnsi"/>
                <w:sz w:val="22"/>
                <w:szCs w:val="22"/>
              </w:rPr>
            </w:pPr>
            <w:r w:rsidRPr="00C60AAB">
              <w:rPr>
                <w:rFonts w:asciiTheme="majorHAnsi" w:hAnsiTheme="majorHAnsi"/>
                <w:sz w:val="22"/>
                <w:szCs w:val="22"/>
              </w:rPr>
              <w:t xml:space="preserve">World Water Forum </w:t>
            </w:r>
          </w:p>
        </w:tc>
      </w:tr>
    </w:tbl>
    <w:p w14:paraId="5514FB11" w14:textId="77777777" w:rsidR="00AE5BF4" w:rsidRPr="00AE5BF4" w:rsidRDefault="00AE5BF4" w:rsidP="00AE5BF4">
      <w:pPr>
        <w:sectPr w:rsidR="00AE5BF4" w:rsidRPr="00AE5BF4" w:rsidSect="00D94835">
          <w:pgSz w:w="11900" w:h="16840"/>
          <w:pgMar w:top="1440" w:right="1440" w:bottom="1440" w:left="1440" w:header="708" w:footer="708" w:gutter="0"/>
          <w:pgNumType w:fmt="lowerRoman"/>
          <w:cols w:space="708"/>
          <w:docGrid w:linePitch="360"/>
        </w:sectPr>
      </w:pPr>
    </w:p>
    <w:p w14:paraId="735E7D8A" w14:textId="642B286E" w:rsidR="0087737C" w:rsidRPr="0087737C" w:rsidRDefault="00540CD7" w:rsidP="00E86C9A">
      <w:pPr>
        <w:pStyle w:val="Heading1"/>
        <w:numPr>
          <w:ilvl w:val="0"/>
          <w:numId w:val="0"/>
        </w:numPr>
      </w:pPr>
      <w:bookmarkStart w:id="6" w:name="_Toc222479125"/>
      <w:r w:rsidRPr="007D1C06">
        <w:t>Executive Summary</w:t>
      </w:r>
      <w:bookmarkEnd w:id="4"/>
      <w:bookmarkEnd w:id="5"/>
      <w:bookmarkEnd w:id="6"/>
    </w:p>
    <w:p w14:paraId="0EAC068D" w14:textId="66BAF866" w:rsidR="0087737C" w:rsidRDefault="004053C0" w:rsidP="00E86C9A">
      <w:pPr>
        <w:pStyle w:val="Heading2"/>
        <w:numPr>
          <w:ilvl w:val="0"/>
          <w:numId w:val="0"/>
        </w:numPr>
      </w:pPr>
      <w:bookmarkStart w:id="7" w:name="_Toc222479126"/>
      <w:r>
        <w:t>Project description</w:t>
      </w:r>
      <w:bookmarkEnd w:id="7"/>
    </w:p>
    <w:p w14:paraId="7883FA87" w14:textId="4C9AC2C7" w:rsidR="0087737C" w:rsidRPr="00383EBF" w:rsidRDefault="0087737C" w:rsidP="00383EBF">
      <w:pPr>
        <w:jc w:val="both"/>
        <w:rPr>
          <w:rFonts w:asciiTheme="majorHAnsi" w:hAnsiTheme="majorHAnsi"/>
          <w:sz w:val="22"/>
          <w:szCs w:val="22"/>
        </w:rPr>
      </w:pPr>
      <w:r w:rsidRPr="00383EBF">
        <w:rPr>
          <w:rFonts w:asciiTheme="majorHAnsi" w:hAnsiTheme="majorHAnsi"/>
          <w:sz w:val="22"/>
          <w:szCs w:val="22"/>
        </w:rPr>
        <w:t xml:space="preserve">The GEF International Waters (IW) portfolio comprises 170 projects to date, including 16 multi-focal area projects, and consists of some US$1.1 billion of GEF grants invested in 149 different countries </w:t>
      </w:r>
      <w:r w:rsidR="003C2BE0" w:rsidRPr="00383EBF">
        <w:rPr>
          <w:rFonts w:asciiTheme="majorHAnsi" w:hAnsiTheme="majorHAnsi"/>
          <w:sz w:val="22"/>
          <w:szCs w:val="22"/>
        </w:rPr>
        <w:t>globally over the last 20 years</w:t>
      </w:r>
      <w:r w:rsidRPr="00383EBF">
        <w:rPr>
          <w:rFonts w:asciiTheme="majorHAnsi" w:hAnsiTheme="majorHAnsi"/>
          <w:sz w:val="22"/>
          <w:szCs w:val="22"/>
        </w:rPr>
        <w:t>. At the start, the portfolio was marginally interested in sharing its experience with itself. However, after previous phases of IW</w:t>
      </w:r>
      <w:proofErr w:type="gramStart"/>
      <w:r w:rsidRPr="00383EBF">
        <w:rPr>
          <w:rFonts w:asciiTheme="majorHAnsi" w:hAnsiTheme="majorHAnsi"/>
          <w:sz w:val="22"/>
          <w:szCs w:val="22"/>
        </w:rPr>
        <w:t>:LEARN</w:t>
      </w:r>
      <w:proofErr w:type="gramEnd"/>
      <w:r w:rsidRPr="00383EBF">
        <w:rPr>
          <w:rFonts w:asciiTheme="majorHAnsi" w:hAnsiTheme="majorHAnsi"/>
          <w:sz w:val="22"/>
          <w:szCs w:val="22"/>
        </w:rPr>
        <w:t xml:space="preserve"> demonstrated different learning methodologies, processes existed  that engage the portfolio in such experience sharing.  Such GEF IW</w:t>
      </w:r>
      <w:proofErr w:type="gramStart"/>
      <w:r w:rsidRPr="00383EBF">
        <w:rPr>
          <w:rFonts w:asciiTheme="majorHAnsi" w:hAnsiTheme="majorHAnsi"/>
          <w:sz w:val="22"/>
          <w:szCs w:val="22"/>
        </w:rPr>
        <w:t>:LEARN</w:t>
      </w:r>
      <w:proofErr w:type="gramEnd"/>
      <w:r w:rsidRPr="00383EBF">
        <w:rPr>
          <w:rFonts w:asciiTheme="majorHAnsi" w:hAnsiTheme="majorHAnsi"/>
          <w:sz w:val="22"/>
          <w:szCs w:val="22"/>
        </w:rPr>
        <w:t xml:space="preserve"> methodologies were considered ready to be up-scaled portfolio-wide, utilizing the current project, to enhance the application of GEF IW experiences to improve portfolio quality and mainstream the capacity to address transboundary concerns and assist with addressing climatic variability &amp; change.</w:t>
      </w:r>
    </w:p>
    <w:p w14:paraId="34DE1E74" w14:textId="77777777" w:rsidR="0087737C" w:rsidRPr="00383EBF" w:rsidRDefault="0087737C" w:rsidP="0087737C">
      <w:pPr>
        <w:rPr>
          <w:rFonts w:asciiTheme="majorHAnsi" w:hAnsiTheme="majorHAnsi"/>
          <w:sz w:val="22"/>
          <w:szCs w:val="22"/>
        </w:rPr>
      </w:pPr>
    </w:p>
    <w:p w14:paraId="4E457C5A" w14:textId="2DBF6089" w:rsidR="0087737C" w:rsidRPr="00383EBF" w:rsidRDefault="0087737C" w:rsidP="006C543C">
      <w:pPr>
        <w:jc w:val="both"/>
        <w:rPr>
          <w:rFonts w:asciiTheme="majorHAnsi" w:hAnsiTheme="majorHAnsi"/>
          <w:sz w:val="22"/>
          <w:szCs w:val="22"/>
        </w:rPr>
      </w:pPr>
      <w:r w:rsidRPr="00383EBF">
        <w:rPr>
          <w:rFonts w:asciiTheme="majorHAnsi" w:hAnsiTheme="majorHAnsi"/>
          <w:sz w:val="22"/>
          <w:szCs w:val="22"/>
        </w:rPr>
        <w:t>GEF IW</w:t>
      </w:r>
      <w:proofErr w:type="gramStart"/>
      <w:r w:rsidRPr="00383EBF">
        <w:rPr>
          <w:rFonts w:asciiTheme="majorHAnsi" w:hAnsiTheme="majorHAnsi"/>
          <w:sz w:val="22"/>
          <w:szCs w:val="22"/>
        </w:rPr>
        <w:t>:LEARN</w:t>
      </w:r>
      <w:proofErr w:type="gramEnd"/>
      <w:r w:rsidRPr="00383EBF">
        <w:rPr>
          <w:rFonts w:asciiTheme="majorHAnsi" w:hAnsiTheme="majorHAnsi"/>
          <w:sz w:val="22"/>
          <w:szCs w:val="22"/>
        </w:rPr>
        <w:t xml:space="preserve"> began in 1997 as an experimental portfolio-wide knowledge management and capacity building initiati</w:t>
      </w:r>
      <w:r w:rsidR="003C2BE0" w:rsidRPr="00383EBF">
        <w:rPr>
          <w:rFonts w:asciiTheme="majorHAnsi" w:hAnsiTheme="majorHAnsi"/>
          <w:sz w:val="22"/>
          <w:szCs w:val="22"/>
        </w:rPr>
        <w:t>ve, which encouraged networking</w:t>
      </w:r>
      <w:r w:rsidRPr="00383EBF">
        <w:rPr>
          <w:rFonts w:asciiTheme="majorHAnsi" w:hAnsiTheme="majorHAnsi"/>
          <w:sz w:val="22"/>
          <w:szCs w:val="22"/>
        </w:rPr>
        <w:t xml:space="preserve"> and organized the first GEF IW Conference (IWC) in Budapest in 2000. A foundational project during the period 2000-2003 provided knowledge management training and on-demand technical assistance for GEF IW projects, as well as piloting of a number of learning tools. The subsequent Operational Phase of IWLEARN (2004-2008), built on pilot phase lessons, and developed a strategic approach to knowledge management, manifested by a consolidated knowledge management service line: project-project exchanges, targeted training workshops, portfolio-wide learning at the GEF Biennial I</w:t>
      </w:r>
      <w:r w:rsidR="003C2BE0" w:rsidRPr="00383EBF">
        <w:rPr>
          <w:rFonts w:asciiTheme="majorHAnsi" w:hAnsiTheme="majorHAnsi"/>
          <w:sz w:val="22"/>
          <w:szCs w:val="22"/>
        </w:rPr>
        <w:t>nternational Waters conferences.</w:t>
      </w:r>
      <w:r w:rsidRPr="00383EBF">
        <w:rPr>
          <w:rFonts w:asciiTheme="majorHAnsi" w:hAnsiTheme="majorHAnsi"/>
          <w:sz w:val="22"/>
          <w:szCs w:val="22"/>
        </w:rPr>
        <w:t xml:space="preserve"> </w:t>
      </w:r>
      <w:proofErr w:type="gramStart"/>
      <w:r w:rsidRPr="00383EBF">
        <w:rPr>
          <w:rFonts w:asciiTheme="majorHAnsi" w:hAnsiTheme="majorHAnsi"/>
          <w:sz w:val="22"/>
          <w:szCs w:val="22"/>
        </w:rPr>
        <w:t>knowledge</w:t>
      </w:r>
      <w:proofErr w:type="gramEnd"/>
      <w:r w:rsidRPr="00383EBF">
        <w:rPr>
          <w:rFonts w:asciiTheme="majorHAnsi" w:hAnsiTheme="majorHAnsi"/>
          <w:sz w:val="22"/>
          <w:szCs w:val="22"/>
        </w:rPr>
        <w:t xml:space="preserve"> products on, for example, Payment for Ecosystem Services and Stakeholder Engagement, information management, technical support to website development, regional and global dialogue processes, support for communities of practice and a help desk. </w:t>
      </w:r>
    </w:p>
    <w:p w14:paraId="28D8F897" w14:textId="77777777" w:rsidR="003C2BE0" w:rsidRPr="00383EBF" w:rsidRDefault="003C2BE0" w:rsidP="006C543C">
      <w:pPr>
        <w:jc w:val="both"/>
        <w:rPr>
          <w:rFonts w:asciiTheme="majorHAnsi" w:hAnsiTheme="majorHAnsi"/>
          <w:sz w:val="22"/>
          <w:szCs w:val="22"/>
        </w:rPr>
      </w:pPr>
    </w:p>
    <w:p w14:paraId="31138E3E" w14:textId="26C582D0" w:rsidR="0087737C" w:rsidRPr="00383EBF" w:rsidRDefault="0087737C" w:rsidP="006C543C">
      <w:pPr>
        <w:jc w:val="both"/>
        <w:rPr>
          <w:rFonts w:asciiTheme="majorHAnsi" w:hAnsiTheme="majorHAnsi"/>
          <w:sz w:val="22"/>
          <w:szCs w:val="22"/>
        </w:rPr>
      </w:pPr>
      <w:r w:rsidRPr="00383EBF">
        <w:rPr>
          <w:rFonts w:asciiTheme="majorHAnsi" w:hAnsiTheme="majorHAnsi"/>
          <w:sz w:val="22"/>
          <w:szCs w:val="22"/>
        </w:rPr>
        <w:t>At a regional level, the GEF has increased its focus on the Mediterranean and MENARID regions, as well as on groundwater management issues. In response to country requests and global imperatives, the GEF IW focal area will direct attention to groundwater, recognising that this vital resource is often transboundary in nature, underlying multiple countries. The new IW</w:t>
      </w:r>
      <w:proofErr w:type="gramStart"/>
      <w:r w:rsidRPr="00383EBF">
        <w:rPr>
          <w:rFonts w:asciiTheme="majorHAnsi" w:hAnsiTheme="majorHAnsi"/>
          <w:sz w:val="22"/>
          <w:szCs w:val="22"/>
        </w:rPr>
        <w:t>:LEARN</w:t>
      </w:r>
      <w:proofErr w:type="gramEnd"/>
      <w:r w:rsidRPr="00383EBF">
        <w:rPr>
          <w:rFonts w:asciiTheme="majorHAnsi" w:hAnsiTheme="majorHAnsi"/>
          <w:sz w:val="22"/>
          <w:szCs w:val="22"/>
        </w:rPr>
        <w:t xml:space="preserve"> project includes cross-project and agency learning support to GEF project teams on methodologies for groundwater/surface water management, especially concerning aquifer protection and recharge issues in the MENARID region with mobilizing new partners. </w:t>
      </w:r>
    </w:p>
    <w:p w14:paraId="673E1A7B" w14:textId="77777777" w:rsidR="0087737C" w:rsidRPr="00383EBF" w:rsidRDefault="0087737C" w:rsidP="0087737C">
      <w:pPr>
        <w:jc w:val="both"/>
        <w:rPr>
          <w:rFonts w:asciiTheme="majorHAnsi" w:hAnsiTheme="majorHAnsi"/>
          <w:sz w:val="22"/>
          <w:szCs w:val="22"/>
        </w:rPr>
      </w:pPr>
      <w:r w:rsidRPr="00383EBF">
        <w:rPr>
          <w:rFonts w:asciiTheme="majorHAnsi" w:hAnsiTheme="majorHAnsi"/>
          <w:sz w:val="22"/>
          <w:szCs w:val="22"/>
        </w:rPr>
        <w:t>The Project’s long term Goal is:</w:t>
      </w:r>
      <w:r w:rsidRPr="00383EBF">
        <w:rPr>
          <w:rFonts w:asciiTheme="majorHAnsi" w:hAnsiTheme="majorHAnsi"/>
          <w:sz w:val="22"/>
          <w:szCs w:val="22"/>
        </w:rPr>
        <w:tab/>
        <w:t>‘</w:t>
      </w:r>
      <w:r w:rsidRPr="00383EBF">
        <w:rPr>
          <w:rFonts w:asciiTheme="majorHAnsi" w:hAnsiTheme="majorHAnsi"/>
          <w:i/>
          <w:sz w:val="22"/>
          <w:szCs w:val="22"/>
        </w:rPr>
        <w:t>To strengthen Transboundary Waters Management (TWM) by facilitating portfolio learning and information management amongst GEF IW projects and partners’</w:t>
      </w:r>
      <w:r w:rsidRPr="00383EBF">
        <w:rPr>
          <w:rFonts w:asciiTheme="majorHAnsi" w:hAnsiTheme="majorHAnsi"/>
          <w:sz w:val="22"/>
          <w:szCs w:val="22"/>
        </w:rPr>
        <w:t xml:space="preserve"> </w:t>
      </w:r>
    </w:p>
    <w:p w14:paraId="548ACFA7" w14:textId="77777777" w:rsidR="0087737C" w:rsidRPr="00383EBF" w:rsidRDefault="0087737C" w:rsidP="0087737C">
      <w:pPr>
        <w:jc w:val="both"/>
        <w:rPr>
          <w:rFonts w:asciiTheme="majorHAnsi" w:hAnsiTheme="majorHAnsi"/>
          <w:sz w:val="22"/>
          <w:szCs w:val="22"/>
        </w:rPr>
      </w:pPr>
    </w:p>
    <w:p w14:paraId="6C4D13E1" w14:textId="77777777" w:rsidR="0087737C" w:rsidRPr="00383EBF" w:rsidRDefault="0087737C" w:rsidP="0087737C">
      <w:pPr>
        <w:jc w:val="both"/>
        <w:rPr>
          <w:rFonts w:asciiTheme="majorHAnsi" w:hAnsiTheme="majorHAnsi"/>
          <w:i/>
          <w:sz w:val="22"/>
          <w:szCs w:val="22"/>
        </w:rPr>
      </w:pPr>
      <w:r w:rsidRPr="00383EBF">
        <w:rPr>
          <w:rFonts w:asciiTheme="majorHAnsi" w:hAnsiTheme="majorHAnsi"/>
          <w:sz w:val="22"/>
          <w:szCs w:val="22"/>
        </w:rPr>
        <w:t xml:space="preserve">While the immediate Objective </w:t>
      </w:r>
      <w:proofErr w:type="gramStart"/>
      <w:r w:rsidRPr="00383EBF">
        <w:rPr>
          <w:rFonts w:asciiTheme="majorHAnsi" w:hAnsiTheme="majorHAnsi"/>
          <w:sz w:val="22"/>
          <w:szCs w:val="22"/>
        </w:rPr>
        <w:t>is :</w:t>
      </w:r>
      <w:proofErr w:type="gramEnd"/>
      <w:r w:rsidRPr="00383EBF">
        <w:rPr>
          <w:rFonts w:asciiTheme="majorHAnsi" w:hAnsiTheme="majorHAnsi"/>
          <w:sz w:val="22"/>
          <w:szCs w:val="22"/>
        </w:rPr>
        <w:t xml:space="preserve"> ‘</w:t>
      </w:r>
      <w:r w:rsidRPr="00383EBF">
        <w:rPr>
          <w:rFonts w:asciiTheme="majorHAnsi" w:hAnsiTheme="majorHAnsi"/>
          <w:i/>
          <w:sz w:val="22"/>
          <w:szCs w:val="22"/>
        </w:rPr>
        <w:t>To strengthen global portfolio experience sharing and learning, dialogue facilitation, targeted knowledge sharing and replication in order to enhance the efficiency and effectiveness of GEF IW projects to deliver tangible results in partnership with other IW initiatives.’</w:t>
      </w:r>
    </w:p>
    <w:p w14:paraId="64009340" w14:textId="77777777" w:rsidR="0087737C" w:rsidRPr="00383EBF" w:rsidRDefault="0087737C" w:rsidP="0087737C">
      <w:pPr>
        <w:jc w:val="both"/>
        <w:rPr>
          <w:rFonts w:asciiTheme="majorHAnsi" w:hAnsiTheme="majorHAnsi"/>
          <w:sz w:val="22"/>
          <w:szCs w:val="22"/>
        </w:rPr>
      </w:pPr>
    </w:p>
    <w:p w14:paraId="051DE97A" w14:textId="6EC584EA" w:rsidR="0087737C" w:rsidRDefault="0087737C" w:rsidP="0087737C">
      <w:pPr>
        <w:jc w:val="both"/>
        <w:rPr>
          <w:rFonts w:asciiTheme="majorHAnsi" w:hAnsiTheme="majorHAnsi"/>
          <w:sz w:val="22"/>
          <w:szCs w:val="22"/>
        </w:rPr>
      </w:pPr>
      <w:r w:rsidRPr="00383EBF">
        <w:rPr>
          <w:rFonts w:asciiTheme="majorHAnsi" w:hAnsiTheme="majorHAnsi"/>
          <w:sz w:val="22"/>
          <w:szCs w:val="22"/>
        </w:rPr>
        <w:t xml:space="preserve">It is intended that the Objective will be achieved via the implementation of 5 interrelated substantive components together with supporting project management </w:t>
      </w:r>
      <w:r w:rsidR="008C4C25">
        <w:rPr>
          <w:rFonts w:asciiTheme="majorHAnsi" w:hAnsiTheme="majorHAnsi"/>
          <w:sz w:val="22"/>
          <w:szCs w:val="22"/>
        </w:rPr>
        <w:t>and M&amp;E activities. The 5 main C</w:t>
      </w:r>
      <w:r w:rsidRPr="00383EBF">
        <w:rPr>
          <w:rFonts w:asciiTheme="majorHAnsi" w:hAnsiTheme="majorHAnsi"/>
          <w:sz w:val="22"/>
          <w:szCs w:val="22"/>
        </w:rPr>
        <w:t>omponen</w:t>
      </w:r>
      <w:r w:rsidR="008C4C25">
        <w:rPr>
          <w:rFonts w:asciiTheme="majorHAnsi" w:hAnsiTheme="majorHAnsi"/>
          <w:sz w:val="22"/>
          <w:szCs w:val="22"/>
        </w:rPr>
        <w:t>ts are further divided into 15 S</w:t>
      </w:r>
      <w:r w:rsidRPr="00383EBF">
        <w:rPr>
          <w:rFonts w:asciiTheme="majorHAnsi" w:hAnsiTheme="majorHAnsi"/>
          <w:sz w:val="22"/>
          <w:szCs w:val="22"/>
        </w:rPr>
        <w:t>ub-com</w:t>
      </w:r>
      <w:r w:rsidR="008C4C25">
        <w:rPr>
          <w:rFonts w:asciiTheme="majorHAnsi" w:hAnsiTheme="majorHAnsi"/>
          <w:sz w:val="22"/>
          <w:szCs w:val="22"/>
        </w:rPr>
        <w:t>ponents designed to deliver 27 Outputs and 12 O</w:t>
      </w:r>
      <w:r w:rsidRPr="00383EBF">
        <w:rPr>
          <w:rFonts w:asciiTheme="majorHAnsi" w:hAnsiTheme="majorHAnsi"/>
          <w:sz w:val="22"/>
          <w:szCs w:val="22"/>
        </w:rPr>
        <w:t>utcomes.</w:t>
      </w:r>
      <w:r>
        <w:rPr>
          <w:rFonts w:asciiTheme="majorHAnsi" w:hAnsiTheme="majorHAnsi"/>
          <w:sz w:val="22"/>
          <w:szCs w:val="22"/>
        </w:rPr>
        <w:t xml:space="preserve">  </w:t>
      </w:r>
    </w:p>
    <w:p w14:paraId="23208178" w14:textId="77777777" w:rsidR="0087737C" w:rsidRPr="0087737C" w:rsidRDefault="0087737C" w:rsidP="0087737C"/>
    <w:p w14:paraId="37A16B68" w14:textId="46A24CD2" w:rsidR="006C543C" w:rsidRPr="006C543C" w:rsidRDefault="004053C0" w:rsidP="006C543C">
      <w:pPr>
        <w:pStyle w:val="Heading2"/>
        <w:numPr>
          <w:ilvl w:val="0"/>
          <w:numId w:val="0"/>
        </w:numPr>
      </w:pPr>
      <w:bookmarkStart w:id="8" w:name="_Toc222479127"/>
      <w:r>
        <w:t>Context and purpose of evaluation</w:t>
      </w:r>
      <w:bookmarkEnd w:id="8"/>
      <w:r>
        <w:t xml:space="preserve"> </w:t>
      </w:r>
    </w:p>
    <w:p w14:paraId="0E13D633" w14:textId="58C012F2" w:rsidR="00917EC4" w:rsidRPr="000F050A" w:rsidRDefault="00917EC4" w:rsidP="00917EC4">
      <w:pPr>
        <w:jc w:val="both"/>
        <w:rPr>
          <w:rFonts w:asciiTheme="majorHAnsi" w:hAnsiTheme="majorHAnsi"/>
          <w:b/>
          <w:sz w:val="22"/>
          <w:szCs w:val="22"/>
        </w:rPr>
      </w:pPr>
      <w:r w:rsidRPr="000F050A">
        <w:rPr>
          <w:rFonts w:asciiTheme="majorHAnsi" w:hAnsiTheme="majorHAnsi"/>
          <w:sz w:val="22"/>
          <w:szCs w:val="22"/>
        </w:rPr>
        <w:t>This Mid-Term Evaluation</w:t>
      </w:r>
      <w:r w:rsidR="0093191B">
        <w:rPr>
          <w:rFonts w:asciiTheme="majorHAnsi" w:hAnsiTheme="majorHAnsi"/>
          <w:sz w:val="22"/>
          <w:szCs w:val="22"/>
        </w:rPr>
        <w:t xml:space="preserve"> (MTE)</w:t>
      </w:r>
      <w:r w:rsidRPr="000F050A">
        <w:rPr>
          <w:rFonts w:asciiTheme="majorHAnsi" w:hAnsiTheme="majorHAnsi"/>
          <w:sz w:val="22"/>
          <w:szCs w:val="22"/>
        </w:rPr>
        <w:t xml:space="preserve"> has been undertaken in accordance with the Terms of Reference (ToR) presented in </w:t>
      </w:r>
      <w:r w:rsidRPr="00F42899">
        <w:rPr>
          <w:rFonts w:asciiTheme="majorHAnsi" w:hAnsiTheme="majorHAnsi"/>
          <w:sz w:val="22"/>
          <w:szCs w:val="22"/>
        </w:rPr>
        <w:t>Annex</w:t>
      </w:r>
      <w:r w:rsidRPr="000F050A">
        <w:rPr>
          <w:rFonts w:asciiTheme="majorHAnsi" w:hAnsiTheme="majorHAnsi"/>
          <w:sz w:val="22"/>
          <w:szCs w:val="22"/>
        </w:rPr>
        <w:t xml:space="preserve"> 1 of this report and the project M&amp;E plan. The evaluation process began in late December 2012 23 months into the planned </w:t>
      </w:r>
      <w:proofErr w:type="gramStart"/>
      <w:r w:rsidRPr="000F050A">
        <w:rPr>
          <w:rFonts w:asciiTheme="majorHAnsi" w:hAnsiTheme="majorHAnsi"/>
          <w:sz w:val="22"/>
          <w:szCs w:val="22"/>
        </w:rPr>
        <w:t>43 month</w:t>
      </w:r>
      <w:proofErr w:type="gramEnd"/>
      <w:r w:rsidRPr="000F050A">
        <w:rPr>
          <w:rFonts w:asciiTheme="majorHAnsi" w:hAnsiTheme="majorHAnsi"/>
          <w:sz w:val="22"/>
          <w:szCs w:val="22"/>
        </w:rPr>
        <w:t xml:space="preserve"> implementation period ie slightly over the half way period. The evaluation is primarily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w:t>
      </w:r>
    </w:p>
    <w:p w14:paraId="07C62816" w14:textId="77777777" w:rsidR="00917EC4" w:rsidRDefault="00917EC4" w:rsidP="00917EC4"/>
    <w:p w14:paraId="650DA592" w14:textId="564AD653" w:rsidR="00917EC4" w:rsidRDefault="00917EC4" w:rsidP="00917EC4">
      <w:pPr>
        <w:jc w:val="both"/>
        <w:rPr>
          <w:rFonts w:asciiTheme="majorHAnsi" w:hAnsiTheme="majorHAnsi"/>
          <w:sz w:val="22"/>
          <w:szCs w:val="22"/>
          <w:lang w:eastAsia="ru-RU"/>
        </w:rPr>
      </w:pPr>
      <w:r w:rsidRPr="00857D45">
        <w:rPr>
          <w:rFonts w:asciiTheme="majorHAnsi" w:hAnsiTheme="majorHAnsi"/>
          <w:sz w:val="22"/>
          <w:szCs w:val="22"/>
          <w:lang w:eastAsia="ru-RU"/>
        </w:rPr>
        <w:t>Owing to the global nature</w:t>
      </w:r>
      <w:r w:rsidR="008C4C25">
        <w:rPr>
          <w:rFonts w:asciiTheme="majorHAnsi" w:hAnsiTheme="majorHAnsi"/>
          <w:sz w:val="22"/>
          <w:szCs w:val="22"/>
          <w:lang w:eastAsia="ru-RU"/>
        </w:rPr>
        <w:t xml:space="preserve"> of the project the evaluation </w:t>
      </w:r>
      <w:r w:rsidRPr="00857D45">
        <w:rPr>
          <w:rFonts w:asciiTheme="majorHAnsi" w:hAnsiTheme="majorHAnsi"/>
          <w:sz w:val="22"/>
          <w:szCs w:val="22"/>
          <w:lang w:eastAsia="ru-RU"/>
        </w:rPr>
        <w:t>was conducted by me</w:t>
      </w:r>
      <w:r>
        <w:rPr>
          <w:rFonts w:asciiTheme="majorHAnsi" w:hAnsiTheme="majorHAnsi"/>
          <w:sz w:val="22"/>
          <w:szCs w:val="22"/>
          <w:lang w:eastAsia="ru-RU"/>
        </w:rPr>
        <w:t xml:space="preserve">ans of a detailed questionnaire (Annex 2) </w:t>
      </w:r>
      <w:r w:rsidRPr="00857D45">
        <w:rPr>
          <w:rFonts w:asciiTheme="majorHAnsi" w:hAnsiTheme="majorHAnsi"/>
          <w:sz w:val="22"/>
          <w:szCs w:val="22"/>
          <w:lang w:eastAsia="ru-RU"/>
        </w:rPr>
        <w:t xml:space="preserve">sent to </w:t>
      </w:r>
      <w:r w:rsidR="00E86C9A">
        <w:rPr>
          <w:rFonts w:asciiTheme="majorHAnsi" w:hAnsiTheme="majorHAnsi"/>
          <w:sz w:val="22"/>
          <w:szCs w:val="22"/>
          <w:lang w:eastAsia="ru-RU"/>
        </w:rPr>
        <w:t>166</w:t>
      </w:r>
      <w:r w:rsidR="008C4C25">
        <w:rPr>
          <w:rFonts w:asciiTheme="majorHAnsi" w:hAnsiTheme="majorHAnsi"/>
          <w:sz w:val="22"/>
          <w:szCs w:val="22"/>
          <w:lang w:eastAsia="ru-RU"/>
        </w:rPr>
        <w:t xml:space="preserve"> individual</w:t>
      </w:r>
      <w:r w:rsidRPr="00857D45">
        <w:rPr>
          <w:rFonts w:asciiTheme="majorHAnsi" w:hAnsiTheme="majorHAnsi"/>
          <w:sz w:val="22"/>
          <w:szCs w:val="22"/>
          <w:lang w:eastAsia="ru-RU"/>
        </w:rPr>
        <w:t xml:space="preserve"> stakeholders, including</w:t>
      </w:r>
      <w:r w:rsidR="008C4C25">
        <w:rPr>
          <w:rFonts w:asciiTheme="majorHAnsi" w:hAnsiTheme="majorHAnsi"/>
          <w:sz w:val="22"/>
          <w:szCs w:val="22"/>
          <w:lang w:eastAsia="ru-RU"/>
        </w:rPr>
        <w:t xml:space="preserve"> relevant personnel at</w:t>
      </w:r>
      <w:r w:rsidRPr="00857D45">
        <w:rPr>
          <w:rFonts w:asciiTheme="majorHAnsi" w:hAnsiTheme="majorHAnsi"/>
          <w:sz w:val="22"/>
          <w:szCs w:val="22"/>
          <w:lang w:eastAsia="ru-RU"/>
        </w:rPr>
        <w:t xml:space="preserve"> GEF, Implementing Agencies, Executing Agencies, partner agencies, beneficiary project managers and the P</w:t>
      </w:r>
      <w:r w:rsidR="0093191B">
        <w:rPr>
          <w:rFonts w:asciiTheme="majorHAnsi" w:hAnsiTheme="majorHAnsi"/>
          <w:sz w:val="22"/>
          <w:szCs w:val="22"/>
          <w:lang w:eastAsia="ru-RU"/>
        </w:rPr>
        <w:t>roject Coordination Unit (P</w:t>
      </w:r>
      <w:r w:rsidRPr="00857D45">
        <w:rPr>
          <w:rFonts w:asciiTheme="majorHAnsi" w:hAnsiTheme="majorHAnsi"/>
          <w:sz w:val="22"/>
          <w:szCs w:val="22"/>
          <w:lang w:eastAsia="ru-RU"/>
        </w:rPr>
        <w:t>CU</w:t>
      </w:r>
      <w:r w:rsidR="0093191B">
        <w:rPr>
          <w:rFonts w:asciiTheme="majorHAnsi" w:hAnsiTheme="majorHAnsi"/>
          <w:sz w:val="22"/>
          <w:szCs w:val="22"/>
          <w:lang w:eastAsia="ru-RU"/>
        </w:rPr>
        <w:t>)</w:t>
      </w:r>
      <w:proofErr w:type="gramStart"/>
      <w:r w:rsidRPr="00857D45">
        <w:rPr>
          <w:rFonts w:asciiTheme="majorHAnsi" w:hAnsiTheme="majorHAnsi"/>
          <w:sz w:val="22"/>
          <w:szCs w:val="22"/>
          <w:lang w:eastAsia="ru-RU"/>
        </w:rPr>
        <w:t>,  prepared</w:t>
      </w:r>
      <w:proofErr w:type="gramEnd"/>
      <w:r w:rsidRPr="00857D45">
        <w:rPr>
          <w:rFonts w:asciiTheme="majorHAnsi" w:hAnsiTheme="majorHAnsi"/>
          <w:sz w:val="22"/>
          <w:szCs w:val="22"/>
          <w:lang w:eastAsia="ru-RU"/>
        </w:rPr>
        <w:t xml:space="preserve"> with the aid of the project PCU.</w:t>
      </w:r>
      <w:r w:rsidR="00E86C9A">
        <w:rPr>
          <w:rFonts w:asciiTheme="majorHAnsi" w:hAnsiTheme="majorHAnsi"/>
          <w:sz w:val="22"/>
          <w:szCs w:val="22"/>
          <w:lang w:eastAsia="ru-RU"/>
        </w:rPr>
        <w:t xml:space="preserve">  The response was poor with only 19 respondents</w:t>
      </w:r>
      <w:r w:rsidR="0093191B">
        <w:rPr>
          <w:rFonts w:asciiTheme="majorHAnsi" w:hAnsiTheme="majorHAnsi"/>
          <w:sz w:val="22"/>
          <w:szCs w:val="22"/>
          <w:lang w:eastAsia="ru-RU"/>
        </w:rPr>
        <w:t xml:space="preserve"> </w:t>
      </w:r>
      <w:r w:rsidR="000A21A3">
        <w:rPr>
          <w:rFonts w:asciiTheme="majorHAnsi" w:hAnsiTheme="majorHAnsi"/>
          <w:sz w:val="22"/>
          <w:szCs w:val="22"/>
          <w:lang w:eastAsia="ru-RU"/>
        </w:rPr>
        <w:t>in spite of two follow up messages</w:t>
      </w:r>
      <w:r w:rsidR="00E86C9A">
        <w:rPr>
          <w:rFonts w:asciiTheme="majorHAnsi" w:hAnsiTheme="majorHAnsi"/>
          <w:sz w:val="22"/>
          <w:szCs w:val="22"/>
          <w:lang w:eastAsia="ru-RU"/>
        </w:rPr>
        <w:t xml:space="preserve">. </w:t>
      </w:r>
      <w:r w:rsidRPr="00857D45">
        <w:rPr>
          <w:rFonts w:asciiTheme="majorHAnsi" w:hAnsiTheme="majorHAnsi"/>
          <w:sz w:val="22"/>
          <w:szCs w:val="22"/>
          <w:lang w:eastAsia="ru-RU"/>
        </w:rPr>
        <w:t xml:space="preserve"> A sub-set of these (</w:t>
      </w:r>
      <w:r>
        <w:rPr>
          <w:rFonts w:asciiTheme="majorHAnsi" w:hAnsiTheme="majorHAnsi"/>
          <w:sz w:val="22"/>
          <w:szCs w:val="22"/>
          <w:lang w:eastAsia="ru-RU"/>
        </w:rPr>
        <w:t>55)</w:t>
      </w:r>
      <w:r w:rsidRPr="00857D45">
        <w:rPr>
          <w:rFonts w:asciiTheme="majorHAnsi" w:hAnsiTheme="majorHAnsi"/>
          <w:sz w:val="22"/>
          <w:szCs w:val="22"/>
          <w:lang w:eastAsia="ru-RU"/>
        </w:rPr>
        <w:t xml:space="preserve"> </w:t>
      </w:r>
      <w:proofErr w:type="gramStart"/>
      <w:r w:rsidRPr="00857D45">
        <w:rPr>
          <w:rFonts w:asciiTheme="majorHAnsi" w:hAnsiTheme="majorHAnsi"/>
          <w:sz w:val="22"/>
          <w:szCs w:val="22"/>
          <w:lang w:eastAsia="ru-RU"/>
        </w:rPr>
        <w:t>were</w:t>
      </w:r>
      <w:proofErr w:type="gramEnd"/>
      <w:r w:rsidRPr="00857D45">
        <w:rPr>
          <w:rFonts w:asciiTheme="majorHAnsi" w:hAnsiTheme="majorHAnsi"/>
          <w:sz w:val="22"/>
          <w:szCs w:val="22"/>
          <w:lang w:eastAsia="ru-RU"/>
        </w:rPr>
        <w:t xml:space="preserve"> invited to discuss the project in person with the evaluator via Skype</w:t>
      </w:r>
      <w:r>
        <w:rPr>
          <w:rFonts w:asciiTheme="majorHAnsi" w:hAnsiTheme="majorHAnsi"/>
          <w:sz w:val="22"/>
          <w:szCs w:val="22"/>
          <w:lang w:eastAsia="ru-RU"/>
        </w:rPr>
        <w:t xml:space="preserve"> a total of 13 accepted</w:t>
      </w:r>
      <w:r w:rsidRPr="00857D45">
        <w:rPr>
          <w:rFonts w:asciiTheme="majorHAnsi" w:hAnsiTheme="majorHAnsi"/>
          <w:sz w:val="22"/>
          <w:szCs w:val="22"/>
          <w:lang w:eastAsia="ru-RU"/>
        </w:rPr>
        <w:t xml:space="preserve">. In addition a one question mini survey was sent to </w:t>
      </w:r>
      <w:r w:rsidR="00E86C9A">
        <w:rPr>
          <w:rFonts w:asciiTheme="majorHAnsi" w:hAnsiTheme="majorHAnsi"/>
          <w:sz w:val="22"/>
          <w:szCs w:val="22"/>
          <w:lang w:eastAsia="ru-RU"/>
        </w:rPr>
        <w:t xml:space="preserve">the same set of stakeholders as the first questionnaire </w:t>
      </w:r>
      <w:r w:rsidRPr="00857D45">
        <w:rPr>
          <w:rFonts w:asciiTheme="majorHAnsi" w:hAnsiTheme="majorHAnsi"/>
          <w:sz w:val="22"/>
          <w:szCs w:val="22"/>
          <w:lang w:eastAsia="ru-RU"/>
        </w:rPr>
        <w:t xml:space="preserve">to obtain a little more information </w:t>
      </w:r>
      <w:r>
        <w:rPr>
          <w:rFonts w:asciiTheme="majorHAnsi" w:hAnsiTheme="majorHAnsi"/>
          <w:sz w:val="22"/>
          <w:szCs w:val="22"/>
          <w:lang w:eastAsia="ru-RU"/>
        </w:rPr>
        <w:t xml:space="preserve">regarding the Communities of Practice, </w:t>
      </w:r>
      <w:r w:rsidR="00E86C9A">
        <w:rPr>
          <w:rFonts w:asciiTheme="majorHAnsi" w:hAnsiTheme="majorHAnsi"/>
          <w:sz w:val="22"/>
          <w:szCs w:val="22"/>
          <w:lang w:eastAsia="ru-RU"/>
        </w:rPr>
        <w:t xml:space="preserve">9 people </w:t>
      </w:r>
      <w:r>
        <w:rPr>
          <w:rFonts w:asciiTheme="majorHAnsi" w:hAnsiTheme="majorHAnsi"/>
          <w:sz w:val="22"/>
          <w:szCs w:val="22"/>
          <w:lang w:eastAsia="ru-RU"/>
        </w:rPr>
        <w:t xml:space="preserve">responded. </w:t>
      </w:r>
    </w:p>
    <w:p w14:paraId="549EA430" w14:textId="77777777" w:rsidR="00917EC4" w:rsidRDefault="00917EC4" w:rsidP="00917EC4"/>
    <w:p w14:paraId="24702105" w14:textId="7E0D2136" w:rsidR="00917EC4" w:rsidRPr="00857D45" w:rsidRDefault="00917EC4" w:rsidP="00917EC4">
      <w:pPr>
        <w:jc w:val="both"/>
        <w:rPr>
          <w:rFonts w:asciiTheme="majorHAnsi" w:hAnsiTheme="majorHAnsi"/>
          <w:sz w:val="22"/>
          <w:szCs w:val="22"/>
          <w:lang w:eastAsia="ru-RU"/>
        </w:rPr>
      </w:pPr>
      <w:r w:rsidRPr="00857D45">
        <w:rPr>
          <w:rFonts w:asciiTheme="majorHAnsi" w:hAnsiTheme="majorHAnsi"/>
          <w:sz w:val="22"/>
          <w:szCs w:val="22"/>
          <w:lang w:eastAsia="ru-RU"/>
        </w:rPr>
        <w:t xml:space="preserve">An integral element of the evaluation process was the participation of the evaluator at the Project Steering Committee </w:t>
      </w:r>
      <w:r w:rsidR="0093191B">
        <w:rPr>
          <w:rFonts w:asciiTheme="majorHAnsi" w:hAnsiTheme="majorHAnsi"/>
          <w:sz w:val="22"/>
          <w:szCs w:val="22"/>
          <w:lang w:eastAsia="ru-RU"/>
        </w:rPr>
        <w:t>M</w:t>
      </w:r>
      <w:r w:rsidRPr="00857D45">
        <w:rPr>
          <w:rFonts w:asciiTheme="majorHAnsi" w:hAnsiTheme="majorHAnsi"/>
          <w:sz w:val="22"/>
          <w:szCs w:val="22"/>
          <w:lang w:eastAsia="ru-RU"/>
        </w:rPr>
        <w:t xml:space="preserve">eeting </w:t>
      </w:r>
      <w:r w:rsidR="0093191B">
        <w:rPr>
          <w:rFonts w:asciiTheme="majorHAnsi" w:hAnsiTheme="majorHAnsi"/>
          <w:sz w:val="22"/>
          <w:szCs w:val="22"/>
          <w:lang w:eastAsia="ru-RU"/>
        </w:rPr>
        <w:t xml:space="preserve">(SCM) </w:t>
      </w:r>
      <w:r w:rsidRPr="00857D45">
        <w:rPr>
          <w:rFonts w:asciiTheme="majorHAnsi" w:hAnsiTheme="majorHAnsi"/>
          <w:sz w:val="22"/>
          <w:szCs w:val="22"/>
          <w:lang w:eastAsia="ru-RU"/>
        </w:rPr>
        <w:t xml:space="preserve">held in Switzerland in January 2013, where the project progress and implementation challenges were discussed at length.  The minutes of the meeting are given in </w:t>
      </w:r>
      <w:r w:rsidRPr="00F42899">
        <w:rPr>
          <w:rFonts w:asciiTheme="majorHAnsi" w:hAnsiTheme="majorHAnsi"/>
          <w:sz w:val="22"/>
          <w:szCs w:val="22"/>
          <w:lang w:eastAsia="ru-RU"/>
        </w:rPr>
        <w:t>Annex 3 of t</w:t>
      </w:r>
      <w:r w:rsidRPr="00857D45">
        <w:rPr>
          <w:rFonts w:asciiTheme="majorHAnsi" w:hAnsiTheme="majorHAnsi"/>
          <w:sz w:val="22"/>
          <w:szCs w:val="22"/>
          <w:lang w:eastAsia="ru-RU"/>
        </w:rPr>
        <w:t xml:space="preserve">his report. </w:t>
      </w:r>
      <w:r>
        <w:rPr>
          <w:rFonts w:asciiTheme="majorHAnsi" w:hAnsiTheme="majorHAnsi"/>
          <w:sz w:val="22"/>
          <w:szCs w:val="22"/>
          <w:lang w:eastAsia="ru-RU"/>
        </w:rPr>
        <w:t>The SCM also gave the MTE the opportunity to augment the Skype inte</w:t>
      </w:r>
      <w:r w:rsidR="000A21A3">
        <w:rPr>
          <w:rFonts w:asciiTheme="majorHAnsi" w:hAnsiTheme="majorHAnsi"/>
          <w:sz w:val="22"/>
          <w:szCs w:val="22"/>
          <w:lang w:eastAsia="ru-RU"/>
        </w:rPr>
        <w:t>rviews mentioned above with one-on-one interviews with</w:t>
      </w:r>
      <w:r>
        <w:rPr>
          <w:rFonts w:asciiTheme="majorHAnsi" w:hAnsiTheme="majorHAnsi"/>
          <w:sz w:val="22"/>
          <w:szCs w:val="22"/>
          <w:lang w:eastAsia="ru-RU"/>
        </w:rPr>
        <w:t xml:space="preserve"> additional </w:t>
      </w:r>
      <w:r w:rsidR="0093191B">
        <w:rPr>
          <w:rFonts w:asciiTheme="majorHAnsi" w:hAnsiTheme="majorHAnsi"/>
          <w:sz w:val="22"/>
          <w:szCs w:val="22"/>
          <w:lang w:eastAsia="ru-RU"/>
        </w:rPr>
        <w:t>P</w:t>
      </w:r>
      <w:r>
        <w:rPr>
          <w:rFonts w:asciiTheme="majorHAnsi" w:hAnsiTheme="majorHAnsi"/>
          <w:sz w:val="22"/>
          <w:szCs w:val="22"/>
          <w:lang w:eastAsia="ru-RU"/>
        </w:rPr>
        <w:t xml:space="preserve">SC members. </w:t>
      </w:r>
    </w:p>
    <w:p w14:paraId="2431C570" w14:textId="77777777" w:rsidR="00917EC4" w:rsidRPr="00917EC4" w:rsidRDefault="00917EC4" w:rsidP="00917EC4"/>
    <w:p w14:paraId="7CAF93A8" w14:textId="5CE4E304" w:rsidR="00917EC4" w:rsidRDefault="004053C0" w:rsidP="00E86C9A">
      <w:pPr>
        <w:pStyle w:val="Heading2"/>
        <w:numPr>
          <w:ilvl w:val="0"/>
          <w:numId w:val="0"/>
        </w:numPr>
      </w:pPr>
      <w:bookmarkStart w:id="9" w:name="_Toc222479128"/>
      <w:r>
        <w:t>Main conclusions, recommendations and lessons learned</w:t>
      </w:r>
      <w:bookmarkEnd w:id="9"/>
      <w:r>
        <w:t xml:space="preserve"> </w:t>
      </w:r>
    </w:p>
    <w:p w14:paraId="7BDFA495" w14:textId="7DFEF727" w:rsidR="00917EC4" w:rsidRPr="007F7CD8" w:rsidRDefault="00917EC4" w:rsidP="00917EC4">
      <w:pPr>
        <w:jc w:val="both"/>
        <w:rPr>
          <w:rFonts w:asciiTheme="majorHAnsi" w:hAnsiTheme="majorHAnsi"/>
          <w:sz w:val="22"/>
          <w:szCs w:val="22"/>
        </w:rPr>
      </w:pPr>
      <w:r w:rsidRPr="007F7CD8">
        <w:rPr>
          <w:rFonts w:asciiTheme="majorHAnsi" w:hAnsiTheme="majorHAnsi"/>
          <w:sz w:val="22"/>
          <w:szCs w:val="22"/>
        </w:rPr>
        <w:t>The following Table provides a comprehensive summary of the MTE assessments and ratings assigned throughout this report</w:t>
      </w:r>
      <w:r>
        <w:rPr>
          <w:rFonts w:asciiTheme="majorHAnsi" w:hAnsiTheme="majorHAnsi"/>
          <w:sz w:val="22"/>
          <w:szCs w:val="22"/>
        </w:rPr>
        <w:t xml:space="preserve">. </w:t>
      </w:r>
      <w:r w:rsidRPr="007F7CD8">
        <w:rPr>
          <w:rFonts w:asciiTheme="majorHAnsi" w:hAnsiTheme="majorHAnsi"/>
          <w:sz w:val="22"/>
          <w:szCs w:val="22"/>
        </w:rPr>
        <w:t xml:space="preserve"> </w:t>
      </w:r>
    </w:p>
    <w:p w14:paraId="395C8D60" w14:textId="77777777" w:rsidR="00917EC4" w:rsidRDefault="00917EC4" w:rsidP="002C2AE9"/>
    <w:p w14:paraId="2EA87F9B" w14:textId="08AA7845" w:rsidR="00917EC4" w:rsidRDefault="003419D8" w:rsidP="002C2AE9">
      <w:pPr>
        <w:rPr>
          <w:b/>
        </w:rPr>
      </w:pPr>
      <w:r>
        <w:rPr>
          <w:b/>
        </w:rPr>
        <w:t>Mid-Term Evaluation</w:t>
      </w:r>
      <w:r w:rsidRPr="007D1C06">
        <w:rPr>
          <w:b/>
        </w:rPr>
        <w:t xml:space="preserve"> Ratings</w:t>
      </w:r>
    </w:p>
    <w:p w14:paraId="42E68C59" w14:textId="77777777" w:rsidR="003419D8" w:rsidRDefault="003419D8" w:rsidP="002C2AE9">
      <w:pPr>
        <w:rPr>
          <w:b/>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28"/>
        <w:gridCol w:w="1426"/>
      </w:tblGrid>
      <w:tr w:rsidR="00E86C9A" w:rsidRPr="007D1C06" w14:paraId="6372EDA4" w14:textId="77777777" w:rsidTr="003419D8">
        <w:trPr>
          <w:trHeight w:val="743"/>
          <w:tblHeader/>
        </w:trPr>
        <w:tc>
          <w:tcPr>
            <w:tcW w:w="2376" w:type="dxa"/>
            <w:tcBorders>
              <w:bottom w:val="single" w:sz="4" w:space="0" w:color="auto"/>
            </w:tcBorders>
            <w:shd w:val="clear" w:color="auto" w:fill="CCFFFF"/>
            <w:vAlign w:val="center"/>
          </w:tcPr>
          <w:p w14:paraId="047903CB" w14:textId="2AA7B7C0" w:rsidR="00E86C9A" w:rsidRPr="007D1C06" w:rsidRDefault="00E86C9A" w:rsidP="003419D8">
            <w:pPr>
              <w:pStyle w:val="PlainText"/>
              <w:ind w:left="180"/>
              <w:jc w:val="center"/>
              <w:rPr>
                <w:rFonts w:ascii="Calibri" w:hAnsi="Calibri" w:cs="Arial"/>
                <w:b/>
                <w:bCs/>
                <w:color w:val="000000"/>
              </w:rPr>
            </w:pPr>
            <w:r w:rsidRPr="007D1C06">
              <w:rPr>
                <w:rFonts w:ascii="Calibri" w:hAnsi="Calibri" w:cs="Arial"/>
                <w:b/>
                <w:bCs/>
                <w:color w:val="000000"/>
              </w:rPr>
              <w:t>Criterion</w:t>
            </w:r>
          </w:p>
        </w:tc>
        <w:tc>
          <w:tcPr>
            <w:tcW w:w="5528" w:type="dxa"/>
            <w:tcBorders>
              <w:bottom w:val="single" w:sz="4" w:space="0" w:color="auto"/>
            </w:tcBorders>
            <w:shd w:val="clear" w:color="auto" w:fill="CCFFFF"/>
            <w:vAlign w:val="center"/>
          </w:tcPr>
          <w:p w14:paraId="319336E6" w14:textId="0001E065" w:rsidR="00E86C9A" w:rsidRPr="007D1C06" w:rsidRDefault="00E86C9A" w:rsidP="003419D8">
            <w:pPr>
              <w:pStyle w:val="BodyText2"/>
              <w:tabs>
                <w:tab w:val="num" w:pos="1440"/>
              </w:tabs>
              <w:spacing w:after="60"/>
              <w:ind w:right="170"/>
              <w:jc w:val="center"/>
              <w:rPr>
                <w:rFonts w:ascii="Calibri" w:hAnsi="Calibri" w:cs="Arial"/>
                <w:color w:val="000000"/>
                <w:sz w:val="20"/>
                <w:szCs w:val="20"/>
              </w:rPr>
            </w:pPr>
            <w:r>
              <w:rPr>
                <w:rFonts w:ascii="Calibri" w:hAnsi="Calibri" w:cs="Arial"/>
                <w:color w:val="000000"/>
                <w:sz w:val="20"/>
                <w:szCs w:val="20"/>
              </w:rPr>
              <w:t>Evaluator’s</w:t>
            </w:r>
            <w:r w:rsidRPr="007D1C06">
              <w:rPr>
                <w:rFonts w:ascii="Calibri" w:hAnsi="Calibri" w:cs="Arial"/>
                <w:color w:val="000000"/>
                <w:sz w:val="20"/>
                <w:szCs w:val="20"/>
              </w:rPr>
              <w:t xml:space="preserve"> Summary Comments</w:t>
            </w:r>
          </w:p>
        </w:tc>
        <w:tc>
          <w:tcPr>
            <w:tcW w:w="1426" w:type="dxa"/>
            <w:tcBorders>
              <w:bottom w:val="single" w:sz="4" w:space="0" w:color="auto"/>
            </w:tcBorders>
            <w:shd w:val="clear" w:color="auto" w:fill="CCFFFF"/>
            <w:vAlign w:val="center"/>
          </w:tcPr>
          <w:p w14:paraId="77ADD936" w14:textId="173D7EC9" w:rsidR="00E86C9A" w:rsidRPr="007D1C06" w:rsidRDefault="00E86C9A" w:rsidP="003419D8">
            <w:pPr>
              <w:pStyle w:val="BodyText2"/>
              <w:tabs>
                <w:tab w:val="num" w:pos="1440"/>
              </w:tabs>
              <w:spacing w:after="60"/>
              <w:ind w:right="170"/>
              <w:jc w:val="center"/>
              <w:rPr>
                <w:rFonts w:ascii="Calibri" w:hAnsi="Calibri" w:cs="Arial"/>
                <w:color w:val="000000"/>
                <w:sz w:val="20"/>
                <w:szCs w:val="20"/>
              </w:rPr>
            </w:pPr>
            <w:r w:rsidRPr="007D1C06">
              <w:rPr>
                <w:rFonts w:ascii="Calibri" w:hAnsi="Calibri" w:cs="Arial"/>
                <w:color w:val="000000"/>
                <w:sz w:val="20"/>
                <w:szCs w:val="20"/>
              </w:rPr>
              <w:t>Reviewer’s Rating</w:t>
            </w:r>
          </w:p>
        </w:tc>
      </w:tr>
      <w:tr w:rsidR="00E86C9A" w:rsidRPr="007D1C06" w14:paraId="2245AA52" w14:textId="77777777" w:rsidTr="003419D8">
        <w:tc>
          <w:tcPr>
            <w:tcW w:w="2376" w:type="dxa"/>
            <w:shd w:val="clear" w:color="auto" w:fill="CCFFFF"/>
          </w:tcPr>
          <w:p w14:paraId="43519B49" w14:textId="7B3F3C48" w:rsidR="00E86C9A" w:rsidRPr="007D1C06" w:rsidRDefault="00E86C9A" w:rsidP="003419D8">
            <w:pPr>
              <w:pStyle w:val="PlainText"/>
              <w:rPr>
                <w:rFonts w:ascii="Calibri" w:hAnsi="Calibri" w:cs="Arial"/>
                <w:b/>
                <w:bCs/>
                <w:color w:val="000000"/>
              </w:rPr>
            </w:pPr>
            <w:r w:rsidRPr="007D1C06">
              <w:rPr>
                <w:rFonts w:ascii="Calibri" w:hAnsi="Calibri" w:cs="Arial"/>
                <w:b/>
                <w:bCs/>
                <w:color w:val="000000"/>
              </w:rPr>
              <w:t>Overall Rating</w:t>
            </w:r>
          </w:p>
        </w:tc>
        <w:tc>
          <w:tcPr>
            <w:tcW w:w="5528" w:type="dxa"/>
            <w:shd w:val="clear" w:color="auto" w:fill="CCFFFF"/>
          </w:tcPr>
          <w:p w14:paraId="2CBF0607" w14:textId="43F88A72" w:rsidR="00E86C9A" w:rsidRPr="007D1C06" w:rsidRDefault="00E86C9A" w:rsidP="003419D8">
            <w:pPr>
              <w:pStyle w:val="PlainText"/>
              <w:rPr>
                <w:rFonts w:ascii="Calibri" w:hAnsi="Calibri" w:cs="Arial"/>
                <w:bCs/>
                <w:color w:val="000000"/>
              </w:rPr>
            </w:pPr>
            <w:r>
              <w:rPr>
                <w:rFonts w:ascii="Calibri" w:hAnsi="Calibri" w:cs="Arial"/>
                <w:bCs/>
                <w:color w:val="000000"/>
              </w:rPr>
              <w:t xml:space="preserve">Overall the project is progressing well and although there are some shortcomings these are well within the capacity of the resources available to remedy well within the remaining time available. </w:t>
            </w:r>
          </w:p>
        </w:tc>
        <w:tc>
          <w:tcPr>
            <w:tcW w:w="1426" w:type="dxa"/>
            <w:shd w:val="clear" w:color="auto" w:fill="CCFFFF"/>
            <w:vAlign w:val="center"/>
          </w:tcPr>
          <w:p w14:paraId="37571176" w14:textId="3468BE8D"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470DFA21" w14:textId="77777777" w:rsidTr="003419D8">
        <w:trPr>
          <w:cantSplit/>
        </w:trPr>
        <w:tc>
          <w:tcPr>
            <w:tcW w:w="2376" w:type="dxa"/>
            <w:tcBorders>
              <w:bottom w:val="single" w:sz="4" w:space="0" w:color="auto"/>
            </w:tcBorders>
            <w:shd w:val="clear" w:color="auto" w:fill="F3F3F3"/>
          </w:tcPr>
          <w:p w14:paraId="1E605024" w14:textId="77777777" w:rsidR="00E86C9A" w:rsidRPr="007D1C06" w:rsidRDefault="00E86C9A" w:rsidP="00E86C9A">
            <w:pPr>
              <w:pStyle w:val="PlainText"/>
              <w:rPr>
                <w:rFonts w:ascii="Calibri" w:hAnsi="Calibri" w:cs="Arial"/>
                <w:b/>
                <w:bCs/>
                <w:color w:val="000000"/>
              </w:rPr>
            </w:pPr>
            <w:r w:rsidRPr="007D1C06">
              <w:rPr>
                <w:rFonts w:ascii="Calibri" w:hAnsi="Calibri" w:cs="Arial"/>
                <w:b/>
                <w:bCs/>
                <w:color w:val="000000"/>
              </w:rPr>
              <w:t>Attainment of project objectives and results (overall rating)</w:t>
            </w:r>
          </w:p>
          <w:p w14:paraId="4BA1D44B" w14:textId="6FEF2A0D" w:rsidR="00E86C9A" w:rsidRPr="007D1C06" w:rsidRDefault="00E86C9A" w:rsidP="003419D8">
            <w:pPr>
              <w:pStyle w:val="PlainText"/>
              <w:jc w:val="right"/>
              <w:rPr>
                <w:rFonts w:ascii="Calibri" w:hAnsi="Calibri" w:cs="Arial"/>
                <w:b/>
                <w:bCs/>
                <w:color w:val="000000"/>
              </w:rPr>
            </w:pPr>
            <w:r w:rsidRPr="007D1C06">
              <w:rPr>
                <w:rFonts w:ascii="Calibri" w:hAnsi="Calibri" w:cs="Arial"/>
                <w:b/>
                <w:bCs/>
                <w:color w:val="000000"/>
              </w:rPr>
              <w:t>Sub criteria (below)</w:t>
            </w:r>
          </w:p>
        </w:tc>
        <w:tc>
          <w:tcPr>
            <w:tcW w:w="5528" w:type="dxa"/>
            <w:tcBorders>
              <w:bottom w:val="single" w:sz="4" w:space="0" w:color="auto"/>
            </w:tcBorders>
            <w:shd w:val="clear" w:color="auto" w:fill="F3F3F3"/>
          </w:tcPr>
          <w:p w14:paraId="1A5A31B7" w14:textId="6EFE8054" w:rsidR="00E86C9A" w:rsidRPr="0092447D" w:rsidRDefault="00E86C9A" w:rsidP="003419D8">
            <w:pPr>
              <w:pStyle w:val="PlainText"/>
              <w:rPr>
                <w:rFonts w:ascii="Calibri" w:hAnsi="Calibri" w:cs="Arial"/>
                <w:bCs/>
              </w:rPr>
            </w:pPr>
            <w:r w:rsidRPr="00112EC2">
              <w:rPr>
                <w:rFonts w:asciiTheme="majorHAnsi" w:hAnsiTheme="majorHAnsi"/>
              </w:rPr>
              <w:t>Of the 12 sub-components the project has successfully initiated or completed all but two, namely 5c and 5e others are delayed but not critically so at this juncture.  Limited success with the online CoPs and continuing re-jigging of the ICT platforms are holding back the overall attainment of project objectives.</w:t>
            </w:r>
          </w:p>
        </w:tc>
        <w:tc>
          <w:tcPr>
            <w:tcW w:w="1426" w:type="dxa"/>
            <w:tcBorders>
              <w:bottom w:val="single" w:sz="4" w:space="0" w:color="auto"/>
            </w:tcBorders>
            <w:shd w:val="clear" w:color="auto" w:fill="F3F3F3"/>
            <w:vAlign w:val="center"/>
          </w:tcPr>
          <w:p w14:paraId="1132059C" w14:textId="7725B850"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15A26011" w14:textId="77777777" w:rsidTr="000A4F2F">
        <w:trPr>
          <w:cantSplit/>
        </w:trPr>
        <w:tc>
          <w:tcPr>
            <w:tcW w:w="2376" w:type="dxa"/>
            <w:shd w:val="clear" w:color="auto" w:fill="auto"/>
          </w:tcPr>
          <w:p w14:paraId="7E419043" w14:textId="2C54E3B9" w:rsidR="00E86C9A" w:rsidRPr="007D1C06" w:rsidRDefault="00E86C9A" w:rsidP="003419D8">
            <w:pPr>
              <w:pStyle w:val="PlainText"/>
              <w:spacing w:after="240"/>
              <w:jc w:val="right"/>
              <w:rPr>
                <w:rFonts w:ascii="Calibri" w:hAnsi="Calibri" w:cs="Arial"/>
                <w:bCs/>
                <w:color w:val="000000"/>
              </w:rPr>
            </w:pPr>
            <w:r w:rsidRPr="007D1C06">
              <w:rPr>
                <w:rFonts w:ascii="Calibri" w:hAnsi="Calibri" w:cs="Arial"/>
                <w:bCs/>
                <w:color w:val="000000"/>
              </w:rPr>
              <w:t>Achievement of outputs and activities</w:t>
            </w:r>
          </w:p>
        </w:tc>
        <w:tc>
          <w:tcPr>
            <w:tcW w:w="5528" w:type="dxa"/>
            <w:shd w:val="clear" w:color="auto" w:fill="auto"/>
          </w:tcPr>
          <w:p w14:paraId="53B9189A" w14:textId="77777777" w:rsidR="00E86C9A" w:rsidRDefault="00E86C9A" w:rsidP="00E86C9A">
            <w:pPr>
              <w:pStyle w:val="PlainText"/>
              <w:spacing w:after="240"/>
              <w:jc w:val="right"/>
              <w:rPr>
                <w:rFonts w:ascii="Calibri" w:hAnsi="Calibri" w:cs="Arial"/>
                <w:bCs/>
                <w:color w:val="000000"/>
              </w:rPr>
            </w:pPr>
          </w:p>
          <w:p w14:paraId="7EF1B511" w14:textId="77777777" w:rsidR="00E86C9A" w:rsidRDefault="00E86C9A" w:rsidP="00E86C9A">
            <w:pPr>
              <w:pStyle w:val="PlainText"/>
              <w:spacing w:after="240"/>
              <w:rPr>
                <w:rFonts w:ascii="Calibri" w:hAnsi="Calibri" w:cs="Arial"/>
                <w:bCs/>
                <w:color w:val="000000"/>
              </w:rPr>
            </w:pPr>
            <w:r w:rsidRPr="0092447D">
              <w:rPr>
                <w:rFonts w:ascii="Calibri" w:hAnsi="Calibri" w:cs="Arial"/>
                <w:b/>
                <w:bCs/>
                <w:color w:val="000000"/>
              </w:rPr>
              <w:t>Component 1:</w:t>
            </w:r>
            <w:r>
              <w:rPr>
                <w:rFonts w:ascii="Calibri" w:hAnsi="Calibri" w:cs="Arial"/>
                <w:b/>
                <w:bCs/>
                <w:color w:val="000000"/>
              </w:rPr>
              <w:t xml:space="preserve"> HS –</w:t>
            </w:r>
            <w:r>
              <w:rPr>
                <w:rFonts w:ascii="Calibri" w:hAnsi="Calibri" w:cs="Arial"/>
                <w:bCs/>
                <w:color w:val="000000"/>
              </w:rPr>
              <w:t xml:space="preserve"> </w:t>
            </w:r>
            <w:r>
              <w:rPr>
                <w:rFonts w:ascii="Calibri" w:hAnsi="Calibri"/>
              </w:rPr>
              <w:t>A</w:t>
            </w:r>
            <w:r w:rsidRPr="00DA0AD2">
              <w:rPr>
                <w:rFonts w:ascii="Calibri" w:hAnsi="Calibri"/>
              </w:rPr>
              <w:t xml:space="preserve"> number of well organised and attended events across the MENA and other targeted regions that have been organised.  Relevant and demand led capacity building has clearly been enhanced and it is likely that all planned outputs and activities will be achieved or indeed exceeded in some subcomponents.</w:t>
            </w:r>
            <w:r w:rsidRPr="0040711B">
              <w:rPr>
                <w:rFonts w:ascii="Calibri" w:hAnsi="Calibri"/>
                <w:sz w:val="22"/>
                <w:szCs w:val="22"/>
              </w:rPr>
              <w:t xml:space="preserve"> </w:t>
            </w:r>
            <w:r>
              <w:rPr>
                <w:rFonts w:ascii="Calibri" w:hAnsi="Calibri"/>
                <w:sz w:val="22"/>
                <w:szCs w:val="22"/>
              </w:rPr>
              <w:t xml:space="preserve"> </w:t>
            </w:r>
          </w:p>
          <w:p w14:paraId="19BC4750" w14:textId="71A96452" w:rsidR="00E86C9A" w:rsidRPr="00DA0AD2" w:rsidRDefault="00E86C9A" w:rsidP="00E86C9A">
            <w:pPr>
              <w:pStyle w:val="PlainText"/>
              <w:spacing w:after="240"/>
              <w:rPr>
                <w:rFonts w:asciiTheme="majorHAnsi" w:hAnsiTheme="majorHAnsi" w:cs="Arial"/>
                <w:b/>
                <w:bCs/>
                <w:color w:val="000000"/>
              </w:rPr>
            </w:pPr>
            <w:r w:rsidRPr="00DA0AD2">
              <w:rPr>
                <w:rFonts w:asciiTheme="majorHAnsi" w:hAnsiTheme="majorHAnsi" w:cs="Arial"/>
                <w:b/>
                <w:bCs/>
                <w:color w:val="000000"/>
              </w:rPr>
              <w:t>Component 2: MU –</w:t>
            </w:r>
            <w:r w:rsidRPr="00DA0AD2">
              <w:rPr>
                <w:rFonts w:asciiTheme="majorHAnsi" w:hAnsiTheme="majorHAnsi" w:cs="Arial"/>
              </w:rPr>
              <w:t xml:space="preserve"> </w:t>
            </w:r>
            <w:r w:rsidRPr="00DA0AD2">
              <w:rPr>
                <w:rFonts w:asciiTheme="majorHAnsi" w:hAnsiTheme="majorHAnsi"/>
              </w:rPr>
              <w:t xml:space="preserve">There were significant delays owing to technical issues in getting the community platforms ready on which the CoPs depend and it was then considered inadequate to some degree by both partners </w:t>
            </w:r>
            <w:r w:rsidRPr="00DA0AD2">
              <w:rPr>
                <w:rFonts w:asciiTheme="majorHAnsi" w:hAnsiTheme="majorHAnsi" w:cs="Arial"/>
              </w:rPr>
              <w:t>There has</w:t>
            </w:r>
            <w:proofErr w:type="gramStart"/>
            <w:r w:rsidRPr="00DA0AD2">
              <w:rPr>
                <w:rFonts w:asciiTheme="majorHAnsi" w:hAnsiTheme="majorHAnsi" w:cs="Arial"/>
              </w:rPr>
              <w:t>,  however</w:t>
            </w:r>
            <w:proofErr w:type="gramEnd"/>
            <w:r w:rsidRPr="00DA0AD2">
              <w:rPr>
                <w:rFonts w:asciiTheme="majorHAnsi" w:hAnsiTheme="majorHAnsi" w:cs="Arial"/>
              </w:rPr>
              <w:t>, undoubtedly been some success in building engagement outside the bound</w:t>
            </w:r>
            <w:r w:rsidR="0093191B">
              <w:rPr>
                <w:rFonts w:asciiTheme="majorHAnsi" w:hAnsiTheme="majorHAnsi" w:cs="Arial"/>
              </w:rPr>
              <w:t>s of the platforms through face-to-</w:t>
            </w:r>
            <w:r w:rsidRPr="00DA0AD2">
              <w:rPr>
                <w:rFonts w:asciiTheme="majorHAnsi" w:hAnsiTheme="majorHAnsi" w:cs="Arial"/>
              </w:rPr>
              <w:t>face activities.</w:t>
            </w:r>
          </w:p>
          <w:p w14:paraId="67087E89" w14:textId="77777777" w:rsidR="00E86C9A" w:rsidRDefault="00E86C9A" w:rsidP="00E86C9A">
            <w:pPr>
              <w:pStyle w:val="PlainText"/>
              <w:spacing w:after="240"/>
              <w:rPr>
                <w:rFonts w:ascii="Calibri" w:hAnsi="Calibri" w:cs="Arial"/>
                <w:bCs/>
                <w:color w:val="000000"/>
              </w:rPr>
            </w:pPr>
            <w:r>
              <w:rPr>
                <w:rFonts w:ascii="Calibri" w:hAnsi="Calibri" w:cs="Arial"/>
                <w:b/>
                <w:bCs/>
                <w:color w:val="000000"/>
              </w:rPr>
              <w:t>Component 3: S</w:t>
            </w:r>
            <w:r w:rsidRPr="00462790">
              <w:rPr>
                <w:rFonts w:ascii="Calibri" w:hAnsi="Calibri" w:cs="Arial"/>
                <w:b/>
                <w:bCs/>
                <w:color w:val="000000"/>
              </w:rPr>
              <w:t xml:space="preserve"> </w:t>
            </w:r>
            <w:r>
              <w:rPr>
                <w:rFonts w:ascii="Calibri" w:hAnsi="Calibri" w:cs="Arial"/>
                <w:bCs/>
                <w:color w:val="000000"/>
              </w:rPr>
              <w:t xml:space="preserve">– IWC6 and Science conference successfully delivered. Delays with Journal and 20 years of GEF publications. </w:t>
            </w:r>
          </w:p>
          <w:p w14:paraId="4BEB29A2" w14:textId="3B4F9577" w:rsidR="00E86C9A" w:rsidRPr="00E957B2" w:rsidRDefault="0085116D" w:rsidP="00E86C9A">
            <w:pPr>
              <w:pStyle w:val="PlainText"/>
              <w:spacing w:after="240"/>
              <w:rPr>
                <w:rFonts w:ascii="Calibri" w:hAnsi="Calibri" w:cs="Arial"/>
                <w:bCs/>
                <w:color w:val="000000"/>
              </w:rPr>
            </w:pPr>
            <w:r>
              <w:rPr>
                <w:rFonts w:ascii="Calibri" w:hAnsi="Calibri" w:cs="Arial"/>
                <w:b/>
                <w:bCs/>
                <w:color w:val="000000"/>
              </w:rPr>
              <w:t>Component 4: MS</w:t>
            </w:r>
            <w:r w:rsidR="00E86C9A" w:rsidRPr="00462790">
              <w:rPr>
                <w:rFonts w:ascii="Calibri" w:hAnsi="Calibri" w:cs="Arial"/>
                <w:b/>
                <w:bCs/>
                <w:color w:val="000000"/>
              </w:rPr>
              <w:t xml:space="preserve"> </w:t>
            </w:r>
            <w:r w:rsidR="00E86C9A">
              <w:rPr>
                <w:rFonts w:ascii="Calibri" w:hAnsi="Calibri" w:cs="Arial"/>
                <w:b/>
                <w:bCs/>
                <w:color w:val="000000"/>
              </w:rPr>
              <w:t xml:space="preserve">– </w:t>
            </w:r>
            <w:r w:rsidR="00E86C9A">
              <w:rPr>
                <w:rFonts w:ascii="Calibri" w:hAnsi="Calibri" w:cs="Arial"/>
                <w:bCs/>
                <w:color w:val="000000"/>
              </w:rPr>
              <w:t xml:space="preserve">Key components such as CoP platforms, visualisation tool and archive still not complete to key stakeholders satisfaction. </w:t>
            </w:r>
          </w:p>
          <w:p w14:paraId="09578BA0" w14:textId="1EBE5F4A" w:rsidR="00E86C9A" w:rsidRPr="007D1C06" w:rsidRDefault="00E86C9A" w:rsidP="003419D8">
            <w:pPr>
              <w:pStyle w:val="PlainText"/>
              <w:spacing w:after="240"/>
              <w:rPr>
                <w:rFonts w:ascii="Calibri" w:hAnsi="Calibri" w:cs="Arial"/>
                <w:bCs/>
                <w:color w:val="000000"/>
              </w:rPr>
            </w:pPr>
            <w:r w:rsidRPr="00462790">
              <w:rPr>
                <w:rFonts w:ascii="Calibri" w:hAnsi="Calibri" w:cs="Arial"/>
                <w:b/>
                <w:bCs/>
                <w:color w:val="000000"/>
              </w:rPr>
              <w:t>Component 5: S</w:t>
            </w:r>
            <w:r>
              <w:rPr>
                <w:rFonts w:ascii="Calibri" w:hAnsi="Calibri" w:cs="Arial"/>
                <w:bCs/>
                <w:color w:val="000000"/>
              </w:rPr>
              <w:t xml:space="preserve"> – Reasonable progress on all but </w:t>
            </w:r>
            <w:r w:rsidR="0093191B">
              <w:rPr>
                <w:rFonts w:ascii="Calibri" w:hAnsi="Calibri" w:cs="Arial"/>
                <w:bCs/>
                <w:color w:val="000000"/>
              </w:rPr>
              <w:t>two sub-components</w:t>
            </w:r>
            <w:proofErr w:type="gramStart"/>
            <w:r w:rsidR="0093191B">
              <w:rPr>
                <w:rFonts w:ascii="Calibri" w:hAnsi="Calibri" w:cs="Arial"/>
                <w:bCs/>
                <w:color w:val="000000"/>
              </w:rPr>
              <w:t>,  notably</w:t>
            </w:r>
            <w:proofErr w:type="gramEnd"/>
            <w:r w:rsidR="0093191B">
              <w:rPr>
                <w:rFonts w:ascii="Calibri" w:hAnsi="Calibri" w:cs="Arial"/>
                <w:bCs/>
                <w:color w:val="000000"/>
              </w:rPr>
              <w:t xml:space="preserve"> TDA/SAP</w:t>
            </w:r>
            <w:r>
              <w:rPr>
                <w:rFonts w:ascii="Calibri" w:hAnsi="Calibri" w:cs="Arial"/>
                <w:bCs/>
                <w:color w:val="000000"/>
              </w:rPr>
              <w:t xml:space="preserve"> methodology and PM Manual. Others are less critical but will be completed except for Insurance Index. </w:t>
            </w:r>
          </w:p>
        </w:tc>
        <w:tc>
          <w:tcPr>
            <w:tcW w:w="1426" w:type="dxa"/>
            <w:shd w:val="clear" w:color="auto" w:fill="auto"/>
            <w:vAlign w:val="center"/>
          </w:tcPr>
          <w:p w14:paraId="7E942D7F" w14:textId="4885FD68" w:rsidR="00E86C9A" w:rsidRPr="007D1C06" w:rsidRDefault="00E86C9A" w:rsidP="003419D8">
            <w:pPr>
              <w:pStyle w:val="BodyText2"/>
              <w:tabs>
                <w:tab w:val="num" w:pos="1440"/>
              </w:tabs>
              <w:spacing w:after="240"/>
              <w:ind w:right="173"/>
              <w:rPr>
                <w:rFonts w:ascii="Calibri" w:hAnsi="Calibri" w:cs="Arial"/>
                <w:bCs/>
                <w:color w:val="000000"/>
                <w:sz w:val="20"/>
                <w:szCs w:val="20"/>
              </w:rPr>
            </w:pPr>
          </w:p>
        </w:tc>
      </w:tr>
      <w:tr w:rsidR="00E86C9A" w:rsidRPr="007D1C06" w14:paraId="335A1ADC" w14:textId="77777777" w:rsidTr="000A4F2F">
        <w:trPr>
          <w:cantSplit/>
        </w:trPr>
        <w:tc>
          <w:tcPr>
            <w:tcW w:w="2376" w:type="dxa"/>
            <w:shd w:val="clear" w:color="auto" w:fill="auto"/>
          </w:tcPr>
          <w:p w14:paraId="114C3AA1" w14:textId="4CB62005" w:rsidR="00E86C9A" w:rsidRPr="007D1C06" w:rsidRDefault="00E86C9A" w:rsidP="003419D8">
            <w:pPr>
              <w:pStyle w:val="PlainText"/>
              <w:spacing w:after="240"/>
              <w:jc w:val="right"/>
              <w:rPr>
                <w:rFonts w:ascii="Calibri" w:hAnsi="Calibri" w:cs="Arial"/>
                <w:bCs/>
                <w:color w:val="000000"/>
              </w:rPr>
            </w:pPr>
            <w:r w:rsidRPr="007D1C06">
              <w:rPr>
                <w:rFonts w:ascii="Calibri" w:hAnsi="Calibri" w:cs="Arial"/>
                <w:bCs/>
                <w:color w:val="000000"/>
              </w:rPr>
              <w:t xml:space="preserve">Effectiveness </w:t>
            </w:r>
          </w:p>
        </w:tc>
        <w:tc>
          <w:tcPr>
            <w:tcW w:w="5528" w:type="dxa"/>
            <w:shd w:val="clear" w:color="auto" w:fill="auto"/>
          </w:tcPr>
          <w:p w14:paraId="3471ECC9" w14:textId="01F73EE8" w:rsidR="00E86C9A" w:rsidRPr="007D1C06" w:rsidRDefault="00E86C9A" w:rsidP="003419D8">
            <w:pPr>
              <w:pStyle w:val="PlainText"/>
              <w:rPr>
                <w:rFonts w:ascii="Calibri" w:hAnsi="Calibri" w:cs="Arial"/>
                <w:bCs/>
                <w:color w:val="000000"/>
              </w:rPr>
            </w:pPr>
            <w:r w:rsidRPr="00CC6EF9">
              <w:rPr>
                <w:rFonts w:asciiTheme="majorHAnsi" w:hAnsiTheme="majorHAnsi"/>
              </w:rPr>
              <w:t xml:space="preserve">The project has delivered significant results during its first half of implementation and it is expected that this progress will continue in the second half provided the shortcomings of certain components especially CoPs and ICT platforms are corrected.   </w:t>
            </w:r>
          </w:p>
        </w:tc>
        <w:tc>
          <w:tcPr>
            <w:tcW w:w="1426" w:type="dxa"/>
            <w:shd w:val="clear" w:color="auto" w:fill="auto"/>
            <w:vAlign w:val="center"/>
          </w:tcPr>
          <w:p w14:paraId="11959AA3" w14:textId="5A1ACE21"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MS</w:t>
            </w:r>
          </w:p>
        </w:tc>
      </w:tr>
      <w:tr w:rsidR="00E86C9A" w:rsidRPr="007D1C06" w14:paraId="637E7B6C" w14:textId="77777777" w:rsidTr="000A4F2F">
        <w:trPr>
          <w:cantSplit/>
        </w:trPr>
        <w:tc>
          <w:tcPr>
            <w:tcW w:w="2376" w:type="dxa"/>
            <w:shd w:val="clear" w:color="auto" w:fill="auto"/>
          </w:tcPr>
          <w:p w14:paraId="22C533E1" w14:textId="4FC9F8F8" w:rsidR="00E86C9A" w:rsidRPr="007D1C06" w:rsidRDefault="00E86C9A" w:rsidP="003419D8">
            <w:pPr>
              <w:pStyle w:val="PlainText"/>
              <w:jc w:val="right"/>
              <w:rPr>
                <w:rFonts w:ascii="Calibri" w:hAnsi="Calibri" w:cs="Arial"/>
                <w:bCs/>
                <w:color w:val="000000"/>
              </w:rPr>
            </w:pPr>
            <w:r w:rsidRPr="007D1C06">
              <w:rPr>
                <w:rFonts w:ascii="Calibri" w:hAnsi="Calibri" w:cs="Arial"/>
                <w:bCs/>
                <w:color w:val="000000"/>
              </w:rPr>
              <w:t>Relevance</w:t>
            </w:r>
          </w:p>
        </w:tc>
        <w:tc>
          <w:tcPr>
            <w:tcW w:w="5528" w:type="dxa"/>
            <w:shd w:val="clear" w:color="auto" w:fill="auto"/>
          </w:tcPr>
          <w:p w14:paraId="0263FCEF" w14:textId="3284F0FB" w:rsidR="00E86C9A" w:rsidRPr="007D1C06" w:rsidRDefault="00E86C9A" w:rsidP="003419D8">
            <w:pPr>
              <w:pStyle w:val="PlainText"/>
              <w:rPr>
                <w:rFonts w:ascii="Calibri" w:hAnsi="Calibri" w:cs="Arial"/>
                <w:bCs/>
                <w:color w:val="000000"/>
              </w:rPr>
            </w:pPr>
            <w:r>
              <w:rPr>
                <w:rFonts w:ascii="Calibri" w:hAnsi="Calibri" w:cs="Arial"/>
                <w:bCs/>
                <w:color w:val="000000"/>
              </w:rPr>
              <w:t>The project design clearly meets the needs of the IW Portfolio and its key stakeholders in GEF, IAs and Project Managers.</w:t>
            </w:r>
          </w:p>
        </w:tc>
        <w:tc>
          <w:tcPr>
            <w:tcW w:w="1426" w:type="dxa"/>
            <w:shd w:val="clear" w:color="auto" w:fill="auto"/>
            <w:vAlign w:val="center"/>
          </w:tcPr>
          <w:p w14:paraId="50EB0728" w14:textId="5713C014"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HS</w:t>
            </w:r>
          </w:p>
        </w:tc>
      </w:tr>
      <w:tr w:rsidR="00E86C9A" w:rsidRPr="007D1C06" w14:paraId="7C10E3F3" w14:textId="77777777" w:rsidTr="000A4F2F">
        <w:trPr>
          <w:cantSplit/>
        </w:trPr>
        <w:tc>
          <w:tcPr>
            <w:tcW w:w="2376" w:type="dxa"/>
            <w:shd w:val="clear" w:color="auto" w:fill="auto"/>
          </w:tcPr>
          <w:p w14:paraId="0651D2AD" w14:textId="7ED160E3" w:rsidR="00E86C9A" w:rsidRPr="007D1C06" w:rsidRDefault="00E86C9A" w:rsidP="003419D8">
            <w:pPr>
              <w:pStyle w:val="PlainText"/>
              <w:jc w:val="right"/>
              <w:rPr>
                <w:rFonts w:ascii="Calibri" w:hAnsi="Calibri" w:cs="Arial"/>
                <w:bCs/>
                <w:color w:val="000000"/>
              </w:rPr>
            </w:pPr>
            <w:r w:rsidRPr="007D1C06">
              <w:rPr>
                <w:rFonts w:ascii="Calibri" w:hAnsi="Calibri" w:cs="Arial"/>
                <w:bCs/>
                <w:color w:val="000000"/>
              </w:rPr>
              <w:t>Efficiency</w:t>
            </w:r>
          </w:p>
        </w:tc>
        <w:tc>
          <w:tcPr>
            <w:tcW w:w="5528" w:type="dxa"/>
            <w:shd w:val="clear" w:color="auto" w:fill="auto"/>
          </w:tcPr>
          <w:p w14:paraId="0C0BF4AB" w14:textId="3E44ECC7" w:rsidR="00E86C9A" w:rsidRPr="007D1C06" w:rsidRDefault="00E86C9A" w:rsidP="003419D8">
            <w:pPr>
              <w:pStyle w:val="PlainText"/>
              <w:rPr>
                <w:rFonts w:ascii="Calibri" w:hAnsi="Calibri" w:cs="Arial"/>
                <w:bCs/>
                <w:color w:val="000000"/>
              </w:rPr>
            </w:pPr>
            <w:r w:rsidRPr="001F41EA">
              <w:rPr>
                <w:rFonts w:asciiTheme="majorHAnsi" w:hAnsiTheme="majorHAnsi" w:cs="Arial"/>
                <w:bCs/>
                <w:color w:val="000000"/>
              </w:rPr>
              <w:t xml:space="preserve">Although largely on track with regard to use of GEF funds </w:t>
            </w:r>
            <w:r w:rsidRPr="001F41EA">
              <w:rPr>
                <w:rFonts w:asciiTheme="majorHAnsi" w:hAnsiTheme="majorHAnsi"/>
              </w:rPr>
              <w:t>and most activities are on schedule there are some notable exceptions whose completion is outstanding. Most critical are the delays in a) finalising the ICT platforms</w:t>
            </w:r>
            <w:proofErr w:type="gramStart"/>
            <w:r w:rsidRPr="001F41EA">
              <w:rPr>
                <w:rFonts w:asciiTheme="majorHAnsi" w:hAnsiTheme="majorHAnsi"/>
              </w:rPr>
              <w:t>,  b</w:t>
            </w:r>
            <w:proofErr w:type="gramEnd"/>
            <w:r w:rsidRPr="001F41EA">
              <w:rPr>
                <w:rFonts w:asciiTheme="majorHAnsi" w:hAnsiTheme="majorHAnsi"/>
              </w:rPr>
              <w:t xml:space="preserve">) full completion of the TDA/SAP and PM manuals and c) Climate mainstreaming.  </w:t>
            </w:r>
            <w:r>
              <w:rPr>
                <w:rFonts w:asciiTheme="majorHAnsi" w:hAnsiTheme="majorHAnsi"/>
              </w:rPr>
              <w:t xml:space="preserve">Dual IAs/EAs considered inefficient. </w:t>
            </w:r>
          </w:p>
        </w:tc>
        <w:tc>
          <w:tcPr>
            <w:tcW w:w="1426" w:type="dxa"/>
            <w:shd w:val="clear" w:color="auto" w:fill="auto"/>
            <w:vAlign w:val="center"/>
          </w:tcPr>
          <w:p w14:paraId="41B5F1FA" w14:textId="11490530"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w:t>
            </w:r>
            <w:r w:rsidR="001B575E">
              <w:rPr>
                <w:rFonts w:ascii="Calibri" w:hAnsi="Calibri" w:cs="Arial"/>
                <w:color w:val="000000"/>
                <w:sz w:val="20"/>
                <w:szCs w:val="20"/>
              </w:rPr>
              <w:t>S</w:t>
            </w:r>
          </w:p>
        </w:tc>
      </w:tr>
      <w:tr w:rsidR="00E86C9A" w:rsidRPr="007D1C06" w14:paraId="75C5DB01" w14:textId="77777777" w:rsidTr="003419D8">
        <w:tc>
          <w:tcPr>
            <w:tcW w:w="2376" w:type="dxa"/>
            <w:tcBorders>
              <w:bottom w:val="single" w:sz="4" w:space="0" w:color="auto"/>
            </w:tcBorders>
            <w:shd w:val="clear" w:color="auto" w:fill="F3F3F3"/>
          </w:tcPr>
          <w:p w14:paraId="0FEA1A89" w14:textId="6B1FA666" w:rsidR="00E86C9A" w:rsidRPr="007D1C06" w:rsidRDefault="00E86C9A" w:rsidP="003419D8">
            <w:pPr>
              <w:pStyle w:val="PlainText"/>
              <w:jc w:val="right"/>
              <w:rPr>
                <w:rFonts w:ascii="Calibri" w:hAnsi="Calibri" w:cs="Arial"/>
                <w:b/>
                <w:bCs/>
                <w:color w:val="000000"/>
              </w:rPr>
            </w:pPr>
            <w:r w:rsidRPr="001F41EA">
              <w:rPr>
                <w:rFonts w:asciiTheme="majorHAnsi" w:hAnsiTheme="majorHAnsi" w:cs="Arial"/>
                <w:bCs/>
                <w:color w:val="000000"/>
              </w:rPr>
              <w:t xml:space="preserve">Assumptions and Risks </w:t>
            </w:r>
          </w:p>
        </w:tc>
        <w:tc>
          <w:tcPr>
            <w:tcW w:w="5528" w:type="dxa"/>
            <w:tcBorders>
              <w:bottom w:val="single" w:sz="4" w:space="0" w:color="auto"/>
            </w:tcBorders>
            <w:shd w:val="clear" w:color="auto" w:fill="F3F3F3"/>
          </w:tcPr>
          <w:p w14:paraId="2308A8AD" w14:textId="7AABCFF2" w:rsidR="00E86C9A" w:rsidRPr="007D1C06" w:rsidRDefault="00E86C9A" w:rsidP="003419D8">
            <w:pPr>
              <w:pStyle w:val="PlainText"/>
              <w:rPr>
                <w:rFonts w:ascii="Calibri" w:hAnsi="Calibri" w:cs="Arial"/>
                <w:bCs/>
                <w:color w:val="000000"/>
              </w:rPr>
            </w:pPr>
            <w:r w:rsidRPr="008F6902">
              <w:rPr>
                <w:rFonts w:asciiTheme="majorHAnsi" w:hAnsiTheme="majorHAnsi"/>
              </w:rPr>
              <w:t xml:space="preserve">The assumptions and risks identified seem appropriate for this project but it is now clear that the </w:t>
            </w:r>
            <w:proofErr w:type="gramStart"/>
            <w:r w:rsidRPr="008F6902">
              <w:rPr>
                <w:rFonts w:asciiTheme="majorHAnsi" w:hAnsiTheme="majorHAnsi"/>
              </w:rPr>
              <w:t>level of certain risks pertaining to CoP participation are</w:t>
            </w:r>
            <w:proofErr w:type="gramEnd"/>
            <w:r w:rsidRPr="008F6902">
              <w:rPr>
                <w:rFonts w:asciiTheme="majorHAnsi" w:hAnsiTheme="majorHAnsi"/>
              </w:rPr>
              <w:t xml:space="preserve"> currently</w:t>
            </w:r>
            <w:r>
              <w:rPr>
                <w:rFonts w:asciiTheme="majorHAnsi" w:hAnsiTheme="majorHAnsi"/>
              </w:rPr>
              <w:t xml:space="preserve"> deemed to be</w:t>
            </w:r>
            <w:r w:rsidRPr="008F6902">
              <w:rPr>
                <w:rFonts w:asciiTheme="majorHAnsi" w:hAnsiTheme="majorHAnsi"/>
              </w:rPr>
              <w:t xml:space="preserve"> higher.</w:t>
            </w:r>
          </w:p>
        </w:tc>
        <w:tc>
          <w:tcPr>
            <w:tcW w:w="1426" w:type="dxa"/>
            <w:tcBorders>
              <w:bottom w:val="single" w:sz="4" w:space="0" w:color="auto"/>
            </w:tcBorders>
            <w:shd w:val="clear" w:color="auto" w:fill="F3F3F3"/>
            <w:vAlign w:val="center"/>
          </w:tcPr>
          <w:p w14:paraId="1E3BC373" w14:textId="630D0AFF"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747EC3DD" w14:textId="77777777" w:rsidTr="003419D8">
        <w:tc>
          <w:tcPr>
            <w:tcW w:w="2376" w:type="dxa"/>
            <w:tcBorders>
              <w:bottom w:val="single" w:sz="4" w:space="0" w:color="auto"/>
            </w:tcBorders>
            <w:shd w:val="clear" w:color="auto" w:fill="F3F3F3"/>
          </w:tcPr>
          <w:p w14:paraId="6D31DDE9" w14:textId="77777777" w:rsidR="00E86C9A" w:rsidRPr="007D1C06" w:rsidRDefault="00E86C9A" w:rsidP="00E86C9A">
            <w:pPr>
              <w:pStyle w:val="PlainText"/>
              <w:rPr>
                <w:rFonts w:ascii="Calibri" w:hAnsi="Calibri" w:cs="Arial"/>
                <w:b/>
                <w:bCs/>
                <w:color w:val="000000"/>
              </w:rPr>
            </w:pPr>
            <w:r>
              <w:rPr>
                <w:rFonts w:ascii="Calibri" w:hAnsi="Calibri" w:cs="Arial"/>
                <w:b/>
                <w:bCs/>
                <w:color w:val="000000"/>
              </w:rPr>
              <w:t xml:space="preserve">Progress toward Achievement </w:t>
            </w:r>
            <w:r w:rsidRPr="007D1C06">
              <w:rPr>
                <w:rFonts w:ascii="Calibri" w:hAnsi="Calibri" w:cs="Arial"/>
                <w:b/>
                <w:bCs/>
                <w:color w:val="000000"/>
              </w:rPr>
              <w:t xml:space="preserve">of Project outcomes </w:t>
            </w:r>
          </w:p>
          <w:p w14:paraId="426FB976" w14:textId="066BB600" w:rsidR="00E86C9A" w:rsidRPr="007D1C06" w:rsidRDefault="00E86C9A" w:rsidP="003419D8">
            <w:pPr>
              <w:pStyle w:val="PlainText"/>
              <w:rPr>
                <w:rFonts w:ascii="Calibri" w:hAnsi="Calibri" w:cs="Arial"/>
                <w:b/>
                <w:bCs/>
                <w:color w:val="000000"/>
              </w:rPr>
            </w:pPr>
          </w:p>
        </w:tc>
        <w:tc>
          <w:tcPr>
            <w:tcW w:w="5528" w:type="dxa"/>
            <w:tcBorders>
              <w:bottom w:val="single" w:sz="4" w:space="0" w:color="auto"/>
            </w:tcBorders>
            <w:shd w:val="clear" w:color="auto" w:fill="F3F3F3"/>
          </w:tcPr>
          <w:p w14:paraId="532AC6B2" w14:textId="0747C184" w:rsidR="00E86C9A" w:rsidRPr="007D1C06" w:rsidRDefault="00E86C9A" w:rsidP="003419D8">
            <w:pPr>
              <w:pStyle w:val="PlainText"/>
              <w:rPr>
                <w:rFonts w:ascii="Calibri" w:hAnsi="Calibri" w:cs="Arial"/>
                <w:bCs/>
                <w:color w:val="000000"/>
              </w:rPr>
            </w:pPr>
            <w:r>
              <w:rPr>
                <w:rFonts w:ascii="Calibri" w:hAnsi="Calibri" w:cs="Arial"/>
                <w:bCs/>
                <w:color w:val="000000"/>
              </w:rPr>
              <w:t xml:space="preserve">The project is making good progress toward achieving its outcomes and by so doing significantly increase the cost effectiveness of GEF investment however concerted and innovative efforts will be required by all parties to ensure sustainability which is sought after by all stakeholders. </w:t>
            </w:r>
          </w:p>
        </w:tc>
        <w:tc>
          <w:tcPr>
            <w:tcW w:w="1426" w:type="dxa"/>
            <w:tcBorders>
              <w:bottom w:val="single" w:sz="4" w:space="0" w:color="auto"/>
            </w:tcBorders>
            <w:shd w:val="clear" w:color="auto" w:fill="F3F3F3"/>
            <w:vAlign w:val="center"/>
          </w:tcPr>
          <w:p w14:paraId="2B158AE9" w14:textId="79D4108D"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ML</w:t>
            </w:r>
          </w:p>
        </w:tc>
      </w:tr>
      <w:tr w:rsidR="00E86C9A" w:rsidRPr="007D1C06" w14:paraId="63D5A706" w14:textId="77777777" w:rsidTr="003419D8">
        <w:tc>
          <w:tcPr>
            <w:tcW w:w="2376" w:type="dxa"/>
            <w:tcBorders>
              <w:bottom w:val="single" w:sz="4" w:space="0" w:color="auto"/>
            </w:tcBorders>
            <w:shd w:val="clear" w:color="auto" w:fill="F3F3F3"/>
          </w:tcPr>
          <w:p w14:paraId="5D11F6BF" w14:textId="2BBA36CD" w:rsidR="00E86C9A" w:rsidRPr="007D1C06" w:rsidRDefault="00E86C9A" w:rsidP="003419D8">
            <w:pPr>
              <w:pStyle w:val="PlainText"/>
              <w:jc w:val="right"/>
              <w:rPr>
                <w:rFonts w:ascii="Calibri" w:hAnsi="Calibri" w:cs="Arial"/>
                <w:b/>
                <w:bCs/>
                <w:color w:val="000000"/>
              </w:rPr>
            </w:pPr>
            <w:r w:rsidRPr="007D1C06">
              <w:rPr>
                <w:rFonts w:ascii="Calibri" w:hAnsi="Calibri" w:cs="Arial"/>
                <w:b/>
                <w:bCs/>
                <w:color w:val="000000"/>
              </w:rPr>
              <w:t>Catalytic Role</w:t>
            </w:r>
          </w:p>
        </w:tc>
        <w:tc>
          <w:tcPr>
            <w:tcW w:w="5528" w:type="dxa"/>
            <w:tcBorders>
              <w:bottom w:val="single" w:sz="4" w:space="0" w:color="auto"/>
            </w:tcBorders>
            <w:shd w:val="clear" w:color="auto" w:fill="F3F3F3"/>
          </w:tcPr>
          <w:p w14:paraId="1533DE59" w14:textId="08C57498" w:rsidR="00E86C9A" w:rsidRPr="007D1C06" w:rsidRDefault="00E86C9A" w:rsidP="003419D8">
            <w:pPr>
              <w:pStyle w:val="PlainText"/>
              <w:rPr>
                <w:rFonts w:ascii="Calibri" w:hAnsi="Calibri" w:cs="Arial"/>
                <w:bCs/>
                <w:color w:val="000000"/>
              </w:rPr>
            </w:pPr>
            <w:r>
              <w:rPr>
                <w:rFonts w:ascii="Calibri" w:hAnsi="Calibri" w:cs="Arial"/>
                <w:bCs/>
                <w:color w:val="000000"/>
              </w:rPr>
              <w:t xml:space="preserve">There are some initial examples of catalytic affects especially in the SEE Med regions. Information is currently lacking for the other components and must be collected during the remainder of the project.  </w:t>
            </w:r>
          </w:p>
        </w:tc>
        <w:tc>
          <w:tcPr>
            <w:tcW w:w="1426" w:type="dxa"/>
            <w:tcBorders>
              <w:bottom w:val="single" w:sz="4" w:space="0" w:color="auto"/>
            </w:tcBorders>
            <w:shd w:val="clear" w:color="auto" w:fill="F3F3F3"/>
            <w:vAlign w:val="center"/>
          </w:tcPr>
          <w:p w14:paraId="01E5B176" w14:textId="71A4BAE4"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51087804" w14:textId="77777777" w:rsidTr="00E86C9A">
        <w:tc>
          <w:tcPr>
            <w:tcW w:w="2376" w:type="dxa"/>
            <w:shd w:val="clear" w:color="auto" w:fill="auto"/>
          </w:tcPr>
          <w:p w14:paraId="1A124408" w14:textId="77777777" w:rsidR="00E86C9A" w:rsidRPr="007D1C06" w:rsidRDefault="00E86C9A" w:rsidP="00E86C9A">
            <w:pPr>
              <w:pStyle w:val="PlainText"/>
              <w:rPr>
                <w:rFonts w:ascii="Calibri" w:hAnsi="Calibri" w:cs="Arial"/>
                <w:b/>
                <w:bCs/>
                <w:color w:val="000000"/>
              </w:rPr>
            </w:pPr>
            <w:r w:rsidRPr="007D1C06">
              <w:rPr>
                <w:rFonts w:ascii="Calibri" w:hAnsi="Calibri" w:cs="Arial"/>
                <w:b/>
                <w:bCs/>
                <w:color w:val="000000"/>
              </w:rPr>
              <w:t xml:space="preserve">Monitoring and Evaluation </w:t>
            </w:r>
            <w:r w:rsidRPr="007D1C06">
              <w:rPr>
                <w:rFonts w:ascii="Calibri" w:hAnsi="Calibri" w:cs="Arial"/>
                <w:b/>
                <w:bCs/>
                <w:color w:val="000000"/>
              </w:rPr>
              <w:br/>
              <w:t>(overall rating)</w:t>
            </w:r>
          </w:p>
          <w:p w14:paraId="16758300" w14:textId="49C8A5B2" w:rsidR="00E86C9A" w:rsidRPr="007D1C06" w:rsidRDefault="00E86C9A" w:rsidP="003419D8">
            <w:pPr>
              <w:pStyle w:val="PlainText"/>
              <w:ind w:left="180"/>
              <w:jc w:val="right"/>
              <w:rPr>
                <w:rFonts w:ascii="Calibri" w:hAnsi="Calibri" w:cs="Arial"/>
                <w:bCs/>
                <w:color w:val="000000"/>
              </w:rPr>
            </w:pPr>
            <w:r w:rsidRPr="007D1C06">
              <w:rPr>
                <w:rFonts w:ascii="Calibri" w:hAnsi="Calibri" w:cs="Arial"/>
                <w:b/>
                <w:bCs/>
                <w:color w:val="000000"/>
              </w:rPr>
              <w:t>Sub criteria (below)</w:t>
            </w:r>
          </w:p>
        </w:tc>
        <w:tc>
          <w:tcPr>
            <w:tcW w:w="5528" w:type="dxa"/>
            <w:shd w:val="clear" w:color="auto" w:fill="auto"/>
          </w:tcPr>
          <w:p w14:paraId="352F5E1C" w14:textId="02F69350" w:rsidR="00E86C9A" w:rsidRPr="007D1C06" w:rsidRDefault="00E86C9A" w:rsidP="003419D8">
            <w:pPr>
              <w:pStyle w:val="PlainText"/>
              <w:rPr>
                <w:rFonts w:ascii="Calibri" w:hAnsi="Calibri" w:cs="Arial"/>
                <w:bCs/>
                <w:color w:val="000000"/>
              </w:rPr>
            </w:pPr>
            <w:r>
              <w:rPr>
                <w:rFonts w:ascii="Calibri" w:hAnsi="Calibri" w:cs="Arial"/>
                <w:bCs/>
                <w:color w:val="000000"/>
              </w:rPr>
              <w:t xml:space="preserve">The project was designed with a comprehensive M&amp;E plan and the various elements have been properly implemented during the course of the project to date. </w:t>
            </w:r>
          </w:p>
        </w:tc>
        <w:tc>
          <w:tcPr>
            <w:tcW w:w="1426" w:type="dxa"/>
            <w:shd w:val="clear" w:color="auto" w:fill="auto"/>
            <w:vAlign w:val="center"/>
          </w:tcPr>
          <w:p w14:paraId="753A1A1B" w14:textId="2956CF6E"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2DDF66D5" w14:textId="77777777" w:rsidTr="000A4F2F">
        <w:tc>
          <w:tcPr>
            <w:tcW w:w="2376" w:type="dxa"/>
            <w:shd w:val="clear" w:color="auto" w:fill="auto"/>
            <w:vAlign w:val="center"/>
          </w:tcPr>
          <w:p w14:paraId="4CF1152F" w14:textId="47738B70" w:rsidR="00E86C9A" w:rsidRPr="007D1C06" w:rsidRDefault="00E86C9A" w:rsidP="003419D8">
            <w:pPr>
              <w:pStyle w:val="PlainText"/>
              <w:ind w:left="180"/>
              <w:jc w:val="right"/>
              <w:rPr>
                <w:rFonts w:ascii="Calibri" w:hAnsi="Calibri" w:cs="Arial"/>
                <w:bCs/>
                <w:color w:val="000000"/>
              </w:rPr>
            </w:pPr>
            <w:r w:rsidRPr="00465249">
              <w:rPr>
                <w:rFonts w:ascii="Calibri" w:hAnsi="Calibri" w:cs="Arial"/>
                <w:bCs/>
                <w:color w:val="000000"/>
              </w:rPr>
              <w:t>M&amp;E Design</w:t>
            </w:r>
          </w:p>
        </w:tc>
        <w:tc>
          <w:tcPr>
            <w:tcW w:w="5528" w:type="dxa"/>
            <w:shd w:val="clear" w:color="auto" w:fill="auto"/>
          </w:tcPr>
          <w:p w14:paraId="57C67CD9" w14:textId="085A5322" w:rsidR="00E86C9A" w:rsidRPr="007D1C06" w:rsidRDefault="00E86C9A" w:rsidP="003419D8">
            <w:pPr>
              <w:pStyle w:val="PlainText"/>
              <w:rPr>
                <w:rFonts w:ascii="Calibri" w:hAnsi="Calibri" w:cs="Arial"/>
                <w:bCs/>
                <w:color w:val="000000"/>
              </w:rPr>
            </w:pPr>
            <w:r w:rsidRPr="00465249">
              <w:rPr>
                <w:rFonts w:asciiTheme="majorHAnsi" w:hAnsiTheme="majorHAnsi"/>
              </w:rPr>
              <w:t>The project documents and Inception report contain details of a comprehensive M&amp;E and associated, roles responsibilities and budgets consistent with GEF and IA M&amp;E policies.  The Project Results Framework is fully elaborated and clear attempts have been made to make the Outcome indicators SMART</w:t>
            </w:r>
            <w:r w:rsidRPr="00465249">
              <w:rPr>
                <w:rStyle w:val="FootnoteReference"/>
                <w:rFonts w:asciiTheme="majorHAnsi" w:eastAsia="Calibri" w:hAnsiTheme="majorHAnsi"/>
              </w:rPr>
              <w:footnoteReference w:id="1"/>
            </w:r>
            <w:r w:rsidRPr="00465249">
              <w:rPr>
                <w:rFonts w:asciiTheme="majorHAnsi" w:hAnsiTheme="majorHAnsi"/>
              </w:rPr>
              <w:t xml:space="preserve"> although some are considered to be </w:t>
            </w:r>
            <w:r w:rsidR="0093191B">
              <w:rPr>
                <w:rFonts w:asciiTheme="majorHAnsi" w:hAnsiTheme="majorHAnsi"/>
              </w:rPr>
              <w:t xml:space="preserve">somewhat </w:t>
            </w:r>
            <w:r w:rsidRPr="00465249">
              <w:rPr>
                <w:rFonts w:asciiTheme="majorHAnsi" w:hAnsiTheme="majorHAnsi"/>
              </w:rPr>
              <w:t>lacking in this respect.</w:t>
            </w:r>
          </w:p>
        </w:tc>
        <w:tc>
          <w:tcPr>
            <w:tcW w:w="1426" w:type="dxa"/>
            <w:shd w:val="clear" w:color="auto" w:fill="auto"/>
            <w:vAlign w:val="center"/>
          </w:tcPr>
          <w:p w14:paraId="74B06353" w14:textId="34FEE9FF" w:rsidR="00E86C9A" w:rsidRPr="007D1C06" w:rsidRDefault="00E86C9A" w:rsidP="003419D8">
            <w:pPr>
              <w:pStyle w:val="BodyText2"/>
              <w:tabs>
                <w:tab w:val="num" w:pos="1440"/>
              </w:tabs>
              <w:spacing w:after="60"/>
              <w:ind w:right="173"/>
              <w:rPr>
                <w:rFonts w:ascii="Calibri" w:hAnsi="Calibri" w:cs="Arial"/>
                <w:bCs/>
                <w:color w:val="000000"/>
                <w:sz w:val="20"/>
                <w:szCs w:val="20"/>
              </w:rPr>
            </w:pPr>
            <w:r w:rsidRPr="00465249">
              <w:rPr>
                <w:rFonts w:ascii="Calibri" w:hAnsi="Calibri" w:cs="Arial"/>
                <w:color w:val="000000"/>
                <w:sz w:val="20"/>
                <w:szCs w:val="20"/>
              </w:rPr>
              <w:t>S</w:t>
            </w:r>
          </w:p>
        </w:tc>
      </w:tr>
      <w:tr w:rsidR="00E86C9A" w:rsidRPr="007D1C06" w14:paraId="68CD2926" w14:textId="77777777" w:rsidTr="000A4F2F">
        <w:tc>
          <w:tcPr>
            <w:tcW w:w="2376" w:type="dxa"/>
            <w:tcBorders>
              <w:bottom w:val="single" w:sz="4" w:space="0" w:color="auto"/>
            </w:tcBorders>
            <w:shd w:val="clear" w:color="auto" w:fill="auto"/>
            <w:vAlign w:val="center"/>
          </w:tcPr>
          <w:p w14:paraId="6E78C0A2" w14:textId="34784F0A" w:rsidR="00E86C9A" w:rsidRPr="007D1C06" w:rsidRDefault="00E86C9A" w:rsidP="003419D8">
            <w:pPr>
              <w:pStyle w:val="PlainText"/>
              <w:ind w:left="180"/>
              <w:jc w:val="right"/>
              <w:rPr>
                <w:rFonts w:ascii="Calibri" w:hAnsi="Calibri" w:cs="Arial"/>
                <w:bCs/>
                <w:color w:val="000000"/>
              </w:rPr>
            </w:pPr>
            <w:r w:rsidRPr="00465249">
              <w:rPr>
                <w:rFonts w:ascii="Calibri" w:hAnsi="Calibri" w:cs="Arial"/>
                <w:bCs/>
                <w:color w:val="000000"/>
              </w:rPr>
              <w:t xml:space="preserve">M&amp;E Plan Implementation </w:t>
            </w:r>
          </w:p>
        </w:tc>
        <w:tc>
          <w:tcPr>
            <w:tcW w:w="5528" w:type="dxa"/>
            <w:tcBorders>
              <w:bottom w:val="single" w:sz="4" w:space="0" w:color="auto"/>
            </w:tcBorders>
            <w:shd w:val="clear" w:color="auto" w:fill="auto"/>
          </w:tcPr>
          <w:p w14:paraId="2982FD17" w14:textId="0440878F" w:rsidR="00E86C9A" w:rsidRPr="007D1C06" w:rsidRDefault="00E86C9A" w:rsidP="003419D8">
            <w:pPr>
              <w:pStyle w:val="PlainText"/>
              <w:rPr>
                <w:rFonts w:ascii="Calibri" w:hAnsi="Calibri" w:cs="Arial"/>
                <w:bCs/>
                <w:color w:val="000000"/>
              </w:rPr>
            </w:pPr>
            <w:r w:rsidRPr="00465249">
              <w:rPr>
                <w:rFonts w:ascii="Calibri" w:hAnsi="Calibri" w:cs="Arial"/>
                <w:bCs/>
                <w:color w:val="000000"/>
              </w:rPr>
              <w:t>The Project Inception Report provided an updating of the projects results framework with some modification to targets and risks however not mid-term indicators were formulated. Although the quarterly reports have been produced as required some amendments are required and a mechanism put in place to provide feedback.</w:t>
            </w:r>
          </w:p>
        </w:tc>
        <w:tc>
          <w:tcPr>
            <w:tcW w:w="1426" w:type="dxa"/>
            <w:tcBorders>
              <w:bottom w:val="single" w:sz="4" w:space="0" w:color="auto"/>
            </w:tcBorders>
            <w:shd w:val="clear" w:color="auto" w:fill="auto"/>
            <w:vAlign w:val="center"/>
          </w:tcPr>
          <w:p w14:paraId="2134271C" w14:textId="39F20C74" w:rsidR="00E86C9A" w:rsidRPr="007D1C06" w:rsidRDefault="00E86C9A" w:rsidP="003419D8">
            <w:pPr>
              <w:pStyle w:val="BodyText2"/>
              <w:tabs>
                <w:tab w:val="num" w:pos="1440"/>
              </w:tabs>
              <w:spacing w:after="60"/>
              <w:ind w:right="173"/>
              <w:rPr>
                <w:rFonts w:ascii="Calibri" w:hAnsi="Calibri" w:cs="Arial"/>
                <w:bCs/>
                <w:color w:val="000000"/>
                <w:sz w:val="20"/>
                <w:szCs w:val="20"/>
              </w:rPr>
            </w:pPr>
            <w:r w:rsidRPr="00465249">
              <w:rPr>
                <w:rFonts w:ascii="Calibri" w:hAnsi="Calibri" w:cs="Arial"/>
                <w:color w:val="000000"/>
                <w:sz w:val="20"/>
                <w:szCs w:val="20"/>
              </w:rPr>
              <w:t>S</w:t>
            </w:r>
          </w:p>
        </w:tc>
      </w:tr>
      <w:tr w:rsidR="00E86C9A" w:rsidRPr="007D1C06" w14:paraId="20A4C9E3" w14:textId="77777777" w:rsidTr="000A4F2F">
        <w:tc>
          <w:tcPr>
            <w:tcW w:w="2376" w:type="dxa"/>
            <w:tcBorders>
              <w:bottom w:val="single" w:sz="4" w:space="0" w:color="auto"/>
            </w:tcBorders>
            <w:shd w:val="clear" w:color="auto" w:fill="auto"/>
            <w:vAlign w:val="center"/>
          </w:tcPr>
          <w:p w14:paraId="21B077B0" w14:textId="15A10356" w:rsidR="00E86C9A" w:rsidRPr="007D1C06" w:rsidRDefault="00E86C9A" w:rsidP="003419D8">
            <w:pPr>
              <w:pStyle w:val="PlainText"/>
              <w:ind w:left="180"/>
              <w:jc w:val="right"/>
              <w:rPr>
                <w:rFonts w:ascii="Calibri" w:hAnsi="Calibri" w:cs="Arial"/>
                <w:bCs/>
                <w:color w:val="000000"/>
              </w:rPr>
            </w:pPr>
            <w:r w:rsidRPr="00465249">
              <w:rPr>
                <w:rFonts w:ascii="Calibri" w:hAnsi="Calibri" w:cs="Arial"/>
                <w:bCs/>
                <w:color w:val="000000"/>
              </w:rPr>
              <w:t>Budgeting and Funding for M&amp;E activities</w:t>
            </w:r>
          </w:p>
        </w:tc>
        <w:tc>
          <w:tcPr>
            <w:tcW w:w="5528" w:type="dxa"/>
            <w:tcBorders>
              <w:bottom w:val="single" w:sz="4" w:space="0" w:color="auto"/>
            </w:tcBorders>
            <w:shd w:val="clear" w:color="auto" w:fill="auto"/>
          </w:tcPr>
          <w:p w14:paraId="09EC6F76" w14:textId="5837938E" w:rsidR="00E86C9A" w:rsidRPr="007D1C06" w:rsidRDefault="00E86C9A" w:rsidP="003419D8">
            <w:pPr>
              <w:pStyle w:val="PlainText"/>
              <w:rPr>
                <w:rFonts w:ascii="Calibri" w:hAnsi="Calibri" w:cs="Arial"/>
                <w:bCs/>
                <w:color w:val="000000"/>
              </w:rPr>
            </w:pPr>
            <w:r w:rsidRPr="00465249">
              <w:rPr>
                <w:rFonts w:ascii="Calibri" w:hAnsi="Calibri" w:cs="Arial"/>
                <w:bCs/>
                <w:color w:val="000000"/>
              </w:rPr>
              <w:t xml:space="preserve">This appears to be adequate for a project of this size. </w:t>
            </w:r>
          </w:p>
        </w:tc>
        <w:tc>
          <w:tcPr>
            <w:tcW w:w="1426" w:type="dxa"/>
            <w:tcBorders>
              <w:bottom w:val="single" w:sz="4" w:space="0" w:color="auto"/>
            </w:tcBorders>
            <w:shd w:val="clear" w:color="auto" w:fill="auto"/>
            <w:vAlign w:val="center"/>
          </w:tcPr>
          <w:p w14:paraId="4E7CB125" w14:textId="03B17FD0"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H</w:t>
            </w:r>
            <w:r w:rsidRPr="00465249">
              <w:rPr>
                <w:rFonts w:ascii="Calibri" w:hAnsi="Calibri" w:cs="Arial"/>
                <w:color w:val="000000"/>
                <w:sz w:val="20"/>
                <w:szCs w:val="20"/>
              </w:rPr>
              <w:t>S</w:t>
            </w:r>
          </w:p>
        </w:tc>
      </w:tr>
      <w:tr w:rsidR="00E86C9A" w:rsidRPr="007D1C06" w14:paraId="5F6DD4B6" w14:textId="77777777" w:rsidTr="00E86C9A">
        <w:tc>
          <w:tcPr>
            <w:tcW w:w="2376" w:type="dxa"/>
            <w:tcBorders>
              <w:bottom w:val="single" w:sz="4" w:space="0" w:color="auto"/>
            </w:tcBorders>
            <w:vAlign w:val="center"/>
          </w:tcPr>
          <w:p w14:paraId="6CE1BD17" w14:textId="2CB70825" w:rsidR="00E86C9A" w:rsidRPr="007D1C06" w:rsidRDefault="00E86C9A" w:rsidP="003419D8">
            <w:pPr>
              <w:pStyle w:val="PlainText"/>
              <w:rPr>
                <w:rFonts w:ascii="Calibri" w:hAnsi="Calibri" w:cs="Arial"/>
                <w:b/>
                <w:bCs/>
                <w:color w:val="000000"/>
              </w:rPr>
            </w:pPr>
            <w:r w:rsidRPr="00465249">
              <w:rPr>
                <w:rFonts w:ascii="Calibri" w:hAnsi="Calibri" w:cs="Arial"/>
                <w:bCs/>
                <w:color w:val="000000"/>
              </w:rPr>
              <w:t>Long-tem monitoring</w:t>
            </w:r>
          </w:p>
        </w:tc>
        <w:tc>
          <w:tcPr>
            <w:tcW w:w="5528" w:type="dxa"/>
            <w:tcBorders>
              <w:bottom w:val="single" w:sz="4" w:space="0" w:color="auto"/>
            </w:tcBorders>
          </w:tcPr>
          <w:p w14:paraId="2B1FFAF7" w14:textId="0C33EA24" w:rsidR="00E86C9A" w:rsidRPr="007D1C06" w:rsidRDefault="00E86C9A" w:rsidP="003419D8">
            <w:pPr>
              <w:pStyle w:val="PlainText"/>
              <w:rPr>
                <w:rFonts w:ascii="Calibri" w:hAnsi="Calibri" w:cs="Arial"/>
                <w:bCs/>
                <w:color w:val="000000"/>
              </w:rPr>
            </w:pPr>
            <w:r w:rsidRPr="00465249">
              <w:rPr>
                <w:rFonts w:asciiTheme="majorHAnsi" w:hAnsiTheme="majorHAnsi"/>
              </w:rPr>
              <w:t xml:space="preserve">The GEF Tracking </w:t>
            </w:r>
            <w:r w:rsidR="0093191B">
              <w:rPr>
                <w:rFonts w:asciiTheme="majorHAnsi" w:hAnsiTheme="majorHAnsi"/>
              </w:rPr>
              <w:t xml:space="preserve">Tool </w:t>
            </w:r>
            <w:r w:rsidRPr="00465249">
              <w:rPr>
                <w:rFonts w:asciiTheme="majorHAnsi" w:hAnsiTheme="majorHAnsi"/>
              </w:rPr>
              <w:t>provides</w:t>
            </w:r>
            <w:r>
              <w:rPr>
                <w:rFonts w:asciiTheme="majorHAnsi" w:hAnsiTheme="majorHAnsi"/>
              </w:rPr>
              <w:t xml:space="preserve"> </w:t>
            </w:r>
            <w:proofErr w:type="gramStart"/>
            <w:r>
              <w:rPr>
                <w:rFonts w:asciiTheme="majorHAnsi" w:hAnsiTheme="majorHAnsi"/>
              </w:rPr>
              <w:t xml:space="preserve">for </w:t>
            </w:r>
            <w:r w:rsidRPr="00465249">
              <w:rPr>
                <w:rFonts w:asciiTheme="majorHAnsi" w:hAnsiTheme="majorHAnsi"/>
              </w:rPr>
              <w:t xml:space="preserve"> some</w:t>
            </w:r>
            <w:proofErr w:type="gramEnd"/>
            <w:r w:rsidRPr="00465249">
              <w:rPr>
                <w:rFonts w:asciiTheme="majorHAnsi" w:hAnsiTheme="majorHAnsi"/>
              </w:rPr>
              <w:t xml:space="preserve"> long term monitoring. Nevertheless given the unusually long duration of the IW LEARN series of projects it is unfortunate that a formal system of monitoring and estimating project impacts against expectations has not been instigated.  </w:t>
            </w:r>
          </w:p>
        </w:tc>
        <w:tc>
          <w:tcPr>
            <w:tcW w:w="1426" w:type="dxa"/>
            <w:tcBorders>
              <w:bottom w:val="single" w:sz="4" w:space="0" w:color="auto"/>
            </w:tcBorders>
            <w:vAlign w:val="center"/>
          </w:tcPr>
          <w:p w14:paraId="04EBA6E2" w14:textId="5D01E820" w:rsidR="00E86C9A" w:rsidRPr="007D1C06" w:rsidRDefault="00E86C9A" w:rsidP="003419D8">
            <w:pPr>
              <w:pStyle w:val="BodyText2"/>
              <w:tabs>
                <w:tab w:val="num" w:pos="1440"/>
              </w:tabs>
              <w:spacing w:after="60"/>
              <w:ind w:right="173"/>
              <w:rPr>
                <w:rFonts w:ascii="Calibri" w:hAnsi="Calibri" w:cs="Arial"/>
                <w:bCs/>
                <w:color w:val="000000"/>
                <w:sz w:val="20"/>
                <w:szCs w:val="20"/>
              </w:rPr>
            </w:pPr>
            <w:r w:rsidRPr="00465249">
              <w:rPr>
                <w:rFonts w:ascii="Calibri" w:hAnsi="Calibri" w:cs="Arial"/>
                <w:color w:val="000000"/>
                <w:sz w:val="20"/>
                <w:szCs w:val="20"/>
              </w:rPr>
              <w:t>MS</w:t>
            </w:r>
          </w:p>
        </w:tc>
      </w:tr>
      <w:tr w:rsidR="00E86C9A" w:rsidRPr="007D1C06" w14:paraId="19626606" w14:textId="77777777" w:rsidTr="000A4F2F">
        <w:tc>
          <w:tcPr>
            <w:tcW w:w="2376" w:type="dxa"/>
            <w:tcBorders>
              <w:bottom w:val="single" w:sz="4" w:space="0" w:color="auto"/>
            </w:tcBorders>
            <w:shd w:val="clear" w:color="auto" w:fill="auto"/>
          </w:tcPr>
          <w:p w14:paraId="177ECC60" w14:textId="77777777" w:rsidR="00E86C9A" w:rsidRPr="007D1C06" w:rsidRDefault="00E86C9A" w:rsidP="00E86C9A">
            <w:pPr>
              <w:pStyle w:val="PlainText"/>
              <w:rPr>
                <w:rFonts w:ascii="Calibri" w:hAnsi="Calibri" w:cs="Arial"/>
                <w:b/>
                <w:bCs/>
                <w:color w:val="000000"/>
              </w:rPr>
            </w:pPr>
            <w:r>
              <w:rPr>
                <w:rFonts w:ascii="Calibri" w:hAnsi="Calibri" w:cs="Arial"/>
                <w:b/>
                <w:bCs/>
                <w:color w:val="000000"/>
              </w:rPr>
              <w:t xml:space="preserve">Assessment of process that affected attainment of project </w:t>
            </w:r>
            <w:proofErr w:type="gramStart"/>
            <w:r>
              <w:rPr>
                <w:rFonts w:ascii="Calibri" w:hAnsi="Calibri" w:cs="Arial"/>
                <w:b/>
                <w:bCs/>
                <w:color w:val="000000"/>
              </w:rPr>
              <w:t>results</w:t>
            </w:r>
            <w:r w:rsidRPr="007D1C06">
              <w:rPr>
                <w:rFonts w:ascii="Calibri" w:hAnsi="Calibri" w:cs="Arial"/>
                <w:b/>
                <w:bCs/>
                <w:color w:val="000000"/>
              </w:rPr>
              <w:t>(</w:t>
            </w:r>
            <w:proofErr w:type="gramEnd"/>
            <w:r w:rsidRPr="007D1C06">
              <w:rPr>
                <w:rFonts w:ascii="Calibri" w:hAnsi="Calibri" w:cs="Arial"/>
                <w:b/>
                <w:bCs/>
                <w:color w:val="000000"/>
              </w:rPr>
              <w:t>overall rating)</w:t>
            </w:r>
          </w:p>
          <w:p w14:paraId="13863531" w14:textId="76734FCB" w:rsidR="00E86C9A" w:rsidRPr="003A7869" w:rsidRDefault="00E86C9A" w:rsidP="003419D8">
            <w:pPr>
              <w:pStyle w:val="PlainText"/>
              <w:ind w:left="180"/>
              <w:jc w:val="right"/>
              <w:rPr>
                <w:rFonts w:ascii="Calibri" w:hAnsi="Calibri" w:cs="Arial"/>
                <w:bCs/>
                <w:color w:val="000000"/>
              </w:rPr>
            </w:pPr>
            <w:r w:rsidRPr="007D1C06">
              <w:rPr>
                <w:rFonts w:ascii="Calibri" w:hAnsi="Calibri" w:cs="Arial"/>
                <w:b/>
                <w:bCs/>
                <w:color w:val="000000"/>
              </w:rPr>
              <w:t>Sub criteria (below)</w:t>
            </w:r>
          </w:p>
        </w:tc>
        <w:tc>
          <w:tcPr>
            <w:tcW w:w="5528" w:type="dxa"/>
            <w:tcBorders>
              <w:bottom w:val="single" w:sz="4" w:space="0" w:color="auto"/>
            </w:tcBorders>
            <w:shd w:val="clear" w:color="auto" w:fill="auto"/>
          </w:tcPr>
          <w:p w14:paraId="1EB361EF" w14:textId="7FB216A4" w:rsidR="00E86C9A" w:rsidRPr="007D1C06" w:rsidRDefault="00E86C9A" w:rsidP="003419D8">
            <w:pPr>
              <w:pStyle w:val="PlainText"/>
              <w:rPr>
                <w:rFonts w:ascii="Calibri" w:hAnsi="Calibri" w:cs="Arial"/>
                <w:bCs/>
                <w:color w:val="000000"/>
              </w:rPr>
            </w:pPr>
            <w:r>
              <w:rPr>
                <w:rFonts w:ascii="Calibri" w:hAnsi="Calibri" w:cs="Arial"/>
                <w:bCs/>
                <w:color w:val="000000"/>
              </w:rPr>
              <w:t>This is considered to be adequate.</w:t>
            </w:r>
          </w:p>
        </w:tc>
        <w:tc>
          <w:tcPr>
            <w:tcW w:w="1426" w:type="dxa"/>
            <w:tcBorders>
              <w:bottom w:val="single" w:sz="4" w:space="0" w:color="auto"/>
            </w:tcBorders>
            <w:shd w:val="clear" w:color="auto" w:fill="auto"/>
            <w:vAlign w:val="center"/>
          </w:tcPr>
          <w:p w14:paraId="62C0CC16" w14:textId="3113AA3B"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009F17D2" w14:textId="77777777" w:rsidTr="000A4F2F">
        <w:tc>
          <w:tcPr>
            <w:tcW w:w="2376" w:type="dxa"/>
            <w:tcBorders>
              <w:bottom w:val="single" w:sz="4" w:space="0" w:color="auto"/>
            </w:tcBorders>
            <w:shd w:val="clear" w:color="auto" w:fill="auto"/>
          </w:tcPr>
          <w:p w14:paraId="6EF0BB95" w14:textId="0CC99AC3" w:rsidR="00E86C9A" w:rsidRPr="003A7869" w:rsidRDefault="00E86C9A" w:rsidP="003419D8">
            <w:pPr>
              <w:pStyle w:val="PlainText"/>
              <w:jc w:val="right"/>
              <w:rPr>
                <w:rFonts w:ascii="Calibri" w:hAnsi="Calibri" w:cs="Arial"/>
                <w:bCs/>
                <w:color w:val="000000"/>
              </w:rPr>
            </w:pPr>
            <w:r w:rsidRPr="003A7869">
              <w:rPr>
                <w:rFonts w:ascii="Calibri" w:hAnsi="Calibri" w:cs="Arial"/>
                <w:bCs/>
                <w:color w:val="000000"/>
              </w:rPr>
              <w:t>Preparation and readiness</w:t>
            </w:r>
          </w:p>
        </w:tc>
        <w:tc>
          <w:tcPr>
            <w:tcW w:w="5528" w:type="dxa"/>
            <w:tcBorders>
              <w:bottom w:val="single" w:sz="4" w:space="0" w:color="auto"/>
            </w:tcBorders>
            <w:shd w:val="clear" w:color="auto" w:fill="auto"/>
          </w:tcPr>
          <w:p w14:paraId="2459474E" w14:textId="3F0E4238" w:rsidR="00E86C9A" w:rsidRPr="007D1C06" w:rsidRDefault="0093191B" w:rsidP="003419D8">
            <w:pPr>
              <w:pStyle w:val="PlainText"/>
              <w:rPr>
                <w:rFonts w:ascii="Calibri" w:hAnsi="Calibri" w:cs="Arial"/>
                <w:bCs/>
                <w:color w:val="000000"/>
              </w:rPr>
            </w:pPr>
            <w:r>
              <w:rPr>
                <w:rFonts w:ascii="Calibri" w:hAnsi="Calibri" w:cs="Arial"/>
                <w:bCs/>
                <w:color w:val="000000"/>
              </w:rPr>
              <w:t>The</w:t>
            </w:r>
            <w:r w:rsidR="00E86C9A">
              <w:rPr>
                <w:rFonts w:ascii="Calibri" w:hAnsi="Calibri" w:cs="Arial"/>
                <w:bCs/>
                <w:color w:val="000000"/>
              </w:rPr>
              <w:t xml:space="preserve"> project went through a detailed design phase involving a wide range of stakeholders and lessons taken from two previous full sized projects. However the large number of sub-components and outcomes and the lack of readiness of the IT platform</w:t>
            </w:r>
            <w:r>
              <w:rPr>
                <w:rFonts w:ascii="Calibri" w:hAnsi="Calibri" w:cs="Arial"/>
                <w:bCs/>
                <w:color w:val="000000"/>
              </w:rPr>
              <w:t>s</w:t>
            </w:r>
            <w:r w:rsidR="00E86C9A">
              <w:rPr>
                <w:rFonts w:ascii="Calibri" w:hAnsi="Calibri" w:cs="Arial"/>
                <w:bCs/>
                <w:color w:val="000000"/>
              </w:rPr>
              <w:t xml:space="preserve"> </w:t>
            </w:r>
            <w:proofErr w:type="gramStart"/>
            <w:r w:rsidR="00E86C9A">
              <w:rPr>
                <w:rFonts w:ascii="Calibri" w:hAnsi="Calibri" w:cs="Arial"/>
                <w:bCs/>
                <w:color w:val="000000"/>
              </w:rPr>
              <w:t>has</w:t>
            </w:r>
            <w:proofErr w:type="gramEnd"/>
            <w:r w:rsidR="00E86C9A">
              <w:rPr>
                <w:rFonts w:ascii="Calibri" w:hAnsi="Calibri" w:cs="Arial"/>
                <w:bCs/>
                <w:color w:val="000000"/>
              </w:rPr>
              <w:t xml:space="preserve"> negatively affected project implementation.  </w:t>
            </w:r>
          </w:p>
        </w:tc>
        <w:tc>
          <w:tcPr>
            <w:tcW w:w="1426" w:type="dxa"/>
            <w:tcBorders>
              <w:bottom w:val="single" w:sz="4" w:space="0" w:color="auto"/>
            </w:tcBorders>
            <w:shd w:val="clear" w:color="auto" w:fill="auto"/>
            <w:vAlign w:val="center"/>
          </w:tcPr>
          <w:p w14:paraId="10113EB3" w14:textId="0ADEAC42"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MS</w:t>
            </w:r>
          </w:p>
        </w:tc>
      </w:tr>
      <w:tr w:rsidR="00E86C9A" w:rsidRPr="007D1C06" w14:paraId="736F1FD0" w14:textId="77777777" w:rsidTr="000A4F2F">
        <w:tc>
          <w:tcPr>
            <w:tcW w:w="2376" w:type="dxa"/>
            <w:tcBorders>
              <w:bottom w:val="single" w:sz="4" w:space="0" w:color="auto"/>
            </w:tcBorders>
            <w:shd w:val="clear" w:color="auto" w:fill="auto"/>
          </w:tcPr>
          <w:p w14:paraId="72618F01" w14:textId="0C4C54CF" w:rsidR="00E86C9A" w:rsidRPr="003A7869" w:rsidRDefault="00E86C9A" w:rsidP="003419D8">
            <w:pPr>
              <w:pStyle w:val="PlainText"/>
              <w:jc w:val="right"/>
              <w:rPr>
                <w:rFonts w:ascii="Calibri" w:hAnsi="Calibri" w:cs="Arial"/>
                <w:bCs/>
                <w:color w:val="000000"/>
              </w:rPr>
            </w:pPr>
            <w:r w:rsidRPr="003A7869">
              <w:rPr>
                <w:rFonts w:ascii="Calibri" w:hAnsi="Calibri" w:cs="Arial"/>
                <w:bCs/>
                <w:color w:val="000000"/>
              </w:rPr>
              <w:t>Implementation approach and adaptive management</w:t>
            </w:r>
          </w:p>
        </w:tc>
        <w:tc>
          <w:tcPr>
            <w:tcW w:w="5528" w:type="dxa"/>
            <w:tcBorders>
              <w:bottom w:val="single" w:sz="4" w:space="0" w:color="auto"/>
            </w:tcBorders>
            <w:shd w:val="clear" w:color="auto" w:fill="auto"/>
          </w:tcPr>
          <w:p w14:paraId="23B810A7" w14:textId="240CCB3B" w:rsidR="00E86C9A" w:rsidRPr="007D1C06" w:rsidRDefault="00E86C9A" w:rsidP="0093191B">
            <w:pPr>
              <w:pStyle w:val="PlainText"/>
              <w:rPr>
                <w:rFonts w:ascii="Calibri" w:hAnsi="Calibri" w:cs="Arial"/>
                <w:bCs/>
                <w:color w:val="000000"/>
              </w:rPr>
            </w:pPr>
            <w:r>
              <w:rPr>
                <w:rFonts w:ascii="Calibri" w:hAnsi="Calibri" w:cs="Arial"/>
                <w:bCs/>
                <w:color w:val="000000"/>
              </w:rPr>
              <w:t xml:space="preserve">The MTE has highlighted a number </w:t>
            </w:r>
            <w:r w:rsidR="0093191B">
              <w:rPr>
                <w:rFonts w:ascii="Calibri" w:hAnsi="Calibri" w:cs="Arial"/>
                <w:bCs/>
                <w:color w:val="000000"/>
              </w:rPr>
              <w:t xml:space="preserve">of issues that need addressing </w:t>
            </w:r>
            <w:r>
              <w:rPr>
                <w:rFonts w:ascii="Calibri" w:hAnsi="Calibri" w:cs="Arial"/>
                <w:bCs/>
                <w:color w:val="000000"/>
              </w:rPr>
              <w:t xml:space="preserve">or are in the process of being </w:t>
            </w:r>
            <w:proofErr w:type="gramStart"/>
            <w:r>
              <w:rPr>
                <w:rFonts w:ascii="Calibri" w:hAnsi="Calibri" w:cs="Arial"/>
                <w:bCs/>
                <w:color w:val="000000"/>
              </w:rPr>
              <w:t>addressed  by</w:t>
            </w:r>
            <w:proofErr w:type="gramEnd"/>
            <w:r>
              <w:rPr>
                <w:rFonts w:ascii="Calibri" w:hAnsi="Calibri" w:cs="Arial"/>
                <w:bCs/>
                <w:color w:val="000000"/>
              </w:rPr>
              <w:t xml:space="preserve"> the PCU and partners. The PCU </w:t>
            </w:r>
            <w:r w:rsidR="0093191B">
              <w:rPr>
                <w:rFonts w:ascii="Calibri" w:hAnsi="Calibri" w:cs="Arial"/>
                <w:bCs/>
                <w:color w:val="000000"/>
              </w:rPr>
              <w:t>personnel</w:t>
            </w:r>
            <w:r>
              <w:rPr>
                <w:rFonts w:ascii="Calibri" w:hAnsi="Calibri" w:cs="Arial"/>
                <w:bCs/>
                <w:color w:val="000000"/>
              </w:rPr>
              <w:t xml:space="preserve"> have adapted well to the split modality and multiple partners although not without some difficulties and PCU resources req</w:t>
            </w:r>
            <w:r w:rsidR="0093191B">
              <w:rPr>
                <w:rFonts w:ascii="Calibri" w:hAnsi="Calibri" w:cs="Arial"/>
                <w:bCs/>
                <w:color w:val="000000"/>
              </w:rPr>
              <w:t>uire further bolstering. The PSC</w:t>
            </w:r>
            <w:r>
              <w:rPr>
                <w:rFonts w:ascii="Calibri" w:hAnsi="Calibri" w:cs="Arial"/>
                <w:bCs/>
                <w:color w:val="000000"/>
              </w:rPr>
              <w:t xml:space="preserve"> needs to take a more proactive role in project support.  </w:t>
            </w:r>
          </w:p>
        </w:tc>
        <w:tc>
          <w:tcPr>
            <w:tcW w:w="1426" w:type="dxa"/>
            <w:tcBorders>
              <w:bottom w:val="single" w:sz="4" w:space="0" w:color="auto"/>
            </w:tcBorders>
            <w:shd w:val="clear" w:color="auto" w:fill="auto"/>
            <w:vAlign w:val="center"/>
          </w:tcPr>
          <w:p w14:paraId="67639C46" w14:textId="6C8B9F33"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570DAE82" w14:textId="77777777" w:rsidTr="000A4F2F">
        <w:tc>
          <w:tcPr>
            <w:tcW w:w="2376" w:type="dxa"/>
            <w:tcBorders>
              <w:bottom w:val="single" w:sz="4" w:space="0" w:color="auto"/>
            </w:tcBorders>
            <w:shd w:val="clear" w:color="auto" w:fill="auto"/>
          </w:tcPr>
          <w:p w14:paraId="09246E78" w14:textId="6D62CC60" w:rsidR="00E86C9A" w:rsidRPr="003A7869" w:rsidRDefault="00E86C9A" w:rsidP="003419D8">
            <w:pPr>
              <w:pStyle w:val="PlainText"/>
              <w:jc w:val="right"/>
              <w:rPr>
                <w:rFonts w:ascii="Calibri" w:hAnsi="Calibri" w:cs="Arial"/>
                <w:bCs/>
                <w:color w:val="000000"/>
              </w:rPr>
            </w:pPr>
            <w:r w:rsidRPr="003A7869">
              <w:rPr>
                <w:rFonts w:ascii="Calibri" w:hAnsi="Calibri" w:cs="Arial"/>
                <w:bCs/>
                <w:color w:val="000000"/>
              </w:rPr>
              <w:t>Stakeholders involvement</w:t>
            </w:r>
          </w:p>
        </w:tc>
        <w:tc>
          <w:tcPr>
            <w:tcW w:w="5528" w:type="dxa"/>
            <w:tcBorders>
              <w:bottom w:val="single" w:sz="4" w:space="0" w:color="auto"/>
            </w:tcBorders>
            <w:shd w:val="clear" w:color="auto" w:fill="auto"/>
          </w:tcPr>
          <w:p w14:paraId="0A1428EA" w14:textId="5A2CB885" w:rsidR="00E86C9A" w:rsidRPr="00121FEA" w:rsidRDefault="00E86C9A" w:rsidP="00E86C9A">
            <w:pPr>
              <w:jc w:val="both"/>
              <w:rPr>
                <w:rFonts w:asciiTheme="majorHAnsi" w:hAnsiTheme="majorHAnsi"/>
                <w:sz w:val="20"/>
                <w:szCs w:val="20"/>
              </w:rPr>
            </w:pPr>
            <w:r w:rsidRPr="00121FEA">
              <w:rPr>
                <w:rFonts w:asciiTheme="majorHAnsi" w:hAnsiTheme="majorHAnsi"/>
                <w:sz w:val="20"/>
                <w:szCs w:val="20"/>
              </w:rPr>
              <w:t>All key stakeholder groups have been actively involved in the IWC6, the Science Conference, workshops, regional meetings etc. Nevertheless   a key object</w:t>
            </w:r>
            <w:r w:rsidR="0093191B">
              <w:rPr>
                <w:rFonts w:asciiTheme="majorHAnsi" w:hAnsiTheme="majorHAnsi"/>
                <w:sz w:val="20"/>
                <w:szCs w:val="20"/>
              </w:rPr>
              <w:t xml:space="preserve">ive of the project is that the </w:t>
            </w:r>
            <w:r w:rsidRPr="00121FEA">
              <w:rPr>
                <w:rFonts w:asciiTheme="majorHAnsi" w:hAnsiTheme="majorHAnsi"/>
                <w:sz w:val="20"/>
                <w:szCs w:val="20"/>
              </w:rPr>
              <w:t xml:space="preserve">face-to-face collaborative interventions be enhanced via the communities of Practice but as discussed elsewhere in this report this has not to date met with any real success. </w:t>
            </w:r>
          </w:p>
          <w:p w14:paraId="55AEA777" w14:textId="02477305" w:rsidR="00E86C9A" w:rsidRPr="007D1C06" w:rsidRDefault="00E86C9A" w:rsidP="003419D8">
            <w:pPr>
              <w:pStyle w:val="PlainText"/>
              <w:rPr>
                <w:rFonts w:ascii="Calibri" w:hAnsi="Calibri" w:cs="Arial"/>
                <w:bCs/>
                <w:color w:val="000000"/>
              </w:rPr>
            </w:pPr>
          </w:p>
        </w:tc>
        <w:tc>
          <w:tcPr>
            <w:tcW w:w="1426" w:type="dxa"/>
            <w:tcBorders>
              <w:bottom w:val="single" w:sz="4" w:space="0" w:color="auto"/>
            </w:tcBorders>
            <w:shd w:val="clear" w:color="auto" w:fill="auto"/>
            <w:vAlign w:val="center"/>
          </w:tcPr>
          <w:p w14:paraId="285B7113" w14:textId="33E4D11F"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6CF1CBF2" w14:textId="77777777" w:rsidTr="000A4F2F">
        <w:tc>
          <w:tcPr>
            <w:tcW w:w="2376" w:type="dxa"/>
            <w:tcBorders>
              <w:bottom w:val="single" w:sz="4" w:space="0" w:color="auto"/>
            </w:tcBorders>
            <w:shd w:val="clear" w:color="auto" w:fill="auto"/>
          </w:tcPr>
          <w:p w14:paraId="42EC8B71" w14:textId="24100092" w:rsidR="00E86C9A" w:rsidRPr="003A7869" w:rsidRDefault="00E86C9A" w:rsidP="003419D8">
            <w:pPr>
              <w:pStyle w:val="PlainText"/>
              <w:jc w:val="right"/>
              <w:rPr>
                <w:rFonts w:ascii="Calibri" w:hAnsi="Calibri" w:cs="Arial"/>
                <w:bCs/>
                <w:color w:val="000000"/>
              </w:rPr>
            </w:pPr>
            <w:r w:rsidRPr="003A7869">
              <w:rPr>
                <w:rFonts w:ascii="Calibri" w:hAnsi="Calibri" w:cs="Arial"/>
                <w:bCs/>
                <w:color w:val="000000"/>
              </w:rPr>
              <w:t>Financial planning</w:t>
            </w:r>
            <w:r>
              <w:rPr>
                <w:rFonts w:ascii="Calibri" w:hAnsi="Calibri" w:cs="Arial"/>
                <w:bCs/>
                <w:color w:val="000000"/>
              </w:rPr>
              <w:t xml:space="preserve"> and management</w:t>
            </w:r>
          </w:p>
        </w:tc>
        <w:tc>
          <w:tcPr>
            <w:tcW w:w="5528" w:type="dxa"/>
            <w:tcBorders>
              <w:bottom w:val="single" w:sz="4" w:space="0" w:color="auto"/>
            </w:tcBorders>
            <w:shd w:val="clear" w:color="auto" w:fill="auto"/>
          </w:tcPr>
          <w:p w14:paraId="07AE3C34" w14:textId="3A29D2C3" w:rsidR="00E86C9A" w:rsidRPr="00E86C9A" w:rsidRDefault="00E86C9A" w:rsidP="003419D8">
            <w:pPr>
              <w:pStyle w:val="PlainText"/>
              <w:rPr>
                <w:rFonts w:ascii="Calibri" w:hAnsi="Calibri" w:cs="Arial"/>
                <w:bCs/>
                <w:color w:val="000000"/>
              </w:rPr>
            </w:pPr>
            <w:r w:rsidRPr="00E86C9A">
              <w:rPr>
                <w:rFonts w:asciiTheme="majorHAnsi" w:hAnsiTheme="majorHAnsi"/>
              </w:rPr>
              <w:t xml:space="preserve">Financial and administrative management have been carried out to the expected standards by both executing agencies. The PCU has monitored expenditures carefully throughout and has good controls in place.  Co-financing requires to be kept more up to date especially with regard to in-kind contributions. </w:t>
            </w:r>
          </w:p>
        </w:tc>
        <w:tc>
          <w:tcPr>
            <w:tcW w:w="1426" w:type="dxa"/>
            <w:tcBorders>
              <w:bottom w:val="single" w:sz="4" w:space="0" w:color="auto"/>
            </w:tcBorders>
            <w:shd w:val="clear" w:color="auto" w:fill="auto"/>
            <w:vAlign w:val="center"/>
          </w:tcPr>
          <w:p w14:paraId="42485BAD" w14:textId="70C79335" w:rsidR="00E86C9A" w:rsidRPr="007D1C06" w:rsidRDefault="00E86C9A" w:rsidP="003419D8">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E86C9A" w:rsidRPr="007D1C06" w14:paraId="0F10356B" w14:textId="77777777" w:rsidTr="003419D8">
        <w:tc>
          <w:tcPr>
            <w:tcW w:w="2376" w:type="dxa"/>
          </w:tcPr>
          <w:p w14:paraId="1329E36D" w14:textId="33675576" w:rsidR="00E86C9A" w:rsidRPr="007D1C06" w:rsidRDefault="00E86C9A" w:rsidP="003419D8">
            <w:pPr>
              <w:pStyle w:val="PlainText"/>
              <w:rPr>
                <w:rFonts w:ascii="Calibri" w:hAnsi="Calibri" w:cs="Arial"/>
                <w:b/>
                <w:bCs/>
                <w:color w:val="000000"/>
              </w:rPr>
            </w:pPr>
            <w:r w:rsidRPr="003A7869">
              <w:rPr>
                <w:rFonts w:ascii="Calibri" w:hAnsi="Calibri" w:cs="Arial"/>
                <w:bCs/>
                <w:color w:val="000000"/>
              </w:rPr>
              <w:t>UNDP</w:t>
            </w:r>
            <w:r>
              <w:rPr>
                <w:rFonts w:ascii="Calibri" w:hAnsi="Calibri" w:cs="Arial"/>
                <w:bCs/>
                <w:color w:val="000000"/>
              </w:rPr>
              <w:t xml:space="preserve"> and UNEP </w:t>
            </w:r>
            <w:r w:rsidRPr="003A7869">
              <w:rPr>
                <w:rFonts w:ascii="Calibri" w:hAnsi="Calibri" w:cs="Arial"/>
                <w:bCs/>
                <w:color w:val="000000"/>
              </w:rPr>
              <w:t xml:space="preserve">Supervision and backstopping </w:t>
            </w:r>
          </w:p>
        </w:tc>
        <w:tc>
          <w:tcPr>
            <w:tcW w:w="5528" w:type="dxa"/>
          </w:tcPr>
          <w:p w14:paraId="49067E46" w14:textId="1E46576D" w:rsidR="00E86C9A" w:rsidRPr="007D1C06" w:rsidRDefault="00E86C9A" w:rsidP="003419D8">
            <w:pPr>
              <w:pStyle w:val="PlainText"/>
              <w:rPr>
                <w:rFonts w:ascii="Calibri" w:hAnsi="Calibri" w:cs="Arial"/>
                <w:bCs/>
                <w:color w:val="000000"/>
              </w:rPr>
            </w:pPr>
            <w:r>
              <w:rPr>
                <w:rFonts w:ascii="Calibri" w:hAnsi="Calibri" w:cs="Arial"/>
                <w:bCs/>
                <w:color w:val="000000"/>
              </w:rPr>
              <w:t xml:space="preserve">The implementing agencies generally provide adequate supervision and backstopping.  </w:t>
            </w:r>
          </w:p>
        </w:tc>
        <w:tc>
          <w:tcPr>
            <w:tcW w:w="1426" w:type="dxa"/>
            <w:vAlign w:val="center"/>
          </w:tcPr>
          <w:p w14:paraId="19272DAE" w14:textId="0B94B5FC" w:rsidR="00E86C9A" w:rsidRPr="007D1C06" w:rsidRDefault="00E86C9A" w:rsidP="003419D8">
            <w:pPr>
              <w:pStyle w:val="BodyText2"/>
              <w:tabs>
                <w:tab w:val="num" w:pos="1440"/>
              </w:tabs>
              <w:spacing w:after="60"/>
              <w:ind w:right="173"/>
              <w:rPr>
                <w:rFonts w:ascii="Calibri" w:hAnsi="Calibri" w:cs="Arial"/>
                <w:bCs/>
                <w:sz w:val="20"/>
                <w:szCs w:val="20"/>
              </w:rPr>
            </w:pPr>
            <w:r>
              <w:rPr>
                <w:rFonts w:ascii="Calibri" w:hAnsi="Calibri" w:cs="Arial"/>
                <w:color w:val="000000"/>
                <w:sz w:val="20"/>
                <w:szCs w:val="20"/>
              </w:rPr>
              <w:t>S</w:t>
            </w:r>
          </w:p>
        </w:tc>
      </w:tr>
    </w:tbl>
    <w:p w14:paraId="21A2FAB7" w14:textId="77777777" w:rsidR="003419D8" w:rsidRDefault="003419D8" w:rsidP="002C2AE9"/>
    <w:p w14:paraId="0E3A9913" w14:textId="77777777" w:rsidR="00E86C9A" w:rsidRPr="008F7E64" w:rsidRDefault="00E86C9A" w:rsidP="00E86C9A">
      <w:pPr>
        <w:rPr>
          <w:rFonts w:asciiTheme="majorHAnsi" w:hAnsiTheme="majorHAnsi"/>
          <w:b/>
          <w:sz w:val="18"/>
          <w:szCs w:val="18"/>
        </w:rPr>
      </w:pPr>
      <w:r w:rsidRPr="008F7E64">
        <w:rPr>
          <w:rFonts w:asciiTheme="majorHAnsi" w:hAnsiTheme="majorHAnsi"/>
          <w:b/>
          <w:sz w:val="18"/>
          <w:szCs w:val="18"/>
        </w:rPr>
        <w:t xml:space="preserve">Explanation of </w:t>
      </w:r>
      <w:r>
        <w:rPr>
          <w:rFonts w:asciiTheme="majorHAnsi" w:hAnsiTheme="majorHAnsi"/>
          <w:b/>
          <w:sz w:val="18"/>
          <w:szCs w:val="18"/>
        </w:rPr>
        <w:t xml:space="preserve">the GEF </w:t>
      </w:r>
      <w:r w:rsidRPr="008F7E64">
        <w:rPr>
          <w:rFonts w:asciiTheme="majorHAnsi" w:hAnsiTheme="majorHAnsi"/>
          <w:b/>
          <w:sz w:val="18"/>
          <w:szCs w:val="18"/>
        </w:rPr>
        <w:t>ratings</w:t>
      </w:r>
      <w:r>
        <w:rPr>
          <w:rFonts w:asciiTheme="majorHAnsi" w:hAnsiTheme="majorHAnsi"/>
          <w:b/>
          <w:sz w:val="18"/>
          <w:szCs w:val="18"/>
        </w:rPr>
        <w:t xml:space="preserve"> utilised in this report. </w:t>
      </w:r>
    </w:p>
    <w:p w14:paraId="790F1F94" w14:textId="77777777" w:rsidR="00E86C9A" w:rsidRPr="008F7E64" w:rsidRDefault="00E86C9A" w:rsidP="00E86C9A">
      <w:pPr>
        <w:rPr>
          <w:rFonts w:asciiTheme="majorHAnsi" w:hAnsiTheme="majorHAnsi"/>
          <w:sz w:val="18"/>
          <w:szCs w:val="18"/>
        </w:rPr>
      </w:pPr>
      <w:r w:rsidRPr="008F7E64">
        <w:rPr>
          <w:rFonts w:asciiTheme="majorHAnsi" w:hAnsiTheme="majorHAnsi"/>
          <w:sz w:val="18"/>
          <w:szCs w:val="18"/>
        </w:rPr>
        <w:t>Rating of project objectives and results</w:t>
      </w:r>
    </w:p>
    <w:p w14:paraId="543B5B03" w14:textId="39FD6BC5" w:rsidR="00E86C9A" w:rsidRPr="008F7E64" w:rsidRDefault="00E86C9A"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Highly Satisfactory (HS):</w:t>
      </w:r>
      <w:r w:rsidRPr="008F7E64">
        <w:rPr>
          <w:rFonts w:asciiTheme="majorHAnsi" w:hAnsiTheme="majorHAnsi"/>
          <w:sz w:val="18"/>
          <w:szCs w:val="18"/>
        </w:rPr>
        <w:t xml:space="preserve">  The project had no shortcomings in the achievement of its objectives </w:t>
      </w:r>
    </w:p>
    <w:p w14:paraId="041F71D0" w14:textId="3E735216" w:rsidR="00E86C9A" w:rsidRPr="008F7E64" w:rsidRDefault="00E86C9A"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Satisfactory (S):</w:t>
      </w:r>
      <w:r w:rsidRPr="008F7E64">
        <w:rPr>
          <w:rFonts w:asciiTheme="majorHAnsi" w:hAnsiTheme="majorHAnsi"/>
          <w:sz w:val="18"/>
          <w:szCs w:val="18"/>
        </w:rPr>
        <w:t xml:space="preserve"> The project had minor shortcomings in the achievement of its objectives, </w:t>
      </w:r>
    </w:p>
    <w:p w14:paraId="455DE55F" w14:textId="63B614EC" w:rsidR="00E86C9A" w:rsidRPr="008F7E64" w:rsidRDefault="00E86C9A"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Moderately Satisfactory (MS):</w:t>
      </w:r>
      <w:r w:rsidRPr="008F7E64">
        <w:rPr>
          <w:rFonts w:asciiTheme="majorHAnsi" w:hAnsiTheme="majorHAnsi"/>
          <w:sz w:val="18"/>
          <w:szCs w:val="18"/>
        </w:rPr>
        <w:t xml:space="preserve"> The project had moderate shortcomings in the achievement of its objectives </w:t>
      </w:r>
    </w:p>
    <w:p w14:paraId="3E3538D1" w14:textId="5B4D7F3E" w:rsidR="00E86C9A" w:rsidRPr="008F7E64" w:rsidRDefault="00E86C9A"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Moderately Unsatisfactory (MU):</w:t>
      </w:r>
      <w:r w:rsidRPr="008F7E64">
        <w:rPr>
          <w:rFonts w:asciiTheme="majorHAnsi" w:hAnsiTheme="majorHAnsi"/>
          <w:sz w:val="18"/>
          <w:szCs w:val="18"/>
        </w:rPr>
        <w:t xml:space="preserve"> The project had significant shortcomings in the achievement of its objectives, </w:t>
      </w:r>
    </w:p>
    <w:p w14:paraId="1AD17275" w14:textId="26F23FC9" w:rsidR="00E86C9A" w:rsidRPr="008F7E64" w:rsidRDefault="00E86C9A"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 xml:space="preserve">Unsatisfactory (U) </w:t>
      </w:r>
      <w:r w:rsidRPr="008F7E64">
        <w:rPr>
          <w:rFonts w:asciiTheme="majorHAnsi" w:hAnsiTheme="majorHAnsi"/>
          <w:sz w:val="18"/>
          <w:szCs w:val="18"/>
        </w:rPr>
        <w:t xml:space="preserve">The project had major shortcomings in the achievement of its objectives, </w:t>
      </w:r>
    </w:p>
    <w:p w14:paraId="290768B0" w14:textId="77777777" w:rsidR="00C93D31" w:rsidRDefault="00E86C9A" w:rsidP="00623323">
      <w:pPr>
        <w:numPr>
          <w:ilvl w:val="0"/>
          <w:numId w:val="11"/>
        </w:numPr>
        <w:spacing w:after="200" w:line="276" w:lineRule="auto"/>
        <w:rPr>
          <w:rFonts w:asciiTheme="majorHAnsi" w:hAnsiTheme="majorHAnsi"/>
          <w:sz w:val="18"/>
          <w:szCs w:val="18"/>
        </w:rPr>
      </w:pPr>
      <w:r w:rsidRPr="00C93D31">
        <w:rPr>
          <w:rFonts w:asciiTheme="majorHAnsi" w:hAnsiTheme="majorHAnsi"/>
          <w:b/>
          <w:sz w:val="18"/>
          <w:szCs w:val="18"/>
        </w:rPr>
        <w:t>Highly Unsatisfactory (HU):</w:t>
      </w:r>
      <w:r w:rsidRPr="00C93D31">
        <w:rPr>
          <w:rFonts w:asciiTheme="majorHAnsi" w:hAnsiTheme="majorHAnsi"/>
          <w:sz w:val="18"/>
          <w:szCs w:val="18"/>
        </w:rPr>
        <w:t xml:space="preserve"> The project had severe shortcomings in the achievement of its objectives, </w:t>
      </w:r>
    </w:p>
    <w:p w14:paraId="344F2906" w14:textId="1C4800CE" w:rsidR="00E86C9A" w:rsidRPr="00C93D31" w:rsidRDefault="00E86C9A" w:rsidP="00C93D31">
      <w:pPr>
        <w:rPr>
          <w:rFonts w:asciiTheme="majorHAnsi" w:hAnsiTheme="majorHAnsi"/>
          <w:sz w:val="18"/>
          <w:szCs w:val="18"/>
        </w:rPr>
      </w:pPr>
      <w:r w:rsidRPr="00C93D31">
        <w:rPr>
          <w:rFonts w:asciiTheme="majorHAnsi" w:hAnsiTheme="majorHAnsi"/>
          <w:sz w:val="18"/>
          <w:szCs w:val="18"/>
        </w:rPr>
        <w:t>Ratings on sustainability</w:t>
      </w:r>
    </w:p>
    <w:p w14:paraId="5BE58FBD" w14:textId="77777777" w:rsidR="00E86C9A" w:rsidRPr="00AD2FAA" w:rsidRDefault="00E86C9A" w:rsidP="00623323">
      <w:pPr>
        <w:numPr>
          <w:ilvl w:val="0"/>
          <w:numId w:val="12"/>
        </w:numPr>
        <w:spacing w:line="276" w:lineRule="auto"/>
        <w:rPr>
          <w:rFonts w:asciiTheme="majorHAnsi" w:hAnsiTheme="majorHAnsi"/>
          <w:b/>
          <w:sz w:val="18"/>
          <w:szCs w:val="18"/>
        </w:rPr>
      </w:pPr>
      <w:r w:rsidRPr="00AD2FAA">
        <w:rPr>
          <w:rFonts w:asciiTheme="majorHAnsi" w:hAnsiTheme="majorHAnsi"/>
          <w:b/>
          <w:sz w:val="18"/>
          <w:szCs w:val="18"/>
        </w:rPr>
        <w:t>Likely (L): There are no risks affecting this dimension of sustainability.</w:t>
      </w:r>
    </w:p>
    <w:p w14:paraId="10C82738" w14:textId="77777777" w:rsidR="00E86C9A" w:rsidRPr="00AD2FAA" w:rsidRDefault="00E86C9A" w:rsidP="00623323">
      <w:pPr>
        <w:numPr>
          <w:ilvl w:val="0"/>
          <w:numId w:val="12"/>
        </w:numPr>
        <w:spacing w:line="276" w:lineRule="auto"/>
        <w:rPr>
          <w:rFonts w:asciiTheme="majorHAnsi" w:hAnsiTheme="majorHAnsi"/>
          <w:b/>
          <w:sz w:val="18"/>
          <w:szCs w:val="18"/>
        </w:rPr>
      </w:pPr>
      <w:r w:rsidRPr="008F7E64">
        <w:rPr>
          <w:rFonts w:asciiTheme="majorHAnsi" w:hAnsiTheme="majorHAnsi"/>
          <w:b/>
          <w:sz w:val="18"/>
          <w:szCs w:val="18"/>
        </w:rPr>
        <w:t>Moderately Likely (ML).</w:t>
      </w:r>
      <w:r w:rsidRPr="00AD2FAA">
        <w:rPr>
          <w:rFonts w:asciiTheme="majorHAnsi" w:hAnsiTheme="majorHAnsi"/>
          <w:b/>
          <w:sz w:val="18"/>
          <w:szCs w:val="18"/>
        </w:rPr>
        <w:t xml:space="preserve"> There are moderate risks that affect this dimension of sustainability.</w:t>
      </w:r>
    </w:p>
    <w:p w14:paraId="699555D9" w14:textId="77777777" w:rsidR="00E86C9A" w:rsidRPr="008F7E64" w:rsidRDefault="00E86C9A" w:rsidP="00623323">
      <w:pPr>
        <w:numPr>
          <w:ilvl w:val="0"/>
          <w:numId w:val="12"/>
        </w:numPr>
        <w:spacing w:line="276" w:lineRule="auto"/>
        <w:rPr>
          <w:rFonts w:asciiTheme="majorHAnsi" w:hAnsiTheme="majorHAnsi"/>
          <w:sz w:val="18"/>
          <w:szCs w:val="18"/>
        </w:rPr>
      </w:pPr>
      <w:r w:rsidRPr="008F7E64">
        <w:rPr>
          <w:rFonts w:asciiTheme="majorHAnsi" w:hAnsiTheme="majorHAnsi"/>
          <w:b/>
          <w:sz w:val="18"/>
          <w:szCs w:val="18"/>
        </w:rPr>
        <w:t>Moderately Unlikely (MU):</w:t>
      </w:r>
      <w:r w:rsidRPr="008F7E64">
        <w:rPr>
          <w:rFonts w:asciiTheme="majorHAnsi" w:hAnsiTheme="majorHAnsi"/>
          <w:sz w:val="18"/>
          <w:szCs w:val="18"/>
        </w:rPr>
        <w:t xml:space="preserve"> There are significant risks that affect this dimension of sustainability</w:t>
      </w:r>
    </w:p>
    <w:p w14:paraId="210B631D" w14:textId="77777777" w:rsidR="00E86C9A" w:rsidRPr="008F7E64" w:rsidRDefault="00E86C9A" w:rsidP="00623323">
      <w:pPr>
        <w:numPr>
          <w:ilvl w:val="0"/>
          <w:numId w:val="12"/>
        </w:numPr>
        <w:spacing w:after="200" w:line="276" w:lineRule="auto"/>
        <w:rPr>
          <w:rFonts w:asciiTheme="majorHAnsi" w:hAnsiTheme="majorHAnsi"/>
          <w:sz w:val="18"/>
          <w:szCs w:val="18"/>
        </w:rPr>
      </w:pPr>
      <w:r w:rsidRPr="008F7E64">
        <w:rPr>
          <w:rFonts w:asciiTheme="majorHAnsi" w:hAnsiTheme="majorHAnsi"/>
          <w:b/>
          <w:sz w:val="18"/>
          <w:szCs w:val="18"/>
        </w:rPr>
        <w:t>Unlikely (U):</w:t>
      </w:r>
      <w:r w:rsidRPr="008F7E64">
        <w:rPr>
          <w:rFonts w:asciiTheme="majorHAnsi" w:hAnsiTheme="majorHAnsi"/>
          <w:sz w:val="18"/>
          <w:szCs w:val="18"/>
        </w:rPr>
        <w:t xml:space="preserve"> There are severe risks that affect this dimension of sustainability. </w:t>
      </w:r>
    </w:p>
    <w:p w14:paraId="4CE61DFC" w14:textId="77777777" w:rsidR="00E86C9A" w:rsidRPr="008F7E64" w:rsidRDefault="00E86C9A" w:rsidP="00E86C9A">
      <w:pPr>
        <w:rPr>
          <w:rFonts w:asciiTheme="majorHAnsi" w:hAnsiTheme="majorHAnsi"/>
          <w:sz w:val="18"/>
          <w:szCs w:val="18"/>
        </w:rPr>
      </w:pPr>
      <w:r w:rsidRPr="008F7E64">
        <w:rPr>
          <w:rFonts w:asciiTheme="majorHAnsi" w:hAnsiTheme="majorHAnsi"/>
          <w:sz w:val="18"/>
          <w:szCs w:val="18"/>
        </w:rPr>
        <w:t>Ratings of project M&amp;E</w:t>
      </w:r>
    </w:p>
    <w:p w14:paraId="33192D35" w14:textId="77777777" w:rsidR="00E86C9A" w:rsidRPr="008F7E64" w:rsidRDefault="00E86C9A"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Highly Satisfactory (HS):</w:t>
      </w:r>
      <w:r w:rsidRPr="008F7E64">
        <w:rPr>
          <w:rFonts w:asciiTheme="majorHAnsi" w:hAnsiTheme="majorHAnsi"/>
          <w:sz w:val="18"/>
          <w:szCs w:val="18"/>
        </w:rPr>
        <w:t xml:space="preserve"> There were no shortcomings in the project M&amp;E system. </w:t>
      </w:r>
    </w:p>
    <w:p w14:paraId="67E809DE" w14:textId="77777777" w:rsidR="00E86C9A" w:rsidRPr="008F7E64" w:rsidRDefault="00E86C9A" w:rsidP="00623323">
      <w:pPr>
        <w:numPr>
          <w:ilvl w:val="0"/>
          <w:numId w:val="13"/>
        </w:numPr>
        <w:spacing w:line="276" w:lineRule="auto"/>
        <w:rPr>
          <w:rFonts w:asciiTheme="majorHAnsi" w:hAnsiTheme="majorHAnsi"/>
          <w:sz w:val="18"/>
          <w:szCs w:val="18"/>
        </w:rPr>
      </w:pPr>
      <w:proofErr w:type="gramStart"/>
      <w:r w:rsidRPr="008F7E64">
        <w:rPr>
          <w:rFonts w:asciiTheme="majorHAnsi" w:hAnsiTheme="majorHAnsi"/>
          <w:b/>
          <w:sz w:val="18"/>
          <w:szCs w:val="18"/>
        </w:rPr>
        <w:t>Satisfactory(</w:t>
      </w:r>
      <w:proofErr w:type="gramEnd"/>
      <w:r w:rsidRPr="008F7E64">
        <w:rPr>
          <w:rFonts w:asciiTheme="majorHAnsi" w:hAnsiTheme="majorHAnsi"/>
          <w:b/>
          <w:sz w:val="18"/>
          <w:szCs w:val="18"/>
        </w:rPr>
        <w:t>S):</w:t>
      </w:r>
      <w:r w:rsidRPr="008F7E64">
        <w:rPr>
          <w:rFonts w:asciiTheme="majorHAnsi" w:hAnsiTheme="majorHAnsi"/>
          <w:sz w:val="18"/>
          <w:szCs w:val="18"/>
        </w:rPr>
        <w:t xml:space="preserve"> There were minor shortcomings in the project M&amp;E system.   </w:t>
      </w:r>
    </w:p>
    <w:p w14:paraId="4BCF6BA7" w14:textId="77777777" w:rsidR="00E86C9A" w:rsidRPr="008F7E64" w:rsidRDefault="00E86C9A"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 xml:space="preserve">Moderately Satisfactory (MS): </w:t>
      </w:r>
      <w:r w:rsidRPr="008F7E64">
        <w:rPr>
          <w:rFonts w:asciiTheme="majorHAnsi" w:hAnsiTheme="majorHAnsi"/>
          <w:sz w:val="18"/>
          <w:szCs w:val="18"/>
        </w:rPr>
        <w:t xml:space="preserve">There were moderate shortcomings in the project M&amp;E system.  </w:t>
      </w:r>
    </w:p>
    <w:p w14:paraId="6F61D5FC" w14:textId="77777777" w:rsidR="00E86C9A" w:rsidRPr="008F7E64" w:rsidRDefault="00E86C9A"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Moderately Unsatisfactory (MU):</w:t>
      </w:r>
      <w:r w:rsidRPr="008F7E64">
        <w:rPr>
          <w:rFonts w:asciiTheme="majorHAnsi" w:hAnsiTheme="majorHAnsi"/>
          <w:sz w:val="18"/>
          <w:szCs w:val="18"/>
        </w:rPr>
        <w:t xml:space="preserve"> There were significant shortcomings in the project M&amp;E system. </w:t>
      </w:r>
    </w:p>
    <w:p w14:paraId="175B091A" w14:textId="77777777" w:rsidR="00E86C9A" w:rsidRPr="008F7E64" w:rsidRDefault="00E86C9A"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 xml:space="preserve">Unsatisfactory (U): </w:t>
      </w:r>
      <w:r w:rsidRPr="008F7E64">
        <w:rPr>
          <w:rFonts w:asciiTheme="majorHAnsi" w:hAnsiTheme="majorHAnsi"/>
          <w:sz w:val="18"/>
          <w:szCs w:val="18"/>
        </w:rPr>
        <w:t xml:space="preserve">There were major shortcomings in the project M&amp;E system.      </w:t>
      </w:r>
    </w:p>
    <w:p w14:paraId="1A78FB4C" w14:textId="77777777" w:rsidR="00E86C9A" w:rsidRPr="008F7E64" w:rsidRDefault="00E86C9A" w:rsidP="00623323">
      <w:pPr>
        <w:numPr>
          <w:ilvl w:val="0"/>
          <w:numId w:val="13"/>
        </w:numPr>
        <w:spacing w:after="200" w:line="276" w:lineRule="auto"/>
        <w:rPr>
          <w:rFonts w:asciiTheme="majorHAnsi" w:hAnsiTheme="majorHAnsi"/>
          <w:sz w:val="18"/>
          <w:szCs w:val="18"/>
        </w:rPr>
      </w:pPr>
      <w:r w:rsidRPr="008F7E64">
        <w:rPr>
          <w:rFonts w:asciiTheme="majorHAnsi" w:hAnsiTheme="majorHAnsi"/>
          <w:b/>
          <w:sz w:val="18"/>
          <w:szCs w:val="18"/>
        </w:rPr>
        <w:t>Highly Unsatisfactory (HU):</w:t>
      </w:r>
      <w:r w:rsidRPr="008F7E64">
        <w:rPr>
          <w:rFonts w:asciiTheme="majorHAnsi" w:hAnsiTheme="majorHAnsi"/>
          <w:sz w:val="18"/>
          <w:szCs w:val="18"/>
        </w:rPr>
        <w:t xml:space="preserve"> The Project had no M&amp;E system.</w:t>
      </w:r>
    </w:p>
    <w:p w14:paraId="2E4D45B6" w14:textId="77777777" w:rsidR="00E86C9A" w:rsidRPr="008F7E64" w:rsidRDefault="00E86C9A" w:rsidP="00E86C9A">
      <w:pPr>
        <w:rPr>
          <w:rFonts w:asciiTheme="majorHAnsi" w:hAnsiTheme="majorHAnsi"/>
          <w:sz w:val="18"/>
          <w:szCs w:val="18"/>
        </w:rPr>
      </w:pPr>
      <w:r w:rsidRPr="008F7E64">
        <w:rPr>
          <w:rFonts w:asciiTheme="majorHAnsi" w:hAnsiTheme="majorHAnsi"/>
          <w:sz w:val="18"/>
          <w:szCs w:val="18"/>
        </w:rPr>
        <w:t xml:space="preserve">All other ratings will be on the GEF </w:t>
      </w:r>
      <w:proofErr w:type="gramStart"/>
      <w:r w:rsidRPr="008F7E64">
        <w:rPr>
          <w:rFonts w:asciiTheme="majorHAnsi" w:hAnsiTheme="majorHAnsi"/>
          <w:sz w:val="18"/>
          <w:szCs w:val="18"/>
        </w:rPr>
        <w:t>six point</w:t>
      </w:r>
      <w:proofErr w:type="gramEnd"/>
      <w:r w:rsidRPr="008F7E64">
        <w:rPr>
          <w:rFonts w:asciiTheme="majorHAnsi" w:hAnsiTheme="majorHAnsi"/>
          <w:sz w:val="18"/>
          <w:szCs w:val="18"/>
        </w:rPr>
        <w:t xml:space="preserve"> scale (HS – HU).</w:t>
      </w:r>
    </w:p>
    <w:p w14:paraId="19A5F1D1" w14:textId="77777777" w:rsidR="00E86C9A" w:rsidRDefault="00E86C9A" w:rsidP="002C2AE9"/>
    <w:p w14:paraId="5C09B1F1" w14:textId="77777777" w:rsidR="002B7EF2" w:rsidRDefault="002B7EF2" w:rsidP="002B7EF2">
      <w:pPr>
        <w:pStyle w:val="Heading3"/>
        <w:numPr>
          <w:ilvl w:val="0"/>
          <w:numId w:val="0"/>
        </w:numPr>
      </w:pPr>
      <w:r w:rsidRPr="007D1C06">
        <w:t>Lessons Learned</w:t>
      </w:r>
    </w:p>
    <w:p w14:paraId="7AFC406A" w14:textId="77777777" w:rsidR="002B7EF2" w:rsidRPr="00797CF4" w:rsidRDefault="002B7EF2" w:rsidP="002B7EF2"/>
    <w:p w14:paraId="3A4028DB" w14:textId="77777777" w:rsidR="002B7EF2" w:rsidRPr="00797CF4" w:rsidRDefault="002B7EF2" w:rsidP="00623323">
      <w:pPr>
        <w:pStyle w:val="ListParagraph"/>
        <w:numPr>
          <w:ilvl w:val="0"/>
          <w:numId w:val="17"/>
        </w:numPr>
        <w:ind w:left="426"/>
        <w:jc w:val="both"/>
        <w:rPr>
          <w:rFonts w:asciiTheme="majorHAnsi" w:hAnsiTheme="majorHAnsi"/>
        </w:rPr>
      </w:pPr>
      <w:r w:rsidRPr="00797CF4">
        <w:rPr>
          <w:rFonts w:asciiTheme="majorHAnsi" w:hAnsiTheme="majorHAnsi"/>
        </w:rPr>
        <w:t xml:space="preserve">The demand for IW LEARN services to the GEF IW Portfolio remains strong providing as they do critical knowledge management services both online and through the various face-to-face events.  Without these the IW portfolio as a whole be much less cost effective as valuable knowledge would be lost or underutilised.  However an overarching knowledge management strategy is lacking and should be developed if further IW LEARN projects are developed to better direct and focus the available resources and avoid some of the current fragmentation.  </w:t>
      </w:r>
    </w:p>
    <w:p w14:paraId="4A6C2742" w14:textId="77777777" w:rsidR="002B7EF2" w:rsidRDefault="002B7EF2" w:rsidP="002B7EF2">
      <w:pPr>
        <w:jc w:val="both"/>
        <w:rPr>
          <w:rFonts w:asciiTheme="majorHAnsi" w:hAnsiTheme="majorHAnsi"/>
          <w:sz w:val="22"/>
          <w:szCs w:val="22"/>
        </w:rPr>
      </w:pPr>
    </w:p>
    <w:p w14:paraId="322AF6AE" w14:textId="77777777" w:rsidR="002B7EF2" w:rsidRPr="00797CF4" w:rsidRDefault="002B7EF2" w:rsidP="00623323">
      <w:pPr>
        <w:pStyle w:val="ListParagraph"/>
        <w:numPr>
          <w:ilvl w:val="0"/>
          <w:numId w:val="17"/>
        </w:numPr>
        <w:jc w:val="both"/>
        <w:rPr>
          <w:rFonts w:asciiTheme="majorHAnsi" w:hAnsiTheme="majorHAnsi"/>
        </w:rPr>
      </w:pPr>
      <w:r w:rsidRPr="00797CF4">
        <w:rPr>
          <w:rFonts w:asciiTheme="majorHAnsi" w:hAnsiTheme="majorHAnsi"/>
        </w:rPr>
        <w:t>The IW biennial Conferences remain the jewel in the crown of IW</w:t>
      </w:r>
      <w:proofErr w:type="gramStart"/>
      <w:r w:rsidRPr="00797CF4">
        <w:rPr>
          <w:rFonts w:asciiTheme="majorHAnsi" w:hAnsiTheme="majorHAnsi"/>
        </w:rPr>
        <w:t>:LEARN</w:t>
      </w:r>
      <w:proofErr w:type="gramEnd"/>
      <w:r w:rsidRPr="00797CF4">
        <w:rPr>
          <w:rFonts w:asciiTheme="majorHAnsi" w:hAnsiTheme="majorHAnsi"/>
        </w:rPr>
        <w:t xml:space="preserve"> providing as they do an unrivalled opportunity for all stakeholders to meet and exchange experiences and ideas both formally and informally on the challenges of TWRM. There is little doubt that project implementation and formulation gain important benefits which are passed on to the ultimate beneficiaries, the governments and citizens of participating countries in the form of more effective and efficient IW projects. </w:t>
      </w:r>
    </w:p>
    <w:p w14:paraId="354633AC" w14:textId="77777777" w:rsidR="002B7EF2" w:rsidRPr="00161454" w:rsidRDefault="002B7EF2" w:rsidP="002B7EF2">
      <w:pPr>
        <w:jc w:val="both"/>
        <w:rPr>
          <w:rFonts w:asciiTheme="majorHAnsi" w:hAnsiTheme="majorHAnsi"/>
          <w:sz w:val="22"/>
          <w:szCs w:val="22"/>
        </w:rPr>
      </w:pPr>
    </w:p>
    <w:p w14:paraId="61392BBE" w14:textId="77777777" w:rsidR="002B7EF2" w:rsidRPr="00797CF4" w:rsidRDefault="002B7EF2" w:rsidP="00623323">
      <w:pPr>
        <w:pStyle w:val="ListParagraph"/>
        <w:numPr>
          <w:ilvl w:val="0"/>
          <w:numId w:val="17"/>
        </w:numPr>
        <w:jc w:val="both"/>
        <w:rPr>
          <w:rFonts w:asciiTheme="majorHAnsi" w:hAnsiTheme="majorHAnsi"/>
        </w:rPr>
      </w:pPr>
      <w:r w:rsidRPr="00797CF4">
        <w:rPr>
          <w:rFonts w:asciiTheme="majorHAnsi" w:hAnsiTheme="majorHAnsi"/>
        </w:rPr>
        <w:t>A wide range of stakeholders, particularly project managers and their technical staff, benefit from IW LEARN but they are still far less forthcoming in contributing to IW LEARN. This is particularly apparent in the failure of the Communities of Practice to gain traction and whereas this may, in part, be owing to shortcomings in the ICT platform it seems to be largely because Project Managers do not feel there is sufficient benefit from participation such that they are willing to allocate their time which is in constant demand from immediate project exigencies.  It is not clear how, or indeed if</w:t>
      </w:r>
      <w:proofErr w:type="gramStart"/>
      <w:r w:rsidRPr="00797CF4">
        <w:rPr>
          <w:rFonts w:asciiTheme="majorHAnsi" w:hAnsiTheme="majorHAnsi"/>
        </w:rPr>
        <w:t>,  these</w:t>
      </w:r>
      <w:proofErr w:type="gramEnd"/>
      <w:r w:rsidRPr="00797CF4">
        <w:rPr>
          <w:rFonts w:asciiTheme="majorHAnsi" w:hAnsiTheme="majorHAnsi"/>
        </w:rPr>
        <w:t xml:space="preserve"> difficulties can be overcome and future IW LEARN projects should be wary of repeating the same model but rather seek alternative means of achieving the ends the </w:t>
      </w:r>
      <w:proofErr w:type="spellStart"/>
      <w:r w:rsidRPr="00797CF4">
        <w:rPr>
          <w:rFonts w:asciiTheme="majorHAnsi" w:hAnsiTheme="majorHAnsi"/>
        </w:rPr>
        <w:t>CoPs</w:t>
      </w:r>
      <w:proofErr w:type="spellEnd"/>
      <w:r w:rsidRPr="00797CF4">
        <w:rPr>
          <w:rFonts w:asciiTheme="majorHAnsi" w:hAnsiTheme="majorHAnsi"/>
        </w:rPr>
        <w:t xml:space="preserve"> were intended to meet.  </w:t>
      </w:r>
    </w:p>
    <w:p w14:paraId="69500531" w14:textId="77777777" w:rsidR="002B7EF2" w:rsidRPr="00161454" w:rsidRDefault="002B7EF2" w:rsidP="002B7EF2">
      <w:pPr>
        <w:jc w:val="both"/>
        <w:rPr>
          <w:rFonts w:asciiTheme="majorHAnsi" w:hAnsiTheme="majorHAnsi"/>
          <w:sz w:val="22"/>
          <w:szCs w:val="22"/>
        </w:rPr>
      </w:pPr>
    </w:p>
    <w:p w14:paraId="3DE41B97" w14:textId="77777777" w:rsidR="002B7EF2" w:rsidRPr="00797CF4" w:rsidRDefault="002B7EF2" w:rsidP="00623323">
      <w:pPr>
        <w:pStyle w:val="ListParagraph"/>
        <w:numPr>
          <w:ilvl w:val="0"/>
          <w:numId w:val="17"/>
        </w:numPr>
        <w:jc w:val="both"/>
        <w:rPr>
          <w:rFonts w:asciiTheme="majorHAnsi" w:hAnsiTheme="majorHAnsi"/>
        </w:rPr>
      </w:pPr>
      <w:r w:rsidRPr="00797CF4">
        <w:rPr>
          <w:rFonts w:asciiTheme="majorHAnsi" w:hAnsiTheme="majorHAnsi"/>
        </w:rPr>
        <w:t xml:space="preserve">Design specifications for all the ICT platform improvements should have been determined at the start of the project with clear agreement from all key stakeholders. Constant, changes and requests for alterations or new features seriously </w:t>
      </w:r>
      <w:proofErr w:type="gramStart"/>
      <w:r w:rsidRPr="00797CF4">
        <w:rPr>
          <w:rFonts w:asciiTheme="majorHAnsi" w:hAnsiTheme="majorHAnsi"/>
        </w:rPr>
        <w:t>diverts</w:t>
      </w:r>
      <w:proofErr w:type="gramEnd"/>
      <w:r w:rsidRPr="00797CF4">
        <w:rPr>
          <w:rFonts w:asciiTheme="majorHAnsi" w:hAnsiTheme="majorHAnsi"/>
        </w:rPr>
        <w:t xml:space="preserve"> resources from the pursuit of the projects main objectives. </w:t>
      </w:r>
    </w:p>
    <w:p w14:paraId="7303542F" w14:textId="77777777" w:rsidR="002B7EF2" w:rsidRPr="00161454" w:rsidRDefault="002B7EF2" w:rsidP="002B7EF2">
      <w:pPr>
        <w:jc w:val="both"/>
        <w:rPr>
          <w:rFonts w:asciiTheme="majorHAnsi" w:hAnsiTheme="majorHAnsi"/>
          <w:sz w:val="22"/>
          <w:szCs w:val="22"/>
        </w:rPr>
      </w:pPr>
    </w:p>
    <w:p w14:paraId="61C1713B" w14:textId="77777777" w:rsidR="002B7EF2" w:rsidRPr="00797CF4" w:rsidRDefault="002B7EF2" w:rsidP="00623323">
      <w:pPr>
        <w:pStyle w:val="ListParagraph"/>
        <w:numPr>
          <w:ilvl w:val="0"/>
          <w:numId w:val="17"/>
        </w:numPr>
        <w:jc w:val="both"/>
        <w:rPr>
          <w:rFonts w:asciiTheme="majorHAnsi" w:hAnsiTheme="majorHAnsi"/>
        </w:rPr>
      </w:pPr>
      <w:r w:rsidRPr="00797CF4">
        <w:rPr>
          <w:rFonts w:asciiTheme="majorHAnsi" w:hAnsiTheme="majorHAnsi"/>
        </w:rPr>
        <w:t xml:space="preserve">Dual IAs and EAs while perhaps desirable from an internal UN perspective is inefficient if partnering agencies still have to adhere to their different operational modalities. Any future IW LEARN projects should have a single IA and single EA. Expertise and support from other UN agencies is better brought in via more straightforward interagency cooperation agreements.   </w:t>
      </w:r>
    </w:p>
    <w:p w14:paraId="5521BC79" w14:textId="77777777" w:rsidR="002B7EF2" w:rsidRPr="00161454" w:rsidRDefault="002B7EF2" w:rsidP="002B7EF2">
      <w:pPr>
        <w:jc w:val="both"/>
        <w:rPr>
          <w:rFonts w:asciiTheme="majorHAnsi" w:hAnsiTheme="majorHAnsi"/>
          <w:sz w:val="22"/>
          <w:szCs w:val="22"/>
        </w:rPr>
      </w:pPr>
    </w:p>
    <w:p w14:paraId="0A485835" w14:textId="77777777" w:rsidR="002B7EF2" w:rsidRPr="00797CF4" w:rsidRDefault="002B7EF2" w:rsidP="00623323">
      <w:pPr>
        <w:pStyle w:val="ListParagraph"/>
        <w:numPr>
          <w:ilvl w:val="0"/>
          <w:numId w:val="17"/>
        </w:numPr>
        <w:jc w:val="both"/>
        <w:rPr>
          <w:rFonts w:asciiTheme="majorHAnsi" w:hAnsiTheme="majorHAnsi"/>
        </w:rPr>
      </w:pPr>
      <w:r w:rsidRPr="00797CF4">
        <w:rPr>
          <w:rFonts w:asciiTheme="majorHAnsi" w:hAnsiTheme="majorHAnsi"/>
        </w:rPr>
        <w:t>A complex project structure with multiple sub-components and partner agencies is not a good model for maximum impact as the key management resources of the PCU become overstretched especially when these are limited. A structure more focused on the core services would yield greater cost benefits to the IW Portfolio as a whole.</w:t>
      </w:r>
    </w:p>
    <w:p w14:paraId="146CB276" w14:textId="77777777" w:rsidR="002B7EF2" w:rsidRDefault="002B7EF2" w:rsidP="002B7EF2">
      <w:pPr>
        <w:jc w:val="both"/>
        <w:rPr>
          <w:rFonts w:asciiTheme="majorHAnsi" w:hAnsiTheme="majorHAnsi"/>
          <w:sz w:val="22"/>
          <w:szCs w:val="22"/>
        </w:rPr>
      </w:pPr>
    </w:p>
    <w:p w14:paraId="29071E1A" w14:textId="77777777" w:rsidR="002B7EF2" w:rsidRDefault="002B7EF2" w:rsidP="002B7EF2">
      <w:pPr>
        <w:pStyle w:val="Heading3"/>
        <w:numPr>
          <w:ilvl w:val="0"/>
          <w:numId w:val="0"/>
        </w:numPr>
      </w:pPr>
      <w:r w:rsidRPr="007D1C06">
        <w:t>Recommendations</w:t>
      </w:r>
    </w:p>
    <w:p w14:paraId="37882C09" w14:textId="77777777" w:rsidR="002B7EF2" w:rsidRDefault="002B7EF2" w:rsidP="002C2AE9"/>
    <w:p w14:paraId="078F03EB" w14:textId="77777777" w:rsidR="002B7EF2" w:rsidRPr="00741F29" w:rsidRDefault="002B7EF2" w:rsidP="002B7EF2">
      <w:pPr>
        <w:jc w:val="both"/>
        <w:rPr>
          <w:rFonts w:asciiTheme="majorHAnsi" w:hAnsiTheme="majorHAnsi"/>
          <w:sz w:val="22"/>
          <w:szCs w:val="22"/>
        </w:rPr>
      </w:pPr>
      <w:r w:rsidRPr="00741F29">
        <w:rPr>
          <w:rFonts w:asciiTheme="majorHAnsi" w:hAnsiTheme="majorHAnsi"/>
          <w:sz w:val="22"/>
          <w:szCs w:val="22"/>
        </w:rPr>
        <w:t xml:space="preserve">The MTE makes the following recommendations to help ensure the project achieves its objectives: </w:t>
      </w:r>
    </w:p>
    <w:p w14:paraId="14960838" w14:textId="77777777" w:rsidR="002B7EF2" w:rsidRPr="00741F29" w:rsidRDefault="002B7EF2" w:rsidP="002B7EF2">
      <w:pPr>
        <w:jc w:val="both"/>
        <w:rPr>
          <w:rFonts w:asciiTheme="majorHAnsi" w:hAnsiTheme="majorHAnsi"/>
        </w:rPr>
      </w:pPr>
    </w:p>
    <w:p w14:paraId="5AC616E3" w14:textId="77777777" w:rsidR="002B7EF2" w:rsidRPr="00741F29" w:rsidRDefault="002B7EF2" w:rsidP="00623323">
      <w:pPr>
        <w:pStyle w:val="ListParagraph"/>
        <w:numPr>
          <w:ilvl w:val="0"/>
          <w:numId w:val="14"/>
        </w:numPr>
        <w:ind w:left="426"/>
        <w:jc w:val="both"/>
        <w:rPr>
          <w:rFonts w:asciiTheme="majorHAnsi" w:hAnsiTheme="majorHAnsi"/>
        </w:rPr>
      </w:pPr>
      <w:r>
        <w:rPr>
          <w:rFonts w:asciiTheme="majorHAnsi" w:hAnsiTheme="majorHAnsi"/>
        </w:rPr>
        <w:t xml:space="preserve">Decisions and agreed actions from the </w:t>
      </w:r>
      <w:r w:rsidRPr="00741F29">
        <w:rPr>
          <w:rFonts w:asciiTheme="majorHAnsi" w:hAnsiTheme="majorHAnsi"/>
        </w:rPr>
        <w:t xml:space="preserve">January </w:t>
      </w:r>
      <w:r>
        <w:rPr>
          <w:rFonts w:asciiTheme="majorHAnsi" w:hAnsiTheme="majorHAnsi"/>
        </w:rPr>
        <w:t xml:space="preserve">2013 </w:t>
      </w:r>
      <w:r w:rsidRPr="00741F29">
        <w:rPr>
          <w:rFonts w:asciiTheme="majorHAnsi" w:hAnsiTheme="majorHAnsi"/>
        </w:rPr>
        <w:t>SCM should be rigorously followed up by the PCU and partner agencies.  SC members should be kept informed of progress and take a pro-active role response to requests for support and or action from PCU.  Key among these are:</w:t>
      </w:r>
    </w:p>
    <w:p w14:paraId="7C68E927" w14:textId="77777777" w:rsidR="002B7EF2" w:rsidRPr="00741F29" w:rsidRDefault="002B7EF2" w:rsidP="002B7EF2">
      <w:pPr>
        <w:jc w:val="both"/>
        <w:rPr>
          <w:rFonts w:asciiTheme="majorHAnsi" w:hAnsiTheme="majorHAnsi"/>
        </w:rPr>
      </w:pPr>
      <w:r w:rsidRPr="00741F29">
        <w:rPr>
          <w:rFonts w:asciiTheme="majorHAnsi" w:hAnsiTheme="majorHAnsi"/>
        </w:rPr>
        <w:t xml:space="preserve"> </w:t>
      </w:r>
    </w:p>
    <w:p w14:paraId="5FC567DD"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 xml:space="preserve">UNEP IWL PCU to complete improvements to the Community space by </w:t>
      </w:r>
      <w:r w:rsidRPr="00741F29">
        <w:rPr>
          <w:rFonts w:asciiTheme="majorHAnsi" w:hAnsiTheme="majorHAnsi" w:cs="Arial"/>
          <w:b/>
        </w:rPr>
        <w:t>22 Feb</w:t>
      </w:r>
      <w:r w:rsidRPr="00741F29">
        <w:rPr>
          <w:rFonts w:asciiTheme="majorHAnsi" w:hAnsiTheme="majorHAnsi" w:cs="Arial"/>
        </w:rPr>
        <w:t xml:space="preserve">. DECISION: If improvements are not sufficiently completed, UNESCO will move the Groundwater </w:t>
      </w:r>
      <w:proofErr w:type="spellStart"/>
      <w:r w:rsidRPr="00741F29">
        <w:rPr>
          <w:rFonts w:asciiTheme="majorHAnsi" w:hAnsiTheme="majorHAnsi" w:cs="Arial"/>
        </w:rPr>
        <w:t>CoP</w:t>
      </w:r>
      <w:proofErr w:type="spellEnd"/>
      <w:r w:rsidRPr="00741F29">
        <w:rPr>
          <w:rFonts w:asciiTheme="majorHAnsi" w:hAnsiTheme="majorHAnsi" w:cs="Arial"/>
        </w:rPr>
        <w:t xml:space="preserve"> to the AKVO platform and work with UN IGRAC. </w:t>
      </w:r>
    </w:p>
    <w:p w14:paraId="332E7C4D"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IUCN to prepare a schedule of content to be showcased on the Community platform.  This will include a monthly topic of conversation, led by an expert on a specific topic to catalyse participation.</w:t>
      </w:r>
    </w:p>
    <w:p w14:paraId="196368D9"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UNEP IWL to hire a consultant to have an independent review of the website and the different platforms of which it is composed by 15 Feb.</w:t>
      </w:r>
    </w:p>
    <w:p w14:paraId="15B9FC44"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IWL will organize a technical design (knowledge management strategy) concept note to guide the website enhancements.</w:t>
      </w:r>
    </w:p>
    <w:p w14:paraId="1B0F6F5B"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 xml:space="preserve">IWL Work with specific projects from each region (IWCAM, BCLME/Orange River, PEMSEA/South China Sea, Danube/Black Sea) to mine for information to pilot the visualization, particularly from TDA datasets. Acquire datasets, maps, videos and photos. </w:t>
      </w:r>
    </w:p>
    <w:p w14:paraId="3A2FC7CE"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 xml:space="preserve">COPs and WGs to be asked for comments on the ecosystem specific guidance for the TDA/SAP Methodology.  Martin to prepare questions to ask. IWL to organize by 31 Jan. </w:t>
      </w:r>
    </w:p>
    <w:p w14:paraId="56110A31"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DECISION: Cancel the index insurance activity.</w:t>
      </w:r>
    </w:p>
    <w:p w14:paraId="66C0EA44"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 xml:space="preserve">All partners to complete a one-page document with a preliminary indication of how their respective activities will be sustained after June 2014 by 15 Feb, with full plans by 15 Oct. </w:t>
      </w:r>
    </w:p>
    <w:p w14:paraId="11E82532"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 xml:space="preserve">DECISION: IWL to look into further collaboration with NOAA including sharing their blog, working on visualization, sending projects to existing NOAA trainings. </w:t>
      </w:r>
    </w:p>
    <w:p w14:paraId="11E7B79F"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 xml:space="preserve">IWL PSC to conduct a teleconference meeting in mid-February to review MTE findings. A face-to-face PSC meeting will be conducted to review progress in 6 to 7 months (likely as a one-day meeting after the IWC7 but ideally elsewhere). </w:t>
      </w:r>
    </w:p>
    <w:p w14:paraId="017C1B0B" w14:textId="77777777" w:rsidR="002B7EF2" w:rsidRPr="00741F29" w:rsidRDefault="002B7EF2" w:rsidP="00623323">
      <w:pPr>
        <w:pStyle w:val="ListParagraph"/>
        <w:numPr>
          <w:ilvl w:val="0"/>
          <w:numId w:val="15"/>
        </w:numPr>
        <w:ind w:left="709"/>
        <w:jc w:val="both"/>
        <w:rPr>
          <w:rFonts w:asciiTheme="majorHAnsi" w:hAnsiTheme="majorHAnsi" w:cs="Arial"/>
        </w:rPr>
      </w:pPr>
      <w:r w:rsidRPr="00741F29">
        <w:rPr>
          <w:rFonts w:asciiTheme="majorHAnsi" w:hAnsiTheme="majorHAnsi" w:cs="Arial"/>
        </w:rPr>
        <w:t>IWL PSC should prepare a “what is” IW</w:t>
      </w:r>
      <w:proofErr w:type="gramStart"/>
      <w:r w:rsidRPr="00741F29">
        <w:rPr>
          <w:rFonts w:asciiTheme="majorHAnsi" w:hAnsiTheme="majorHAnsi" w:cs="Arial"/>
        </w:rPr>
        <w:t>:LEARN</w:t>
      </w:r>
      <w:proofErr w:type="gramEnd"/>
      <w:r w:rsidRPr="00741F29">
        <w:rPr>
          <w:rFonts w:asciiTheme="majorHAnsi" w:hAnsiTheme="majorHAnsi" w:cs="Arial"/>
        </w:rPr>
        <w:t xml:space="preserve"> publication and also include it in PM manual (including how projects might allocate their 1% and other related issues) </w:t>
      </w:r>
    </w:p>
    <w:p w14:paraId="11262507" w14:textId="77777777" w:rsidR="002B7EF2" w:rsidRDefault="002B7EF2" w:rsidP="002B7EF2">
      <w:pPr>
        <w:jc w:val="both"/>
      </w:pPr>
    </w:p>
    <w:p w14:paraId="7F674193" w14:textId="77777777" w:rsidR="002B7EF2" w:rsidRPr="00675FAA" w:rsidRDefault="002B7EF2" w:rsidP="00623323">
      <w:pPr>
        <w:pStyle w:val="ListParagraph"/>
        <w:numPr>
          <w:ilvl w:val="0"/>
          <w:numId w:val="14"/>
        </w:numPr>
        <w:ind w:left="426"/>
        <w:jc w:val="both"/>
        <w:rPr>
          <w:rFonts w:asciiTheme="majorHAnsi" w:hAnsiTheme="majorHAnsi"/>
        </w:rPr>
      </w:pPr>
      <w:r w:rsidRPr="00741F29">
        <w:rPr>
          <w:rFonts w:asciiTheme="majorHAnsi" w:hAnsiTheme="majorHAnsi"/>
        </w:rPr>
        <w:t xml:space="preserve">Requests to GEF-SEC and IWTF for comment or approval on documents sent from PCU should be dealt with in a </w:t>
      </w:r>
      <w:proofErr w:type="gramStart"/>
      <w:r w:rsidRPr="00741F29">
        <w:rPr>
          <w:rFonts w:asciiTheme="majorHAnsi" w:hAnsiTheme="majorHAnsi"/>
        </w:rPr>
        <w:t xml:space="preserve">more </w:t>
      </w:r>
      <w:r>
        <w:rPr>
          <w:rFonts w:asciiTheme="majorHAnsi" w:hAnsiTheme="majorHAnsi"/>
        </w:rPr>
        <w:t>timely</w:t>
      </w:r>
      <w:proofErr w:type="gramEnd"/>
      <w:r w:rsidRPr="00741F29">
        <w:rPr>
          <w:rFonts w:asciiTheme="majorHAnsi" w:hAnsiTheme="majorHAnsi"/>
        </w:rPr>
        <w:t xml:space="preserve"> manner to enable activities to be completed and resources concentrated on outstanding tasks. </w:t>
      </w:r>
    </w:p>
    <w:p w14:paraId="374BAD69" w14:textId="77777777" w:rsidR="002B7EF2" w:rsidRPr="00675FAA" w:rsidRDefault="002B7EF2" w:rsidP="00623323">
      <w:pPr>
        <w:pStyle w:val="ListParagraph"/>
        <w:numPr>
          <w:ilvl w:val="0"/>
          <w:numId w:val="14"/>
        </w:numPr>
        <w:ind w:left="426"/>
        <w:jc w:val="both"/>
        <w:rPr>
          <w:rFonts w:asciiTheme="majorHAnsi" w:hAnsiTheme="majorHAnsi"/>
        </w:rPr>
      </w:pPr>
      <w:r w:rsidRPr="00741F29">
        <w:rPr>
          <w:rFonts w:asciiTheme="majorHAnsi" w:hAnsiTheme="majorHAnsi"/>
        </w:rPr>
        <w:t xml:space="preserve">Quarterly progress reports should contain financial summaries </w:t>
      </w:r>
      <w:r>
        <w:rPr>
          <w:rFonts w:asciiTheme="majorHAnsi" w:hAnsiTheme="majorHAnsi" w:cs="Times New Roman"/>
        </w:rPr>
        <w:t xml:space="preserve">including information regarding and delivery of expected co-financing and leveraged additional co-financing </w:t>
      </w:r>
      <w:r w:rsidRPr="00741F29">
        <w:rPr>
          <w:rFonts w:asciiTheme="majorHAnsi" w:hAnsiTheme="majorHAnsi"/>
        </w:rPr>
        <w:t xml:space="preserve">and should </w:t>
      </w:r>
      <w:r>
        <w:rPr>
          <w:rFonts w:asciiTheme="majorHAnsi" w:hAnsiTheme="majorHAnsi"/>
        </w:rPr>
        <w:t xml:space="preserve">more clearly and with some detail </w:t>
      </w:r>
      <w:r w:rsidRPr="00741F29">
        <w:rPr>
          <w:rFonts w:asciiTheme="majorHAnsi" w:hAnsiTheme="majorHAnsi"/>
        </w:rPr>
        <w:t>highlight outstanding issues</w:t>
      </w:r>
      <w:r>
        <w:rPr>
          <w:rFonts w:asciiTheme="majorHAnsi" w:hAnsiTheme="majorHAnsi"/>
        </w:rPr>
        <w:t xml:space="preserve">. The reports should </w:t>
      </w:r>
      <w:r w:rsidRPr="00741F29">
        <w:rPr>
          <w:rFonts w:asciiTheme="majorHAnsi" w:hAnsiTheme="majorHAnsi"/>
        </w:rPr>
        <w:t xml:space="preserve">be distributed directly to SC members who should in turn make comment and if possible take action. It is demoralising and wasteful for the PCU to produce reports which are seemingly read by very few of the intended recipients. </w:t>
      </w:r>
    </w:p>
    <w:p w14:paraId="6D4860E5" w14:textId="77777777" w:rsidR="002B7EF2" w:rsidRPr="00675FAA" w:rsidRDefault="002B7EF2" w:rsidP="00623323">
      <w:pPr>
        <w:pStyle w:val="ListParagraph"/>
        <w:numPr>
          <w:ilvl w:val="0"/>
          <w:numId w:val="14"/>
        </w:numPr>
        <w:ind w:left="426"/>
        <w:jc w:val="both"/>
        <w:rPr>
          <w:rFonts w:asciiTheme="majorHAnsi" w:hAnsiTheme="majorHAnsi"/>
        </w:rPr>
      </w:pPr>
      <w:r w:rsidRPr="00741F29">
        <w:rPr>
          <w:rFonts w:asciiTheme="majorHAnsi" w:hAnsiTheme="majorHAnsi"/>
        </w:rPr>
        <w:t>A system should be set up within the PCU to better capture catalytic and replication effects of project interventions. And future IW Learn project should specifically seek to c</w:t>
      </w:r>
      <w:r>
        <w:rPr>
          <w:rFonts w:asciiTheme="majorHAnsi" w:hAnsiTheme="majorHAnsi"/>
        </w:rPr>
        <w:t>ollect and collate impa</w:t>
      </w:r>
      <w:r w:rsidRPr="00741F29">
        <w:rPr>
          <w:rFonts w:asciiTheme="majorHAnsi" w:hAnsiTheme="majorHAnsi"/>
        </w:rPr>
        <w:t>cts of IW LEARN interventions over the period since their inception</w:t>
      </w:r>
      <w:r>
        <w:rPr>
          <w:rFonts w:asciiTheme="majorHAnsi" w:hAnsiTheme="majorHAnsi"/>
        </w:rPr>
        <w:t xml:space="preserve"> in 1998</w:t>
      </w:r>
      <w:r w:rsidRPr="00741F29">
        <w:rPr>
          <w:rFonts w:asciiTheme="majorHAnsi" w:hAnsiTheme="majorHAnsi"/>
        </w:rPr>
        <w:t xml:space="preserve">. </w:t>
      </w:r>
      <w:r>
        <w:rPr>
          <w:rFonts w:asciiTheme="majorHAnsi" w:hAnsiTheme="majorHAnsi"/>
        </w:rPr>
        <w:t xml:space="preserve"> </w:t>
      </w:r>
    </w:p>
    <w:p w14:paraId="0CBA2389" w14:textId="77777777" w:rsidR="002B7EF2" w:rsidRPr="00675FAA" w:rsidRDefault="002B7EF2" w:rsidP="00623323">
      <w:pPr>
        <w:pStyle w:val="ListParagraph"/>
        <w:numPr>
          <w:ilvl w:val="0"/>
          <w:numId w:val="14"/>
        </w:numPr>
        <w:ind w:left="426"/>
        <w:jc w:val="both"/>
        <w:rPr>
          <w:rFonts w:asciiTheme="majorHAnsi" w:hAnsiTheme="majorHAnsi"/>
        </w:rPr>
      </w:pPr>
      <w:r w:rsidRPr="00741F29">
        <w:rPr>
          <w:rFonts w:asciiTheme="majorHAnsi" w:hAnsiTheme="majorHAnsi"/>
        </w:rPr>
        <w:t>The project should develop an introductory package for new and recent project managers and technical staff. Possible in the form of a simple brochure</w:t>
      </w:r>
      <w:r>
        <w:rPr>
          <w:rFonts w:asciiTheme="majorHAnsi" w:hAnsiTheme="majorHAnsi"/>
        </w:rPr>
        <w:t xml:space="preserve"> style how-to guide</w:t>
      </w:r>
      <w:r w:rsidRPr="00741F29">
        <w:rPr>
          <w:rFonts w:asciiTheme="majorHAnsi" w:hAnsiTheme="majorHAnsi"/>
        </w:rPr>
        <w:t xml:space="preserve"> to explain IW LEARN and the services it provides, draw attention to </w:t>
      </w:r>
      <w:r>
        <w:rPr>
          <w:rFonts w:asciiTheme="majorHAnsi" w:hAnsiTheme="majorHAnsi"/>
        </w:rPr>
        <w:t xml:space="preserve">the </w:t>
      </w:r>
      <w:r w:rsidRPr="00741F29">
        <w:rPr>
          <w:rFonts w:asciiTheme="majorHAnsi" w:hAnsiTheme="majorHAnsi"/>
        </w:rPr>
        <w:t xml:space="preserve">obligations </w:t>
      </w:r>
      <w:r>
        <w:rPr>
          <w:rFonts w:asciiTheme="majorHAnsi" w:hAnsiTheme="majorHAnsi"/>
        </w:rPr>
        <w:t xml:space="preserve">projects and their staff have </w:t>
      </w:r>
      <w:r w:rsidRPr="00741F29">
        <w:rPr>
          <w:rFonts w:asciiTheme="majorHAnsi" w:hAnsiTheme="majorHAnsi"/>
        </w:rPr>
        <w:t xml:space="preserve">to IW LEARN activities and to solicit their support. </w:t>
      </w:r>
    </w:p>
    <w:p w14:paraId="5BF1F970" w14:textId="77777777" w:rsidR="002B7EF2" w:rsidRPr="00797CF4" w:rsidRDefault="002B7EF2" w:rsidP="00623323">
      <w:pPr>
        <w:pStyle w:val="ListParagraph"/>
        <w:numPr>
          <w:ilvl w:val="0"/>
          <w:numId w:val="14"/>
        </w:numPr>
        <w:ind w:left="426"/>
        <w:jc w:val="both"/>
        <w:rPr>
          <w:rFonts w:asciiTheme="majorHAnsi" w:hAnsiTheme="majorHAnsi"/>
        </w:rPr>
      </w:pPr>
      <w:r w:rsidRPr="00DA31D2">
        <w:rPr>
          <w:rFonts w:asciiTheme="majorHAnsi" w:hAnsiTheme="majorHAnsi"/>
        </w:rPr>
        <w:t xml:space="preserve">The mandatory allocation of 1% of new project budgets to be targeted to IW LEARN should be increased to 2% and clear guidelines provided for the sort of activities that should be conducted with these funds.  Ideally a separate project </w:t>
      </w:r>
      <w:r>
        <w:rPr>
          <w:rFonts w:asciiTheme="majorHAnsi" w:hAnsiTheme="majorHAnsi"/>
        </w:rPr>
        <w:t xml:space="preserve">specific IW LEARN </w:t>
      </w:r>
      <w:r w:rsidRPr="00DA31D2">
        <w:rPr>
          <w:rFonts w:asciiTheme="majorHAnsi" w:hAnsiTheme="majorHAnsi"/>
        </w:rPr>
        <w:t xml:space="preserve">Component should </w:t>
      </w:r>
      <w:r>
        <w:rPr>
          <w:rFonts w:asciiTheme="majorHAnsi" w:hAnsiTheme="majorHAnsi"/>
        </w:rPr>
        <w:t xml:space="preserve">be </w:t>
      </w:r>
      <w:r w:rsidRPr="00DA31D2">
        <w:rPr>
          <w:rFonts w:asciiTheme="majorHAnsi" w:hAnsiTheme="majorHAnsi"/>
        </w:rPr>
        <w:t xml:space="preserve">established within each project’s results framework. </w:t>
      </w:r>
      <w:r>
        <w:rPr>
          <w:rFonts w:asciiTheme="majorHAnsi" w:hAnsiTheme="majorHAnsi"/>
        </w:rPr>
        <w:t xml:space="preserve"> </w:t>
      </w:r>
    </w:p>
    <w:p w14:paraId="6CFB2024" w14:textId="77777777" w:rsidR="002B7EF2" w:rsidRPr="00675FAA" w:rsidRDefault="002B7EF2" w:rsidP="00623323">
      <w:pPr>
        <w:pStyle w:val="ListParagraph"/>
        <w:numPr>
          <w:ilvl w:val="0"/>
          <w:numId w:val="14"/>
        </w:numPr>
        <w:ind w:left="426"/>
        <w:jc w:val="both"/>
        <w:rPr>
          <w:rFonts w:asciiTheme="majorHAnsi" w:hAnsiTheme="majorHAnsi"/>
        </w:rPr>
      </w:pPr>
      <w:r>
        <w:rPr>
          <w:rFonts w:asciiTheme="majorHAnsi" w:hAnsiTheme="majorHAnsi"/>
        </w:rPr>
        <w:t xml:space="preserve">Building on 1.h above the PCU and partners with input from GEF-SEC and IAs should develop a comprehensive fully </w:t>
      </w:r>
      <w:proofErr w:type="spellStart"/>
      <w:r>
        <w:rPr>
          <w:rFonts w:asciiTheme="majorHAnsi" w:hAnsiTheme="majorHAnsi"/>
        </w:rPr>
        <w:t>costed</w:t>
      </w:r>
      <w:proofErr w:type="spellEnd"/>
      <w:r>
        <w:rPr>
          <w:rFonts w:asciiTheme="majorHAnsi" w:hAnsiTheme="majorHAnsi"/>
        </w:rPr>
        <w:t xml:space="preserve"> (as far as feasible) sustainability plan for the project to be presented at the next SCM.  To be feasible such a plan will probable require the outline of a future IW</w:t>
      </w:r>
      <w:proofErr w:type="gramStart"/>
      <w:r>
        <w:rPr>
          <w:rFonts w:asciiTheme="majorHAnsi" w:hAnsiTheme="majorHAnsi"/>
        </w:rPr>
        <w:t>:LEARN</w:t>
      </w:r>
      <w:proofErr w:type="gramEnd"/>
      <w:r>
        <w:rPr>
          <w:rFonts w:asciiTheme="majorHAnsi" w:hAnsiTheme="majorHAnsi"/>
        </w:rPr>
        <w:t xml:space="preserve"> project and  some commitment from GEF to cover the incremental costs. </w:t>
      </w:r>
    </w:p>
    <w:p w14:paraId="790CF8D7" w14:textId="77777777" w:rsidR="002B7EF2" w:rsidRPr="00675FAA" w:rsidRDefault="002B7EF2" w:rsidP="00623323">
      <w:pPr>
        <w:pStyle w:val="ListParagraph"/>
        <w:numPr>
          <w:ilvl w:val="0"/>
          <w:numId w:val="14"/>
        </w:numPr>
        <w:ind w:left="426"/>
        <w:jc w:val="both"/>
      </w:pPr>
      <w:r w:rsidRPr="00441297">
        <w:rPr>
          <w:rFonts w:ascii="Calibri" w:hAnsi="Calibri"/>
        </w:rPr>
        <w:t>The more practicable recommendations contained in the Report of the Science Conference should be extracted and submitted to GEF in a separate note which should lead to a considered response by GEF</w:t>
      </w:r>
      <w:r>
        <w:rPr>
          <w:rFonts w:ascii="Calibri" w:hAnsi="Calibri"/>
        </w:rPr>
        <w:t xml:space="preserve"> and or IAs</w:t>
      </w:r>
      <w:r w:rsidRPr="00441297">
        <w:rPr>
          <w:rFonts w:ascii="Calibri" w:hAnsi="Calibri"/>
        </w:rPr>
        <w:t xml:space="preserve"> of each of the recommendations.  Recommendations and responses should be published on the IW LEARN web site. </w:t>
      </w:r>
    </w:p>
    <w:p w14:paraId="01B34260" w14:textId="77777777" w:rsidR="002B7EF2" w:rsidRPr="00675FAA" w:rsidRDefault="002B7EF2" w:rsidP="00623323">
      <w:pPr>
        <w:pStyle w:val="ListParagraph"/>
        <w:numPr>
          <w:ilvl w:val="0"/>
          <w:numId w:val="14"/>
        </w:numPr>
        <w:ind w:left="426"/>
        <w:jc w:val="both"/>
        <w:rPr>
          <w:rFonts w:ascii="Calibri" w:hAnsi="Calibri"/>
        </w:rPr>
      </w:pPr>
      <w:r w:rsidRPr="00205AB6">
        <w:rPr>
          <w:rFonts w:ascii="Calibri" w:hAnsi="Calibri"/>
        </w:rPr>
        <w:t xml:space="preserve">In order to encourage Project Managers to participate more in the </w:t>
      </w:r>
      <w:proofErr w:type="spellStart"/>
      <w:r w:rsidRPr="00205AB6">
        <w:rPr>
          <w:rFonts w:ascii="Calibri" w:hAnsi="Calibri"/>
        </w:rPr>
        <w:t>CoPs</w:t>
      </w:r>
      <w:proofErr w:type="spellEnd"/>
      <w:r w:rsidRPr="00205AB6">
        <w:rPr>
          <w:rFonts w:ascii="Calibri" w:hAnsi="Calibri"/>
        </w:rPr>
        <w:t xml:space="preserve"> and thereby more thoroughly test the concept before the end of the project it is recommended that GEF-SEC and IAs actively encourage PMs to participate by more clearly explaining the mutual benefits of so doing.  This could be promulgated via the regular e-bulletins prepared by the PCU. </w:t>
      </w:r>
    </w:p>
    <w:p w14:paraId="55061080" w14:textId="2777610B" w:rsidR="002B7EF2" w:rsidRPr="00696A30" w:rsidRDefault="002B7EF2" w:rsidP="00696A30">
      <w:pPr>
        <w:pStyle w:val="ListParagraph"/>
        <w:numPr>
          <w:ilvl w:val="0"/>
          <w:numId w:val="14"/>
        </w:numPr>
        <w:ind w:left="426"/>
        <w:jc w:val="both"/>
        <w:rPr>
          <w:rFonts w:ascii="Calibri" w:hAnsi="Calibri"/>
        </w:rPr>
      </w:pPr>
      <w:r>
        <w:rPr>
          <w:rFonts w:ascii="Calibri" w:hAnsi="Calibri"/>
        </w:rPr>
        <w:t xml:space="preserve">Consideration should be given to increasing the personnel available to the PCU Bratislava to enable a more proactive approach for the remainder of the project.  This is particularly important in view of the forthcoming IWC7 that is already taking resources away from this project. </w:t>
      </w:r>
      <w:r w:rsidR="00696A30">
        <w:rPr>
          <w:rFonts w:ascii="Calibri" w:hAnsi="Calibri"/>
        </w:rPr>
        <w:t xml:space="preserve">Funds for IWC7 should be used to substitute resources diverted from IW LEARN III particularly with regard to dedicated managerial support. </w:t>
      </w:r>
      <w:r w:rsidRPr="00696A30">
        <w:rPr>
          <w:rFonts w:ascii="Calibri" w:hAnsi="Calibri"/>
        </w:rPr>
        <w:t xml:space="preserve"> </w:t>
      </w:r>
    </w:p>
    <w:p w14:paraId="64B3DE1C" w14:textId="6A9D9962" w:rsidR="002B7EF2" w:rsidRPr="00675FAA" w:rsidRDefault="002B7EF2" w:rsidP="00623323">
      <w:pPr>
        <w:pStyle w:val="ListParagraph"/>
        <w:numPr>
          <w:ilvl w:val="0"/>
          <w:numId w:val="14"/>
        </w:numPr>
        <w:ind w:left="426"/>
        <w:jc w:val="both"/>
        <w:rPr>
          <w:rFonts w:ascii="Calibri" w:hAnsi="Calibri"/>
        </w:rPr>
      </w:pPr>
      <w:r w:rsidRPr="004B2EC7">
        <w:rPr>
          <w:rFonts w:ascii="Calibri" w:hAnsi="Calibri"/>
        </w:rPr>
        <w:t xml:space="preserve">A system should be </w:t>
      </w:r>
      <w:r w:rsidR="00486034">
        <w:rPr>
          <w:rFonts w:ascii="Calibri" w:hAnsi="Calibri"/>
        </w:rPr>
        <w:t>implemented</w:t>
      </w:r>
      <w:r w:rsidRPr="004B2EC7">
        <w:rPr>
          <w:rFonts w:ascii="Calibri" w:hAnsi="Calibri"/>
        </w:rPr>
        <w:t xml:space="preserve"> to collect, collate and feedback into the online versions of the TDA/SAP methodology and the PM Manual useful suggestions for improvements that users may post onto the website in the spaces</w:t>
      </w:r>
      <w:r w:rsidR="00486034">
        <w:rPr>
          <w:rFonts w:ascii="Calibri" w:hAnsi="Calibri"/>
        </w:rPr>
        <w:t xml:space="preserve"> already</w:t>
      </w:r>
      <w:r w:rsidRPr="004B2EC7">
        <w:rPr>
          <w:rFonts w:ascii="Calibri" w:hAnsi="Calibri"/>
        </w:rPr>
        <w:t xml:space="preserve"> provided.   A person or persons needs to be given the responsibility for this and provided with clear guidance. </w:t>
      </w:r>
    </w:p>
    <w:p w14:paraId="635CC052" w14:textId="77777777" w:rsidR="002B7EF2" w:rsidRPr="00E96664" w:rsidRDefault="002B7EF2" w:rsidP="00623323">
      <w:pPr>
        <w:pStyle w:val="ListParagraph"/>
        <w:numPr>
          <w:ilvl w:val="0"/>
          <w:numId w:val="14"/>
        </w:numPr>
        <w:ind w:left="426"/>
        <w:jc w:val="both"/>
        <w:rPr>
          <w:rFonts w:asciiTheme="majorHAnsi" w:hAnsiTheme="majorHAnsi"/>
        </w:rPr>
      </w:pPr>
      <w:r w:rsidRPr="00E96664">
        <w:rPr>
          <w:rFonts w:asciiTheme="majorHAnsi" w:hAnsiTheme="majorHAnsi"/>
        </w:rPr>
        <w:t>Compliance by projects with completing the GEF tracking tool should be checked by GEF-</w:t>
      </w:r>
      <w:proofErr w:type="gramStart"/>
      <w:r w:rsidRPr="00E96664">
        <w:rPr>
          <w:rFonts w:asciiTheme="majorHAnsi" w:hAnsiTheme="majorHAnsi"/>
        </w:rPr>
        <w:t>SEC  and</w:t>
      </w:r>
      <w:proofErr w:type="gramEnd"/>
      <w:r w:rsidRPr="00E96664">
        <w:rPr>
          <w:rFonts w:asciiTheme="majorHAnsi" w:hAnsiTheme="majorHAnsi"/>
        </w:rPr>
        <w:t xml:space="preserve"> if deficient steps taken to ensure better compliance in the future to aid IW LEARN impact tracking. </w:t>
      </w:r>
    </w:p>
    <w:p w14:paraId="784AF60F" w14:textId="77777777" w:rsidR="002B7EF2" w:rsidRPr="00BC6604" w:rsidRDefault="002B7EF2" w:rsidP="00623323">
      <w:pPr>
        <w:pStyle w:val="ListParagraph"/>
        <w:numPr>
          <w:ilvl w:val="0"/>
          <w:numId w:val="14"/>
        </w:numPr>
        <w:ind w:left="426"/>
        <w:jc w:val="both"/>
      </w:pPr>
      <w:r w:rsidRPr="00BC6604">
        <w:rPr>
          <w:rFonts w:ascii="Calibri" w:hAnsi="Calibri"/>
        </w:rPr>
        <w:t xml:space="preserve">To ensure that Project Managers are aware and make full use of the guidance provided by the online Project </w:t>
      </w:r>
      <w:r>
        <w:rPr>
          <w:rFonts w:ascii="Calibri" w:hAnsi="Calibri"/>
        </w:rPr>
        <w:t xml:space="preserve">Managers Manual each PM should </w:t>
      </w:r>
      <w:r w:rsidRPr="00BC6604">
        <w:rPr>
          <w:rFonts w:ascii="Calibri" w:hAnsi="Calibri"/>
        </w:rPr>
        <w:t xml:space="preserve">be required take a short test based on the material which would lead to Certification of the PM when successfully completed. </w:t>
      </w:r>
    </w:p>
    <w:p w14:paraId="6ECE8958" w14:textId="77777777" w:rsidR="002B7EF2" w:rsidRDefault="002B7EF2" w:rsidP="00623323">
      <w:pPr>
        <w:pStyle w:val="ListParagraph"/>
        <w:numPr>
          <w:ilvl w:val="0"/>
          <w:numId w:val="14"/>
        </w:numPr>
        <w:ind w:left="426"/>
        <w:jc w:val="both"/>
      </w:pPr>
      <w:r w:rsidRPr="00BC6604">
        <w:rPr>
          <w:rFonts w:asciiTheme="majorHAnsi" w:hAnsiTheme="majorHAnsi"/>
        </w:rPr>
        <w:t xml:space="preserve">Any </w:t>
      </w:r>
      <w:r>
        <w:rPr>
          <w:rFonts w:asciiTheme="majorHAnsi" w:hAnsiTheme="majorHAnsi"/>
        </w:rPr>
        <w:t xml:space="preserve">future IW LEARN project should </w:t>
      </w:r>
      <w:r w:rsidRPr="00BC6604">
        <w:rPr>
          <w:rFonts w:asciiTheme="majorHAnsi" w:hAnsiTheme="majorHAnsi"/>
        </w:rPr>
        <w:t>include a component to investigate, and report on previous IW LEARN impacts both directly on the GEF IW portfolio and on related programmes via catalytic influences</w:t>
      </w:r>
    </w:p>
    <w:p w14:paraId="0060404A" w14:textId="77777777" w:rsidR="002B7EF2" w:rsidRDefault="002B7EF2" w:rsidP="002C2AE9">
      <w:pPr>
        <w:sectPr w:rsidR="002B7EF2" w:rsidSect="00EF470D">
          <w:pgSz w:w="11900" w:h="16840"/>
          <w:pgMar w:top="1440" w:right="1440" w:bottom="1440" w:left="1440" w:header="708" w:footer="708" w:gutter="0"/>
          <w:pgNumType w:fmt="lowerRoman"/>
          <w:cols w:space="708"/>
          <w:docGrid w:linePitch="360"/>
        </w:sectPr>
      </w:pPr>
    </w:p>
    <w:p w14:paraId="75F596FC" w14:textId="5F0B874B" w:rsidR="000F12E2" w:rsidRDefault="002C2AE9" w:rsidP="000F12E2">
      <w:pPr>
        <w:pStyle w:val="Heading1"/>
      </w:pPr>
      <w:bookmarkStart w:id="10" w:name="_Toc222479129"/>
      <w:bookmarkStart w:id="11" w:name="_Toc320280620"/>
      <w:bookmarkStart w:id="12" w:name="_Toc341527030"/>
      <w:r>
        <w:t>I</w:t>
      </w:r>
      <w:r w:rsidR="00540CD7" w:rsidRPr="007D1C06">
        <w:t>ntroduction</w:t>
      </w:r>
      <w:bookmarkEnd w:id="10"/>
      <w:r w:rsidR="00540CD7" w:rsidRPr="007D1C06">
        <w:t xml:space="preserve"> </w:t>
      </w:r>
      <w:bookmarkEnd w:id="11"/>
      <w:bookmarkEnd w:id="12"/>
    </w:p>
    <w:p w14:paraId="76DC4522" w14:textId="61F9B959" w:rsidR="00486258" w:rsidRDefault="00486258" w:rsidP="00696A30">
      <w:pPr>
        <w:spacing w:after="60"/>
        <w:jc w:val="both"/>
        <w:rPr>
          <w:rFonts w:asciiTheme="majorHAnsi" w:hAnsiTheme="majorHAnsi"/>
          <w:sz w:val="22"/>
          <w:szCs w:val="22"/>
        </w:rPr>
      </w:pPr>
      <w:r w:rsidRPr="008342EE">
        <w:rPr>
          <w:rFonts w:asciiTheme="majorHAnsi" w:hAnsiTheme="majorHAnsi"/>
          <w:sz w:val="22"/>
          <w:szCs w:val="22"/>
        </w:rPr>
        <w:t xml:space="preserve">As </w:t>
      </w:r>
      <w:r w:rsidR="003A2A6A" w:rsidRPr="008342EE">
        <w:rPr>
          <w:rFonts w:asciiTheme="majorHAnsi" w:hAnsiTheme="majorHAnsi"/>
          <w:sz w:val="22"/>
          <w:szCs w:val="22"/>
        </w:rPr>
        <w:t>per the</w:t>
      </w:r>
      <w:r w:rsidRPr="008342EE">
        <w:rPr>
          <w:rFonts w:asciiTheme="majorHAnsi" w:hAnsiTheme="majorHAnsi"/>
          <w:sz w:val="22"/>
          <w:szCs w:val="22"/>
        </w:rPr>
        <w:t xml:space="preserve"> project M&amp;E plan a </w:t>
      </w:r>
      <w:r w:rsidR="00083B3F" w:rsidRPr="008342EE">
        <w:rPr>
          <w:rFonts w:asciiTheme="majorHAnsi" w:hAnsiTheme="majorHAnsi"/>
          <w:sz w:val="22"/>
          <w:szCs w:val="22"/>
        </w:rPr>
        <w:t>Mid Term Evaluation (MTE) of the of the global project “MENARID GEF IW</w:t>
      </w:r>
      <w:proofErr w:type="gramStart"/>
      <w:r w:rsidR="00083B3F" w:rsidRPr="008342EE">
        <w:rPr>
          <w:rFonts w:asciiTheme="majorHAnsi" w:hAnsiTheme="majorHAnsi"/>
          <w:sz w:val="22"/>
          <w:szCs w:val="22"/>
        </w:rPr>
        <w:t>:LEARN</w:t>
      </w:r>
      <w:proofErr w:type="gramEnd"/>
      <w:r w:rsidR="00083B3F" w:rsidRPr="008342EE">
        <w:rPr>
          <w:rFonts w:asciiTheme="majorHAnsi" w:hAnsiTheme="majorHAnsi"/>
          <w:sz w:val="22"/>
          <w:szCs w:val="22"/>
        </w:rPr>
        <w:t>: Strengthening IW Portfolio Delivery and Impact” - GEF no. 4219, has been undertaken in line with the criteria of</w:t>
      </w:r>
      <w:r w:rsidR="00A009A4" w:rsidRPr="008342EE">
        <w:rPr>
          <w:rFonts w:asciiTheme="majorHAnsi" w:hAnsiTheme="majorHAnsi"/>
          <w:sz w:val="22"/>
          <w:szCs w:val="22"/>
        </w:rPr>
        <w:t xml:space="preserve"> the project implementing agencies</w:t>
      </w:r>
      <w:r w:rsidRPr="008342EE">
        <w:rPr>
          <w:rFonts w:asciiTheme="majorHAnsi" w:hAnsiTheme="majorHAnsi"/>
          <w:sz w:val="22"/>
          <w:szCs w:val="22"/>
        </w:rPr>
        <w:t xml:space="preserve"> </w:t>
      </w:r>
      <w:r w:rsidR="00A009A4" w:rsidRPr="008342EE">
        <w:rPr>
          <w:rFonts w:asciiTheme="majorHAnsi" w:hAnsiTheme="majorHAnsi"/>
          <w:sz w:val="22"/>
          <w:szCs w:val="22"/>
        </w:rPr>
        <w:t xml:space="preserve"> – UNDP/GEF and UNEP/GEF</w:t>
      </w:r>
      <w:r w:rsidR="00C93D31">
        <w:rPr>
          <w:rFonts w:asciiTheme="majorHAnsi" w:hAnsiTheme="majorHAnsi"/>
          <w:sz w:val="22"/>
          <w:szCs w:val="22"/>
        </w:rPr>
        <w:t>.</w:t>
      </w:r>
    </w:p>
    <w:p w14:paraId="435D9010" w14:textId="77777777" w:rsidR="009269CE" w:rsidRPr="008342EE" w:rsidRDefault="009269CE" w:rsidP="00C93D31">
      <w:pPr>
        <w:spacing w:after="60"/>
        <w:ind w:firstLine="720"/>
        <w:jc w:val="both"/>
        <w:rPr>
          <w:rFonts w:asciiTheme="majorHAnsi" w:hAnsiTheme="majorHAnsi"/>
          <w:sz w:val="22"/>
          <w:szCs w:val="22"/>
        </w:rPr>
      </w:pPr>
    </w:p>
    <w:p w14:paraId="66467791" w14:textId="13DF9E9C" w:rsidR="006533AB" w:rsidRDefault="00486258" w:rsidP="00C93D31">
      <w:pPr>
        <w:spacing w:after="60"/>
        <w:jc w:val="both"/>
        <w:rPr>
          <w:rFonts w:asciiTheme="majorHAnsi" w:hAnsiTheme="majorHAnsi"/>
          <w:sz w:val="22"/>
          <w:szCs w:val="22"/>
        </w:rPr>
      </w:pPr>
      <w:r w:rsidRPr="008342EE">
        <w:rPr>
          <w:rFonts w:asciiTheme="majorHAnsi" w:hAnsiTheme="majorHAnsi"/>
          <w:sz w:val="22"/>
          <w:szCs w:val="22"/>
        </w:rPr>
        <w:t xml:space="preserve">The main objective of this Mid-Term Evaluation is to measure the effectiveness and efficiency of project activities in relation to the stated objective and to produce plausible recommendations on how to improve the project management practices during the remaining duration of the </w:t>
      </w:r>
      <w:r w:rsidR="003A2A6A" w:rsidRPr="008342EE">
        <w:rPr>
          <w:rFonts w:asciiTheme="majorHAnsi" w:hAnsiTheme="majorHAnsi"/>
          <w:sz w:val="22"/>
          <w:szCs w:val="22"/>
        </w:rPr>
        <w:t>project that is scheduled for</w:t>
      </w:r>
      <w:r w:rsidR="00A009A4" w:rsidRPr="008342EE">
        <w:rPr>
          <w:rFonts w:asciiTheme="majorHAnsi" w:hAnsiTheme="majorHAnsi"/>
          <w:sz w:val="22"/>
          <w:szCs w:val="22"/>
        </w:rPr>
        <w:t xml:space="preserve"> </w:t>
      </w:r>
      <w:r w:rsidRPr="008342EE">
        <w:rPr>
          <w:rFonts w:asciiTheme="majorHAnsi" w:hAnsiTheme="majorHAnsi"/>
          <w:sz w:val="22"/>
          <w:szCs w:val="22"/>
        </w:rPr>
        <w:t>comp</w:t>
      </w:r>
      <w:r w:rsidR="00A009A4" w:rsidRPr="008342EE">
        <w:rPr>
          <w:rFonts w:asciiTheme="majorHAnsi" w:hAnsiTheme="majorHAnsi"/>
          <w:sz w:val="22"/>
          <w:szCs w:val="22"/>
        </w:rPr>
        <w:t>letion in July 2014</w:t>
      </w:r>
      <w:r w:rsidRPr="008342EE">
        <w:rPr>
          <w:rFonts w:asciiTheme="majorHAnsi" w:hAnsiTheme="majorHAnsi"/>
          <w:sz w:val="22"/>
          <w:szCs w:val="22"/>
        </w:rPr>
        <w:t xml:space="preserve">. </w:t>
      </w:r>
    </w:p>
    <w:p w14:paraId="3C7481DC" w14:textId="6851D004" w:rsidR="00C3676D" w:rsidRDefault="006533AB" w:rsidP="00C3676D">
      <w:pPr>
        <w:pStyle w:val="Heading2"/>
      </w:pPr>
      <w:bookmarkStart w:id="13" w:name="_Toc222479130"/>
      <w:r>
        <w:t>Project Implementation</w:t>
      </w:r>
      <w:bookmarkEnd w:id="13"/>
    </w:p>
    <w:p w14:paraId="5CA6A086" w14:textId="45A1FF8D" w:rsidR="00C3676D" w:rsidRPr="00C3676D" w:rsidRDefault="00C3676D" w:rsidP="00C93D31">
      <w:pPr>
        <w:spacing w:after="60"/>
        <w:jc w:val="both"/>
        <w:rPr>
          <w:rFonts w:asciiTheme="majorHAnsi" w:hAnsiTheme="majorHAnsi"/>
          <w:sz w:val="22"/>
          <w:szCs w:val="22"/>
        </w:rPr>
      </w:pPr>
      <w:r w:rsidRPr="00C3676D">
        <w:rPr>
          <w:rFonts w:asciiTheme="majorHAnsi" w:hAnsiTheme="majorHAnsi"/>
          <w:sz w:val="22"/>
          <w:szCs w:val="22"/>
        </w:rPr>
        <w:t xml:space="preserve">As has been the arrangement </w:t>
      </w:r>
      <w:r w:rsidR="00F32D1D">
        <w:rPr>
          <w:rFonts w:asciiTheme="majorHAnsi" w:hAnsiTheme="majorHAnsi"/>
          <w:sz w:val="22"/>
          <w:szCs w:val="22"/>
        </w:rPr>
        <w:t xml:space="preserve">since about </w:t>
      </w:r>
      <w:proofErr w:type="gramStart"/>
      <w:r w:rsidR="00F32D1D">
        <w:rPr>
          <w:rFonts w:asciiTheme="majorHAnsi" w:hAnsiTheme="majorHAnsi"/>
          <w:sz w:val="22"/>
          <w:szCs w:val="22"/>
        </w:rPr>
        <w:t xml:space="preserve">2004 </w:t>
      </w:r>
      <w:r w:rsidR="00837A41">
        <w:rPr>
          <w:rFonts w:asciiTheme="majorHAnsi" w:hAnsiTheme="majorHAnsi"/>
          <w:sz w:val="22"/>
          <w:szCs w:val="22"/>
        </w:rPr>
        <w:t xml:space="preserve"> </w:t>
      </w:r>
      <w:r w:rsidRPr="00C3676D">
        <w:rPr>
          <w:rFonts w:asciiTheme="majorHAnsi" w:hAnsiTheme="majorHAnsi"/>
          <w:sz w:val="22"/>
          <w:szCs w:val="22"/>
        </w:rPr>
        <w:t>the</w:t>
      </w:r>
      <w:proofErr w:type="gramEnd"/>
      <w:r w:rsidRPr="00C3676D">
        <w:rPr>
          <w:rFonts w:asciiTheme="majorHAnsi" w:hAnsiTheme="majorHAnsi"/>
          <w:sz w:val="22"/>
          <w:szCs w:val="22"/>
        </w:rPr>
        <w:t xml:space="preserve"> current project is implemented by two GEF Implementing Agencies, UNDP tak</w:t>
      </w:r>
      <w:r w:rsidR="00837A41">
        <w:rPr>
          <w:rFonts w:asciiTheme="majorHAnsi" w:hAnsiTheme="majorHAnsi"/>
          <w:sz w:val="22"/>
          <w:szCs w:val="22"/>
        </w:rPr>
        <w:t xml:space="preserve">ing the lead supported by UNEP; prior to that date and from its beginning in 1997 UNDP was the sole IA. </w:t>
      </w:r>
      <w:r w:rsidRPr="00C3676D">
        <w:rPr>
          <w:rFonts w:asciiTheme="majorHAnsi" w:hAnsiTheme="majorHAnsi"/>
          <w:sz w:val="22"/>
          <w:szCs w:val="22"/>
        </w:rPr>
        <w:t xml:space="preserve"> UNEP is responsible for </w:t>
      </w:r>
      <w:r w:rsidR="003A2A6A" w:rsidRPr="00C3676D">
        <w:rPr>
          <w:rFonts w:asciiTheme="majorHAnsi" w:hAnsiTheme="majorHAnsi"/>
          <w:sz w:val="22"/>
          <w:szCs w:val="22"/>
        </w:rPr>
        <w:t>components 3c</w:t>
      </w:r>
      <w:r w:rsidRPr="00C3676D">
        <w:rPr>
          <w:rFonts w:asciiTheme="majorHAnsi" w:hAnsiTheme="majorHAnsi"/>
          <w:sz w:val="22"/>
          <w:szCs w:val="22"/>
        </w:rPr>
        <w:t xml:space="preserve"> and 4 and for 23% of the total GEF funding while UNDP is re</w:t>
      </w:r>
      <w:r w:rsidR="00837A41">
        <w:rPr>
          <w:rFonts w:asciiTheme="majorHAnsi" w:hAnsiTheme="majorHAnsi"/>
          <w:sz w:val="22"/>
          <w:szCs w:val="22"/>
        </w:rPr>
        <w:t xml:space="preserve">sponsible for the remainder. </w:t>
      </w:r>
      <w:r w:rsidRPr="00C3676D">
        <w:rPr>
          <w:rFonts w:asciiTheme="majorHAnsi" w:hAnsiTheme="majorHAnsi"/>
          <w:sz w:val="22"/>
          <w:szCs w:val="22"/>
        </w:rPr>
        <w:t xml:space="preserve">Hence owing to specific differing needs of the </w:t>
      </w:r>
      <w:r w:rsidR="003A2A6A" w:rsidRPr="00C3676D">
        <w:rPr>
          <w:rFonts w:asciiTheme="majorHAnsi" w:hAnsiTheme="majorHAnsi"/>
          <w:sz w:val="22"/>
          <w:szCs w:val="22"/>
        </w:rPr>
        <w:t>IAs there</w:t>
      </w:r>
      <w:r w:rsidRPr="00C3676D">
        <w:rPr>
          <w:rFonts w:asciiTheme="majorHAnsi" w:hAnsiTheme="majorHAnsi"/>
          <w:sz w:val="22"/>
          <w:szCs w:val="22"/>
        </w:rPr>
        <w:t xml:space="preserve"> are two</w:t>
      </w:r>
      <w:r w:rsidR="003A2A6A" w:rsidRPr="00C3676D">
        <w:rPr>
          <w:rFonts w:asciiTheme="majorHAnsi" w:hAnsiTheme="majorHAnsi"/>
          <w:sz w:val="22"/>
          <w:szCs w:val="22"/>
        </w:rPr>
        <w:t>, albeit</w:t>
      </w:r>
      <w:r w:rsidRPr="00C3676D">
        <w:rPr>
          <w:rFonts w:asciiTheme="majorHAnsi" w:hAnsiTheme="majorHAnsi"/>
          <w:sz w:val="22"/>
          <w:szCs w:val="22"/>
        </w:rPr>
        <w:t xml:space="preserve"> complementary, full project documents. For the purposes of this evaluation the project is considered for the most part as a single entity.  </w:t>
      </w:r>
    </w:p>
    <w:p w14:paraId="37ED35FE" w14:textId="5AEC2716" w:rsidR="002F61B0" w:rsidRPr="002F61B0" w:rsidRDefault="00A165D2" w:rsidP="002F61B0">
      <w:pPr>
        <w:pStyle w:val="Heading2"/>
      </w:pPr>
      <w:bookmarkStart w:id="14" w:name="_Toc320280621"/>
      <w:bookmarkStart w:id="15" w:name="_Toc341527031"/>
      <w:bookmarkStart w:id="16" w:name="_Toc222479131"/>
      <w:r w:rsidRPr="007D1C06">
        <w:t>Project Context</w:t>
      </w:r>
      <w:bookmarkEnd w:id="14"/>
      <w:bookmarkEnd w:id="15"/>
      <w:bookmarkEnd w:id="16"/>
    </w:p>
    <w:p w14:paraId="46F14AF8" w14:textId="535AB859" w:rsidR="002F61B0" w:rsidRPr="008342EE" w:rsidRDefault="002F61B0" w:rsidP="00C93D31">
      <w:pPr>
        <w:spacing w:after="60"/>
        <w:jc w:val="both"/>
        <w:rPr>
          <w:rFonts w:asciiTheme="majorHAnsi" w:hAnsiTheme="majorHAnsi"/>
          <w:sz w:val="22"/>
          <w:szCs w:val="22"/>
        </w:rPr>
      </w:pPr>
      <w:r w:rsidRPr="008342EE">
        <w:rPr>
          <w:rFonts w:asciiTheme="majorHAnsi" w:hAnsiTheme="majorHAnsi"/>
          <w:sz w:val="22"/>
          <w:szCs w:val="22"/>
        </w:rPr>
        <w:t xml:space="preserve">The GEF International Waters (IW) portfolio comprises 170 projects to date, including 16 multi-focal area projects, and consists of some US$1.1 billion of GEF grants invested in 149 different countries globally over the last 20 years. This investment leveraged approximately US$4 billion in co-financing. By all accounts and many evaluations, since the inception of the GEF in 1992, the portfolio has delivered real results and replicable experiences to be scaled-up and mainstreamed globally. At the start, the portfolio was marginally interested in sharing its experience with itself. However, after previous phases of IW:LEARN demonstrated different learning methodologies, processes existed  that engage the portfolio in such experience sharing.  Such GEF IW:LEARN methodologies were considered ready to be up-scaled portfolio-wide, utilizing the current project, to enhance the application of GEF IW experiences to improve portfolio quality and mainstream the capacity to address transboundary concerns and assist with addressing climatic variability &amp; change. </w:t>
      </w:r>
      <w:r w:rsidR="007B479B" w:rsidRPr="008342EE">
        <w:rPr>
          <w:rFonts w:asciiTheme="majorHAnsi" w:hAnsiTheme="majorHAnsi"/>
          <w:sz w:val="22"/>
          <w:szCs w:val="22"/>
        </w:rPr>
        <w:t xml:space="preserve"> </w:t>
      </w:r>
      <w:r w:rsidRPr="008342EE">
        <w:rPr>
          <w:rFonts w:asciiTheme="majorHAnsi" w:hAnsiTheme="majorHAnsi"/>
          <w:sz w:val="22"/>
          <w:szCs w:val="22"/>
        </w:rPr>
        <w:t xml:space="preserve">Moreover, </w:t>
      </w:r>
      <w:r w:rsidR="007B479B" w:rsidRPr="008342EE">
        <w:rPr>
          <w:rFonts w:asciiTheme="majorHAnsi" w:hAnsiTheme="majorHAnsi"/>
          <w:sz w:val="22"/>
          <w:szCs w:val="22"/>
        </w:rPr>
        <w:t>there was a</w:t>
      </w:r>
      <w:r w:rsidRPr="008342EE">
        <w:rPr>
          <w:rFonts w:asciiTheme="majorHAnsi" w:hAnsiTheme="majorHAnsi"/>
          <w:sz w:val="22"/>
          <w:szCs w:val="22"/>
        </w:rPr>
        <w:t xml:space="preserve"> continued demand for: </w:t>
      </w:r>
    </w:p>
    <w:p w14:paraId="31D5D7D9" w14:textId="5A5F08EB" w:rsidR="002F61B0" w:rsidRPr="008342EE" w:rsidRDefault="002F61B0" w:rsidP="00C124C9">
      <w:pPr>
        <w:numPr>
          <w:ilvl w:val="0"/>
          <w:numId w:val="4"/>
        </w:numPr>
        <w:spacing w:after="60"/>
        <w:jc w:val="both"/>
        <w:rPr>
          <w:rFonts w:asciiTheme="majorHAnsi" w:hAnsiTheme="majorHAnsi"/>
          <w:sz w:val="22"/>
          <w:szCs w:val="22"/>
        </w:rPr>
      </w:pPr>
      <w:r w:rsidRPr="008342EE">
        <w:rPr>
          <w:rFonts w:asciiTheme="majorHAnsi" w:hAnsiTheme="majorHAnsi"/>
          <w:sz w:val="22"/>
          <w:szCs w:val="22"/>
        </w:rPr>
        <w:t>Assisting established and especially new projects in acquiring relevant knowledge related to transboundary waters management to improve project design</w:t>
      </w:r>
      <w:r w:rsidR="007B479B" w:rsidRPr="008342EE">
        <w:rPr>
          <w:rFonts w:asciiTheme="majorHAnsi" w:hAnsiTheme="majorHAnsi"/>
          <w:sz w:val="22"/>
          <w:szCs w:val="22"/>
        </w:rPr>
        <w:t xml:space="preserve"> and implementation </w:t>
      </w:r>
      <w:r w:rsidRPr="008342EE">
        <w:rPr>
          <w:rFonts w:asciiTheme="majorHAnsi" w:hAnsiTheme="majorHAnsi"/>
          <w:sz w:val="22"/>
          <w:szCs w:val="22"/>
        </w:rPr>
        <w:t xml:space="preserve"> </w:t>
      </w:r>
    </w:p>
    <w:p w14:paraId="73C66BCE" w14:textId="77777777" w:rsidR="002F61B0" w:rsidRPr="008342EE" w:rsidRDefault="002F61B0" w:rsidP="00C124C9">
      <w:pPr>
        <w:numPr>
          <w:ilvl w:val="0"/>
          <w:numId w:val="4"/>
        </w:numPr>
        <w:spacing w:after="60"/>
        <w:jc w:val="both"/>
        <w:rPr>
          <w:rFonts w:asciiTheme="majorHAnsi" w:hAnsiTheme="majorHAnsi"/>
          <w:sz w:val="22"/>
          <w:szCs w:val="22"/>
        </w:rPr>
      </w:pPr>
      <w:r w:rsidRPr="008342EE">
        <w:rPr>
          <w:rFonts w:asciiTheme="majorHAnsi" w:hAnsiTheme="majorHAnsi"/>
          <w:sz w:val="22"/>
          <w:szCs w:val="22"/>
        </w:rPr>
        <w:t xml:space="preserve">Enhancing the understanding and application of GEF IW experiences across the portfolio to produce better quality project results </w:t>
      </w:r>
    </w:p>
    <w:p w14:paraId="1E22C515" w14:textId="662DA5CD" w:rsidR="002F61B0" w:rsidRPr="008342EE" w:rsidRDefault="002F61B0" w:rsidP="00C124C9">
      <w:pPr>
        <w:numPr>
          <w:ilvl w:val="0"/>
          <w:numId w:val="4"/>
        </w:numPr>
        <w:spacing w:after="60"/>
        <w:jc w:val="both"/>
        <w:rPr>
          <w:rFonts w:asciiTheme="majorHAnsi" w:hAnsiTheme="majorHAnsi"/>
          <w:sz w:val="22"/>
          <w:szCs w:val="22"/>
        </w:rPr>
      </w:pPr>
      <w:r w:rsidRPr="008342EE">
        <w:rPr>
          <w:rFonts w:asciiTheme="majorHAnsi" w:hAnsiTheme="majorHAnsi"/>
          <w:sz w:val="22"/>
          <w:szCs w:val="22"/>
        </w:rPr>
        <w:t xml:space="preserve">Facilitating the replication and </w:t>
      </w:r>
      <w:r w:rsidR="003A2A6A" w:rsidRPr="008342EE">
        <w:rPr>
          <w:rFonts w:asciiTheme="majorHAnsi" w:hAnsiTheme="majorHAnsi"/>
          <w:sz w:val="22"/>
          <w:szCs w:val="22"/>
        </w:rPr>
        <w:t>up scaling</w:t>
      </w:r>
      <w:r w:rsidRPr="008342EE">
        <w:rPr>
          <w:rFonts w:asciiTheme="majorHAnsi" w:hAnsiTheme="majorHAnsi"/>
          <w:sz w:val="22"/>
          <w:szCs w:val="22"/>
        </w:rPr>
        <w:t xml:space="preserve"> of good practices in transboundary waters management resulting in less costs and improved capacity to address transboundary concerns </w:t>
      </w:r>
    </w:p>
    <w:p w14:paraId="36EF8B39" w14:textId="77777777" w:rsidR="002F61B0" w:rsidRPr="008342EE" w:rsidRDefault="002F61B0" w:rsidP="00C124C9">
      <w:pPr>
        <w:numPr>
          <w:ilvl w:val="0"/>
          <w:numId w:val="4"/>
        </w:numPr>
        <w:spacing w:after="60"/>
        <w:jc w:val="both"/>
        <w:rPr>
          <w:rFonts w:asciiTheme="majorHAnsi" w:hAnsiTheme="majorHAnsi"/>
          <w:sz w:val="22"/>
          <w:szCs w:val="22"/>
        </w:rPr>
      </w:pPr>
      <w:r w:rsidRPr="008342EE">
        <w:rPr>
          <w:rFonts w:asciiTheme="majorHAnsi" w:hAnsiTheme="majorHAnsi"/>
          <w:sz w:val="22"/>
          <w:szCs w:val="22"/>
        </w:rPr>
        <w:t xml:space="preserve">Ensuring that insights generated through project interventions are shared and add value to the portfolio and beyond </w:t>
      </w:r>
    </w:p>
    <w:p w14:paraId="451DA9DA" w14:textId="1E09E35E" w:rsidR="00C93D31" w:rsidRDefault="002F61B0" w:rsidP="00C93D31">
      <w:pPr>
        <w:spacing w:after="60"/>
        <w:ind w:firstLine="720"/>
        <w:jc w:val="both"/>
        <w:rPr>
          <w:rFonts w:asciiTheme="majorHAnsi" w:hAnsiTheme="majorHAnsi"/>
          <w:sz w:val="22"/>
          <w:szCs w:val="22"/>
        </w:rPr>
      </w:pPr>
      <w:r w:rsidRPr="008342EE">
        <w:rPr>
          <w:rFonts w:asciiTheme="majorHAnsi" w:hAnsiTheme="majorHAnsi"/>
          <w:sz w:val="22"/>
          <w:szCs w:val="22"/>
        </w:rPr>
        <w:t xml:space="preserve">GEF IW:LEARN began in 1997 as an experimental portfolio-wide knowledge management and capacity building initiative, which encouraged networking, launched a Distance Masters program and organized the first GEF IW Conference (IWC) in Budapest in 2000. A foundational project during the period 2000-2003 provided knowledge management training and on-demand technical assistance for GEF IW projects, as well as piloting of a number of learning tools. The subsequent Operational Phase of IWLEARN (2004-2008), built on pilot phase lessons, and developed a strategic approach to knowledge management, manifested by a consolidated knowledge management service line: project-project exchanges, targeted training workshops, portfolio-wide learning at the GEF Biennial International Waters conferences, knowledge products on, for example, Payment for Ecosystem Services and Stakeholder Engagement, information management, technical support to website development, regional and global dialogue processes, support for communities of practice and a help desk. </w:t>
      </w:r>
    </w:p>
    <w:p w14:paraId="776C9797" w14:textId="77777777" w:rsidR="009269CE" w:rsidRPr="008342EE" w:rsidRDefault="009269CE" w:rsidP="00C93D31">
      <w:pPr>
        <w:spacing w:after="60"/>
        <w:ind w:firstLine="720"/>
        <w:jc w:val="both"/>
        <w:rPr>
          <w:rFonts w:asciiTheme="majorHAnsi" w:hAnsiTheme="majorHAnsi"/>
          <w:sz w:val="22"/>
          <w:szCs w:val="22"/>
        </w:rPr>
      </w:pPr>
    </w:p>
    <w:p w14:paraId="45A9E67D" w14:textId="536A1616" w:rsidR="007B479B" w:rsidRDefault="007B479B" w:rsidP="00C93D31">
      <w:pPr>
        <w:spacing w:after="60"/>
        <w:jc w:val="both"/>
        <w:rPr>
          <w:rFonts w:asciiTheme="majorHAnsi" w:hAnsiTheme="majorHAnsi"/>
          <w:sz w:val="22"/>
          <w:szCs w:val="22"/>
        </w:rPr>
      </w:pPr>
      <w:r>
        <w:rPr>
          <w:rFonts w:asciiTheme="majorHAnsi" w:hAnsiTheme="majorHAnsi"/>
          <w:sz w:val="22"/>
          <w:szCs w:val="22"/>
        </w:rPr>
        <w:t>At</w:t>
      </w:r>
      <w:r w:rsidRPr="007B479B">
        <w:rPr>
          <w:rFonts w:asciiTheme="majorHAnsi" w:hAnsiTheme="majorHAnsi"/>
          <w:sz w:val="22"/>
          <w:szCs w:val="22"/>
        </w:rPr>
        <w:t xml:space="preserve"> a regional level, the GEF has increased its focus on the Mediterranean and MENARID regions, as well as on groundwater management issues. Work underway in these regions provide, in particular, useful lessons on nation-to-nation cooperation in transboundary management of water resources—resources of significant global as well as regional economic and social value which are also especially vulnerable to changes in climate. In response to country requests and global imperatives, the GEF IW focal area will direct attention to groundwater, recognising that this vital resource is often transboundary in nature, underlying multiple countries. The new IW</w:t>
      </w:r>
      <w:proofErr w:type="gramStart"/>
      <w:r w:rsidRPr="007B479B">
        <w:rPr>
          <w:rFonts w:asciiTheme="majorHAnsi" w:hAnsiTheme="majorHAnsi"/>
          <w:sz w:val="22"/>
          <w:szCs w:val="22"/>
        </w:rPr>
        <w:t>:LEARN</w:t>
      </w:r>
      <w:proofErr w:type="gramEnd"/>
      <w:r w:rsidRPr="007B479B">
        <w:rPr>
          <w:rFonts w:asciiTheme="majorHAnsi" w:hAnsiTheme="majorHAnsi"/>
          <w:sz w:val="22"/>
          <w:szCs w:val="22"/>
        </w:rPr>
        <w:t xml:space="preserve"> project includes cross-project and agency learning support to GEF project teams on methodologies for groundwater/surface water management, especially concerning aquifer protection and recharge issues in the MENARID region with mobilizing new partners. </w:t>
      </w:r>
    </w:p>
    <w:p w14:paraId="1C007DA2" w14:textId="77777777" w:rsidR="009269CE" w:rsidRPr="007B479B" w:rsidRDefault="009269CE" w:rsidP="00C93D31">
      <w:pPr>
        <w:spacing w:after="60"/>
        <w:jc w:val="both"/>
        <w:rPr>
          <w:rFonts w:asciiTheme="majorHAnsi" w:hAnsiTheme="majorHAnsi"/>
          <w:sz w:val="22"/>
          <w:szCs w:val="22"/>
        </w:rPr>
      </w:pPr>
    </w:p>
    <w:p w14:paraId="7E780916" w14:textId="1A28309D" w:rsidR="006533AB" w:rsidRPr="00E80795" w:rsidRDefault="007B479B" w:rsidP="00472C48">
      <w:pPr>
        <w:spacing w:after="60"/>
        <w:jc w:val="both"/>
        <w:rPr>
          <w:rFonts w:asciiTheme="majorHAnsi" w:hAnsiTheme="majorHAnsi"/>
          <w:sz w:val="22"/>
          <w:szCs w:val="22"/>
        </w:rPr>
      </w:pPr>
      <w:r w:rsidRPr="007B479B">
        <w:rPr>
          <w:rFonts w:asciiTheme="majorHAnsi" w:hAnsiTheme="majorHAnsi"/>
          <w:sz w:val="22"/>
          <w:szCs w:val="22"/>
        </w:rPr>
        <w:t>The Terminal Evaluation of the prev</w:t>
      </w:r>
      <w:r w:rsidR="001B575E">
        <w:rPr>
          <w:rFonts w:asciiTheme="majorHAnsi" w:hAnsiTheme="majorHAnsi"/>
          <w:sz w:val="22"/>
          <w:szCs w:val="22"/>
        </w:rPr>
        <w:t>ious phase of IW</w:t>
      </w:r>
      <w:proofErr w:type="gramStart"/>
      <w:r w:rsidR="001B575E">
        <w:rPr>
          <w:rFonts w:asciiTheme="majorHAnsi" w:hAnsiTheme="majorHAnsi"/>
          <w:sz w:val="22"/>
          <w:szCs w:val="22"/>
        </w:rPr>
        <w:t>:LEARN</w:t>
      </w:r>
      <w:proofErr w:type="gramEnd"/>
      <w:r w:rsidR="001B575E">
        <w:rPr>
          <w:rFonts w:asciiTheme="majorHAnsi" w:hAnsiTheme="majorHAnsi"/>
          <w:sz w:val="22"/>
          <w:szCs w:val="22"/>
        </w:rPr>
        <w:t xml:space="preserve"> </w:t>
      </w:r>
      <w:r w:rsidRPr="007B479B">
        <w:rPr>
          <w:rFonts w:asciiTheme="majorHAnsi" w:hAnsiTheme="majorHAnsi"/>
          <w:sz w:val="22"/>
          <w:szCs w:val="22"/>
        </w:rPr>
        <w:t xml:space="preserve">(November 2008) identified key strengths and some weaknesses that </w:t>
      </w:r>
      <w:r>
        <w:rPr>
          <w:rFonts w:asciiTheme="majorHAnsi" w:hAnsiTheme="majorHAnsi"/>
          <w:sz w:val="22"/>
          <w:szCs w:val="22"/>
        </w:rPr>
        <w:t xml:space="preserve">were to </w:t>
      </w:r>
      <w:r w:rsidRPr="007B479B">
        <w:rPr>
          <w:rFonts w:asciiTheme="majorHAnsi" w:hAnsiTheme="majorHAnsi"/>
          <w:sz w:val="22"/>
          <w:szCs w:val="22"/>
        </w:rPr>
        <w:t>be addressed in this phase. The project was rated as ‘satisfactory’ with only minor shortcomings in the achievement of its</w:t>
      </w:r>
      <w:r w:rsidR="00E80795">
        <w:rPr>
          <w:rFonts w:asciiTheme="majorHAnsi" w:hAnsiTheme="majorHAnsi"/>
          <w:sz w:val="22"/>
          <w:szCs w:val="22"/>
        </w:rPr>
        <w:t xml:space="preserve"> objectives</w:t>
      </w:r>
      <w:r w:rsidR="00E80795" w:rsidRPr="00E80795">
        <w:rPr>
          <w:rFonts w:asciiTheme="majorHAnsi" w:hAnsiTheme="majorHAnsi"/>
          <w:sz w:val="22"/>
          <w:szCs w:val="22"/>
        </w:rPr>
        <w:t>.</w:t>
      </w:r>
      <w:r w:rsidR="00E80795" w:rsidRPr="00E80795">
        <w:rPr>
          <w:rStyle w:val="FootnoteReference"/>
          <w:rFonts w:asciiTheme="majorHAnsi" w:hAnsiTheme="majorHAnsi"/>
          <w:sz w:val="22"/>
          <w:szCs w:val="22"/>
        </w:rPr>
        <w:footnoteReference w:id="2"/>
      </w:r>
    </w:p>
    <w:p w14:paraId="2F3366E1" w14:textId="77777777" w:rsidR="00A165D2" w:rsidRDefault="00A165D2" w:rsidP="00A165D2">
      <w:pPr>
        <w:pStyle w:val="Heading2"/>
      </w:pPr>
      <w:bookmarkStart w:id="17" w:name="_Toc320280625"/>
      <w:bookmarkStart w:id="18" w:name="_Toc341527032"/>
      <w:bookmarkStart w:id="19" w:name="_Toc222479132"/>
      <w:r w:rsidRPr="007D1C06">
        <w:t>Relevance to GEF Programmes</w:t>
      </w:r>
      <w:bookmarkEnd w:id="17"/>
      <w:bookmarkEnd w:id="18"/>
      <w:bookmarkEnd w:id="19"/>
    </w:p>
    <w:p w14:paraId="33950A75" w14:textId="6AB62A13" w:rsidR="00B428E6" w:rsidRPr="00B428E6" w:rsidRDefault="00B428E6" w:rsidP="00B428E6">
      <w:pPr>
        <w:spacing w:after="60"/>
        <w:jc w:val="both"/>
        <w:rPr>
          <w:rFonts w:asciiTheme="majorHAnsi" w:hAnsiTheme="majorHAnsi"/>
          <w:sz w:val="22"/>
          <w:szCs w:val="22"/>
        </w:rPr>
      </w:pPr>
      <w:r w:rsidRPr="00B428E6">
        <w:rPr>
          <w:rFonts w:asciiTheme="majorHAnsi" w:hAnsiTheme="majorHAnsi"/>
          <w:sz w:val="22"/>
          <w:szCs w:val="22"/>
        </w:rPr>
        <w:t xml:space="preserve">The project meets GEF-4 IW Strategic Objective 1 </w:t>
      </w:r>
      <w:r w:rsidR="00472C48" w:rsidRPr="00472C48">
        <w:rPr>
          <w:rFonts w:asciiTheme="majorHAnsi" w:hAnsiTheme="majorHAnsi"/>
          <w:i/>
          <w:sz w:val="22"/>
          <w:szCs w:val="22"/>
        </w:rPr>
        <w:t>‘</w:t>
      </w:r>
      <w:r w:rsidRPr="00472C48">
        <w:rPr>
          <w:rFonts w:asciiTheme="majorHAnsi" w:hAnsiTheme="majorHAnsi"/>
          <w:i/>
          <w:sz w:val="22"/>
          <w:szCs w:val="22"/>
        </w:rPr>
        <w:t>to foster international, multi-state cooperation on priority transboundary water concerns through more comprehensive, ecosystem-based approaches to management</w:t>
      </w:r>
      <w:r w:rsidR="00472C48">
        <w:rPr>
          <w:rFonts w:asciiTheme="majorHAnsi" w:hAnsiTheme="majorHAnsi"/>
          <w:i/>
          <w:sz w:val="22"/>
          <w:szCs w:val="22"/>
        </w:rPr>
        <w:t>’</w:t>
      </w:r>
      <w:r w:rsidRPr="00472C48">
        <w:rPr>
          <w:rFonts w:asciiTheme="majorHAnsi" w:hAnsiTheme="majorHAnsi"/>
          <w:i/>
          <w:sz w:val="22"/>
          <w:szCs w:val="22"/>
        </w:rPr>
        <w:t>,</w:t>
      </w:r>
      <w:r w:rsidRPr="00B428E6">
        <w:rPr>
          <w:rFonts w:asciiTheme="majorHAnsi" w:hAnsiTheme="majorHAnsi"/>
          <w:sz w:val="22"/>
          <w:szCs w:val="22"/>
        </w:rPr>
        <w:t xml:space="preserve"> and Objective 2 </w:t>
      </w:r>
      <w:r w:rsidR="00472C48" w:rsidRPr="00472C48">
        <w:rPr>
          <w:rFonts w:asciiTheme="majorHAnsi" w:hAnsiTheme="majorHAnsi"/>
          <w:i/>
          <w:sz w:val="22"/>
          <w:szCs w:val="22"/>
        </w:rPr>
        <w:t>‘</w:t>
      </w:r>
      <w:r w:rsidRPr="00472C48">
        <w:rPr>
          <w:rFonts w:asciiTheme="majorHAnsi" w:hAnsiTheme="majorHAnsi"/>
          <w:i/>
          <w:sz w:val="22"/>
          <w:szCs w:val="22"/>
        </w:rPr>
        <w:t xml:space="preserve">to </w:t>
      </w:r>
      <w:r w:rsidR="003A2A6A" w:rsidRPr="00472C48">
        <w:rPr>
          <w:rFonts w:asciiTheme="majorHAnsi" w:hAnsiTheme="majorHAnsi"/>
          <w:i/>
          <w:sz w:val="22"/>
          <w:szCs w:val="22"/>
        </w:rPr>
        <w:t>catalyse</w:t>
      </w:r>
      <w:r w:rsidRPr="00472C48">
        <w:rPr>
          <w:rFonts w:asciiTheme="majorHAnsi" w:hAnsiTheme="majorHAnsi"/>
          <w:i/>
          <w:sz w:val="22"/>
          <w:szCs w:val="22"/>
        </w:rPr>
        <w:t xml:space="preserve"> transboundary action addressing water concerns, by assisting countries to utilize the full range of technical assistance, economic, financial, regulatory and institutional reforms that are needed</w:t>
      </w:r>
      <w:r w:rsidR="00472C48">
        <w:rPr>
          <w:rFonts w:asciiTheme="majorHAnsi" w:hAnsiTheme="majorHAnsi"/>
          <w:i/>
          <w:sz w:val="22"/>
          <w:szCs w:val="22"/>
        </w:rPr>
        <w:t>’</w:t>
      </w:r>
      <w:r w:rsidRPr="00B428E6">
        <w:rPr>
          <w:rFonts w:asciiTheme="majorHAnsi" w:hAnsiTheme="majorHAnsi"/>
          <w:sz w:val="22"/>
          <w:szCs w:val="22"/>
        </w:rPr>
        <w:t xml:space="preserve">. The project contributes, to all four strategic programs as delineated in the GEF 4 focal area strategy for international waters, and is wholly consistent with the goals and objectives of GEF 5, including portfolio learning. Given a sub-focus on groundwater and a sub-activity in the MENARID region, it is specifically aligned with SP3 </w:t>
      </w:r>
      <w:r w:rsidRPr="00472C48">
        <w:rPr>
          <w:rFonts w:asciiTheme="majorHAnsi" w:hAnsiTheme="majorHAnsi"/>
          <w:i/>
          <w:sz w:val="22"/>
          <w:szCs w:val="22"/>
        </w:rPr>
        <w:t>“Balancing overuse and conflicting uses of water resources in surface and groundwater basins that are transboundary in nature”</w:t>
      </w:r>
      <w:r w:rsidRPr="00B428E6">
        <w:rPr>
          <w:rFonts w:asciiTheme="majorHAnsi" w:hAnsiTheme="majorHAnsi"/>
          <w:sz w:val="22"/>
          <w:szCs w:val="22"/>
        </w:rPr>
        <w:t xml:space="preserve">. In addition, climatic variability &amp; change is addressed by the project as a </w:t>
      </w:r>
      <w:r w:rsidR="003A2A6A" w:rsidRPr="00B428E6">
        <w:rPr>
          <w:rFonts w:asciiTheme="majorHAnsi" w:hAnsiTheme="majorHAnsi"/>
          <w:sz w:val="22"/>
          <w:szCs w:val="22"/>
        </w:rPr>
        <w:t>crosscutting</w:t>
      </w:r>
      <w:r w:rsidRPr="00B428E6">
        <w:rPr>
          <w:rFonts w:asciiTheme="majorHAnsi" w:hAnsiTheme="majorHAnsi"/>
          <w:sz w:val="22"/>
          <w:szCs w:val="22"/>
        </w:rPr>
        <w:t xml:space="preserve"> issue in two components, the enhancement of the TDA-SAP course &amp; </w:t>
      </w:r>
      <w:r w:rsidR="003A2A6A" w:rsidRPr="00B428E6">
        <w:rPr>
          <w:rFonts w:asciiTheme="majorHAnsi" w:hAnsiTheme="majorHAnsi"/>
          <w:sz w:val="22"/>
          <w:szCs w:val="22"/>
        </w:rPr>
        <w:t>methodology, the</w:t>
      </w:r>
      <w:r w:rsidRPr="00B428E6">
        <w:rPr>
          <w:rFonts w:asciiTheme="majorHAnsi" w:hAnsiTheme="majorHAnsi"/>
          <w:sz w:val="22"/>
          <w:szCs w:val="22"/>
        </w:rPr>
        <w:t xml:space="preserve"> development of climate risk-based insurance schemes and guidance to IW projects on mainstreaming its impacts. </w:t>
      </w:r>
    </w:p>
    <w:p w14:paraId="61FE99CE" w14:textId="77777777" w:rsidR="00A165D2" w:rsidRDefault="00A165D2" w:rsidP="00A165D2">
      <w:pPr>
        <w:pStyle w:val="Heading2"/>
      </w:pPr>
      <w:bookmarkStart w:id="20" w:name="_Toc320280626"/>
      <w:bookmarkStart w:id="21" w:name="_Toc341527033"/>
      <w:bookmarkStart w:id="22" w:name="_Toc222479133"/>
      <w:r w:rsidRPr="007D1C06">
        <w:t>The Project</w:t>
      </w:r>
      <w:bookmarkEnd w:id="20"/>
      <w:bookmarkEnd w:id="21"/>
      <w:bookmarkEnd w:id="22"/>
      <w:r w:rsidRPr="007D1C06">
        <w:t xml:space="preserve"> </w:t>
      </w:r>
    </w:p>
    <w:p w14:paraId="351FA5D0" w14:textId="306CDFF2" w:rsidR="00B428E6" w:rsidRDefault="00500F85" w:rsidP="003A2A6A">
      <w:pPr>
        <w:jc w:val="both"/>
        <w:rPr>
          <w:rFonts w:asciiTheme="majorHAnsi" w:hAnsiTheme="majorHAnsi"/>
          <w:bCs/>
          <w:sz w:val="22"/>
          <w:szCs w:val="22"/>
        </w:rPr>
      </w:pPr>
      <w:r w:rsidRPr="00500F85">
        <w:rPr>
          <w:rFonts w:asciiTheme="majorHAnsi" w:hAnsiTheme="majorHAnsi"/>
          <w:bCs/>
          <w:sz w:val="22"/>
          <w:szCs w:val="22"/>
        </w:rPr>
        <w:t>A global project, encouraging learning, information sharing, collaboration and replication of good practices and experiences in the GEF International Waters portfolio. The project has a strong focus on groundwater and supporting the Middle East and North Africa Development (MENARID) process, and in the replication and sharing of good practices between transboundary surface and groundwater management. IW:LEARN will provide tools and procedures to assist IW projects better achieve their objectives through the provision of improved knowledge management and guidance on mainstreaming climatic variability &amp; change, gender and public-private co-operation in IW projects. IW:LEARN will facilitate the 6</w:t>
      </w:r>
      <w:r w:rsidRPr="00500F85">
        <w:rPr>
          <w:rFonts w:asciiTheme="majorHAnsi" w:hAnsiTheme="majorHAnsi"/>
          <w:bCs/>
          <w:sz w:val="22"/>
          <w:szCs w:val="22"/>
          <w:vertAlign w:val="superscript"/>
        </w:rPr>
        <w:t>th</w:t>
      </w:r>
      <w:r w:rsidRPr="00500F85">
        <w:rPr>
          <w:rFonts w:asciiTheme="majorHAnsi" w:hAnsiTheme="majorHAnsi"/>
          <w:bCs/>
          <w:sz w:val="22"/>
          <w:szCs w:val="22"/>
        </w:rPr>
        <w:t xml:space="preserve"> IW Conference and initiate improved involvement between IW projects and the wider science community through the first IW Science Conference</w:t>
      </w:r>
    </w:p>
    <w:p w14:paraId="6AFABE8C" w14:textId="77777777" w:rsidR="00500F85" w:rsidRPr="00500F85" w:rsidRDefault="00500F85" w:rsidP="00B428E6">
      <w:pPr>
        <w:rPr>
          <w:rFonts w:asciiTheme="majorHAnsi" w:hAnsiTheme="majorHAnsi"/>
          <w:sz w:val="22"/>
          <w:szCs w:val="22"/>
        </w:rPr>
      </w:pPr>
    </w:p>
    <w:p w14:paraId="3046F675" w14:textId="373591DC" w:rsidR="001A0DE7" w:rsidRDefault="001A0DE7" w:rsidP="00FE25C3">
      <w:pPr>
        <w:jc w:val="both"/>
        <w:rPr>
          <w:rFonts w:asciiTheme="majorHAnsi" w:hAnsiTheme="majorHAnsi"/>
          <w:sz w:val="22"/>
          <w:szCs w:val="22"/>
        </w:rPr>
      </w:pPr>
      <w:r>
        <w:rPr>
          <w:rFonts w:asciiTheme="majorHAnsi" w:hAnsiTheme="majorHAnsi"/>
          <w:sz w:val="22"/>
          <w:szCs w:val="22"/>
        </w:rPr>
        <w:t xml:space="preserve">The </w:t>
      </w:r>
      <w:r w:rsidRPr="001A0DE7">
        <w:rPr>
          <w:rFonts w:asciiTheme="majorHAnsi" w:hAnsiTheme="majorHAnsi"/>
          <w:sz w:val="22"/>
          <w:szCs w:val="22"/>
        </w:rPr>
        <w:t>Project</w:t>
      </w:r>
      <w:r>
        <w:rPr>
          <w:rFonts w:asciiTheme="majorHAnsi" w:hAnsiTheme="majorHAnsi"/>
          <w:sz w:val="22"/>
          <w:szCs w:val="22"/>
        </w:rPr>
        <w:t>’s long term</w:t>
      </w:r>
      <w:r w:rsidRPr="001A0DE7">
        <w:rPr>
          <w:rFonts w:asciiTheme="majorHAnsi" w:hAnsiTheme="majorHAnsi"/>
          <w:sz w:val="22"/>
          <w:szCs w:val="22"/>
        </w:rPr>
        <w:t xml:space="preserve"> Goal</w:t>
      </w:r>
      <w:r>
        <w:rPr>
          <w:rFonts w:asciiTheme="majorHAnsi" w:hAnsiTheme="majorHAnsi"/>
          <w:sz w:val="22"/>
          <w:szCs w:val="22"/>
        </w:rPr>
        <w:t xml:space="preserve"> is</w:t>
      </w:r>
      <w:r w:rsidRPr="001A0DE7">
        <w:rPr>
          <w:rFonts w:asciiTheme="majorHAnsi" w:hAnsiTheme="majorHAnsi"/>
          <w:sz w:val="22"/>
          <w:szCs w:val="22"/>
        </w:rPr>
        <w:t>:</w:t>
      </w:r>
      <w:r w:rsidRPr="001A0DE7">
        <w:rPr>
          <w:rFonts w:asciiTheme="majorHAnsi" w:hAnsiTheme="majorHAnsi"/>
          <w:sz w:val="22"/>
          <w:szCs w:val="22"/>
        </w:rPr>
        <w:tab/>
      </w:r>
      <w:r>
        <w:rPr>
          <w:rFonts w:asciiTheme="majorHAnsi" w:hAnsiTheme="majorHAnsi"/>
          <w:sz w:val="22"/>
          <w:szCs w:val="22"/>
        </w:rPr>
        <w:t>‘</w:t>
      </w:r>
      <w:r w:rsidRPr="001A0DE7">
        <w:rPr>
          <w:rFonts w:asciiTheme="majorHAnsi" w:hAnsiTheme="majorHAnsi"/>
          <w:i/>
          <w:sz w:val="22"/>
          <w:szCs w:val="22"/>
        </w:rPr>
        <w:t>To strengthen Transboundary Waters Management (TWM) by facilitating portfolio learning and information management amongst GEF IW projects and partners</w:t>
      </w:r>
      <w:r>
        <w:rPr>
          <w:rFonts w:asciiTheme="majorHAnsi" w:hAnsiTheme="majorHAnsi"/>
          <w:i/>
          <w:sz w:val="22"/>
          <w:szCs w:val="22"/>
        </w:rPr>
        <w:t>’</w:t>
      </w:r>
      <w:r w:rsidRPr="001A0DE7">
        <w:rPr>
          <w:rFonts w:asciiTheme="majorHAnsi" w:hAnsiTheme="majorHAnsi"/>
          <w:sz w:val="22"/>
          <w:szCs w:val="22"/>
        </w:rPr>
        <w:t xml:space="preserve"> </w:t>
      </w:r>
    </w:p>
    <w:p w14:paraId="052D8A0E" w14:textId="77777777" w:rsidR="001A0DE7" w:rsidRPr="001A0DE7" w:rsidRDefault="001A0DE7" w:rsidP="00FE25C3">
      <w:pPr>
        <w:jc w:val="both"/>
        <w:rPr>
          <w:rFonts w:asciiTheme="majorHAnsi" w:hAnsiTheme="majorHAnsi"/>
          <w:sz w:val="22"/>
          <w:szCs w:val="22"/>
        </w:rPr>
      </w:pPr>
    </w:p>
    <w:p w14:paraId="2D69A36C" w14:textId="79261B05" w:rsidR="001A0DE7" w:rsidRPr="00503AD2" w:rsidRDefault="001A0DE7" w:rsidP="00FE25C3">
      <w:pPr>
        <w:jc w:val="both"/>
        <w:rPr>
          <w:rFonts w:asciiTheme="majorHAnsi" w:hAnsiTheme="majorHAnsi"/>
          <w:i/>
          <w:sz w:val="22"/>
          <w:szCs w:val="22"/>
        </w:rPr>
      </w:pPr>
      <w:r>
        <w:rPr>
          <w:rFonts w:asciiTheme="majorHAnsi" w:hAnsiTheme="majorHAnsi"/>
          <w:sz w:val="22"/>
          <w:szCs w:val="22"/>
        </w:rPr>
        <w:t xml:space="preserve">While the immediate </w:t>
      </w:r>
      <w:r w:rsidRPr="001A0DE7">
        <w:rPr>
          <w:rFonts w:asciiTheme="majorHAnsi" w:hAnsiTheme="majorHAnsi"/>
          <w:sz w:val="22"/>
          <w:szCs w:val="22"/>
        </w:rPr>
        <w:t>Objective</w:t>
      </w:r>
      <w:r>
        <w:rPr>
          <w:rFonts w:asciiTheme="majorHAnsi" w:hAnsiTheme="majorHAnsi"/>
          <w:sz w:val="22"/>
          <w:szCs w:val="22"/>
        </w:rPr>
        <w:t xml:space="preserve"> is : </w:t>
      </w:r>
      <w:r w:rsidR="00503AD2">
        <w:rPr>
          <w:rFonts w:asciiTheme="majorHAnsi" w:hAnsiTheme="majorHAnsi"/>
          <w:sz w:val="22"/>
          <w:szCs w:val="22"/>
        </w:rPr>
        <w:t>‘</w:t>
      </w:r>
      <w:r w:rsidRPr="00503AD2">
        <w:rPr>
          <w:rFonts w:asciiTheme="majorHAnsi" w:hAnsiTheme="majorHAnsi"/>
          <w:i/>
          <w:sz w:val="22"/>
          <w:szCs w:val="22"/>
        </w:rPr>
        <w:t>To strengthen global portfolio experience sharing and learning, dialogue facilitation, targeted knowledge sharing and replication in order to enhance the efficiency and effectiveness of GEF IW projects to deliver tangible results in partnership with other IW initiatives.</w:t>
      </w:r>
      <w:r w:rsidR="00503AD2">
        <w:rPr>
          <w:rFonts w:asciiTheme="majorHAnsi" w:hAnsiTheme="majorHAnsi"/>
          <w:i/>
          <w:sz w:val="22"/>
          <w:szCs w:val="22"/>
        </w:rPr>
        <w:t>’</w:t>
      </w:r>
    </w:p>
    <w:p w14:paraId="48AF338F" w14:textId="77777777" w:rsidR="001A0DE7" w:rsidRDefault="001A0DE7" w:rsidP="00FE25C3">
      <w:pPr>
        <w:jc w:val="both"/>
        <w:rPr>
          <w:rFonts w:asciiTheme="majorHAnsi" w:hAnsiTheme="majorHAnsi"/>
          <w:sz w:val="22"/>
          <w:szCs w:val="22"/>
        </w:rPr>
      </w:pPr>
    </w:p>
    <w:p w14:paraId="07D089BF" w14:textId="0E9F93DF" w:rsidR="00FE25C3" w:rsidRDefault="00FE25C3" w:rsidP="00F84D9A">
      <w:pPr>
        <w:jc w:val="both"/>
        <w:rPr>
          <w:rFonts w:asciiTheme="majorHAnsi" w:hAnsiTheme="majorHAnsi"/>
          <w:sz w:val="22"/>
          <w:szCs w:val="22"/>
        </w:rPr>
      </w:pPr>
      <w:r>
        <w:rPr>
          <w:rFonts w:asciiTheme="majorHAnsi" w:hAnsiTheme="majorHAnsi"/>
          <w:sz w:val="22"/>
          <w:szCs w:val="22"/>
        </w:rPr>
        <w:t xml:space="preserve">It is intended that the Objective will be achieved via the implementation of 5 interrelated substantive components together with supporting project management and M&amp;E activities. The 5 main components are further divided into 15 sub-components designed to deliver 27 outputs and 12 outcomes. </w:t>
      </w:r>
      <w:r w:rsidR="00EC4B9C">
        <w:rPr>
          <w:rFonts w:asciiTheme="majorHAnsi" w:hAnsiTheme="majorHAnsi"/>
          <w:sz w:val="22"/>
          <w:szCs w:val="22"/>
        </w:rPr>
        <w:t xml:space="preserve"> </w:t>
      </w:r>
    </w:p>
    <w:p w14:paraId="64EE0322" w14:textId="3AC9F921" w:rsidR="0022774D" w:rsidRPr="0022774D" w:rsidRDefault="0022774D" w:rsidP="0022774D">
      <w:pPr>
        <w:pStyle w:val="Heading3"/>
      </w:pPr>
      <w:bookmarkStart w:id="23" w:name="_Toc320280627"/>
      <w:bookmarkStart w:id="24" w:name="_Toc341527034"/>
      <w:bookmarkStart w:id="25" w:name="_Toc222479134"/>
      <w:r w:rsidRPr="007D1C06">
        <w:t>Project Activities</w:t>
      </w:r>
      <w:bookmarkEnd w:id="23"/>
      <w:bookmarkEnd w:id="24"/>
      <w:bookmarkEnd w:id="25"/>
    </w:p>
    <w:p w14:paraId="462134AB" w14:textId="3E994DA8" w:rsidR="00FE25C3" w:rsidRDefault="00F84D9A" w:rsidP="00F84D9A">
      <w:pPr>
        <w:rPr>
          <w:rFonts w:asciiTheme="majorHAnsi" w:hAnsiTheme="majorHAnsi"/>
          <w:sz w:val="22"/>
          <w:szCs w:val="22"/>
        </w:rPr>
      </w:pPr>
      <w:r>
        <w:rPr>
          <w:rFonts w:asciiTheme="majorHAnsi" w:hAnsiTheme="majorHAnsi"/>
          <w:sz w:val="22"/>
          <w:szCs w:val="22"/>
        </w:rPr>
        <w:t xml:space="preserve">For the sake of </w:t>
      </w:r>
      <w:r w:rsidR="0022774D">
        <w:rPr>
          <w:rFonts w:asciiTheme="majorHAnsi" w:hAnsiTheme="majorHAnsi"/>
          <w:sz w:val="22"/>
          <w:szCs w:val="22"/>
        </w:rPr>
        <w:t>brevity</w:t>
      </w:r>
      <w:r>
        <w:rPr>
          <w:rFonts w:asciiTheme="majorHAnsi" w:hAnsiTheme="majorHAnsi"/>
          <w:sz w:val="22"/>
          <w:szCs w:val="22"/>
        </w:rPr>
        <w:t xml:space="preserve"> owing </w:t>
      </w:r>
      <w:r w:rsidR="00500F85">
        <w:rPr>
          <w:rFonts w:asciiTheme="majorHAnsi" w:hAnsiTheme="majorHAnsi"/>
          <w:sz w:val="22"/>
          <w:szCs w:val="22"/>
        </w:rPr>
        <w:t>to the</w:t>
      </w:r>
      <w:r w:rsidR="00D64057">
        <w:rPr>
          <w:rFonts w:asciiTheme="majorHAnsi" w:hAnsiTheme="majorHAnsi"/>
          <w:sz w:val="22"/>
          <w:szCs w:val="22"/>
        </w:rPr>
        <w:t xml:space="preserve"> large</w:t>
      </w:r>
      <w:r w:rsidR="00500F85">
        <w:rPr>
          <w:rFonts w:asciiTheme="majorHAnsi" w:hAnsiTheme="majorHAnsi"/>
          <w:sz w:val="22"/>
          <w:szCs w:val="22"/>
        </w:rPr>
        <w:t xml:space="preserve"> number of distinct sub-components </w:t>
      </w:r>
      <w:r>
        <w:rPr>
          <w:rFonts w:asciiTheme="majorHAnsi" w:hAnsiTheme="majorHAnsi"/>
          <w:sz w:val="22"/>
          <w:szCs w:val="22"/>
        </w:rPr>
        <w:t xml:space="preserve">only a brief summary of each is provided here. </w:t>
      </w:r>
      <w:r w:rsidR="003717BC">
        <w:rPr>
          <w:rFonts w:asciiTheme="majorHAnsi" w:hAnsiTheme="majorHAnsi"/>
          <w:sz w:val="22"/>
          <w:szCs w:val="22"/>
        </w:rPr>
        <w:t xml:space="preserve"> As some sub-components are linked to the same outcome, each outcome is given a separate sequential number and indicated in the summary boxes below. </w:t>
      </w:r>
    </w:p>
    <w:p w14:paraId="5BD80DB8" w14:textId="77777777" w:rsidR="00500F85" w:rsidRDefault="00500F85" w:rsidP="001A0DE7">
      <w:pPr>
        <w:rPr>
          <w:rFonts w:asciiTheme="majorHAnsi" w:hAnsiTheme="majorHAnsi"/>
          <w:sz w:val="22"/>
          <w:szCs w:val="22"/>
        </w:rPr>
      </w:pPr>
    </w:p>
    <w:p w14:paraId="3889021C" w14:textId="77777777" w:rsidR="001A0DE7" w:rsidRDefault="001A0DE7" w:rsidP="00F84D9A">
      <w:pPr>
        <w:spacing w:after="60"/>
        <w:jc w:val="both"/>
        <w:rPr>
          <w:rFonts w:asciiTheme="majorHAnsi" w:hAnsiTheme="majorHAnsi"/>
          <w:sz w:val="22"/>
          <w:szCs w:val="22"/>
        </w:rPr>
      </w:pPr>
      <w:r w:rsidRPr="00966891">
        <w:rPr>
          <w:rFonts w:asciiTheme="majorHAnsi" w:hAnsiTheme="majorHAnsi"/>
          <w:b/>
          <w:sz w:val="22"/>
          <w:szCs w:val="22"/>
        </w:rPr>
        <w:t>Component 1:</w:t>
      </w:r>
      <w:r w:rsidRPr="00966891">
        <w:rPr>
          <w:rFonts w:asciiTheme="majorHAnsi" w:hAnsiTheme="majorHAnsi"/>
          <w:sz w:val="22"/>
          <w:szCs w:val="22"/>
        </w:rPr>
        <w:tab/>
        <w:t>MENARID Programme – Support via Land/Ground Water Integrated Management and Regional Portfolio Learning and Dialogue</w:t>
      </w:r>
    </w:p>
    <w:p w14:paraId="67542388" w14:textId="4C7FF547" w:rsidR="00154BE4" w:rsidRPr="00EF2438" w:rsidRDefault="00154BE4"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EF2438">
        <w:rPr>
          <w:rFonts w:asciiTheme="majorHAnsi" w:hAnsiTheme="majorHAnsi"/>
          <w:color w:val="3366FF"/>
          <w:sz w:val="20"/>
          <w:szCs w:val="20"/>
        </w:rPr>
        <w:t>Subcomponent 1a:  Support to MENARID Integrated Land / Water Management</w:t>
      </w:r>
    </w:p>
    <w:p w14:paraId="21E41072" w14:textId="77777777" w:rsidR="00154BE4" w:rsidRPr="00EF2438" w:rsidRDefault="00154BE4"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EF2438">
        <w:rPr>
          <w:rFonts w:asciiTheme="majorHAnsi" w:hAnsiTheme="majorHAnsi"/>
          <w:color w:val="3366FF"/>
          <w:sz w:val="20"/>
          <w:szCs w:val="20"/>
        </w:rPr>
        <w:t xml:space="preserve">Expected </w:t>
      </w:r>
      <w:r w:rsidRPr="00EF2438">
        <w:rPr>
          <w:rFonts w:asciiTheme="majorHAnsi" w:hAnsiTheme="majorHAnsi"/>
          <w:b/>
          <w:color w:val="3366FF"/>
          <w:sz w:val="20"/>
          <w:szCs w:val="20"/>
        </w:rPr>
        <w:t>output</w:t>
      </w:r>
      <w:r w:rsidRPr="00EF2438">
        <w:rPr>
          <w:rFonts w:asciiTheme="majorHAnsi" w:hAnsiTheme="majorHAnsi"/>
          <w:color w:val="3366FF"/>
          <w:sz w:val="20"/>
          <w:szCs w:val="20"/>
        </w:rPr>
        <w:t xml:space="preserve"> is: Mechanism for integration of groundwater dimensions within the MENARID programme projects</w:t>
      </w:r>
    </w:p>
    <w:p w14:paraId="3782E7C7" w14:textId="6899474F" w:rsidR="00F84D9A" w:rsidRPr="00EF2438" w:rsidRDefault="00154BE4"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EF2438">
        <w:rPr>
          <w:rFonts w:asciiTheme="majorHAnsi" w:hAnsiTheme="majorHAnsi"/>
          <w:color w:val="FF0000"/>
          <w:sz w:val="20"/>
          <w:szCs w:val="20"/>
        </w:rPr>
        <w:t>1.</w:t>
      </w:r>
      <w:r w:rsidRPr="00EF2438">
        <w:rPr>
          <w:rFonts w:asciiTheme="majorHAnsi" w:hAnsiTheme="majorHAnsi"/>
          <w:color w:val="3366FF"/>
          <w:sz w:val="20"/>
          <w:szCs w:val="20"/>
        </w:rPr>
        <w:t xml:space="preserve"> Expected </w:t>
      </w:r>
      <w:r w:rsidRPr="00EF2438">
        <w:rPr>
          <w:rFonts w:asciiTheme="majorHAnsi" w:hAnsiTheme="majorHAnsi"/>
          <w:b/>
          <w:color w:val="3366FF"/>
          <w:sz w:val="20"/>
          <w:szCs w:val="20"/>
        </w:rPr>
        <w:t>outcome</w:t>
      </w:r>
      <w:r w:rsidRPr="00EF2438">
        <w:rPr>
          <w:rFonts w:asciiTheme="majorHAnsi" w:hAnsiTheme="majorHAnsi"/>
          <w:color w:val="3366FF"/>
          <w:sz w:val="20"/>
          <w:szCs w:val="20"/>
        </w:rPr>
        <w:t xml:space="preserve"> is: Improved effectiveness in combating land degradation in MENARID through and enhanced role of groundwater and improved subsurface space management</w:t>
      </w:r>
    </w:p>
    <w:p w14:paraId="565921C3" w14:textId="5991B595" w:rsidR="00154BE4" w:rsidRPr="00154BE4" w:rsidRDefault="00154BE4" w:rsidP="00F84D9A">
      <w:pPr>
        <w:autoSpaceDE w:val="0"/>
        <w:autoSpaceDN w:val="0"/>
        <w:adjustRightInd w:val="0"/>
        <w:spacing w:before="120"/>
        <w:jc w:val="both"/>
        <w:rPr>
          <w:rFonts w:asciiTheme="majorHAnsi" w:hAnsiTheme="majorHAnsi"/>
          <w:sz w:val="22"/>
          <w:szCs w:val="22"/>
        </w:rPr>
      </w:pPr>
      <w:r w:rsidRPr="00154BE4">
        <w:rPr>
          <w:rFonts w:asciiTheme="majorHAnsi" w:hAnsiTheme="majorHAnsi"/>
          <w:sz w:val="22"/>
          <w:szCs w:val="22"/>
        </w:rPr>
        <w:t xml:space="preserve">The MENARID Program currently consists of 11 investment projects co-funded by the GEF and by IFAD and various agencies, targeted at introducing more sustainable land management practices and ecosystem consideration in the region, from Morocco to Jordan, to Iran. This sub-component of IW:LEARN will strive to create dialogue among them on the theme of groundwater’s role in land management and agricultural production including aquifer recharge management – water harvesting, and the enhancement of traditional knowledge, in MENA countries in order to promote integrated land and groundwater management practices and solutions aimed at increasing the effectiveness of soil conservation efforts and more generally of land degradation mitigation initiatives. This regional IW:LEARN component will involve structured learning related to groundwater among all MENARID projects across GEF focal areas. </w:t>
      </w:r>
      <w:r>
        <w:rPr>
          <w:rFonts w:asciiTheme="majorHAnsi" w:hAnsiTheme="majorHAnsi"/>
          <w:sz w:val="22"/>
          <w:szCs w:val="22"/>
        </w:rPr>
        <w:t>It</w:t>
      </w:r>
      <w:r w:rsidRPr="00154BE4">
        <w:rPr>
          <w:rFonts w:asciiTheme="majorHAnsi" w:hAnsiTheme="majorHAnsi"/>
          <w:sz w:val="22"/>
          <w:szCs w:val="22"/>
        </w:rPr>
        <w:t xml:space="preserve"> will bring groundwater awareness and needed actions including </w:t>
      </w:r>
      <w:r>
        <w:rPr>
          <w:rFonts w:asciiTheme="majorHAnsi" w:hAnsiTheme="majorHAnsi"/>
          <w:sz w:val="22"/>
          <w:szCs w:val="22"/>
        </w:rPr>
        <w:t>linkages</w:t>
      </w:r>
      <w:r w:rsidRPr="00154BE4">
        <w:rPr>
          <w:rFonts w:asciiTheme="majorHAnsi" w:hAnsiTheme="majorHAnsi"/>
          <w:sz w:val="22"/>
          <w:szCs w:val="22"/>
        </w:rPr>
        <w:t xml:space="preserve"> with UNESCO-related networks already present into the MENARID Program’s sphere of action. </w:t>
      </w:r>
    </w:p>
    <w:p w14:paraId="4716AC1B" w14:textId="77777777" w:rsidR="00EF2438" w:rsidRPr="00E8506C" w:rsidRDefault="00EF2438" w:rsidP="00F84D9A">
      <w:pPr>
        <w:autoSpaceDE w:val="0"/>
        <w:autoSpaceDN w:val="0"/>
        <w:adjustRightInd w:val="0"/>
        <w:rPr>
          <w:rFonts w:ascii="Calibri" w:hAnsi="Calibri"/>
          <w:sz w:val="20"/>
          <w:szCs w:val="20"/>
        </w:rPr>
      </w:pPr>
    </w:p>
    <w:p w14:paraId="4BD5682A"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7259CA">
        <w:rPr>
          <w:rFonts w:asciiTheme="majorHAnsi" w:hAnsiTheme="majorHAnsi"/>
          <w:color w:val="3366FF"/>
          <w:sz w:val="20"/>
          <w:szCs w:val="20"/>
        </w:rPr>
        <w:t>Sub-component 1b: Dialogue in South Eastern Europe and the Mediterranean</w:t>
      </w:r>
    </w:p>
    <w:p w14:paraId="550A03B9"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7C3DC2B2"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7259CA">
        <w:rPr>
          <w:rFonts w:asciiTheme="majorHAnsi" w:hAnsiTheme="majorHAnsi"/>
          <w:color w:val="3366FF"/>
          <w:sz w:val="20"/>
          <w:szCs w:val="20"/>
        </w:rPr>
        <w:t xml:space="preserve">The expected </w:t>
      </w:r>
      <w:r w:rsidRPr="007259CA">
        <w:rPr>
          <w:rFonts w:asciiTheme="majorHAnsi" w:hAnsiTheme="majorHAnsi"/>
          <w:b/>
          <w:color w:val="3366FF"/>
          <w:sz w:val="20"/>
          <w:szCs w:val="20"/>
        </w:rPr>
        <w:t>output</w:t>
      </w:r>
      <w:r w:rsidRPr="007259CA">
        <w:rPr>
          <w:rFonts w:asciiTheme="majorHAnsi" w:hAnsiTheme="majorHAnsi"/>
          <w:color w:val="3366FF"/>
          <w:sz w:val="20"/>
          <w:szCs w:val="20"/>
        </w:rPr>
        <w:t xml:space="preserve"> is: Regional approaches to transboundary co-operation advanced in South Eastern Europe and Mediterranean region </w:t>
      </w:r>
    </w:p>
    <w:p w14:paraId="6863157B"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sz w:val="20"/>
          <w:szCs w:val="20"/>
        </w:rPr>
      </w:pPr>
      <w:r w:rsidRPr="003717BC">
        <w:rPr>
          <w:rFonts w:asciiTheme="majorHAnsi" w:hAnsiTheme="majorHAnsi"/>
          <w:color w:val="FF0000"/>
          <w:sz w:val="20"/>
          <w:szCs w:val="20"/>
        </w:rPr>
        <w:t>2.</w:t>
      </w:r>
      <w:r>
        <w:rPr>
          <w:rFonts w:asciiTheme="majorHAnsi" w:hAnsiTheme="majorHAnsi"/>
          <w:color w:val="3366FF"/>
          <w:sz w:val="20"/>
          <w:szCs w:val="20"/>
        </w:rPr>
        <w:t xml:space="preserve"> </w:t>
      </w:r>
      <w:r w:rsidRPr="007259CA">
        <w:rPr>
          <w:rFonts w:asciiTheme="majorHAnsi" w:hAnsiTheme="majorHAnsi"/>
          <w:color w:val="3366FF"/>
          <w:sz w:val="20"/>
          <w:szCs w:val="20"/>
        </w:rPr>
        <w:t xml:space="preserve">The expected </w:t>
      </w:r>
      <w:r w:rsidRPr="007259CA">
        <w:rPr>
          <w:rFonts w:asciiTheme="majorHAnsi" w:hAnsiTheme="majorHAnsi"/>
          <w:b/>
          <w:color w:val="3366FF"/>
          <w:sz w:val="20"/>
          <w:szCs w:val="20"/>
        </w:rPr>
        <w:t>outcome</w:t>
      </w:r>
      <w:r w:rsidRPr="007259CA">
        <w:rPr>
          <w:rFonts w:asciiTheme="majorHAnsi" w:hAnsiTheme="majorHAnsi"/>
          <w:color w:val="3366FF"/>
          <w:sz w:val="20"/>
          <w:szCs w:val="20"/>
        </w:rPr>
        <w:t xml:space="preserve"> is: Enabling regional inter-basin co-ordination to enhance management capacity of institutions and project partners</w:t>
      </w:r>
    </w:p>
    <w:p w14:paraId="3C3C0266" w14:textId="77777777" w:rsidR="00EF2438" w:rsidRDefault="00EF2438" w:rsidP="00F84D9A">
      <w:pPr>
        <w:autoSpaceDE w:val="0"/>
        <w:autoSpaceDN w:val="0"/>
        <w:adjustRightInd w:val="0"/>
        <w:rPr>
          <w:rFonts w:ascii="Calibri" w:hAnsi="Calibri"/>
          <w:sz w:val="20"/>
          <w:szCs w:val="20"/>
        </w:rPr>
      </w:pPr>
    </w:p>
    <w:p w14:paraId="79B29307" w14:textId="709617EF" w:rsidR="00EF2438" w:rsidRPr="00EF2438" w:rsidRDefault="00EF2438" w:rsidP="00F84D9A">
      <w:pPr>
        <w:spacing w:after="60"/>
        <w:jc w:val="both"/>
        <w:rPr>
          <w:rFonts w:asciiTheme="majorHAnsi" w:hAnsiTheme="majorHAnsi"/>
          <w:sz w:val="22"/>
          <w:szCs w:val="22"/>
        </w:rPr>
      </w:pPr>
      <w:r w:rsidRPr="00EF2438">
        <w:rPr>
          <w:rFonts w:asciiTheme="majorHAnsi" w:hAnsiTheme="majorHAnsi"/>
          <w:sz w:val="22"/>
          <w:szCs w:val="22"/>
        </w:rPr>
        <w:t xml:space="preserve">Regional Dialogue processes, based on the past experience and the replication of practices used in the previous years under the </w:t>
      </w:r>
      <w:r w:rsidR="003A2A6A" w:rsidRPr="00EF2438">
        <w:rPr>
          <w:rFonts w:asciiTheme="majorHAnsi" w:hAnsiTheme="majorHAnsi"/>
          <w:sz w:val="22"/>
          <w:szCs w:val="22"/>
        </w:rPr>
        <w:t>Petersburg</w:t>
      </w:r>
      <w:r w:rsidRPr="00EF2438">
        <w:rPr>
          <w:rFonts w:asciiTheme="majorHAnsi" w:hAnsiTheme="majorHAnsi"/>
          <w:sz w:val="22"/>
          <w:szCs w:val="22"/>
        </w:rPr>
        <w:t xml:space="preserve"> Phase II / Athens Declaration Process, will provide further benefits for TWRM in SEE and the Middle East. </w:t>
      </w:r>
    </w:p>
    <w:p w14:paraId="52BF66DB" w14:textId="10927139" w:rsidR="00EF2438" w:rsidRPr="00EF2438" w:rsidRDefault="00EF2438" w:rsidP="00F84D9A">
      <w:pPr>
        <w:spacing w:after="60"/>
        <w:jc w:val="both"/>
        <w:rPr>
          <w:rFonts w:asciiTheme="majorHAnsi" w:hAnsiTheme="majorHAnsi"/>
          <w:sz w:val="22"/>
          <w:szCs w:val="22"/>
        </w:rPr>
      </w:pPr>
      <w:r w:rsidRPr="00EF2438">
        <w:rPr>
          <w:rFonts w:asciiTheme="majorHAnsi" w:hAnsiTheme="majorHAnsi"/>
          <w:sz w:val="22"/>
          <w:szCs w:val="22"/>
        </w:rPr>
        <w:t xml:space="preserve">The replication of the tested approach followed in SEE in the eastern Mediterranean, will aim for achieving proportional results. Furthermore, the consequent broadening of the knowledge base for TWRM management and the exchange of experiences in the Mediterranean will be beneficial for the overall activity. </w:t>
      </w:r>
    </w:p>
    <w:p w14:paraId="13D9CE61" w14:textId="5D0E4410" w:rsidR="00EF2438" w:rsidRPr="00EF2438" w:rsidRDefault="00EF2438" w:rsidP="00F84D9A">
      <w:pPr>
        <w:spacing w:after="60"/>
        <w:jc w:val="both"/>
        <w:rPr>
          <w:rFonts w:asciiTheme="majorHAnsi" w:hAnsiTheme="majorHAnsi"/>
          <w:sz w:val="22"/>
          <w:szCs w:val="22"/>
        </w:rPr>
      </w:pPr>
      <w:r w:rsidRPr="00EF2438">
        <w:rPr>
          <w:rFonts w:asciiTheme="majorHAnsi" w:hAnsiTheme="majorHAnsi"/>
          <w:sz w:val="22"/>
          <w:szCs w:val="22"/>
        </w:rPr>
        <w:t xml:space="preserve">The aim of the activity is to further demonstrate innovative and feasible approaches to transboundary water resources management, by deepening multi-stakeholder dialogue and experience-sharing among GEF projects in SEE and around the Mediterranean as well as sharing these experiences globally. Collaboration is envisaged with UNECE and Cornell University. </w:t>
      </w:r>
    </w:p>
    <w:p w14:paraId="5A337E89" w14:textId="77777777" w:rsidR="00EF2438" w:rsidRDefault="00EF2438" w:rsidP="00F84D9A">
      <w:pPr>
        <w:autoSpaceDE w:val="0"/>
        <w:autoSpaceDN w:val="0"/>
        <w:adjustRightInd w:val="0"/>
        <w:rPr>
          <w:rFonts w:ascii="Calibri" w:hAnsi="Calibri"/>
          <w:sz w:val="20"/>
          <w:szCs w:val="20"/>
        </w:rPr>
      </w:pPr>
    </w:p>
    <w:p w14:paraId="048A2D9B"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7259CA">
        <w:rPr>
          <w:rFonts w:asciiTheme="majorHAnsi" w:hAnsiTheme="majorHAnsi"/>
          <w:color w:val="3366FF"/>
          <w:sz w:val="20"/>
          <w:szCs w:val="20"/>
        </w:rPr>
        <w:t>Sub-component 1c: Delivering IW:LEARN Services in the GEF Regions</w:t>
      </w:r>
    </w:p>
    <w:p w14:paraId="440452FF"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74F0E99C"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7259CA">
        <w:rPr>
          <w:rFonts w:asciiTheme="majorHAnsi" w:hAnsiTheme="majorHAnsi"/>
          <w:color w:val="3366FF"/>
          <w:sz w:val="20"/>
          <w:szCs w:val="20"/>
        </w:rPr>
        <w:t xml:space="preserve">The expected </w:t>
      </w:r>
      <w:r w:rsidRPr="007259CA">
        <w:rPr>
          <w:rFonts w:asciiTheme="majorHAnsi" w:hAnsiTheme="majorHAnsi"/>
          <w:b/>
          <w:color w:val="3366FF"/>
          <w:sz w:val="20"/>
          <w:szCs w:val="20"/>
        </w:rPr>
        <w:t>output</w:t>
      </w:r>
      <w:r w:rsidRPr="007259CA">
        <w:rPr>
          <w:rFonts w:asciiTheme="majorHAnsi" w:hAnsiTheme="majorHAnsi"/>
          <w:color w:val="3366FF"/>
          <w:sz w:val="20"/>
          <w:szCs w:val="20"/>
        </w:rPr>
        <w:t xml:space="preserve"> is: Three regionally-defined technical groups (Asia-Pacific, Latin America and Caribbean, and Sub-Saharan Africa) of GEF IW project stakeholders and partners, managed by regional institutions and conducting twinning/learning exchanges </w:t>
      </w:r>
    </w:p>
    <w:p w14:paraId="593EF1DE" w14:textId="77777777" w:rsidR="00EF2438" w:rsidRPr="007259CA"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sz w:val="20"/>
          <w:szCs w:val="20"/>
        </w:rPr>
      </w:pPr>
      <w:r w:rsidRPr="003717BC">
        <w:rPr>
          <w:rFonts w:asciiTheme="majorHAnsi" w:hAnsiTheme="majorHAnsi"/>
          <w:color w:val="FF0000"/>
          <w:sz w:val="20"/>
          <w:szCs w:val="20"/>
        </w:rPr>
        <w:t>2</w:t>
      </w:r>
      <w:r w:rsidRPr="003717BC">
        <w:rPr>
          <w:rFonts w:asciiTheme="majorHAnsi" w:hAnsiTheme="majorHAnsi"/>
          <w:color w:val="3366FF"/>
          <w:sz w:val="20"/>
          <w:szCs w:val="20"/>
        </w:rPr>
        <w:t>.</w:t>
      </w:r>
      <w:r>
        <w:rPr>
          <w:rFonts w:asciiTheme="majorHAnsi" w:hAnsiTheme="majorHAnsi"/>
          <w:color w:val="3366FF"/>
          <w:sz w:val="20"/>
          <w:szCs w:val="20"/>
        </w:rPr>
        <w:t xml:space="preserve"> </w:t>
      </w:r>
      <w:r w:rsidRPr="007259CA">
        <w:rPr>
          <w:rFonts w:asciiTheme="majorHAnsi" w:hAnsiTheme="majorHAnsi"/>
          <w:color w:val="3366FF"/>
          <w:sz w:val="20"/>
          <w:szCs w:val="20"/>
        </w:rPr>
        <w:t xml:space="preserve">The expected </w:t>
      </w:r>
      <w:r w:rsidRPr="007259CA">
        <w:rPr>
          <w:rFonts w:asciiTheme="majorHAnsi" w:hAnsiTheme="majorHAnsi"/>
          <w:b/>
          <w:color w:val="3366FF"/>
          <w:sz w:val="20"/>
          <w:szCs w:val="20"/>
        </w:rPr>
        <w:t>outcome</w:t>
      </w:r>
      <w:r w:rsidRPr="007259CA">
        <w:rPr>
          <w:rFonts w:asciiTheme="majorHAnsi" w:hAnsiTheme="majorHAnsi"/>
          <w:color w:val="3366FF"/>
          <w:sz w:val="20"/>
          <w:szCs w:val="20"/>
        </w:rPr>
        <w:t xml:space="preserve"> is: Enabling regional inter-basin co-ordination to enhance management capacity of institutions and project partners</w:t>
      </w:r>
    </w:p>
    <w:p w14:paraId="5ED1B693" w14:textId="77777777" w:rsidR="00EF2438" w:rsidRDefault="00EF2438" w:rsidP="00F84D9A">
      <w:pPr>
        <w:autoSpaceDE w:val="0"/>
        <w:autoSpaceDN w:val="0"/>
        <w:adjustRightInd w:val="0"/>
        <w:rPr>
          <w:rFonts w:ascii="Calibri" w:hAnsi="Calibri"/>
          <w:sz w:val="20"/>
          <w:szCs w:val="20"/>
        </w:rPr>
      </w:pPr>
    </w:p>
    <w:p w14:paraId="29B96803" w14:textId="77777777" w:rsidR="00500F85" w:rsidRPr="00500F85" w:rsidRDefault="00500F85" w:rsidP="00F84D9A">
      <w:pPr>
        <w:spacing w:after="60"/>
        <w:jc w:val="both"/>
        <w:rPr>
          <w:rFonts w:asciiTheme="majorHAnsi" w:hAnsiTheme="majorHAnsi"/>
          <w:sz w:val="22"/>
          <w:szCs w:val="22"/>
        </w:rPr>
      </w:pPr>
      <w:r w:rsidRPr="00500F85">
        <w:rPr>
          <w:rFonts w:asciiTheme="majorHAnsi" w:hAnsiTheme="majorHAnsi"/>
          <w:sz w:val="22"/>
          <w:szCs w:val="22"/>
        </w:rPr>
        <w:t xml:space="preserve">The regional co-ordination activities will draw together replication and tailoring of experiences from the 3 GEF regions (Asia-Pacific, Latin America and Caribbean, and Sub-Saharan Africa) from marine, surface water and groundwater GEF projects. The principle activities will be to support training workshops and inter-project exchanges in partnership with regional institutions and linking freshwater/marine project co-ordination.  The regional technical group will work synergistically with the global communities of practice (Component 2). </w:t>
      </w:r>
    </w:p>
    <w:p w14:paraId="48D7F53C" w14:textId="7A4268DF" w:rsidR="00500F85" w:rsidRPr="00500F85" w:rsidRDefault="00500F85" w:rsidP="00F84D9A">
      <w:pPr>
        <w:spacing w:after="60"/>
        <w:jc w:val="both"/>
        <w:rPr>
          <w:rFonts w:asciiTheme="majorHAnsi" w:hAnsiTheme="majorHAnsi"/>
          <w:sz w:val="22"/>
          <w:szCs w:val="22"/>
        </w:rPr>
      </w:pPr>
      <w:r w:rsidRPr="00500F85">
        <w:rPr>
          <w:rFonts w:asciiTheme="majorHAnsi" w:hAnsiTheme="majorHAnsi"/>
          <w:sz w:val="22"/>
          <w:szCs w:val="22"/>
        </w:rPr>
        <w:t xml:space="preserve">The project will work with: Rhodes University (in sub-Saharan Africa), South East Asia </w:t>
      </w:r>
      <w:r w:rsidR="003A2A6A" w:rsidRPr="00500F85">
        <w:rPr>
          <w:rFonts w:asciiTheme="majorHAnsi" w:hAnsiTheme="majorHAnsi"/>
          <w:sz w:val="22"/>
          <w:szCs w:val="22"/>
        </w:rPr>
        <w:t>Regional</w:t>
      </w:r>
      <w:r w:rsidRPr="00500F85">
        <w:rPr>
          <w:rFonts w:asciiTheme="majorHAnsi" w:hAnsiTheme="majorHAnsi"/>
          <w:sz w:val="22"/>
          <w:szCs w:val="22"/>
        </w:rPr>
        <w:t xml:space="preserve"> Centre at Chulalongkorn University (in Asia and the Pacific) and UNEP Regional Co-ordination Unit of the Caribbean Environment Programme (RCU-CEP) (in Latin America and the Caribbean).</w:t>
      </w:r>
    </w:p>
    <w:p w14:paraId="07D10E7B" w14:textId="60BE1A30" w:rsidR="00500F85" w:rsidRPr="00500F85" w:rsidRDefault="00500F85" w:rsidP="00F84D9A">
      <w:pPr>
        <w:spacing w:after="60"/>
        <w:jc w:val="both"/>
        <w:rPr>
          <w:rFonts w:asciiTheme="majorHAnsi" w:hAnsiTheme="majorHAnsi"/>
          <w:sz w:val="22"/>
          <w:szCs w:val="22"/>
        </w:rPr>
      </w:pPr>
      <w:r w:rsidRPr="00500F85">
        <w:rPr>
          <w:rFonts w:asciiTheme="majorHAnsi" w:hAnsiTheme="majorHAnsi"/>
          <w:sz w:val="22"/>
          <w:szCs w:val="22"/>
        </w:rPr>
        <w:t>The sub-component will address key existing problems:</w:t>
      </w:r>
      <w:r w:rsidR="00F84D9A">
        <w:rPr>
          <w:rFonts w:asciiTheme="majorHAnsi" w:hAnsiTheme="majorHAnsi"/>
          <w:sz w:val="22"/>
          <w:szCs w:val="22"/>
        </w:rPr>
        <w:t xml:space="preserve"> </w:t>
      </w:r>
      <w:r w:rsidRPr="00500F85">
        <w:rPr>
          <w:rFonts w:asciiTheme="majorHAnsi" w:hAnsiTheme="majorHAnsi"/>
          <w:sz w:val="22"/>
          <w:szCs w:val="22"/>
        </w:rPr>
        <w:t>Lack of communication between program managers of marine, surface freshw</w:t>
      </w:r>
      <w:r w:rsidR="00F84D9A">
        <w:rPr>
          <w:rFonts w:asciiTheme="majorHAnsi" w:hAnsiTheme="majorHAnsi"/>
          <w:sz w:val="22"/>
          <w:szCs w:val="22"/>
        </w:rPr>
        <w:t xml:space="preserve">ater and groundwater resources and the </w:t>
      </w:r>
      <w:r w:rsidRPr="00500F85">
        <w:rPr>
          <w:rFonts w:asciiTheme="majorHAnsi" w:hAnsiTheme="majorHAnsi"/>
          <w:sz w:val="22"/>
          <w:szCs w:val="22"/>
        </w:rPr>
        <w:t xml:space="preserve">untapped potential for new models and approaches that can be exchanged between different sectors. </w:t>
      </w:r>
    </w:p>
    <w:p w14:paraId="3807B2D6" w14:textId="77777777" w:rsidR="00EF2438" w:rsidRDefault="00EF2438" w:rsidP="00F84D9A">
      <w:pPr>
        <w:autoSpaceDE w:val="0"/>
        <w:autoSpaceDN w:val="0"/>
        <w:adjustRightInd w:val="0"/>
        <w:rPr>
          <w:rFonts w:ascii="Calibri" w:hAnsi="Calibri"/>
          <w:sz w:val="20"/>
          <w:szCs w:val="20"/>
        </w:rPr>
      </w:pPr>
    </w:p>
    <w:p w14:paraId="209D1D5D" w14:textId="77777777" w:rsidR="00EF2438" w:rsidRPr="00536540" w:rsidRDefault="00EF2438" w:rsidP="00F84D9A">
      <w:pPr>
        <w:autoSpaceDE w:val="0"/>
        <w:autoSpaceDN w:val="0"/>
        <w:adjustRightInd w:val="0"/>
        <w:rPr>
          <w:rFonts w:ascii="Calibri" w:hAnsi="Calibri"/>
          <w:b/>
          <w:color w:val="3366FF"/>
          <w:sz w:val="20"/>
          <w:szCs w:val="20"/>
        </w:rPr>
      </w:pPr>
      <w:r w:rsidRPr="00536540">
        <w:rPr>
          <w:rFonts w:ascii="Calibri" w:hAnsi="Calibri"/>
          <w:b/>
          <w:color w:val="3366FF"/>
          <w:sz w:val="20"/>
          <w:szCs w:val="20"/>
        </w:rPr>
        <w:t xml:space="preserve">COMPONENT 2 </w:t>
      </w:r>
      <w:r w:rsidRPr="00D06D0A">
        <w:rPr>
          <w:rFonts w:ascii="Calibri" w:hAnsi="Calibri"/>
          <w:color w:val="3366FF"/>
          <w:sz w:val="20"/>
          <w:szCs w:val="20"/>
        </w:rPr>
        <w:t>Learning and Replication of Good Practices in Transboundary Surface and Groundwater Management (sub-components  a-b)</w:t>
      </w:r>
    </w:p>
    <w:p w14:paraId="467C31E1" w14:textId="77777777" w:rsidR="00EF2438" w:rsidRDefault="00EF2438" w:rsidP="00F84D9A">
      <w:pPr>
        <w:autoSpaceDE w:val="0"/>
        <w:autoSpaceDN w:val="0"/>
        <w:adjustRightInd w:val="0"/>
        <w:rPr>
          <w:rFonts w:ascii="Calibri" w:hAnsi="Calibri"/>
          <w:sz w:val="20"/>
          <w:szCs w:val="20"/>
        </w:rPr>
      </w:pPr>
    </w:p>
    <w:p w14:paraId="25926E50"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102A7F">
        <w:rPr>
          <w:rFonts w:asciiTheme="majorHAnsi" w:hAnsiTheme="majorHAnsi"/>
          <w:b/>
          <w:color w:val="3366FF"/>
          <w:sz w:val="20"/>
          <w:szCs w:val="20"/>
        </w:rPr>
        <w:t>Sub-component 2a</w:t>
      </w:r>
      <w:r w:rsidRPr="00102A7F">
        <w:rPr>
          <w:rFonts w:asciiTheme="majorHAnsi" w:hAnsiTheme="majorHAnsi"/>
          <w:color w:val="3366FF"/>
          <w:sz w:val="20"/>
          <w:szCs w:val="20"/>
        </w:rPr>
        <w:t xml:space="preserve">: </w:t>
      </w:r>
      <w:r w:rsidRPr="00102A7F">
        <w:rPr>
          <w:rFonts w:asciiTheme="majorHAnsi" w:hAnsiTheme="majorHAnsi"/>
          <w:b/>
          <w:color w:val="3366FF"/>
          <w:sz w:val="20"/>
          <w:szCs w:val="20"/>
        </w:rPr>
        <w:t>Groundwater Community of Practices</w:t>
      </w:r>
    </w:p>
    <w:p w14:paraId="7D9ECA47"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102A7F">
        <w:rPr>
          <w:rFonts w:asciiTheme="majorHAnsi" w:hAnsiTheme="majorHAnsi"/>
          <w:color w:val="3366FF"/>
          <w:sz w:val="20"/>
          <w:szCs w:val="20"/>
        </w:rPr>
        <w:t xml:space="preserve">The expected </w:t>
      </w:r>
      <w:r w:rsidRPr="00102A7F">
        <w:rPr>
          <w:rFonts w:asciiTheme="majorHAnsi" w:hAnsiTheme="majorHAnsi"/>
          <w:b/>
          <w:color w:val="3366FF"/>
          <w:sz w:val="20"/>
          <w:szCs w:val="20"/>
        </w:rPr>
        <w:t>outputs</w:t>
      </w:r>
      <w:r w:rsidRPr="00102A7F">
        <w:rPr>
          <w:rFonts w:asciiTheme="majorHAnsi" w:hAnsiTheme="majorHAnsi"/>
          <w:color w:val="3366FF"/>
          <w:sz w:val="20"/>
          <w:szCs w:val="20"/>
        </w:rPr>
        <w:t xml:space="preserve"> are:</w:t>
      </w:r>
    </w:p>
    <w:p w14:paraId="4FC2F01E" w14:textId="77777777" w:rsidR="00EF2438" w:rsidRPr="00102A7F"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102A7F">
        <w:rPr>
          <w:rFonts w:asciiTheme="majorHAnsi" w:hAnsiTheme="majorHAnsi"/>
          <w:color w:val="3366FF"/>
          <w:sz w:val="20"/>
          <w:szCs w:val="20"/>
          <w:lang w:eastAsia="el-GR"/>
        </w:rPr>
        <w:t>Functioning and facilitated global Community of Practice (CoP) for GEF IW groundwater project stakeholders and partners, and regional dialogues linking GEF groundwater projects with surface and coastal environment.</w:t>
      </w:r>
    </w:p>
    <w:p w14:paraId="04827F27" w14:textId="77777777" w:rsidR="00EF2438" w:rsidRPr="00102A7F"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102A7F">
        <w:rPr>
          <w:rFonts w:asciiTheme="majorHAnsi" w:hAnsiTheme="majorHAnsi"/>
          <w:color w:val="3366FF"/>
          <w:sz w:val="20"/>
          <w:szCs w:val="20"/>
          <w:lang w:eastAsia="el-GR"/>
        </w:rPr>
        <w:t>Dialogue with regional focus (Africa, Asia and the Pacific, Latin America and SIDS) facilitated between GEF groundwater projects and ongoing relevant efforts</w:t>
      </w:r>
    </w:p>
    <w:p w14:paraId="1D549CE3" w14:textId="77777777" w:rsidR="00EF2438" w:rsidRPr="00102A7F"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102A7F">
        <w:rPr>
          <w:rFonts w:asciiTheme="majorHAnsi" w:hAnsiTheme="majorHAnsi"/>
          <w:color w:val="3366FF"/>
          <w:sz w:val="20"/>
          <w:szCs w:val="20"/>
          <w:lang w:eastAsia="el-GR"/>
        </w:rPr>
        <w:t>Experience notes, policy briefs, special articles and case studies on good practices for groundwater management</w:t>
      </w:r>
    </w:p>
    <w:p w14:paraId="52138043"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512C7556"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102A7F">
        <w:rPr>
          <w:rFonts w:asciiTheme="majorHAnsi" w:hAnsiTheme="majorHAnsi"/>
          <w:color w:val="3366FF"/>
          <w:sz w:val="20"/>
          <w:szCs w:val="20"/>
        </w:rPr>
        <w:t xml:space="preserve">The expected </w:t>
      </w:r>
      <w:r w:rsidRPr="00102A7F">
        <w:rPr>
          <w:rFonts w:asciiTheme="majorHAnsi" w:hAnsiTheme="majorHAnsi"/>
          <w:b/>
          <w:color w:val="3366FF"/>
          <w:sz w:val="20"/>
          <w:szCs w:val="20"/>
        </w:rPr>
        <w:t>outcomes</w:t>
      </w:r>
      <w:r w:rsidRPr="00102A7F">
        <w:rPr>
          <w:rFonts w:asciiTheme="majorHAnsi" w:hAnsiTheme="majorHAnsi"/>
          <w:color w:val="3366FF"/>
          <w:sz w:val="20"/>
          <w:szCs w:val="20"/>
        </w:rPr>
        <w:t xml:space="preserve"> are:</w:t>
      </w:r>
    </w:p>
    <w:p w14:paraId="319E4CC5"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3717BC">
        <w:rPr>
          <w:rFonts w:asciiTheme="majorHAnsi" w:hAnsiTheme="majorHAnsi"/>
          <w:color w:val="FF0000"/>
          <w:sz w:val="20"/>
          <w:szCs w:val="20"/>
          <w:lang w:eastAsia="el-GR"/>
        </w:rPr>
        <w:t>3.</w:t>
      </w:r>
      <w:r>
        <w:rPr>
          <w:rFonts w:asciiTheme="majorHAnsi" w:hAnsiTheme="majorHAnsi"/>
          <w:color w:val="3366FF"/>
          <w:sz w:val="20"/>
          <w:szCs w:val="20"/>
          <w:lang w:eastAsia="el-GR"/>
        </w:rPr>
        <w:t xml:space="preserve"> </w:t>
      </w:r>
      <w:r w:rsidRPr="00102A7F">
        <w:rPr>
          <w:rFonts w:asciiTheme="majorHAnsi" w:hAnsiTheme="majorHAnsi"/>
          <w:color w:val="3366FF"/>
          <w:sz w:val="20"/>
          <w:szCs w:val="20"/>
          <w:lang w:eastAsia="el-GR"/>
        </w:rPr>
        <w:t>Increased capacity of GEF groundwater and freshwater basin projects to exchange experiences and replicate successful groundwater management approaches and practices to address adaptive management</w:t>
      </w:r>
    </w:p>
    <w:p w14:paraId="20F3E3F5"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rPr>
      </w:pPr>
      <w:r w:rsidRPr="00F337D4">
        <w:rPr>
          <w:rFonts w:asciiTheme="majorHAnsi" w:hAnsiTheme="majorHAnsi"/>
          <w:color w:val="FF0000"/>
          <w:sz w:val="20"/>
          <w:szCs w:val="20"/>
          <w:lang w:eastAsia="el-GR"/>
        </w:rPr>
        <w:t>4.</w:t>
      </w:r>
      <w:r>
        <w:rPr>
          <w:rFonts w:asciiTheme="majorHAnsi" w:hAnsiTheme="majorHAnsi"/>
          <w:color w:val="3366FF"/>
          <w:sz w:val="20"/>
          <w:szCs w:val="20"/>
          <w:lang w:eastAsia="el-GR"/>
        </w:rPr>
        <w:t xml:space="preserve"> </w:t>
      </w:r>
      <w:r w:rsidRPr="00102A7F">
        <w:rPr>
          <w:rFonts w:asciiTheme="majorHAnsi" w:hAnsiTheme="majorHAnsi"/>
          <w:color w:val="3366FF"/>
          <w:sz w:val="20"/>
          <w:szCs w:val="20"/>
          <w:lang w:eastAsia="el-GR"/>
        </w:rPr>
        <w:t>Lessons and science from GEF groundwater portfolio incorporated into and disseminated through networks, partners and processes, strengthening the GEF IW GW portfolio</w:t>
      </w:r>
    </w:p>
    <w:p w14:paraId="477CDEEF" w14:textId="77777777" w:rsidR="00EF2438" w:rsidRDefault="00EF2438" w:rsidP="00F84D9A">
      <w:pPr>
        <w:autoSpaceDE w:val="0"/>
        <w:autoSpaceDN w:val="0"/>
        <w:adjustRightInd w:val="0"/>
        <w:rPr>
          <w:rFonts w:asciiTheme="majorHAnsi" w:hAnsiTheme="majorHAnsi"/>
          <w:color w:val="3366FF"/>
          <w:sz w:val="20"/>
          <w:szCs w:val="20"/>
        </w:rPr>
      </w:pPr>
    </w:p>
    <w:p w14:paraId="2DCD3F68" w14:textId="39DA3E77" w:rsidR="00B82286" w:rsidRPr="00B82286" w:rsidRDefault="00B82286" w:rsidP="00F84D9A">
      <w:pPr>
        <w:spacing w:after="60"/>
        <w:jc w:val="both"/>
        <w:rPr>
          <w:rFonts w:asciiTheme="majorHAnsi" w:hAnsiTheme="majorHAnsi"/>
          <w:sz w:val="22"/>
          <w:szCs w:val="22"/>
        </w:rPr>
      </w:pPr>
      <w:r>
        <w:rPr>
          <w:rFonts w:asciiTheme="majorHAnsi" w:hAnsiTheme="majorHAnsi"/>
          <w:sz w:val="22"/>
          <w:szCs w:val="22"/>
        </w:rPr>
        <w:t>This</w:t>
      </w:r>
      <w:r w:rsidRPr="00B82286">
        <w:rPr>
          <w:rFonts w:asciiTheme="majorHAnsi" w:hAnsiTheme="majorHAnsi"/>
          <w:sz w:val="22"/>
          <w:szCs w:val="22"/>
        </w:rPr>
        <w:t xml:space="preserve"> sub-component </w:t>
      </w:r>
      <w:r w:rsidR="00B727E2">
        <w:rPr>
          <w:rFonts w:asciiTheme="majorHAnsi" w:hAnsiTheme="majorHAnsi"/>
          <w:sz w:val="22"/>
          <w:szCs w:val="22"/>
        </w:rPr>
        <w:t>aims to</w:t>
      </w:r>
      <w:r w:rsidRPr="00B82286">
        <w:rPr>
          <w:rFonts w:asciiTheme="majorHAnsi" w:hAnsiTheme="majorHAnsi"/>
          <w:sz w:val="22"/>
          <w:szCs w:val="22"/>
        </w:rPr>
        <w:t xml:space="preserve"> establish a Groundwater Community of Practice to enhance integration of water management. There has been relatively little progress in developing multi-country aquifer projects since 1999 when the IW Focal Areas begun addressing this issue. During the last 10 years, the GEF Secretariat and the GEF Implementing Agencies have been working cooperatively to </w:t>
      </w:r>
      <w:r w:rsidR="003A2A6A" w:rsidRPr="00B82286">
        <w:rPr>
          <w:rFonts w:asciiTheme="majorHAnsi" w:hAnsiTheme="majorHAnsi"/>
          <w:sz w:val="22"/>
          <w:szCs w:val="22"/>
        </w:rPr>
        <w:t>analyse</w:t>
      </w:r>
      <w:r w:rsidRPr="00B82286">
        <w:rPr>
          <w:rFonts w:asciiTheme="majorHAnsi" w:hAnsiTheme="majorHAnsi"/>
          <w:sz w:val="22"/>
          <w:szCs w:val="22"/>
        </w:rPr>
        <w:t xml:space="preserve"> opportunities for projects that would promote a new approach to groundwater management, better integrated with land use planning, ecosystems protection and basin management. This sub-component will link and build upon the work undertaken in the MENARID region (Component 1).</w:t>
      </w:r>
    </w:p>
    <w:p w14:paraId="28FEAD91" w14:textId="4DCEED8F" w:rsidR="00B82286" w:rsidRPr="00B82286" w:rsidRDefault="00B82286" w:rsidP="00F84D9A">
      <w:pPr>
        <w:spacing w:after="60"/>
        <w:jc w:val="both"/>
        <w:rPr>
          <w:rFonts w:asciiTheme="majorHAnsi" w:hAnsiTheme="majorHAnsi"/>
          <w:sz w:val="22"/>
          <w:szCs w:val="22"/>
        </w:rPr>
      </w:pPr>
      <w:r w:rsidRPr="00B82286">
        <w:rPr>
          <w:rFonts w:asciiTheme="majorHAnsi" w:hAnsiTheme="majorHAnsi"/>
          <w:sz w:val="22"/>
          <w:szCs w:val="22"/>
        </w:rPr>
        <w:t>UNESCO brings on board internationally accepted wealth of knowledge and networks for ecologically sustainable management of shared waters including relevant legal and policy articles and generic cooperative potential frameworks. UNESCO will be able to mobilize matching funds through partner countries commitments and the execution of synergistic IHP-VII regular program activities (2009-2013</w:t>
      </w:r>
      <w:r w:rsidR="003A2A6A" w:rsidRPr="00B82286">
        <w:rPr>
          <w:rFonts w:asciiTheme="majorHAnsi" w:hAnsiTheme="majorHAnsi"/>
          <w:sz w:val="22"/>
          <w:szCs w:val="22"/>
        </w:rPr>
        <w:t>) that</w:t>
      </w:r>
      <w:r w:rsidRPr="00B82286">
        <w:rPr>
          <w:rFonts w:asciiTheme="majorHAnsi" w:hAnsiTheme="majorHAnsi"/>
          <w:sz w:val="22"/>
          <w:szCs w:val="22"/>
        </w:rPr>
        <w:t xml:space="preserve"> are formulated by the member countries and are in line with proposed action area.</w:t>
      </w:r>
      <w:r w:rsidR="00CA524D">
        <w:rPr>
          <w:rFonts w:asciiTheme="majorHAnsi" w:hAnsiTheme="majorHAnsi"/>
          <w:sz w:val="22"/>
          <w:szCs w:val="22"/>
        </w:rPr>
        <w:t xml:space="preserve"> </w:t>
      </w:r>
      <w:r w:rsidRPr="00B82286">
        <w:rPr>
          <w:rFonts w:asciiTheme="majorHAnsi" w:hAnsiTheme="majorHAnsi"/>
          <w:sz w:val="22"/>
          <w:szCs w:val="22"/>
        </w:rPr>
        <w:t xml:space="preserve">This sub-component will also facilitate regional dialogue to enhance the integration of water management addressing freshwaters (both surface and groundwaters) and marine. </w:t>
      </w:r>
    </w:p>
    <w:p w14:paraId="7804141B" w14:textId="77777777" w:rsidR="00EF2438" w:rsidRPr="00102A7F" w:rsidRDefault="00EF2438" w:rsidP="00F84D9A">
      <w:pPr>
        <w:autoSpaceDE w:val="0"/>
        <w:autoSpaceDN w:val="0"/>
        <w:adjustRightInd w:val="0"/>
        <w:rPr>
          <w:rFonts w:asciiTheme="majorHAnsi" w:hAnsiTheme="majorHAnsi"/>
          <w:color w:val="3366FF"/>
          <w:sz w:val="20"/>
          <w:szCs w:val="20"/>
        </w:rPr>
      </w:pPr>
    </w:p>
    <w:p w14:paraId="4F844692"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sz w:val="20"/>
          <w:szCs w:val="20"/>
        </w:rPr>
      </w:pPr>
      <w:r w:rsidRPr="00102A7F">
        <w:rPr>
          <w:rFonts w:asciiTheme="majorHAnsi" w:hAnsiTheme="majorHAnsi"/>
          <w:b/>
          <w:color w:val="3366FF"/>
          <w:sz w:val="20"/>
          <w:szCs w:val="20"/>
        </w:rPr>
        <w:t>Sub-component 2b: Surface Freshwater Community of Practice</w:t>
      </w:r>
    </w:p>
    <w:p w14:paraId="20942522"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6E6157E0"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102A7F">
        <w:rPr>
          <w:rFonts w:asciiTheme="majorHAnsi" w:hAnsiTheme="majorHAnsi"/>
          <w:color w:val="3366FF"/>
          <w:sz w:val="20"/>
          <w:szCs w:val="20"/>
        </w:rPr>
        <w:t xml:space="preserve">The expected </w:t>
      </w:r>
      <w:r w:rsidRPr="00102A7F">
        <w:rPr>
          <w:rFonts w:asciiTheme="majorHAnsi" w:hAnsiTheme="majorHAnsi"/>
          <w:b/>
          <w:color w:val="3366FF"/>
          <w:sz w:val="20"/>
          <w:szCs w:val="20"/>
        </w:rPr>
        <w:t xml:space="preserve">output </w:t>
      </w:r>
      <w:r w:rsidRPr="00102A7F">
        <w:rPr>
          <w:rFonts w:asciiTheme="majorHAnsi" w:hAnsiTheme="majorHAnsi"/>
          <w:color w:val="3366FF"/>
          <w:sz w:val="20"/>
          <w:szCs w:val="20"/>
        </w:rPr>
        <w:t>is:</w:t>
      </w:r>
      <w:r>
        <w:rPr>
          <w:rFonts w:asciiTheme="majorHAnsi" w:hAnsiTheme="majorHAnsi"/>
          <w:color w:val="3366FF"/>
          <w:sz w:val="20"/>
          <w:szCs w:val="20"/>
        </w:rPr>
        <w:t xml:space="preserve"> </w:t>
      </w:r>
      <w:r w:rsidRPr="00102A7F">
        <w:rPr>
          <w:rFonts w:asciiTheme="majorHAnsi" w:hAnsiTheme="majorHAnsi"/>
          <w:color w:val="3366FF"/>
          <w:sz w:val="20"/>
          <w:szCs w:val="20"/>
          <w:lang w:eastAsia="el-GR"/>
        </w:rPr>
        <w:t>Functioning and facilitated global Community of Practice (CoP) for GEF IW surface freshwater project stakeholders and partners, and regional dialogues linking GEF surface freshwater projects with groundwater and coastal environment.</w:t>
      </w:r>
    </w:p>
    <w:p w14:paraId="27751401"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518D25EE" w14:textId="77777777" w:rsidR="00EF2438" w:rsidRPr="00102A7F"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3717BC">
        <w:rPr>
          <w:rFonts w:asciiTheme="majorHAnsi" w:hAnsiTheme="majorHAnsi"/>
          <w:color w:val="FF0000"/>
          <w:sz w:val="20"/>
          <w:szCs w:val="20"/>
        </w:rPr>
        <w:t>3.</w:t>
      </w:r>
      <w:r>
        <w:rPr>
          <w:rFonts w:asciiTheme="majorHAnsi" w:hAnsiTheme="majorHAnsi"/>
          <w:color w:val="3366FF"/>
          <w:sz w:val="20"/>
          <w:szCs w:val="20"/>
        </w:rPr>
        <w:t xml:space="preserve"> </w:t>
      </w:r>
      <w:r w:rsidRPr="00102A7F">
        <w:rPr>
          <w:rFonts w:asciiTheme="majorHAnsi" w:hAnsiTheme="majorHAnsi"/>
          <w:color w:val="3366FF"/>
          <w:sz w:val="20"/>
          <w:szCs w:val="20"/>
        </w:rPr>
        <w:t xml:space="preserve">The expected </w:t>
      </w:r>
      <w:r w:rsidRPr="00102A7F">
        <w:rPr>
          <w:rFonts w:asciiTheme="majorHAnsi" w:hAnsiTheme="majorHAnsi"/>
          <w:b/>
          <w:color w:val="3366FF"/>
          <w:sz w:val="20"/>
          <w:szCs w:val="20"/>
        </w:rPr>
        <w:t xml:space="preserve">outcome </w:t>
      </w:r>
      <w:r w:rsidRPr="00102A7F">
        <w:rPr>
          <w:rFonts w:asciiTheme="majorHAnsi" w:hAnsiTheme="majorHAnsi"/>
          <w:color w:val="3366FF"/>
          <w:sz w:val="20"/>
          <w:szCs w:val="20"/>
        </w:rPr>
        <w:t>is:</w:t>
      </w:r>
      <w:r>
        <w:rPr>
          <w:rFonts w:asciiTheme="majorHAnsi" w:hAnsiTheme="majorHAnsi"/>
          <w:color w:val="3366FF"/>
          <w:sz w:val="20"/>
          <w:szCs w:val="20"/>
        </w:rPr>
        <w:t xml:space="preserve"> </w:t>
      </w:r>
      <w:r w:rsidRPr="00102A7F">
        <w:rPr>
          <w:rFonts w:asciiTheme="majorHAnsi" w:hAnsiTheme="majorHAnsi"/>
          <w:color w:val="3366FF"/>
          <w:sz w:val="20"/>
          <w:szCs w:val="20"/>
          <w:lang w:eastAsia="el-GR"/>
        </w:rPr>
        <w:t>Increased capacity of GEF groundwater and freshwater basin projects to exchange experiences and replicate successful groundwater management approaches and practices to address adaptive management</w:t>
      </w:r>
    </w:p>
    <w:p w14:paraId="2EF504D0" w14:textId="77777777" w:rsidR="00EF2438" w:rsidRDefault="00EF2438" w:rsidP="00F84D9A">
      <w:pPr>
        <w:autoSpaceDE w:val="0"/>
        <w:autoSpaceDN w:val="0"/>
        <w:adjustRightInd w:val="0"/>
        <w:rPr>
          <w:rFonts w:ascii="Calibri" w:hAnsi="Calibri"/>
          <w:sz w:val="20"/>
          <w:szCs w:val="20"/>
        </w:rPr>
      </w:pPr>
    </w:p>
    <w:p w14:paraId="464CB027" w14:textId="44352E07" w:rsidR="00B727E2" w:rsidRDefault="00B727E2" w:rsidP="00CA524D">
      <w:pPr>
        <w:spacing w:after="60"/>
        <w:jc w:val="both"/>
        <w:rPr>
          <w:rFonts w:asciiTheme="majorHAnsi" w:hAnsiTheme="majorHAnsi"/>
          <w:sz w:val="22"/>
          <w:szCs w:val="22"/>
        </w:rPr>
      </w:pPr>
      <w:r w:rsidRPr="00CA524D">
        <w:rPr>
          <w:rFonts w:asciiTheme="majorHAnsi" w:hAnsiTheme="majorHAnsi"/>
          <w:sz w:val="22"/>
          <w:szCs w:val="22"/>
        </w:rPr>
        <w:t xml:space="preserve">This sub-component </w:t>
      </w:r>
      <w:r w:rsidR="00CA524D">
        <w:rPr>
          <w:rFonts w:asciiTheme="majorHAnsi" w:hAnsiTheme="majorHAnsi"/>
          <w:sz w:val="22"/>
          <w:szCs w:val="22"/>
        </w:rPr>
        <w:t>is intended to promote l</w:t>
      </w:r>
      <w:r w:rsidRPr="00CA524D">
        <w:rPr>
          <w:rFonts w:asciiTheme="majorHAnsi" w:hAnsiTheme="majorHAnsi"/>
          <w:sz w:val="22"/>
          <w:szCs w:val="22"/>
        </w:rPr>
        <w:t>earning and knowledge exchange on mana</w:t>
      </w:r>
      <w:r w:rsidR="00CA524D">
        <w:rPr>
          <w:rFonts w:asciiTheme="majorHAnsi" w:hAnsiTheme="majorHAnsi"/>
          <w:sz w:val="22"/>
          <w:szCs w:val="22"/>
        </w:rPr>
        <w:t>gement of surface waters enabling</w:t>
      </w:r>
      <w:r w:rsidRPr="00CA524D">
        <w:rPr>
          <w:rFonts w:asciiTheme="majorHAnsi" w:hAnsiTheme="majorHAnsi"/>
          <w:sz w:val="22"/>
          <w:szCs w:val="22"/>
        </w:rPr>
        <w:t xml:space="preserve"> projects, with partners, to catalyse change in surface freshwater, governance, planning and investment. </w:t>
      </w:r>
    </w:p>
    <w:p w14:paraId="59E07A67" w14:textId="77777777" w:rsidR="009269CE" w:rsidRPr="00CA524D" w:rsidRDefault="009269CE" w:rsidP="00CA524D">
      <w:pPr>
        <w:spacing w:after="60"/>
        <w:jc w:val="both"/>
        <w:rPr>
          <w:rFonts w:asciiTheme="majorHAnsi" w:hAnsiTheme="majorHAnsi"/>
          <w:sz w:val="22"/>
          <w:szCs w:val="22"/>
        </w:rPr>
      </w:pPr>
    </w:p>
    <w:p w14:paraId="070E9BA4" w14:textId="21F1EE0D" w:rsidR="00B727E2" w:rsidRDefault="00B727E2" w:rsidP="00CA524D">
      <w:pPr>
        <w:spacing w:after="60"/>
        <w:jc w:val="both"/>
        <w:rPr>
          <w:rFonts w:asciiTheme="majorHAnsi" w:hAnsiTheme="majorHAnsi"/>
          <w:sz w:val="22"/>
          <w:szCs w:val="22"/>
        </w:rPr>
      </w:pPr>
      <w:r w:rsidRPr="00CA524D">
        <w:rPr>
          <w:rFonts w:asciiTheme="majorHAnsi" w:hAnsiTheme="majorHAnsi"/>
          <w:sz w:val="22"/>
          <w:szCs w:val="22"/>
        </w:rPr>
        <w:t xml:space="preserve">Important partners with co-financing and know-how to help build portfolio capacity on the river basin/surface water CoP are IUCN, the ICPDR Murray-Darling Basin Authority, International Joint Commission and Great Lakes Fishery Commission in North America, and the South Florida Water Management District. IUCN-WANI will lead the overall sub-component. </w:t>
      </w:r>
    </w:p>
    <w:p w14:paraId="13C4B75C" w14:textId="77777777" w:rsidR="009269CE" w:rsidRPr="00CA524D" w:rsidRDefault="009269CE" w:rsidP="00CA524D">
      <w:pPr>
        <w:spacing w:after="60"/>
        <w:jc w:val="both"/>
        <w:rPr>
          <w:rFonts w:asciiTheme="majorHAnsi" w:hAnsiTheme="majorHAnsi"/>
          <w:sz w:val="22"/>
          <w:szCs w:val="22"/>
        </w:rPr>
      </w:pPr>
    </w:p>
    <w:p w14:paraId="3A4C11C1" w14:textId="1B70C2AF" w:rsidR="00B727E2" w:rsidRPr="00CA524D" w:rsidRDefault="00B727E2" w:rsidP="00CA524D">
      <w:pPr>
        <w:spacing w:after="60"/>
        <w:jc w:val="both"/>
        <w:rPr>
          <w:rFonts w:asciiTheme="majorHAnsi" w:hAnsiTheme="majorHAnsi"/>
          <w:sz w:val="22"/>
          <w:szCs w:val="22"/>
        </w:rPr>
      </w:pPr>
      <w:r w:rsidRPr="00CA524D">
        <w:rPr>
          <w:rFonts w:asciiTheme="majorHAnsi" w:hAnsiTheme="majorHAnsi"/>
          <w:sz w:val="22"/>
          <w:szCs w:val="22"/>
        </w:rPr>
        <w:t>A network of learning champions for surface waters</w:t>
      </w:r>
      <w:r w:rsidR="00CA524D">
        <w:rPr>
          <w:rFonts w:asciiTheme="majorHAnsi" w:hAnsiTheme="majorHAnsi"/>
          <w:sz w:val="22"/>
          <w:szCs w:val="22"/>
        </w:rPr>
        <w:t xml:space="preserve"> will be</w:t>
      </w:r>
      <w:r w:rsidRPr="00CA524D">
        <w:rPr>
          <w:rFonts w:asciiTheme="majorHAnsi" w:hAnsiTheme="majorHAnsi"/>
          <w:sz w:val="22"/>
          <w:szCs w:val="22"/>
        </w:rPr>
        <w:t xml:space="preserve"> formed to act as a catalytic coalitions among GEF-IW projects to promote learning that</w:t>
      </w:r>
      <w:r w:rsidR="00CA524D">
        <w:rPr>
          <w:rFonts w:asciiTheme="majorHAnsi" w:hAnsiTheme="majorHAnsi"/>
          <w:sz w:val="22"/>
          <w:szCs w:val="22"/>
        </w:rPr>
        <w:t xml:space="preserve"> meets project-level priorities; l</w:t>
      </w:r>
      <w:r w:rsidRPr="00CA524D">
        <w:rPr>
          <w:rFonts w:asciiTheme="majorHAnsi" w:hAnsiTheme="majorHAnsi"/>
          <w:sz w:val="22"/>
          <w:szCs w:val="22"/>
        </w:rPr>
        <w:t>earning resources that targ</w:t>
      </w:r>
      <w:r w:rsidR="00CA524D">
        <w:rPr>
          <w:rFonts w:asciiTheme="majorHAnsi" w:hAnsiTheme="majorHAnsi"/>
          <w:sz w:val="22"/>
          <w:szCs w:val="22"/>
        </w:rPr>
        <w:t>et project learning priorities will be made</w:t>
      </w:r>
      <w:r w:rsidRPr="00CA524D">
        <w:rPr>
          <w:rFonts w:asciiTheme="majorHAnsi" w:hAnsiTheme="majorHAnsi"/>
          <w:sz w:val="22"/>
          <w:szCs w:val="22"/>
        </w:rPr>
        <w:t xml:space="preserve"> available, accessible and communicated, to support individual knowledge needs, project workshops and peer-assist activities</w:t>
      </w:r>
      <w:r w:rsidR="00CA524D">
        <w:rPr>
          <w:rFonts w:asciiTheme="majorHAnsi" w:hAnsiTheme="majorHAnsi"/>
          <w:sz w:val="22"/>
          <w:szCs w:val="22"/>
        </w:rPr>
        <w:t>; p</w:t>
      </w:r>
      <w:r w:rsidRPr="00CA524D">
        <w:rPr>
          <w:rFonts w:asciiTheme="majorHAnsi" w:hAnsiTheme="majorHAnsi"/>
          <w:sz w:val="22"/>
          <w:szCs w:val="22"/>
        </w:rPr>
        <w:t xml:space="preserve">articipants in learning activities </w:t>
      </w:r>
      <w:r w:rsidR="00CA524D">
        <w:rPr>
          <w:rFonts w:asciiTheme="majorHAnsi" w:hAnsiTheme="majorHAnsi"/>
          <w:sz w:val="22"/>
          <w:szCs w:val="22"/>
        </w:rPr>
        <w:t>will be</w:t>
      </w:r>
      <w:r w:rsidRPr="00CA524D">
        <w:rPr>
          <w:rFonts w:asciiTheme="majorHAnsi" w:hAnsiTheme="majorHAnsi"/>
          <w:sz w:val="22"/>
          <w:szCs w:val="22"/>
        </w:rPr>
        <w:t xml:space="preserve"> empowered through knowledge to mobilise and implement change needed to meet GEF-IW project goals</w:t>
      </w:r>
      <w:r w:rsidR="00CA524D">
        <w:rPr>
          <w:rFonts w:asciiTheme="majorHAnsi" w:hAnsiTheme="majorHAnsi"/>
          <w:sz w:val="22"/>
          <w:szCs w:val="22"/>
        </w:rPr>
        <w:t xml:space="preserve"> and l</w:t>
      </w:r>
      <w:r w:rsidRPr="00CA524D">
        <w:rPr>
          <w:rFonts w:asciiTheme="majorHAnsi" w:hAnsiTheme="majorHAnsi"/>
          <w:sz w:val="22"/>
          <w:szCs w:val="22"/>
        </w:rPr>
        <w:t xml:space="preserve">earning on surface waters is applied in practice and shared with the Community of Practice. </w:t>
      </w:r>
    </w:p>
    <w:p w14:paraId="15C60814" w14:textId="77777777" w:rsidR="00EF2438" w:rsidRDefault="00EF2438" w:rsidP="00F84D9A">
      <w:pPr>
        <w:autoSpaceDE w:val="0"/>
        <w:autoSpaceDN w:val="0"/>
        <w:adjustRightInd w:val="0"/>
        <w:rPr>
          <w:rFonts w:ascii="Calibri" w:hAnsi="Calibri"/>
          <w:sz w:val="20"/>
          <w:szCs w:val="20"/>
        </w:rPr>
      </w:pPr>
    </w:p>
    <w:p w14:paraId="0C4DB2ED" w14:textId="77777777" w:rsidR="00EF2438" w:rsidRPr="00536540" w:rsidRDefault="00EF2438" w:rsidP="00F84D9A">
      <w:pPr>
        <w:autoSpaceDE w:val="0"/>
        <w:autoSpaceDN w:val="0"/>
        <w:adjustRightInd w:val="0"/>
        <w:rPr>
          <w:rFonts w:ascii="Calibri" w:hAnsi="Calibri"/>
          <w:b/>
          <w:color w:val="3366FF"/>
          <w:sz w:val="20"/>
          <w:szCs w:val="20"/>
        </w:rPr>
      </w:pPr>
      <w:r w:rsidRPr="00536540">
        <w:rPr>
          <w:rFonts w:ascii="Calibri" w:hAnsi="Calibri"/>
          <w:b/>
          <w:color w:val="3366FF"/>
          <w:sz w:val="20"/>
          <w:szCs w:val="20"/>
        </w:rPr>
        <w:t xml:space="preserve">Component 3. </w:t>
      </w:r>
      <w:r w:rsidRPr="00D06D0A">
        <w:rPr>
          <w:rFonts w:ascii="Calibri" w:hAnsi="Calibri"/>
          <w:color w:val="3366FF"/>
          <w:sz w:val="20"/>
          <w:szCs w:val="20"/>
        </w:rPr>
        <w:t>Global and GEF IW Portfolio Learning and Dialogue to Enhance Project Delivery and Impact (sub-components a-d</w:t>
      </w:r>
    </w:p>
    <w:p w14:paraId="1BD5ECBE" w14:textId="77777777" w:rsidR="00EF2438" w:rsidRDefault="00EF2438" w:rsidP="00F84D9A">
      <w:pPr>
        <w:autoSpaceDE w:val="0"/>
        <w:autoSpaceDN w:val="0"/>
        <w:adjustRightInd w:val="0"/>
        <w:rPr>
          <w:rFonts w:ascii="Calibri" w:hAnsi="Calibri"/>
          <w:sz w:val="20"/>
          <w:szCs w:val="20"/>
        </w:rPr>
      </w:pPr>
    </w:p>
    <w:p w14:paraId="78E7E2CD"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71CDC">
        <w:rPr>
          <w:rFonts w:asciiTheme="majorHAnsi" w:hAnsiTheme="majorHAnsi"/>
          <w:color w:val="3366FF"/>
          <w:sz w:val="20"/>
          <w:szCs w:val="20"/>
        </w:rPr>
        <w:t>Sub-component 3a: 6th Biennial International Waters Conference</w:t>
      </w:r>
    </w:p>
    <w:p w14:paraId="72F4D1FF"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352929D6"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71CDC">
        <w:rPr>
          <w:rFonts w:asciiTheme="majorHAnsi" w:hAnsiTheme="majorHAnsi"/>
          <w:color w:val="3366FF"/>
          <w:sz w:val="20"/>
          <w:szCs w:val="20"/>
        </w:rPr>
        <w:t xml:space="preserve">The expected </w:t>
      </w:r>
      <w:r w:rsidRPr="00F71CDC">
        <w:rPr>
          <w:rFonts w:asciiTheme="majorHAnsi" w:hAnsiTheme="majorHAnsi"/>
          <w:b/>
          <w:color w:val="3366FF"/>
          <w:sz w:val="20"/>
          <w:szCs w:val="20"/>
        </w:rPr>
        <w:t>outputs</w:t>
      </w:r>
      <w:r w:rsidRPr="00F71CDC">
        <w:rPr>
          <w:rFonts w:asciiTheme="majorHAnsi" w:hAnsiTheme="majorHAnsi"/>
          <w:color w:val="3366FF"/>
          <w:sz w:val="20"/>
          <w:szCs w:val="20"/>
        </w:rPr>
        <w:t xml:space="preserve"> are:</w:t>
      </w:r>
    </w:p>
    <w:p w14:paraId="0736B683"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 xml:space="preserve">1. </w:t>
      </w:r>
      <w:r w:rsidRPr="00F71CDC">
        <w:rPr>
          <w:rFonts w:asciiTheme="majorHAnsi" w:hAnsiTheme="majorHAnsi"/>
          <w:color w:val="3366FF"/>
          <w:sz w:val="20"/>
          <w:szCs w:val="20"/>
        </w:rPr>
        <w:t>6th Biennial GEF International Waters Conference in the Mediterranean region</w:t>
      </w:r>
    </w:p>
    <w:p w14:paraId="590462CE" w14:textId="2329A6D1" w:rsidR="00EF2438" w:rsidRPr="00F71CDC" w:rsidRDefault="003A2A6A"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2. Project</w:t>
      </w:r>
      <w:r w:rsidR="00EF2438" w:rsidRPr="00F71CDC">
        <w:rPr>
          <w:rFonts w:asciiTheme="majorHAnsi" w:hAnsiTheme="majorHAnsi"/>
          <w:color w:val="3366FF"/>
          <w:sz w:val="20"/>
          <w:szCs w:val="20"/>
        </w:rPr>
        <w:t xml:space="preserve"> results presented at IWC-6 collated, </w:t>
      </w:r>
      <w:r w:rsidRPr="00F71CDC">
        <w:rPr>
          <w:rFonts w:asciiTheme="majorHAnsi" w:hAnsiTheme="majorHAnsi"/>
          <w:color w:val="3366FF"/>
          <w:sz w:val="20"/>
          <w:szCs w:val="20"/>
        </w:rPr>
        <w:t>analysed</w:t>
      </w:r>
      <w:r w:rsidR="00EF2438" w:rsidRPr="00F71CDC">
        <w:rPr>
          <w:rFonts w:asciiTheme="majorHAnsi" w:hAnsiTheme="majorHAnsi"/>
          <w:color w:val="3366FF"/>
          <w:sz w:val="20"/>
          <w:szCs w:val="20"/>
        </w:rPr>
        <w:t xml:space="preserve"> and disseminated in proceedings (an in journal articles, Experience Notes)</w:t>
      </w:r>
    </w:p>
    <w:p w14:paraId="184F60EA"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 xml:space="preserve">3. </w:t>
      </w:r>
      <w:r w:rsidRPr="00F71CDC">
        <w:rPr>
          <w:rFonts w:asciiTheme="majorHAnsi" w:hAnsiTheme="majorHAnsi"/>
          <w:color w:val="3366FF"/>
          <w:sz w:val="20"/>
          <w:szCs w:val="20"/>
        </w:rPr>
        <w:t>IWC6 Host Mediterranean Region dedicated session at IWC6</w:t>
      </w:r>
    </w:p>
    <w:p w14:paraId="3845AFF3"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647BC6EE"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337D4">
        <w:rPr>
          <w:rFonts w:asciiTheme="majorHAnsi" w:hAnsiTheme="majorHAnsi"/>
          <w:color w:val="FF0000"/>
          <w:sz w:val="20"/>
          <w:szCs w:val="20"/>
        </w:rPr>
        <w:t>5.</w:t>
      </w:r>
      <w:r>
        <w:rPr>
          <w:rFonts w:asciiTheme="majorHAnsi" w:hAnsiTheme="majorHAnsi"/>
          <w:color w:val="3366FF"/>
          <w:sz w:val="20"/>
          <w:szCs w:val="20"/>
        </w:rPr>
        <w:t xml:space="preserve"> </w:t>
      </w:r>
      <w:r w:rsidRPr="00F71CDC">
        <w:rPr>
          <w:rFonts w:asciiTheme="majorHAnsi" w:hAnsiTheme="majorHAnsi"/>
          <w:color w:val="3366FF"/>
          <w:sz w:val="20"/>
          <w:szCs w:val="20"/>
        </w:rPr>
        <w:t xml:space="preserve">The expected </w:t>
      </w:r>
      <w:r w:rsidRPr="00F71CDC">
        <w:rPr>
          <w:rFonts w:asciiTheme="majorHAnsi" w:hAnsiTheme="majorHAnsi"/>
          <w:b/>
          <w:color w:val="3366FF"/>
          <w:sz w:val="20"/>
          <w:szCs w:val="20"/>
        </w:rPr>
        <w:t>outcome</w:t>
      </w:r>
      <w:r>
        <w:rPr>
          <w:rFonts w:asciiTheme="majorHAnsi" w:hAnsiTheme="majorHAnsi"/>
          <w:color w:val="3366FF"/>
          <w:sz w:val="20"/>
          <w:szCs w:val="20"/>
        </w:rPr>
        <w:t xml:space="preserve"> is</w:t>
      </w:r>
      <w:r w:rsidRPr="00F71CDC">
        <w:rPr>
          <w:rFonts w:asciiTheme="majorHAnsi" w:hAnsiTheme="majorHAnsi"/>
          <w:color w:val="3366FF"/>
          <w:sz w:val="20"/>
          <w:szCs w:val="20"/>
        </w:rPr>
        <w:t>:</w:t>
      </w:r>
      <w:r>
        <w:rPr>
          <w:rFonts w:asciiTheme="majorHAnsi" w:hAnsiTheme="majorHAnsi"/>
          <w:color w:val="3366FF"/>
          <w:sz w:val="20"/>
          <w:szCs w:val="20"/>
        </w:rPr>
        <w:t xml:space="preserve"> </w:t>
      </w:r>
      <w:r w:rsidRPr="00F71CDC">
        <w:rPr>
          <w:rFonts w:asciiTheme="majorHAnsi" w:hAnsiTheme="majorHAnsi"/>
          <w:color w:val="3366FF"/>
          <w:sz w:val="20"/>
          <w:szCs w:val="20"/>
        </w:rPr>
        <w:t xml:space="preserve">Global GEF IW portfolio performance and capacities strengthened, in particular among project managers of GEF IW projects. </w:t>
      </w:r>
    </w:p>
    <w:p w14:paraId="4FE97642" w14:textId="77777777" w:rsidR="00CA524D" w:rsidRDefault="00CA524D" w:rsidP="00F84D9A">
      <w:pPr>
        <w:spacing w:after="60"/>
        <w:jc w:val="both"/>
        <w:rPr>
          <w:rFonts w:asciiTheme="majorHAnsi" w:hAnsiTheme="majorHAnsi"/>
          <w:sz w:val="22"/>
          <w:szCs w:val="22"/>
        </w:rPr>
      </w:pPr>
    </w:p>
    <w:p w14:paraId="3E734A92" w14:textId="4CDFA59E" w:rsidR="00B727E2" w:rsidRDefault="00B727E2" w:rsidP="00CA524D">
      <w:pPr>
        <w:spacing w:after="60"/>
        <w:jc w:val="both"/>
        <w:rPr>
          <w:rFonts w:ascii="Times New Roman" w:hAnsi="Times New Roman"/>
          <w:b/>
          <w:lang w:val="fr-FR"/>
        </w:rPr>
      </w:pPr>
      <w:r w:rsidRPr="00B727E2">
        <w:rPr>
          <w:rFonts w:asciiTheme="majorHAnsi" w:hAnsiTheme="majorHAnsi"/>
          <w:sz w:val="22"/>
          <w:szCs w:val="22"/>
        </w:rPr>
        <w:t xml:space="preserve">The GEF Biennial International Waters Conferences (IWCs), five of them since 2000, offer a unique opportunity for representatives of the entire GEF IW portfolio, agencies, and partners to share experiences and build capacity in a South-to-South framework. </w:t>
      </w:r>
      <w:r w:rsidR="00CA524D">
        <w:rPr>
          <w:rFonts w:asciiTheme="majorHAnsi" w:hAnsiTheme="majorHAnsi"/>
          <w:sz w:val="22"/>
          <w:szCs w:val="22"/>
        </w:rPr>
        <w:t xml:space="preserve"> </w:t>
      </w:r>
      <w:r w:rsidRPr="00B727E2">
        <w:rPr>
          <w:rFonts w:asciiTheme="majorHAnsi" w:hAnsiTheme="majorHAnsi"/>
          <w:sz w:val="22"/>
          <w:szCs w:val="22"/>
        </w:rPr>
        <w:t>Building on the active learning format of the 4th GEF IWC in Cape Town and the 5th GEF IWC in Australia, the 6th GEF IWC will convene about 300 representatives of governments cooperating in strategic transboundary water resources management programs, GEF IW project m</w:t>
      </w:r>
      <w:r w:rsidR="00CA524D">
        <w:rPr>
          <w:rFonts w:asciiTheme="majorHAnsi" w:hAnsiTheme="majorHAnsi"/>
          <w:sz w:val="22"/>
          <w:szCs w:val="22"/>
        </w:rPr>
        <w:t>anagers and executing partners. T</w:t>
      </w:r>
      <w:r w:rsidRPr="00B727E2">
        <w:rPr>
          <w:rFonts w:asciiTheme="majorHAnsi" w:hAnsiTheme="majorHAnsi"/>
          <w:sz w:val="22"/>
          <w:szCs w:val="22"/>
        </w:rPr>
        <w:t xml:space="preserve">he conference will also serve to showcase results from the project’s other components. The 6th GEF IWC will maintain a specific focus on targeted training and the sharing of experience from projects in the Mediterranean host region. </w:t>
      </w:r>
    </w:p>
    <w:p w14:paraId="2809285C" w14:textId="77777777" w:rsidR="00EF2438" w:rsidRDefault="00EF2438" w:rsidP="00F84D9A">
      <w:pPr>
        <w:rPr>
          <w:rFonts w:ascii="Times New Roman" w:hAnsi="Times New Roman"/>
          <w:b/>
          <w:lang w:val="fr-FR"/>
        </w:rPr>
      </w:pPr>
    </w:p>
    <w:p w14:paraId="025E19E2"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71CDC">
        <w:rPr>
          <w:rFonts w:asciiTheme="majorHAnsi" w:hAnsiTheme="majorHAnsi"/>
          <w:b/>
          <w:color w:val="3366FF"/>
          <w:sz w:val="20"/>
          <w:szCs w:val="20"/>
          <w:lang w:val="fr-FR"/>
        </w:rPr>
        <w:t>Sub-component 3b: Global Dialogue Participation</w:t>
      </w:r>
    </w:p>
    <w:p w14:paraId="6F139903"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5DE204D9"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71CDC">
        <w:rPr>
          <w:rFonts w:asciiTheme="majorHAnsi" w:hAnsiTheme="majorHAnsi"/>
          <w:color w:val="3366FF"/>
          <w:sz w:val="20"/>
          <w:szCs w:val="20"/>
        </w:rPr>
        <w:t xml:space="preserve">The expected </w:t>
      </w:r>
      <w:r w:rsidRPr="00F71CDC">
        <w:rPr>
          <w:rFonts w:asciiTheme="majorHAnsi" w:hAnsiTheme="majorHAnsi"/>
          <w:b/>
          <w:color w:val="3366FF"/>
          <w:sz w:val="20"/>
          <w:szCs w:val="20"/>
        </w:rPr>
        <w:t>output</w:t>
      </w:r>
      <w:r w:rsidRPr="00F71CDC">
        <w:rPr>
          <w:rFonts w:asciiTheme="majorHAnsi" w:hAnsiTheme="majorHAnsi"/>
          <w:color w:val="3366FF"/>
          <w:sz w:val="20"/>
          <w:szCs w:val="20"/>
        </w:rPr>
        <w:t xml:space="preserve"> is:</w:t>
      </w:r>
      <w:r>
        <w:rPr>
          <w:rFonts w:asciiTheme="majorHAnsi" w:hAnsiTheme="majorHAnsi"/>
          <w:color w:val="3366FF"/>
          <w:sz w:val="20"/>
          <w:szCs w:val="20"/>
        </w:rPr>
        <w:t xml:space="preserve"> </w:t>
      </w:r>
      <w:r w:rsidRPr="00F71CDC">
        <w:rPr>
          <w:rFonts w:asciiTheme="majorHAnsi" w:hAnsiTheme="majorHAnsi"/>
          <w:color w:val="3366FF"/>
          <w:sz w:val="20"/>
          <w:szCs w:val="20"/>
        </w:rPr>
        <w:t>Facilitated dissemination of best practices from GEF IW projects and partners in approved global dialogues processes to transfer experiences and know-how.</w:t>
      </w:r>
    </w:p>
    <w:p w14:paraId="42E0D3DF"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462CE016"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3717BC">
        <w:rPr>
          <w:rFonts w:asciiTheme="majorHAnsi" w:hAnsiTheme="majorHAnsi"/>
          <w:color w:val="FF0000"/>
          <w:sz w:val="20"/>
          <w:szCs w:val="20"/>
        </w:rPr>
        <w:t>6.</w:t>
      </w:r>
      <w:r>
        <w:rPr>
          <w:rFonts w:asciiTheme="majorHAnsi" w:hAnsiTheme="majorHAnsi"/>
          <w:color w:val="3366FF"/>
          <w:sz w:val="20"/>
          <w:szCs w:val="20"/>
        </w:rPr>
        <w:t xml:space="preserve"> </w:t>
      </w:r>
      <w:r w:rsidRPr="00F71CDC">
        <w:rPr>
          <w:rFonts w:asciiTheme="majorHAnsi" w:hAnsiTheme="majorHAnsi"/>
          <w:color w:val="3366FF"/>
          <w:sz w:val="20"/>
          <w:szCs w:val="20"/>
        </w:rPr>
        <w:t xml:space="preserve">The expected </w:t>
      </w:r>
      <w:r w:rsidRPr="00F71CDC">
        <w:rPr>
          <w:rFonts w:asciiTheme="majorHAnsi" w:hAnsiTheme="majorHAnsi"/>
          <w:b/>
          <w:color w:val="3366FF"/>
          <w:sz w:val="20"/>
          <w:szCs w:val="20"/>
        </w:rPr>
        <w:t>outcome</w:t>
      </w:r>
      <w:r w:rsidRPr="00F71CDC">
        <w:rPr>
          <w:rFonts w:asciiTheme="majorHAnsi" w:hAnsiTheme="majorHAnsi"/>
          <w:color w:val="3366FF"/>
          <w:sz w:val="20"/>
          <w:szCs w:val="20"/>
        </w:rPr>
        <w:t xml:space="preserve"> 3b is:</w:t>
      </w:r>
      <w:r>
        <w:rPr>
          <w:rFonts w:asciiTheme="majorHAnsi" w:hAnsiTheme="majorHAnsi"/>
          <w:color w:val="3366FF"/>
          <w:sz w:val="20"/>
          <w:szCs w:val="20"/>
        </w:rPr>
        <w:t xml:space="preserve"> </w:t>
      </w:r>
      <w:r w:rsidRPr="00F71CDC">
        <w:rPr>
          <w:rFonts w:asciiTheme="majorHAnsi" w:hAnsiTheme="majorHAnsi"/>
          <w:color w:val="3366FF"/>
          <w:sz w:val="20"/>
          <w:szCs w:val="20"/>
        </w:rPr>
        <w:t>Increased awareness of GEF IW experiences, achievements and partnerships with non-GEF supported interventions.</w:t>
      </w:r>
    </w:p>
    <w:p w14:paraId="429D902C" w14:textId="77777777" w:rsidR="00EF2438" w:rsidRDefault="00EF2438" w:rsidP="00F84D9A">
      <w:pPr>
        <w:autoSpaceDE w:val="0"/>
        <w:autoSpaceDN w:val="0"/>
        <w:adjustRightInd w:val="0"/>
        <w:rPr>
          <w:rFonts w:ascii="Calibri" w:hAnsi="Calibri"/>
          <w:sz w:val="20"/>
          <w:szCs w:val="20"/>
        </w:rPr>
      </w:pPr>
    </w:p>
    <w:p w14:paraId="2D79D788" w14:textId="3BFB96D6" w:rsidR="00B727E2" w:rsidRPr="00B727E2" w:rsidRDefault="00CA524D" w:rsidP="00F84D9A">
      <w:pPr>
        <w:spacing w:after="60"/>
        <w:jc w:val="both"/>
        <w:rPr>
          <w:rFonts w:asciiTheme="majorHAnsi" w:hAnsiTheme="majorHAnsi"/>
          <w:sz w:val="22"/>
          <w:szCs w:val="22"/>
        </w:rPr>
      </w:pPr>
      <w:r>
        <w:rPr>
          <w:rFonts w:asciiTheme="majorHAnsi" w:hAnsiTheme="majorHAnsi"/>
          <w:sz w:val="22"/>
          <w:szCs w:val="22"/>
        </w:rPr>
        <w:t>This sub-component will</w:t>
      </w:r>
      <w:r w:rsidR="00B727E2" w:rsidRPr="00B727E2">
        <w:rPr>
          <w:rFonts w:asciiTheme="majorHAnsi" w:hAnsiTheme="majorHAnsi"/>
          <w:sz w:val="22"/>
          <w:szCs w:val="22"/>
        </w:rPr>
        <w:t xml:space="preserve"> network and disseminate results of GEF International Waters portfolio into global transboundary water management processes (for example, the World Water Forum). The activity also aims to increase the outreach and interactions between the GEF IW portfolio and the broader water resources, coastal and marine management and scientific community. The intent is to share our portfolio’s innovations and also to influence the course of global dialogues on water. Targets for participation would include international freshwater and/or marine events – such as CSD, World Water Forum, Rio plus 20 and other meetings of relevance. </w:t>
      </w:r>
    </w:p>
    <w:p w14:paraId="6430F706" w14:textId="77777777" w:rsidR="00EF2438" w:rsidRDefault="00EF2438" w:rsidP="00F84D9A">
      <w:pPr>
        <w:rPr>
          <w:rFonts w:ascii="Times New Roman" w:hAnsi="Times New Roman"/>
          <w:b/>
        </w:rPr>
      </w:pPr>
    </w:p>
    <w:p w14:paraId="139B5D84"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57FB1">
        <w:rPr>
          <w:rFonts w:asciiTheme="majorHAnsi" w:hAnsiTheme="majorHAnsi"/>
          <w:color w:val="3366FF"/>
          <w:sz w:val="20"/>
          <w:szCs w:val="20"/>
        </w:rPr>
        <w:t>Sub-component 3c: IW Science Partnership</w:t>
      </w:r>
    </w:p>
    <w:p w14:paraId="4A5F5849" w14:textId="77777777" w:rsidR="00EF2438" w:rsidRPr="00F71CDC"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sz w:val="20"/>
          <w:szCs w:val="20"/>
        </w:rPr>
      </w:pPr>
    </w:p>
    <w:p w14:paraId="46CABF5D"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57FB1">
        <w:rPr>
          <w:rFonts w:asciiTheme="majorHAnsi" w:hAnsiTheme="majorHAnsi"/>
          <w:color w:val="3366FF"/>
          <w:sz w:val="20"/>
          <w:szCs w:val="20"/>
        </w:rPr>
        <w:t xml:space="preserve">The expected </w:t>
      </w:r>
      <w:r w:rsidRPr="00F57FB1">
        <w:rPr>
          <w:rFonts w:asciiTheme="majorHAnsi" w:hAnsiTheme="majorHAnsi"/>
          <w:b/>
          <w:color w:val="3366FF"/>
          <w:sz w:val="20"/>
          <w:szCs w:val="20"/>
        </w:rPr>
        <w:t>outputs</w:t>
      </w:r>
      <w:r w:rsidRPr="00F57FB1">
        <w:rPr>
          <w:rFonts w:asciiTheme="majorHAnsi" w:hAnsiTheme="majorHAnsi"/>
          <w:color w:val="3366FF"/>
          <w:sz w:val="20"/>
          <w:szCs w:val="20"/>
        </w:rPr>
        <w:t xml:space="preserve"> are:</w:t>
      </w:r>
    </w:p>
    <w:p w14:paraId="6B1C1A44"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 xml:space="preserve">1. </w:t>
      </w:r>
      <w:r w:rsidRPr="00F57FB1">
        <w:rPr>
          <w:rFonts w:asciiTheme="majorHAnsi" w:hAnsiTheme="majorHAnsi"/>
          <w:color w:val="3366FF"/>
          <w:sz w:val="20"/>
          <w:szCs w:val="20"/>
        </w:rPr>
        <w:t>Completion of the first GEF IW Science Conference</w:t>
      </w:r>
    </w:p>
    <w:p w14:paraId="3028877C"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 xml:space="preserve">2. </w:t>
      </w:r>
      <w:r w:rsidRPr="00F57FB1">
        <w:rPr>
          <w:rFonts w:asciiTheme="majorHAnsi" w:hAnsiTheme="majorHAnsi"/>
          <w:color w:val="3366FF"/>
          <w:sz w:val="20"/>
          <w:szCs w:val="20"/>
        </w:rPr>
        <w:t>Functional scientific network integrating IW project experts and the wider scientific community</w:t>
      </w:r>
    </w:p>
    <w:p w14:paraId="1DE25F5D"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107138EC"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337D4">
        <w:rPr>
          <w:rFonts w:asciiTheme="majorHAnsi" w:hAnsiTheme="majorHAnsi"/>
          <w:color w:val="FF0000"/>
          <w:sz w:val="20"/>
          <w:szCs w:val="20"/>
        </w:rPr>
        <w:t>7.</w:t>
      </w:r>
      <w:r>
        <w:rPr>
          <w:rFonts w:asciiTheme="majorHAnsi" w:hAnsiTheme="majorHAnsi"/>
          <w:color w:val="3366FF"/>
          <w:sz w:val="20"/>
          <w:szCs w:val="20"/>
        </w:rPr>
        <w:t xml:space="preserve"> </w:t>
      </w:r>
      <w:r w:rsidRPr="00F57FB1">
        <w:rPr>
          <w:rFonts w:asciiTheme="majorHAnsi" w:hAnsiTheme="majorHAnsi"/>
          <w:color w:val="3366FF"/>
          <w:sz w:val="20"/>
          <w:szCs w:val="20"/>
        </w:rPr>
        <w:t xml:space="preserve">The expected </w:t>
      </w:r>
      <w:r w:rsidRPr="00F57FB1">
        <w:rPr>
          <w:rFonts w:asciiTheme="majorHAnsi" w:hAnsiTheme="majorHAnsi"/>
          <w:b/>
          <w:color w:val="3366FF"/>
          <w:sz w:val="20"/>
          <w:szCs w:val="20"/>
        </w:rPr>
        <w:t>outcome</w:t>
      </w:r>
      <w:r w:rsidRPr="00F57FB1">
        <w:rPr>
          <w:rFonts w:asciiTheme="majorHAnsi" w:hAnsiTheme="majorHAnsi"/>
          <w:color w:val="3366FF"/>
          <w:sz w:val="20"/>
          <w:szCs w:val="20"/>
        </w:rPr>
        <w:t xml:space="preserve"> is:</w:t>
      </w:r>
      <w:r>
        <w:rPr>
          <w:rFonts w:asciiTheme="majorHAnsi" w:hAnsiTheme="majorHAnsi"/>
          <w:color w:val="3366FF"/>
          <w:sz w:val="20"/>
          <w:szCs w:val="20"/>
        </w:rPr>
        <w:t xml:space="preserve"> </w:t>
      </w:r>
      <w:r w:rsidRPr="00F57FB1">
        <w:rPr>
          <w:rFonts w:asciiTheme="majorHAnsi" w:hAnsiTheme="majorHAnsi"/>
          <w:color w:val="3366FF"/>
          <w:sz w:val="20"/>
          <w:szCs w:val="20"/>
        </w:rPr>
        <w:t>Improved technical implementation of projects through strengthening the science base of IW projects and improved integration of the wider science community into these projects.</w:t>
      </w:r>
    </w:p>
    <w:p w14:paraId="62A169CF" w14:textId="77777777" w:rsidR="00EF2438" w:rsidRDefault="00EF2438" w:rsidP="00F84D9A">
      <w:pPr>
        <w:rPr>
          <w:rFonts w:ascii="Times New Roman" w:hAnsi="Times New Roman"/>
          <w:b/>
        </w:rPr>
      </w:pPr>
    </w:p>
    <w:p w14:paraId="3FDBC7CB" w14:textId="77777777" w:rsidR="00B727E2" w:rsidRDefault="00B727E2" w:rsidP="00F84D9A">
      <w:pPr>
        <w:spacing w:after="60"/>
        <w:jc w:val="both"/>
        <w:rPr>
          <w:rFonts w:asciiTheme="majorHAnsi" w:hAnsiTheme="majorHAnsi"/>
          <w:sz w:val="22"/>
          <w:szCs w:val="22"/>
        </w:rPr>
      </w:pPr>
      <w:r w:rsidRPr="00B727E2">
        <w:rPr>
          <w:rFonts w:asciiTheme="majorHAnsi" w:hAnsiTheme="majorHAnsi"/>
          <w:sz w:val="22"/>
          <w:szCs w:val="22"/>
        </w:rPr>
        <w:t>The main objective of the Science Partnership is to strengthen the engagement of the wider scientific community in GEF projects and to assist with ensuring that GEF IW project staff and stakeholders are more engaged and aware of global scientific advances and how science is being implemented across the IW portfolio.</w:t>
      </w:r>
    </w:p>
    <w:p w14:paraId="2B354AB2" w14:textId="77777777" w:rsidR="009269CE" w:rsidRPr="00B727E2" w:rsidRDefault="009269CE" w:rsidP="00F84D9A">
      <w:pPr>
        <w:spacing w:after="60"/>
        <w:jc w:val="both"/>
        <w:rPr>
          <w:rFonts w:asciiTheme="majorHAnsi" w:hAnsiTheme="majorHAnsi"/>
          <w:sz w:val="22"/>
          <w:szCs w:val="22"/>
        </w:rPr>
      </w:pPr>
    </w:p>
    <w:p w14:paraId="56F53BD6" w14:textId="1B32E38E" w:rsidR="00B727E2" w:rsidRDefault="00B727E2" w:rsidP="00735010">
      <w:pPr>
        <w:spacing w:after="60"/>
        <w:jc w:val="both"/>
        <w:rPr>
          <w:rFonts w:asciiTheme="majorHAnsi" w:hAnsiTheme="majorHAnsi"/>
          <w:sz w:val="22"/>
          <w:szCs w:val="22"/>
        </w:rPr>
      </w:pPr>
      <w:r w:rsidRPr="00B727E2">
        <w:rPr>
          <w:rFonts w:asciiTheme="majorHAnsi" w:hAnsiTheme="majorHAnsi"/>
          <w:sz w:val="22"/>
          <w:szCs w:val="22"/>
        </w:rPr>
        <w:t xml:space="preserve"> </w:t>
      </w:r>
      <w:r w:rsidR="00735010">
        <w:rPr>
          <w:rFonts w:asciiTheme="majorHAnsi" w:hAnsiTheme="majorHAnsi"/>
          <w:sz w:val="22"/>
          <w:szCs w:val="22"/>
        </w:rPr>
        <w:t>The main objective of</w:t>
      </w:r>
      <w:r w:rsidRPr="00B727E2">
        <w:rPr>
          <w:rFonts w:asciiTheme="majorHAnsi" w:hAnsiTheme="majorHAnsi"/>
          <w:sz w:val="22"/>
          <w:szCs w:val="22"/>
        </w:rPr>
        <w:t xml:space="preserve"> the conference is to continue to enhance the use of science and the effectiveness of local science communities in GEF IW projects through knowledge synthesis and information exchange – building on the technologies and working groups assembled for the IW</w:t>
      </w:r>
      <w:proofErr w:type="gramStart"/>
      <w:r w:rsidRPr="00B727E2">
        <w:rPr>
          <w:rFonts w:asciiTheme="majorHAnsi" w:hAnsiTheme="majorHAnsi"/>
          <w:sz w:val="22"/>
          <w:szCs w:val="22"/>
        </w:rPr>
        <w:t>:Science</w:t>
      </w:r>
      <w:proofErr w:type="gramEnd"/>
      <w:r w:rsidRPr="00B727E2">
        <w:rPr>
          <w:rFonts w:asciiTheme="majorHAnsi" w:hAnsiTheme="majorHAnsi"/>
          <w:sz w:val="22"/>
          <w:szCs w:val="22"/>
        </w:rPr>
        <w:t xml:space="preserve"> project. The objective is centred around dissemination of GEF research results; science-based analyses for transboundary fact-finding; science-based monitoring &amp; evaluation; the linkage of science outputs to policy development and management; and the building of research capacity within the GEF family, including access to external, non-GEF findings on emerging issues, new methodologies, and science breakthroughs. </w:t>
      </w:r>
    </w:p>
    <w:p w14:paraId="7CBAF426" w14:textId="77777777" w:rsidR="009269CE" w:rsidRPr="00B727E2" w:rsidRDefault="009269CE" w:rsidP="00735010">
      <w:pPr>
        <w:spacing w:after="60"/>
        <w:jc w:val="both"/>
        <w:rPr>
          <w:rFonts w:asciiTheme="majorHAnsi" w:hAnsiTheme="majorHAnsi"/>
          <w:sz w:val="22"/>
          <w:szCs w:val="22"/>
        </w:rPr>
      </w:pPr>
    </w:p>
    <w:p w14:paraId="70BA5565" w14:textId="65BB705C" w:rsidR="00EF2438" w:rsidRPr="00735010" w:rsidRDefault="00B727E2" w:rsidP="00735010">
      <w:pPr>
        <w:spacing w:after="60"/>
        <w:jc w:val="both"/>
        <w:rPr>
          <w:rFonts w:asciiTheme="majorHAnsi" w:hAnsiTheme="majorHAnsi"/>
          <w:b/>
          <w:sz w:val="22"/>
          <w:szCs w:val="22"/>
        </w:rPr>
      </w:pPr>
      <w:r w:rsidRPr="00B727E2">
        <w:rPr>
          <w:rFonts w:asciiTheme="majorHAnsi" w:hAnsiTheme="majorHAnsi"/>
          <w:sz w:val="22"/>
          <w:szCs w:val="22"/>
        </w:rPr>
        <w:t>The conference will draw upon leading experts from outside the GEF IW projects, as well as scientists from current and past IW projects. Such groups have already been created for the G</w:t>
      </w:r>
      <w:r w:rsidR="00472C48">
        <w:rPr>
          <w:rFonts w:asciiTheme="majorHAnsi" w:hAnsiTheme="majorHAnsi"/>
          <w:sz w:val="22"/>
          <w:szCs w:val="22"/>
        </w:rPr>
        <w:t>EF</w:t>
      </w:r>
      <w:r w:rsidRPr="00B727E2">
        <w:rPr>
          <w:rFonts w:asciiTheme="majorHAnsi" w:hAnsiTheme="majorHAnsi"/>
          <w:sz w:val="22"/>
          <w:szCs w:val="22"/>
        </w:rPr>
        <w:t xml:space="preserve"> IW Science project for the five IW System Types and these would be maintained as part of the science conference. Membership of these groups would evolve over time, depending on the activities of the group, and 2-yearly Chairmanship of these groups would be through a nomination and selection process.</w:t>
      </w:r>
      <w:r w:rsidR="00735010">
        <w:rPr>
          <w:rFonts w:asciiTheme="majorHAnsi" w:hAnsiTheme="majorHAnsi"/>
          <w:sz w:val="22"/>
          <w:szCs w:val="22"/>
        </w:rPr>
        <w:t xml:space="preserve"> </w:t>
      </w:r>
      <w:r w:rsidR="00735010" w:rsidRPr="00735010">
        <w:rPr>
          <w:rFonts w:asciiTheme="majorHAnsi" w:hAnsiTheme="majorHAnsi"/>
          <w:sz w:val="22"/>
          <w:szCs w:val="22"/>
        </w:rPr>
        <w:t>T</w:t>
      </w:r>
      <w:r w:rsidRPr="00735010">
        <w:rPr>
          <w:rFonts w:asciiTheme="majorHAnsi" w:hAnsiTheme="majorHAnsi"/>
          <w:sz w:val="22"/>
          <w:szCs w:val="22"/>
        </w:rPr>
        <w:t>he first conference is proposed for 2012 and future conferences are proposed to be held biannually.</w:t>
      </w:r>
    </w:p>
    <w:p w14:paraId="376AFB47" w14:textId="77777777" w:rsidR="00EF2438" w:rsidRDefault="00EF2438" w:rsidP="00F84D9A">
      <w:pPr>
        <w:rPr>
          <w:rFonts w:ascii="Times New Roman" w:hAnsi="Times New Roman"/>
          <w:b/>
        </w:rPr>
      </w:pPr>
    </w:p>
    <w:p w14:paraId="1E36A8BD" w14:textId="77777777" w:rsidR="00EF2438" w:rsidRPr="00536540"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536540">
        <w:rPr>
          <w:rFonts w:asciiTheme="majorHAnsi" w:hAnsiTheme="majorHAnsi"/>
          <w:color w:val="3366FF"/>
          <w:sz w:val="20"/>
          <w:szCs w:val="20"/>
        </w:rPr>
        <w:t>Sub-Component 3d: IW Focal Area Portfolio Results Dissemination</w:t>
      </w:r>
    </w:p>
    <w:p w14:paraId="31F41B40"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7CC62FC0"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57FB1">
        <w:rPr>
          <w:rFonts w:asciiTheme="majorHAnsi" w:hAnsiTheme="majorHAnsi"/>
          <w:color w:val="3366FF"/>
          <w:sz w:val="20"/>
          <w:szCs w:val="20"/>
        </w:rPr>
        <w:t xml:space="preserve">The expected </w:t>
      </w:r>
      <w:r w:rsidRPr="00F57FB1">
        <w:rPr>
          <w:rFonts w:asciiTheme="majorHAnsi" w:hAnsiTheme="majorHAnsi"/>
          <w:b/>
          <w:color w:val="3366FF"/>
          <w:sz w:val="20"/>
          <w:szCs w:val="20"/>
        </w:rPr>
        <w:t>outputs</w:t>
      </w:r>
      <w:r w:rsidRPr="00F57FB1">
        <w:rPr>
          <w:rFonts w:asciiTheme="majorHAnsi" w:hAnsiTheme="majorHAnsi"/>
          <w:color w:val="3366FF"/>
          <w:sz w:val="20"/>
          <w:szCs w:val="20"/>
        </w:rPr>
        <w:t xml:space="preserve"> are:</w:t>
      </w:r>
    </w:p>
    <w:p w14:paraId="5A22E038"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 xml:space="preserve">1. </w:t>
      </w:r>
      <w:r w:rsidRPr="00F57FB1">
        <w:rPr>
          <w:rFonts w:asciiTheme="majorHAnsi" w:hAnsiTheme="majorHAnsi"/>
          <w:color w:val="3366FF"/>
          <w:sz w:val="20"/>
          <w:szCs w:val="20"/>
        </w:rPr>
        <w:t>GEF IW project results and achievements captured in peer-reviewed journal.</w:t>
      </w:r>
    </w:p>
    <w:p w14:paraId="0700ADC6"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 xml:space="preserve">2. </w:t>
      </w:r>
      <w:r w:rsidRPr="00F57FB1">
        <w:rPr>
          <w:rFonts w:asciiTheme="majorHAnsi" w:hAnsiTheme="majorHAnsi"/>
          <w:color w:val="3366FF"/>
          <w:sz w:val="20"/>
          <w:szCs w:val="20"/>
        </w:rPr>
        <w:t>The achievements of the GEF IW Focal Area presented in two publications focusing on marine and freshwater systems.</w:t>
      </w:r>
    </w:p>
    <w:p w14:paraId="401727D9"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Pr>
          <w:rFonts w:asciiTheme="majorHAnsi" w:hAnsiTheme="majorHAnsi"/>
          <w:color w:val="3366FF"/>
          <w:sz w:val="20"/>
          <w:szCs w:val="20"/>
        </w:rPr>
        <w:t xml:space="preserve">3. </w:t>
      </w:r>
      <w:r w:rsidRPr="00F57FB1">
        <w:rPr>
          <w:rFonts w:asciiTheme="majorHAnsi" w:hAnsiTheme="majorHAnsi"/>
          <w:color w:val="3366FF"/>
          <w:sz w:val="20"/>
          <w:szCs w:val="20"/>
        </w:rPr>
        <w:t>The achievements of the GEF IW Focal Area presented in a 20 minute film.</w:t>
      </w:r>
    </w:p>
    <w:p w14:paraId="53607C09"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378334B2"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57FB1">
        <w:rPr>
          <w:rFonts w:asciiTheme="majorHAnsi" w:hAnsiTheme="majorHAnsi"/>
          <w:color w:val="3366FF"/>
          <w:sz w:val="20"/>
          <w:szCs w:val="20"/>
        </w:rPr>
        <w:t xml:space="preserve">The expected </w:t>
      </w:r>
      <w:r w:rsidRPr="00536540">
        <w:rPr>
          <w:rFonts w:asciiTheme="majorHAnsi" w:hAnsiTheme="majorHAnsi"/>
          <w:b/>
          <w:color w:val="3366FF"/>
          <w:sz w:val="20"/>
          <w:szCs w:val="20"/>
        </w:rPr>
        <w:t>outcomes</w:t>
      </w:r>
      <w:r w:rsidRPr="00F57FB1">
        <w:rPr>
          <w:rFonts w:asciiTheme="majorHAnsi" w:hAnsiTheme="majorHAnsi"/>
          <w:color w:val="3366FF"/>
          <w:sz w:val="20"/>
          <w:szCs w:val="20"/>
        </w:rPr>
        <w:t xml:space="preserve"> from sub-component 3d are:</w:t>
      </w:r>
    </w:p>
    <w:p w14:paraId="3F8958D2"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3717BC">
        <w:rPr>
          <w:rFonts w:asciiTheme="majorHAnsi" w:hAnsiTheme="majorHAnsi"/>
          <w:color w:val="FF0000"/>
          <w:sz w:val="20"/>
          <w:szCs w:val="20"/>
        </w:rPr>
        <w:t>6.</w:t>
      </w:r>
      <w:r>
        <w:rPr>
          <w:rFonts w:asciiTheme="majorHAnsi" w:hAnsiTheme="majorHAnsi"/>
          <w:color w:val="3366FF"/>
          <w:sz w:val="20"/>
          <w:szCs w:val="20"/>
        </w:rPr>
        <w:t xml:space="preserve"> </w:t>
      </w:r>
      <w:r w:rsidRPr="00F57FB1">
        <w:rPr>
          <w:rFonts w:asciiTheme="majorHAnsi" w:hAnsiTheme="majorHAnsi"/>
          <w:color w:val="3366FF"/>
          <w:sz w:val="20"/>
          <w:szCs w:val="20"/>
        </w:rPr>
        <w:t>Increased awareness of GEF IW experiences and achievements and partnership with non- GEF supported Interventions</w:t>
      </w:r>
    </w:p>
    <w:p w14:paraId="01FE3D76" w14:textId="77777777" w:rsidR="00735010" w:rsidRDefault="00735010" w:rsidP="00F84D9A">
      <w:pPr>
        <w:spacing w:after="60"/>
        <w:jc w:val="both"/>
        <w:rPr>
          <w:rFonts w:asciiTheme="majorHAnsi" w:hAnsiTheme="majorHAnsi"/>
          <w:sz w:val="22"/>
          <w:szCs w:val="22"/>
        </w:rPr>
      </w:pPr>
    </w:p>
    <w:p w14:paraId="6ECD90A8" w14:textId="77777777" w:rsid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Over the last 20 years the GEF IW Focal Area has accumulated significant outputs and outcomes through the projects undertaken. The objectives of this sub-component are to make this information available and to provide a peer-reviewed journal aimed at GEF IW projects and stakeholders of these projects.</w:t>
      </w:r>
    </w:p>
    <w:p w14:paraId="367F4FED" w14:textId="77777777" w:rsidR="009269CE" w:rsidRPr="007D6D14" w:rsidRDefault="009269CE" w:rsidP="00F84D9A">
      <w:pPr>
        <w:spacing w:after="60"/>
        <w:jc w:val="both"/>
        <w:rPr>
          <w:rFonts w:asciiTheme="majorHAnsi" w:hAnsiTheme="majorHAnsi"/>
          <w:sz w:val="22"/>
          <w:szCs w:val="22"/>
        </w:rPr>
      </w:pPr>
    </w:p>
    <w:p w14:paraId="4420A76E" w14:textId="77777777" w:rsid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 xml:space="preserve">A preliminary proposal for the journal series would be to publish themed issues along the GEF IW main areas of activity; promoting regional security through partnerships and cooperation, river basins - collaborating across borders, managing transboundary groundwater aquifers, transnational sharing of terrestrial water bodies, integrated management of coastal resources, reducing coastal dead zones, ecosystem-based approach to managing coastal fisheries, reducing environmental risks of marine transport, helping small island states, policy recommendations and decision support fact sheets. UNU-INWEH will execute the activity with its ongoing work with the Scientific Partnership and publication experience. </w:t>
      </w:r>
    </w:p>
    <w:p w14:paraId="4D2A18F4" w14:textId="77777777" w:rsidR="009269CE" w:rsidRPr="007D6D14" w:rsidRDefault="009269CE" w:rsidP="00F84D9A">
      <w:pPr>
        <w:spacing w:after="60"/>
        <w:jc w:val="both"/>
        <w:rPr>
          <w:rFonts w:asciiTheme="majorHAnsi" w:hAnsiTheme="majorHAnsi"/>
          <w:sz w:val="22"/>
          <w:szCs w:val="22"/>
        </w:rPr>
      </w:pPr>
    </w:p>
    <w:p w14:paraId="438EDAA4" w14:textId="4C15F8FF" w:rsidR="007D6D14" w:rsidRPr="007D6D14" w:rsidRDefault="00735010" w:rsidP="00735010">
      <w:pPr>
        <w:rPr>
          <w:rFonts w:asciiTheme="majorHAnsi" w:hAnsiTheme="majorHAnsi"/>
          <w:sz w:val="22"/>
          <w:szCs w:val="22"/>
        </w:rPr>
      </w:pPr>
      <w:r w:rsidRPr="00735010">
        <w:rPr>
          <w:rFonts w:asciiTheme="majorHAnsi" w:hAnsiTheme="majorHAnsi"/>
          <w:sz w:val="22"/>
          <w:szCs w:val="22"/>
        </w:rPr>
        <w:t xml:space="preserve">In addition </w:t>
      </w:r>
      <w:r>
        <w:rPr>
          <w:rFonts w:asciiTheme="majorHAnsi" w:hAnsiTheme="majorHAnsi"/>
          <w:sz w:val="22"/>
          <w:szCs w:val="22"/>
        </w:rPr>
        <w:t>t</w:t>
      </w:r>
      <w:r w:rsidR="007D6D14" w:rsidRPr="007D6D14">
        <w:rPr>
          <w:rFonts w:asciiTheme="majorHAnsi" w:hAnsiTheme="majorHAnsi"/>
          <w:sz w:val="22"/>
          <w:szCs w:val="22"/>
        </w:rPr>
        <w:t>wo high-publicity publications are to be prepared for the GEF IW. These publications are to draw on the 20 year history of GEF and promote and disseminate the following IW achievements:</w:t>
      </w:r>
    </w:p>
    <w:p w14:paraId="5A6691B5" w14:textId="77777777" w:rsidR="007D6D14" w:rsidRP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GEF IW Results from marine (including Integrated Coastal Management and LME activities)</w:t>
      </w:r>
    </w:p>
    <w:p w14:paraId="2BF0A399" w14:textId="77777777" w:rsidR="007D6D14" w:rsidRP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 xml:space="preserve">GEF IW Results from freshwater (IWRM addressing surface and groundwaters) </w:t>
      </w:r>
    </w:p>
    <w:p w14:paraId="55B79DEE" w14:textId="77777777" w:rsidR="00EF2438" w:rsidRDefault="00EF2438" w:rsidP="00F84D9A">
      <w:pPr>
        <w:rPr>
          <w:rFonts w:ascii="Calibri" w:hAnsi="Calibri"/>
          <w:sz w:val="20"/>
          <w:szCs w:val="20"/>
        </w:rPr>
      </w:pPr>
    </w:p>
    <w:p w14:paraId="00329C84" w14:textId="77777777" w:rsidR="00EF2438" w:rsidRDefault="00EF2438" w:rsidP="00F84D9A">
      <w:pPr>
        <w:autoSpaceDE w:val="0"/>
        <w:autoSpaceDN w:val="0"/>
        <w:adjustRightInd w:val="0"/>
        <w:ind w:left="360"/>
        <w:rPr>
          <w:rFonts w:ascii="Calibri" w:hAnsi="Calibri"/>
          <w:color w:val="3366FF"/>
          <w:sz w:val="20"/>
          <w:szCs w:val="20"/>
        </w:rPr>
      </w:pPr>
      <w:r w:rsidRPr="00DD3809">
        <w:rPr>
          <w:rFonts w:ascii="Calibri" w:hAnsi="Calibri"/>
          <w:b/>
          <w:color w:val="3366FF"/>
          <w:sz w:val="20"/>
          <w:szCs w:val="20"/>
        </w:rPr>
        <w:t>COMPONENT 4</w:t>
      </w:r>
      <w:r w:rsidRPr="00DD3809">
        <w:rPr>
          <w:rFonts w:ascii="Calibri" w:hAnsi="Calibri"/>
          <w:color w:val="3366FF"/>
          <w:sz w:val="20"/>
          <w:szCs w:val="20"/>
        </w:rPr>
        <w:t>. Information Management and Communications Platform to Support GEF IW Projects Learning and Dialogue</w:t>
      </w:r>
    </w:p>
    <w:p w14:paraId="11887DC9" w14:textId="77777777" w:rsidR="00735010" w:rsidRPr="00DD3809" w:rsidRDefault="00735010" w:rsidP="00F84D9A">
      <w:pPr>
        <w:autoSpaceDE w:val="0"/>
        <w:autoSpaceDN w:val="0"/>
        <w:adjustRightInd w:val="0"/>
        <w:ind w:left="360"/>
        <w:rPr>
          <w:rFonts w:ascii="Calibri" w:hAnsi="Calibri"/>
          <w:color w:val="3366FF"/>
          <w:sz w:val="20"/>
          <w:szCs w:val="20"/>
        </w:rPr>
      </w:pPr>
    </w:p>
    <w:p w14:paraId="0588CDA8"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sz w:val="20"/>
          <w:szCs w:val="20"/>
        </w:rPr>
      </w:pPr>
      <w:r w:rsidRPr="00D755E1">
        <w:rPr>
          <w:rFonts w:asciiTheme="majorHAnsi" w:hAnsiTheme="majorHAnsi"/>
          <w:color w:val="3366FF"/>
          <w:sz w:val="20"/>
          <w:szCs w:val="20"/>
        </w:rPr>
        <w:t>Component 4: Information Management and Communications Platform to Support GEF IW Projects Learning and Dialogue</w:t>
      </w:r>
    </w:p>
    <w:p w14:paraId="6C4654A2" w14:textId="77777777" w:rsidR="00EF2438" w:rsidRPr="00B624F0" w:rsidRDefault="00EF2438" w:rsidP="00F84D9A">
      <w:pPr>
        <w:pBdr>
          <w:top w:val="single" w:sz="4" w:space="1" w:color="auto"/>
          <w:left w:val="single" w:sz="4" w:space="4" w:color="auto"/>
          <w:bottom w:val="single" w:sz="4" w:space="1" w:color="auto"/>
          <w:right w:val="single" w:sz="4" w:space="4" w:color="auto"/>
        </w:pBdr>
        <w:shd w:val="clear" w:color="auto" w:fill="EEECE1"/>
        <w:ind w:firstLine="720"/>
        <w:rPr>
          <w:rFonts w:ascii="Times New Roman" w:hAnsi="Times New Roman"/>
        </w:rPr>
      </w:pPr>
    </w:p>
    <w:p w14:paraId="6129CA4E"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57FB1">
        <w:rPr>
          <w:rFonts w:asciiTheme="majorHAnsi" w:hAnsiTheme="majorHAnsi"/>
          <w:color w:val="3366FF"/>
          <w:sz w:val="20"/>
          <w:szCs w:val="20"/>
        </w:rPr>
        <w:t xml:space="preserve">The expected </w:t>
      </w:r>
      <w:r w:rsidRPr="00F57FB1">
        <w:rPr>
          <w:rFonts w:asciiTheme="majorHAnsi" w:hAnsiTheme="majorHAnsi"/>
          <w:b/>
          <w:color w:val="3366FF"/>
          <w:sz w:val="20"/>
          <w:szCs w:val="20"/>
        </w:rPr>
        <w:t>outputs</w:t>
      </w:r>
      <w:r w:rsidRPr="00F57FB1">
        <w:rPr>
          <w:rFonts w:asciiTheme="majorHAnsi" w:hAnsiTheme="majorHAnsi"/>
          <w:color w:val="3366FF"/>
          <w:sz w:val="20"/>
          <w:szCs w:val="20"/>
        </w:rPr>
        <w:t xml:space="preserve"> from component 4 are:</w:t>
      </w:r>
    </w:p>
    <w:p w14:paraId="1B42EB21" w14:textId="77777777" w:rsidR="00EF2438" w:rsidRPr="00F57FB1"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57FB1">
        <w:rPr>
          <w:rFonts w:asciiTheme="majorHAnsi" w:hAnsiTheme="majorHAnsi"/>
          <w:color w:val="3366FF"/>
          <w:sz w:val="20"/>
          <w:szCs w:val="20"/>
          <w:lang w:eastAsia="el-GR"/>
        </w:rPr>
        <w:t>IW Resource Center with user driven and user-friendly functionality for regional and thematic communities of practice (CoPs) and individual project websites</w:t>
      </w:r>
    </w:p>
    <w:p w14:paraId="71430DD4" w14:textId="77777777" w:rsidR="00EF2438" w:rsidRPr="00F57FB1"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57FB1">
        <w:rPr>
          <w:rFonts w:asciiTheme="majorHAnsi" w:hAnsiTheme="majorHAnsi"/>
          <w:color w:val="3366FF"/>
          <w:sz w:val="20"/>
          <w:szCs w:val="20"/>
          <w:lang w:eastAsia="el-GR"/>
        </w:rPr>
        <w:t>Training and technical assistance for individual project website and links to UN-Water family platforms, to support targeted knowledge sharing and dialogues.</w:t>
      </w:r>
    </w:p>
    <w:p w14:paraId="34766ABD" w14:textId="77777777" w:rsidR="00EF2438" w:rsidRPr="00F57FB1"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57FB1">
        <w:rPr>
          <w:rFonts w:asciiTheme="majorHAnsi" w:hAnsiTheme="majorHAnsi"/>
          <w:color w:val="3366FF"/>
          <w:sz w:val="20"/>
          <w:szCs w:val="20"/>
          <w:lang w:eastAsia="el-GR"/>
        </w:rPr>
        <w:t>Portfolio visualization tools (utilizing e.g. Google Earth and video), applications and regular dissemination including e-updates.</w:t>
      </w:r>
    </w:p>
    <w:p w14:paraId="3DE99DB7" w14:textId="77777777" w:rsidR="00EF2438" w:rsidRPr="00F57FB1"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57FB1">
        <w:rPr>
          <w:rFonts w:asciiTheme="majorHAnsi" w:hAnsiTheme="majorHAnsi"/>
          <w:color w:val="3366FF"/>
          <w:sz w:val="20"/>
          <w:szCs w:val="20"/>
          <w:lang w:eastAsia="el-GR"/>
        </w:rPr>
        <w:t>Workspaces for specific portfolio subgroups such as COPs, project managers and governments and IWFT.</w:t>
      </w:r>
    </w:p>
    <w:p w14:paraId="46545324" w14:textId="77777777" w:rsidR="00EF2438" w:rsidRPr="00F57FB1" w:rsidRDefault="00EF2438"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57FB1">
        <w:rPr>
          <w:rFonts w:asciiTheme="majorHAnsi" w:hAnsiTheme="majorHAnsi"/>
          <w:color w:val="3366FF"/>
          <w:sz w:val="20"/>
          <w:szCs w:val="20"/>
          <w:lang w:eastAsia="el-GR"/>
        </w:rPr>
        <w:t>A comprehensive searchable catalogue of GEF IW project experiences and results.</w:t>
      </w:r>
    </w:p>
    <w:p w14:paraId="2C0667DE"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0CCB76AF"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57FB1">
        <w:rPr>
          <w:rFonts w:asciiTheme="majorHAnsi" w:hAnsiTheme="majorHAnsi"/>
          <w:color w:val="3366FF"/>
          <w:sz w:val="20"/>
          <w:szCs w:val="20"/>
        </w:rPr>
        <w:t xml:space="preserve">The </w:t>
      </w:r>
      <w:r w:rsidRPr="00F57FB1">
        <w:rPr>
          <w:rFonts w:asciiTheme="majorHAnsi" w:hAnsiTheme="majorHAnsi"/>
          <w:b/>
          <w:color w:val="3366FF"/>
          <w:sz w:val="20"/>
          <w:szCs w:val="20"/>
        </w:rPr>
        <w:t>outcomes</w:t>
      </w:r>
      <w:r w:rsidRPr="00F57FB1">
        <w:rPr>
          <w:rFonts w:asciiTheme="majorHAnsi" w:hAnsiTheme="majorHAnsi"/>
          <w:color w:val="3366FF"/>
          <w:sz w:val="20"/>
          <w:szCs w:val="20"/>
        </w:rPr>
        <w:t xml:space="preserve"> from component 4:</w:t>
      </w:r>
    </w:p>
    <w:p w14:paraId="7494D28A"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20E5D">
        <w:rPr>
          <w:rFonts w:asciiTheme="majorHAnsi" w:hAnsiTheme="majorHAnsi"/>
          <w:color w:val="FF0000"/>
          <w:sz w:val="20"/>
          <w:szCs w:val="20"/>
          <w:lang w:eastAsia="el-GR"/>
        </w:rPr>
        <w:t>8.</w:t>
      </w:r>
      <w:r>
        <w:rPr>
          <w:rFonts w:asciiTheme="majorHAnsi" w:hAnsiTheme="majorHAnsi"/>
          <w:color w:val="3366FF"/>
          <w:sz w:val="20"/>
          <w:szCs w:val="20"/>
          <w:lang w:eastAsia="el-GR"/>
        </w:rPr>
        <w:t xml:space="preserve"> </w:t>
      </w:r>
      <w:r w:rsidRPr="00F57FB1">
        <w:rPr>
          <w:rFonts w:asciiTheme="majorHAnsi" w:hAnsiTheme="majorHAnsi"/>
          <w:color w:val="3366FF"/>
          <w:sz w:val="20"/>
          <w:szCs w:val="20"/>
          <w:lang w:eastAsia="el-GR"/>
        </w:rPr>
        <w:t>Improved web-based and knowledge management and utilisation of the IW Resource center and project communication platforms.</w:t>
      </w:r>
    </w:p>
    <w:p w14:paraId="0C5DF677"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20E5D">
        <w:rPr>
          <w:rFonts w:asciiTheme="majorHAnsi" w:hAnsiTheme="majorHAnsi"/>
          <w:color w:val="FF0000"/>
          <w:sz w:val="20"/>
          <w:szCs w:val="20"/>
          <w:lang w:eastAsia="el-GR"/>
        </w:rPr>
        <w:t>9.</w:t>
      </w:r>
      <w:r>
        <w:rPr>
          <w:rFonts w:asciiTheme="majorHAnsi" w:hAnsiTheme="majorHAnsi"/>
          <w:color w:val="3366FF"/>
          <w:sz w:val="20"/>
          <w:szCs w:val="20"/>
          <w:lang w:eastAsia="el-GR"/>
        </w:rPr>
        <w:t xml:space="preserve"> </w:t>
      </w:r>
      <w:r w:rsidRPr="00F57FB1">
        <w:rPr>
          <w:rFonts w:asciiTheme="majorHAnsi" w:hAnsiTheme="majorHAnsi"/>
          <w:color w:val="3366FF"/>
          <w:sz w:val="20"/>
          <w:szCs w:val="20"/>
          <w:lang w:eastAsia="el-GR"/>
        </w:rPr>
        <w:t>Enhanced visibility and visualization of project activities and results facilitates cooperation and replication.</w:t>
      </w:r>
    </w:p>
    <w:p w14:paraId="0BC4F04D" w14:textId="77777777" w:rsidR="00EF2438" w:rsidRPr="00F57FB1" w:rsidRDefault="00EF2438" w:rsidP="00F84D9A">
      <w:p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lang w:eastAsia="el-GR"/>
        </w:rPr>
      </w:pPr>
      <w:r w:rsidRPr="00F20E5D">
        <w:rPr>
          <w:rFonts w:asciiTheme="majorHAnsi" w:hAnsiTheme="majorHAnsi"/>
          <w:color w:val="FF0000"/>
          <w:sz w:val="20"/>
          <w:szCs w:val="20"/>
          <w:lang w:eastAsia="el-GR"/>
        </w:rPr>
        <w:t>10.</w:t>
      </w:r>
      <w:r>
        <w:rPr>
          <w:rFonts w:asciiTheme="majorHAnsi" w:hAnsiTheme="majorHAnsi"/>
          <w:color w:val="3366FF"/>
          <w:sz w:val="20"/>
          <w:szCs w:val="20"/>
          <w:lang w:eastAsia="el-GR"/>
        </w:rPr>
        <w:t xml:space="preserve"> </w:t>
      </w:r>
      <w:r w:rsidRPr="00F57FB1">
        <w:rPr>
          <w:rFonts w:asciiTheme="majorHAnsi" w:hAnsiTheme="majorHAnsi"/>
          <w:color w:val="3366FF"/>
          <w:sz w:val="20"/>
          <w:szCs w:val="20"/>
          <w:lang w:eastAsia="el-GR"/>
        </w:rPr>
        <w:t>Enhanced stakeholder access to data and results from IW projects.</w:t>
      </w:r>
    </w:p>
    <w:p w14:paraId="1D436EE0" w14:textId="77777777" w:rsidR="00EF2438" w:rsidRDefault="00EF2438" w:rsidP="00F84D9A">
      <w:pPr>
        <w:autoSpaceDE w:val="0"/>
        <w:autoSpaceDN w:val="0"/>
        <w:adjustRightInd w:val="0"/>
        <w:rPr>
          <w:rFonts w:ascii="Calibri" w:hAnsi="Calibri"/>
          <w:sz w:val="20"/>
          <w:szCs w:val="20"/>
        </w:rPr>
      </w:pPr>
    </w:p>
    <w:p w14:paraId="16827857" w14:textId="77777777" w:rsid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Information management, backed by a robust content and a knowledge management platform, forms a key IW:LEARN service that backstops the experience-sharing and capacity development activities the project conducts. UNEP brings to this component and the development of the IW Resource Center a strong understanding of data and information management to support ecosystem management and policy making. UNEP has made significant investments in the realm of data management, science-based networking, early warning and assessment of emerging environmental issues and trends. Moreover UNEP will leverage its programs covering timely, scientifically credible, policy-relevant environmental data and information for decision making and action planning. UNEP will utilize the GEF increment to service the GEF project community and to support knowledge management of the GEF IW portfolio by effectively complementing the IW</w:t>
      </w:r>
      <w:proofErr w:type="gramStart"/>
      <w:r w:rsidRPr="007D6D14">
        <w:rPr>
          <w:rFonts w:asciiTheme="majorHAnsi" w:hAnsiTheme="majorHAnsi"/>
          <w:sz w:val="22"/>
          <w:szCs w:val="22"/>
        </w:rPr>
        <w:t>:LEARN</w:t>
      </w:r>
      <w:proofErr w:type="gramEnd"/>
      <w:r w:rsidRPr="007D6D14">
        <w:rPr>
          <w:rFonts w:asciiTheme="majorHAnsi" w:hAnsiTheme="majorHAnsi"/>
          <w:sz w:val="22"/>
          <w:szCs w:val="22"/>
        </w:rPr>
        <w:t xml:space="preserve"> service line with its knowledge management activities. </w:t>
      </w:r>
    </w:p>
    <w:p w14:paraId="630C2B05" w14:textId="77777777" w:rsidR="009269CE" w:rsidRPr="007D6D14" w:rsidRDefault="009269CE" w:rsidP="00F84D9A">
      <w:pPr>
        <w:spacing w:after="60"/>
        <w:jc w:val="both"/>
        <w:rPr>
          <w:rFonts w:asciiTheme="majorHAnsi" w:hAnsiTheme="majorHAnsi"/>
          <w:sz w:val="22"/>
          <w:szCs w:val="22"/>
        </w:rPr>
      </w:pPr>
    </w:p>
    <w:p w14:paraId="264F6318" w14:textId="67B6B71E" w:rsid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This component will improve information and communication about management practices by the portfolio through enhancement and expansion of Internet-based tools and technology utilized by both GEF IW</w:t>
      </w:r>
      <w:proofErr w:type="gramStart"/>
      <w:r w:rsidRPr="007D6D14">
        <w:rPr>
          <w:rFonts w:asciiTheme="majorHAnsi" w:hAnsiTheme="majorHAnsi"/>
          <w:sz w:val="22"/>
          <w:szCs w:val="22"/>
        </w:rPr>
        <w:t>:LEARN</w:t>
      </w:r>
      <w:proofErr w:type="gramEnd"/>
      <w:r w:rsidRPr="007D6D14">
        <w:rPr>
          <w:rFonts w:asciiTheme="majorHAnsi" w:hAnsiTheme="majorHAnsi"/>
          <w:sz w:val="22"/>
          <w:szCs w:val="22"/>
        </w:rPr>
        <w:t xml:space="preserve"> and the GEF IW project portfolio (i.e. the existing Website Toolkit) as well as good practices from UNEP’s portfolio on ecosystem-based management – building upon its programmatic basis and experience in ecosystem-based ground-, surface and coastal water management and the Regional Seas Programme. The current content management system will be improved with a more interactive functionality consistent with the growth of mainstream Internet-based applications. The improvements will facilitate the development of platforms, hosted at iwlearn.net, that support the communities of practice established by other components. The improvements will also enable the platform to serve an imp</w:t>
      </w:r>
      <w:r w:rsidR="009269CE">
        <w:rPr>
          <w:rFonts w:asciiTheme="majorHAnsi" w:hAnsiTheme="majorHAnsi"/>
          <w:sz w:val="22"/>
          <w:szCs w:val="22"/>
        </w:rPr>
        <w:t>ortant communications function.</w:t>
      </w:r>
    </w:p>
    <w:p w14:paraId="4BF095FC" w14:textId="77777777" w:rsidR="009269CE" w:rsidRPr="007D6D14" w:rsidRDefault="009269CE" w:rsidP="00F84D9A">
      <w:pPr>
        <w:spacing w:after="60"/>
        <w:jc w:val="both"/>
        <w:rPr>
          <w:rFonts w:asciiTheme="majorHAnsi" w:hAnsiTheme="majorHAnsi"/>
          <w:sz w:val="22"/>
          <w:szCs w:val="22"/>
        </w:rPr>
      </w:pPr>
    </w:p>
    <w:p w14:paraId="4E99601E" w14:textId="77777777" w:rsid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UNEP will deliver training workshops applying cost effective technologies to improve information exchange and learning – effectively catalysing the capacity of projects – and develop an online guide to bring projects on board with the new technology. This will ultimately increase dialogue among projects. UNU-INWEH has developed a complete Knowledge Management System within IW:Science for the management of scientific knowledge from the IW portfolio. Following the preparation of a design concept for knowledge management, database and interactive tool technologies, or Learning Network, were developed for the user to specifically meet the knowledge management needs of the IW portfolio. Consequently, work completed as part of the IW</w:t>
      </w:r>
      <w:proofErr w:type="gramStart"/>
      <w:r w:rsidRPr="007D6D14">
        <w:rPr>
          <w:rFonts w:asciiTheme="majorHAnsi" w:hAnsiTheme="majorHAnsi"/>
          <w:sz w:val="22"/>
          <w:szCs w:val="22"/>
        </w:rPr>
        <w:t>:Science</w:t>
      </w:r>
      <w:proofErr w:type="gramEnd"/>
      <w:r w:rsidRPr="007D6D14">
        <w:rPr>
          <w:rFonts w:asciiTheme="majorHAnsi" w:hAnsiTheme="majorHAnsi"/>
          <w:sz w:val="22"/>
          <w:szCs w:val="22"/>
        </w:rPr>
        <w:t xml:space="preserve"> project will be taken up as a base on which to expand for KM in IW:LEARN 3. </w:t>
      </w:r>
    </w:p>
    <w:p w14:paraId="679BDA2E" w14:textId="77777777" w:rsidR="009269CE" w:rsidRPr="007D6D14" w:rsidRDefault="009269CE" w:rsidP="00F84D9A">
      <w:pPr>
        <w:spacing w:after="60"/>
        <w:jc w:val="both"/>
        <w:rPr>
          <w:rFonts w:asciiTheme="majorHAnsi" w:hAnsiTheme="majorHAnsi"/>
          <w:sz w:val="22"/>
          <w:szCs w:val="22"/>
        </w:rPr>
      </w:pPr>
    </w:p>
    <w:p w14:paraId="6D0934EA" w14:textId="1FC925C3" w:rsidR="007D6D14" w:rsidRP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 xml:space="preserve">Moreover, the component will make accessible and visible the results and achievements of 20 years of GEF IW projects by establishing an online user-friendly archiving [system] to systematically preserve IW project data and keep them available for future projects, and develop a portfolio visualization tool to ease the discovery of project activities in given spatial areas (using, for example, Google Earth or Microsoft Virtual Earth). A tool for visualizing the portfolio will be developed as a decision-support system by linking portfolio data to other information. Visualization will also include support for project multimedia capturing results whenever available. The component will also, produce a monthly bulletin based on project updates. Finally, a long standing need to link the efforts of the GEF IW portfolio with efforts throughout the UN-Water family (other portfolios) will be addressed through the development of syndication links, i.e. the automatic searching and sharing of content across platforms (such as UN WaterWiki) throughout the global IW community. </w:t>
      </w:r>
    </w:p>
    <w:p w14:paraId="2E9A3F17" w14:textId="77777777" w:rsidR="00EF2438" w:rsidRDefault="00EF2438" w:rsidP="00F84D9A">
      <w:pPr>
        <w:autoSpaceDE w:val="0"/>
        <w:autoSpaceDN w:val="0"/>
        <w:adjustRightInd w:val="0"/>
        <w:rPr>
          <w:rFonts w:ascii="Calibri" w:hAnsi="Calibri"/>
          <w:sz w:val="20"/>
          <w:szCs w:val="20"/>
        </w:rPr>
      </w:pPr>
    </w:p>
    <w:p w14:paraId="6E732AB2" w14:textId="77777777" w:rsidR="00EF2438" w:rsidRPr="00536540" w:rsidRDefault="00EF2438" w:rsidP="00F84D9A">
      <w:pPr>
        <w:autoSpaceDE w:val="0"/>
        <w:autoSpaceDN w:val="0"/>
        <w:adjustRightInd w:val="0"/>
        <w:rPr>
          <w:rFonts w:ascii="Calibri" w:hAnsi="Calibri"/>
          <w:b/>
          <w:color w:val="3366FF"/>
          <w:sz w:val="20"/>
          <w:szCs w:val="20"/>
        </w:rPr>
      </w:pPr>
      <w:r w:rsidRPr="00536540">
        <w:rPr>
          <w:rFonts w:ascii="Calibri" w:hAnsi="Calibri"/>
          <w:b/>
          <w:color w:val="3366FF"/>
          <w:sz w:val="20"/>
          <w:szCs w:val="20"/>
        </w:rPr>
        <w:t xml:space="preserve">COMPONENT 5 </w:t>
      </w:r>
      <w:r w:rsidRPr="00D06D0A">
        <w:rPr>
          <w:rFonts w:ascii="Calibri" w:hAnsi="Calibri"/>
          <w:color w:val="3366FF"/>
          <w:sz w:val="20"/>
          <w:szCs w:val="20"/>
        </w:rPr>
        <w:t>Programmatic Management Tools and Innovative Approaches related to Climate / Water and Private Sector Participation to Enhance GEF IW Portfolio Project Performance (sub-components a-e)</w:t>
      </w:r>
    </w:p>
    <w:p w14:paraId="5339EA98" w14:textId="77777777" w:rsidR="00EF2438" w:rsidRDefault="00EF2438" w:rsidP="00F84D9A">
      <w:pPr>
        <w:autoSpaceDE w:val="0"/>
        <w:autoSpaceDN w:val="0"/>
        <w:adjustRightInd w:val="0"/>
        <w:rPr>
          <w:rFonts w:ascii="Calibri" w:hAnsi="Calibri"/>
          <w:sz w:val="20"/>
          <w:szCs w:val="20"/>
        </w:rPr>
      </w:pPr>
    </w:p>
    <w:p w14:paraId="6FE9B3D7"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Sub-Component 5a: TDA- SAP Methodology and Course</w:t>
      </w:r>
    </w:p>
    <w:p w14:paraId="73A52B26"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22754E50"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output</w:t>
      </w:r>
      <w:r>
        <w:rPr>
          <w:rFonts w:asciiTheme="majorHAnsi" w:hAnsiTheme="majorHAnsi"/>
          <w:b/>
          <w:color w:val="3366FF"/>
          <w:sz w:val="20"/>
          <w:szCs w:val="20"/>
        </w:rPr>
        <w:t xml:space="preserve"> is</w:t>
      </w:r>
      <w:r w:rsidRPr="00D755E1">
        <w:rPr>
          <w:rFonts w:asciiTheme="majorHAnsi" w:hAnsiTheme="majorHAnsi"/>
          <w:color w:val="3366FF"/>
          <w:sz w:val="20"/>
          <w:szCs w:val="20"/>
        </w:rPr>
        <w:t>:</w:t>
      </w:r>
      <w:r>
        <w:rPr>
          <w:rFonts w:asciiTheme="majorHAnsi" w:hAnsiTheme="majorHAnsi"/>
          <w:color w:val="3366FF"/>
          <w:sz w:val="20"/>
          <w:szCs w:val="20"/>
        </w:rPr>
        <w:t xml:space="preserve"> </w:t>
      </w:r>
      <w:r w:rsidRPr="00D755E1">
        <w:rPr>
          <w:rFonts w:asciiTheme="majorHAnsi" w:hAnsiTheme="majorHAnsi"/>
          <w:color w:val="3366FF"/>
          <w:sz w:val="20"/>
          <w:szCs w:val="20"/>
        </w:rPr>
        <w:t>A revised, and GEF IWTF endorsed, TDA/SAP on-line training course that incorporates emerging issues of gender mainstreaming, financial sustainability, and supports new approaches to adaptive management for climatic variability &amp; change</w:t>
      </w:r>
    </w:p>
    <w:p w14:paraId="094A1022"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79599D3F"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3717BC">
        <w:rPr>
          <w:rFonts w:asciiTheme="majorHAnsi" w:hAnsiTheme="majorHAnsi"/>
          <w:color w:val="FF0000"/>
          <w:sz w:val="20"/>
          <w:szCs w:val="20"/>
        </w:rPr>
        <w:t>11.</w:t>
      </w:r>
      <w:r>
        <w:rPr>
          <w:rFonts w:asciiTheme="majorHAnsi" w:hAnsiTheme="majorHAnsi"/>
          <w:color w:val="3366FF"/>
          <w:sz w:val="20"/>
          <w:szCs w:val="20"/>
        </w:rPr>
        <w:t xml:space="preserve"> </w:t>
      </w:r>
      <w:r w:rsidRPr="00D755E1">
        <w:rPr>
          <w:rFonts w:asciiTheme="majorHAnsi" w:hAnsiTheme="majorHAnsi"/>
          <w:color w:val="3366FF"/>
          <w:sz w:val="20"/>
          <w:szCs w:val="20"/>
        </w:rPr>
        <w:t xml:space="preserve">The </w:t>
      </w:r>
      <w:r w:rsidRPr="00D755E1">
        <w:rPr>
          <w:rFonts w:asciiTheme="majorHAnsi" w:hAnsiTheme="majorHAnsi"/>
          <w:b/>
          <w:color w:val="3366FF"/>
          <w:sz w:val="20"/>
          <w:szCs w:val="20"/>
        </w:rPr>
        <w:t>outcome</w:t>
      </w:r>
      <w:r w:rsidRPr="00D755E1">
        <w:rPr>
          <w:rFonts w:asciiTheme="majorHAnsi" w:hAnsiTheme="majorHAnsi"/>
          <w:color w:val="3366FF"/>
          <w:sz w:val="20"/>
          <w:szCs w:val="20"/>
        </w:rPr>
        <w:t xml:space="preserve"> </w:t>
      </w:r>
      <w:r>
        <w:rPr>
          <w:rFonts w:asciiTheme="majorHAnsi" w:hAnsiTheme="majorHAnsi"/>
          <w:color w:val="3366FF"/>
          <w:sz w:val="20"/>
          <w:szCs w:val="20"/>
        </w:rPr>
        <w:t>is</w:t>
      </w:r>
      <w:r w:rsidRPr="00D755E1">
        <w:rPr>
          <w:rFonts w:asciiTheme="majorHAnsi" w:hAnsiTheme="majorHAnsi"/>
          <w:color w:val="3366FF"/>
          <w:sz w:val="20"/>
          <w:szCs w:val="20"/>
        </w:rPr>
        <w:t>:</w:t>
      </w:r>
      <w:r>
        <w:rPr>
          <w:rFonts w:asciiTheme="majorHAnsi" w:hAnsiTheme="majorHAnsi"/>
          <w:color w:val="3366FF"/>
          <w:sz w:val="20"/>
          <w:szCs w:val="20"/>
        </w:rPr>
        <w:t xml:space="preserve"> </w:t>
      </w:r>
      <w:r w:rsidRPr="00D755E1">
        <w:rPr>
          <w:rFonts w:asciiTheme="majorHAnsi" w:hAnsiTheme="majorHAnsi"/>
          <w:color w:val="3366FF"/>
          <w:sz w:val="20"/>
          <w:szCs w:val="20"/>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7DF2833A" w14:textId="77777777" w:rsidR="00EF2438" w:rsidRPr="007D6D14" w:rsidRDefault="00EF2438" w:rsidP="00F84D9A">
      <w:pPr>
        <w:autoSpaceDE w:val="0"/>
        <w:autoSpaceDN w:val="0"/>
        <w:adjustRightInd w:val="0"/>
        <w:rPr>
          <w:rFonts w:asciiTheme="majorHAnsi" w:hAnsiTheme="majorHAnsi"/>
          <w:color w:val="3366FF"/>
          <w:sz w:val="22"/>
          <w:szCs w:val="22"/>
        </w:rPr>
      </w:pPr>
    </w:p>
    <w:p w14:paraId="2344E4D3" w14:textId="3DC009CF" w:rsidR="007D6D14" w:rsidRPr="007D6D14" w:rsidRDefault="00D13B06" w:rsidP="00F84D9A">
      <w:pPr>
        <w:spacing w:after="60"/>
        <w:jc w:val="both"/>
        <w:rPr>
          <w:rFonts w:asciiTheme="majorHAnsi" w:hAnsiTheme="majorHAnsi"/>
          <w:sz w:val="22"/>
          <w:szCs w:val="22"/>
        </w:rPr>
      </w:pPr>
      <w:r>
        <w:rPr>
          <w:rFonts w:asciiTheme="majorHAnsi" w:hAnsiTheme="majorHAnsi"/>
          <w:sz w:val="22"/>
          <w:szCs w:val="22"/>
        </w:rPr>
        <w:t>The Transboundary Diagnostic A</w:t>
      </w:r>
      <w:r w:rsidR="007D6D14" w:rsidRPr="007D6D14">
        <w:rPr>
          <w:rFonts w:asciiTheme="majorHAnsi" w:hAnsiTheme="majorHAnsi"/>
          <w:sz w:val="22"/>
          <w:szCs w:val="22"/>
        </w:rPr>
        <w:t xml:space="preserve">nalysis/Strategic Action Program (TDA/SAP) approach has proven to be a major element of GEF International Waters Projects over the last 15 years. The TDA/SAP process is seen as a major element of an adaptive management strategy that sets long-term goals based upon environmental status targets and indicators that are achieved through a stepwise process of interventions guided by shorter-term stress reduction and process targets and indicators. </w:t>
      </w:r>
    </w:p>
    <w:p w14:paraId="250B2E13" w14:textId="58D51D90" w:rsidR="007D6D14" w:rsidRP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This sub-component is aimed at updating the TDA-SAP approach and the training material, including addressing issues such as</w:t>
      </w:r>
      <w:r w:rsidR="00060C35">
        <w:rPr>
          <w:rFonts w:asciiTheme="majorHAnsi" w:hAnsiTheme="majorHAnsi"/>
          <w:sz w:val="22"/>
          <w:szCs w:val="22"/>
        </w:rPr>
        <w:t xml:space="preserve"> water body specificity</w:t>
      </w:r>
      <w:r w:rsidRPr="007D6D14">
        <w:rPr>
          <w:rFonts w:asciiTheme="majorHAnsi" w:hAnsiTheme="majorHAnsi"/>
          <w:sz w:val="22"/>
          <w:szCs w:val="22"/>
        </w:rPr>
        <w:t xml:space="preserve"> gender, climatic variability &amp; change and financial sustainability. </w:t>
      </w:r>
    </w:p>
    <w:p w14:paraId="65CAEA87" w14:textId="77777777" w:rsidR="00EF2438" w:rsidRPr="00D755E1" w:rsidRDefault="00EF2438" w:rsidP="00F84D9A">
      <w:pPr>
        <w:autoSpaceDE w:val="0"/>
        <w:autoSpaceDN w:val="0"/>
        <w:adjustRightInd w:val="0"/>
        <w:rPr>
          <w:rFonts w:asciiTheme="majorHAnsi" w:hAnsiTheme="majorHAnsi"/>
          <w:color w:val="3366FF"/>
          <w:sz w:val="20"/>
          <w:szCs w:val="20"/>
        </w:rPr>
      </w:pPr>
    </w:p>
    <w:p w14:paraId="3494317C"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Sub-Component 5b: Focal Area/ Project Manager Manual and Course</w:t>
      </w:r>
    </w:p>
    <w:p w14:paraId="343B1FDD"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5B423581"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outputs</w:t>
      </w:r>
      <w:r w:rsidRPr="00D755E1">
        <w:rPr>
          <w:rFonts w:asciiTheme="majorHAnsi" w:hAnsiTheme="majorHAnsi"/>
          <w:color w:val="3366FF"/>
          <w:sz w:val="20"/>
          <w:szCs w:val="20"/>
        </w:rPr>
        <w:t xml:space="preserve"> are:</w:t>
      </w:r>
    </w:p>
    <w:p w14:paraId="160B7600"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Leadership training for IW project managers, based on an IW Focal Area on-line manual and capacity building to support skills required including understanding RBM and train in utilisation of GEF IW tracking tool, including:</w:t>
      </w:r>
    </w:p>
    <w:p w14:paraId="50BA9333" w14:textId="77777777" w:rsidR="00EF2438" w:rsidRPr="00D755E1" w:rsidRDefault="00EF2438" w:rsidP="00C124C9">
      <w:pPr>
        <w:numPr>
          <w:ilvl w:val="0"/>
          <w:numId w:val="3"/>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rPr>
      </w:pPr>
      <w:r w:rsidRPr="00D755E1">
        <w:rPr>
          <w:rFonts w:asciiTheme="majorHAnsi" w:hAnsiTheme="majorHAnsi"/>
          <w:color w:val="3366FF"/>
          <w:sz w:val="20"/>
          <w:szCs w:val="20"/>
        </w:rPr>
        <w:t>Finalised concept utilised in DVDs, web and printed</w:t>
      </w:r>
    </w:p>
    <w:p w14:paraId="20ADE405" w14:textId="77777777" w:rsidR="00EF2438" w:rsidRPr="00D755E1" w:rsidRDefault="00EF2438" w:rsidP="00C124C9">
      <w:pPr>
        <w:numPr>
          <w:ilvl w:val="0"/>
          <w:numId w:val="3"/>
        </w:numPr>
        <w:pBdr>
          <w:top w:val="single" w:sz="4" w:space="1" w:color="auto"/>
          <w:left w:val="single" w:sz="4" w:space="4" w:color="auto"/>
          <w:bottom w:val="single" w:sz="4" w:space="1" w:color="auto"/>
          <w:right w:val="single" w:sz="4" w:space="4" w:color="auto"/>
        </w:pBdr>
        <w:shd w:val="clear" w:color="auto" w:fill="EEECE1"/>
        <w:spacing w:after="60"/>
        <w:jc w:val="both"/>
        <w:rPr>
          <w:rFonts w:asciiTheme="majorHAnsi" w:hAnsiTheme="majorHAnsi"/>
          <w:color w:val="3366FF"/>
          <w:sz w:val="20"/>
          <w:szCs w:val="20"/>
        </w:rPr>
      </w:pPr>
      <w:r w:rsidRPr="00D755E1">
        <w:rPr>
          <w:rFonts w:asciiTheme="majorHAnsi" w:hAnsiTheme="majorHAnsi"/>
          <w:color w:val="3366FF"/>
          <w:sz w:val="20"/>
          <w:szCs w:val="20"/>
        </w:rPr>
        <w:t>Training course material demonstrated at IWC6</w:t>
      </w:r>
    </w:p>
    <w:p w14:paraId="4A115B26"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16E297A6"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3717BC">
        <w:rPr>
          <w:rFonts w:asciiTheme="majorHAnsi" w:hAnsiTheme="majorHAnsi"/>
          <w:color w:val="FF0000"/>
          <w:sz w:val="20"/>
          <w:szCs w:val="20"/>
        </w:rPr>
        <w:t>11.</w:t>
      </w:r>
      <w:r>
        <w:rPr>
          <w:rFonts w:asciiTheme="majorHAnsi" w:hAnsiTheme="majorHAnsi"/>
          <w:color w:val="3366FF"/>
          <w:sz w:val="20"/>
          <w:szCs w:val="20"/>
        </w:rPr>
        <w:t xml:space="preserve"> </w:t>
      </w: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outcomes</w:t>
      </w:r>
      <w:r w:rsidRPr="00D755E1">
        <w:rPr>
          <w:rFonts w:asciiTheme="majorHAnsi" w:hAnsiTheme="majorHAnsi"/>
          <w:color w:val="3366FF"/>
          <w:sz w:val="20"/>
          <w:szCs w:val="20"/>
        </w:rPr>
        <w:t xml:space="preserve"> are:</w:t>
      </w:r>
      <w:r>
        <w:rPr>
          <w:rFonts w:asciiTheme="majorHAnsi" w:hAnsiTheme="majorHAnsi"/>
          <w:color w:val="3366FF"/>
          <w:sz w:val="20"/>
          <w:szCs w:val="20"/>
        </w:rPr>
        <w:t xml:space="preserve"> </w:t>
      </w:r>
      <w:r w:rsidRPr="00D755E1">
        <w:rPr>
          <w:rFonts w:asciiTheme="majorHAnsi" w:hAnsiTheme="majorHAnsi"/>
          <w:color w:val="3366FF"/>
          <w:sz w:val="20"/>
          <w:szCs w:val="20"/>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0DE082CA" w14:textId="77777777" w:rsidR="00EF2438" w:rsidRPr="00D755E1" w:rsidRDefault="00EF2438" w:rsidP="00F84D9A">
      <w:pPr>
        <w:autoSpaceDE w:val="0"/>
        <w:autoSpaceDN w:val="0"/>
        <w:adjustRightInd w:val="0"/>
        <w:rPr>
          <w:rFonts w:asciiTheme="majorHAnsi" w:hAnsiTheme="majorHAnsi"/>
          <w:color w:val="3366FF"/>
          <w:sz w:val="20"/>
          <w:szCs w:val="20"/>
        </w:rPr>
      </w:pPr>
    </w:p>
    <w:p w14:paraId="19421C07" w14:textId="46EC7D05" w:rsidR="007D6D14" w:rsidRP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The objective of this sub-component is the production of GEF IW Focal Area Manual for Project Managers. It is expected that this manual will assist in delivering:</w:t>
      </w:r>
      <w:r w:rsidR="00BA4696">
        <w:rPr>
          <w:rFonts w:asciiTheme="majorHAnsi" w:hAnsiTheme="majorHAnsi"/>
          <w:sz w:val="22"/>
          <w:szCs w:val="22"/>
        </w:rPr>
        <w:t xml:space="preserve"> </w:t>
      </w:r>
      <w:r w:rsidRPr="007D6D14">
        <w:rPr>
          <w:rFonts w:asciiTheme="majorHAnsi" w:hAnsiTheme="majorHAnsi"/>
          <w:sz w:val="22"/>
          <w:szCs w:val="22"/>
        </w:rPr>
        <w:t>Enhanced IW management capacity among IW project managers and regional consultants;</w:t>
      </w:r>
      <w:r w:rsidR="00BA4696">
        <w:rPr>
          <w:rFonts w:asciiTheme="majorHAnsi" w:hAnsiTheme="majorHAnsi"/>
          <w:sz w:val="22"/>
          <w:szCs w:val="22"/>
        </w:rPr>
        <w:t xml:space="preserve"> b</w:t>
      </w:r>
      <w:r w:rsidRPr="007D6D14">
        <w:rPr>
          <w:rFonts w:asciiTheme="majorHAnsi" w:hAnsiTheme="majorHAnsi"/>
          <w:sz w:val="22"/>
          <w:szCs w:val="22"/>
        </w:rPr>
        <w:t>etter managed and more cost effective IW projects;</w:t>
      </w:r>
      <w:r w:rsidR="00BA4696">
        <w:rPr>
          <w:rFonts w:asciiTheme="majorHAnsi" w:hAnsiTheme="majorHAnsi"/>
          <w:sz w:val="22"/>
          <w:szCs w:val="22"/>
        </w:rPr>
        <w:t xml:space="preserve"> i</w:t>
      </w:r>
      <w:r w:rsidRPr="007D6D14">
        <w:rPr>
          <w:rFonts w:asciiTheme="majorHAnsi" w:hAnsiTheme="majorHAnsi"/>
          <w:sz w:val="22"/>
          <w:szCs w:val="22"/>
        </w:rPr>
        <w:t xml:space="preserve">mproved access to, and sharing of knowledge and experience for all </w:t>
      </w:r>
      <w:r w:rsidR="00BA4696">
        <w:rPr>
          <w:rFonts w:asciiTheme="majorHAnsi" w:hAnsiTheme="majorHAnsi"/>
          <w:sz w:val="22"/>
          <w:szCs w:val="22"/>
        </w:rPr>
        <w:t>actors involved in IW projects; and i</w:t>
      </w:r>
      <w:r w:rsidRPr="007D6D14">
        <w:rPr>
          <w:rFonts w:asciiTheme="majorHAnsi" w:hAnsiTheme="majorHAnsi"/>
          <w:sz w:val="22"/>
          <w:szCs w:val="22"/>
        </w:rPr>
        <w:t>mproved project implementation through greater country understanding of the transboundary problems, their inter-connectivity, their causes and their possible solutions.</w:t>
      </w:r>
    </w:p>
    <w:p w14:paraId="118B4BA6" w14:textId="77777777" w:rsidR="00EF2438" w:rsidRDefault="00EF2438" w:rsidP="00F84D9A">
      <w:pPr>
        <w:rPr>
          <w:rFonts w:asciiTheme="majorHAnsi" w:hAnsiTheme="majorHAnsi"/>
          <w:b/>
          <w:color w:val="3366FF"/>
          <w:sz w:val="20"/>
          <w:szCs w:val="20"/>
        </w:rPr>
      </w:pPr>
    </w:p>
    <w:p w14:paraId="27E1D794"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sz w:val="20"/>
          <w:szCs w:val="20"/>
        </w:rPr>
      </w:pPr>
      <w:r w:rsidRPr="00D755E1">
        <w:rPr>
          <w:rFonts w:asciiTheme="majorHAnsi" w:hAnsiTheme="majorHAnsi"/>
          <w:b/>
          <w:color w:val="3366FF"/>
          <w:sz w:val="20"/>
          <w:szCs w:val="20"/>
        </w:rPr>
        <w:t>Sub-component 5c: Index-Insurance Pilot</w:t>
      </w:r>
    </w:p>
    <w:p w14:paraId="1E180C0E"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1B932CE9"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output</w:t>
      </w:r>
      <w:r>
        <w:rPr>
          <w:rFonts w:asciiTheme="majorHAnsi" w:hAnsiTheme="majorHAnsi"/>
          <w:b/>
          <w:color w:val="3366FF"/>
          <w:sz w:val="20"/>
          <w:szCs w:val="20"/>
        </w:rPr>
        <w:t xml:space="preserve">s </w:t>
      </w:r>
      <w:r w:rsidRPr="00D755E1">
        <w:rPr>
          <w:rFonts w:asciiTheme="majorHAnsi" w:hAnsiTheme="majorHAnsi"/>
          <w:color w:val="3366FF"/>
          <w:sz w:val="20"/>
          <w:szCs w:val="20"/>
        </w:rPr>
        <w:t>are:</w:t>
      </w:r>
      <w:r>
        <w:rPr>
          <w:rFonts w:asciiTheme="majorHAnsi" w:hAnsiTheme="majorHAnsi"/>
          <w:color w:val="3366FF"/>
          <w:sz w:val="20"/>
          <w:szCs w:val="20"/>
        </w:rPr>
        <w:t xml:space="preserve"> </w:t>
      </w:r>
      <w:r w:rsidRPr="00D755E1">
        <w:rPr>
          <w:rFonts w:asciiTheme="majorHAnsi" w:hAnsiTheme="majorHAnsi"/>
          <w:color w:val="3366FF"/>
          <w:sz w:val="20"/>
          <w:szCs w:val="20"/>
        </w:rPr>
        <w:t>Testing of 2-3 risk insurance mechanisms and other economic instruments on the basis of vetted climate risk methodology</w:t>
      </w:r>
    </w:p>
    <w:p w14:paraId="782EA67B"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30B5B399"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3717BC">
        <w:rPr>
          <w:rFonts w:asciiTheme="majorHAnsi" w:hAnsiTheme="majorHAnsi"/>
          <w:color w:val="FF0000"/>
          <w:sz w:val="20"/>
          <w:szCs w:val="20"/>
        </w:rPr>
        <w:t>11.</w:t>
      </w:r>
      <w:r>
        <w:rPr>
          <w:rFonts w:asciiTheme="majorHAnsi" w:hAnsiTheme="majorHAnsi"/>
          <w:color w:val="3366FF"/>
          <w:sz w:val="20"/>
          <w:szCs w:val="20"/>
        </w:rPr>
        <w:t xml:space="preserve"> </w:t>
      </w: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outcomes</w:t>
      </w:r>
      <w:r w:rsidRPr="00D755E1">
        <w:rPr>
          <w:rFonts w:asciiTheme="majorHAnsi" w:hAnsiTheme="majorHAnsi"/>
          <w:color w:val="3366FF"/>
          <w:sz w:val="20"/>
          <w:szCs w:val="20"/>
        </w:rPr>
        <w:t xml:space="preserve"> are:</w:t>
      </w:r>
      <w:r>
        <w:rPr>
          <w:rFonts w:asciiTheme="majorHAnsi" w:hAnsiTheme="majorHAnsi"/>
          <w:color w:val="3366FF"/>
          <w:sz w:val="20"/>
          <w:szCs w:val="20"/>
        </w:rPr>
        <w:t xml:space="preserve">  </w:t>
      </w:r>
      <w:r w:rsidRPr="00D755E1">
        <w:rPr>
          <w:rFonts w:asciiTheme="majorHAnsi" w:hAnsiTheme="majorHAnsi"/>
          <w:color w:val="3366FF"/>
          <w:sz w:val="20"/>
          <w:szCs w:val="20"/>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45B7B23F" w14:textId="77777777" w:rsidR="00EF2438" w:rsidRPr="00D755E1" w:rsidRDefault="00EF2438" w:rsidP="00F84D9A">
      <w:pPr>
        <w:autoSpaceDE w:val="0"/>
        <w:autoSpaceDN w:val="0"/>
        <w:adjustRightInd w:val="0"/>
        <w:rPr>
          <w:rFonts w:asciiTheme="majorHAnsi" w:hAnsiTheme="majorHAnsi"/>
          <w:color w:val="3366FF"/>
          <w:sz w:val="20"/>
          <w:szCs w:val="20"/>
        </w:rPr>
      </w:pPr>
    </w:p>
    <w:p w14:paraId="1801A824" w14:textId="387843D3" w:rsidR="007D6D14" w:rsidRP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 xml:space="preserve">This sub-component is specifically focused on scoping risk financing options, in particular on index insurance, designed to improve the lives and livelihoods of populations vulnerable to flood risks in transboundary river basins. Transboundary approaches to water management can enhance economic development and poverty reduction, and are integral to water </w:t>
      </w:r>
      <w:r w:rsidR="003A2A6A" w:rsidRPr="007D6D14">
        <w:rPr>
          <w:rFonts w:asciiTheme="majorHAnsi" w:hAnsiTheme="majorHAnsi"/>
          <w:sz w:val="22"/>
          <w:szCs w:val="22"/>
        </w:rPr>
        <w:t>security that</w:t>
      </w:r>
      <w:r w:rsidRPr="007D6D14">
        <w:rPr>
          <w:rFonts w:asciiTheme="majorHAnsi" w:hAnsiTheme="majorHAnsi"/>
          <w:sz w:val="22"/>
          <w:szCs w:val="22"/>
        </w:rPr>
        <w:t xml:space="preserve"> is at the heart of many of the Millennium Development Goals (MDGs).  This project represents a unique opportunity for innovation, as risk financing currently exists at the national or sub-national scale, but not at the transboundary or international river basin scale.</w:t>
      </w:r>
    </w:p>
    <w:p w14:paraId="26F6D779" w14:textId="77777777" w:rsidR="00EF2438" w:rsidRDefault="00EF2438" w:rsidP="00F84D9A">
      <w:pPr>
        <w:rPr>
          <w:rFonts w:asciiTheme="majorHAnsi" w:hAnsiTheme="majorHAnsi"/>
          <w:b/>
          <w:color w:val="3366FF"/>
          <w:sz w:val="20"/>
          <w:szCs w:val="20"/>
          <w:lang w:val="fr-FR"/>
        </w:rPr>
      </w:pPr>
    </w:p>
    <w:p w14:paraId="66B4F620"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b/>
          <w:color w:val="3366FF"/>
          <w:sz w:val="20"/>
          <w:szCs w:val="20"/>
        </w:rPr>
      </w:pPr>
      <w:r w:rsidRPr="00D755E1">
        <w:rPr>
          <w:rFonts w:asciiTheme="majorHAnsi" w:hAnsiTheme="majorHAnsi"/>
          <w:b/>
          <w:color w:val="3366FF"/>
          <w:sz w:val="20"/>
          <w:szCs w:val="20"/>
          <w:lang w:val="fr-FR"/>
        </w:rPr>
        <w:t>Sub-component 5d: Private Sector Engagement</w:t>
      </w:r>
    </w:p>
    <w:p w14:paraId="47531A2B"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5A1FB6B7"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outputs</w:t>
      </w:r>
      <w:r w:rsidRPr="00D755E1">
        <w:rPr>
          <w:rFonts w:asciiTheme="majorHAnsi" w:hAnsiTheme="majorHAnsi"/>
          <w:color w:val="3366FF"/>
          <w:sz w:val="20"/>
          <w:szCs w:val="20"/>
        </w:rPr>
        <w:t xml:space="preserve"> are:</w:t>
      </w:r>
      <w:r>
        <w:rPr>
          <w:rFonts w:asciiTheme="majorHAnsi" w:hAnsiTheme="majorHAnsi"/>
          <w:color w:val="3366FF"/>
          <w:sz w:val="20"/>
          <w:szCs w:val="20"/>
        </w:rPr>
        <w:t xml:space="preserve"> </w:t>
      </w:r>
      <w:r w:rsidRPr="00D755E1">
        <w:rPr>
          <w:rFonts w:asciiTheme="majorHAnsi" w:hAnsiTheme="majorHAnsi"/>
          <w:color w:val="3366FF"/>
          <w:sz w:val="20"/>
          <w:szCs w:val="20"/>
        </w:rPr>
        <w:t>GEF IW and other experiences with public-private partnerships codified and demonstrated in 2-3 new projects.</w:t>
      </w:r>
    </w:p>
    <w:p w14:paraId="0DB1752F"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6BE9325C"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F20E5D">
        <w:rPr>
          <w:rFonts w:asciiTheme="majorHAnsi" w:hAnsiTheme="majorHAnsi"/>
          <w:color w:val="FF0000"/>
          <w:sz w:val="20"/>
          <w:szCs w:val="20"/>
        </w:rPr>
        <w:t>12.</w:t>
      </w:r>
      <w:r>
        <w:rPr>
          <w:rFonts w:asciiTheme="majorHAnsi" w:hAnsiTheme="majorHAnsi"/>
          <w:color w:val="3366FF"/>
          <w:sz w:val="20"/>
          <w:szCs w:val="20"/>
        </w:rPr>
        <w:t xml:space="preserve"> </w:t>
      </w: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outcomes</w:t>
      </w:r>
      <w:r w:rsidRPr="00D755E1">
        <w:rPr>
          <w:rFonts w:asciiTheme="majorHAnsi" w:hAnsiTheme="majorHAnsi"/>
          <w:color w:val="3366FF"/>
          <w:sz w:val="20"/>
          <w:szCs w:val="20"/>
        </w:rPr>
        <w:t xml:space="preserve"> are:</w:t>
      </w:r>
      <w:r>
        <w:rPr>
          <w:rFonts w:asciiTheme="majorHAnsi" w:hAnsiTheme="majorHAnsi"/>
          <w:color w:val="3366FF"/>
          <w:sz w:val="20"/>
          <w:szCs w:val="20"/>
        </w:rPr>
        <w:t xml:space="preserve"> </w:t>
      </w:r>
      <w:r w:rsidRPr="00D755E1">
        <w:rPr>
          <w:rFonts w:asciiTheme="majorHAnsi" w:hAnsiTheme="majorHAnsi"/>
          <w:color w:val="3366FF"/>
          <w:sz w:val="20"/>
          <w:szCs w:val="20"/>
        </w:rPr>
        <w:t>Public-private partnerships promoted and facilitate sustainability of GEF IW interventions</w:t>
      </w:r>
    </w:p>
    <w:p w14:paraId="79850427" w14:textId="77777777" w:rsidR="00BA4696" w:rsidRDefault="00BA4696" w:rsidP="00F84D9A">
      <w:pPr>
        <w:spacing w:after="60"/>
        <w:jc w:val="both"/>
        <w:rPr>
          <w:rFonts w:asciiTheme="majorHAnsi" w:hAnsiTheme="majorHAnsi"/>
          <w:sz w:val="22"/>
          <w:szCs w:val="22"/>
        </w:rPr>
      </w:pPr>
    </w:p>
    <w:p w14:paraId="62E6B9E8" w14:textId="4876E674" w:rsidR="00FC5311" w:rsidRPr="00FC5311" w:rsidRDefault="007D6D14" w:rsidP="00FC5311">
      <w:pPr>
        <w:spacing w:after="60"/>
        <w:jc w:val="both"/>
        <w:rPr>
          <w:rFonts w:asciiTheme="majorHAnsi" w:hAnsiTheme="majorHAnsi"/>
          <w:sz w:val="22"/>
          <w:szCs w:val="22"/>
        </w:rPr>
      </w:pPr>
      <w:r w:rsidRPr="007D6D14">
        <w:rPr>
          <w:rFonts w:asciiTheme="majorHAnsi" w:hAnsiTheme="majorHAnsi"/>
          <w:sz w:val="22"/>
          <w:szCs w:val="22"/>
        </w:rPr>
        <w:t xml:space="preserve">Private sector companies and non-governmental organizations have often provided strong support for many GEF IW Focal Area projects to reduce short and long </w:t>
      </w:r>
      <w:r w:rsidR="00FC5311">
        <w:rPr>
          <w:rFonts w:asciiTheme="majorHAnsi" w:hAnsiTheme="majorHAnsi"/>
          <w:sz w:val="22"/>
          <w:szCs w:val="22"/>
        </w:rPr>
        <w:t>term impacts on the environment. T</w:t>
      </w:r>
      <w:r w:rsidRPr="007D6D14">
        <w:rPr>
          <w:rFonts w:asciiTheme="majorHAnsi" w:hAnsiTheme="majorHAnsi"/>
          <w:sz w:val="22"/>
          <w:szCs w:val="22"/>
        </w:rPr>
        <w:t>he threats to our transboundary water resources, including climatic variability &amp; change implications and limits of public funding and interventions require that a broader set of solutions and funding options, including increasing private sector involvement, be explored. The objectives of this sub-component are to:</w:t>
      </w:r>
      <w:r w:rsidR="00FC5311">
        <w:rPr>
          <w:rFonts w:asciiTheme="majorHAnsi" w:hAnsiTheme="majorHAnsi"/>
          <w:sz w:val="22"/>
          <w:szCs w:val="22"/>
        </w:rPr>
        <w:t xml:space="preserve"> </w:t>
      </w:r>
      <w:r w:rsidRPr="007D6D14">
        <w:rPr>
          <w:rFonts w:asciiTheme="majorHAnsi" w:hAnsiTheme="majorHAnsi"/>
          <w:sz w:val="22"/>
          <w:szCs w:val="22"/>
        </w:rPr>
        <w:t>Develop models to expand active engagement, impact and investment of the private sector;</w:t>
      </w:r>
      <w:r w:rsidR="00FC5311">
        <w:rPr>
          <w:rFonts w:asciiTheme="majorHAnsi" w:hAnsiTheme="majorHAnsi"/>
          <w:sz w:val="22"/>
          <w:szCs w:val="22"/>
        </w:rPr>
        <w:t xml:space="preserve"> e</w:t>
      </w:r>
      <w:r w:rsidRPr="007D6D14">
        <w:rPr>
          <w:rFonts w:asciiTheme="majorHAnsi" w:hAnsiTheme="majorHAnsi"/>
          <w:sz w:val="22"/>
          <w:szCs w:val="22"/>
        </w:rPr>
        <w:t>stablish private sector coalitions to drive government actions to improve environmental performance of the industry and reduce impact on transboundary waters, initially through regional basin pilot(s) opportunities;</w:t>
      </w:r>
      <w:r w:rsidR="00FC5311">
        <w:rPr>
          <w:rFonts w:asciiTheme="majorHAnsi" w:hAnsiTheme="majorHAnsi"/>
          <w:sz w:val="22"/>
          <w:szCs w:val="22"/>
        </w:rPr>
        <w:t xml:space="preserve"> r</w:t>
      </w:r>
      <w:r w:rsidRPr="007D6D14">
        <w:rPr>
          <w:rFonts w:asciiTheme="majorHAnsi" w:hAnsiTheme="majorHAnsi"/>
          <w:sz w:val="22"/>
          <w:szCs w:val="22"/>
        </w:rPr>
        <w:t>eceive feedback from business and NGO leaders to identify business models that will help make GEF IW projects more attractive investments and promote easier paths for collaboration for private sector partners;</w:t>
      </w:r>
      <w:r w:rsidR="00FC5311">
        <w:rPr>
          <w:rFonts w:asciiTheme="majorHAnsi" w:hAnsiTheme="majorHAnsi"/>
          <w:sz w:val="22"/>
          <w:szCs w:val="22"/>
        </w:rPr>
        <w:t xml:space="preserve"> g</w:t>
      </w:r>
      <w:r w:rsidRPr="007D6D14">
        <w:rPr>
          <w:rFonts w:asciiTheme="majorHAnsi" w:hAnsiTheme="majorHAnsi"/>
          <w:sz w:val="22"/>
          <w:szCs w:val="22"/>
        </w:rPr>
        <w:t xml:space="preserve">enerate learning products  that help provide guidance to GEF project managers to systematize </w:t>
      </w:r>
      <w:r w:rsidR="00FC5311">
        <w:rPr>
          <w:rFonts w:asciiTheme="majorHAnsi" w:hAnsiTheme="majorHAnsi"/>
          <w:sz w:val="22"/>
          <w:szCs w:val="22"/>
        </w:rPr>
        <w:t>private sector involvement; and a</w:t>
      </w:r>
      <w:r w:rsidRPr="007D6D14">
        <w:rPr>
          <w:rFonts w:asciiTheme="majorHAnsi" w:hAnsiTheme="majorHAnsi"/>
          <w:sz w:val="22"/>
          <w:szCs w:val="22"/>
        </w:rPr>
        <w:t>ssist in meeting sustainability requirements of the new GEF IW strategy</w:t>
      </w:r>
      <w:r w:rsidR="00FC5311">
        <w:rPr>
          <w:rFonts w:asciiTheme="majorHAnsi" w:hAnsiTheme="majorHAnsi"/>
          <w:sz w:val="22"/>
          <w:szCs w:val="22"/>
        </w:rPr>
        <w:t>.</w:t>
      </w:r>
      <w:r w:rsidR="00FC5311" w:rsidRPr="00FC5311">
        <w:rPr>
          <w:rFonts w:asciiTheme="majorHAnsi" w:hAnsiTheme="majorHAnsi"/>
          <w:sz w:val="22"/>
          <w:szCs w:val="22"/>
        </w:rPr>
        <w:t xml:space="preserve"> A comprehensive set of best practices from GEF IW projects on managing private sector engagement will be collated that will be used in the development of guidance documents for future GEF IW projects. </w:t>
      </w:r>
    </w:p>
    <w:p w14:paraId="56B20C11" w14:textId="350383DE" w:rsidR="007D6D14" w:rsidRPr="007D6D14" w:rsidRDefault="007D6D14" w:rsidP="00F84D9A">
      <w:pPr>
        <w:spacing w:after="60"/>
        <w:jc w:val="both"/>
        <w:rPr>
          <w:rFonts w:asciiTheme="majorHAnsi" w:hAnsiTheme="majorHAnsi"/>
          <w:sz w:val="22"/>
          <w:szCs w:val="22"/>
        </w:rPr>
      </w:pPr>
    </w:p>
    <w:p w14:paraId="0785B9A0" w14:textId="0B451941" w:rsidR="007D6D14" w:rsidRPr="007D6D14" w:rsidRDefault="007D6D14" w:rsidP="00F84D9A">
      <w:pPr>
        <w:spacing w:after="60"/>
        <w:jc w:val="both"/>
        <w:rPr>
          <w:rFonts w:asciiTheme="majorHAnsi" w:hAnsiTheme="majorHAnsi"/>
          <w:sz w:val="22"/>
          <w:szCs w:val="22"/>
        </w:rPr>
      </w:pPr>
      <w:r w:rsidRPr="007D6D14">
        <w:rPr>
          <w:rFonts w:asciiTheme="majorHAnsi" w:hAnsiTheme="majorHAnsi"/>
          <w:sz w:val="22"/>
          <w:szCs w:val="22"/>
        </w:rPr>
        <w:t>The Global Environment and Technology Foundation,</w:t>
      </w:r>
      <w:r w:rsidR="00D13B06">
        <w:rPr>
          <w:rFonts w:asciiTheme="majorHAnsi" w:hAnsiTheme="majorHAnsi"/>
          <w:sz w:val="22"/>
          <w:szCs w:val="22"/>
        </w:rPr>
        <w:t xml:space="preserve"> (GETF)</w:t>
      </w:r>
      <w:r w:rsidRPr="007D6D14">
        <w:rPr>
          <w:rFonts w:asciiTheme="majorHAnsi" w:hAnsiTheme="majorHAnsi"/>
          <w:sz w:val="22"/>
          <w:szCs w:val="22"/>
        </w:rPr>
        <w:t xml:space="preserve"> which </w:t>
      </w:r>
      <w:proofErr w:type="gramStart"/>
      <w:r w:rsidRPr="007D6D14">
        <w:rPr>
          <w:rFonts w:asciiTheme="majorHAnsi" w:hAnsiTheme="majorHAnsi"/>
          <w:sz w:val="22"/>
          <w:szCs w:val="22"/>
        </w:rPr>
        <w:t>has</w:t>
      </w:r>
      <w:proofErr w:type="gramEnd"/>
      <w:r w:rsidRPr="007D6D14">
        <w:rPr>
          <w:rFonts w:asciiTheme="majorHAnsi" w:hAnsiTheme="majorHAnsi"/>
          <w:sz w:val="22"/>
          <w:szCs w:val="22"/>
        </w:rPr>
        <w:t xml:space="preserve"> environmental finance and public-private partnerships as its core business, will execute this sub-component. </w:t>
      </w:r>
    </w:p>
    <w:p w14:paraId="506E8E85" w14:textId="77777777" w:rsidR="00EF2438" w:rsidRDefault="00EF2438" w:rsidP="00F84D9A">
      <w:pPr>
        <w:rPr>
          <w:rFonts w:asciiTheme="majorHAnsi" w:hAnsiTheme="majorHAnsi"/>
          <w:b/>
          <w:color w:val="3366FF"/>
          <w:sz w:val="20"/>
          <w:szCs w:val="20"/>
        </w:rPr>
      </w:pPr>
    </w:p>
    <w:p w14:paraId="3C5E614E" w14:textId="77777777" w:rsidR="00EF2438" w:rsidRPr="0093025D"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93025D">
        <w:rPr>
          <w:rFonts w:asciiTheme="majorHAnsi" w:hAnsiTheme="majorHAnsi"/>
          <w:color w:val="3366FF"/>
          <w:sz w:val="20"/>
          <w:szCs w:val="20"/>
        </w:rPr>
        <w:t>Sub-component 5e: Mainstreaming Climate Impacts in IW</w:t>
      </w:r>
    </w:p>
    <w:p w14:paraId="0BC7B0C6"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06D561B1"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output</w:t>
      </w:r>
      <w:r w:rsidRPr="00D755E1">
        <w:rPr>
          <w:rFonts w:asciiTheme="majorHAnsi" w:hAnsiTheme="majorHAnsi"/>
          <w:color w:val="3366FF"/>
          <w:sz w:val="20"/>
          <w:szCs w:val="20"/>
        </w:rPr>
        <w:t xml:space="preserve"> </w:t>
      </w:r>
      <w:r>
        <w:rPr>
          <w:rFonts w:asciiTheme="majorHAnsi" w:hAnsiTheme="majorHAnsi"/>
          <w:color w:val="3366FF"/>
          <w:sz w:val="20"/>
          <w:szCs w:val="20"/>
        </w:rPr>
        <w:t>is</w:t>
      </w:r>
      <w:r w:rsidRPr="00D755E1">
        <w:rPr>
          <w:rFonts w:asciiTheme="majorHAnsi" w:hAnsiTheme="majorHAnsi"/>
          <w:color w:val="3366FF"/>
          <w:sz w:val="20"/>
          <w:szCs w:val="20"/>
        </w:rPr>
        <w:t>:</w:t>
      </w:r>
      <w:r>
        <w:rPr>
          <w:rFonts w:asciiTheme="majorHAnsi" w:hAnsiTheme="majorHAnsi"/>
          <w:color w:val="3366FF"/>
          <w:sz w:val="20"/>
          <w:szCs w:val="20"/>
        </w:rPr>
        <w:t xml:space="preserve"> </w:t>
      </w:r>
      <w:r w:rsidRPr="00D755E1">
        <w:rPr>
          <w:rFonts w:asciiTheme="majorHAnsi" w:hAnsiTheme="majorHAnsi"/>
          <w:color w:val="3366FF"/>
          <w:sz w:val="20"/>
          <w:szCs w:val="20"/>
        </w:rPr>
        <w:t>Methodology to address climatic variability &amp; change impacts in shared water bodies</w:t>
      </w:r>
    </w:p>
    <w:p w14:paraId="43117AE6" w14:textId="77777777" w:rsidR="00EF2438" w:rsidRPr="00D755E1" w:rsidRDefault="00EF2438" w:rsidP="00F84D9A">
      <w:pPr>
        <w:pBdr>
          <w:top w:val="single" w:sz="4" w:space="1" w:color="auto"/>
          <w:left w:val="single" w:sz="4" w:space="4" w:color="auto"/>
          <w:bottom w:val="single" w:sz="4" w:space="1" w:color="auto"/>
          <w:right w:val="single" w:sz="4" w:space="4" w:color="auto"/>
        </w:pBdr>
        <w:shd w:val="clear" w:color="auto" w:fill="EEECE1"/>
        <w:rPr>
          <w:rFonts w:asciiTheme="majorHAnsi" w:hAnsiTheme="majorHAnsi"/>
          <w:color w:val="3366FF"/>
          <w:sz w:val="20"/>
          <w:szCs w:val="20"/>
        </w:rPr>
      </w:pPr>
    </w:p>
    <w:p w14:paraId="10A49ADB" w14:textId="77777777" w:rsidR="00EF2438" w:rsidRPr="00337C87" w:rsidRDefault="00EF2438" w:rsidP="00F84D9A">
      <w:pPr>
        <w:pBdr>
          <w:top w:val="single" w:sz="4" w:space="1" w:color="auto"/>
          <w:left w:val="single" w:sz="4" w:space="4" w:color="auto"/>
          <w:bottom w:val="single" w:sz="4" w:space="1" w:color="auto"/>
          <w:right w:val="single" w:sz="4" w:space="4" w:color="auto"/>
        </w:pBdr>
        <w:shd w:val="clear" w:color="auto" w:fill="EEECE1"/>
        <w:rPr>
          <w:rFonts w:ascii="Times New Roman" w:hAnsi="Times New Roman"/>
        </w:rPr>
      </w:pPr>
      <w:r w:rsidRPr="003717BC">
        <w:rPr>
          <w:rFonts w:asciiTheme="majorHAnsi" w:hAnsiTheme="majorHAnsi"/>
          <w:color w:val="FF0000"/>
          <w:sz w:val="20"/>
          <w:szCs w:val="20"/>
        </w:rPr>
        <w:t>11.</w:t>
      </w:r>
      <w:r>
        <w:rPr>
          <w:rFonts w:asciiTheme="majorHAnsi" w:hAnsiTheme="majorHAnsi"/>
          <w:color w:val="3366FF"/>
          <w:sz w:val="20"/>
          <w:szCs w:val="20"/>
        </w:rPr>
        <w:t xml:space="preserve"> </w:t>
      </w:r>
      <w:r w:rsidRPr="00D755E1">
        <w:rPr>
          <w:rFonts w:asciiTheme="majorHAnsi" w:hAnsiTheme="majorHAnsi"/>
          <w:color w:val="3366FF"/>
          <w:sz w:val="20"/>
          <w:szCs w:val="20"/>
        </w:rPr>
        <w:t xml:space="preserve">The expected </w:t>
      </w:r>
      <w:r w:rsidRPr="00D755E1">
        <w:rPr>
          <w:rFonts w:asciiTheme="majorHAnsi" w:hAnsiTheme="majorHAnsi"/>
          <w:b/>
          <w:color w:val="3366FF"/>
          <w:sz w:val="20"/>
          <w:szCs w:val="20"/>
        </w:rPr>
        <w:t>outcomes</w:t>
      </w:r>
      <w:r w:rsidRPr="00D755E1">
        <w:rPr>
          <w:rFonts w:asciiTheme="majorHAnsi" w:hAnsiTheme="majorHAnsi"/>
          <w:color w:val="3366FF"/>
          <w:sz w:val="20"/>
          <w:szCs w:val="20"/>
        </w:rPr>
        <w:t xml:space="preserve"> are:</w:t>
      </w:r>
      <w:r>
        <w:rPr>
          <w:rFonts w:asciiTheme="majorHAnsi" w:hAnsiTheme="majorHAnsi"/>
          <w:color w:val="3366FF"/>
          <w:sz w:val="20"/>
          <w:szCs w:val="20"/>
        </w:rPr>
        <w:t xml:space="preserve"> </w:t>
      </w:r>
      <w:r w:rsidRPr="00D755E1">
        <w:rPr>
          <w:rFonts w:asciiTheme="majorHAnsi" w:hAnsiTheme="majorHAnsi"/>
          <w:color w:val="3366FF"/>
          <w:sz w:val="20"/>
          <w:szCs w:val="20"/>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p w14:paraId="15D57A1C" w14:textId="77777777" w:rsidR="00EF2438" w:rsidRDefault="00EF2438" w:rsidP="00F84D9A">
      <w:pPr>
        <w:autoSpaceDE w:val="0"/>
        <w:autoSpaceDN w:val="0"/>
        <w:adjustRightInd w:val="0"/>
        <w:rPr>
          <w:rFonts w:ascii="Calibri" w:hAnsi="Calibri"/>
          <w:sz w:val="20"/>
          <w:szCs w:val="20"/>
        </w:rPr>
      </w:pPr>
    </w:p>
    <w:p w14:paraId="5F2D5E0F" w14:textId="74E677ED" w:rsidR="00EC4B9C" w:rsidRPr="00EC4B9C" w:rsidRDefault="00EC4B9C" w:rsidP="00F84D9A">
      <w:pPr>
        <w:spacing w:after="60"/>
        <w:jc w:val="both"/>
        <w:rPr>
          <w:rFonts w:asciiTheme="majorHAnsi" w:hAnsiTheme="majorHAnsi"/>
          <w:sz w:val="22"/>
          <w:szCs w:val="22"/>
        </w:rPr>
      </w:pPr>
      <w:r w:rsidRPr="00FC5311">
        <w:rPr>
          <w:rFonts w:asciiTheme="majorHAnsi" w:hAnsiTheme="majorHAnsi"/>
          <w:sz w:val="22"/>
          <w:szCs w:val="22"/>
        </w:rPr>
        <w:t xml:space="preserve">Climatic variability &amp; change continues to grow in significance as a water management issue. Or perhaps better said, the world is recognizing that water management plays a major part in managing climatic variability &amp; change. The issue featured prominently during the 5th GEF Biennial International Waters Conference and now plays a major role in the GEF5 Replenishment planning, and the GEF5 International Waters Focal Area Strategy is just one manifestation of this. The project will also attempt to realize the application of guidance in some projects, as a pilot exercise likely with UNDP Cap-Net, Water Governance Facility and other core UNDP climate-related activities as partners. </w:t>
      </w:r>
    </w:p>
    <w:p w14:paraId="05D87CAF" w14:textId="00217427" w:rsidR="00213D76" w:rsidRPr="00213D76" w:rsidRDefault="00FC5311" w:rsidP="00B94EF0">
      <w:pPr>
        <w:spacing w:after="60"/>
        <w:jc w:val="both"/>
      </w:pPr>
      <w:r w:rsidRPr="00FC5311">
        <w:rPr>
          <w:rFonts w:asciiTheme="majorHAnsi" w:hAnsiTheme="majorHAnsi"/>
          <w:sz w:val="22"/>
          <w:szCs w:val="22"/>
        </w:rPr>
        <w:t xml:space="preserve">The </w:t>
      </w:r>
      <w:r>
        <w:rPr>
          <w:rFonts w:asciiTheme="majorHAnsi" w:hAnsiTheme="majorHAnsi"/>
          <w:sz w:val="22"/>
          <w:szCs w:val="22"/>
        </w:rPr>
        <w:t>sub-component</w:t>
      </w:r>
      <w:r w:rsidRPr="00FC5311">
        <w:rPr>
          <w:rFonts w:asciiTheme="majorHAnsi" w:hAnsiTheme="majorHAnsi"/>
          <w:sz w:val="22"/>
          <w:szCs w:val="22"/>
        </w:rPr>
        <w:t xml:space="preserve"> will develop simple and accessible guidance to projects on how to take the new GEF5 requirements into account. The activity will leverage existing resources and activities, in particular at UNDP, as well as the volumes of existing guidance, to develop custom content for GEF International Waters projects, </w:t>
      </w:r>
      <w:r w:rsidR="00B94EF0">
        <w:rPr>
          <w:rFonts w:asciiTheme="majorHAnsi" w:hAnsiTheme="majorHAnsi"/>
          <w:sz w:val="22"/>
          <w:szCs w:val="22"/>
        </w:rPr>
        <w:t>which have unique requirements.</w:t>
      </w:r>
    </w:p>
    <w:p w14:paraId="4035A26F" w14:textId="6BCBD61B" w:rsidR="0022774D" w:rsidRDefault="00A165D2" w:rsidP="0022774D">
      <w:pPr>
        <w:pStyle w:val="Heading3"/>
      </w:pPr>
      <w:bookmarkStart w:id="26" w:name="_Toc320280628"/>
      <w:bookmarkStart w:id="27" w:name="_Toc341527035"/>
      <w:bookmarkStart w:id="28" w:name="_Toc222479135"/>
      <w:r w:rsidRPr="007D1C06">
        <w:t>Project Budget</w:t>
      </w:r>
      <w:bookmarkEnd w:id="26"/>
      <w:bookmarkEnd w:id="27"/>
      <w:bookmarkEnd w:id="28"/>
    </w:p>
    <w:p w14:paraId="64A542AE" w14:textId="5E0A0372" w:rsidR="0022774D" w:rsidRPr="009827B9" w:rsidRDefault="0022774D" w:rsidP="0022774D">
      <w:pPr>
        <w:rPr>
          <w:rFonts w:asciiTheme="majorHAnsi" w:hAnsiTheme="majorHAnsi"/>
          <w:sz w:val="22"/>
          <w:szCs w:val="22"/>
        </w:rPr>
      </w:pPr>
      <w:r w:rsidRPr="009827B9">
        <w:rPr>
          <w:rFonts w:asciiTheme="majorHAnsi" w:hAnsiTheme="majorHAnsi"/>
          <w:sz w:val="22"/>
          <w:szCs w:val="22"/>
        </w:rPr>
        <w:t xml:space="preserve">The overall project budget includes a $4,095,000 GEF grant </w:t>
      </w:r>
      <w:r w:rsidRPr="004A4A12">
        <w:rPr>
          <w:rFonts w:asciiTheme="majorHAnsi" w:hAnsiTheme="majorHAnsi"/>
          <w:sz w:val="22"/>
          <w:szCs w:val="22"/>
        </w:rPr>
        <w:t xml:space="preserve">and </w:t>
      </w:r>
      <w:r w:rsidR="00447F25" w:rsidRPr="004A4A12">
        <w:rPr>
          <w:rFonts w:asciiTheme="majorHAnsi" w:hAnsiTheme="majorHAnsi"/>
          <w:sz w:val="22"/>
          <w:szCs w:val="22"/>
        </w:rPr>
        <w:t xml:space="preserve">$5,204,824 </w:t>
      </w:r>
      <w:r w:rsidRPr="004A4A12">
        <w:rPr>
          <w:rFonts w:asciiTheme="majorHAnsi" w:hAnsiTheme="majorHAnsi"/>
          <w:sz w:val="22"/>
          <w:szCs w:val="22"/>
        </w:rPr>
        <w:t>in</w:t>
      </w:r>
      <w:r w:rsidRPr="009827B9">
        <w:rPr>
          <w:rFonts w:asciiTheme="majorHAnsi" w:hAnsiTheme="majorHAnsi"/>
          <w:sz w:val="22"/>
          <w:szCs w:val="22"/>
        </w:rPr>
        <w:t xml:space="preserve"> co-financing from a range of sources.  The GEF grant is divided between UNDP and UNDP, $3,160,000 and $935,000 respectively. </w:t>
      </w:r>
    </w:p>
    <w:p w14:paraId="1DDCE4E5" w14:textId="77777777" w:rsidR="009827B9" w:rsidRDefault="009827B9" w:rsidP="0022774D"/>
    <w:p w14:paraId="5B7AFEE4" w14:textId="152ABCAF" w:rsidR="009827B9" w:rsidRDefault="001100E4" w:rsidP="009827B9">
      <w:pPr>
        <w:rPr>
          <w:rFonts w:asciiTheme="majorHAnsi" w:hAnsiTheme="majorHAnsi"/>
          <w:sz w:val="22"/>
          <w:szCs w:val="22"/>
        </w:rPr>
      </w:pPr>
      <w:r>
        <w:rPr>
          <w:rFonts w:asciiTheme="majorHAnsi" w:hAnsiTheme="majorHAnsi"/>
          <w:sz w:val="22"/>
          <w:szCs w:val="22"/>
        </w:rPr>
        <w:t>Total GEF budget and distribution</w:t>
      </w:r>
    </w:p>
    <w:p w14:paraId="6B93D965" w14:textId="77777777" w:rsidR="001100E4" w:rsidRPr="009827B9" w:rsidRDefault="001100E4" w:rsidP="009827B9">
      <w:pPr>
        <w:rPr>
          <w:rFonts w:asciiTheme="majorHAnsi" w:hAnsiTheme="majorHAnsi"/>
          <w:sz w:val="22"/>
          <w:szCs w:val="22"/>
        </w:rPr>
      </w:pPr>
    </w:p>
    <w:tbl>
      <w:tblPr>
        <w:tblW w:w="9273" w:type="dxa"/>
        <w:tblInd w:w="36" w:type="dxa"/>
        <w:tblLayout w:type="fixed"/>
        <w:tblLook w:val="0000" w:firstRow="0" w:lastRow="0" w:firstColumn="0" w:lastColumn="0" w:noHBand="0" w:noVBand="0"/>
      </w:tblPr>
      <w:tblGrid>
        <w:gridCol w:w="1902"/>
        <w:gridCol w:w="1559"/>
        <w:gridCol w:w="1134"/>
        <w:gridCol w:w="1134"/>
        <w:gridCol w:w="1134"/>
        <w:gridCol w:w="1134"/>
        <w:gridCol w:w="1276"/>
      </w:tblGrid>
      <w:tr w:rsidR="009827B9" w:rsidRPr="009827B9" w14:paraId="02970CB3" w14:textId="77777777" w:rsidTr="009827B9">
        <w:trPr>
          <w:cantSplit/>
        </w:trPr>
        <w:tc>
          <w:tcPr>
            <w:tcW w:w="1902" w:type="dxa"/>
            <w:tcBorders>
              <w:top w:val="single" w:sz="4" w:space="0" w:color="auto"/>
              <w:left w:val="single" w:sz="4" w:space="0" w:color="auto"/>
              <w:bottom w:val="single" w:sz="4" w:space="0" w:color="auto"/>
              <w:right w:val="single" w:sz="4" w:space="0" w:color="auto"/>
            </w:tcBorders>
            <w:noWrap/>
            <w:vAlign w:val="center"/>
          </w:tcPr>
          <w:p w14:paraId="189169FD" w14:textId="77777777" w:rsidR="009827B9" w:rsidRPr="009827B9" w:rsidRDefault="009827B9" w:rsidP="00046A50">
            <w:pPr>
              <w:ind w:left="-534"/>
              <w:jc w:val="center"/>
              <w:rPr>
                <w:rFonts w:asciiTheme="majorHAnsi" w:hAnsiTheme="majorHAnsi"/>
                <w:b/>
                <w:bCs/>
                <w:sz w:val="20"/>
                <w:szCs w:val="20"/>
              </w:rPr>
            </w:pPr>
            <w:r w:rsidRPr="009827B9">
              <w:rPr>
                <w:rFonts w:asciiTheme="majorHAnsi" w:hAnsiTheme="majorHAnsi"/>
                <w:b/>
                <w:bCs/>
                <w:sz w:val="20"/>
                <w:szCs w:val="20"/>
              </w:rPr>
              <w:t>GEF Outcome</w:t>
            </w:r>
          </w:p>
        </w:tc>
        <w:tc>
          <w:tcPr>
            <w:tcW w:w="1559" w:type="dxa"/>
            <w:tcBorders>
              <w:top w:val="single" w:sz="4" w:space="0" w:color="auto"/>
              <w:left w:val="single" w:sz="4" w:space="0" w:color="auto"/>
              <w:bottom w:val="single" w:sz="4" w:space="0" w:color="auto"/>
              <w:right w:val="single" w:sz="4" w:space="0" w:color="auto"/>
            </w:tcBorders>
            <w:vAlign w:val="center"/>
          </w:tcPr>
          <w:p w14:paraId="1D9BDDBD" w14:textId="77777777" w:rsidR="009827B9" w:rsidRPr="009827B9" w:rsidRDefault="009827B9" w:rsidP="00046A50">
            <w:pPr>
              <w:jc w:val="center"/>
              <w:rPr>
                <w:rFonts w:asciiTheme="majorHAnsi" w:hAnsiTheme="majorHAnsi"/>
                <w:b/>
                <w:bCs/>
                <w:sz w:val="20"/>
                <w:szCs w:val="20"/>
              </w:rPr>
            </w:pPr>
            <w:r w:rsidRPr="009827B9">
              <w:rPr>
                <w:rFonts w:asciiTheme="majorHAnsi" w:hAnsiTheme="majorHAnsi"/>
                <w:b/>
                <w:bCs/>
                <w:sz w:val="20"/>
                <w:szCs w:val="20"/>
              </w:rPr>
              <w:t>IA/EA</w:t>
            </w:r>
          </w:p>
        </w:tc>
        <w:tc>
          <w:tcPr>
            <w:tcW w:w="1134" w:type="dxa"/>
            <w:tcBorders>
              <w:top w:val="single" w:sz="4" w:space="0" w:color="auto"/>
              <w:left w:val="single" w:sz="4" w:space="0" w:color="auto"/>
              <w:bottom w:val="single" w:sz="4" w:space="0" w:color="auto"/>
              <w:right w:val="single" w:sz="4" w:space="0" w:color="auto"/>
            </w:tcBorders>
            <w:vAlign w:val="center"/>
          </w:tcPr>
          <w:p w14:paraId="7F96526E" w14:textId="77777777" w:rsidR="009827B9" w:rsidRPr="009827B9" w:rsidRDefault="009827B9" w:rsidP="00046A50">
            <w:pPr>
              <w:jc w:val="center"/>
              <w:rPr>
                <w:rFonts w:asciiTheme="majorHAnsi" w:hAnsiTheme="majorHAnsi"/>
                <w:b/>
                <w:bCs/>
                <w:sz w:val="20"/>
                <w:szCs w:val="20"/>
              </w:rPr>
            </w:pPr>
            <w:r w:rsidRPr="009827B9">
              <w:rPr>
                <w:rFonts w:asciiTheme="majorHAnsi" w:hAnsiTheme="majorHAnsi"/>
                <w:b/>
                <w:bCs/>
                <w:sz w:val="20"/>
                <w:szCs w:val="20"/>
              </w:rPr>
              <w:t xml:space="preserve">Amount Year 1 </w:t>
            </w:r>
          </w:p>
        </w:tc>
        <w:tc>
          <w:tcPr>
            <w:tcW w:w="1134" w:type="dxa"/>
            <w:tcBorders>
              <w:top w:val="single" w:sz="4" w:space="0" w:color="auto"/>
              <w:left w:val="single" w:sz="4" w:space="0" w:color="auto"/>
              <w:bottom w:val="single" w:sz="4" w:space="0" w:color="auto"/>
              <w:right w:val="single" w:sz="4" w:space="0" w:color="auto"/>
            </w:tcBorders>
            <w:vAlign w:val="center"/>
          </w:tcPr>
          <w:p w14:paraId="44E53DB2" w14:textId="77777777" w:rsidR="009827B9" w:rsidRPr="009827B9" w:rsidRDefault="009827B9" w:rsidP="00046A50">
            <w:pPr>
              <w:jc w:val="center"/>
              <w:rPr>
                <w:rFonts w:asciiTheme="majorHAnsi" w:hAnsiTheme="majorHAnsi"/>
                <w:b/>
                <w:bCs/>
                <w:sz w:val="20"/>
                <w:szCs w:val="20"/>
              </w:rPr>
            </w:pPr>
            <w:r w:rsidRPr="009827B9">
              <w:rPr>
                <w:rFonts w:asciiTheme="majorHAnsi" w:hAnsiTheme="majorHAnsi"/>
                <w:b/>
                <w:bCs/>
                <w:sz w:val="20"/>
                <w:szCs w:val="20"/>
              </w:rPr>
              <w:t xml:space="preserve">Amount Year 2 </w:t>
            </w:r>
          </w:p>
        </w:tc>
        <w:tc>
          <w:tcPr>
            <w:tcW w:w="1134" w:type="dxa"/>
            <w:tcBorders>
              <w:top w:val="single" w:sz="4" w:space="0" w:color="auto"/>
              <w:left w:val="single" w:sz="4" w:space="0" w:color="auto"/>
              <w:bottom w:val="single" w:sz="4" w:space="0" w:color="auto"/>
              <w:right w:val="single" w:sz="4" w:space="0" w:color="auto"/>
            </w:tcBorders>
            <w:vAlign w:val="center"/>
          </w:tcPr>
          <w:p w14:paraId="297CB9B2" w14:textId="77777777" w:rsidR="009827B9" w:rsidRPr="009827B9" w:rsidRDefault="009827B9" w:rsidP="00046A50">
            <w:pPr>
              <w:jc w:val="center"/>
              <w:rPr>
                <w:rFonts w:asciiTheme="majorHAnsi" w:hAnsiTheme="majorHAnsi"/>
                <w:b/>
                <w:bCs/>
                <w:sz w:val="20"/>
                <w:szCs w:val="20"/>
              </w:rPr>
            </w:pPr>
            <w:r w:rsidRPr="009827B9">
              <w:rPr>
                <w:rFonts w:asciiTheme="majorHAnsi" w:hAnsiTheme="majorHAnsi"/>
                <w:b/>
                <w:bCs/>
                <w:sz w:val="20"/>
                <w:szCs w:val="20"/>
              </w:rPr>
              <w:t xml:space="preserve">Amount Year 3 </w:t>
            </w:r>
          </w:p>
        </w:tc>
        <w:tc>
          <w:tcPr>
            <w:tcW w:w="1134" w:type="dxa"/>
            <w:tcBorders>
              <w:top w:val="single" w:sz="4" w:space="0" w:color="auto"/>
              <w:left w:val="single" w:sz="4" w:space="0" w:color="auto"/>
              <w:bottom w:val="single" w:sz="4" w:space="0" w:color="auto"/>
              <w:right w:val="single" w:sz="4" w:space="0" w:color="auto"/>
            </w:tcBorders>
            <w:vAlign w:val="center"/>
          </w:tcPr>
          <w:p w14:paraId="30ECA7F3" w14:textId="77777777" w:rsidR="009827B9" w:rsidRPr="009827B9" w:rsidRDefault="009827B9" w:rsidP="00046A50">
            <w:pPr>
              <w:jc w:val="center"/>
              <w:rPr>
                <w:rFonts w:asciiTheme="majorHAnsi" w:hAnsiTheme="majorHAnsi"/>
                <w:b/>
                <w:bCs/>
                <w:sz w:val="20"/>
                <w:szCs w:val="20"/>
              </w:rPr>
            </w:pPr>
            <w:r w:rsidRPr="009827B9">
              <w:rPr>
                <w:rFonts w:asciiTheme="majorHAnsi" w:hAnsiTheme="majorHAnsi"/>
                <w:b/>
                <w:bCs/>
                <w:sz w:val="20"/>
                <w:szCs w:val="20"/>
              </w:rPr>
              <w:t xml:space="preserve">Amount Year 4 </w:t>
            </w:r>
          </w:p>
        </w:tc>
        <w:tc>
          <w:tcPr>
            <w:tcW w:w="1276" w:type="dxa"/>
            <w:tcBorders>
              <w:top w:val="single" w:sz="4" w:space="0" w:color="auto"/>
              <w:left w:val="single" w:sz="4" w:space="0" w:color="auto"/>
              <w:bottom w:val="single" w:sz="4" w:space="0" w:color="auto"/>
              <w:right w:val="single" w:sz="4" w:space="0" w:color="auto"/>
            </w:tcBorders>
            <w:noWrap/>
            <w:vAlign w:val="center"/>
          </w:tcPr>
          <w:p w14:paraId="01F3D74B" w14:textId="77777777" w:rsidR="009827B9" w:rsidRPr="009827B9" w:rsidRDefault="009827B9" w:rsidP="00046A50">
            <w:pPr>
              <w:jc w:val="center"/>
              <w:rPr>
                <w:rFonts w:asciiTheme="majorHAnsi" w:hAnsiTheme="majorHAnsi"/>
                <w:b/>
                <w:bCs/>
                <w:sz w:val="20"/>
                <w:szCs w:val="20"/>
              </w:rPr>
            </w:pPr>
            <w:r w:rsidRPr="009827B9">
              <w:rPr>
                <w:rFonts w:asciiTheme="majorHAnsi" w:hAnsiTheme="majorHAnsi"/>
                <w:b/>
                <w:bCs/>
                <w:sz w:val="20"/>
                <w:szCs w:val="20"/>
              </w:rPr>
              <w:t>Total</w:t>
            </w:r>
          </w:p>
        </w:tc>
      </w:tr>
      <w:tr w:rsidR="009827B9" w:rsidRPr="00E1476D" w14:paraId="3AD068D8" w14:textId="77777777" w:rsidTr="009827B9">
        <w:trPr>
          <w:cantSplit/>
        </w:trPr>
        <w:tc>
          <w:tcPr>
            <w:tcW w:w="1902" w:type="dxa"/>
            <w:tcBorders>
              <w:top w:val="single" w:sz="4" w:space="0" w:color="auto"/>
              <w:left w:val="single" w:sz="4" w:space="0" w:color="auto"/>
              <w:bottom w:val="single" w:sz="4" w:space="0" w:color="auto"/>
              <w:right w:val="single" w:sz="4" w:space="0" w:color="auto"/>
            </w:tcBorders>
            <w:vAlign w:val="center"/>
          </w:tcPr>
          <w:p w14:paraId="57AECDB4" w14:textId="71DC84A1" w:rsidR="009827B9" w:rsidRPr="00E1476D" w:rsidRDefault="009827B9" w:rsidP="009827B9">
            <w:pPr>
              <w:rPr>
                <w:rFonts w:asciiTheme="majorHAnsi" w:hAnsiTheme="majorHAnsi"/>
                <w:sz w:val="20"/>
                <w:szCs w:val="20"/>
              </w:rPr>
            </w:pPr>
            <w:r w:rsidRPr="00E1476D">
              <w:rPr>
                <w:rFonts w:asciiTheme="majorHAnsi" w:hAnsiTheme="majorHAnsi"/>
                <w:bCs/>
                <w:sz w:val="20"/>
                <w:szCs w:val="20"/>
              </w:rPr>
              <w:t xml:space="preserve">OUTCOME 1: </w:t>
            </w:r>
          </w:p>
        </w:tc>
        <w:tc>
          <w:tcPr>
            <w:tcW w:w="1559" w:type="dxa"/>
            <w:tcBorders>
              <w:top w:val="single" w:sz="4" w:space="0" w:color="auto"/>
              <w:left w:val="single" w:sz="4" w:space="0" w:color="auto"/>
              <w:bottom w:val="single" w:sz="4" w:space="0" w:color="auto"/>
              <w:right w:val="single" w:sz="4" w:space="0" w:color="auto"/>
            </w:tcBorders>
            <w:vAlign w:val="center"/>
          </w:tcPr>
          <w:p w14:paraId="68165B37" w14:textId="77777777"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UNDP/UNOPS</w:t>
            </w:r>
          </w:p>
        </w:tc>
        <w:tc>
          <w:tcPr>
            <w:tcW w:w="1134" w:type="dxa"/>
            <w:tcBorders>
              <w:top w:val="single" w:sz="4" w:space="0" w:color="auto"/>
              <w:left w:val="single" w:sz="4" w:space="0" w:color="auto"/>
              <w:bottom w:val="single" w:sz="4" w:space="0" w:color="auto"/>
              <w:right w:val="single" w:sz="4" w:space="0" w:color="auto"/>
            </w:tcBorders>
            <w:noWrap/>
            <w:vAlign w:val="center"/>
          </w:tcPr>
          <w:p w14:paraId="3CB62B3E"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$300,400</w:t>
            </w:r>
          </w:p>
        </w:tc>
        <w:tc>
          <w:tcPr>
            <w:tcW w:w="1134" w:type="dxa"/>
            <w:tcBorders>
              <w:top w:val="single" w:sz="4" w:space="0" w:color="auto"/>
              <w:left w:val="single" w:sz="4" w:space="0" w:color="auto"/>
              <w:bottom w:val="single" w:sz="4" w:space="0" w:color="auto"/>
              <w:right w:val="single" w:sz="4" w:space="0" w:color="auto"/>
            </w:tcBorders>
            <w:noWrap/>
            <w:vAlign w:val="center"/>
          </w:tcPr>
          <w:p w14:paraId="33A5B055"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$265,200</w:t>
            </w:r>
          </w:p>
        </w:tc>
        <w:tc>
          <w:tcPr>
            <w:tcW w:w="1134" w:type="dxa"/>
            <w:tcBorders>
              <w:top w:val="single" w:sz="4" w:space="0" w:color="auto"/>
              <w:left w:val="single" w:sz="4" w:space="0" w:color="auto"/>
              <w:bottom w:val="single" w:sz="4" w:space="0" w:color="auto"/>
              <w:right w:val="single" w:sz="4" w:space="0" w:color="auto"/>
            </w:tcBorders>
            <w:noWrap/>
            <w:vAlign w:val="center"/>
          </w:tcPr>
          <w:p w14:paraId="766A794E"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$265,200</w:t>
            </w:r>
          </w:p>
        </w:tc>
        <w:tc>
          <w:tcPr>
            <w:tcW w:w="1134" w:type="dxa"/>
            <w:tcBorders>
              <w:top w:val="single" w:sz="4" w:space="0" w:color="auto"/>
              <w:left w:val="single" w:sz="4" w:space="0" w:color="auto"/>
              <w:bottom w:val="single" w:sz="4" w:space="0" w:color="auto"/>
              <w:right w:val="single" w:sz="4" w:space="0" w:color="auto"/>
            </w:tcBorders>
            <w:noWrap/>
            <w:vAlign w:val="center"/>
          </w:tcPr>
          <w:p w14:paraId="6DBC89AA"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$110,200</w:t>
            </w:r>
          </w:p>
        </w:tc>
        <w:tc>
          <w:tcPr>
            <w:tcW w:w="1276" w:type="dxa"/>
            <w:tcBorders>
              <w:top w:val="single" w:sz="4" w:space="0" w:color="auto"/>
              <w:left w:val="single" w:sz="4" w:space="0" w:color="auto"/>
              <w:bottom w:val="single" w:sz="4" w:space="0" w:color="auto"/>
              <w:right w:val="single" w:sz="4" w:space="0" w:color="auto"/>
            </w:tcBorders>
            <w:noWrap/>
            <w:vAlign w:val="center"/>
          </w:tcPr>
          <w:p w14:paraId="74FA20FC" w14:textId="77777777" w:rsidR="009827B9" w:rsidRPr="00E1476D" w:rsidRDefault="009827B9" w:rsidP="00046A50">
            <w:pPr>
              <w:jc w:val="right"/>
              <w:rPr>
                <w:rFonts w:asciiTheme="majorHAnsi" w:hAnsiTheme="majorHAnsi"/>
                <w:b/>
                <w:sz w:val="20"/>
                <w:szCs w:val="20"/>
              </w:rPr>
            </w:pPr>
            <w:r w:rsidRPr="00E1476D">
              <w:rPr>
                <w:rFonts w:asciiTheme="majorHAnsi" w:hAnsiTheme="majorHAnsi"/>
                <w:b/>
                <w:sz w:val="20"/>
                <w:szCs w:val="20"/>
              </w:rPr>
              <w:t>$941,000</w:t>
            </w:r>
          </w:p>
        </w:tc>
      </w:tr>
      <w:tr w:rsidR="009827B9" w:rsidRPr="00E1476D" w14:paraId="19183F8E" w14:textId="77777777" w:rsidTr="009827B9">
        <w:trPr>
          <w:cantSplit/>
          <w:trHeight w:val="349"/>
        </w:trPr>
        <w:tc>
          <w:tcPr>
            <w:tcW w:w="1902" w:type="dxa"/>
            <w:tcBorders>
              <w:top w:val="single" w:sz="4" w:space="0" w:color="auto"/>
              <w:left w:val="single" w:sz="4" w:space="0" w:color="auto"/>
              <w:bottom w:val="single" w:sz="4" w:space="0" w:color="auto"/>
            </w:tcBorders>
            <w:noWrap/>
            <w:vAlign w:val="center"/>
          </w:tcPr>
          <w:p w14:paraId="540E9F0F" w14:textId="1AB5315A" w:rsidR="009827B9" w:rsidRPr="009827B9" w:rsidRDefault="009827B9" w:rsidP="00046A50">
            <w:pPr>
              <w:rPr>
                <w:rFonts w:asciiTheme="majorHAnsi" w:hAnsiTheme="majorHAnsi"/>
                <w:bCs/>
                <w:sz w:val="20"/>
                <w:szCs w:val="20"/>
              </w:rPr>
            </w:pPr>
            <w:r w:rsidRPr="00E1476D">
              <w:rPr>
                <w:rFonts w:asciiTheme="majorHAnsi" w:hAnsiTheme="majorHAnsi"/>
                <w:sz w:val="20"/>
                <w:szCs w:val="20"/>
              </w:rPr>
              <w:br w:type="page"/>
            </w:r>
            <w:r w:rsidRPr="00E1476D">
              <w:rPr>
                <w:rFonts w:asciiTheme="majorHAnsi" w:hAnsiTheme="majorHAnsi"/>
                <w:bCs/>
                <w:sz w:val="20"/>
                <w:szCs w:val="20"/>
              </w:rPr>
              <w:t>OUTCOME 2:</w:t>
            </w:r>
          </w:p>
        </w:tc>
        <w:tc>
          <w:tcPr>
            <w:tcW w:w="1559" w:type="dxa"/>
            <w:tcBorders>
              <w:top w:val="single" w:sz="4" w:space="0" w:color="auto"/>
              <w:left w:val="single" w:sz="4" w:space="0" w:color="auto"/>
              <w:bottom w:val="single" w:sz="4" w:space="0" w:color="auto"/>
              <w:right w:val="single" w:sz="4" w:space="0" w:color="auto"/>
            </w:tcBorders>
            <w:vAlign w:val="center"/>
          </w:tcPr>
          <w:p w14:paraId="4FF8E607" w14:textId="77777777"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UNDP/UNOPS</w:t>
            </w:r>
          </w:p>
        </w:tc>
        <w:tc>
          <w:tcPr>
            <w:tcW w:w="1134" w:type="dxa"/>
            <w:tcBorders>
              <w:top w:val="single" w:sz="4" w:space="0" w:color="auto"/>
              <w:left w:val="single" w:sz="4" w:space="0" w:color="auto"/>
              <w:bottom w:val="single" w:sz="4" w:space="0" w:color="auto"/>
              <w:right w:val="single" w:sz="4" w:space="0" w:color="auto"/>
            </w:tcBorders>
            <w:noWrap/>
            <w:vAlign w:val="center"/>
          </w:tcPr>
          <w:p w14:paraId="1A9D83BF"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$117,900</w:t>
            </w:r>
          </w:p>
        </w:tc>
        <w:tc>
          <w:tcPr>
            <w:tcW w:w="1134" w:type="dxa"/>
            <w:tcBorders>
              <w:top w:val="single" w:sz="4" w:space="0" w:color="auto"/>
              <w:left w:val="single" w:sz="4" w:space="0" w:color="auto"/>
              <w:bottom w:val="single" w:sz="4" w:space="0" w:color="auto"/>
              <w:right w:val="single" w:sz="4" w:space="0" w:color="auto"/>
            </w:tcBorders>
            <w:noWrap/>
            <w:vAlign w:val="center"/>
          </w:tcPr>
          <w:p w14:paraId="27D3EAC3"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$112,700</w:t>
            </w:r>
          </w:p>
        </w:tc>
        <w:tc>
          <w:tcPr>
            <w:tcW w:w="1134" w:type="dxa"/>
            <w:tcBorders>
              <w:top w:val="single" w:sz="4" w:space="0" w:color="auto"/>
              <w:left w:val="single" w:sz="4" w:space="0" w:color="auto"/>
              <w:bottom w:val="single" w:sz="4" w:space="0" w:color="auto"/>
              <w:right w:val="single" w:sz="4" w:space="0" w:color="auto"/>
            </w:tcBorders>
            <w:noWrap/>
            <w:vAlign w:val="center"/>
          </w:tcPr>
          <w:p w14:paraId="07E21369"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$112,700</w:t>
            </w:r>
          </w:p>
        </w:tc>
        <w:tc>
          <w:tcPr>
            <w:tcW w:w="1134" w:type="dxa"/>
            <w:tcBorders>
              <w:top w:val="single" w:sz="4" w:space="0" w:color="auto"/>
              <w:left w:val="single" w:sz="4" w:space="0" w:color="auto"/>
              <w:bottom w:val="single" w:sz="4" w:space="0" w:color="auto"/>
              <w:right w:val="single" w:sz="4" w:space="0" w:color="auto"/>
            </w:tcBorders>
            <w:noWrap/>
            <w:vAlign w:val="center"/>
          </w:tcPr>
          <w:p w14:paraId="070F4B16"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$87,700</w:t>
            </w:r>
          </w:p>
        </w:tc>
        <w:tc>
          <w:tcPr>
            <w:tcW w:w="1276" w:type="dxa"/>
            <w:tcBorders>
              <w:top w:val="single" w:sz="4" w:space="0" w:color="auto"/>
              <w:left w:val="single" w:sz="4" w:space="0" w:color="auto"/>
              <w:bottom w:val="single" w:sz="4" w:space="0" w:color="auto"/>
              <w:right w:val="single" w:sz="4" w:space="0" w:color="auto"/>
            </w:tcBorders>
            <w:noWrap/>
            <w:vAlign w:val="center"/>
          </w:tcPr>
          <w:p w14:paraId="70C03759" w14:textId="77777777" w:rsidR="009827B9" w:rsidRPr="00E1476D" w:rsidRDefault="009827B9" w:rsidP="00046A50">
            <w:pPr>
              <w:jc w:val="right"/>
              <w:rPr>
                <w:rFonts w:asciiTheme="majorHAnsi" w:hAnsiTheme="majorHAnsi"/>
                <w:b/>
                <w:sz w:val="20"/>
                <w:szCs w:val="20"/>
              </w:rPr>
            </w:pPr>
            <w:r w:rsidRPr="00E1476D">
              <w:rPr>
                <w:rFonts w:asciiTheme="majorHAnsi" w:hAnsiTheme="majorHAnsi"/>
                <w:b/>
                <w:sz w:val="20"/>
                <w:szCs w:val="20"/>
              </w:rPr>
              <w:t>$431,000</w:t>
            </w:r>
          </w:p>
        </w:tc>
      </w:tr>
      <w:tr w:rsidR="009827B9" w:rsidRPr="00E1476D" w14:paraId="37271B47" w14:textId="77777777" w:rsidTr="009827B9">
        <w:trPr>
          <w:cantSplit/>
          <w:trHeight w:val="296"/>
        </w:trPr>
        <w:tc>
          <w:tcPr>
            <w:tcW w:w="1902" w:type="dxa"/>
            <w:tcBorders>
              <w:top w:val="single" w:sz="4" w:space="0" w:color="auto"/>
              <w:left w:val="single" w:sz="4" w:space="0" w:color="auto"/>
              <w:bottom w:val="single" w:sz="4" w:space="0" w:color="auto"/>
            </w:tcBorders>
            <w:noWrap/>
            <w:vAlign w:val="center"/>
          </w:tcPr>
          <w:p w14:paraId="1E55508E" w14:textId="34331779" w:rsidR="009827B9" w:rsidRPr="00E1476D" w:rsidRDefault="009827B9" w:rsidP="009827B9">
            <w:pPr>
              <w:rPr>
                <w:rFonts w:asciiTheme="majorHAnsi" w:hAnsiTheme="majorHAnsi"/>
                <w:bCs/>
                <w:sz w:val="20"/>
                <w:szCs w:val="20"/>
              </w:rPr>
            </w:pPr>
            <w:r w:rsidRPr="00E1476D">
              <w:rPr>
                <w:rFonts w:asciiTheme="majorHAnsi" w:hAnsiTheme="majorHAnsi"/>
                <w:bCs/>
                <w:sz w:val="20"/>
                <w:szCs w:val="20"/>
              </w:rPr>
              <w:t xml:space="preserve">OUTCOME 3: </w:t>
            </w:r>
          </w:p>
        </w:tc>
        <w:tc>
          <w:tcPr>
            <w:tcW w:w="1559" w:type="dxa"/>
            <w:tcBorders>
              <w:top w:val="single" w:sz="4" w:space="0" w:color="auto"/>
              <w:left w:val="single" w:sz="4" w:space="0" w:color="auto"/>
              <w:bottom w:val="single" w:sz="4" w:space="0" w:color="auto"/>
              <w:right w:val="single" w:sz="4" w:space="0" w:color="auto"/>
            </w:tcBorders>
            <w:vAlign w:val="center"/>
          </w:tcPr>
          <w:p w14:paraId="4A001481" w14:textId="77777777"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UNDP/UNOPS</w:t>
            </w:r>
          </w:p>
        </w:tc>
        <w:tc>
          <w:tcPr>
            <w:tcW w:w="1134" w:type="dxa"/>
            <w:tcBorders>
              <w:top w:val="single" w:sz="4" w:space="0" w:color="auto"/>
              <w:left w:val="single" w:sz="4" w:space="0" w:color="auto"/>
              <w:bottom w:val="single" w:sz="4" w:space="0" w:color="auto"/>
              <w:right w:val="single" w:sz="4" w:space="0" w:color="auto"/>
            </w:tcBorders>
            <w:noWrap/>
            <w:vAlign w:val="center"/>
          </w:tcPr>
          <w:p w14:paraId="001F6632"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$405,400</w:t>
            </w:r>
          </w:p>
        </w:tc>
        <w:tc>
          <w:tcPr>
            <w:tcW w:w="1134" w:type="dxa"/>
            <w:tcBorders>
              <w:top w:val="single" w:sz="4" w:space="0" w:color="auto"/>
              <w:left w:val="single" w:sz="4" w:space="0" w:color="auto"/>
              <w:bottom w:val="single" w:sz="4" w:space="0" w:color="auto"/>
              <w:right w:val="single" w:sz="4" w:space="0" w:color="auto"/>
            </w:tcBorders>
            <w:noWrap/>
            <w:vAlign w:val="center"/>
          </w:tcPr>
          <w:p w14:paraId="4FA02AA9"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$205,200</w:t>
            </w:r>
          </w:p>
        </w:tc>
        <w:tc>
          <w:tcPr>
            <w:tcW w:w="1134" w:type="dxa"/>
            <w:tcBorders>
              <w:top w:val="single" w:sz="4" w:space="0" w:color="auto"/>
              <w:left w:val="single" w:sz="4" w:space="0" w:color="auto"/>
              <w:bottom w:val="single" w:sz="4" w:space="0" w:color="auto"/>
              <w:right w:val="single" w:sz="4" w:space="0" w:color="auto"/>
            </w:tcBorders>
            <w:noWrap/>
            <w:vAlign w:val="center"/>
          </w:tcPr>
          <w:p w14:paraId="4E916C76"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$145,200</w:t>
            </w:r>
          </w:p>
        </w:tc>
        <w:tc>
          <w:tcPr>
            <w:tcW w:w="1134" w:type="dxa"/>
            <w:tcBorders>
              <w:top w:val="single" w:sz="4" w:space="0" w:color="auto"/>
              <w:left w:val="single" w:sz="4" w:space="0" w:color="auto"/>
              <w:bottom w:val="single" w:sz="4" w:space="0" w:color="auto"/>
              <w:right w:val="single" w:sz="4" w:space="0" w:color="auto"/>
            </w:tcBorders>
            <w:noWrap/>
            <w:vAlign w:val="center"/>
          </w:tcPr>
          <w:p w14:paraId="3BFAD5A4"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$58,200</w:t>
            </w:r>
          </w:p>
        </w:tc>
        <w:tc>
          <w:tcPr>
            <w:tcW w:w="1276" w:type="dxa"/>
            <w:tcBorders>
              <w:top w:val="single" w:sz="4" w:space="0" w:color="auto"/>
              <w:left w:val="single" w:sz="4" w:space="0" w:color="auto"/>
              <w:bottom w:val="single" w:sz="4" w:space="0" w:color="auto"/>
              <w:right w:val="single" w:sz="4" w:space="0" w:color="auto"/>
            </w:tcBorders>
            <w:noWrap/>
            <w:vAlign w:val="center"/>
          </w:tcPr>
          <w:p w14:paraId="20E2C833" w14:textId="77777777" w:rsidR="009827B9" w:rsidRPr="00E1476D" w:rsidRDefault="009827B9" w:rsidP="00046A50">
            <w:pPr>
              <w:jc w:val="right"/>
              <w:rPr>
                <w:rFonts w:asciiTheme="majorHAnsi" w:hAnsiTheme="majorHAnsi"/>
                <w:b/>
                <w:sz w:val="20"/>
                <w:szCs w:val="20"/>
              </w:rPr>
            </w:pPr>
            <w:r w:rsidRPr="00E1476D">
              <w:rPr>
                <w:rFonts w:asciiTheme="majorHAnsi" w:hAnsiTheme="majorHAnsi"/>
                <w:b/>
                <w:sz w:val="20"/>
                <w:szCs w:val="20"/>
              </w:rPr>
              <w:t>$814,000</w:t>
            </w:r>
          </w:p>
        </w:tc>
      </w:tr>
      <w:tr w:rsidR="009827B9" w:rsidRPr="00E1476D" w14:paraId="75906A5D" w14:textId="77777777" w:rsidTr="009827B9">
        <w:trPr>
          <w:cantSplit/>
          <w:trHeight w:val="296"/>
        </w:trPr>
        <w:tc>
          <w:tcPr>
            <w:tcW w:w="1902" w:type="dxa"/>
            <w:tcBorders>
              <w:top w:val="single" w:sz="4" w:space="0" w:color="auto"/>
              <w:left w:val="single" w:sz="4" w:space="0" w:color="auto"/>
              <w:bottom w:val="single" w:sz="4" w:space="0" w:color="auto"/>
            </w:tcBorders>
            <w:noWrap/>
            <w:vAlign w:val="center"/>
          </w:tcPr>
          <w:p w14:paraId="4051DADC" w14:textId="27184544" w:rsidR="009827B9" w:rsidRPr="00E1476D" w:rsidRDefault="009827B9" w:rsidP="009827B9">
            <w:pPr>
              <w:rPr>
                <w:rFonts w:asciiTheme="majorHAnsi" w:hAnsiTheme="majorHAnsi"/>
                <w:bCs/>
                <w:sz w:val="20"/>
                <w:szCs w:val="20"/>
              </w:rPr>
            </w:pPr>
            <w:r w:rsidRPr="00E1476D">
              <w:rPr>
                <w:rFonts w:asciiTheme="majorHAnsi" w:hAnsiTheme="majorHAnsi"/>
                <w:bCs/>
                <w:sz w:val="20"/>
                <w:szCs w:val="20"/>
              </w:rPr>
              <w:t xml:space="preserve">OUTCOME 4: </w:t>
            </w:r>
          </w:p>
        </w:tc>
        <w:tc>
          <w:tcPr>
            <w:tcW w:w="1559" w:type="dxa"/>
            <w:tcBorders>
              <w:top w:val="single" w:sz="4" w:space="0" w:color="auto"/>
              <w:left w:val="single" w:sz="4" w:space="0" w:color="auto"/>
              <w:bottom w:val="single" w:sz="4" w:space="0" w:color="auto"/>
              <w:right w:val="single" w:sz="4" w:space="0" w:color="auto"/>
            </w:tcBorders>
            <w:vAlign w:val="center"/>
          </w:tcPr>
          <w:p w14:paraId="1F460D81" w14:textId="77777777"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UNEP/UNEP-DEWA</w:t>
            </w:r>
          </w:p>
        </w:tc>
        <w:tc>
          <w:tcPr>
            <w:tcW w:w="1134" w:type="dxa"/>
            <w:tcBorders>
              <w:top w:val="single" w:sz="4" w:space="0" w:color="auto"/>
              <w:left w:val="single" w:sz="4" w:space="0" w:color="auto"/>
              <w:bottom w:val="single" w:sz="4" w:space="0" w:color="auto"/>
              <w:right w:val="single" w:sz="4" w:space="0" w:color="auto"/>
            </w:tcBorders>
            <w:noWrap/>
            <w:vAlign w:val="center"/>
          </w:tcPr>
          <w:p w14:paraId="5D80D0B3" w14:textId="77777777" w:rsidR="009827B9" w:rsidRPr="00E1476D" w:rsidRDefault="009827B9" w:rsidP="00046A50">
            <w:pPr>
              <w:jc w:val="right"/>
              <w:rPr>
                <w:rFonts w:asciiTheme="majorHAnsi" w:hAnsiTheme="majorHAnsi"/>
                <w:bCs/>
                <w:color w:val="000000"/>
                <w:sz w:val="20"/>
                <w:szCs w:val="20"/>
              </w:rPr>
            </w:pPr>
            <w:r>
              <w:rPr>
                <w:rFonts w:asciiTheme="majorHAnsi" w:hAnsiTheme="majorHAnsi"/>
                <w:bCs/>
                <w:color w:val="000000"/>
                <w:sz w:val="20"/>
                <w:szCs w:val="20"/>
              </w:rPr>
              <w:t>$</w:t>
            </w:r>
            <w:r w:rsidRPr="00E1476D">
              <w:rPr>
                <w:rFonts w:asciiTheme="majorHAnsi" w:hAnsiTheme="majorHAnsi"/>
                <w:bCs/>
                <w:color w:val="000000"/>
                <w:sz w:val="20"/>
                <w:szCs w:val="20"/>
              </w:rPr>
              <w:t>216,034</w:t>
            </w:r>
          </w:p>
        </w:tc>
        <w:tc>
          <w:tcPr>
            <w:tcW w:w="1134" w:type="dxa"/>
            <w:tcBorders>
              <w:top w:val="single" w:sz="4" w:space="0" w:color="auto"/>
              <w:left w:val="single" w:sz="4" w:space="0" w:color="auto"/>
              <w:bottom w:val="single" w:sz="4" w:space="0" w:color="auto"/>
              <w:right w:val="single" w:sz="4" w:space="0" w:color="auto"/>
            </w:tcBorders>
            <w:noWrap/>
            <w:vAlign w:val="center"/>
          </w:tcPr>
          <w:p w14:paraId="31D33DC4" w14:textId="77777777" w:rsidR="009827B9" w:rsidRPr="00E1476D" w:rsidRDefault="009827B9" w:rsidP="00046A50">
            <w:pPr>
              <w:jc w:val="right"/>
              <w:rPr>
                <w:rFonts w:asciiTheme="majorHAnsi" w:hAnsiTheme="majorHAnsi"/>
                <w:bCs/>
                <w:color w:val="000000"/>
                <w:sz w:val="20"/>
                <w:szCs w:val="20"/>
              </w:rPr>
            </w:pPr>
            <w:r>
              <w:rPr>
                <w:rFonts w:asciiTheme="majorHAnsi" w:hAnsiTheme="majorHAnsi"/>
                <w:bCs/>
                <w:color w:val="000000"/>
                <w:sz w:val="20"/>
                <w:szCs w:val="20"/>
              </w:rPr>
              <w:t>$</w:t>
            </w:r>
            <w:r w:rsidRPr="00E1476D">
              <w:rPr>
                <w:rFonts w:asciiTheme="majorHAnsi" w:hAnsiTheme="majorHAnsi"/>
                <w:bCs/>
                <w:color w:val="000000"/>
                <w:sz w:val="20"/>
                <w:szCs w:val="20"/>
              </w:rPr>
              <w:t>275,283</w:t>
            </w:r>
          </w:p>
        </w:tc>
        <w:tc>
          <w:tcPr>
            <w:tcW w:w="1134" w:type="dxa"/>
            <w:tcBorders>
              <w:top w:val="single" w:sz="4" w:space="0" w:color="auto"/>
              <w:left w:val="single" w:sz="4" w:space="0" w:color="auto"/>
              <w:bottom w:val="single" w:sz="4" w:space="0" w:color="auto"/>
              <w:right w:val="single" w:sz="4" w:space="0" w:color="auto"/>
            </w:tcBorders>
            <w:noWrap/>
            <w:vAlign w:val="center"/>
          </w:tcPr>
          <w:p w14:paraId="0FF560C6" w14:textId="77777777" w:rsidR="009827B9" w:rsidRPr="00E1476D" w:rsidRDefault="009827B9" w:rsidP="00046A50">
            <w:pPr>
              <w:jc w:val="right"/>
              <w:rPr>
                <w:rFonts w:asciiTheme="majorHAnsi" w:hAnsiTheme="majorHAnsi"/>
                <w:bCs/>
                <w:color w:val="000000"/>
                <w:sz w:val="20"/>
                <w:szCs w:val="20"/>
              </w:rPr>
            </w:pPr>
            <w:r>
              <w:rPr>
                <w:rFonts w:asciiTheme="majorHAnsi" w:hAnsiTheme="majorHAnsi"/>
                <w:bCs/>
                <w:color w:val="000000"/>
                <w:sz w:val="20"/>
                <w:szCs w:val="20"/>
              </w:rPr>
              <w:t>$</w:t>
            </w:r>
            <w:r w:rsidRPr="00E1476D">
              <w:rPr>
                <w:rFonts w:asciiTheme="majorHAnsi" w:hAnsiTheme="majorHAnsi"/>
                <w:bCs/>
                <w:color w:val="000000"/>
                <w:sz w:val="20"/>
                <w:szCs w:val="20"/>
              </w:rPr>
              <w:t>266,883</w:t>
            </w:r>
          </w:p>
        </w:tc>
        <w:tc>
          <w:tcPr>
            <w:tcW w:w="1134" w:type="dxa"/>
            <w:tcBorders>
              <w:top w:val="single" w:sz="4" w:space="0" w:color="auto"/>
              <w:left w:val="single" w:sz="4" w:space="0" w:color="auto"/>
              <w:bottom w:val="single" w:sz="4" w:space="0" w:color="auto"/>
              <w:right w:val="single" w:sz="4" w:space="0" w:color="auto"/>
            </w:tcBorders>
            <w:noWrap/>
            <w:vAlign w:val="center"/>
          </w:tcPr>
          <w:p w14:paraId="538E33DE" w14:textId="77777777" w:rsidR="009827B9" w:rsidRPr="00E1476D" w:rsidRDefault="009827B9" w:rsidP="00046A50">
            <w:pPr>
              <w:jc w:val="right"/>
              <w:rPr>
                <w:rFonts w:asciiTheme="majorHAnsi" w:hAnsiTheme="majorHAnsi"/>
                <w:bCs/>
                <w:color w:val="000000"/>
                <w:sz w:val="20"/>
                <w:szCs w:val="20"/>
              </w:rPr>
            </w:pPr>
            <w:r>
              <w:rPr>
                <w:rFonts w:asciiTheme="majorHAnsi" w:hAnsiTheme="majorHAnsi"/>
                <w:bCs/>
                <w:color w:val="000000"/>
                <w:sz w:val="20"/>
                <w:szCs w:val="20"/>
              </w:rPr>
              <w:t>$</w:t>
            </w:r>
            <w:r w:rsidRPr="00E1476D">
              <w:rPr>
                <w:rFonts w:asciiTheme="majorHAnsi" w:hAnsiTheme="majorHAnsi"/>
                <w:bCs/>
                <w:color w:val="000000"/>
                <w:sz w:val="20"/>
                <w:szCs w:val="20"/>
              </w:rPr>
              <w:t>176,800</w:t>
            </w:r>
          </w:p>
        </w:tc>
        <w:tc>
          <w:tcPr>
            <w:tcW w:w="1276" w:type="dxa"/>
            <w:tcBorders>
              <w:top w:val="single" w:sz="4" w:space="0" w:color="auto"/>
              <w:left w:val="single" w:sz="4" w:space="0" w:color="auto"/>
              <w:bottom w:val="single" w:sz="4" w:space="0" w:color="auto"/>
              <w:right w:val="single" w:sz="4" w:space="0" w:color="auto"/>
            </w:tcBorders>
            <w:noWrap/>
            <w:vAlign w:val="center"/>
          </w:tcPr>
          <w:p w14:paraId="11689E5F" w14:textId="77777777" w:rsidR="009827B9" w:rsidRPr="00E1476D" w:rsidRDefault="009827B9" w:rsidP="00046A50">
            <w:pPr>
              <w:jc w:val="right"/>
              <w:rPr>
                <w:rFonts w:asciiTheme="majorHAnsi" w:hAnsiTheme="majorHAnsi"/>
                <w:b/>
                <w:sz w:val="20"/>
                <w:szCs w:val="20"/>
              </w:rPr>
            </w:pPr>
            <w:r>
              <w:rPr>
                <w:rFonts w:asciiTheme="majorHAnsi" w:hAnsiTheme="majorHAnsi"/>
                <w:b/>
                <w:sz w:val="20"/>
                <w:szCs w:val="20"/>
              </w:rPr>
              <w:t>$</w:t>
            </w:r>
            <w:r w:rsidRPr="00E1476D">
              <w:rPr>
                <w:rFonts w:asciiTheme="majorHAnsi" w:hAnsiTheme="majorHAnsi"/>
                <w:b/>
                <w:sz w:val="20"/>
                <w:szCs w:val="20"/>
              </w:rPr>
              <w:t>935,000</w:t>
            </w:r>
          </w:p>
        </w:tc>
      </w:tr>
      <w:tr w:rsidR="009827B9" w:rsidRPr="00E1476D" w14:paraId="0DBAAA2F" w14:textId="77777777" w:rsidTr="009827B9">
        <w:trPr>
          <w:cantSplit/>
          <w:trHeight w:val="216"/>
        </w:trPr>
        <w:tc>
          <w:tcPr>
            <w:tcW w:w="1902" w:type="dxa"/>
            <w:tcBorders>
              <w:top w:val="single" w:sz="4" w:space="0" w:color="auto"/>
              <w:left w:val="single" w:sz="4" w:space="0" w:color="auto"/>
              <w:bottom w:val="single" w:sz="4" w:space="0" w:color="auto"/>
            </w:tcBorders>
            <w:noWrap/>
            <w:vAlign w:val="center"/>
          </w:tcPr>
          <w:p w14:paraId="77375BED" w14:textId="6926000B" w:rsidR="009827B9" w:rsidRPr="00E1476D" w:rsidRDefault="009827B9" w:rsidP="009827B9">
            <w:pPr>
              <w:rPr>
                <w:rFonts w:asciiTheme="majorHAnsi" w:hAnsiTheme="majorHAnsi"/>
                <w:bCs/>
                <w:sz w:val="20"/>
                <w:szCs w:val="20"/>
              </w:rPr>
            </w:pPr>
            <w:r w:rsidRPr="00E1476D">
              <w:rPr>
                <w:rFonts w:asciiTheme="majorHAnsi" w:hAnsiTheme="majorHAnsi"/>
                <w:bCs/>
                <w:sz w:val="20"/>
                <w:szCs w:val="20"/>
              </w:rPr>
              <w:t xml:space="preserve">OUTCOME 5: </w:t>
            </w:r>
          </w:p>
        </w:tc>
        <w:tc>
          <w:tcPr>
            <w:tcW w:w="1559" w:type="dxa"/>
            <w:tcBorders>
              <w:top w:val="single" w:sz="4" w:space="0" w:color="auto"/>
              <w:left w:val="single" w:sz="4" w:space="0" w:color="auto"/>
              <w:bottom w:val="single" w:sz="4" w:space="0" w:color="auto"/>
              <w:right w:val="single" w:sz="4" w:space="0" w:color="auto"/>
            </w:tcBorders>
            <w:vAlign w:val="center"/>
          </w:tcPr>
          <w:p w14:paraId="21CE8870" w14:textId="77777777"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UNDP/UNOPS</w:t>
            </w:r>
          </w:p>
        </w:tc>
        <w:tc>
          <w:tcPr>
            <w:tcW w:w="1134" w:type="dxa"/>
            <w:tcBorders>
              <w:top w:val="single" w:sz="4" w:space="0" w:color="auto"/>
              <w:left w:val="single" w:sz="4" w:space="0" w:color="auto"/>
              <w:bottom w:val="single" w:sz="4" w:space="0" w:color="auto"/>
              <w:right w:val="single" w:sz="4" w:space="0" w:color="auto"/>
            </w:tcBorders>
            <w:noWrap/>
            <w:vAlign w:val="center"/>
          </w:tcPr>
          <w:p w14:paraId="0B54F58D"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$157,900</w:t>
            </w:r>
          </w:p>
        </w:tc>
        <w:tc>
          <w:tcPr>
            <w:tcW w:w="1134" w:type="dxa"/>
            <w:tcBorders>
              <w:top w:val="single" w:sz="4" w:space="0" w:color="auto"/>
              <w:left w:val="single" w:sz="4" w:space="0" w:color="auto"/>
              <w:bottom w:val="single" w:sz="4" w:space="0" w:color="auto"/>
              <w:right w:val="single" w:sz="4" w:space="0" w:color="auto"/>
            </w:tcBorders>
            <w:noWrap/>
            <w:vAlign w:val="center"/>
          </w:tcPr>
          <w:p w14:paraId="555CD2ED"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$102,900</w:t>
            </w:r>
          </w:p>
        </w:tc>
        <w:tc>
          <w:tcPr>
            <w:tcW w:w="1134" w:type="dxa"/>
            <w:tcBorders>
              <w:top w:val="single" w:sz="4" w:space="0" w:color="auto"/>
              <w:left w:val="single" w:sz="4" w:space="0" w:color="auto"/>
              <w:bottom w:val="single" w:sz="4" w:space="0" w:color="auto"/>
              <w:right w:val="single" w:sz="4" w:space="0" w:color="auto"/>
            </w:tcBorders>
            <w:noWrap/>
            <w:vAlign w:val="center"/>
          </w:tcPr>
          <w:p w14:paraId="6514AA7B"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$92,900</w:t>
            </w:r>
          </w:p>
        </w:tc>
        <w:tc>
          <w:tcPr>
            <w:tcW w:w="1134" w:type="dxa"/>
            <w:tcBorders>
              <w:top w:val="single" w:sz="4" w:space="0" w:color="auto"/>
              <w:left w:val="single" w:sz="4" w:space="0" w:color="auto"/>
              <w:bottom w:val="single" w:sz="4" w:space="0" w:color="auto"/>
              <w:right w:val="single" w:sz="4" w:space="0" w:color="auto"/>
            </w:tcBorders>
            <w:noWrap/>
            <w:vAlign w:val="center"/>
          </w:tcPr>
          <w:p w14:paraId="64DD2F76"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$70,300</w:t>
            </w:r>
          </w:p>
        </w:tc>
        <w:tc>
          <w:tcPr>
            <w:tcW w:w="1276" w:type="dxa"/>
            <w:tcBorders>
              <w:top w:val="single" w:sz="4" w:space="0" w:color="auto"/>
              <w:left w:val="single" w:sz="4" w:space="0" w:color="auto"/>
              <w:bottom w:val="single" w:sz="4" w:space="0" w:color="auto"/>
              <w:right w:val="single" w:sz="4" w:space="0" w:color="auto"/>
            </w:tcBorders>
            <w:noWrap/>
            <w:vAlign w:val="center"/>
          </w:tcPr>
          <w:p w14:paraId="1472A899" w14:textId="77777777" w:rsidR="009827B9" w:rsidRPr="00E1476D" w:rsidRDefault="009827B9" w:rsidP="00046A50">
            <w:pPr>
              <w:jc w:val="right"/>
              <w:rPr>
                <w:rFonts w:asciiTheme="majorHAnsi" w:hAnsiTheme="majorHAnsi"/>
                <w:b/>
                <w:sz w:val="20"/>
                <w:szCs w:val="20"/>
              </w:rPr>
            </w:pPr>
            <w:r w:rsidRPr="00E1476D">
              <w:rPr>
                <w:rFonts w:asciiTheme="majorHAnsi" w:hAnsiTheme="majorHAnsi"/>
                <w:b/>
                <w:sz w:val="20"/>
                <w:szCs w:val="20"/>
              </w:rPr>
              <w:t>$424,000</w:t>
            </w:r>
          </w:p>
        </w:tc>
      </w:tr>
      <w:tr w:rsidR="009827B9" w:rsidRPr="00E1476D" w14:paraId="13BC35D4" w14:textId="77777777" w:rsidTr="009827B9">
        <w:trPr>
          <w:cantSplit/>
          <w:trHeight w:val="340"/>
        </w:trPr>
        <w:tc>
          <w:tcPr>
            <w:tcW w:w="1902" w:type="dxa"/>
            <w:tcBorders>
              <w:top w:val="single" w:sz="4" w:space="0" w:color="auto"/>
              <w:left w:val="single" w:sz="4" w:space="0" w:color="auto"/>
              <w:bottom w:val="single" w:sz="4" w:space="0" w:color="auto"/>
            </w:tcBorders>
            <w:noWrap/>
            <w:vAlign w:val="center"/>
          </w:tcPr>
          <w:p w14:paraId="4D1F942E" w14:textId="77777777" w:rsidR="009827B9" w:rsidRPr="00E1476D" w:rsidRDefault="009827B9" w:rsidP="00046A50">
            <w:pPr>
              <w:rPr>
                <w:rFonts w:asciiTheme="majorHAnsi" w:hAnsiTheme="majorHAnsi"/>
                <w:sz w:val="20"/>
                <w:szCs w:val="20"/>
              </w:rPr>
            </w:pPr>
            <w:r>
              <w:rPr>
                <w:rFonts w:asciiTheme="majorHAnsi" w:hAnsiTheme="majorHAnsi"/>
                <w:bCs/>
                <w:sz w:val="20"/>
                <w:szCs w:val="20"/>
              </w:rPr>
              <w:t>M&amp;E</w:t>
            </w:r>
          </w:p>
        </w:tc>
        <w:tc>
          <w:tcPr>
            <w:tcW w:w="1559" w:type="dxa"/>
            <w:tcBorders>
              <w:top w:val="single" w:sz="4" w:space="0" w:color="auto"/>
              <w:left w:val="single" w:sz="4" w:space="0" w:color="auto"/>
              <w:bottom w:val="single" w:sz="4" w:space="0" w:color="auto"/>
              <w:right w:val="single" w:sz="4" w:space="0" w:color="auto"/>
            </w:tcBorders>
            <w:vAlign w:val="center"/>
          </w:tcPr>
          <w:p w14:paraId="4F849103" w14:textId="77777777"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UNDP/UNOPS</w:t>
            </w:r>
          </w:p>
        </w:tc>
        <w:tc>
          <w:tcPr>
            <w:tcW w:w="1134" w:type="dxa"/>
            <w:tcBorders>
              <w:top w:val="single" w:sz="4" w:space="0" w:color="auto"/>
              <w:left w:val="single" w:sz="4" w:space="0" w:color="auto"/>
              <w:bottom w:val="single" w:sz="4" w:space="0" w:color="auto"/>
              <w:right w:val="single" w:sz="4" w:space="0" w:color="auto"/>
            </w:tcBorders>
            <w:noWrap/>
            <w:vAlign w:val="center"/>
          </w:tcPr>
          <w:p w14:paraId="2BBBF3F0"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$10,000</w:t>
            </w:r>
          </w:p>
        </w:tc>
        <w:tc>
          <w:tcPr>
            <w:tcW w:w="1134" w:type="dxa"/>
            <w:tcBorders>
              <w:top w:val="single" w:sz="4" w:space="0" w:color="auto"/>
              <w:left w:val="single" w:sz="4" w:space="0" w:color="auto"/>
              <w:bottom w:val="single" w:sz="4" w:space="0" w:color="auto"/>
              <w:right w:val="single" w:sz="4" w:space="0" w:color="auto"/>
            </w:tcBorders>
            <w:noWrap/>
            <w:vAlign w:val="center"/>
          </w:tcPr>
          <w:p w14:paraId="6489FB7A"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$57,500</w:t>
            </w:r>
          </w:p>
        </w:tc>
        <w:tc>
          <w:tcPr>
            <w:tcW w:w="1134" w:type="dxa"/>
            <w:tcBorders>
              <w:top w:val="single" w:sz="4" w:space="0" w:color="auto"/>
              <w:left w:val="single" w:sz="4" w:space="0" w:color="auto"/>
              <w:bottom w:val="single" w:sz="4" w:space="0" w:color="auto"/>
              <w:right w:val="single" w:sz="4" w:space="0" w:color="auto"/>
            </w:tcBorders>
            <w:noWrap/>
            <w:vAlign w:val="center"/>
          </w:tcPr>
          <w:p w14:paraId="1C81677E"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$7,500</w:t>
            </w:r>
          </w:p>
        </w:tc>
        <w:tc>
          <w:tcPr>
            <w:tcW w:w="1134" w:type="dxa"/>
            <w:tcBorders>
              <w:top w:val="single" w:sz="4" w:space="0" w:color="auto"/>
              <w:left w:val="single" w:sz="4" w:space="0" w:color="auto"/>
              <w:bottom w:val="single" w:sz="4" w:space="0" w:color="auto"/>
              <w:right w:val="single" w:sz="4" w:space="0" w:color="auto"/>
            </w:tcBorders>
            <w:noWrap/>
            <w:vAlign w:val="center"/>
          </w:tcPr>
          <w:p w14:paraId="2B6BFD07"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$75,000</w:t>
            </w:r>
          </w:p>
        </w:tc>
        <w:tc>
          <w:tcPr>
            <w:tcW w:w="1276" w:type="dxa"/>
            <w:tcBorders>
              <w:top w:val="single" w:sz="4" w:space="0" w:color="auto"/>
              <w:left w:val="single" w:sz="4" w:space="0" w:color="auto"/>
              <w:bottom w:val="single" w:sz="4" w:space="0" w:color="auto"/>
              <w:right w:val="single" w:sz="4" w:space="0" w:color="auto"/>
            </w:tcBorders>
            <w:noWrap/>
            <w:vAlign w:val="center"/>
          </w:tcPr>
          <w:p w14:paraId="68D6CE7B" w14:textId="77777777" w:rsidR="009827B9" w:rsidRPr="00E1476D" w:rsidRDefault="009827B9" w:rsidP="00046A50">
            <w:pPr>
              <w:jc w:val="right"/>
              <w:rPr>
                <w:rFonts w:asciiTheme="majorHAnsi" w:hAnsiTheme="majorHAnsi"/>
                <w:b/>
                <w:sz w:val="20"/>
                <w:szCs w:val="20"/>
              </w:rPr>
            </w:pPr>
            <w:r w:rsidRPr="00E1476D">
              <w:rPr>
                <w:rFonts w:asciiTheme="majorHAnsi" w:hAnsiTheme="majorHAnsi"/>
                <w:b/>
                <w:sz w:val="20"/>
                <w:szCs w:val="20"/>
              </w:rPr>
              <w:t>$150,000</w:t>
            </w:r>
          </w:p>
        </w:tc>
      </w:tr>
      <w:tr w:rsidR="009827B9" w:rsidRPr="00E1476D" w14:paraId="5F28FC07" w14:textId="77777777" w:rsidTr="009827B9">
        <w:trPr>
          <w:cantSplit/>
          <w:trHeight w:val="617"/>
        </w:trPr>
        <w:tc>
          <w:tcPr>
            <w:tcW w:w="1902" w:type="dxa"/>
            <w:tcBorders>
              <w:top w:val="single" w:sz="4" w:space="0" w:color="auto"/>
              <w:left w:val="single" w:sz="4" w:space="0" w:color="auto"/>
              <w:bottom w:val="single" w:sz="4" w:space="0" w:color="auto"/>
              <w:right w:val="single" w:sz="4" w:space="0" w:color="auto"/>
            </w:tcBorders>
            <w:vAlign w:val="center"/>
          </w:tcPr>
          <w:p w14:paraId="22D9F348" w14:textId="3E45E6D4"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 xml:space="preserve">Project management  unit </w:t>
            </w:r>
          </w:p>
        </w:tc>
        <w:tc>
          <w:tcPr>
            <w:tcW w:w="1559" w:type="dxa"/>
            <w:tcBorders>
              <w:top w:val="single" w:sz="4" w:space="0" w:color="auto"/>
              <w:left w:val="single" w:sz="4" w:space="0" w:color="auto"/>
              <w:bottom w:val="single" w:sz="4" w:space="0" w:color="auto"/>
              <w:right w:val="single" w:sz="4" w:space="0" w:color="auto"/>
            </w:tcBorders>
            <w:vAlign w:val="center"/>
          </w:tcPr>
          <w:p w14:paraId="023DE6F7" w14:textId="77777777" w:rsidR="009827B9" w:rsidRPr="00E1476D" w:rsidRDefault="009827B9" w:rsidP="00046A50">
            <w:pPr>
              <w:rPr>
                <w:rFonts w:asciiTheme="majorHAnsi" w:hAnsiTheme="majorHAnsi"/>
                <w:bCs/>
                <w:sz w:val="20"/>
                <w:szCs w:val="20"/>
              </w:rPr>
            </w:pPr>
            <w:r w:rsidRPr="00E1476D">
              <w:rPr>
                <w:rFonts w:asciiTheme="majorHAnsi" w:hAnsiTheme="majorHAnsi"/>
                <w:bCs/>
                <w:sz w:val="20"/>
                <w:szCs w:val="20"/>
              </w:rPr>
              <w:t>UNDP/UNOPS</w:t>
            </w:r>
          </w:p>
        </w:tc>
        <w:tc>
          <w:tcPr>
            <w:tcW w:w="1134" w:type="dxa"/>
            <w:tcBorders>
              <w:top w:val="single" w:sz="4" w:space="0" w:color="auto"/>
              <w:left w:val="single" w:sz="4" w:space="0" w:color="auto"/>
              <w:bottom w:val="single" w:sz="4" w:space="0" w:color="auto"/>
              <w:right w:val="single" w:sz="4" w:space="0" w:color="auto"/>
            </w:tcBorders>
            <w:noWrap/>
            <w:vAlign w:val="center"/>
          </w:tcPr>
          <w:p w14:paraId="1BD2535F"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$120,250</w:t>
            </w:r>
          </w:p>
        </w:tc>
        <w:tc>
          <w:tcPr>
            <w:tcW w:w="1134" w:type="dxa"/>
            <w:tcBorders>
              <w:top w:val="single" w:sz="4" w:space="0" w:color="auto"/>
              <w:left w:val="single" w:sz="4" w:space="0" w:color="auto"/>
              <w:bottom w:val="single" w:sz="4" w:space="0" w:color="auto"/>
              <w:right w:val="single" w:sz="4" w:space="0" w:color="auto"/>
            </w:tcBorders>
            <w:noWrap/>
            <w:vAlign w:val="center"/>
          </w:tcPr>
          <w:p w14:paraId="6ED51B7C"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$118,250</w:t>
            </w:r>
          </w:p>
        </w:tc>
        <w:tc>
          <w:tcPr>
            <w:tcW w:w="1134" w:type="dxa"/>
            <w:tcBorders>
              <w:top w:val="single" w:sz="4" w:space="0" w:color="auto"/>
              <w:left w:val="single" w:sz="4" w:space="0" w:color="auto"/>
              <w:bottom w:val="single" w:sz="4" w:space="0" w:color="auto"/>
              <w:right w:val="single" w:sz="4" w:space="0" w:color="auto"/>
            </w:tcBorders>
            <w:noWrap/>
            <w:vAlign w:val="center"/>
          </w:tcPr>
          <w:p w14:paraId="008C48D4"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$117,650</w:t>
            </w:r>
          </w:p>
        </w:tc>
        <w:tc>
          <w:tcPr>
            <w:tcW w:w="1134" w:type="dxa"/>
            <w:tcBorders>
              <w:top w:val="single" w:sz="4" w:space="0" w:color="auto"/>
              <w:left w:val="single" w:sz="4" w:space="0" w:color="auto"/>
              <w:bottom w:val="single" w:sz="4" w:space="0" w:color="auto"/>
              <w:right w:val="single" w:sz="4" w:space="0" w:color="auto"/>
            </w:tcBorders>
            <w:noWrap/>
            <w:vAlign w:val="center"/>
          </w:tcPr>
          <w:p w14:paraId="20D2AC55" w14:textId="77777777" w:rsidR="009827B9" w:rsidRPr="00E1476D" w:rsidRDefault="009827B9" w:rsidP="00046A50">
            <w:pPr>
              <w:jc w:val="right"/>
              <w:rPr>
                <w:rFonts w:asciiTheme="majorHAnsi" w:hAnsiTheme="majorHAnsi"/>
                <w:sz w:val="20"/>
                <w:szCs w:val="20"/>
              </w:rPr>
            </w:pPr>
            <w:r w:rsidRPr="00E1476D">
              <w:rPr>
                <w:rFonts w:asciiTheme="majorHAnsi" w:hAnsiTheme="majorHAnsi"/>
                <w:sz w:val="20"/>
                <w:szCs w:val="20"/>
              </w:rPr>
              <w:t>$43,850</w:t>
            </w:r>
          </w:p>
        </w:tc>
        <w:tc>
          <w:tcPr>
            <w:tcW w:w="1276" w:type="dxa"/>
            <w:tcBorders>
              <w:top w:val="single" w:sz="4" w:space="0" w:color="auto"/>
              <w:left w:val="single" w:sz="4" w:space="0" w:color="auto"/>
              <w:bottom w:val="single" w:sz="4" w:space="0" w:color="auto"/>
              <w:right w:val="single" w:sz="4" w:space="0" w:color="auto"/>
            </w:tcBorders>
            <w:noWrap/>
            <w:vAlign w:val="center"/>
          </w:tcPr>
          <w:p w14:paraId="4D29FF03" w14:textId="77777777" w:rsidR="009827B9" w:rsidRPr="00E1476D" w:rsidRDefault="009827B9" w:rsidP="00046A50">
            <w:pPr>
              <w:jc w:val="right"/>
              <w:rPr>
                <w:rFonts w:asciiTheme="majorHAnsi" w:hAnsiTheme="majorHAnsi"/>
                <w:b/>
                <w:sz w:val="20"/>
                <w:szCs w:val="20"/>
              </w:rPr>
            </w:pPr>
            <w:r w:rsidRPr="00E1476D">
              <w:rPr>
                <w:rFonts w:asciiTheme="majorHAnsi" w:hAnsiTheme="majorHAnsi"/>
                <w:b/>
                <w:sz w:val="20"/>
                <w:szCs w:val="20"/>
              </w:rPr>
              <w:t>$400,000</w:t>
            </w:r>
          </w:p>
        </w:tc>
      </w:tr>
      <w:tr w:rsidR="009827B9" w:rsidRPr="00E1476D" w14:paraId="26E442A1" w14:textId="77777777" w:rsidTr="009827B9">
        <w:trPr>
          <w:cantSplit/>
          <w:trHeight w:val="536"/>
        </w:trPr>
        <w:tc>
          <w:tcPr>
            <w:tcW w:w="1902" w:type="dxa"/>
            <w:tcBorders>
              <w:top w:val="single" w:sz="4" w:space="0" w:color="auto"/>
              <w:left w:val="single" w:sz="4" w:space="0" w:color="auto"/>
              <w:bottom w:val="single" w:sz="4" w:space="0" w:color="auto"/>
              <w:right w:val="single" w:sz="4" w:space="0" w:color="auto"/>
            </w:tcBorders>
            <w:vAlign w:val="center"/>
          </w:tcPr>
          <w:p w14:paraId="42598A49" w14:textId="77777777" w:rsidR="009827B9" w:rsidRPr="00EF4B2B" w:rsidRDefault="009827B9" w:rsidP="00046A50">
            <w:pPr>
              <w:jc w:val="right"/>
              <w:rPr>
                <w:rFonts w:asciiTheme="majorHAnsi" w:hAnsiTheme="majorHAnsi"/>
                <w:b/>
                <w:bCs/>
                <w:sz w:val="20"/>
                <w:szCs w:val="20"/>
              </w:rPr>
            </w:pPr>
            <w:r w:rsidRPr="00EF4B2B">
              <w:rPr>
                <w:rFonts w:asciiTheme="majorHAnsi" w:hAnsiTheme="majorHAnsi"/>
                <w:b/>
                <w:bCs/>
                <w:sz w:val="20"/>
                <w:szCs w:val="20"/>
              </w:rPr>
              <w:t>TOTAL</w:t>
            </w:r>
            <w:r>
              <w:rPr>
                <w:rFonts w:asciiTheme="majorHAnsi" w:hAnsiTheme="majorHAnsi"/>
                <w:b/>
                <w:bCs/>
                <w:sz w:val="20"/>
                <w:szCs w:val="20"/>
              </w:rPr>
              <w:t>S</w:t>
            </w:r>
            <w:r w:rsidRPr="00EF4B2B">
              <w:rPr>
                <w:rFonts w:asciiTheme="majorHAnsi" w:hAnsiTheme="majorHAnsi"/>
                <w:b/>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001AE206" w14:textId="77777777" w:rsidR="009827B9" w:rsidRPr="00E1476D" w:rsidRDefault="009827B9" w:rsidP="00046A50">
            <w:pPr>
              <w:rPr>
                <w:rFonts w:asciiTheme="majorHAnsi" w:hAnsiTheme="majorHAnsi"/>
                <w:bCs/>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25DA8F1" w14:textId="77777777" w:rsidR="009827B9" w:rsidRPr="00EF4B2B" w:rsidRDefault="009827B9" w:rsidP="00046A50">
            <w:pPr>
              <w:jc w:val="center"/>
              <w:rPr>
                <w:rFonts w:asciiTheme="majorHAnsi" w:hAnsiTheme="majorHAnsi"/>
                <w:b/>
                <w:sz w:val="20"/>
                <w:szCs w:val="20"/>
              </w:rPr>
            </w:pPr>
            <w:r w:rsidRPr="00EF4B2B">
              <w:rPr>
                <w:rFonts w:asciiTheme="majorHAnsi" w:hAnsiTheme="majorHAnsi"/>
                <w:b/>
                <w:color w:val="000000"/>
                <w:sz w:val="20"/>
                <w:szCs w:val="20"/>
              </w:rPr>
              <w:t>$1,327,884</w:t>
            </w:r>
          </w:p>
        </w:tc>
        <w:tc>
          <w:tcPr>
            <w:tcW w:w="1134" w:type="dxa"/>
            <w:tcBorders>
              <w:top w:val="single" w:sz="4" w:space="0" w:color="auto"/>
              <w:left w:val="single" w:sz="4" w:space="0" w:color="auto"/>
              <w:bottom w:val="single" w:sz="4" w:space="0" w:color="auto"/>
              <w:right w:val="single" w:sz="4" w:space="0" w:color="auto"/>
            </w:tcBorders>
            <w:noWrap/>
            <w:vAlign w:val="center"/>
          </w:tcPr>
          <w:p w14:paraId="7E26F832" w14:textId="77777777" w:rsidR="009827B9" w:rsidRPr="00EF4B2B" w:rsidRDefault="009827B9" w:rsidP="00046A50">
            <w:pPr>
              <w:jc w:val="center"/>
              <w:rPr>
                <w:rFonts w:asciiTheme="majorHAnsi" w:hAnsiTheme="majorHAnsi"/>
                <w:b/>
                <w:sz w:val="20"/>
                <w:szCs w:val="20"/>
              </w:rPr>
            </w:pPr>
            <w:r w:rsidRPr="00EF4B2B">
              <w:rPr>
                <w:rFonts w:asciiTheme="majorHAnsi" w:hAnsiTheme="majorHAnsi"/>
                <w:b/>
                <w:color w:val="000000"/>
                <w:sz w:val="20"/>
                <w:szCs w:val="20"/>
              </w:rPr>
              <w:t>$1,137,033</w:t>
            </w:r>
          </w:p>
        </w:tc>
        <w:tc>
          <w:tcPr>
            <w:tcW w:w="1134" w:type="dxa"/>
            <w:tcBorders>
              <w:top w:val="single" w:sz="4" w:space="0" w:color="auto"/>
              <w:left w:val="single" w:sz="4" w:space="0" w:color="auto"/>
              <w:bottom w:val="single" w:sz="4" w:space="0" w:color="auto"/>
              <w:right w:val="single" w:sz="4" w:space="0" w:color="auto"/>
            </w:tcBorders>
            <w:noWrap/>
            <w:vAlign w:val="center"/>
          </w:tcPr>
          <w:p w14:paraId="380C8BCD" w14:textId="77777777" w:rsidR="009827B9" w:rsidRPr="00EF4B2B" w:rsidRDefault="009827B9" w:rsidP="00046A50">
            <w:pPr>
              <w:jc w:val="center"/>
              <w:rPr>
                <w:rFonts w:asciiTheme="majorHAnsi" w:hAnsiTheme="majorHAnsi"/>
                <w:b/>
                <w:sz w:val="20"/>
                <w:szCs w:val="20"/>
              </w:rPr>
            </w:pPr>
            <w:r w:rsidRPr="00EF4B2B">
              <w:rPr>
                <w:rFonts w:asciiTheme="majorHAnsi" w:hAnsiTheme="majorHAnsi"/>
                <w:b/>
                <w:color w:val="000000"/>
                <w:sz w:val="20"/>
                <w:szCs w:val="20"/>
              </w:rPr>
              <w:t>$1,008,033</w:t>
            </w:r>
          </w:p>
        </w:tc>
        <w:tc>
          <w:tcPr>
            <w:tcW w:w="1134" w:type="dxa"/>
            <w:tcBorders>
              <w:top w:val="single" w:sz="4" w:space="0" w:color="auto"/>
              <w:left w:val="single" w:sz="4" w:space="0" w:color="auto"/>
              <w:bottom w:val="single" w:sz="4" w:space="0" w:color="auto"/>
              <w:right w:val="single" w:sz="4" w:space="0" w:color="auto"/>
            </w:tcBorders>
            <w:noWrap/>
            <w:vAlign w:val="center"/>
          </w:tcPr>
          <w:p w14:paraId="545C1834" w14:textId="77777777" w:rsidR="009827B9" w:rsidRPr="00EF4B2B" w:rsidRDefault="009827B9" w:rsidP="00046A50">
            <w:pPr>
              <w:jc w:val="center"/>
              <w:rPr>
                <w:rFonts w:asciiTheme="majorHAnsi" w:hAnsiTheme="majorHAnsi"/>
                <w:b/>
                <w:sz w:val="20"/>
                <w:szCs w:val="20"/>
              </w:rPr>
            </w:pPr>
            <w:r w:rsidRPr="00EF4B2B">
              <w:rPr>
                <w:rFonts w:asciiTheme="majorHAnsi" w:hAnsiTheme="majorHAnsi"/>
                <w:b/>
                <w:color w:val="000000"/>
                <w:sz w:val="20"/>
                <w:szCs w:val="20"/>
              </w:rPr>
              <w:t>$622,050</w:t>
            </w:r>
          </w:p>
        </w:tc>
        <w:tc>
          <w:tcPr>
            <w:tcW w:w="1276" w:type="dxa"/>
            <w:tcBorders>
              <w:top w:val="single" w:sz="4" w:space="0" w:color="auto"/>
              <w:left w:val="single" w:sz="4" w:space="0" w:color="auto"/>
              <w:bottom w:val="single" w:sz="4" w:space="0" w:color="auto"/>
              <w:right w:val="single" w:sz="4" w:space="0" w:color="auto"/>
            </w:tcBorders>
            <w:noWrap/>
            <w:vAlign w:val="center"/>
          </w:tcPr>
          <w:p w14:paraId="6C196FD6" w14:textId="77777777" w:rsidR="009827B9" w:rsidRPr="00E1476D" w:rsidRDefault="009827B9" w:rsidP="00046A50">
            <w:pPr>
              <w:jc w:val="center"/>
              <w:rPr>
                <w:rFonts w:asciiTheme="majorHAnsi" w:hAnsiTheme="majorHAnsi"/>
                <w:b/>
                <w:sz w:val="20"/>
                <w:szCs w:val="20"/>
              </w:rPr>
            </w:pPr>
            <w:r>
              <w:rPr>
                <w:rFonts w:asciiTheme="majorHAnsi" w:hAnsiTheme="majorHAnsi" w:cs="Arial"/>
                <w:b/>
                <w:bCs/>
                <w:sz w:val="20"/>
                <w:szCs w:val="20"/>
              </w:rPr>
              <w:t>$</w:t>
            </w:r>
            <w:r w:rsidRPr="00E1476D">
              <w:rPr>
                <w:rFonts w:asciiTheme="majorHAnsi" w:hAnsiTheme="majorHAnsi" w:cs="Arial"/>
                <w:b/>
                <w:bCs/>
                <w:sz w:val="20"/>
                <w:szCs w:val="20"/>
              </w:rPr>
              <w:t>4,095,000</w:t>
            </w:r>
          </w:p>
        </w:tc>
      </w:tr>
    </w:tbl>
    <w:p w14:paraId="3523BA77" w14:textId="77777777" w:rsidR="00053A10" w:rsidRDefault="00053A10" w:rsidP="0022774D"/>
    <w:p w14:paraId="610E0035" w14:textId="77777777" w:rsidR="009269CE" w:rsidRDefault="009269CE" w:rsidP="001100E4">
      <w:pPr>
        <w:rPr>
          <w:rFonts w:asciiTheme="majorHAnsi" w:hAnsiTheme="majorHAnsi"/>
          <w:sz w:val="22"/>
          <w:szCs w:val="22"/>
        </w:rPr>
      </w:pPr>
    </w:p>
    <w:p w14:paraId="5A7F1E52" w14:textId="77777777" w:rsidR="001100E4" w:rsidRPr="001100E4" w:rsidRDefault="001100E4" w:rsidP="001100E4">
      <w:pPr>
        <w:rPr>
          <w:rFonts w:asciiTheme="majorHAnsi" w:hAnsiTheme="majorHAnsi"/>
          <w:sz w:val="22"/>
          <w:szCs w:val="22"/>
        </w:rPr>
      </w:pPr>
      <w:r w:rsidRPr="001100E4">
        <w:rPr>
          <w:rFonts w:asciiTheme="majorHAnsi" w:hAnsiTheme="majorHAnsi"/>
          <w:sz w:val="22"/>
          <w:szCs w:val="22"/>
        </w:rPr>
        <w:t>Pledges for Co-finance</w:t>
      </w:r>
    </w:p>
    <w:p w14:paraId="59BB2799" w14:textId="77777777" w:rsidR="001100E4" w:rsidRDefault="001100E4" w:rsidP="001100E4">
      <w:pPr>
        <w:rPr>
          <w:sz w:val="18"/>
          <w:szCs w:val="18"/>
        </w:rPr>
      </w:pPr>
    </w:p>
    <w:tbl>
      <w:tblPr>
        <w:tblW w:w="6380" w:type="dxa"/>
        <w:tblInd w:w="103" w:type="dxa"/>
        <w:tblLook w:val="04A0" w:firstRow="1" w:lastRow="0" w:firstColumn="1" w:lastColumn="0" w:noHBand="0" w:noVBand="1"/>
      </w:tblPr>
      <w:tblGrid>
        <w:gridCol w:w="3780"/>
        <w:gridCol w:w="1300"/>
        <w:gridCol w:w="1300"/>
      </w:tblGrid>
      <w:tr w:rsidR="001100E4" w:rsidRPr="001100E4" w14:paraId="1ADA559D" w14:textId="77777777" w:rsidTr="00046A50">
        <w:trPr>
          <w:trHeight w:val="300"/>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EB036D"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UNDP Energy and Environment Group</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01EF6D8E"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 cash</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594A84ED" w14:textId="56AEA578"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415,000 </w:t>
            </w:r>
          </w:p>
        </w:tc>
      </w:tr>
      <w:tr w:rsidR="001100E4" w:rsidRPr="001100E4" w14:paraId="52D62AF7"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5132686"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UNDP Energy and Environment Group</w:t>
            </w:r>
          </w:p>
        </w:tc>
        <w:tc>
          <w:tcPr>
            <w:tcW w:w="1300" w:type="dxa"/>
            <w:tcBorders>
              <w:top w:val="nil"/>
              <w:left w:val="nil"/>
              <w:bottom w:val="single" w:sz="4" w:space="0" w:color="auto"/>
              <w:right w:val="single" w:sz="4" w:space="0" w:color="auto"/>
            </w:tcBorders>
            <w:shd w:val="clear" w:color="auto" w:fill="auto"/>
            <w:vAlign w:val="bottom"/>
            <w:hideMark/>
          </w:tcPr>
          <w:p w14:paraId="0AB9CF41"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1550ABA9" w14:textId="050EBD98"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1,348,000 </w:t>
            </w:r>
          </w:p>
        </w:tc>
      </w:tr>
      <w:tr w:rsidR="001100E4" w:rsidRPr="001100E4" w14:paraId="408207B8"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D3B24E3"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UNESCO-IHP</w:t>
            </w:r>
          </w:p>
        </w:tc>
        <w:tc>
          <w:tcPr>
            <w:tcW w:w="1300" w:type="dxa"/>
            <w:tcBorders>
              <w:top w:val="nil"/>
              <w:left w:val="nil"/>
              <w:bottom w:val="single" w:sz="4" w:space="0" w:color="auto"/>
              <w:right w:val="single" w:sz="4" w:space="0" w:color="auto"/>
            </w:tcBorders>
            <w:shd w:val="clear" w:color="auto" w:fill="auto"/>
            <w:vAlign w:val="bottom"/>
            <w:hideMark/>
          </w:tcPr>
          <w:p w14:paraId="61030C87"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4D047ED1" w14:textId="218C3142"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550,000 </w:t>
            </w:r>
          </w:p>
        </w:tc>
      </w:tr>
      <w:tr w:rsidR="001100E4" w:rsidRPr="001100E4" w14:paraId="23470AD5"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576EF7FB"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Cornell University</w:t>
            </w:r>
          </w:p>
        </w:tc>
        <w:tc>
          <w:tcPr>
            <w:tcW w:w="1300" w:type="dxa"/>
            <w:tcBorders>
              <w:top w:val="nil"/>
              <w:left w:val="nil"/>
              <w:bottom w:val="single" w:sz="4" w:space="0" w:color="auto"/>
              <w:right w:val="single" w:sz="4" w:space="0" w:color="auto"/>
            </w:tcBorders>
            <w:shd w:val="clear" w:color="auto" w:fill="auto"/>
            <w:vAlign w:val="bottom"/>
            <w:hideMark/>
          </w:tcPr>
          <w:p w14:paraId="572C45BA"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587BDFD6" w14:textId="1A4A7DEE"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40,000 </w:t>
            </w:r>
          </w:p>
        </w:tc>
      </w:tr>
      <w:tr w:rsidR="001100E4" w:rsidRPr="001100E4" w14:paraId="4F3DF332"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7774B0B"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UNECE</w:t>
            </w:r>
          </w:p>
        </w:tc>
        <w:tc>
          <w:tcPr>
            <w:tcW w:w="1300" w:type="dxa"/>
            <w:tcBorders>
              <w:top w:val="nil"/>
              <w:left w:val="nil"/>
              <w:bottom w:val="single" w:sz="4" w:space="0" w:color="auto"/>
              <w:right w:val="single" w:sz="4" w:space="0" w:color="auto"/>
            </w:tcBorders>
            <w:shd w:val="clear" w:color="auto" w:fill="auto"/>
            <w:vAlign w:val="bottom"/>
            <w:hideMark/>
          </w:tcPr>
          <w:p w14:paraId="3686D1A5"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Cash/In-Kind</w:t>
            </w:r>
          </w:p>
        </w:tc>
        <w:tc>
          <w:tcPr>
            <w:tcW w:w="1300" w:type="dxa"/>
            <w:tcBorders>
              <w:top w:val="nil"/>
              <w:left w:val="nil"/>
              <w:bottom w:val="single" w:sz="4" w:space="0" w:color="auto"/>
              <w:right w:val="single" w:sz="4" w:space="0" w:color="auto"/>
            </w:tcBorders>
            <w:shd w:val="clear" w:color="auto" w:fill="auto"/>
            <w:vAlign w:val="bottom"/>
            <w:hideMark/>
          </w:tcPr>
          <w:p w14:paraId="6D25691A" w14:textId="36CDDBD8"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60,000 </w:t>
            </w:r>
          </w:p>
        </w:tc>
      </w:tr>
      <w:tr w:rsidR="001100E4" w:rsidRPr="001100E4" w14:paraId="6BF51821"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6A79C9C"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Sea-Start</w:t>
            </w:r>
          </w:p>
        </w:tc>
        <w:tc>
          <w:tcPr>
            <w:tcW w:w="1300" w:type="dxa"/>
            <w:tcBorders>
              <w:top w:val="nil"/>
              <w:left w:val="nil"/>
              <w:bottom w:val="single" w:sz="4" w:space="0" w:color="auto"/>
              <w:right w:val="single" w:sz="4" w:space="0" w:color="auto"/>
            </w:tcBorders>
            <w:shd w:val="clear" w:color="auto" w:fill="auto"/>
            <w:vAlign w:val="bottom"/>
            <w:hideMark/>
          </w:tcPr>
          <w:p w14:paraId="372FBF2D"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3DC5E529" w14:textId="1277B2C8"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130,000 </w:t>
            </w:r>
          </w:p>
        </w:tc>
      </w:tr>
      <w:tr w:rsidR="001100E4" w:rsidRPr="001100E4" w14:paraId="259253D7"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4AB99B5" w14:textId="2DC7AB4E" w:rsidR="001100E4" w:rsidRPr="001100E4" w:rsidRDefault="001100E4" w:rsidP="00046A50">
            <w:pPr>
              <w:rPr>
                <w:rFonts w:asciiTheme="majorHAnsi" w:hAnsiTheme="majorHAnsi"/>
                <w:sz w:val="20"/>
                <w:szCs w:val="20"/>
              </w:rPr>
            </w:pPr>
            <w:r w:rsidRPr="001100E4">
              <w:rPr>
                <w:rFonts w:asciiTheme="majorHAnsi" w:hAnsiTheme="majorHAnsi"/>
                <w:sz w:val="20"/>
                <w:szCs w:val="20"/>
              </w:rPr>
              <w:t xml:space="preserve">UNEP Caribbean </w:t>
            </w:r>
            <w:r w:rsidR="003A2A6A" w:rsidRPr="001100E4">
              <w:rPr>
                <w:rFonts w:asciiTheme="majorHAnsi" w:hAnsiTheme="majorHAnsi"/>
                <w:sz w:val="20"/>
                <w:szCs w:val="20"/>
              </w:rPr>
              <w:t>Environment</w:t>
            </w:r>
            <w:r w:rsidRPr="001100E4">
              <w:rPr>
                <w:rFonts w:asciiTheme="majorHAnsi" w:hAnsiTheme="majorHAnsi"/>
                <w:sz w:val="20"/>
                <w:szCs w:val="20"/>
              </w:rPr>
              <w:t xml:space="preserve"> Programme</w:t>
            </w:r>
          </w:p>
        </w:tc>
        <w:tc>
          <w:tcPr>
            <w:tcW w:w="1300" w:type="dxa"/>
            <w:tcBorders>
              <w:top w:val="nil"/>
              <w:left w:val="nil"/>
              <w:bottom w:val="single" w:sz="4" w:space="0" w:color="auto"/>
              <w:right w:val="single" w:sz="4" w:space="0" w:color="auto"/>
            </w:tcBorders>
            <w:shd w:val="clear" w:color="auto" w:fill="auto"/>
            <w:vAlign w:val="bottom"/>
            <w:hideMark/>
          </w:tcPr>
          <w:p w14:paraId="36348800"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18523A46" w14:textId="151256CF"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100,000 </w:t>
            </w:r>
          </w:p>
        </w:tc>
      </w:tr>
      <w:tr w:rsidR="001100E4" w:rsidRPr="001100E4" w14:paraId="10A9475F"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79A732B9"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IUCN-WANI</w:t>
            </w:r>
          </w:p>
        </w:tc>
        <w:tc>
          <w:tcPr>
            <w:tcW w:w="1300" w:type="dxa"/>
            <w:tcBorders>
              <w:top w:val="nil"/>
              <w:left w:val="nil"/>
              <w:bottom w:val="single" w:sz="4" w:space="0" w:color="auto"/>
              <w:right w:val="single" w:sz="4" w:space="0" w:color="auto"/>
            </w:tcBorders>
            <w:shd w:val="clear" w:color="auto" w:fill="auto"/>
            <w:vAlign w:val="bottom"/>
            <w:hideMark/>
          </w:tcPr>
          <w:p w14:paraId="1E51D853"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44E49808" w14:textId="7B9906DB"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202,000 </w:t>
            </w:r>
          </w:p>
        </w:tc>
      </w:tr>
      <w:tr w:rsidR="001100E4" w:rsidRPr="001100E4" w14:paraId="1C8BB9A0"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4923C088"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UNEP-Interdivisional Water Group (Comp3)</w:t>
            </w:r>
          </w:p>
        </w:tc>
        <w:tc>
          <w:tcPr>
            <w:tcW w:w="1300" w:type="dxa"/>
            <w:tcBorders>
              <w:top w:val="nil"/>
              <w:left w:val="nil"/>
              <w:bottom w:val="single" w:sz="4" w:space="0" w:color="auto"/>
              <w:right w:val="single" w:sz="4" w:space="0" w:color="auto"/>
            </w:tcBorders>
            <w:shd w:val="clear" w:color="auto" w:fill="auto"/>
            <w:vAlign w:val="bottom"/>
            <w:hideMark/>
          </w:tcPr>
          <w:p w14:paraId="7B9E0402"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780CC26D" w14:textId="38A90096"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200,000 </w:t>
            </w:r>
          </w:p>
        </w:tc>
      </w:tr>
      <w:tr w:rsidR="001100E4" w:rsidRPr="001100E4" w14:paraId="2087BB0B"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75CE380"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UNU-INWEH</w:t>
            </w:r>
          </w:p>
        </w:tc>
        <w:tc>
          <w:tcPr>
            <w:tcW w:w="1300" w:type="dxa"/>
            <w:tcBorders>
              <w:top w:val="nil"/>
              <w:left w:val="nil"/>
              <w:bottom w:val="single" w:sz="4" w:space="0" w:color="auto"/>
              <w:right w:val="single" w:sz="4" w:space="0" w:color="auto"/>
            </w:tcBorders>
            <w:shd w:val="clear" w:color="auto" w:fill="auto"/>
            <w:vAlign w:val="bottom"/>
            <w:hideMark/>
          </w:tcPr>
          <w:p w14:paraId="01907E12"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1F41207A" w14:textId="46884C3D"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1,240,000 </w:t>
            </w:r>
          </w:p>
        </w:tc>
      </w:tr>
      <w:tr w:rsidR="001100E4" w:rsidRPr="001100E4" w14:paraId="447A7C47"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21F685B"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UNEP-DEWA</w:t>
            </w:r>
          </w:p>
        </w:tc>
        <w:tc>
          <w:tcPr>
            <w:tcW w:w="1300" w:type="dxa"/>
            <w:tcBorders>
              <w:top w:val="nil"/>
              <w:left w:val="nil"/>
              <w:bottom w:val="single" w:sz="4" w:space="0" w:color="auto"/>
              <w:right w:val="single" w:sz="4" w:space="0" w:color="auto"/>
            </w:tcBorders>
            <w:shd w:val="clear" w:color="auto" w:fill="auto"/>
            <w:vAlign w:val="bottom"/>
            <w:hideMark/>
          </w:tcPr>
          <w:p w14:paraId="59F33499"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6235C95A" w14:textId="75E1A084"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701,824 </w:t>
            </w:r>
          </w:p>
        </w:tc>
      </w:tr>
      <w:tr w:rsidR="001100E4" w:rsidRPr="001100E4" w14:paraId="213CCCCC"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29FE8FED"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Sea-Start</w:t>
            </w:r>
          </w:p>
        </w:tc>
        <w:tc>
          <w:tcPr>
            <w:tcW w:w="1300" w:type="dxa"/>
            <w:tcBorders>
              <w:top w:val="nil"/>
              <w:left w:val="nil"/>
              <w:bottom w:val="single" w:sz="4" w:space="0" w:color="auto"/>
              <w:right w:val="single" w:sz="4" w:space="0" w:color="auto"/>
            </w:tcBorders>
            <w:shd w:val="clear" w:color="auto" w:fill="auto"/>
            <w:vAlign w:val="bottom"/>
            <w:hideMark/>
          </w:tcPr>
          <w:p w14:paraId="25E452A9"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4343F5E3" w14:textId="6BD7D86B"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108,000 </w:t>
            </w:r>
          </w:p>
        </w:tc>
      </w:tr>
      <w:tr w:rsidR="001100E4" w:rsidRPr="001100E4" w14:paraId="3C6F333C"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348984F4"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UNDP Bratislava Regional Centre</w:t>
            </w:r>
          </w:p>
        </w:tc>
        <w:tc>
          <w:tcPr>
            <w:tcW w:w="1300" w:type="dxa"/>
            <w:tcBorders>
              <w:top w:val="nil"/>
              <w:left w:val="nil"/>
              <w:bottom w:val="single" w:sz="4" w:space="0" w:color="auto"/>
              <w:right w:val="single" w:sz="4" w:space="0" w:color="auto"/>
            </w:tcBorders>
            <w:shd w:val="clear" w:color="auto" w:fill="auto"/>
            <w:vAlign w:val="bottom"/>
            <w:hideMark/>
          </w:tcPr>
          <w:p w14:paraId="1ABE4C20"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117B260B" w14:textId="52967370"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60,000 </w:t>
            </w:r>
          </w:p>
        </w:tc>
      </w:tr>
      <w:tr w:rsidR="001100E4" w:rsidRPr="001100E4" w14:paraId="44394C6A"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110D6A54"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UNEP</w:t>
            </w:r>
          </w:p>
        </w:tc>
        <w:tc>
          <w:tcPr>
            <w:tcW w:w="1300" w:type="dxa"/>
            <w:tcBorders>
              <w:top w:val="nil"/>
              <w:left w:val="nil"/>
              <w:bottom w:val="single" w:sz="4" w:space="0" w:color="auto"/>
              <w:right w:val="single" w:sz="4" w:space="0" w:color="auto"/>
            </w:tcBorders>
            <w:shd w:val="clear" w:color="auto" w:fill="auto"/>
            <w:vAlign w:val="bottom"/>
            <w:hideMark/>
          </w:tcPr>
          <w:p w14:paraId="4AB4D0B6" w14:textId="77777777" w:rsidR="001100E4" w:rsidRPr="001100E4" w:rsidRDefault="001100E4" w:rsidP="00046A50">
            <w:pPr>
              <w:rPr>
                <w:rFonts w:asciiTheme="majorHAnsi" w:hAnsiTheme="majorHAnsi"/>
                <w:sz w:val="20"/>
                <w:szCs w:val="20"/>
              </w:rPr>
            </w:pPr>
            <w:r w:rsidRPr="001100E4">
              <w:rPr>
                <w:rFonts w:asciiTheme="majorHAnsi" w:hAnsiTheme="majorHAnsi"/>
                <w:sz w:val="20"/>
                <w:szCs w:val="20"/>
              </w:rPr>
              <w:t>In-Kind</w:t>
            </w:r>
          </w:p>
        </w:tc>
        <w:tc>
          <w:tcPr>
            <w:tcW w:w="1300" w:type="dxa"/>
            <w:tcBorders>
              <w:top w:val="nil"/>
              <w:left w:val="nil"/>
              <w:bottom w:val="single" w:sz="4" w:space="0" w:color="auto"/>
              <w:right w:val="single" w:sz="4" w:space="0" w:color="auto"/>
            </w:tcBorders>
            <w:shd w:val="clear" w:color="auto" w:fill="auto"/>
            <w:vAlign w:val="bottom"/>
            <w:hideMark/>
          </w:tcPr>
          <w:p w14:paraId="15B7B8CD" w14:textId="70D75F2F" w:rsidR="001100E4" w:rsidRPr="001100E4" w:rsidRDefault="001100E4" w:rsidP="00046A50">
            <w:pPr>
              <w:jc w:val="right"/>
              <w:rPr>
                <w:rFonts w:asciiTheme="majorHAnsi" w:hAnsiTheme="majorHAnsi"/>
                <w:sz w:val="20"/>
                <w:szCs w:val="20"/>
              </w:rPr>
            </w:pPr>
            <w:r w:rsidRPr="001100E4">
              <w:rPr>
                <w:rFonts w:asciiTheme="majorHAnsi" w:hAnsiTheme="majorHAnsi"/>
                <w:sz w:val="20"/>
                <w:szCs w:val="20"/>
              </w:rPr>
              <w:t xml:space="preserve"> </w:t>
            </w:r>
            <w:r>
              <w:rPr>
                <w:rFonts w:asciiTheme="majorHAnsi" w:hAnsiTheme="majorHAnsi"/>
                <w:sz w:val="20"/>
                <w:szCs w:val="20"/>
              </w:rPr>
              <w:t>$</w:t>
            </w:r>
            <w:r w:rsidRPr="001100E4">
              <w:rPr>
                <w:rFonts w:asciiTheme="majorHAnsi" w:hAnsiTheme="majorHAnsi"/>
                <w:sz w:val="20"/>
                <w:szCs w:val="20"/>
              </w:rPr>
              <w:t xml:space="preserve">50,000 </w:t>
            </w:r>
          </w:p>
        </w:tc>
      </w:tr>
      <w:tr w:rsidR="001100E4" w:rsidRPr="00394A34" w14:paraId="0A4A9DC9" w14:textId="77777777" w:rsidTr="00046A50">
        <w:trPr>
          <w:trHeight w:val="300"/>
        </w:trPr>
        <w:tc>
          <w:tcPr>
            <w:tcW w:w="3780" w:type="dxa"/>
            <w:tcBorders>
              <w:top w:val="nil"/>
              <w:left w:val="single" w:sz="4" w:space="0" w:color="auto"/>
              <w:bottom w:val="single" w:sz="4" w:space="0" w:color="auto"/>
              <w:right w:val="single" w:sz="4" w:space="0" w:color="auto"/>
            </w:tcBorders>
            <w:shd w:val="clear" w:color="auto" w:fill="auto"/>
            <w:vAlign w:val="bottom"/>
            <w:hideMark/>
          </w:tcPr>
          <w:p w14:paraId="65356455" w14:textId="77777777" w:rsidR="001100E4" w:rsidRPr="001100E4" w:rsidRDefault="001100E4" w:rsidP="00046A50">
            <w:pPr>
              <w:jc w:val="right"/>
              <w:rPr>
                <w:rFonts w:ascii="Calibri" w:hAnsi="Calibri"/>
                <w:b/>
                <w:sz w:val="20"/>
                <w:szCs w:val="20"/>
              </w:rPr>
            </w:pPr>
            <w:r w:rsidRPr="001100E4">
              <w:rPr>
                <w:rFonts w:ascii="Calibri" w:hAnsi="Calibri"/>
                <w:b/>
                <w:sz w:val="20"/>
                <w:szCs w:val="20"/>
              </w:rPr>
              <w:t xml:space="preserve">TOTAL </w:t>
            </w:r>
          </w:p>
        </w:tc>
        <w:tc>
          <w:tcPr>
            <w:tcW w:w="1300" w:type="dxa"/>
            <w:tcBorders>
              <w:top w:val="nil"/>
              <w:left w:val="nil"/>
              <w:bottom w:val="single" w:sz="4" w:space="0" w:color="auto"/>
              <w:right w:val="single" w:sz="4" w:space="0" w:color="auto"/>
            </w:tcBorders>
            <w:shd w:val="clear" w:color="auto" w:fill="auto"/>
            <w:vAlign w:val="bottom"/>
            <w:hideMark/>
          </w:tcPr>
          <w:p w14:paraId="4C570B50" w14:textId="77777777" w:rsidR="001100E4" w:rsidRPr="001100E4" w:rsidRDefault="001100E4" w:rsidP="00046A50">
            <w:pPr>
              <w:rPr>
                <w:rFonts w:ascii="Calibri" w:hAnsi="Calibri"/>
                <w:b/>
                <w:sz w:val="20"/>
                <w:szCs w:val="20"/>
              </w:rPr>
            </w:pPr>
            <w:r w:rsidRPr="001100E4">
              <w:rPr>
                <w:rFonts w:ascii="Calibri" w:hAnsi="Calibri"/>
                <w:b/>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14:paraId="4259CE42" w14:textId="116B8391" w:rsidR="001100E4" w:rsidRPr="001100E4" w:rsidRDefault="001100E4" w:rsidP="00046A50">
            <w:pPr>
              <w:jc w:val="right"/>
              <w:rPr>
                <w:rFonts w:ascii="Calibri" w:hAnsi="Calibri"/>
                <w:b/>
                <w:sz w:val="20"/>
                <w:szCs w:val="20"/>
              </w:rPr>
            </w:pPr>
            <w:r>
              <w:rPr>
                <w:rFonts w:ascii="Calibri" w:hAnsi="Calibri"/>
                <w:b/>
                <w:sz w:val="20"/>
                <w:szCs w:val="20"/>
              </w:rPr>
              <w:t>$</w:t>
            </w:r>
            <w:r w:rsidRPr="001100E4">
              <w:rPr>
                <w:rFonts w:ascii="Calibri" w:hAnsi="Calibri"/>
                <w:b/>
                <w:sz w:val="20"/>
                <w:szCs w:val="20"/>
              </w:rPr>
              <w:t>5,204,824</w:t>
            </w:r>
          </w:p>
        </w:tc>
      </w:tr>
    </w:tbl>
    <w:p w14:paraId="0814AA48" w14:textId="77777777" w:rsidR="0022774D" w:rsidRDefault="0022774D" w:rsidP="0022774D"/>
    <w:p w14:paraId="716965EA" w14:textId="6D7FD4BF" w:rsidR="00722C20" w:rsidRPr="00722C20" w:rsidRDefault="00A165D2" w:rsidP="00722C20">
      <w:pPr>
        <w:pStyle w:val="Heading3"/>
      </w:pPr>
      <w:bookmarkStart w:id="29" w:name="_Toc341527036"/>
      <w:bookmarkStart w:id="30" w:name="_Toc222479136"/>
      <w:bookmarkStart w:id="31" w:name="_Toc320280631"/>
      <w:r>
        <w:t>Project Duration</w:t>
      </w:r>
      <w:bookmarkEnd w:id="29"/>
      <w:bookmarkEnd w:id="30"/>
    </w:p>
    <w:p w14:paraId="56F16FB5" w14:textId="63FFA2AC" w:rsidR="003717BC" w:rsidRPr="00722C20" w:rsidRDefault="003717BC" w:rsidP="003717BC">
      <w:pPr>
        <w:rPr>
          <w:rFonts w:asciiTheme="majorHAnsi" w:hAnsiTheme="majorHAnsi"/>
          <w:sz w:val="22"/>
          <w:szCs w:val="22"/>
        </w:rPr>
      </w:pPr>
      <w:r w:rsidRPr="00722C20">
        <w:rPr>
          <w:rFonts w:asciiTheme="majorHAnsi" w:hAnsiTheme="majorHAnsi"/>
          <w:sz w:val="22"/>
          <w:szCs w:val="22"/>
        </w:rPr>
        <w:t xml:space="preserve">The PIF indicated a start date of March 2011 and end date of April 2014 giving </w:t>
      </w:r>
      <w:proofErr w:type="gramStart"/>
      <w:r w:rsidR="00D13B06">
        <w:rPr>
          <w:rFonts w:asciiTheme="majorHAnsi" w:hAnsiTheme="majorHAnsi"/>
          <w:sz w:val="22"/>
          <w:szCs w:val="22"/>
        </w:rPr>
        <w:t xml:space="preserve">a </w:t>
      </w:r>
      <w:r w:rsidR="003A2A6A" w:rsidRPr="00722C20">
        <w:rPr>
          <w:rFonts w:asciiTheme="majorHAnsi" w:hAnsiTheme="majorHAnsi"/>
          <w:sz w:val="22"/>
          <w:szCs w:val="22"/>
        </w:rPr>
        <w:t>duration</w:t>
      </w:r>
      <w:proofErr w:type="gramEnd"/>
      <w:r w:rsidRPr="00722C20">
        <w:rPr>
          <w:rFonts w:asciiTheme="majorHAnsi" w:hAnsiTheme="majorHAnsi"/>
          <w:sz w:val="22"/>
          <w:szCs w:val="22"/>
        </w:rPr>
        <w:t xml:space="preserve"> of 37 months.  The approved project document gives a start date of 1 Jan 2011 and 30 June 2014 giving </w:t>
      </w:r>
      <w:proofErr w:type="gramStart"/>
      <w:r w:rsidR="00D13B06">
        <w:rPr>
          <w:rFonts w:asciiTheme="majorHAnsi" w:hAnsiTheme="majorHAnsi"/>
          <w:sz w:val="22"/>
          <w:szCs w:val="22"/>
        </w:rPr>
        <w:t xml:space="preserve">a </w:t>
      </w:r>
      <w:r w:rsidR="003A2A6A" w:rsidRPr="00722C20">
        <w:rPr>
          <w:rFonts w:asciiTheme="majorHAnsi" w:hAnsiTheme="majorHAnsi"/>
          <w:sz w:val="22"/>
          <w:szCs w:val="22"/>
        </w:rPr>
        <w:t>duration</w:t>
      </w:r>
      <w:proofErr w:type="gramEnd"/>
      <w:r w:rsidRPr="00722C20">
        <w:rPr>
          <w:rFonts w:asciiTheme="majorHAnsi" w:hAnsiTheme="majorHAnsi"/>
          <w:sz w:val="22"/>
          <w:szCs w:val="22"/>
        </w:rPr>
        <w:t xml:space="preserve"> of 42 months. The start date of implementation in the latest PIR/APR indicates a start date of 26 January 2011 and end date of 31 July 2014, thus retaining the </w:t>
      </w:r>
      <w:proofErr w:type="gramStart"/>
      <w:r w:rsidRPr="00722C20">
        <w:rPr>
          <w:rFonts w:asciiTheme="majorHAnsi" w:hAnsiTheme="majorHAnsi"/>
          <w:sz w:val="22"/>
          <w:szCs w:val="22"/>
        </w:rPr>
        <w:t>42 month</w:t>
      </w:r>
      <w:proofErr w:type="gramEnd"/>
      <w:r w:rsidRPr="00722C20">
        <w:rPr>
          <w:rFonts w:asciiTheme="majorHAnsi" w:hAnsiTheme="majorHAnsi"/>
          <w:sz w:val="22"/>
          <w:szCs w:val="22"/>
        </w:rPr>
        <w:t xml:space="preserve"> duration. </w:t>
      </w:r>
    </w:p>
    <w:p w14:paraId="3E803155" w14:textId="77777777" w:rsidR="003717BC" w:rsidRPr="003717BC" w:rsidRDefault="003717BC" w:rsidP="003717BC"/>
    <w:p w14:paraId="7377B8B1" w14:textId="18C2C37E" w:rsidR="00722C20" w:rsidRPr="00722C20" w:rsidRDefault="003F05FC" w:rsidP="00722C20">
      <w:pPr>
        <w:pStyle w:val="Heading3"/>
      </w:pPr>
      <w:bookmarkStart w:id="32" w:name="_Toc341527037"/>
      <w:bookmarkStart w:id="33" w:name="_Toc222479137"/>
      <w:r>
        <w:t>Institutional a</w:t>
      </w:r>
      <w:r w:rsidR="00A165D2" w:rsidRPr="007D1C06">
        <w:t>rrangements</w:t>
      </w:r>
      <w:bookmarkEnd w:id="31"/>
      <w:bookmarkEnd w:id="32"/>
      <w:bookmarkEnd w:id="33"/>
    </w:p>
    <w:p w14:paraId="1B59050B" w14:textId="4DC7CDAA" w:rsidR="007D6E1A" w:rsidRPr="00B603B3" w:rsidRDefault="00B603B3" w:rsidP="00B603B3">
      <w:pPr>
        <w:jc w:val="both"/>
        <w:rPr>
          <w:rFonts w:asciiTheme="majorHAnsi" w:hAnsiTheme="majorHAnsi"/>
          <w:sz w:val="22"/>
          <w:szCs w:val="22"/>
        </w:rPr>
      </w:pPr>
      <w:r w:rsidRPr="00B603B3">
        <w:rPr>
          <w:rFonts w:asciiTheme="majorHAnsi" w:hAnsiTheme="majorHAnsi" w:cs="Arial"/>
          <w:sz w:val="22"/>
          <w:szCs w:val="22"/>
        </w:rPr>
        <w:t>The key bodies, are the Inter-Agency Forum</w:t>
      </w:r>
      <w:proofErr w:type="gramStart"/>
      <w:r w:rsidRPr="00B603B3">
        <w:rPr>
          <w:rFonts w:asciiTheme="majorHAnsi" w:hAnsiTheme="majorHAnsi" w:cs="Arial"/>
          <w:sz w:val="22"/>
          <w:szCs w:val="22"/>
        </w:rPr>
        <w:t>,</w:t>
      </w:r>
      <w:r w:rsidR="00D13B06">
        <w:rPr>
          <w:rFonts w:asciiTheme="majorHAnsi" w:hAnsiTheme="majorHAnsi" w:cs="Arial"/>
          <w:sz w:val="22"/>
          <w:szCs w:val="22"/>
        </w:rPr>
        <w:t>(</w:t>
      </w:r>
      <w:proofErr w:type="gramEnd"/>
      <w:r w:rsidR="00D13B06">
        <w:rPr>
          <w:rFonts w:asciiTheme="majorHAnsi" w:hAnsiTheme="majorHAnsi" w:cs="Arial"/>
          <w:sz w:val="22"/>
          <w:szCs w:val="22"/>
        </w:rPr>
        <w:t>IAF)</w:t>
      </w:r>
      <w:r w:rsidRPr="00B603B3">
        <w:rPr>
          <w:rFonts w:asciiTheme="majorHAnsi" w:hAnsiTheme="majorHAnsi" w:cs="Arial"/>
          <w:sz w:val="22"/>
          <w:szCs w:val="22"/>
        </w:rPr>
        <w:t xml:space="preserve"> the Project Steering Committee, the Project Coordination Unit </w:t>
      </w:r>
      <w:r w:rsidR="00CE0963">
        <w:rPr>
          <w:rFonts w:asciiTheme="majorHAnsi" w:hAnsiTheme="majorHAnsi" w:cs="Arial"/>
          <w:sz w:val="22"/>
          <w:szCs w:val="22"/>
        </w:rPr>
        <w:t xml:space="preserve">together with supporting functions provided by the GEF International Waters Task Force </w:t>
      </w:r>
      <w:r w:rsidR="00D13B06">
        <w:rPr>
          <w:rFonts w:asciiTheme="majorHAnsi" w:hAnsiTheme="majorHAnsi" w:cs="Arial"/>
          <w:sz w:val="22"/>
          <w:szCs w:val="22"/>
        </w:rPr>
        <w:t xml:space="preserve">(IWTF) </w:t>
      </w:r>
      <w:r w:rsidR="00CE0963">
        <w:rPr>
          <w:rFonts w:asciiTheme="majorHAnsi" w:hAnsiTheme="majorHAnsi" w:cs="Arial"/>
          <w:sz w:val="22"/>
          <w:szCs w:val="22"/>
        </w:rPr>
        <w:t>and the Technical Advisory Group</w:t>
      </w:r>
      <w:r w:rsidR="00D13B06">
        <w:rPr>
          <w:rFonts w:asciiTheme="majorHAnsi" w:hAnsiTheme="majorHAnsi" w:cs="Arial"/>
          <w:sz w:val="22"/>
          <w:szCs w:val="22"/>
        </w:rPr>
        <w:t xml:space="preserve"> (TAG)</w:t>
      </w:r>
      <w:r w:rsidR="00CE0963">
        <w:rPr>
          <w:rFonts w:asciiTheme="majorHAnsi" w:hAnsiTheme="majorHAnsi" w:cs="Arial"/>
          <w:sz w:val="22"/>
          <w:szCs w:val="22"/>
        </w:rPr>
        <w:t xml:space="preserve">. </w:t>
      </w:r>
      <w:r w:rsidR="00D13B06">
        <w:rPr>
          <w:rFonts w:asciiTheme="majorHAnsi" w:hAnsiTheme="majorHAnsi" w:cs="Arial"/>
          <w:sz w:val="22"/>
          <w:szCs w:val="22"/>
        </w:rPr>
        <w:t xml:space="preserve">The following diagram indicates the linkages between the various bodies and the Agencies and Partners responsible for each of the Components. </w:t>
      </w:r>
    </w:p>
    <w:p w14:paraId="7C803CDE" w14:textId="77777777" w:rsidR="007D6E1A" w:rsidRPr="007D6E1A" w:rsidRDefault="007D6E1A" w:rsidP="007D6E1A"/>
    <w:p w14:paraId="0C00D453" w14:textId="77777777" w:rsidR="00C124C9" w:rsidRPr="00C124C9" w:rsidRDefault="00C124C9" w:rsidP="00C124C9"/>
    <w:p w14:paraId="316E79F8" w14:textId="77777777" w:rsidR="003F05FC" w:rsidRDefault="003F05FC" w:rsidP="003F05FC"/>
    <w:p w14:paraId="0E76EA66" w14:textId="405C2313" w:rsidR="003F05FC" w:rsidRDefault="00EB783A" w:rsidP="003F05FC">
      <w:pPr>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29BA69D1" wp14:editId="5F64499B">
                <wp:simplePos x="0" y="0"/>
                <wp:positionH relativeFrom="column">
                  <wp:posOffset>1714500</wp:posOffset>
                </wp:positionH>
                <wp:positionV relativeFrom="paragraph">
                  <wp:posOffset>607695</wp:posOffset>
                </wp:positionV>
                <wp:extent cx="800100" cy="342900"/>
                <wp:effectExtent l="50800" t="25400" r="12700" b="88900"/>
                <wp:wrapNone/>
                <wp:docPr id="44" name="Straight Connector 44"/>
                <wp:cNvGraphicFramePr/>
                <a:graphic xmlns:a="http://schemas.openxmlformats.org/drawingml/2006/main">
                  <a:graphicData uri="http://schemas.microsoft.com/office/word/2010/wordprocessingShape">
                    <wps:wsp>
                      <wps:cNvCnPr/>
                      <wps:spPr>
                        <a:xfrm flipV="1">
                          <a:off x="0" y="0"/>
                          <a:ext cx="800100" cy="342900"/>
                        </a:xfrm>
                        <a:prstGeom prst="line">
                          <a:avLst/>
                        </a:prstGeom>
                        <a:ln>
                          <a:solidFill>
                            <a:schemeClr val="tx1"/>
                          </a:solidFill>
                          <a:prstDash val="dash"/>
                          <a:roun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47.85pt" to="198pt,7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" strokecolor="black [3213]" strokeweight="2pt">
                <v:stroke dashstyle="dash"/>
                <v:shadow on="t" opacity="24903f" mv:blur="40000f" origin=",.5" offset="0,20000emu"/>
              </v:line>
            </w:pict>
          </mc:Fallback>
        </mc:AlternateContent>
      </w:r>
      <w:r w:rsidR="003F05FC" w:rsidRPr="00C124C9">
        <w:rPr>
          <w:noProof/>
          <w:sz w:val="22"/>
          <w:szCs w:val="22"/>
          <w:lang w:val="en-US"/>
        </w:rPr>
        <mc:AlternateContent>
          <mc:Choice Requires="wpg">
            <w:drawing>
              <wp:inline distT="0" distB="0" distL="0" distR="0" wp14:anchorId="030AF76B" wp14:editId="5E5C48A5">
                <wp:extent cx="5790912" cy="7268633"/>
                <wp:effectExtent l="0" t="0" r="26035" b="0"/>
                <wp:docPr id="22" name="Group 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90912" cy="7268633"/>
                          <a:chOff x="1448" y="1949"/>
                          <a:chExt cx="8820" cy="10080"/>
                        </a:xfrm>
                      </wpg:grpSpPr>
                      <wps:wsp>
                        <wps:cNvPr id="23" name="AutoShape 24"/>
                        <wps:cNvSpPr>
                          <a:spLocks noChangeAspect="1" noChangeArrowheads="1" noTextEdit="1"/>
                        </wps:cNvSpPr>
                        <wps:spPr bwMode="auto">
                          <a:xfrm>
                            <a:off x="1448" y="1949"/>
                            <a:ext cx="8820" cy="1008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_s1028"/>
                        <wps:cNvCnPr>
                          <a:cxnSpLocks noChangeShapeType="1"/>
                          <a:stCxn id="42" idx="0"/>
                          <a:endCxn id="34" idx="2"/>
                        </wps:cNvCnPr>
                        <wps:spPr bwMode="auto">
                          <a:xfrm>
                            <a:off x="4688" y="6539"/>
                            <a:ext cx="900" cy="40"/>
                          </a:xfrm>
                          <a:prstGeom prst="bentConnector3">
                            <a:avLst>
                              <a:gd name="adj1" fmla="val 20000"/>
                            </a:avLst>
                          </a:prstGeom>
                          <a:noFill/>
                          <a:ln w="28575">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25" name="_s1029"/>
                        <wps:cNvCnPr>
                          <a:cxnSpLocks noChangeShapeType="1"/>
                          <a:stCxn id="41" idx="0"/>
                          <a:endCxn id="35" idx="2"/>
                        </wps:cNvCnPr>
                        <wps:spPr bwMode="auto">
                          <a:xfrm rot="5400000" flipH="1">
                            <a:off x="8055" y="6277"/>
                            <a:ext cx="643" cy="2226"/>
                          </a:xfrm>
                          <a:prstGeom prst="bentConnector3">
                            <a:avLst>
                              <a:gd name="adj1" fmla="val 27995"/>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_s1030"/>
                        <wps:cNvCnPr>
                          <a:cxnSpLocks noChangeShapeType="1"/>
                          <a:stCxn id="40" idx="0"/>
                          <a:endCxn id="35" idx="2"/>
                        </wps:cNvCnPr>
                        <wps:spPr bwMode="auto">
                          <a:xfrm rot="5400000" flipH="1">
                            <a:off x="7148" y="7184"/>
                            <a:ext cx="641" cy="410"/>
                          </a:xfrm>
                          <a:prstGeom prst="bentConnector3">
                            <a:avLst>
                              <a:gd name="adj1" fmla="val 2808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_s1031"/>
                        <wps:cNvCnPr>
                          <a:cxnSpLocks noChangeShapeType="1"/>
                          <a:stCxn id="39" idx="0"/>
                          <a:endCxn id="35" idx="2"/>
                        </wps:cNvCnPr>
                        <wps:spPr bwMode="auto">
                          <a:xfrm rot="16200000">
                            <a:off x="6224" y="6670"/>
                            <a:ext cx="642" cy="1438"/>
                          </a:xfrm>
                          <a:prstGeom prst="bentConnector3">
                            <a:avLst>
                              <a:gd name="adj1" fmla="val 2803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_s1032"/>
                        <wps:cNvCnPr>
                          <a:cxnSpLocks noChangeShapeType="1"/>
                          <a:stCxn id="38" idx="0"/>
                          <a:endCxn id="35" idx="2"/>
                        </wps:cNvCnPr>
                        <wps:spPr bwMode="auto">
                          <a:xfrm rot="16200000">
                            <a:off x="5333" y="5778"/>
                            <a:ext cx="641" cy="3221"/>
                          </a:xfrm>
                          <a:prstGeom prst="bentConnector3">
                            <a:avLst>
                              <a:gd name="adj1" fmla="val 2808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_s1033"/>
                        <wps:cNvCnPr>
                          <a:cxnSpLocks noChangeShapeType="1"/>
                          <a:stCxn id="37" idx="0"/>
                          <a:endCxn id="35" idx="2"/>
                        </wps:cNvCnPr>
                        <wps:spPr bwMode="auto">
                          <a:xfrm rot="16200000">
                            <a:off x="4425" y="4870"/>
                            <a:ext cx="641" cy="5037"/>
                          </a:xfrm>
                          <a:prstGeom prst="bentConnector3">
                            <a:avLst>
                              <a:gd name="adj1" fmla="val 2808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_s1035"/>
                        <wps:cNvCnPr>
                          <a:cxnSpLocks noChangeShapeType="1"/>
                          <a:stCxn id="35" idx="0"/>
                          <a:endCxn id="34" idx="2"/>
                        </wps:cNvCnPr>
                        <wps:spPr bwMode="auto">
                          <a:xfrm rot="5400000" flipH="1">
                            <a:off x="6576" y="5401"/>
                            <a:ext cx="540" cy="836"/>
                          </a:xfrm>
                          <a:prstGeom prst="bentConnector3">
                            <a:avLst>
                              <a:gd name="adj1" fmla="val 33333"/>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_s1036"/>
                        <wps:cNvCnPr>
                          <a:cxnSpLocks noChangeShapeType="1"/>
                          <a:stCxn id="34" idx="0"/>
                          <a:endCxn id="33" idx="2"/>
                        </wps:cNvCnPr>
                        <wps:spPr bwMode="auto">
                          <a:xfrm rot="5400000" flipH="1" flipV="1">
                            <a:off x="6122" y="3641"/>
                            <a:ext cx="954" cy="341"/>
                          </a:xfrm>
                          <a:prstGeom prst="bentConnector3">
                            <a:avLst>
                              <a:gd name="adj1" fmla="val 50000"/>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_s1037"/>
                        <wps:cNvSpPr>
                          <a:spLocks noChangeArrowheads="1"/>
                        </wps:cNvSpPr>
                        <wps:spPr bwMode="auto">
                          <a:xfrm>
                            <a:off x="5278" y="2154"/>
                            <a:ext cx="2983" cy="1181"/>
                          </a:xfrm>
                          <a:prstGeom prst="roundRect">
                            <a:avLst>
                              <a:gd name="adj" fmla="val 16667"/>
                            </a:avLst>
                          </a:prstGeom>
                          <a:solidFill>
                            <a:srgbClr val="003366"/>
                          </a:solidFill>
                          <a:ln w="9525">
                            <a:solidFill>
                              <a:srgbClr val="000000"/>
                            </a:solidFill>
                            <a:round/>
                            <a:headEnd/>
                            <a:tailEnd/>
                          </a:ln>
                        </wps:spPr>
                        <wps:txbx>
                          <w:txbxContent>
                            <w:p w14:paraId="4BC180F5" w14:textId="77777777" w:rsidR="001C7D57" w:rsidRPr="00FF4677" w:rsidRDefault="001C7D57" w:rsidP="003F05FC">
                              <w:pPr>
                                <w:jc w:val="center"/>
                                <w:rPr>
                                  <w:rFonts w:cs="Arial"/>
                                  <w:b/>
                                  <w:sz w:val="32"/>
                                  <w:szCs w:val="28"/>
                                  <w:lang w:val="de-DE"/>
                                </w:rPr>
                              </w:pPr>
                              <w:r w:rsidRPr="00FF4677">
                                <w:rPr>
                                  <w:rFonts w:cs="Arial"/>
                                  <w:b/>
                                  <w:sz w:val="32"/>
                                  <w:szCs w:val="28"/>
                                  <w:u w:val="single"/>
                                  <w:lang w:val="de-DE"/>
                                </w:rPr>
                                <w:t>Inter-Agency Forum</w:t>
                              </w:r>
                            </w:p>
                          </w:txbxContent>
                        </wps:txbx>
                        <wps:bodyPr rot="0" vert="horz" wrap="square" lIns="0" tIns="0" rIns="0" bIns="0" anchor="ctr" anchorCtr="0" upright="1">
                          <a:noAutofit/>
                        </wps:bodyPr>
                      </wps:wsp>
                      <wps:wsp>
                        <wps:cNvPr id="34" name="_s1038"/>
                        <wps:cNvSpPr>
                          <a:spLocks noChangeArrowheads="1"/>
                        </wps:cNvSpPr>
                        <wps:spPr bwMode="auto">
                          <a:xfrm>
                            <a:off x="3488" y="4289"/>
                            <a:ext cx="5880" cy="1260"/>
                          </a:xfrm>
                          <a:prstGeom prst="roundRect">
                            <a:avLst>
                              <a:gd name="adj" fmla="val 16667"/>
                            </a:avLst>
                          </a:prstGeom>
                          <a:solidFill>
                            <a:srgbClr val="003366"/>
                          </a:solidFill>
                          <a:ln w="9525">
                            <a:solidFill>
                              <a:srgbClr val="000000"/>
                            </a:solidFill>
                            <a:round/>
                            <a:headEnd/>
                            <a:tailEnd/>
                          </a:ln>
                        </wps:spPr>
                        <wps:txbx>
                          <w:txbxContent>
                            <w:p w14:paraId="2DBFA2DC" w14:textId="77777777" w:rsidR="001C7D57" w:rsidRPr="00FF4677" w:rsidRDefault="001C7D57" w:rsidP="003F05FC">
                              <w:pPr>
                                <w:jc w:val="center"/>
                                <w:rPr>
                                  <w:rFonts w:cs="Arial"/>
                                  <w:b/>
                                  <w:sz w:val="32"/>
                                  <w:szCs w:val="28"/>
                                  <w:u w:val="single"/>
                                </w:rPr>
                              </w:pPr>
                              <w:r w:rsidRPr="00FF4677">
                                <w:rPr>
                                  <w:rFonts w:cs="Arial"/>
                                  <w:b/>
                                  <w:sz w:val="32"/>
                                  <w:szCs w:val="28"/>
                                  <w:u w:val="single"/>
                                </w:rPr>
                                <w:t>Project Steering Committee</w:t>
                              </w:r>
                            </w:p>
                            <w:p w14:paraId="2BD78EC4" w14:textId="7F132DAE" w:rsidR="001C7D57" w:rsidRPr="00FF4677" w:rsidRDefault="001C7D57" w:rsidP="00D65B20">
                              <w:pPr>
                                <w:rPr>
                                  <w:rFonts w:cs="Arial"/>
                                  <w:sz w:val="25"/>
                                </w:rPr>
                              </w:pPr>
                            </w:p>
                          </w:txbxContent>
                        </wps:txbx>
                        <wps:bodyPr rot="0" vert="horz" wrap="square" lIns="0" tIns="0" rIns="0" bIns="0" anchor="ctr" anchorCtr="0" upright="1">
                          <a:noAutofit/>
                        </wps:bodyPr>
                      </wps:wsp>
                      <wps:wsp>
                        <wps:cNvPr id="35" name="_s1039"/>
                        <wps:cNvSpPr>
                          <a:spLocks noChangeArrowheads="1"/>
                        </wps:cNvSpPr>
                        <wps:spPr bwMode="auto">
                          <a:xfrm>
                            <a:off x="5588" y="6089"/>
                            <a:ext cx="3351" cy="979"/>
                          </a:xfrm>
                          <a:prstGeom prst="roundRect">
                            <a:avLst>
                              <a:gd name="adj" fmla="val 7458"/>
                            </a:avLst>
                          </a:prstGeom>
                          <a:solidFill>
                            <a:srgbClr val="003366"/>
                          </a:solidFill>
                          <a:ln w="9525">
                            <a:solidFill>
                              <a:srgbClr val="000000"/>
                            </a:solidFill>
                            <a:round/>
                            <a:headEnd/>
                            <a:tailEnd/>
                          </a:ln>
                        </wps:spPr>
                        <wps:txbx>
                          <w:txbxContent>
                            <w:p w14:paraId="3D044C4B" w14:textId="2C2543BD" w:rsidR="001C7D57" w:rsidRPr="00D65B20" w:rsidRDefault="001C7D57" w:rsidP="00D65B20">
                              <w:pPr>
                                <w:jc w:val="center"/>
                                <w:rPr>
                                  <w:rFonts w:cs="Arial"/>
                                  <w:b/>
                                  <w:sz w:val="32"/>
                                  <w:szCs w:val="28"/>
                                  <w:u w:val="single"/>
                                </w:rPr>
                              </w:pPr>
                              <w:r w:rsidRPr="00FF4677">
                                <w:rPr>
                                  <w:rFonts w:cs="Arial"/>
                                  <w:b/>
                                  <w:sz w:val="32"/>
                                  <w:szCs w:val="28"/>
                                  <w:u w:val="single"/>
                                </w:rPr>
                                <w:t>Project Coordination Unit</w:t>
                              </w:r>
                            </w:p>
                          </w:txbxContent>
                        </wps:txbx>
                        <wps:bodyPr rot="0" vert="horz" wrap="square" lIns="0" tIns="0" rIns="0" bIns="0" anchor="ctr" anchorCtr="0" upright="1">
                          <a:noAutofit/>
                        </wps:bodyPr>
                      </wps:wsp>
                      <wps:wsp>
                        <wps:cNvPr id="36" name="_s1040"/>
                        <wps:cNvSpPr>
                          <a:spLocks noChangeArrowheads="1"/>
                        </wps:cNvSpPr>
                        <wps:spPr bwMode="auto">
                          <a:xfrm>
                            <a:off x="1628" y="2669"/>
                            <a:ext cx="2431" cy="1181"/>
                          </a:xfrm>
                          <a:prstGeom prst="roundRect">
                            <a:avLst>
                              <a:gd name="adj" fmla="val 16667"/>
                            </a:avLst>
                          </a:prstGeom>
                          <a:solidFill>
                            <a:srgbClr val="003366"/>
                          </a:solidFill>
                          <a:ln w="9525">
                            <a:solidFill>
                              <a:srgbClr val="000000"/>
                            </a:solidFill>
                            <a:round/>
                            <a:headEnd/>
                            <a:tailEnd/>
                          </a:ln>
                        </wps:spPr>
                        <wps:txbx>
                          <w:txbxContent>
                            <w:p w14:paraId="68EFAFF0" w14:textId="77777777" w:rsidR="001C7D57" w:rsidRPr="00D65B20" w:rsidRDefault="001C7D57" w:rsidP="003F05FC">
                              <w:pPr>
                                <w:jc w:val="center"/>
                                <w:rPr>
                                  <w:rFonts w:cs="Arial"/>
                                  <w:b/>
                                  <w:sz w:val="28"/>
                                  <w:szCs w:val="28"/>
                                  <w:u w:val="single"/>
                                  <w14:textOutline w14:w="0" w14:cap="rnd" w14:cmpd="sng" w14:algn="ctr">
                                    <w14:noFill/>
                                    <w14:prstDash w14:val="dash"/>
                                    <w14:bevel/>
                                  </w14:textOutline>
                                </w:rPr>
                              </w:pPr>
                              <w:r w:rsidRPr="00D65B20">
                                <w:rPr>
                                  <w:rFonts w:cs="Arial"/>
                                  <w:b/>
                                  <w:sz w:val="32"/>
                                  <w:szCs w:val="28"/>
                                  <w:u w:val="single"/>
                                  <w14:textOutline w14:w="0" w14:cap="rnd" w14:cmpd="sng" w14:algn="ctr">
                                    <w14:noFill/>
                                    <w14:prstDash w14:val="dash"/>
                                    <w14:bevel/>
                                  </w14:textOutline>
                                </w:rPr>
                                <w:t>GEF International Waters Task Force</w:t>
                              </w:r>
                            </w:p>
                          </w:txbxContent>
                        </wps:txbx>
                        <wps:bodyPr rot="0" vert="horz" wrap="square" lIns="0" tIns="0" rIns="0" bIns="0" anchor="ctr" anchorCtr="0" upright="1">
                          <a:noAutofit/>
                        </wps:bodyPr>
                      </wps:wsp>
                      <wps:wsp>
                        <wps:cNvPr id="37" name="_s1041"/>
                        <wps:cNvSpPr>
                          <a:spLocks noChangeArrowheads="1"/>
                        </wps:cNvSpPr>
                        <wps:spPr bwMode="auto">
                          <a:xfrm>
                            <a:off x="1448" y="7709"/>
                            <a:ext cx="1557" cy="2520"/>
                          </a:xfrm>
                          <a:prstGeom prst="roundRect">
                            <a:avLst>
                              <a:gd name="adj" fmla="val 16667"/>
                            </a:avLst>
                          </a:prstGeom>
                          <a:solidFill>
                            <a:srgbClr val="003366"/>
                          </a:solidFill>
                          <a:ln w="9525">
                            <a:solidFill>
                              <a:srgbClr val="000000"/>
                            </a:solidFill>
                            <a:round/>
                            <a:headEnd/>
                            <a:tailEnd/>
                          </a:ln>
                        </wps:spPr>
                        <wps:txbx>
                          <w:txbxContent>
                            <w:p w14:paraId="4E3D6A18" w14:textId="77777777" w:rsidR="001C7D57" w:rsidRPr="00FF4677" w:rsidRDefault="001C7D57" w:rsidP="003F05FC">
                              <w:pPr>
                                <w:jc w:val="center"/>
                                <w:rPr>
                                  <w:rFonts w:cs="Arial"/>
                                  <w:b/>
                                  <w:sz w:val="27"/>
                                  <w:u w:val="single"/>
                                </w:rPr>
                              </w:pPr>
                              <w:r w:rsidRPr="00FF4677">
                                <w:rPr>
                                  <w:rFonts w:cs="Arial"/>
                                  <w:b/>
                                  <w:sz w:val="27"/>
                                  <w:u w:val="single"/>
                                </w:rPr>
                                <w:t>Component 1</w:t>
                              </w:r>
                            </w:p>
                            <w:p w14:paraId="251C07BE" w14:textId="77777777" w:rsidR="001C7D57" w:rsidRPr="00FF4677" w:rsidRDefault="001C7D57" w:rsidP="003F05FC">
                              <w:pPr>
                                <w:jc w:val="center"/>
                                <w:rPr>
                                  <w:rFonts w:cs="Arial"/>
                                  <w:sz w:val="25"/>
                                </w:rPr>
                              </w:pPr>
                              <w:r w:rsidRPr="00FF4677">
                                <w:rPr>
                                  <w:rFonts w:cs="Arial"/>
                                  <w:sz w:val="25"/>
                                </w:rPr>
                                <w:t>UNDP, UNESCO</w:t>
                              </w:r>
                              <w:proofErr w:type="gramStart"/>
                              <w:r w:rsidRPr="00FF4677">
                                <w:rPr>
                                  <w:rFonts w:cs="Arial"/>
                                  <w:sz w:val="25"/>
                                </w:rPr>
                                <w:t>,  GWP</w:t>
                              </w:r>
                              <w:proofErr w:type="gramEnd"/>
                              <w:r w:rsidRPr="00FF4677">
                                <w:rPr>
                                  <w:rFonts w:cs="Arial"/>
                                  <w:sz w:val="25"/>
                                </w:rPr>
                                <w:t>-Med, Rhodes University, SeaStart, Caribbean Environment Programme</w:t>
                              </w:r>
                            </w:p>
                          </w:txbxContent>
                        </wps:txbx>
                        <wps:bodyPr rot="0" vert="horz" wrap="square" lIns="0" tIns="0" rIns="0" bIns="0" anchor="ctr" anchorCtr="0" upright="1">
                          <a:noAutofit/>
                        </wps:bodyPr>
                      </wps:wsp>
                      <wps:wsp>
                        <wps:cNvPr id="38" name="_s1042"/>
                        <wps:cNvSpPr>
                          <a:spLocks noChangeArrowheads="1"/>
                        </wps:cNvSpPr>
                        <wps:spPr bwMode="auto">
                          <a:xfrm>
                            <a:off x="3264" y="7709"/>
                            <a:ext cx="1557" cy="1439"/>
                          </a:xfrm>
                          <a:prstGeom prst="roundRect">
                            <a:avLst>
                              <a:gd name="adj" fmla="val 16667"/>
                            </a:avLst>
                          </a:prstGeom>
                          <a:solidFill>
                            <a:srgbClr val="003366"/>
                          </a:solidFill>
                          <a:ln w="9525">
                            <a:solidFill>
                              <a:srgbClr val="000000"/>
                            </a:solidFill>
                            <a:round/>
                            <a:headEnd/>
                            <a:tailEnd/>
                          </a:ln>
                        </wps:spPr>
                        <wps:txbx>
                          <w:txbxContent>
                            <w:p w14:paraId="3F61C284" w14:textId="77777777" w:rsidR="001C7D57" w:rsidRPr="00FF4677" w:rsidRDefault="001C7D57" w:rsidP="003F05FC">
                              <w:pPr>
                                <w:jc w:val="center"/>
                                <w:rPr>
                                  <w:rFonts w:cs="Arial"/>
                                  <w:b/>
                                  <w:sz w:val="27"/>
                                  <w:u w:val="single"/>
                                </w:rPr>
                              </w:pPr>
                              <w:r w:rsidRPr="00FF4677">
                                <w:rPr>
                                  <w:rFonts w:cs="Arial"/>
                                  <w:b/>
                                  <w:sz w:val="27"/>
                                  <w:u w:val="single"/>
                                </w:rPr>
                                <w:t>Component 2</w:t>
                              </w:r>
                            </w:p>
                            <w:p w14:paraId="2470082A" w14:textId="77777777" w:rsidR="001C7D57" w:rsidRPr="00FF4677" w:rsidRDefault="001C7D57" w:rsidP="003F05FC">
                              <w:pPr>
                                <w:jc w:val="center"/>
                                <w:rPr>
                                  <w:rFonts w:cs="Arial"/>
                                  <w:sz w:val="25"/>
                                </w:rPr>
                              </w:pPr>
                              <w:r w:rsidRPr="00FF4677">
                                <w:rPr>
                                  <w:rFonts w:cs="Arial"/>
                                  <w:sz w:val="25"/>
                                </w:rPr>
                                <w:t>UNDP, UNESCO, IUCN-WANI</w:t>
                              </w:r>
                            </w:p>
                          </w:txbxContent>
                        </wps:txbx>
                        <wps:bodyPr rot="0" vert="horz" wrap="square" lIns="0" tIns="0" rIns="0" bIns="0" anchor="ctr" anchorCtr="0" upright="1">
                          <a:noAutofit/>
                        </wps:bodyPr>
                      </wps:wsp>
                      <wps:wsp>
                        <wps:cNvPr id="39" name="_s1043"/>
                        <wps:cNvSpPr>
                          <a:spLocks noChangeArrowheads="1"/>
                        </wps:cNvSpPr>
                        <wps:spPr bwMode="auto">
                          <a:xfrm>
                            <a:off x="5048" y="7710"/>
                            <a:ext cx="1556" cy="1439"/>
                          </a:xfrm>
                          <a:prstGeom prst="roundRect">
                            <a:avLst>
                              <a:gd name="adj" fmla="val 16667"/>
                            </a:avLst>
                          </a:prstGeom>
                          <a:solidFill>
                            <a:srgbClr val="003366"/>
                          </a:solidFill>
                          <a:ln w="9525">
                            <a:solidFill>
                              <a:srgbClr val="000000"/>
                            </a:solidFill>
                            <a:round/>
                            <a:headEnd/>
                            <a:tailEnd/>
                          </a:ln>
                        </wps:spPr>
                        <wps:txbx>
                          <w:txbxContent>
                            <w:p w14:paraId="78F5EE4C" w14:textId="77777777" w:rsidR="001C7D57" w:rsidRPr="00FF4677" w:rsidRDefault="001C7D57" w:rsidP="003F05FC">
                              <w:pPr>
                                <w:jc w:val="center"/>
                                <w:rPr>
                                  <w:rFonts w:cs="Arial"/>
                                  <w:sz w:val="27"/>
                                </w:rPr>
                              </w:pPr>
                              <w:r w:rsidRPr="00FF4677">
                                <w:rPr>
                                  <w:rFonts w:cs="Arial"/>
                                  <w:b/>
                                  <w:sz w:val="27"/>
                                  <w:u w:val="single"/>
                                </w:rPr>
                                <w:t>Component 3</w:t>
                              </w:r>
                            </w:p>
                            <w:p w14:paraId="0DC3DEE9" w14:textId="77777777" w:rsidR="001C7D57" w:rsidRPr="00FF4677" w:rsidRDefault="001C7D57" w:rsidP="003F05FC">
                              <w:pPr>
                                <w:jc w:val="center"/>
                                <w:rPr>
                                  <w:rFonts w:cs="Arial"/>
                                  <w:sz w:val="25"/>
                                </w:rPr>
                              </w:pPr>
                              <w:r w:rsidRPr="00FF4677">
                                <w:rPr>
                                  <w:rFonts w:cs="Arial"/>
                                  <w:sz w:val="25"/>
                                </w:rPr>
                                <w:t>UNDP, UNEP, UNU</w:t>
                              </w:r>
                            </w:p>
                          </w:txbxContent>
                        </wps:txbx>
                        <wps:bodyPr rot="0" vert="horz" wrap="square" lIns="0" tIns="0" rIns="0" bIns="0" anchor="ctr" anchorCtr="0" upright="1">
                          <a:noAutofit/>
                        </wps:bodyPr>
                      </wps:wsp>
                      <wps:wsp>
                        <wps:cNvPr id="40" name="_s1044"/>
                        <wps:cNvSpPr>
                          <a:spLocks noChangeArrowheads="1"/>
                        </wps:cNvSpPr>
                        <wps:spPr bwMode="auto">
                          <a:xfrm>
                            <a:off x="6895" y="7709"/>
                            <a:ext cx="1557" cy="1439"/>
                          </a:xfrm>
                          <a:prstGeom prst="roundRect">
                            <a:avLst>
                              <a:gd name="adj" fmla="val 16667"/>
                            </a:avLst>
                          </a:prstGeom>
                          <a:solidFill>
                            <a:srgbClr val="003366"/>
                          </a:solidFill>
                          <a:ln w="9525">
                            <a:solidFill>
                              <a:srgbClr val="000000"/>
                            </a:solidFill>
                            <a:round/>
                            <a:headEnd/>
                            <a:tailEnd/>
                          </a:ln>
                        </wps:spPr>
                        <wps:txbx>
                          <w:txbxContent>
                            <w:p w14:paraId="2E4B4984" w14:textId="77777777" w:rsidR="001C7D57" w:rsidRPr="00FF4677" w:rsidRDefault="001C7D57" w:rsidP="003F05FC">
                              <w:pPr>
                                <w:jc w:val="center"/>
                                <w:rPr>
                                  <w:rFonts w:cs="Arial"/>
                                  <w:sz w:val="27"/>
                                </w:rPr>
                              </w:pPr>
                              <w:r w:rsidRPr="00FF4677">
                                <w:rPr>
                                  <w:rFonts w:cs="Arial"/>
                                  <w:b/>
                                  <w:sz w:val="27"/>
                                  <w:u w:val="single"/>
                                </w:rPr>
                                <w:t>Component 4</w:t>
                              </w:r>
                            </w:p>
                            <w:p w14:paraId="195021A0" w14:textId="77777777" w:rsidR="001C7D57" w:rsidRPr="00FF4677" w:rsidRDefault="001C7D57" w:rsidP="003F05FC">
                              <w:pPr>
                                <w:jc w:val="center"/>
                                <w:rPr>
                                  <w:rFonts w:cs="Arial"/>
                                  <w:sz w:val="25"/>
                                </w:rPr>
                              </w:pPr>
                              <w:r w:rsidRPr="00FF4677">
                                <w:rPr>
                                  <w:rFonts w:cs="Arial"/>
                                  <w:sz w:val="25"/>
                                </w:rPr>
                                <w:t>UNEP, SeaStart, UNU</w:t>
                              </w:r>
                            </w:p>
                          </w:txbxContent>
                        </wps:txbx>
                        <wps:bodyPr rot="0" vert="horz" wrap="square" lIns="0" tIns="0" rIns="0" bIns="0" anchor="ctr" anchorCtr="0" upright="1">
                          <a:noAutofit/>
                        </wps:bodyPr>
                      </wps:wsp>
                      <wps:wsp>
                        <wps:cNvPr id="41" name="_s1045"/>
                        <wps:cNvSpPr>
                          <a:spLocks noChangeArrowheads="1"/>
                        </wps:cNvSpPr>
                        <wps:spPr bwMode="auto">
                          <a:xfrm>
                            <a:off x="8711" y="7711"/>
                            <a:ext cx="1557" cy="1438"/>
                          </a:xfrm>
                          <a:prstGeom prst="roundRect">
                            <a:avLst>
                              <a:gd name="adj" fmla="val 16667"/>
                            </a:avLst>
                          </a:prstGeom>
                          <a:solidFill>
                            <a:srgbClr val="003366"/>
                          </a:solidFill>
                          <a:ln w="9525">
                            <a:solidFill>
                              <a:srgbClr val="000000"/>
                            </a:solidFill>
                            <a:round/>
                            <a:headEnd/>
                            <a:tailEnd/>
                          </a:ln>
                        </wps:spPr>
                        <wps:txbx>
                          <w:txbxContent>
                            <w:p w14:paraId="3226B458" w14:textId="77777777" w:rsidR="001C7D57" w:rsidRPr="00FF4677" w:rsidRDefault="001C7D57" w:rsidP="003F05FC">
                              <w:pPr>
                                <w:jc w:val="center"/>
                                <w:rPr>
                                  <w:rFonts w:cs="Arial"/>
                                  <w:b/>
                                  <w:sz w:val="27"/>
                                  <w:u w:val="single"/>
                                </w:rPr>
                              </w:pPr>
                              <w:r w:rsidRPr="00FF4677">
                                <w:rPr>
                                  <w:rFonts w:cs="Arial"/>
                                  <w:b/>
                                  <w:sz w:val="27"/>
                                  <w:u w:val="single"/>
                                </w:rPr>
                                <w:t>Component 5</w:t>
                              </w:r>
                            </w:p>
                            <w:p w14:paraId="11E156CF" w14:textId="77777777" w:rsidR="001C7D57" w:rsidRPr="00FF4677" w:rsidRDefault="001C7D57" w:rsidP="003F05FC">
                              <w:pPr>
                                <w:jc w:val="center"/>
                                <w:rPr>
                                  <w:rFonts w:cs="Arial"/>
                                  <w:sz w:val="25"/>
                                </w:rPr>
                              </w:pPr>
                              <w:r w:rsidRPr="00FF4677">
                                <w:rPr>
                                  <w:rFonts w:cs="Arial"/>
                                  <w:sz w:val="25"/>
                                </w:rPr>
                                <w:t>UNDP, GETF</w:t>
                              </w:r>
                            </w:p>
                          </w:txbxContent>
                        </wps:txbx>
                        <wps:bodyPr rot="0" vert="horz" wrap="square" lIns="0" tIns="0" rIns="0" bIns="0" anchor="ctr" anchorCtr="0" upright="1">
                          <a:noAutofit/>
                        </wps:bodyPr>
                      </wps:wsp>
                      <wps:wsp>
                        <wps:cNvPr id="42" name="_s1046"/>
                        <wps:cNvSpPr>
                          <a:spLocks noChangeArrowheads="1"/>
                        </wps:cNvSpPr>
                        <wps:spPr bwMode="auto">
                          <a:xfrm>
                            <a:off x="1568" y="6089"/>
                            <a:ext cx="3120" cy="900"/>
                          </a:xfrm>
                          <a:prstGeom prst="roundRect">
                            <a:avLst>
                              <a:gd name="adj" fmla="val 16667"/>
                            </a:avLst>
                          </a:prstGeom>
                          <a:solidFill>
                            <a:srgbClr val="003366"/>
                          </a:solidFill>
                          <a:ln w="9525">
                            <a:solidFill>
                              <a:srgbClr val="000000"/>
                            </a:solidFill>
                            <a:round/>
                            <a:headEnd/>
                            <a:tailEnd/>
                          </a:ln>
                        </wps:spPr>
                        <wps:txbx>
                          <w:txbxContent>
                            <w:p w14:paraId="07E59AF9" w14:textId="489EA0FC" w:rsidR="001C7D57" w:rsidRPr="00D65B20" w:rsidRDefault="001C7D57" w:rsidP="00D65B20">
                              <w:pPr>
                                <w:jc w:val="center"/>
                                <w:rPr>
                                  <w:b/>
                                  <w:sz w:val="27"/>
                                  <w:u w:val="single"/>
                                </w:rPr>
                              </w:pPr>
                              <w:r>
                                <w:rPr>
                                  <w:b/>
                                  <w:sz w:val="27"/>
                                  <w:u w:val="single"/>
                                </w:rPr>
                                <w:t>Technical Advisory Group</w:t>
                              </w:r>
                              <w:r>
                                <w:rPr>
                                  <w:sz w:val="25"/>
                                </w:rPr>
                                <w:t xml:space="preserve"> </w:t>
                              </w:r>
                            </w:p>
                          </w:txbxContent>
                        </wps:txbx>
                        <wps:bodyPr rot="0" vert="horz" wrap="square" lIns="0" tIns="0" rIns="0" bIns="0" anchor="ctr" anchorCtr="0" upright="1">
                          <a:noAutofit/>
                        </wps:bodyPr>
                      </wps:wsp>
                    </wpg:wgp>
                  </a:graphicData>
                </a:graphic>
              </wp:inline>
            </w:drawing>
          </mc:Choice>
          <mc:Fallback>
            <w:pict>
              <v:group id="Group 23" o:spid="_x0000_s1026" style="width:456pt;height:572.35pt;mso-position-horizontal-relative:char;mso-position-vertical-relative:line" coordorigin="1448,1949" coordsize="8820,100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">
                <o:lock v:ext="edit" aspectratio="t"/>
                <v:rect id="AutoShape 24" o:spid="_x0000_s1027" style="position:absolute;left:1448;top:1949;width:8820;height:10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sqPVxAAA&#10;ANsAAAAPAAAAZHJzL2Rvd25yZXYueG1sRI9Ba8JAFITvhf6H5RW8FN3UQikxGylCMYggjdXzI/tM&#10;QrNvY3ZN4r/vCoLHYWa+YZLlaBrRU+dqywreZhEI4sLqmksFv/vv6ScI55E1NpZJwZUcLNPnpwRj&#10;bQf+oT73pQgQdjEqqLxvYyldUZFBN7MtcfBOtjPog+xKqTscAtw0ch5FH9JgzWGhwpZWFRV/+cUo&#10;GIpdf9xv13L3eswsn7PzKj9slJq8jF8LEJ5G/wjf25lWMH+H25fwA2T6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bKj1cQAAADbAAAADwAAAAAAAAAAAAAAAACXAgAAZHJzL2Rv&#10;d25yZXYueG1sUEsFBgAAAAAEAAQA9QAAAIgDAAAAAA==&#10;" filled="f" stroked="f">
                  <o:lock v:ext="edit" aspectratio="t" text="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28" o:spid="_x0000_s1028" type="#_x0000_t34" style="position:absolute;left:4688;top:6539;width:900;height:4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81uscAAADbAAAADwAAAGRycy9kb3ducmV2LnhtbESP0WrCQBRE3wX/YbmCL1I3lZra6Coq&#10;LVSkpab9gGv2msRm74bsVuPfdwXBx2FmzjCzRWsqcaLGlZYVPA4jEMSZ1SXnCn6+3x4mIJxH1lhZ&#10;JgUXcrCYdzszTLQ9845Oqc9FgLBLUEHhfZ1I6bKCDLqhrYmDd7CNQR9kk0vd4DnATSVHURRLgyWH&#10;hQJrWheU/aZ/RsF4dYxfnj83g8Fhv/1Yvu72X5N0q1S/1y6nIDy1/h6+td+1gtETXL+EHyDn/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SfzW6xwAAANsAAAAPAAAAAAAA&#10;AAAAAAAAAKECAABkcnMvZG93bnJldi54bWxQSwUGAAAAAAQABAD5AAAAlQMAAAAA&#10;" adj="4320" strokeweight="2.25pt">
                  <v:stroke dashstyle="dash"/>
                </v:shape>
                <v:shape id="_s1029" o:spid="_x0000_s1029" type="#_x0000_t34" style="position:absolute;left:8055;top:6277;width:643;height:222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M0VOsUAAADbAAAADwAAAGRycy9kb3ducmV2LnhtbESPQWvCQBSE74X+h+UVvNWNSoNEN6Gt&#10;CB6krVrw+sg+k8Xs2zS7mvTfdwuCx2FmvmGWxWAbcaXOG8cKJuMEBHHptOFKwfdh/TwH4QOyxsYx&#10;KfglD0X++LDETLued3Tdh0pECPsMFdQhtJmUvqzJoh+7ljh6J9dZDFF2ldQd9hFuGzlNklRaNBwX&#10;amzpvabyvL9YBa5622z7dNh9mfRz8jMzh+P8Y6XU6Gl4XYAINIR7+NbeaAXTF/j/En+AzP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M0VOsUAAADbAAAADwAAAAAAAAAA&#10;AAAAAAChAgAAZHJzL2Rvd25yZXYueG1sUEsFBgAAAAAEAAQA+QAAAJMDAAAAAA==&#10;" adj="6047" strokeweight="2.25pt"/>
                <v:shape id="_s1030" o:spid="_x0000_s1030" type="#_x0000_t34" style="position:absolute;left:7148;top:7184;width:641;height:41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b/feMQAAADbAAAADwAAAGRycy9kb3ducmV2LnhtbESPQWvCQBSE70L/w/KEXkQ3EbSSukop&#10;VOqxplp6e2Rfs8Hs25BdTfLvu4LgcZiZb5j1tre1uFLrK8cK0lkCgrhwuuJSwXf+MV2B8AFZY+2Y&#10;FAzkYbt5Gq0x067jL7oeQikihH2GCkwITSalLwxZ9DPXEEfvz7UWQ5RtKXWLXYTbWs6TZCktVhwX&#10;DDb0bqg4Hy5WwaRJu5fd/kea03D87RdDnvoyV+p53L+9ggjUh0f43v7UCuZLuH2JP0B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v994xAAAANsAAAAPAAAAAAAAAAAA&#10;AAAAAKECAABkcnMvZG93bnJldi54bWxQSwUGAAAAAAQABAD5AAAAkgMAAAAA&#10;" adj="6066" strokeweight="2.25pt"/>
                <v:shape id="_s1031" o:spid="_x0000_s1031" type="#_x0000_t34" style="position:absolute;left:6224;top:6670;width:642;height:1438;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DbcQAAADbAAAADwAAAGRycy9kb3ducmV2LnhtbESPQWsCMRSE74X+h/AKvdW3emjLahQR&#10;Cz20h66L4O2xee4GNy9rkur675tCocdhZr5hFqvR9erCIVovGqaTAhRL442VVkO9e3t6BRUTiaHe&#10;C2u4cYTV8v5uQaXxV/niS5ValSESS9LQpTSUiLHp2FGc+IEle0cfHKUsQ4sm0DXDXY+zonhGR1by&#10;QkcDbzpuTtW307Df4uZ2rk4YnQ272n4eavw4aP34MK7noBKP6T/81343GmYv8Psl/wBc/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5INtxAAAANsAAAAPAAAAAAAAAAAA&#10;AAAAAKECAABkcnMvZG93bnJldi54bWxQSwUGAAAAAAQABAD5AAAAkgMAAAAA&#10;" adj="6056" strokeweight="2.25pt"/>
                <v:shape id="_s1032" o:spid="_x0000_s1032" type="#_x0000_t34" style="position:absolute;left:5333;top:5778;width:641;height:3221;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I5YqcEAAADbAAAADwAAAGRycy9kb3ducmV2LnhtbERPS2rDMBDdF3IHMYHuatlpKcGxEoIh&#10;pO2iNJ8DTKyJZWKNjKXYzu2rRaHLx/sXm8m2YqDeN44VZEkKgrhyuuFawfm0e1mC8AFZY+uYFDzI&#10;w2Y9eyow127kAw3HUIsYwj5HBSaELpfSV4Ys+sR1xJG7ut5iiLCvpe5xjOG2lYs0fZcWG44NBjsq&#10;DVW3490qGIfv15/yYfgNs8/718Xu9lhmSj3Pp+0KRKAp/Iv/3B9awSKOjV/iD5Dr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jlipwQAAANsAAAAPAAAAAAAAAAAAAAAA&#10;AKECAABkcnMvZG93bnJldi54bWxQSwUGAAAAAAQABAD5AAAAjwMAAAAA&#10;" adj="6066" strokeweight="2.25pt"/>
                <v:shape id="_s1033" o:spid="_x0000_s1033" type="#_x0000_t34" style="position:absolute;left:4425;top:4870;width:641;height:5037;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8L9MsQAAADbAAAADwAAAGRycy9kb3ducmV2LnhtbESP0WrCQBRE3wv9h+UWfKubqJQ2uooE&#10;xNYHadN+wDV7mw3N3g3ZNYl/7wpCH4eZOcOsNqNtRE+drx0rSKcJCOLS6ZorBT/fu+dXED4ga2wc&#10;k4ILedisHx9WmGk38Bf1RahEhLDPUIEJoc2k9KUhi37qWuLo/brOYoiyq6TucIhw28hZkrxIizXH&#10;BYMt5YbKv+JsFQz9cf6ZXwwvMP04H052t8c8VWryNG6XIAKN4T98b79rBbM3uH2JP0Cur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wv0yxAAAANsAAAAPAAAAAAAAAAAA&#10;AAAAAKECAABkcnMvZG93bnJldi54bWxQSwUGAAAAAAQABAD5AAAAkgMAAAAA&#10;" adj="6066" strokeweight="2.25pt"/>
                <v:shape id="_s1035" o:spid="_x0000_s1034" type="#_x0000_t34" style="position:absolute;left:6576;top:5401;width:540;height:836;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jLSpMUAAADbAAAADwAAAGRycy9kb3ducmV2LnhtbESPT2vCQBTE7wW/w/KEXopuUqktqZsg&#10;hRahJ/9Q9PbIPpNo9m3IbuP67btCweMwM79hFkUwrRiod41lBek0AUFcWt1wpWC3/Zy8gXAeWWNr&#10;mRRcyUGRjx4WmGl74TUNG1+JCGGXoYLa+y6T0pU1GXRT2xFH72h7gz7KvpK6x0uEm1Y+J8lcGmw4&#10;LtTY0UdN5XnzaxTs06/t7Onk0sMh/HRh0K9N8vKt1OM4LN9BeAr+Hv5vr7SCWQq3L/EHy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jLSpMUAAADbAAAADwAAAAAAAAAA&#10;AAAAAAChAgAAZHJzL2Rvd25yZXYueG1sUEsFBgAAAAAEAAQA+QAAAJMDAAAAAA==&#10;" adj="7200" strokeweight="2.25pt"/>
                <v:shape id="_s1036" o:spid="_x0000_s1035" type="#_x0000_t34" style="position:absolute;left:6122;top:3641;width:954;height:341;rotation:9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6063cEAAADbAAAADwAAAGRycy9kb3ducmV2LnhtbESP0YrCMBRE3wX/IVzBN023givVKIsg&#10;CIJo9QMuzd20bHNTmhjr35uFhX0cZuYMs9kNthWRet84VvAxz0AQV043bBTcb4fZCoQPyBpbx6Tg&#10;RR522/Fog4V2T75SLIMRCcK+QAV1CF0hpa9qsujnriNO3rfrLYYkeyN1j88Et63Ms2wpLTacFmrs&#10;aF9T9VM+rAIbz9EMh+M+Xk3+ebrEVyx1o9R0MnytQQQawn/4r33UChY5/H5JP0Bu3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XrTrdwQAAANsAAAAPAAAAAAAAAAAAAAAA&#10;AKECAABkcnMvZG93bnJldi54bWxQSwUGAAAAAAQABAD5AAAAjwMAAAAA&#10;" strokeweight="2.25pt"/>
                <v:roundrect id="_s1037" o:spid="_x0000_s1036" style="position:absolute;left:5278;top:2154;width:2983;height:118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RwN7xAAA&#10;ANsAAAAPAAAAZHJzL2Rvd25yZXYueG1sRI/dasJAFITvC77Dcgre1U0USk2zShEFIbTF6AOcZE9+&#10;aPZszK4mfftuodDLYeabYdLtZDpxp8G1lhXEiwgEcWl1y7WCy/nw9ALCeWSNnWVS8E0OtpvZQ4qJ&#10;tiOf6J77WoQSdgkqaLzvEyld2ZBBt7A9cfAqOxj0QQ611AOOodx0chlFz9Jgy2GhwZ52DZVf+c0o&#10;WMXZOhtlYT4/9peqoPcsvh4KpeaP09srCE+T/w//0UcduBX8fgk/QG5+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EcDe8QAAADbAAAADwAAAAAAAAAAAAAAAACXAgAAZHJzL2Rv&#10;d25yZXYueG1sUEsFBgAAAAAEAAQA9QAAAIgDAAAAAA==&#10;" fillcolor="#036">
                  <v:textbox inset="0,0,0,0">
                    <w:txbxContent>
                      <w:p w14:paraId="4BC180F5" w14:textId="77777777" w:rsidR="001C7D57" w:rsidRPr="00FF4677" w:rsidRDefault="001C7D57" w:rsidP="003F05FC">
                        <w:pPr>
                          <w:jc w:val="center"/>
                          <w:rPr>
                            <w:rFonts w:cs="Arial"/>
                            <w:b/>
                            <w:sz w:val="32"/>
                            <w:szCs w:val="28"/>
                            <w:lang w:val="de-DE"/>
                          </w:rPr>
                        </w:pPr>
                        <w:r w:rsidRPr="00FF4677">
                          <w:rPr>
                            <w:rFonts w:cs="Arial"/>
                            <w:b/>
                            <w:sz w:val="32"/>
                            <w:szCs w:val="28"/>
                            <w:u w:val="single"/>
                            <w:lang w:val="de-DE"/>
                          </w:rPr>
                          <w:t>Inter-Agency Forum</w:t>
                        </w:r>
                      </w:p>
                    </w:txbxContent>
                  </v:textbox>
                </v:roundrect>
                <v:roundrect id="_s1038" o:spid="_x0000_s1037" style="position:absolute;left:3488;top:4289;width:5880;height:126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rpsPxAAA&#10;ANsAAAAPAAAAZHJzL2Rvd25yZXYueG1sRI/RasJAFETfC/2H5RZ8002slBqzSikVhNBKNR9wk70m&#10;wezdmF1N+vfdgtDHYebMMOlmNK24Ue8aywriWQSCuLS64UpBftxOX0E4j6yxtUwKfsjBZv34kGKi&#10;7cDfdDv4SoQSdgkqqL3vEildWZNBN7MdcfBOtjfog+wrqXscQrlp5TyKXqTBhsNCjR2911SeD1ej&#10;4DnOltkgC7P/+shPBX1m8WVbKDV5Gt9WIDyN/j98p3c6cAv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966bD8QAAADbAAAADwAAAAAAAAAAAAAAAACXAgAAZHJzL2Rv&#10;d25yZXYueG1sUEsFBgAAAAAEAAQA9QAAAIgDAAAAAA==&#10;" fillcolor="#036">
                  <v:textbox inset="0,0,0,0">
                    <w:txbxContent>
                      <w:p w14:paraId="2DBFA2DC" w14:textId="77777777" w:rsidR="001C7D57" w:rsidRPr="00FF4677" w:rsidRDefault="001C7D57" w:rsidP="003F05FC">
                        <w:pPr>
                          <w:jc w:val="center"/>
                          <w:rPr>
                            <w:rFonts w:cs="Arial"/>
                            <w:b/>
                            <w:sz w:val="32"/>
                            <w:szCs w:val="28"/>
                            <w:u w:val="single"/>
                          </w:rPr>
                        </w:pPr>
                        <w:r w:rsidRPr="00FF4677">
                          <w:rPr>
                            <w:rFonts w:cs="Arial"/>
                            <w:b/>
                            <w:sz w:val="32"/>
                            <w:szCs w:val="28"/>
                            <w:u w:val="single"/>
                          </w:rPr>
                          <w:t>Project Steering Committee</w:t>
                        </w:r>
                      </w:p>
                      <w:p w14:paraId="2BD78EC4" w14:textId="7F132DAE" w:rsidR="001C7D57" w:rsidRPr="00FF4677" w:rsidRDefault="001C7D57" w:rsidP="00D65B20">
                        <w:pPr>
                          <w:rPr>
                            <w:rFonts w:cs="Arial"/>
                            <w:sz w:val="25"/>
                          </w:rPr>
                        </w:pPr>
                      </w:p>
                    </w:txbxContent>
                  </v:textbox>
                </v:roundrect>
                <v:roundrect id="_s1039" o:spid="_x0000_s1038" style="position:absolute;left:5588;top:6089;width:3351;height:979;visibility:visible;mso-wrap-style:square;v-text-anchor:middle" arcsize="4888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lc5xQAA&#10;ANsAAAAPAAAAZHJzL2Rvd25yZXYueG1sRI9Ba8JAFITvQv/D8oReim5saCnRVYrYUCwUmnjQ2yP7&#10;TILZt2F31fTfd4WCx2FmvmEWq8F04kLOt5YVzKYJCOLK6pZrBbvyY/IGwgdkjZ1lUvBLHlbLh9EC&#10;M22v/EOXItQiQthnqKAJoc+k9FVDBv3U9sTRO1pnMETpaqkdXiPcdPI5SV6lwZbjQoM9rRuqTsXZ&#10;KDgf8k3e5wXvv9P0qcxnX27rnVKP4+F9DiLQEO7h//anVpC+wO1L/AF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aVznFAAAA2wAAAA8AAAAAAAAAAAAAAAAAlwIAAGRycy9k&#10;b3ducmV2LnhtbFBLBQYAAAAABAAEAPUAAACJAwAAAAA=&#10;" fillcolor="#036">
                  <v:textbox inset="0,0,0,0">
                    <w:txbxContent>
                      <w:p w14:paraId="3D044C4B" w14:textId="2C2543BD" w:rsidR="001C7D57" w:rsidRPr="00D65B20" w:rsidRDefault="001C7D57" w:rsidP="00D65B20">
                        <w:pPr>
                          <w:jc w:val="center"/>
                          <w:rPr>
                            <w:rFonts w:cs="Arial"/>
                            <w:b/>
                            <w:sz w:val="32"/>
                            <w:szCs w:val="28"/>
                            <w:u w:val="single"/>
                          </w:rPr>
                        </w:pPr>
                        <w:r w:rsidRPr="00FF4677">
                          <w:rPr>
                            <w:rFonts w:cs="Arial"/>
                            <w:b/>
                            <w:sz w:val="32"/>
                            <w:szCs w:val="28"/>
                            <w:u w:val="single"/>
                          </w:rPr>
                          <w:t>Project Coordination Unit</w:t>
                        </w:r>
                      </w:p>
                    </w:txbxContent>
                  </v:textbox>
                </v:roundrect>
                <v:roundrect id="_s1040" o:spid="_x0000_s1039" style="position:absolute;left:1628;top:2669;width:2431;height:1181;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MKDjwwAA&#10;ANsAAAAPAAAAZHJzL2Rvd25yZXYueG1sRI/RasJAFETfC/2H5Qq+1U1akDa6ihSFQlAx9QNustck&#10;mL0bs1sT/94VhD4OM2eGmS8H04grda62rCCeRCCIC6trLhUcfzdvnyCcR9bYWCYFN3KwXLy+zDHR&#10;tucDXTNfilDCLkEFlfdtIqUrKjLoJrYlDt7JdgZ9kF0pdYd9KDeNfI+iqTRYc1iosKXviopz9mcU&#10;fMTpV9rL3Ox36+Mpp20aXza5UuPRsJqB8DT4//CT/tGBm8LjS/gBcn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oMKDjwwAAANsAAAAPAAAAAAAAAAAAAAAAAJcCAABkcnMvZG93&#10;bnJldi54bWxQSwUGAAAAAAQABAD1AAAAhwMAAAAA&#10;" fillcolor="#036">
                  <v:textbox inset="0,0,0,0">
                    <w:txbxContent>
                      <w:p w14:paraId="68EFAFF0" w14:textId="77777777" w:rsidR="001C7D57" w:rsidRPr="00D65B20" w:rsidRDefault="001C7D57" w:rsidP="003F05FC">
                        <w:pPr>
                          <w:jc w:val="center"/>
                          <w:rPr>
                            <w:rFonts w:cs="Arial"/>
                            <w:b/>
                            <w:sz w:val="28"/>
                            <w:szCs w:val="28"/>
                            <w:u w:val="single"/>
                            <w14:textOutline w14:w="0" w14:cap="rnd" w14:cmpd="sng" w14:algn="ctr">
                              <w14:noFill/>
                              <w14:prstDash w14:val="dash"/>
                              <w14:bevel/>
                            </w14:textOutline>
                          </w:rPr>
                        </w:pPr>
                        <w:r w:rsidRPr="00D65B20">
                          <w:rPr>
                            <w:rFonts w:cs="Arial"/>
                            <w:b/>
                            <w:sz w:val="32"/>
                            <w:szCs w:val="28"/>
                            <w:u w:val="single"/>
                            <w14:textOutline w14:w="0" w14:cap="rnd" w14:cmpd="sng" w14:algn="ctr">
                              <w14:noFill/>
                              <w14:prstDash w14:val="dash"/>
                              <w14:bevel/>
                            </w14:textOutline>
                          </w:rPr>
                          <w:t>GEF International Waters Task Force</w:t>
                        </w:r>
                      </w:p>
                    </w:txbxContent>
                  </v:textbox>
                </v:roundrect>
                <v:roundrect id="_s1041" o:spid="_x0000_s1040" style="position:absolute;left:1448;top:7709;width:1557;height:252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fAV4xAAA&#10;ANsAAAAPAAAAZHJzL2Rvd25yZXYueG1sRI/RasJAFETfC/2H5RZ8000s2BqzSikVhNBKNR9wk70m&#10;wezdmF1N+vfdgtDHYebMMOlmNK24Ue8aywriWQSCuLS64UpBftxOX0E4j6yxtUwKfsjBZv34kGKi&#10;7cDfdDv4SoQSdgkqqL3vEildWZNBN7MdcfBOtjfog+wrqXscQrlp5TyKFtJgw2Ghxo7eayrPh6tR&#10;8Bxny2yQhdl/feSngj6z+LItlJo8jW8rEJ5G/x++0zsduBf4+xJ+gF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B3wFeMQAAADbAAAADwAAAAAAAAAAAAAAAACXAgAAZHJzL2Rv&#10;d25yZXYueG1sUEsFBgAAAAAEAAQA9QAAAIgDAAAAAA==&#10;" fillcolor="#036">
                  <v:textbox inset="0,0,0,0">
                    <w:txbxContent>
                      <w:p w14:paraId="4E3D6A18" w14:textId="77777777" w:rsidR="001C7D57" w:rsidRPr="00FF4677" w:rsidRDefault="001C7D57" w:rsidP="003F05FC">
                        <w:pPr>
                          <w:jc w:val="center"/>
                          <w:rPr>
                            <w:rFonts w:cs="Arial"/>
                            <w:b/>
                            <w:sz w:val="27"/>
                            <w:u w:val="single"/>
                          </w:rPr>
                        </w:pPr>
                        <w:r w:rsidRPr="00FF4677">
                          <w:rPr>
                            <w:rFonts w:cs="Arial"/>
                            <w:b/>
                            <w:sz w:val="27"/>
                            <w:u w:val="single"/>
                          </w:rPr>
                          <w:t>Component 1</w:t>
                        </w:r>
                      </w:p>
                      <w:p w14:paraId="251C07BE" w14:textId="77777777" w:rsidR="001C7D57" w:rsidRPr="00FF4677" w:rsidRDefault="001C7D57" w:rsidP="003F05FC">
                        <w:pPr>
                          <w:jc w:val="center"/>
                          <w:rPr>
                            <w:rFonts w:cs="Arial"/>
                            <w:sz w:val="25"/>
                          </w:rPr>
                        </w:pPr>
                        <w:r w:rsidRPr="00FF4677">
                          <w:rPr>
                            <w:rFonts w:cs="Arial"/>
                            <w:sz w:val="25"/>
                          </w:rPr>
                          <w:t>UNDP, UNESCO</w:t>
                        </w:r>
                        <w:proofErr w:type="gramStart"/>
                        <w:r w:rsidRPr="00FF4677">
                          <w:rPr>
                            <w:rFonts w:cs="Arial"/>
                            <w:sz w:val="25"/>
                          </w:rPr>
                          <w:t>,  GWP</w:t>
                        </w:r>
                        <w:proofErr w:type="gramEnd"/>
                        <w:r w:rsidRPr="00FF4677">
                          <w:rPr>
                            <w:rFonts w:cs="Arial"/>
                            <w:sz w:val="25"/>
                          </w:rPr>
                          <w:t>-Med, Rhodes University, SeaStart, Caribbean Environment Programme</w:t>
                        </w:r>
                      </w:p>
                    </w:txbxContent>
                  </v:textbox>
                </v:roundrect>
                <v:roundrect id="_s1042" o:spid="_x0000_s1041" style="position:absolute;left:3264;top:7709;width:1557;height:143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45EKwQAA&#10;ANsAAAAPAAAAZHJzL2Rvd25yZXYueG1sRE/NasJAEL4X+g7LCL3VTVoQm7qKlAqFoKL1ASbZMQnN&#10;zqbZrUnf3jkIHj++/8VqdK26UB8azwbSaQKKuPS24crA6XvzPAcVIrLF1jMZ+KcAq+XjwwIz6wc+&#10;0OUYKyUhHDI0UMfYZVqHsiaHYeo7YuHOvncYBfaVtj0OEu5a/ZIkM+2wYWmosaOPmsqf458z8Jrm&#10;b/mgC7fffZ7OBW3z9HdTGPM0GdfvoCKN8S6+ub+s+GSsfJEfoJd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uORCsEAAADbAAAADwAAAAAAAAAAAAAAAACXAgAAZHJzL2Rvd25y&#10;ZXYueG1sUEsFBgAAAAAEAAQA9QAAAIUDAAAAAA==&#10;" fillcolor="#036">
                  <v:textbox inset="0,0,0,0">
                    <w:txbxContent>
                      <w:p w14:paraId="3F61C284" w14:textId="77777777" w:rsidR="001C7D57" w:rsidRPr="00FF4677" w:rsidRDefault="001C7D57" w:rsidP="003F05FC">
                        <w:pPr>
                          <w:jc w:val="center"/>
                          <w:rPr>
                            <w:rFonts w:cs="Arial"/>
                            <w:b/>
                            <w:sz w:val="27"/>
                            <w:u w:val="single"/>
                          </w:rPr>
                        </w:pPr>
                        <w:r w:rsidRPr="00FF4677">
                          <w:rPr>
                            <w:rFonts w:cs="Arial"/>
                            <w:b/>
                            <w:sz w:val="27"/>
                            <w:u w:val="single"/>
                          </w:rPr>
                          <w:t>Component 2</w:t>
                        </w:r>
                      </w:p>
                      <w:p w14:paraId="2470082A" w14:textId="77777777" w:rsidR="001C7D57" w:rsidRPr="00FF4677" w:rsidRDefault="001C7D57" w:rsidP="003F05FC">
                        <w:pPr>
                          <w:jc w:val="center"/>
                          <w:rPr>
                            <w:rFonts w:cs="Arial"/>
                            <w:sz w:val="25"/>
                          </w:rPr>
                        </w:pPr>
                        <w:r w:rsidRPr="00FF4677">
                          <w:rPr>
                            <w:rFonts w:cs="Arial"/>
                            <w:sz w:val="25"/>
                          </w:rPr>
                          <w:t>UNDP, UNESCO, IUCN-WANI</w:t>
                        </w:r>
                      </w:p>
                    </w:txbxContent>
                  </v:textbox>
                </v:roundrect>
                <v:roundrect id="_s1043" o:spid="_x0000_s1042" style="position:absolute;left:5048;top:7710;width:1556;height:143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rzSRwwAA&#10;ANsAAAAPAAAAZHJzL2Rvd25yZXYueG1sRI/RasJAFETfhf7Dcgu+6SYtiKauUopCIag09QNustck&#10;NHs3Zrcm/r0rCD4OM2eGWa4H04gLda62rCCeRiCIC6trLhUcf7eTOQjnkTU2lknBlRysVy+jJSba&#10;9vxDl8yXIpSwS1BB5X2bSOmKigy6qW2Jg3eynUEfZFdK3WEfyk0j36JoJg3WHBYqbOmrouIv+zcK&#10;3uN0kfYyN4f95njKaZfG522u1Ph1+PwA4Wnwz/CD/taBW8D9S/gBc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rzSRwwAAANsAAAAPAAAAAAAAAAAAAAAAAJcCAABkcnMvZG93&#10;bnJldi54bWxQSwUGAAAAAAQABAD1AAAAhwMAAAAA&#10;" fillcolor="#036">
                  <v:textbox inset="0,0,0,0">
                    <w:txbxContent>
                      <w:p w14:paraId="78F5EE4C" w14:textId="77777777" w:rsidR="001C7D57" w:rsidRPr="00FF4677" w:rsidRDefault="001C7D57" w:rsidP="003F05FC">
                        <w:pPr>
                          <w:jc w:val="center"/>
                          <w:rPr>
                            <w:rFonts w:cs="Arial"/>
                            <w:sz w:val="27"/>
                          </w:rPr>
                        </w:pPr>
                        <w:r w:rsidRPr="00FF4677">
                          <w:rPr>
                            <w:rFonts w:cs="Arial"/>
                            <w:b/>
                            <w:sz w:val="27"/>
                            <w:u w:val="single"/>
                          </w:rPr>
                          <w:t>Component 3</w:t>
                        </w:r>
                      </w:p>
                      <w:p w14:paraId="0DC3DEE9" w14:textId="77777777" w:rsidR="001C7D57" w:rsidRPr="00FF4677" w:rsidRDefault="001C7D57" w:rsidP="003F05FC">
                        <w:pPr>
                          <w:jc w:val="center"/>
                          <w:rPr>
                            <w:rFonts w:cs="Arial"/>
                            <w:sz w:val="25"/>
                          </w:rPr>
                        </w:pPr>
                        <w:r w:rsidRPr="00FF4677">
                          <w:rPr>
                            <w:rFonts w:cs="Arial"/>
                            <w:sz w:val="25"/>
                          </w:rPr>
                          <w:t>UNDP, UNEP, UNU</w:t>
                        </w:r>
                      </w:p>
                    </w:txbxContent>
                  </v:textbox>
                </v:roundrect>
                <v:roundrect id="_s1044" o:spid="_x0000_s1043" style="position:absolute;left:6895;top:7709;width:1557;height:143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k+5xwgAA&#10;ANsAAAAPAAAAZHJzL2Rvd25yZXYueG1sRE/dasIwFL4f+A7hCN7NtDqG1kYRmTAo21j1AU6b0x9s&#10;Troms93bLxeDXX58/+lhMp240+BaywriZQSCuLS65VrB9XJ+3IBwHlljZ5kU/JCDw372kGKi7cif&#10;dM99LUIIuwQVNN73iZSubMigW9qeOHCVHQz6AIda6gHHEG46uYqiZ2mw5dDQYE+nhspb/m0UrONs&#10;m42yMB/vL9eqoLcs/joXSi3m03EHwtPk/8V/7let4CmsD1/CD5D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T7nHCAAAA2wAAAA8AAAAAAAAAAAAAAAAAlwIAAGRycy9kb3du&#10;cmV2LnhtbFBLBQYAAAAABAAEAPUAAACGAwAAAAA=&#10;" fillcolor="#036">
                  <v:textbox inset="0,0,0,0">
                    <w:txbxContent>
                      <w:p w14:paraId="2E4B4984" w14:textId="77777777" w:rsidR="001C7D57" w:rsidRPr="00FF4677" w:rsidRDefault="001C7D57" w:rsidP="003F05FC">
                        <w:pPr>
                          <w:jc w:val="center"/>
                          <w:rPr>
                            <w:rFonts w:cs="Arial"/>
                            <w:sz w:val="27"/>
                          </w:rPr>
                        </w:pPr>
                        <w:r w:rsidRPr="00FF4677">
                          <w:rPr>
                            <w:rFonts w:cs="Arial"/>
                            <w:b/>
                            <w:sz w:val="27"/>
                            <w:u w:val="single"/>
                          </w:rPr>
                          <w:t>Component 4</w:t>
                        </w:r>
                      </w:p>
                      <w:p w14:paraId="195021A0" w14:textId="77777777" w:rsidR="001C7D57" w:rsidRPr="00FF4677" w:rsidRDefault="001C7D57" w:rsidP="003F05FC">
                        <w:pPr>
                          <w:jc w:val="center"/>
                          <w:rPr>
                            <w:rFonts w:cs="Arial"/>
                            <w:sz w:val="25"/>
                          </w:rPr>
                        </w:pPr>
                        <w:r w:rsidRPr="00FF4677">
                          <w:rPr>
                            <w:rFonts w:cs="Arial"/>
                            <w:sz w:val="25"/>
                          </w:rPr>
                          <w:t>UNEP, SeaStart, UNU</w:t>
                        </w:r>
                      </w:p>
                    </w:txbxContent>
                  </v:textbox>
                </v:roundrect>
                <v:roundrect id="_s1045" o:spid="_x0000_s1044" style="position:absolute;left:8711;top:7711;width:1557;height:1438;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0vqxAAA&#10;ANsAAAAPAAAAZHJzL2Rvd25yZXYueG1sRI/RasJAFETfBf9huULf6ia1iE1dRUShEFS0fsBN9pqE&#10;Zu+m2a2Jf+8KBR+HmTnDzJe9qcWVWldZVhCPIxDEudUVFwrO39vXGQjnkTXWlknBjRwsF8PBHBNt&#10;Oz7S9eQLESDsElRQet8kUrq8JINubBvi4F1sa9AH2RZSt9gFuKnlWxRNpcGKw0KJDa1Lyn9Of0bB&#10;JE4/0k5m5rDfnC8Z7dL4d5sp9TLqV58gPPX+Gf5vf2kF7zE8voQf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99L6sQAAADbAAAADwAAAAAAAAAAAAAAAACXAgAAZHJzL2Rv&#10;d25yZXYueG1sUEsFBgAAAAAEAAQA9QAAAIgDAAAAAA==&#10;" fillcolor="#036">
                  <v:textbox inset="0,0,0,0">
                    <w:txbxContent>
                      <w:p w14:paraId="3226B458" w14:textId="77777777" w:rsidR="001C7D57" w:rsidRPr="00FF4677" w:rsidRDefault="001C7D57" w:rsidP="003F05FC">
                        <w:pPr>
                          <w:jc w:val="center"/>
                          <w:rPr>
                            <w:rFonts w:cs="Arial"/>
                            <w:b/>
                            <w:sz w:val="27"/>
                            <w:u w:val="single"/>
                          </w:rPr>
                        </w:pPr>
                        <w:r w:rsidRPr="00FF4677">
                          <w:rPr>
                            <w:rFonts w:cs="Arial"/>
                            <w:b/>
                            <w:sz w:val="27"/>
                            <w:u w:val="single"/>
                          </w:rPr>
                          <w:t>Component 5</w:t>
                        </w:r>
                      </w:p>
                      <w:p w14:paraId="11E156CF" w14:textId="77777777" w:rsidR="001C7D57" w:rsidRPr="00FF4677" w:rsidRDefault="001C7D57" w:rsidP="003F05FC">
                        <w:pPr>
                          <w:jc w:val="center"/>
                          <w:rPr>
                            <w:rFonts w:cs="Arial"/>
                            <w:sz w:val="25"/>
                          </w:rPr>
                        </w:pPr>
                        <w:r w:rsidRPr="00FF4677">
                          <w:rPr>
                            <w:rFonts w:cs="Arial"/>
                            <w:sz w:val="25"/>
                          </w:rPr>
                          <w:t>UNDP, GETF</w:t>
                        </w:r>
                      </w:p>
                    </w:txbxContent>
                  </v:textbox>
                </v:roundrect>
                <v:roundrect id="_s1046" o:spid="_x0000_s1045" style="position:absolute;left:1568;top:6089;width:3120;height:9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DdWdxQAA&#10;ANsAAAAPAAAAZHJzL2Rvd25yZXYueG1sRI/dasJAFITvC32H5Qje6SZaSo1upBSFQrCl1gc4yZ78&#10;YPZsml1N+vZdQejlMDPfMJvtaFpxpd41lhXE8wgEcWF1w5WC0/d+9gLCeWSNrWVS8EsOtunjwwYT&#10;bQf+ouvRVyJA2CWooPa+S6R0RU0G3dx2xMErbW/QB9lXUvc4BLhp5SKKnqXBhsNCjR291VScjxej&#10;YBlnq2yQufn82J3KnA5Z/LPPlZpOxtc1CE+j/w/f2+9awdMCbl/CD5Dp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8N1Z3FAAAA2wAAAA8AAAAAAAAAAAAAAAAAlwIAAGRycy9k&#10;b3ducmV2LnhtbFBLBQYAAAAABAAEAPUAAACJAwAAAAA=&#10;" fillcolor="#036">
                  <v:textbox inset="0,0,0,0">
                    <w:txbxContent>
                      <w:p w14:paraId="07E59AF9" w14:textId="489EA0FC" w:rsidR="001C7D57" w:rsidRPr="00D65B20" w:rsidRDefault="001C7D57" w:rsidP="00D65B20">
                        <w:pPr>
                          <w:jc w:val="center"/>
                          <w:rPr>
                            <w:b/>
                            <w:sz w:val="27"/>
                            <w:u w:val="single"/>
                          </w:rPr>
                        </w:pPr>
                        <w:r>
                          <w:rPr>
                            <w:b/>
                            <w:sz w:val="27"/>
                            <w:u w:val="single"/>
                          </w:rPr>
                          <w:t>Technical Advisory Group</w:t>
                        </w:r>
                        <w:r>
                          <w:rPr>
                            <w:sz w:val="25"/>
                          </w:rPr>
                          <w:t xml:space="preserve"> </w:t>
                        </w:r>
                      </w:p>
                    </w:txbxContent>
                  </v:textbox>
                </v:roundrect>
                <w10:anchorlock/>
              </v:group>
            </w:pict>
          </mc:Fallback>
        </mc:AlternateContent>
      </w:r>
    </w:p>
    <w:p w14:paraId="04FA0432" w14:textId="77777777" w:rsidR="001C7D57" w:rsidRDefault="001C7D57" w:rsidP="003F05FC">
      <w:pPr>
        <w:rPr>
          <w:sz w:val="22"/>
          <w:szCs w:val="22"/>
        </w:rPr>
      </w:pPr>
    </w:p>
    <w:p w14:paraId="067FAD10" w14:textId="77777777" w:rsidR="001C7D57" w:rsidRDefault="001C7D57" w:rsidP="003F05FC">
      <w:pPr>
        <w:rPr>
          <w:sz w:val="22"/>
          <w:szCs w:val="22"/>
        </w:rPr>
      </w:pPr>
    </w:p>
    <w:p w14:paraId="6B1EE972" w14:textId="77777777" w:rsidR="001C7D57" w:rsidRDefault="001C7D57" w:rsidP="003F05FC">
      <w:pPr>
        <w:rPr>
          <w:sz w:val="22"/>
          <w:szCs w:val="22"/>
        </w:rPr>
      </w:pPr>
    </w:p>
    <w:p w14:paraId="184105E3" w14:textId="5C19C48D" w:rsidR="006533AB" w:rsidRPr="001C7D57" w:rsidRDefault="001C7D57" w:rsidP="006533AB">
      <w:pPr>
        <w:rPr>
          <w:sz w:val="22"/>
          <w:szCs w:val="22"/>
        </w:rPr>
      </w:pPr>
      <w:r>
        <w:rPr>
          <w:sz w:val="22"/>
          <w:szCs w:val="22"/>
        </w:rPr>
        <w:br w:type="page"/>
      </w:r>
    </w:p>
    <w:p w14:paraId="6B04F574" w14:textId="77777777" w:rsidR="00C124C9" w:rsidRDefault="00C124C9" w:rsidP="00CA5C9E">
      <w:pPr>
        <w:pStyle w:val="Heading4"/>
      </w:pPr>
      <w:bookmarkStart w:id="34" w:name="_Toc315452672"/>
      <w:r>
        <w:t>Inter-Agency Forum (IAF)</w:t>
      </w:r>
      <w:bookmarkEnd w:id="34"/>
    </w:p>
    <w:p w14:paraId="3849503D"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Overall Role</w:t>
      </w:r>
    </w:p>
    <w:p w14:paraId="6F97F99E" w14:textId="77777777" w:rsidR="00C124C9" w:rsidRPr="00C124C9" w:rsidRDefault="00C124C9" w:rsidP="00C124C9">
      <w:pPr>
        <w:spacing w:before="120"/>
        <w:rPr>
          <w:rFonts w:asciiTheme="majorHAnsi" w:hAnsiTheme="majorHAnsi" w:cs="Arial"/>
          <w:sz w:val="22"/>
          <w:szCs w:val="22"/>
        </w:rPr>
      </w:pPr>
      <w:r w:rsidRPr="00C124C9">
        <w:rPr>
          <w:rFonts w:asciiTheme="majorHAnsi" w:hAnsiTheme="majorHAnsi" w:cs="Arial"/>
          <w:sz w:val="22"/>
          <w:szCs w:val="22"/>
        </w:rPr>
        <w:t xml:space="preserve">The Inter-Agency Forum will provide a formal mechanism for the GEF and GEF IW:LEARN Agencies to discuss project implementation and to resolve any competing issues likely to impact overall project performance. </w:t>
      </w:r>
    </w:p>
    <w:p w14:paraId="34500AD9"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Membership</w:t>
      </w:r>
    </w:p>
    <w:p w14:paraId="7DBD08C3" w14:textId="77777777" w:rsidR="00C124C9" w:rsidRPr="00C124C9" w:rsidRDefault="00C124C9" w:rsidP="00623323">
      <w:pPr>
        <w:pStyle w:val="ListParagraph"/>
        <w:numPr>
          <w:ilvl w:val="0"/>
          <w:numId w:val="5"/>
        </w:numPr>
        <w:spacing w:before="120" w:line="288" w:lineRule="auto"/>
        <w:rPr>
          <w:rFonts w:asciiTheme="majorHAnsi" w:hAnsiTheme="majorHAnsi" w:cs="Arial"/>
        </w:rPr>
      </w:pPr>
      <w:r w:rsidRPr="00C124C9">
        <w:rPr>
          <w:rFonts w:asciiTheme="majorHAnsi" w:hAnsiTheme="majorHAnsi" w:cs="Arial"/>
        </w:rPr>
        <w:t>GEF</w:t>
      </w:r>
    </w:p>
    <w:p w14:paraId="58060A30" w14:textId="77777777" w:rsidR="00C124C9" w:rsidRPr="00C124C9" w:rsidRDefault="00C124C9" w:rsidP="00623323">
      <w:pPr>
        <w:pStyle w:val="ListParagraph"/>
        <w:numPr>
          <w:ilvl w:val="0"/>
          <w:numId w:val="5"/>
        </w:numPr>
        <w:spacing w:before="120" w:line="288" w:lineRule="auto"/>
        <w:rPr>
          <w:rFonts w:asciiTheme="majorHAnsi" w:hAnsiTheme="majorHAnsi" w:cs="Arial"/>
        </w:rPr>
      </w:pPr>
      <w:r w:rsidRPr="00C124C9">
        <w:rPr>
          <w:rFonts w:asciiTheme="majorHAnsi" w:hAnsiTheme="majorHAnsi" w:cs="Arial"/>
        </w:rPr>
        <w:t>UNDP-DGEF</w:t>
      </w:r>
    </w:p>
    <w:p w14:paraId="7AC1BC42" w14:textId="77777777" w:rsidR="00C124C9" w:rsidRPr="00C124C9" w:rsidRDefault="00C124C9" w:rsidP="00623323">
      <w:pPr>
        <w:pStyle w:val="ListParagraph"/>
        <w:numPr>
          <w:ilvl w:val="0"/>
          <w:numId w:val="5"/>
        </w:numPr>
        <w:spacing w:before="120" w:line="288" w:lineRule="auto"/>
        <w:rPr>
          <w:rFonts w:asciiTheme="majorHAnsi" w:hAnsiTheme="majorHAnsi" w:cs="Arial"/>
        </w:rPr>
      </w:pPr>
      <w:r w:rsidRPr="00C124C9">
        <w:rPr>
          <w:rFonts w:asciiTheme="majorHAnsi" w:hAnsiTheme="majorHAnsi" w:cs="Arial"/>
        </w:rPr>
        <w:t>UNEP-DGEF</w:t>
      </w:r>
    </w:p>
    <w:p w14:paraId="75603499" w14:textId="77777777" w:rsidR="00C124C9" w:rsidRPr="00C124C9" w:rsidRDefault="00C124C9" w:rsidP="00C124C9">
      <w:pPr>
        <w:spacing w:before="240"/>
        <w:rPr>
          <w:rFonts w:asciiTheme="majorHAnsi" w:hAnsiTheme="majorHAnsi"/>
          <w:sz w:val="22"/>
          <w:szCs w:val="22"/>
        </w:rPr>
      </w:pPr>
      <w:r w:rsidRPr="00C124C9">
        <w:rPr>
          <w:rFonts w:asciiTheme="majorHAnsi" w:hAnsiTheme="majorHAnsi"/>
          <w:b/>
          <w:sz w:val="22"/>
          <w:szCs w:val="22"/>
        </w:rPr>
        <w:t>Responsibilities</w:t>
      </w:r>
    </w:p>
    <w:p w14:paraId="06CEBEE8" w14:textId="77777777" w:rsidR="00C124C9" w:rsidRPr="00C124C9" w:rsidRDefault="00C124C9" w:rsidP="00623323">
      <w:pPr>
        <w:pStyle w:val="ListParagraph"/>
        <w:numPr>
          <w:ilvl w:val="0"/>
          <w:numId w:val="6"/>
        </w:numPr>
        <w:spacing w:before="120" w:line="288" w:lineRule="auto"/>
        <w:rPr>
          <w:rFonts w:asciiTheme="majorHAnsi" w:hAnsiTheme="majorHAnsi" w:cs="Arial"/>
        </w:rPr>
      </w:pPr>
      <w:r w:rsidRPr="00C124C9">
        <w:rPr>
          <w:rFonts w:asciiTheme="majorHAnsi" w:hAnsiTheme="majorHAnsi" w:cs="Arial"/>
        </w:rPr>
        <w:t>This body will provide formal approval of outputs and any programme changes recommended by the Project Steering Committee.</w:t>
      </w:r>
    </w:p>
    <w:p w14:paraId="447E7E5B" w14:textId="77777777" w:rsidR="00C124C9" w:rsidRPr="00C124C9" w:rsidRDefault="00C124C9" w:rsidP="00623323">
      <w:pPr>
        <w:pStyle w:val="ListParagraph"/>
        <w:numPr>
          <w:ilvl w:val="0"/>
          <w:numId w:val="6"/>
        </w:numPr>
        <w:spacing w:before="120" w:line="288" w:lineRule="auto"/>
        <w:rPr>
          <w:rFonts w:asciiTheme="majorHAnsi" w:hAnsiTheme="majorHAnsi" w:cs="Arial"/>
        </w:rPr>
      </w:pPr>
      <w:r w:rsidRPr="00C124C9">
        <w:rPr>
          <w:rFonts w:asciiTheme="majorHAnsi" w:hAnsiTheme="majorHAnsi" w:cs="Arial"/>
        </w:rPr>
        <w:t xml:space="preserve">UNDP and UNEP, as the GEF Implementing Agencies of this project, will be responsible for overall project supervision to ensure consistency with GEF and UNDP &amp; UNEP policies and procedures, and will provide guidance on linkages with related UNDP &amp; UNEP- and GEF-funded activities as well as technical guidance on specific issues. </w:t>
      </w:r>
    </w:p>
    <w:p w14:paraId="43C24C1D" w14:textId="77777777" w:rsidR="00C124C9" w:rsidRPr="00C124C9" w:rsidRDefault="00C124C9" w:rsidP="00623323">
      <w:pPr>
        <w:pStyle w:val="ListParagraph"/>
        <w:numPr>
          <w:ilvl w:val="0"/>
          <w:numId w:val="6"/>
        </w:numPr>
        <w:spacing w:before="120" w:line="288" w:lineRule="auto"/>
        <w:rPr>
          <w:rFonts w:asciiTheme="majorHAnsi" w:hAnsiTheme="majorHAnsi" w:cs="Arial"/>
        </w:rPr>
      </w:pPr>
      <w:r w:rsidRPr="00C124C9">
        <w:rPr>
          <w:rFonts w:asciiTheme="majorHAnsi" w:hAnsiTheme="majorHAnsi" w:cs="Arial"/>
        </w:rPr>
        <w:t xml:space="preserve">The meetings will also agree common reporting formats for PIR/APR and agree the Terms of References for the Mid-Term and Terminal Evaluations. </w:t>
      </w:r>
    </w:p>
    <w:p w14:paraId="0FEED353" w14:textId="77777777" w:rsidR="00C124C9" w:rsidRPr="00C124C9" w:rsidRDefault="00C124C9" w:rsidP="00623323">
      <w:pPr>
        <w:pStyle w:val="ListParagraph"/>
        <w:numPr>
          <w:ilvl w:val="0"/>
          <w:numId w:val="6"/>
        </w:numPr>
        <w:spacing w:before="120" w:line="288" w:lineRule="auto"/>
        <w:rPr>
          <w:rFonts w:asciiTheme="majorHAnsi" w:hAnsiTheme="majorHAnsi" w:cs="Arial"/>
        </w:rPr>
      </w:pPr>
      <w:r w:rsidRPr="00C124C9">
        <w:rPr>
          <w:rFonts w:asciiTheme="majorHAnsi" w:hAnsiTheme="majorHAnsi" w:cs="Arial"/>
        </w:rPr>
        <w:t xml:space="preserve">Any issues relating to project M&amp;E will first be discussed at this meeting. </w:t>
      </w:r>
    </w:p>
    <w:p w14:paraId="4CA28372" w14:textId="77777777" w:rsidR="00C124C9" w:rsidRDefault="00C124C9" w:rsidP="00CA5C9E">
      <w:pPr>
        <w:pStyle w:val="Heading4"/>
      </w:pPr>
      <w:bookmarkStart w:id="35" w:name="_Toc315452673"/>
      <w:r>
        <w:t>Project Steering Committee (PSC)</w:t>
      </w:r>
      <w:bookmarkEnd w:id="35"/>
    </w:p>
    <w:p w14:paraId="11998D99"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Overall Role</w:t>
      </w:r>
    </w:p>
    <w:p w14:paraId="4AD9F09C" w14:textId="77777777" w:rsidR="00C124C9" w:rsidRPr="00C124C9" w:rsidRDefault="00C124C9" w:rsidP="00C124C9">
      <w:pPr>
        <w:rPr>
          <w:rFonts w:asciiTheme="majorHAnsi" w:hAnsiTheme="majorHAnsi" w:cs="Arial"/>
          <w:sz w:val="22"/>
          <w:szCs w:val="22"/>
        </w:rPr>
      </w:pPr>
      <w:r w:rsidRPr="00C124C9">
        <w:rPr>
          <w:rFonts w:asciiTheme="majorHAnsi" w:hAnsiTheme="majorHAnsi" w:cs="Arial"/>
          <w:sz w:val="22"/>
          <w:szCs w:val="22"/>
        </w:rPr>
        <w:t>The Project Steering Committee formally supervises all activities undertaken through the PCU, providing strategic direction, guidance and assessment to maximize the project’s execution progress, relevance and impact on its beneficiaries.</w:t>
      </w:r>
    </w:p>
    <w:p w14:paraId="25F07C32"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Membership</w:t>
      </w:r>
    </w:p>
    <w:tbl>
      <w:tblPr>
        <w:tblW w:w="0" w:type="auto"/>
        <w:tblInd w:w="720" w:type="dxa"/>
        <w:tblLook w:val="04A0" w:firstRow="1" w:lastRow="0" w:firstColumn="1" w:lastColumn="0" w:noHBand="0" w:noVBand="1"/>
      </w:tblPr>
      <w:tblGrid>
        <w:gridCol w:w="2491"/>
        <w:gridCol w:w="2537"/>
        <w:gridCol w:w="3488"/>
      </w:tblGrid>
      <w:tr w:rsidR="00C124C9" w:rsidRPr="00C124C9" w14:paraId="4A9C83BB" w14:textId="77777777" w:rsidTr="00792685">
        <w:tc>
          <w:tcPr>
            <w:tcW w:w="2507" w:type="dxa"/>
          </w:tcPr>
          <w:p w14:paraId="15D956BE"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GEF</w:t>
            </w:r>
          </w:p>
        </w:tc>
        <w:tc>
          <w:tcPr>
            <w:tcW w:w="2551" w:type="dxa"/>
          </w:tcPr>
          <w:p w14:paraId="4DE182ED"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UNESCO</w:t>
            </w:r>
          </w:p>
        </w:tc>
        <w:tc>
          <w:tcPr>
            <w:tcW w:w="3509" w:type="dxa"/>
          </w:tcPr>
          <w:p w14:paraId="5F689803" w14:textId="44D7AF8F" w:rsidR="00792685"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IW Project Manager #1</w:t>
            </w:r>
          </w:p>
        </w:tc>
      </w:tr>
      <w:tr w:rsidR="00C124C9" w:rsidRPr="00C124C9" w14:paraId="7E4E00F7" w14:textId="77777777" w:rsidTr="00792685">
        <w:tc>
          <w:tcPr>
            <w:tcW w:w="2507" w:type="dxa"/>
          </w:tcPr>
          <w:p w14:paraId="71767233"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UNDP-DGEF</w:t>
            </w:r>
          </w:p>
        </w:tc>
        <w:tc>
          <w:tcPr>
            <w:tcW w:w="2551" w:type="dxa"/>
          </w:tcPr>
          <w:p w14:paraId="6808037D"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IFAD</w:t>
            </w:r>
          </w:p>
        </w:tc>
        <w:tc>
          <w:tcPr>
            <w:tcW w:w="3509" w:type="dxa"/>
          </w:tcPr>
          <w:p w14:paraId="167AC115"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IW Project Manager #2</w:t>
            </w:r>
          </w:p>
        </w:tc>
      </w:tr>
      <w:tr w:rsidR="00C124C9" w:rsidRPr="00C124C9" w14:paraId="243F7E23" w14:textId="77777777" w:rsidTr="00792685">
        <w:tc>
          <w:tcPr>
            <w:tcW w:w="2507" w:type="dxa"/>
          </w:tcPr>
          <w:p w14:paraId="118808BB"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UNEP-DGEF</w:t>
            </w:r>
          </w:p>
        </w:tc>
        <w:tc>
          <w:tcPr>
            <w:tcW w:w="2551" w:type="dxa"/>
          </w:tcPr>
          <w:p w14:paraId="2AC3B14C"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UNU-INWEH</w:t>
            </w:r>
          </w:p>
        </w:tc>
        <w:tc>
          <w:tcPr>
            <w:tcW w:w="3509" w:type="dxa"/>
          </w:tcPr>
          <w:p w14:paraId="30756F67"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IW Project Manager #3</w:t>
            </w:r>
          </w:p>
        </w:tc>
      </w:tr>
      <w:tr w:rsidR="00C124C9" w:rsidRPr="00C124C9" w14:paraId="40CF3C65" w14:textId="77777777" w:rsidTr="00792685">
        <w:tc>
          <w:tcPr>
            <w:tcW w:w="2507" w:type="dxa"/>
          </w:tcPr>
          <w:p w14:paraId="32D6D5A3"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UNEP-DEWA</w:t>
            </w:r>
          </w:p>
        </w:tc>
        <w:tc>
          <w:tcPr>
            <w:tcW w:w="2551" w:type="dxa"/>
          </w:tcPr>
          <w:p w14:paraId="76CEAEA5"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IUCN-WANI</w:t>
            </w:r>
          </w:p>
        </w:tc>
        <w:tc>
          <w:tcPr>
            <w:tcW w:w="3509" w:type="dxa"/>
            <w:vMerge w:val="restart"/>
          </w:tcPr>
          <w:p w14:paraId="720EE760" w14:textId="77777777" w:rsidR="00C124C9"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IW:LEARN PCU (as observers and secretariat of the PSC)</w:t>
            </w:r>
          </w:p>
        </w:tc>
      </w:tr>
      <w:tr w:rsidR="00C124C9" w:rsidRPr="00C124C9" w14:paraId="0582DE26" w14:textId="77777777" w:rsidTr="00792685">
        <w:tc>
          <w:tcPr>
            <w:tcW w:w="2507" w:type="dxa"/>
          </w:tcPr>
          <w:p w14:paraId="694CC588" w14:textId="6780FCF6" w:rsidR="00C124C9" w:rsidRPr="00C124C9" w:rsidRDefault="00792685" w:rsidP="00792685">
            <w:pPr>
              <w:spacing w:before="40" w:after="40"/>
              <w:jc w:val="both"/>
              <w:rPr>
                <w:rFonts w:asciiTheme="majorHAnsi" w:hAnsiTheme="majorHAnsi" w:cs="Arial"/>
                <w:sz w:val="22"/>
                <w:szCs w:val="22"/>
              </w:rPr>
            </w:pPr>
            <w:r>
              <w:rPr>
                <w:rFonts w:asciiTheme="majorHAnsi" w:hAnsiTheme="majorHAnsi" w:cs="Arial"/>
                <w:sz w:val="22"/>
                <w:szCs w:val="22"/>
              </w:rPr>
              <w:t>IBRD</w:t>
            </w:r>
            <w:r w:rsidRPr="00C124C9">
              <w:rPr>
                <w:rFonts w:asciiTheme="majorHAnsi" w:hAnsiTheme="majorHAnsi" w:cs="Arial"/>
                <w:sz w:val="22"/>
                <w:szCs w:val="22"/>
              </w:rPr>
              <w:t xml:space="preserve"> </w:t>
            </w:r>
          </w:p>
        </w:tc>
        <w:tc>
          <w:tcPr>
            <w:tcW w:w="2551" w:type="dxa"/>
          </w:tcPr>
          <w:p w14:paraId="4142E040" w14:textId="352FB94D" w:rsidR="00792685" w:rsidRPr="00C124C9" w:rsidRDefault="00792685" w:rsidP="00C124C9">
            <w:pPr>
              <w:spacing w:before="40" w:after="40"/>
              <w:jc w:val="both"/>
              <w:rPr>
                <w:rFonts w:asciiTheme="majorHAnsi" w:hAnsiTheme="majorHAnsi" w:cs="Arial"/>
                <w:sz w:val="22"/>
                <w:szCs w:val="22"/>
              </w:rPr>
            </w:pPr>
            <w:r>
              <w:rPr>
                <w:rFonts w:asciiTheme="majorHAnsi" w:hAnsiTheme="majorHAnsi" w:cs="Arial"/>
                <w:sz w:val="22"/>
                <w:szCs w:val="22"/>
              </w:rPr>
              <w:t>GWP-Med</w:t>
            </w:r>
          </w:p>
        </w:tc>
        <w:tc>
          <w:tcPr>
            <w:tcW w:w="3509" w:type="dxa"/>
            <w:vMerge/>
          </w:tcPr>
          <w:p w14:paraId="3DA1DC07" w14:textId="77777777" w:rsidR="00C124C9" w:rsidRPr="00C124C9" w:rsidRDefault="00C124C9" w:rsidP="00C124C9">
            <w:pPr>
              <w:spacing w:before="40" w:after="40"/>
              <w:jc w:val="both"/>
              <w:rPr>
                <w:rFonts w:asciiTheme="majorHAnsi" w:eastAsia="Times New Roman" w:hAnsiTheme="majorHAnsi" w:cs="Arial"/>
                <w:sz w:val="22"/>
                <w:szCs w:val="22"/>
              </w:rPr>
            </w:pPr>
          </w:p>
        </w:tc>
      </w:tr>
      <w:tr w:rsidR="00C124C9" w:rsidRPr="00C124C9" w14:paraId="00AB93A4" w14:textId="77777777" w:rsidTr="00792685">
        <w:tc>
          <w:tcPr>
            <w:tcW w:w="2507" w:type="dxa"/>
          </w:tcPr>
          <w:p w14:paraId="089116F9" w14:textId="5A75624D" w:rsidR="00C124C9" w:rsidRPr="00C124C9" w:rsidRDefault="00792685" w:rsidP="00C124C9">
            <w:pPr>
              <w:spacing w:before="40" w:after="40"/>
              <w:jc w:val="both"/>
              <w:rPr>
                <w:rFonts w:asciiTheme="majorHAnsi" w:hAnsiTheme="majorHAnsi" w:cs="Arial"/>
                <w:sz w:val="22"/>
                <w:szCs w:val="22"/>
              </w:rPr>
            </w:pPr>
            <w:r w:rsidRPr="00C124C9">
              <w:rPr>
                <w:rFonts w:asciiTheme="majorHAnsi" w:hAnsiTheme="majorHAnsi" w:cs="Arial"/>
                <w:sz w:val="22"/>
                <w:szCs w:val="22"/>
              </w:rPr>
              <w:t>UNOPS</w:t>
            </w:r>
          </w:p>
        </w:tc>
        <w:tc>
          <w:tcPr>
            <w:tcW w:w="2551" w:type="dxa"/>
          </w:tcPr>
          <w:p w14:paraId="412B06A7" w14:textId="72B6FAF5" w:rsidR="00792685" w:rsidRPr="00C124C9" w:rsidRDefault="00C124C9" w:rsidP="00C124C9">
            <w:pPr>
              <w:spacing w:before="40" w:after="40"/>
              <w:jc w:val="both"/>
              <w:rPr>
                <w:rFonts w:asciiTheme="majorHAnsi" w:hAnsiTheme="majorHAnsi" w:cs="Arial"/>
                <w:sz w:val="22"/>
                <w:szCs w:val="22"/>
              </w:rPr>
            </w:pPr>
            <w:r w:rsidRPr="00C124C9">
              <w:rPr>
                <w:rFonts w:asciiTheme="majorHAnsi" w:hAnsiTheme="majorHAnsi" w:cs="Arial"/>
                <w:sz w:val="22"/>
                <w:szCs w:val="22"/>
              </w:rPr>
              <w:t>GETF</w:t>
            </w:r>
          </w:p>
        </w:tc>
        <w:tc>
          <w:tcPr>
            <w:tcW w:w="3509" w:type="dxa"/>
            <w:vMerge/>
          </w:tcPr>
          <w:p w14:paraId="2AAB175A" w14:textId="77777777" w:rsidR="00C124C9" w:rsidRPr="00C124C9" w:rsidRDefault="00C124C9" w:rsidP="00C124C9">
            <w:pPr>
              <w:spacing w:before="40" w:after="40"/>
              <w:jc w:val="both"/>
              <w:rPr>
                <w:rFonts w:asciiTheme="majorHAnsi" w:eastAsia="Times New Roman" w:hAnsiTheme="majorHAnsi" w:cs="Arial"/>
                <w:sz w:val="22"/>
                <w:szCs w:val="22"/>
              </w:rPr>
            </w:pPr>
          </w:p>
        </w:tc>
      </w:tr>
    </w:tbl>
    <w:p w14:paraId="35092CE0" w14:textId="77777777" w:rsidR="00C124C9" w:rsidRPr="00C124C9" w:rsidRDefault="00C124C9" w:rsidP="00C124C9">
      <w:pPr>
        <w:rPr>
          <w:rFonts w:asciiTheme="majorHAnsi" w:hAnsiTheme="majorHAnsi" w:cs="Arial"/>
          <w:sz w:val="22"/>
          <w:szCs w:val="22"/>
        </w:rPr>
      </w:pPr>
    </w:p>
    <w:p w14:paraId="3C0B65DE" w14:textId="77777777" w:rsidR="00C124C9" w:rsidRDefault="00C124C9" w:rsidP="00CA5C9E">
      <w:pPr>
        <w:pStyle w:val="Heading4"/>
      </w:pPr>
      <w:bookmarkStart w:id="36" w:name="_Toc315452674"/>
      <w:r>
        <w:t>Technical Advisory Group</w:t>
      </w:r>
      <w:bookmarkEnd w:id="36"/>
    </w:p>
    <w:p w14:paraId="1C4FBCFC"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Overall Role</w:t>
      </w:r>
    </w:p>
    <w:p w14:paraId="3A11C007" w14:textId="77777777" w:rsidR="00C124C9" w:rsidRPr="00C124C9" w:rsidRDefault="00C124C9" w:rsidP="00C124C9">
      <w:pPr>
        <w:jc w:val="both"/>
        <w:rPr>
          <w:rFonts w:asciiTheme="majorHAnsi" w:hAnsiTheme="majorHAnsi" w:cs="Arial"/>
          <w:sz w:val="22"/>
          <w:szCs w:val="22"/>
        </w:rPr>
      </w:pPr>
      <w:r w:rsidRPr="00C124C9">
        <w:rPr>
          <w:rFonts w:asciiTheme="majorHAnsi" w:hAnsiTheme="majorHAnsi" w:cs="Arial"/>
          <w:sz w:val="22"/>
          <w:szCs w:val="22"/>
        </w:rPr>
        <w:t xml:space="preserve">The Technical Advisory Group will provide technical guidance and assistance, where necessary, to the PCU and the sub-component activities of the IW:LEARN. </w:t>
      </w:r>
    </w:p>
    <w:p w14:paraId="5AE8329B"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Responsibilities</w:t>
      </w:r>
    </w:p>
    <w:p w14:paraId="5721020C" w14:textId="5BA4D18B" w:rsidR="00C124C9" w:rsidRDefault="00C124C9" w:rsidP="00623323">
      <w:pPr>
        <w:pStyle w:val="ListParagraph"/>
        <w:numPr>
          <w:ilvl w:val="0"/>
          <w:numId w:val="16"/>
        </w:numPr>
        <w:spacing w:before="120" w:line="288" w:lineRule="auto"/>
        <w:rPr>
          <w:rFonts w:cs="Arial"/>
        </w:rPr>
      </w:pPr>
      <w:r w:rsidRPr="00F2237B">
        <w:rPr>
          <w:rFonts w:asciiTheme="majorHAnsi" w:hAnsiTheme="majorHAnsi" w:cs="Arial"/>
        </w:rPr>
        <w:t xml:space="preserve">This </w:t>
      </w:r>
      <w:r w:rsidRPr="00F2237B">
        <w:rPr>
          <w:rFonts w:asciiTheme="majorHAnsi" w:hAnsiTheme="majorHAnsi" w:cs="Arial"/>
          <w:i/>
        </w:rPr>
        <w:t>ad hoc</w:t>
      </w:r>
      <w:r w:rsidRPr="00F2237B">
        <w:rPr>
          <w:rFonts w:asciiTheme="majorHAnsi" w:hAnsiTheme="majorHAnsi" w:cs="Arial"/>
        </w:rPr>
        <w:t xml:space="preserve"> group is planned primarily to assist two sub-components (e.g. TDA developments - 5a, Project Manual – 5b, etc.) but may also provide input to both the PCU and sub-components on the essential cross-cutting issues that are central to the IW:LEARN (e.g. gender mainstreaming, climatic variability &amp; change, public-private</w:t>
      </w:r>
      <w:r w:rsidRPr="00F2237B">
        <w:rPr>
          <w:rFonts w:cs="Arial"/>
        </w:rPr>
        <w:t xml:space="preserve"> partnerships, etc.). </w:t>
      </w:r>
    </w:p>
    <w:p w14:paraId="39854289" w14:textId="77777777" w:rsidR="00F2237B" w:rsidRPr="00F2237B" w:rsidRDefault="00F2237B" w:rsidP="00F2237B">
      <w:pPr>
        <w:spacing w:before="120" w:line="288" w:lineRule="auto"/>
        <w:ind w:left="360"/>
        <w:rPr>
          <w:rFonts w:cs="Arial"/>
        </w:rPr>
      </w:pPr>
    </w:p>
    <w:p w14:paraId="28587328" w14:textId="77777777" w:rsidR="00C124C9" w:rsidRDefault="00C124C9" w:rsidP="00CA5C9E">
      <w:pPr>
        <w:pStyle w:val="Heading4"/>
      </w:pPr>
      <w:bookmarkStart w:id="37" w:name="_Toc315452675"/>
      <w:r>
        <w:t xml:space="preserve">Project </w:t>
      </w:r>
      <w:r w:rsidRPr="006F6F04">
        <w:t>Coordination</w:t>
      </w:r>
      <w:r>
        <w:t xml:space="preserve"> Unit</w:t>
      </w:r>
      <w:bookmarkEnd w:id="37"/>
    </w:p>
    <w:p w14:paraId="6446957A"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Overall Role</w:t>
      </w:r>
    </w:p>
    <w:p w14:paraId="02E16242" w14:textId="77777777" w:rsidR="00C124C9" w:rsidRPr="00C124C9" w:rsidRDefault="00C124C9" w:rsidP="00C124C9">
      <w:pPr>
        <w:jc w:val="both"/>
        <w:rPr>
          <w:rFonts w:asciiTheme="majorHAnsi" w:hAnsiTheme="majorHAnsi" w:cs="Arial"/>
          <w:sz w:val="22"/>
          <w:szCs w:val="22"/>
        </w:rPr>
      </w:pPr>
      <w:r w:rsidRPr="00C124C9">
        <w:rPr>
          <w:rFonts w:asciiTheme="majorHAnsi" w:hAnsiTheme="majorHAnsi" w:cs="Arial"/>
          <w:sz w:val="22"/>
          <w:szCs w:val="22"/>
        </w:rPr>
        <w:t xml:space="preserve">The Project Coordination Unit will provide a coordination and management structure to ensure effective development, implementation, coordination and sustainability of GEF IW:LEARN project components and activities in accordance with the rules and procedures of GEF, UNDP, UNEP and UNOPS, based on guidance and direction provided by the project Steering Committee and Inter-Agency Forum. </w:t>
      </w:r>
    </w:p>
    <w:p w14:paraId="1B8337E6" w14:textId="77777777" w:rsidR="00C124C9" w:rsidRPr="00C124C9" w:rsidRDefault="00C124C9" w:rsidP="00C124C9">
      <w:pPr>
        <w:spacing w:before="240"/>
        <w:rPr>
          <w:rFonts w:asciiTheme="majorHAnsi" w:hAnsiTheme="majorHAnsi"/>
          <w:b/>
          <w:sz w:val="22"/>
          <w:szCs w:val="22"/>
        </w:rPr>
      </w:pPr>
      <w:r w:rsidRPr="00C124C9">
        <w:rPr>
          <w:rFonts w:asciiTheme="majorHAnsi" w:hAnsiTheme="majorHAnsi"/>
          <w:b/>
          <w:sz w:val="22"/>
          <w:szCs w:val="22"/>
        </w:rPr>
        <w:t>Membership</w:t>
      </w:r>
    </w:p>
    <w:p w14:paraId="140435B2" w14:textId="77777777" w:rsidR="00C124C9" w:rsidRPr="00C124C9" w:rsidRDefault="00C124C9" w:rsidP="00623323">
      <w:pPr>
        <w:pStyle w:val="ListParagraph"/>
        <w:numPr>
          <w:ilvl w:val="0"/>
          <w:numId w:val="7"/>
        </w:numPr>
        <w:spacing w:before="120" w:line="288" w:lineRule="auto"/>
        <w:rPr>
          <w:rFonts w:asciiTheme="majorHAnsi" w:hAnsiTheme="majorHAnsi" w:cs="Arial"/>
        </w:rPr>
      </w:pPr>
      <w:r w:rsidRPr="00C124C9">
        <w:rPr>
          <w:rFonts w:asciiTheme="majorHAnsi" w:hAnsiTheme="majorHAnsi" w:cs="Arial"/>
        </w:rPr>
        <w:t>UNOPS CTA/Project Manager</w:t>
      </w:r>
    </w:p>
    <w:p w14:paraId="008CAE8E" w14:textId="77777777" w:rsidR="00C124C9" w:rsidRPr="00C124C9" w:rsidRDefault="00C124C9" w:rsidP="00623323">
      <w:pPr>
        <w:pStyle w:val="ListParagraph"/>
        <w:numPr>
          <w:ilvl w:val="0"/>
          <w:numId w:val="7"/>
        </w:numPr>
        <w:spacing w:before="120" w:line="288" w:lineRule="auto"/>
        <w:rPr>
          <w:rFonts w:asciiTheme="majorHAnsi" w:hAnsiTheme="majorHAnsi" w:cs="Arial"/>
        </w:rPr>
      </w:pPr>
      <w:r w:rsidRPr="00C124C9">
        <w:rPr>
          <w:rFonts w:asciiTheme="majorHAnsi" w:hAnsiTheme="majorHAnsi" w:cs="Arial"/>
        </w:rPr>
        <w:t>UNDP-UNOPS Project Coordination Officer</w:t>
      </w:r>
    </w:p>
    <w:p w14:paraId="30113C9A" w14:textId="77777777" w:rsidR="00C124C9" w:rsidRPr="00C124C9" w:rsidRDefault="00C124C9" w:rsidP="00623323">
      <w:pPr>
        <w:pStyle w:val="ListParagraph"/>
        <w:numPr>
          <w:ilvl w:val="0"/>
          <w:numId w:val="7"/>
        </w:numPr>
        <w:spacing w:before="120" w:line="288" w:lineRule="auto"/>
        <w:rPr>
          <w:rFonts w:asciiTheme="majorHAnsi" w:hAnsiTheme="majorHAnsi" w:cs="Arial"/>
        </w:rPr>
      </w:pPr>
      <w:r w:rsidRPr="00C124C9">
        <w:rPr>
          <w:rFonts w:asciiTheme="majorHAnsi" w:hAnsiTheme="majorHAnsi" w:cs="Arial"/>
        </w:rPr>
        <w:t xml:space="preserve">UNEP Project Coordinator </w:t>
      </w:r>
    </w:p>
    <w:p w14:paraId="204EB092" w14:textId="77777777" w:rsidR="00C124C9" w:rsidRPr="00C124C9" w:rsidRDefault="00C124C9" w:rsidP="00623323">
      <w:pPr>
        <w:pStyle w:val="ListParagraph"/>
        <w:numPr>
          <w:ilvl w:val="0"/>
          <w:numId w:val="7"/>
        </w:numPr>
        <w:spacing w:before="120" w:line="288" w:lineRule="auto"/>
        <w:rPr>
          <w:rFonts w:asciiTheme="majorHAnsi" w:hAnsiTheme="majorHAnsi" w:cs="Arial"/>
        </w:rPr>
      </w:pPr>
      <w:r w:rsidRPr="00C124C9">
        <w:rPr>
          <w:rFonts w:asciiTheme="majorHAnsi" w:hAnsiTheme="majorHAnsi" w:cs="Arial"/>
        </w:rPr>
        <w:t>UNEP Technical Assistant</w:t>
      </w:r>
    </w:p>
    <w:p w14:paraId="05D8A11B" w14:textId="77777777" w:rsidR="00C124C9" w:rsidRPr="00C124C9" w:rsidRDefault="00C124C9" w:rsidP="00623323">
      <w:pPr>
        <w:pStyle w:val="ListParagraph"/>
        <w:numPr>
          <w:ilvl w:val="0"/>
          <w:numId w:val="7"/>
        </w:numPr>
        <w:spacing w:before="120" w:line="288" w:lineRule="auto"/>
        <w:rPr>
          <w:rFonts w:asciiTheme="majorHAnsi" w:hAnsiTheme="majorHAnsi" w:cs="Arial"/>
        </w:rPr>
      </w:pPr>
      <w:r w:rsidRPr="00C124C9">
        <w:rPr>
          <w:rFonts w:asciiTheme="majorHAnsi" w:hAnsiTheme="majorHAnsi" w:cs="Arial"/>
        </w:rPr>
        <w:t>SeaStart Information Technology Specialist</w:t>
      </w:r>
    </w:p>
    <w:p w14:paraId="62A92C49" w14:textId="77777777" w:rsidR="00C124C9" w:rsidRPr="00C124C9" w:rsidRDefault="00C124C9" w:rsidP="00623323">
      <w:pPr>
        <w:pStyle w:val="ListParagraph"/>
        <w:numPr>
          <w:ilvl w:val="0"/>
          <w:numId w:val="7"/>
        </w:numPr>
        <w:spacing w:before="120" w:line="288" w:lineRule="auto"/>
        <w:rPr>
          <w:rFonts w:asciiTheme="majorHAnsi" w:hAnsiTheme="majorHAnsi" w:cs="Arial"/>
        </w:rPr>
      </w:pPr>
      <w:r w:rsidRPr="00C124C9">
        <w:rPr>
          <w:rFonts w:asciiTheme="majorHAnsi" w:hAnsiTheme="majorHAnsi" w:cs="Arial"/>
        </w:rPr>
        <w:t>SeaStart Communications and Training Specialist</w:t>
      </w:r>
    </w:p>
    <w:p w14:paraId="0F89883E" w14:textId="6879D112" w:rsidR="00C124C9" w:rsidRPr="00C124C9" w:rsidRDefault="00C124C9" w:rsidP="00623323">
      <w:pPr>
        <w:pStyle w:val="ListParagraph"/>
        <w:numPr>
          <w:ilvl w:val="0"/>
          <w:numId w:val="7"/>
        </w:numPr>
        <w:spacing w:before="120" w:line="288" w:lineRule="auto"/>
        <w:rPr>
          <w:rFonts w:asciiTheme="majorHAnsi" w:hAnsiTheme="majorHAnsi" w:cs="Arial"/>
        </w:rPr>
      </w:pPr>
      <w:r w:rsidRPr="00C124C9">
        <w:rPr>
          <w:rFonts w:asciiTheme="majorHAnsi" w:hAnsiTheme="majorHAnsi" w:cs="Arial"/>
        </w:rPr>
        <w:t>SeaStart Information Technology Assistant</w:t>
      </w:r>
    </w:p>
    <w:p w14:paraId="0282C96B" w14:textId="2336ABA8" w:rsidR="00CA5C9E" w:rsidRPr="00CA5C9E" w:rsidRDefault="00C124C9" w:rsidP="00CA5C9E">
      <w:pPr>
        <w:pStyle w:val="Heading3"/>
      </w:pPr>
      <w:bookmarkStart w:id="38" w:name="_Toc222479138"/>
      <w:r>
        <w:t>Project execution</w:t>
      </w:r>
      <w:bookmarkEnd w:id="38"/>
    </w:p>
    <w:p w14:paraId="2C0D2298" w14:textId="0A2882B3" w:rsidR="00857D45" w:rsidRDefault="00105696" w:rsidP="003A2A6A">
      <w:pPr>
        <w:jc w:val="both"/>
        <w:rPr>
          <w:rFonts w:asciiTheme="majorHAnsi" w:hAnsiTheme="majorHAnsi"/>
          <w:sz w:val="22"/>
          <w:szCs w:val="22"/>
        </w:rPr>
      </w:pPr>
      <w:r w:rsidRPr="003F05FC">
        <w:rPr>
          <w:rFonts w:asciiTheme="majorHAnsi" w:hAnsiTheme="majorHAnsi"/>
          <w:sz w:val="22"/>
          <w:szCs w:val="22"/>
        </w:rPr>
        <w:t xml:space="preserve">Project execution for the UNDP portion of the project is the responsibility of the United Nations Office for Project Services </w:t>
      </w:r>
      <w:r w:rsidR="00F2237B">
        <w:rPr>
          <w:rFonts w:asciiTheme="majorHAnsi" w:hAnsiTheme="majorHAnsi"/>
          <w:sz w:val="22"/>
          <w:szCs w:val="22"/>
        </w:rPr>
        <w:t xml:space="preserve">(UNOPS) </w:t>
      </w:r>
      <w:r w:rsidRPr="003F05FC">
        <w:rPr>
          <w:rFonts w:asciiTheme="majorHAnsi" w:hAnsiTheme="majorHAnsi"/>
          <w:sz w:val="22"/>
          <w:szCs w:val="22"/>
        </w:rPr>
        <w:t xml:space="preserve">through its International Waters Unit in accordance with UNDP and UNOPS operational guidelines and procedures.  The UNEP portion of the project is executed through UNEP-Division of Early Warning and Assessment (DEWA) according to its own operational guidelines and procedures. </w:t>
      </w:r>
      <w:bookmarkStart w:id="39" w:name="_Toc320280632"/>
      <w:bookmarkStart w:id="40" w:name="_Toc341527038"/>
    </w:p>
    <w:p w14:paraId="0DB10C0C" w14:textId="572B5DBD" w:rsidR="00A84EA5" w:rsidRPr="00A84EA5" w:rsidRDefault="000F12E2" w:rsidP="00A84EA5">
      <w:pPr>
        <w:pStyle w:val="Heading1"/>
      </w:pPr>
      <w:bookmarkStart w:id="41" w:name="_Toc222479139"/>
      <w:r w:rsidRPr="007D1C06">
        <w:t>Scope, Objective and Methods</w:t>
      </w:r>
      <w:bookmarkEnd w:id="39"/>
      <w:bookmarkEnd w:id="40"/>
      <w:r w:rsidR="00A165D2">
        <w:t xml:space="preserve"> of Evaluation</w:t>
      </w:r>
      <w:bookmarkEnd w:id="41"/>
      <w:r w:rsidR="00A165D2">
        <w:t xml:space="preserve"> </w:t>
      </w:r>
    </w:p>
    <w:p w14:paraId="41B1BF08" w14:textId="38263BBA" w:rsidR="00AD64B2" w:rsidRPr="000F050A" w:rsidRDefault="00AD64B2" w:rsidP="005F168E">
      <w:pPr>
        <w:jc w:val="both"/>
        <w:rPr>
          <w:rFonts w:asciiTheme="majorHAnsi" w:hAnsiTheme="majorHAnsi"/>
          <w:b/>
          <w:sz w:val="22"/>
          <w:szCs w:val="22"/>
        </w:rPr>
      </w:pPr>
      <w:r w:rsidRPr="000F050A">
        <w:rPr>
          <w:rFonts w:asciiTheme="majorHAnsi" w:hAnsiTheme="majorHAnsi"/>
          <w:sz w:val="22"/>
          <w:szCs w:val="22"/>
        </w:rPr>
        <w:t xml:space="preserve">This Mid-Term Evaluation has been undertaken in accordance with the Terms of Reference (ToR) presented in </w:t>
      </w:r>
      <w:r w:rsidRPr="00F42899">
        <w:rPr>
          <w:rFonts w:asciiTheme="majorHAnsi" w:hAnsiTheme="majorHAnsi"/>
          <w:sz w:val="22"/>
          <w:szCs w:val="22"/>
        </w:rPr>
        <w:t>Annex</w:t>
      </w:r>
      <w:r w:rsidRPr="000F050A">
        <w:rPr>
          <w:rFonts w:asciiTheme="majorHAnsi" w:hAnsiTheme="majorHAnsi"/>
          <w:sz w:val="22"/>
          <w:szCs w:val="22"/>
        </w:rPr>
        <w:t xml:space="preserve"> 1 of this report</w:t>
      </w:r>
      <w:r w:rsidR="00DB7346" w:rsidRPr="000F050A">
        <w:rPr>
          <w:rFonts w:asciiTheme="majorHAnsi" w:hAnsiTheme="majorHAnsi"/>
          <w:sz w:val="22"/>
          <w:szCs w:val="22"/>
        </w:rPr>
        <w:t xml:space="preserve"> and the project M&amp;E plan</w:t>
      </w:r>
      <w:r w:rsidRPr="000F050A">
        <w:rPr>
          <w:rFonts w:asciiTheme="majorHAnsi" w:hAnsiTheme="majorHAnsi"/>
          <w:sz w:val="22"/>
          <w:szCs w:val="22"/>
        </w:rPr>
        <w:t xml:space="preserve">. The evaluation process began in late December 2012 23 months into the planned 43 month implementation period ie slightly </w:t>
      </w:r>
      <w:r w:rsidR="00DB7346" w:rsidRPr="000F050A">
        <w:rPr>
          <w:rFonts w:asciiTheme="majorHAnsi" w:hAnsiTheme="majorHAnsi"/>
          <w:sz w:val="22"/>
          <w:szCs w:val="22"/>
        </w:rPr>
        <w:t>over the half way period. The evaluation</w:t>
      </w:r>
      <w:r w:rsidRPr="000F050A">
        <w:rPr>
          <w:rFonts w:asciiTheme="majorHAnsi" w:hAnsiTheme="majorHAnsi"/>
          <w:sz w:val="22"/>
          <w:szCs w:val="22"/>
        </w:rPr>
        <w:t xml:space="preserve"> is primar</w:t>
      </w:r>
      <w:r w:rsidR="00DB7346" w:rsidRPr="000F050A">
        <w:rPr>
          <w:rFonts w:asciiTheme="majorHAnsi" w:hAnsiTheme="majorHAnsi"/>
          <w:sz w:val="22"/>
          <w:szCs w:val="22"/>
        </w:rPr>
        <w:t>i</w:t>
      </w:r>
      <w:r w:rsidRPr="000F050A">
        <w:rPr>
          <w:rFonts w:asciiTheme="majorHAnsi" w:hAnsiTheme="majorHAnsi"/>
          <w:sz w:val="22"/>
          <w:szCs w:val="22"/>
        </w:rPr>
        <w:t xml:space="preserve">ly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w:t>
      </w:r>
    </w:p>
    <w:p w14:paraId="21DC2A5E" w14:textId="1B5BC05B" w:rsidR="00AD64B2" w:rsidRPr="000F050A" w:rsidRDefault="00AD64B2" w:rsidP="005F168E">
      <w:pPr>
        <w:ind w:left="360" w:hanging="357"/>
        <w:jc w:val="both"/>
        <w:rPr>
          <w:rFonts w:asciiTheme="majorHAnsi" w:hAnsiTheme="majorHAnsi"/>
          <w:sz w:val="22"/>
          <w:szCs w:val="22"/>
          <w:lang w:eastAsia="ru-RU"/>
        </w:rPr>
      </w:pPr>
      <w:r w:rsidRPr="000F050A">
        <w:rPr>
          <w:rFonts w:asciiTheme="majorHAnsi" w:hAnsiTheme="majorHAnsi"/>
          <w:sz w:val="22"/>
          <w:szCs w:val="22"/>
          <w:lang w:eastAsia="ru-RU"/>
        </w:rPr>
        <w:t xml:space="preserve">More specifically, the evaluation </w:t>
      </w:r>
      <w:r w:rsidR="00DB7346" w:rsidRPr="000F050A">
        <w:rPr>
          <w:rFonts w:asciiTheme="majorHAnsi" w:hAnsiTheme="majorHAnsi"/>
          <w:sz w:val="22"/>
          <w:szCs w:val="22"/>
          <w:lang w:eastAsia="ru-RU"/>
        </w:rPr>
        <w:t>was designed to assess</w:t>
      </w:r>
      <w:r w:rsidR="000F050A" w:rsidRPr="000F050A">
        <w:rPr>
          <w:rFonts w:asciiTheme="majorHAnsi" w:hAnsiTheme="majorHAnsi"/>
          <w:sz w:val="22"/>
          <w:szCs w:val="22"/>
          <w:lang w:eastAsia="ru-RU"/>
        </w:rPr>
        <w:t xml:space="preserve"> inter alia</w:t>
      </w:r>
      <w:r w:rsidR="00DB7346" w:rsidRPr="000F050A">
        <w:rPr>
          <w:rFonts w:asciiTheme="majorHAnsi" w:hAnsiTheme="majorHAnsi"/>
          <w:sz w:val="22"/>
          <w:szCs w:val="22"/>
          <w:lang w:eastAsia="ru-RU"/>
        </w:rPr>
        <w:t xml:space="preserve"> the following key elements: </w:t>
      </w:r>
    </w:p>
    <w:p w14:paraId="0914819D" w14:textId="77777777" w:rsidR="00DB7346" w:rsidRPr="000F050A" w:rsidRDefault="00DB7346" w:rsidP="000F050A">
      <w:pPr>
        <w:jc w:val="both"/>
        <w:rPr>
          <w:rFonts w:ascii="Times New Roman" w:hAnsi="Times New Roman"/>
        </w:rPr>
      </w:pPr>
    </w:p>
    <w:p w14:paraId="450D26B1" w14:textId="3D25827E"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Project, context relevance and strategy</w:t>
      </w:r>
    </w:p>
    <w:p w14:paraId="7B38AF44" w14:textId="3650293E"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Preparation and readiness</w:t>
      </w:r>
    </w:p>
    <w:p w14:paraId="34F805E5" w14:textId="7E100CD4"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Stakeholder participation in project design</w:t>
      </w:r>
    </w:p>
    <w:p w14:paraId="19BC77E1" w14:textId="352024B1"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Project organization/management arrangements</w:t>
      </w:r>
    </w:p>
    <w:p w14:paraId="51F289AF" w14:textId="3FD0EB1C"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Project budget and duration</w:t>
      </w:r>
    </w:p>
    <w:p w14:paraId="32B64F9E" w14:textId="5BE5CCD2"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Design of Project Monitoring and Evaluation system</w:t>
      </w:r>
    </w:p>
    <w:p w14:paraId="5F617137" w14:textId="74574E5C"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Sustainability and replication strategy</w:t>
      </w:r>
    </w:p>
    <w:p w14:paraId="1321AF7C" w14:textId="360D5431"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Adaptive management in project implementation</w:t>
      </w:r>
    </w:p>
    <w:p w14:paraId="413DD05F" w14:textId="356A429E"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UNDP &amp; UNEP Contribution</w:t>
      </w:r>
    </w:p>
    <w:p w14:paraId="27EE530E" w14:textId="2607FC03"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 xml:space="preserve">UNOPS &amp; UNEP-DEWA Contribution </w:t>
      </w:r>
    </w:p>
    <w:p w14:paraId="7CF507CA" w14:textId="63963F3F" w:rsidR="00DB7346" w:rsidRPr="000F050A" w:rsidRDefault="00DB7346" w:rsidP="00623323">
      <w:pPr>
        <w:pStyle w:val="ListParagraph"/>
        <w:numPr>
          <w:ilvl w:val="0"/>
          <w:numId w:val="9"/>
        </w:numPr>
        <w:jc w:val="both"/>
        <w:rPr>
          <w:rFonts w:asciiTheme="majorHAnsi" w:hAnsiTheme="majorHAnsi"/>
        </w:rPr>
      </w:pPr>
      <w:r w:rsidRPr="000F050A">
        <w:rPr>
          <w:rFonts w:asciiTheme="majorHAnsi" w:hAnsiTheme="majorHAnsi"/>
        </w:rPr>
        <w:t>Stakeholder Participation,</w:t>
      </w:r>
      <w:bookmarkStart w:id="42" w:name="_GoBack"/>
      <w:bookmarkEnd w:id="42"/>
      <w:r w:rsidRPr="000F050A">
        <w:rPr>
          <w:rFonts w:asciiTheme="majorHAnsi" w:hAnsiTheme="majorHAnsi"/>
        </w:rPr>
        <w:t xml:space="preserve"> </w:t>
      </w:r>
    </w:p>
    <w:p w14:paraId="16522447" w14:textId="77777777" w:rsidR="00AD64B2" w:rsidRPr="00857D45" w:rsidRDefault="00AD64B2" w:rsidP="00AD64B2">
      <w:pPr>
        <w:ind w:left="360" w:hanging="357"/>
        <w:jc w:val="both"/>
        <w:rPr>
          <w:rFonts w:asciiTheme="majorHAnsi" w:hAnsiTheme="majorHAnsi"/>
          <w:sz w:val="22"/>
          <w:szCs w:val="22"/>
          <w:u w:val="single"/>
          <w:lang w:eastAsia="ru-RU"/>
        </w:rPr>
      </w:pPr>
    </w:p>
    <w:p w14:paraId="35B80C6E" w14:textId="77777777" w:rsidR="00A84EA5" w:rsidRDefault="00A84EA5" w:rsidP="00A84EA5">
      <w:pPr>
        <w:jc w:val="both"/>
        <w:rPr>
          <w:rFonts w:asciiTheme="majorHAnsi" w:hAnsiTheme="majorHAnsi"/>
          <w:sz w:val="22"/>
          <w:szCs w:val="22"/>
          <w:lang w:eastAsia="ru-RU"/>
        </w:rPr>
      </w:pPr>
      <w:r w:rsidRPr="00857D45">
        <w:rPr>
          <w:rFonts w:asciiTheme="majorHAnsi" w:hAnsiTheme="majorHAnsi"/>
          <w:sz w:val="22"/>
          <w:szCs w:val="22"/>
          <w:lang w:eastAsia="ru-RU"/>
        </w:rPr>
        <w:t>Owing to the global nature</w:t>
      </w:r>
      <w:r>
        <w:rPr>
          <w:rFonts w:asciiTheme="majorHAnsi" w:hAnsiTheme="majorHAnsi"/>
          <w:sz w:val="22"/>
          <w:szCs w:val="22"/>
          <w:lang w:eastAsia="ru-RU"/>
        </w:rPr>
        <w:t xml:space="preserve"> of the project the evaluation </w:t>
      </w:r>
      <w:r w:rsidRPr="00857D45">
        <w:rPr>
          <w:rFonts w:asciiTheme="majorHAnsi" w:hAnsiTheme="majorHAnsi"/>
          <w:sz w:val="22"/>
          <w:szCs w:val="22"/>
          <w:lang w:eastAsia="ru-RU"/>
        </w:rPr>
        <w:t>was conducted by me</w:t>
      </w:r>
      <w:r>
        <w:rPr>
          <w:rFonts w:asciiTheme="majorHAnsi" w:hAnsiTheme="majorHAnsi"/>
          <w:sz w:val="22"/>
          <w:szCs w:val="22"/>
          <w:lang w:eastAsia="ru-RU"/>
        </w:rPr>
        <w:t xml:space="preserve">ans of a detailed questionnaire (Annex 2) </w:t>
      </w:r>
      <w:r w:rsidRPr="00857D45">
        <w:rPr>
          <w:rFonts w:asciiTheme="majorHAnsi" w:hAnsiTheme="majorHAnsi"/>
          <w:sz w:val="22"/>
          <w:szCs w:val="22"/>
          <w:lang w:eastAsia="ru-RU"/>
        </w:rPr>
        <w:t xml:space="preserve">sent to </w:t>
      </w:r>
      <w:r>
        <w:rPr>
          <w:rFonts w:asciiTheme="majorHAnsi" w:hAnsiTheme="majorHAnsi"/>
          <w:sz w:val="22"/>
          <w:szCs w:val="22"/>
          <w:lang w:eastAsia="ru-RU"/>
        </w:rPr>
        <w:t>166 individual</w:t>
      </w:r>
      <w:r w:rsidRPr="00857D45">
        <w:rPr>
          <w:rFonts w:asciiTheme="majorHAnsi" w:hAnsiTheme="majorHAnsi"/>
          <w:sz w:val="22"/>
          <w:szCs w:val="22"/>
          <w:lang w:eastAsia="ru-RU"/>
        </w:rPr>
        <w:t xml:space="preserve"> stakeholders, including</w:t>
      </w:r>
      <w:r>
        <w:rPr>
          <w:rFonts w:asciiTheme="majorHAnsi" w:hAnsiTheme="majorHAnsi"/>
          <w:sz w:val="22"/>
          <w:szCs w:val="22"/>
          <w:lang w:eastAsia="ru-RU"/>
        </w:rPr>
        <w:t xml:space="preserve"> relevant personnel at</w:t>
      </w:r>
      <w:r w:rsidRPr="00857D45">
        <w:rPr>
          <w:rFonts w:asciiTheme="majorHAnsi" w:hAnsiTheme="majorHAnsi"/>
          <w:sz w:val="22"/>
          <w:szCs w:val="22"/>
          <w:lang w:eastAsia="ru-RU"/>
        </w:rPr>
        <w:t xml:space="preserve"> GEF, Implementing Agencies, Executing Agencies, partner agencies, beneficiary project managers and the P</w:t>
      </w:r>
      <w:r>
        <w:rPr>
          <w:rFonts w:asciiTheme="majorHAnsi" w:hAnsiTheme="majorHAnsi"/>
          <w:sz w:val="22"/>
          <w:szCs w:val="22"/>
          <w:lang w:eastAsia="ru-RU"/>
        </w:rPr>
        <w:t>roject Coordination Unit (P</w:t>
      </w:r>
      <w:r w:rsidRPr="00857D45">
        <w:rPr>
          <w:rFonts w:asciiTheme="majorHAnsi" w:hAnsiTheme="majorHAnsi"/>
          <w:sz w:val="22"/>
          <w:szCs w:val="22"/>
          <w:lang w:eastAsia="ru-RU"/>
        </w:rPr>
        <w:t>CU</w:t>
      </w:r>
      <w:r>
        <w:rPr>
          <w:rFonts w:asciiTheme="majorHAnsi" w:hAnsiTheme="majorHAnsi"/>
          <w:sz w:val="22"/>
          <w:szCs w:val="22"/>
          <w:lang w:eastAsia="ru-RU"/>
        </w:rPr>
        <w:t>)</w:t>
      </w:r>
      <w:proofErr w:type="gramStart"/>
      <w:r w:rsidRPr="00857D45">
        <w:rPr>
          <w:rFonts w:asciiTheme="majorHAnsi" w:hAnsiTheme="majorHAnsi"/>
          <w:sz w:val="22"/>
          <w:szCs w:val="22"/>
          <w:lang w:eastAsia="ru-RU"/>
        </w:rPr>
        <w:t>,  prepared</w:t>
      </w:r>
      <w:proofErr w:type="gramEnd"/>
      <w:r w:rsidRPr="00857D45">
        <w:rPr>
          <w:rFonts w:asciiTheme="majorHAnsi" w:hAnsiTheme="majorHAnsi"/>
          <w:sz w:val="22"/>
          <w:szCs w:val="22"/>
          <w:lang w:eastAsia="ru-RU"/>
        </w:rPr>
        <w:t xml:space="preserve"> with the aid of the project PCU.</w:t>
      </w:r>
      <w:r>
        <w:rPr>
          <w:rFonts w:asciiTheme="majorHAnsi" w:hAnsiTheme="majorHAnsi"/>
          <w:sz w:val="22"/>
          <w:szCs w:val="22"/>
          <w:lang w:eastAsia="ru-RU"/>
        </w:rPr>
        <w:t xml:space="preserve">  The response was poor with only 19 respondents in spite of two follow up messages. </w:t>
      </w:r>
      <w:r w:rsidRPr="00857D45">
        <w:rPr>
          <w:rFonts w:asciiTheme="majorHAnsi" w:hAnsiTheme="majorHAnsi"/>
          <w:sz w:val="22"/>
          <w:szCs w:val="22"/>
          <w:lang w:eastAsia="ru-RU"/>
        </w:rPr>
        <w:t xml:space="preserve"> A sub-set of these (</w:t>
      </w:r>
      <w:r>
        <w:rPr>
          <w:rFonts w:asciiTheme="majorHAnsi" w:hAnsiTheme="majorHAnsi"/>
          <w:sz w:val="22"/>
          <w:szCs w:val="22"/>
          <w:lang w:eastAsia="ru-RU"/>
        </w:rPr>
        <w:t>55)</w:t>
      </w:r>
      <w:r w:rsidRPr="00857D45">
        <w:rPr>
          <w:rFonts w:asciiTheme="majorHAnsi" w:hAnsiTheme="majorHAnsi"/>
          <w:sz w:val="22"/>
          <w:szCs w:val="22"/>
          <w:lang w:eastAsia="ru-RU"/>
        </w:rPr>
        <w:t xml:space="preserve"> </w:t>
      </w:r>
      <w:proofErr w:type="gramStart"/>
      <w:r w:rsidRPr="00857D45">
        <w:rPr>
          <w:rFonts w:asciiTheme="majorHAnsi" w:hAnsiTheme="majorHAnsi"/>
          <w:sz w:val="22"/>
          <w:szCs w:val="22"/>
          <w:lang w:eastAsia="ru-RU"/>
        </w:rPr>
        <w:t>were</w:t>
      </w:r>
      <w:proofErr w:type="gramEnd"/>
      <w:r w:rsidRPr="00857D45">
        <w:rPr>
          <w:rFonts w:asciiTheme="majorHAnsi" w:hAnsiTheme="majorHAnsi"/>
          <w:sz w:val="22"/>
          <w:szCs w:val="22"/>
          <w:lang w:eastAsia="ru-RU"/>
        </w:rPr>
        <w:t xml:space="preserve"> invited to discuss the project in person with the evaluator via Skype</w:t>
      </w:r>
      <w:r>
        <w:rPr>
          <w:rFonts w:asciiTheme="majorHAnsi" w:hAnsiTheme="majorHAnsi"/>
          <w:sz w:val="22"/>
          <w:szCs w:val="22"/>
          <w:lang w:eastAsia="ru-RU"/>
        </w:rPr>
        <w:t xml:space="preserve"> a total of 13 accepted</w:t>
      </w:r>
      <w:r w:rsidRPr="00857D45">
        <w:rPr>
          <w:rFonts w:asciiTheme="majorHAnsi" w:hAnsiTheme="majorHAnsi"/>
          <w:sz w:val="22"/>
          <w:szCs w:val="22"/>
          <w:lang w:eastAsia="ru-RU"/>
        </w:rPr>
        <w:t xml:space="preserve">. In addition a one question mini survey was sent to </w:t>
      </w:r>
      <w:r>
        <w:rPr>
          <w:rFonts w:asciiTheme="majorHAnsi" w:hAnsiTheme="majorHAnsi"/>
          <w:sz w:val="22"/>
          <w:szCs w:val="22"/>
          <w:lang w:eastAsia="ru-RU"/>
        </w:rPr>
        <w:t xml:space="preserve">the same set of stakeholders as the first questionnaire </w:t>
      </w:r>
      <w:r w:rsidRPr="00857D45">
        <w:rPr>
          <w:rFonts w:asciiTheme="majorHAnsi" w:hAnsiTheme="majorHAnsi"/>
          <w:sz w:val="22"/>
          <w:szCs w:val="22"/>
          <w:lang w:eastAsia="ru-RU"/>
        </w:rPr>
        <w:t xml:space="preserve">to obtain a little more information </w:t>
      </w:r>
      <w:r>
        <w:rPr>
          <w:rFonts w:asciiTheme="majorHAnsi" w:hAnsiTheme="majorHAnsi"/>
          <w:sz w:val="22"/>
          <w:szCs w:val="22"/>
          <w:lang w:eastAsia="ru-RU"/>
        </w:rPr>
        <w:t xml:space="preserve">regarding the Communities of Practice, 9 people responded. </w:t>
      </w:r>
    </w:p>
    <w:p w14:paraId="3FBEA643" w14:textId="77777777" w:rsidR="00B97411" w:rsidRDefault="00B97411" w:rsidP="005F168E">
      <w:pPr>
        <w:jc w:val="both"/>
        <w:rPr>
          <w:rFonts w:asciiTheme="majorHAnsi" w:hAnsiTheme="majorHAnsi"/>
          <w:sz w:val="22"/>
          <w:szCs w:val="22"/>
          <w:lang w:eastAsia="ru-RU"/>
        </w:rPr>
      </w:pPr>
    </w:p>
    <w:p w14:paraId="0C340E19" w14:textId="4CC4038B" w:rsidR="00B97411" w:rsidRDefault="00B97411" w:rsidP="005F168E">
      <w:pPr>
        <w:jc w:val="both"/>
        <w:rPr>
          <w:rFonts w:asciiTheme="majorHAnsi" w:hAnsiTheme="majorHAnsi"/>
          <w:sz w:val="22"/>
          <w:szCs w:val="22"/>
          <w:lang w:eastAsia="ru-RU"/>
        </w:rPr>
      </w:pPr>
      <w:r>
        <w:rPr>
          <w:rFonts w:asciiTheme="majorHAnsi" w:hAnsiTheme="majorHAnsi"/>
          <w:sz w:val="22"/>
          <w:szCs w:val="22"/>
          <w:lang w:eastAsia="ru-RU"/>
        </w:rPr>
        <w:t>Because of the low response to the full questionnaire no attempt has been made to extract statistics regarding respondent’s ratings of the various project components and IW LEARN services</w:t>
      </w:r>
      <w:r w:rsidR="003A2A6A">
        <w:rPr>
          <w:rFonts w:asciiTheme="majorHAnsi" w:hAnsiTheme="majorHAnsi"/>
          <w:sz w:val="22"/>
          <w:szCs w:val="22"/>
          <w:lang w:eastAsia="ru-RU"/>
        </w:rPr>
        <w:t>,</w:t>
      </w:r>
      <w:r>
        <w:rPr>
          <w:rFonts w:asciiTheme="majorHAnsi" w:hAnsiTheme="majorHAnsi"/>
          <w:sz w:val="22"/>
          <w:szCs w:val="22"/>
          <w:lang w:eastAsia="ru-RU"/>
        </w:rPr>
        <w:t xml:space="preserve"> however</w:t>
      </w:r>
      <w:r w:rsidR="003A2A6A">
        <w:rPr>
          <w:rFonts w:asciiTheme="majorHAnsi" w:hAnsiTheme="majorHAnsi"/>
          <w:sz w:val="22"/>
          <w:szCs w:val="22"/>
          <w:lang w:eastAsia="ru-RU"/>
        </w:rPr>
        <w:t>,</w:t>
      </w:r>
      <w:r>
        <w:rPr>
          <w:rFonts w:asciiTheme="majorHAnsi" w:hAnsiTheme="majorHAnsi"/>
          <w:sz w:val="22"/>
          <w:szCs w:val="22"/>
          <w:lang w:eastAsia="ru-RU"/>
        </w:rPr>
        <w:t xml:space="preserve"> the </w:t>
      </w:r>
      <w:proofErr w:type="gramStart"/>
      <w:r>
        <w:rPr>
          <w:rFonts w:asciiTheme="majorHAnsi" w:hAnsiTheme="majorHAnsi"/>
          <w:sz w:val="22"/>
          <w:szCs w:val="22"/>
          <w:lang w:eastAsia="ru-RU"/>
        </w:rPr>
        <w:t>often detailed</w:t>
      </w:r>
      <w:proofErr w:type="gramEnd"/>
      <w:r>
        <w:rPr>
          <w:rFonts w:asciiTheme="majorHAnsi" w:hAnsiTheme="majorHAnsi"/>
          <w:sz w:val="22"/>
          <w:szCs w:val="22"/>
          <w:lang w:eastAsia="ru-RU"/>
        </w:rPr>
        <w:t xml:space="preserve"> comments have been </w:t>
      </w:r>
      <w:r w:rsidR="003A2A6A">
        <w:rPr>
          <w:rFonts w:asciiTheme="majorHAnsi" w:hAnsiTheme="majorHAnsi"/>
          <w:sz w:val="22"/>
          <w:szCs w:val="22"/>
          <w:lang w:eastAsia="ru-RU"/>
        </w:rPr>
        <w:t>most useful</w:t>
      </w:r>
      <w:r>
        <w:rPr>
          <w:rFonts w:asciiTheme="majorHAnsi" w:hAnsiTheme="majorHAnsi"/>
          <w:sz w:val="22"/>
          <w:szCs w:val="22"/>
          <w:lang w:eastAsia="ru-RU"/>
        </w:rPr>
        <w:t xml:space="preserve"> and incorporated into the evaluation findings. </w:t>
      </w:r>
    </w:p>
    <w:p w14:paraId="0FFD2E5C" w14:textId="77777777" w:rsidR="00B97411" w:rsidRPr="00857D45" w:rsidRDefault="00B97411" w:rsidP="005F168E">
      <w:pPr>
        <w:jc w:val="both"/>
        <w:rPr>
          <w:rFonts w:asciiTheme="majorHAnsi" w:hAnsiTheme="majorHAnsi"/>
          <w:sz w:val="22"/>
          <w:szCs w:val="22"/>
          <w:lang w:eastAsia="ru-RU"/>
        </w:rPr>
      </w:pPr>
    </w:p>
    <w:p w14:paraId="090DC470" w14:textId="1188EBBE" w:rsidR="00FE7826" w:rsidRPr="00857D45" w:rsidRDefault="00857D45" w:rsidP="005F168E">
      <w:pPr>
        <w:jc w:val="both"/>
        <w:rPr>
          <w:rFonts w:asciiTheme="majorHAnsi" w:hAnsiTheme="majorHAnsi"/>
          <w:sz w:val="22"/>
          <w:szCs w:val="22"/>
          <w:lang w:eastAsia="ru-RU"/>
        </w:rPr>
      </w:pPr>
      <w:r w:rsidRPr="00857D45">
        <w:rPr>
          <w:rFonts w:asciiTheme="majorHAnsi" w:hAnsiTheme="majorHAnsi"/>
          <w:sz w:val="22"/>
          <w:szCs w:val="22"/>
          <w:lang w:eastAsia="ru-RU"/>
        </w:rPr>
        <w:t>An integral element of</w:t>
      </w:r>
      <w:r w:rsidR="00FE7826" w:rsidRPr="00857D45">
        <w:rPr>
          <w:rFonts w:asciiTheme="majorHAnsi" w:hAnsiTheme="majorHAnsi"/>
          <w:sz w:val="22"/>
          <w:szCs w:val="22"/>
          <w:lang w:eastAsia="ru-RU"/>
        </w:rPr>
        <w:t xml:space="preserve"> the evaluation process was the participation of the evaluator at the Project Steering Committee meeting held in Switzerland in January 2013, where the project progress and implementation challenges were discussed at length.  The minutes of the meeting are given in </w:t>
      </w:r>
      <w:r w:rsidR="00F42899" w:rsidRPr="00F42899">
        <w:rPr>
          <w:rFonts w:asciiTheme="majorHAnsi" w:hAnsiTheme="majorHAnsi"/>
          <w:sz w:val="22"/>
          <w:szCs w:val="22"/>
          <w:lang w:eastAsia="ru-RU"/>
        </w:rPr>
        <w:t>Annex 3</w:t>
      </w:r>
      <w:r w:rsidR="00FE7826" w:rsidRPr="00F42899">
        <w:rPr>
          <w:rFonts w:asciiTheme="majorHAnsi" w:hAnsiTheme="majorHAnsi"/>
          <w:sz w:val="22"/>
          <w:szCs w:val="22"/>
          <w:lang w:eastAsia="ru-RU"/>
        </w:rPr>
        <w:t xml:space="preserve"> of t</w:t>
      </w:r>
      <w:r w:rsidR="00FE7826" w:rsidRPr="00857D45">
        <w:rPr>
          <w:rFonts w:asciiTheme="majorHAnsi" w:hAnsiTheme="majorHAnsi"/>
          <w:sz w:val="22"/>
          <w:szCs w:val="22"/>
          <w:lang w:eastAsia="ru-RU"/>
        </w:rPr>
        <w:t xml:space="preserve">his report. </w:t>
      </w:r>
      <w:r w:rsidR="00B97411">
        <w:rPr>
          <w:rFonts w:asciiTheme="majorHAnsi" w:hAnsiTheme="majorHAnsi"/>
          <w:sz w:val="22"/>
          <w:szCs w:val="22"/>
          <w:lang w:eastAsia="ru-RU"/>
        </w:rPr>
        <w:t xml:space="preserve">The SCM also gave the MTE the opportunity to augment the </w:t>
      </w:r>
      <w:r w:rsidR="003A2A6A">
        <w:rPr>
          <w:rFonts w:asciiTheme="majorHAnsi" w:hAnsiTheme="majorHAnsi"/>
          <w:sz w:val="22"/>
          <w:szCs w:val="22"/>
          <w:lang w:eastAsia="ru-RU"/>
        </w:rPr>
        <w:t>Skype</w:t>
      </w:r>
      <w:r w:rsidR="00B97411">
        <w:rPr>
          <w:rFonts w:asciiTheme="majorHAnsi" w:hAnsiTheme="majorHAnsi"/>
          <w:sz w:val="22"/>
          <w:szCs w:val="22"/>
          <w:lang w:eastAsia="ru-RU"/>
        </w:rPr>
        <w:t xml:space="preserve"> interviews mentioned above with one on one interviews of additional SC members. </w:t>
      </w:r>
    </w:p>
    <w:p w14:paraId="519D4DBF" w14:textId="77777777" w:rsidR="00FE7826" w:rsidRPr="00857D45" w:rsidRDefault="00FE7826" w:rsidP="005F168E">
      <w:pPr>
        <w:jc w:val="both"/>
        <w:rPr>
          <w:rFonts w:asciiTheme="majorHAnsi" w:hAnsiTheme="majorHAnsi"/>
          <w:sz w:val="22"/>
          <w:szCs w:val="22"/>
          <w:lang w:eastAsia="ru-RU"/>
        </w:rPr>
      </w:pPr>
    </w:p>
    <w:p w14:paraId="1ABC742D" w14:textId="579BE7A6" w:rsidR="00FE7826" w:rsidRPr="00857D45" w:rsidRDefault="00FE7826" w:rsidP="00AC2486">
      <w:pPr>
        <w:rPr>
          <w:rFonts w:asciiTheme="majorHAnsi" w:hAnsiTheme="majorHAnsi"/>
          <w:sz w:val="22"/>
          <w:szCs w:val="22"/>
          <w:lang w:eastAsia="ru-RU"/>
        </w:rPr>
      </w:pPr>
      <w:r w:rsidRPr="00857D45">
        <w:rPr>
          <w:rFonts w:asciiTheme="majorHAnsi" w:hAnsiTheme="majorHAnsi"/>
          <w:sz w:val="22"/>
          <w:szCs w:val="22"/>
          <w:lang w:eastAsia="ru-RU"/>
        </w:rPr>
        <w:t xml:space="preserve">The MTE combined the above with desk-based reviews of key project documents, </w:t>
      </w:r>
    </w:p>
    <w:p w14:paraId="4AC1A961" w14:textId="77777777" w:rsidR="00FE7826" w:rsidRPr="00857D45" w:rsidRDefault="00FE7826" w:rsidP="00AC2486">
      <w:pPr>
        <w:rPr>
          <w:rFonts w:asciiTheme="majorHAnsi" w:hAnsiTheme="majorHAnsi"/>
          <w:sz w:val="22"/>
          <w:szCs w:val="22"/>
          <w:lang w:eastAsia="ru-RU"/>
        </w:rPr>
      </w:pPr>
    </w:p>
    <w:p w14:paraId="48A6EC01" w14:textId="6448E538" w:rsidR="00FE7826" w:rsidRPr="00857D45" w:rsidRDefault="00A84EA5" w:rsidP="00AC2486">
      <w:pPr>
        <w:rPr>
          <w:rFonts w:asciiTheme="majorHAnsi" w:hAnsiTheme="majorHAnsi"/>
          <w:sz w:val="22"/>
          <w:szCs w:val="22"/>
          <w:lang w:eastAsia="ru-RU"/>
        </w:rPr>
      </w:pPr>
      <w:r>
        <w:rPr>
          <w:rFonts w:asciiTheme="majorHAnsi" w:hAnsiTheme="majorHAnsi"/>
          <w:sz w:val="22"/>
          <w:szCs w:val="22"/>
          <w:lang w:eastAsia="ru-RU"/>
        </w:rPr>
        <w:t>A l</w:t>
      </w:r>
      <w:r w:rsidR="00FE7826" w:rsidRPr="00857D45">
        <w:rPr>
          <w:rFonts w:asciiTheme="majorHAnsi" w:hAnsiTheme="majorHAnsi"/>
          <w:sz w:val="22"/>
          <w:szCs w:val="22"/>
          <w:lang w:eastAsia="ru-RU"/>
        </w:rPr>
        <w:t xml:space="preserve">ist of stakeholders interviewed is provided in </w:t>
      </w:r>
      <w:r w:rsidR="00F42899">
        <w:rPr>
          <w:rFonts w:asciiTheme="majorHAnsi" w:hAnsiTheme="majorHAnsi"/>
          <w:sz w:val="22"/>
          <w:szCs w:val="22"/>
          <w:lang w:eastAsia="ru-RU"/>
        </w:rPr>
        <w:t>Annex 4</w:t>
      </w:r>
      <w:r w:rsidR="00FE7826" w:rsidRPr="00857D45">
        <w:rPr>
          <w:rFonts w:asciiTheme="majorHAnsi" w:hAnsiTheme="majorHAnsi"/>
          <w:sz w:val="22"/>
          <w:szCs w:val="22"/>
          <w:lang w:eastAsia="ru-RU"/>
        </w:rPr>
        <w:t xml:space="preserve"> and the documents reviewed in </w:t>
      </w:r>
      <w:r w:rsidR="00F42899">
        <w:rPr>
          <w:rFonts w:asciiTheme="majorHAnsi" w:hAnsiTheme="majorHAnsi"/>
          <w:sz w:val="22"/>
          <w:szCs w:val="22"/>
          <w:lang w:eastAsia="ru-RU"/>
        </w:rPr>
        <w:t xml:space="preserve">Annex 5. </w:t>
      </w:r>
    </w:p>
    <w:p w14:paraId="6D6EC8C5" w14:textId="77777777" w:rsidR="00540CD7" w:rsidRPr="007D1C06" w:rsidRDefault="00540CD7" w:rsidP="00540CD7">
      <w:pPr>
        <w:pStyle w:val="Heading1"/>
      </w:pPr>
      <w:bookmarkStart w:id="43" w:name="_Toc320280633"/>
      <w:bookmarkStart w:id="44" w:name="_Toc341527039"/>
      <w:bookmarkStart w:id="45" w:name="_Toc222479140"/>
      <w:r w:rsidRPr="007D1C06">
        <w:t>Project Performance and Impact</w:t>
      </w:r>
      <w:bookmarkEnd w:id="43"/>
      <w:bookmarkEnd w:id="44"/>
      <w:bookmarkEnd w:id="45"/>
    </w:p>
    <w:p w14:paraId="4E1926F3" w14:textId="77777777" w:rsidR="00540CD7" w:rsidRDefault="00540CD7" w:rsidP="00540CD7">
      <w:pPr>
        <w:pStyle w:val="Heading2"/>
      </w:pPr>
      <w:bookmarkStart w:id="46" w:name="_Toc320280634"/>
      <w:bookmarkStart w:id="47" w:name="_Toc341527040"/>
      <w:bookmarkStart w:id="48" w:name="_Toc222479141"/>
      <w:r w:rsidRPr="007D1C06">
        <w:t>Attainment of objectives and planned results (progress to-date)</w:t>
      </w:r>
      <w:bookmarkEnd w:id="46"/>
      <w:bookmarkEnd w:id="47"/>
      <w:bookmarkEnd w:id="48"/>
    </w:p>
    <w:p w14:paraId="2BE38FCD" w14:textId="36B25AD6" w:rsidR="002F25E3" w:rsidRPr="00CE0963" w:rsidRDefault="00540CD7" w:rsidP="00540CD7">
      <w:pPr>
        <w:rPr>
          <w:rFonts w:ascii="Calibri" w:hAnsi="Calibri"/>
          <w:sz w:val="22"/>
          <w:szCs w:val="22"/>
        </w:rPr>
      </w:pPr>
      <w:r w:rsidRPr="0040711B">
        <w:rPr>
          <w:rFonts w:ascii="Calibri" w:hAnsi="Calibri"/>
          <w:sz w:val="22"/>
          <w:szCs w:val="22"/>
        </w:rPr>
        <w:t>This section summarises the extent that the Projects objectives have been either achieved or the progress of the project to</w:t>
      </w:r>
      <w:r w:rsidR="00CA53A8">
        <w:rPr>
          <w:rFonts w:ascii="Calibri" w:hAnsi="Calibri"/>
          <w:sz w:val="22"/>
          <w:szCs w:val="22"/>
        </w:rPr>
        <w:t>ward</w:t>
      </w:r>
      <w:r w:rsidRPr="0040711B">
        <w:rPr>
          <w:rFonts w:ascii="Calibri" w:hAnsi="Calibri"/>
          <w:sz w:val="22"/>
          <w:szCs w:val="22"/>
        </w:rPr>
        <w:t xml:space="preserve"> reaching these objectives at the mid-point.</w:t>
      </w:r>
      <w:r w:rsidR="00A50494" w:rsidRPr="0040711B">
        <w:rPr>
          <w:rFonts w:ascii="Calibri" w:hAnsi="Calibri"/>
          <w:sz w:val="22"/>
          <w:szCs w:val="22"/>
        </w:rPr>
        <w:t xml:space="preserve"> </w:t>
      </w:r>
    </w:p>
    <w:p w14:paraId="218559FF" w14:textId="228EB099" w:rsidR="005F168E" w:rsidRDefault="00540CD7" w:rsidP="005F168E">
      <w:pPr>
        <w:pStyle w:val="Heading3"/>
      </w:pPr>
      <w:bookmarkStart w:id="49" w:name="_Toc320280635"/>
      <w:bookmarkStart w:id="50" w:name="_Toc341527041"/>
      <w:bookmarkStart w:id="51" w:name="_Toc222479142"/>
      <w:r w:rsidRPr="007D1C06">
        <w:t>Achievement of outputs and activities</w:t>
      </w:r>
      <w:bookmarkEnd w:id="49"/>
      <w:bookmarkEnd w:id="50"/>
      <w:bookmarkEnd w:id="51"/>
    </w:p>
    <w:p w14:paraId="13DA3DFE" w14:textId="12DDC68A" w:rsidR="005F168E" w:rsidRPr="005129DB" w:rsidRDefault="00F42899" w:rsidP="005129DB">
      <w:pPr>
        <w:jc w:val="both"/>
        <w:rPr>
          <w:rFonts w:asciiTheme="majorHAnsi" w:hAnsiTheme="majorHAnsi"/>
          <w:sz w:val="22"/>
          <w:szCs w:val="22"/>
        </w:rPr>
      </w:pPr>
      <w:r w:rsidRPr="005129DB">
        <w:rPr>
          <w:rFonts w:asciiTheme="majorHAnsi" w:hAnsiTheme="majorHAnsi"/>
          <w:sz w:val="22"/>
          <w:szCs w:val="22"/>
        </w:rPr>
        <w:t>Of the 12 sub-components the project has successfully initiated or completed all but two</w:t>
      </w:r>
      <w:r w:rsidR="005129DB" w:rsidRPr="005129DB">
        <w:rPr>
          <w:rFonts w:asciiTheme="majorHAnsi" w:hAnsiTheme="majorHAnsi"/>
          <w:sz w:val="22"/>
          <w:szCs w:val="22"/>
        </w:rPr>
        <w:t xml:space="preserve">, namely 5c and 5e others are delayed but not </w:t>
      </w:r>
      <w:r w:rsidR="00A84EA5">
        <w:rPr>
          <w:rFonts w:asciiTheme="majorHAnsi" w:hAnsiTheme="majorHAnsi"/>
          <w:sz w:val="22"/>
          <w:szCs w:val="22"/>
        </w:rPr>
        <w:t>beyond recovery</w:t>
      </w:r>
      <w:r w:rsidR="005129DB" w:rsidRPr="005129DB">
        <w:rPr>
          <w:rFonts w:asciiTheme="majorHAnsi" w:hAnsiTheme="majorHAnsi"/>
          <w:sz w:val="22"/>
          <w:szCs w:val="22"/>
        </w:rPr>
        <w:t xml:space="preserve"> at this juncture.  Limited success with the online CoPs and continuing re-jigging of the ICT platforms are holding back the ove</w:t>
      </w:r>
      <w:r w:rsidR="009F7762">
        <w:rPr>
          <w:rFonts w:asciiTheme="majorHAnsi" w:hAnsiTheme="majorHAnsi"/>
          <w:sz w:val="22"/>
          <w:szCs w:val="22"/>
        </w:rPr>
        <w:t xml:space="preserve">rall </w:t>
      </w:r>
      <w:r w:rsidR="005129DB" w:rsidRPr="005129DB">
        <w:rPr>
          <w:rFonts w:asciiTheme="majorHAnsi" w:hAnsiTheme="majorHAnsi"/>
          <w:sz w:val="22"/>
          <w:szCs w:val="22"/>
        </w:rPr>
        <w:t>attainment of proj</w:t>
      </w:r>
      <w:r w:rsidR="009F7762">
        <w:rPr>
          <w:rFonts w:asciiTheme="majorHAnsi" w:hAnsiTheme="majorHAnsi"/>
          <w:sz w:val="22"/>
          <w:szCs w:val="22"/>
        </w:rPr>
        <w:t xml:space="preserve">ect objectives. The Project is </w:t>
      </w:r>
      <w:r w:rsidR="005129DB" w:rsidRPr="005129DB">
        <w:rPr>
          <w:rFonts w:asciiTheme="majorHAnsi" w:hAnsiTheme="majorHAnsi"/>
          <w:sz w:val="22"/>
          <w:szCs w:val="22"/>
        </w:rPr>
        <w:t xml:space="preserve">therefore rated by the MTE as </w:t>
      </w:r>
      <w:r w:rsidR="005129DB" w:rsidRPr="005129DB">
        <w:rPr>
          <w:rFonts w:asciiTheme="majorHAnsi" w:hAnsiTheme="majorHAnsi"/>
          <w:b/>
          <w:sz w:val="22"/>
          <w:szCs w:val="22"/>
        </w:rPr>
        <w:t>Satisfactory</w:t>
      </w:r>
      <w:r w:rsidR="005129DB" w:rsidRPr="005129DB">
        <w:rPr>
          <w:rFonts w:asciiTheme="majorHAnsi" w:hAnsiTheme="majorHAnsi"/>
          <w:sz w:val="22"/>
          <w:szCs w:val="22"/>
        </w:rPr>
        <w:t xml:space="preserve"> with regard to the achievement of outputs and activities. </w:t>
      </w:r>
    </w:p>
    <w:p w14:paraId="33010259" w14:textId="77777777" w:rsidR="002F25E3" w:rsidRDefault="002F25E3" w:rsidP="002F25E3"/>
    <w:p w14:paraId="1EDBCD15" w14:textId="73F2208F" w:rsidR="002F25E3" w:rsidRPr="009D1AA1" w:rsidRDefault="00D53CA1" w:rsidP="0029086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b/>
          <w:color w:val="3366FF"/>
          <w:sz w:val="22"/>
          <w:szCs w:val="22"/>
        </w:rPr>
      </w:pPr>
      <w:r w:rsidRPr="009D1AA1">
        <w:rPr>
          <w:rFonts w:ascii="Calibri" w:hAnsi="Calibri"/>
          <w:b/>
          <w:color w:val="3366FF"/>
          <w:sz w:val="22"/>
          <w:szCs w:val="22"/>
        </w:rPr>
        <w:t>COMPONENT 1:</w:t>
      </w:r>
      <w:r w:rsidR="002F25E3" w:rsidRPr="009D1AA1">
        <w:rPr>
          <w:rFonts w:ascii="Calibri" w:hAnsi="Calibri"/>
          <w:b/>
          <w:color w:val="3366FF"/>
          <w:sz w:val="22"/>
          <w:szCs w:val="22"/>
        </w:rPr>
        <w:t xml:space="preserve"> MENARID Programme</w:t>
      </w:r>
      <w:r w:rsidR="00CA53A8" w:rsidRPr="009D1AA1">
        <w:rPr>
          <w:rFonts w:ascii="Calibri" w:hAnsi="Calibri"/>
          <w:b/>
          <w:color w:val="3366FF"/>
          <w:sz w:val="22"/>
          <w:szCs w:val="22"/>
        </w:rPr>
        <w:t xml:space="preserve"> </w:t>
      </w:r>
      <w:r w:rsidR="009D1AA1" w:rsidRPr="009D1AA1">
        <w:rPr>
          <w:rFonts w:ascii="Calibri" w:hAnsi="Calibri"/>
          <w:b/>
          <w:color w:val="3366FF"/>
          <w:sz w:val="22"/>
          <w:szCs w:val="22"/>
        </w:rPr>
        <w:t xml:space="preserve"> - </w:t>
      </w:r>
      <w:r w:rsidR="009D1AA1" w:rsidRPr="009D1AA1">
        <w:rPr>
          <w:rFonts w:ascii="Calibri" w:hAnsi="Calibri"/>
          <w:color w:val="3366FF"/>
          <w:sz w:val="22"/>
          <w:szCs w:val="22"/>
        </w:rPr>
        <w:t>Support via Land/Ground Water Integrated Management and Regional Portfolio Learning and Dialogue</w:t>
      </w:r>
    </w:p>
    <w:p w14:paraId="5148B2D2" w14:textId="77777777" w:rsidR="00290862" w:rsidRPr="009D1AA1" w:rsidRDefault="00290862" w:rsidP="0029086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b/>
          <w:color w:val="3366FF"/>
          <w:sz w:val="22"/>
          <w:szCs w:val="22"/>
        </w:rPr>
      </w:pPr>
    </w:p>
    <w:p w14:paraId="7157589F" w14:textId="77777777" w:rsidR="002F25E3" w:rsidRDefault="002F25E3" w:rsidP="002F25E3">
      <w:pPr>
        <w:autoSpaceDE w:val="0"/>
        <w:autoSpaceDN w:val="0"/>
        <w:adjustRightInd w:val="0"/>
        <w:rPr>
          <w:rFonts w:ascii="Calibri" w:hAnsi="Calibri"/>
          <w:b/>
          <w:color w:val="3366FF"/>
          <w:sz w:val="20"/>
          <w:szCs w:val="20"/>
        </w:rPr>
      </w:pPr>
    </w:p>
    <w:p w14:paraId="3EEFBC3B" w14:textId="6D8F8D23" w:rsidR="002F25E3" w:rsidRDefault="002F25E3" w:rsidP="005F168E">
      <w:pPr>
        <w:jc w:val="both"/>
        <w:rPr>
          <w:rFonts w:ascii="Calibri" w:hAnsi="Calibri"/>
          <w:sz w:val="22"/>
          <w:szCs w:val="22"/>
        </w:rPr>
      </w:pPr>
      <w:r w:rsidRPr="0040711B">
        <w:rPr>
          <w:rFonts w:ascii="Calibri" w:hAnsi="Calibri"/>
          <w:sz w:val="22"/>
          <w:szCs w:val="22"/>
        </w:rPr>
        <w:t xml:space="preserve">Overall this component was rated as </w:t>
      </w:r>
      <w:r w:rsidR="00A84EA5">
        <w:rPr>
          <w:rFonts w:ascii="Calibri" w:hAnsi="Calibri"/>
          <w:b/>
          <w:sz w:val="22"/>
          <w:szCs w:val="22"/>
        </w:rPr>
        <w:t>Highly S</w:t>
      </w:r>
      <w:r w:rsidRPr="0040711B">
        <w:rPr>
          <w:rFonts w:ascii="Calibri" w:hAnsi="Calibri"/>
          <w:b/>
          <w:sz w:val="22"/>
          <w:szCs w:val="22"/>
        </w:rPr>
        <w:t>atisfactory</w:t>
      </w:r>
      <w:r w:rsidRPr="0040711B">
        <w:rPr>
          <w:rFonts w:ascii="Calibri" w:hAnsi="Calibri"/>
          <w:sz w:val="22"/>
          <w:szCs w:val="22"/>
        </w:rPr>
        <w:t xml:space="preserve"> given the number of well organised and attended events across the </w:t>
      </w:r>
      <w:r w:rsidR="00CA53A8">
        <w:rPr>
          <w:rFonts w:ascii="Calibri" w:hAnsi="Calibri"/>
          <w:sz w:val="22"/>
          <w:szCs w:val="22"/>
        </w:rPr>
        <w:t>MENA and other targeted</w:t>
      </w:r>
      <w:r w:rsidRPr="0040711B">
        <w:rPr>
          <w:rFonts w:ascii="Calibri" w:hAnsi="Calibri"/>
          <w:sz w:val="22"/>
          <w:szCs w:val="22"/>
        </w:rPr>
        <w:t xml:space="preserve"> regions that have been organised</w:t>
      </w:r>
      <w:r w:rsidR="0052690C">
        <w:rPr>
          <w:rFonts w:ascii="Calibri" w:hAnsi="Calibri"/>
          <w:sz w:val="22"/>
          <w:szCs w:val="22"/>
        </w:rPr>
        <w:t>.</w:t>
      </w:r>
      <w:r w:rsidR="00CA53A8">
        <w:rPr>
          <w:rFonts w:ascii="Calibri" w:hAnsi="Calibri"/>
          <w:sz w:val="22"/>
          <w:szCs w:val="22"/>
        </w:rPr>
        <w:t xml:space="preserve"> </w:t>
      </w:r>
      <w:r w:rsidR="0052690C">
        <w:rPr>
          <w:rFonts w:ascii="Calibri" w:hAnsi="Calibri"/>
          <w:sz w:val="22"/>
          <w:szCs w:val="22"/>
        </w:rPr>
        <w:t xml:space="preserve"> R</w:t>
      </w:r>
      <w:r w:rsidRPr="0040711B">
        <w:rPr>
          <w:rFonts w:ascii="Calibri" w:hAnsi="Calibri"/>
          <w:sz w:val="22"/>
          <w:szCs w:val="22"/>
        </w:rPr>
        <w:t xml:space="preserve">elevant and demand led capacity building has clearly been enhanced and it is likely that all planned outputs and activities will be achieved </w:t>
      </w:r>
      <w:r w:rsidR="0052690C">
        <w:rPr>
          <w:rFonts w:ascii="Calibri" w:hAnsi="Calibri"/>
          <w:sz w:val="22"/>
          <w:szCs w:val="22"/>
        </w:rPr>
        <w:t>or</w:t>
      </w:r>
      <w:r w:rsidRPr="0040711B">
        <w:rPr>
          <w:rFonts w:ascii="Calibri" w:hAnsi="Calibri"/>
          <w:sz w:val="22"/>
          <w:szCs w:val="22"/>
        </w:rPr>
        <w:t xml:space="preserve"> indeed exceeded in some subcomponents. </w:t>
      </w:r>
      <w:r w:rsidR="00F62874">
        <w:rPr>
          <w:rFonts w:ascii="Calibri" w:hAnsi="Calibri"/>
          <w:sz w:val="22"/>
          <w:szCs w:val="22"/>
        </w:rPr>
        <w:t xml:space="preserve"> </w:t>
      </w:r>
    </w:p>
    <w:p w14:paraId="372667BC" w14:textId="77777777" w:rsidR="00A84EA5" w:rsidRDefault="00A84EA5" w:rsidP="005F168E">
      <w:pPr>
        <w:jc w:val="both"/>
        <w:rPr>
          <w:rFonts w:ascii="Calibri" w:hAnsi="Calibri"/>
          <w:sz w:val="22"/>
          <w:szCs w:val="22"/>
        </w:rPr>
      </w:pPr>
    </w:p>
    <w:p w14:paraId="6853F4C0" w14:textId="63118320" w:rsidR="00F62874" w:rsidRPr="0040711B" w:rsidRDefault="00F62874" w:rsidP="005F168E">
      <w:pPr>
        <w:jc w:val="both"/>
        <w:rPr>
          <w:rFonts w:ascii="Calibri" w:hAnsi="Calibri"/>
          <w:sz w:val="22"/>
          <w:szCs w:val="22"/>
        </w:rPr>
      </w:pPr>
      <w:r>
        <w:rPr>
          <w:rFonts w:ascii="Calibri" w:hAnsi="Calibri"/>
          <w:sz w:val="22"/>
          <w:szCs w:val="22"/>
        </w:rPr>
        <w:t>Targeted workshops, twinnings and other face to face events are the core of IW LEARN and based on the majority of feedback received are seen as</w:t>
      </w:r>
      <w:r w:rsidR="00CA53A8">
        <w:rPr>
          <w:rFonts w:ascii="Calibri" w:hAnsi="Calibri"/>
          <w:sz w:val="22"/>
          <w:szCs w:val="22"/>
        </w:rPr>
        <w:t xml:space="preserve"> one of</w:t>
      </w:r>
      <w:r w:rsidR="0052690C">
        <w:rPr>
          <w:rFonts w:ascii="Calibri" w:hAnsi="Calibri"/>
          <w:sz w:val="22"/>
          <w:szCs w:val="22"/>
        </w:rPr>
        <w:t>,</w:t>
      </w:r>
      <w:r w:rsidR="00CA53A8">
        <w:rPr>
          <w:rFonts w:ascii="Calibri" w:hAnsi="Calibri"/>
          <w:sz w:val="22"/>
          <w:szCs w:val="22"/>
        </w:rPr>
        <w:t xml:space="preserve"> if not the</w:t>
      </w:r>
      <w:r w:rsidR="0052690C">
        <w:rPr>
          <w:rFonts w:ascii="Calibri" w:hAnsi="Calibri"/>
          <w:sz w:val="22"/>
          <w:szCs w:val="22"/>
        </w:rPr>
        <w:t>,</w:t>
      </w:r>
      <w:r>
        <w:rPr>
          <w:rFonts w:ascii="Calibri" w:hAnsi="Calibri"/>
          <w:sz w:val="22"/>
          <w:szCs w:val="22"/>
        </w:rPr>
        <w:t xml:space="preserve"> most valued and beneficial component of IW LEARN. </w:t>
      </w:r>
    </w:p>
    <w:p w14:paraId="5965E09B" w14:textId="77777777" w:rsidR="00C94C1B" w:rsidRDefault="00C94C1B" w:rsidP="002F25E3">
      <w:pPr>
        <w:autoSpaceDE w:val="0"/>
        <w:autoSpaceDN w:val="0"/>
        <w:adjustRightInd w:val="0"/>
        <w:rPr>
          <w:rFonts w:ascii="Calibri" w:hAnsi="Calibri"/>
          <w:sz w:val="20"/>
          <w:szCs w:val="20"/>
        </w:rPr>
      </w:pPr>
    </w:p>
    <w:p w14:paraId="6079CF54" w14:textId="02AD66AD" w:rsidR="00C94C1B" w:rsidRPr="0040711B" w:rsidRDefault="00C94C1B" w:rsidP="00290862">
      <w:pPr>
        <w:pBdr>
          <w:top w:val="single" w:sz="4" w:space="1" w:color="auto"/>
          <w:left w:val="single" w:sz="4" w:space="4" w:color="auto"/>
          <w:bottom w:val="single" w:sz="4" w:space="1" w:color="auto"/>
          <w:right w:val="single" w:sz="4" w:space="4" w:color="auto"/>
        </w:pBdr>
        <w:shd w:val="clear" w:color="auto" w:fill="EEECE1" w:themeFill="background2"/>
        <w:tabs>
          <w:tab w:val="left" w:pos="10240"/>
        </w:tabs>
        <w:rPr>
          <w:rFonts w:ascii="Calibri" w:hAnsi="Calibri"/>
          <w:color w:val="3366FF"/>
          <w:sz w:val="22"/>
          <w:szCs w:val="22"/>
        </w:rPr>
      </w:pPr>
      <w:r w:rsidRPr="0040711B">
        <w:rPr>
          <w:rFonts w:ascii="Calibri" w:hAnsi="Calibri"/>
          <w:color w:val="3366FF"/>
          <w:sz w:val="22"/>
          <w:szCs w:val="22"/>
        </w:rPr>
        <w:t xml:space="preserve">Subcomponent 1a:  Support to MENARID Integrated Land / Water Management – Lead </w:t>
      </w:r>
      <w:r w:rsidR="00290862" w:rsidRPr="0040711B">
        <w:rPr>
          <w:rFonts w:ascii="Calibri" w:hAnsi="Calibri"/>
          <w:color w:val="3366FF"/>
          <w:sz w:val="22"/>
          <w:szCs w:val="22"/>
        </w:rPr>
        <w:t>Partner</w:t>
      </w:r>
      <w:r w:rsidRPr="0040711B">
        <w:rPr>
          <w:rFonts w:ascii="Calibri" w:hAnsi="Calibri"/>
          <w:color w:val="3366FF"/>
          <w:sz w:val="22"/>
          <w:szCs w:val="22"/>
        </w:rPr>
        <w:t xml:space="preserve"> UNESCO - IHP </w:t>
      </w:r>
    </w:p>
    <w:p w14:paraId="7FD76F5D" w14:textId="06D82CF6" w:rsidR="00EA663C" w:rsidRPr="0040711B" w:rsidRDefault="00EA663C" w:rsidP="00290862">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 xml:space="preserve">Expected </w:t>
      </w:r>
      <w:r w:rsidRPr="0040711B">
        <w:rPr>
          <w:rFonts w:ascii="Calibri" w:hAnsi="Calibri"/>
          <w:b/>
          <w:color w:val="3366FF"/>
          <w:sz w:val="22"/>
          <w:szCs w:val="22"/>
        </w:rPr>
        <w:t>output</w:t>
      </w:r>
      <w:r w:rsidRPr="0040711B">
        <w:rPr>
          <w:rFonts w:ascii="Calibri" w:hAnsi="Calibri"/>
          <w:color w:val="3366FF"/>
          <w:sz w:val="22"/>
          <w:szCs w:val="22"/>
        </w:rPr>
        <w:t xml:space="preserve"> is: Mechanism for integration of groundwater dimensions within the MENARID programme projects</w:t>
      </w:r>
    </w:p>
    <w:p w14:paraId="70F86DC3" w14:textId="77777777" w:rsidR="00C94C1B" w:rsidRPr="0040711B" w:rsidRDefault="00C94C1B" w:rsidP="002F25E3">
      <w:pPr>
        <w:autoSpaceDE w:val="0"/>
        <w:autoSpaceDN w:val="0"/>
        <w:adjustRightInd w:val="0"/>
        <w:rPr>
          <w:rFonts w:ascii="Calibri" w:hAnsi="Calibri"/>
          <w:sz w:val="22"/>
          <w:szCs w:val="22"/>
        </w:rPr>
      </w:pPr>
    </w:p>
    <w:p w14:paraId="77AC9E24" w14:textId="491BF124" w:rsidR="002F25E3" w:rsidRPr="0040711B" w:rsidRDefault="002F25E3" w:rsidP="003A2A6A">
      <w:pPr>
        <w:jc w:val="both"/>
        <w:rPr>
          <w:rFonts w:ascii="Calibri" w:hAnsi="Calibri" w:cs="Arial"/>
          <w:sz w:val="22"/>
          <w:szCs w:val="22"/>
        </w:rPr>
      </w:pPr>
      <w:r w:rsidRPr="0040711B">
        <w:rPr>
          <w:rFonts w:ascii="Calibri" w:hAnsi="Calibri"/>
          <w:sz w:val="22"/>
          <w:szCs w:val="22"/>
        </w:rPr>
        <w:t xml:space="preserve">The MTE assessed sub-component 1a as </w:t>
      </w:r>
      <w:r w:rsidRPr="0040711B">
        <w:rPr>
          <w:rFonts w:ascii="Calibri" w:hAnsi="Calibri"/>
          <w:b/>
          <w:sz w:val="22"/>
          <w:szCs w:val="22"/>
        </w:rPr>
        <w:t>Satisfactory</w:t>
      </w:r>
      <w:r w:rsidRPr="0040711B">
        <w:rPr>
          <w:rFonts w:ascii="Calibri" w:hAnsi="Calibri"/>
          <w:sz w:val="22"/>
          <w:szCs w:val="22"/>
        </w:rPr>
        <w:t xml:space="preserve">. </w:t>
      </w:r>
      <w:r w:rsidRPr="0040711B">
        <w:rPr>
          <w:rFonts w:ascii="Calibri" w:hAnsi="Calibri" w:cs="Arial"/>
          <w:sz w:val="22"/>
          <w:szCs w:val="22"/>
        </w:rPr>
        <w:t xml:space="preserve">Following a survey of MENARID projects a portfolio meeting was held at which capacity-building priorities for the MENARID portfolio personnel were identified.  Subsequently two regional learning workshops (out of 4 planned) have been organized  one on traditional knowledge and the other on Managed Aquifer discharge at which attendance has been good and feedback highly positive. All MENA countries have been involved and an effective strategic partnership established between </w:t>
      </w:r>
      <w:r w:rsidR="00CA53A8">
        <w:rPr>
          <w:rFonts w:ascii="Calibri" w:hAnsi="Calibri" w:cs="Arial"/>
          <w:sz w:val="22"/>
          <w:szCs w:val="22"/>
        </w:rPr>
        <w:t xml:space="preserve">ICARDA and IFAD. Through these </w:t>
      </w:r>
      <w:r w:rsidR="00A84EA5">
        <w:rPr>
          <w:rFonts w:ascii="Calibri" w:hAnsi="Calibri" w:cs="Arial"/>
          <w:sz w:val="22"/>
          <w:szCs w:val="22"/>
        </w:rPr>
        <w:t>face-to-</w:t>
      </w:r>
      <w:r w:rsidRPr="0040711B">
        <w:rPr>
          <w:rFonts w:ascii="Calibri" w:hAnsi="Calibri" w:cs="Arial"/>
          <w:sz w:val="22"/>
          <w:szCs w:val="22"/>
        </w:rPr>
        <w:t xml:space="preserve">face </w:t>
      </w:r>
      <w:r w:rsidR="0052690C">
        <w:rPr>
          <w:rFonts w:ascii="Calibri" w:hAnsi="Calibri" w:cs="Arial"/>
          <w:sz w:val="22"/>
          <w:szCs w:val="22"/>
        </w:rPr>
        <w:t>activities</w:t>
      </w:r>
      <w:r w:rsidRPr="0040711B">
        <w:rPr>
          <w:rFonts w:ascii="Calibri" w:hAnsi="Calibri" w:cs="Arial"/>
          <w:sz w:val="22"/>
          <w:szCs w:val="22"/>
        </w:rPr>
        <w:t xml:space="preserve"> an operational technical group has been established.  An online community platform has also been established with over 50 members, hosted by ICARDA taking account of </w:t>
      </w:r>
      <w:r w:rsidR="0052690C">
        <w:rPr>
          <w:rFonts w:ascii="Calibri" w:hAnsi="Calibri" w:cs="Arial"/>
          <w:sz w:val="22"/>
          <w:szCs w:val="22"/>
        </w:rPr>
        <w:t xml:space="preserve">a </w:t>
      </w:r>
      <w:r w:rsidRPr="0040711B">
        <w:rPr>
          <w:rFonts w:ascii="Calibri" w:hAnsi="Calibri" w:cs="Arial"/>
          <w:sz w:val="22"/>
          <w:szCs w:val="22"/>
        </w:rPr>
        <w:t>project’s needs assessment undertaken by UNESCO-IHP. However there has been limited activity</w:t>
      </w:r>
      <w:r w:rsidR="00CA53A8">
        <w:rPr>
          <w:rFonts w:ascii="Calibri" w:hAnsi="Calibri" w:cs="Arial"/>
          <w:sz w:val="22"/>
          <w:szCs w:val="22"/>
        </w:rPr>
        <w:t xml:space="preserve"> on the online platform</w:t>
      </w:r>
      <w:r w:rsidRPr="0040711B">
        <w:rPr>
          <w:rFonts w:ascii="Calibri" w:hAnsi="Calibri" w:cs="Arial"/>
          <w:sz w:val="22"/>
          <w:szCs w:val="22"/>
        </w:rPr>
        <w:t xml:space="preserve"> to date and still no involvement by government rep</w:t>
      </w:r>
      <w:r w:rsidR="00A84EA5">
        <w:rPr>
          <w:rFonts w:ascii="Calibri" w:hAnsi="Calibri" w:cs="Arial"/>
          <w:sz w:val="22"/>
          <w:szCs w:val="22"/>
        </w:rPr>
        <w:t>resentative</w:t>
      </w:r>
      <w:r w:rsidRPr="0040711B">
        <w:rPr>
          <w:rFonts w:ascii="Calibri" w:hAnsi="Calibri" w:cs="Arial"/>
          <w:sz w:val="22"/>
          <w:szCs w:val="22"/>
        </w:rPr>
        <w:t xml:space="preserve">s (land/water ministries, etc). </w:t>
      </w:r>
      <w:r w:rsidR="00776D7A">
        <w:rPr>
          <w:rFonts w:ascii="Calibri" w:hAnsi="Calibri" w:cs="Arial"/>
          <w:sz w:val="22"/>
          <w:szCs w:val="22"/>
        </w:rPr>
        <w:t xml:space="preserve"> </w:t>
      </w:r>
      <w:r w:rsidR="00776D7A" w:rsidRPr="0052690C">
        <w:rPr>
          <w:rFonts w:ascii="Calibri" w:hAnsi="Calibri" w:cs="Arial"/>
          <w:sz w:val="22"/>
          <w:szCs w:val="22"/>
        </w:rPr>
        <w:t xml:space="preserve">This notwithstanding the MTE considers that the stated </w:t>
      </w:r>
      <w:r w:rsidR="0052690C" w:rsidRPr="0052690C">
        <w:rPr>
          <w:rFonts w:ascii="Calibri" w:hAnsi="Calibri" w:cs="Arial"/>
          <w:sz w:val="22"/>
          <w:szCs w:val="22"/>
        </w:rPr>
        <w:t xml:space="preserve">objectives will be achieved within the time </w:t>
      </w:r>
      <w:r w:rsidR="0052690C">
        <w:rPr>
          <w:rFonts w:ascii="Calibri" w:hAnsi="Calibri" w:cs="Arial"/>
          <w:sz w:val="22"/>
          <w:szCs w:val="22"/>
        </w:rPr>
        <w:t xml:space="preserve"> </w:t>
      </w:r>
      <w:r w:rsidR="0052690C" w:rsidRPr="0052690C">
        <w:rPr>
          <w:rFonts w:ascii="Calibri" w:hAnsi="Calibri" w:cs="Arial"/>
          <w:sz w:val="22"/>
          <w:szCs w:val="22"/>
        </w:rPr>
        <w:t xml:space="preserve">available. </w:t>
      </w:r>
      <w:r w:rsidR="00776D7A">
        <w:rPr>
          <w:rFonts w:ascii="Calibri" w:hAnsi="Calibri" w:cs="Arial"/>
          <w:sz w:val="22"/>
          <w:szCs w:val="22"/>
        </w:rPr>
        <w:t xml:space="preserve"> </w:t>
      </w:r>
    </w:p>
    <w:p w14:paraId="39B7796B" w14:textId="77777777" w:rsidR="00D16DFD" w:rsidRPr="0040711B" w:rsidRDefault="00D16DFD" w:rsidP="002F25E3">
      <w:pPr>
        <w:rPr>
          <w:rFonts w:ascii="Calibri" w:hAnsi="Calibri" w:cs="Arial"/>
          <w:sz w:val="22"/>
          <w:szCs w:val="22"/>
        </w:rPr>
      </w:pPr>
    </w:p>
    <w:p w14:paraId="4C3E9504" w14:textId="18BB8283" w:rsidR="00FD6656" w:rsidRDefault="00FD6656" w:rsidP="00290862">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Pr>
          <w:rFonts w:ascii="Calibri" w:hAnsi="Calibri"/>
          <w:color w:val="3366FF"/>
          <w:sz w:val="22"/>
          <w:szCs w:val="22"/>
        </w:rPr>
        <w:t xml:space="preserve">Sub-component 1b: Dialogue in South Eastern Europe and the Mediterranean – Lead Partner GWP-Med. </w:t>
      </w:r>
    </w:p>
    <w:p w14:paraId="368BC3F8" w14:textId="77777777" w:rsidR="004125FD" w:rsidRPr="0040711B" w:rsidRDefault="004125FD" w:rsidP="00290862">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 xml:space="preserve">The expected </w:t>
      </w:r>
      <w:r w:rsidRPr="0040711B">
        <w:rPr>
          <w:rFonts w:ascii="Calibri" w:hAnsi="Calibri"/>
          <w:b/>
          <w:color w:val="3366FF"/>
          <w:sz w:val="22"/>
          <w:szCs w:val="22"/>
        </w:rPr>
        <w:t>output</w:t>
      </w:r>
      <w:r w:rsidRPr="0040711B">
        <w:rPr>
          <w:rFonts w:ascii="Calibri" w:hAnsi="Calibri"/>
          <w:color w:val="3366FF"/>
          <w:sz w:val="22"/>
          <w:szCs w:val="22"/>
        </w:rPr>
        <w:t xml:space="preserve"> is: Regional approaches to transboundary co-operation advanced in South Eastern Europe and Mediterranean region </w:t>
      </w:r>
    </w:p>
    <w:p w14:paraId="343BBE65" w14:textId="77777777" w:rsidR="002F25E3" w:rsidRPr="0040711B" w:rsidRDefault="002F25E3" w:rsidP="002F25E3">
      <w:pPr>
        <w:rPr>
          <w:rFonts w:ascii="Calibri" w:hAnsi="Calibri"/>
          <w:sz w:val="22"/>
          <w:szCs w:val="22"/>
        </w:rPr>
      </w:pPr>
    </w:p>
    <w:p w14:paraId="529D2D31" w14:textId="721309EC" w:rsidR="002F25E3" w:rsidRPr="0040711B" w:rsidRDefault="002F25E3" w:rsidP="003A2A6A">
      <w:pPr>
        <w:jc w:val="both"/>
        <w:rPr>
          <w:rFonts w:ascii="Calibri" w:eastAsia="Calibri" w:hAnsi="Calibri" w:cs="Arial"/>
          <w:sz w:val="22"/>
          <w:szCs w:val="22"/>
        </w:rPr>
      </w:pPr>
      <w:r w:rsidRPr="0040711B">
        <w:rPr>
          <w:rFonts w:ascii="Calibri" w:hAnsi="Calibri" w:cs="Arial"/>
          <w:sz w:val="22"/>
          <w:szCs w:val="22"/>
        </w:rPr>
        <w:t xml:space="preserve">The MTE assessed this sub-component as </w:t>
      </w:r>
      <w:r w:rsidRPr="0040711B">
        <w:rPr>
          <w:rFonts w:ascii="Calibri" w:hAnsi="Calibri" w:cs="Arial"/>
          <w:b/>
          <w:sz w:val="22"/>
          <w:szCs w:val="22"/>
        </w:rPr>
        <w:t>Highly Satisfactory</w:t>
      </w:r>
      <w:r w:rsidRPr="0040711B">
        <w:rPr>
          <w:rFonts w:ascii="Calibri" w:hAnsi="Calibri" w:cs="Arial"/>
          <w:sz w:val="22"/>
          <w:szCs w:val="22"/>
        </w:rPr>
        <w:t xml:space="preserve"> following a delayed start owing to political upheaval in the region. Following a stakeholder identification exercise and survey of regional priorities for capacity building needs several very successful roundtables and workshops have been organised.  Three targeted training workshops organized in Tirana, Albania, on WFD, Zagreb - Policy and Science, Flood Management, in  Zagreb.  The first SEE regional roundtable was conducted in Zagreb, setting priorities for the process agenda going forward. A Targeted </w:t>
      </w:r>
      <w:r w:rsidRPr="0040711B">
        <w:rPr>
          <w:rFonts w:ascii="Calibri" w:hAnsi="Calibri" w:cs="Arial"/>
          <w:bCs/>
          <w:sz w:val="22"/>
          <w:szCs w:val="22"/>
        </w:rPr>
        <w:t xml:space="preserve">Capacity Building </w:t>
      </w:r>
      <w:r w:rsidRPr="0040711B">
        <w:rPr>
          <w:rFonts w:ascii="Calibri" w:hAnsi="Calibri" w:cs="Arial"/>
          <w:sz w:val="22"/>
          <w:szCs w:val="22"/>
        </w:rPr>
        <w:t>Workshop entitled “Implementation of the Water Framework Directive (WFD) as a means to enhanced water resources management</w:t>
      </w:r>
      <w:r w:rsidRPr="0040711B">
        <w:rPr>
          <w:rFonts w:ascii="Calibri" w:eastAsia="Calibri" w:hAnsi="Calibri" w:cs="Arial"/>
          <w:sz w:val="22"/>
          <w:szCs w:val="22"/>
        </w:rPr>
        <w:t>”</w:t>
      </w:r>
      <w:r w:rsidRPr="0040711B">
        <w:rPr>
          <w:rFonts w:ascii="Calibri" w:hAnsi="Calibri" w:cs="Arial"/>
          <w:sz w:val="22"/>
          <w:szCs w:val="22"/>
        </w:rPr>
        <w:t xml:space="preserve"> was organized </w:t>
      </w:r>
      <w:r w:rsidRPr="0040711B">
        <w:rPr>
          <w:rFonts w:ascii="Calibri" w:hAnsi="Calibri" w:cs="Arial"/>
          <w:bCs/>
          <w:sz w:val="22"/>
          <w:szCs w:val="22"/>
        </w:rPr>
        <w:t>by GWP-Med and UNECE in Tirana, Albania.</w:t>
      </w:r>
      <w:r w:rsidRPr="0040711B">
        <w:rPr>
          <w:rFonts w:ascii="Calibri" w:eastAsia="Calibri" w:hAnsi="Calibri" w:cs="Arial"/>
          <w:sz w:val="22"/>
          <w:szCs w:val="22"/>
        </w:rPr>
        <w:t xml:space="preserve"> </w:t>
      </w:r>
    </w:p>
    <w:p w14:paraId="72DB9175" w14:textId="77777777" w:rsidR="002F25E3" w:rsidRPr="0040711B" w:rsidRDefault="002F25E3" w:rsidP="003A2A6A">
      <w:pPr>
        <w:jc w:val="both"/>
        <w:rPr>
          <w:rFonts w:ascii="Calibri" w:eastAsia="Calibri" w:hAnsi="Calibri" w:cs="Arial"/>
          <w:sz w:val="22"/>
          <w:szCs w:val="22"/>
        </w:rPr>
      </w:pPr>
    </w:p>
    <w:p w14:paraId="6C681B7B" w14:textId="77777777" w:rsidR="002F25E3" w:rsidRPr="0040711B" w:rsidRDefault="002F25E3" w:rsidP="003A2A6A">
      <w:pPr>
        <w:jc w:val="both"/>
        <w:rPr>
          <w:rFonts w:ascii="Calibri" w:hAnsi="Calibri" w:cs="Arial"/>
          <w:sz w:val="22"/>
          <w:szCs w:val="22"/>
          <w:lang w:val="en-US"/>
        </w:rPr>
      </w:pPr>
      <w:r w:rsidRPr="0040711B">
        <w:rPr>
          <w:rFonts w:ascii="Calibri" w:hAnsi="Calibri" w:cs="Arial"/>
          <w:sz w:val="22"/>
          <w:szCs w:val="22"/>
          <w:lang w:val="en-US"/>
        </w:rPr>
        <w:t xml:space="preserve">Most recently the International Roundtable on Transboundary Water Resources Management in the Southern Mediterranean was jointly organized by the UNECE, the Union for the Mediterranean (UfM), the GWP-Med, GEF IW:LEARN, and the MED EUWI, with the support of the Italian Ministry for the Environment, Land and Sea. The Roundtable was held, prior to the sixth session of the Meeting of the Parties to the UNECE Convention on the Protection and Use of Transboundary Watercourses and International Lakes (Water Convention). </w:t>
      </w:r>
    </w:p>
    <w:p w14:paraId="70F31FC3" w14:textId="77777777" w:rsidR="002F25E3" w:rsidRPr="0040711B" w:rsidRDefault="002F25E3" w:rsidP="003A2A6A">
      <w:pPr>
        <w:jc w:val="both"/>
        <w:rPr>
          <w:rFonts w:ascii="Calibri" w:hAnsi="Calibri"/>
          <w:sz w:val="22"/>
          <w:szCs w:val="22"/>
        </w:rPr>
      </w:pPr>
    </w:p>
    <w:p w14:paraId="3A167334" w14:textId="77777777" w:rsidR="002F25E3" w:rsidRDefault="002F25E3" w:rsidP="003A2A6A">
      <w:pPr>
        <w:jc w:val="both"/>
        <w:rPr>
          <w:rFonts w:ascii="Calibri" w:hAnsi="Calibri" w:cs="Arial"/>
          <w:sz w:val="22"/>
          <w:szCs w:val="22"/>
        </w:rPr>
      </w:pPr>
      <w:r w:rsidRPr="0040711B">
        <w:rPr>
          <w:rFonts w:ascii="Calibri" w:hAnsi="Calibri" w:cs="Arial"/>
          <w:sz w:val="22"/>
          <w:szCs w:val="22"/>
        </w:rPr>
        <w:t>A workshop for the utilization of the IWLEARN ICT tools for the construction websites was organized in GWP-Med’s premises in Athens on 30 May – 1 June 2012. The conversion to IW</w:t>
      </w:r>
      <w:proofErr w:type="gramStart"/>
      <w:r w:rsidRPr="0040711B">
        <w:rPr>
          <w:rFonts w:ascii="Calibri" w:hAnsi="Calibri" w:cs="Arial"/>
          <w:sz w:val="22"/>
          <w:szCs w:val="22"/>
        </w:rPr>
        <w:t>:LEARN</w:t>
      </w:r>
      <w:proofErr w:type="gramEnd"/>
      <w:r w:rsidRPr="0040711B">
        <w:rPr>
          <w:rFonts w:ascii="Calibri" w:hAnsi="Calibri" w:cs="Arial"/>
          <w:sz w:val="22"/>
          <w:szCs w:val="22"/>
        </w:rPr>
        <w:t xml:space="preserve"> website toolkit has begun. </w:t>
      </w:r>
    </w:p>
    <w:p w14:paraId="16C8D440" w14:textId="77777777" w:rsidR="003A2A6A" w:rsidRDefault="003A2A6A" w:rsidP="003A2A6A">
      <w:pPr>
        <w:jc w:val="both"/>
        <w:rPr>
          <w:rFonts w:ascii="Calibri" w:hAnsi="Calibri" w:cs="Arial"/>
          <w:sz w:val="22"/>
          <w:szCs w:val="22"/>
        </w:rPr>
      </w:pPr>
    </w:p>
    <w:p w14:paraId="43E43B19" w14:textId="02CF81F3" w:rsidR="00776D7A" w:rsidRPr="0040711B" w:rsidRDefault="00776D7A" w:rsidP="003A2A6A">
      <w:pPr>
        <w:jc w:val="both"/>
        <w:rPr>
          <w:rFonts w:ascii="Calibri" w:hAnsi="Calibri" w:cs="Arial"/>
          <w:sz w:val="22"/>
          <w:szCs w:val="22"/>
        </w:rPr>
      </w:pPr>
      <w:r>
        <w:rPr>
          <w:rFonts w:ascii="Calibri" w:hAnsi="Calibri" w:cs="Arial"/>
          <w:sz w:val="22"/>
          <w:szCs w:val="22"/>
        </w:rPr>
        <w:t xml:space="preserve">Building on activities begun in </w:t>
      </w:r>
      <w:r w:rsidR="003A2A6A">
        <w:rPr>
          <w:rFonts w:ascii="Calibri" w:hAnsi="Calibri" w:cs="Arial"/>
          <w:sz w:val="22"/>
          <w:szCs w:val="22"/>
        </w:rPr>
        <w:t>previous IW</w:t>
      </w:r>
      <w:r>
        <w:rPr>
          <w:rFonts w:ascii="Calibri" w:hAnsi="Calibri" w:cs="Arial"/>
          <w:sz w:val="22"/>
          <w:szCs w:val="22"/>
        </w:rPr>
        <w:t xml:space="preserve"> Learn projects this project in partnership with GWP-Med </w:t>
      </w:r>
      <w:r w:rsidR="003A2A6A">
        <w:rPr>
          <w:rFonts w:ascii="Calibri" w:hAnsi="Calibri" w:cs="Arial"/>
          <w:sz w:val="22"/>
          <w:szCs w:val="22"/>
        </w:rPr>
        <w:t>has certainly</w:t>
      </w:r>
      <w:r>
        <w:rPr>
          <w:rFonts w:ascii="Calibri" w:hAnsi="Calibri" w:cs="Arial"/>
          <w:sz w:val="22"/>
          <w:szCs w:val="22"/>
        </w:rPr>
        <w:t xml:space="preserve"> advanced regional cooperation on transboundary waters and catalysed a number of related activities discussed elsewhere in this report.  </w:t>
      </w:r>
    </w:p>
    <w:p w14:paraId="0A4E5302" w14:textId="77777777" w:rsidR="002F25E3" w:rsidRPr="0040711B" w:rsidRDefault="002F25E3" w:rsidP="002F25E3">
      <w:pPr>
        <w:rPr>
          <w:rFonts w:ascii="Calibri" w:hAnsi="Calibri" w:cs="Arial"/>
          <w:sz w:val="22"/>
          <w:szCs w:val="22"/>
        </w:rPr>
      </w:pPr>
    </w:p>
    <w:p w14:paraId="0885B09C" w14:textId="77777777" w:rsidR="00D16DFD" w:rsidRPr="0040711B" w:rsidRDefault="00D16DFD" w:rsidP="00290862">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Sub-component 1c: Delivering IW:LEARN Services in the GEF Regions</w:t>
      </w:r>
    </w:p>
    <w:p w14:paraId="6561B872" w14:textId="5E59B249" w:rsidR="004125FD" w:rsidRPr="0040711B" w:rsidRDefault="00670F9A" w:rsidP="00290862">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E</w:t>
      </w:r>
      <w:r w:rsidR="004125FD" w:rsidRPr="0040711B">
        <w:rPr>
          <w:rFonts w:ascii="Calibri" w:hAnsi="Calibri"/>
          <w:color w:val="3366FF"/>
          <w:sz w:val="22"/>
          <w:szCs w:val="22"/>
        </w:rPr>
        <w:t xml:space="preserve">xpected </w:t>
      </w:r>
      <w:r w:rsidR="004125FD" w:rsidRPr="0040711B">
        <w:rPr>
          <w:rFonts w:ascii="Calibri" w:hAnsi="Calibri"/>
          <w:b/>
          <w:color w:val="3366FF"/>
          <w:sz w:val="22"/>
          <w:szCs w:val="22"/>
        </w:rPr>
        <w:t>output</w:t>
      </w:r>
      <w:r w:rsidR="004125FD" w:rsidRPr="0040711B">
        <w:rPr>
          <w:rFonts w:ascii="Calibri" w:hAnsi="Calibri"/>
          <w:color w:val="3366FF"/>
          <w:sz w:val="22"/>
          <w:szCs w:val="22"/>
        </w:rPr>
        <w:t xml:space="preserve">: Three regionally-defined technical groups (Asia-Pacific, Latin America and Caribbean, and Sub-Saharan Africa) of GEF IW project stakeholders and partners, managed by regional institutions and conducting twinning/learning exchanges </w:t>
      </w:r>
    </w:p>
    <w:p w14:paraId="33B0B1C8" w14:textId="77777777" w:rsidR="002F25E3" w:rsidRPr="0040711B" w:rsidRDefault="002F25E3" w:rsidP="002F25E3">
      <w:pPr>
        <w:rPr>
          <w:rFonts w:ascii="Calibri" w:hAnsi="Calibri"/>
          <w:sz w:val="22"/>
          <w:szCs w:val="22"/>
        </w:rPr>
      </w:pPr>
    </w:p>
    <w:p w14:paraId="0DEB56A8" w14:textId="6DBA814D" w:rsidR="002F25E3" w:rsidRDefault="002F25E3" w:rsidP="003A2A6A">
      <w:pPr>
        <w:jc w:val="both"/>
        <w:rPr>
          <w:rFonts w:ascii="Calibri" w:hAnsi="Calibri"/>
          <w:sz w:val="22"/>
          <w:szCs w:val="22"/>
        </w:rPr>
      </w:pPr>
      <w:r w:rsidRPr="0040711B">
        <w:rPr>
          <w:rFonts w:ascii="Calibri" w:hAnsi="Calibri"/>
          <w:sz w:val="22"/>
          <w:szCs w:val="22"/>
        </w:rPr>
        <w:t xml:space="preserve">The MTE assessed this subcomponent as </w:t>
      </w:r>
      <w:r w:rsidRPr="0040711B">
        <w:rPr>
          <w:rFonts w:ascii="Calibri" w:hAnsi="Calibri"/>
          <w:b/>
          <w:sz w:val="22"/>
          <w:szCs w:val="22"/>
        </w:rPr>
        <w:t>Satisfactory</w:t>
      </w:r>
      <w:r w:rsidRPr="0040711B">
        <w:rPr>
          <w:rFonts w:ascii="Calibri" w:hAnsi="Calibri"/>
          <w:sz w:val="22"/>
          <w:szCs w:val="22"/>
        </w:rPr>
        <w:t xml:space="preserve"> good progress having been made especially in Africa and LAC and good prospects for Asia to catch up following a switch of partner to PEMSEA for this activity </w:t>
      </w:r>
      <w:r w:rsidR="003A2A6A" w:rsidRPr="0040711B">
        <w:rPr>
          <w:rFonts w:ascii="Calibri" w:hAnsi="Calibri"/>
          <w:sz w:val="22"/>
          <w:szCs w:val="22"/>
        </w:rPr>
        <w:t>in the</w:t>
      </w:r>
      <w:r w:rsidRPr="0040711B">
        <w:rPr>
          <w:rFonts w:ascii="Calibri" w:hAnsi="Calibri"/>
          <w:sz w:val="22"/>
          <w:szCs w:val="22"/>
        </w:rPr>
        <w:t xml:space="preserve"> Asia region. </w:t>
      </w:r>
    </w:p>
    <w:p w14:paraId="285A3EFC" w14:textId="77777777" w:rsidR="0007518C" w:rsidRPr="0040711B" w:rsidRDefault="0007518C" w:rsidP="003A2A6A">
      <w:pPr>
        <w:jc w:val="both"/>
        <w:rPr>
          <w:rFonts w:ascii="Calibri" w:hAnsi="Calibri"/>
          <w:sz w:val="22"/>
          <w:szCs w:val="22"/>
        </w:rPr>
      </w:pPr>
    </w:p>
    <w:p w14:paraId="18682268" w14:textId="41036EBE" w:rsidR="002F25E3" w:rsidRPr="00CC48A3" w:rsidRDefault="002F25E3" w:rsidP="003A2A6A">
      <w:pPr>
        <w:jc w:val="both"/>
        <w:rPr>
          <w:rFonts w:asciiTheme="majorHAnsi" w:hAnsiTheme="majorHAnsi" w:cs="Arial"/>
          <w:sz w:val="22"/>
          <w:szCs w:val="22"/>
        </w:rPr>
      </w:pPr>
      <w:r w:rsidRPr="00CC48A3">
        <w:rPr>
          <w:rFonts w:asciiTheme="majorHAnsi" w:hAnsiTheme="majorHAnsi" w:cs="Arial"/>
          <w:sz w:val="22"/>
          <w:szCs w:val="22"/>
        </w:rPr>
        <w:t xml:space="preserve">In Africa led by Rhodes University two targeted </w:t>
      </w:r>
      <w:proofErr w:type="gramStart"/>
      <w:r w:rsidRPr="00CC48A3">
        <w:rPr>
          <w:rFonts w:asciiTheme="majorHAnsi" w:hAnsiTheme="majorHAnsi" w:cs="Arial"/>
          <w:sz w:val="22"/>
          <w:szCs w:val="22"/>
        </w:rPr>
        <w:t>workshops  for</w:t>
      </w:r>
      <w:proofErr w:type="gramEnd"/>
      <w:r w:rsidRPr="00CC48A3">
        <w:rPr>
          <w:rFonts w:asciiTheme="majorHAnsi" w:hAnsiTheme="majorHAnsi" w:cs="Arial"/>
          <w:sz w:val="22"/>
          <w:szCs w:val="22"/>
        </w:rPr>
        <w:t xml:space="preserve"> IW projects have been organised</w:t>
      </w:r>
      <w:r w:rsidR="00CC48A3" w:rsidRPr="00CC48A3">
        <w:rPr>
          <w:rFonts w:asciiTheme="majorHAnsi" w:hAnsiTheme="majorHAnsi" w:cs="Arial"/>
          <w:sz w:val="22"/>
          <w:szCs w:val="22"/>
        </w:rPr>
        <w:t xml:space="preserve">. </w:t>
      </w:r>
      <w:r w:rsidR="00CC48A3" w:rsidRPr="00CC48A3">
        <w:rPr>
          <w:rFonts w:asciiTheme="majorHAnsi" w:hAnsiTheme="majorHAnsi" w:cs="Arial"/>
          <w:color w:val="343434"/>
          <w:sz w:val="22"/>
          <w:szCs w:val="22"/>
          <w:lang w:val="en-US"/>
        </w:rPr>
        <w:t xml:space="preserve">The first in </w:t>
      </w:r>
      <w:r w:rsidR="00CC48A3">
        <w:rPr>
          <w:rFonts w:asciiTheme="majorHAnsi" w:hAnsiTheme="majorHAnsi" w:cs="Arial"/>
          <w:color w:val="343434"/>
          <w:sz w:val="22"/>
          <w:szCs w:val="22"/>
          <w:lang w:val="en-US"/>
        </w:rPr>
        <w:t>South Africa, April 2012</w:t>
      </w:r>
      <w:r w:rsidR="00CC48A3" w:rsidRPr="00CC48A3">
        <w:rPr>
          <w:rFonts w:asciiTheme="majorHAnsi" w:hAnsiTheme="majorHAnsi" w:cs="Arial"/>
          <w:color w:val="343434"/>
          <w:sz w:val="22"/>
          <w:szCs w:val="22"/>
          <w:lang w:val="en-US"/>
        </w:rPr>
        <w:t xml:space="preserve"> identified priority topics around which to structure future regional workshops</w:t>
      </w:r>
      <w:r w:rsidRPr="00CC48A3">
        <w:rPr>
          <w:rFonts w:asciiTheme="majorHAnsi" w:hAnsiTheme="majorHAnsi" w:cs="Arial"/>
          <w:sz w:val="22"/>
          <w:szCs w:val="22"/>
        </w:rPr>
        <w:t xml:space="preserve"> and second on Economic Valuation involving 17 and 18 African IW projects respectively. The second was held in partnership with Rhodes, IUCN, UNECA, UNECE and FAO</w:t>
      </w:r>
    </w:p>
    <w:p w14:paraId="6DFCAC2C" w14:textId="77777777" w:rsidR="002F25E3" w:rsidRPr="0040711B" w:rsidRDefault="002F25E3" w:rsidP="003A2A6A">
      <w:pPr>
        <w:jc w:val="both"/>
        <w:rPr>
          <w:rFonts w:ascii="Calibri" w:hAnsi="Calibri"/>
          <w:sz w:val="22"/>
          <w:szCs w:val="22"/>
        </w:rPr>
      </w:pPr>
    </w:p>
    <w:p w14:paraId="1165FD43" w14:textId="77777777" w:rsidR="002F25E3" w:rsidRPr="0040711B" w:rsidRDefault="002F25E3" w:rsidP="003A2A6A">
      <w:pPr>
        <w:jc w:val="both"/>
        <w:rPr>
          <w:rFonts w:ascii="Calibri" w:hAnsi="Calibri" w:cs="Arial"/>
          <w:sz w:val="22"/>
          <w:szCs w:val="22"/>
        </w:rPr>
      </w:pPr>
      <w:r w:rsidRPr="0040711B">
        <w:rPr>
          <w:rFonts w:ascii="Calibri" w:hAnsi="Calibri" w:cs="Arial"/>
          <w:sz w:val="22"/>
          <w:szCs w:val="22"/>
        </w:rPr>
        <w:t xml:space="preserve">In LAC region the lead partner the Caribbean Environment </w:t>
      </w:r>
      <w:proofErr w:type="gramStart"/>
      <w:r w:rsidRPr="0040711B">
        <w:rPr>
          <w:rFonts w:ascii="Calibri" w:hAnsi="Calibri" w:cs="Arial"/>
          <w:sz w:val="22"/>
          <w:szCs w:val="22"/>
        </w:rPr>
        <w:t>Programme  first</w:t>
      </w:r>
      <w:proofErr w:type="gramEnd"/>
      <w:r w:rsidRPr="0040711B">
        <w:rPr>
          <w:rFonts w:ascii="Calibri" w:hAnsi="Calibri" w:cs="Arial"/>
          <w:sz w:val="22"/>
          <w:szCs w:val="22"/>
        </w:rPr>
        <w:t xml:space="preserve"> targeted workshop was  completed involving 11 GEF IW projects, and twinning exchanges for 4 projects on TDA-SAP and related topics were organised. </w:t>
      </w:r>
    </w:p>
    <w:p w14:paraId="10B1AEC3" w14:textId="77777777" w:rsidR="002F25E3" w:rsidRPr="0040711B" w:rsidRDefault="002F25E3" w:rsidP="003A2A6A">
      <w:pPr>
        <w:jc w:val="both"/>
        <w:rPr>
          <w:rFonts w:ascii="Calibri" w:hAnsi="Calibri" w:cs="Arial"/>
          <w:sz w:val="22"/>
          <w:szCs w:val="22"/>
        </w:rPr>
      </w:pPr>
    </w:p>
    <w:p w14:paraId="54B4C370" w14:textId="6A45757D" w:rsidR="002F25E3" w:rsidRDefault="002F25E3" w:rsidP="003A2A6A">
      <w:pPr>
        <w:jc w:val="both"/>
        <w:rPr>
          <w:rFonts w:ascii="Calibri" w:hAnsi="Calibri" w:cs="Arial"/>
          <w:sz w:val="22"/>
          <w:szCs w:val="22"/>
        </w:rPr>
      </w:pPr>
      <w:r w:rsidRPr="0040711B">
        <w:rPr>
          <w:rFonts w:ascii="Calibri" w:hAnsi="Calibri" w:cs="Arial"/>
          <w:sz w:val="22"/>
          <w:szCs w:val="22"/>
        </w:rPr>
        <w:t xml:space="preserve">In Asia-Pacific region the first targeted project roundtable involving, 11 projects took place following IW Science Conference and twinning exchanges have been arranged between Bay of Bengal LME to Canary Current LME and Lake Baikal to Sava River Basin Commission.  </w:t>
      </w:r>
    </w:p>
    <w:p w14:paraId="05B92756" w14:textId="77777777" w:rsidR="00CC48A3" w:rsidRDefault="00CC48A3" w:rsidP="003A2A6A">
      <w:pPr>
        <w:jc w:val="both"/>
        <w:rPr>
          <w:rFonts w:ascii="Calibri" w:hAnsi="Calibri" w:cs="Arial"/>
          <w:sz w:val="22"/>
          <w:szCs w:val="22"/>
        </w:rPr>
      </w:pPr>
    </w:p>
    <w:p w14:paraId="2B26C970" w14:textId="6BFC71AD" w:rsidR="00CC48A3" w:rsidRDefault="00CC48A3" w:rsidP="003A2A6A">
      <w:pPr>
        <w:jc w:val="both"/>
        <w:rPr>
          <w:rFonts w:ascii="Calibri" w:hAnsi="Calibri"/>
          <w:sz w:val="22"/>
          <w:szCs w:val="22"/>
        </w:rPr>
      </w:pPr>
      <w:r w:rsidRPr="00D53CA1">
        <w:rPr>
          <w:rFonts w:ascii="Calibri" w:hAnsi="Calibri" w:cs="Arial"/>
          <w:sz w:val="22"/>
          <w:szCs w:val="22"/>
        </w:rPr>
        <w:t xml:space="preserve">High </w:t>
      </w:r>
      <w:r w:rsidR="00D53CA1" w:rsidRPr="00D53CA1">
        <w:rPr>
          <w:rFonts w:ascii="Calibri" w:hAnsi="Calibri" w:cs="Arial"/>
          <w:sz w:val="22"/>
          <w:szCs w:val="22"/>
        </w:rPr>
        <w:t>satisfaction</w:t>
      </w:r>
      <w:r w:rsidRPr="00D53CA1">
        <w:rPr>
          <w:rFonts w:ascii="Calibri" w:hAnsi="Calibri" w:cs="Arial"/>
          <w:sz w:val="22"/>
          <w:szCs w:val="22"/>
        </w:rPr>
        <w:t xml:space="preserve"> has been </w:t>
      </w:r>
      <w:r w:rsidR="00D53CA1" w:rsidRPr="00D53CA1">
        <w:rPr>
          <w:rFonts w:ascii="Calibri" w:hAnsi="Calibri" w:cs="Arial"/>
          <w:sz w:val="22"/>
          <w:szCs w:val="22"/>
        </w:rPr>
        <w:t>recorded</w:t>
      </w:r>
      <w:r w:rsidRPr="00D53CA1">
        <w:rPr>
          <w:rFonts w:ascii="Calibri" w:hAnsi="Calibri" w:cs="Arial"/>
          <w:sz w:val="22"/>
          <w:szCs w:val="22"/>
        </w:rPr>
        <w:t xml:space="preserve"> for all of the workshops undertaken to date. </w:t>
      </w:r>
      <w:r w:rsidR="00D53CA1" w:rsidRPr="00D53CA1">
        <w:rPr>
          <w:rFonts w:ascii="Calibri" w:hAnsi="Calibri"/>
          <w:sz w:val="22"/>
          <w:szCs w:val="22"/>
        </w:rPr>
        <w:t>The weakest areas included insufficient time for informal networking and addressing sufficiently the linkages between terrestrial and marine water systems.</w:t>
      </w:r>
      <w:r w:rsidR="00D53CA1">
        <w:rPr>
          <w:rFonts w:ascii="Calibri" w:hAnsi="Calibri"/>
          <w:sz w:val="22"/>
          <w:szCs w:val="22"/>
        </w:rPr>
        <w:t xml:space="preserve"> Future workshops will be adapted to address these matters. </w:t>
      </w:r>
    </w:p>
    <w:p w14:paraId="5F708E41" w14:textId="16ED79BD" w:rsidR="0052690C" w:rsidRPr="00D53CA1" w:rsidRDefault="007B10C1" w:rsidP="003A2A6A">
      <w:pPr>
        <w:jc w:val="both"/>
        <w:rPr>
          <w:rFonts w:ascii="Calibri" w:hAnsi="Calibri" w:cs="Arial"/>
          <w:sz w:val="22"/>
          <w:szCs w:val="22"/>
        </w:rPr>
      </w:pPr>
      <w:r>
        <w:rPr>
          <w:rFonts w:ascii="Calibri" w:hAnsi="Calibri"/>
          <w:sz w:val="22"/>
          <w:szCs w:val="22"/>
        </w:rPr>
        <w:t xml:space="preserve">Implementation will need to accelerate in Asia but otherwise this component is on track to meet its objectives. </w:t>
      </w:r>
    </w:p>
    <w:p w14:paraId="13039E52" w14:textId="77777777" w:rsidR="002F25E3" w:rsidRPr="0040711B" w:rsidRDefault="002F25E3" w:rsidP="002F25E3">
      <w:pPr>
        <w:rPr>
          <w:rFonts w:ascii="Calibri" w:hAnsi="Calibri"/>
          <w:sz w:val="22"/>
          <w:szCs w:val="22"/>
        </w:rPr>
      </w:pPr>
    </w:p>
    <w:p w14:paraId="490EDD50" w14:textId="4313E859" w:rsidR="00D16DFD" w:rsidRPr="0040711B" w:rsidRDefault="00D16DFD" w:rsidP="00290862">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color w:val="3366FF"/>
          <w:sz w:val="22"/>
          <w:szCs w:val="22"/>
        </w:rPr>
      </w:pPr>
      <w:r w:rsidRPr="0040711B">
        <w:rPr>
          <w:rFonts w:ascii="Calibri" w:hAnsi="Calibri"/>
          <w:b/>
          <w:color w:val="3366FF"/>
          <w:sz w:val="22"/>
          <w:szCs w:val="22"/>
        </w:rPr>
        <w:t>COMPONENT 2</w:t>
      </w:r>
      <w:r w:rsidR="00D53CA1">
        <w:rPr>
          <w:rFonts w:ascii="Calibri" w:hAnsi="Calibri"/>
          <w:b/>
          <w:color w:val="3366FF"/>
          <w:sz w:val="22"/>
          <w:szCs w:val="22"/>
        </w:rPr>
        <w:t xml:space="preserve">: </w:t>
      </w:r>
      <w:r w:rsidRPr="0040711B">
        <w:rPr>
          <w:rFonts w:ascii="Calibri" w:hAnsi="Calibri"/>
          <w:b/>
          <w:color w:val="3366FF"/>
          <w:sz w:val="22"/>
          <w:szCs w:val="22"/>
        </w:rPr>
        <w:t xml:space="preserve"> </w:t>
      </w:r>
      <w:r w:rsidRPr="0040711B">
        <w:rPr>
          <w:rFonts w:ascii="Calibri" w:hAnsi="Calibri"/>
          <w:color w:val="3366FF"/>
          <w:sz w:val="22"/>
          <w:szCs w:val="22"/>
        </w:rPr>
        <w:t>Learning and Replication of Good Practices in Transboundary Surf</w:t>
      </w:r>
      <w:r w:rsidR="00D53CA1">
        <w:rPr>
          <w:rFonts w:ascii="Calibri" w:hAnsi="Calibri"/>
          <w:color w:val="3366FF"/>
          <w:sz w:val="22"/>
          <w:szCs w:val="22"/>
        </w:rPr>
        <w:t xml:space="preserve">ace and Groundwater Management </w:t>
      </w:r>
    </w:p>
    <w:p w14:paraId="5016B5AA" w14:textId="77777777" w:rsidR="005F7BC5" w:rsidRDefault="005F7BC5" w:rsidP="00A47432">
      <w:pPr>
        <w:autoSpaceDE w:val="0"/>
        <w:autoSpaceDN w:val="0"/>
        <w:adjustRightInd w:val="0"/>
        <w:jc w:val="both"/>
        <w:rPr>
          <w:rFonts w:ascii="Calibri" w:hAnsi="Calibri"/>
          <w:sz w:val="22"/>
          <w:szCs w:val="22"/>
        </w:rPr>
      </w:pPr>
    </w:p>
    <w:p w14:paraId="292F0305" w14:textId="404F3E73" w:rsidR="0007518C" w:rsidRDefault="0056396C" w:rsidP="00A47432">
      <w:pPr>
        <w:autoSpaceDE w:val="0"/>
        <w:autoSpaceDN w:val="0"/>
        <w:adjustRightInd w:val="0"/>
        <w:jc w:val="both"/>
        <w:rPr>
          <w:rFonts w:asciiTheme="majorHAnsi" w:hAnsiTheme="majorHAnsi" w:cs="Arial"/>
          <w:sz w:val="22"/>
          <w:szCs w:val="22"/>
        </w:rPr>
      </w:pPr>
      <w:r>
        <w:rPr>
          <w:rFonts w:ascii="Calibri" w:hAnsi="Calibri"/>
          <w:sz w:val="22"/>
          <w:szCs w:val="22"/>
        </w:rPr>
        <w:t>Overall this component is as</w:t>
      </w:r>
      <w:r w:rsidR="008F040C">
        <w:rPr>
          <w:rFonts w:ascii="Calibri" w:hAnsi="Calibri"/>
          <w:sz w:val="22"/>
          <w:szCs w:val="22"/>
        </w:rPr>
        <w:t xml:space="preserve">sessed as </w:t>
      </w:r>
      <w:r w:rsidR="008F040C" w:rsidRPr="008F040C">
        <w:rPr>
          <w:rFonts w:ascii="Calibri" w:hAnsi="Calibri"/>
          <w:b/>
          <w:sz w:val="22"/>
          <w:szCs w:val="22"/>
        </w:rPr>
        <w:t>Moderately</w:t>
      </w:r>
      <w:r w:rsidRPr="008F040C">
        <w:rPr>
          <w:rFonts w:ascii="Calibri" w:hAnsi="Calibri"/>
          <w:b/>
          <w:sz w:val="22"/>
          <w:szCs w:val="22"/>
        </w:rPr>
        <w:t xml:space="preserve"> </w:t>
      </w:r>
      <w:r w:rsidRPr="00995F4E">
        <w:rPr>
          <w:rFonts w:ascii="Calibri" w:hAnsi="Calibri"/>
          <w:b/>
          <w:sz w:val="22"/>
          <w:szCs w:val="22"/>
        </w:rPr>
        <w:t>Unsatisfactory</w:t>
      </w:r>
      <w:r>
        <w:rPr>
          <w:rFonts w:ascii="Calibri" w:hAnsi="Calibri"/>
          <w:sz w:val="22"/>
          <w:szCs w:val="22"/>
        </w:rPr>
        <w:t xml:space="preserve"> owing largely the lack of traction that has been achieved with the online CoPs.  There were significant delays owing to technical issues in getting the community platform ready (Component 4</w:t>
      </w:r>
      <w:r w:rsidR="00F91654">
        <w:rPr>
          <w:rFonts w:ascii="Calibri" w:hAnsi="Calibri"/>
          <w:sz w:val="22"/>
          <w:szCs w:val="22"/>
        </w:rPr>
        <w:t>a</w:t>
      </w:r>
      <w:r>
        <w:rPr>
          <w:rFonts w:ascii="Calibri" w:hAnsi="Calibri"/>
          <w:sz w:val="22"/>
          <w:szCs w:val="22"/>
        </w:rPr>
        <w:t xml:space="preserve">) </w:t>
      </w:r>
      <w:r w:rsidR="00F91654">
        <w:rPr>
          <w:rFonts w:ascii="Calibri" w:hAnsi="Calibri"/>
          <w:sz w:val="22"/>
          <w:szCs w:val="22"/>
        </w:rPr>
        <w:t xml:space="preserve">on which the CoPs depend </w:t>
      </w:r>
      <w:r>
        <w:rPr>
          <w:rFonts w:ascii="Calibri" w:hAnsi="Calibri"/>
          <w:sz w:val="22"/>
          <w:szCs w:val="22"/>
        </w:rPr>
        <w:t>and it was then considered ina</w:t>
      </w:r>
      <w:r w:rsidR="007B10C1">
        <w:rPr>
          <w:rFonts w:ascii="Calibri" w:hAnsi="Calibri"/>
          <w:sz w:val="22"/>
          <w:szCs w:val="22"/>
        </w:rPr>
        <w:t>dequate to some degree by both p</w:t>
      </w:r>
      <w:r>
        <w:rPr>
          <w:rFonts w:ascii="Calibri" w:hAnsi="Calibri"/>
          <w:sz w:val="22"/>
          <w:szCs w:val="22"/>
        </w:rPr>
        <w:t xml:space="preserve">artners in this component UNESCO-IHP and IUCN. </w:t>
      </w:r>
      <w:r w:rsidR="000A7F71">
        <w:rPr>
          <w:rFonts w:ascii="Calibri" w:hAnsi="Calibri"/>
          <w:sz w:val="22"/>
          <w:szCs w:val="22"/>
        </w:rPr>
        <w:t>In May of 2012 a</w:t>
      </w:r>
      <w:r>
        <w:rPr>
          <w:rFonts w:ascii="Calibri" w:hAnsi="Calibri"/>
          <w:sz w:val="22"/>
          <w:szCs w:val="22"/>
        </w:rPr>
        <w:t xml:space="preserve">n analysis </w:t>
      </w:r>
      <w:r w:rsidR="00163705" w:rsidRPr="008803E8">
        <w:rPr>
          <w:rFonts w:asciiTheme="majorHAnsi" w:hAnsiTheme="majorHAnsi" w:cs="Arial"/>
          <w:sz w:val="22"/>
          <w:szCs w:val="22"/>
        </w:rPr>
        <w:t xml:space="preserve">of performance and technical features </w:t>
      </w:r>
      <w:r>
        <w:rPr>
          <w:rFonts w:asciiTheme="majorHAnsi" w:hAnsiTheme="majorHAnsi" w:cs="Arial"/>
          <w:sz w:val="22"/>
          <w:szCs w:val="22"/>
        </w:rPr>
        <w:t>of the CoP online working space was undertaken</w:t>
      </w:r>
      <w:r w:rsidR="000A7F71">
        <w:rPr>
          <w:rFonts w:asciiTheme="majorHAnsi" w:hAnsiTheme="majorHAnsi" w:cs="Arial"/>
          <w:sz w:val="22"/>
          <w:szCs w:val="22"/>
        </w:rPr>
        <w:t xml:space="preserve"> followed by </w:t>
      </w:r>
      <w:r w:rsidR="00163705" w:rsidRPr="008803E8">
        <w:rPr>
          <w:rFonts w:asciiTheme="majorHAnsi" w:hAnsiTheme="majorHAnsi" w:cs="Arial"/>
          <w:sz w:val="22"/>
          <w:szCs w:val="22"/>
        </w:rPr>
        <w:t>submission of</w:t>
      </w:r>
      <w:r w:rsidR="000A7F71">
        <w:rPr>
          <w:rFonts w:asciiTheme="majorHAnsi" w:hAnsiTheme="majorHAnsi" w:cs="Arial"/>
          <w:sz w:val="22"/>
          <w:szCs w:val="22"/>
        </w:rPr>
        <w:t xml:space="preserve"> a</w:t>
      </w:r>
      <w:r w:rsidR="00163705" w:rsidRPr="008803E8">
        <w:rPr>
          <w:rFonts w:asciiTheme="majorHAnsi" w:hAnsiTheme="majorHAnsi" w:cs="Arial"/>
          <w:sz w:val="22"/>
          <w:szCs w:val="22"/>
        </w:rPr>
        <w:t xml:space="preserve"> list of suggested improvements to enhance the user’s experience and allow visual material to be utilized in the CoP</w:t>
      </w:r>
      <w:r w:rsidR="000A7F71">
        <w:rPr>
          <w:rFonts w:asciiTheme="majorHAnsi" w:hAnsiTheme="majorHAnsi" w:cs="Arial"/>
          <w:sz w:val="22"/>
          <w:szCs w:val="22"/>
        </w:rPr>
        <w:t xml:space="preserve"> this was further</w:t>
      </w:r>
      <w:r w:rsidR="00F91654">
        <w:rPr>
          <w:rFonts w:asciiTheme="majorHAnsi" w:hAnsiTheme="majorHAnsi" w:cs="Arial"/>
          <w:sz w:val="22"/>
          <w:szCs w:val="22"/>
        </w:rPr>
        <w:t xml:space="preserve"> discussed in detail at a meeting in September 2012</w:t>
      </w:r>
      <w:r>
        <w:rPr>
          <w:rFonts w:asciiTheme="majorHAnsi" w:hAnsiTheme="majorHAnsi" w:cs="Arial"/>
          <w:sz w:val="22"/>
          <w:szCs w:val="22"/>
        </w:rPr>
        <w:t>. The full list of improvements has yet to be implemented</w:t>
      </w:r>
      <w:r w:rsidR="000F4A7D">
        <w:rPr>
          <w:rFonts w:asciiTheme="majorHAnsi" w:hAnsiTheme="majorHAnsi" w:cs="Arial"/>
          <w:sz w:val="22"/>
          <w:szCs w:val="22"/>
        </w:rPr>
        <w:t xml:space="preserve"> and UNESCO </w:t>
      </w:r>
      <w:proofErr w:type="gramStart"/>
      <w:r w:rsidR="000F4A7D">
        <w:rPr>
          <w:rFonts w:asciiTheme="majorHAnsi" w:hAnsiTheme="majorHAnsi" w:cs="Arial"/>
          <w:sz w:val="22"/>
          <w:szCs w:val="22"/>
        </w:rPr>
        <w:t>have</w:t>
      </w:r>
      <w:proofErr w:type="gramEnd"/>
      <w:r w:rsidR="000F4A7D">
        <w:rPr>
          <w:rFonts w:asciiTheme="majorHAnsi" w:hAnsiTheme="majorHAnsi" w:cs="Arial"/>
          <w:sz w:val="22"/>
          <w:szCs w:val="22"/>
        </w:rPr>
        <w:t xml:space="preserve"> requested that they move their CoP to another platform to be developed by an experience</w:t>
      </w:r>
      <w:r w:rsidR="00FE7D73">
        <w:rPr>
          <w:rFonts w:asciiTheme="majorHAnsi" w:hAnsiTheme="majorHAnsi" w:cs="Arial"/>
          <w:sz w:val="22"/>
          <w:szCs w:val="22"/>
        </w:rPr>
        <w:t>d</w:t>
      </w:r>
      <w:r w:rsidR="000F4A7D">
        <w:rPr>
          <w:rFonts w:asciiTheme="majorHAnsi" w:hAnsiTheme="majorHAnsi" w:cs="Arial"/>
          <w:sz w:val="22"/>
          <w:szCs w:val="22"/>
        </w:rPr>
        <w:t xml:space="preserve"> NGO they have </w:t>
      </w:r>
      <w:r w:rsidR="003A2A6A">
        <w:rPr>
          <w:rFonts w:asciiTheme="majorHAnsi" w:hAnsiTheme="majorHAnsi" w:cs="Arial"/>
          <w:sz w:val="22"/>
          <w:szCs w:val="22"/>
        </w:rPr>
        <w:t xml:space="preserve">contact with.  Notwithstanding </w:t>
      </w:r>
      <w:r w:rsidR="00FE7D73">
        <w:rPr>
          <w:rFonts w:asciiTheme="majorHAnsi" w:hAnsiTheme="majorHAnsi" w:cs="Arial"/>
          <w:sz w:val="22"/>
          <w:szCs w:val="22"/>
        </w:rPr>
        <w:t xml:space="preserve">the technical difficulties </w:t>
      </w:r>
      <w:r w:rsidR="000F4A7D">
        <w:rPr>
          <w:rFonts w:asciiTheme="majorHAnsi" w:hAnsiTheme="majorHAnsi" w:cs="Arial"/>
          <w:sz w:val="22"/>
          <w:szCs w:val="22"/>
        </w:rPr>
        <w:t xml:space="preserve">however it has been remarked upon by key stakeholders and the </w:t>
      </w:r>
      <w:r w:rsidR="00F91654">
        <w:rPr>
          <w:rFonts w:asciiTheme="majorHAnsi" w:hAnsiTheme="majorHAnsi" w:cs="Arial"/>
          <w:sz w:val="22"/>
          <w:szCs w:val="22"/>
        </w:rPr>
        <w:t xml:space="preserve">MTE agrees that more could and should be done with regard to online content, experience notes related to the already identified needs, </w:t>
      </w:r>
      <w:r w:rsidR="00DE3C01">
        <w:rPr>
          <w:rFonts w:asciiTheme="majorHAnsi" w:hAnsiTheme="majorHAnsi" w:cs="Arial"/>
          <w:sz w:val="22"/>
          <w:szCs w:val="22"/>
        </w:rPr>
        <w:t xml:space="preserve">and </w:t>
      </w:r>
      <w:r w:rsidR="00D53CA1">
        <w:rPr>
          <w:rFonts w:asciiTheme="majorHAnsi" w:hAnsiTheme="majorHAnsi" w:cs="Arial"/>
          <w:sz w:val="22"/>
          <w:szCs w:val="22"/>
        </w:rPr>
        <w:t xml:space="preserve">more </w:t>
      </w:r>
      <w:r w:rsidR="00DE3C01">
        <w:rPr>
          <w:rFonts w:asciiTheme="majorHAnsi" w:hAnsiTheme="majorHAnsi" w:cs="Arial"/>
          <w:sz w:val="22"/>
          <w:szCs w:val="22"/>
        </w:rPr>
        <w:t xml:space="preserve">frequent direct interaction with projects to elicit participation. </w:t>
      </w:r>
    </w:p>
    <w:p w14:paraId="0F1EBA36" w14:textId="77777777" w:rsidR="007B10C1" w:rsidRDefault="007B10C1" w:rsidP="00A47432">
      <w:pPr>
        <w:autoSpaceDE w:val="0"/>
        <w:autoSpaceDN w:val="0"/>
        <w:adjustRightInd w:val="0"/>
        <w:jc w:val="both"/>
        <w:rPr>
          <w:rFonts w:asciiTheme="majorHAnsi" w:hAnsiTheme="majorHAnsi" w:cs="Arial"/>
          <w:sz w:val="22"/>
          <w:szCs w:val="22"/>
        </w:rPr>
      </w:pPr>
    </w:p>
    <w:p w14:paraId="1E4E52B0" w14:textId="77777777" w:rsidR="00644A25" w:rsidRDefault="00DE3C01" w:rsidP="001B4338">
      <w:pPr>
        <w:widowControl w:val="0"/>
        <w:autoSpaceDE w:val="0"/>
        <w:autoSpaceDN w:val="0"/>
        <w:adjustRightInd w:val="0"/>
        <w:jc w:val="both"/>
        <w:rPr>
          <w:rFonts w:ascii="Helvetica" w:hAnsi="Helvetica" w:cs="Helvetica"/>
          <w:color w:val="104ABC"/>
          <w:lang w:val="en-US"/>
        </w:rPr>
      </w:pPr>
      <w:r>
        <w:rPr>
          <w:rFonts w:asciiTheme="majorHAnsi" w:hAnsiTheme="majorHAnsi" w:cs="Arial"/>
          <w:sz w:val="22"/>
          <w:szCs w:val="22"/>
        </w:rPr>
        <w:t xml:space="preserve">While there has undoubtedly been </w:t>
      </w:r>
      <w:r w:rsidR="000A7F71">
        <w:rPr>
          <w:rFonts w:asciiTheme="majorHAnsi" w:hAnsiTheme="majorHAnsi" w:cs="Arial"/>
          <w:sz w:val="22"/>
          <w:szCs w:val="22"/>
        </w:rPr>
        <w:t xml:space="preserve">some </w:t>
      </w:r>
      <w:r w:rsidR="00995F4E">
        <w:rPr>
          <w:rFonts w:asciiTheme="majorHAnsi" w:hAnsiTheme="majorHAnsi" w:cs="Arial"/>
          <w:sz w:val="22"/>
          <w:szCs w:val="22"/>
        </w:rPr>
        <w:t>success in building engagement outside the bounds of the</w:t>
      </w:r>
      <w:r>
        <w:rPr>
          <w:rFonts w:asciiTheme="majorHAnsi" w:hAnsiTheme="majorHAnsi" w:cs="Arial"/>
          <w:sz w:val="22"/>
          <w:szCs w:val="22"/>
        </w:rPr>
        <w:t xml:space="preserve"> platform</w:t>
      </w:r>
      <w:r w:rsidR="00D53CA1">
        <w:rPr>
          <w:rFonts w:asciiTheme="majorHAnsi" w:hAnsiTheme="majorHAnsi" w:cs="Arial"/>
          <w:sz w:val="22"/>
          <w:szCs w:val="22"/>
        </w:rPr>
        <w:t xml:space="preserve"> through</w:t>
      </w:r>
      <w:r w:rsidR="007B10C1">
        <w:rPr>
          <w:rFonts w:asciiTheme="majorHAnsi" w:hAnsiTheme="majorHAnsi" w:cs="Arial"/>
          <w:sz w:val="22"/>
          <w:szCs w:val="22"/>
        </w:rPr>
        <w:t xml:space="preserve"> collaboration in</w:t>
      </w:r>
      <w:r w:rsidR="00D53CA1">
        <w:rPr>
          <w:rFonts w:asciiTheme="majorHAnsi" w:hAnsiTheme="majorHAnsi" w:cs="Arial"/>
          <w:sz w:val="22"/>
          <w:szCs w:val="22"/>
        </w:rPr>
        <w:t xml:space="preserve"> the face to face activities under component 1</w:t>
      </w:r>
      <w:r>
        <w:rPr>
          <w:rFonts w:asciiTheme="majorHAnsi" w:hAnsiTheme="majorHAnsi" w:cs="Arial"/>
          <w:sz w:val="22"/>
          <w:szCs w:val="22"/>
        </w:rPr>
        <w:t>; p</w:t>
      </w:r>
      <w:r w:rsidR="00995F4E">
        <w:rPr>
          <w:rFonts w:asciiTheme="majorHAnsi" w:hAnsiTheme="majorHAnsi" w:cs="Arial"/>
          <w:sz w:val="22"/>
          <w:szCs w:val="22"/>
        </w:rPr>
        <w:t>roject</w:t>
      </w:r>
      <w:r w:rsidR="00F91654">
        <w:rPr>
          <w:rFonts w:asciiTheme="majorHAnsi" w:hAnsiTheme="majorHAnsi" w:cs="Arial"/>
          <w:sz w:val="22"/>
          <w:szCs w:val="22"/>
        </w:rPr>
        <w:t xml:space="preserve"> learning</w:t>
      </w:r>
      <w:r w:rsidR="00995F4E">
        <w:rPr>
          <w:rFonts w:asciiTheme="majorHAnsi" w:hAnsiTheme="majorHAnsi" w:cs="Arial"/>
          <w:sz w:val="22"/>
          <w:szCs w:val="22"/>
        </w:rPr>
        <w:t xml:space="preserve"> needs have been assessed and delivered at the various workshops and t</w:t>
      </w:r>
      <w:r>
        <w:rPr>
          <w:rFonts w:asciiTheme="majorHAnsi" w:hAnsiTheme="majorHAnsi" w:cs="Arial"/>
          <w:sz w:val="22"/>
          <w:szCs w:val="22"/>
        </w:rPr>
        <w:t>hese have been well received, t</w:t>
      </w:r>
      <w:r w:rsidR="00995F4E">
        <w:rPr>
          <w:rFonts w:asciiTheme="majorHAnsi" w:hAnsiTheme="majorHAnsi" w:cs="Arial"/>
          <w:sz w:val="22"/>
          <w:szCs w:val="22"/>
        </w:rPr>
        <w:t xml:space="preserve">ranslating this success to the online platform has not been </w:t>
      </w:r>
      <w:r w:rsidR="00774253">
        <w:rPr>
          <w:rFonts w:asciiTheme="majorHAnsi" w:hAnsiTheme="majorHAnsi" w:cs="Arial"/>
          <w:sz w:val="22"/>
          <w:szCs w:val="22"/>
        </w:rPr>
        <w:t>successful to date</w:t>
      </w:r>
      <w:r w:rsidR="00995F4E">
        <w:rPr>
          <w:rFonts w:asciiTheme="majorHAnsi" w:hAnsiTheme="majorHAnsi" w:cs="Arial"/>
          <w:sz w:val="22"/>
          <w:szCs w:val="22"/>
        </w:rPr>
        <w:t xml:space="preserve">. It is </w:t>
      </w:r>
      <w:r w:rsidR="00995F4E" w:rsidRPr="00F91654">
        <w:rPr>
          <w:rFonts w:asciiTheme="majorHAnsi" w:hAnsiTheme="majorHAnsi" w:cs="Arial"/>
          <w:sz w:val="22"/>
          <w:szCs w:val="22"/>
        </w:rPr>
        <w:t>clear that getting project staff to participate in online discussions is a</w:t>
      </w:r>
      <w:r w:rsidR="00E72FF7">
        <w:rPr>
          <w:rFonts w:asciiTheme="majorHAnsi" w:hAnsiTheme="majorHAnsi" w:cs="Arial"/>
          <w:sz w:val="22"/>
          <w:szCs w:val="22"/>
        </w:rPr>
        <w:t>n</w:t>
      </w:r>
      <w:r w:rsidR="00995F4E" w:rsidRPr="00F91654">
        <w:rPr>
          <w:rFonts w:asciiTheme="majorHAnsi" w:hAnsiTheme="majorHAnsi" w:cs="Arial"/>
          <w:sz w:val="22"/>
          <w:szCs w:val="22"/>
        </w:rPr>
        <w:t xml:space="preserve"> onerous task and it is interesting to note that in a mini survey carried out by the MTE</w:t>
      </w:r>
      <w:r w:rsidR="00E72FF7">
        <w:rPr>
          <w:rFonts w:asciiTheme="majorHAnsi" w:hAnsiTheme="majorHAnsi" w:cs="Arial"/>
          <w:sz w:val="22"/>
          <w:szCs w:val="22"/>
        </w:rPr>
        <w:t xml:space="preserve"> </w:t>
      </w:r>
      <w:r w:rsidR="00644A25">
        <w:rPr>
          <w:rFonts w:asciiTheme="majorHAnsi" w:hAnsiTheme="majorHAnsi" w:cs="Arial"/>
          <w:sz w:val="22"/>
          <w:szCs w:val="22"/>
        </w:rPr>
        <w:t>which posed the following query: ‘</w:t>
      </w:r>
      <w:r w:rsidR="00644A25" w:rsidRPr="00644A25">
        <w:rPr>
          <w:rFonts w:asciiTheme="majorHAnsi" w:hAnsiTheme="majorHAnsi" w:cs="Helvetica"/>
          <w:i/>
          <w:color w:val="104ABC"/>
          <w:sz w:val="22"/>
          <w:szCs w:val="22"/>
          <w:lang w:val="en-US"/>
        </w:rPr>
        <w:t xml:space="preserve">It is acknowledged by all that Project Managers have a challenging and </w:t>
      </w:r>
      <w:proofErr w:type="gramStart"/>
      <w:r w:rsidR="00644A25" w:rsidRPr="00644A25">
        <w:rPr>
          <w:rFonts w:asciiTheme="majorHAnsi" w:hAnsiTheme="majorHAnsi" w:cs="Helvetica"/>
          <w:i/>
          <w:color w:val="104ABC"/>
          <w:sz w:val="22"/>
          <w:szCs w:val="22"/>
          <w:lang w:val="en-US"/>
        </w:rPr>
        <w:t>often  onerous</w:t>
      </w:r>
      <w:proofErr w:type="gramEnd"/>
      <w:r w:rsidR="00644A25" w:rsidRPr="00644A25">
        <w:rPr>
          <w:rFonts w:asciiTheme="majorHAnsi" w:hAnsiTheme="majorHAnsi" w:cs="Helvetica"/>
          <w:i/>
          <w:color w:val="104ABC"/>
          <w:sz w:val="22"/>
          <w:szCs w:val="22"/>
          <w:lang w:val="en-US"/>
        </w:rPr>
        <w:t xml:space="preserve"> task  to achieve their project objectives in the time available.  This is one reason often cited for lack of participation in the IW</w:t>
      </w:r>
      <w:proofErr w:type="gramStart"/>
      <w:r w:rsidR="00644A25" w:rsidRPr="00644A25">
        <w:rPr>
          <w:rFonts w:asciiTheme="majorHAnsi" w:hAnsiTheme="majorHAnsi" w:cs="Helvetica"/>
          <w:i/>
          <w:color w:val="104ABC"/>
          <w:sz w:val="22"/>
          <w:szCs w:val="22"/>
          <w:lang w:val="en-US"/>
        </w:rPr>
        <w:t>:LEARN</w:t>
      </w:r>
      <w:proofErr w:type="gramEnd"/>
      <w:r w:rsidR="00644A25" w:rsidRPr="00644A25">
        <w:rPr>
          <w:rFonts w:asciiTheme="majorHAnsi" w:hAnsiTheme="majorHAnsi" w:cs="Helvetica"/>
          <w:i/>
          <w:color w:val="104ABC"/>
          <w:sz w:val="22"/>
          <w:szCs w:val="22"/>
          <w:lang w:val="en-US"/>
        </w:rPr>
        <w:t xml:space="preserve"> online CoP platforms.  Do you agree with this statement and if not what changes to the online CoPs would encourage you to participate more?</w:t>
      </w:r>
      <w:r w:rsidR="00644A25">
        <w:rPr>
          <w:rFonts w:ascii="Helvetica" w:hAnsi="Helvetica" w:cs="Helvetica"/>
          <w:color w:val="104ABC"/>
          <w:lang w:val="en-US"/>
        </w:rPr>
        <w:t xml:space="preserve"> </w:t>
      </w:r>
    </w:p>
    <w:p w14:paraId="150010F4" w14:textId="77777777" w:rsidR="00644A25" w:rsidRDefault="00644A25" w:rsidP="00644A25">
      <w:pPr>
        <w:widowControl w:val="0"/>
        <w:autoSpaceDE w:val="0"/>
        <w:autoSpaceDN w:val="0"/>
        <w:adjustRightInd w:val="0"/>
        <w:rPr>
          <w:rFonts w:ascii="Helvetica" w:hAnsi="Helvetica" w:cs="Helvetica"/>
          <w:color w:val="104ABC"/>
          <w:lang w:val="en-US"/>
        </w:rPr>
      </w:pPr>
    </w:p>
    <w:p w14:paraId="0F8B4E57" w14:textId="389559D4" w:rsidR="00163705" w:rsidRDefault="00EF3F84" w:rsidP="00644A25">
      <w:pPr>
        <w:widowControl w:val="0"/>
        <w:autoSpaceDE w:val="0"/>
        <w:autoSpaceDN w:val="0"/>
        <w:adjustRightInd w:val="0"/>
        <w:rPr>
          <w:rFonts w:asciiTheme="majorHAnsi" w:hAnsiTheme="majorHAnsi" w:cs="Arial"/>
          <w:sz w:val="22"/>
          <w:szCs w:val="22"/>
        </w:rPr>
      </w:pPr>
      <w:r>
        <w:rPr>
          <w:rFonts w:asciiTheme="majorHAnsi" w:hAnsiTheme="majorHAnsi" w:cs="Helvetica"/>
          <w:sz w:val="22"/>
          <w:szCs w:val="22"/>
          <w:lang w:val="en-US"/>
        </w:rPr>
        <w:t xml:space="preserve">All who responded were in general agreement with the first part of the statement but often of equal importance was the perceived lack of </w:t>
      </w:r>
      <w:r w:rsidR="00DE3C01">
        <w:rPr>
          <w:rFonts w:asciiTheme="majorHAnsi" w:hAnsiTheme="majorHAnsi" w:cs="Arial"/>
          <w:sz w:val="22"/>
          <w:szCs w:val="22"/>
        </w:rPr>
        <w:t xml:space="preserve">value to the individual or their project </w:t>
      </w:r>
      <w:r w:rsidR="00995F4E" w:rsidRPr="00F91654">
        <w:rPr>
          <w:rFonts w:asciiTheme="majorHAnsi" w:hAnsiTheme="majorHAnsi" w:cs="Arial"/>
          <w:sz w:val="22"/>
          <w:szCs w:val="22"/>
        </w:rPr>
        <w:t>of participation</w:t>
      </w:r>
      <w:r w:rsidR="00DE3C01">
        <w:rPr>
          <w:rFonts w:asciiTheme="majorHAnsi" w:hAnsiTheme="majorHAnsi" w:cs="Arial"/>
          <w:sz w:val="22"/>
          <w:szCs w:val="22"/>
        </w:rPr>
        <w:t xml:space="preserve">. </w:t>
      </w:r>
      <w:r>
        <w:rPr>
          <w:rFonts w:asciiTheme="majorHAnsi" w:hAnsiTheme="majorHAnsi" w:cs="Arial"/>
          <w:sz w:val="22"/>
          <w:szCs w:val="22"/>
        </w:rPr>
        <w:t xml:space="preserve"> </w:t>
      </w:r>
    </w:p>
    <w:p w14:paraId="3258ED80" w14:textId="77777777" w:rsidR="00EF3F84" w:rsidRDefault="00EF3F84" w:rsidP="00A47432">
      <w:pPr>
        <w:autoSpaceDE w:val="0"/>
        <w:autoSpaceDN w:val="0"/>
        <w:adjustRightInd w:val="0"/>
        <w:jc w:val="both"/>
        <w:rPr>
          <w:rFonts w:asciiTheme="majorHAnsi" w:hAnsiTheme="majorHAnsi" w:cs="Arial"/>
          <w:sz w:val="22"/>
          <w:szCs w:val="22"/>
        </w:rPr>
      </w:pPr>
    </w:p>
    <w:p w14:paraId="65AF1BE5" w14:textId="7A1F9C70" w:rsidR="000117C3" w:rsidRDefault="000117C3" w:rsidP="00A47432">
      <w:pPr>
        <w:autoSpaceDE w:val="0"/>
        <w:autoSpaceDN w:val="0"/>
        <w:adjustRightInd w:val="0"/>
        <w:jc w:val="both"/>
        <w:rPr>
          <w:rFonts w:asciiTheme="majorHAnsi" w:hAnsiTheme="majorHAnsi" w:cs="Arial"/>
          <w:sz w:val="22"/>
          <w:szCs w:val="22"/>
        </w:rPr>
      </w:pPr>
      <w:r>
        <w:rPr>
          <w:rFonts w:asciiTheme="majorHAnsi" w:hAnsiTheme="majorHAnsi" w:cs="Arial"/>
          <w:sz w:val="22"/>
          <w:szCs w:val="22"/>
        </w:rPr>
        <w:t>It has also been suggested that more top-down encouragement from the IAs</w:t>
      </w:r>
      <w:r w:rsidR="000A7F71">
        <w:rPr>
          <w:rFonts w:asciiTheme="majorHAnsi" w:hAnsiTheme="majorHAnsi" w:cs="Arial"/>
          <w:sz w:val="22"/>
          <w:szCs w:val="22"/>
        </w:rPr>
        <w:t xml:space="preserve"> (and GEF) </w:t>
      </w:r>
      <w:r>
        <w:rPr>
          <w:rFonts w:asciiTheme="majorHAnsi" w:hAnsiTheme="majorHAnsi" w:cs="Arial"/>
          <w:sz w:val="22"/>
          <w:szCs w:val="22"/>
        </w:rPr>
        <w:t xml:space="preserve">to their project staff to participate would help and while the MTE </w:t>
      </w:r>
      <w:r w:rsidRPr="00205AB6">
        <w:rPr>
          <w:rFonts w:asciiTheme="majorHAnsi" w:hAnsiTheme="majorHAnsi" w:cs="Arial"/>
          <w:sz w:val="22"/>
          <w:szCs w:val="22"/>
        </w:rPr>
        <w:t>agrees</w:t>
      </w:r>
      <w:r w:rsidR="00FE7D73">
        <w:rPr>
          <w:rFonts w:asciiTheme="majorHAnsi" w:hAnsiTheme="majorHAnsi" w:cs="Arial"/>
          <w:sz w:val="22"/>
          <w:szCs w:val="22"/>
        </w:rPr>
        <w:t>,</w:t>
      </w:r>
      <w:r w:rsidRPr="00205AB6">
        <w:rPr>
          <w:rFonts w:asciiTheme="majorHAnsi" w:hAnsiTheme="majorHAnsi" w:cs="Arial"/>
          <w:sz w:val="22"/>
          <w:szCs w:val="22"/>
        </w:rPr>
        <w:t xml:space="preserve"> to some extent</w:t>
      </w:r>
      <w:r w:rsidR="00FE7D73">
        <w:rPr>
          <w:rFonts w:asciiTheme="majorHAnsi" w:hAnsiTheme="majorHAnsi" w:cs="Arial"/>
          <w:sz w:val="22"/>
          <w:szCs w:val="22"/>
        </w:rPr>
        <w:t>,</w:t>
      </w:r>
      <w:r w:rsidRPr="00205AB6">
        <w:rPr>
          <w:rFonts w:asciiTheme="majorHAnsi" w:hAnsiTheme="majorHAnsi" w:cs="Arial"/>
          <w:sz w:val="22"/>
          <w:szCs w:val="22"/>
        </w:rPr>
        <w:t xml:space="preserve"> vol</w:t>
      </w:r>
      <w:r w:rsidR="007B10C1" w:rsidRPr="00205AB6">
        <w:rPr>
          <w:rFonts w:asciiTheme="majorHAnsi" w:hAnsiTheme="majorHAnsi" w:cs="Arial"/>
          <w:sz w:val="22"/>
          <w:szCs w:val="22"/>
        </w:rPr>
        <w:t>untary engagement based on reco</w:t>
      </w:r>
      <w:r w:rsidRPr="00205AB6">
        <w:rPr>
          <w:rFonts w:asciiTheme="majorHAnsi" w:hAnsiTheme="majorHAnsi" w:cs="Arial"/>
          <w:sz w:val="22"/>
          <w:szCs w:val="22"/>
        </w:rPr>
        <w:t xml:space="preserve">gnised value is most desirable if achievable. </w:t>
      </w:r>
      <w:r w:rsidR="00FE7D73">
        <w:rPr>
          <w:rFonts w:asciiTheme="majorHAnsi" w:hAnsiTheme="majorHAnsi" w:cs="Arial"/>
          <w:sz w:val="22"/>
          <w:szCs w:val="22"/>
        </w:rPr>
        <w:t xml:space="preserve">Nevertheless </w:t>
      </w:r>
      <w:r w:rsidR="00205AB6" w:rsidRPr="00205AB6">
        <w:rPr>
          <w:rFonts w:asciiTheme="majorHAnsi" w:hAnsiTheme="majorHAnsi"/>
          <w:sz w:val="22"/>
          <w:szCs w:val="22"/>
        </w:rPr>
        <w:t>to encourage Project Managers to participate more in the CoPs and thereby more thoroughly test the concept before the end of the project it is recommended that GEF-SEC and IAs actively encourage PMs to participate by more clearly explaining the mutual benefits of so doing.  This could be promulgated via the regular e-bulletins prepared by the PCU.</w:t>
      </w:r>
      <w:r>
        <w:rPr>
          <w:rFonts w:asciiTheme="majorHAnsi" w:hAnsiTheme="majorHAnsi" w:cs="Arial"/>
          <w:sz w:val="22"/>
          <w:szCs w:val="22"/>
        </w:rPr>
        <w:t xml:space="preserve"> </w:t>
      </w:r>
      <w:r w:rsidR="00774253">
        <w:rPr>
          <w:rFonts w:asciiTheme="majorHAnsi" w:hAnsiTheme="majorHAnsi" w:cs="Arial"/>
          <w:sz w:val="22"/>
          <w:szCs w:val="22"/>
        </w:rPr>
        <w:t xml:space="preserve">From discussions with project managers it appears that the emphasis on online CoPs has not been demand led but rather perceived as a good idea at the project design stage owing to their potential to provide a more cost effective and sustainable means of interaction among projects. </w:t>
      </w:r>
      <w:r w:rsidR="00EF3F84">
        <w:rPr>
          <w:rFonts w:asciiTheme="majorHAnsi" w:hAnsiTheme="majorHAnsi" w:cs="Arial"/>
          <w:sz w:val="22"/>
          <w:szCs w:val="22"/>
        </w:rPr>
        <w:t xml:space="preserve"> </w:t>
      </w:r>
      <w:r w:rsidR="00FE7D73">
        <w:rPr>
          <w:rFonts w:asciiTheme="majorHAnsi" w:hAnsiTheme="majorHAnsi" w:cs="Arial"/>
          <w:sz w:val="22"/>
          <w:szCs w:val="22"/>
        </w:rPr>
        <w:t>It is notable that the “Discussions Forums” set up under previous phases of IW</w:t>
      </w:r>
      <w:proofErr w:type="gramStart"/>
      <w:r w:rsidR="00FE7D73">
        <w:rPr>
          <w:rFonts w:asciiTheme="majorHAnsi" w:hAnsiTheme="majorHAnsi" w:cs="Arial"/>
          <w:sz w:val="22"/>
          <w:szCs w:val="22"/>
        </w:rPr>
        <w:t>:LEARN</w:t>
      </w:r>
      <w:proofErr w:type="gramEnd"/>
      <w:r w:rsidR="00FE7D73">
        <w:rPr>
          <w:rFonts w:asciiTheme="majorHAnsi" w:hAnsiTheme="majorHAnsi" w:cs="Arial"/>
          <w:sz w:val="22"/>
          <w:szCs w:val="22"/>
        </w:rPr>
        <w:t xml:space="preserve">, and which can be considered precursors to the CoPs had similar lack of success. </w:t>
      </w:r>
    </w:p>
    <w:p w14:paraId="0027B7F3" w14:textId="77777777" w:rsidR="00E72FF7" w:rsidRDefault="00E72FF7" w:rsidP="00A47432">
      <w:pPr>
        <w:autoSpaceDE w:val="0"/>
        <w:autoSpaceDN w:val="0"/>
        <w:adjustRightInd w:val="0"/>
        <w:jc w:val="both"/>
        <w:rPr>
          <w:rFonts w:asciiTheme="majorHAnsi" w:hAnsiTheme="majorHAnsi" w:cs="Arial"/>
          <w:sz w:val="22"/>
          <w:szCs w:val="22"/>
        </w:rPr>
      </w:pPr>
    </w:p>
    <w:p w14:paraId="08AE2101" w14:textId="42A6FE1F" w:rsidR="00A47432" w:rsidRDefault="0032123D" w:rsidP="00A47432">
      <w:pPr>
        <w:rPr>
          <w:rFonts w:cs="Arial"/>
          <w:u w:val="single"/>
        </w:rPr>
      </w:pPr>
      <w:r>
        <w:rPr>
          <w:rFonts w:asciiTheme="majorHAnsi" w:hAnsiTheme="majorHAnsi" w:cs="Arial"/>
          <w:sz w:val="22"/>
          <w:szCs w:val="22"/>
        </w:rPr>
        <w:t xml:space="preserve">During deliberations on the CoPs during the SCM in January 2013 a number of </w:t>
      </w:r>
      <w:r w:rsidR="00432473">
        <w:rPr>
          <w:rFonts w:asciiTheme="majorHAnsi" w:hAnsiTheme="majorHAnsi" w:cs="Arial"/>
          <w:sz w:val="22"/>
          <w:szCs w:val="22"/>
        </w:rPr>
        <w:t xml:space="preserve">actions were agreed </w:t>
      </w:r>
      <w:r w:rsidR="007B10C1">
        <w:rPr>
          <w:rFonts w:asciiTheme="majorHAnsi" w:hAnsiTheme="majorHAnsi" w:cs="Arial"/>
          <w:sz w:val="22"/>
          <w:szCs w:val="22"/>
        </w:rPr>
        <w:t xml:space="preserve">key among which in the </w:t>
      </w:r>
      <w:r w:rsidR="00E72FF7">
        <w:rPr>
          <w:rFonts w:asciiTheme="majorHAnsi" w:hAnsiTheme="majorHAnsi" w:cs="Arial"/>
          <w:sz w:val="22"/>
          <w:szCs w:val="22"/>
        </w:rPr>
        <w:t>view</w:t>
      </w:r>
      <w:r w:rsidR="007B10C1">
        <w:rPr>
          <w:rFonts w:asciiTheme="majorHAnsi" w:hAnsiTheme="majorHAnsi" w:cs="Arial"/>
          <w:sz w:val="22"/>
          <w:szCs w:val="22"/>
        </w:rPr>
        <w:t xml:space="preserve"> of the MTE a</w:t>
      </w:r>
      <w:r w:rsidR="00A47432">
        <w:rPr>
          <w:rFonts w:asciiTheme="majorHAnsi" w:hAnsiTheme="majorHAnsi" w:cs="Arial"/>
          <w:sz w:val="22"/>
          <w:szCs w:val="22"/>
        </w:rPr>
        <w:t xml:space="preserve">re: </w:t>
      </w:r>
    </w:p>
    <w:p w14:paraId="6EFF23B7" w14:textId="77777777" w:rsidR="00A47432" w:rsidRPr="006520D5" w:rsidRDefault="00A47432" w:rsidP="009F2DB6">
      <w:pPr>
        <w:rPr>
          <w:rFonts w:cs="Arial"/>
          <w:u w:val="single"/>
        </w:rPr>
      </w:pPr>
    </w:p>
    <w:p w14:paraId="56CC34A3" w14:textId="2AA576EB" w:rsidR="00A47432" w:rsidRPr="009F2DB6" w:rsidRDefault="00A47432" w:rsidP="00623323">
      <w:pPr>
        <w:pStyle w:val="ListParagraph"/>
        <w:numPr>
          <w:ilvl w:val="0"/>
          <w:numId w:val="8"/>
        </w:numPr>
        <w:autoSpaceDE w:val="0"/>
        <w:autoSpaceDN w:val="0"/>
        <w:adjustRightInd w:val="0"/>
        <w:rPr>
          <w:rFonts w:asciiTheme="majorHAnsi" w:hAnsiTheme="majorHAnsi" w:cs="Arial"/>
        </w:rPr>
      </w:pPr>
      <w:r w:rsidRPr="009F2DB6">
        <w:rPr>
          <w:rFonts w:asciiTheme="majorHAnsi" w:hAnsiTheme="majorHAnsi" w:cs="Arial"/>
        </w:rPr>
        <w:t>Link participation in twinnings &amp; global dialogues to participation in the communities of practice.</w:t>
      </w:r>
    </w:p>
    <w:p w14:paraId="22DF194C" w14:textId="53E1980B" w:rsidR="00A47432" w:rsidRPr="009F2DB6" w:rsidRDefault="00A47432" w:rsidP="00623323">
      <w:pPr>
        <w:pStyle w:val="ListParagraph"/>
        <w:numPr>
          <w:ilvl w:val="0"/>
          <w:numId w:val="8"/>
        </w:numPr>
        <w:autoSpaceDE w:val="0"/>
        <w:autoSpaceDN w:val="0"/>
        <w:adjustRightInd w:val="0"/>
        <w:rPr>
          <w:rFonts w:asciiTheme="majorHAnsi" w:hAnsiTheme="majorHAnsi" w:cs="Arial"/>
        </w:rPr>
      </w:pPr>
      <w:r w:rsidRPr="009F2DB6">
        <w:rPr>
          <w:rFonts w:asciiTheme="majorHAnsi" w:hAnsiTheme="majorHAnsi" w:cs="Arial"/>
        </w:rPr>
        <w:t xml:space="preserve">ICT team to complete improvements to the Community space by 22 Feb. However if improvements are not sufficiently completed, UNESCO will move the Groundwater CoP </w:t>
      </w:r>
      <w:proofErr w:type="gramStart"/>
      <w:r w:rsidRPr="009F2DB6">
        <w:rPr>
          <w:rFonts w:asciiTheme="majorHAnsi" w:hAnsiTheme="majorHAnsi" w:cs="Arial"/>
        </w:rPr>
        <w:t>to  another</w:t>
      </w:r>
      <w:proofErr w:type="gramEnd"/>
      <w:r w:rsidRPr="009F2DB6">
        <w:rPr>
          <w:rFonts w:asciiTheme="majorHAnsi" w:hAnsiTheme="majorHAnsi" w:cs="Arial"/>
        </w:rPr>
        <w:t xml:space="preserve"> platform which they have identified and believe is more suitable. </w:t>
      </w:r>
    </w:p>
    <w:p w14:paraId="26F359D2" w14:textId="13335420" w:rsidR="00D16DFD" w:rsidRPr="009F2DB6" w:rsidRDefault="00A47432" w:rsidP="00623323">
      <w:pPr>
        <w:pStyle w:val="ListParagraph"/>
        <w:numPr>
          <w:ilvl w:val="0"/>
          <w:numId w:val="8"/>
        </w:numPr>
        <w:autoSpaceDE w:val="0"/>
        <w:autoSpaceDN w:val="0"/>
        <w:adjustRightInd w:val="0"/>
        <w:rPr>
          <w:rFonts w:asciiTheme="majorHAnsi" w:hAnsiTheme="majorHAnsi" w:cs="Arial"/>
        </w:rPr>
      </w:pPr>
      <w:r w:rsidRPr="009F2DB6">
        <w:rPr>
          <w:rFonts w:asciiTheme="majorHAnsi" w:hAnsiTheme="majorHAnsi" w:cs="Arial"/>
        </w:rPr>
        <w:t xml:space="preserve">IUCN to prepare a schedule of content to be showcased on the Community platform.  This will include a monthly topic of conversation, led by an expert on a specific topic to </w:t>
      </w:r>
      <w:r w:rsidR="00E22628" w:rsidRPr="009F2DB6">
        <w:rPr>
          <w:rFonts w:asciiTheme="majorHAnsi" w:hAnsiTheme="majorHAnsi" w:cs="Arial"/>
        </w:rPr>
        <w:t>catalyse</w:t>
      </w:r>
      <w:r w:rsidRPr="009F2DB6">
        <w:rPr>
          <w:rFonts w:asciiTheme="majorHAnsi" w:hAnsiTheme="majorHAnsi" w:cs="Arial"/>
        </w:rPr>
        <w:t xml:space="preserve"> participation.</w:t>
      </w:r>
    </w:p>
    <w:p w14:paraId="6FCFFB3F" w14:textId="3A7C0E87" w:rsidR="00D16DFD" w:rsidRPr="00A92FCD" w:rsidRDefault="00D16DFD" w:rsidP="00290862">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A92FCD">
        <w:rPr>
          <w:rFonts w:ascii="Calibri" w:hAnsi="Calibri"/>
          <w:color w:val="3366FF"/>
          <w:sz w:val="22"/>
          <w:szCs w:val="22"/>
        </w:rPr>
        <w:t>Sub-component 2a: Groundwater Community of Practices</w:t>
      </w:r>
      <w:r w:rsidR="00FD6F77" w:rsidRPr="00A92FCD">
        <w:rPr>
          <w:rFonts w:ascii="Calibri" w:hAnsi="Calibri"/>
          <w:color w:val="3366FF"/>
          <w:sz w:val="22"/>
          <w:szCs w:val="22"/>
        </w:rPr>
        <w:t xml:space="preserve">. Lead Partner UNESCO  </w:t>
      </w:r>
    </w:p>
    <w:p w14:paraId="07BB3DE9" w14:textId="77777777" w:rsidR="00774253" w:rsidRPr="00A92FCD" w:rsidRDefault="00C8437D" w:rsidP="00290862">
      <w:pPr>
        <w:pBdr>
          <w:top w:val="single" w:sz="4" w:space="1" w:color="auto"/>
          <w:left w:val="single" w:sz="4" w:space="4" w:color="auto"/>
          <w:bottom w:val="single" w:sz="4" w:space="1" w:color="auto"/>
          <w:right w:val="single" w:sz="4" w:space="4" w:color="auto"/>
        </w:pBdr>
        <w:shd w:val="clear" w:color="auto" w:fill="EEECE1" w:themeFill="background2"/>
        <w:spacing w:after="60"/>
        <w:jc w:val="both"/>
        <w:rPr>
          <w:rFonts w:ascii="Calibri" w:hAnsi="Calibri"/>
          <w:b/>
          <w:color w:val="3366FF"/>
          <w:sz w:val="22"/>
          <w:szCs w:val="22"/>
          <w:lang w:eastAsia="el-GR"/>
        </w:rPr>
      </w:pPr>
      <w:r w:rsidRPr="00A92FCD">
        <w:rPr>
          <w:rFonts w:ascii="Calibri" w:hAnsi="Calibri"/>
          <w:color w:val="3366FF"/>
          <w:sz w:val="22"/>
          <w:szCs w:val="22"/>
          <w:lang w:eastAsia="el-GR"/>
        </w:rPr>
        <w:t xml:space="preserve">Expected </w:t>
      </w:r>
      <w:r w:rsidRPr="00A92FCD">
        <w:rPr>
          <w:rFonts w:ascii="Calibri" w:hAnsi="Calibri"/>
          <w:b/>
          <w:color w:val="3366FF"/>
          <w:sz w:val="22"/>
          <w:szCs w:val="22"/>
          <w:lang w:eastAsia="el-GR"/>
        </w:rPr>
        <w:t xml:space="preserve">Outputs: </w:t>
      </w:r>
    </w:p>
    <w:p w14:paraId="330E4018" w14:textId="7B358F26" w:rsidR="004125FD" w:rsidRPr="0040711B" w:rsidRDefault="00FD6F77" w:rsidP="00FD6F77">
      <w:pPr>
        <w:pBdr>
          <w:top w:val="single" w:sz="4" w:space="1" w:color="auto"/>
          <w:left w:val="single" w:sz="4" w:space="4" w:color="auto"/>
          <w:bottom w:val="single" w:sz="4" w:space="1" w:color="auto"/>
          <w:right w:val="single" w:sz="4" w:space="4" w:color="auto"/>
        </w:pBdr>
        <w:shd w:val="clear" w:color="auto" w:fill="EEECE1" w:themeFill="background2"/>
        <w:spacing w:after="60"/>
        <w:jc w:val="both"/>
        <w:rPr>
          <w:rFonts w:ascii="Calibri" w:hAnsi="Calibri"/>
          <w:color w:val="3366FF"/>
          <w:sz w:val="22"/>
          <w:szCs w:val="22"/>
          <w:lang w:eastAsia="el-GR"/>
        </w:rPr>
      </w:pPr>
      <w:r>
        <w:rPr>
          <w:rFonts w:ascii="Calibri" w:hAnsi="Calibri"/>
          <w:color w:val="3366FF"/>
          <w:sz w:val="22"/>
          <w:szCs w:val="22"/>
          <w:lang w:eastAsia="el-GR"/>
        </w:rPr>
        <w:t xml:space="preserve">i) </w:t>
      </w:r>
      <w:r w:rsidR="004125FD" w:rsidRPr="0040711B">
        <w:rPr>
          <w:rFonts w:ascii="Calibri" w:hAnsi="Calibri"/>
          <w:color w:val="3366FF"/>
          <w:sz w:val="22"/>
          <w:szCs w:val="22"/>
          <w:lang w:eastAsia="el-GR"/>
        </w:rPr>
        <w:t>Functioning and facilitated global Community of Practice (CoP), and regional dialogues linking GEF groundwater projects with surfa</w:t>
      </w:r>
      <w:r w:rsidR="00C8437D" w:rsidRPr="0040711B">
        <w:rPr>
          <w:rFonts w:ascii="Calibri" w:hAnsi="Calibri"/>
          <w:color w:val="3366FF"/>
          <w:sz w:val="22"/>
          <w:szCs w:val="22"/>
          <w:lang w:eastAsia="el-GR"/>
        </w:rPr>
        <w:t xml:space="preserve">ce and coastal environment - </w:t>
      </w:r>
    </w:p>
    <w:p w14:paraId="44BDA24C" w14:textId="50C1A801" w:rsidR="004125FD" w:rsidRPr="0040711B" w:rsidRDefault="00FD6F77" w:rsidP="00FD6F77">
      <w:pPr>
        <w:pBdr>
          <w:top w:val="single" w:sz="4" w:space="1" w:color="auto"/>
          <w:left w:val="single" w:sz="4" w:space="4" w:color="auto"/>
          <w:bottom w:val="single" w:sz="4" w:space="1" w:color="auto"/>
          <w:right w:val="single" w:sz="4" w:space="4" w:color="auto"/>
        </w:pBdr>
        <w:shd w:val="clear" w:color="auto" w:fill="EEECE1" w:themeFill="background2"/>
        <w:spacing w:after="60"/>
        <w:jc w:val="both"/>
        <w:rPr>
          <w:rFonts w:ascii="Calibri" w:hAnsi="Calibri"/>
          <w:color w:val="3366FF"/>
          <w:sz w:val="22"/>
          <w:szCs w:val="22"/>
          <w:lang w:eastAsia="el-GR"/>
        </w:rPr>
      </w:pPr>
      <w:r>
        <w:rPr>
          <w:rFonts w:ascii="Calibri" w:hAnsi="Calibri"/>
          <w:color w:val="3366FF"/>
          <w:sz w:val="22"/>
          <w:szCs w:val="22"/>
          <w:lang w:eastAsia="el-GR"/>
        </w:rPr>
        <w:t xml:space="preserve">ii) </w:t>
      </w:r>
      <w:r w:rsidR="004125FD" w:rsidRPr="0040711B">
        <w:rPr>
          <w:rFonts w:ascii="Calibri" w:hAnsi="Calibri"/>
          <w:color w:val="3366FF"/>
          <w:sz w:val="22"/>
          <w:szCs w:val="22"/>
          <w:lang w:eastAsia="el-GR"/>
        </w:rPr>
        <w:t>Dialogue with regional focus (Africa, Asia and the Pacific, Latin America and SIDS) facilitated between GEF groundwater projects and ongoing relevant efforts</w:t>
      </w:r>
    </w:p>
    <w:p w14:paraId="3A0825AF" w14:textId="30570A4D" w:rsidR="004125FD" w:rsidRPr="0040711B" w:rsidRDefault="00FD6F77" w:rsidP="00FD6F77">
      <w:pPr>
        <w:pBdr>
          <w:top w:val="single" w:sz="4" w:space="1" w:color="auto"/>
          <w:left w:val="single" w:sz="4" w:space="4" w:color="auto"/>
          <w:bottom w:val="single" w:sz="4" w:space="1" w:color="auto"/>
          <w:right w:val="single" w:sz="4" w:space="4" w:color="auto"/>
        </w:pBdr>
        <w:shd w:val="clear" w:color="auto" w:fill="EEECE1" w:themeFill="background2"/>
        <w:spacing w:after="60"/>
        <w:jc w:val="both"/>
        <w:rPr>
          <w:rFonts w:ascii="Calibri" w:hAnsi="Calibri"/>
          <w:color w:val="3366FF"/>
          <w:sz w:val="22"/>
          <w:szCs w:val="22"/>
          <w:lang w:eastAsia="el-GR"/>
        </w:rPr>
      </w:pPr>
      <w:r>
        <w:rPr>
          <w:rFonts w:ascii="Calibri" w:hAnsi="Calibri"/>
          <w:color w:val="3366FF"/>
          <w:sz w:val="22"/>
          <w:szCs w:val="22"/>
          <w:lang w:eastAsia="el-GR"/>
        </w:rPr>
        <w:t xml:space="preserve">iii) </w:t>
      </w:r>
      <w:r w:rsidR="004125FD" w:rsidRPr="0040711B">
        <w:rPr>
          <w:rFonts w:ascii="Calibri" w:hAnsi="Calibri"/>
          <w:color w:val="3366FF"/>
          <w:sz w:val="22"/>
          <w:szCs w:val="22"/>
          <w:lang w:eastAsia="el-GR"/>
        </w:rPr>
        <w:t>Experience notes, policy briefs, special articles and case studies on good practices for groundwater management</w:t>
      </w:r>
    </w:p>
    <w:p w14:paraId="60C99E96" w14:textId="77777777" w:rsidR="00D16DFD" w:rsidRPr="0040711B" w:rsidRDefault="00D16DFD" w:rsidP="00D16DFD">
      <w:pPr>
        <w:autoSpaceDE w:val="0"/>
        <w:autoSpaceDN w:val="0"/>
        <w:adjustRightInd w:val="0"/>
        <w:rPr>
          <w:rFonts w:ascii="Calibri" w:hAnsi="Calibri"/>
          <w:b/>
          <w:color w:val="3366FF"/>
          <w:sz w:val="22"/>
          <w:szCs w:val="22"/>
        </w:rPr>
      </w:pPr>
    </w:p>
    <w:p w14:paraId="34945A55" w14:textId="306E48E2" w:rsidR="0007329E" w:rsidRPr="00F91654" w:rsidRDefault="005D1989" w:rsidP="00155694">
      <w:pPr>
        <w:jc w:val="both"/>
        <w:rPr>
          <w:rFonts w:asciiTheme="majorHAnsi" w:hAnsiTheme="majorHAnsi" w:cs="Arial"/>
          <w:sz w:val="22"/>
          <w:szCs w:val="22"/>
        </w:rPr>
      </w:pPr>
      <w:r w:rsidRPr="008803E8">
        <w:rPr>
          <w:rFonts w:asciiTheme="majorHAnsi" w:hAnsiTheme="majorHAnsi" w:cs="Arial"/>
          <w:sz w:val="22"/>
          <w:szCs w:val="22"/>
        </w:rPr>
        <w:t>A good deal of work has already been done under t</w:t>
      </w:r>
      <w:r w:rsidR="00FE7D73">
        <w:rPr>
          <w:rFonts w:asciiTheme="majorHAnsi" w:hAnsiTheme="majorHAnsi" w:cs="Arial"/>
          <w:sz w:val="22"/>
          <w:szCs w:val="22"/>
        </w:rPr>
        <w:t xml:space="preserve">his subcomponent led by UNESCO </w:t>
      </w:r>
      <w:proofErr w:type="gramStart"/>
      <w:r w:rsidRPr="008803E8">
        <w:rPr>
          <w:rFonts w:asciiTheme="majorHAnsi" w:hAnsiTheme="majorHAnsi" w:cs="Arial"/>
          <w:sz w:val="22"/>
          <w:szCs w:val="22"/>
        </w:rPr>
        <w:t xml:space="preserve">but </w:t>
      </w:r>
      <w:r w:rsidR="00FD6F77">
        <w:rPr>
          <w:rFonts w:asciiTheme="majorHAnsi" w:hAnsiTheme="majorHAnsi" w:cs="Arial"/>
          <w:sz w:val="22"/>
          <w:szCs w:val="22"/>
        </w:rPr>
        <w:t xml:space="preserve"> the</w:t>
      </w:r>
      <w:proofErr w:type="gramEnd"/>
      <w:r w:rsidR="00FD6F77">
        <w:rPr>
          <w:rFonts w:asciiTheme="majorHAnsi" w:hAnsiTheme="majorHAnsi" w:cs="Arial"/>
          <w:sz w:val="22"/>
          <w:szCs w:val="22"/>
        </w:rPr>
        <w:t xml:space="preserve"> lack of traction of the online CoP which is a </w:t>
      </w:r>
      <w:r w:rsidRPr="008803E8">
        <w:rPr>
          <w:rFonts w:asciiTheme="majorHAnsi" w:hAnsiTheme="majorHAnsi" w:cs="Arial"/>
          <w:sz w:val="22"/>
          <w:szCs w:val="22"/>
        </w:rPr>
        <w:t xml:space="preserve">key output </w:t>
      </w:r>
      <w:r w:rsidR="00FD6F77">
        <w:rPr>
          <w:rFonts w:asciiTheme="majorHAnsi" w:hAnsiTheme="majorHAnsi" w:cs="Arial"/>
          <w:sz w:val="22"/>
          <w:szCs w:val="22"/>
        </w:rPr>
        <w:t xml:space="preserve">leads the MTE to deem this sub-component </w:t>
      </w:r>
      <w:r w:rsidRPr="008803E8">
        <w:rPr>
          <w:rFonts w:asciiTheme="majorHAnsi" w:hAnsiTheme="majorHAnsi" w:cs="Arial"/>
          <w:sz w:val="22"/>
          <w:szCs w:val="22"/>
        </w:rPr>
        <w:t xml:space="preserve"> </w:t>
      </w:r>
      <w:r w:rsidR="00FD6F77">
        <w:rPr>
          <w:rFonts w:asciiTheme="majorHAnsi" w:hAnsiTheme="majorHAnsi" w:cs="Arial"/>
          <w:sz w:val="22"/>
          <w:szCs w:val="22"/>
        </w:rPr>
        <w:t>as</w:t>
      </w:r>
      <w:r w:rsidRPr="008803E8">
        <w:rPr>
          <w:rFonts w:asciiTheme="majorHAnsi" w:hAnsiTheme="majorHAnsi" w:cs="Arial"/>
          <w:sz w:val="22"/>
          <w:szCs w:val="22"/>
        </w:rPr>
        <w:t xml:space="preserve"> </w:t>
      </w:r>
      <w:r w:rsidRPr="008803E8">
        <w:rPr>
          <w:rFonts w:asciiTheme="majorHAnsi" w:hAnsiTheme="majorHAnsi" w:cs="Arial"/>
          <w:b/>
          <w:sz w:val="22"/>
          <w:szCs w:val="22"/>
        </w:rPr>
        <w:t xml:space="preserve">Moderately </w:t>
      </w:r>
      <w:r w:rsidR="003A4ADA">
        <w:rPr>
          <w:rFonts w:asciiTheme="majorHAnsi" w:hAnsiTheme="majorHAnsi" w:cs="Arial"/>
          <w:b/>
          <w:sz w:val="22"/>
          <w:szCs w:val="22"/>
        </w:rPr>
        <w:t>Uns</w:t>
      </w:r>
      <w:r w:rsidRPr="008803E8">
        <w:rPr>
          <w:rFonts w:asciiTheme="majorHAnsi" w:hAnsiTheme="majorHAnsi" w:cs="Arial"/>
          <w:b/>
          <w:sz w:val="22"/>
          <w:szCs w:val="22"/>
        </w:rPr>
        <w:t>atisfactory</w:t>
      </w:r>
      <w:r w:rsidR="00FD6F77">
        <w:rPr>
          <w:rFonts w:asciiTheme="majorHAnsi" w:hAnsiTheme="majorHAnsi" w:cs="Arial"/>
          <w:sz w:val="22"/>
          <w:szCs w:val="22"/>
        </w:rPr>
        <w:t xml:space="preserve">. </w:t>
      </w:r>
      <w:r w:rsidR="004E380E" w:rsidRPr="008803E8">
        <w:rPr>
          <w:rFonts w:asciiTheme="majorHAnsi" w:hAnsiTheme="majorHAnsi" w:cs="Arial"/>
          <w:sz w:val="22"/>
          <w:szCs w:val="22"/>
        </w:rPr>
        <w:t>The online CoP was established on the IW LEARN platform</w:t>
      </w:r>
      <w:r w:rsidR="008803E8" w:rsidRPr="008803E8">
        <w:rPr>
          <w:rFonts w:asciiTheme="majorHAnsi" w:hAnsiTheme="majorHAnsi" w:cs="Arial"/>
          <w:sz w:val="22"/>
          <w:szCs w:val="22"/>
        </w:rPr>
        <w:t xml:space="preserve"> with some delay and launched at IWC6 in October of 2011. </w:t>
      </w:r>
      <w:r w:rsidR="004E380E" w:rsidRPr="008803E8">
        <w:rPr>
          <w:rFonts w:asciiTheme="majorHAnsi" w:hAnsiTheme="majorHAnsi" w:cs="Arial"/>
          <w:sz w:val="22"/>
          <w:szCs w:val="22"/>
        </w:rPr>
        <w:t>Currently</w:t>
      </w:r>
      <w:r w:rsidR="00FE7D73">
        <w:rPr>
          <w:rFonts w:asciiTheme="majorHAnsi" w:hAnsiTheme="majorHAnsi" w:cs="Arial"/>
          <w:sz w:val="22"/>
          <w:szCs w:val="22"/>
        </w:rPr>
        <w:t xml:space="preserve"> it</w:t>
      </w:r>
      <w:r w:rsidR="004E380E" w:rsidRPr="008803E8">
        <w:rPr>
          <w:rFonts w:asciiTheme="majorHAnsi" w:hAnsiTheme="majorHAnsi" w:cs="Arial"/>
          <w:sz w:val="22"/>
          <w:szCs w:val="22"/>
        </w:rPr>
        <w:t xml:space="preserve"> has </w:t>
      </w:r>
      <w:r w:rsidR="008803E8" w:rsidRPr="008803E8">
        <w:rPr>
          <w:rFonts w:asciiTheme="majorHAnsi" w:hAnsiTheme="majorHAnsi" w:cs="Arial"/>
          <w:sz w:val="22"/>
          <w:szCs w:val="22"/>
        </w:rPr>
        <w:t xml:space="preserve">only 37 members and very limited activity i.e. 10 posts, the last being in September of 2012 </w:t>
      </w:r>
      <w:r w:rsidR="00FE7D73">
        <w:rPr>
          <w:rFonts w:asciiTheme="majorHAnsi" w:hAnsiTheme="majorHAnsi" w:cs="Arial"/>
          <w:sz w:val="22"/>
          <w:szCs w:val="22"/>
        </w:rPr>
        <w:t xml:space="preserve">and </w:t>
      </w:r>
      <w:r w:rsidR="008803E8" w:rsidRPr="008803E8">
        <w:rPr>
          <w:rFonts w:asciiTheme="majorHAnsi" w:hAnsiTheme="majorHAnsi" w:cs="Arial"/>
          <w:sz w:val="22"/>
          <w:szCs w:val="22"/>
        </w:rPr>
        <w:t xml:space="preserve">this in spite of </w:t>
      </w:r>
      <w:r w:rsidR="000A7F71">
        <w:rPr>
          <w:rFonts w:asciiTheme="majorHAnsi" w:hAnsiTheme="majorHAnsi" w:cs="Arial"/>
          <w:sz w:val="22"/>
          <w:szCs w:val="22"/>
        </w:rPr>
        <w:t xml:space="preserve">some </w:t>
      </w:r>
      <w:r w:rsidR="008803E8" w:rsidRPr="008803E8">
        <w:rPr>
          <w:rFonts w:asciiTheme="majorHAnsi" w:hAnsiTheme="majorHAnsi" w:cs="Arial"/>
          <w:sz w:val="22"/>
          <w:szCs w:val="22"/>
        </w:rPr>
        <w:t>UNESCO-IHP proactive f</w:t>
      </w:r>
      <w:r w:rsidR="00163705">
        <w:rPr>
          <w:rFonts w:asciiTheme="majorHAnsi" w:hAnsiTheme="majorHAnsi" w:cs="Arial"/>
          <w:sz w:val="22"/>
          <w:szCs w:val="22"/>
        </w:rPr>
        <w:t>acilitation and outreach at num</w:t>
      </w:r>
      <w:r w:rsidR="008803E8" w:rsidRPr="008803E8">
        <w:rPr>
          <w:rFonts w:asciiTheme="majorHAnsi" w:hAnsiTheme="majorHAnsi" w:cs="Arial"/>
          <w:sz w:val="22"/>
          <w:szCs w:val="22"/>
        </w:rPr>
        <w:t>erous events</w:t>
      </w:r>
      <w:r w:rsidR="000A7F71">
        <w:rPr>
          <w:rFonts w:asciiTheme="majorHAnsi" w:hAnsiTheme="majorHAnsi" w:cs="Arial"/>
          <w:sz w:val="22"/>
          <w:szCs w:val="22"/>
        </w:rPr>
        <w:t xml:space="preserve">, </w:t>
      </w:r>
      <w:r w:rsidR="00521D95">
        <w:rPr>
          <w:rFonts w:asciiTheme="majorHAnsi" w:hAnsiTheme="majorHAnsi" w:cs="Arial"/>
          <w:sz w:val="22"/>
          <w:szCs w:val="22"/>
        </w:rPr>
        <w:t>(</w:t>
      </w:r>
      <w:r w:rsidR="000A7F71">
        <w:rPr>
          <w:rFonts w:asciiTheme="majorHAnsi" w:hAnsiTheme="majorHAnsi" w:cs="Arial"/>
          <w:sz w:val="22"/>
          <w:szCs w:val="22"/>
        </w:rPr>
        <w:t>although six experience notes that have been prepared have yet to be posted</w:t>
      </w:r>
      <w:r w:rsidR="00521D95">
        <w:rPr>
          <w:rFonts w:asciiTheme="majorHAnsi" w:hAnsiTheme="majorHAnsi" w:cs="Arial"/>
          <w:sz w:val="22"/>
          <w:szCs w:val="22"/>
        </w:rPr>
        <w:t>)</w:t>
      </w:r>
      <w:r w:rsidR="000A7F71">
        <w:rPr>
          <w:rFonts w:asciiTheme="majorHAnsi" w:hAnsiTheme="majorHAnsi" w:cs="Arial"/>
          <w:sz w:val="22"/>
          <w:szCs w:val="22"/>
        </w:rPr>
        <w:t xml:space="preserve">. </w:t>
      </w:r>
      <w:r w:rsidR="008803E8" w:rsidRPr="008803E8">
        <w:rPr>
          <w:rFonts w:asciiTheme="majorHAnsi" w:hAnsiTheme="majorHAnsi" w:cs="Arial"/>
          <w:sz w:val="22"/>
          <w:szCs w:val="22"/>
        </w:rPr>
        <w:t xml:space="preserve">For example the </w:t>
      </w:r>
      <w:r w:rsidR="0007329E" w:rsidRPr="008803E8">
        <w:rPr>
          <w:rFonts w:asciiTheme="majorHAnsi" w:hAnsiTheme="majorHAnsi" w:cs="Arial"/>
          <w:sz w:val="22"/>
          <w:szCs w:val="22"/>
        </w:rPr>
        <w:t>Joint session conducted with IUCN at WWF to present</w:t>
      </w:r>
      <w:r w:rsidR="008803E8" w:rsidRPr="008803E8">
        <w:rPr>
          <w:rFonts w:asciiTheme="majorHAnsi" w:hAnsiTheme="majorHAnsi" w:cs="Arial"/>
          <w:sz w:val="22"/>
          <w:szCs w:val="22"/>
        </w:rPr>
        <w:t xml:space="preserve"> both GW and SFW cops with </w:t>
      </w:r>
      <w:r w:rsidR="0007329E" w:rsidRPr="008803E8">
        <w:rPr>
          <w:rFonts w:asciiTheme="majorHAnsi" w:hAnsiTheme="majorHAnsi" w:cs="Arial"/>
          <w:sz w:val="22"/>
          <w:szCs w:val="22"/>
        </w:rPr>
        <w:t xml:space="preserve">about 20 people in </w:t>
      </w:r>
      <w:proofErr w:type="gramStart"/>
      <w:r w:rsidR="0007329E" w:rsidRPr="008803E8">
        <w:rPr>
          <w:rFonts w:asciiTheme="majorHAnsi" w:hAnsiTheme="majorHAnsi" w:cs="Arial"/>
          <w:sz w:val="22"/>
          <w:szCs w:val="22"/>
        </w:rPr>
        <w:t>attendance</w:t>
      </w:r>
      <w:r w:rsidR="008803E8" w:rsidRPr="008803E8">
        <w:rPr>
          <w:rFonts w:asciiTheme="majorHAnsi" w:hAnsiTheme="majorHAnsi" w:cs="Arial"/>
          <w:sz w:val="22"/>
          <w:szCs w:val="22"/>
        </w:rPr>
        <w:t xml:space="preserve"> which</w:t>
      </w:r>
      <w:proofErr w:type="gramEnd"/>
      <w:r w:rsidR="008803E8" w:rsidRPr="008803E8">
        <w:rPr>
          <w:rFonts w:asciiTheme="majorHAnsi" w:hAnsiTheme="majorHAnsi" w:cs="Arial"/>
          <w:sz w:val="22"/>
          <w:szCs w:val="22"/>
        </w:rPr>
        <w:t xml:space="preserve"> facilitated ex</w:t>
      </w:r>
      <w:r w:rsidR="0007329E" w:rsidRPr="008803E8">
        <w:rPr>
          <w:rFonts w:asciiTheme="majorHAnsi" w:hAnsiTheme="majorHAnsi" w:cs="Arial"/>
          <w:sz w:val="22"/>
          <w:szCs w:val="22"/>
        </w:rPr>
        <w:t xml:space="preserve">change and harmonization of CoP basic principles, objectives and </w:t>
      </w:r>
      <w:r w:rsidR="0007329E" w:rsidRPr="00EF3F84">
        <w:rPr>
          <w:rFonts w:asciiTheme="majorHAnsi" w:hAnsiTheme="majorHAnsi" w:cs="Arial"/>
          <w:i/>
          <w:sz w:val="22"/>
          <w:szCs w:val="22"/>
        </w:rPr>
        <w:t>modus operandi</w:t>
      </w:r>
      <w:r w:rsidR="009F2DB6">
        <w:rPr>
          <w:rFonts w:asciiTheme="majorHAnsi" w:hAnsiTheme="majorHAnsi" w:cs="Arial"/>
          <w:sz w:val="22"/>
          <w:szCs w:val="22"/>
        </w:rPr>
        <w:t>.</w:t>
      </w:r>
      <w:r w:rsidR="00EF3F84">
        <w:rPr>
          <w:rFonts w:asciiTheme="majorHAnsi" w:hAnsiTheme="majorHAnsi" w:cs="Arial"/>
          <w:sz w:val="22"/>
          <w:szCs w:val="22"/>
        </w:rPr>
        <w:t xml:space="preserve"> </w:t>
      </w:r>
      <w:proofErr w:type="gramStart"/>
      <w:r w:rsidR="008803E8" w:rsidRPr="008803E8">
        <w:rPr>
          <w:rFonts w:asciiTheme="majorHAnsi" w:hAnsiTheme="majorHAnsi" w:cs="Arial"/>
          <w:sz w:val="22"/>
          <w:szCs w:val="22"/>
        </w:rPr>
        <w:t xml:space="preserve">The </w:t>
      </w:r>
      <w:r w:rsidR="0007329E" w:rsidRPr="008803E8">
        <w:rPr>
          <w:rFonts w:asciiTheme="majorHAnsi" w:hAnsiTheme="majorHAnsi" w:cs="Arial"/>
          <w:sz w:val="22"/>
          <w:szCs w:val="22"/>
        </w:rPr>
        <w:t>Organization of a CoP side event (joint UNESCO-IHP and IUCN)</w:t>
      </w:r>
      <w:r w:rsidR="00FE7D73">
        <w:rPr>
          <w:rFonts w:asciiTheme="majorHAnsi" w:hAnsiTheme="majorHAnsi" w:cs="Arial"/>
          <w:sz w:val="22"/>
          <w:szCs w:val="22"/>
        </w:rPr>
        <w:t xml:space="preserve"> </w:t>
      </w:r>
      <w:r w:rsidR="0007329E" w:rsidRPr="008803E8">
        <w:rPr>
          <w:rFonts w:asciiTheme="majorHAnsi" w:hAnsiTheme="majorHAnsi" w:cs="Arial"/>
          <w:sz w:val="22"/>
          <w:szCs w:val="22"/>
        </w:rPr>
        <w:t>at the 6th World Water Forum, March 2012, Marseille</w:t>
      </w:r>
      <w:r w:rsidR="00163705">
        <w:rPr>
          <w:rFonts w:asciiTheme="majorHAnsi" w:hAnsiTheme="majorHAnsi" w:cs="Arial"/>
          <w:sz w:val="22"/>
          <w:szCs w:val="22"/>
        </w:rPr>
        <w:t>.</w:t>
      </w:r>
      <w:proofErr w:type="gramEnd"/>
      <w:r w:rsidR="0007329E" w:rsidRPr="008803E8">
        <w:rPr>
          <w:rFonts w:asciiTheme="majorHAnsi" w:hAnsiTheme="majorHAnsi" w:cs="Arial"/>
          <w:sz w:val="22"/>
          <w:szCs w:val="22"/>
        </w:rPr>
        <w:t xml:space="preserve">  </w:t>
      </w:r>
      <w:r w:rsidR="00163705" w:rsidRPr="00F91654">
        <w:rPr>
          <w:rFonts w:asciiTheme="majorHAnsi" w:hAnsiTheme="majorHAnsi" w:cs="Arial"/>
          <w:sz w:val="22"/>
          <w:szCs w:val="22"/>
        </w:rPr>
        <w:t>Contribution</w:t>
      </w:r>
      <w:r w:rsidR="0007329E" w:rsidRPr="00F91654">
        <w:rPr>
          <w:rFonts w:asciiTheme="majorHAnsi" w:hAnsiTheme="majorHAnsi" w:cs="Arial"/>
          <w:sz w:val="22"/>
          <w:szCs w:val="22"/>
        </w:rPr>
        <w:t xml:space="preserve"> to</w:t>
      </w:r>
      <w:r w:rsidR="00FE7D73">
        <w:rPr>
          <w:rFonts w:asciiTheme="majorHAnsi" w:hAnsiTheme="majorHAnsi" w:cs="Arial"/>
          <w:sz w:val="22"/>
          <w:szCs w:val="22"/>
        </w:rPr>
        <w:t xml:space="preserve"> preparation of the </w:t>
      </w:r>
      <w:proofErr w:type="gramStart"/>
      <w:r w:rsidR="00FE7D73">
        <w:rPr>
          <w:rFonts w:asciiTheme="majorHAnsi" w:hAnsiTheme="majorHAnsi" w:cs="Arial"/>
          <w:sz w:val="22"/>
          <w:szCs w:val="22"/>
        </w:rPr>
        <w:t xml:space="preserve">groundwater </w:t>
      </w:r>
      <w:r w:rsidR="0007329E" w:rsidRPr="00F91654">
        <w:rPr>
          <w:rFonts w:asciiTheme="majorHAnsi" w:hAnsiTheme="majorHAnsi" w:cs="Arial"/>
          <w:sz w:val="22"/>
          <w:szCs w:val="22"/>
        </w:rPr>
        <w:t>working</w:t>
      </w:r>
      <w:proofErr w:type="gramEnd"/>
      <w:r w:rsidR="0007329E" w:rsidRPr="00F91654">
        <w:rPr>
          <w:rFonts w:asciiTheme="majorHAnsi" w:hAnsiTheme="majorHAnsi" w:cs="Arial"/>
          <w:sz w:val="22"/>
          <w:szCs w:val="22"/>
        </w:rPr>
        <w:t xml:space="preserve"> group for the IW Science Conference in Bangkok, 24-26 September 2012. </w:t>
      </w:r>
      <w:r w:rsidR="00C93A10" w:rsidRPr="00F91654">
        <w:rPr>
          <w:rFonts w:asciiTheme="majorHAnsi" w:hAnsiTheme="majorHAnsi" w:cs="Arial"/>
          <w:sz w:val="22"/>
          <w:szCs w:val="22"/>
        </w:rPr>
        <w:t xml:space="preserve">Contribution </w:t>
      </w:r>
      <w:r w:rsidR="0007329E" w:rsidRPr="00F91654">
        <w:rPr>
          <w:rFonts w:asciiTheme="majorHAnsi" w:hAnsiTheme="majorHAnsi" w:cs="Arial"/>
          <w:sz w:val="22"/>
          <w:szCs w:val="22"/>
        </w:rPr>
        <w:t xml:space="preserve">to the creation of database of experts already engaged in GEF IW networks. </w:t>
      </w:r>
      <w:r w:rsidR="00C93A10" w:rsidRPr="00F91654">
        <w:rPr>
          <w:rFonts w:asciiTheme="majorHAnsi" w:hAnsiTheme="majorHAnsi" w:cs="Arial"/>
          <w:sz w:val="22"/>
          <w:szCs w:val="22"/>
        </w:rPr>
        <w:t xml:space="preserve">The </w:t>
      </w:r>
      <w:r w:rsidR="0007329E" w:rsidRPr="00F91654">
        <w:rPr>
          <w:rFonts w:asciiTheme="majorHAnsi" w:hAnsiTheme="majorHAnsi" w:cs="Arial"/>
          <w:sz w:val="22"/>
          <w:szCs w:val="22"/>
        </w:rPr>
        <w:t xml:space="preserve">CoPs </w:t>
      </w:r>
      <w:r w:rsidR="00C93A10" w:rsidRPr="00F91654">
        <w:rPr>
          <w:rFonts w:asciiTheme="majorHAnsi" w:hAnsiTheme="majorHAnsi" w:cs="Arial"/>
          <w:sz w:val="22"/>
          <w:szCs w:val="22"/>
        </w:rPr>
        <w:t xml:space="preserve">were presented </w:t>
      </w:r>
      <w:r w:rsidR="0007329E" w:rsidRPr="00F91654">
        <w:rPr>
          <w:rFonts w:asciiTheme="majorHAnsi" w:hAnsiTheme="majorHAnsi" w:cs="Arial"/>
          <w:sz w:val="22"/>
          <w:szCs w:val="22"/>
        </w:rPr>
        <w:t xml:space="preserve">at the Conference and </w:t>
      </w:r>
      <w:r w:rsidR="00C93A10" w:rsidRPr="00F91654">
        <w:rPr>
          <w:rFonts w:asciiTheme="majorHAnsi" w:hAnsiTheme="majorHAnsi" w:cs="Arial"/>
          <w:sz w:val="22"/>
          <w:szCs w:val="22"/>
        </w:rPr>
        <w:t>a</w:t>
      </w:r>
      <w:r w:rsidR="0007329E" w:rsidRPr="00F91654">
        <w:rPr>
          <w:rFonts w:asciiTheme="majorHAnsi" w:hAnsiTheme="majorHAnsi" w:cs="Arial"/>
          <w:sz w:val="22"/>
          <w:szCs w:val="22"/>
        </w:rPr>
        <w:t xml:space="preserve"> Groundwater Talks teaser video</w:t>
      </w:r>
      <w:r w:rsidR="00C93A10" w:rsidRPr="00F91654">
        <w:rPr>
          <w:rFonts w:asciiTheme="majorHAnsi" w:hAnsiTheme="majorHAnsi" w:cs="Arial"/>
          <w:sz w:val="22"/>
          <w:szCs w:val="22"/>
        </w:rPr>
        <w:t xml:space="preserve"> launched</w:t>
      </w:r>
      <w:r w:rsidR="0007329E" w:rsidRPr="00F91654">
        <w:rPr>
          <w:rFonts w:asciiTheme="majorHAnsi" w:hAnsiTheme="majorHAnsi" w:cs="Arial"/>
          <w:sz w:val="22"/>
          <w:szCs w:val="22"/>
        </w:rPr>
        <w:t>. Recording of interviews with groundwate</w:t>
      </w:r>
      <w:r w:rsidR="006E6AF0">
        <w:rPr>
          <w:rFonts w:asciiTheme="majorHAnsi" w:hAnsiTheme="majorHAnsi" w:cs="Arial"/>
          <w:sz w:val="22"/>
          <w:szCs w:val="22"/>
        </w:rPr>
        <w:t>r experts for Groundwater Talks which have</w:t>
      </w:r>
    </w:p>
    <w:p w14:paraId="3A5A4605" w14:textId="77777777" w:rsidR="0007329E" w:rsidRPr="00F91654" w:rsidRDefault="0007329E" w:rsidP="00155694">
      <w:pPr>
        <w:jc w:val="both"/>
        <w:rPr>
          <w:rFonts w:asciiTheme="majorHAnsi" w:hAnsiTheme="majorHAnsi" w:cs="Arial"/>
          <w:sz w:val="22"/>
          <w:szCs w:val="22"/>
        </w:rPr>
      </w:pPr>
    </w:p>
    <w:p w14:paraId="49CD92A9" w14:textId="2FD54DDB" w:rsidR="0007329E" w:rsidRPr="00F91654" w:rsidRDefault="0007329E" w:rsidP="009F2DB6">
      <w:pPr>
        <w:jc w:val="both"/>
        <w:rPr>
          <w:rFonts w:asciiTheme="majorHAnsi" w:hAnsiTheme="majorHAnsi" w:cs="Arial"/>
          <w:sz w:val="22"/>
          <w:szCs w:val="22"/>
        </w:rPr>
      </w:pPr>
      <w:r w:rsidRPr="00F91654">
        <w:rPr>
          <w:rFonts w:asciiTheme="majorHAnsi" w:hAnsiTheme="majorHAnsi" w:cs="Arial"/>
          <w:sz w:val="22"/>
          <w:szCs w:val="22"/>
        </w:rPr>
        <w:t>Presentation of the Groundwater CoP and Groundwater Talks at the Third Regional Consultation for Arab States of the GEF</w:t>
      </w:r>
      <w:r w:rsidR="00C93A10" w:rsidRPr="00F91654">
        <w:rPr>
          <w:rFonts w:asciiTheme="majorHAnsi" w:hAnsiTheme="majorHAnsi" w:cs="Arial"/>
          <w:sz w:val="22"/>
          <w:szCs w:val="22"/>
        </w:rPr>
        <w:t xml:space="preserve"> Groundwater Governance Project. </w:t>
      </w:r>
      <w:r w:rsidRPr="00F91654">
        <w:rPr>
          <w:rFonts w:asciiTheme="majorHAnsi" w:hAnsiTheme="majorHAnsi" w:cs="Arial"/>
          <w:sz w:val="22"/>
          <w:szCs w:val="22"/>
        </w:rPr>
        <w:t>Linkages</w:t>
      </w:r>
      <w:r w:rsidR="009F2DB6">
        <w:rPr>
          <w:rFonts w:asciiTheme="majorHAnsi" w:hAnsiTheme="majorHAnsi" w:cs="Arial"/>
          <w:sz w:val="22"/>
          <w:szCs w:val="22"/>
        </w:rPr>
        <w:t xml:space="preserve"> have been</w:t>
      </w:r>
      <w:r w:rsidRPr="00F91654">
        <w:rPr>
          <w:rFonts w:asciiTheme="majorHAnsi" w:hAnsiTheme="majorHAnsi" w:cs="Arial"/>
          <w:sz w:val="22"/>
          <w:szCs w:val="22"/>
        </w:rPr>
        <w:t xml:space="preserve"> established between the Permanent Consultation Mechanism (PCM) and the Groundwater CoP</w:t>
      </w:r>
      <w:r w:rsidR="00C93A10" w:rsidRPr="00F91654">
        <w:rPr>
          <w:rFonts w:asciiTheme="majorHAnsi" w:hAnsiTheme="majorHAnsi" w:cs="Arial"/>
          <w:sz w:val="22"/>
          <w:szCs w:val="22"/>
        </w:rPr>
        <w:t xml:space="preserve">. </w:t>
      </w:r>
      <w:r w:rsidRPr="00F91654">
        <w:rPr>
          <w:rFonts w:asciiTheme="majorHAnsi" w:hAnsiTheme="majorHAnsi" w:cs="Arial"/>
          <w:sz w:val="22"/>
          <w:szCs w:val="22"/>
        </w:rPr>
        <w:t>Presentation of the Groundwater CoP and Groundwater Talks at the Fourth Regional Consultation for the Asia-Pacific region of the GEF Groundwater Governance Project (3-5 December 2012, China).</w:t>
      </w:r>
    </w:p>
    <w:p w14:paraId="1E475814" w14:textId="1B6FB9C5" w:rsidR="0007329E" w:rsidRPr="00F91654" w:rsidRDefault="0007329E" w:rsidP="003A2A6A">
      <w:pPr>
        <w:autoSpaceDE w:val="0"/>
        <w:autoSpaceDN w:val="0"/>
        <w:adjustRightInd w:val="0"/>
        <w:jc w:val="both"/>
        <w:rPr>
          <w:rFonts w:asciiTheme="majorHAnsi" w:hAnsiTheme="majorHAnsi" w:cs="Arial"/>
          <w:sz w:val="22"/>
          <w:szCs w:val="22"/>
        </w:rPr>
      </w:pPr>
      <w:r w:rsidRPr="00F91654">
        <w:rPr>
          <w:rFonts w:asciiTheme="majorHAnsi" w:hAnsiTheme="majorHAnsi" w:cs="Arial"/>
          <w:sz w:val="22"/>
          <w:szCs w:val="22"/>
        </w:rPr>
        <w:t>Dialogue preparations</w:t>
      </w:r>
      <w:r w:rsidR="00E72FF7">
        <w:rPr>
          <w:rFonts w:asciiTheme="majorHAnsi" w:hAnsiTheme="majorHAnsi" w:cs="Arial"/>
          <w:sz w:val="22"/>
          <w:szCs w:val="22"/>
        </w:rPr>
        <w:t xml:space="preserve"> are</w:t>
      </w:r>
      <w:r w:rsidRPr="00F91654">
        <w:rPr>
          <w:rFonts w:asciiTheme="majorHAnsi" w:hAnsiTheme="majorHAnsi" w:cs="Arial"/>
          <w:sz w:val="22"/>
          <w:szCs w:val="22"/>
        </w:rPr>
        <w:t xml:space="preserve"> not yet underway,</w:t>
      </w:r>
      <w:r w:rsidR="00C93A10" w:rsidRPr="00F91654">
        <w:rPr>
          <w:rFonts w:asciiTheme="majorHAnsi" w:hAnsiTheme="majorHAnsi" w:cs="Arial"/>
          <w:sz w:val="22"/>
          <w:szCs w:val="22"/>
        </w:rPr>
        <w:t xml:space="preserve"> but </w:t>
      </w:r>
      <w:proofErr w:type="gramStart"/>
      <w:r w:rsidR="00155694">
        <w:rPr>
          <w:rFonts w:asciiTheme="majorHAnsi" w:hAnsiTheme="majorHAnsi" w:cs="Arial"/>
          <w:sz w:val="22"/>
          <w:szCs w:val="22"/>
        </w:rPr>
        <w:t>are expected</w:t>
      </w:r>
      <w:r w:rsidRPr="00F91654">
        <w:rPr>
          <w:rFonts w:asciiTheme="majorHAnsi" w:hAnsiTheme="majorHAnsi" w:cs="Arial"/>
          <w:sz w:val="22"/>
          <w:szCs w:val="22"/>
        </w:rPr>
        <w:t xml:space="preserve"> to be combined</w:t>
      </w:r>
      <w:proofErr w:type="gramEnd"/>
      <w:r w:rsidRPr="00F91654">
        <w:rPr>
          <w:rFonts w:asciiTheme="majorHAnsi" w:hAnsiTheme="majorHAnsi" w:cs="Arial"/>
          <w:sz w:val="22"/>
          <w:szCs w:val="22"/>
        </w:rPr>
        <w:t xml:space="preserve"> with targeted workshops under activity 1c</w:t>
      </w:r>
    </w:p>
    <w:p w14:paraId="3862EF52" w14:textId="77777777" w:rsidR="00C93A10" w:rsidRPr="00F91654" w:rsidRDefault="00C93A10" w:rsidP="003A2A6A">
      <w:pPr>
        <w:autoSpaceDE w:val="0"/>
        <w:autoSpaceDN w:val="0"/>
        <w:adjustRightInd w:val="0"/>
        <w:jc w:val="both"/>
        <w:rPr>
          <w:rFonts w:asciiTheme="majorHAnsi" w:hAnsiTheme="majorHAnsi" w:cs="Arial"/>
          <w:sz w:val="22"/>
          <w:szCs w:val="22"/>
        </w:rPr>
      </w:pPr>
    </w:p>
    <w:p w14:paraId="11D3EBD8" w14:textId="63442019" w:rsidR="00D16DFD" w:rsidRPr="00F91654" w:rsidRDefault="00C93A10" w:rsidP="003A2A6A">
      <w:pPr>
        <w:autoSpaceDE w:val="0"/>
        <w:autoSpaceDN w:val="0"/>
        <w:adjustRightInd w:val="0"/>
        <w:jc w:val="both"/>
        <w:rPr>
          <w:rFonts w:asciiTheme="majorHAnsi" w:hAnsiTheme="majorHAnsi"/>
          <w:color w:val="3366FF"/>
          <w:sz w:val="22"/>
          <w:szCs w:val="22"/>
        </w:rPr>
      </w:pPr>
      <w:r w:rsidRPr="00F91654">
        <w:rPr>
          <w:rFonts w:asciiTheme="majorHAnsi" w:hAnsiTheme="majorHAnsi" w:cs="Arial"/>
          <w:sz w:val="22"/>
          <w:szCs w:val="22"/>
        </w:rPr>
        <w:t>In addition a Second update of the GEF Groundwater Portfolio Analysis, has been prepared which will be a useful resource if kept up to date as intended</w:t>
      </w:r>
      <w:r w:rsidR="00FD6F77">
        <w:rPr>
          <w:rFonts w:asciiTheme="majorHAnsi" w:hAnsiTheme="majorHAnsi" w:cs="Arial"/>
          <w:sz w:val="22"/>
          <w:szCs w:val="22"/>
        </w:rPr>
        <w:t>.</w:t>
      </w:r>
      <w:r w:rsidRPr="00F91654">
        <w:rPr>
          <w:rFonts w:asciiTheme="majorHAnsi" w:hAnsiTheme="majorHAnsi" w:cs="Arial"/>
          <w:sz w:val="22"/>
          <w:szCs w:val="22"/>
        </w:rPr>
        <w:t xml:space="preserve"> </w:t>
      </w:r>
    </w:p>
    <w:p w14:paraId="5B8EEC7D" w14:textId="77777777" w:rsidR="00155694" w:rsidRDefault="00155694" w:rsidP="003A2A6A">
      <w:pPr>
        <w:autoSpaceDE w:val="0"/>
        <w:autoSpaceDN w:val="0"/>
        <w:adjustRightInd w:val="0"/>
        <w:jc w:val="both"/>
        <w:rPr>
          <w:rFonts w:asciiTheme="majorHAnsi" w:hAnsiTheme="majorHAnsi" w:cs="Arial"/>
          <w:sz w:val="22"/>
          <w:szCs w:val="22"/>
        </w:rPr>
      </w:pPr>
    </w:p>
    <w:p w14:paraId="712E0119" w14:textId="12E41FCE" w:rsidR="00AE46A6" w:rsidRPr="001C105F" w:rsidRDefault="009F2DB6" w:rsidP="003A2A6A">
      <w:pPr>
        <w:autoSpaceDE w:val="0"/>
        <w:autoSpaceDN w:val="0"/>
        <w:adjustRightInd w:val="0"/>
        <w:jc w:val="both"/>
        <w:rPr>
          <w:rFonts w:asciiTheme="majorHAnsi" w:hAnsiTheme="majorHAnsi"/>
          <w:sz w:val="22"/>
          <w:szCs w:val="22"/>
        </w:rPr>
      </w:pPr>
      <w:r w:rsidRPr="001C105F">
        <w:rPr>
          <w:rFonts w:asciiTheme="majorHAnsi" w:hAnsiTheme="majorHAnsi"/>
          <w:sz w:val="22"/>
          <w:szCs w:val="22"/>
        </w:rPr>
        <w:t xml:space="preserve">Hence there has been much activity with regard to </w:t>
      </w:r>
      <w:r w:rsidR="00E72FF7">
        <w:rPr>
          <w:rFonts w:asciiTheme="majorHAnsi" w:hAnsiTheme="majorHAnsi"/>
          <w:sz w:val="22"/>
          <w:szCs w:val="22"/>
        </w:rPr>
        <w:t>the o</w:t>
      </w:r>
      <w:r w:rsidRPr="001C105F">
        <w:rPr>
          <w:rFonts w:asciiTheme="majorHAnsi" w:hAnsiTheme="majorHAnsi"/>
          <w:sz w:val="22"/>
          <w:szCs w:val="22"/>
        </w:rPr>
        <w:t xml:space="preserve">ffline aspects of the CoP but still insufficient on the online which is </w:t>
      </w:r>
      <w:proofErr w:type="gramStart"/>
      <w:r w:rsidRPr="001C105F">
        <w:rPr>
          <w:rFonts w:asciiTheme="majorHAnsi" w:hAnsiTheme="majorHAnsi"/>
          <w:sz w:val="22"/>
          <w:szCs w:val="22"/>
        </w:rPr>
        <w:t>important  not</w:t>
      </w:r>
      <w:proofErr w:type="gramEnd"/>
      <w:r w:rsidRPr="001C105F">
        <w:rPr>
          <w:rFonts w:asciiTheme="majorHAnsi" w:hAnsiTheme="majorHAnsi"/>
          <w:sz w:val="22"/>
          <w:szCs w:val="22"/>
        </w:rPr>
        <w:t xml:space="preserve"> least for sustainability and cost effectiveness aspects </w:t>
      </w:r>
      <w:r w:rsidR="001C105F">
        <w:rPr>
          <w:rFonts w:asciiTheme="majorHAnsi" w:hAnsiTheme="majorHAnsi"/>
          <w:sz w:val="22"/>
          <w:szCs w:val="22"/>
        </w:rPr>
        <w:t xml:space="preserve"> of this component and 2b. </w:t>
      </w:r>
      <w:r w:rsidR="00AE46A6">
        <w:rPr>
          <w:rFonts w:asciiTheme="majorHAnsi" w:hAnsiTheme="majorHAnsi"/>
          <w:sz w:val="22"/>
          <w:szCs w:val="22"/>
        </w:rPr>
        <w:t xml:space="preserve"> However it was stressed to the MTE that UNESCO firmly believe that much of the difficulty in getting an acceptable level of participation in the CoP is directly related to the shortcoming</w:t>
      </w:r>
      <w:r w:rsidR="00E72FF7">
        <w:rPr>
          <w:rFonts w:asciiTheme="majorHAnsi" w:hAnsiTheme="majorHAnsi"/>
          <w:sz w:val="22"/>
          <w:szCs w:val="22"/>
        </w:rPr>
        <w:t xml:space="preserve">s </w:t>
      </w:r>
      <w:r w:rsidR="00AE46A6">
        <w:rPr>
          <w:rFonts w:asciiTheme="majorHAnsi" w:hAnsiTheme="majorHAnsi"/>
          <w:sz w:val="22"/>
          <w:szCs w:val="22"/>
        </w:rPr>
        <w:t>of the platform and they have been in discussions with a NGO</w:t>
      </w:r>
      <w:r w:rsidR="00E72FF7">
        <w:rPr>
          <w:rFonts w:asciiTheme="majorHAnsi" w:hAnsiTheme="majorHAnsi"/>
          <w:sz w:val="22"/>
          <w:szCs w:val="22"/>
        </w:rPr>
        <w:t>,</w:t>
      </w:r>
      <w:r w:rsidR="00AE46A6">
        <w:rPr>
          <w:rFonts w:asciiTheme="majorHAnsi" w:hAnsiTheme="majorHAnsi"/>
          <w:sz w:val="22"/>
          <w:szCs w:val="22"/>
        </w:rPr>
        <w:t xml:space="preserve"> in collaboration with which they believe a platform more fit for purpose could be quickly developed at reasonable cost.  The MTE considers that it would be of great interest with regard to understanding the dynamics of CoP participation if this alternative platform were to be developed and tested. </w:t>
      </w:r>
    </w:p>
    <w:p w14:paraId="6E33C515" w14:textId="77777777" w:rsidR="009F2DB6" w:rsidRPr="00F91654" w:rsidRDefault="009F2DB6" w:rsidP="00D16DFD">
      <w:pPr>
        <w:autoSpaceDE w:val="0"/>
        <w:autoSpaceDN w:val="0"/>
        <w:adjustRightInd w:val="0"/>
        <w:rPr>
          <w:rFonts w:asciiTheme="majorHAnsi" w:hAnsiTheme="majorHAnsi"/>
          <w:color w:val="3366FF"/>
          <w:sz w:val="22"/>
          <w:szCs w:val="22"/>
        </w:rPr>
      </w:pPr>
    </w:p>
    <w:p w14:paraId="2CD499A5" w14:textId="36AEFD18" w:rsidR="00D16DFD" w:rsidRPr="00A92FCD" w:rsidRDefault="00D16DFD" w:rsidP="00155694">
      <w:pPr>
        <w:pBdr>
          <w:top w:val="single" w:sz="4" w:space="1" w:color="auto"/>
          <w:left w:val="single" w:sz="4" w:space="0" w:color="auto"/>
          <w:bottom w:val="single" w:sz="4" w:space="1" w:color="auto"/>
          <w:right w:val="single" w:sz="4" w:space="4" w:color="auto"/>
        </w:pBdr>
        <w:shd w:val="clear" w:color="auto" w:fill="EEECE1" w:themeFill="background2"/>
        <w:rPr>
          <w:rFonts w:ascii="Calibri" w:hAnsi="Calibri"/>
          <w:color w:val="3366FF"/>
          <w:sz w:val="22"/>
          <w:szCs w:val="22"/>
        </w:rPr>
      </w:pPr>
      <w:r w:rsidRPr="00A92FCD">
        <w:rPr>
          <w:rFonts w:ascii="Calibri" w:hAnsi="Calibri"/>
          <w:color w:val="3366FF"/>
          <w:sz w:val="22"/>
          <w:szCs w:val="22"/>
        </w:rPr>
        <w:t>Sub-component 2b: Surface Freshwater Community of Practice</w:t>
      </w:r>
      <w:r w:rsidR="008F040C" w:rsidRPr="00A92FCD">
        <w:rPr>
          <w:rFonts w:ascii="Calibri" w:hAnsi="Calibri"/>
          <w:color w:val="3366FF"/>
          <w:sz w:val="22"/>
          <w:szCs w:val="22"/>
        </w:rPr>
        <w:t xml:space="preserve">. Lead Partner IUCN </w:t>
      </w:r>
    </w:p>
    <w:p w14:paraId="758E7464" w14:textId="6D3191D4" w:rsidR="004125FD" w:rsidRPr="0040711B" w:rsidRDefault="004125FD" w:rsidP="00155694">
      <w:pPr>
        <w:pBdr>
          <w:top w:val="single" w:sz="4" w:space="1" w:color="auto"/>
          <w:left w:val="single" w:sz="4" w:space="0"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 xml:space="preserve">The expected </w:t>
      </w:r>
      <w:r w:rsidRPr="0040711B">
        <w:rPr>
          <w:rFonts w:ascii="Calibri" w:hAnsi="Calibri"/>
          <w:b/>
          <w:color w:val="3366FF"/>
          <w:sz w:val="22"/>
          <w:szCs w:val="22"/>
        </w:rPr>
        <w:t xml:space="preserve">output </w:t>
      </w:r>
      <w:r w:rsidRPr="0040711B">
        <w:rPr>
          <w:rFonts w:ascii="Calibri" w:hAnsi="Calibri"/>
          <w:color w:val="3366FF"/>
          <w:sz w:val="22"/>
          <w:szCs w:val="22"/>
        </w:rPr>
        <w:t xml:space="preserve">is: </w:t>
      </w:r>
      <w:r w:rsidRPr="0040711B">
        <w:rPr>
          <w:rFonts w:ascii="Calibri" w:hAnsi="Calibri"/>
          <w:color w:val="3366FF"/>
          <w:sz w:val="22"/>
          <w:szCs w:val="22"/>
          <w:lang w:eastAsia="el-GR"/>
        </w:rPr>
        <w:t>Functioning and facilitated global Community of Practice (CoP) and regional dialogues linking GEF surface freshwater projects with groundwater and coastal environment.</w:t>
      </w:r>
    </w:p>
    <w:p w14:paraId="358F75AD" w14:textId="1958713E" w:rsidR="00835000" w:rsidRPr="00DB7204" w:rsidRDefault="00835000" w:rsidP="00835000">
      <w:pPr>
        <w:rPr>
          <w:rFonts w:ascii="Arial" w:hAnsi="Arial" w:cs="Arial"/>
          <w:sz w:val="20"/>
          <w:szCs w:val="20"/>
        </w:rPr>
      </w:pPr>
    </w:p>
    <w:p w14:paraId="7793B8E2" w14:textId="72C1B94D" w:rsidR="002A1FBE" w:rsidRDefault="003A4ADA" w:rsidP="003A2A6A">
      <w:pPr>
        <w:jc w:val="both"/>
        <w:rPr>
          <w:rFonts w:asciiTheme="majorHAnsi" w:hAnsiTheme="majorHAnsi" w:cs="Arial"/>
          <w:sz w:val="22"/>
          <w:szCs w:val="22"/>
        </w:rPr>
      </w:pPr>
      <w:r>
        <w:rPr>
          <w:rFonts w:asciiTheme="majorHAnsi" w:hAnsiTheme="majorHAnsi" w:cs="Arial"/>
          <w:sz w:val="22"/>
          <w:szCs w:val="22"/>
        </w:rPr>
        <w:t>This component is assessed as</w:t>
      </w:r>
      <w:r w:rsidR="008F040C">
        <w:rPr>
          <w:rFonts w:asciiTheme="majorHAnsi" w:hAnsiTheme="majorHAnsi" w:cs="Arial"/>
          <w:sz w:val="22"/>
          <w:szCs w:val="22"/>
        </w:rPr>
        <w:t xml:space="preserve"> </w:t>
      </w:r>
      <w:proofErr w:type="gramStart"/>
      <w:r w:rsidR="008F040C" w:rsidRPr="008F040C">
        <w:rPr>
          <w:rFonts w:asciiTheme="majorHAnsi" w:hAnsiTheme="majorHAnsi" w:cs="Arial"/>
          <w:b/>
          <w:sz w:val="22"/>
          <w:szCs w:val="22"/>
        </w:rPr>
        <w:t>Moderately</w:t>
      </w:r>
      <w:r w:rsidR="008F040C">
        <w:rPr>
          <w:rFonts w:asciiTheme="majorHAnsi" w:hAnsiTheme="majorHAnsi" w:cs="Arial"/>
          <w:sz w:val="22"/>
          <w:szCs w:val="22"/>
        </w:rPr>
        <w:t xml:space="preserve"> </w:t>
      </w:r>
      <w:r>
        <w:rPr>
          <w:rFonts w:asciiTheme="majorHAnsi" w:hAnsiTheme="majorHAnsi" w:cs="Arial"/>
          <w:sz w:val="22"/>
          <w:szCs w:val="22"/>
        </w:rPr>
        <w:t xml:space="preserve"> </w:t>
      </w:r>
      <w:r w:rsidRPr="003A4ADA">
        <w:rPr>
          <w:rFonts w:asciiTheme="majorHAnsi" w:hAnsiTheme="majorHAnsi" w:cs="Arial"/>
          <w:b/>
          <w:sz w:val="22"/>
          <w:szCs w:val="22"/>
        </w:rPr>
        <w:t>Unsatisfactory</w:t>
      </w:r>
      <w:proofErr w:type="gramEnd"/>
      <w:r w:rsidR="001C105F">
        <w:rPr>
          <w:rFonts w:asciiTheme="majorHAnsi" w:hAnsiTheme="majorHAnsi" w:cs="Arial"/>
          <w:b/>
          <w:sz w:val="22"/>
          <w:szCs w:val="22"/>
        </w:rPr>
        <w:t xml:space="preserve">  </w:t>
      </w:r>
      <w:r w:rsidR="001C105F" w:rsidRPr="001C105F">
        <w:rPr>
          <w:rFonts w:asciiTheme="majorHAnsi" w:hAnsiTheme="majorHAnsi" w:cs="Arial"/>
          <w:sz w:val="22"/>
          <w:szCs w:val="22"/>
        </w:rPr>
        <w:t xml:space="preserve">once again largely because of a lack of success in developing the online components of the CoP. </w:t>
      </w:r>
      <w:r w:rsidR="001C105F">
        <w:rPr>
          <w:rFonts w:asciiTheme="majorHAnsi" w:hAnsiTheme="majorHAnsi" w:cs="Arial"/>
          <w:sz w:val="22"/>
          <w:szCs w:val="22"/>
        </w:rPr>
        <w:t xml:space="preserve"> </w:t>
      </w:r>
      <w:r w:rsidR="003422C1" w:rsidRPr="00155694">
        <w:rPr>
          <w:rFonts w:asciiTheme="majorHAnsi" w:hAnsiTheme="majorHAnsi" w:cs="Arial"/>
          <w:sz w:val="22"/>
          <w:szCs w:val="22"/>
        </w:rPr>
        <w:t xml:space="preserve">The CoP </w:t>
      </w:r>
      <w:proofErr w:type="gramStart"/>
      <w:r w:rsidR="003422C1" w:rsidRPr="00155694">
        <w:rPr>
          <w:rFonts w:asciiTheme="majorHAnsi" w:hAnsiTheme="majorHAnsi" w:cs="Arial"/>
          <w:sz w:val="22"/>
          <w:szCs w:val="22"/>
        </w:rPr>
        <w:t xml:space="preserve">was </w:t>
      </w:r>
      <w:r w:rsidR="00835000" w:rsidRPr="00155694">
        <w:rPr>
          <w:rFonts w:asciiTheme="majorHAnsi" w:hAnsiTheme="majorHAnsi" w:cs="Arial"/>
          <w:sz w:val="22"/>
          <w:szCs w:val="22"/>
        </w:rPr>
        <w:t xml:space="preserve"> launched</w:t>
      </w:r>
      <w:proofErr w:type="gramEnd"/>
      <w:r w:rsidR="00835000" w:rsidRPr="00155694">
        <w:rPr>
          <w:rFonts w:asciiTheme="majorHAnsi" w:hAnsiTheme="majorHAnsi" w:cs="Arial"/>
          <w:sz w:val="22"/>
          <w:szCs w:val="22"/>
        </w:rPr>
        <w:t xml:space="preserve"> at IWC6,</w:t>
      </w:r>
      <w:r w:rsidR="003422C1" w:rsidRPr="00155694">
        <w:rPr>
          <w:rFonts w:asciiTheme="majorHAnsi" w:hAnsiTheme="majorHAnsi" w:cs="Arial"/>
          <w:sz w:val="22"/>
          <w:szCs w:val="22"/>
        </w:rPr>
        <w:t xml:space="preserve"> and </w:t>
      </w:r>
      <w:r w:rsidR="00835000" w:rsidRPr="00155694">
        <w:rPr>
          <w:rFonts w:asciiTheme="majorHAnsi" w:hAnsiTheme="majorHAnsi" w:cs="Arial"/>
          <w:sz w:val="22"/>
          <w:szCs w:val="22"/>
        </w:rPr>
        <w:t xml:space="preserve"> bilateral discussions with projects </w:t>
      </w:r>
      <w:r w:rsidR="003422C1" w:rsidRPr="00155694">
        <w:rPr>
          <w:rFonts w:asciiTheme="majorHAnsi" w:hAnsiTheme="majorHAnsi" w:cs="Arial"/>
          <w:sz w:val="22"/>
          <w:szCs w:val="22"/>
        </w:rPr>
        <w:t xml:space="preserve">begun to draft learning agendas. </w:t>
      </w:r>
      <w:r w:rsidR="00382166">
        <w:rPr>
          <w:rFonts w:asciiTheme="majorHAnsi" w:hAnsiTheme="majorHAnsi" w:cs="Arial"/>
          <w:sz w:val="22"/>
          <w:szCs w:val="22"/>
        </w:rPr>
        <w:t xml:space="preserve">The CoP currently has </w:t>
      </w:r>
      <w:proofErr w:type="gramStart"/>
      <w:r w:rsidR="00382166">
        <w:rPr>
          <w:rFonts w:asciiTheme="majorHAnsi" w:hAnsiTheme="majorHAnsi" w:cs="Arial"/>
          <w:sz w:val="22"/>
          <w:szCs w:val="22"/>
        </w:rPr>
        <w:t xml:space="preserve">77 </w:t>
      </w:r>
      <w:r w:rsidR="003422C1" w:rsidRPr="00155694">
        <w:rPr>
          <w:rFonts w:asciiTheme="majorHAnsi" w:hAnsiTheme="majorHAnsi" w:cs="Arial"/>
          <w:sz w:val="22"/>
          <w:szCs w:val="22"/>
        </w:rPr>
        <w:t xml:space="preserve"> members</w:t>
      </w:r>
      <w:proofErr w:type="gramEnd"/>
      <w:r w:rsidR="00382166">
        <w:rPr>
          <w:rFonts w:asciiTheme="majorHAnsi" w:hAnsiTheme="majorHAnsi" w:cs="Arial"/>
          <w:sz w:val="22"/>
          <w:szCs w:val="22"/>
        </w:rPr>
        <w:t xml:space="preserve"> which includes representatives from some 36 freshwater projects and some marine projects. The 5 freshwater projects that are currently not engaged are </w:t>
      </w:r>
      <w:r w:rsidR="00641411">
        <w:rPr>
          <w:rFonts w:asciiTheme="majorHAnsi" w:hAnsiTheme="majorHAnsi" w:cs="Arial"/>
          <w:sz w:val="22"/>
          <w:szCs w:val="22"/>
        </w:rPr>
        <w:t xml:space="preserve">being </w:t>
      </w:r>
      <w:r w:rsidR="001C105F">
        <w:rPr>
          <w:rFonts w:asciiTheme="majorHAnsi" w:hAnsiTheme="majorHAnsi" w:cs="Arial"/>
          <w:sz w:val="22"/>
          <w:szCs w:val="22"/>
        </w:rPr>
        <w:t>pursued</w:t>
      </w:r>
      <w:r w:rsidR="00641411">
        <w:rPr>
          <w:rFonts w:asciiTheme="majorHAnsi" w:hAnsiTheme="majorHAnsi" w:cs="Arial"/>
          <w:sz w:val="22"/>
          <w:szCs w:val="22"/>
        </w:rPr>
        <w:t xml:space="preserve">. Currently </w:t>
      </w:r>
      <w:r w:rsidR="003422C1" w:rsidRPr="00155694">
        <w:rPr>
          <w:rFonts w:asciiTheme="majorHAnsi" w:hAnsiTheme="majorHAnsi" w:cs="Arial"/>
          <w:sz w:val="22"/>
          <w:szCs w:val="22"/>
        </w:rPr>
        <w:t>only 7 blog entries</w:t>
      </w:r>
      <w:r w:rsidR="001C105F">
        <w:rPr>
          <w:rFonts w:asciiTheme="majorHAnsi" w:hAnsiTheme="majorHAnsi" w:cs="Arial"/>
          <w:sz w:val="22"/>
          <w:szCs w:val="22"/>
        </w:rPr>
        <w:t xml:space="preserve"> have been logged the</w:t>
      </w:r>
      <w:r w:rsidR="003422C1" w:rsidRPr="00155694">
        <w:rPr>
          <w:rFonts w:asciiTheme="majorHAnsi" w:hAnsiTheme="majorHAnsi" w:cs="Arial"/>
          <w:sz w:val="22"/>
          <w:szCs w:val="22"/>
        </w:rPr>
        <w:t xml:space="preserve"> latest being Jan 2013</w:t>
      </w:r>
      <w:r w:rsidR="00382166">
        <w:rPr>
          <w:rFonts w:asciiTheme="majorHAnsi" w:hAnsiTheme="majorHAnsi" w:cs="Arial"/>
          <w:sz w:val="22"/>
          <w:szCs w:val="22"/>
        </w:rPr>
        <w:t xml:space="preserve">. </w:t>
      </w:r>
    </w:p>
    <w:p w14:paraId="37D9BB03" w14:textId="77777777" w:rsidR="00641411" w:rsidRPr="00155694" w:rsidRDefault="00641411" w:rsidP="003A2A6A">
      <w:pPr>
        <w:jc w:val="both"/>
        <w:rPr>
          <w:rFonts w:asciiTheme="majorHAnsi" w:hAnsiTheme="majorHAnsi" w:cs="Arial"/>
          <w:sz w:val="22"/>
          <w:szCs w:val="22"/>
        </w:rPr>
      </w:pPr>
    </w:p>
    <w:p w14:paraId="26CB34C2" w14:textId="2E4BE5F9" w:rsidR="002A1FBE" w:rsidRDefault="00E22628" w:rsidP="003A2A6A">
      <w:pPr>
        <w:jc w:val="both"/>
        <w:rPr>
          <w:rFonts w:asciiTheme="majorHAnsi" w:hAnsiTheme="majorHAnsi" w:cs="Arial"/>
          <w:sz w:val="22"/>
          <w:szCs w:val="22"/>
        </w:rPr>
      </w:pPr>
      <w:r>
        <w:rPr>
          <w:rFonts w:asciiTheme="majorHAnsi" w:hAnsiTheme="majorHAnsi" w:cs="Arial"/>
          <w:sz w:val="22"/>
          <w:szCs w:val="22"/>
        </w:rPr>
        <w:t>From interactions at the 1</w:t>
      </w:r>
      <w:r w:rsidR="00641411">
        <w:rPr>
          <w:rFonts w:asciiTheme="majorHAnsi" w:hAnsiTheme="majorHAnsi" w:cs="Arial"/>
          <w:sz w:val="22"/>
          <w:szCs w:val="22"/>
        </w:rPr>
        <w:t>st African regional workshops and targeted telephone interviews</w:t>
      </w:r>
      <w:r w:rsidR="002A1FBE" w:rsidRPr="00155694">
        <w:rPr>
          <w:rFonts w:asciiTheme="majorHAnsi" w:hAnsiTheme="majorHAnsi" w:cs="Arial"/>
          <w:sz w:val="22"/>
          <w:szCs w:val="22"/>
        </w:rPr>
        <w:t xml:space="preserve"> </w:t>
      </w:r>
      <w:r w:rsidR="00641411">
        <w:rPr>
          <w:rFonts w:asciiTheme="majorHAnsi" w:hAnsiTheme="majorHAnsi" w:cs="Arial"/>
          <w:sz w:val="22"/>
          <w:szCs w:val="22"/>
        </w:rPr>
        <w:t xml:space="preserve">Seventeen </w:t>
      </w:r>
      <w:r w:rsidR="002A1FBE" w:rsidRPr="00155694">
        <w:rPr>
          <w:rFonts w:asciiTheme="majorHAnsi" w:hAnsiTheme="majorHAnsi" w:cs="Arial"/>
          <w:sz w:val="22"/>
          <w:szCs w:val="22"/>
        </w:rPr>
        <w:t xml:space="preserve">Project level learning champions </w:t>
      </w:r>
      <w:r w:rsidR="00641411">
        <w:rPr>
          <w:rFonts w:asciiTheme="majorHAnsi" w:hAnsiTheme="majorHAnsi" w:cs="Arial"/>
          <w:sz w:val="22"/>
          <w:szCs w:val="22"/>
        </w:rPr>
        <w:t xml:space="preserve">have been recruited and four project twinning groups have been created to cover, ICM linking freshwater and marine projects, integrated lake basin management, river basins – collaboration across borders and Small island developing states.  Related </w:t>
      </w:r>
      <w:r w:rsidR="002A1FBE" w:rsidRPr="00155694">
        <w:rPr>
          <w:rFonts w:asciiTheme="majorHAnsi" w:hAnsiTheme="majorHAnsi" w:cs="Arial"/>
          <w:sz w:val="22"/>
          <w:szCs w:val="22"/>
        </w:rPr>
        <w:t xml:space="preserve">thematic learning resource briefs have been uploaded </w:t>
      </w:r>
      <w:r w:rsidR="00155694" w:rsidRPr="00155694">
        <w:rPr>
          <w:rFonts w:asciiTheme="majorHAnsi" w:hAnsiTheme="majorHAnsi" w:cs="Arial"/>
          <w:sz w:val="22"/>
          <w:szCs w:val="22"/>
        </w:rPr>
        <w:t xml:space="preserve">onto the CoP website. </w:t>
      </w:r>
      <w:r w:rsidR="00321878">
        <w:rPr>
          <w:rFonts w:asciiTheme="majorHAnsi" w:hAnsiTheme="majorHAnsi" w:cs="Arial"/>
          <w:sz w:val="22"/>
          <w:szCs w:val="22"/>
        </w:rPr>
        <w:t xml:space="preserve"> Follow up to generate interaction</w:t>
      </w:r>
      <w:proofErr w:type="gramStart"/>
      <w:r w:rsidR="00321878">
        <w:rPr>
          <w:rFonts w:asciiTheme="majorHAnsi" w:hAnsiTheme="majorHAnsi" w:cs="Arial"/>
          <w:sz w:val="22"/>
          <w:szCs w:val="22"/>
        </w:rPr>
        <w:t>,  sharing</w:t>
      </w:r>
      <w:proofErr w:type="gramEnd"/>
      <w:r w:rsidR="00321878">
        <w:rPr>
          <w:rFonts w:asciiTheme="majorHAnsi" w:hAnsiTheme="majorHAnsi" w:cs="Arial"/>
          <w:sz w:val="22"/>
          <w:szCs w:val="22"/>
        </w:rPr>
        <w:t xml:space="preserve"> and generation of relevant learning resources is underway.  </w:t>
      </w:r>
    </w:p>
    <w:p w14:paraId="04AF0EDB" w14:textId="77777777" w:rsidR="00321878" w:rsidRDefault="00321878" w:rsidP="003A2A6A">
      <w:pPr>
        <w:jc w:val="both"/>
        <w:rPr>
          <w:rFonts w:asciiTheme="majorHAnsi" w:hAnsiTheme="majorHAnsi" w:cs="Arial"/>
          <w:sz w:val="22"/>
          <w:szCs w:val="22"/>
        </w:rPr>
      </w:pPr>
    </w:p>
    <w:p w14:paraId="58B9ED87" w14:textId="371AC3B5" w:rsidR="00321878" w:rsidRPr="003F471E" w:rsidRDefault="00321878" w:rsidP="003A2A6A">
      <w:pPr>
        <w:jc w:val="both"/>
        <w:rPr>
          <w:rFonts w:asciiTheme="majorHAnsi" w:hAnsiTheme="majorHAnsi" w:cs="Arial"/>
          <w:sz w:val="22"/>
          <w:szCs w:val="22"/>
        </w:rPr>
      </w:pPr>
      <w:r>
        <w:rPr>
          <w:rFonts w:asciiTheme="majorHAnsi" w:hAnsiTheme="majorHAnsi" w:cs="Arial"/>
          <w:sz w:val="22"/>
          <w:szCs w:val="22"/>
        </w:rPr>
        <w:t xml:space="preserve">Difficulties were </w:t>
      </w:r>
      <w:proofErr w:type="gramStart"/>
      <w:r>
        <w:rPr>
          <w:rFonts w:asciiTheme="majorHAnsi" w:hAnsiTheme="majorHAnsi" w:cs="Arial"/>
          <w:sz w:val="22"/>
          <w:szCs w:val="22"/>
        </w:rPr>
        <w:t xml:space="preserve">reported </w:t>
      </w:r>
      <w:r w:rsidR="003F471E">
        <w:rPr>
          <w:rFonts w:asciiTheme="majorHAnsi" w:hAnsiTheme="majorHAnsi" w:cs="Arial"/>
          <w:sz w:val="22"/>
          <w:szCs w:val="22"/>
        </w:rPr>
        <w:t xml:space="preserve"> in</w:t>
      </w:r>
      <w:proofErr w:type="gramEnd"/>
      <w:r w:rsidR="003F471E">
        <w:rPr>
          <w:rFonts w:asciiTheme="majorHAnsi" w:hAnsiTheme="majorHAnsi" w:cs="Arial"/>
          <w:sz w:val="22"/>
          <w:szCs w:val="22"/>
        </w:rPr>
        <w:t xml:space="preserve"> </w:t>
      </w:r>
      <w:r w:rsidR="00FE7D73">
        <w:rPr>
          <w:rFonts w:asciiTheme="majorHAnsi" w:hAnsiTheme="majorHAnsi" w:cs="Arial"/>
          <w:sz w:val="22"/>
          <w:szCs w:val="22"/>
        </w:rPr>
        <w:t xml:space="preserve">generating activity on the CoPs. </w:t>
      </w:r>
      <w:r w:rsidR="003F471E">
        <w:rPr>
          <w:rFonts w:asciiTheme="majorHAnsi" w:hAnsiTheme="majorHAnsi" w:cs="Arial"/>
          <w:sz w:val="22"/>
          <w:szCs w:val="22"/>
        </w:rPr>
        <w:t>For example m</w:t>
      </w:r>
      <w:r w:rsidRPr="003F471E">
        <w:rPr>
          <w:rFonts w:asciiTheme="majorHAnsi" w:hAnsiTheme="majorHAnsi" w:cs="Arial"/>
          <w:sz w:val="22"/>
          <w:szCs w:val="22"/>
        </w:rPr>
        <w:t xml:space="preserve">embers of the 1st and 2nd twinning groups </w:t>
      </w:r>
      <w:r w:rsidR="00EF6BE4" w:rsidRPr="003F471E">
        <w:rPr>
          <w:rFonts w:asciiTheme="majorHAnsi" w:hAnsiTheme="majorHAnsi" w:cs="Arial"/>
          <w:sz w:val="22"/>
          <w:szCs w:val="22"/>
        </w:rPr>
        <w:t>were</w:t>
      </w:r>
      <w:r w:rsidRPr="003F471E">
        <w:rPr>
          <w:rFonts w:asciiTheme="majorHAnsi" w:hAnsiTheme="majorHAnsi" w:cs="Arial"/>
          <w:sz w:val="22"/>
          <w:szCs w:val="22"/>
        </w:rPr>
        <w:t xml:space="preserve"> invited to exchange on the platform to further develop topics of interest </w:t>
      </w:r>
      <w:r w:rsidR="00EF6BE4" w:rsidRPr="003F471E">
        <w:rPr>
          <w:rFonts w:asciiTheme="majorHAnsi" w:hAnsiTheme="majorHAnsi" w:cs="Arial"/>
          <w:sz w:val="22"/>
          <w:szCs w:val="22"/>
        </w:rPr>
        <w:t xml:space="preserve">and define own learning agendas. </w:t>
      </w:r>
      <w:r w:rsidRPr="003F471E">
        <w:rPr>
          <w:rFonts w:asciiTheme="majorHAnsi" w:hAnsiTheme="majorHAnsi" w:cs="Arial"/>
          <w:sz w:val="22"/>
          <w:szCs w:val="22"/>
        </w:rPr>
        <w:t xml:space="preserve">It was not possible to facilitate this process by setting up initial conference calls to trigger discussion within the groups as projects proved reluctant or time-deficient to engage. </w:t>
      </w:r>
    </w:p>
    <w:p w14:paraId="6FDA4A34" w14:textId="77777777" w:rsidR="00321878" w:rsidRPr="003F471E" w:rsidRDefault="00321878" w:rsidP="003A2A6A">
      <w:pPr>
        <w:jc w:val="both"/>
        <w:rPr>
          <w:rFonts w:asciiTheme="majorHAnsi" w:hAnsiTheme="majorHAnsi" w:cs="Arial"/>
          <w:sz w:val="22"/>
          <w:szCs w:val="22"/>
        </w:rPr>
      </w:pPr>
    </w:p>
    <w:p w14:paraId="245D97E4" w14:textId="584ECFA3" w:rsidR="00321878" w:rsidRPr="003F471E" w:rsidRDefault="003F471E" w:rsidP="003A2A6A">
      <w:pPr>
        <w:jc w:val="both"/>
        <w:rPr>
          <w:rFonts w:asciiTheme="majorHAnsi" w:hAnsiTheme="majorHAnsi" w:cs="Arial"/>
          <w:sz w:val="22"/>
          <w:szCs w:val="22"/>
        </w:rPr>
      </w:pPr>
      <w:r>
        <w:rPr>
          <w:rFonts w:asciiTheme="majorHAnsi" w:hAnsiTheme="majorHAnsi" w:cs="Arial"/>
          <w:sz w:val="22"/>
          <w:szCs w:val="22"/>
        </w:rPr>
        <w:t>In marked contrast</w:t>
      </w:r>
      <w:r w:rsidR="00321878" w:rsidRPr="003F471E">
        <w:rPr>
          <w:rFonts w:asciiTheme="majorHAnsi" w:hAnsiTheme="majorHAnsi" w:cs="Arial"/>
          <w:sz w:val="22"/>
          <w:szCs w:val="22"/>
        </w:rPr>
        <w:t>, learning agendas were developed to the detail needed to mobilize adequate sup</w:t>
      </w:r>
      <w:r>
        <w:rPr>
          <w:rFonts w:asciiTheme="majorHAnsi" w:hAnsiTheme="majorHAnsi" w:cs="Arial"/>
          <w:sz w:val="22"/>
          <w:szCs w:val="22"/>
        </w:rPr>
        <w:t xml:space="preserve">port for some African projects </w:t>
      </w:r>
      <w:r w:rsidR="00321878" w:rsidRPr="003F471E">
        <w:rPr>
          <w:rFonts w:asciiTheme="majorHAnsi" w:hAnsiTheme="majorHAnsi" w:cs="Arial"/>
          <w:sz w:val="22"/>
          <w:szCs w:val="22"/>
        </w:rPr>
        <w:t xml:space="preserve">as a consequence of face-to-face time during dedicated breakout group sessions at the 2nd African targeted workshop in Addis. </w:t>
      </w:r>
    </w:p>
    <w:p w14:paraId="3598C7FE" w14:textId="77777777" w:rsidR="00321878" w:rsidRPr="003F471E" w:rsidRDefault="00321878" w:rsidP="003A2A6A">
      <w:pPr>
        <w:jc w:val="both"/>
        <w:rPr>
          <w:rFonts w:asciiTheme="majorHAnsi" w:hAnsiTheme="majorHAnsi" w:cs="Arial"/>
          <w:sz w:val="22"/>
          <w:szCs w:val="22"/>
        </w:rPr>
      </w:pPr>
    </w:p>
    <w:p w14:paraId="413D1DA9" w14:textId="08F77E0E" w:rsidR="00321878" w:rsidRPr="003F471E" w:rsidRDefault="001C105F" w:rsidP="003A2A6A">
      <w:pPr>
        <w:jc w:val="both"/>
        <w:rPr>
          <w:rFonts w:asciiTheme="majorHAnsi" w:hAnsiTheme="majorHAnsi" w:cs="Arial"/>
          <w:sz w:val="22"/>
          <w:szCs w:val="22"/>
        </w:rPr>
      </w:pPr>
      <w:r>
        <w:rPr>
          <w:rFonts w:asciiTheme="majorHAnsi" w:hAnsiTheme="majorHAnsi" w:cs="Arial"/>
          <w:sz w:val="22"/>
          <w:szCs w:val="22"/>
        </w:rPr>
        <w:t>Two</w:t>
      </w:r>
      <w:r w:rsidR="00321878" w:rsidRPr="003F471E">
        <w:rPr>
          <w:rFonts w:asciiTheme="majorHAnsi" w:hAnsiTheme="majorHAnsi" w:cs="Arial"/>
          <w:sz w:val="22"/>
          <w:szCs w:val="22"/>
        </w:rPr>
        <w:t xml:space="preserve"> more project twinning groups were to be created on mainstreaming climate change and good groundwater governance, and private sector engagement. However, projects did not respond to the following invitation (1st Asian targeted workshop in Bangkok, later extended to the entire global CoP): </w:t>
      </w:r>
    </w:p>
    <w:p w14:paraId="0876DDB4" w14:textId="77777777" w:rsidR="00321878" w:rsidRPr="003F471E" w:rsidRDefault="00321878" w:rsidP="003F471E">
      <w:pPr>
        <w:rPr>
          <w:rFonts w:asciiTheme="majorHAnsi" w:hAnsiTheme="majorHAnsi" w:cs="Arial"/>
          <w:sz w:val="22"/>
          <w:szCs w:val="22"/>
        </w:rPr>
      </w:pPr>
    </w:p>
    <w:p w14:paraId="532403E1" w14:textId="77777777" w:rsidR="00321878" w:rsidRPr="003F471E" w:rsidRDefault="00321878" w:rsidP="003A2A6A">
      <w:pPr>
        <w:jc w:val="both"/>
        <w:rPr>
          <w:rFonts w:asciiTheme="majorHAnsi" w:hAnsiTheme="majorHAnsi" w:cs="Arial"/>
          <w:sz w:val="22"/>
          <w:szCs w:val="22"/>
        </w:rPr>
      </w:pPr>
      <w:r w:rsidRPr="003F471E">
        <w:rPr>
          <w:rFonts w:asciiTheme="majorHAnsi" w:hAnsiTheme="majorHAnsi" w:cs="Arial"/>
          <w:sz w:val="22"/>
          <w:szCs w:val="22"/>
        </w:rPr>
        <w:t>Formation of the Facilitation Group was partly successful with most results yielding in Africa where WWF and CARE Kenya were invited to present practical case studies of PES implementation from the ground. This is the result of past and current IUCN leadership in green growth thinking and partnerships. Again, this could not have been possible without a clear demand stemming from face-to-face activities, i.e. economics as the topic democratically selected for the workshop.</w:t>
      </w:r>
    </w:p>
    <w:p w14:paraId="27B59F23" w14:textId="77777777" w:rsidR="00321878" w:rsidRPr="003F471E" w:rsidRDefault="00321878" w:rsidP="003A2A6A">
      <w:pPr>
        <w:jc w:val="both"/>
        <w:rPr>
          <w:rFonts w:asciiTheme="majorHAnsi" w:hAnsiTheme="majorHAnsi" w:cs="Arial"/>
          <w:sz w:val="22"/>
          <w:szCs w:val="22"/>
        </w:rPr>
      </w:pPr>
    </w:p>
    <w:p w14:paraId="6D64113D" w14:textId="6B373419" w:rsidR="008F040C" w:rsidRDefault="00321878" w:rsidP="003A2A6A">
      <w:pPr>
        <w:jc w:val="both"/>
        <w:rPr>
          <w:rFonts w:asciiTheme="majorHAnsi" w:hAnsiTheme="majorHAnsi" w:cs="Arial"/>
          <w:sz w:val="22"/>
          <w:szCs w:val="22"/>
        </w:rPr>
      </w:pPr>
      <w:r w:rsidRPr="003F471E">
        <w:rPr>
          <w:rFonts w:asciiTheme="majorHAnsi" w:hAnsiTheme="majorHAnsi" w:cs="Arial"/>
          <w:sz w:val="22"/>
          <w:szCs w:val="22"/>
        </w:rPr>
        <w:t>The number of active surface freshwater projects and of opportunities for mobilizing the right partnerships to organise the workshops in Africa as opposed to Asia-Pacific and Latin America &amp; Caribbean played a major role in pro</w:t>
      </w:r>
      <w:r w:rsidR="003F471E">
        <w:rPr>
          <w:rFonts w:asciiTheme="majorHAnsi" w:hAnsiTheme="majorHAnsi" w:cs="Arial"/>
          <w:sz w:val="22"/>
          <w:szCs w:val="22"/>
        </w:rPr>
        <w:t>ducing this regional imbalance.</w:t>
      </w:r>
    </w:p>
    <w:p w14:paraId="40216B83" w14:textId="77777777" w:rsidR="002A1FBE" w:rsidRPr="002A1FBE" w:rsidRDefault="002A1FBE" w:rsidP="002A1FBE">
      <w:pPr>
        <w:rPr>
          <w:i/>
          <w:iCs/>
          <w:sz w:val="20"/>
          <w:szCs w:val="20"/>
        </w:rPr>
      </w:pPr>
    </w:p>
    <w:p w14:paraId="6ABF85AD" w14:textId="3E9A25DA" w:rsidR="008A3B91" w:rsidRPr="0040711B" w:rsidRDefault="008A3B91" w:rsidP="004053C0">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b/>
          <w:color w:val="3366FF"/>
          <w:sz w:val="22"/>
          <w:szCs w:val="22"/>
        </w:rPr>
      </w:pPr>
      <w:r w:rsidRPr="0040711B">
        <w:rPr>
          <w:rFonts w:ascii="Calibri" w:hAnsi="Calibri"/>
          <w:b/>
          <w:color w:val="3366FF"/>
          <w:sz w:val="22"/>
          <w:szCs w:val="22"/>
        </w:rPr>
        <w:t xml:space="preserve">Component 3. </w:t>
      </w:r>
      <w:r w:rsidRPr="0040711B">
        <w:rPr>
          <w:rFonts w:ascii="Calibri" w:hAnsi="Calibri"/>
          <w:color w:val="3366FF"/>
          <w:sz w:val="22"/>
          <w:szCs w:val="22"/>
        </w:rPr>
        <w:t>Global and GEF IW Portfolio Learning and Dialogue to Enhance Project Delive</w:t>
      </w:r>
      <w:r w:rsidR="004053C0" w:rsidRPr="0040711B">
        <w:rPr>
          <w:rFonts w:ascii="Calibri" w:hAnsi="Calibri"/>
          <w:color w:val="3366FF"/>
          <w:sz w:val="22"/>
          <w:szCs w:val="22"/>
        </w:rPr>
        <w:t>ry and Impact</w:t>
      </w:r>
      <w:r w:rsidR="00A92FCD">
        <w:rPr>
          <w:rFonts w:ascii="Calibri" w:hAnsi="Calibri"/>
          <w:color w:val="3366FF"/>
          <w:sz w:val="22"/>
          <w:szCs w:val="22"/>
        </w:rPr>
        <w:t xml:space="preserve"> </w:t>
      </w:r>
    </w:p>
    <w:p w14:paraId="12F7750F" w14:textId="77777777" w:rsidR="00A92FCD" w:rsidRDefault="00A92FCD" w:rsidP="008A3B91">
      <w:pPr>
        <w:autoSpaceDE w:val="0"/>
        <w:autoSpaceDN w:val="0"/>
        <w:adjustRightInd w:val="0"/>
        <w:rPr>
          <w:rFonts w:ascii="Calibri" w:hAnsi="Calibri"/>
          <w:sz w:val="22"/>
          <w:szCs w:val="22"/>
        </w:rPr>
      </w:pPr>
    </w:p>
    <w:p w14:paraId="44C8AFF4" w14:textId="6B54F18E" w:rsidR="004053C0" w:rsidRDefault="00F62874" w:rsidP="008A3B91">
      <w:pPr>
        <w:autoSpaceDE w:val="0"/>
        <w:autoSpaceDN w:val="0"/>
        <w:adjustRightInd w:val="0"/>
        <w:rPr>
          <w:rFonts w:ascii="Calibri" w:hAnsi="Calibri"/>
          <w:sz w:val="22"/>
          <w:szCs w:val="22"/>
        </w:rPr>
      </w:pPr>
      <w:r>
        <w:rPr>
          <w:rFonts w:ascii="Calibri" w:hAnsi="Calibri"/>
          <w:sz w:val="22"/>
          <w:szCs w:val="22"/>
        </w:rPr>
        <w:t xml:space="preserve">The MTE deemed this component to be </w:t>
      </w:r>
      <w:proofErr w:type="gramStart"/>
      <w:r>
        <w:rPr>
          <w:rFonts w:ascii="Calibri" w:hAnsi="Calibri"/>
          <w:sz w:val="22"/>
          <w:szCs w:val="22"/>
        </w:rPr>
        <w:t xml:space="preserve">currently </w:t>
      </w:r>
      <w:r w:rsidR="007D627A">
        <w:rPr>
          <w:rFonts w:ascii="Calibri" w:hAnsi="Calibri"/>
          <w:b/>
          <w:sz w:val="22"/>
          <w:szCs w:val="22"/>
        </w:rPr>
        <w:t xml:space="preserve"> </w:t>
      </w:r>
      <w:r w:rsidRPr="007D627A">
        <w:rPr>
          <w:rFonts w:ascii="Calibri" w:hAnsi="Calibri"/>
          <w:b/>
          <w:sz w:val="22"/>
          <w:szCs w:val="22"/>
        </w:rPr>
        <w:t>Satisfactory</w:t>
      </w:r>
      <w:proofErr w:type="gramEnd"/>
      <w:r w:rsidRPr="00326A41">
        <w:rPr>
          <w:rFonts w:ascii="Calibri" w:hAnsi="Calibri"/>
          <w:b/>
          <w:sz w:val="22"/>
          <w:szCs w:val="22"/>
        </w:rPr>
        <w:t xml:space="preserve"> </w:t>
      </w:r>
      <w:r>
        <w:rPr>
          <w:rFonts w:ascii="Calibri" w:hAnsi="Calibri"/>
          <w:sz w:val="22"/>
          <w:szCs w:val="22"/>
        </w:rPr>
        <w:t xml:space="preserve"> </w:t>
      </w:r>
      <w:r w:rsidR="007D627A">
        <w:rPr>
          <w:rFonts w:ascii="Calibri" w:hAnsi="Calibri"/>
          <w:sz w:val="22"/>
          <w:szCs w:val="22"/>
        </w:rPr>
        <w:t xml:space="preserve">a higher rating is not considered appropriate </w:t>
      </w:r>
      <w:r w:rsidR="001C105F">
        <w:rPr>
          <w:rFonts w:ascii="Calibri" w:hAnsi="Calibri"/>
          <w:sz w:val="22"/>
          <w:szCs w:val="22"/>
        </w:rPr>
        <w:t>owing largely</w:t>
      </w:r>
      <w:r w:rsidR="007D627A">
        <w:rPr>
          <w:rFonts w:ascii="Calibri" w:hAnsi="Calibri"/>
          <w:sz w:val="22"/>
          <w:szCs w:val="22"/>
        </w:rPr>
        <w:t xml:space="preserve"> to </w:t>
      </w:r>
      <w:r w:rsidR="001C105F">
        <w:rPr>
          <w:rFonts w:ascii="Calibri" w:hAnsi="Calibri"/>
          <w:sz w:val="22"/>
          <w:szCs w:val="22"/>
        </w:rPr>
        <w:t xml:space="preserve"> slow progress with the journal special editions</w:t>
      </w:r>
      <w:r w:rsidR="007D627A">
        <w:rPr>
          <w:rFonts w:ascii="Calibri" w:hAnsi="Calibri"/>
          <w:sz w:val="22"/>
          <w:szCs w:val="22"/>
        </w:rPr>
        <w:t xml:space="preserve"> and with the 2</w:t>
      </w:r>
      <w:r w:rsidR="007D627A" w:rsidRPr="007D627A">
        <w:rPr>
          <w:rFonts w:ascii="Calibri" w:hAnsi="Calibri"/>
          <w:sz w:val="22"/>
          <w:szCs w:val="22"/>
          <w:vertAlign w:val="superscript"/>
        </w:rPr>
        <w:t>nd</w:t>
      </w:r>
      <w:r w:rsidR="007D627A">
        <w:rPr>
          <w:rFonts w:ascii="Calibri" w:hAnsi="Calibri"/>
          <w:sz w:val="22"/>
          <w:szCs w:val="22"/>
        </w:rPr>
        <w:t xml:space="preserve"> 20 years of GEF (Marine) publication</w:t>
      </w:r>
      <w:r w:rsidR="001C105F">
        <w:rPr>
          <w:rFonts w:ascii="Calibri" w:hAnsi="Calibri"/>
          <w:sz w:val="22"/>
          <w:szCs w:val="22"/>
        </w:rPr>
        <w:t xml:space="preserve">. </w:t>
      </w:r>
    </w:p>
    <w:p w14:paraId="6212ED85" w14:textId="77777777" w:rsidR="004053C0" w:rsidRPr="0040711B" w:rsidRDefault="004053C0" w:rsidP="008A3B91">
      <w:pPr>
        <w:autoSpaceDE w:val="0"/>
        <w:autoSpaceDN w:val="0"/>
        <w:adjustRightInd w:val="0"/>
        <w:rPr>
          <w:rFonts w:ascii="Calibri" w:hAnsi="Calibri"/>
          <w:sz w:val="22"/>
          <w:szCs w:val="22"/>
        </w:rPr>
      </w:pPr>
    </w:p>
    <w:p w14:paraId="659F4F3A" w14:textId="17116FB7" w:rsidR="00D16DFD" w:rsidRPr="0040711B" w:rsidRDefault="00D16DFD" w:rsidP="004053C0">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Sub-component 3a: 6th Biennial International Waters Conference</w:t>
      </w:r>
      <w:r w:rsidR="00A92FCD">
        <w:rPr>
          <w:rFonts w:ascii="Calibri" w:hAnsi="Calibri"/>
          <w:color w:val="3366FF"/>
          <w:sz w:val="22"/>
          <w:szCs w:val="22"/>
        </w:rPr>
        <w:t xml:space="preserve"> – Lead UNDP </w:t>
      </w:r>
    </w:p>
    <w:p w14:paraId="7A661859" w14:textId="26BA57E2" w:rsidR="004125FD" w:rsidRPr="0040711B" w:rsidRDefault="00C8437D" w:rsidP="004053C0">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 xml:space="preserve">Expected </w:t>
      </w:r>
      <w:r w:rsidRPr="0040711B">
        <w:rPr>
          <w:rFonts w:ascii="Calibri" w:hAnsi="Calibri"/>
          <w:b/>
          <w:color w:val="3366FF"/>
          <w:sz w:val="22"/>
          <w:szCs w:val="22"/>
        </w:rPr>
        <w:t>Outputs</w:t>
      </w:r>
      <w:r w:rsidRPr="0040711B">
        <w:rPr>
          <w:rFonts w:ascii="Calibri" w:hAnsi="Calibri"/>
          <w:color w:val="3366FF"/>
          <w:sz w:val="22"/>
          <w:szCs w:val="22"/>
        </w:rPr>
        <w:t xml:space="preserve">: </w:t>
      </w:r>
      <w:r w:rsidR="004125FD" w:rsidRPr="0040711B">
        <w:rPr>
          <w:rFonts w:ascii="Calibri" w:hAnsi="Calibri"/>
          <w:color w:val="3366FF"/>
          <w:sz w:val="22"/>
          <w:szCs w:val="22"/>
        </w:rPr>
        <w:t xml:space="preserve"> </w:t>
      </w:r>
      <w:r w:rsidRPr="0040711B">
        <w:rPr>
          <w:rFonts w:ascii="Calibri" w:hAnsi="Calibri"/>
          <w:color w:val="3366FF"/>
          <w:sz w:val="22"/>
          <w:szCs w:val="22"/>
        </w:rPr>
        <w:t xml:space="preserve">a) </w:t>
      </w:r>
      <w:r w:rsidR="004125FD" w:rsidRPr="0040711B">
        <w:rPr>
          <w:rFonts w:ascii="Calibri" w:hAnsi="Calibri"/>
          <w:color w:val="3366FF"/>
          <w:sz w:val="22"/>
          <w:szCs w:val="22"/>
        </w:rPr>
        <w:t>6th Biennial GEF International Waters Conference in the Mediterranean region</w:t>
      </w:r>
      <w:r w:rsidRPr="0040711B">
        <w:rPr>
          <w:rFonts w:ascii="Calibri" w:hAnsi="Calibri"/>
          <w:color w:val="3366FF"/>
          <w:sz w:val="22"/>
          <w:szCs w:val="22"/>
        </w:rPr>
        <w:t xml:space="preserve">. b) </w:t>
      </w:r>
      <w:r w:rsidR="004125FD" w:rsidRPr="0040711B">
        <w:rPr>
          <w:rFonts w:ascii="Calibri" w:hAnsi="Calibri"/>
          <w:color w:val="3366FF"/>
          <w:sz w:val="22"/>
          <w:szCs w:val="22"/>
        </w:rPr>
        <w:t xml:space="preserve">Project results presented at IWC-6 collated, </w:t>
      </w:r>
      <w:r w:rsidR="00E22628" w:rsidRPr="0040711B">
        <w:rPr>
          <w:rFonts w:ascii="Calibri" w:hAnsi="Calibri"/>
          <w:color w:val="3366FF"/>
          <w:sz w:val="22"/>
          <w:szCs w:val="22"/>
        </w:rPr>
        <w:t>analysed</w:t>
      </w:r>
      <w:r w:rsidR="004125FD" w:rsidRPr="0040711B">
        <w:rPr>
          <w:rFonts w:ascii="Calibri" w:hAnsi="Calibri"/>
          <w:color w:val="3366FF"/>
          <w:sz w:val="22"/>
          <w:szCs w:val="22"/>
        </w:rPr>
        <w:t xml:space="preserve"> and disseminated in proceedings (an in journal articles, Experience Notes)</w:t>
      </w:r>
      <w:r w:rsidRPr="0040711B">
        <w:rPr>
          <w:rFonts w:ascii="Calibri" w:hAnsi="Calibri"/>
          <w:color w:val="3366FF"/>
          <w:sz w:val="22"/>
          <w:szCs w:val="22"/>
        </w:rPr>
        <w:t>. c)</w:t>
      </w:r>
      <w:r w:rsidR="004125FD" w:rsidRPr="0040711B">
        <w:rPr>
          <w:rFonts w:ascii="Calibri" w:hAnsi="Calibri"/>
          <w:color w:val="3366FF"/>
          <w:sz w:val="22"/>
          <w:szCs w:val="22"/>
        </w:rPr>
        <w:t xml:space="preserve"> IWC6 Host Mediterranean Region dedicated session at IWC6</w:t>
      </w:r>
    </w:p>
    <w:p w14:paraId="71FFAA82" w14:textId="77777777" w:rsidR="008A3B91" w:rsidRPr="0040711B" w:rsidRDefault="008A3B91" w:rsidP="008A3B91">
      <w:pPr>
        <w:autoSpaceDE w:val="0"/>
        <w:autoSpaceDN w:val="0"/>
        <w:adjustRightInd w:val="0"/>
        <w:rPr>
          <w:rFonts w:ascii="Calibri" w:hAnsi="Calibri"/>
          <w:sz w:val="22"/>
          <w:szCs w:val="22"/>
        </w:rPr>
      </w:pPr>
    </w:p>
    <w:p w14:paraId="618C31FF" w14:textId="1F19A811" w:rsidR="00677DB5" w:rsidRDefault="00EF2D2E" w:rsidP="000C1EC3">
      <w:pPr>
        <w:jc w:val="both"/>
        <w:rPr>
          <w:rFonts w:ascii="Calibri" w:hAnsi="Calibri"/>
          <w:sz w:val="22"/>
          <w:szCs w:val="22"/>
        </w:rPr>
      </w:pPr>
      <w:r w:rsidRPr="0040711B">
        <w:rPr>
          <w:rFonts w:ascii="Calibri" w:hAnsi="Calibri"/>
          <w:sz w:val="22"/>
          <w:szCs w:val="22"/>
        </w:rPr>
        <w:t xml:space="preserve">The MTE assessed this </w:t>
      </w:r>
      <w:r w:rsidR="00A92FCD">
        <w:rPr>
          <w:rFonts w:ascii="Calibri" w:hAnsi="Calibri"/>
          <w:sz w:val="22"/>
          <w:szCs w:val="22"/>
        </w:rPr>
        <w:t>sub-</w:t>
      </w:r>
      <w:r w:rsidRPr="0040711B">
        <w:rPr>
          <w:rFonts w:ascii="Calibri" w:hAnsi="Calibri"/>
          <w:sz w:val="22"/>
          <w:szCs w:val="22"/>
        </w:rPr>
        <w:t xml:space="preserve">component as </w:t>
      </w:r>
      <w:r w:rsidRPr="0040711B">
        <w:rPr>
          <w:rFonts w:ascii="Calibri" w:hAnsi="Calibri"/>
          <w:b/>
          <w:sz w:val="22"/>
          <w:szCs w:val="22"/>
        </w:rPr>
        <w:t>Highly Satisfactory</w:t>
      </w:r>
      <w:r w:rsidRPr="0040711B">
        <w:rPr>
          <w:rFonts w:ascii="Calibri" w:hAnsi="Calibri"/>
          <w:sz w:val="22"/>
          <w:szCs w:val="22"/>
        </w:rPr>
        <w:t xml:space="preserve">. </w:t>
      </w:r>
      <w:r w:rsidR="009A4832" w:rsidRPr="0040711B">
        <w:rPr>
          <w:rFonts w:ascii="Calibri" w:hAnsi="Calibri"/>
          <w:sz w:val="22"/>
          <w:szCs w:val="22"/>
        </w:rPr>
        <w:t xml:space="preserve"> </w:t>
      </w:r>
      <w:r w:rsidR="0032215B" w:rsidRPr="0040711B">
        <w:rPr>
          <w:rFonts w:ascii="Calibri" w:hAnsi="Calibri" w:cs="Arial"/>
          <w:color w:val="000000"/>
          <w:sz w:val="22"/>
          <w:szCs w:val="22"/>
          <w:lang w:val="en-US"/>
        </w:rPr>
        <w:t xml:space="preserve">IWC6 held, </w:t>
      </w:r>
      <w:r w:rsidR="00E61A2A">
        <w:rPr>
          <w:rFonts w:ascii="Calibri" w:hAnsi="Calibri" w:cs="Arial"/>
          <w:color w:val="000000"/>
          <w:sz w:val="22"/>
          <w:szCs w:val="22"/>
          <w:lang w:val="en-US"/>
        </w:rPr>
        <w:t xml:space="preserve">in October 2012 had </w:t>
      </w:r>
      <w:r w:rsidR="0032215B" w:rsidRPr="0040711B">
        <w:rPr>
          <w:rFonts w:ascii="Calibri" w:hAnsi="Calibri" w:cs="Arial"/>
          <w:color w:val="000000"/>
          <w:sz w:val="22"/>
          <w:szCs w:val="22"/>
          <w:lang w:val="en-US"/>
        </w:rPr>
        <w:t>328 participants, including government representatives, IW project managers, staff of international organizations, NGOs, the private sector, and transboundary commissions, originating from some 81 countries and representing 73 GEF International Waters projects.</w:t>
      </w:r>
      <w:r w:rsidR="009A4832" w:rsidRPr="0040711B">
        <w:rPr>
          <w:rFonts w:ascii="Calibri" w:hAnsi="Calibri"/>
          <w:sz w:val="22"/>
          <w:szCs w:val="22"/>
        </w:rPr>
        <w:t xml:space="preserve"> </w:t>
      </w:r>
      <w:r w:rsidR="00677DB5">
        <w:rPr>
          <w:rFonts w:ascii="Calibri" w:hAnsi="Calibri"/>
          <w:sz w:val="22"/>
          <w:szCs w:val="22"/>
        </w:rPr>
        <w:t xml:space="preserve"> </w:t>
      </w:r>
    </w:p>
    <w:p w14:paraId="39BD793A" w14:textId="77777777" w:rsidR="001C105F" w:rsidRDefault="001C105F" w:rsidP="000C1EC3">
      <w:pPr>
        <w:jc w:val="both"/>
        <w:rPr>
          <w:rFonts w:ascii="Calibri" w:hAnsi="Calibri"/>
          <w:sz w:val="22"/>
          <w:szCs w:val="22"/>
        </w:rPr>
      </w:pPr>
    </w:p>
    <w:p w14:paraId="55B56C56" w14:textId="4DE7B24B" w:rsidR="00677DB5" w:rsidRPr="00677DB5" w:rsidRDefault="00677DB5" w:rsidP="000C1EC3">
      <w:pPr>
        <w:jc w:val="both"/>
        <w:rPr>
          <w:rFonts w:ascii="Calibri" w:hAnsi="Calibri" w:cs="Arial"/>
          <w:sz w:val="22"/>
          <w:szCs w:val="22"/>
        </w:rPr>
      </w:pPr>
      <w:r w:rsidRPr="00677DB5">
        <w:rPr>
          <w:rFonts w:ascii="Calibri" w:hAnsi="Calibri"/>
          <w:sz w:val="22"/>
          <w:szCs w:val="22"/>
        </w:rPr>
        <w:t xml:space="preserve">As per the evaluation report based on responses from participants (31%) </w:t>
      </w:r>
      <w:r w:rsidRPr="00677DB5">
        <w:rPr>
          <w:rFonts w:ascii="Calibri" w:hAnsi="Calibri" w:cs="Arial"/>
          <w:sz w:val="22"/>
          <w:szCs w:val="22"/>
        </w:rPr>
        <w:t>Overall, participants considered the event a “Success”</w:t>
      </w:r>
      <w:r>
        <w:rPr>
          <w:rFonts w:ascii="Calibri" w:hAnsi="Calibri" w:cs="Arial"/>
          <w:sz w:val="22"/>
          <w:szCs w:val="22"/>
        </w:rPr>
        <w:t xml:space="preserve">. </w:t>
      </w:r>
      <w:r w:rsidRPr="00677DB5">
        <w:rPr>
          <w:rFonts w:ascii="Calibri" w:hAnsi="Calibri" w:cs="Arial"/>
          <w:sz w:val="22"/>
          <w:szCs w:val="22"/>
        </w:rPr>
        <w:t>They found it directly appl</w:t>
      </w:r>
      <w:r w:rsidR="00D26ACC">
        <w:rPr>
          <w:rFonts w:ascii="Calibri" w:hAnsi="Calibri" w:cs="Arial"/>
          <w:sz w:val="22"/>
          <w:szCs w:val="22"/>
        </w:rPr>
        <w:t xml:space="preserve">icable to their work functions </w:t>
      </w:r>
      <w:r w:rsidRPr="00677DB5">
        <w:rPr>
          <w:rFonts w:ascii="Calibri" w:hAnsi="Calibri" w:cs="Arial"/>
          <w:sz w:val="22"/>
          <w:szCs w:val="22"/>
        </w:rPr>
        <w:t>and that it allowed sufficient time for networking</w:t>
      </w:r>
      <w:r w:rsidR="007D627A">
        <w:rPr>
          <w:rFonts w:ascii="Calibri" w:hAnsi="Calibri" w:cs="Arial"/>
          <w:sz w:val="22"/>
          <w:szCs w:val="22"/>
        </w:rPr>
        <w:t>.</w:t>
      </w:r>
      <w:r w:rsidRPr="00677DB5">
        <w:rPr>
          <w:rFonts w:ascii="Calibri" w:hAnsi="Calibri" w:cs="Arial"/>
          <w:sz w:val="22"/>
          <w:szCs w:val="22"/>
        </w:rPr>
        <w:t xml:space="preserve"> They felt it enhanced their understanding of the results of the GEF IW portfolio after 20 years as well as </w:t>
      </w:r>
      <w:r w:rsidR="007D627A">
        <w:rPr>
          <w:rFonts w:ascii="Calibri" w:hAnsi="Calibri" w:cs="Arial"/>
          <w:sz w:val="22"/>
          <w:szCs w:val="22"/>
        </w:rPr>
        <w:t>of</w:t>
      </w:r>
      <w:r w:rsidRPr="00677DB5">
        <w:rPr>
          <w:rFonts w:ascii="Calibri" w:hAnsi="Calibri" w:cs="Arial"/>
          <w:sz w:val="22"/>
          <w:szCs w:val="22"/>
        </w:rPr>
        <w:t xml:space="preserve"> private sector engagement</w:t>
      </w:r>
      <w:r>
        <w:rPr>
          <w:rFonts w:ascii="Calibri" w:hAnsi="Calibri" w:cs="Arial"/>
          <w:sz w:val="22"/>
          <w:szCs w:val="22"/>
        </w:rPr>
        <w:t xml:space="preserve">. </w:t>
      </w:r>
      <w:r w:rsidRPr="00677DB5">
        <w:rPr>
          <w:rFonts w:ascii="Calibri" w:hAnsi="Calibri" w:cs="Arial"/>
          <w:sz w:val="22"/>
          <w:szCs w:val="22"/>
        </w:rPr>
        <w:t xml:space="preserve">The participant workshops and innovation marketplace were the most highly regarded sessions of the conference. </w:t>
      </w:r>
    </w:p>
    <w:p w14:paraId="2C0A0C7D" w14:textId="44D4BB63" w:rsidR="00677DB5" w:rsidRPr="00677DB5" w:rsidRDefault="00677DB5" w:rsidP="000C1EC3">
      <w:pPr>
        <w:jc w:val="both"/>
        <w:rPr>
          <w:rFonts w:ascii="Calibri" w:hAnsi="Calibri" w:cs="Arial"/>
          <w:sz w:val="22"/>
          <w:szCs w:val="22"/>
        </w:rPr>
      </w:pPr>
      <w:r>
        <w:rPr>
          <w:rFonts w:ascii="Calibri" w:hAnsi="Calibri" w:cs="Arial"/>
          <w:sz w:val="22"/>
          <w:szCs w:val="22"/>
        </w:rPr>
        <w:t xml:space="preserve">There was some </w:t>
      </w:r>
      <w:r w:rsidR="007D627A">
        <w:rPr>
          <w:rFonts w:ascii="Calibri" w:hAnsi="Calibri" w:cs="Arial"/>
          <w:sz w:val="22"/>
          <w:szCs w:val="22"/>
        </w:rPr>
        <w:t>criticism</w:t>
      </w:r>
      <w:r w:rsidRPr="00677DB5">
        <w:rPr>
          <w:rFonts w:ascii="Calibri" w:hAnsi="Calibri" w:cs="Arial"/>
          <w:sz w:val="22"/>
          <w:szCs w:val="22"/>
        </w:rPr>
        <w:t xml:space="preserve"> in terms of too many plenaries on good themes but with insufficient time for discussion, coupled with, too many of </w:t>
      </w:r>
      <w:r w:rsidR="007D627A">
        <w:rPr>
          <w:rFonts w:ascii="Calibri" w:hAnsi="Calibri" w:cs="Arial"/>
          <w:sz w:val="22"/>
          <w:szCs w:val="22"/>
        </w:rPr>
        <w:t>the “</w:t>
      </w:r>
      <w:r w:rsidR="007D627A" w:rsidRPr="00677DB5">
        <w:rPr>
          <w:rFonts w:ascii="Calibri" w:hAnsi="Calibri" w:cs="Arial"/>
          <w:sz w:val="22"/>
          <w:szCs w:val="22"/>
        </w:rPr>
        <w:t>excellent</w:t>
      </w:r>
      <w:r w:rsidR="007D627A">
        <w:rPr>
          <w:rFonts w:ascii="Calibri" w:hAnsi="Calibri" w:cs="Arial"/>
          <w:sz w:val="22"/>
          <w:szCs w:val="22"/>
        </w:rPr>
        <w:t>”</w:t>
      </w:r>
      <w:r w:rsidR="007D627A" w:rsidRPr="00677DB5">
        <w:rPr>
          <w:rFonts w:ascii="Calibri" w:hAnsi="Calibri" w:cs="Arial"/>
          <w:sz w:val="22"/>
          <w:szCs w:val="22"/>
        </w:rPr>
        <w:t xml:space="preserve"> smaller workshops </w:t>
      </w:r>
      <w:r w:rsidR="007D627A">
        <w:rPr>
          <w:rFonts w:ascii="Calibri" w:hAnsi="Calibri" w:cs="Arial"/>
          <w:sz w:val="22"/>
          <w:szCs w:val="22"/>
        </w:rPr>
        <w:t>being</w:t>
      </w:r>
      <w:r w:rsidRPr="00677DB5">
        <w:rPr>
          <w:rFonts w:ascii="Calibri" w:hAnsi="Calibri" w:cs="Arial"/>
          <w:sz w:val="22"/>
          <w:szCs w:val="22"/>
        </w:rPr>
        <w:t xml:space="preserve"> offered in parallel.</w:t>
      </w:r>
    </w:p>
    <w:p w14:paraId="4F62F7E3" w14:textId="77777777" w:rsidR="000A29B9" w:rsidRDefault="000A29B9" w:rsidP="000C1EC3">
      <w:pPr>
        <w:jc w:val="both"/>
        <w:rPr>
          <w:rFonts w:ascii="Calibri" w:hAnsi="Calibri"/>
          <w:sz w:val="22"/>
          <w:szCs w:val="22"/>
        </w:rPr>
      </w:pPr>
    </w:p>
    <w:p w14:paraId="12CD0A51" w14:textId="528FA833" w:rsidR="00677DB5" w:rsidRDefault="009A4832" w:rsidP="000C1EC3">
      <w:pPr>
        <w:jc w:val="both"/>
        <w:rPr>
          <w:rFonts w:ascii="Calibri" w:hAnsi="Calibri"/>
          <w:sz w:val="22"/>
          <w:szCs w:val="22"/>
        </w:rPr>
      </w:pPr>
      <w:r w:rsidRPr="0040711B">
        <w:rPr>
          <w:rFonts w:ascii="Calibri" w:hAnsi="Calibri"/>
          <w:sz w:val="22"/>
          <w:szCs w:val="22"/>
        </w:rPr>
        <w:t>The IW Biennial conference is rightly considered as one of the corner s</w:t>
      </w:r>
      <w:r w:rsidR="00DB3782">
        <w:rPr>
          <w:rFonts w:ascii="Calibri" w:hAnsi="Calibri"/>
          <w:sz w:val="22"/>
          <w:szCs w:val="22"/>
        </w:rPr>
        <w:t xml:space="preserve">tones of the IW LEARN programme and it </w:t>
      </w:r>
      <w:r w:rsidR="007D627A">
        <w:rPr>
          <w:rFonts w:ascii="Calibri" w:hAnsi="Calibri"/>
          <w:sz w:val="22"/>
          <w:szCs w:val="22"/>
        </w:rPr>
        <w:t>was</w:t>
      </w:r>
      <w:r w:rsidR="00DB3782">
        <w:rPr>
          <w:rFonts w:ascii="Calibri" w:hAnsi="Calibri"/>
          <w:sz w:val="22"/>
          <w:szCs w:val="22"/>
        </w:rPr>
        <w:t xml:space="preserve"> encouraging </w:t>
      </w:r>
      <w:r w:rsidR="007D627A">
        <w:rPr>
          <w:rFonts w:ascii="Calibri" w:hAnsi="Calibri"/>
          <w:sz w:val="22"/>
          <w:szCs w:val="22"/>
        </w:rPr>
        <w:t>for the MTE to learn</w:t>
      </w:r>
      <w:r w:rsidR="00DB3782">
        <w:rPr>
          <w:rFonts w:ascii="Calibri" w:hAnsi="Calibri"/>
          <w:sz w:val="22"/>
          <w:szCs w:val="22"/>
        </w:rPr>
        <w:t xml:space="preserve"> that IWC7 is already under preparation for October 2013 funded via a sister IW project, albeit not yet fully approved.  </w:t>
      </w:r>
    </w:p>
    <w:p w14:paraId="3E4F10F5" w14:textId="77777777" w:rsidR="00677DB5" w:rsidRDefault="00677DB5" w:rsidP="000C1EC3">
      <w:pPr>
        <w:jc w:val="both"/>
        <w:rPr>
          <w:rFonts w:ascii="Calibri" w:hAnsi="Calibri"/>
          <w:sz w:val="22"/>
          <w:szCs w:val="22"/>
        </w:rPr>
      </w:pPr>
    </w:p>
    <w:p w14:paraId="7A4A681C" w14:textId="0B9EBA13" w:rsidR="00677DB5" w:rsidRDefault="00677DB5" w:rsidP="000C1EC3">
      <w:pPr>
        <w:jc w:val="both"/>
        <w:rPr>
          <w:rFonts w:ascii="Calibri" w:hAnsi="Calibri"/>
          <w:sz w:val="22"/>
          <w:szCs w:val="22"/>
        </w:rPr>
      </w:pPr>
      <w:r>
        <w:rPr>
          <w:rFonts w:ascii="Calibri" w:hAnsi="Calibri"/>
          <w:sz w:val="22"/>
          <w:szCs w:val="22"/>
        </w:rPr>
        <w:t xml:space="preserve">The MTE notes that </w:t>
      </w:r>
      <w:r w:rsidR="007D627A">
        <w:rPr>
          <w:rFonts w:ascii="Calibri" w:hAnsi="Calibri"/>
          <w:sz w:val="22"/>
          <w:szCs w:val="22"/>
        </w:rPr>
        <w:t xml:space="preserve">owing no doubt to </w:t>
      </w:r>
      <w:proofErr w:type="gramStart"/>
      <w:r w:rsidR="007D627A">
        <w:rPr>
          <w:rFonts w:ascii="Calibri" w:hAnsi="Calibri"/>
          <w:sz w:val="22"/>
          <w:szCs w:val="22"/>
        </w:rPr>
        <w:t xml:space="preserve">the </w:t>
      </w:r>
      <w:r>
        <w:rPr>
          <w:rFonts w:ascii="Calibri" w:hAnsi="Calibri"/>
          <w:sz w:val="22"/>
          <w:szCs w:val="22"/>
        </w:rPr>
        <w:t xml:space="preserve"> </w:t>
      </w:r>
      <w:r w:rsidR="007D627A">
        <w:rPr>
          <w:rFonts w:ascii="Calibri" w:hAnsi="Calibri"/>
          <w:sz w:val="22"/>
          <w:szCs w:val="22"/>
        </w:rPr>
        <w:t>quasi</w:t>
      </w:r>
      <w:proofErr w:type="gramEnd"/>
      <w:r w:rsidR="007D627A">
        <w:rPr>
          <w:rFonts w:ascii="Calibri" w:hAnsi="Calibri"/>
          <w:sz w:val="22"/>
          <w:szCs w:val="22"/>
        </w:rPr>
        <w:t xml:space="preserve"> programmatic nature of IW:LEARN and the </w:t>
      </w:r>
      <w:r w:rsidR="00D26ACC">
        <w:rPr>
          <w:rFonts w:ascii="Calibri" w:hAnsi="Calibri"/>
          <w:sz w:val="22"/>
          <w:szCs w:val="22"/>
        </w:rPr>
        <w:t>extensive</w:t>
      </w:r>
      <w:r w:rsidR="007346EC">
        <w:rPr>
          <w:rFonts w:ascii="Calibri" w:hAnsi="Calibri"/>
          <w:sz w:val="22"/>
          <w:szCs w:val="22"/>
        </w:rPr>
        <w:t xml:space="preserve"> experience of the current Pro</w:t>
      </w:r>
      <w:r w:rsidR="007D627A">
        <w:rPr>
          <w:rFonts w:ascii="Calibri" w:hAnsi="Calibri"/>
          <w:sz w:val="22"/>
          <w:szCs w:val="22"/>
        </w:rPr>
        <w:t>ject Manager with organising and running  previous IWCs, it</w:t>
      </w:r>
      <w:r>
        <w:rPr>
          <w:rFonts w:ascii="Calibri" w:hAnsi="Calibri"/>
          <w:sz w:val="22"/>
          <w:szCs w:val="22"/>
        </w:rPr>
        <w:t xml:space="preserve"> was clear from the SCM discussions that the PCU</w:t>
      </w:r>
      <w:r w:rsidR="007D627A">
        <w:rPr>
          <w:rFonts w:ascii="Calibri" w:hAnsi="Calibri"/>
          <w:sz w:val="22"/>
          <w:szCs w:val="22"/>
        </w:rPr>
        <w:t xml:space="preserve"> of the current project</w:t>
      </w:r>
      <w:r w:rsidR="007346EC">
        <w:rPr>
          <w:rFonts w:ascii="Calibri" w:hAnsi="Calibri"/>
          <w:sz w:val="22"/>
          <w:szCs w:val="22"/>
        </w:rPr>
        <w:t xml:space="preserve"> </w:t>
      </w:r>
      <w:r>
        <w:rPr>
          <w:rFonts w:ascii="Calibri" w:hAnsi="Calibri"/>
          <w:sz w:val="22"/>
          <w:szCs w:val="22"/>
        </w:rPr>
        <w:t xml:space="preserve"> is expected to take a major role in organising </w:t>
      </w:r>
      <w:r w:rsidR="000C1EC3">
        <w:rPr>
          <w:rFonts w:ascii="Calibri" w:hAnsi="Calibri"/>
          <w:sz w:val="22"/>
          <w:szCs w:val="22"/>
        </w:rPr>
        <w:t>the next event. It will be</w:t>
      </w:r>
      <w:r w:rsidR="007346EC">
        <w:rPr>
          <w:rFonts w:ascii="Calibri" w:hAnsi="Calibri"/>
          <w:sz w:val="22"/>
          <w:szCs w:val="22"/>
        </w:rPr>
        <w:t xml:space="preserve"> critically</w:t>
      </w:r>
      <w:r w:rsidR="000C1EC3">
        <w:rPr>
          <w:rFonts w:ascii="Calibri" w:hAnsi="Calibri"/>
          <w:sz w:val="22"/>
          <w:szCs w:val="22"/>
        </w:rPr>
        <w:t xml:space="preserve"> important that sufficient support is contracted</w:t>
      </w:r>
      <w:r w:rsidR="007346EC">
        <w:rPr>
          <w:rFonts w:ascii="Calibri" w:hAnsi="Calibri"/>
          <w:sz w:val="22"/>
          <w:szCs w:val="22"/>
        </w:rPr>
        <w:t xml:space="preserve"> for the purposes of organising and running IWC7</w:t>
      </w:r>
      <w:r w:rsidR="000C1EC3">
        <w:rPr>
          <w:rFonts w:ascii="Calibri" w:hAnsi="Calibri"/>
          <w:sz w:val="22"/>
          <w:szCs w:val="22"/>
        </w:rPr>
        <w:t xml:space="preserve"> to ensure that substantial resources of manpower are not diverted from this project with subsequent negative consequences in terms of this project meeting its objectives and providing for a sustainable future. </w:t>
      </w:r>
    </w:p>
    <w:p w14:paraId="6D82554B" w14:textId="5F118603" w:rsidR="0032215B" w:rsidRPr="0040711B" w:rsidRDefault="009A4832" w:rsidP="0089105B">
      <w:pPr>
        <w:rPr>
          <w:rFonts w:ascii="Calibri" w:hAnsi="Calibri" w:cs="Arial"/>
          <w:sz w:val="22"/>
          <w:szCs w:val="22"/>
        </w:rPr>
      </w:pPr>
      <w:r w:rsidRPr="0040711B">
        <w:rPr>
          <w:rFonts w:ascii="Calibri" w:hAnsi="Calibri"/>
          <w:sz w:val="22"/>
          <w:szCs w:val="22"/>
        </w:rPr>
        <w:t xml:space="preserve">  </w:t>
      </w:r>
    </w:p>
    <w:p w14:paraId="696A58DF" w14:textId="36514A0D" w:rsidR="00D16DFD" w:rsidRPr="00A92FCD" w:rsidRDefault="00D16DFD" w:rsidP="004053C0">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A92FCD">
        <w:rPr>
          <w:rFonts w:ascii="Calibri" w:hAnsi="Calibri"/>
          <w:color w:val="3366FF"/>
          <w:sz w:val="22"/>
          <w:szCs w:val="22"/>
          <w:lang w:val="fr-FR"/>
        </w:rPr>
        <w:t>Sub-component 3b: Global Dialogue Participation</w:t>
      </w:r>
      <w:r w:rsidR="00A92FCD" w:rsidRPr="00A92FCD">
        <w:rPr>
          <w:rFonts w:ascii="Calibri" w:hAnsi="Calibri"/>
          <w:color w:val="3366FF"/>
          <w:sz w:val="22"/>
          <w:szCs w:val="22"/>
          <w:lang w:val="fr-FR"/>
        </w:rPr>
        <w:t xml:space="preserve">. Lead UNDP </w:t>
      </w:r>
    </w:p>
    <w:p w14:paraId="3E742E39" w14:textId="7A6A8DCD" w:rsidR="004125FD" w:rsidRPr="0040711B" w:rsidRDefault="00C8437D" w:rsidP="004053C0">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E</w:t>
      </w:r>
      <w:r w:rsidR="004125FD" w:rsidRPr="0040711B">
        <w:rPr>
          <w:rFonts w:ascii="Calibri" w:hAnsi="Calibri"/>
          <w:color w:val="3366FF"/>
          <w:sz w:val="22"/>
          <w:szCs w:val="22"/>
        </w:rPr>
        <w:t xml:space="preserve">xpected </w:t>
      </w:r>
      <w:r w:rsidR="004125FD" w:rsidRPr="0040711B">
        <w:rPr>
          <w:rFonts w:ascii="Calibri" w:hAnsi="Calibri"/>
          <w:b/>
          <w:color w:val="3366FF"/>
          <w:sz w:val="22"/>
          <w:szCs w:val="22"/>
        </w:rPr>
        <w:t>output</w:t>
      </w:r>
      <w:r w:rsidR="004125FD" w:rsidRPr="0040711B">
        <w:rPr>
          <w:rFonts w:ascii="Calibri" w:hAnsi="Calibri"/>
          <w:color w:val="3366FF"/>
          <w:sz w:val="22"/>
          <w:szCs w:val="22"/>
        </w:rPr>
        <w:t xml:space="preserve"> is: Facilitated dissemination of best practices from GEF IW projects and partners in appro</w:t>
      </w:r>
      <w:r w:rsidRPr="0040711B">
        <w:rPr>
          <w:rFonts w:ascii="Calibri" w:hAnsi="Calibri"/>
          <w:color w:val="3366FF"/>
          <w:sz w:val="22"/>
          <w:szCs w:val="22"/>
        </w:rPr>
        <w:t>ved global dialogue</w:t>
      </w:r>
      <w:r w:rsidR="004125FD" w:rsidRPr="0040711B">
        <w:rPr>
          <w:rFonts w:ascii="Calibri" w:hAnsi="Calibri"/>
          <w:color w:val="3366FF"/>
          <w:sz w:val="22"/>
          <w:szCs w:val="22"/>
        </w:rPr>
        <w:t xml:space="preserve"> processes</w:t>
      </w:r>
      <w:r w:rsidRPr="0040711B">
        <w:rPr>
          <w:rFonts w:ascii="Calibri" w:hAnsi="Calibri"/>
          <w:color w:val="3366FF"/>
          <w:sz w:val="22"/>
          <w:szCs w:val="22"/>
        </w:rPr>
        <w:t>.</w:t>
      </w:r>
      <w:r w:rsidR="004125FD" w:rsidRPr="0040711B">
        <w:rPr>
          <w:rFonts w:ascii="Calibri" w:hAnsi="Calibri"/>
          <w:color w:val="3366FF"/>
          <w:sz w:val="22"/>
          <w:szCs w:val="22"/>
        </w:rPr>
        <w:t xml:space="preserve"> </w:t>
      </w:r>
    </w:p>
    <w:p w14:paraId="31B257BA" w14:textId="77777777" w:rsidR="0089105B" w:rsidRPr="0040711B" w:rsidRDefault="0089105B" w:rsidP="008A3B91">
      <w:pPr>
        <w:rPr>
          <w:rFonts w:ascii="Calibri" w:hAnsi="Calibri"/>
          <w:sz w:val="22"/>
          <w:szCs w:val="22"/>
        </w:rPr>
      </w:pPr>
    </w:p>
    <w:p w14:paraId="26525370" w14:textId="160DF7BB" w:rsidR="00DB3782" w:rsidRPr="00E871DF" w:rsidRDefault="00996CEB" w:rsidP="009269CE">
      <w:pPr>
        <w:widowControl w:val="0"/>
        <w:autoSpaceDE w:val="0"/>
        <w:autoSpaceDN w:val="0"/>
        <w:adjustRightInd w:val="0"/>
        <w:jc w:val="both"/>
        <w:rPr>
          <w:rFonts w:asciiTheme="majorHAnsi" w:hAnsiTheme="majorHAnsi"/>
          <w:sz w:val="22"/>
          <w:szCs w:val="22"/>
          <w:lang w:val="en-US"/>
        </w:rPr>
      </w:pPr>
      <w:r w:rsidRPr="00E871DF">
        <w:rPr>
          <w:rFonts w:asciiTheme="majorHAnsi" w:hAnsiTheme="majorHAnsi"/>
          <w:sz w:val="22"/>
          <w:szCs w:val="22"/>
          <w:lang w:val="en-US"/>
        </w:rPr>
        <w:t xml:space="preserve">The MTE assessed this sub-component as </w:t>
      </w:r>
      <w:r w:rsidRPr="00E871DF">
        <w:rPr>
          <w:rFonts w:asciiTheme="majorHAnsi" w:hAnsiTheme="majorHAnsi"/>
          <w:b/>
          <w:sz w:val="22"/>
          <w:szCs w:val="22"/>
          <w:lang w:val="en-US"/>
        </w:rPr>
        <w:t>Satisfactory</w:t>
      </w:r>
      <w:r w:rsidR="00A92FCD" w:rsidRPr="00E871DF">
        <w:rPr>
          <w:rFonts w:asciiTheme="majorHAnsi" w:hAnsiTheme="majorHAnsi"/>
          <w:b/>
          <w:sz w:val="22"/>
          <w:szCs w:val="22"/>
          <w:lang w:val="en-US"/>
        </w:rPr>
        <w:t xml:space="preserve">. </w:t>
      </w:r>
      <w:r w:rsidR="007346EC" w:rsidRPr="00E871DF">
        <w:rPr>
          <w:rFonts w:asciiTheme="majorHAnsi" w:hAnsiTheme="majorHAnsi"/>
          <w:sz w:val="22"/>
          <w:szCs w:val="22"/>
          <w:lang w:val="en-US"/>
        </w:rPr>
        <w:t xml:space="preserve">Five separate political/dialogue processes have featured six different IW </w:t>
      </w:r>
      <w:r w:rsidRPr="00E871DF">
        <w:rPr>
          <w:rFonts w:asciiTheme="majorHAnsi" w:hAnsiTheme="majorHAnsi"/>
          <w:sz w:val="22"/>
          <w:szCs w:val="22"/>
          <w:lang w:val="en-US"/>
        </w:rPr>
        <w:t xml:space="preserve"> </w:t>
      </w:r>
      <w:r w:rsidR="007346EC" w:rsidRPr="00E871DF">
        <w:rPr>
          <w:rFonts w:asciiTheme="majorHAnsi" w:hAnsiTheme="majorHAnsi"/>
          <w:sz w:val="22"/>
          <w:szCs w:val="22"/>
          <w:lang w:val="en-US"/>
        </w:rPr>
        <w:t xml:space="preserve"> projects</w:t>
      </w:r>
      <w:r w:rsidR="00E871DF" w:rsidRPr="00E871DF">
        <w:rPr>
          <w:rFonts w:asciiTheme="majorHAnsi" w:hAnsiTheme="majorHAnsi"/>
          <w:sz w:val="22"/>
          <w:szCs w:val="22"/>
          <w:lang w:val="en-US"/>
        </w:rPr>
        <w:t xml:space="preserve">: </w:t>
      </w:r>
      <w:r w:rsidR="007346EC" w:rsidRPr="00E871DF">
        <w:rPr>
          <w:rFonts w:asciiTheme="majorHAnsi" w:hAnsiTheme="majorHAnsi"/>
          <w:sz w:val="22"/>
          <w:szCs w:val="22"/>
          <w:lang w:val="en-US"/>
        </w:rPr>
        <w:t xml:space="preserve"> </w:t>
      </w:r>
      <w:r w:rsidR="00E871DF" w:rsidRPr="00E871DF">
        <w:rPr>
          <w:rFonts w:asciiTheme="majorHAnsi" w:hAnsiTheme="majorHAnsi"/>
          <w:sz w:val="22"/>
          <w:szCs w:val="22"/>
          <w:lang w:val="en-US"/>
        </w:rPr>
        <w:t>the</w:t>
      </w:r>
      <w:r w:rsidR="007346EC" w:rsidRPr="00E871DF">
        <w:rPr>
          <w:rFonts w:asciiTheme="majorHAnsi" w:hAnsiTheme="majorHAnsi"/>
          <w:sz w:val="22"/>
          <w:szCs w:val="22"/>
          <w:lang w:val="en-US"/>
        </w:rPr>
        <w:t xml:space="preserve"> </w:t>
      </w:r>
      <w:r w:rsidRPr="00E871DF">
        <w:rPr>
          <w:rFonts w:asciiTheme="majorHAnsi" w:hAnsiTheme="majorHAnsi"/>
          <w:sz w:val="22"/>
          <w:szCs w:val="22"/>
          <w:lang w:val="en-US"/>
        </w:rPr>
        <w:t>Hai</w:t>
      </w:r>
      <w:r w:rsidR="00E871DF" w:rsidRPr="00E871DF">
        <w:rPr>
          <w:rFonts w:asciiTheme="majorHAnsi" w:hAnsiTheme="majorHAnsi"/>
          <w:sz w:val="22"/>
          <w:szCs w:val="22"/>
          <w:lang w:val="en-US"/>
        </w:rPr>
        <w:t xml:space="preserve"> river </w:t>
      </w:r>
      <w:proofErr w:type="gramStart"/>
      <w:r w:rsidR="00E871DF" w:rsidRPr="00E871DF">
        <w:rPr>
          <w:rFonts w:asciiTheme="majorHAnsi" w:hAnsiTheme="majorHAnsi"/>
          <w:sz w:val="22"/>
          <w:szCs w:val="22"/>
          <w:lang w:val="en-US"/>
        </w:rPr>
        <w:t xml:space="preserve">project </w:t>
      </w:r>
      <w:r w:rsidRPr="00E871DF">
        <w:rPr>
          <w:rFonts w:asciiTheme="majorHAnsi" w:hAnsiTheme="majorHAnsi"/>
          <w:sz w:val="22"/>
          <w:szCs w:val="22"/>
          <w:lang w:val="en-US"/>
        </w:rPr>
        <w:t xml:space="preserve"> to</w:t>
      </w:r>
      <w:proofErr w:type="gramEnd"/>
      <w:r w:rsidRPr="00E871DF">
        <w:rPr>
          <w:rFonts w:asciiTheme="majorHAnsi" w:hAnsiTheme="majorHAnsi"/>
          <w:sz w:val="22"/>
          <w:szCs w:val="22"/>
          <w:lang w:val="en-US"/>
        </w:rPr>
        <w:t xml:space="preserve"> </w:t>
      </w:r>
      <w:r w:rsidR="00E871DF" w:rsidRPr="00E871DF">
        <w:rPr>
          <w:rFonts w:asciiTheme="majorHAnsi" w:hAnsiTheme="majorHAnsi" w:cs="Helvetica"/>
          <w:sz w:val="22"/>
          <w:szCs w:val="22"/>
          <w:lang w:val="en-US"/>
        </w:rPr>
        <w:t>Bonn 2011 Conference: The Water, Energy and Food Security Nexus</w:t>
      </w:r>
      <w:r w:rsidR="00E871DF" w:rsidRPr="00E871DF">
        <w:rPr>
          <w:rFonts w:asciiTheme="majorHAnsi" w:hAnsiTheme="majorHAnsi"/>
          <w:sz w:val="22"/>
          <w:szCs w:val="22"/>
          <w:lang w:val="en-US"/>
        </w:rPr>
        <w:t>; Lake</w:t>
      </w:r>
      <w:r w:rsidRPr="00E871DF">
        <w:rPr>
          <w:rFonts w:asciiTheme="majorHAnsi" w:hAnsiTheme="majorHAnsi"/>
          <w:sz w:val="22"/>
          <w:szCs w:val="22"/>
          <w:lang w:val="en-US"/>
        </w:rPr>
        <w:t xml:space="preserve"> Victoria</w:t>
      </w:r>
      <w:r w:rsidR="00E871DF" w:rsidRPr="00E871DF">
        <w:rPr>
          <w:rFonts w:asciiTheme="majorHAnsi" w:hAnsiTheme="majorHAnsi"/>
          <w:sz w:val="22"/>
          <w:szCs w:val="22"/>
          <w:lang w:val="en-US"/>
        </w:rPr>
        <w:t xml:space="preserve"> Project </w:t>
      </w:r>
      <w:r w:rsidRPr="00E871DF">
        <w:rPr>
          <w:rFonts w:asciiTheme="majorHAnsi" w:hAnsiTheme="majorHAnsi"/>
          <w:sz w:val="22"/>
          <w:szCs w:val="22"/>
          <w:lang w:val="en-US"/>
        </w:rPr>
        <w:t xml:space="preserve"> to </w:t>
      </w:r>
      <w:r w:rsidR="00E871DF" w:rsidRPr="00E871DF">
        <w:rPr>
          <w:rFonts w:asciiTheme="majorHAnsi" w:hAnsiTheme="majorHAnsi" w:cs="Helvetica"/>
          <w:sz w:val="22"/>
          <w:szCs w:val="22"/>
          <w:lang w:val="en-US"/>
        </w:rPr>
        <w:t xml:space="preserve">6th World Water Forum in Marseille; </w:t>
      </w:r>
      <w:r w:rsidR="00E871DF">
        <w:rPr>
          <w:rFonts w:asciiTheme="majorHAnsi" w:hAnsiTheme="majorHAnsi" w:cs="Helvetica"/>
          <w:sz w:val="22"/>
          <w:szCs w:val="22"/>
          <w:lang w:val="en-US"/>
        </w:rPr>
        <w:t xml:space="preserve">the </w:t>
      </w:r>
      <w:r w:rsidRPr="00E871DF">
        <w:rPr>
          <w:rFonts w:asciiTheme="majorHAnsi" w:hAnsiTheme="majorHAnsi"/>
          <w:sz w:val="22"/>
          <w:szCs w:val="22"/>
          <w:lang w:val="en-US"/>
        </w:rPr>
        <w:t>Dnipro</w:t>
      </w:r>
      <w:r w:rsidR="00E871DF" w:rsidRPr="00E871DF">
        <w:rPr>
          <w:rFonts w:asciiTheme="majorHAnsi" w:hAnsiTheme="majorHAnsi"/>
          <w:sz w:val="22"/>
          <w:szCs w:val="22"/>
          <w:lang w:val="en-US"/>
        </w:rPr>
        <w:t xml:space="preserve"> river project  </w:t>
      </w:r>
      <w:r w:rsidRPr="00E871DF">
        <w:rPr>
          <w:rFonts w:asciiTheme="majorHAnsi" w:hAnsiTheme="majorHAnsi"/>
          <w:sz w:val="22"/>
          <w:szCs w:val="22"/>
          <w:lang w:val="en-US"/>
        </w:rPr>
        <w:t xml:space="preserve">to </w:t>
      </w:r>
      <w:r w:rsidR="00E871DF" w:rsidRPr="00E871DF">
        <w:rPr>
          <w:rFonts w:asciiTheme="majorHAnsi" w:hAnsiTheme="majorHAnsi" w:cs="Helvetica"/>
          <w:sz w:val="22"/>
          <w:szCs w:val="22"/>
          <w:lang w:val="en-US"/>
        </w:rPr>
        <w:t>Rio+20 - United Nations Conference on Sustainable Development</w:t>
      </w:r>
      <w:r w:rsidR="00E871DF">
        <w:rPr>
          <w:rFonts w:asciiTheme="majorHAnsi" w:hAnsiTheme="majorHAnsi"/>
          <w:sz w:val="22"/>
          <w:szCs w:val="22"/>
          <w:lang w:val="en-US"/>
        </w:rPr>
        <w:t xml:space="preserve">, </w:t>
      </w:r>
      <w:r w:rsidR="009269CE">
        <w:rPr>
          <w:rFonts w:asciiTheme="majorHAnsi" w:hAnsiTheme="majorHAnsi"/>
          <w:sz w:val="22"/>
          <w:szCs w:val="22"/>
          <w:lang w:val="en-US"/>
        </w:rPr>
        <w:t xml:space="preserve">IW:LEARN </w:t>
      </w:r>
      <w:r w:rsidR="00E871DF">
        <w:rPr>
          <w:rFonts w:asciiTheme="majorHAnsi" w:hAnsiTheme="majorHAnsi"/>
          <w:sz w:val="22"/>
          <w:szCs w:val="22"/>
          <w:lang w:val="en-US"/>
        </w:rPr>
        <w:t xml:space="preserve"> project to the  14</w:t>
      </w:r>
      <w:r w:rsidR="00E871DF" w:rsidRPr="00E871DF">
        <w:rPr>
          <w:rFonts w:asciiTheme="majorHAnsi" w:hAnsiTheme="majorHAnsi"/>
          <w:sz w:val="22"/>
          <w:szCs w:val="22"/>
          <w:vertAlign w:val="superscript"/>
          <w:lang w:val="en-US"/>
        </w:rPr>
        <w:t>th</w:t>
      </w:r>
      <w:r w:rsidR="00E871DF">
        <w:rPr>
          <w:rFonts w:asciiTheme="majorHAnsi" w:hAnsiTheme="majorHAnsi"/>
          <w:sz w:val="22"/>
          <w:szCs w:val="22"/>
          <w:lang w:val="en-US"/>
        </w:rPr>
        <w:t xml:space="preserve"> </w:t>
      </w:r>
      <w:r w:rsidRPr="00E871DF">
        <w:rPr>
          <w:rFonts w:asciiTheme="majorHAnsi" w:hAnsiTheme="majorHAnsi"/>
          <w:sz w:val="22"/>
          <w:szCs w:val="22"/>
          <w:lang w:val="en-US"/>
        </w:rPr>
        <w:t>Interna</w:t>
      </w:r>
      <w:r w:rsidR="007346EC" w:rsidRPr="00E871DF">
        <w:rPr>
          <w:rFonts w:asciiTheme="majorHAnsi" w:hAnsiTheme="majorHAnsi"/>
          <w:sz w:val="22"/>
          <w:szCs w:val="22"/>
          <w:lang w:val="en-US"/>
        </w:rPr>
        <w:t>tional River Symposium</w:t>
      </w:r>
      <w:r w:rsidR="00E871DF">
        <w:rPr>
          <w:rFonts w:asciiTheme="majorHAnsi" w:hAnsiTheme="majorHAnsi"/>
          <w:sz w:val="22"/>
          <w:szCs w:val="22"/>
          <w:lang w:val="en-US"/>
        </w:rPr>
        <w:t xml:space="preserve"> in Brisbane</w:t>
      </w:r>
      <w:r w:rsidR="007346EC" w:rsidRPr="00E871DF">
        <w:rPr>
          <w:rFonts w:asciiTheme="majorHAnsi" w:hAnsiTheme="majorHAnsi"/>
          <w:sz w:val="22"/>
          <w:szCs w:val="22"/>
          <w:lang w:val="en-US"/>
        </w:rPr>
        <w:t xml:space="preserve">, </w:t>
      </w:r>
      <w:r w:rsidR="00E871DF" w:rsidRPr="00E871DF">
        <w:rPr>
          <w:rFonts w:asciiTheme="majorHAnsi" w:hAnsiTheme="majorHAnsi"/>
          <w:sz w:val="22"/>
          <w:szCs w:val="22"/>
          <w:lang w:val="en-US"/>
        </w:rPr>
        <w:t xml:space="preserve"> and  the </w:t>
      </w:r>
      <w:r w:rsidR="007346EC" w:rsidRPr="00E871DF">
        <w:rPr>
          <w:rFonts w:asciiTheme="majorHAnsi" w:hAnsiTheme="majorHAnsi"/>
          <w:sz w:val="22"/>
          <w:szCs w:val="22"/>
          <w:lang w:val="en-US"/>
        </w:rPr>
        <w:t xml:space="preserve">Dinaric &amp; </w:t>
      </w:r>
      <w:r w:rsidRPr="00E871DF">
        <w:rPr>
          <w:rFonts w:asciiTheme="majorHAnsi" w:hAnsiTheme="majorHAnsi"/>
          <w:sz w:val="22"/>
          <w:szCs w:val="22"/>
          <w:lang w:val="en-US"/>
        </w:rPr>
        <w:t xml:space="preserve"> Volta </w:t>
      </w:r>
      <w:r w:rsidR="00E871DF" w:rsidRPr="00E871DF">
        <w:rPr>
          <w:rFonts w:asciiTheme="majorHAnsi" w:hAnsiTheme="majorHAnsi"/>
          <w:sz w:val="22"/>
          <w:szCs w:val="22"/>
          <w:lang w:val="en-US"/>
        </w:rPr>
        <w:t xml:space="preserve">river projects </w:t>
      </w:r>
      <w:r w:rsidRPr="00E871DF">
        <w:rPr>
          <w:rFonts w:asciiTheme="majorHAnsi" w:hAnsiTheme="majorHAnsi"/>
          <w:sz w:val="22"/>
          <w:szCs w:val="22"/>
          <w:lang w:val="en-US"/>
        </w:rPr>
        <w:t>to</w:t>
      </w:r>
      <w:r w:rsidR="00E871DF" w:rsidRPr="00E871DF">
        <w:rPr>
          <w:rFonts w:asciiTheme="majorHAnsi" w:hAnsiTheme="majorHAnsi"/>
          <w:sz w:val="22"/>
          <w:szCs w:val="22"/>
          <w:lang w:val="en-US"/>
        </w:rPr>
        <w:t xml:space="preserve"> 6th</w:t>
      </w:r>
      <w:r w:rsidRPr="00E871DF">
        <w:rPr>
          <w:rFonts w:asciiTheme="majorHAnsi" w:hAnsiTheme="majorHAnsi"/>
          <w:sz w:val="22"/>
          <w:szCs w:val="22"/>
          <w:lang w:val="en-US"/>
        </w:rPr>
        <w:t xml:space="preserve"> UNECE Water Convention</w:t>
      </w:r>
      <w:r w:rsidR="00E871DF" w:rsidRPr="00E871DF">
        <w:rPr>
          <w:rFonts w:asciiTheme="majorHAnsi" w:hAnsiTheme="majorHAnsi"/>
          <w:sz w:val="22"/>
          <w:szCs w:val="22"/>
          <w:lang w:val="en-US"/>
        </w:rPr>
        <w:t xml:space="preserve"> Meeting of the Parties in Rome</w:t>
      </w:r>
      <w:r w:rsidR="00AE5BF4">
        <w:rPr>
          <w:rFonts w:asciiTheme="majorHAnsi" w:hAnsiTheme="majorHAnsi"/>
          <w:sz w:val="22"/>
          <w:szCs w:val="22"/>
          <w:lang w:val="en-US"/>
        </w:rPr>
        <w:t xml:space="preserve">. </w:t>
      </w:r>
    </w:p>
    <w:p w14:paraId="28B44491" w14:textId="77777777" w:rsidR="00AE5BF4" w:rsidRDefault="00AE5BF4" w:rsidP="003A2A6A">
      <w:pPr>
        <w:jc w:val="both"/>
        <w:rPr>
          <w:rFonts w:ascii="Helvetica" w:hAnsi="Helvetica" w:cs="Helvetica"/>
          <w:lang w:val="en-US"/>
        </w:rPr>
      </w:pPr>
    </w:p>
    <w:p w14:paraId="6E2F447A" w14:textId="3F57BB4A" w:rsidR="008A3B91" w:rsidRDefault="000C1EC3" w:rsidP="003A2A6A">
      <w:pPr>
        <w:jc w:val="both"/>
        <w:rPr>
          <w:rFonts w:ascii="Calibri" w:hAnsi="Calibri"/>
          <w:sz w:val="22"/>
          <w:szCs w:val="22"/>
          <w:lang w:val="en-US"/>
        </w:rPr>
      </w:pPr>
      <w:r>
        <w:rPr>
          <w:rFonts w:ascii="Calibri" w:hAnsi="Calibri"/>
          <w:sz w:val="22"/>
          <w:szCs w:val="22"/>
          <w:lang w:val="en-US"/>
        </w:rPr>
        <w:t xml:space="preserve">A calendar of future events is required and </w:t>
      </w:r>
      <w:proofErr w:type="gramStart"/>
      <w:r>
        <w:rPr>
          <w:rFonts w:ascii="Calibri" w:hAnsi="Calibri"/>
          <w:sz w:val="22"/>
          <w:szCs w:val="22"/>
          <w:lang w:val="en-US"/>
        </w:rPr>
        <w:t>guidance from IWTF as to which should be targeted by IW LEARN</w:t>
      </w:r>
      <w:proofErr w:type="gramEnd"/>
      <w:r>
        <w:rPr>
          <w:rFonts w:ascii="Calibri" w:hAnsi="Calibri"/>
          <w:sz w:val="22"/>
          <w:szCs w:val="22"/>
          <w:lang w:val="en-US"/>
        </w:rPr>
        <w:t xml:space="preserve"> for project participation. </w:t>
      </w:r>
    </w:p>
    <w:p w14:paraId="67929F33" w14:textId="77777777" w:rsidR="00A92FCD" w:rsidRPr="000C1EC3" w:rsidRDefault="00A92FCD" w:rsidP="008A3B91">
      <w:pPr>
        <w:rPr>
          <w:rFonts w:ascii="Calibri" w:hAnsi="Calibri"/>
          <w:sz w:val="22"/>
          <w:szCs w:val="22"/>
          <w:lang w:val="en-US"/>
        </w:rPr>
      </w:pPr>
    </w:p>
    <w:p w14:paraId="4B9645D2" w14:textId="5BF2F14D" w:rsidR="00D16DFD" w:rsidRPr="0040711B" w:rsidRDefault="00D16DFD" w:rsidP="004053C0">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Sub-component 3c: IW Science Partnership</w:t>
      </w:r>
      <w:r w:rsidR="00833455">
        <w:rPr>
          <w:rFonts w:ascii="Calibri" w:hAnsi="Calibri"/>
          <w:color w:val="3366FF"/>
          <w:sz w:val="22"/>
          <w:szCs w:val="22"/>
        </w:rPr>
        <w:t xml:space="preserve">. Lead UNEP in partnership with </w:t>
      </w:r>
      <w:r w:rsidR="00833455" w:rsidRPr="00833455">
        <w:rPr>
          <w:rFonts w:ascii="Calibri" w:hAnsi="Calibri"/>
          <w:color w:val="3366FF"/>
          <w:sz w:val="22"/>
          <w:szCs w:val="22"/>
        </w:rPr>
        <w:t>UNU-INWEH</w:t>
      </w:r>
      <w:r w:rsidR="00833455">
        <w:rPr>
          <w:rFonts w:ascii="Calibri" w:hAnsi="Calibri"/>
          <w:color w:val="3366FF"/>
          <w:sz w:val="22"/>
          <w:szCs w:val="22"/>
        </w:rPr>
        <w:t>.</w:t>
      </w:r>
    </w:p>
    <w:p w14:paraId="49742708" w14:textId="2428B966" w:rsidR="004125FD" w:rsidRPr="0040711B" w:rsidRDefault="00C8437D" w:rsidP="004053C0">
      <w:pPr>
        <w:pBdr>
          <w:top w:val="single" w:sz="4" w:space="1" w:color="auto"/>
          <w:left w:val="single" w:sz="4" w:space="4" w:color="auto"/>
          <w:bottom w:val="single" w:sz="4" w:space="1" w:color="auto"/>
          <w:right w:val="single" w:sz="4" w:space="4" w:color="auto"/>
        </w:pBdr>
        <w:shd w:val="clear" w:color="auto" w:fill="EEECE1" w:themeFill="background2"/>
        <w:rPr>
          <w:rFonts w:ascii="Calibri" w:hAnsi="Calibri"/>
          <w:color w:val="3366FF"/>
          <w:sz w:val="22"/>
          <w:szCs w:val="22"/>
        </w:rPr>
      </w:pPr>
      <w:r w:rsidRPr="0040711B">
        <w:rPr>
          <w:rFonts w:ascii="Calibri" w:hAnsi="Calibri"/>
          <w:color w:val="3366FF"/>
          <w:sz w:val="22"/>
          <w:szCs w:val="22"/>
        </w:rPr>
        <w:t>E</w:t>
      </w:r>
      <w:r w:rsidR="004125FD" w:rsidRPr="0040711B">
        <w:rPr>
          <w:rFonts w:ascii="Calibri" w:hAnsi="Calibri"/>
          <w:color w:val="3366FF"/>
          <w:sz w:val="22"/>
          <w:szCs w:val="22"/>
        </w:rPr>
        <w:t xml:space="preserve">xpected </w:t>
      </w:r>
      <w:r w:rsidR="004125FD" w:rsidRPr="0040711B">
        <w:rPr>
          <w:rFonts w:ascii="Calibri" w:hAnsi="Calibri"/>
          <w:b/>
          <w:color w:val="3366FF"/>
          <w:sz w:val="22"/>
          <w:szCs w:val="22"/>
        </w:rPr>
        <w:t>outputs</w:t>
      </w:r>
      <w:r w:rsidR="004125FD" w:rsidRPr="0040711B">
        <w:rPr>
          <w:rFonts w:ascii="Calibri" w:hAnsi="Calibri"/>
          <w:color w:val="3366FF"/>
          <w:sz w:val="22"/>
          <w:szCs w:val="22"/>
        </w:rPr>
        <w:t xml:space="preserve"> are:</w:t>
      </w:r>
      <w:r w:rsidRPr="0040711B">
        <w:rPr>
          <w:rFonts w:ascii="Calibri" w:hAnsi="Calibri"/>
          <w:color w:val="3366FF"/>
          <w:sz w:val="22"/>
          <w:szCs w:val="22"/>
        </w:rPr>
        <w:t xml:space="preserve"> a)</w:t>
      </w:r>
      <w:r w:rsidR="004125FD" w:rsidRPr="0040711B">
        <w:rPr>
          <w:rFonts w:ascii="Calibri" w:hAnsi="Calibri"/>
          <w:color w:val="3366FF"/>
          <w:sz w:val="22"/>
          <w:szCs w:val="22"/>
        </w:rPr>
        <w:t xml:space="preserve"> Completion of the first GEF IW Science Conference</w:t>
      </w:r>
      <w:r w:rsidRPr="0040711B">
        <w:rPr>
          <w:rFonts w:ascii="Calibri" w:hAnsi="Calibri"/>
          <w:color w:val="3366FF"/>
          <w:sz w:val="22"/>
          <w:szCs w:val="22"/>
        </w:rPr>
        <w:t>. b)</w:t>
      </w:r>
      <w:r w:rsidR="004125FD" w:rsidRPr="0040711B">
        <w:rPr>
          <w:rFonts w:ascii="Calibri" w:hAnsi="Calibri"/>
          <w:color w:val="3366FF"/>
          <w:sz w:val="22"/>
          <w:szCs w:val="22"/>
        </w:rPr>
        <w:t xml:space="preserve"> Functional scientific network integrating IW project experts and the wider scientific community</w:t>
      </w:r>
    </w:p>
    <w:p w14:paraId="6A0B8395" w14:textId="77777777" w:rsidR="008A3B91" w:rsidRPr="0040711B" w:rsidRDefault="008A3B91" w:rsidP="008A3B91">
      <w:pPr>
        <w:rPr>
          <w:rFonts w:ascii="Calibri" w:hAnsi="Calibri"/>
          <w:b/>
          <w:sz w:val="22"/>
          <w:szCs w:val="22"/>
        </w:rPr>
      </w:pPr>
    </w:p>
    <w:p w14:paraId="487C96FF" w14:textId="56669F49" w:rsidR="00310E0B" w:rsidRDefault="002737F2" w:rsidP="00907917">
      <w:pPr>
        <w:autoSpaceDE w:val="0"/>
        <w:autoSpaceDN w:val="0"/>
        <w:adjustRightInd w:val="0"/>
        <w:jc w:val="both"/>
        <w:rPr>
          <w:rFonts w:ascii="Calibri" w:hAnsi="Calibri"/>
          <w:sz w:val="22"/>
          <w:szCs w:val="22"/>
        </w:rPr>
      </w:pPr>
      <w:r>
        <w:rPr>
          <w:rFonts w:ascii="Calibri" w:hAnsi="Calibri"/>
          <w:sz w:val="22"/>
          <w:szCs w:val="22"/>
        </w:rPr>
        <w:t xml:space="preserve">The MTE assessed this sub-component to be </w:t>
      </w:r>
      <w:r w:rsidRPr="002737F2">
        <w:rPr>
          <w:rFonts w:ascii="Calibri" w:hAnsi="Calibri"/>
          <w:b/>
          <w:sz w:val="22"/>
          <w:szCs w:val="22"/>
        </w:rPr>
        <w:t>Satisfactory</w:t>
      </w:r>
      <w:r w:rsidR="00833455">
        <w:rPr>
          <w:rFonts w:ascii="Calibri" w:hAnsi="Calibri"/>
          <w:b/>
          <w:sz w:val="22"/>
          <w:szCs w:val="22"/>
        </w:rPr>
        <w:t xml:space="preserve">. </w:t>
      </w:r>
      <w:r w:rsidR="00833455">
        <w:rPr>
          <w:rFonts w:ascii="Calibri" w:hAnsi="Calibri"/>
          <w:sz w:val="22"/>
          <w:szCs w:val="22"/>
        </w:rPr>
        <w:t xml:space="preserve">Output </w:t>
      </w:r>
      <w:r w:rsidR="00310E0B" w:rsidRPr="00310E0B">
        <w:rPr>
          <w:rFonts w:ascii="Calibri" w:hAnsi="Calibri"/>
          <w:sz w:val="22"/>
          <w:szCs w:val="22"/>
        </w:rPr>
        <w:t>a) has been achieved and to some extent</w:t>
      </w:r>
      <w:r w:rsidR="007346EC">
        <w:rPr>
          <w:rFonts w:ascii="Calibri" w:hAnsi="Calibri"/>
          <w:sz w:val="22"/>
          <w:szCs w:val="22"/>
        </w:rPr>
        <w:t xml:space="preserve"> output</w:t>
      </w:r>
      <w:r w:rsidR="00310E0B" w:rsidRPr="00310E0B">
        <w:rPr>
          <w:rFonts w:ascii="Calibri" w:hAnsi="Calibri"/>
          <w:sz w:val="22"/>
          <w:szCs w:val="22"/>
        </w:rPr>
        <w:t xml:space="preserve"> b)</w:t>
      </w:r>
      <w:r w:rsidR="00833455">
        <w:rPr>
          <w:rFonts w:ascii="Calibri" w:hAnsi="Calibri"/>
          <w:sz w:val="22"/>
          <w:szCs w:val="22"/>
        </w:rPr>
        <w:t xml:space="preserve">. </w:t>
      </w:r>
      <w:r>
        <w:rPr>
          <w:rFonts w:ascii="Calibri" w:hAnsi="Calibri"/>
          <w:b/>
          <w:sz w:val="22"/>
          <w:szCs w:val="22"/>
        </w:rPr>
        <w:t xml:space="preserve"> </w:t>
      </w:r>
      <w:r w:rsidRPr="002737F2">
        <w:rPr>
          <w:rFonts w:ascii="Calibri" w:hAnsi="Calibri"/>
          <w:sz w:val="22"/>
          <w:szCs w:val="22"/>
        </w:rPr>
        <w:t>The</w:t>
      </w:r>
      <w:r>
        <w:rPr>
          <w:rFonts w:ascii="Calibri" w:hAnsi="Calibri"/>
          <w:sz w:val="22"/>
          <w:szCs w:val="22"/>
        </w:rPr>
        <w:t xml:space="preserve"> s</w:t>
      </w:r>
      <w:r w:rsidR="008A3B91" w:rsidRPr="0040711B">
        <w:rPr>
          <w:rFonts w:ascii="Calibri" w:hAnsi="Calibri"/>
          <w:sz w:val="22"/>
          <w:szCs w:val="22"/>
        </w:rPr>
        <w:t xml:space="preserve">cience conference </w:t>
      </w:r>
      <w:r>
        <w:rPr>
          <w:rFonts w:ascii="Calibri" w:hAnsi="Calibri"/>
          <w:sz w:val="22"/>
          <w:szCs w:val="22"/>
        </w:rPr>
        <w:t xml:space="preserve">was </w:t>
      </w:r>
      <w:r w:rsidR="008A3B91" w:rsidRPr="0040711B">
        <w:rPr>
          <w:rFonts w:ascii="Calibri" w:hAnsi="Calibri"/>
          <w:sz w:val="22"/>
          <w:szCs w:val="22"/>
        </w:rPr>
        <w:t>completed successfully</w:t>
      </w:r>
      <w:r w:rsidR="0007518C">
        <w:rPr>
          <w:rFonts w:ascii="Calibri" w:hAnsi="Calibri"/>
          <w:sz w:val="22"/>
          <w:szCs w:val="22"/>
        </w:rPr>
        <w:t xml:space="preserve"> with 193 participants including </w:t>
      </w:r>
      <w:r w:rsidR="002134A1">
        <w:rPr>
          <w:rFonts w:ascii="Calibri" w:hAnsi="Calibri"/>
          <w:sz w:val="22"/>
          <w:szCs w:val="22"/>
        </w:rPr>
        <w:t>representatives</w:t>
      </w:r>
      <w:r w:rsidR="0007518C">
        <w:rPr>
          <w:rFonts w:ascii="Calibri" w:hAnsi="Calibri"/>
          <w:sz w:val="22"/>
          <w:szCs w:val="22"/>
        </w:rPr>
        <w:t xml:space="preserve"> from 45 GEF projects. From feed</w:t>
      </w:r>
      <w:r w:rsidR="00833455">
        <w:rPr>
          <w:rFonts w:ascii="Calibri" w:hAnsi="Calibri"/>
          <w:sz w:val="22"/>
          <w:szCs w:val="22"/>
        </w:rPr>
        <w:t>back to the MTE</w:t>
      </w:r>
      <w:r w:rsidR="007346EC">
        <w:rPr>
          <w:rFonts w:ascii="Calibri" w:hAnsi="Calibri"/>
          <w:sz w:val="22"/>
          <w:szCs w:val="22"/>
        </w:rPr>
        <w:t xml:space="preserve"> the conference</w:t>
      </w:r>
      <w:r w:rsidR="00833455">
        <w:rPr>
          <w:rFonts w:ascii="Calibri" w:hAnsi="Calibri"/>
          <w:sz w:val="22"/>
          <w:szCs w:val="22"/>
        </w:rPr>
        <w:t xml:space="preserve"> was generally well received</w:t>
      </w:r>
      <w:r w:rsidR="002134A1">
        <w:rPr>
          <w:rFonts w:ascii="Calibri" w:hAnsi="Calibri"/>
          <w:sz w:val="22"/>
          <w:szCs w:val="22"/>
        </w:rPr>
        <w:t xml:space="preserve"> although some respondents felt it did not deliver as expected owing in part to disparate views held by</w:t>
      </w:r>
      <w:r w:rsidR="00D26ACC">
        <w:rPr>
          <w:rFonts w:ascii="Calibri" w:hAnsi="Calibri"/>
          <w:sz w:val="22"/>
          <w:szCs w:val="22"/>
        </w:rPr>
        <w:t xml:space="preserve"> key members of the organising </w:t>
      </w:r>
      <w:r w:rsidR="002134A1">
        <w:rPr>
          <w:rFonts w:ascii="Calibri" w:hAnsi="Calibri"/>
          <w:sz w:val="22"/>
          <w:szCs w:val="22"/>
        </w:rPr>
        <w:t>committee on the structure and main</w:t>
      </w:r>
      <w:r w:rsidR="007346EC">
        <w:rPr>
          <w:rFonts w:ascii="Calibri" w:hAnsi="Calibri"/>
          <w:sz w:val="22"/>
          <w:szCs w:val="22"/>
        </w:rPr>
        <w:t xml:space="preserve"> objectives of the conference. Several stakeholders contacted found sessions on indicators and the GEF tracking tool to be of particular value, plus the networking opportunities. </w:t>
      </w:r>
      <w:r w:rsidR="00833455">
        <w:rPr>
          <w:rFonts w:ascii="Calibri" w:hAnsi="Calibri"/>
          <w:sz w:val="22"/>
          <w:szCs w:val="22"/>
        </w:rPr>
        <w:t>I</w:t>
      </w:r>
      <w:r w:rsidR="00107A2F">
        <w:rPr>
          <w:rFonts w:ascii="Calibri" w:hAnsi="Calibri"/>
          <w:sz w:val="22"/>
          <w:szCs w:val="22"/>
        </w:rPr>
        <w:t>t is difficult to evaluate further at this stage as the post conference survey results have yet to be reported</w:t>
      </w:r>
      <w:r w:rsidR="008A3B91" w:rsidRPr="0040711B">
        <w:rPr>
          <w:rFonts w:ascii="Calibri" w:hAnsi="Calibri"/>
          <w:sz w:val="22"/>
          <w:szCs w:val="22"/>
        </w:rPr>
        <w:t>.</w:t>
      </w:r>
      <w:r w:rsidR="00EB5319">
        <w:rPr>
          <w:rFonts w:ascii="Calibri" w:hAnsi="Calibri"/>
          <w:sz w:val="22"/>
          <w:szCs w:val="22"/>
        </w:rPr>
        <w:t xml:space="preserve"> </w:t>
      </w:r>
      <w:r w:rsidR="00F66225">
        <w:rPr>
          <w:rFonts w:ascii="Calibri" w:hAnsi="Calibri"/>
          <w:sz w:val="22"/>
          <w:szCs w:val="22"/>
        </w:rPr>
        <w:t xml:space="preserve"> </w:t>
      </w:r>
      <w:r w:rsidR="00EB5319">
        <w:rPr>
          <w:rFonts w:ascii="Calibri" w:hAnsi="Calibri"/>
          <w:sz w:val="22"/>
          <w:szCs w:val="22"/>
        </w:rPr>
        <w:t xml:space="preserve">Although the project document (UNEP) suggests that the intention was to repeat every two years this seems no longer to be the intention based on </w:t>
      </w:r>
      <w:r w:rsidR="007346EC">
        <w:rPr>
          <w:rFonts w:ascii="Calibri" w:hAnsi="Calibri"/>
          <w:sz w:val="22"/>
          <w:szCs w:val="22"/>
        </w:rPr>
        <w:t xml:space="preserve">January </w:t>
      </w:r>
      <w:r w:rsidR="00EB5319">
        <w:rPr>
          <w:rFonts w:ascii="Calibri" w:hAnsi="Calibri"/>
          <w:sz w:val="22"/>
          <w:szCs w:val="22"/>
        </w:rPr>
        <w:t>SCM discussions.  It w</w:t>
      </w:r>
      <w:r>
        <w:rPr>
          <w:rFonts w:ascii="Calibri" w:hAnsi="Calibri"/>
          <w:sz w:val="22"/>
          <w:szCs w:val="22"/>
        </w:rPr>
        <w:t xml:space="preserve">as suggested that the best aspects of the conference could form part of future IW Conferences rather than have further regular stand-alone </w:t>
      </w:r>
      <w:r w:rsidR="00F66225">
        <w:rPr>
          <w:rFonts w:ascii="Calibri" w:hAnsi="Calibri"/>
          <w:sz w:val="22"/>
          <w:szCs w:val="22"/>
        </w:rPr>
        <w:t xml:space="preserve">science </w:t>
      </w:r>
      <w:r>
        <w:rPr>
          <w:rFonts w:ascii="Calibri" w:hAnsi="Calibri"/>
          <w:sz w:val="22"/>
          <w:szCs w:val="22"/>
        </w:rPr>
        <w:t xml:space="preserve">conferences. The MTE fully supports this idea as it will ensure better focus and </w:t>
      </w:r>
      <w:r w:rsidR="00310E0B">
        <w:rPr>
          <w:rFonts w:ascii="Calibri" w:hAnsi="Calibri"/>
          <w:sz w:val="22"/>
          <w:szCs w:val="22"/>
        </w:rPr>
        <w:t xml:space="preserve">make more </w:t>
      </w:r>
      <w:r>
        <w:rPr>
          <w:rFonts w:ascii="Calibri" w:hAnsi="Calibri"/>
          <w:sz w:val="22"/>
          <w:szCs w:val="22"/>
        </w:rPr>
        <w:t>efficient</w:t>
      </w:r>
      <w:r w:rsidR="00310E0B">
        <w:rPr>
          <w:rFonts w:ascii="Calibri" w:hAnsi="Calibri"/>
          <w:sz w:val="22"/>
          <w:szCs w:val="22"/>
        </w:rPr>
        <w:t xml:space="preserve"> use of resources</w:t>
      </w:r>
      <w:r>
        <w:rPr>
          <w:rFonts w:ascii="Calibri" w:hAnsi="Calibri"/>
          <w:sz w:val="22"/>
          <w:szCs w:val="22"/>
        </w:rPr>
        <w:t xml:space="preserve">. </w:t>
      </w:r>
    </w:p>
    <w:p w14:paraId="34A9733E" w14:textId="77777777" w:rsidR="008A3B91" w:rsidRPr="00521D95" w:rsidRDefault="008A3B91" w:rsidP="00521D95">
      <w:pPr>
        <w:autoSpaceDE w:val="0"/>
        <w:autoSpaceDN w:val="0"/>
        <w:adjustRightInd w:val="0"/>
        <w:jc w:val="both"/>
        <w:rPr>
          <w:rFonts w:ascii="Calibri" w:hAnsi="Calibri"/>
          <w:sz w:val="22"/>
          <w:szCs w:val="22"/>
        </w:rPr>
      </w:pPr>
    </w:p>
    <w:p w14:paraId="158EE072" w14:textId="36071037" w:rsidR="00B42D69" w:rsidRPr="00521D95" w:rsidRDefault="00B42D69" w:rsidP="00521D95">
      <w:pPr>
        <w:autoSpaceDE w:val="0"/>
        <w:autoSpaceDN w:val="0"/>
        <w:adjustRightInd w:val="0"/>
        <w:jc w:val="both"/>
        <w:rPr>
          <w:rFonts w:ascii="Calibri" w:hAnsi="Calibri"/>
          <w:sz w:val="22"/>
          <w:szCs w:val="22"/>
        </w:rPr>
      </w:pPr>
      <w:r w:rsidRPr="00521D95">
        <w:rPr>
          <w:rFonts w:ascii="Calibri" w:hAnsi="Calibri"/>
          <w:sz w:val="22"/>
          <w:szCs w:val="22"/>
        </w:rPr>
        <w:t>W</w:t>
      </w:r>
      <w:r w:rsidR="00521D95" w:rsidRPr="00521D95">
        <w:rPr>
          <w:rFonts w:ascii="Calibri" w:hAnsi="Calibri"/>
          <w:sz w:val="22"/>
          <w:szCs w:val="22"/>
        </w:rPr>
        <w:t>orking groups on aquifers</w:t>
      </w:r>
      <w:r w:rsidR="00F66225" w:rsidRPr="00521D95">
        <w:rPr>
          <w:rFonts w:ascii="Calibri" w:hAnsi="Calibri"/>
          <w:sz w:val="22"/>
          <w:szCs w:val="22"/>
        </w:rPr>
        <w:t>, River basin</w:t>
      </w:r>
      <w:r w:rsidR="00521D95" w:rsidRPr="00521D95">
        <w:rPr>
          <w:rFonts w:ascii="Calibri" w:hAnsi="Calibri"/>
          <w:sz w:val="22"/>
          <w:szCs w:val="22"/>
        </w:rPr>
        <w:t>s</w:t>
      </w:r>
      <w:proofErr w:type="gramStart"/>
      <w:r w:rsidR="00F66225" w:rsidRPr="00521D95">
        <w:rPr>
          <w:rFonts w:ascii="Calibri" w:hAnsi="Calibri"/>
          <w:sz w:val="22"/>
          <w:szCs w:val="22"/>
        </w:rPr>
        <w:t>,  Lake</w:t>
      </w:r>
      <w:proofErr w:type="gramEnd"/>
      <w:r w:rsidR="00F66225" w:rsidRPr="00521D95">
        <w:rPr>
          <w:rFonts w:ascii="Calibri" w:hAnsi="Calibri"/>
          <w:sz w:val="22"/>
          <w:szCs w:val="22"/>
        </w:rPr>
        <w:t xml:space="preserve"> basins and LMEs, </w:t>
      </w:r>
      <w:r w:rsidRPr="00521D95">
        <w:rPr>
          <w:rFonts w:ascii="Calibri" w:hAnsi="Calibri"/>
          <w:sz w:val="22"/>
          <w:szCs w:val="22"/>
        </w:rPr>
        <w:t xml:space="preserve"> </w:t>
      </w:r>
      <w:r w:rsidR="00F66225" w:rsidRPr="00521D95">
        <w:rPr>
          <w:rFonts w:ascii="Calibri" w:hAnsi="Calibri"/>
          <w:sz w:val="22"/>
          <w:szCs w:val="22"/>
        </w:rPr>
        <w:t xml:space="preserve">previously established under the GEF IW Project – “Enhancing the use of science in IW projects to improve project results” </w:t>
      </w:r>
      <w:r w:rsidRPr="00521D95">
        <w:rPr>
          <w:rFonts w:ascii="Calibri" w:hAnsi="Calibri"/>
          <w:sz w:val="22"/>
          <w:szCs w:val="22"/>
        </w:rPr>
        <w:t>attend</w:t>
      </w:r>
      <w:r w:rsidR="00F66225" w:rsidRPr="00521D95">
        <w:rPr>
          <w:rFonts w:ascii="Calibri" w:hAnsi="Calibri"/>
          <w:sz w:val="22"/>
          <w:szCs w:val="22"/>
        </w:rPr>
        <w:t xml:space="preserve">ed the conference </w:t>
      </w:r>
      <w:r w:rsidRPr="00521D95">
        <w:rPr>
          <w:rFonts w:ascii="Calibri" w:hAnsi="Calibri"/>
          <w:sz w:val="22"/>
          <w:szCs w:val="22"/>
        </w:rPr>
        <w:t xml:space="preserve"> </w:t>
      </w:r>
      <w:r w:rsidR="00F66225" w:rsidRPr="00521D95">
        <w:rPr>
          <w:rFonts w:ascii="Calibri" w:hAnsi="Calibri"/>
          <w:sz w:val="22"/>
          <w:szCs w:val="22"/>
        </w:rPr>
        <w:t xml:space="preserve">to </w:t>
      </w:r>
      <w:r w:rsidRPr="00521D95">
        <w:rPr>
          <w:rFonts w:ascii="Calibri" w:hAnsi="Calibri"/>
          <w:sz w:val="22"/>
          <w:szCs w:val="22"/>
        </w:rPr>
        <w:t xml:space="preserve"> present results</w:t>
      </w:r>
      <w:r w:rsidR="00F66225" w:rsidRPr="00521D95">
        <w:rPr>
          <w:rFonts w:ascii="Calibri" w:hAnsi="Calibri"/>
          <w:sz w:val="22"/>
          <w:szCs w:val="22"/>
        </w:rPr>
        <w:t xml:space="preserve"> in the form of IW science synthesis reports and analysis reports</w:t>
      </w:r>
      <w:r w:rsidRPr="00521D95">
        <w:rPr>
          <w:rFonts w:ascii="Calibri" w:hAnsi="Calibri"/>
          <w:sz w:val="22"/>
          <w:szCs w:val="22"/>
        </w:rPr>
        <w:t xml:space="preserve"> and hold workshops, consultation forums</w:t>
      </w:r>
      <w:r w:rsidR="00F66225" w:rsidRPr="00521D95">
        <w:rPr>
          <w:rFonts w:ascii="Calibri" w:hAnsi="Calibri"/>
          <w:sz w:val="22"/>
          <w:szCs w:val="22"/>
        </w:rPr>
        <w:t xml:space="preserve"> etc</w:t>
      </w:r>
      <w:r w:rsidRPr="00521D95">
        <w:rPr>
          <w:rFonts w:ascii="Calibri" w:hAnsi="Calibri"/>
          <w:sz w:val="22"/>
          <w:szCs w:val="22"/>
        </w:rPr>
        <w:t xml:space="preserve"> to discuss, refine and finalize findings/recommendations</w:t>
      </w:r>
      <w:r w:rsidR="00F66225" w:rsidRPr="00521D95">
        <w:rPr>
          <w:rFonts w:ascii="Calibri" w:hAnsi="Calibri"/>
          <w:sz w:val="22"/>
          <w:szCs w:val="22"/>
        </w:rPr>
        <w:t xml:space="preserve"> which have been published in a report for each group (except for rivers group)</w:t>
      </w:r>
      <w:r w:rsidR="006E6AF0">
        <w:rPr>
          <w:rFonts w:ascii="Calibri" w:hAnsi="Calibri"/>
          <w:sz w:val="22"/>
          <w:szCs w:val="22"/>
        </w:rPr>
        <w:t xml:space="preserve">. </w:t>
      </w:r>
      <w:r w:rsidRPr="006E6AF0">
        <w:rPr>
          <w:rFonts w:ascii="Calibri" w:hAnsi="Calibri"/>
          <w:sz w:val="22"/>
          <w:szCs w:val="22"/>
        </w:rPr>
        <w:t>Policy guidance/support for decision-mak</w:t>
      </w:r>
      <w:r w:rsidR="007346EC">
        <w:rPr>
          <w:rFonts w:ascii="Calibri" w:hAnsi="Calibri"/>
          <w:sz w:val="22"/>
          <w:szCs w:val="22"/>
        </w:rPr>
        <w:t xml:space="preserve">ings (policy brief) is </w:t>
      </w:r>
      <w:r w:rsidR="002134A1" w:rsidRPr="006E6AF0">
        <w:rPr>
          <w:rFonts w:ascii="Calibri" w:hAnsi="Calibri"/>
          <w:sz w:val="22"/>
          <w:szCs w:val="22"/>
        </w:rPr>
        <w:t>overdue</w:t>
      </w:r>
      <w:r w:rsidR="006E6AF0" w:rsidRPr="006E6AF0">
        <w:rPr>
          <w:rFonts w:ascii="Calibri" w:hAnsi="Calibri"/>
          <w:sz w:val="22"/>
          <w:szCs w:val="22"/>
        </w:rPr>
        <w:t xml:space="preserve"> but</w:t>
      </w:r>
      <w:r w:rsidR="007346EC">
        <w:rPr>
          <w:rFonts w:ascii="Calibri" w:hAnsi="Calibri"/>
          <w:sz w:val="22"/>
          <w:szCs w:val="22"/>
        </w:rPr>
        <w:t xml:space="preserve"> reported to be </w:t>
      </w:r>
      <w:r w:rsidR="006E6AF0" w:rsidRPr="006E6AF0">
        <w:rPr>
          <w:rFonts w:ascii="Calibri" w:hAnsi="Calibri"/>
          <w:sz w:val="22"/>
          <w:szCs w:val="22"/>
        </w:rPr>
        <w:t xml:space="preserve">close to </w:t>
      </w:r>
      <w:r w:rsidR="00D26ACC" w:rsidRPr="006E6AF0">
        <w:rPr>
          <w:rFonts w:ascii="Calibri" w:hAnsi="Calibri"/>
          <w:sz w:val="22"/>
          <w:szCs w:val="22"/>
        </w:rPr>
        <w:t>finalisation</w:t>
      </w:r>
      <w:r w:rsidR="006E6AF0" w:rsidRPr="006E6AF0">
        <w:rPr>
          <w:rFonts w:ascii="Calibri" w:hAnsi="Calibri"/>
          <w:sz w:val="22"/>
          <w:szCs w:val="22"/>
        </w:rPr>
        <w:t xml:space="preserve">. </w:t>
      </w:r>
    </w:p>
    <w:p w14:paraId="10C8845A" w14:textId="77777777" w:rsidR="00521D95" w:rsidRPr="00521D95" w:rsidRDefault="00521D95" w:rsidP="00521D95">
      <w:pPr>
        <w:autoSpaceDE w:val="0"/>
        <w:autoSpaceDN w:val="0"/>
        <w:adjustRightInd w:val="0"/>
        <w:jc w:val="both"/>
        <w:rPr>
          <w:rFonts w:ascii="Calibri" w:hAnsi="Calibri"/>
          <w:sz w:val="22"/>
          <w:szCs w:val="22"/>
        </w:rPr>
      </w:pPr>
    </w:p>
    <w:p w14:paraId="778A351A" w14:textId="709CF0DB" w:rsidR="00521D95" w:rsidRPr="00521D95" w:rsidRDefault="00DB3782" w:rsidP="00441297">
      <w:pPr>
        <w:pStyle w:val="Default"/>
        <w:jc w:val="both"/>
        <w:rPr>
          <w:rFonts w:ascii="Calibri" w:hAnsi="Calibri"/>
          <w:sz w:val="22"/>
          <w:szCs w:val="22"/>
        </w:rPr>
      </w:pPr>
      <w:r>
        <w:rPr>
          <w:rFonts w:ascii="Calibri" w:hAnsi="Calibri"/>
          <w:sz w:val="22"/>
          <w:szCs w:val="22"/>
        </w:rPr>
        <w:t xml:space="preserve">The conference </w:t>
      </w:r>
      <w:r w:rsidR="00521D95" w:rsidRPr="00521D95">
        <w:rPr>
          <w:rFonts w:ascii="Calibri" w:hAnsi="Calibri"/>
          <w:sz w:val="22"/>
          <w:szCs w:val="22"/>
        </w:rPr>
        <w:t>report makes a number of pertinent recommendations to GEF</w:t>
      </w:r>
      <w:r>
        <w:rPr>
          <w:rFonts w:ascii="Calibri" w:hAnsi="Calibri"/>
          <w:sz w:val="22"/>
          <w:szCs w:val="22"/>
        </w:rPr>
        <w:t xml:space="preserve"> and other stakeholders however these are dis</w:t>
      </w:r>
      <w:r w:rsidR="002134A1">
        <w:rPr>
          <w:rFonts w:ascii="Calibri" w:hAnsi="Calibri"/>
          <w:sz w:val="22"/>
          <w:szCs w:val="22"/>
        </w:rPr>
        <w:t>persed</w:t>
      </w:r>
      <w:r>
        <w:rPr>
          <w:rFonts w:ascii="Calibri" w:hAnsi="Calibri"/>
          <w:sz w:val="22"/>
          <w:szCs w:val="22"/>
        </w:rPr>
        <w:t xml:space="preserve"> throughout much of the document and some are rather vague especially with regard to how they might be achieved within the context of the GEF IW portfolio </w:t>
      </w:r>
      <w:r w:rsidR="00D26ACC">
        <w:rPr>
          <w:rFonts w:ascii="Calibri" w:hAnsi="Calibri"/>
          <w:sz w:val="22"/>
          <w:szCs w:val="22"/>
        </w:rPr>
        <w:t xml:space="preserve">e.g. </w:t>
      </w:r>
      <w:r w:rsidR="00DC162D" w:rsidRPr="006B09E3">
        <w:rPr>
          <w:rFonts w:asciiTheme="majorHAnsi" w:hAnsiTheme="majorHAnsi"/>
          <w:i/>
          <w:sz w:val="22"/>
          <w:szCs w:val="22"/>
        </w:rPr>
        <w:t>“Pay full attention of the drivers of change, including demography, economic development and climate change;</w:t>
      </w:r>
      <w:r w:rsidR="00DC162D">
        <w:rPr>
          <w:sz w:val="23"/>
          <w:szCs w:val="23"/>
        </w:rPr>
        <w:t xml:space="preserve"> </w:t>
      </w:r>
      <w:r w:rsidR="006B09E3">
        <w:rPr>
          <w:sz w:val="23"/>
          <w:szCs w:val="23"/>
        </w:rPr>
        <w:t>“</w:t>
      </w:r>
      <w:r>
        <w:rPr>
          <w:rFonts w:ascii="Calibri" w:hAnsi="Calibri"/>
          <w:sz w:val="22"/>
          <w:szCs w:val="22"/>
        </w:rPr>
        <w:t xml:space="preserve"> others are more pragmatic</w:t>
      </w:r>
      <w:r w:rsidR="006B09E3">
        <w:rPr>
          <w:rFonts w:ascii="Calibri" w:hAnsi="Calibri"/>
          <w:sz w:val="22"/>
          <w:szCs w:val="22"/>
        </w:rPr>
        <w:t xml:space="preserve"> </w:t>
      </w:r>
      <w:r w:rsidR="00D26ACC">
        <w:rPr>
          <w:rFonts w:ascii="Calibri" w:hAnsi="Calibri"/>
          <w:sz w:val="22"/>
          <w:szCs w:val="22"/>
        </w:rPr>
        <w:t xml:space="preserve">e.g. </w:t>
      </w:r>
      <w:r w:rsidR="006B09E3" w:rsidRPr="006B09E3">
        <w:rPr>
          <w:rFonts w:asciiTheme="majorHAnsi" w:hAnsiTheme="majorHAnsi"/>
          <w:i/>
          <w:sz w:val="22"/>
          <w:szCs w:val="22"/>
        </w:rPr>
        <w:t>“GEF should develop an effective learning strategy, including a meta-database of scientific knowledge that also should capture evaluations of the effectiveness of governance structures, and the transfer of science into project governance and policy. There needs to be official guidance on GEF I</w:t>
      </w:r>
      <w:r w:rsidR="006B09E3">
        <w:rPr>
          <w:rFonts w:asciiTheme="majorHAnsi" w:hAnsiTheme="majorHAnsi"/>
          <w:i/>
          <w:sz w:val="22"/>
          <w:szCs w:val="22"/>
        </w:rPr>
        <w:t xml:space="preserve">W learning budgets (use of 1%)”. </w:t>
      </w:r>
      <w:r>
        <w:rPr>
          <w:rFonts w:ascii="Calibri" w:hAnsi="Calibri"/>
          <w:sz w:val="22"/>
          <w:szCs w:val="22"/>
        </w:rPr>
        <w:t xml:space="preserve"> The </w:t>
      </w:r>
      <w:r w:rsidR="00521D95" w:rsidRPr="00521D95">
        <w:rPr>
          <w:rFonts w:ascii="Calibri" w:hAnsi="Calibri"/>
          <w:sz w:val="22"/>
          <w:szCs w:val="22"/>
        </w:rPr>
        <w:t xml:space="preserve">MTE </w:t>
      </w:r>
      <w:r>
        <w:rPr>
          <w:rFonts w:ascii="Calibri" w:hAnsi="Calibri"/>
          <w:sz w:val="22"/>
          <w:szCs w:val="22"/>
        </w:rPr>
        <w:t>believes that the more practicable recommendations be</w:t>
      </w:r>
      <w:r w:rsidR="00521D95" w:rsidRPr="00521D95">
        <w:rPr>
          <w:rFonts w:ascii="Calibri" w:hAnsi="Calibri"/>
          <w:sz w:val="22"/>
          <w:szCs w:val="22"/>
        </w:rPr>
        <w:t xml:space="preserve"> extracted and submitted to GEF in a separate note which </w:t>
      </w:r>
      <w:r>
        <w:rPr>
          <w:rFonts w:ascii="Calibri" w:hAnsi="Calibri"/>
          <w:sz w:val="22"/>
          <w:szCs w:val="22"/>
        </w:rPr>
        <w:t xml:space="preserve">should </w:t>
      </w:r>
      <w:r w:rsidR="00521D95" w:rsidRPr="00521D95">
        <w:rPr>
          <w:rFonts w:ascii="Calibri" w:hAnsi="Calibri"/>
          <w:sz w:val="22"/>
          <w:szCs w:val="22"/>
        </w:rPr>
        <w:t xml:space="preserve">lead to a </w:t>
      </w:r>
      <w:r>
        <w:rPr>
          <w:rFonts w:ascii="Calibri" w:hAnsi="Calibri"/>
          <w:sz w:val="22"/>
          <w:szCs w:val="22"/>
        </w:rPr>
        <w:t xml:space="preserve">considered response </w:t>
      </w:r>
      <w:r w:rsidR="00521D95" w:rsidRPr="00521D95">
        <w:rPr>
          <w:rFonts w:ascii="Calibri" w:hAnsi="Calibri"/>
          <w:sz w:val="22"/>
          <w:szCs w:val="22"/>
        </w:rPr>
        <w:t xml:space="preserve">which </w:t>
      </w:r>
      <w:proofErr w:type="gramStart"/>
      <w:r w:rsidR="006B09E3">
        <w:rPr>
          <w:rFonts w:ascii="Calibri" w:hAnsi="Calibri"/>
          <w:sz w:val="22"/>
          <w:szCs w:val="22"/>
        </w:rPr>
        <w:t xml:space="preserve">should </w:t>
      </w:r>
      <w:r w:rsidR="00521D95" w:rsidRPr="00521D95">
        <w:rPr>
          <w:rFonts w:ascii="Calibri" w:hAnsi="Calibri"/>
          <w:sz w:val="22"/>
          <w:szCs w:val="22"/>
        </w:rPr>
        <w:t xml:space="preserve"> be</w:t>
      </w:r>
      <w:proofErr w:type="gramEnd"/>
      <w:r w:rsidR="00521D95" w:rsidRPr="00521D95">
        <w:rPr>
          <w:rFonts w:ascii="Calibri" w:hAnsi="Calibri"/>
          <w:sz w:val="22"/>
          <w:szCs w:val="22"/>
        </w:rPr>
        <w:t xml:space="preserve"> published on the IW LEARN web site</w:t>
      </w:r>
      <w:r>
        <w:rPr>
          <w:rFonts w:ascii="Calibri" w:hAnsi="Calibri"/>
          <w:sz w:val="22"/>
          <w:szCs w:val="22"/>
        </w:rPr>
        <w:t xml:space="preserve"> and used among other things to assess future impacts</w:t>
      </w:r>
      <w:r w:rsidR="00521D95" w:rsidRPr="00521D95">
        <w:rPr>
          <w:rFonts w:ascii="Calibri" w:hAnsi="Calibri"/>
          <w:sz w:val="22"/>
          <w:szCs w:val="22"/>
        </w:rPr>
        <w:t xml:space="preserve">. Failing this much of the value of </w:t>
      </w:r>
      <w:r>
        <w:rPr>
          <w:rFonts w:ascii="Calibri" w:hAnsi="Calibri"/>
          <w:sz w:val="22"/>
          <w:szCs w:val="22"/>
        </w:rPr>
        <w:t>the conference</w:t>
      </w:r>
      <w:r w:rsidR="00644109">
        <w:rPr>
          <w:rFonts w:ascii="Calibri" w:hAnsi="Calibri"/>
          <w:sz w:val="22"/>
          <w:szCs w:val="22"/>
        </w:rPr>
        <w:t xml:space="preserve"> will be lost. If it is intended that the Policy guidance brief mentioned above </w:t>
      </w:r>
      <w:proofErr w:type="gramStart"/>
      <w:r w:rsidR="00644109">
        <w:rPr>
          <w:rFonts w:ascii="Calibri" w:hAnsi="Calibri"/>
          <w:sz w:val="22"/>
          <w:szCs w:val="22"/>
        </w:rPr>
        <w:t>will</w:t>
      </w:r>
      <w:proofErr w:type="gramEnd"/>
      <w:r w:rsidR="00644109">
        <w:rPr>
          <w:rFonts w:ascii="Calibri" w:hAnsi="Calibri"/>
          <w:sz w:val="22"/>
          <w:szCs w:val="22"/>
        </w:rPr>
        <w:t xml:space="preserve"> cover this adequately then </w:t>
      </w:r>
      <w:r w:rsidR="002134A1">
        <w:rPr>
          <w:rFonts w:ascii="Calibri" w:hAnsi="Calibri"/>
          <w:sz w:val="22"/>
          <w:szCs w:val="22"/>
        </w:rPr>
        <w:t>this recommendation</w:t>
      </w:r>
      <w:r w:rsidR="00644109">
        <w:rPr>
          <w:rFonts w:ascii="Calibri" w:hAnsi="Calibri"/>
          <w:sz w:val="22"/>
          <w:szCs w:val="22"/>
        </w:rPr>
        <w:t xml:space="preserve"> may be redundant. </w:t>
      </w:r>
    </w:p>
    <w:p w14:paraId="254527D8" w14:textId="77777777" w:rsidR="00B42D69" w:rsidRPr="0040711B" w:rsidRDefault="00B42D69" w:rsidP="008A3B91">
      <w:pPr>
        <w:rPr>
          <w:rFonts w:ascii="Calibri" w:hAnsi="Calibri"/>
          <w:b/>
          <w:sz w:val="22"/>
          <w:szCs w:val="22"/>
        </w:rPr>
      </w:pPr>
    </w:p>
    <w:p w14:paraId="528FA2CF" w14:textId="3C5DB99C" w:rsidR="00D16DFD" w:rsidRPr="0040711B" w:rsidRDefault="00D16DFD" w:rsidP="00D16DFD">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Sub-Component 3d: IW Focal Area Portfolio Results Dissemination</w:t>
      </w:r>
      <w:r w:rsidR="00F82277">
        <w:rPr>
          <w:rFonts w:ascii="Calibri" w:hAnsi="Calibri"/>
          <w:color w:val="3366FF"/>
          <w:sz w:val="22"/>
          <w:szCs w:val="22"/>
        </w:rPr>
        <w:t xml:space="preserve"> – Lead Partner UNU </w:t>
      </w:r>
    </w:p>
    <w:p w14:paraId="4B46896D" w14:textId="6AFE9F19" w:rsidR="004125FD" w:rsidRPr="0040711B" w:rsidRDefault="00C8437D" w:rsidP="004125FD">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E</w:t>
      </w:r>
      <w:r w:rsidR="004125FD" w:rsidRPr="0040711B">
        <w:rPr>
          <w:rFonts w:ascii="Calibri" w:hAnsi="Calibri"/>
          <w:color w:val="3366FF"/>
          <w:sz w:val="22"/>
          <w:szCs w:val="22"/>
        </w:rPr>
        <w:t xml:space="preserve">xpected </w:t>
      </w:r>
      <w:r w:rsidR="004125FD" w:rsidRPr="0040711B">
        <w:rPr>
          <w:rFonts w:ascii="Calibri" w:hAnsi="Calibri"/>
          <w:b/>
          <w:color w:val="3366FF"/>
          <w:sz w:val="22"/>
          <w:szCs w:val="22"/>
        </w:rPr>
        <w:t>outputs</w:t>
      </w:r>
      <w:r w:rsidR="004125FD" w:rsidRPr="0040711B">
        <w:rPr>
          <w:rFonts w:ascii="Calibri" w:hAnsi="Calibri"/>
          <w:color w:val="3366FF"/>
          <w:sz w:val="22"/>
          <w:szCs w:val="22"/>
        </w:rPr>
        <w:t xml:space="preserve"> are:</w:t>
      </w:r>
      <w:r w:rsidRPr="0040711B">
        <w:rPr>
          <w:rFonts w:ascii="Calibri" w:hAnsi="Calibri"/>
          <w:color w:val="3366FF"/>
          <w:sz w:val="22"/>
          <w:szCs w:val="22"/>
        </w:rPr>
        <w:t xml:space="preserve"> a)</w:t>
      </w:r>
      <w:r w:rsidR="004125FD" w:rsidRPr="0040711B">
        <w:rPr>
          <w:rFonts w:ascii="Calibri" w:hAnsi="Calibri"/>
          <w:color w:val="3366FF"/>
          <w:sz w:val="22"/>
          <w:szCs w:val="22"/>
        </w:rPr>
        <w:t xml:space="preserve"> GEF IW project results and achievements captured in peer-reviewed journal.</w:t>
      </w:r>
      <w:r w:rsidRPr="0040711B">
        <w:rPr>
          <w:rFonts w:ascii="Calibri" w:hAnsi="Calibri"/>
          <w:color w:val="3366FF"/>
          <w:sz w:val="22"/>
          <w:szCs w:val="22"/>
        </w:rPr>
        <w:t xml:space="preserve"> b)</w:t>
      </w:r>
      <w:r w:rsidR="004125FD" w:rsidRPr="0040711B">
        <w:rPr>
          <w:rFonts w:ascii="Calibri" w:hAnsi="Calibri"/>
          <w:color w:val="3366FF"/>
          <w:sz w:val="22"/>
          <w:szCs w:val="22"/>
        </w:rPr>
        <w:t xml:space="preserve"> The achievements of the GEF IW Focal Area presented in two publications focusing on marine and freshwater systems.</w:t>
      </w:r>
      <w:r w:rsidRPr="0040711B">
        <w:rPr>
          <w:rFonts w:ascii="Calibri" w:hAnsi="Calibri"/>
          <w:color w:val="3366FF"/>
          <w:sz w:val="22"/>
          <w:szCs w:val="22"/>
        </w:rPr>
        <w:t xml:space="preserve"> c) </w:t>
      </w:r>
      <w:r w:rsidR="004125FD" w:rsidRPr="0040711B">
        <w:rPr>
          <w:rFonts w:ascii="Calibri" w:hAnsi="Calibri"/>
          <w:color w:val="3366FF"/>
          <w:sz w:val="22"/>
          <w:szCs w:val="22"/>
        </w:rPr>
        <w:t xml:space="preserve">The achievements of the GEF IW Focal Area presented in a </w:t>
      </w:r>
      <w:proofErr w:type="gramStart"/>
      <w:r w:rsidR="004125FD" w:rsidRPr="0040711B">
        <w:rPr>
          <w:rFonts w:ascii="Calibri" w:hAnsi="Calibri"/>
          <w:color w:val="3366FF"/>
          <w:sz w:val="22"/>
          <w:szCs w:val="22"/>
        </w:rPr>
        <w:t>20 minute</w:t>
      </w:r>
      <w:proofErr w:type="gramEnd"/>
      <w:r w:rsidR="004125FD" w:rsidRPr="0040711B">
        <w:rPr>
          <w:rFonts w:ascii="Calibri" w:hAnsi="Calibri"/>
          <w:color w:val="3366FF"/>
          <w:sz w:val="22"/>
          <w:szCs w:val="22"/>
        </w:rPr>
        <w:t xml:space="preserve"> film.</w:t>
      </w:r>
    </w:p>
    <w:p w14:paraId="652C36ED" w14:textId="77777777" w:rsidR="008A3B91" w:rsidRDefault="008A3B91" w:rsidP="008A3B91">
      <w:pPr>
        <w:autoSpaceDE w:val="0"/>
        <w:autoSpaceDN w:val="0"/>
        <w:adjustRightInd w:val="0"/>
        <w:rPr>
          <w:rFonts w:ascii="Calibri" w:hAnsi="Calibri"/>
          <w:sz w:val="22"/>
          <w:szCs w:val="22"/>
        </w:rPr>
      </w:pPr>
    </w:p>
    <w:p w14:paraId="4631D860" w14:textId="252ADA46" w:rsidR="00B42D69" w:rsidRPr="00644109" w:rsidRDefault="00F82277" w:rsidP="003A2A6A">
      <w:pPr>
        <w:autoSpaceDE w:val="0"/>
        <w:autoSpaceDN w:val="0"/>
        <w:adjustRightInd w:val="0"/>
        <w:jc w:val="both"/>
        <w:rPr>
          <w:rFonts w:asciiTheme="majorHAnsi" w:hAnsiTheme="majorHAnsi" w:cs="Arial"/>
          <w:sz w:val="22"/>
          <w:szCs w:val="22"/>
        </w:rPr>
      </w:pPr>
      <w:r w:rsidRPr="00644109">
        <w:rPr>
          <w:rFonts w:asciiTheme="majorHAnsi" w:hAnsiTheme="majorHAnsi"/>
          <w:sz w:val="22"/>
          <w:szCs w:val="22"/>
        </w:rPr>
        <w:t>The MTE assessed this component as</w:t>
      </w:r>
      <w:r w:rsidR="002134A1">
        <w:rPr>
          <w:rFonts w:asciiTheme="majorHAnsi" w:hAnsiTheme="majorHAnsi"/>
          <w:sz w:val="22"/>
          <w:szCs w:val="22"/>
        </w:rPr>
        <w:t xml:space="preserve"> </w:t>
      </w:r>
      <w:r w:rsidR="00EA3BC6" w:rsidRPr="002134A1">
        <w:rPr>
          <w:rFonts w:asciiTheme="majorHAnsi" w:hAnsiTheme="majorHAnsi"/>
          <w:b/>
          <w:sz w:val="22"/>
          <w:szCs w:val="22"/>
        </w:rPr>
        <w:t>Moderately</w:t>
      </w:r>
      <w:r w:rsidR="00F32D1D">
        <w:rPr>
          <w:rFonts w:asciiTheme="majorHAnsi" w:hAnsiTheme="majorHAnsi"/>
          <w:b/>
          <w:sz w:val="22"/>
          <w:szCs w:val="22"/>
        </w:rPr>
        <w:t xml:space="preserve"> S</w:t>
      </w:r>
      <w:r w:rsidRPr="002134A1">
        <w:rPr>
          <w:rFonts w:asciiTheme="majorHAnsi" w:hAnsiTheme="majorHAnsi"/>
          <w:b/>
          <w:sz w:val="22"/>
          <w:szCs w:val="22"/>
        </w:rPr>
        <w:t>atisfactory</w:t>
      </w:r>
      <w:r w:rsidRPr="00644109">
        <w:rPr>
          <w:rFonts w:asciiTheme="majorHAnsi" w:hAnsiTheme="majorHAnsi"/>
          <w:b/>
          <w:sz w:val="22"/>
          <w:szCs w:val="22"/>
        </w:rPr>
        <w:t>.</w:t>
      </w:r>
      <w:r w:rsidR="007158A5" w:rsidRPr="00644109">
        <w:rPr>
          <w:rFonts w:asciiTheme="majorHAnsi" w:hAnsiTheme="majorHAnsi"/>
          <w:b/>
          <w:sz w:val="22"/>
          <w:szCs w:val="22"/>
        </w:rPr>
        <w:t xml:space="preserve"> </w:t>
      </w:r>
      <w:r w:rsidR="00A3531B" w:rsidRPr="00644109">
        <w:rPr>
          <w:rFonts w:asciiTheme="majorHAnsi" w:hAnsiTheme="majorHAnsi" w:cs="Arial"/>
          <w:sz w:val="22"/>
          <w:szCs w:val="22"/>
        </w:rPr>
        <w:t>Arran</w:t>
      </w:r>
      <w:r w:rsidR="00D26ACC">
        <w:rPr>
          <w:rFonts w:asciiTheme="majorHAnsi" w:hAnsiTheme="majorHAnsi" w:cs="Arial"/>
          <w:sz w:val="22"/>
          <w:szCs w:val="22"/>
        </w:rPr>
        <w:t xml:space="preserve">gements have been made for two </w:t>
      </w:r>
      <w:r w:rsidR="00A3531B" w:rsidRPr="00644109">
        <w:rPr>
          <w:rFonts w:asciiTheme="majorHAnsi" w:hAnsiTheme="majorHAnsi" w:cs="Arial"/>
          <w:sz w:val="22"/>
          <w:szCs w:val="22"/>
        </w:rPr>
        <w:t xml:space="preserve">special editions of  </w:t>
      </w:r>
      <w:r w:rsidR="00B42D69" w:rsidRPr="00644109">
        <w:rPr>
          <w:rFonts w:asciiTheme="majorHAnsi" w:hAnsiTheme="majorHAnsi" w:cs="Arial"/>
          <w:sz w:val="22"/>
          <w:szCs w:val="22"/>
        </w:rPr>
        <w:t xml:space="preserve"> ‘Environmental Development’ </w:t>
      </w:r>
      <w:r w:rsidR="00A3531B" w:rsidRPr="00644109">
        <w:rPr>
          <w:rFonts w:asciiTheme="majorHAnsi" w:hAnsiTheme="majorHAnsi" w:cs="Arial"/>
          <w:sz w:val="22"/>
          <w:szCs w:val="22"/>
        </w:rPr>
        <w:t>and an e</w:t>
      </w:r>
      <w:r w:rsidR="00B42D69" w:rsidRPr="00644109">
        <w:rPr>
          <w:rFonts w:asciiTheme="majorHAnsi" w:hAnsiTheme="majorHAnsi" w:cs="Arial"/>
          <w:sz w:val="22"/>
          <w:szCs w:val="22"/>
        </w:rPr>
        <w:t>ditor nominated and retained.</w:t>
      </w:r>
      <w:r w:rsidR="00A3531B" w:rsidRPr="00644109">
        <w:rPr>
          <w:rFonts w:asciiTheme="majorHAnsi" w:hAnsiTheme="majorHAnsi" w:cs="Arial"/>
          <w:sz w:val="22"/>
          <w:szCs w:val="22"/>
        </w:rPr>
        <w:t xml:space="preserve"> Deadline for papers </w:t>
      </w:r>
      <w:r w:rsidR="00521D95" w:rsidRPr="00644109">
        <w:rPr>
          <w:rFonts w:asciiTheme="majorHAnsi" w:hAnsiTheme="majorHAnsi" w:cs="Arial"/>
          <w:sz w:val="22"/>
          <w:szCs w:val="22"/>
        </w:rPr>
        <w:t xml:space="preserve">1 </w:t>
      </w:r>
      <w:r w:rsidR="00A3531B" w:rsidRPr="00644109">
        <w:rPr>
          <w:rFonts w:asciiTheme="majorHAnsi" w:hAnsiTheme="majorHAnsi" w:cs="Arial"/>
          <w:sz w:val="22"/>
          <w:szCs w:val="22"/>
        </w:rPr>
        <w:t xml:space="preserve">February for </w:t>
      </w:r>
      <w:r w:rsidR="00521D95" w:rsidRPr="00644109">
        <w:rPr>
          <w:rFonts w:asciiTheme="majorHAnsi" w:hAnsiTheme="majorHAnsi" w:cs="Arial"/>
          <w:sz w:val="22"/>
          <w:szCs w:val="22"/>
        </w:rPr>
        <w:t>publication</w:t>
      </w:r>
      <w:r w:rsidR="00A3531B" w:rsidRPr="00644109">
        <w:rPr>
          <w:rFonts w:asciiTheme="majorHAnsi" w:hAnsiTheme="majorHAnsi" w:cs="Arial"/>
          <w:sz w:val="22"/>
          <w:szCs w:val="22"/>
        </w:rPr>
        <w:t xml:space="preserve"> in July, sufficient papers have been promised but </w:t>
      </w:r>
      <w:r w:rsidR="00A3531B" w:rsidRPr="006E6AF0">
        <w:rPr>
          <w:rFonts w:asciiTheme="majorHAnsi" w:hAnsiTheme="majorHAnsi" w:cs="Arial"/>
          <w:sz w:val="22"/>
          <w:szCs w:val="22"/>
        </w:rPr>
        <w:t xml:space="preserve">only </w:t>
      </w:r>
      <w:r w:rsidR="00521D95" w:rsidRPr="006E6AF0">
        <w:rPr>
          <w:rFonts w:asciiTheme="majorHAnsi" w:hAnsiTheme="majorHAnsi" w:cs="Arial"/>
          <w:sz w:val="22"/>
          <w:szCs w:val="22"/>
        </w:rPr>
        <w:t>5</w:t>
      </w:r>
      <w:r w:rsidR="00A3531B" w:rsidRPr="006E6AF0">
        <w:rPr>
          <w:rFonts w:asciiTheme="majorHAnsi" w:hAnsiTheme="majorHAnsi" w:cs="Arial"/>
          <w:sz w:val="22"/>
          <w:szCs w:val="22"/>
        </w:rPr>
        <w:t xml:space="preserve"> received at time</w:t>
      </w:r>
      <w:r w:rsidR="002134A1" w:rsidRPr="006E6AF0">
        <w:rPr>
          <w:rFonts w:asciiTheme="majorHAnsi" w:hAnsiTheme="majorHAnsi" w:cs="Arial"/>
          <w:sz w:val="22"/>
          <w:szCs w:val="22"/>
        </w:rPr>
        <w:t xml:space="preserve"> of MTE and the whole process </w:t>
      </w:r>
      <w:r w:rsidR="00D26ACC">
        <w:rPr>
          <w:rFonts w:asciiTheme="majorHAnsi" w:hAnsiTheme="majorHAnsi" w:cs="Arial"/>
          <w:sz w:val="22"/>
          <w:szCs w:val="22"/>
        </w:rPr>
        <w:t xml:space="preserve">is </w:t>
      </w:r>
      <w:r w:rsidR="00EA6567" w:rsidRPr="006E6AF0">
        <w:rPr>
          <w:rFonts w:asciiTheme="majorHAnsi" w:hAnsiTheme="majorHAnsi" w:cs="Arial"/>
          <w:sz w:val="22"/>
          <w:szCs w:val="22"/>
        </w:rPr>
        <w:t>overdue by about 8 months</w:t>
      </w:r>
      <w:r w:rsidR="00EA6567">
        <w:rPr>
          <w:rFonts w:asciiTheme="majorHAnsi" w:hAnsiTheme="majorHAnsi" w:cs="Arial"/>
          <w:sz w:val="22"/>
          <w:szCs w:val="22"/>
        </w:rPr>
        <w:t xml:space="preserve"> </w:t>
      </w:r>
      <w:r w:rsidR="00A3531B" w:rsidRPr="00644109">
        <w:rPr>
          <w:rFonts w:asciiTheme="majorHAnsi" w:hAnsiTheme="majorHAnsi" w:cs="Arial"/>
          <w:sz w:val="22"/>
          <w:szCs w:val="22"/>
        </w:rPr>
        <w:t xml:space="preserve"> </w:t>
      </w:r>
    </w:p>
    <w:p w14:paraId="5B6A679F" w14:textId="77777777" w:rsidR="00A3531B" w:rsidRPr="00644109" w:rsidRDefault="00A3531B" w:rsidP="003A2A6A">
      <w:pPr>
        <w:jc w:val="both"/>
        <w:rPr>
          <w:rFonts w:asciiTheme="majorHAnsi" w:hAnsiTheme="majorHAnsi" w:cs="Arial"/>
          <w:sz w:val="22"/>
          <w:szCs w:val="22"/>
        </w:rPr>
      </w:pPr>
    </w:p>
    <w:p w14:paraId="3E2014E3" w14:textId="3C7B1685" w:rsidR="00B42D69" w:rsidRPr="00644109" w:rsidRDefault="00B42D69" w:rsidP="003A2A6A">
      <w:pPr>
        <w:jc w:val="both"/>
        <w:rPr>
          <w:rFonts w:asciiTheme="majorHAnsi" w:hAnsiTheme="majorHAnsi" w:cs="Arial"/>
          <w:sz w:val="22"/>
          <w:szCs w:val="22"/>
        </w:rPr>
      </w:pPr>
      <w:r w:rsidRPr="00644109">
        <w:rPr>
          <w:rFonts w:asciiTheme="majorHAnsi" w:hAnsiTheme="majorHAnsi" w:cs="Arial"/>
          <w:sz w:val="22"/>
          <w:szCs w:val="22"/>
        </w:rPr>
        <w:t xml:space="preserve">‘Community to Cabinet: Two Decades of GEF Action to Secure Transboundary River Basins and Aquifers’ </w:t>
      </w:r>
      <w:r w:rsidR="00D26ACC">
        <w:rPr>
          <w:rFonts w:asciiTheme="majorHAnsi" w:hAnsiTheme="majorHAnsi" w:cs="Arial"/>
          <w:sz w:val="22"/>
          <w:szCs w:val="22"/>
        </w:rPr>
        <w:t xml:space="preserve">was </w:t>
      </w:r>
      <w:r w:rsidRPr="00644109">
        <w:rPr>
          <w:rFonts w:asciiTheme="majorHAnsi" w:hAnsiTheme="majorHAnsi" w:cs="Arial"/>
          <w:sz w:val="22"/>
          <w:szCs w:val="22"/>
        </w:rPr>
        <w:t>completed and launched a</w:t>
      </w:r>
      <w:r w:rsidR="00EA6567">
        <w:rPr>
          <w:rFonts w:asciiTheme="majorHAnsi" w:hAnsiTheme="majorHAnsi" w:cs="Arial"/>
          <w:sz w:val="22"/>
          <w:szCs w:val="22"/>
        </w:rPr>
        <w:t>t WWF6 in Marseille, March 2012,</w:t>
      </w:r>
      <w:r w:rsidRPr="00644109">
        <w:rPr>
          <w:rFonts w:asciiTheme="majorHAnsi" w:hAnsiTheme="majorHAnsi" w:cs="Arial"/>
          <w:sz w:val="22"/>
          <w:szCs w:val="22"/>
        </w:rPr>
        <w:t xml:space="preserve"> 800 copies distributed. </w:t>
      </w:r>
    </w:p>
    <w:p w14:paraId="6484D3C4" w14:textId="738FBB2E" w:rsidR="008A3B91" w:rsidRDefault="00D26ACC" w:rsidP="003A2A6A">
      <w:pPr>
        <w:jc w:val="both"/>
        <w:rPr>
          <w:rFonts w:asciiTheme="majorHAnsi" w:hAnsiTheme="majorHAnsi" w:cs="Arial"/>
          <w:sz w:val="22"/>
          <w:szCs w:val="22"/>
        </w:rPr>
      </w:pPr>
      <w:r>
        <w:rPr>
          <w:rFonts w:asciiTheme="majorHAnsi" w:hAnsiTheme="majorHAnsi" w:cs="Arial"/>
          <w:sz w:val="22"/>
          <w:szCs w:val="22"/>
        </w:rPr>
        <w:t>With regard to the</w:t>
      </w:r>
      <w:r w:rsidR="00B42D69" w:rsidRPr="00644109">
        <w:rPr>
          <w:rFonts w:asciiTheme="majorHAnsi" w:hAnsiTheme="majorHAnsi" w:cs="Arial"/>
          <w:sz w:val="22"/>
          <w:szCs w:val="22"/>
        </w:rPr>
        <w:t xml:space="preserve"> Marine publication </w:t>
      </w:r>
      <w:r>
        <w:rPr>
          <w:rFonts w:asciiTheme="majorHAnsi" w:hAnsiTheme="majorHAnsi" w:cs="Arial"/>
          <w:sz w:val="22"/>
          <w:szCs w:val="22"/>
        </w:rPr>
        <w:t xml:space="preserve">an </w:t>
      </w:r>
      <w:r w:rsidR="00B42D69" w:rsidRPr="00644109">
        <w:rPr>
          <w:rFonts w:asciiTheme="majorHAnsi" w:hAnsiTheme="majorHAnsi" w:cs="Arial"/>
          <w:sz w:val="22"/>
          <w:szCs w:val="22"/>
        </w:rPr>
        <w:t>annotated content list, story angles and contacts</w:t>
      </w:r>
      <w:r>
        <w:rPr>
          <w:rFonts w:asciiTheme="majorHAnsi" w:hAnsiTheme="majorHAnsi" w:cs="Arial"/>
          <w:sz w:val="22"/>
          <w:szCs w:val="22"/>
        </w:rPr>
        <w:t xml:space="preserve"> are</w:t>
      </w:r>
      <w:r w:rsidR="00B42D69" w:rsidRPr="00644109">
        <w:rPr>
          <w:rFonts w:asciiTheme="majorHAnsi" w:hAnsiTheme="majorHAnsi" w:cs="Arial"/>
          <w:sz w:val="22"/>
          <w:szCs w:val="22"/>
        </w:rPr>
        <w:t xml:space="preserve"> being prepared by</w:t>
      </w:r>
      <w:r>
        <w:rPr>
          <w:rFonts w:asciiTheme="majorHAnsi" w:hAnsiTheme="majorHAnsi" w:cs="Arial"/>
          <w:sz w:val="22"/>
          <w:szCs w:val="22"/>
        </w:rPr>
        <w:t xml:space="preserve"> a</w:t>
      </w:r>
      <w:r w:rsidR="00B42D69" w:rsidRPr="00644109">
        <w:rPr>
          <w:rFonts w:asciiTheme="majorHAnsi" w:hAnsiTheme="majorHAnsi" w:cs="Arial"/>
          <w:sz w:val="22"/>
          <w:szCs w:val="22"/>
        </w:rPr>
        <w:t xml:space="preserve"> consultant author </w:t>
      </w:r>
      <w:r>
        <w:rPr>
          <w:rFonts w:asciiTheme="majorHAnsi" w:hAnsiTheme="majorHAnsi" w:cs="Arial"/>
          <w:sz w:val="22"/>
          <w:szCs w:val="22"/>
        </w:rPr>
        <w:t xml:space="preserve">but </w:t>
      </w:r>
      <w:r w:rsidR="00EA6567">
        <w:rPr>
          <w:rFonts w:asciiTheme="majorHAnsi" w:hAnsiTheme="majorHAnsi" w:cs="Arial"/>
          <w:sz w:val="22"/>
          <w:szCs w:val="22"/>
        </w:rPr>
        <w:t xml:space="preserve">publication </w:t>
      </w:r>
      <w:r>
        <w:rPr>
          <w:rFonts w:asciiTheme="majorHAnsi" w:hAnsiTheme="majorHAnsi" w:cs="Arial"/>
          <w:sz w:val="22"/>
          <w:szCs w:val="22"/>
        </w:rPr>
        <w:t xml:space="preserve">was </w:t>
      </w:r>
      <w:r w:rsidR="00B42D69" w:rsidRPr="00644109">
        <w:rPr>
          <w:rFonts w:asciiTheme="majorHAnsi" w:hAnsiTheme="majorHAnsi" w:cs="Arial"/>
          <w:sz w:val="22"/>
          <w:szCs w:val="22"/>
        </w:rPr>
        <w:t>pushed back Feb 2013 delivery as requested by GEF</w:t>
      </w:r>
      <w:r w:rsidR="007158A5" w:rsidRPr="00644109">
        <w:rPr>
          <w:rFonts w:asciiTheme="majorHAnsi" w:hAnsiTheme="majorHAnsi" w:cs="Arial"/>
          <w:sz w:val="22"/>
          <w:szCs w:val="22"/>
        </w:rPr>
        <w:t xml:space="preserve">. </w:t>
      </w:r>
      <w:r w:rsidR="00EA6567">
        <w:rPr>
          <w:rFonts w:asciiTheme="majorHAnsi" w:hAnsiTheme="majorHAnsi" w:cs="Arial"/>
          <w:sz w:val="22"/>
          <w:szCs w:val="22"/>
        </w:rPr>
        <w:t xml:space="preserve"> </w:t>
      </w:r>
      <w:r>
        <w:rPr>
          <w:rFonts w:asciiTheme="majorHAnsi" w:hAnsiTheme="majorHAnsi" w:cs="Arial"/>
          <w:sz w:val="22"/>
          <w:szCs w:val="22"/>
        </w:rPr>
        <w:t>According</w:t>
      </w:r>
      <w:r w:rsidR="00EA6567">
        <w:rPr>
          <w:rFonts w:asciiTheme="majorHAnsi" w:hAnsiTheme="majorHAnsi" w:cs="Arial"/>
          <w:sz w:val="22"/>
          <w:szCs w:val="22"/>
        </w:rPr>
        <w:t xml:space="preserve"> to the original workplan both these docs should have been completed by end Q3 of the project. </w:t>
      </w:r>
    </w:p>
    <w:p w14:paraId="111CFD62" w14:textId="77777777" w:rsidR="001B4338" w:rsidRDefault="001B4338" w:rsidP="003A2A6A">
      <w:pPr>
        <w:widowControl w:val="0"/>
        <w:autoSpaceDE w:val="0"/>
        <w:autoSpaceDN w:val="0"/>
        <w:adjustRightInd w:val="0"/>
        <w:jc w:val="both"/>
        <w:rPr>
          <w:rFonts w:asciiTheme="majorHAnsi" w:hAnsiTheme="majorHAnsi" w:cs="Arial"/>
          <w:sz w:val="22"/>
          <w:szCs w:val="22"/>
        </w:rPr>
      </w:pPr>
    </w:p>
    <w:p w14:paraId="33A45897" w14:textId="39FD823C" w:rsidR="00EA3BC6" w:rsidRPr="006B09E3" w:rsidRDefault="00EA3BC6" w:rsidP="003A2A6A">
      <w:pPr>
        <w:widowControl w:val="0"/>
        <w:autoSpaceDE w:val="0"/>
        <w:autoSpaceDN w:val="0"/>
        <w:adjustRightInd w:val="0"/>
        <w:jc w:val="both"/>
        <w:rPr>
          <w:rFonts w:asciiTheme="majorHAnsi" w:hAnsiTheme="majorHAnsi" w:cs="Helvetica"/>
          <w:color w:val="540002"/>
          <w:sz w:val="22"/>
          <w:szCs w:val="22"/>
          <w:lang w:val="en-US"/>
        </w:rPr>
      </w:pPr>
      <w:r w:rsidRPr="006B09E3">
        <w:rPr>
          <w:rFonts w:asciiTheme="majorHAnsi" w:hAnsiTheme="majorHAnsi" w:cs="Arial"/>
          <w:sz w:val="22"/>
          <w:szCs w:val="22"/>
        </w:rPr>
        <w:t xml:space="preserve">The proposed film was originally scheduled to </w:t>
      </w:r>
      <w:r w:rsidRPr="006B09E3">
        <w:rPr>
          <w:rFonts w:asciiTheme="majorHAnsi" w:hAnsiTheme="majorHAnsi" w:cs="Helvetica"/>
          <w:color w:val="540002"/>
          <w:sz w:val="22"/>
          <w:szCs w:val="22"/>
          <w:lang w:val="en-US"/>
        </w:rPr>
        <w:t xml:space="preserve">have been finished for Rio Plus 20 (June 2012) but owing in part to the delay in producing the marine publication production of the film was also delayed as it relies to some extent for its story line on that publication. Progress is now being made and it </w:t>
      </w:r>
      <w:proofErr w:type="gramStart"/>
      <w:r w:rsidRPr="006B09E3">
        <w:rPr>
          <w:rFonts w:asciiTheme="majorHAnsi" w:hAnsiTheme="majorHAnsi" w:cs="Helvetica"/>
          <w:color w:val="540002"/>
          <w:sz w:val="22"/>
          <w:szCs w:val="22"/>
          <w:lang w:val="en-US"/>
        </w:rPr>
        <w:t>is expected to be completed</w:t>
      </w:r>
      <w:proofErr w:type="gramEnd"/>
      <w:r w:rsidRPr="006B09E3">
        <w:rPr>
          <w:rFonts w:asciiTheme="majorHAnsi" w:hAnsiTheme="majorHAnsi" w:cs="Helvetica"/>
          <w:color w:val="540002"/>
          <w:sz w:val="22"/>
          <w:szCs w:val="22"/>
          <w:lang w:val="en-US"/>
        </w:rPr>
        <w:t xml:space="preserve"> during Q2 2013.</w:t>
      </w:r>
    </w:p>
    <w:p w14:paraId="760BB3CC" w14:textId="77777777" w:rsidR="00EA3BC6" w:rsidRPr="00EA6567" w:rsidRDefault="00EA3BC6" w:rsidP="00EA3BC6">
      <w:pPr>
        <w:widowControl w:val="0"/>
        <w:autoSpaceDE w:val="0"/>
        <w:autoSpaceDN w:val="0"/>
        <w:adjustRightInd w:val="0"/>
        <w:rPr>
          <w:rFonts w:asciiTheme="majorHAnsi" w:hAnsiTheme="majorHAnsi" w:cs="Arial"/>
          <w:sz w:val="22"/>
          <w:szCs w:val="22"/>
        </w:rPr>
      </w:pPr>
    </w:p>
    <w:p w14:paraId="5FFB2DC7" w14:textId="133D8935" w:rsidR="00D16DFD" w:rsidRPr="0040711B" w:rsidRDefault="00D16DFD" w:rsidP="004053C0">
      <w:pPr>
        <w:pBdr>
          <w:top w:val="single" w:sz="4" w:space="1" w:color="auto"/>
          <w:left w:val="single" w:sz="4" w:space="2" w:color="auto"/>
          <w:bottom w:val="single" w:sz="4" w:space="1" w:color="auto"/>
          <w:right w:val="single" w:sz="4" w:space="4" w:color="auto"/>
        </w:pBdr>
        <w:shd w:val="clear" w:color="auto" w:fill="C6D9F1" w:themeFill="text2" w:themeFillTint="33"/>
        <w:autoSpaceDE w:val="0"/>
        <w:autoSpaceDN w:val="0"/>
        <w:adjustRightInd w:val="0"/>
        <w:jc w:val="both"/>
        <w:rPr>
          <w:rFonts w:ascii="Calibri" w:hAnsi="Calibri"/>
          <w:color w:val="3366FF"/>
          <w:sz w:val="22"/>
          <w:szCs w:val="22"/>
        </w:rPr>
      </w:pPr>
      <w:r w:rsidRPr="0040711B">
        <w:rPr>
          <w:rFonts w:ascii="Calibri" w:hAnsi="Calibri"/>
          <w:b/>
          <w:color w:val="3366FF"/>
          <w:sz w:val="22"/>
          <w:szCs w:val="22"/>
        </w:rPr>
        <w:t>COMPONENT 4</w:t>
      </w:r>
      <w:r w:rsidRPr="0040711B">
        <w:rPr>
          <w:rFonts w:ascii="Calibri" w:hAnsi="Calibri"/>
          <w:color w:val="3366FF"/>
          <w:sz w:val="22"/>
          <w:szCs w:val="22"/>
        </w:rPr>
        <w:t>. Information Management and Communications Platform to Support GEF IW Projects Learning and Dialogue</w:t>
      </w:r>
      <w:r w:rsidR="007158A5">
        <w:rPr>
          <w:rFonts w:ascii="Calibri" w:hAnsi="Calibri"/>
          <w:color w:val="3366FF"/>
          <w:sz w:val="22"/>
          <w:szCs w:val="22"/>
        </w:rPr>
        <w:t xml:space="preserve">. Lead UNEP </w:t>
      </w:r>
    </w:p>
    <w:p w14:paraId="4218250D" w14:textId="77777777" w:rsidR="00D16DFD" w:rsidRPr="0040711B" w:rsidRDefault="00D16DFD" w:rsidP="00D16DFD">
      <w:pPr>
        <w:autoSpaceDE w:val="0"/>
        <w:autoSpaceDN w:val="0"/>
        <w:adjustRightInd w:val="0"/>
        <w:rPr>
          <w:rFonts w:ascii="Calibri" w:hAnsi="Calibri"/>
          <w:b/>
          <w:color w:val="3366FF"/>
          <w:sz w:val="22"/>
          <w:szCs w:val="22"/>
        </w:rPr>
      </w:pPr>
    </w:p>
    <w:p w14:paraId="0664BE5C" w14:textId="77777777" w:rsidR="00EA663C" w:rsidRPr="0040711B" w:rsidRDefault="00EA663C" w:rsidP="00EA663C">
      <w:pPr>
        <w:pBdr>
          <w:top w:val="single" w:sz="4" w:space="1" w:color="auto"/>
          <w:left w:val="single" w:sz="4" w:space="4" w:color="auto"/>
          <w:bottom w:val="single" w:sz="4" w:space="1" w:color="auto"/>
          <w:right w:val="single" w:sz="4" w:space="4" w:color="auto"/>
        </w:pBdr>
        <w:shd w:val="clear" w:color="auto" w:fill="EEECE1"/>
        <w:ind w:firstLine="720"/>
        <w:rPr>
          <w:rFonts w:ascii="Calibri" w:hAnsi="Calibri"/>
          <w:sz w:val="22"/>
          <w:szCs w:val="22"/>
        </w:rPr>
      </w:pPr>
    </w:p>
    <w:p w14:paraId="61E7866B" w14:textId="533FECB6" w:rsidR="00EA663C" w:rsidRPr="0040711B" w:rsidRDefault="00290862" w:rsidP="00EA663C">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E</w:t>
      </w:r>
      <w:r w:rsidR="00EA663C" w:rsidRPr="0040711B">
        <w:rPr>
          <w:rFonts w:ascii="Calibri" w:hAnsi="Calibri"/>
          <w:color w:val="3366FF"/>
          <w:sz w:val="22"/>
          <w:szCs w:val="22"/>
        </w:rPr>
        <w:t xml:space="preserve">xpected </w:t>
      </w:r>
      <w:r w:rsidR="00EA663C" w:rsidRPr="0040711B">
        <w:rPr>
          <w:rFonts w:ascii="Calibri" w:hAnsi="Calibri"/>
          <w:b/>
          <w:color w:val="3366FF"/>
          <w:sz w:val="22"/>
          <w:szCs w:val="22"/>
        </w:rPr>
        <w:t>outputs</w:t>
      </w:r>
      <w:r w:rsidR="00EA663C" w:rsidRPr="0040711B">
        <w:rPr>
          <w:rFonts w:ascii="Calibri" w:hAnsi="Calibri"/>
          <w:color w:val="3366FF"/>
          <w:sz w:val="22"/>
          <w:szCs w:val="22"/>
        </w:rPr>
        <w:t xml:space="preserve"> from component 4 are:</w:t>
      </w:r>
    </w:p>
    <w:p w14:paraId="0A1C9D27" w14:textId="77777777" w:rsidR="00EA663C" w:rsidRPr="0040711B" w:rsidRDefault="00EA663C"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Calibri" w:hAnsi="Calibri"/>
          <w:color w:val="3366FF"/>
          <w:sz w:val="22"/>
          <w:szCs w:val="22"/>
          <w:lang w:eastAsia="el-GR"/>
        </w:rPr>
      </w:pPr>
      <w:r w:rsidRPr="0040711B">
        <w:rPr>
          <w:rFonts w:ascii="Calibri" w:hAnsi="Calibri"/>
          <w:color w:val="3366FF"/>
          <w:sz w:val="22"/>
          <w:szCs w:val="22"/>
          <w:lang w:eastAsia="el-GR"/>
        </w:rPr>
        <w:t>IW Resource Center with user driven and user-friendly functionality for regional and thematic communities of practice (CoPs) and individual project websites</w:t>
      </w:r>
    </w:p>
    <w:p w14:paraId="06C59253" w14:textId="77777777" w:rsidR="00EA663C" w:rsidRPr="0040711B" w:rsidRDefault="00EA663C"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Calibri" w:hAnsi="Calibri"/>
          <w:color w:val="3366FF"/>
          <w:sz w:val="22"/>
          <w:szCs w:val="22"/>
          <w:lang w:eastAsia="el-GR"/>
        </w:rPr>
      </w:pPr>
      <w:r w:rsidRPr="0040711B">
        <w:rPr>
          <w:rFonts w:ascii="Calibri" w:hAnsi="Calibri"/>
          <w:color w:val="3366FF"/>
          <w:sz w:val="22"/>
          <w:szCs w:val="22"/>
          <w:lang w:eastAsia="el-GR"/>
        </w:rPr>
        <w:t>Training and technical assistance for individual project website and links to UN-Water family platforms, to support targeted knowledge sharing and dialogues.</w:t>
      </w:r>
    </w:p>
    <w:p w14:paraId="648B339F" w14:textId="77777777" w:rsidR="00EA663C" w:rsidRPr="0040711B" w:rsidRDefault="00EA663C"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Calibri" w:hAnsi="Calibri"/>
          <w:color w:val="3366FF"/>
          <w:sz w:val="22"/>
          <w:szCs w:val="22"/>
          <w:lang w:eastAsia="el-GR"/>
        </w:rPr>
      </w:pPr>
      <w:r w:rsidRPr="0040711B">
        <w:rPr>
          <w:rFonts w:ascii="Calibri" w:hAnsi="Calibri"/>
          <w:color w:val="3366FF"/>
          <w:sz w:val="22"/>
          <w:szCs w:val="22"/>
          <w:lang w:eastAsia="el-GR"/>
        </w:rPr>
        <w:t>Portfolio visualization tools (utilizing e.g. Google Earth and video), applications and regular dissemination including e-updates.</w:t>
      </w:r>
    </w:p>
    <w:p w14:paraId="4B4840D0" w14:textId="77777777" w:rsidR="00EA663C" w:rsidRPr="0040711B" w:rsidRDefault="00EA663C"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Calibri" w:hAnsi="Calibri"/>
          <w:color w:val="3366FF"/>
          <w:sz w:val="22"/>
          <w:szCs w:val="22"/>
          <w:lang w:eastAsia="el-GR"/>
        </w:rPr>
      </w:pPr>
      <w:r w:rsidRPr="0040711B">
        <w:rPr>
          <w:rFonts w:ascii="Calibri" w:hAnsi="Calibri"/>
          <w:color w:val="3366FF"/>
          <w:sz w:val="22"/>
          <w:szCs w:val="22"/>
          <w:lang w:eastAsia="el-GR"/>
        </w:rPr>
        <w:t>Workspaces for specific portfolio subgroups such as COPs, project managers and governments and IWFT.</w:t>
      </w:r>
    </w:p>
    <w:p w14:paraId="2DEB548A" w14:textId="77777777" w:rsidR="00EA663C" w:rsidRPr="0040711B" w:rsidRDefault="00EA663C" w:rsidP="00C124C9">
      <w:pPr>
        <w:numPr>
          <w:ilvl w:val="0"/>
          <w:numId w:val="2"/>
        </w:numPr>
        <w:pBdr>
          <w:top w:val="single" w:sz="4" w:space="1" w:color="auto"/>
          <w:left w:val="single" w:sz="4" w:space="4" w:color="auto"/>
          <w:bottom w:val="single" w:sz="4" w:space="1" w:color="auto"/>
          <w:right w:val="single" w:sz="4" w:space="4" w:color="auto"/>
        </w:pBdr>
        <w:shd w:val="clear" w:color="auto" w:fill="EEECE1"/>
        <w:spacing w:after="60"/>
        <w:jc w:val="both"/>
        <w:rPr>
          <w:rFonts w:ascii="Calibri" w:hAnsi="Calibri"/>
          <w:color w:val="3366FF"/>
          <w:sz w:val="22"/>
          <w:szCs w:val="22"/>
          <w:lang w:eastAsia="el-GR"/>
        </w:rPr>
      </w:pPr>
      <w:r w:rsidRPr="0040711B">
        <w:rPr>
          <w:rFonts w:ascii="Calibri" w:hAnsi="Calibri"/>
          <w:color w:val="3366FF"/>
          <w:sz w:val="22"/>
          <w:szCs w:val="22"/>
          <w:lang w:eastAsia="el-GR"/>
        </w:rPr>
        <w:t>A comprehensive searchable catalogue of GEF IW project experiences and results.</w:t>
      </w:r>
    </w:p>
    <w:p w14:paraId="0335761E" w14:textId="77777777" w:rsidR="00D16DFD" w:rsidRPr="0040711B" w:rsidRDefault="00D16DFD" w:rsidP="00D16DFD">
      <w:pPr>
        <w:autoSpaceDE w:val="0"/>
        <w:autoSpaceDN w:val="0"/>
        <w:adjustRightInd w:val="0"/>
        <w:rPr>
          <w:rFonts w:ascii="Calibri" w:hAnsi="Calibri"/>
          <w:sz w:val="22"/>
          <w:szCs w:val="22"/>
        </w:rPr>
      </w:pPr>
    </w:p>
    <w:p w14:paraId="350108E2" w14:textId="0C56BD57" w:rsidR="00D16DFD" w:rsidRPr="000E5092" w:rsidRDefault="007158A5" w:rsidP="00A86E57">
      <w:pPr>
        <w:autoSpaceDE w:val="0"/>
        <w:autoSpaceDN w:val="0"/>
        <w:adjustRightInd w:val="0"/>
        <w:jc w:val="both"/>
        <w:rPr>
          <w:rFonts w:asciiTheme="majorHAnsi" w:hAnsiTheme="majorHAnsi"/>
          <w:sz w:val="22"/>
          <w:szCs w:val="22"/>
        </w:rPr>
      </w:pPr>
      <w:r>
        <w:rPr>
          <w:rFonts w:asciiTheme="majorHAnsi" w:hAnsiTheme="majorHAnsi"/>
          <w:sz w:val="22"/>
          <w:szCs w:val="22"/>
        </w:rPr>
        <w:t xml:space="preserve">Overall this Component is assessed as </w:t>
      </w:r>
      <w:r w:rsidRPr="007158A5">
        <w:rPr>
          <w:rFonts w:asciiTheme="majorHAnsi" w:hAnsiTheme="majorHAnsi"/>
          <w:b/>
          <w:sz w:val="22"/>
          <w:szCs w:val="22"/>
        </w:rPr>
        <w:t xml:space="preserve">Moderately </w:t>
      </w:r>
      <w:r w:rsidR="006C543C">
        <w:rPr>
          <w:rFonts w:asciiTheme="majorHAnsi" w:hAnsiTheme="majorHAnsi"/>
          <w:b/>
          <w:sz w:val="22"/>
          <w:szCs w:val="22"/>
        </w:rPr>
        <w:t>S</w:t>
      </w:r>
      <w:r w:rsidRPr="007158A5">
        <w:rPr>
          <w:rFonts w:asciiTheme="majorHAnsi" w:hAnsiTheme="majorHAnsi"/>
          <w:b/>
          <w:sz w:val="22"/>
          <w:szCs w:val="22"/>
        </w:rPr>
        <w:t>atisfactory</w:t>
      </w:r>
      <w:r>
        <w:rPr>
          <w:rFonts w:asciiTheme="majorHAnsi" w:hAnsiTheme="majorHAnsi"/>
          <w:sz w:val="22"/>
          <w:szCs w:val="22"/>
        </w:rPr>
        <w:t xml:space="preserve">. </w:t>
      </w:r>
      <w:r w:rsidR="00777433">
        <w:rPr>
          <w:rFonts w:asciiTheme="majorHAnsi" w:hAnsiTheme="majorHAnsi"/>
          <w:sz w:val="22"/>
          <w:szCs w:val="22"/>
        </w:rPr>
        <w:t xml:space="preserve"> Some important </w:t>
      </w:r>
      <w:r w:rsidR="00D16DFD" w:rsidRPr="000E5092">
        <w:rPr>
          <w:rFonts w:asciiTheme="majorHAnsi" w:hAnsiTheme="majorHAnsi"/>
          <w:sz w:val="22"/>
          <w:szCs w:val="22"/>
        </w:rPr>
        <w:t>features</w:t>
      </w:r>
      <w:r w:rsidR="007021D5">
        <w:rPr>
          <w:rFonts w:asciiTheme="majorHAnsi" w:hAnsiTheme="majorHAnsi"/>
          <w:sz w:val="22"/>
          <w:szCs w:val="22"/>
        </w:rPr>
        <w:t xml:space="preserve"> are</w:t>
      </w:r>
      <w:r w:rsidR="00D16DFD" w:rsidRPr="000E5092">
        <w:rPr>
          <w:rFonts w:asciiTheme="majorHAnsi" w:hAnsiTheme="majorHAnsi"/>
          <w:sz w:val="22"/>
          <w:szCs w:val="22"/>
        </w:rPr>
        <w:t xml:space="preserve"> delayed</w:t>
      </w:r>
      <w:r w:rsidR="0000676E">
        <w:rPr>
          <w:rFonts w:asciiTheme="majorHAnsi" w:hAnsiTheme="majorHAnsi"/>
          <w:sz w:val="22"/>
          <w:szCs w:val="22"/>
        </w:rPr>
        <w:t xml:space="preserve"> against the workplan in the inception report </w:t>
      </w:r>
      <w:r w:rsidR="000B417A">
        <w:rPr>
          <w:rFonts w:asciiTheme="majorHAnsi" w:hAnsiTheme="majorHAnsi"/>
          <w:sz w:val="22"/>
          <w:szCs w:val="22"/>
        </w:rPr>
        <w:t xml:space="preserve">such as the visualisation tool and </w:t>
      </w:r>
      <w:r w:rsidR="0000676E">
        <w:rPr>
          <w:rFonts w:asciiTheme="majorHAnsi" w:hAnsiTheme="majorHAnsi"/>
          <w:sz w:val="22"/>
          <w:szCs w:val="22"/>
        </w:rPr>
        <w:t xml:space="preserve">UN water family links </w:t>
      </w:r>
      <w:r w:rsidR="000B417A">
        <w:rPr>
          <w:rFonts w:asciiTheme="majorHAnsi" w:hAnsiTheme="majorHAnsi"/>
          <w:sz w:val="22"/>
          <w:szCs w:val="22"/>
        </w:rPr>
        <w:t>while</w:t>
      </w:r>
      <w:r w:rsidR="0000676E">
        <w:rPr>
          <w:rFonts w:asciiTheme="majorHAnsi" w:hAnsiTheme="majorHAnsi"/>
          <w:sz w:val="22"/>
          <w:szCs w:val="22"/>
        </w:rPr>
        <w:t xml:space="preserve"> others seem to have been in a lesser state of readiness than originally perceived when the project was </w:t>
      </w:r>
      <w:r w:rsidR="007021D5">
        <w:rPr>
          <w:rFonts w:asciiTheme="majorHAnsi" w:hAnsiTheme="majorHAnsi"/>
          <w:sz w:val="22"/>
          <w:szCs w:val="22"/>
        </w:rPr>
        <w:t>being formulated</w:t>
      </w:r>
      <w:r w:rsidR="0000676E">
        <w:rPr>
          <w:rFonts w:asciiTheme="majorHAnsi" w:hAnsiTheme="majorHAnsi"/>
          <w:sz w:val="22"/>
          <w:szCs w:val="22"/>
        </w:rPr>
        <w:t xml:space="preserve">, such as the CoP platforms. A </w:t>
      </w:r>
      <w:r w:rsidR="00D16DFD" w:rsidRPr="000E5092">
        <w:rPr>
          <w:rFonts w:asciiTheme="majorHAnsi" w:hAnsiTheme="majorHAnsi"/>
          <w:sz w:val="22"/>
          <w:szCs w:val="22"/>
        </w:rPr>
        <w:t xml:space="preserve">concerted effort </w:t>
      </w:r>
      <w:r w:rsidR="007021D5">
        <w:rPr>
          <w:rFonts w:asciiTheme="majorHAnsi" w:hAnsiTheme="majorHAnsi"/>
          <w:sz w:val="22"/>
          <w:szCs w:val="22"/>
        </w:rPr>
        <w:t xml:space="preserve">will be required </w:t>
      </w:r>
      <w:r w:rsidR="00D16DFD" w:rsidRPr="000E5092">
        <w:rPr>
          <w:rFonts w:asciiTheme="majorHAnsi" w:hAnsiTheme="majorHAnsi"/>
          <w:sz w:val="22"/>
          <w:szCs w:val="22"/>
        </w:rPr>
        <w:t>to catch up on outstanding issues to fully realise</w:t>
      </w:r>
      <w:r>
        <w:rPr>
          <w:rFonts w:asciiTheme="majorHAnsi" w:hAnsiTheme="majorHAnsi"/>
          <w:sz w:val="22"/>
          <w:szCs w:val="22"/>
        </w:rPr>
        <w:t xml:space="preserve"> the</w:t>
      </w:r>
      <w:r w:rsidR="00D16DFD" w:rsidRPr="000E5092">
        <w:rPr>
          <w:rFonts w:asciiTheme="majorHAnsi" w:hAnsiTheme="majorHAnsi"/>
          <w:sz w:val="22"/>
          <w:szCs w:val="22"/>
        </w:rPr>
        <w:t xml:space="preserve"> potential</w:t>
      </w:r>
      <w:r>
        <w:rPr>
          <w:rFonts w:asciiTheme="majorHAnsi" w:hAnsiTheme="majorHAnsi"/>
          <w:sz w:val="22"/>
          <w:szCs w:val="22"/>
        </w:rPr>
        <w:t xml:space="preserve"> of the website</w:t>
      </w:r>
      <w:r w:rsidR="0000676E">
        <w:rPr>
          <w:rFonts w:asciiTheme="majorHAnsi" w:hAnsiTheme="majorHAnsi"/>
          <w:sz w:val="22"/>
          <w:szCs w:val="22"/>
        </w:rPr>
        <w:t>(s)</w:t>
      </w:r>
      <w:r w:rsidR="00D16DFD" w:rsidRPr="000E5092">
        <w:rPr>
          <w:rFonts w:asciiTheme="majorHAnsi" w:hAnsiTheme="majorHAnsi"/>
          <w:sz w:val="22"/>
          <w:szCs w:val="22"/>
        </w:rPr>
        <w:t xml:space="preserve">. </w:t>
      </w:r>
      <w:r w:rsidR="00A86E57">
        <w:rPr>
          <w:rFonts w:asciiTheme="majorHAnsi" w:hAnsiTheme="majorHAnsi"/>
          <w:sz w:val="22"/>
          <w:szCs w:val="22"/>
        </w:rPr>
        <w:t>What is notably l</w:t>
      </w:r>
      <w:r w:rsidR="000B417A">
        <w:rPr>
          <w:rFonts w:asciiTheme="majorHAnsi" w:hAnsiTheme="majorHAnsi"/>
          <w:sz w:val="22"/>
          <w:szCs w:val="22"/>
        </w:rPr>
        <w:t xml:space="preserve">acking in the Project Document </w:t>
      </w:r>
      <w:r w:rsidR="00A86E57">
        <w:rPr>
          <w:rFonts w:asciiTheme="majorHAnsi" w:hAnsiTheme="majorHAnsi"/>
          <w:sz w:val="22"/>
          <w:szCs w:val="22"/>
        </w:rPr>
        <w:t xml:space="preserve">with regard to this Component is a detailed time bound work plan. All the </w:t>
      </w:r>
      <w:r w:rsidR="00E22628">
        <w:rPr>
          <w:rFonts w:asciiTheme="majorHAnsi" w:hAnsiTheme="majorHAnsi"/>
          <w:sz w:val="22"/>
          <w:szCs w:val="22"/>
        </w:rPr>
        <w:t>activities</w:t>
      </w:r>
      <w:r w:rsidR="00A86E57">
        <w:rPr>
          <w:rFonts w:asciiTheme="majorHAnsi" w:hAnsiTheme="majorHAnsi"/>
          <w:sz w:val="22"/>
          <w:szCs w:val="22"/>
        </w:rPr>
        <w:t xml:space="preserve"> describe</w:t>
      </w:r>
      <w:r w:rsidR="000B417A">
        <w:rPr>
          <w:rFonts w:asciiTheme="majorHAnsi" w:hAnsiTheme="majorHAnsi"/>
          <w:sz w:val="22"/>
          <w:szCs w:val="22"/>
        </w:rPr>
        <w:t xml:space="preserve">d are shown to be ongoing from </w:t>
      </w:r>
      <w:r w:rsidR="00A86E57">
        <w:rPr>
          <w:rFonts w:asciiTheme="majorHAnsi" w:hAnsiTheme="majorHAnsi"/>
          <w:sz w:val="22"/>
          <w:szCs w:val="22"/>
        </w:rPr>
        <w:t xml:space="preserve">the start to </w:t>
      </w:r>
      <w:proofErr w:type="gramStart"/>
      <w:r w:rsidR="00A86E57">
        <w:rPr>
          <w:rFonts w:asciiTheme="majorHAnsi" w:hAnsiTheme="majorHAnsi"/>
          <w:sz w:val="22"/>
          <w:szCs w:val="22"/>
        </w:rPr>
        <w:t>the  end</w:t>
      </w:r>
      <w:proofErr w:type="gramEnd"/>
      <w:r w:rsidR="00A86E57">
        <w:rPr>
          <w:rFonts w:asciiTheme="majorHAnsi" w:hAnsiTheme="majorHAnsi"/>
          <w:sz w:val="22"/>
          <w:szCs w:val="22"/>
        </w:rPr>
        <w:t xml:space="preserve"> of project. This is corrected to some extent in the Inception </w:t>
      </w:r>
      <w:proofErr w:type="gramStart"/>
      <w:r w:rsidR="00A86E57">
        <w:rPr>
          <w:rFonts w:asciiTheme="majorHAnsi" w:hAnsiTheme="majorHAnsi"/>
          <w:sz w:val="22"/>
          <w:szCs w:val="22"/>
        </w:rPr>
        <w:t>report  but</w:t>
      </w:r>
      <w:proofErr w:type="gramEnd"/>
      <w:r w:rsidR="00A86E57">
        <w:rPr>
          <w:rFonts w:asciiTheme="majorHAnsi" w:hAnsiTheme="majorHAnsi"/>
          <w:sz w:val="22"/>
          <w:szCs w:val="22"/>
        </w:rPr>
        <w:t xml:space="preserve"> the MTE believes that  activities should have been described in far more detail with clear milestones as indeed was done for the other components and their respective activities. </w:t>
      </w:r>
    </w:p>
    <w:p w14:paraId="18D1B22A" w14:textId="77777777" w:rsidR="004053C0" w:rsidRPr="000E5092" w:rsidRDefault="004053C0" w:rsidP="009639C4">
      <w:pPr>
        <w:autoSpaceDE w:val="0"/>
        <w:autoSpaceDN w:val="0"/>
        <w:adjustRightInd w:val="0"/>
        <w:jc w:val="both"/>
        <w:rPr>
          <w:rFonts w:asciiTheme="majorHAnsi" w:hAnsiTheme="majorHAnsi"/>
          <w:sz w:val="22"/>
          <w:szCs w:val="22"/>
        </w:rPr>
      </w:pPr>
    </w:p>
    <w:p w14:paraId="3772F6D5" w14:textId="0220351E" w:rsidR="00326A41" w:rsidRDefault="0000676E" w:rsidP="009639C4">
      <w:pPr>
        <w:jc w:val="both"/>
        <w:rPr>
          <w:rFonts w:asciiTheme="majorHAnsi" w:hAnsiTheme="majorHAnsi" w:cs="Arial"/>
          <w:sz w:val="22"/>
          <w:szCs w:val="22"/>
        </w:rPr>
      </w:pPr>
      <w:r>
        <w:rPr>
          <w:rFonts w:asciiTheme="majorHAnsi" w:hAnsiTheme="majorHAnsi" w:cs="Arial"/>
          <w:sz w:val="22"/>
          <w:szCs w:val="22"/>
        </w:rPr>
        <w:t>The g</w:t>
      </w:r>
      <w:r w:rsidR="00CE0F1F" w:rsidRPr="000E5092">
        <w:rPr>
          <w:rFonts w:asciiTheme="majorHAnsi" w:hAnsiTheme="majorHAnsi" w:cs="Arial"/>
          <w:sz w:val="22"/>
          <w:szCs w:val="22"/>
        </w:rPr>
        <w:t xml:space="preserve">eneral consensus of stakeholders contacted is that the </w:t>
      </w:r>
      <w:r w:rsidR="007021D5">
        <w:rPr>
          <w:rFonts w:asciiTheme="majorHAnsi" w:hAnsiTheme="majorHAnsi" w:cs="Arial"/>
          <w:sz w:val="22"/>
          <w:szCs w:val="22"/>
        </w:rPr>
        <w:t xml:space="preserve">IW LEARN </w:t>
      </w:r>
      <w:r w:rsidR="00CE0F1F" w:rsidRPr="000E5092">
        <w:rPr>
          <w:rFonts w:asciiTheme="majorHAnsi" w:hAnsiTheme="majorHAnsi" w:cs="Arial"/>
          <w:sz w:val="22"/>
          <w:szCs w:val="22"/>
        </w:rPr>
        <w:t>website</w:t>
      </w:r>
      <w:r w:rsidR="007021D5">
        <w:rPr>
          <w:rFonts w:asciiTheme="majorHAnsi" w:hAnsiTheme="majorHAnsi" w:cs="Arial"/>
          <w:sz w:val="22"/>
          <w:szCs w:val="22"/>
        </w:rPr>
        <w:t xml:space="preserve"> (</w:t>
      </w:r>
      <w:r w:rsidR="007021D5" w:rsidRPr="007021D5">
        <w:rPr>
          <w:rFonts w:asciiTheme="majorHAnsi" w:hAnsiTheme="majorHAnsi" w:cs="Arial"/>
          <w:sz w:val="22"/>
          <w:szCs w:val="22"/>
        </w:rPr>
        <w:t>http://iwlearn.net</w:t>
      </w:r>
      <w:r w:rsidR="007021D5">
        <w:rPr>
          <w:rFonts w:asciiTheme="majorHAnsi" w:hAnsiTheme="majorHAnsi" w:cs="Arial"/>
          <w:sz w:val="22"/>
          <w:szCs w:val="22"/>
        </w:rPr>
        <w:t>)</w:t>
      </w:r>
      <w:r w:rsidR="00CE0F1F" w:rsidRPr="000E5092">
        <w:rPr>
          <w:rFonts w:asciiTheme="majorHAnsi" w:hAnsiTheme="majorHAnsi" w:cs="Arial"/>
          <w:sz w:val="22"/>
          <w:szCs w:val="22"/>
        </w:rPr>
        <w:t xml:space="preserve"> has improved notably since the start of the project further enhanced by now being </w:t>
      </w:r>
      <w:r w:rsidR="005C7C8C" w:rsidRPr="000E5092">
        <w:rPr>
          <w:rFonts w:asciiTheme="majorHAnsi" w:hAnsiTheme="majorHAnsi" w:cs="Arial"/>
          <w:sz w:val="22"/>
          <w:szCs w:val="22"/>
        </w:rPr>
        <w:t>mobile friendly. However there also seems to be a sentiment among key stakehold</w:t>
      </w:r>
      <w:r w:rsidR="009639C4" w:rsidRPr="000E5092">
        <w:rPr>
          <w:rFonts w:asciiTheme="majorHAnsi" w:hAnsiTheme="majorHAnsi" w:cs="Arial"/>
          <w:sz w:val="22"/>
          <w:szCs w:val="22"/>
        </w:rPr>
        <w:t>e</w:t>
      </w:r>
      <w:r w:rsidR="005C7C8C" w:rsidRPr="000E5092">
        <w:rPr>
          <w:rFonts w:asciiTheme="majorHAnsi" w:hAnsiTheme="majorHAnsi" w:cs="Arial"/>
          <w:sz w:val="22"/>
          <w:szCs w:val="22"/>
        </w:rPr>
        <w:t xml:space="preserve">rs that </w:t>
      </w:r>
      <w:r w:rsidR="00CE0F1F" w:rsidRPr="000E5092">
        <w:rPr>
          <w:rFonts w:asciiTheme="majorHAnsi" w:hAnsiTheme="majorHAnsi" w:cs="Arial"/>
          <w:sz w:val="22"/>
          <w:szCs w:val="22"/>
        </w:rPr>
        <w:t>more needs to be done to make</w:t>
      </w:r>
      <w:r w:rsidR="005C7C8C" w:rsidRPr="000E5092">
        <w:rPr>
          <w:rFonts w:asciiTheme="majorHAnsi" w:hAnsiTheme="majorHAnsi" w:cs="Arial"/>
          <w:sz w:val="22"/>
          <w:szCs w:val="22"/>
        </w:rPr>
        <w:t xml:space="preserve"> </w:t>
      </w:r>
      <w:r w:rsidR="00CE0F1F" w:rsidRPr="000E5092">
        <w:rPr>
          <w:rFonts w:asciiTheme="majorHAnsi" w:hAnsiTheme="majorHAnsi" w:cs="Arial"/>
          <w:sz w:val="22"/>
          <w:szCs w:val="22"/>
        </w:rPr>
        <w:t>the wealth of information from the</w:t>
      </w:r>
      <w:r w:rsidR="005C7C8C" w:rsidRPr="000E5092">
        <w:rPr>
          <w:rFonts w:asciiTheme="majorHAnsi" w:hAnsiTheme="majorHAnsi" w:cs="Arial"/>
          <w:sz w:val="22"/>
          <w:szCs w:val="22"/>
        </w:rPr>
        <w:t xml:space="preserve"> IW </w:t>
      </w:r>
      <w:proofErr w:type="gramStart"/>
      <w:r w:rsidR="005C7C8C" w:rsidRPr="000E5092">
        <w:rPr>
          <w:rFonts w:asciiTheme="majorHAnsi" w:hAnsiTheme="majorHAnsi" w:cs="Arial"/>
          <w:sz w:val="22"/>
          <w:szCs w:val="22"/>
        </w:rPr>
        <w:t>portfolio  more</w:t>
      </w:r>
      <w:proofErr w:type="gramEnd"/>
      <w:r w:rsidR="005C7C8C" w:rsidRPr="000E5092">
        <w:rPr>
          <w:rFonts w:asciiTheme="majorHAnsi" w:hAnsiTheme="majorHAnsi" w:cs="Arial"/>
          <w:sz w:val="22"/>
          <w:szCs w:val="22"/>
        </w:rPr>
        <w:t xml:space="preserve"> easily </w:t>
      </w:r>
      <w:r w:rsidR="009639C4" w:rsidRPr="000E5092">
        <w:rPr>
          <w:rFonts w:asciiTheme="majorHAnsi" w:hAnsiTheme="majorHAnsi" w:cs="Arial"/>
          <w:sz w:val="22"/>
          <w:szCs w:val="22"/>
        </w:rPr>
        <w:t>accessible</w:t>
      </w:r>
      <w:r>
        <w:rPr>
          <w:rFonts w:asciiTheme="majorHAnsi" w:hAnsiTheme="majorHAnsi" w:cs="Arial"/>
          <w:sz w:val="22"/>
          <w:szCs w:val="22"/>
        </w:rPr>
        <w:t xml:space="preserve"> and that this is linked to the “user friendliness” of the interface</w:t>
      </w:r>
      <w:r w:rsidR="005C7C8C" w:rsidRPr="000E5092">
        <w:rPr>
          <w:rFonts w:asciiTheme="majorHAnsi" w:hAnsiTheme="majorHAnsi" w:cs="Arial"/>
          <w:sz w:val="22"/>
          <w:szCs w:val="22"/>
        </w:rPr>
        <w:t xml:space="preserve">. </w:t>
      </w:r>
      <w:r w:rsidR="00CE0F1F" w:rsidRPr="000E5092">
        <w:rPr>
          <w:rFonts w:asciiTheme="majorHAnsi" w:hAnsiTheme="majorHAnsi" w:cs="Arial"/>
          <w:sz w:val="22"/>
          <w:szCs w:val="22"/>
        </w:rPr>
        <w:t xml:space="preserve"> </w:t>
      </w:r>
      <w:r w:rsidR="007158A5">
        <w:rPr>
          <w:rFonts w:asciiTheme="majorHAnsi" w:hAnsiTheme="majorHAnsi" w:cs="Arial"/>
          <w:sz w:val="22"/>
          <w:szCs w:val="22"/>
        </w:rPr>
        <w:t>That being said</w:t>
      </w:r>
      <w:r w:rsidR="005C7C8C" w:rsidRPr="000E5092">
        <w:rPr>
          <w:rFonts w:asciiTheme="majorHAnsi" w:hAnsiTheme="majorHAnsi" w:cs="Arial"/>
          <w:sz w:val="22"/>
          <w:szCs w:val="22"/>
        </w:rPr>
        <w:t xml:space="preserve"> the MTE did not hear and could not find in</w:t>
      </w:r>
      <w:r w:rsidR="000B417A">
        <w:rPr>
          <w:rFonts w:asciiTheme="majorHAnsi" w:hAnsiTheme="majorHAnsi" w:cs="Arial"/>
          <w:sz w:val="22"/>
          <w:szCs w:val="22"/>
        </w:rPr>
        <w:t xml:space="preserve"> reviewed</w:t>
      </w:r>
      <w:r w:rsidR="005C7C8C" w:rsidRPr="000E5092">
        <w:rPr>
          <w:rFonts w:asciiTheme="majorHAnsi" w:hAnsiTheme="majorHAnsi" w:cs="Arial"/>
          <w:sz w:val="22"/>
          <w:szCs w:val="22"/>
        </w:rPr>
        <w:t xml:space="preserve"> documents a clear, detailed </w:t>
      </w:r>
      <w:r w:rsidR="009639C4" w:rsidRPr="000E5092">
        <w:rPr>
          <w:rFonts w:asciiTheme="majorHAnsi" w:hAnsiTheme="majorHAnsi" w:cs="Arial"/>
          <w:sz w:val="22"/>
          <w:szCs w:val="22"/>
        </w:rPr>
        <w:t>unambiguous</w:t>
      </w:r>
      <w:r w:rsidR="005C7C8C" w:rsidRPr="000E5092">
        <w:rPr>
          <w:rFonts w:asciiTheme="majorHAnsi" w:hAnsiTheme="majorHAnsi" w:cs="Arial"/>
          <w:sz w:val="22"/>
          <w:szCs w:val="22"/>
        </w:rPr>
        <w:t xml:space="preserve"> description</w:t>
      </w:r>
      <w:r w:rsidR="007021D5">
        <w:rPr>
          <w:rFonts w:asciiTheme="majorHAnsi" w:hAnsiTheme="majorHAnsi" w:cs="Arial"/>
          <w:sz w:val="22"/>
          <w:szCs w:val="22"/>
        </w:rPr>
        <w:t xml:space="preserve"> </w:t>
      </w:r>
      <w:proofErr w:type="gramStart"/>
      <w:r w:rsidR="007021D5">
        <w:rPr>
          <w:rFonts w:asciiTheme="majorHAnsi" w:hAnsiTheme="majorHAnsi" w:cs="Arial"/>
          <w:sz w:val="22"/>
          <w:szCs w:val="22"/>
        </w:rPr>
        <w:t xml:space="preserve">of </w:t>
      </w:r>
      <w:r w:rsidR="005C7C8C" w:rsidRPr="000E5092">
        <w:rPr>
          <w:rFonts w:asciiTheme="majorHAnsi" w:hAnsiTheme="majorHAnsi" w:cs="Arial"/>
          <w:sz w:val="22"/>
          <w:szCs w:val="22"/>
        </w:rPr>
        <w:t xml:space="preserve"> what</w:t>
      </w:r>
      <w:proofErr w:type="gramEnd"/>
      <w:r w:rsidR="005C7C8C" w:rsidRPr="000E5092">
        <w:rPr>
          <w:rFonts w:asciiTheme="majorHAnsi" w:hAnsiTheme="majorHAnsi" w:cs="Arial"/>
          <w:sz w:val="22"/>
          <w:szCs w:val="22"/>
        </w:rPr>
        <w:t xml:space="preserve"> exactly is required and indeed what is possible with the resources available. And this in spite of the issue having been discussed at some length on a number of occasions by the I</w:t>
      </w:r>
      <w:r w:rsidR="000B417A">
        <w:rPr>
          <w:rFonts w:asciiTheme="majorHAnsi" w:hAnsiTheme="majorHAnsi" w:cs="Arial"/>
          <w:sz w:val="22"/>
          <w:szCs w:val="22"/>
        </w:rPr>
        <w:t>C</w:t>
      </w:r>
      <w:r w:rsidR="005C7C8C" w:rsidRPr="000E5092">
        <w:rPr>
          <w:rFonts w:asciiTheme="majorHAnsi" w:hAnsiTheme="majorHAnsi" w:cs="Arial"/>
          <w:sz w:val="22"/>
          <w:szCs w:val="22"/>
        </w:rPr>
        <w:t xml:space="preserve">T team, PCU </w:t>
      </w:r>
      <w:proofErr w:type="gramStart"/>
      <w:r w:rsidR="005C7C8C" w:rsidRPr="000E5092">
        <w:rPr>
          <w:rFonts w:asciiTheme="majorHAnsi" w:hAnsiTheme="majorHAnsi" w:cs="Arial"/>
          <w:sz w:val="22"/>
          <w:szCs w:val="22"/>
        </w:rPr>
        <w:t>IAs</w:t>
      </w:r>
      <w:proofErr w:type="gramEnd"/>
      <w:r w:rsidR="005C7C8C" w:rsidRPr="000E5092">
        <w:rPr>
          <w:rFonts w:asciiTheme="majorHAnsi" w:hAnsiTheme="majorHAnsi" w:cs="Arial"/>
          <w:sz w:val="22"/>
          <w:szCs w:val="22"/>
        </w:rPr>
        <w:t xml:space="preserve"> and GEF</w:t>
      </w:r>
      <w:r w:rsidR="000B40F3" w:rsidRPr="000E5092">
        <w:rPr>
          <w:rFonts w:asciiTheme="majorHAnsi" w:hAnsiTheme="majorHAnsi" w:cs="Arial"/>
          <w:sz w:val="22"/>
          <w:szCs w:val="22"/>
        </w:rPr>
        <w:t xml:space="preserve">.  It was decided at the SCM and the MTE </w:t>
      </w:r>
      <w:r w:rsidR="007158A5">
        <w:rPr>
          <w:rFonts w:asciiTheme="majorHAnsi" w:hAnsiTheme="majorHAnsi" w:cs="Arial"/>
          <w:sz w:val="22"/>
          <w:szCs w:val="22"/>
        </w:rPr>
        <w:t>fully supports the idea, that a</w:t>
      </w:r>
      <w:r w:rsidR="007021D5">
        <w:rPr>
          <w:rFonts w:asciiTheme="majorHAnsi" w:hAnsiTheme="majorHAnsi" w:cs="Arial"/>
          <w:sz w:val="22"/>
          <w:szCs w:val="22"/>
        </w:rPr>
        <w:t xml:space="preserve"> suitably qualified </w:t>
      </w:r>
      <w:r w:rsidR="000B417A">
        <w:rPr>
          <w:rFonts w:asciiTheme="majorHAnsi" w:hAnsiTheme="majorHAnsi" w:cs="Arial"/>
          <w:sz w:val="22"/>
          <w:szCs w:val="22"/>
        </w:rPr>
        <w:t xml:space="preserve">consultant(s) </w:t>
      </w:r>
      <w:r w:rsidR="000B40F3" w:rsidRPr="000E5092">
        <w:rPr>
          <w:rFonts w:asciiTheme="majorHAnsi" w:hAnsiTheme="majorHAnsi" w:cs="Arial"/>
          <w:sz w:val="22"/>
          <w:szCs w:val="22"/>
        </w:rPr>
        <w:t>be hired immediately to develop a technical design for the site that combines a clear understanding of w</w:t>
      </w:r>
      <w:r w:rsidR="009639C4" w:rsidRPr="000E5092">
        <w:rPr>
          <w:rFonts w:asciiTheme="majorHAnsi" w:hAnsiTheme="majorHAnsi" w:cs="Arial"/>
          <w:sz w:val="22"/>
          <w:szCs w:val="22"/>
        </w:rPr>
        <w:t>hat is required with a practic</w:t>
      </w:r>
      <w:r>
        <w:rPr>
          <w:rFonts w:asciiTheme="majorHAnsi" w:hAnsiTheme="majorHAnsi" w:cs="Arial"/>
          <w:sz w:val="22"/>
          <w:szCs w:val="22"/>
        </w:rPr>
        <w:t xml:space="preserve">able plan for implementation. </w:t>
      </w:r>
      <w:r w:rsidR="007158A5" w:rsidRPr="000E5092">
        <w:rPr>
          <w:rFonts w:asciiTheme="majorHAnsi" w:hAnsiTheme="majorHAnsi" w:cs="Arial"/>
          <w:sz w:val="22"/>
          <w:szCs w:val="22"/>
        </w:rPr>
        <w:t xml:space="preserve">There have been suggestions that more use could be made of existing platforms such as </w:t>
      </w:r>
      <w:r w:rsidR="00E22628" w:rsidRPr="000E5092">
        <w:rPr>
          <w:rFonts w:asciiTheme="majorHAnsi" w:hAnsiTheme="majorHAnsi" w:cs="Arial"/>
          <w:sz w:val="22"/>
          <w:szCs w:val="22"/>
        </w:rPr>
        <w:t>LinkedIn</w:t>
      </w:r>
      <w:r w:rsidR="007158A5" w:rsidRPr="000E5092">
        <w:rPr>
          <w:rFonts w:asciiTheme="majorHAnsi" w:hAnsiTheme="majorHAnsi" w:cs="Arial"/>
          <w:sz w:val="22"/>
          <w:szCs w:val="22"/>
        </w:rPr>
        <w:t xml:space="preserve"> and Facebook and these possibilities should be factored into the analysis.</w:t>
      </w:r>
    </w:p>
    <w:p w14:paraId="15A3A2A2" w14:textId="77777777" w:rsidR="007158A5" w:rsidRPr="000E5092" w:rsidRDefault="007158A5" w:rsidP="009639C4">
      <w:pPr>
        <w:jc w:val="both"/>
        <w:rPr>
          <w:rFonts w:asciiTheme="majorHAnsi" w:hAnsiTheme="majorHAnsi" w:cs="Arial"/>
          <w:sz w:val="22"/>
          <w:szCs w:val="22"/>
        </w:rPr>
      </w:pPr>
    </w:p>
    <w:p w14:paraId="624452C1" w14:textId="5ECDC6DC" w:rsidR="004053C0" w:rsidRDefault="000B40F3" w:rsidP="007158A5">
      <w:pPr>
        <w:jc w:val="both"/>
        <w:rPr>
          <w:rFonts w:asciiTheme="majorHAnsi" w:hAnsiTheme="majorHAnsi" w:cs="Arial"/>
          <w:sz w:val="22"/>
          <w:szCs w:val="22"/>
        </w:rPr>
      </w:pPr>
      <w:r w:rsidRPr="000E5092">
        <w:rPr>
          <w:rFonts w:asciiTheme="majorHAnsi" w:hAnsiTheme="majorHAnsi" w:cs="Arial"/>
          <w:sz w:val="22"/>
          <w:szCs w:val="22"/>
        </w:rPr>
        <w:t xml:space="preserve">As mentioned previously the requirements of the CoP platform have been </w:t>
      </w:r>
      <w:r w:rsidR="008D7BC4" w:rsidRPr="000E5092">
        <w:rPr>
          <w:rFonts w:asciiTheme="majorHAnsi" w:hAnsiTheme="majorHAnsi" w:cs="Arial"/>
          <w:sz w:val="22"/>
          <w:szCs w:val="22"/>
        </w:rPr>
        <w:t>articulated by partners and the above</w:t>
      </w:r>
      <w:r w:rsidRPr="000E5092">
        <w:rPr>
          <w:rFonts w:asciiTheme="majorHAnsi" w:hAnsiTheme="majorHAnsi" w:cs="Arial"/>
          <w:sz w:val="22"/>
          <w:szCs w:val="22"/>
        </w:rPr>
        <w:t xml:space="preserve"> exercise should not delay further implementation of these</w:t>
      </w:r>
      <w:r w:rsidR="007021D5">
        <w:rPr>
          <w:rFonts w:asciiTheme="majorHAnsi" w:hAnsiTheme="majorHAnsi" w:cs="Arial"/>
          <w:sz w:val="22"/>
          <w:szCs w:val="22"/>
        </w:rPr>
        <w:t>,</w:t>
      </w:r>
      <w:r w:rsidRPr="000E5092">
        <w:rPr>
          <w:rFonts w:asciiTheme="majorHAnsi" w:hAnsiTheme="majorHAnsi" w:cs="Arial"/>
          <w:sz w:val="22"/>
          <w:szCs w:val="22"/>
        </w:rPr>
        <w:t xml:space="preserve"> </w:t>
      </w:r>
      <w:r w:rsidR="007158A5">
        <w:rPr>
          <w:rFonts w:asciiTheme="majorHAnsi" w:hAnsiTheme="majorHAnsi" w:cs="Arial"/>
          <w:sz w:val="22"/>
          <w:szCs w:val="22"/>
        </w:rPr>
        <w:t>where possible</w:t>
      </w:r>
      <w:r w:rsidR="007021D5">
        <w:rPr>
          <w:rFonts w:asciiTheme="majorHAnsi" w:hAnsiTheme="majorHAnsi" w:cs="Arial"/>
          <w:sz w:val="22"/>
          <w:szCs w:val="22"/>
        </w:rPr>
        <w:t>,</w:t>
      </w:r>
      <w:r w:rsidR="007158A5">
        <w:rPr>
          <w:rFonts w:asciiTheme="majorHAnsi" w:hAnsiTheme="majorHAnsi" w:cs="Arial"/>
          <w:sz w:val="22"/>
          <w:szCs w:val="22"/>
        </w:rPr>
        <w:t xml:space="preserve"> by the ICT team.</w:t>
      </w:r>
    </w:p>
    <w:p w14:paraId="4F2ACA8B" w14:textId="77777777" w:rsidR="00F2237B" w:rsidRDefault="00F2237B" w:rsidP="005B5E1A">
      <w:pPr>
        <w:jc w:val="both"/>
        <w:rPr>
          <w:rFonts w:asciiTheme="majorHAnsi" w:hAnsiTheme="majorHAnsi"/>
          <w:sz w:val="22"/>
          <w:szCs w:val="22"/>
        </w:rPr>
      </w:pPr>
    </w:p>
    <w:p w14:paraId="604DEFD8" w14:textId="27B64F82" w:rsidR="00326A41" w:rsidRPr="000E5092" w:rsidRDefault="008D7BC4" w:rsidP="005B5E1A">
      <w:pPr>
        <w:jc w:val="both"/>
        <w:rPr>
          <w:rFonts w:asciiTheme="majorHAnsi" w:hAnsiTheme="majorHAnsi" w:cs="Arial"/>
          <w:sz w:val="22"/>
          <w:szCs w:val="22"/>
        </w:rPr>
      </w:pPr>
      <w:r w:rsidRPr="000E5092">
        <w:rPr>
          <w:rFonts w:asciiTheme="majorHAnsi" w:hAnsiTheme="majorHAnsi" w:cs="Arial"/>
          <w:sz w:val="22"/>
          <w:szCs w:val="22"/>
        </w:rPr>
        <w:t xml:space="preserve">Four successful and well </w:t>
      </w:r>
      <w:r w:rsidR="009639C4" w:rsidRPr="000E5092">
        <w:rPr>
          <w:rFonts w:asciiTheme="majorHAnsi" w:hAnsiTheme="majorHAnsi" w:cs="Arial"/>
          <w:sz w:val="22"/>
          <w:szCs w:val="22"/>
        </w:rPr>
        <w:t>received</w:t>
      </w:r>
      <w:r w:rsidRPr="000E5092">
        <w:rPr>
          <w:rFonts w:asciiTheme="majorHAnsi" w:hAnsiTheme="majorHAnsi" w:cs="Arial"/>
          <w:sz w:val="22"/>
          <w:szCs w:val="22"/>
        </w:rPr>
        <w:t xml:space="preserve"> ICT training workshops have been </w:t>
      </w:r>
      <w:proofErr w:type="gramStart"/>
      <w:r w:rsidRPr="000E5092">
        <w:rPr>
          <w:rFonts w:asciiTheme="majorHAnsi" w:hAnsiTheme="majorHAnsi" w:cs="Arial"/>
          <w:sz w:val="22"/>
          <w:szCs w:val="22"/>
        </w:rPr>
        <w:t xml:space="preserve">conducted  </w:t>
      </w:r>
      <w:r w:rsidR="000E5092">
        <w:rPr>
          <w:rFonts w:asciiTheme="majorHAnsi" w:hAnsiTheme="majorHAnsi" w:cs="Arial"/>
          <w:sz w:val="22"/>
          <w:szCs w:val="22"/>
        </w:rPr>
        <w:t>a</w:t>
      </w:r>
      <w:r w:rsidRPr="000E5092">
        <w:rPr>
          <w:rFonts w:asciiTheme="majorHAnsi" w:hAnsiTheme="majorHAnsi" w:cs="Arial"/>
          <w:sz w:val="22"/>
          <w:szCs w:val="22"/>
        </w:rPr>
        <w:t>nd</w:t>
      </w:r>
      <w:proofErr w:type="gramEnd"/>
      <w:r w:rsidRPr="000E5092">
        <w:rPr>
          <w:rFonts w:asciiTheme="majorHAnsi" w:hAnsiTheme="majorHAnsi" w:cs="Arial"/>
          <w:sz w:val="22"/>
          <w:szCs w:val="22"/>
        </w:rPr>
        <w:t xml:space="preserve"> a number of new toolkit websites developed and supported by the ICT team with good feed back. Clearly not all projects will use the IW Learn web toolkit but it is essential that those that do not develop websites that are compatible to assist with data exchange and linkages. </w:t>
      </w:r>
      <w:r w:rsidR="005B5E1A">
        <w:rPr>
          <w:rFonts w:asciiTheme="majorHAnsi" w:hAnsiTheme="majorHAnsi" w:cs="Arial"/>
          <w:sz w:val="22"/>
          <w:szCs w:val="22"/>
        </w:rPr>
        <w:t xml:space="preserve">Currently </w:t>
      </w:r>
      <w:r w:rsidR="002370EA" w:rsidRPr="005B5E1A">
        <w:rPr>
          <w:rFonts w:asciiTheme="majorHAnsi" w:hAnsiTheme="majorHAnsi" w:cs="Arial"/>
          <w:color w:val="000000"/>
          <w:sz w:val="22"/>
          <w:szCs w:val="22"/>
        </w:rPr>
        <w:t xml:space="preserve">64% of active GEF IW projects </w:t>
      </w:r>
      <w:r w:rsidR="005B5E1A">
        <w:rPr>
          <w:rFonts w:asciiTheme="majorHAnsi" w:hAnsiTheme="majorHAnsi" w:cs="Arial"/>
          <w:color w:val="000000"/>
          <w:sz w:val="22"/>
          <w:szCs w:val="22"/>
        </w:rPr>
        <w:t xml:space="preserve">have </w:t>
      </w:r>
      <w:r w:rsidR="002370EA" w:rsidRPr="005B5E1A">
        <w:rPr>
          <w:rFonts w:asciiTheme="majorHAnsi" w:hAnsiTheme="majorHAnsi" w:cs="Arial"/>
          <w:color w:val="000000"/>
          <w:sz w:val="22"/>
          <w:szCs w:val="22"/>
        </w:rPr>
        <w:t>establish a project website according to the IW</w:t>
      </w:r>
      <w:proofErr w:type="gramStart"/>
      <w:r w:rsidR="002370EA" w:rsidRPr="005B5E1A">
        <w:rPr>
          <w:rFonts w:asciiTheme="majorHAnsi" w:hAnsiTheme="majorHAnsi" w:cs="Arial"/>
          <w:color w:val="000000"/>
          <w:sz w:val="22"/>
          <w:szCs w:val="22"/>
        </w:rPr>
        <w:t>:LEARN</w:t>
      </w:r>
      <w:proofErr w:type="gramEnd"/>
      <w:r w:rsidR="002370EA" w:rsidRPr="005B5E1A">
        <w:rPr>
          <w:rFonts w:asciiTheme="majorHAnsi" w:hAnsiTheme="majorHAnsi" w:cs="Arial"/>
          <w:color w:val="000000"/>
          <w:sz w:val="22"/>
          <w:szCs w:val="22"/>
        </w:rPr>
        <w:t xml:space="preserve"> guidelines</w:t>
      </w:r>
      <w:r w:rsidR="005B5E1A">
        <w:rPr>
          <w:rFonts w:asciiTheme="majorHAnsi" w:hAnsiTheme="majorHAnsi" w:cs="Arial"/>
          <w:color w:val="000000"/>
          <w:sz w:val="22"/>
          <w:szCs w:val="22"/>
        </w:rPr>
        <w:t xml:space="preserve">. </w:t>
      </w:r>
      <w:r w:rsidR="009639C4" w:rsidRPr="000E5092">
        <w:rPr>
          <w:rFonts w:asciiTheme="majorHAnsi" w:hAnsiTheme="majorHAnsi"/>
          <w:sz w:val="22"/>
          <w:szCs w:val="22"/>
        </w:rPr>
        <w:t xml:space="preserve">As planned links have been established with all UN Water websites. </w:t>
      </w:r>
    </w:p>
    <w:p w14:paraId="505C1DF1" w14:textId="77777777" w:rsidR="00326A41" w:rsidRPr="000E5092" w:rsidRDefault="00326A41" w:rsidP="009639C4">
      <w:pPr>
        <w:jc w:val="both"/>
        <w:rPr>
          <w:rFonts w:asciiTheme="majorHAnsi" w:hAnsiTheme="majorHAnsi" w:cs="Arial"/>
          <w:sz w:val="22"/>
          <w:szCs w:val="22"/>
        </w:rPr>
      </w:pPr>
    </w:p>
    <w:p w14:paraId="08D4FCBB" w14:textId="7E4102A6" w:rsidR="00326A41" w:rsidRPr="000E5092" w:rsidRDefault="00326A41" w:rsidP="003A2A6A">
      <w:pPr>
        <w:autoSpaceDE w:val="0"/>
        <w:autoSpaceDN w:val="0"/>
        <w:adjustRightInd w:val="0"/>
        <w:jc w:val="both"/>
        <w:rPr>
          <w:rFonts w:asciiTheme="majorHAnsi" w:hAnsiTheme="majorHAnsi" w:cs="Arial"/>
          <w:sz w:val="22"/>
          <w:szCs w:val="22"/>
        </w:rPr>
      </w:pPr>
      <w:r w:rsidRPr="000E5092">
        <w:rPr>
          <w:rFonts w:asciiTheme="majorHAnsi" w:hAnsiTheme="majorHAnsi" w:cs="Arial"/>
          <w:sz w:val="22"/>
          <w:szCs w:val="22"/>
        </w:rPr>
        <w:t xml:space="preserve">Regular </w:t>
      </w:r>
      <w:r w:rsidR="00CD105D" w:rsidRPr="000E5092">
        <w:rPr>
          <w:rFonts w:asciiTheme="majorHAnsi" w:hAnsiTheme="majorHAnsi" w:cs="Arial"/>
          <w:sz w:val="22"/>
          <w:szCs w:val="22"/>
        </w:rPr>
        <w:t xml:space="preserve">e-bulletins are being prepared and widely distributed and </w:t>
      </w:r>
      <w:proofErr w:type="gramStart"/>
      <w:r w:rsidR="00CD105D" w:rsidRPr="000E5092">
        <w:rPr>
          <w:rFonts w:asciiTheme="majorHAnsi" w:hAnsiTheme="majorHAnsi" w:cs="Arial"/>
          <w:sz w:val="22"/>
          <w:szCs w:val="22"/>
        </w:rPr>
        <w:t>these are appreciated by recipients</w:t>
      </w:r>
      <w:proofErr w:type="gramEnd"/>
      <w:r w:rsidR="00CD105D" w:rsidRPr="000E5092">
        <w:rPr>
          <w:rFonts w:asciiTheme="majorHAnsi" w:hAnsiTheme="majorHAnsi" w:cs="Arial"/>
          <w:sz w:val="22"/>
          <w:szCs w:val="22"/>
        </w:rPr>
        <w:t>. The</w:t>
      </w:r>
      <w:r w:rsidR="000B417A">
        <w:rPr>
          <w:rFonts w:asciiTheme="majorHAnsi" w:hAnsiTheme="majorHAnsi" w:cs="Arial"/>
          <w:sz w:val="22"/>
          <w:szCs w:val="22"/>
        </w:rPr>
        <w:t>y</w:t>
      </w:r>
      <w:r w:rsidR="00B60DF4">
        <w:rPr>
          <w:rFonts w:asciiTheme="majorHAnsi" w:hAnsiTheme="majorHAnsi" w:cs="Arial"/>
          <w:sz w:val="22"/>
          <w:szCs w:val="22"/>
        </w:rPr>
        <w:t xml:space="preserve"> could </w:t>
      </w:r>
      <w:r w:rsidR="00CD105D" w:rsidRPr="000E5092">
        <w:rPr>
          <w:rFonts w:asciiTheme="majorHAnsi" w:hAnsiTheme="majorHAnsi" w:cs="Arial"/>
          <w:sz w:val="22"/>
          <w:szCs w:val="22"/>
        </w:rPr>
        <w:t>also be used</w:t>
      </w:r>
      <w:r w:rsidR="005B5E1A">
        <w:rPr>
          <w:rFonts w:asciiTheme="majorHAnsi" w:hAnsiTheme="majorHAnsi" w:cs="Arial"/>
          <w:sz w:val="22"/>
          <w:szCs w:val="22"/>
        </w:rPr>
        <w:t xml:space="preserve"> </w:t>
      </w:r>
      <w:proofErr w:type="gramStart"/>
      <w:r w:rsidR="005B5E1A">
        <w:rPr>
          <w:rFonts w:asciiTheme="majorHAnsi" w:hAnsiTheme="majorHAnsi" w:cs="Arial"/>
          <w:sz w:val="22"/>
          <w:szCs w:val="22"/>
        </w:rPr>
        <w:t xml:space="preserve">more </w:t>
      </w:r>
      <w:r w:rsidR="00CD105D" w:rsidRPr="000E5092">
        <w:rPr>
          <w:rFonts w:asciiTheme="majorHAnsi" w:hAnsiTheme="majorHAnsi" w:cs="Arial"/>
          <w:sz w:val="22"/>
          <w:szCs w:val="22"/>
        </w:rPr>
        <w:t xml:space="preserve"> to</w:t>
      </w:r>
      <w:proofErr w:type="gramEnd"/>
      <w:r w:rsidR="00CD105D" w:rsidRPr="000E5092">
        <w:rPr>
          <w:rFonts w:asciiTheme="majorHAnsi" w:hAnsiTheme="majorHAnsi" w:cs="Arial"/>
          <w:sz w:val="22"/>
          <w:szCs w:val="22"/>
        </w:rPr>
        <w:t xml:space="preserve"> </w:t>
      </w:r>
      <w:r w:rsidR="00B60DF4">
        <w:rPr>
          <w:rFonts w:asciiTheme="majorHAnsi" w:hAnsiTheme="majorHAnsi" w:cs="Arial"/>
          <w:sz w:val="22"/>
          <w:szCs w:val="22"/>
        </w:rPr>
        <w:t xml:space="preserve">provide updates on and encourage usage of CoPs. </w:t>
      </w:r>
    </w:p>
    <w:p w14:paraId="10704976" w14:textId="77777777" w:rsidR="00CD105D" w:rsidRPr="000E5092" w:rsidRDefault="00CD105D" w:rsidP="003A2A6A">
      <w:pPr>
        <w:autoSpaceDE w:val="0"/>
        <w:autoSpaceDN w:val="0"/>
        <w:adjustRightInd w:val="0"/>
        <w:jc w:val="both"/>
        <w:rPr>
          <w:rFonts w:asciiTheme="majorHAnsi" w:hAnsiTheme="majorHAnsi" w:cs="Arial"/>
          <w:sz w:val="22"/>
          <w:szCs w:val="22"/>
        </w:rPr>
      </w:pPr>
    </w:p>
    <w:p w14:paraId="47B79749" w14:textId="2CC9F99B" w:rsidR="00B60DF4" w:rsidRDefault="00CD105D" w:rsidP="003A2A6A">
      <w:pPr>
        <w:autoSpaceDE w:val="0"/>
        <w:autoSpaceDN w:val="0"/>
        <w:adjustRightInd w:val="0"/>
        <w:jc w:val="both"/>
        <w:rPr>
          <w:rFonts w:asciiTheme="majorHAnsi" w:hAnsiTheme="majorHAnsi" w:cs="Arial"/>
          <w:sz w:val="22"/>
          <w:szCs w:val="22"/>
        </w:rPr>
      </w:pPr>
      <w:r w:rsidRPr="000E5092">
        <w:rPr>
          <w:rFonts w:asciiTheme="majorHAnsi" w:hAnsiTheme="majorHAnsi" w:cs="Arial"/>
          <w:sz w:val="22"/>
          <w:szCs w:val="22"/>
        </w:rPr>
        <w:t xml:space="preserve">The Portfolio </w:t>
      </w:r>
      <w:r w:rsidR="007021D5" w:rsidRPr="000E5092">
        <w:rPr>
          <w:rFonts w:asciiTheme="majorHAnsi" w:hAnsiTheme="majorHAnsi" w:cs="Arial"/>
          <w:sz w:val="22"/>
          <w:szCs w:val="22"/>
        </w:rPr>
        <w:t>Visualisation</w:t>
      </w:r>
      <w:r w:rsidR="007021D5">
        <w:rPr>
          <w:rFonts w:asciiTheme="majorHAnsi" w:hAnsiTheme="majorHAnsi" w:cs="Arial"/>
          <w:sz w:val="22"/>
          <w:szCs w:val="22"/>
        </w:rPr>
        <w:t xml:space="preserve"> tool</w:t>
      </w:r>
      <w:r w:rsidR="00B00748">
        <w:rPr>
          <w:rFonts w:asciiTheme="majorHAnsi" w:hAnsiTheme="majorHAnsi" w:cs="Arial"/>
          <w:sz w:val="22"/>
          <w:szCs w:val="22"/>
        </w:rPr>
        <w:t>s were</w:t>
      </w:r>
      <w:r w:rsidR="007021D5">
        <w:rPr>
          <w:rFonts w:asciiTheme="majorHAnsi" w:hAnsiTheme="majorHAnsi" w:cs="Arial"/>
          <w:sz w:val="22"/>
          <w:szCs w:val="22"/>
        </w:rPr>
        <w:t xml:space="preserve"> </w:t>
      </w:r>
      <w:r w:rsidR="00B60DF4" w:rsidRPr="00DB7204">
        <w:rPr>
          <w:rFonts w:ascii="Arial" w:hAnsi="Arial" w:cs="Arial"/>
          <w:sz w:val="20"/>
          <w:szCs w:val="20"/>
        </w:rPr>
        <w:t xml:space="preserve">officially launched at the IW Science Conference </w:t>
      </w:r>
      <w:r w:rsidRPr="000E5092">
        <w:rPr>
          <w:rFonts w:asciiTheme="majorHAnsi" w:hAnsiTheme="majorHAnsi" w:cs="Arial"/>
          <w:sz w:val="22"/>
          <w:szCs w:val="22"/>
        </w:rPr>
        <w:t xml:space="preserve">has great potential not only as a resource for projects but perhaps most notably for the IAs and GEF. The first </w:t>
      </w:r>
      <w:r w:rsidR="00326A41" w:rsidRPr="000E5092">
        <w:rPr>
          <w:rFonts w:asciiTheme="majorHAnsi" w:hAnsiTheme="majorHAnsi" w:cs="Arial"/>
          <w:sz w:val="22"/>
          <w:szCs w:val="22"/>
        </w:rPr>
        <w:t>layers on visualization tools</w:t>
      </w:r>
      <w:r w:rsidRPr="000E5092">
        <w:rPr>
          <w:rFonts w:asciiTheme="majorHAnsi" w:hAnsiTheme="majorHAnsi" w:cs="Arial"/>
          <w:sz w:val="22"/>
          <w:szCs w:val="22"/>
        </w:rPr>
        <w:t xml:space="preserve"> have been consolidated </w:t>
      </w:r>
      <w:r w:rsidR="00326A41" w:rsidRPr="000E5092">
        <w:rPr>
          <w:rFonts w:asciiTheme="majorHAnsi" w:hAnsiTheme="majorHAnsi" w:cs="Arial"/>
          <w:sz w:val="22"/>
          <w:szCs w:val="22"/>
        </w:rPr>
        <w:t xml:space="preserve">(events, </w:t>
      </w:r>
      <w:r w:rsidR="000B417A">
        <w:rPr>
          <w:rFonts w:asciiTheme="majorHAnsi" w:hAnsiTheme="majorHAnsi" w:cs="Arial"/>
          <w:sz w:val="22"/>
          <w:szCs w:val="22"/>
        </w:rPr>
        <w:t>PCU</w:t>
      </w:r>
      <w:r w:rsidR="00326A41" w:rsidRPr="000E5092">
        <w:rPr>
          <w:rFonts w:asciiTheme="majorHAnsi" w:hAnsiTheme="majorHAnsi" w:cs="Arial"/>
          <w:sz w:val="22"/>
          <w:szCs w:val="22"/>
        </w:rPr>
        <w:t xml:space="preserve"> locations, basins/ecosystems); OpenLayers &amp; Google map/earth visualization tools launched</w:t>
      </w:r>
      <w:r w:rsidRPr="000E5092">
        <w:rPr>
          <w:rFonts w:asciiTheme="majorHAnsi" w:hAnsiTheme="majorHAnsi" w:cs="Arial"/>
          <w:sz w:val="22"/>
          <w:szCs w:val="22"/>
        </w:rPr>
        <w:t xml:space="preserve">. </w:t>
      </w:r>
    </w:p>
    <w:p w14:paraId="74C480D1" w14:textId="77777777" w:rsidR="005B5E1A" w:rsidRDefault="005B5E1A" w:rsidP="003A2A6A">
      <w:pPr>
        <w:autoSpaceDE w:val="0"/>
        <w:autoSpaceDN w:val="0"/>
        <w:adjustRightInd w:val="0"/>
        <w:jc w:val="both"/>
        <w:rPr>
          <w:rFonts w:ascii="Calibri" w:hAnsi="Calibri"/>
          <w:sz w:val="22"/>
          <w:szCs w:val="22"/>
        </w:rPr>
      </w:pPr>
    </w:p>
    <w:p w14:paraId="350E44F2" w14:textId="6DE9634D" w:rsidR="00326A41" w:rsidRPr="000E5092" w:rsidRDefault="00CD105D" w:rsidP="009639C4">
      <w:pPr>
        <w:jc w:val="both"/>
        <w:rPr>
          <w:rFonts w:asciiTheme="majorHAnsi" w:hAnsiTheme="majorHAnsi" w:cs="Arial"/>
          <w:sz w:val="22"/>
          <w:szCs w:val="22"/>
        </w:rPr>
      </w:pPr>
      <w:r w:rsidRPr="000E5092">
        <w:rPr>
          <w:rFonts w:asciiTheme="majorHAnsi" w:hAnsiTheme="majorHAnsi" w:cs="Arial"/>
          <w:sz w:val="22"/>
          <w:szCs w:val="22"/>
        </w:rPr>
        <w:t xml:space="preserve">The key stumbling block to </w:t>
      </w:r>
      <w:r w:rsidR="0000676E">
        <w:rPr>
          <w:rFonts w:asciiTheme="majorHAnsi" w:hAnsiTheme="majorHAnsi" w:cs="Arial"/>
          <w:sz w:val="22"/>
          <w:szCs w:val="22"/>
        </w:rPr>
        <w:t>fully</w:t>
      </w:r>
      <w:r w:rsidRPr="000E5092">
        <w:rPr>
          <w:rFonts w:asciiTheme="majorHAnsi" w:hAnsiTheme="majorHAnsi" w:cs="Arial"/>
          <w:sz w:val="22"/>
          <w:szCs w:val="22"/>
        </w:rPr>
        <w:t xml:space="preserve"> demonstrate the full potential of this tool is reported to be the obtaini</w:t>
      </w:r>
      <w:r w:rsidR="00B00748">
        <w:rPr>
          <w:rFonts w:asciiTheme="majorHAnsi" w:hAnsiTheme="majorHAnsi" w:cs="Arial"/>
          <w:sz w:val="22"/>
          <w:szCs w:val="22"/>
        </w:rPr>
        <w:t>ng of information from projects;</w:t>
      </w:r>
      <w:r w:rsidRPr="000E5092">
        <w:rPr>
          <w:rFonts w:asciiTheme="majorHAnsi" w:hAnsiTheme="majorHAnsi" w:cs="Arial"/>
          <w:sz w:val="22"/>
          <w:szCs w:val="22"/>
        </w:rPr>
        <w:t xml:space="preserve"> there is an unwillingness of projects to respond to request</w:t>
      </w:r>
      <w:r w:rsidR="00B60DF4">
        <w:rPr>
          <w:rFonts w:asciiTheme="majorHAnsi" w:hAnsiTheme="majorHAnsi" w:cs="Arial"/>
          <w:sz w:val="22"/>
          <w:szCs w:val="22"/>
        </w:rPr>
        <w:t>s</w:t>
      </w:r>
      <w:r w:rsidRPr="000E5092">
        <w:rPr>
          <w:rFonts w:asciiTheme="majorHAnsi" w:hAnsiTheme="majorHAnsi" w:cs="Arial"/>
          <w:sz w:val="22"/>
          <w:szCs w:val="22"/>
        </w:rPr>
        <w:t xml:space="preserve"> from the PCU albeit</w:t>
      </w:r>
      <w:r w:rsidR="00B00748">
        <w:rPr>
          <w:rFonts w:asciiTheme="majorHAnsi" w:hAnsiTheme="majorHAnsi" w:cs="Arial"/>
          <w:sz w:val="22"/>
          <w:szCs w:val="22"/>
        </w:rPr>
        <w:t>,</w:t>
      </w:r>
      <w:r w:rsidRPr="000E5092">
        <w:rPr>
          <w:rFonts w:asciiTheme="majorHAnsi" w:hAnsiTheme="majorHAnsi" w:cs="Arial"/>
          <w:sz w:val="22"/>
          <w:szCs w:val="22"/>
        </w:rPr>
        <w:t xml:space="preserve"> in some </w:t>
      </w:r>
      <w:r w:rsidR="00B00748">
        <w:rPr>
          <w:rFonts w:asciiTheme="majorHAnsi" w:hAnsiTheme="majorHAnsi" w:cs="Arial"/>
          <w:sz w:val="22"/>
          <w:szCs w:val="22"/>
        </w:rPr>
        <w:t>instances,</w:t>
      </w:r>
      <w:r w:rsidRPr="000E5092">
        <w:rPr>
          <w:rFonts w:asciiTheme="majorHAnsi" w:hAnsiTheme="majorHAnsi" w:cs="Arial"/>
          <w:sz w:val="22"/>
          <w:szCs w:val="22"/>
        </w:rPr>
        <w:t xml:space="preserve"> this is due to the data requested been considered sensitive by PMs. </w:t>
      </w:r>
      <w:r w:rsidR="00B60DF4">
        <w:rPr>
          <w:rFonts w:asciiTheme="majorHAnsi" w:hAnsiTheme="majorHAnsi" w:cs="Arial"/>
          <w:sz w:val="22"/>
          <w:szCs w:val="22"/>
        </w:rPr>
        <w:t xml:space="preserve">It was also evident to </w:t>
      </w:r>
      <w:proofErr w:type="gramStart"/>
      <w:r w:rsidR="00B60DF4">
        <w:rPr>
          <w:rFonts w:asciiTheme="majorHAnsi" w:hAnsiTheme="majorHAnsi" w:cs="Arial"/>
          <w:sz w:val="22"/>
          <w:szCs w:val="22"/>
        </w:rPr>
        <w:t xml:space="preserve">the </w:t>
      </w:r>
      <w:r w:rsidRPr="000E5092">
        <w:rPr>
          <w:rFonts w:asciiTheme="majorHAnsi" w:hAnsiTheme="majorHAnsi" w:cs="Arial"/>
          <w:sz w:val="22"/>
          <w:szCs w:val="22"/>
        </w:rPr>
        <w:t xml:space="preserve"> </w:t>
      </w:r>
      <w:r w:rsidR="004838C2" w:rsidRPr="000E5092">
        <w:rPr>
          <w:rFonts w:asciiTheme="majorHAnsi" w:hAnsiTheme="majorHAnsi" w:cs="Arial"/>
          <w:sz w:val="22"/>
          <w:szCs w:val="22"/>
        </w:rPr>
        <w:t>MTE</w:t>
      </w:r>
      <w:proofErr w:type="gramEnd"/>
      <w:r w:rsidR="00B60DF4">
        <w:rPr>
          <w:rFonts w:asciiTheme="majorHAnsi" w:hAnsiTheme="majorHAnsi" w:cs="Arial"/>
          <w:sz w:val="22"/>
          <w:szCs w:val="22"/>
        </w:rPr>
        <w:t xml:space="preserve"> at the SCM that there is some lack of clarity regarding what data and information sh</w:t>
      </w:r>
      <w:r w:rsidR="00C271F9">
        <w:rPr>
          <w:rFonts w:asciiTheme="majorHAnsi" w:hAnsiTheme="majorHAnsi" w:cs="Arial"/>
          <w:sz w:val="22"/>
          <w:szCs w:val="22"/>
        </w:rPr>
        <w:t>ould be collected and displayed</w:t>
      </w:r>
      <w:r w:rsidR="00B60DF4">
        <w:rPr>
          <w:rFonts w:asciiTheme="majorHAnsi" w:hAnsiTheme="majorHAnsi" w:cs="Arial"/>
          <w:sz w:val="22"/>
          <w:szCs w:val="22"/>
        </w:rPr>
        <w:t xml:space="preserve"> </w:t>
      </w:r>
      <w:r w:rsidR="00B00748">
        <w:rPr>
          <w:rFonts w:asciiTheme="majorHAnsi" w:hAnsiTheme="majorHAnsi" w:cs="Arial"/>
          <w:sz w:val="22"/>
          <w:szCs w:val="22"/>
        </w:rPr>
        <w:t xml:space="preserve">and </w:t>
      </w:r>
      <w:r w:rsidR="004838C2" w:rsidRPr="000E5092">
        <w:rPr>
          <w:rFonts w:asciiTheme="majorHAnsi" w:hAnsiTheme="majorHAnsi" w:cs="Arial"/>
          <w:sz w:val="22"/>
          <w:szCs w:val="22"/>
        </w:rPr>
        <w:t>support</w:t>
      </w:r>
      <w:r w:rsidR="00B60DF4">
        <w:rPr>
          <w:rFonts w:asciiTheme="majorHAnsi" w:hAnsiTheme="majorHAnsi" w:cs="Arial"/>
          <w:sz w:val="22"/>
          <w:szCs w:val="22"/>
        </w:rPr>
        <w:t>s</w:t>
      </w:r>
      <w:r w:rsidR="004838C2" w:rsidRPr="000E5092">
        <w:rPr>
          <w:rFonts w:asciiTheme="majorHAnsi" w:hAnsiTheme="majorHAnsi" w:cs="Arial"/>
          <w:sz w:val="22"/>
          <w:szCs w:val="22"/>
        </w:rPr>
        <w:t xml:space="preserve"> the view that PCU must engage in bilateral discussions with selected </w:t>
      </w:r>
      <w:r w:rsidR="00B60DF4">
        <w:rPr>
          <w:rFonts w:asciiTheme="majorHAnsi" w:hAnsiTheme="majorHAnsi" w:cs="Arial"/>
          <w:sz w:val="22"/>
          <w:szCs w:val="22"/>
        </w:rPr>
        <w:t xml:space="preserve">mature </w:t>
      </w:r>
      <w:r w:rsidR="004838C2" w:rsidRPr="000E5092">
        <w:rPr>
          <w:rFonts w:asciiTheme="majorHAnsi" w:hAnsiTheme="majorHAnsi" w:cs="Arial"/>
          <w:sz w:val="22"/>
          <w:szCs w:val="22"/>
        </w:rPr>
        <w:t xml:space="preserve">projects </w:t>
      </w:r>
      <w:r w:rsidR="00B60DF4">
        <w:rPr>
          <w:rFonts w:asciiTheme="majorHAnsi" w:hAnsiTheme="majorHAnsi" w:cs="Arial"/>
          <w:sz w:val="22"/>
          <w:szCs w:val="22"/>
        </w:rPr>
        <w:t xml:space="preserve">such as </w:t>
      </w:r>
      <w:r w:rsidR="00D24633">
        <w:rPr>
          <w:rFonts w:asciiTheme="majorHAnsi" w:hAnsiTheme="majorHAnsi" w:cs="Arial"/>
          <w:sz w:val="22"/>
          <w:szCs w:val="22"/>
        </w:rPr>
        <w:t xml:space="preserve">IWCAM, BCLME, PEMSEA etc </w:t>
      </w:r>
      <w:r w:rsidR="004838C2" w:rsidRPr="000E5092">
        <w:rPr>
          <w:rFonts w:asciiTheme="majorHAnsi" w:hAnsiTheme="majorHAnsi" w:cs="Arial"/>
          <w:sz w:val="22"/>
          <w:szCs w:val="22"/>
        </w:rPr>
        <w:t>to extract what none c</w:t>
      </w:r>
      <w:r w:rsidR="00D24633">
        <w:rPr>
          <w:rFonts w:asciiTheme="majorHAnsi" w:hAnsiTheme="majorHAnsi" w:cs="Arial"/>
          <w:sz w:val="22"/>
          <w:szCs w:val="22"/>
        </w:rPr>
        <w:t>onfidential data is available and thus enable the system to be properly tested</w:t>
      </w:r>
      <w:r w:rsidR="000B417A">
        <w:rPr>
          <w:rFonts w:asciiTheme="majorHAnsi" w:hAnsiTheme="majorHAnsi" w:cs="Arial"/>
          <w:sz w:val="22"/>
          <w:szCs w:val="22"/>
        </w:rPr>
        <w:t xml:space="preserve"> and its features displayed. This</w:t>
      </w:r>
      <w:r w:rsidR="00D24633">
        <w:rPr>
          <w:rFonts w:asciiTheme="majorHAnsi" w:hAnsiTheme="majorHAnsi" w:cs="Arial"/>
          <w:sz w:val="22"/>
          <w:szCs w:val="22"/>
        </w:rPr>
        <w:t xml:space="preserve"> may </w:t>
      </w:r>
      <w:r w:rsidR="000B417A">
        <w:rPr>
          <w:rFonts w:asciiTheme="majorHAnsi" w:hAnsiTheme="majorHAnsi" w:cs="Arial"/>
          <w:sz w:val="22"/>
          <w:szCs w:val="22"/>
        </w:rPr>
        <w:t xml:space="preserve">in turn </w:t>
      </w:r>
      <w:r w:rsidR="00D24633">
        <w:rPr>
          <w:rFonts w:asciiTheme="majorHAnsi" w:hAnsiTheme="majorHAnsi" w:cs="Arial"/>
          <w:sz w:val="22"/>
          <w:szCs w:val="22"/>
        </w:rPr>
        <w:t xml:space="preserve">induce more cooperation from the rest of the projects. </w:t>
      </w:r>
      <w:r w:rsidR="004838C2" w:rsidRPr="000E5092">
        <w:rPr>
          <w:rFonts w:asciiTheme="majorHAnsi" w:hAnsiTheme="majorHAnsi" w:cs="Arial"/>
          <w:sz w:val="22"/>
          <w:szCs w:val="22"/>
        </w:rPr>
        <w:t xml:space="preserve"> </w:t>
      </w:r>
    </w:p>
    <w:p w14:paraId="0F5A796F" w14:textId="77777777" w:rsidR="00326A41" w:rsidRPr="00DB7204" w:rsidRDefault="00326A41" w:rsidP="003A2A6A">
      <w:pPr>
        <w:jc w:val="both"/>
        <w:rPr>
          <w:rFonts w:ascii="Arial" w:hAnsi="Arial" w:cs="Arial"/>
          <w:sz w:val="20"/>
          <w:szCs w:val="20"/>
        </w:rPr>
      </w:pPr>
    </w:p>
    <w:p w14:paraId="7A5BDD7E" w14:textId="31C7CE8D" w:rsidR="00AB5042" w:rsidRPr="00AB5042" w:rsidRDefault="006D1BD1" w:rsidP="003A2A6A">
      <w:pPr>
        <w:widowControl w:val="0"/>
        <w:tabs>
          <w:tab w:val="left" w:pos="220"/>
          <w:tab w:val="left" w:pos="720"/>
        </w:tabs>
        <w:autoSpaceDE w:val="0"/>
        <w:autoSpaceDN w:val="0"/>
        <w:adjustRightInd w:val="0"/>
        <w:spacing w:after="60"/>
        <w:jc w:val="both"/>
        <w:rPr>
          <w:rFonts w:ascii="Arial" w:hAnsi="Arial" w:cs="Arial"/>
          <w:sz w:val="20"/>
          <w:szCs w:val="20"/>
        </w:rPr>
      </w:pPr>
      <w:r w:rsidRPr="006D1BD1">
        <w:rPr>
          <w:rFonts w:ascii="Calibri" w:hAnsi="Calibri"/>
          <w:sz w:val="22"/>
          <w:szCs w:val="22"/>
        </w:rPr>
        <w:t xml:space="preserve">In addition to </w:t>
      </w:r>
      <w:proofErr w:type="gramStart"/>
      <w:r w:rsidRPr="006D1BD1">
        <w:rPr>
          <w:rFonts w:ascii="Calibri" w:hAnsi="Calibri"/>
          <w:sz w:val="22"/>
          <w:szCs w:val="22"/>
        </w:rPr>
        <w:t>the  GW</w:t>
      </w:r>
      <w:proofErr w:type="gramEnd"/>
      <w:r w:rsidRPr="006D1BD1">
        <w:rPr>
          <w:rFonts w:ascii="Calibri" w:hAnsi="Calibri"/>
          <w:sz w:val="22"/>
          <w:szCs w:val="22"/>
        </w:rPr>
        <w:t xml:space="preserve"> and SFW CoPs other workspaces have been established for,</w:t>
      </w:r>
      <w:r>
        <w:rPr>
          <w:rFonts w:ascii="Calibri" w:hAnsi="Calibri"/>
          <w:sz w:val="22"/>
          <w:szCs w:val="22"/>
        </w:rPr>
        <w:t xml:space="preserve"> GEF IW Project Manager’s CoP, IW LEARN Technical Advisory Group for the TDA-SAP methodology revision, IW LEARN Tool Kit CoP, </w:t>
      </w:r>
      <w:r w:rsidR="00AB5042">
        <w:rPr>
          <w:rFonts w:ascii="Calibri" w:hAnsi="Calibri"/>
          <w:sz w:val="22"/>
          <w:szCs w:val="22"/>
        </w:rPr>
        <w:t xml:space="preserve">Legal and Institutional Frameworks CoP, Nutrient Management CoP and CTI Learning Resource Network CoP.  Nevertheless most have had little success in eliciting any substantial discussion or exchange of information other than for short periods such as during the development of the TDA-SAP course but with limited numbers of individuals.  </w:t>
      </w:r>
      <w:r w:rsidR="00C24917">
        <w:rPr>
          <w:rFonts w:ascii="Calibri" w:hAnsi="Calibri"/>
          <w:sz w:val="22"/>
          <w:szCs w:val="22"/>
        </w:rPr>
        <w:t xml:space="preserve">Online guidance has, however, </w:t>
      </w:r>
      <w:r w:rsidR="00E21E69">
        <w:rPr>
          <w:rFonts w:ascii="Calibri" w:hAnsi="Calibri"/>
          <w:sz w:val="22"/>
          <w:szCs w:val="22"/>
        </w:rPr>
        <w:t xml:space="preserve">been provided on the use of the workspaces in the form of manuals and FAQs.  </w:t>
      </w:r>
      <w:r w:rsidR="00E00CC1">
        <w:rPr>
          <w:rFonts w:ascii="Calibri" w:hAnsi="Calibri"/>
          <w:sz w:val="22"/>
          <w:szCs w:val="22"/>
        </w:rPr>
        <w:t xml:space="preserve"> </w:t>
      </w:r>
    </w:p>
    <w:p w14:paraId="06A1CB57" w14:textId="77777777" w:rsidR="00907917" w:rsidRDefault="00907917" w:rsidP="003A2A6A">
      <w:pPr>
        <w:widowControl w:val="0"/>
        <w:tabs>
          <w:tab w:val="left" w:pos="220"/>
          <w:tab w:val="left" w:pos="720"/>
        </w:tabs>
        <w:autoSpaceDE w:val="0"/>
        <w:autoSpaceDN w:val="0"/>
        <w:adjustRightInd w:val="0"/>
        <w:spacing w:after="60"/>
        <w:jc w:val="both"/>
        <w:rPr>
          <w:rFonts w:ascii="Arial" w:hAnsi="Arial" w:cs="Arial"/>
          <w:sz w:val="20"/>
          <w:szCs w:val="20"/>
          <w:highlight w:val="yellow"/>
        </w:rPr>
      </w:pPr>
    </w:p>
    <w:p w14:paraId="49213DEE" w14:textId="5CDA1648" w:rsidR="005B5E1A" w:rsidRPr="00B00748" w:rsidRDefault="000260CE" w:rsidP="003A2A6A">
      <w:pPr>
        <w:widowControl w:val="0"/>
        <w:tabs>
          <w:tab w:val="left" w:pos="220"/>
          <w:tab w:val="left" w:pos="720"/>
        </w:tabs>
        <w:autoSpaceDE w:val="0"/>
        <w:autoSpaceDN w:val="0"/>
        <w:adjustRightInd w:val="0"/>
        <w:spacing w:after="60"/>
        <w:jc w:val="both"/>
        <w:rPr>
          <w:rFonts w:asciiTheme="majorHAnsi" w:hAnsiTheme="majorHAnsi" w:cs="Arial"/>
          <w:sz w:val="22"/>
          <w:szCs w:val="22"/>
        </w:rPr>
      </w:pPr>
      <w:r w:rsidRPr="00B00748">
        <w:rPr>
          <w:rFonts w:asciiTheme="majorHAnsi" w:hAnsiTheme="majorHAnsi" w:cs="Arial"/>
          <w:sz w:val="22"/>
          <w:szCs w:val="22"/>
        </w:rPr>
        <w:t>With regard to the p</w:t>
      </w:r>
      <w:r w:rsidR="00985B94" w:rsidRPr="00B00748">
        <w:rPr>
          <w:rFonts w:asciiTheme="majorHAnsi" w:hAnsiTheme="majorHAnsi" w:cs="Arial"/>
          <w:sz w:val="22"/>
          <w:szCs w:val="22"/>
        </w:rPr>
        <w:t>roject results archive</w:t>
      </w:r>
      <w:r w:rsidRPr="00B00748">
        <w:rPr>
          <w:rFonts w:asciiTheme="majorHAnsi" w:hAnsiTheme="majorHAnsi" w:cs="Arial"/>
          <w:sz w:val="22"/>
          <w:szCs w:val="22"/>
        </w:rPr>
        <w:t xml:space="preserve"> summary</w:t>
      </w:r>
      <w:r w:rsidR="00985B94" w:rsidRPr="00B00748">
        <w:rPr>
          <w:rFonts w:asciiTheme="majorHAnsi" w:hAnsiTheme="majorHAnsi" w:cs="Arial"/>
          <w:sz w:val="22"/>
          <w:szCs w:val="22"/>
        </w:rPr>
        <w:t xml:space="preserve"> </w:t>
      </w:r>
      <w:r w:rsidRPr="00B00748">
        <w:rPr>
          <w:rFonts w:asciiTheme="majorHAnsi" w:hAnsiTheme="majorHAnsi" w:cs="Arial"/>
          <w:sz w:val="22"/>
          <w:szCs w:val="22"/>
        </w:rPr>
        <w:t xml:space="preserve">results have been assembled by the PCU from, </w:t>
      </w:r>
      <w:r w:rsidR="00B00748" w:rsidRPr="00B00748">
        <w:rPr>
          <w:rFonts w:asciiTheme="majorHAnsi" w:hAnsiTheme="majorHAnsi" w:cs="Arial"/>
          <w:sz w:val="22"/>
          <w:szCs w:val="22"/>
        </w:rPr>
        <w:t xml:space="preserve">the </w:t>
      </w:r>
      <w:r w:rsidRPr="00B00748">
        <w:rPr>
          <w:rFonts w:asciiTheme="majorHAnsi" w:hAnsiTheme="majorHAnsi" w:cs="Arial"/>
          <w:sz w:val="22"/>
          <w:szCs w:val="22"/>
        </w:rPr>
        <w:t xml:space="preserve">GEF </w:t>
      </w:r>
      <w:r w:rsidR="00B00748" w:rsidRPr="00B00748">
        <w:rPr>
          <w:rFonts w:asciiTheme="majorHAnsi" w:hAnsiTheme="majorHAnsi" w:cs="Arial"/>
          <w:sz w:val="22"/>
          <w:szCs w:val="22"/>
        </w:rPr>
        <w:t>Tracking Tool including results</w:t>
      </w:r>
      <w:r w:rsidRPr="00B00748">
        <w:rPr>
          <w:rFonts w:asciiTheme="majorHAnsi" w:hAnsiTheme="majorHAnsi" w:cs="Arial"/>
          <w:sz w:val="22"/>
          <w:szCs w:val="22"/>
        </w:rPr>
        <w:t xml:space="preserve"> notes, final evaluations etc. and these will be uploaded to the archive database once this is ready, expected by end of February</w:t>
      </w:r>
      <w:r w:rsidR="00B00748" w:rsidRPr="00B00748">
        <w:rPr>
          <w:rFonts w:asciiTheme="majorHAnsi" w:hAnsiTheme="majorHAnsi" w:cs="Arial"/>
          <w:sz w:val="22"/>
          <w:szCs w:val="22"/>
        </w:rPr>
        <w:t xml:space="preserve"> 2013</w:t>
      </w:r>
      <w:r w:rsidRPr="00B00748">
        <w:rPr>
          <w:rFonts w:asciiTheme="majorHAnsi" w:hAnsiTheme="majorHAnsi" w:cs="Arial"/>
          <w:sz w:val="22"/>
          <w:szCs w:val="22"/>
        </w:rPr>
        <w:t>. However there has not been much progress yet on</w:t>
      </w:r>
      <w:r w:rsidR="00B00748" w:rsidRPr="00B00748">
        <w:rPr>
          <w:rFonts w:asciiTheme="majorHAnsi" w:hAnsiTheme="majorHAnsi" w:cs="Arial"/>
          <w:sz w:val="22"/>
          <w:szCs w:val="22"/>
        </w:rPr>
        <w:t xml:space="preserve"> the</w:t>
      </w:r>
      <w:r w:rsidRPr="00B00748">
        <w:rPr>
          <w:rFonts w:asciiTheme="majorHAnsi" w:hAnsiTheme="majorHAnsi" w:cs="Arial"/>
          <w:sz w:val="22"/>
          <w:szCs w:val="22"/>
        </w:rPr>
        <w:t xml:space="preserve"> landing page or visualisation.</w:t>
      </w:r>
      <w:r w:rsidR="00B00748" w:rsidRPr="00B00748">
        <w:rPr>
          <w:rFonts w:asciiTheme="majorHAnsi" w:hAnsiTheme="majorHAnsi" w:cs="Arial"/>
          <w:sz w:val="22"/>
          <w:szCs w:val="22"/>
        </w:rPr>
        <w:t xml:space="preserve"> </w:t>
      </w:r>
      <w:r w:rsidRPr="00B00748">
        <w:rPr>
          <w:rFonts w:asciiTheme="majorHAnsi" w:hAnsiTheme="majorHAnsi" w:cs="Arial"/>
          <w:sz w:val="22"/>
          <w:szCs w:val="22"/>
        </w:rPr>
        <w:t xml:space="preserve">It was </w:t>
      </w:r>
      <w:r w:rsidR="00C24917" w:rsidRPr="00B00748">
        <w:rPr>
          <w:rFonts w:asciiTheme="majorHAnsi" w:hAnsiTheme="majorHAnsi" w:cs="Arial"/>
          <w:sz w:val="22"/>
          <w:szCs w:val="22"/>
        </w:rPr>
        <w:t>reported to the MTE</w:t>
      </w:r>
      <w:r w:rsidRPr="00B00748">
        <w:rPr>
          <w:rFonts w:asciiTheme="majorHAnsi" w:hAnsiTheme="majorHAnsi" w:cs="Arial"/>
          <w:sz w:val="22"/>
          <w:szCs w:val="22"/>
        </w:rPr>
        <w:t xml:space="preserve"> that many projects in the IW portfolio fail to</w:t>
      </w:r>
      <w:r w:rsidR="002B6A43" w:rsidRPr="00B00748">
        <w:rPr>
          <w:rFonts w:asciiTheme="majorHAnsi" w:hAnsiTheme="majorHAnsi" w:cs="Arial"/>
          <w:sz w:val="22"/>
          <w:szCs w:val="22"/>
        </w:rPr>
        <w:t xml:space="preserve"> complete the GEF Tracking </w:t>
      </w:r>
      <w:proofErr w:type="gramStart"/>
      <w:r w:rsidR="002B6A43" w:rsidRPr="00B00748">
        <w:rPr>
          <w:rFonts w:asciiTheme="majorHAnsi" w:hAnsiTheme="majorHAnsi" w:cs="Arial"/>
          <w:sz w:val="22"/>
          <w:szCs w:val="22"/>
        </w:rPr>
        <w:t>tool which</w:t>
      </w:r>
      <w:proofErr w:type="gramEnd"/>
      <w:r w:rsidR="002B6A43" w:rsidRPr="00B00748">
        <w:rPr>
          <w:rFonts w:asciiTheme="majorHAnsi" w:hAnsiTheme="majorHAnsi" w:cs="Arial"/>
          <w:sz w:val="22"/>
          <w:szCs w:val="22"/>
        </w:rPr>
        <w:t xml:space="preserve"> leaves significant gaps in data. </w:t>
      </w:r>
      <w:r w:rsidR="00C24917" w:rsidRPr="00B00748">
        <w:rPr>
          <w:rFonts w:asciiTheme="majorHAnsi" w:hAnsiTheme="majorHAnsi" w:cs="Arial"/>
          <w:sz w:val="22"/>
          <w:szCs w:val="22"/>
        </w:rPr>
        <w:t xml:space="preserve"> The MTE was unable to obtain up-to-date information</w:t>
      </w:r>
      <w:r w:rsidR="00B00748" w:rsidRPr="00B00748">
        <w:rPr>
          <w:rFonts w:asciiTheme="majorHAnsi" w:hAnsiTheme="majorHAnsi" w:cs="Arial"/>
          <w:sz w:val="22"/>
          <w:szCs w:val="22"/>
        </w:rPr>
        <w:t xml:space="preserve"> but if indeed projects are not completing this obligation i</w:t>
      </w:r>
      <w:r w:rsidR="0057534B" w:rsidRPr="00B00748">
        <w:rPr>
          <w:rFonts w:asciiTheme="majorHAnsi" w:hAnsiTheme="majorHAnsi" w:cs="Arial"/>
          <w:sz w:val="22"/>
          <w:szCs w:val="22"/>
        </w:rPr>
        <w:t xml:space="preserve">t would be helpful if GEF-SEC reminded IAs of their obligations to complete the Tracking Tool. </w:t>
      </w:r>
      <w:r w:rsidRPr="00B00748">
        <w:rPr>
          <w:rFonts w:asciiTheme="majorHAnsi" w:hAnsiTheme="majorHAnsi" w:cs="Arial"/>
          <w:sz w:val="22"/>
          <w:szCs w:val="22"/>
        </w:rPr>
        <w:t xml:space="preserve"> </w:t>
      </w:r>
    </w:p>
    <w:p w14:paraId="3A72B041" w14:textId="77777777" w:rsidR="00DD67A9" w:rsidRDefault="00DD67A9" w:rsidP="003A2A6A">
      <w:pPr>
        <w:autoSpaceDE w:val="0"/>
        <w:autoSpaceDN w:val="0"/>
        <w:adjustRightInd w:val="0"/>
        <w:jc w:val="both"/>
        <w:rPr>
          <w:rFonts w:ascii="Calibri" w:hAnsi="Calibri"/>
          <w:sz w:val="22"/>
          <w:szCs w:val="22"/>
        </w:rPr>
      </w:pPr>
    </w:p>
    <w:p w14:paraId="32A49925" w14:textId="6CB82C1D" w:rsidR="00C24917" w:rsidRDefault="005B5E1A" w:rsidP="003A2A6A">
      <w:pPr>
        <w:autoSpaceDE w:val="0"/>
        <w:autoSpaceDN w:val="0"/>
        <w:adjustRightInd w:val="0"/>
        <w:jc w:val="both"/>
        <w:rPr>
          <w:rFonts w:ascii="Calibri" w:hAnsi="Calibri"/>
          <w:sz w:val="22"/>
          <w:szCs w:val="22"/>
        </w:rPr>
      </w:pPr>
      <w:r>
        <w:rPr>
          <w:rFonts w:ascii="Calibri" w:hAnsi="Calibri"/>
          <w:sz w:val="22"/>
          <w:szCs w:val="22"/>
        </w:rPr>
        <w:t xml:space="preserve">It is imperative that the most if not all technical difficulties, updates etc are resolved </w:t>
      </w:r>
      <w:proofErr w:type="gramStart"/>
      <w:r>
        <w:rPr>
          <w:rFonts w:ascii="Calibri" w:hAnsi="Calibri"/>
          <w:sz w:val="22"/>
          <w:szCs w:val="22"/>
        </w:rPr>
        <w:t>within  the</w:t>
      </w:r>
      <w:proofErr w:type="gramEnd"/>
      <w:r>
        <w:rPr>
          <w:rFonts w:ascii="Calibri" w:hAnsi="Calibri"/>
          <w:sz w:val="22"/>
          <w:szCs w:val="22"/>
        </w:rPr>
        <w:t xml:space="preserve"> next six months or at least before the next SCM,  in order that the maximum potential is realised and can be showcased both there and at the next IW Conference</w:t>
      </w:r>
      <w:r w:rsidR="0057534B">
        <w:rPr>
          <w:rFonts w:ascii="Calibri" w:hAnsi="Calibri"/>
          <w:sz w:val="22"/>
          <w:szCs w:val="22"/>
        </w:rPr>
        <w:t xml:space="preserve">. Specific actions that came out of the January SCM should be followed up </w:t>
      </w:r>
      <w:proofErr w:type="gramStart"/>
      <w:r w:rsidR="00C24917">
        <w:rPr>
          <w:rFonts w:ascii="Calibri" w:hAnsi="Calibri"/>
          <w:sz w:val="22"/>
          <w:szCs w:val="22"/>
        </w:rPr>
        <w:t>rigorously</w:t>
      </w:r>
      <w:r w:rsidR="0057534B">
        <w:rPr>
          <w:rFonts w:ascii="Calibri" w:hAnsi="Calibri"/>
          <w:sz w:val="22"/>
          <w:szCs w:val="22"/>
        </w:rPr>
        <w:t xml:space="preserve"> </w:t>
      </w:r>
      <w:r w:rsidR="00C24917">
        <w:rPr>
          <w:rFonts w:ascii="Calibri" w:hAnsi="Calibri"/>
          <w:sz w:val="22"/>
          <w:szCs w:val="22"/>
        </w:rPr>
        <w:t xml:space="preserve"> including</w:t>
      </w:r>
      <w:proofErr w:type="gramEnd"/>
      <w:r w:rsidR="00C24917">
        <w:rPr>
          <w:rFonts w:ascii="Calibri" w:hAnsi="Calibri"/>
          <w:sz w:val="22"/>
          <w:szCs w:val="22"/>
        </w:rPr>
        <w:t xml:space="preserve">: </w:t>
      </w:r>
    </w:p>
    <w:p w14:paraId="7081344A" w14:textId="77777777" w:rsidR="00B00748" w:rsidRPr="00B00748" w:rsidRDefault="00B00748" w:rsidP="00B00748">
      <w:pPr>
        <w:autoSpaceDE w:val="0"/>
        <w:autoSpaceDN w:val="0"/>
        <w:adjustRightInd w:val="0"/>
        <w:rPr>
          <w:rFonts w:ascii="Calibri" w:hAnsi="Calibri"/>
          <w:sz w:val="22"/>
          <w:szCs w:val="22"/>
        </w:rPr>
      </w:pPr>
    </w:p>
    <w:p w14:paraId="1279CC93" w14:textId="634F1A7D" w:rsidR="00C24917" w:rsidRPr="00B00748" w:rsidRDefault="00C24917" w:rsidP="00623323">
      <w:pPr>
        <w:pStyle w:val="ListParagraph"/>
        <w:numPr>
          <w:ilvl w:val="0"/>
          <w:numId w:val="10"/>
        </w:numPr>
        <w:rPr>
          <w:rFonts w:asciiTheme="majorHAnsi" w:hAnsiTheme="majorHAnsi" w:cs="Arial"/>
        </w:rPr>
      </w:pPr>
      <w:proofErr w:type="gramStart"/>
      <w:r w:rsidRPr="00B00748">
        <w:rPr>
          <w:rFonts w:asciiTheme="majorHAnsi" w:hAnsiTheme="majorHAnsi" w:cs="Arial"/>
        </w:rPr>
        <w:t>Hiring  a</w:t>
      </w:r>
      <w:proofErr w:type="gramEnd"/>
      <w:r w:rsidRPr="00B00748">
        <w:rPr>
          <w:rFonts w:asciiTheme="majorHAnsi" w:hAnsiTheme="majorHAnsi" w:cs="Arial"/>
        </w:rPr>
        <w:t xml:space="preserve"> consultant to have an independent review of the website and the different platforms of which it is composed by </w:t>
      </w:r>
      <w:r w:rsidRPr="00B00748">
        <w:rPr>
          <w:rFonts w:asciiTheme="majorHAnsi" w:hAnsiTheme="majorHAnsi" w:cs="Arial"/>
          <w:b/>
        </w:rPr>
        <w:t>15 Feb</w:t>
      </w:r>
      <w:r w:rsidRPr="00B00748">
        <w:rPr>
          <w:rFonts w:asciiTheme="majorHAnsi" w:hAnsiTheme="majorHAnsi" w:cs="Arial"/>
        </w:rPr>
        <w:t>.</w:t>
      </w:r>
    </w:p>
    <w:p w14:paraId="5FB531EB" w14:textId="64B56264" w:rsidR="00C24917" w:rsidRPr="00B00748" w:rsidRDefault="00EE520D" w:rsidP="00623323">
      <w:pPr>
        <w:pStyle w:val="ListParagraph"/>
        <w:numPr>
          <w:ilvl w:val="0"/>
          <w:numId w:val="10"/>
        </w:numPr>
        <w:rPr>
          <w:rFonts w:asciiTheme="majorHAnsi" w:hAnsiTheme="majorHAnsi" w:cs="Arial"/>
        </w:rPr>
      </w:pPr>
      <w:r w:rsidRPr="00B00748">
        <w:rPr>
          <w:rFonts w:asciiTheme="majorHAnsi" w:hAnsiTheme="majorHAnsi" w:cs="Arial"/>
        </w:rPr>
        <w:t>O</w:t>
      </w:r>
      <w:r w:rsidR="00C24917" w:rsidRPr="00B00748">
        <w:rPr>
          <w:rFonts w:asciiTheme="majorHAnsi" w:hAnsiTheme="majorHAnsi" w:cs="Arial"/>
        </w:rPr>
        <w:t>rganize a technical design (knowledge management strategy) concept note to guide the website enhancements.</w:t>
      </w:r>
    </w:p>
    <w:p w14:paraId="19FCD2B6" w14:textId="31804DF6" w:rsidR="00C24917" w:rsidRPr="00B00748" w:rsidRDefault="00C24917" w:rsidP="00623323">
      <w:pPr>
        <w:pStyle w:val="ListParagraph"/>
        <w:numPr>
          <w:ilvl w:val="0"/>
          <w:numId w:val="10"/>
        </w:numPr>
        <w:rPr>
          <w:rFonts w:asciiTheme="majorHAnsi" w:hAnsiTheme="majorHAnsi" w:cs="Arial"/>
        </w:rPr>
      </w:pPr>
      <w:proofErr w:type="gramStart"/>
      <w:r w:rsidRPr="00B00748">
        <w:rPr>
          <w:rFonts w:asciiTheme="majorHAnsi" w:hAnsiTheme="majorHAnsi" w:cs="Arial"/>
        </w:rPr>
        <w:t>update</w:t>
      </w:r>
      <w:proofErr w:type="gramEnd"/>
      <w:r w:rsidRPr="00B00748">
        <w:rPr>
          <w:rFonts w:asciiTheme="majorHAnsi" w:hAnsiTheme="majorHAnsi" w:cs="Arial"/>
        </w:rPr>
        <w:t xml:space="preserve"> outline for the Visualization and share with PSC on how to proceed.</w:t>
      </w:r>
    </w:p>
    <w:p w14:paraId="132C4D1D" w14:textId="7E3DE364" w:rsidR="00C24917" w:rsidRPr="00B00748" w:rsidRDefault="00C24917" w:rsidP="00623323">
      <w:pPr>
        <w:pStyle w:val="ListParagraph"/>
        <w:numPr>
          <w:ilvl w:val="0"/>
          <w:numId w:val="10"/>
        </w:numPr>
        <w:rPr>
          <w:rFonts w:asciiTheme="majorHAnsi" w:hAnsiTheme="majorHAnsi" w:cs="Arial"/>
        </w:rPr>
      </w:pPr>
      <w:r w:rsidRPr="00B00748">
        <w:rPr>
          <w:rFonts w:asciiTheme="majorHAnsi" w:hAnsiTheme="majorHAnsi" w:cs="Arial"/>
        </w:rPr>
        <w:t xml:space="preserve">Work </w:t>
      </w:r>
      <w:r w:rsidR="00EE520D" w:rsidRPr="00B00748">
        <w:rPr>
          <w:rFonts w:asciiTheme="majorHAnsi" w:hAnsiTheme="majorHAnsi" w:cs="Arial"/>
        </w:rPr>
        <w:t xml:space="preserve">directly </w:t>
      </w:r>
      <w:r w:rsidRPr="00B00748">
        <w:rPr>
          <w:rFonts w:asciiTheme="majorHAnsi" w:hAnsiTheme="majorHAnsi" w:cs="Arial"/>
        </w:rPr>
        <w:t>with specific projects from each region</w:t>
      </w:r>
      <w:r w:rsidR="00EE520D" w:rsidRPr="00B00748">
        <w:rPr>
          <w:rFonts w:asciiTheme="majorHAnsi" w:hAnsiTheme="majorHAnsi" w:cs="Arial"/>
        </w:rPr>
        <w:t xml:space="preserve"> that are known to be data rich</w:t>
      </w:r>
      <w:r w:rsidRPr="00B00748">
        <w:rPr>
          <w:rFonts w:asciiTheme="majorHAnsi" w:hAnsiTheme="majorHAnsi" w:cs="Arial"/>
        </w:rPr>
        <w:t xml:space="preserve"> (IWCAM, BCLME/Orange River, PEMSEA/South China Sea, Danube/Black Sea) to mine for information to pilot the visualization, particularly from TDA datasets. Acquire datasets, maps, videos and photos. </w:t>
      </w:r>
    </w:p>
    <w:p w14:paraId="5E6F85E1" w14:textId="77777777" w:rsidR="005B5E1A" w:rsidRPr="0040711B" w:rsidRDefault="005B5E1A" w:rsidP="00D16DFD">
      <w:pPr>
        <w:autoSpaceDE w:val="0"/>
        <w:autoSpaceDN w:val="0"/>
        <w:adjustRightInd w:val="0"/>
        <w:rPr>
          <w:rFonts w:ascii="Calibri" w:hAnsi="Calibri"/>
          <w:sz w:val="22"/>
          <w:szCs w:val="22"/>
        </w:rPr>
      </w:pPr>
    </w:p>
    <w:p w14:paraId="123D4361" w14:textId="6B064709" w:rsidR="00EA663C" w:rsidRPr="0040711B" w:rsidRDefault="00EA663C" w:rsidP="004053C0">
      <w:pPr>
        <w:pBdr>
          <w:top w:val="single" w:sz="4" w:space="1" w:color="auto"/>
          <w:left w:val="single" w:sz="4" w:space="4" w:color="auto"/>
          <w:bottom w:val="single" w:sz="4" w:space="1" w:color="auto"/>
          <w:right w:val="single" w:sz="4" w:space="4" w:color="auto"/>
        </w:pBdr>
        <w:shd w:val="clear" w:color="auto" w:fill="C6D9F1" w:themeFill="text2" w:themeFillTint="33"/>
        <w:autoSpaceDE w:val="0"/>
        <w:autoSpaceDN w:val="0"/>
        <w:adjustRightInd w:val="0"/>
        <w:rPr>
          <w:rFonts w:ascii="Calibri" w:hAnsi="Calibri"/>
          <w:b/>
          <w:color w:val="3366FF"/>
          <w:sz w:val="22"/>
          <w:szCs w:val="22"/>
        </w:rPr>
      </w:pPr>
      <w:r w:rsidRPr="0040711B">
        <w:rPr>
          <w:rFonts w:ascii="Calibri" w:hAnsi="Calibri"/>
          <w:b/>
          <w:color w:val="3366FF"/>
          <w:sz w:val="22"/>
          <w:szCs w:val="22"/>
        </w:rPr>
        <w:t xml:space="preserve">COMPONENT 5 </w:t>
      </w:r>
      <w:r w:rsidRPr="0040711B">
        <w:rPr>
          <w:rFonts w:ascii="Calibri" w:hAnsi="Calibri"/>
          <w:color w:val="3366FF"/>
          <w:sz w:val="22"/>
          <w:szCs w:val="22"/>
        </w:rPr>
        <w:t>Programmatic Management Tools and Innovative Approaches related to Climate / Water and Private Sector Participation to Enhance GEF IW Portfolio Project</w:t>
      </w:r>
      <w:r w:rsidR="004053C0" w:rsidRPr="0040711B">
        <w:rPr>
          <w:rFonts w:ascii="Calibri" w:hAnsi="Calibri"/>
          <w:color w:val="3366FF"/>
          <w:sz w:val="22"/>
          <w:szCs w:val="22"/>
        </w:rPr>
        <w:t xml:space="preserve"> Performance. </w:t>
      </w:r>
    </w:p>
    <w:p w14:paraId="534E9476" w14:textId="77777777" w:rsidR="00EA663C" w:rsidRPr="0040711B" w:rsidRDefault="00EA663C" w:rsidP="00EA663C">
      <w:pPr>
        <w:autoSpaceDE w:val="0"/>
        <w:autoSpaceDN w:val="0"/>
        <w:adjustRightInd w:val="0"/>
        <w:rPr>
          <w:rFonts w:ascii="Calibri" w:hAnsi="Calibri"/>
          <w:sz w:val="22"/>
          <w:szCs w:val="22"/>
        </w:rPr>
      </w:pPr>
    </w:p>
    <w:p w14:paraId="3E2D0CE0" w14:textId="0BDF436E" w:rsidR="004053C0" w:rsidRPr="009F62E3" w:rsidRDefault="009F62E3" w:rsidP="00060C35">
      <w:pPr>
        <w:autoSpaceDE w:val="0"/>
        <w:autoSpaceDN w:val="0"/>
        <w:adjustRightInd w:val="0"/>
        <w:jc w:val="both"/>
        <w:rPr>
          <w:rFonts w:ascii="Calibri" w:hAnsi="Calibri"/>
          <w:b/>
          <w:sz w:val="22"/>
          <w:szCs w:val="22"/>
        </w:rPr>
      </w:pPr>
      <w:r>
        <w:rPr>
          <w:rFonts w:ascii="Calibri" w:hAnsi="Calibri"/>
          <w:sz w:val="22"/>
          <w:szCs w:val="22"/>
        </w:rPr>
        <w:t>Notwithstanding the MTE recommendation</w:t>
      </w:r>
      <w:r w:rsidR="00EE520D">
        <w:rPr>
          <w:rFonts w:ascii="Calibri" w:hAnsi="Calibri"/>
          <w:sz w:val="22"/>
          <w:szCs w:val="22"/>
        </w:rPr>
        <w:t xml:space="preserve"> below</w:t>
      </w:r>
      <w:r>
        <w:rPr>
          <w:rFonts w:ascii="Calibri" w:hAnsi="Calibri"/>
          <w:sz w:val="22"/>
          <w:szCs w:val="22"/>
        </w:rPr>
        <w:t xml:space="preserve"> to </w:t>
      </w:r>
      <w:r w:rsidR="00EE520D">
        <w:rPr>
          <w:rFonts w:ascii="Calibri" w:hAnsi="Calibri"/>
          <w:sz w:val="22"/>
          <w:szCs w:val="22"/>
        </w:rPr>
        <w:t>remove</w:t>
      </w:r>
      <w:r>
        <w:rPr>
          <w:rFonts w:ascii="Calibri" w:hAnsi="Calibri"/>
          <w:sz w:val="22"/>
          <w:szCs w:val="22"/>
        </w:rPr>
        <w:t xml:space="preserve"> the sub-</w:t>
      </w:r>
      <w:proofErr w:type="gramStart"/>
      <w:r>
        <w:rPr>
          <w:rFonts w:ascii="Calibri" w:hAnsi="Calibri"/>
          <w:sz w:val="22"/>
          <w:szCs w:val="22"/>
        </w:rPr>
        <w:t>component  5c</w:t>
      </w:r>
      <w:proofErr w:type="gramEnd"/>
      <w:r>
        <w:rPr>
          <w:rFonts w:ascii="Calibri" w:hAnsi="Calibri"/>
          <w:sz w:val="22"/>
          <w:szCs w:val="22"/>
        </w:rPr>
        <w:t xml:space="preserve"> (</w:t>
      </w:r>
      <w:r w:rsidR="002B6A43">
        <w:rPr>
          <w:rFonts w:ascii="Calibri" w:hAnsi="Calibri"/>
          <w:sz w:val="22"/>
          <w:szCs w:val="22"/>
        </w:rPr>
        <w:t xml:space="preserve">Flood </w:t>
      </w:r>
      <w:r w:rsidRPr="009F62E3">
        <w:rPr>
          <w:rFonts w:ascii="Calibri" w:hAnsi="Calibri"/>
          <w:sz w:val="22"/>
          <w:szCs w:val="22"/>
        </w:rPr>
        <w:t>Index-Insurance Pilot)</w:t>
      </w:r>
      <w:r>
        <w:rPr>
          <w:rFonts w:ascii="Calibri" w:hAnsi="Calibri"/>
          <w:sz w:val="22"/>
          <w:szCs w:val="22"/>
        </w:rPr>
        <w:t xml:space="preserve"> and little progress on sub-component 5e (climate change methodology) the relatively greater importance to the overall project objective of the other sub-components where progress has been made </w:t>
      </w:r>
      <w:r w:rsidR="00B00748">
        <w:rPr>
          <w:rFonts w:ascii="Calibri" w:hAnsi="Calibri"/>
          <w:sz w:val="22"/>
          <w:szCs w:val="22"/>
        </w:rPr>
        <w:t xml:space="preserve"> results in </w:t>
      </w:r>
      <w:r>
        <w:rPr>
          <w:rFonts w:ascii="Calibri" w:hAnsi="Calibri"/>
          <w:sz w:val="22"/>
          <w:szCs w:val="22"/>
        </w:rPr>
        <w:t xml:space="preserve">this component being assessed as </w:t>
      </w:r>
      <w:r>
        <w:rPr>
          <w:rFonts w:ascii="Calibri" w:hAnsi="Calibri"/>
          <w:b/>
          <w:sz w:val="22"/>
          <w:szCs w:val="22"/>
        </w:rPr>
        <w:t xml:space="preserve">Satisfactory. </w:t>
      </w:r>
    </w:p>
    <w:p w14:paraId="062A38EA" w14:textId="77777777" w:rsidR="00EA663C" w:rsidRPr="0040711B" w:rsidRDefault="00EA663C" w:rsidP="00EA663C">
      <w:pPr>
        <w:autoSpaceDE w:val="0"/>
        <w:autoSpaceDN w:val="0"/>
        <w:adjustRightInd w:val="0"/>
        <w:rPr>
          <w:rFonts w:ascii="Calibri" w:hAnsi="Calibri"/>
          <w:sz w:val="22"/>
          <w:szCs w:val="22"/>
        </w:rPr>
      </w:pPr>
    </w:p>
    <w:p w14:paraId="52B6B522" w14:textId="0E9E7678" w:rsidR="00EA663C" w:rsidRPr="0040711B" w:rsidRDefault="00EA663C" w:rsidP="00EA663C">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Sub-Component 5a: TDA- SAP Methodology and Course</w:t>
      </w:r>
      <w:r w:rsidR="009F62E3">
        <w:rPr>
          <w:rFonts w:ascii="Calibri" w:hAnsi="Calibri"/>
          <w:color w:val="3366FF"/>
          <w:sz w:val="22"/>
          <w:szCs w:val="22"/>
        </w:rPr>
        <w:t xml:space="preserve">. Lead UNDP </w:t>
      </w:r>
    </w:p>
    <w:p w14:paraId="2CCE0EA8" w14:textId="09DCE351" w:rsidR="004125FD" w:rsidRPr="0040711B" w:rsidRDefault="00290862" w:rsidP="004125FD">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Expected</w:t>
      </w:r>
      <w:r w:rsidR="004125FD" w:rsidRPr="0040711B">
        <w:rPr>
          <w:rFonts w:ascii="Calibri" w:hAnsi="Calibri"/>
          <w:color w:val="3366FF"/>
          <w:sz w:val="22"/>
          <w:szCs w:val="22"/>
        </w:rPr>
        <w:t xml:space="preserve"> </w:t>
      </w:r>
      <w:r w:rsidR="004125FD" w:rsidRPr="0040711B">
        <w:rPr>
          <w:rFonts w:ascii="Calibri" w:hAnsi="Calibri"/>
          <w:b/>
          <w:color w:val="3366FF"/>
          <w:sz w:val="22"/>
          <w:szCs w:val="22"/>
        </w:rPr>
        <w:t>output is</w:t>
      </w:r>
      <w:r w:rsidR="004125FD" w:rsidRPr="0040711B">
        <w:rPr>
          <w:rFonts w:ascii="Calibri" w:hAnsi="Calibri"/>
          <w:color w:val="3366FF"/>
          <w:sz w:val="22"/>
          <w:szCs w:val="22"/>
        </w:rPr>
        <w:t>: A revised, and GEF IWTF endorsed, TDA/SAP on-line training course</w:t>
      </w:r>
      <w:r w:rsidRPr="0040711B">
        <w:rPr>
          <w:rFonts w:ascii="Calibri" w:hAnsi="Calibri"/>
          <w:color w:val="3366FF"/>
          <w:sz w:val="22"/>
          <w:szCs w:val="22"/>
        </w:rPr>
        <w:t>.</w:t>
      </w:r>
      <w:r w:rsidR="004125FD" w:rsidRPr="0040711B">
        <w:rPr>
          <w:rFonts w:ascii="Calibri" w:hAnsi="Calibri"/>
          <w:color w:val="3366FF"/>
          <w:sz w:val="22"/>
          <w:szCs w:val="22"/>
        </w:rPr>
        <w:t xml:space="preserve"> </w:t>
      </w:r>
    </w:p>
    <w:p w14:paraId="1CD619F0" w14:textId="77777777" w:rsidR="00EA663C" w:rsidRPr="0040711B" w:rsidRDefault="00EA663C" w:rsidP="00EA663C">
      <w:pPr>
        <w:autoSpaceDE w:val="0"/>
        <w:autoSpaceDN w:val="0"/>
        <w:adjustRightInd w:val="0"/>
        <w:rPr>
          <w:rFonts w:ascii="Calibri" w:hAnsi="Calibri"/>
          <w:sz w:val="22"/>
          <w:szCs w:val="22"/>
        </w:rPr>
      </w:pPr>
    </w:p>
    <w:p w14:paraId="3DD6619F" w14:textId="2E5DD7D7" w:rsidR="00060C35" w:rsidRPr="006520D5" w:rsidRDefault="009F62E3" w:rsidP="00060C35">
      <w:pPr>
        <w:jc w:val="both"/>
        <w:rPr>
          <w:rFonts w:cs="Arial"/>
        </w:rPr>
      </w:pPr>
      <w:r>
        <w:rPr>
          <w:rFonts w:ascii="Calibri" w:hAnsi="Calibri"/>
          <w:sz w:val="22"/>
          <w:szCs w:val="22"/>
        </w:rPr>
        <w:t>This sub-component is assessed as</w:t>
      </w:r>
      <w:r w:rsidR="002669A3">
        <w:rPr>
          <w:rFonts w:ascii="Calibri" w:hAnsi="Calibri"/>
          <w:sz w:val="22"/>
          <w:szCs w:val="22"/>
        </w:rPr>
        <w:t xml:space="preserve"> currently being </w:t>
      </w:r>
      <w:r w:rsidRPr="002669A3">
        <w:rPr>
          <w:rFonts w:ascii="Calibri" w:hAnsi="Calibri"/>
          <w:b/>
          <w:sz w:val="22"/>
          <w:szCs w:val="22"/>
        </w:rPr>
        <w:t>Satisfactory</w:t>
      </w:r>
      <w:r w:rsidR="002669A3">
        <w:rPr>
          <w:rFonts w:ascii="Calibri" w:hAnsi="Calibri"/>
          <w:sz w:val="22"/>
          <w:szCs w:val="22"/>
        </w:rPr>
        <w:t xml:space="preserve">. </w:t>
      </w:r>
      <w:r w:rsidR="00985B94" w:rsidRPr="004D24DD">
        <w:rPr>
          <w:rFonts w:asciiTheme="majorHAnsi" w:hAnsiTheme="majorHAnsi"/>
          <w:sz w:val="22"/>
          <w:szCs w:val="22"/>
        </w:rPr>
        <w:t>The bulk of the work has been done</w:t>
      </w:r>
      <w:r w:rsidR="00EE520D">
        <w:rPr>
          <w:rFonts w:asciiTheme="majorHAnsi" w:hAnsiTheme="majorHAnsi"/>
          <w:sz w:val="22"/>
          <w:szCs w:val="22"/>
        </w:rPr>
        <w:t xml:space="preserve"> albeit delayed</w:t>
      </w:r>
      <w:r w:rsidR="00985B94" w:rsidRPr="004D24DD">
        <w:rPr>
          <w:rFonts w:asciiTheme="majorHAnsi" w:hAnsiTheme="majorHAnsi"/>
          <w:sz w:val="22"/>
          <w:szCs w:val="22"/>
        </w:rPr>
        <w:t xml:space="preserve"> and is available online and provides excellent guidance to new and experienced practi</w:t>
      </w:r>
      <w:r w:rsidR="002669A3">
        <w:rPr>
          <w:rFonts w:asciiTheme="majorHAnsi" w:hAnsiTheme="majorHAnsi"/>
          <w:sz w:val="22"/>
          <w:szCs w:val="22"/>
        </w:rPr>
        <w:t>ti</w:t>
      </w:r>
      <w:r w:rsidR="00985B94" w:rsidRPr="004D24DD">
        <w:rPr>
          <w:rFonts w:asciiTheme="majorHAnsi" w:hAnsiTheme="majorHAnsi"/>
          <w:sz w:val="22"/>
          <w:szCs w:val="22"/>
        </w:rPr>
        <w:t xml:space="preserve">oners. </w:t>
      </w:r>
      <w:r w:rsidR="00950B89">
        <w:rPr>
          <w:rFonts w:asciiTheme="majorHAnsi" w:hAnsiTheme="majorHAnsi" w:cs="Arial"/>
          <w:sz w:val="22"/>
          <w:szCs w:val="22"/>
        </w:rPr>
        <w:t>It is</w:t>
      </w:r>
      <w:r w:rsidR="00B8148F" w:rsidRPr="004D24DD">
        <w:rPr>
          <w:rFonts w:asciiTheme="majorHAnsi" w:hAnsiTheme="majorHAnsi" w:cs="Arial"/>
          <w:sz w:val="22"/>
          <w:szCs w:val="22"/>
        </w:rPr>
        <w:t xml:space="preserve"> currently being updated</w:t>
      </w:r>
      <w:r w:rsidR="00950B89">
        <w:rPr>
          <w:rFonts w:asciiTheme="majorHAnsi" w:hAnsiTheme="majorHAnsi" w:cs="Arial"/>
          <w:sz w:val="22"/>
          <w:szCs w:val="22"/>
        </w:rPr>
        <w:t>/modified</w:t>
      </w:r>
      <w:r w:rsidR="00B8148F" w:rsidRPr="004D24DD">
        <w:rPr>
          <w:rFonts w:asciiTheme="majorHAnsi" w:hAnsiTheme="majorHAnsi" w:cs="Arial"/>
          <w:sz w:val="22"/>
          <w:szCs w:val="22"/>
        </w:rPr>
        <w:t xml:space="preserve"> to be in line with the changes requested by the GEF and other PSC members who would like to see more water body specific </w:t>
      </w:r>
      <w:r w:rsidR="002669A3" w:rsidRPr="004D24DD">
        <w:rPr>
          <w:rFonts w:asciiTheme="majorHAnsi" w:hAnsiTheme="majorHAnsi" w:cs="Arial"/>
          <w:sz w:val="22"/>
          <w:szCs w:val="22"/>
        </w:rPr>
        <w:t>guidance</w:t>
      </w:r>
      <w:r w:rsidR="00EE520D">
        <w:rPr>
          <w:rFonts w:asciiTheme="majorHAnsi" w:hAnsiTheme="majorHAnsi" w:cs="Arial"/>
          <w:sz w:val="22"/>
          <w:szCs w:val="22"/>
        </w:rPr>
        <w:t xml:space="preserve"> especially with regard to aquifers. </w:t>
      </w:r>
      <w:r w:rsidR="00EE520D">
        <w:rPr>
          <w:rFonts w:asciiTheme="majorHAnsi" w:eastAsia="+mn-ea" w:hAnsiTheme="majorHAnsi" w:cs="Arial"/>
          <w:sz w:val="22"/>
          <w:szCs w:val="22"/>
        </w:rPr>
        <w:t xml:space="preserve">The </w:t>
      </w:r>
      <w:r w:rsidR="00B8148F" w:rsidRPr="004D24DD">
        <w:rPr>
          <w:rFonts w:asciiTheme="majorHAnsi" w:eastAsia="+mn-ea" w:hAnsiTheme="majorHAnsi" w:cs="Arial"/>
          <w:sz w:val="22"/>
          <w:szCs w:val="22"/>
        </w:rPr>
        <w:t>MTE believes that the majority of the TDA/SAP process is generic and it would be unwise to have</w:t>
      </w:r>
      <w:r w:rsidR="00EE520D">
        <w:rPr>
          <w:rFonts w:asciiTheme="majorHAnsi" w:eastAsia="+mn-ea" w:hAnsiTheme="majorHAnsi" w:cs="Arial"/>
          <w:sz w:val="22"/>
          <w:szCs w:val="22"/>
        </w:rPr>
        <w:t xml:space="preserve"> completely</w:t>
      </w:r>
      <w:r w:rsidR="00B8148F" w:rsidRPr="004D24DD">
        <w:rPr>
          <w:rFonts w:asciiTheme="majorHAnsi" w:eastAsia="+mn-ea" w:hAnsiTheme="majorHAnsi" w:cs="Arial"/>
          <w:sz w:val="22"/>
          <w:szCs w:val="22"/>
        </w:rPr>
        <w:t xml:space="preserve"> separate processes developed for each water-body type. However, some water body specific</w:t>
      </w:r>
      <w:r w:rsidR="00061A2F">
        <w:rPr>
          <w:rFonts w:asciiTheme="majorHAnsi" w:eastAsia="+mn-ea" w:hAnsiTheme="majorHAnsi" w:cs="Arial"/>
          <w:sz w:val="22"/>
          <w:szCs w:val="22"/>
        </w:rPr>
        <w:t xml:space="preserve"> examples and methodological </w:t>
      </w:r>
      <w:r w:rsidR="00B8148F" w:rsidRPr="004D24DD">
        <w:rPr>
          <w:rFonts w:asciiTheme="majorHAnsi" w:eastAsia="+mn-ea" w:hAnsiTheme="majorHAnsi" w:cs="Arial"/>
          <w:sz w:val="22"/>
          <w:szCs w:val="22"/>
        </w:rPr>
        <w:t>guidance</w:t>
      </w:r>
      <w:r w:rsidR="00B00748">
        <w:rPr>
          <w:rFonts w:asciiTheme="majorHAnsi" w:eastAsia="+mn-ea" w:hAnsiTheme="majorHAnsi" w:cs="Arial"/>
          <w:sz w:val="22"/>
          <w:szCs w:val="22"/>
        </w:rPr>
        <w:t xml:space="preserve">, </w:t>
      </w:r>
      <w:r w:rsidR="00061A2F" w:rsidRPr="00060C35">
        <w:rPr>
          <w:rFonts w:asciiTheme="majorHAnsi" w:hAnsiTheme="majorHAnsi" w:cs="Helvetica"/>
          <w:sz w:val="22"/>
          <w:szCs w:val="22"/>
          <w:lang w:val="en-US"/>
        </w:rPr>
        <w:t xml:space="preserve">particularly </w:t>
      </w:r>
      <w:proofErr w:type="gramStart"/>
      <w:r w:rsidR="00061A2F" w:rsidRPr="00060C35">
        <w:rPr>
          <w:rFonts w:asciiTheme="majorHAnsi" w:hAnsiTheme="majorHAnsi" w:cs="Helvetica"/>
          <w:sz w:val="22"/>
          <w:szCs w:val="22"/>
          <w:lang w:val="en-US"/>
        </w:rPr>
        <w:t>for  aquifers</w:t>
      </w:r>
      <w:proofErr w:type="gramEnd"/>
      <w:r w:rsidR="00061A2F" w:rsidRPr="00060C35">
        <w:rPr>
          <w:rFonts w:asciiTheme="majorHAnsi" w:hAnsiTheme="majorHAnsi" w:cs="Helvetica"/>
          <w:sz w:val="22"/>
          <w:szCs w:val="22"/>
          <w:lang w:val="en-US"/>
        </w:rPr>
        <w:t xml:space="preserve"> and their recharge areas</w:t>
      </w:r>
      <w:r w:rsidR="00061A2F">
        <w:rPr>
          <w:rFonts w:ascii="Helvetica" w:hAnsi="Helvetica" w:cs="Helvetica"/>
          <w:lang w:val="en-US"/>
        </w:rPr>
        <w:t xml:space="preserve"> </w:t>
      </w:r>
      <w:r w:rsidR="00B8148F" w:rsidRPr="004D24DD">
        <w:rPr>
          <w:rFonts w:asciiTheme="majorHAnsi" w:eastAsia="+mn-ea" w:hAnsiTheme="majorHAnsi" w:cs="Arial"/>
          <w:sz w:val="22"/>
          <w:szCs w:val="22"/>
        </w:rPr>
        <w:t xml:space="preserve"> </w:t>
      </w:r>
      <w:r w:rsidR="00061A2F">
        <w:rPr>
          <w:rFonts w:asciiTheme="majorHAnsi" w:eastAsia="+mn-ea" w:hAnsiTheme="majorHAnsi" w:cs="Arial"/>
          <w:sz w:val="22"/>
          <w:szCs w:val="22"/>
        </w:rPr>
        <w:t>is necessary to bring the tool fully up to date with the IW Portfolio requirements</w:t>
      </w:r>
      <w:r w:rsidR="00B8148F" w:rsidRPr="004D24DD">
        <w:rPr>
          <w:rFonts w:asciiTheme="majorHAnsi" w:eastAsia="+mn-ea" w:hAnsiTheme="majorHAnsi" w:cs="Arial"/>
          <w:sz w:val="22"/>
          <w:szCs w:val="22"/>
        </w:rPr>
        <w:t xml:space="preserve">. </w:t>
      </w:r>
      <w:r w:rsidR="003A6B44">
        <w:rPr>
          <w:rFonts w:asciiTheme="majorHAnsi" w:eastAsia="+mn-ea" w:hAnsiTheme="majorHAnsi" w:cs="Arial"/>
          <w:sz w:val="22"/>
          <w:szCs w:val="22"/>
        </w:rPr>
        <w:t>It will</w:t>
      </w:r>
      <w:r w:rsidR="00061A2F">
        <w:rPr>
          <w:rFonts w:asciiTheme="majorHAnsi" w:eastAsia="+mn-ea" w:hAnsiTheme="majorHAnsi" w:cs="Arial"/>
          <w:sz w:val="22"/>
          <w:szCs w:val="22"/>
        </w:rPr>
        <w:t xml:space="preserve">, however, </w:t>
      </w:r>
      <w:r w:rsidR="003A6B44">
        <w:rPr>
          <w:rFonts w:asciiTheme="majorHAnsi" w:eastAsia="+mn-ea" w:hAnsiTheme="majorHAnsi" w:cs="Arial"/>
          <w:sz w:val="22"/>
          <w:szCs w:val="22"/>
        </w:rPr>
        <w:t>be important</w:t>
      </w:r>
      <w:r w:rsidR="00B8148F" w:rsidRPr="004D24DD">
        <w:rPr>
          <w:rFonts w:asciiTheme="majorHAnsi" w:eastAsia="+mn-ea" w:hAnsiTheme="majorHAnsi" w:cs="Arial"/>
          <w:sz w:val="22"/>
          <w:szCs w:val="22"/>
        </w:rPr>
        <w:t xml:space="preserve"> to </w:t>
      </w:r>
      <w:r w:rsidR="003A6B44">
        <w:rPr>
          <w:rFonts w:asciiTheme="majorHAnsi" w:eastAsia="+mn-ea" w:hAnsiTheme="majorHAnsi" w:cs="Arial"/>
          <w:sz w:val="22"/>
          <w:szCs w:val="22"/>
        </w:rPr>
        <w:t>get com</w:t>
      </w:r>
      <w:r w:rsidR="000B417A">
        <w:rPr>
          <w:rFonts w:asciiTheme="majorHAnsi" w:eastAsia="+mn-ea" w:hAnsiTheme="majorHAnsi" w:cs="Arial"/>
          <w:sz w:val="22"/>
          <w:szCs w:val="22"/>
        </w:rPr>
        <w:t xml:space="preserve">plete clarity and agreement on </w:t>
      </w:r>
      <w:r w:rsidR="003A6B44">
        <w:rPr>
          <w:rFonts w:asciiTheme="majorHAnsi" w:eastAsia="+mn-ea" w:hAnsiTheme="majorHAnsi" w:cs="Arial"/>
          <w:sz w:val="22"/>
          <w:szCs w:val="22"/>
        </w:rPr>
        <w:t xml:space="preserve">what is required </w:t>
      </w:r>
      <w:proofErr w:type="gramStart"/>
      <w:r w:rsidR="00B8148F" w:rsidRPr="004D24DD">
        <w:rPr>
          <w:rFonts w:asciiTheme="majorHAnsi" w:eastAsia="+mn-ea" w:hAnsiTheme="majorHAnsi" w:cs="Arial"/>
          <w:sz w:val="22"/>
          <w:szCs w:val="22"/>
        </w:rPr>
        <w:t>before  the</w:t>
      </w:r>
      <w:proofErr w:type="gramEnd"/>
      <w:r w:rsidR="00B8148F" w:rsidRPr="004D24DD">
        <w:rPr>
          <w:rFonts w:asciiTheme="majorHAnsi" w:eastAsia="+mn-ea" w:hAnsiTheme="majorHAnsi" w:cs="Arial"/>
          <w:sz w:val="22"/>
          <w:szCs w:val="22"/>
        </w:rPr>
        <w:t xml:space="preserve"> additional elements are added</w:t>
      </w:r>
      <w:r w:rsidR="00061A2F">
        <w:rPr>
          <w:rFonts w:asciiTheme="majorHAnsi" w:eastAsia="+mn-ea" w:hAnsiTheme="majorHAnsi" w:cs="Arial"/>
          <w:sz w:val="22"/>
          <w:szCs w:val="22"/>
        </w:rPr>
        <w:t xml:space="preserve"> to avoid another round of amendments</w:t>
      </w:r>
      <w:r w:rsidR="00B8148F" w:rsidRPr="004D24DD">
        <w:rPr>
          <w:rFonts w:asciiTheme="majorHAnsi" w:eastAsia="+mn-ea" w:hAnsiTheme="majorHAnsi" w:cs="Arial"/>
          <w:sz w:val="22"/>
          <w:szCs w:val="22"/>
        </w:rPr>
        <w:t xml:space="preserve">.  </w:t>
      </w:r>
      <w:r w:rsidR="006E605F">
        <w:rPr>
          <w:rFonts w:asciiTheme="majorHAnsi" w:eastAsia="+mn-ea" w:hAnsiTheme="majorHAnsi" w:cs="Arial"/>
          <w:sz w:val="22"/>
          <w:szCs w:val="22"/>
        </w:rPr>
        <w:t xml:space="preserve">On the online system each section provides a space for comments but this should be backed up with a process to collate and evaluate suggestions for improvement that might be received and </w:t>
      </w:r>
      <w:r w:rsidR="003A6B44">
        <w:rPr>
          <w:rFonts w:asciiTheme="majorHAnsi" w:eastAsia="+mn-ea" w:hAnsiTheme="majorHAnsi" w:cs="Arial"/>
          <w:sz w:val="22"/>
          <w:szCs w:val="22"/>
        </w:rPr>
        <w:t>the online version updated</w:t>
      </w:r>
      <w:r w:rsidR="006E605F">
        <w:rPr>
          <w:rFonts w:asciiTheme="majorHAnsi" w:eastAsia="+mn-ea" w:hAnsiTheme="majorHAnsi" w:cs="Arial"/>
          <w:sz w:val="22"/>
          <w:szCs w:val="22"/>
        </w:rPr>
        <w:t xml:space="preserve"> accordingly </w:t>
      </w:r>
      <w:r w:rsidR="003A6B44">
        <w:rPr>
          <w:rFonts w:asciiTheme="majorHAnsi" w:eastAsia="+mn-ea" w:hAnsiTheme="majorHAnsi" w:cs="Arial"/>
          <w:sz w:val="22"/>
          <w:szCs w:val="22"/>
        </w:rPr>
        <w:t xml:space="preserve">at regular intervals. </w:t>
      </w:r>
      <w:r w:rsidR="00950B89">
        <w:rPr>
          <w:rFonts w:asciiTheme="majorHAnsi" w:eastAsia="+mn-ea" w:hAnsiTheme="majorHAnsi" w:cs="Arial"/>
          <w:sz w:val="22"/>
          <w:szCs w:val="22"/>
        </w:rPr>
        <w:t xml:space="preserve"> The MTE believes that the link from the front page </w:t>
      </w:r>
      <w:r w:rsidR="00950B89" w:rsidRPr="000B417A">
        <w:rPr>
          <w:rFonts w:asciiTheme="majorHAnsi" w:eastAsia="+mn-ea" w:hAnsiTheme="majorHAnsi" w:cs="Arial"/>
          <w:sz w:val="22"/>
          <w:szCs w:val="22"/>
        </w:rPr>
        <w:t xml:space="preserve">of iwlearn.net to the TDA-SAP page should be </w:t>
      </w:r>
      <w:r w:rsidR="00061A2F" w:rsidRPr="000B417A">
        <w:rPr>
          <w:rFonts w:asciiTheme="majorHAnsi" w:eastAsia="+mn-ea" w:hAnsiTheme="majorHAnsi" w:cs="Arial"/>
          <w:sz w:val="22"/>
          <w:szCs w:val="22"/>
        </w:rPr>
        <w:t xml:space="preserve">made </w:t>
      </w:r>
      <w:r w:rsidR="00950B89" w:rsidRPr="000B417A">
        <w:rPr>
          <w:rFonts w:asciiTheme="majorHAnsi" w:eastAsia="+mn-ea" w:hAnsiTheme="majorHAnsi" w:cs="Arial"/>
          <w:sz w:val="22"/>
          <w:szCs w:val="22"/>
        </w:rPr>
        <w:t xml:space="preserve">more obvious. </w:t>
      </w:r>
      <w:r w:rsidR="00060C35" w:rsidRPr="000B417A">
        <w:rPr>
          <w:rFonts w:asciiTheme="majorHAnsi" w:eastAsia="+mn-ea" w:hAnsiTheme="majorHAnsi" w:cs="Arial"/>
          <w:sz w:val="22"/>
          <w:szCs w:val="22"/>
        </w:rPr>
        <w:t xml:space="preserve">At the January 2013 SCM it was agreed that </w:t>
      </w:r>
      <w:r w:rsidR="00060C35" w:rsidRPr="000B417A">
        <w:rPr>
          <w:rFonts w:asciiTheme="majorHAnsi" w:hAnsiTheme="majorHAnsi" w:cs="Arial"/>
          <w:sz w:val="22"/>
          <w:szCs w:val="22"/>
        </w:rPr>
        <w:t>COPs and WGs to be asked for comments on the ecosystem specific guidance for the TDA/SAP Methodology and  $5000 to be set aside to hire a consultant to look at the TDA for</w:t>
      </w:r>
      <w:r w:rsidR="00060C35" w:rsidRPr="00060C35">
        <w:rPr>
          <w:rFonts w:asciiTheme="majorHAnsi" w:hAnsiTheme="majorHAnsi" w:cs="Arial"/>
          <w:sz w:val="22"/>
          <w:szCs w:val="22"/>
        </w:rPr>
        <w:t xml:space="preserve"> Groundwater.</w:t>
      </w:r>
    </w:p>
    <w:p w14:paraId="3D9E2CED" w14:textId="21817B61" w:rsidR="00B8148F" w:rsidRPr="004D24DD" w:rsidRDefault="00B8148F" w:rsidP="002669A3">
      <w:pPr>
        <w:autoSpaceDE w:val="0"/>
        <w:autoSpaceDN w:val="0"/>
        <w:adjustRightInd w:val="0"/>
        <w:rPr>
          <w:rFonts w:asciiTheme="majorHAnsi" w:eastAsia="+mn-ea" w:hAnsiTheme="majorHAnsi" w:cs="Arial"/>
          <w:sz w:val="22"/>
          <w:szCs w:val="22"/>
        </w:rPr>
      </w:pPr>
    </w:p>
    <w:p w14:paraId="4AE419C9" w14:textId="77777777" w:rsidR="00EA663C" w:rsidRPr="0040711B" w:rsidRDefault="00EA663C" w:rsidP="00EA663C">
      <w:pPr>
        <w:autoSpaceDE w:val="0"/>
        <w:autoSpaceDN w:val="0"/>
        <w:adjustRightInd w:val="0"/>
        <w:rPr>
          <w:rFonts w:ascii="Calibri" w:hAnsi="Calibri"/>
          <w:color w:val="3366FF"/>
          <w:sz w:val="22"/>
          <w:szCs w:val="22"/>
        </w:rPr>
      </w:pPr>
    </w:p>
    <w:p w14:paraId="326C5BFE" w14:textId="77777777" w:rsidR="00EA663C" w:rsidRPr="0040711B" w:rsidRDefault="00EA663C" w:rsidP="00EA663C">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Sub-Component 5b: Focal Area/ Project Manager Manual and Course</w:t>
      </w:r>
    </w:p>
    <w:p w14:paraId="6A88B1AD" w14:textId="58AD901F" w:rsidR="004125FD" w:rsidRPr="0040711B" w:rsidRDefault="00290862" w:rsidP="00290862">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Expected</w:t>
      </w:r>
      <w:r w:rsidR="004125FD" w:rsidRPr="0040711B">
        <w:rPr>
          <w:rFonts w:ascii="Calibri" w:hAnsi="Calibri"/>
          <w:color w:val="3366FF"/>
          <w:sz w:val="22"/>
          <w:szCs w:val="22"/>
        </w:rPr>
        <w:t xml:space="preserve"> </w:t>
      </w:r>
      <w:r w:rsidR="004125FD" w:rsidRPr="0040711B">
        <w:rPr>
          <w:rFonts w:ascii="Calibri" w:hAnsi="Calibri"/>
          <w:b/>
          <w:color w:val="3366FF"/>
          <w:sz w:val="22"/>
          <w:szCs w:val="22"/>
        </w:rPr>
        <w:t>outputs</w:t>
      </w:r>
      <w:r w:rsidR="004125FD" w:rsidRPr="0040711B">
        <w:rPr>
          <w:rFonts w:ascii="Calibri" w:hAnsi="Calibri"/>
          <w:color w:val="3366FF"/>
          <w:sz w:val="22"/>
          <w:szCs w:val="22"/>
        </w:rPr>
        <w:t xml:space="preserve"> are:</w:t>
      </w:r>
      <w:r w:rsidRPr="0040711B">
        <w:rPr>
          <w:rFonts w:ascii="Calibri" w:hAnsi="Calibri"/>
          <w:color w:val="3366FF"/>
          <w:sz w:val="22"/>
          <w:szCs w:val="22"/>
        </w:rPr>
        <w:t xml:space="preserve"> </w:t>
      </w:r>
      <w:proofErr w:type="gramStart"/>
      <w:r w:rsidRPr="0040711B">
        <w:rPr>
          <w:rFonts w:ascii="Calibri" w:hAnsi="Calibri"/>
          <w:color w:val="3366FF"/>
          <w:sz w:val="22"/>
          <w:szCs w:val="22"/>
        </w:rPr>
        <w:t>a)</w:t>
      </w:r>
      <w:r w:rsidR="004125FD" w:rsidRPr="0040711B">
        <w:rPr>
          <w:rFonts w:ascii="Calibri" w:hAnsi="Calibri"/>
          <w:color w:val="3366FF"/>
          <w:sz w:val="22"/>
          <w:szCs w:val="22"/>
        </w:rPr>
        <w:t>Leadership</w:t>
      </w:r>
      <w:proofErr w:type="gramEnd"/>
      <w:r w:rsidR="004125FD" w:rsidRPr="0040711B">
        <w:rPr>
          <w:rFonts w:ascii="Calibri" w:hAnsi="Calibri"/>
          <w:color w:val="3366FF"/>
          <w:sz w:val="22"/>
          <w:szCs w:val="22"/>
        </w:rPr>
        <w:t xml:space="preserve"> training for IW project managers, based on an IW Focal Area on-line manual and capacity buil</w:t>
      </w:r>
      <w:r w:rsidRPr="0040711B">
        <w:rPr>
          <w:rFonts w:ascii="Calibri" w:hAnsi="Calibri"/>
          <w:color w:val="3366FF"/>
          <w:sz w:val="22"/>
          <w:szCs w:val="22"/>
        </w:rPr>
        <w:t xml:space="preserve">ding to support skills required. b) </w:t>
      </w:r>
      <w:r w:rsidR="004125FD" w:rsidRPr="0040711B">
        <w:rPr>
          <w:rFonts w:ascii="Calibri" w:hAnsi="Calibri"/>
          <w:color w:val="3366FF"/>
          <w:sz w:val="22"/>
          <w:szCs w:val="22"/>
        </w:rPr>
        <w:t>Finalised concept utilised in DVDs, web and printed</w:t>
      </w:r>
      <w:r w:rsidRPr="0040711B">
        <w:rPr>
          <w:rFonts w:ascii="Calibri" w:hAnsi="Calibri"/>
          <w:color w:val="3366FF"/>
          <w:sz w:val="22"/>
          <w:szCs w:val="22"/>
        </w:rPr>
        <w:t xml:space="preserve">. c) </w:t>
      </w:r>
      <w:r w:rsidR="004125FD" w:rsidRPr="0040711B">
        <w:rPr>
          <w:rFonts w:ascii="Calibri" w:hAnsi="Calibri"/>
          <w:color w:val="3366FF"/>
          <w:sz w:val="22"/>
          <w:szCs w:val="22"/>
        </w:rPr>
        <w:t>Training course material demonstrated at IWC6</w:t>
      </w:r>
    </w:p>
    <w:p w14:paraId="294FE68F" w14:textId="6252B258" w:rsidR="004D24DD" w:rsidRPr="004D24DD" w:rsidRDefault="004D24DD" w:rsidP="00EA663C">
      <w:pPr>
        <w:autoSpaceDE w:val="0"/>
        <w:autoSpaceDN w:val="0"/>
        <w:adjustRightInd w:val="0"/>
        <w:rPr>
          <w:rFonts w:ascii="Calibri" w:hAnsi="Calibri"/>
          <w:sz w:val="22"/>
          <w:szCs w:val="22"/>
        </w:rPr>
      </w:pPr>
    </w:p>
    <w:p w14:paraId="590A9F7D" w14:textId="5CE0746B" w:rsidR="006E605F" w:rsidRPr="004D24DD" w:rsidRDefault="00157B60" w:rsidP="006E605F">
      <w:pPr>
        <w:contextualSpacing/>
        <w:jc w:val="both"/>
        <w:rPr>
          <w:rFonts w:asciiTheme="majorHAnsi" w:eastAsia="+mn-ea" w:hAnsiTheme="majorHAnsi" w:cs="Arial"/>
          <w:sz w:val="22"/>
          <w:szCs w:val="22"/>
        </w:rPr>
      </w:pPr>
      <w:r w:rsidRPr="005D78E3">
        <w:rPr>
          <w:rFonts w:asciiTheme="majorHAnsi" w:hAnsiTheme="majorHAnsi" w:cs="Arial"/>
          <w:sz w:val="22"/>
          <w:szCs w:val="22"/>
        </w:rPr>
        <w:t xml:space="preserve">This component is deemed </w:t>
      </w:r>
      <w:r w:rsidRPr="002669A3">
        <w:rPr>
          <w:rFonts w:asciiTheme="majorHAnsi" w:hAnsiTheme="majorHAnsi" w:cs="Arial"/>
          <w:b/>
          <w:sz w:val="22"/>
          <w:szCs w:val="22"/>
        </w:rPr>
        <w:t>Satisfactory</w:t>
      </w:r>
      <w:r w:rsidR="002669A3">
        <w:rPr>
          <w:rFonts w:asciiTheme="majorHAnsi" w:hAnsiTheme="majorHAnsi" w:cs="Arial"/>
          <w:b/>
          <w:sz w:val="22"/>
          <w:szCs w:val="22"/>
        </w:rPr>
        <w:t xml:space="preserve">. </w:t>
      </w:r>
      <w:r w:rsidR="002669A3">
        <w:rPr>
          <w:rFonts w:asciiTheme="majorHAnsi" w:hAnsiTheme="majorHAnsi" w:cs="Arial"/>
          <w:sz w:val="22"/>
          <w:szCs w:val="22"/>
        </w:rPr>
        <w:t xml:space="preserve"> T</w:t>
      </w:r>
      <w:r w:rsidRPr="005D78E3">
        <w:rPr>
          <w:rFonts w:asciiTheme="majorHAnsi" w:hAnsiTheme="majorHAnsi" w:cs="Arial"/>
          <w:sz w:val="22"/>
          <w:szCs w:val="22"/>
        </w:rPr>
        <w:t xml:space="preserve">he manual has been uploaded onto </w:t>
      </w:r>
      <w:hyperlink r:id="rId13" w:history="1">
        <w:r w:rsidR="00784290" w:rsidRPr="00D61107">
          <w:rPr>
            <w:rStyle w:val="Hyperlink"/>
            <w:rFonts w:asciiTheme="majorHAnsi" w:hAnsiTheme="majorHAnsi" w:cs="Arial"/>
            <w:sz w:val="22"/>
            <w:szCs w:val="22"/>
          </w:rPr>
          <w:t>http://manuals.iwlearn.net</w:t>
        </w:r>
      </w:hyperlink>
      <w:proofErr w:type="gramStart"/>
      <w:r w:rsidR="00784290">
        <w:rPr>
          <w:rFonts w:asciiTheme="majorHAnsi" w:hAnsiTheme="majorHAnsi" w:cs="Arial"/>
          <w:sz w:val="22"/>
          <w:szCs w:val="22"/>
        </w:rPr>
        <w:t xml:space="preserve"> </w:t>
      </w:r>
      <w:r w:rsidRPr="005D78E3">
        <w:rPr>
          <w:rFonts w:asciiTheme="majorHAnsi" w:hAnsiTheme="majorHAnsi" w:cs="Arial"/>
          <w:sz w:val="22"/>
          <w:szCs w:val="22"/>
        </w:rPr>
        <w:t xml:space="preserve"> </w:t>
      </w:r>
      <w:r w:rsidR="006E605F">
        <w:rPr>
          <w:rFonts w:asciiTheme="majorHAnsi" w:hAnsiTheme="majorHAnsi" w:cs="Arial"/>
          <w:sz w:val="22"/>
          <w:szCs w:val="22"/>
        </w:rPr>
        <w:t>however</w:t>
      </w:r>
      <w:proofErr w:type="gramEnd"/>
      <w:r w:rsidR="006E605F">
        <w:rPr>
          <w:rFonts w:asciiTheme="majorHAnsi" w:hAnsiTheme="majorHAnsi" w:cs="Arial"/>
          <w:sz w:val="22"/>
          <w:szCs w:val="22"/>
        </w:rPr>
        <w:t xml:space="preserve"> </w:t>
      </w:r>
      <w:r w:rsidR="00950B89">
        <w:rPr>
          <w:rFonts w:asciiTheme="majorHAnsi" w:hAnsiTheme="majorHAnsi" w:cs="Arial"/>
          <w:sz w:val="22"/>
          <w:szCs w:val="22"/>
        </w:rPr>
        <w:t xml:space="preserve">as with the TDA-SAP methodology </w:t>
      </w:r>
      <w:r w:rsidR="00950B89">
        <w:rPr>
          <w:rFonts w:asciiTheme="majorHAnsi" w:eastAsia="+mn-ea" w:hAnsiTheme="majorHAnsi" w:cs="Arial"/>
          <w:sz w:val="22"/>
          <w:szCs w:val="22"/>
        </w:rPr>
        <w:t>The MTE believes that the link from the front page of iwlearn.net to the PM manual page should be</w:t>
      </w:r>
      <w:r w:rsidR="00061A2F">
        <w:rPr>
          <w:rFonts w:asciiTheme="majorHAnsi" w:eastAsia="+mn-ea" w:hAnsiTheme="majorHAnsi" w:cs="Arial"/>
          <w:sz w:val="22"/>
          <w:szCs w:val="22"/>
        </w:rPr>
        <w:t xml:space="preserve"> made</w:t>
      </w:r>
      <w:r w:rsidR="00950B89">
        <w:rPr>
          <w:rFonts w:asciiTheme="majorHAnsi" w:eastAsia="+mn-ea" w:hAnsiTheme="majorHAnsi" w:cs="Arial"/>
          <w:sz w:val="22"/>
          <w:szCs w:val="22"/>
        </w:rPr>
        <w:t xml:space="preserve"> more obvious.  The iwlearn.net page is where most people would look for the manual and it takes some searching to find the link</w:t>
      </w:r>
      <w:r w:rsidR="00784290">
        <w:rPr>
          <w:rFonts w:asciiTheme="majorHAnsi" w:eastAsia="+mn-ea" w:hAnsiTheme="majorHAnsi" w:cs="Arial"/>
          <w:sz w:val="22"/>
          <w:szCs w:val="22"/>
        </w:rPr>
        <w:t xml:space="preserve"> and</w:t>
      </w:r>
      <w:r w:rsidR="002669A3">
        <w:rPr>
          <w:rFonts w:asciiTheme="majorHAnsi" w:eastAsia="+mn-ea" w:hAnsiTheme="majorHAnsi" w:cs="Arial"/>
          <w:sz w:val="22"/>
          <w:szCs w:val="22"/>
        </w:rPr>
        <w:t xml:space="preserve"> that</w:t>
      </w:r>
      <w:r w:rsidR="00950B89">
        <w:rPr>
          <w:rFonts w:asciiTheme="majorHAnsi" w:eastAsia="+mn-ea" w:hAnsiTheme="majorHAnsi" w:cs="Arial"/>
          <w:sz w:val="22"/>
          <w:szCs w:val="22"/>
        </w:rPr>
        <w:t xml:space="preserve"> will detract from its utility. </w:t>
      </w:r>
      <w:r w:rsidR="009F19A2" w:rsidRPr="005D78E3">
        <w:rPr>
          <w:rFonts w:asciiTheme="majorHAnsi" w:hAnsiTheme="majorHAnsi" w:cs="Arial"/>
          <w:sz w:val="22"/>
          <w:szCs w:val="22"/>
        </w:rPr>
        <w:t>Further</w:t>
      </w:r>
      <w:r w:rsidR="00E64545" w:rsidRPr="005D78E3">
        <w:rPr>
          <w:rFonts w:asciiTheme="majorHAnsi" w:hAnsiTheme="majorHAnsi" w:cs="Arial"/>
          <w:sz w:val="22"/>
          <w:szCs w:val="22"/>
        </w:rPr>
        <w:t xml:space="preserve"> relevant examples and information </w:t>
      </w:r>
      <w:r w:rsidR="009F19A2" w:rsidRPr="005D78E3">
        <w:rPr>
          <w:rFonts w:asciiTheme="majorHAnsi" w:hAnsiTheme="majorHAnsi" w:cs="Arial"/>
          <w:sz w:val="22"/>
          <w:szCs w:val="22"/>
        </w:rPr>
        <w:t>are</w:t>
      </w:r>
      <w:r w:rsidR="00E64545" w:rsidRPr="005D78E3">
        <w:rPr>
          <w:rFonts w:asciiTheme="majorHAnsi" w:hAnsiTheme="majorHAnsi" w:cs="Arial"/>
          <w:sz w:val="22"/>
          <w:szCs w:val="22"/>
        </w:rPr>
        <w:t xml:space="preserve"> being harvested from projects and will be added.  Currently </w:t>
      </w:r>
      <w:r w:rsidR="002669A3">
        <w:rPr>
          <w:rFonts w:asciiTheme="majorHAnsi" w:hAnsiTheme="majorHAnsi" w:cs="Arial"/>
          <w:sz w:val="22"/>
          <w:szCs w:val="22"/>
        </w:rPr>
        <w:t xml:space="preserve">it </w:t>
      </w:r>
      <w:r w:rsidR="00E64545" w:rsidRPr="005D78E3">
        <w:rPr>
          <w:rFonts w:asciiTheme="majorHAnsi" w:hAnsiTheme="majorHAnsi" w:cs="Arial"/>
          <w:sz w:val="22"/>
          <w:szCs w:val="22"/>
        </w:rPr>
        <w:t xml:space="preserve">not possible to print off a clean </w:t>
      </w:r>
      <w:r w:rsidR="002669A3">
        <w:rPr>
          <w:rFonts w:asciiTheme="majorHAnsi" w:hAnsiTheme="majorHAnsi" w:cs="Arial"/>
          <w:sz w:val="22"/>
          <w:szCs w:val="22"/>
        </w:rPr>
        <w:t xml:space="preserve">PDF </w:t>
      </w:r>
      <w:r w:rsidR="00E64545" w:rsidRPr="005D78E3">
        <w:rPr>
          <w:rFonts w:asciiTheme="majorHAnsi" w:hAnsiTheme="majorHAnsi" w:cs="Arial"/>
          <w:sz w:val="22"/>
          <w:szCs w:val="22"/>
        </w:rPr>
        <w:t>version</w:t>
      </w:r>
      <w:r w:rsidR="002669A3">
        <w:rPr>
          <w:rFonts w:asciiTheme="majorHAnsi" w:hAnsiTheme="majorHAnsi" w:cs="Arial"/>
          <w:sz w:val="22"/>
          <w:szCs w:val="22"/>
        </w:rPr>
        <w:t xml:space="preserve">, which is desirable for many users, and </w:t>
      </w:r>
      <w:proofErr w:type="gramStart"/>
      <w:r w:rsidR="00E64545" w:rsidRPr="005D78E3">
        <w:rPr>
          <w:rFonts w:asciiTheme="majorHAnsi" w:hAnsiTheme="majorHAnsi" w:cs="Arial"/>
          <w:sz w:val="22"/>
          <w:szCs w:val="22"/>
        </w:rPr>
        <w:t>this</w:t>
      </w:r>
      <w:proofErr w:type="gramEnd"/>
      <w:r w:rsidR="00E64545" w:rsidRPr="005D78E3">
        <w:rPr>
          <w:rFonts w:asciiTheme="majorHAnsi" w:hAnsiTheme="majorHAnsi" w:cs="Arial"/>
          <w:sz w:val="22"/>
          <w:szCs w:val="22"/>
        </w:rPr>
        <w:t xml:space="preserve"> is being attended to. Preliminary feedback is favourable and the MTE believes this will be an extremely valuable resource for new and current PMs. </w:t>
      </w:r>
      <w:r w:rsidR="006E605F">
        <w:rPr>
          <w:rFonts w:asciiTheme="majorHAnsi" w:eastAsia="+mn-ea" w:hAnsiTheme="majorHAnsi" w:cs="Arial"/>
          <w:sz w:val="22"/>
          <w:szCs w:val="22"/>
        </w:rPr>
        <w:t>On the online system each section provides a space for comments but this should be backed up with a process to collate and evaluate suggestions for improvement that might be received and the onli</w:t>
      </w:r>
      <w:r w:rsidR="002669A3">
        <w:rPr>
          <w:rFonts w:asciiTheme="majorHAnsi" w:eastAsia="+mn-ea" w:hAnsiTheme="majorHAnsi" w:cs="Arial"/>
          <w:sz w:val="22"/>
          <w:szCs w:val="22"/>
        </w:rPr>
        <w:t xml:space="preserve">ne version updated accordingly </w:t>
      </w:r>
      <w:r w:rsidR="006E605F">
        <w:rPr>
          <w:rFonts w:asciiTheme="majorHAnsi" w:eastAsia="+mn-ea" w:hAnsiTheme="majorHAnsi" w:cs="Arial"/>
          <w:sz w:val="22"/>
          <w:szCs w:val="22"/>
        </w:rPr>
        <w:t xml:space="preserve">at regular intervals. </w:t>
      </w:r>
    </w:p>
    <w:p w14:paraId="1BA48453" w14:textId="758A6326" w:rsidR="00E64545" w:rsidRPr="005D78E3" w:rsidRDefault="00E64545" w:rsidP="00E64545">
      <w:pPr>
        <w:contextualSpacing/>
        <w:jc w:val="both"/>
        <w:rPr>
          <w:rFonts w:asciiTheme="majorHAnsi" w:eastAsia="+mn-ea" w:hAnsiTheme="majorHAnsi" w:cs="Arial"/>
          <w:sz w:val="22"/>
          <w:szCs w:val="22"/>
        </w:rPr>
      </w:pPr>
    </w:p>
    <w:p w14:paraId="6FCE7AB9" w14:textId="2BD1A3D0" w:rsidR="00DD67A9" w:rsidRDefault="00E64545" w:rsidP="00A62AD8">
      <w:pPr>
        <w:contextualSpacing/>
        <w:jc w:val="both"/>
        <w:rPr>
          <w:rFonts w:asciiTheme="majorHAnsi" w:eastAsia="+mn-ea" w:hAnsiTheme="majorHAnsi" w:cs="Arial"/>
          <w:sz w:val="22"/>
          <w:szCs w:val="22"/>
        </w:rPr>
      </w:pPr>
      <w:r w:rsidRPr="005D78E3">
        <w:rPr>
          <w:rFonts w:asciiTheme="majorHAnsi" w:eastAsia="+mn-ea" w:hAnsiTheme="majorHAnsi" w:cs="Arial"/>
          <w:sz w:val="22"/>
          <w:szCs w:val="22"/>
        </w:rPr>
        <w:t xml:space="preserve">It </w:t>
      </w:r>
      <w:r w:rsidR="009F19A2" w:rsidRPr="005D78E3">
        <w:rPr>
          <w:rFonts w:asciiTheme="majorHAnsi" w:eastAsia="+mn-ea" w:hAnsiTheme="majorHAnsi" w:cs="Arial"/>
          <w:sz w:val="22"/>
          <w:szCs w:val="22"/>
        </w:rPr>
        <w:t xml:space="preserve">is not clear exactly what form </w:t>
      </w:r>
      <w:r w:rsidRPr="005D78E3">
        <w:rPr>
          <w:rFonts w:asciiTheme="majorHAnsi" w:eastAsia="+mn-ea" w:hAnsiTheme="majorHAnsi" w:cs="Arial"/>
          <w:sz w:val="22"/>
          <w:szCs w:val="22"/>
        </w:rPr>
        <w:t>the proposed course will take and there currently seems lack of consensus on</w:t>
      </w:r>
      <w:r w:rsidR="009F19A2" w:rsidRPr="005D78E3">
        <w:rPr>
          <w:rFonts w:asciiTheme="majorHAnsi" w:eastAsia="+mn-ea" w:hAnsiTheme="majorHAnsi" w:cs="Arial"/>
          <w:sz w:val="22"/>
          <w:szCs w:val="22"/>
        </w:rPr>
        <w:t xml:space="preserve"> this point among the </w:t>
      </w:r>
      <w:r w:rsidR="000B417A">
        <w:rPr>
          <w:rFonts w:asciiTheme="majorHAnsi" w:eastAsia="+mn-ea" w:hAnsiTheme="majorHAnsi" w:cs="Arial"/>
          <w:sz w:val="22"/>
          <w:szCs w:val="22"/>
        </w:rPr>
        <w:t>P</w:t>
      </w:r>
      <w:r w:rsidR="009F19A2" w:rsidRPr="005D78E3">
        <w:rPr>
          <w:rFonts w:asciiTheme="majorHAnsi" w:eastAsia="+mn-ea" w:hAnsiTheme="majorHAnsi" w:cs="Arial"/>
          <w:sz w:val="22"/>
          <w:szCs w:val="22"/>
        </w:rPr>
        <w:t>SC</w:t>
      </w:r>
      <w:r w:rsidR="002669A3">
        <w:rPr>
          <w:rFonts w:asciiTheme="majorHAnsi" w:eastAsia="+mn-ea" w:hAnsiTheme="majorHAnsi" w:cs="Arial"/>
          <w:sz w:val="22"/>
          <w:szCs w:val="22"/>
        </w:rPr>
        <w:t xml:space="preserve"> members</w:t>
      </w:r>
      <w:r w:rsidR="009F19A2" w:rsidRPr="005D78E3">
        <w:rPr>
          <w:rFonts w:asciiTheme="majorHAnsi" w:eastAsia="+mn-ea" w:hAnsiTheme="majorHAnsi" w:cs="Arial"/>
          <w:sz w:val="22"/>
          <w:szCs w:val="22"/>
        </w:rPr>
        <w:t xml:space="preserve"> – a full course where one would work through the manual and have to pass a test at the end of each section b</w:t>
      </w:r>
      <w:r w:rsidR="002669A3">
        <w:rPr>
          <w:rFonts w:asciiTheme="majorHAnsi" w:eastAsia="+mn-ea" w:hAnsiTheme="majorHAnsi" w:cs="Arial"/>
          <w:sz w:val="22"/>
          <w:szCs w:val="22"/>
        </w:rPr>
        <w:t>efore proceeding or a</w:t>
      </w:r>
      <w:r w:rsidR="009F19A2" w:rsidRPr="005D78E3">
        <w:rPr>
          <w:rFonts w:asciiTheme="majorHAnsi" w:eastAsia="+mn-ea" w:hAnsiTheme="majorHAnsi" w:cs="Arial"/>
          <w:sz w:val="22"/>
          <w:szCs w:val="22"/>
        </w:rPr>
        <w:t xml:space="preserve"> general test having read the manual.</w:t>
      </w:r>
      <w:r w:rsidR="00A62AD8" w:rsidRPr="005D78E3">
        <w:rPr>
          <w:rFonts w:asciiTheme="majorHAnsi" w:eastAsia="+mn-ea" w:hAnsiTheme="majorHAnsi" w:cs="Arial"/>
          <w:sz w:val="22"/>
          <w:szCs w:val="22"/>
        </w:rPr>
        <w:t xml:space="preserve"> </w:t>
      </w:r>
      <w:r w:rsidR="009F19A2" w:rsidRPr="005D78E3">
        <w:rPr>
          <w:rFonts w:asciiTheme="majorHAnsi" w:eastAsia="+mn-ea" w:hAnsiTheme="majorHAnsi" w:cs="Arial"/>
          <w:sz w:val="22"/>
          <w:szCs w:val="22"/>
        </w:rPr>
        <w:t xml:space="preserve"> </w:t>
      </w:r>
      <w:r w:rsidR="00A62AD8" w:rsidRPr="005D78E3">
        <w:rPr>
          <w:rFonts w:asciiTheme="majorHAnsi" w:eastAsia="+mn-ea" w:hAnsiTheme="majorHAnsi" w:cs="Arial"/>
          <w:sz w:val="22"/>
          <w:szCs w:val="22"/>
        </w:rPr>
        <w:t xml:space="preserve">Given the nature of the online material the MTE believes that the latter approach is the most practical. It has been suggested that new PMs receive a Certification following successful completion of the test and be a mandatory part of the inception phase of all projects.  The MTE supports this </w:t>
      </w:r>
      <w:r w:rsidR="00327F2B" w:rsidRPr="005D78E3">
        <w:rPr>
          <w:rFonts w:asciiTheme="majorHAnsi" w:eastAsia="+mn-ea" w:hAnsiTheme="majorHAnsi" w:cs="Arial"/>
          <w:sz w:val="22"/>
          <w:szCs w:val="22"/>
        </w:rPr>
        <w:t>approach,</w:t>
      </w:r>
      <w:r w:rsidR="00A62AD8" w:rsidRPr="005D78E3">
        <w:rPr>
          <w:rFonts w:asciiTheme="majorHAnsi" w:eastAsia="+mn-ea" w:hAnsiTheme="majorHAnsi" w:cs="Arial"/>
          <w:sz w:val="22"/>
          <w:szCs w:val="22"/>
        </w:rPr>
        <w:t xml:space="preserve"> as it is all to</w:t>
      </w:r>
      <w:r w:rsidR="00345ECC">
        <w:rPr>
          <w:rFonts w:asciiTheme="majorHAnsi" w:eastAsia="+mn-ea" w:hAnsiTheme="majorHAnsi" w:cs="Arial"/>
          <w:sz w:val="22"/>
          <w:szCs w:val="22"/>
        </w:rPr>
        <w:t>o</w:t>
      </w:r>
      <w:r w:rsidR="00A62AD8" w:rsidRPr="005D78E3">
        <w:rPr>
          <w:rFonts w:asciiTheme="majorHAnsi" w:eastAsia="+mn-ea" w:hAnsiTheme="majorHAnsi" w:cs="Arial"/>
          <w:sz w:val="22"/>
          <w:szCs w:val="22"/>
        </w:rPr>
        <w:t xml:space="preserve"> easy for new PMs to skip over this and miss valuable guidance in the inevitable rush to get new projects underway.</w:t>
      </w:r>
    </w:p>
    <w:p w14:paraId="578323B6" w14:textId="77777777" w:rsidR="003A6B44" w:rsidRPr="0040711B" w:rsidRDefault="003A6B44" w:rsidP="003A6B44">
      <w:pPr>
        <w:rPr>
          <w:rFonts w:ascii="Calibri" w:hAnsi="Calibri"/>
          <w:b/>
          <w:color w:val="3366FF"/>
          <w:sz w:val="22"/>
          <w:szCs w:val="22"/>
        </w:rPr>
      </w:pPr>
    </w:p>
    <w:p w14:paraId="779585AD" w14:textId="06EFEEB5" w:rsidR="00EA663C" w:rsidRPr="0040711B" w:rsidRDefault="00EA663C" w:rsidP="00EA663C">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Sub-component 5c: Index-Insurance Pilot</w:t>
      </w:r>
      <w:r w:rsidR="002669A3">
        <w:rPr>
          <w:rFonts w:ascii="Calibri" w:hAnsi="Calibri"/>
          <w:color w:val="3366FF"/>
          <w:sz w:val="22"/>
          <w:szCs w:val="22"/>
        </w:rPr>
        <w:t xml:space="preserve"> – Lead UNDP </w:t>
      </w:r>
    </w:p>
    <w:p w14:paraId="5ED3D138" w14:textId="600CE262" w:rsidR="004125FD" w:rsidRPr="0040711B" w:rsidRDefault="00290862" w:rsidP="004125FD">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Expected</w:t>
      </w:r>
      <w:r w:rsidR="004125FD" w:rsidRPr="0040711B">
        <w:rPr>
          <w:rFonts w:ascii="Calibri" w:hAnsi="Calibri"/>
          <w:color w:val="3366FF"/>
          <w:sz w:val="22"/>
          <w:szCs w:val="22"/>
        </w:rPr>
        <w:t xml:space="preserve"> </w:t>
      </w:r>
      <w:r w:rsidR="004125FD" w:rsidRPr="0040711B">
        <w:rPr>
          <w:rFonts w:ascii="Calibri" w:hAnsi="Calibri"/>
          <w:b/>
          <w:color w:val="3366FF"/>
          <w:sz w:val="22"/>
          <w:szCs w:val="22"/>
        </w:rPr>
        <w:t xml:space="preserve">output </w:t>
      </w:r>
      <w:r w:rsidRPr="0040711B">
        <w:rPr>
          <w:rFonts w:ascii="Calibri" w:hAnsi="Calibri"/>
          <w:color w:val="3366FF"/>
          <w:sz w:val="22"/>
          <w:szCs w:val="22"/>
        </w:rPr>
        <w:t>is</w:t>
      </w:r>
      <w:r w:rsidR="004125FD" w:rsidRPr="0040711B">
        <w:rPr>
          <w:rFonts w:ascii="Calibri" w:hAnsi="Calibri"/>
          <w:color w:val="3366FF"/>
          <w:sz w:val="22"/>
          <w:szCs w:val="22"/>
        </w:rPr>
        <w:t>: Testing of 2-3 risk insurance mechanisms and other economic instruments on the basis of vetted climate risk methodology</w:t>
      </w:r>
    </w:p>
    <w:p w14:paraId="383ABE31" w14:textId="77777777" w:rsidR="00EA663C" w:rsidRDefault="00EA663C" w:rsidP="00EA663C">
      <w:pPr>
        <w:rPr>
          <w:rFonts w:ascii="Calibri" w:hAnsi="Calibri"/>
          <w:b/>
          <w:color w:val="3366FF"/>
          <w:sz w:val="22"/>
          <w:szCs w:val="22"/>
        </w:rPr>
      </w:pPr>
    </w:p>
    <w:p w14:paraId="47FB8270" w14:textId="03FC718C" w:rsidR="003F754A" w:rsidRDefault="00784290" w:rsidP="002669A3">
      <w:pPr>
        <w:jc w:val="both"/>
        <w:rPr>
          <w:rFonts w:ascii="Calibri" w:hAnsi="Calibri"/>
          <w:sz w:val="22"/>
          <w:szCs w:val="22"/>
        </w:rPr>
      </w:pPr>
      <w:r>
        <w:rPr>
          <w:rFonts w:ascii="Calibri" w:hAnsi="Calibri"/>
          <w:sz w:val="22"/>
          <w:szCs w:val="22"/>
        </w:rPr>
        <w:t xml:space="preserve">No rating. </w:t>
      </w:r>
      <w:r w:rsidR="002669A3">
        <w:rPr>
          <w:rFonts w:ascii="Calibri" w:hAnsi="Calibri"/>
          <w:sz w:val="22"/>
          <w:szCs w:val="22"/>
        </w:rPr>
        <w:t xml:space="preserve"> </w:t>
      </w:r>
      <w:r>
        <w:rPr>
          <w:rFonts w:ascii="Calibri" w:hAnsi="Calibri"/>
          <w:sz w:val="22"/>
          <w:szCs w:val="22"/>
        </w:rPr>
        <w:t>This</w:t>
      </w:r>
      <w:r w:rsidR="002669A3">
        <w:rPr>
          <w:rFonts w:ascii="Calibri" w:hAnsi="Calibri"/>
          <w:sz w:val="22"/>
          <w:szCs w:val="22"/>
        </w:rPr>
        <w:t xml:space="preserve"> activity did not get off the ground for reasons beyond the control of the project. </w:t>
      </w:r>
    </w:p>
    <w:p w14:paraId="184504B3" w14:textId="20315C44" w:rsidR="003F754A" w:rsidRPr="002669A3" w:rsidRDefault="004D24DD" w:rsidP="002669A3">
      <w:pPr>
        <w:jc w:val="both"/>
        <w:rPr>
          <w:rFonts w:ascii="Calibri" w:hAnsi="Calibri"/>
          <w:sz w:val="22"/>
          <w:szCs w:val="22"/>
        </w:rPr>
      </w:pPr>
      <w:r>
        <w:rPr>
          <w:rFonts w:ascii="Calibri" w:hAnsi="Calibri"/>
          <w:sz w:val="22"/>
          <w:szCs w:val="22"/>
        </w:rPr>
        <w:t xml:space="preserve">It was intended that this innovative activity would be significantly co-financed through the UNDP Climate Risk Finance Facility </w:t>
      </w:r>
      <w:r w:rsidR="00D61D40">
        <w:rPr>
          <w:rFonts w:ascii="Calibri" w:hAnsi="Calibri"/>
          <w:sz w:val="22"/>
          <w:szCs w:val="22"/>
        </w:rPr>
        <w:t xml:space="preserve">however the finance did not materialise and in spite of PCU efforts </w:t>
      </w:r>
      <w:r w:rsidR="002669A3">
        <w:rPr>
          <w:rFonts w:ascii="Calibri" w:hAnsi="Calibri"/>
          <w:sz w:val="22"/>
          <w:szCs w:val="22"/>
        </w:rPr>
        <w:t xml:space="preserve">to find alternative sources of funding for example some </w:t>
      </w:r>
      <w:r w:rsidR="003F754A" w:rsidRPr="002669A3">
        <w:rPr>
          <w:rFonts w:ascii="Calibri" w:hAnsi="Calibri"/>
          <w:sz w:val="22"/>
          <w:szCs w:val="22"/>
        </w:rPr>
        <w:t>discussions</w:t>
      </w:r>
      <w:r w:rsidR="00FB6183">
        <w:rPr>
          <w:rFonts w:ascii="Calibri" w:hAnsi="Calibri"/>
          <w:sz w:val="22"/>
          <w:szCs w:val="22"/>
        </w:rPr>
        <w:t xml:space="preserve"> were </w:t>
      </w:r>
      <w:r w:rsidR="003F754A" w:rsidRPr="002669A3">
        <w:rPr>
          <w:rFonts w:ascii="Calibri" w:hAnsi="Calibri"/>
          <w:sz w:val="22"/>
          <w:szCs w:val="22"/>
        </w:rPr>
        <w:t>conducted with UNDP Bangkok on poss</w:t>
      </w:r>
      <w:r w:rsidR="00FB6183">
        <w:rPr>
          <w:rFonts w:ascii="Calibri" w:hAnsi="Calibri"/>
          <w:sz w:val="22"/>
          <w:szCs w:val="22"/>
        </w:rPr>
        <w:t xml:space="preserve">ible linkage to Adaptation Fund, </w:t>
      </w:r>
      <w:r w:rsidR="003F754A" w:rsidRPr="002669A3">
        <w:rPr>
          <w:rFonts w:ascii="Calibri" w:hAnsi="Calibri"/>
          <w:sz w:val="22"/>
          <w:szCs w:val="22"/>
        </w:rPr>
        <w:t>discussions</w:t>
      </w:r>
      <w:r w:rsidR="00FB6183">
        <w:rPr>
          <w:rFonts w:ascii="Calibri" w:hAnsi="Calibri"/>
          <w:sz w:val="22"/>
          <w:szCs w:val="22"/>
        </w:rPr>
        <w:t xml:space="preserve"> were held</w:t>
      </w:r>
      <w:r w:rsidR="003F754A" w:rsidRPr="002669A3">
        <w:rPr>
          <w:rFonts w:ascii="Calibri" w:hAnsi="Calibri"/>
          <w:sz w:val="22"/>
          <w:szCs w:val="22"/>
        </w:rPr>
        <w:t xml:space="preserve"> also with SwissRe</w:t>
      </w:r>
      <w:r w:rsidR="002669A3">
        <w:rPr>
          <w:rFonts w:ascii="Calibri" w:hAnsi="Calibri"/>
          <w:sz w:val="22"/>
          <w:szCs w:val="22"/>
        </w:rPr>
        <w:t xml:space="preserve"> </w:t>
      </w:r>
      <w:r w:rsidR="002B6A43">
        <w:rPr>
          <w:rFonts w:ascii="Calibri" w:hAnsi="Calibri"/>
          <w:sz w:val="22"/>
          <w:szCs w:val="22"/>
        </w:rPr>
        <w:t>(insuran</w:t>
      </w:r>
      <w:r w:rsidR="00FB6183">
        <w:rPr>
          <w:rFonts w:ascii="Calibri" w:hAnsi="Calibri"/>
          <w:sz w:val="22"/>
          <w:szCs w:val="22"/>
        </w:rPr>
        <w:t>c</w:t>
      </w:r>
      <w:r w:rsidR="002B6A43">
        <w:rPr>
          <w:rFonts w:ascii="Calibri" w:hAnsi="Calibri"/>
          <w:sz w:val="22"/>
          <w:szCs w:val="22"/>
        </w:rPr>
        <w:t xml:space="preserve">e </w:t>
      </w:r>
      <w:r w:rsidR="00FB6183">
        <w:rPr>
          <w:rFonts w:ascii="Calibri" w:hAnsi="Calibri"/>
          <w:sz w:val="22"/>
          <w:szCs w:val="22"/>
        </w:rPr>
        <w:t xml:space="preserve">broker) </w:t>
      </w:r>
      <w:r w:rsidR="003F754A" w:rsidRPr="002669A3">
        <w:rPr>
          <w:rFonts w:ascii="Calibri" w:hAnsi="Calibri"/>
          <w:sz w:val="22"/>
          <w:szCs w:val="22"/>
        </w:rPr>
        <w:t>on possible partnership</w:t>
      </w:r>
      <w:r w:rsidR="002669A3">
        <w:rPr>
          <w:rFonts w:ascii="Calibri" w:hAnsi="Calibri"/>
          <w:sz w:val="22"/>
          <w:szCs w:val="22"/>
        </w:rPr>
        <w:t>s and</w:t>
      </w:r>
      <w:r w:rsidR="00784290">
        <w:rPr>
          <w:rFonts w:ascii="Calibri" w:hAnsi="Calibri"/>
          <w:sz w:val="22"/>
          <w:szCs w:val="22"/>
        </w:rPr>
        <w:t xml:space="preserve"> contact with IFC </w:t>
      </w:r>
      <w:r w:rsidR="00FB6183">
        <w:rPr>
          <w:rFonts w:ascii="Calibri" w:hAnsi="Calibri"/>
          <w:sz w:val="22"/>
          <w:szCs w:val="22"/>
        </w:rPr>
        <w:t>was initiate</w:t>
      </w:r>
      <w:r w:rsidR="00784290">
        <w:rPr>
          <w:rFonts w:ascii="Calibri" w:hAnsi="Calibri"/>
          <w:sz w:val="22"/>
          <w:szCs w:val="22"/>
        </w:rPr>
        <w:t xml:space="preserve">d, </w:t>
      </w:r>
      <w:r w:rsidR="00FB6183">
        <w:rPr>
          <w:rFonts w:ascii="Calibri" w:hAnsi="Calibri"/>
          <w:sz w:val="22"/>
          <w:szCs w:val="22"/>
        </w:rPr>
        <w:t>but all to no avail.</w:t>
      </w:r>
    </w:p>
    <w:p w14:paraId="5B9C6E4E" w14:textId="77777777" w:rsidR="003F754A" w:rsidRDefault="003F754A" w:rsidP="002669A3">
      <w:pPr>
        <w:jc w:val="both"/>
        <w:rPr>
          <w:rFonts w:ascii="Calibri" w:hAnsi="Calibri"/>
          <w:sz w:val="22"/>
          <w:szCs w:val="22"/>
        </w:rPr>
      </w:pPr>
    </w:p>
    <w:p w14:paraId="25B6BA56" w14:textId="32BF7597" w:rsidR="004D24DD" w:rsidRPr="004D24DD" w:rsidRDefault="00D61D40" w:rsidP="002669A3">
      <w:pPr>
        <w:jc w:val="both"/>
        <w:rPr>
          <w:rFonts w:ascii="Calibri" w:hAnsi="Calibri"/>
          <w:sz w:val="22"/>
          <w:szCs w:val="22"/>
        </w:rPr>
      </w:pPr>
      <w:r>
        <w:rPr>
          <w:rFonts w:ascii="Calibri" w:hAnsi="Calibri"/>
          <w:sz w:val="22"/>
          <w:szCs w:val="22"/>
        </w:rPr>
        <w:t>In view of the overall funding shortfall no activities have been initiate</w:t>
      </w:r>
      <w:r w:rsidR="002B6A43">
        <w:rPr>
          <w:rFonts w:ascii="Calibri" w:hAnsi="Calibri"/>
          <w:sz w:val="22"/>
          <w:szCs w:val="22"/>
        </w:rPr>
        <w:t xml:space="preserve">d. </w:t>
      </w:r>
      <w:r>
        <w:rPr>
          <w:rFonts w:ascii="Calibri" w:hAnsi="Calibri"/>
          <w:sz w:val="22"/>
          <w:szCs w:val="22"/>
        </w:rPr>
        <w:t xml:space="preserve">Given the difficulties encountered and the relatively risky nature in terms of achieving its output the MTE </w:t>
      </w:r>
      <w:r w:rsidR="002669A3">
        <w:rPr>
          <w:rFonts w:ascii="Calibri" w:hAnsi="Calibri"/>
          <w:sz w:val="22"/>
          <w:szCs w:val="22"/>
        </w:rPr>
        <w:t xml:space="preserve">recommends </w:t>
      </w:r>
      <w:r>
        <w:rPr>
          <w:rFonts w:ascii="Calibri" w:hAnsi="Calibri"/>
          <w:sz w:val="22"/>
          <w:szCs w:val="22"/>
        </w:rPr>
        <w:t>that this sub-component be dropped from the project and funds diverted to other components to ensure a better chance of success of components that have already made some progress but would</w:t>
      </w:r>
      <w:r w:rsidR="0079280C">
        <w:rPr>
          <w:rFonts w:ascii="Calibri" w:hAnsi="Calibri"/>
          <w:sz w:val="22"/>
          <w:szCs w:val="22"/>
        </w:rPr>
        <w:t xml:space="preserve"> benefit from extra resources. Some minor reallocations were agreed at the SCM</w:t>
      </w:r>
      <w:r w:rsidR="00F42899">
        <w:rPr>
          <w:rFonts w:ascii="Calibri" w:hAnsi="Calibri"/>
          <w:sz w:val="22"/>
          <w:szCs w:val="22"/>
        </w:rPr>
        <w:t xml:space="preserve">, see Annex 3. </w:t>
      </w:r>
    </w:p>
    <w:p w14:paraId="7A1B613D" w14:textId="77777777" w:rsidR="00EA663C" w:rsidRPr="0040711B" w:rsidRDefault="00EA663C" w:rsidP="00EA663C">
      <w:pPr>
        <w:rPr>
          <w:rFonts w:ascii="Calibri" w:hAnsi="Calibri"/>
          <w:b/>
          <w:color w:val="3366FF"/>
          <w:sz w:val="22"/>
          <w:szCs w:val="22"/>
          <w:lang w:val="fr-FR"/>
        </w:rPr>
      </w:pPr>
    </w:p>
    <w:p w14:paraId="053E36BA" w14:textId="31CB7C13" w:rsidR="00EA663C" w:rsidRPr="0040711B" w:rsidRDefault="00EA663C" w:rsidP="00EA663C">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lang w:val="fr-FR"/>
        </w:rPr>
        <w:t>Sub-component 5d: Private Sector Engagement</w:t>
      </w:r>
      <w:r w:rsidR="0079280C">
        <w:rPr>
          <w:rFonts w:ascii="Calibri" w:hAnsi="Calibri"/>
          <w:color w:val="3366FF"/>
          <w:sz w:val="22"/>
          <w:szCs w:val="22"/>
          <w:lang w:val="fr-FR"/>
        </w:rPr>
        <w:t xml:space="preserve">. Lead partner GEFT </w:t>
      </w:r>
    </w:p>
    <w:p w14:paraId="61950DF7" w14:textId="1B8A7603" w:rsidR="004125FD" w:rsidRPr="0040711B" w:rsidRDefault="00290862" w:rsidP="004125FD">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Expected</w:t>
      </w:r>
      <w:r w:rsidR="004125FD" w:rsidRPr="0040711B">
        <w:rPr>
          <w:rFonts w:ascii="Calibri" w:hAnsi="Calibri"/>
          <w:color w:val="3366FF"/>
          <w:sz w:val="22"/>
          <w:szCs w:val="22"/>
        </w:rPr>
        <w:t xml:space="preserve"> </w:t>
      </w:r>
      <w:r w:rsidR="004125FD" w:rsidRPr="0040711B">
        <w:rPr>
          <w:rFonts w:ascii="Calibri" w:hAnsi="Calibri"/>
          <w:b/>
          <w:color w:val="3366FF"/>
          <w:sz w:val="22"/>
          <w:szCs w:val="22"/>
        </w:rPr>
        <w:t>output</w:t>
      </w:r>
      <w:r w:rsidRPr="0040711B">
        <w:rPr>
          <w:rFonts w:ascii="Calibri" w:hAnsi="Calibri"/>
          <w:b/>
          <w:color w:val="3366FF"/>
          <w:sz w:val="22"/>
          <w:szCs w:val="22"/>
        </w:rPr>
        <w:t xml:space="preserve"> is</w:t>
      </w:r>
      <w:r w:rsidR="004125FD" w:rsidRPr="0040711B">
        <w:rPr>
          <w:rFonts w:ascii="Calibri" w:hAnsi="Calibri"/>
          <w:color w:val="3366FF"/>
          <w:sz w:val="22"/>
          <w:szCs w:val="22"/>
        </w:rPr>
        <w:t>: GEF IW and other experiences with public-private partnerships codified and demonstrated in 2-3 new projects.</w:t>
      </w:r>
    </w:p>
    <w:p w14:paraId="071D1667" w14:textId="77777777" w:rsidR="00543C7F" w:rsidRDefault="00543C7F" w:rsidP="00EA663C">
      <w:pPr>
        <w:autoSpaceDE w:val="0"/>
        <w:autoSpaceDN w:val="0"/>
        <w:adjustRightInd w:val="0"/>
        <w:rPr>
          <w:rFonts w:ascii="Calibri" w:hAnsi="Calibri"/>
          <w:sz w:val="22"/>
          <w:szCs w:val="22"/>
        </w:rPr>
      </w:pPr>
    </w:p>
    <w:p w14:paraId="404EB8B7" w14:textId="11455FDE" w:rsidR="00543C7F" w:rsidRPr="00543C7F" w:rsidRDefault="001E0058" w:rsidP="003A2A6A">
      <w:pPr>
        <w:autoSpaceDE w:val="0"/>
        <w:autoSpaceDN w:val="0"/>
        <w:adjustRightInd w:val="0"/>
        <w:jc w:val="both"/>
        <w:rPr>
          <w:rFonts w:asciiTheme="majorHAnsi" w:hAnsiTheme="majorHAnsi" w:cs="Arial"/>
          <w:sz w:val="22"/>
          <w:szCs w:val="22"/>
        </w:rPr>
      </w:pPr>
      <w:r>
        <w:rPr>
          <w:rFonts w:ascii="Calibri" w:hAnsi="Calibri"/>
          <w:sz w:val="22"/>
          <w:szCs w:val="22"/>
        </w:rPr>
        <w:t xml:space="preserve">The component is currently assessed as </w:t>
      </w:r>
      <w:r w:rsidRPr="001E0058">
        <w:rPr>
          <w:rFonts w:ascii="Calibri" w:hAnsi="Calibri"/>
          <w:b/>
          <w:sz w:val="22"/>
          <w:szCs w:val="22"/>
        </w:rPr>
        <w:t>Satisfactory</w:t>
      </w:r>
      <w:r>
        <w:rPr>
          <w:rFonts w:ascii="Calibri" w:hAnsi="Calibri"/>
          <w:b/>
          <w:sz w:val="22"/>
          <w:szCs w:val="22"/>
        </w:rPr>
        <w:t xml:space="preserve">. </w:t>
      </w:r>
      <w:r w:rsidR="00543C7F">
        <w:rPr>
          <w:rFonts w:asciiTheme="majorHAnsi" w:hAnsiTheme="majorHAnsi" w:cs="Arial"/>
          <w:sz w:val="22"/>
          <w:szCs w:val="22"/>
        </w:rPr>
        <w:t>A m</w:t>
      </w:r>
      <w:r w:rsidR="00543C7F" w:rsidRPr="00543C7F">
        <w:rPr>
          <w:rFonts w:asciiTheme="majorHAnsi" w:hAnsiTheme="majorHAnsi" w:cs="Arial"/>
          <w:sz w:val="22"/>
          <w:szCs w:val="22"/>
        </w:rPr>
        <w:t>anual has been produced and comments just received from the GEF</w:t>
      </w:r>
      <w:r w:rsidR="00327F2B">
        <w:rPr>
          <w:rFonts w:asciiTheme="majorHAnsi" w:hAnsiTheme="majorHAnsi" w:cs="Arial"/>
          <w:sz w:val="22"/>
          <w:szCs w:val="22"/>
        </w:rPr>
        <w:t>-</w:t>
      </w:r>
      <w:r w:rsidR="00543C7F" w:rsidRPr="00543C7F">
        <w:rPr>
          <w:rFonts w:asciiTheme="majorHAnsi" w:hAnsiTheme="majorHAnsi" w:cs="Arial"/>
          <w:sz w:val="22"/>
          <w:szCs w:val="22"/>
        </w:rPr>
        <w:t>SEC, which will be incorporated and added into the content ready to be published on the online manuals platform.</w:t>
      </w:r>
      <w:r>
        <w:rPr>
          <w:rFonts w:asciiTheme="majorHAnsi" w:hAnsiTheme="majorHAnsi" w:cs="Arial"/>
          <w:sz w:val="22"/>
          <w:szCs w:val="22"/>
        </w:rPr>
        <w:t xml:space="preserve">  Given the importance of this topic it has been proposed that funds saved from 5c could be directed to additional activities under this sub-component. The MTE supports this and some suggestions were tabled at the SCM </w:t>
      </w:r>
      <w:r w:rsidR="00312FB1">
        <w:rPr>
          <w:rFonts w:asciiTheme="majorHAnsi" w:hAnsiTheme="majorHAnsi" w:cs="Arial"/>
          <w:sz w:val="22"/>
          <w:szCs w:val="22"/>
        </w:rPr>
        <w:t xml:space="preserve">such as trying to engage </w:t>
      </w:r>
      <w:r w:rsidR="00327F2B">
        <w:rPr>
          <w:rFonts w:asciiTheme="majorHAnsi" w:hAnsiTheme="majorHAnsi" w:cs="Arial"/>
          <w:sz w:val="22"/>
          <w:szCs w:val="22"/>
        </w:rPr>
        <w:t>directly</w:t>
      </w:r>
      <w:r w:rsidR="00312FB1">
        <w:rPr>
          <w:rFonts w:asciiTheme="majorHAnsi" w:hAnsiTheme="majorHAnsi" w:cs="Arial"/>
          <w:sz w:val="22"/>
          <w:szCs w:val="22"/>
        </w:rPr>
        <w:t xml:space="preserve"> with a wider group of private sector partners in hopes of forming an advisory body based on </w:t>
      </w:r>
      <w:r w:rsidR="00327F2B">
        <w:rPr>
          <w:rFonts w:asciiTheme="majorHAnsi" w:hAnsiTheme="majorHAnsi" w:cs="Arial"/>
          <w:sz w:val="22"/>
          <w:szCs w:val="22"/>
        </w:rPr>
        <w:t>e.g.</w:t>
      </w:r>
      <w:r w:rsidR="00312FB1">
        <w:rPr>
          <w:rFonts w:asciiTheme="majorHAnsi" w:hAnsiTheme="majorHAnsi" w:cs="Arial"/>
          <w:sz w:val="22"/>
          <w:szCs w:val="22"/>
        </w:rPr>
        <w:t xml:space="preserve"> UN Global compact. </w:t>
      </w:r>
      <w:r>
        <w:rPr>
          <w:rFonts w:asciiTheme="majorHAnsi" w:hAnsiTheme="majorHAnsi" w:cs="Arial"/>
          <w:sz w:val="22"/>
          <w:szCs w:val="22"/>
        </w:rPr>
        <w:t xml:space="preserve"> </w:t>
      </w:r>
      <w:r w:rsidR="00312FB1">
        <w:rPr>
          <w:rFonts w:asciiTheme="majorHAnsi" w:hAnsiTheme="majorHAnsi" w:cs="Arial"/>
          <w:sz w:val="22"/>
          <w:szCs w:val="22"/>
        </w:rPr>
        <w:t xml:space="preserve">It is not clear to the MTE how these ideas would be implemented in practice and some investigation will be required before committing substantial funds. </w:t>
      </w:r>
      <w:r w:rsidR="00727029">
        <w:rPr>
          <w:rFonts w:asciiTheme="majorHAnsi" w:hAnsiTheme="majorHAnsi" w:cs="Arial"/>
          <w:sz w:val="22"/>
          <w:szCs w:val="22"/>
        </w:rPr>
        <w:t xml:space="preserve"> An MTE interviewee </w:t>
      </w:r>
      <w:r w:rsidR="00784290">
        <w:rPr>
          <w:rFonts w:asciiTheme="majorHAnsi" w:hAnsiTheme="majorHAnsi" w:cs="Arial"/>
          <w:sz w:val="22"/>
          <w:szCs w:val="22"/>
        </w:rPr>
        <w:t xml:space="preserve">from one of the IAs, </w:t>
      </w:r>
      <w:r w:rsidR="00727029">
        <w:rPr>
          <w:rFonts w:asciiTheme="majorHAnsi" w:hAnsiTheme="majorHAnsi" w:cs="Arial"/>
          <w:sz w:val="22"/>
          <w:szCs w:val="22"/>
        </w:rPr>
        <w:t xml:space="preserve">particularly </w:t>
      </w:r>
      <w:r w:rsidR="00327F2B">
        <w:rPr>
          <w:rFonts w:asciiTheme="majorHAnsi" w:hAnsiTheme="majorHAnsi" w:cs="Arial"/>
          <w:sz w:val="22"/>
          <w:szCs w:val="22"/>
        </w:rPr>
        <w:t>knowledgeable</w:t>
      </w:r>
      <w:r w:rsidR="00727029">
        <w:rPr>
          <w:rFonts w:asciiTheme="majorHAnsi" w:hAnsiTheme="majorHAnsi" w:cs="Arial"/>
          <w:sz w:val="22"/>
          <w:szCs w:val="22"/>
        </w:rPr>
        <w:t xml:space="preserve"> in this regard cautioned against trying to</w:t>
      </w:r>
      <w:r w:rsidR="00E84901">
        <w:rPr>
          <w:rFonts w:asciiTheme="majorHAnsi" w:hAnsiTheme="majorHAnsi" w:cs="Arial"/>
          <w:sz w:val="22"/>
          <w:szCs w:val="22"/>
        </w:rPr>
        <w:t xml:space="preserve"> develop a generic </w:t>
      </w:r>
      <w:r w:rsidR="00327F2B">
        <w:rPr>
          <w:rFonts w:asciiTheme="majorHAnsi" w:hAnsiTheme="majorHAnsi" w:cs="Arial"/>
          <w:sz w:val="22"/>
          <w:szCs w:val="22"/>
        </w:rPr>
        <w:t xml:space="preserve">one-size-fits-all projects </w:t>
      </w:r>
      <w:proofErr w:type="gramStart"/>
      <w:r w:rsidR="00E84901">
        <w:rPr>
          <w:rFonts w:asciiTheme="majorHAnsi" w:hAnsiTheme="majorHAnsi" w:cs="Arial"/>
          <w:sz w:val="22"/>
          <w:szCs w:val="22"/>
        </w:rPr>
        <w:t>solution</w:t>
      </w:r>
      <w:proofErr w:type="gramEnd"/>
      <w:r w:rsidR="00E84901">
        <w:rPr>
          <w:rFonts w:asciiTheme="majorHAnsi" w:hAnsiTheme="majorHAnsi" w:cs="Arial"/>
          <w:sz w:val="22"/>
          <w:szCs w:val="22"/>
        </w:rPr>
        <w:t xml:space="preserve"> as </w:t>
      </w:r>
      <w:r w:rsidR="00727029">
        <w:rPr>
          <w:rFonts w:asciiTheme="majorHAnsi" w:hAnsiTheme="majorHAnsi" w:cs="Arial"/>
          <w:sz w:val="22"/>
          <w:szCs w:val="22"/>
        </w:rPr>
        <w:t xml:space="preserve">this has not worked in the past. </w:t>
      </w:r>
    </w:p>
    <w:p w14:paraId="2153BA1E" w14:textId="77777777" w:rsidR="00EA663C" w:rsidRPr="0040711B" w:rsidRDefault="00EA663C" w:rsidP="00EA663C">
      <w:pPr>
        <w:rPr>
          <w:rFonts w:ascii="Calibri" w:hAnsi="Calibri"/>
          <w:b/>
          <w:color w:val="3366FF"/>
          <w:sz w:val="22"/>
          <w:szCs w:val="22"/>
        </w:rPr>
      </w:pPr>
    </w:p>
    <w:p w14:paraId="0F52D820" w14:textId="77777777" w:rsidR="00EA663C" w:rsidRPr="0040711B" w:rsidRDefault="00EA663C" w:rsidP="00EA663C">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Sub-component 5e: Mainstreaming Climate Impacts in IW</w:t>
      </w:r>
    </w:p>
    <w:p w14:paraId="3E74B34C" w14:textId="499ACFB9" w:rsidR="004125FD" w:rsidRPr="0040711B" w:rsidRDefault="00290862" w:rsidP="004125FD">
      <w:pPr>
        <w:pBdr>
          <w:top w:val="single" w:sz="4" w:space="1" w:color="auto"/>
          <w:left w:val="single" w:sz="4" w:space="4" w:color="auto"/>
          <w:bottom w:val="single" w:sz="4" w:space="1" w:color="auto"/>
          <w:right w:val="single" w:sz="4" w:space="4" w:color="auto"/>
        </w:pBdr>
        <w:shd w:val="clear" w:color="auto" w:fill="EEECE1"/>
        <w:rPr>
          <w:rFonts w:ascii="Calibri" w:hAnsi="Calibri"/>
          <w:color w:val="3366FF"/>
          <w:sz w:val="22"/>
          <w:szCs w:val="22"/>
        </w:rPr>
      </w:pPr>
      <w:r w:rsidRPr="0040711B">
        <w:rPr>
          <w:rFonts w:ascii="Calibri" w:hAnsi="Calibri"/>
          <w:color w:val="3366FF"/>
          <w:sz w:val="22"/>
          <w:szCs w:val="22"/>
        </w:rPr>
        <w:t>E</w:t>
      </w:r>
      <w:r w:rsidR="004125FD" w:rsidRPr="0040711B">
        <w:rPr>
          <w:rFonts w:ascii="Calibri" w:hAnsi="Calibri"/>
          <w:color w:val="3366FF"/>
          <w:sz w:val="22"/>
          <w:szCs w:val="22"/>
        </w:rPr>
        <w:t xml:space="preserve">xpected </w:t>
      </w:r>
      <w:r w:rsidR="004125FD" w:rsidRPr="0040711B">
        <w:rPr>
          <w:rFonts w:ascii="Calibri" w:hAnsi="Calibri"/>
          <w:b/>
          <w:color w:val="3366FF"/>
          <w:sz w:val="22"/>
          <w:szCs w:val="22"/>
        </w:rPr>
        <w:t>output</w:t>
      </w:r>
      <w:r w:rsidR="004125FD" w:rsidRPr="0040711B">
        <w:rPr>
          <w:rFonts w:ascii="Calibri" w:hAnsi="Calibri"/>
          <w:color w:val="3366FF"/>
          <w:sz w:val="22"/>
          <w:szCs w:val="22"/>
        </w:rPr>
        <w:t xml:space="preserve"> is: Methodology to address climatic variability &amp; change impacts in shared water bodies</w:t>
      </w:r>
    </w:p>
    <w:p w14:paraId="217B64C8" w14:textId="77777777" w:rsidR="00EA663C" w:rsidRPr="0040711B" w:rsidRDefault="00EA663C" w:rsidP="00EA663C">
      <w:pPr>
        <w:autoSpaceDE w:val="0"/>
        <w:autoSpaceDN w:val="0"/>
        <w:adjustRightInd w:val="0"/>
        <w:rPr>
          <w:rFonts w:ascii="Calibri" w:hAnsi="Calibri"/>
          <w:sz w:val="22"/>
          <w:szCs w:val="22"/>
        </w:rPr>
      </w:pPr>
    </w:p>
    <w:p w14:paraId="62A2821C" w14:textId="7C9039AF" w:rsidR="00EC2B6D" w:rsidRPr="00784290" w:rsidRDefault="002B6A43" w:rsidP="003A2A6A">
      <w:pPr>
        <w:jc w:val="both"/>
        <w:rPr>
          <w:rFonts w:asciiTheme="majorHAnsi" w:hAnsiTheme="majorHAnsi"/>
          <w:sz w:val="22"/>
          <w:szCs w:val="22"/>
        </w:rPr>
      </w:pPr>
      <w:r w:rsidRPr="001222DE">
        <w:rPr>
          <w:rFonts w:ascii="Calibri" w:hAnsi="Calibri"/>
          <w:sz w:val="22"/>
          <w:szCs w:val="22"/>
        </w:rPr>
        <w:t xml:space="preserve">Rated as </w:t>
      </w:r>
      <w:r w:rsidR="001222DE" w:rsidRPr="001222DE">
        <w:rPr>
          <w:rFonts w:ascii="Calibri" w:hAnsi="Calibri"/>
          <w:sz w:val="22"/>
          <w:szCs w:val="22"/>
        </w:rPr>
        <w:t xml:space="preserve">currently being </w:t>
      </w:r>
      <w:r w:rsidR="001222DE" w:rsidRPr="001222DE">
        <w:rPr>
          <w:rFonts w:ascii="Calibri" w:hAnsi="Calibri"/>
          <w:b/>
          <w:sz w:val="22"/>
          <w:szCs w:val="22"/>
        </w:rPr>
        <w:t xml:space="preserve">Unsatisfactory. </w:t>
      </w:r>
      <w:r w:rsidR="00312FB1" w:rsidRPr="001222DE">
        <w:rPr>
          <w:rFonts w:ascii="Calibri" w:hAnsi="Calibri"/>
          <w:sz w:val="22"/>
          <w:szCs w:val="22"/>
        </w:rPr>
        <w:t>No progress on this sub-component to date</w:t>
      </w:r>
      <w:r w:rsidR="0079280C" w:rsidRPr="001222DE">
        <w:rPr>
          <w:rFonts w:ascii="Calibri" w:hAnsi="Calibri"/>
          <w:sz w:val="22"/>
          <w:szCs w:val="22"/>
        </w:rPr>
        <w:t xml:space="preserve"> which </w:t>
      </w:r>
      <w:proofErr w:type="gramStart"/>
      <w:r w:rsidR="0079280C" w:rsidRPr="001222DE">
        <w:rPr>
          <w:rFonts w:ascii="Calibri" w:hAnsi="Calibri"/>
          <w:sz w:val="22"/>
          <w:szCs w:val="22"/>
        </w:rPr>
        <w:t xml:space="preserve">is </w:t>
      </w:r>
      <w:r w:rsidR="00312FB1" w:rsidRPr="001222DE">
        <w:rPr>
          <w:rFonts w:ascii="Calibri" w:hAnsi="Calibri"/>
          <w:sz w:val="22"/>
          <w:szCs w:val="22"/>
        </w:rPr>
        <w:t xml:space="preserve"> strongly</w:t>
      </w:r>
      <w:proofErr w:type="gramEnd"/>
      <w:r w:rsidR="00312FB1" w:rsidRPr="001222DE">
        <w:rPr>
          <w:rFonts w:ascii="Calibri" w:hAnsi="Calibri"/>
          <w:sz w:val="22"/>
          <w:szCs w:val="22"/>
        </w:rPr>
        <w:t xml:space="preserve"> linked to TDA-SAP process</w:t>
      </w:r>
      <w:r w:rsidR="001222DE" w:rsidRPr="001222DE">
        <w:rPr>
          <w:rFonts w:ascii="Calibri" w:hAnsi="Calibri"/>
          <w:sz w:val="22"/>
          <w:szCs w:val="22"/>
        </w:rPr>
        <w:t xml:space="preserve"> which is thus dependent upon it for</w:t>
      </w:r>
      <w:r w:rsidR="00727029">
        <w:rPr>
          <w:rFonts w:ascii="Calibri" w:hAnsi="Calibri"/>
          <w:sz w:val="22"/>
          <w:szCs w:val="22"/>
        </w:rPr>
        <w:t xml:space="preserve"> its own eventual</w:t>
      </w:r>
      <w:r w:rsidR="001222DE" w:rsidRPr="001222DE">
        <w:rPr>
          <w:rFonts w:ascii="Calibri" w:hAnsi="Calibri"/>
          <w:sz w:val="22"/>
          <w:szCs w:val="22"/>
        </w:rPr>
        <w:t xml:space="preserve"> success</w:t>
      </w:r>
      <w:r w:rsidR="00312FB1" w:rsidRPr="001222DE">
        <w:rPr>
          <w:rFonts w:ascii="Calibri" w:hAnsi="Calibri"/>
          <w:sz w:val="22"/>
          <w:szCs w:val="22"/>
        </w:rPr>
        <w:t xml:space="preserve">. </w:t>
      </w:r>
      <w:r w:rsidR="00727029">
        <w:rPr>
          <w:rFonts w:ascii="Calibri" w:hAnsi="Calibri"/>
          <w:sz w:val="22"/>
          <w:szCs w:val="22"/>
        </w:rPr>
        <w:t xml:space="preserve"> </w:t>
      </w:r>
      <w:r w:rsidR="00784290">
        <w:rPr>
          <w:rFonts w:ascii="Calibri" w:hAnsi="Calibri"/>
          <w:sz w:val="22"/>
          <w:szCs w:val="22"/>
        </w:rPr>
        <w:t>According</w:t>
      </w:r>
      <w:r w:rsidR="00727029">
        <w:rPr>
          <w:rFonts w:ascii="Calibri" w:hAnsi="Calibri"/>
          <w:sz w:val="22"/>
          <w:szCs w:val="22"/>
        </w:rPr>
        <w:t xml:space="preserve"> to the project workplan this component should have been completed by Q1 2012 and is thus considerably behind schedule.  </w:t>
      </w:r>
      <w:r w:rsidR="00312FB1" w:rsidRPr="001222DE">
        <w:rPr>
          <w:rFonts w:ascii="Calibri" w:hAnsi="Calibri"/>
          <w:sz w:val="22"/>
          <w:szCs w:val="22"/>
        </w:rPr>
        <w:t>A consult</w:t>
      </w:r>
      <w:r w:rsidR="0079280C" w:rsidRPr="001222DE">
        <w:rPr>
          <w:rFonts w:ascii="Calibri" w:hAnsi="Calibri"/>
          <w:sz w:val="22"/>
          <w:szCs w:val="22"/>
        </w:rPr>
        <w:t>ant is to be hired to provide a</w:t>
      </w:r>
      <w:r w:rsidR="00312FB1" w:rsidRPr="001222DE">
        <w:rPr>
          <w:rFonts w:ascii="Calibri" w:hAnsi="Calibri"/>
          <w:sz w:val="22"/>
          <w:szCs w:val="22"/>
        </w:rPr>
        <w:t xml:space="preserve"> synopsis of existing relevant materials that can guide </w:t>
      </w:r>
      <w:r w:rsidR="0079280C" w:rsidRPr="001222DE">
        <w:rPr>
          <w:rFonts w:ascii="Calibri" w:hAnsi="Calibri"/>
          <w:sz w:val="22"/>
          <w:szCs w:val="22"/>
        </w:rPr>
        <w:t xml:space="preserve">IW </w:t>
      </w:r>
      <w:r w:rsidR="00312FB1" w:rsidRPr="001222DE">
        <w:rPr>
          <w:rFonts w:ascii="Calibri" w:hAnsi="Calibri"/>
          <w:sz w:val="22"/>
          <w:szCs w:val="22"/>
        </w:rPr>
        <w:t xml:space="preserve">project formulation and implementation. </w:t>
      </w:r>
      <w:r w:rsidR="0079280C" w:rsidRPr="001222DE">
        <w:rPr>
          <w:rFonts w:ascii="Calibri" w:hAnsi="Calibri"/>
          <w:sz w:val="22"/>
          <w:szCs w:val="22"/>
        </w:rPr>
        <w:t xml:space="preserve"> In this regard the MTE draws attention to the initiative led by GWP-Med under sub-co</w:t>
      </w:r>
      <w:r w:rsidR="00784290">
        <w:rPr>
          <w:rFonts w:ascii="Calibri" w:hAnsi="Calibri"/>
          <w:sz w:val="22"/>
          <w:szCs w:val="22"/>
        </w:rPr>
        <w:t>mponent 1b. In order to utilise</w:t>
      </w:r>
      <w:r w:rsidR="0079280C" w:rsidRPr="001222DE">
        <w:rPr>
          <w:rFonts w:ascii="Calibri" w:hAnsi="Calibri"/>
          <w:sz w:val="22"/>
          <w:szCs w:val="22"/>
        </w:rPr>
        <w:t xml:space="preserve"> the extensive experience developed by </w:t>
      </w:r>
      <w:r w:rsidR="0079280C" w:rsidRPr="001222DE">
        <w:rPr>
          <w:rFonts w:asciiTheme="majorHAnsi" w:hAnsiTheme="majorHAnsi"/>
          <w:sz w:val="22"/>
          <w:szCs w:val="22"/>
        </w:rPr>
        <w:t xml:space="preserve">UNECE </w:t>
      </w:r>
      <w:r w:rsidR="009D1AA1" w:rsidRPr="001222DE">
        <w:rPr>
          <w:rFonts w:asciiTheme="majorHAnsi" w:hAnsiTheme="majorHAnsi"/>
          <w:sz w:val="22"/>
          <w:szCs w:val="22"/>
        </w:rPr>
        <w:t xml:space="preserve">at the </w:t>
      </w:r>
      <w:r w:rsidR="0079280C" w:rsidRPr="001222DE">
        <w:rPr>
          <w:rFonts w:asciiTheme="majorHAnsi" w:hAnsiTheme="majorHAnsi"/>
          <w:sz w:val="22"/>
          <w:szCs w:val="22"/>
        </w:rPr>
        <w:t xml:space="preserve">“Second Workshop on water and adaptation to climate change in transboundary basins” </w:t>
      </w:r>
      <w:r w:rsidR="009D1AA1" w:rsidRPr="001222DE">
        <w:rPr>
          <w:rFonts w:asciiTheme="majorHAnsi" w:hAnsiTheme="majorHAnsi"/>
          <w:sz w:val="22"/>
          <w:szCs w:val="22"/>
        </w:rPr>
        <w:t xml:space="preserve">UNECE worked with selected </w:t>
      </w:r>
      <w:proofErr w:type="gramStart"/>
      <w:r w:rsidR="009D1AA1" w:rsidRPr="001222DE">
        <w:rPr>
          <w:rFonts w:asciiTheme="majorHAnsi" w:hAnsiTheme="majorHAnsi"/>
          <w:sz w:val="22"/>
          <w:szCs w:val="22"/>
        </w:rPr>
        <w:t>participants  from</w:t>
      </w:r>
      <w:proofErr w:type="gramEnd"/>
      <w:r w:rsidR="009D1AA1" w:rsidRPr="001222DE">
        <w:rPr>
          <w:rFonts w:asciiTheme="majorHAnsi" w:hAnsiTheme="majorHAnsi"/>
          <w:sz w:val="22"/>
          <w:szCs w:val="22"/>
        </w:rPr>
        <w:t xml:space="preserve"> </w:t>
      </w:r>
      <w:r w:rsidR="0079280C" w:rsidRPr="001222DE">
        <w:rPr>
          <w:rFonts w:asciiTheme="majorHAnsi" w:hAnsiTheme="majorHAnsi"/>
          <w:sz w:val="22"/>
          <w:szCs w:val="22"/>
        </w:rPr>
        <w:t xml:space="preserve">SEE and MENA countries </w:t>
      </w:r>
      <w:r w:rsidR="009D1AA1" w:rsidRPr="001222DE">
        <w:rPr>
          <w:rFonts w:asciiTheme="majorHAnsi" w:hAnsiTheme="majorHAnsi"/>
          <w:sz w:val="22"/>
          <w:szCs w:val="22"/>
        </w:rPr>
        <w:t>to share</w:t>
      </w:r>
      <w:r w:rsidR="0079280C" w:rsidRPr="001222DE">
        <w:rPr>
          <w:rFonts w:asciiTheme="majorHAnsi" w:hAnsiTheme="majorHAnsi"/>
          <w:sz w:val="22"/>
          <w:szCs w:val="22"/>
        </w:rPr>
        <w:t xml:space="preserve"> these experiences aiming to facilitate their transfer after adaptation to the specific realities in the sout</w:t>
      </w:r>
      <w:r w:rsidR="009D1AA1" w:rsidRPr="001222DE">
        <w:rPr>
          <w:rFonts w:asciiTheme="majorHAnsi" w:hAnsiTheme="majorHAnsi"/>
          <w:sz w:val="22"/>
          <w:szCs w:val="22"/>
        </w:rPr>
        <w:t>h and east part of the Med</w:t>
      </w:r>
      <w:r w:rsidR="00727029">
        <w:rPr>
          <w:rFonts w:asciiTheme="majorHAnsi" w:hAnsiTheme="majorHAnsi"/>
          <w:sz w:val="22"/>
          <w:szCs w:val="22"/>
        </w:rPr>
        <w:t xml:space="preserve">iterranean </w:t>
      </w:r>
      <w:r w:rsidR="009D1AA1" w:rsidRPr="001222DE">
        <w:rPr>
          <w:rFonts w:asciiTheme="majorHAnsi" w:hAnsiTheme="majorHAnsi"/>
          <w:sz w:val="22"/>
          <w:szCs w:val="22"/>
        </w:rPr>
        <w:t xml:space="preserve">area. </w:t>
      </w:r>
    </w:p>
    <w:p w14:paraId="20AD5101" w14:textId="32CAF17B" w:rsidR="001B4338" w:rsidRPr="001B4338" w:rsidRDefault="00EC2B6D" w:rsidP="001B4338">
      <w:pPr>
        <w:pStyle w:val="Heading3"/>
      </w:pPr>
      <w:bookmarkStart w:id="52" w:name="_Toc222479143"/>
      <w:r w:rsidRPr="00EC2B6D">
        <w:t>Relevance</w:t>
      </w:r>
      <w:bookmarkEnd w:id="52"/>
      <w:r w:rsidRPr="00EC2B6D">
        <w:t xml:space="preserve"> </w:t>
      </w:r>
    </w:p>
    <w:p w14:paraId="3540C5F9" w14:textId="1A34C756" w:rsidR="00EC2B6D" w:rsidRDefault="00DD67A9" w:rsidP="003A2A6A">
      <w:pPr>
        <w:jc w:val="both"/>
        <w:rPr>
          <w:rFonts w:asciiTheme="majorHAnsi" w:hAnsiTheme="majorHAnsi"/>
          <w:sz w:val="22"/>
          <w:szCs w:val="22"/>
        </w:rPr>
      </w:pPr>
      <w:r>
        <w:rPr>
          <w:rFonts w:asciiTheme="majorHAnsi" w:hAnsiTheme="majorHAnsi"/>
          <w:sz w:val="22"/>
          <w:szCs w:val="22"/>
        </w:rPr>
        <w:t xml:space="preserve">This aspect of the project is </w:t>
      </w:r>
      <w:r w:rsidR="00791F44" w:rsidRPr="00791F44">
        <w:rPr>
          <w:rFonts w:asciiTheme="majorHAnsi" w:hAnsiTheme="majorHAnsi"/>
          <w:sz w:val="22"/>
          <w:szCs w:val="22"/>
        </w:rPr>
        <w:t xml:space="preserve">assessed by the MTE to be </w:t>
      </w:r>
      <w:proofErr w:type="gramStart"/>
      <w:r w:rsidR="00791F44" w:rsidRPr="00791F44">
        <w:rPr>
          <w:rFonts w:asciiTheme="majorHAnsi" w:hAnsiTheme="majorHAnsi"/>
          <w:b/>
          <w:sz w:val="22"/>
          <w:szCs w:val="22"/>
        </w:rPr>
        <w:t>Highly</w:t>
      </w:r>
      <w:proofErr w:type="gramEnd"/>
      <w:r w:rsidR="00791F44" w:rsidRPr="00791F44">
        <w:rPr>
          <w:rFonts w:asciiTheme="majorHAnsi" w:hAnsiTheme="majorHAnsi"/>
          <w:b/>
          <w:sz w:val="22"/>
          <w:szCs w:val="22"/>
        </w:rPr>
        <w:t xml:space="preserve"> Satisfactory</w:t>
      </w:r>
      <w:r w:rsidR="00791F44">
        <w:rPr>
          <w:rFonts w:asciiTheme="majorHAnsi" w:hAnsiTheme="majorHAnsi"/>
          <w:b/>
          <w:sz w:val="22"/>
          <w:szCs w:val="22"/>
        </w:rPr>
        <w:t xml:space="preserve">. </w:t>
      </w:r>
      <w:r w:rsidR="00784290">
        <w:rPr>
          <w:rFonts w:asciiTheme="majorHAnsi" w:hAnsiTheme="majorHAnsi"/>
          <w:sz w:val="22"/>
          <w:szCs w:val="22"/>
        </w:rPr>
        <w:t xml:space="preserve">The project design, </w:t>
      </w:r>
      <w:r w:rsidR="00EC2B6D" w:rsidRPr="001222DE">
        <w:rPr>
          <w:rFonts w:asciiTheme="majorHAnsi" w:hAnsiTheme="majorHAnsi"/>
          <w:sz w:val="22"/>
          <w:szCs w:val="22"/>
        </w:rPr>
        <w:t>activities undertaken and results obtained are highly relevant to the stipulated project goal and objective</w:t>
      </w:r>
      <w:r w:rsidR="00F36F49">
        <w:rPr>
          <w:rFonts w:asciiTheme="majorHAnsi" w:hAnsiTheme="majorHAnsi"/>
          <w:sz w:val="22"/>
          <w:szCs w:val="22"/>
        </w:rPr>
        <w:t xml:space="preserve">, </w:t>
      </w:r>
      <w:r w:rsidR="00EC2B6D" w:rsidRPr="001222DE">
        <w:rPr>
          <w:rFonts w:asciiTheme="majorHAnsi" w:hAnsiTheme="majorHAnsi"/>
          <w:sz w:val="22"/>
          <w:szCs w:val="22"/>
        </w:rPr>
        <w:t xml:space="preserve">providing as they do divers opportunities for IW portfolio personnel most </w:t>
      </w:r>
      <w:r w:rsidR="002C1458">
        <w:rPr>
          <w:rFonts w:asciiTheme="majorHAnsi" w:hAnsiTheme="majorHAnsi"/>
          <w:sz w:val="22"/>
          <w:szCs w:val="22"/>
        </w:rPr>
        <w:t xml:space="preserve">particularly project managers, </w:t>
      </w:r>
      <w:r w:rsidR="00EC2B6D" w:rsidRPr="001222DE">
        <w:rPr>
          <w:rFonts w:asciiTheme="majorHAnsi" w:hAnsiTheme="majorHAnsi"/>
          <w:sz w:val="22"/>
          <w:szCs w:val="22"/>
        </w:rPr>
        <w:t>to interact with each other and m</w:t>
      </w:r>
      <w:r>
        <w:rPr>
          <w:rFonts w:asciiTheme="majorHAnsi" w:hAnsiTheme="majorHAnsi"/>
          <w:sz w:val="22"/>
          <w:szCs w:val="22"/>
        </w:rPr>
        <w:t xml:space="preserve">embers of the broader relevant </w:t>
      </w:r>
      <w:r w:rsidR="00EC2B6D" w:rsidRPr="001222DE">
        <w:rPr>
          <w:rFonts w:asciiTheme="majorHAnsi" w:hAnsiTheme="majorHAnsi"/>
          <w:sz w:val="22"/>
          <w:szCs w:val="22"/>
        </w:rPr>
        <w:t>management and scientific communities and by so doing</w:t>
      </w:r>
      <w:r w:rsidR="002C1458">
        <w:rPr>
          <w:rFonts w:asciiTheme="majorHAnsi" w:hAnsiTheme="majorHAnsi"/>
          <w:sz w:val="22"/>
          <w:szCs w:val="22"/>
        </w:rPr>
        <w:t xml:space="preserve">; </w:t>
      </w:r>
      <w:r w:rsidR="00EC2B6D" w:rsidRPr="001222DE">
        <w:rPr>
          <w:rFonts w:asciiTheme="majorHAnsi" w:hAnsiTheme="majorHAnsi"/>
          <w:sz w:val="22"/>
          <w:szCs w:val="22"/>
        </w:rPr>
        <w:t>assist established and new projects in acquiring relevant knowledge related to transboundary waters management</w:t>
      </w:r>
      <w:r w:rsidR="002C1458">
        <w:rPr>
          <w:rFonts w:asciiTheme="majorHAnsi" w:hAnsiTheme="majorHAnsi"/>
          <w:sz w:val="22"/>
          <w:szCs w:val="22"/>
        </w:rPr>
        <w:t xml:space="preserve">; aid in </w:t>
      </w:r>
      <w:r w:rsidR="00EC2B6D" w:rsidRPr="001222DE">
        <w:rPr>
          <w:rFonts w:asciiTheme="majorHAnsi" w:hAnsiTheme="majorHAnsi"/>
          <w:sz w:val="22"/>
          <w:szCs w:val="22"/>
        </w:rPr>
        <w:t>project design and implementation; enhance the understanding and application of GEF IW experiences across the portfolio to produce better quality project results;  facilitate the replication and up</w:t>
      </w:r>
      <w:r>
        <w:rPr>
          <w:rFonts w:asciiTheme="majorHAnsi" w:hAnsiTheme="majorHAnsi"/>
          <w:sz w:val="22"/>
          <w:szCs w:val="22"/>
        </w:rPr>
        <w:t>-</w:t>
      </w:r>
      <w:r w:rsidR="00EC2B6D" w:rsidRPr="001222DE">
        <w:rPr>
          <w:rFonts w:asciiTheme="majorHAnsi" w:hAnsiTheme="majorHAnsi"/>
          <w:sz w:val="22"/>
          <w:szCs w:val="22"/>
        </w:rPr>
        <w:t xml:space="preserve">scaling of good practices in transboundary waters management resulting in less costs and improved capacity to address transboundary concerns and finally ensure that insights generated through project interventions are shared and add value to the portfolio and beyond. </w:t>
      </w:r>
    </w:p>
    <w:p w14:paraId="3650C25D" w14:textId="77777777" w:rsidR="00784290" w:rsidRPr="001222DE" w:rsidRDefault="00784290" w:rsidP="00784290">
      <w:pPr>
        <w:spacing w:after="60"/>
        <w:jc w:val="both"/>
        <w:rPr>
          <w:rFonts w:asciiTheme="majorHAnsi" w:hAnsiTheme="majorHAnsi"/>
          <w:sz w:val="22"/>
          <w:szCs w:val="22"/>
        </w:rPr>
      </w:pPr>
    </w:p>
    <w:p w14:paraId="10F7B95A" w14:textId="7861FB07" w:rsidR="00EC2B6D" w:rsidRDefault="00EC2B6D" w:rsidP="004D767E">
      <w:pPr>
        <w:spacing w:after="60"/>
        <w:jc w:val="both"/>
        <w:rPr>
          <w:rFonts w:asciiTheme="majorHAnsi" w:hAnsiTheme="majorHAnsi"/>
          <w:sz w:val="22"/>
          <w:szCs w:val="22"/>
        </w:rPr>
      </w:pPr>
      <w:r w:rsidRPr="001222DE">
        <w:rPr>
          <w:rFonts w:asciiTheme="majorHAnsi" w:hAnsiTheme="majorHAnsi"/>
          <w:sz w:val="22"/>
          <w:szCs w:val="22"/>
        </w:rPr>
        <w:t>Virtually all respondents to this and previous IW Learn project evaluations have recognised the need for and value of the core activities supported by IW LEARN.  The IW Portfolio is a dynamic ever evolving programme and personnel most especially project managers and other project staff are transient. It is rare for a Project manager or a project staff member to be directly involved with more than one IW project.  The knowledge management services provided by IW Learn are thus critical if maximum advantage is to be gained from the considerable investments made by GEF in the past</w:t>
      </w:r>
      <w:r w:rsidR="00784290">
        <w:rPr>
          <w:rFonts w:asciiTheme="majorHAnsi" w:hAnsiTheme="majorHAnsi"/>
          <w:sz w:val="22"/>
          <w:szCs w:val="22"/>
        </w:rPr>
        <w:t xml:space="preserve"> and </w:t>
      </w:r>
      <w:r w:rsidRPr="001222DE">
        <w:rPr>
          <w:rFonts w:asciiTheme="majorHAnsi" w:hAnsiTheme="majorHAnsi"/>
          <w:sz w:val="22"/>
          <w:szCs w:val="22"/>
        </w:rPr>
        <w:t xml:space="preserve">those it will make in the future.  </w:t>
      </w:r>
    </w:p>
    <w:p w14:paraId="2A19EC27" w14:textId="6A04BC81" w:rsidR="00EC2B6D" w:rsidRPr="00F36F49" w:rsidRDefault="00F36F49" w:rsidP="00F36F49">
      <w:pPr>
        <w:spacing w:after="60"/>
        <w:jc w:val="both"/>
        <w:rPr>
          <w:rFonts w:asciiTheme="majorHAnsi" w:hAnsiTheme="majorHAnsi"/>
          <w:sz w:val="22"/>
          <w:szCs w:val="22"/>
        </w:rPr>
      </w:pPr>
      <w:r>
        <w:rPr>
          <w:rFonts w:asciiTheme="majorHAnsi" w:hAnsiTheme="majorHAnsi"/>
          <w:sz w:val="22"/>
          <w:szCs w:val="22"/>
        </w:rPr>
        <w:t xml:space="preserve">The project aligns with and is relevant to GEF5 International Waters strategic objective number 5 </w:t>
      </w:r>
      <w:r w:rsidRPr="002C1458">
        <w:rPr>
          <w:rFonts w:asciiTheme="majorHAnsi" w:hAnsiTheme="majorHAnsi"/>
          <w:i/>
          <w:sz w:val="22"/>
          <w:szCs w:val="22"/>
        </w:rPr>
        <w:t>‘Support foundational capacity building, portfolio learning and targeted research needs for ecosystem based joint management of transboundary water systems</w:t>
      </w:r>
      <w:r>
        <w:rPr>
          <w:rFonts w:asciiTheme="majorHAnsi" w:hAnsiTheme="majorHAnsi"/>
          <w:sz w:val="22"/>
          <w:szCs w:val="22"/>
        </w:rPr>
        <w:t>.’ It also form</w:t>
      </w:r>
      <w:r w:rsidR="002C1458">
        <w:rPr>
          <w:rFonts w:asciiTheme="majorHAnsi" w:hAnsiTheme="majorHAnsi"/>
          <w:sz w:val="22"/>
          <w:szCs w:val="22"/>
        </w:rPr>
        <w:t>s</w:t>
      </w:r>
      <w:r>
        <w:rPr>
          <w:rFonts w:asciiTheme="majorHAnsi" w:hAnsiTheme="majorHAnsi"/>
          <w:sz w:val="22"/>
          <w:szCs w:val="22"/>
        </w:rPr>
        <w:t xml:space="preserve"> a key element in the GEF Knowledge Management Initiative. </w:t>
      </w:r>
    </w:p>
    <w:p w14:paraId="16095E37" w14:textId="0F4450C0" w:rsidR="00CF180B" w:rsidRDefault="00540CD7" w:rsidP="00610F8B">
      <w:pPr>
        <w:pStyle w:val="Heading3"/>
      </w:pPr>
      <w:bookmarkStart w:id="53" w:name="_Toc320280636"/>
      <w:bookmarkStart w:id="54" w:name="_Toc341527042"/>
      <w:bookmarkStart w:id="55" w:name="_Toc222479144"/>
      <w:r w:rsidRPr="007D1C06">
        <w:t>Effectiveness</w:t>
      </w:r>
      <w:bookmarkEnd w:id="53"/>
      <w:bookmarkEnd w:id="54"/>
      <w:r w:rsidR="005E2CAB">
        <w:t xml:space="preserve"> – achievement against Outcome indicators</w:t>
      </w:r>
      <w:bookmarkEnd w:id="55"/>
      <w:r w:rsidR="005E2CAB">
        <w:t xml:space="preserve"> </w:t>
      </w:r>
    </w:p>
    <w:p w14:paraId="026CD17F" w14:textId="10E8ED76" w:rsidR="00610F8B" w:rsidRDefault="00CF180B" w:rsidP="003A2A6A">
      <w:pPr>
        <w:jc w:val="both"/>
        <w:rPr>
          <w:rFonts w:asciiTheme="majorHAnsi" w:hAnsiTheme="majorHAnsi"/>
          <w:sz w:val="22"/>
          <w:szCs w:val="22"/>
        </w:rPr>
      </w:pPr>
      <w:r w:rsidRPr="002C1458">
        <w:rPr>
          <w:rFonts w:asciiTheme="majorHAnsi" w:hAnsiTheme="majorHAnsi"/>
          <w:sz w:val="22"/>
          <w:szCs w:val="22"/>
        </w:rPr>
        <w:t>The project has delivered significant results during its first half of implementation and it is expected that this progress will continue in the second half provided shortcomings of certain components discussed elsewhere in this report are addressed</w:t>
      </w:r>
      <w:r w:rsidR="001222DE" w:rsidRPr="002C1458">
        <w:rPr>
          <w:rFonts w:asciiTheme="majorHAnsi" w:hAnsiTheme="majorHAnsi"/>
          <w:sz w:val="22"/>
          <w:szCs w:val="22"/>
        </w:rPr>
        <w:t xml:space="preserve">.  </w:t>
      </w:r>
      <w:r w:rsidR="002C1458" w:rsidRPr="002C1458">
        <w:rPr>
          <w:rFonts w:asciiTheme="majorHAnsi" w:hAnsiTheme="majorHAnsi"/>
          <w:sz w:val="22"/>
          <w:szCs w:val="22"/>
        </w:rPr>
        <w:t xml:space="preserve">Unfortunately what is missing in spite of </w:t>
      </w:r>
      <w:r w:rsidR="00190194">
        <w:rPr>
          <w:rFonts w:asciiTheme="majorHAnsi" w:hAnsiTheme="majorHAnsi"/>
          <w:sz w:val="22"/>
          <w:szCs w:val="22"/>
        </w:rPr>
        <w:t xml:space="preserve">their development </w:t>
      </w:r>
      <w:r w:rsidR="002C1458" w:rsidRPr="002C1458">
        <w:rPr>
          <w:rFonts w:asciiTheme="majorHAnsi" w:hAnsiTheme="majorHAnsi"/>
          <w:sz w:val="22"/>
          <w:szCs w:val="22"/>
        </w:rPr>
        <w:t xml:space="preserve">being </w:t>
      </w:r>
      <w:r w:rsidR="00190194">
        <w:rPr>
          <w:rFonts w:asciiTheme="majorHAnsi" w:hAnsiTheme="majorHAnsi"/>
          <w:sz w:val="22"/>
          <w:szCs w:val="22"/>
        </w:rPr>
        <w:t xml:space="preserve">required as per </w:t>
      </w:r>
      <w:r w:rsidR="002C1458" w:rsidRPr="002C1458">
        <w:rPr>
          <w:rFonts w:asciiTheme="majorHAnsi" w:hAnsiTheme="majorHAnsi"/>
          <w:sz w:val="22"/>
          <w:szCs w:val="22"/>
        </w:rPr>
        <w:t>the project documents and</w:t>
      </w:r>
      <w:r w:rsidR="00190194">
        <w:rPr>
          <w:rFonts w:asciiTheme="majorHAnsi" w:hAnsiTheme="majorHAnsi"/>
          <w:sz w:val="22"/>
          <w:szCs w:val="22"/>
        </w:rPr>
        <w:t xml:space="preserve"> in the</w:t>
      </w:r>
      <w:r w:rsidR="002C1458" w:rsidRPr="002C1458">
        <w:rPr>
          <w:rFonts w:asciiTheme="majorHAnsi" w:hAnsiTheme="majorHAnsi"/>
          <w:sz w:val="22"/>
          <w:szCs w:val="22"/>
        </w:rPr>
        <w:t xml:space="preserve"> Inception report </w:t>
      </w:r>
      <w:proofErr w:type="gramStart"/>
      <w:r w:rsidR="002C1458" w:rsidRPr="002C1458">
        <w:rPr>
          <w:rFonts w:asciiTheme="majorHAnsi" w:hAnsiTheme="majorHAnsi"/>
          <w:sz w:val="22"/>
          <w:szCs w:val="22"/>
        </w:rPr>
        <w:t>are</w:t>
      </w:r>
      <w:proofErr w:type="gramEnd"/>
      <w:r w:rsidR="002C1458" w:rsidRPr="002C1458">
        <w:rPr>
          <w:rFonts w:asciiTheme="majorHAnsi" w:hAnsiTheme="majorHAnsi"/>
          <w:sz w:val="22"/>
          <w:szCs w:val="22"/>
        </w:rPr>
        <w:t xml:space="preserve"> mid-term indicators.  These should have been developed at the inception meeting but were overlooked.  </w:t>
      </w:r>
      <w:r w:rsidR="002C1458">
        <w:rPr>
          <w:rFonts w:asciiTheme="majorHAnsi" w:hAnsiTheme="majorHAnsi"/>
          <w:sz w:val="22"/>
          <w:szCs w:val="22"/>
        </w:rPr>
        <w:t>O</w:t>
      </w:r>
      <w:r w:rsidR="001222DE" w:rsidRPr="001222DE">
        <w:rPr>
          <w:rFonts w:asciiTheme="majorHAnsi" w:hAnsiTheme="majorHAnsi"/>
          <w:sz w:val="22"/>
          <w:szCs w:val="22"/>
        </w:rPr>
        <w:t xml:space="preserve">verall the project is assessed to be </w:t>
      </w:r>
      <w:r w:rsidR="001222DE" w:rsidRPr="001222DE">
        <w:rPr>
          <w:rFonts w:asciiTheme="majorHAnsi" w:hAnsiTheme="majorHAnsi"/>
          <w:b/>
          <w:sz w:val="22"/>
          <w:szCs w:val="22"/>
        </w:rPr>
        <w:t>Moderately Satisfactory</w:t>
      </w:r>
      <w:r w:rsidR="002C1458">
        <w:rPr>
          <w:rFonts w:asciiTheme="majorHAnsi" w:hAnsiTheme="majorHAnsi"/>
          <w:b/>
          <w:sz w:val="22"/>
          <w:szCs w:val="22"/>
        </w:rPr>
        <w:t xml:space="preserve"> </w:t>
      </w:r>
      <w:r w:rsidR="002C1458" w:rsidRPr="002C1458">
        <w:rPr>
          <w:rFonts w:asciiTheme="majorHAnsi" w:hAnsiTheme="majorHAnsi"/>
          <w:sz w:val="22"/>
          <w:szCs w:val="22"/>
        </w:rPr>
        <w:t>w</w:t>
      </w:r>
      <w:r w:rsidR="001222DE" w:rsidRPr="002C1458">
        <w:rPr>
          <w:rFonts w:asciiTheme="majorHAnsi" w:hAnsiTheme="majorHAnsi"/>
          <w:sz w:val="22"/>
          <w:szCs w:val="22"/>
        </w:rPr>
        <w:t>i</w:t>
      </w:r>
      <w:r w:rsidR="001222DE" w:rsidRPr="001222DE">
        <w:rPr>
          <w:rFonts w:asciiTheme="majorHAnsi" w:hAnsiTheme="majorHAnsi"/>
          <w:sz w:val="22"/>
          <w:szCs w:val="22"/>
        </w:rPr>
        <w:t xml:space="preserve">th respect to effectiveness of project implementation. </w:t>
      </w:r>
    </w:p>
    <w:p w14:paraId="691315B1" w14:textId="77777777" w:rsidR="002C1458" w:rsidRDefault="002C1458" w:rsidP="0003453B">
      <w:pPr>
        <w:ind w:right="-74"/>
        <w:jc w:val="both"/>
        <w:rPr>
          <w:rFonts w:asciiTheme="majorHAnsi" w:hAnsiTheme="majorHAnsi"/>
          <w:sz w:val="22"/>
          <w:szCs w:val="22"/>
          <w:highlight w:val="yellow"/>
        </w:rPr>
      </w:pPr>
    </w:p>
    <w:p w14:paraId="5ED23B60" w14:textId="12504AF7" w:rsidR="00FD6656" w:rsidRPr="001222DE" w:rsidRDefault="00DD67A9" w:rsidP="0003453B">
      <w:pPr>
        <w:ind w:right="-74"/>
        <w:jc w:val="both"/>
        <w:rPr>
          <w:rFonts w:asciiTheme="majorHAnsi" w:hAnsiTheme="majorHAnsi"/>
          <w:sz w:val="22"/>
          <w:szCs w:val="22"/>
        </w:rPr>
      </w:pPr>
      <w:r w:rsidRPr="00DD67A9">
        <w:rPr>
          <w:rFonts w:asciiTheme="majorHAnsi" w:hAnsiTheme="majorHAnsi"/>
          <w:sz w:val="22"/>
          <w:szCs w:val="22"/>
        </w:rPr>
        <w:t>Table 1</w:t>
      </w:r>
      <w:r>
        <w:rPr>
          <w:rFonts w:asciiTheme="majorHAnsi" w:hAnsiTheme="majorHAnsi"/>
          <w:sz w:val="22"/>
          <w:szCs w:val="22"/>
        </w:rPr>
        <w:t xml:space="preserve"> below provides</w:t>
      </w:r>
      <w:r w:rsidR="00E00935" w:rsidRPr="001222DE">
        <w:rPr>
          <w:rFonts w:asciiTheme="majorHAnsi" w:hAnsiTheme="majorHAnsi"/>
          <w:sz w:val="22"/>
          <w:szCs w:val="22"/>
        </w:rPr>
        <w:t xml:space="preserve"> a </w:t>
      </w:r>
      <w:r w:rsidR="00327F2B">
        <w:rPr>
          <w:rFonts w:asciiTheme="majorHAnsi" w:hAnsiTheme="majorHAnsi"/>
          <w:sz w:val="22"/>
          <w:szCs w:val="22"/>
        </w:rPr>
        <w:t xml:space="preserve">summary </w:t>
      </w:r>
      <w:r w:rsidR="00E00935" w:rsidRPr="001222DE">
        <w:rPr>
          <w:rFonts w:asciiTheme="majorHAnsi" w:hAnsiTheme="majorHAnsi"/>
          <w:sz w:val="22"/>
          <w:szCs w:val="22"/>
        </w:rPr>
        <w:t>of progress toward achieving the stated project</w:t>
      </w:r>
      <w:r w:rsidR="002C1458">
        <w:rPr>
          <w:rFonts w:asciiTheme="majorHAnsi" w:hAnsiTheme="majorHAnsi"/>
          <w:sz w:val="22"/>
          <w:szCs w:val="22"/>
        </w:rPr>
        <w:t xml:space="preserve"> outcome</w:t>
      </w:r>
      <w:r w:rsidR="00E00935" w:rsidRPr="001222DE">
        <w:rPr>
          <w:rFonts w:asciiTheme="majorHAnsi" w:hAnsiTheme="majorHAnsi"/>
          <w:sz w:val="22"/>
          <w:szCs w:val="22"/>
        </w:rPr>
        <w:t xml:space="preserve"> </w:t>
      </w:r>
      <w:r w:rsidR="00652969" w:rsidRPr="001222DE">
        <w:rPr>
          <w:rFonts w:asciiTheme="majorHAnsi" w:hAnsiTheme="majorHAnsi"/>
          <w:sz w:val="22"/>
          <w:szCs w:val="22"/>
        </w:rPr>
        <w:t>indicator targets</w:t>
      </w:r>
      <w:r w:rsidR="00E00935" w:rsidRPr="001222DE">
        <w:rPr>
          <w:rFonts w:asciiTheme="majorHAnsi" w:hAnsiTheme="majorHAnsi"/>
          <w:sz w:val="22"/>
          <w:szCs w:val="22"/>
        </w:rPr>
        <w:t xml:space="preserve"> as a result of activities and </w:t>
      </w:r>
      <w:r w:rsidR="00652969" w:rsidRPr="001222DE">
        <w:rPr>
          <w:rFonts w:asciiTheme="majorHAnsi" w:hAnsiTheme="majorHAnsi"/>
          <w:sz w:val="22"/>
          <w:szCs w:val="22"/>
        </w:rPr>
        <w:t xml:space="preserve">outputs </w:t>
      </w:r>
      <w:r w:rsidR="00E00935" w:rsidRPr="001222DE">
        <w:rPr>
          <w:rFonts w:asciiTheme="majorHAnsi" w:hAnsiTheme="majorHAnsi"/>
          <w:sz w:val="22"/>
          <w:szCs w:val="22"/>
        </w:rPr>
        <w:t>accomplished to date</w:t>
      </w:r>
      <w:r w:rsidR="00652969" w:rsidRPr="001222DE">
        <w:rPr>
          <w:rFonts w:asciiTheme="majorHAnsi" w:hAnsiTheme="majorHAnsi"/>
          <w:sz w:val="22"/>
          <w:szCs w:val="22"/>
        </w:rPr>
        <w:t xml:space="preserve"> </w:t>
      </w:r>
      <w:r w:rsidR="001B75C1" w:rsidRPr="001222DE">
        <w:rPr>
          <w:rFonts w:asciiTheme="majorHAnsi" w:hAnsiTheme="majorHAnsi"/>
          <w:sz w:val="22"/>
          <w:szCs w:val="22"/>
        </w:rPr>
        <w:t>discussed earlier in this report</w:t>
      </w:r>
      <w:r w:rsidR="00652969" w:rsidRPr="001222DE">
        <w:rPr>
          <w:rFonts w:asciiTheme="majorHAnsi" w:hAnsiTheme="majorHAnsi"/>
          <w:sz w:val="22"/>
          <w:szCs w:val="22"/>
        </w:rPr>
        <w:t xml:space="preserve">. Based on this </w:t>
      </w:r>
      <w:r w:rsidR="00874BAE" w:rsidRPr="001222DE">
        <w:rPr>
          <w:rFonts w:asciiTheme="majorHAnsi" w:hAnsiTheme="majorHAnsi"/>
          <w:sz w:val="22"/>
          <w:szCs w:val="22"/>
        </w:rPr>
        <w:t>the</w:t>
      </w:r>
      <w:r w:rsidR="00652969" w:rsidRPr="001222DE">
        <w:rPr>
          <w:rFonts w:asciiTheme="majorHAnsi" w:hAnsiTheme="majorHAnsi"/>
          <w:sz w:val="22"/>
          <w:szCs w:val="22"/>
        </w:rPr>
        <w:t xml:space="preserve"> MTE has </w:t>
      </w:r>
      <w:proofErr w:type="gramStart"/>
      <w:r w:rsidR="00652969" w:rsidRPr="001222DE">
        <w:rPr>
          <w:rFonts w:asciiTheme="majorHAnsi" w:hAnsiTheme="majorHAnsi"/>
          <w:sz w:val="22"/>
          <w:szCs w:val="22"/>
        </w:rPr>
        <w:t>rated</w:t>
      </w:r>
      <w:r w:rsidR="00CF180B" w:rsidRPr="001222DE">
        <w:rPr>
          <w:rFonts w:asciiTheme="majorHAnsi" w:hAnsiTheme="majorHAnsi"/>
          <w:sz w:val="22"/>
          <w:szCs w:val="22"/>
        </w:rPr>
        <w:t xml:space="preserve"> </w:t>
      </w:r>
      <w:r w:rsidR="00652969" w:rsidRPr="001222DE">
        <w:rPr>
          <w:rFonts w:asciiTheme="majorHAnsi" w:hAnsiTheme="majorHAnsi"/>
          <w:sz w:val="22"/>
          <w:szCs w:val="22"/>
        </w:rPr>
        <w:t xml:space="preserve"> each</w:t>
      </w:r>
      <w:proofErr w:type="gramEnd"/>
      <w:r w:rsidR="00652969" w:rsidRPr="001222DE">
        <w:rPr>
          <w:rFonts w:asciiTheme="majorHAnsi" w:hAnsiTheme="majorHAnsi"/>
          <w:sz w:val="22"/>
          <w:szCs w:val="22"/>
        </w:rPr>
        <w:t xml:space="preserve"> of the project components in term of effectiveness </w:t>
      </w:r>
      <w:r w:rsidR="001B75C1" w:rsidRPr="001222DE">
        <w:rPr>
          <w:rFonts w:asciiTheme="majorHAnsi" w:hAnsiTheme="majorHAnsi"/>
          <w:sz w:val="22"/>
          <w:szCs w:val="22"/>
        </w:rPr>
        <w:t>of</w:t>
      </w:r>
      <w:r w:rsidR="00795C90" w:rsidRPr="001222DE">
        <w:rPr>
          <w:rFonts w:asciiTheme="majorHAnsi" w:hAnsiTheme="majorHAnsi"/>
          <w:sz w:val="22"/>
          <w:szCs w:val="22"/>
        </w:rPr>
        <w:t xml:space="preserve"> progress toward meeting targets as </w:t>
      </w:r>
      <w:r w:rsidR="00652969" w:rsidRPr="001222DE">
        <w:rPr>
          <w:rFonts w:asciiTheme="majorHAnsi" w:hAnsiTheme="majorHAnsi"/>
          <w:sz w:val="22"/>
          <w:szCs w:val="22"/>
        </w:rPr>
        <w:t>follows</w:t>
      </w:r>
      <w:r w:rsidR="001B75C1" w:rsidRPr="001222DE">
        <w:rPr>
          <w:rFonts w:asciiTheme="majorHAnsi" w:hAnsiTheme="majorHAnsi"/>
          <w:sz w:val="22"/>
          <w:szCs w:val="22"/>
        </w:rPr>
        <w:t xml:space="preserve">: </w:t>
      </w:r>
    </w:p>
    <w:p w14:paraId="535E6CFE" w14:textId="77777777" w:rsidR="001B75C1" w:rsidRDefault="001B75C1" w:rsidP="003A2A6A">
      <w:pPr>
        <w:autoSpaceDE w:val="0"/>
        <w:autoSpaceDN w:val="0"/>
        <w:adjustRightInd w:val="0"/>
        <w:jc w:val="both"/>
        <w:rPr>
          <w:rFonts w:asciiTheme="majorHAnsi" w:hAnsiTheme="majorHAnsi"/>
          <w:sz w:val="22"/>
          <w:szCs w:val="22"/>
        </w:rPr>
      </w:pPr>
    </w:p>
    <w:p w14:paraId="0948C178" w14:textId="25269247" w:rsidR="00795C90" w:rsidRPr="00874BAE" w:rsidRDefault="00795C90" w:rsidP="003A2A6A">
      <w:pPr>
        <w:autoSpaceDE w:val="0"/>
        <w:autoSpaceDN w:val="0"/>
        <w:adjustRightInd w:val="0"/>
        <w:jc w:val="both"/>
        <w:rPr>
          <w:rFonts w:ascii="Calibri" w:hAnsi="Calibri"/>
          <w:sz w:val="22"/>
          <w:szCs w:val="22"/>
        </w:rPr>
      </w:pPr>
      <w:r w:rsidRPr="00054937">
        <w:rPr>
          <w:rFonts w:ascii="Calibri" w:hAnsi="Calibri"/>
          <w:b/>
          <w:sz w:val="22"/>
          <w:szCs w:val="22"/>
        </w:rPr>
        <w:t>COMPONENT 1.</w:t>
      </w:r>
      <w:r w:rsidRPr="00874BAE">
        <w:rPr>
          <w:rFonts w:ascii="Calibri" w:hAnsi="Calibri"/>
          <w:sz w:val="22"/>
          <w:szCs w:val="22"/>
        </w:rPr>
        <w:t xml:space="preserve"> MENARID Programme – Support via Land/Ground Water Integrated Management and Regional Portfolio Learning and Dialogue. </w:t>
      </w:r>
      <w:r w:rsidR="00874BAE" w:rsidRPr="00874BAE">
        <w:rPr>
          <w:rFonts w:ascii="Calibri" w:hAnsi="Calibri"/>
          <w:b/>
          <w:sz w:val="22"/>
          <w:szCs w:val="22"/>
        </w:rPr>
        <w:t>Satisfactory</w:t>
      </w:r>
      <w:r w:rsidR="00874BAE">
        <w:rPr>
          <w:rFonts w:ascii="Calibri" w:hAnsi="Calibri"/>
          <w:b/>
          <w:sz w:val="22"/>
          <w:szCs w:val="22"/>
        </w:rPr>
        <w:t xml:space="preserve">: </w:t>
      </w:r>
      <w:r w:rsidR="00874BAE" w:rsidRPr="00874BAE">
        <w:rPr>
          <w:rFonts w:ascii="Calibri" w:hAnsi="Calibri"/>
          <w:sz w:val="22"/>
          <w:szCs w:val="22"/>
        </w:rPr>
        <w:t>Good progress on all activities generating valuable results</w:t>
      </w:r>
      <w:r w:rsidR="00874BAE">
        <w:rPr>
          <w:rFonts w:ascii="Calibri" w:hAnsi="Calibri"/>
          <w:sz w:val="22"/>
          <w:szCs w:val="22"/>
        </w:rPr>
        <w:t xml:space="preserve"> main outputs and outcomes likely to be achieved.</w:t>
      </w:r>
    </w:p>
    <w:p w14:paraId="429CF13A" w14:textId="77777777" w:rsidR="00795C90" w:rsidRPr="00425A47" w:rsidRDefault="00795C90" w:rsidP="003A2A6A">
      <w:pPr>
        <w:autoSpaceDE w:val="0"/>
        <w:autoSpaceDN w:val="0"/>
        <w:adjustRightInd w:val="0"/>
        <w:jc w:val="both"/>
        <w:rPr>
          <w:rFonts w:ascii="Calibri" w:hAnsi="Calibri"/>
          <w:color w:val="3366FF"/>
          <w:sz w:val="22"/>
          <w:szCs w:val="22"/>
        </w:rPr>
      </w:pPr>
    </w:p>
    <w:p w14:paraId="025E6521" w14:textId="155C03A7" w:rsidR="00795C90" w:rsidRPr="003D5CBE" w:rsidRDefault="00795C90" w:rsidP="003A2A6A">
      <w:pPr>
        <w:autoSpaceDE w:val="0"/>
        <w:autoSpaceDN w:val="0"/>
        <w:adjustRightInd w:val="0"/>
        <w:jc w:val="both"/>
        <w:rPr>
          <w:rFonts w:ascii="Calibri" w:hAnsi="Calibri"/>
          <w:sz w:val="22"/>
          <w:szCs w:val="22"/>
        </w:rPr>
      </w:pPr>
      <w:r w:rsidRPr="00874BAE">
        <w:rPr>
          <w:rFonts w:ascii="Calibri" w:hAnsi="Calibri"/>
          <w:b/>
          <w:sz w:val="22"/>
          <w:szCs w:val="22"/>
        </w:rPr>
        <w:t>COMPONENT 2</w:t>
      </w:r>
      <w:r w:rsidR="00054937">
        <w:rPr>
          <w:rFonts w:ascii="Calibri" w:hAnsi="Calibri"/>
          <w:b/>
          <w:sz w:val="22"/>
          <w:szCs w:val="22"/>
        </w:rPr>
        <w:t xml:space="preserve">. </w:t>
      </w:r>
      <w:r w:rsidRPr="00874BAE">
        <w:rPr>
          <w:rFonts w:ascii="Calibri" w:hAnsi="Calibri"/>
          <w:sz w:val="22"/>
          <w:szCs w:val="22"/>
        </w:rPr>
        <w:t>Learning and Replication of Good Practices in Transboundary Surface and Groundwater Management.</w:t>
      </w:r>
      <w:r w:rsidRPr="00425A47">
        <w:rPr>
          <w:rFonts w:ascii="Calibri" w:hAnsi="Calibri"/>
          <w:color w:val="3366FF"/>
          <w:sz w:val="22"/>
          <w:szCs w:val="22"/>
        </w:rPr>
        <w:t xml:space="preserve"> </w:t>
      </w:r>
      <w:r w:rsidR="00874BAE">
        <w:rPr>
          <w:rFonts w:ascii="Calibri" w:hAnsi="Calibri"/>
          <w:color w:val="3366FF"/>
          <w:sz w:val="22"/>
          <w:szCs w:val="22"/>
        </w:rPr>
        <w:t xml:space="preserve"> </w:t>
      </w:r>
      <w:r w:rsidR="00874BAE" w:rsidRPr="00874BAE">
        <w:rPr>
          <w:rFonts w:ascii="Calibri" w:hAnsi="Calibri"/>
          <w:b/>
          <w:sz w:val="22"/>
          <w:szCs w:val="22"/>
        </w:rPr>
        <w:t>Moderately Satisfactor</w:t>
      </w:r>
      <w:r w:rsidR="00874BAE" w:rsidRPr="003D5CBE">
        <w:rPr>
          <w:rFonts w:ascii="Calibri" w:hAnsi="Calibri"/>
          <w:b/>
          <w:sz w:val="22"/>
          <w:szCs w:val="22"/>
        </w:rPr>
        <w:t>y</w:t>
      </w:r>
      <w:r w:rsidR="00874BAE" w:rsidRPr="003D5CBE">
        <w:rPr>
          <w:rFonts w:ascii="Calibri" w:hAnsi="Calibri"/>
          <w:sz w:val="22"/>
          <w:szCs w:val="22"/>
        </w:rPr>
        <w:t>:</w:t>
      </w:r>
      <w:r w:rsidR="00874BAE">
        <w:rPr>
          <w:rFonts w:ascii="Calibri" w:hAnsi="Calibri"/>
          <w:color w:val="3366FF"/>
          <w:sz w:val="22"/>
          <w:szCs w:val="22"/>
        </w:rPr>
        <w:t xml:space="preserve"> </w:t>
      </w:r>
      <w:r w:rsidR="003D5CBE" w:rsidRPr="003D5CBE">
        <w:rPr>
          <w:rFonts w:ascii="Calibri" w:hAnsi="Calibri"/>
          <w:sz w:val="22"/>
          <w:szCs w:val="22"/>
        </w:rPr>
        <w:t xml:space="preserve">Some progress in most aspects but </w:t>
      </w:r>
      <w:proofErr w:type="gramStart"/>
      <w:r w:rsidR="003D5CBE" w:rsidRPr="003D5CBE">
        <w:rPr>
          <w:rFonts w:ascii="Calibri" w:hAnsi="Calibri"/>
          <w:sz w:val="22"/>
          <w:szCs w:val="22"/>
        </w:rPr>
        <w:t>even  more</w:t>
      </w:r>
      <w:proofErr w:type="gramEnd"/>
      <w:r w:rsidR="003D5CBE" w:rsidRPr="003D5CBE">
        <w:rPr>
          <w:rFonts w:ascii="Calibri" w:hAnsi="Calibri"/>
          <w:sz w:val="22"/>
          <w:szCs w:val="22"/>
        </w:rPr>
        <w:t xml:space="preserve"> pro-active  approach required to thoroughly test the CoP concept as a means to achieving stated outcomes. </w:t>
      </w:r>
    </w:p>
    <w:p w14:paraId="247BF619" w14:textId="77777777" w:rsidR="00795C90" w:rsidRPr="00425A47" w:rsidRDefault="00795C90" w:rsidP="003A2A6A">
      <w:pPr>
        <w:autoSpaceDE w:val="0"/>
        <w:autoSpaceDN w:val="0"/>
        <w:adjustRightInd w:val="0"/>
        <w:jc w:val="both"/>
        <w:rPr>
          <w:rFonts w:ascii="Calibri" w:hAnsi="Calibri"/>
          <w:b/>
          <w:color w:val="3366FF"/>
          <w:sz w:val="22"/>
          <w:szCs w:val="22"/>
        </w:rPr>
      </w:pPr>
    </w:p>
    <w:p w14:paraId="771B603F" w14:textId="5436BE4D" w:rsidR="00795C90" w:rsidRPr="003D5CBE" w:rsidRDefault="00795C90" w:rsidP="003A2A6A">
      <w:pPr>
        <w:autoSpaceDE w:val="0"/>
        <w:autoSpaceDN w:val="0"/>
        <w:adjustRightInd w:val="0"/>
        <w:jc w:val="both"/>
        <w:rPr>
          <w:rFonts w:ascii="Calibri" w:hAnsi="Calibri"/>
          <w:sz w:val="22"/>
          <w:szCs w:val="22"/>
        </w:rPr>
      </w:pPr>
      <w:r w:rsidRPr="003D5CBE">
        <w:rPr>
          <w:rFonts w:ascii="Calibri" w:hAnsi="Calibri"/>
          <w:b/>
          <w:sz w:val="22"/>
          <w:szCs w:val="22"/>
        </w:rPr>
        <w:t>C</w:t>
      </w:r>
      <w:r w:rsidR="00054937">
        <w:rPr>
          <w:rFonts w:ascii="Calibri" w:hAnsi="Calibri"/>
          <w:b/>
          <w:sz w:val="22"/>
          <w:szCs w:val="22"/>
        </w:rPr>
        <w:t>OMPONENT</w:t>
      </w:r>
      <w:r w:rsidRPr="003D5CBE">
        <w:rPr>
          <w:rFonts w:ascii="Calibri" w:hAnsi="Calibri"/>
          <w:b/>
          <w:sz w:val="22"/>
          <w:szCs w:val="22"/>
        </w:rPr>
        <w:t xml:space="preserve"> 3.</w:t>
      </w:r>
      <w:r w:rsidR="00054937">
        <w:rPr>
          <w:rFonts w:ascii="Calibri" w:hAnsi="Calibri"/>
          <w:b/>
          <w:sz w:val="22"/>
          <w:szCs w:val="22"/>
        </w:rPr>
        <w:t xml:space="preserve"> </w:t>
      </w:r>
      <w:r w:rsidRPr="003D5CBE">
        <w:rPr>
          <w:rFonts w:ascii="Calibri" w:hAnsi="Calibri"/>
          <w:sz w:val="22"/>
          <w:szCs w:val="22"/>
        </w:rPr>
        <w:t>Global and GEF IW Portfolio Learning and Dialogue to Enhance Project Delivery and Impact.</w:t>
      </w:r>
      <w:r w:rsidR="003D5CBE">
        <w:rPr>
          <w:rFonts w:ascii="Calibri" w:hAnsi="Calibri"/>
          <w:sz w:val="22"/>
          <w:szCs w:val="22"/>
        </w:rPr>
        <w:t xml:space="preserve"> </w:t>
      </w:r>
      <w:r w:rsidR="003D5CBE" w:rsidRPr="003D5CBE">
        <w:rPr>
          <w:rFonts w:ascii="Calibri" w:hAnsi="Calibri"/>
          <w:b/>
          <w:sz w:val="22"/>
          <w:szCs w:val="22"/>
        </w:rPr>
        <w:t>Satisfactory</w:t>
      </w:r>
      <w:r w:rsidR="003D5CBE">
        <w:rPr>
          <w:rFonts w:ascii="Calibri" w:hAnsi="Calibri"/>
          <w:b/>
          <w:sz w:val="22"/>
          <w:szCs w:val="22"/>
        </w:rPr>
        <w:t xml:space="preserve">: </w:t>
      </w:r>
      <w:r w:rsidR="003D5CBE" w:rsidRPr="003D5CBE">
        <w:rPr>
          <w:rFonts w:ascii="Calibri" w:hAnsi="Calibri"/>
          <w:sz w:val="22"/>
          <w:szCs w:val="22"/>
        </w:rPr>
        <w:t>Two good conferences providing</w:t>
      </w:r>
      <w:r w:rsidR="003D5CBE">
        <w:rPr>
          <w:rFonts w:ascii="Calibri" w:hAnsi="Calibri"/>
          <w:b/>
          <w:sz w:val="22"/>
          <w:szCs w:val="22"/>
        </w:rPr>
        <w:t xml:space="preserve"> </w:t>
      </w:r>
      <w:r w:rsidR="003D5CBE" w:rsidRPr="003D5CBE">
        <w:rPr>
          <w:rFonts w:ascii="Calibri" w:hAnsi="Calibri"/>
          <w:sz w:val="22"/>
          <w:szCs w:val="22"/>
        </w:rPr>
        <w:t xml:space="preserve">excellent </w:t>
      </w:r>
      <w:r w:rsidR="00E22628" w:rsidRPr="003D5CBE">
        <w:rPr>
          <w:rFonts w:ascii="Calibri" w:hAnsi="Calibri"/>
          <w:sz w:val="22"/>
          <w:szCs w:val="22"/>
        </w:rPr>
        <w:t>opportunities</w:t>
      </w:r>
      <w:r w:rsidR="003D5CBE" w:rsidRPr="003D5CBE">
        <w:rPr>
          <w:rFonts w:ascii="Calibri" w:hAnsi="Calibri"/>
          <w:sz w:val="22"/>
          <w:szCs w:val="22"/>
        </w:rPr>
        <w:t xml:space="preserve"> for learning and synthesis of experience and best practice in </w:t>
      </w:r>
      <w:proofErr w:type="gramStart"/>
      <w:r w:rsidR="003D5CBE" w:rsidRPr="003D5CBE">
        <w:rPr>
          <w:rFonts w:ascii="Calibri" w:hAnsi="Calibri"/>
          <w:sz w:val="22"/>
          <w:szCs w:val="22"/>
        </w:rPr>
        <w:t>face to face</w:t>
      </w:r>
      <w:proofErr w:type="gramEnd"/>
      <w:r w:rsidR="003D5CBE" w:rsidRPr="003D5CBE">
        <w:rPr>
          <w:rFonts w:ascii="Calibri" w:hAnsi="Calibri"/>
          <w:sz w:val="22"/>
          <w:szCs w:val="22"/>
        </w:rPr>
        <w:t xml:space="preserve"> environment. </w:t>
      </w:r>
      <w:proofErr w:type="gramStart"/>
      <w:r w:rsidR="003D5CBE" w:rsidRPr="003D5CBE">
        <w:rPr>
          <w:rFonts w:ascii="Calibri" w:hAnsi="Calibri"/>
          <w:sz w:val="22"/>
          <w:szCs w:val="22"/>
        </w:rPr>
        <w:t>Crucial that recommendations from Science Conference and taken up by GEF if full value of investment is to be realised.</w:t>
      </w:r>
      <w:proofErr w:type="gramEnd"/>
      <w:r w:rsidR="003D5CBE" w:rsidRPr="003D5CBE">
        <w:rPr>
          <w:rFonts w:ascii="Calibri" w:hAnsi="Calibri"/>
          <w:sz w:val="22"/>
          <w:szCs w:val="22"/>
        </w:rPr>
        <w:t xml:space="preserve"> </w:t>
      </w:r>
    </w:p>
    <w:p w14:paraId="07A3EF6E" w14:textId="77777777" w:rsidR="00795C90" w:rsidRPr="00425A47" w:rsidRDefault="00795C90" w:rsidP="003A2A6A">
      <w:pPr>
        <w:autoSpaceDE w:val="0"/>
        <w:autoSpaceDN w:val="0"/>
        <w:adjustRightInd w:val="0"/>
        <w:jc w:val="both"/>
        <w:rPr>
          <w:rFonts w:ascii="Calibri" w:hAnsi="Calibri"/>
          <w:b/>
          <w:color w:val="3366FF"/>
          <w:sz w:val="22"/>
          <w:szCs w:val="22"/>
        </w:rPr>
      </w:pPr>
    </w:p>
    <w:p w14:paraId="7D9D5156" w14:textId="31F03519" w:rsidR="00054937" w:rsidRPr="00054937" w:rsidRDefault="00795C90" w:rsidP="003A2A6A">
      <w:pPr>
        <w:autoSpaceDE w:val="0"/>
        <w:autoSpaceDN w:val="0"/>
        <w:adjustRightInd w:val="0"/>
        <w:jc w:val="both"/>
        <w:rPr>
          <w:rFonts w:ascii="Calibri" w:hAnsi="Calibri"/>
          <w:sz w:val="22"/>
          <w:szCs w:val="22"/>
        </w:rPr>
      </w:pPr>
      <w:r w:rsidRPr="005E531F">
        <w:rPr>
          <w:rFonts w:ascii="Calibri" w:hAnsi="Calibri"/>
          <w:b/>
          <w:sz w:val="22"/>
          <w:szCs w:val="22"/>
        </w:rPr>
        <w:t>COMPONENT 4.</w:t>
      </w:r>
      <w:r w:rsidRPr="00054937">
        <w:rPr>
          <w:rFonts w:ascii="Calibri" w:hAnsi="Calibri"/>
          <w:sz w:val="22"/>
          <w:szCs w:val="22"/>
        </w:rPr>
        <w:t xml:space="preserve"> Information Management and Communications Platform to Support GEF IW Projects Learning and Dialogue.</w:t>
      </w:r>
      <w:r w:rsidR="00054937" w:rsidRPr="00054937">
        <w:rPr>
          <w:rFonts w:ascii="Calibri" w:hAnsi="Calibri"/>
          <w:color w:val="3366FF"/>
          <w:sz w:val="22"/>
          <w:szCs w:val="22"/>
        </w:rPr>
        <w:t xml:space="preserve"> </w:t>
      </w:r>
      <w:r w:rsidR="00190194">
        <w:rPr>
          <w:rFonts w:ascii="Calibri" w:hAnsi="Calibri"/>
          <w:b/>
          <w:sz w:val="22"/>
          <w:szCs w:val="22"/>
        </w:rPr>
        <w:t>Moderately S</w:t>
      </w:r>
      <w:r w:rsidR="00054937" w:rsidRPr="00054937">
        <w:rPr>
          <w:rFonts w:ascii="Calibri" w:hAnsi="Calibri"/>
          <w:b/>
          <w:sz w:val="22"/>
          <w:szCs w:val="22"/>
        </w:rPr>
        <w:t>atisfactory</w:t>
      </w:r>
      <w:r w:rsidR="00054937">
        <w:rPr>
          <w:rFonts w:ascii="Calibri" w:hAnsi="Calibri"/>
          <w:b/>
          <w:sz w:val="22"/>
          <w:szCs w:val="22"/>
        </w:rPr>
        <w:t xml:space="preserve">: </w:t>
      </w:r>
      <w:r w:rsidR="00054937">
        <w:rPr>
          <w:rFonts w:ascii="Calibri" w:hAnsi="Calibri"/>
          <w:color w:val="3366FF"/>
          <w:sz w:val="22"/>
          <w:szCs w:val="22"/>
        </w:rPr>
        <w:t xml:space="preserve"> </w:t>
      </w:r>
      <w:r w:rsidR="00054937" w:rsidRPr="00054937">
        <w:rPr>
          <w:rFonts w:ascii="Calibri" w:hAnsi="Calibri"/>
          <w:sz w:val="22"/>
          <w:szCs w:val="22"/>
        </w:rPr>
        <w:t xml:space="preserve">Given the time already lapsed </w:t>
      </w:r>
      <w:proofErr w:type="gramStart"/>
      <w:r w:rsidR="00054937" w:rsidRPr="00054937">
        <w:rPr>
          <w:rFonts w:ascii="Calibri" w:hAnsi="Calibri"/>
          <w:sz w:val="22"/>
          <w:szCs w:val="22"/>
        </w:rPr>
        <w:t>in  project</w:t>
      </w:r>
      <w:proofErr w:type="gramEnd"/>
      <w:r w:rsidR="00054937" w:rsidRPr="00054937">
        <w:rPr>
          <w:rFonts w:ascii="Calibri" w:hAnsi="Calibri"/>
          <w:sz w:val="22"/>
          <w:szCs w:val="22"/>
        </w:rPr>
        <w:t xml:space="preserve"> implementation the fact that several key design and content issues related to the platform</w:t>
      </w:r>
      <w:r w:rsidR="002C1458">
        <w:rPr>
          <w:rFonts w:ascii="Calibri" w:hAnsi="Calibri"/>
          <w:sz w:val="22"/>
          <w:szCs w:val="22"/>
        </w:rPr>
        <w:t>s</w:t>
      </w:r>
      <w:r w:rsidR="00054937" w:rsidRPr="00054937">
        <w:rPr>
          <w:rFonts w:ascii="Calibri" w:hAnsi="Calibri"/>
          <w:sz w:val="22"/>
          <w:szCs w:val="22"/>
        </w:rPr>
        <w:t xml:space="preserve"> have still to be resolved is of concern. </w:t>
      </w:r>
    </w:p>
    <w:p w14:paraId="19DF173D" w14:textId="77777777" w:rsidR="00795C90" w:rsidRPr="00425A47" w:rsidRDefault="00795C90" w:rsidP="003A2A6A">
      <w:pPr>
        <w:autoSpaceDE w:val="0"/>
        <w:autoSpaceDN w:val="0"/>
        <w:adjustRightInd w:val="0"/>
        <w:jc w:val="both"/>
        <w:rPr>
          <w:rFonts w:ascii="Calibri" w:hAnsi="Calibri"/>
          <w:color w:val="3366FF"/>
          <w:sz w:val="22"/>
          <w:szCs w:val="22"/>
        </w:rPr>
      </w:pPr>
    </w:p>
    <w:p w14:paraId="0ADA9605" w14:textId="71B058B0" w:rsidR="00795C90" w:rsidRPr="005E531F" w:rsidRDefault="00795C90" w:rsidP="003A2A6A">
      <w:pPr>
        <w:autoSpaceDE w:val="0"/>
        <w:autoSpaceDN w:val="0"/>
        <w:adjustRightInd w:val="0"/>
        <w:jc w:val="both"/>
        <w:rPr>
          <w:rFonts w:ascii="Calibri" w:hAnsi="Calibri"/>
          <w:sz w:val="22"/>
          <w:szCs w:val="22"/>
        </w:rPr>
      </w:pPr>
      <w:r w:rsidRPr="00054937">
        <w:rPr>
          <w:rFonts w:ascii="Calibri" w:hAnsi="Calibri"/>
          <w:b/>
          <w:sz w:val="22"/>
          <w:szCs w:val="22"/>
        </w:rPr>
        <w:t xml:space="preserve">COMPONENT 5 </w:t>
      </w:r>
      <w:r w:rsidRPr="00054937">
        <w:rPr>
          <w:rFonts w:ascii="Calibri" w:hAnsi="Calibri"/>
          <w:sz w:val="22"/>
          <w:szCs w:val="22"/>
        </w:rPr>
        <w:t>Programmatic Management Tools and Innovative Approaches related to Climate / Water and Private Sector Participation to Enhance GEF IW Portfolio Project Performance.</w:t>
      </w:r>
      <w:r w:rsidR="005E531F">
        <w:rPr>
          <w:rFonts w:ascii="Calibri" w:hAnsi="Calibri"/>
          <w:sz w:val="22"/>
          <w:szCs w:val="22"/>
        </w:rPr>
        <w:t xml:space="preserve"> </w:t>
      </w:r>
      <w:r w:rsidR="005E531F" w:rsidRPr="005E531F">
        <w:rPr>
          <w:rFonts w:ascii="Calibri" w:hAnsi="Calibri"/>
          <w:b/>
          <w:sz w:val="22"/>
          <w:szCs w:val="22"/>
        </w:rPr>
        <w:t>Moderately Satisfactory</w:t>
      </w:r>
      <w:r w:rsidR="005E531F">
        <w:rPr>
          <w:rFonts w:ascii="Calibri" w:hAnsi="Calibri"/>
          <w:b/>
          <w:sz w:val="22"/>
          <w:szCs w:val="22"/>
        </w:rPr>
        <w:t xml:space="preserve">: </w:t>
      </w:r>
      <w:r w:rsidR="005E531F" w:rsidRPr="005E531F">
        <w:rPr>
          <w:rFonts w:ascii="Calibri" w:hAnsi="Calibri"/>
          <w:sz w:val="22"/>
          <w:szCs w:val="22"/>
        </w:rPr>
        <w:t xml:space="preserve">Although there is some disparity across the sub-components the MTE believes the </w:t>
      </w:r>
      <w:r w:rsidR="0026018F">
        <w:rPr>
          <w:rFonts w:ascii="Calibri" w:hAnsi="Calibri"/>
          <w:sz w:val="22"/>
          <w:szCs w:val="22"/>
        </w:rPr>
        <w:t>retained outcome targets</w:t>
      </w:r>
      <w:r w:rsidR="005E531F" w:rsidRPr="005E531F">
        <w:rPr>
          <w:rFonts w:ascii="Calibri" w:hAnsi="Calibri"/>
          <w:sz w:val="22"/>
          <w:szCs w:val="22"/>
        </w:rPr>
        <w:t xml:space="preserve"> are likely to be achieved by the end of the project. </w:t>
      </w:r>
    </w:p>
    <w:p w14:paraId="370CAA90" w14:textId="77777777" w:rsidR="00795C90" w:rsidRPr="00795C90" w:rsidRDefault="00795C90" w:rsidP="003A2A6A">
      <w:pPr>
        <w:ind w:right="-74"/>
        <w:jc w:val="both"/>
        <w:rPr>
          <w:rFonts w:asciiTheme="majorHAnsi" w:hAnsiTheme="majorHAnsi"/>
          <w:sz w:val="22"/>
          <w:szCs w:val="22"/>
        </w:rPr>
      </w:pPr>
    </w:p>
    <w:p w14:paraId="3F1D9705" w14:textId="77777777" w:rsidR="00795C90" w:rsidRDefault="00795C90" w:rsidP="003A2A6A">
      <w:pPr>
        <w:ind w:right="-74"/>
        <w:jc w:val="both"/>
        <w:rPr>
          <w:rFonts w:asciiTheme="majorHAnsi" w:hAnsiTheme="majorHAnsi"/>
          <w:i/>
          <w:sz w:val="22"/>
          <w:szCs w:val="22"/>
        </w:rPr>
      </w:pPr>
    </w:p>
    <w:p w14:paraId="1C41D794" w14:textId="77777777" w:rsidR="00FD6656" w:rsidRDefault="00FD6656" w:rsidP="003A2A6A">
      <w:pPr>
        <w:ind w:right="-74"/>
        <w:jc w:val="both"/>
        <w:sectPr w:rsidR="00FD6656" w:rsidSect="00EF470D">
          <w:pgSz w:w="11900" w:h="16840"/>
          <w:pgMar w:top="1440" w:right="1440" w:bottom="1440" w:left="1440" w:header="708" w:footer="708" w:gutter="0"/>
          <w:pgNumType w:start="1"/>
          <w:cols w:space="708"/>
          <w:docGrid w:linePitch="360"/>
        </w:sectPr>
      </w:pPr>
    </w:p>
    <w:p w14:paraId="2DF30D60" w14:textId="045FB26E" w:rsidR="00FD6656" w:rsidRDefault="006A2417" w:rsidP="00FD6656">
      <w:pPr>
        <w:ind w:right="-74"/>
      </w:pPr>
      <w:r>
        <w:t xml:space="preserve">Table 1. </w:t>
      </w:r>
      <w:r w:rsidR="001222DE">
        <w:t xml:space="preserve"> Project Progress against established </w:t>
      </w:r>
      <w:r w:rsidR="00EA3BC6">
        <w:t xml:space="preserve">Outcome </w:t>
      </w:r>
      <w:r w:rsidR="006F20C8">
        <w:t>in</w:t>
      </w:r>
      <w:r w:rsidR="001222DE">
        <w:t>d</w:t>
      </w:r>
      <w:r w:rsidR="00EA3BC6">
        <w:t>i</w:t>
      </w:r>
      <w:r w:rsidR="001222DE">
        <w:t xml:space="preserve">cators. </w:t>
      </w:r>
    </w:p>
    <w:p w14:paraId="6054F137" w14:textId="77777777" w:rsidR="00FD6656" w:rsidRDefault="00FD6656" w:rsidP="00FD6656">
      <w:pPr>
        <w:ind w:right="-74"/>
      </w:pPr>
    </w:p>
    <w:tbl>
      <w:tblPr>
        <w:tblW w:w="14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0"/>
        <w:gridCol w:w="1867"/>
        <w:gridCol w:w="2127"/>
        <w:gridCol w:w="2173"/>
        <w:gridCol w:w="1936"/>
        <w:gridCol w:w="2088"/>
        <w:gridCol w:w="1755"/>
      </w:tblGrid>
      <w:tr w:rsidR="005218C8" w:rsidRPr="00F869DC" w14:paraId="15F6E897" w14:textId="77777777" w:rsidTr="001A76BE">
        <w:trPr>
          <w:tblHeader/>
          <w:jc w:val="center"/>
        </w:trPr>
        <w:tc>
          <w:tcPr>
            <w:tcW w:w="2210" w:type="dxa"/>
            <w:shd w:val="pct12" w:color="auto" w:fill="auto"/>
          </w:tcPr>
          <w:p w14:paraId="35B6C6EA" w14:textId="77777777" w:rsidR="005218C8" w:rsidRPr="00B378B6" w:rsidRDefault="005218C8" w:rsidP="00FD6656">
            <w:pPr>
              <w:spacing w:before="20" w:after="20"/>
              <w:jc w:val="center"/>
              <w:rPr>
                <w:rFonts w:asciiTheme="majorHAnsi" w:hAnsiTheme="majorHAnsi"/>
                <w:b/>
                <w:bCs/>
                <w:sz w:val="18"/>
                <w:szCs w:val="18"/>
              </w:rPr>
            </w:pPr>
          </w:p>
        </w:tc>
        <w:tc>
          <w:tcPr>
            <w:tcW w:w="1867" w:type="dxa"/>
            <w:shd w:val="pct12" w:color="auto" w:fill="auto"/>
          </w:tcPr>
          <w:p w14:paraId="3FF9C31E" w14:textId="77777777" w:rsidR="005218C8" w:rsidRPr="00B378B6" w:rsidRDefault="005218C8" w:rsidP="00FD6656">
            <w:pPr>
              <w:spacing w:before="20" w:after="20"/>
              <w:jc w:val="center"/>
              <w:rPr>
                <w:rFonts w:asciiTheme="majorHAnsi" w:hAnsiTheme="majorHAnsi"/>
                <w:b/>
                <w:bCs/>
                <w:sz w:val="18"/>
                <w:szCs w:val="18"/>
              </w:rPr>
            </w:pPr>
            <w:r w:rsidRPr="00B378B6">
              <w:rPr>
                <w:rFonts w:asciiTheme="majorHAnsi" w:hAnsiTheme="majorHAnsi"/>
                <w:b/>
                <w:bCs/>
                <w:sz w:val="18"/>
                <w:szCs w:val="18"/>
              </w:rPr>
              <w:t>Indicator</w:t>
            </w:r>
          </w:p>
        </w:tc>
        <w:tc>
          <w:tcPr>
            <w:tcW w:w="2127" w:type="dxa"/>
            <w:shd w:val="pct12" w:color="auto" w:fill="auto"/>
          </w:tcPr>
          <w:p w14:paraId="01FBE3E7" w14:textId="736D4178" w:rsidR="005218C8" w:rsidRPr="001A76BE" w:rsidRDefault="00D2027A" w:rsidP="00FD6656">
            <w:pPr>
              <w:spacing w:before="20" w:after="20"/>
              <w:jc w:val="center"/>
              <w:rPr>
                <w:rFonts w:asciiTheme="majorHAnsi" w:hAnsiTheme="majorHAnsi"/>
                <w:b/>
                <w:bCs/>
                <w:sz w:val="18"/>
                <w:szCs w:val="18"/>
              </w:rPr>
            </w:pPr>
            <w:r w:rsidRPr="001A76BE">
              <w:rPr>
                <w:rFonts w:asciiTheme="majorHAnsi" w:hAnsiTheme="majorHAnsi"/>
                <w:b/>
                <w:bCs/>
                <w:sz w:val="18"/>
                <w:szCs w:val="18"/>
              </w:rPr>
              <w:t>Risks and Assumptions</w:t>
            </w:r>
          </w:p>
        </w:tc>
        <w:tc>
          <w:tcPr>
            <w:tcW w:w="2173" w:type="dxa"/>
            <w:shd w:val="pct12" w:color="auto" w:fill="auto"/>
          </w:tcPr>
          <w:p w14:paraId="6BBF3402" w14:textId="2BC364B9" w:rsidR="005218C8" w:rsidRPr="00B378B6" w:rsidRDefault="005218C8" w:rsidP="00FD6656">
            <w:pPr>
              <w:spacing w:before="20" w:after="20"/>
              <w:jc w:val="center"/>
              <w:rPr>
                <w:rFonts w:asciiTheme="majorHAnsi" w:hAnsiTheme="majorHAnsi"/>
                <w:b/>
                <w:bCs/>
                <w:sz w:val="18"/>
                <w:szCs w:val="18"/>
              </w:rPr>
            </w:pPr>
            <w:r w:rsidRPr="00B378B6">
              <w:rPr>
                <w:rFonts w:asciiTheme="majorHAnsi" w:hAnsiTheme="majorHAnsi"/>
                <w:b/>
                <w:bCs/>
                <w:sz w:val="18"/>
                <w:szCs w:val="18"/>
              </w:rPr>
              <w:t xml:space="preserve">Targets </w:t>
            </w:r>
          </w:p>
          <w:p w14:paraId="213B0FF6" w14:textId="77777777" w:rsidR="005218C8" w:rsidRPr="00B378B6" w:rsidRDefault="005218C8" w:rsidP="00FD6656">
            <w:pPr>
              <w:spacing w:before="20" w:after="20"/>
              <w:jc w:val="center"/>
              <w:rPr>
                <w:rFonts w:asciiTheme="majorHAnsi" w:hAnsiTheme="majorHAnsi"/>
                <w:b/>
                <w:bCs/>
                <w:sz w:val="18"/>
                <w:szCs w:val="18"/>
                <w:highlight w:val="yellow"/>
              </w:rPr>
            </w:pPr>
            <w:r w:rsidRPr="00B378B6">
              <w:rPr>
                <w:rFonts w:asciiTheme="majorHAnsi" w:hAnsiTheme="majorHAnsi"/>
                <w:b/>
                <w:bCs/>
                <w:sz w:val="18"/>
                <w:szCs w:val="18"/>
              </w:rPr>
              <w:t>End of Project</w:t>
            </w:r>
          </w:p>
        </w:tc>
        <w:tc>
          <w:tcPr>
            <w:tcW w:w="1936" w:type="dxa"/>
            <w:shd w:val="pct12" w:color="auto" w:fill="auto"/>
          </w:tcPr>
          <w:p w14:paraId="71E0251C" w14:textId="77777777" w:rsidR="005218C8" w:rsidRPr="00B378B6" w:rsidRDefault="005218C8" w:rsidP="00FD6656">
            <w:pPr>
              <w:spacing w:before="20" w:after="20"/>
              <w:jc w:val="center"/>
              <w:rPr>
                <w:rFonts w:asciiTheme="majorHAnsi" w:hAnsiTheme="majorHAnsi"/>
                <w:b/>
                <w:bCs/>
                <w:sz w:val="18"/>
                <w:szCs w:val="18"/>
              </w:rPr>
            </w:pPr>
            <w:r w:rsidRPr="00B378B6">
              <w:rPr>
                <w:rFonts w:asciiTheme="majorHAnsi" w:hAnsiTheme="majorHAnsi"/>
                <w:b/>
                <w:bCs/>
                <w:sz w:val="18"/>
                <w:szCs w:val="18"/>
              </w:rPr>
              <w:t>MTE amended target</w:t>
            </w:r>
          </w:p>
        </w:tc>
        <w:tc>
          <w:tcPr>
            <w:tcW w:w="2088" w:type="dxa"/>
            <w:shd w:val="pct12" w:color="auto" w:fill="auto"/>
          </w:tcPr>
          <w:p w14:paraId="3EFC8DB8" w14:textId="77777777" w:rsidR="005218C8" w:rsidRPr="00B378B6" w:rsidRDefault="005218C8" w:rsidP="00FD6656">
            <w:pPr>
              <w:spacing w:before="20" w:after="20"/>
              <w:jc w:val="center"/>
              <w:rPr>
                <w:rFonts w:asciiTheme="majorHAnsi" w:hAnsiTheme="majorHAnsi"/>
                <w:b/>
                <w:bCs/>
                <w:sz w:val="18"/>
                <w:szCs w:val="18"/>
              </w:rPr>
            </w:pPr>
            <w:r w:rsidRPr="00B378B6">
              <w:rPr>
                <w:rFonts w:asciiTheme="majorHAnsi" w:hAnsiTheme="majorHAnsi"/>
                <w:b/>
                <w:bCs/>
                <w:sz w:val="18"/>
                <w:szCs w:val="18"/>
              </w:rPr>
              <w:t>Results as of 31/12/12</w:t>
            </w:r>
          </w:p>
        </w:tc>
        <w:tc>
          <w:tcPr>
            <w:tcW w:w="1755" w:type="dxa"/>
            <w:shd w:val="pct12" w:color="auto" w:fill="auto"/>
          </w:tcPr>
          <w:p w14:paraId="79D5B112" w14:textId="77777777" w:rsidR="005218C8" w:rsidRPr="00B378B6" w:rsidRDefault="005218C8" w:rsidP="00FD6656">
            <w:pPr>
              <w:spacing w:before="20" w:after="20"/>
              <w:jc w:val="center"/>
              <w:rPr>
                <w:rFonts w:asciiTheme="majorHAnsi" w:hAnsiTheme="majorHAnsi"/>
                <w:b/>
                <w:bCs/>
                <w:sz w:val="18"/>
                <w:szCs w:val="18"/>
              </w:rPr>
            </w:pPr>
            <w:r w:rsidRPr="00B378B6">
              <w:rPr>
                <w:rFonts w:asciiTheme="majorHAnsi" w:hAnsiTheme="majorHAnsi"/>
                <w:b/>
                <w:bCs/>
                <w:sz w:val="18"/>
                <w:szCs w:val="18"/>
              </w:rPr>
              <w:t xml:space="preserve">Comments  </w:t>
            </w:r>
          </w:p>
        </w:tc>
      </w:tr>
      <w:tr w:rsidR="00D2027A" w:rsidRPr="00F869DC" w14:paraId="3F35E53C" w14:textId="77777777" w:rsidTr="001A76BE">
        <w:trPr>
          <w:jc w:val="center"/>
        </w:trPr>
        <w:tc>
          <w:tcPr>
            <w:tcW w:w="2210" w:type="dxa"/>
            <w:vMerge w:val="restart"/>
            <w:shd w:val="pct12" w:color="auto" w:fill="auto"/>
          </w:tcPr>
          <w:p w14:paraId="3C45B5CF" w14:textId="77777777" w:rsidR="00D2027A" w:rsidRPr="00B378B6" w:rsidRDefault="00D2027A" w:rsidP="00FD6656">
            <w:pPr>
              <w:spacing w:before="20" w:after="20"/>
              <w:rPr>
                <w:rFonts w:asciiTheme="majorHAnsi" w:hAnsiTheme="majorHAnsi"/>
                <w:b/>
                <w:bCs/>
                <w:sz w:val="18"/>
                <w:szCs w:val="18"/>
              </w:rPr>
            </w:pPr>
            <w:r w:rsidRPr="00B378B6">
              <w:rPr>
                <w:rFonts w:asciiTheme="majorHAnsi" w:hAnsiTheme="majorHAnsi"/>
                <w:b/>
                <w:bCs/>
                <w:sz w:val="18"/>
                <w:szCs w:val="18"/>
              </w:rPr>
              <w:t xml:space="preserve">Project Objective </w:t>
            </w:r>
          </w:p>
          <w:p w14:paraId="595C8E94" w14:textId="77777777" w:rsidR="00D2027A" w:rsidRPr="00B378B6" w:rsidRDefault="00D2027A" w:rsidP="00FD6656">
            <w:pPr>
              <w:spacing w:before="20" w:after="20"/>
              <w:rPr>
                <w:rFonts w:asciiTheme="majorHAnsi" w:hAnsiTheme="majorHAnsi"/>
                <w:b/>
                <w:bCs/>
                <w:sz w:val="18"/>
                <w:szCs w:val="18"/>
              </w:rPr>
            </w:pPr>
            <w:r w:rsidRPr="00B378B6">
              <w:rPr>
                <w:rFonts w:asciiTheme="majorHAnsi" w:hAnsiTheme="majorHAnsi"/>
                <w:sz w:val="18"/>
                <w:szCs w:val="18"/>
              </w:rPr>
              <w:t>To strengthen global portfolio experience sharing and learning, dialogue facilitation, targeted knowledge sharing and replication in order to enhance the efficiency and effectiveness of GEF IW projects to deliver tangible results in partnership with other IW initiatives</w:t>
            </w:r>
          </w:p>
        </w:tc>
        <w:tc>
          <w:tcPr>
            <w:tcW w:w="1867" w:type="dxa"/>
          </w:tcPr>
          <w:p w14:paraId="4ED6AF70"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 IW projects participating at IW Conference and / or science </w:t>
            </w:r>
            <w:proofErr w:type="gramStart"/>
            <w:r w:rsidRPr="00B378B6">
              <w:rPr>
                <w:rFonts w:asciiTheme="majorHAnsi" w:hAnsiTheme="majorHAnsi"/>
                <w:sz w:val="18"/>
                <w:szCs w:val="18"/>
              </w:rPr>
              <w:t>conference  or</w:t>
            </w:r>
            <w:proofErr w:type="gramEnd"/>
            <w:r w:rsidRPr="00B378B6">
              <w:rPr>
                <w:rFonts w:asciiTheme="majorHAnsi" w:hAnsiTheme="majorHAnsi"/>
                <w:sz w:val="18"/>
                <w:szCs w:val="18"/>
              </w:rPr>
              <w:t xml:space="preserve"> IW workshop or project-project learning exchange</w:t>
            </w:r>
          </w:p>
        </w:tc>
        <w:tc>
          <w:tcPr>
            <w:tcW w:w="2127" w:type="dxa"/>
            <w:vMerge w:val="restart"/>
          </w:tcPr>
          <w:p w14:paraId="649771E3" w14:textId="586DB0AE" w:rsidR="00D2027A" w:rsidRPr="001A76BE" w:rsidRDefault="00D2027A" w:rsidP="00FD6656">
            <w:pPr>
              <w:autoSpaceDE w:val="0"/>
              <w:autoSpaceDN w:val="0"/>
              <w:adjustRightInd w:val="0"/>
              <w:spacing w:before="20" w:after="20"/>
              <w:rPr>
                <w:rFonts w:asciiTheme="majorHAnsi" w:hAnsiTheme="majorHAnsi"/>
                <w:sz w:val="18"/>
                <w:szCs w:val="18"/>
              </w:rPr>
            </w:pPr>
            <w:r w:rsidRPr="001A76BE">
              <w:rPr>
                <w:rFonts w:asciiTheme="majorHAnsi" w:hAnsiTheme="majorHAnsi"/>
                <w:sz w:val="18"/>
                <w:szCs w:val="18"/>
              </w:rPr>
              <w:t>Projects and Agencies agree to strengthen projects through improved guidance and encourage stronger links between projects</w:t>
            </w:r>
          </w:p>
        </w:tc>
        <w:tc>
          <w:tcPr>
            <w:tcW w:w="2173" w:type="dxa"/>
          </w:tcPr>
          <w:p w14:paraId="1D153634" w14:textId="3762CE77" w:rsidR="00D2027A" w:rsidRPr="00B378B6" w:rsidRDefault="00D2027A" w:rsidP="00FD6656">
            <w:pPr>
              <w:autoSpaceDE w:val="0"/>
              <w:autoSpaceDN w:val="0"/>
              <w:adjustRightInd w:val="0"/>
              <w:spacing w:before="20" w:after="20"/>
              <w:rPr>
                <w:rFonts w:asciiTheme="majorHAnsi" w:hAnsiTheme="majorHAnsi"/>
                <w:sz w:val="18"/>
                <w:szCs w:val="18"/>
                <w:highlight w:val="yellow"/>
              </w:rPr>
            </w:pPr>
            <w:r w:rsidRPr="00B378B6">
              <w:rPr>
                <w:rFonts w:asciiTheme="majorHAnsi" w:hAnsiTheme="majorHAnsi"/>
                <w:sz w:val="18"/>
                <w:szCs w:val="18"/>
              </w:rPr>
              <w:t xml:space="preserve">100% of IW Projects participate in IW Conference and/or IW Science </w:t>
            </w:r>
            <w:proofErr w:type="gramStart"/>
            <w:r w:rsidRPr="00B378B6">
              <w:rPr>
                <w:rFonts w:asciiTheme="majorHAnsi" w:hAnsiTheme="majorHAnsi"/>
                <w:sz w:val="18"/>
                <w:szCs w:val="18"/>
              </w:rPr>
              <w:t>Conference  or</w:t>
            </w:r>
            <w:proofErr w:type="gramEnd"/>
            <w:r w:rsidRPr="00B378B6">
              <w:rPr>
                <w:rFonts w:asciiTheme="majorHAnsi" w:hAnsiTheme="majorHAnsi"/>
                <w:sz w:val="18"/>
                <w:szCs w:val="18"/>
              </w:rPr>
              <w:t xml:space="preserve"> IW workshop or project-project learning exchange</w:t>
            </w:r>
          </w:p>
        </w:tc>
        <w:tc>
          <w:tcPr>
            <w:tcW w:w="1936" w:type="dxa"/>
          </w:tcPr>
          <w:p w14:paraId="51CD2C8D"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c>
          <w:tcPr>
            <w:tcW w:w="2088" w:type="dxa"/>
          </w:tcPr>
          <w:p w14:paraId="4732F7E3"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cs="Arial"/>
                <w:color w:val="000000"/>
                <w:sz w:val="18"/>
                <w:szCs w:val="18"/>
              </w:rPr>
              <w:t xml:space="preserve">81% of IW Projects participate in IW Conference (65/80) and/or IW Science </w:t>
            </w:r>
            <w:proofErr w:type="gramStart"/>
            <w:r w:rsidRPr="00B378B6">
              <w:rPr>
                <w:rFonts w:asciiTheme="majorHAnsi" w:hAnsiTheme="majorHAnsi" w:cs="Arial"/>
                <w:color w:val="000000"/>
                <w:sz w:val="18"/>
                <w:szCs w:val="18"/>
              </w:rPr>
              <w:t>Conference  or</w:t>
            </w:r>
            <w:proofErr w:type="gramEnd"/>
            <w:r w:rsidRPr="00B378B6">
              <w:rPr>
                <w:rFonts w:asciiTheme="majorHAnsi" w:hAnsiTheme="majorHAnsi" w:cs="Arial"/>
                <w:color w:val="000000"/>
                <w:sz w:val="18"/>
                <w:szCs w:val="18"/>
              </w:rPr>
              <w:t xml:space="preserve"> IW workshop or project-project learning exchange</w:t>
            </w:r>
          </w:p>
        </w:tc>
        <w:tc>
          <w:tcPr>
            <w:tcW w:w="1755" w:type="dxa"/>
            <w:vMerge w:val="restart"/>
          </w:tcPr>
          <w:p w14:paraId="095C9111"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Overall Satisfactory progress toward achieving stated project objective. </w:t>
            </w:r>
          </w:p>
        </w:tc>
      </w:tr>
      <w:tr w:rsidR="00D2027A" w:rsidRPr="00F869DC" w14:paraId="3C2090EC" w14:textId="77777777" w:rsidTr="001A76BE">
        <w:trPr>
          <w:jc w:val="center"/>
        </w:trPr>
        <w:tc>
          <w:tcPr>
            <w:tcW w:w="2210" w:type="dxa"/>
            <w:vMerge/>
            <w:shd w:val="pct12" w:color="auto" w:fill="auto"/>
          </w:tcPr>
          <w:p w14:paraId="11A80125" w14:textId="77777777" w:rsidR="00D2027A" w:rsidRPr="00B378B6" w:rsidRDefault="00D2027A" w:rsidP="00FD6656">
            <w:pPr>
              <w:spacing w:before="20" w:after="20"/>
              <w:rPr>
                <w:rFonts w:asciiTheme="majorHAnsi" w:hAnsiTheme="majorHAnsi"/>
                <w:b/>
                <w:bCs/>
                <w:sz w:val="18"/>
                <w:szCs w:val="18"/>
              </w:rPr>
            </w:pPr>
          </w:p>
        </w:tc>
        <w:tc>
          <w:tcPr>
            <w:tcW w:w="1867" w:type="dxa"/>
          </w:tcPr>
          <w:p w14:paraId="7540B3D1"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of</w:t>
            </w:r>
            <w:proofErr w:type="gramEnd"/>
            <w:r w:rsidRPr="00B378B6">
              <w:rPr>
                <w:rFonts w:asciiTheme="majorHAnsi" w:hAnsiTheme="majorHAnsi"/>
                <w:sz w:val="18"/>
                <w:szCs w:val="18"/>
              </w:rPr>
              <w:t xml:space="preserve"> IW projects exchanging information between water ecosystem types</w:t>
            </w:r>
          </w:p>
        </w:tc>
        <w:tc>
          <w:tcPr>
            <w:tcW w:w="2127" w:type="dxa"/>
            <w:vMerge/>
          </w:tcPr>
          <w:p w14:paraId="0D80E64C" w14:textId="77777777" w:rsidR="00D2027A" w:rsidRPr="001A76BE" w:rsidRDefault="00D2027A" w:rsidP="00FD6656">
            <w:pPr>
              <w:autoSpaceDE w:val="0"/>
              <w:autoSpaceDN w:val="0"/>
              <w:adjustRightInd w:val="0"/>
              <w:spacing w:before="20" w:after="20"/>
              <w:rPr>
                <w:rFonts w:asciiTheme="majorHAnsi" w:hAnsiTheme="majorHAnsi"/>
                <w:sz w:val="18"/>
                <w:szCs w:val="18"/>
              </w:rPr>
            </w:pPr>
          </w:p>
        </w:tc>
        <w:tc>
          <w:tcPr>
            <w:tcW w:w="2173" w:type="dxa"/>
          </w:tcPr>
          <w:p w14:paraId="4E3F4ECA" w14:textId="20F90D53" w:rsidR="00D2027A" w:rsidRPr="00B378B6" w:rsidRDefault="00D2027A" w:rsidP="00FD6656">
            <w:pPr>
              <w:autoSpaceDE w:val="0"/>
              <w:autoSpaceDN w:val="0"/>
              <w:adjustRightInd w:val="0"/>
              <w:spacing w:before="20" w:after="20"/>
              <w:rPr>
                <w:rFonts w:asciiTheme="majorHAnsi" w:hAnsiTheme="majorHAnsi"/>
                <w:sz w:val="18"/>
                <w:szCs w:val="18"/>
                <w:highlight w:val="yellow"/>
              </w:rPr>
            </w:pPr>
            <w:r w:rsidRPr="00B378B6">
              <w:rPr>
                <w:rFonts w:asciiTheme="majorHAnsi" w:hAnsiTheme="majorHAnsi"/>
                <w:sz w:val="18"/>
                <w:szCs w:val="18"/>
              </w:rPr>
              <w:t>50 % of existing projects demonstrate exchanges / sharing of information between different ecosystem water types</w:t>
            </w:r>
          </w:p>
        </w:tc>
        <w:tc>
          <w:tcPr>
            <w:tcW w:w="1936" w:type="dxa"/>
          </w:tcPr>
          <w:p w14:paraId="6DBE6A94"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c>
          <w:tcPr>
            <w:tcW w:w="2088" w:type="dxa"/>
          </w:tcPr>
          <w:p w14:paraId="3D0BAFBE" w14:textId="5F008AF4"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cs="Arial"/>
                <w:color w:val="000000"/>
                <w:sz w:val="18"/>
                <w:szCs w:val="18"/>
              </w:rPr>
              <w:t xml:space="preserve">Some 37% (28 out of approximately 75 GEF IW projects) demonstrate or participate in </w:t>
            </w:r>
            <w:r w:rsidR="00E22628" w:rsidRPr="00B378B6">
              <w:rPr>
                <w:rFonts w:asciiTheme="majorHAnsi" w:hAnsiTheme="majorHAnsi" w:cs="Arial"/>
                <w:color w:val="000000"/>
                <w:sz w:val="18"/>
                <w:szCs w:val="18"/>
              </w:rPr>
              <w:t>exchanges</w:t>
            </w:r>
            <w:r w:rsidRPr="00B378B6">
              <w:rPr>
                <w:rFonts w:asciiTheme="majorHAnsi" w:hAnsiTheme="majorHAnsi" w:cs="Arial"/>
                <w:color w:val="000000"/>
                <w:sz w:val="18"/>
                <w:szCs w:val="18"/>
              </w:rPr>
              <w:t xml:space="preserve"> to share information between different ecosystem water types (thru 2 regional workshops and twinning exchanges)</w:t>
            </w:r>
          </w:p>
        </w:tc>
        <w:tc>
          <w:tcPr>
            <w:tcW w:w="1755" w:type="dxa"/>
            <w:vMerge/>
          </w:tcPr>
          <w:p w14:paraId="0461EF28"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r>
      <w:tr w:rsidR="00D2027A" w:rsidRPr="00F869DC" w14:paraId="43631B58" w14:textId="77777777" w:rsidTr="001A76BE">
        <w:trPr>
          <w:jc w:val="center"/>
        </w:trPr>
        <w:tc>
          <w:tcPr>
            <w:tcW w:w="2210" w:type="dxa"/>
            <w:vMerge/>
            <w:shd w:val="pct12" w:color="auto" w:fill="auto"/>
          </w:tcPr>
          <w:p w14:paraId="48647AD6" w14:textId="77777777" w:rsidR="00D2027A" w:rsidRPr="00B378B6" w:rsidRDefault="00D2027A" w:rsidP="00FD6656">
            <w:pPr>
              <w:spacing w:before="20" w:after="20"/>
              <w:rPr>
                <w:rFonts w:asciiTheme="majorHAnsi" w:hAnsiTheme="majorHAnsi"/>
                <w:b/>
                <w:bCs/>
                <w:sz w:val="18"/>
                <w:szCs w:val="18"/>
              </w:rPr>
            </w:pPr>
          </w:p>
        </w:tc>
        <w:tc>
          <w:tcPr>
            <w:tcW w:w="1867" w:type="dxa"/>
          </w:tcPr>
          <w:p w14:paraId="51C93A0F"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of</w:t>
            </w:r>
            <w:proofErr w:type="gramEnd"/>
            <w:r w:rsidRPr="00B378B6">
              <w:rPr>
                <w:rFonts w:asciiTheme="majorHAnsi" w:hAnsiTheme="majorHAnsi"/>
                <w:sz w:val="18"/>
                <w:szCs w:val="18"/>
              </w:rPr>
              <w:t xml:space="preserve"> active projects establish a project website according to the IW:LEARN guidelines </w:t>
            </w:r>
          </w:p>
        </w:tc>
        <w:tc>
          <w:tcPr>
            <w:tcW w:w="2127" w:type="dxa"/>
            <w:vMerge/>
          </w:tcPr>
          <w:p w14:paraId="657F002D" w14:textId="77777777" w:rsidR="00D2027A" w:rsidRPr="001A76BE" w:rsidRDefault="00D2027A" w:rsidP="00FD6656">
            <w:pPr>
              <w:autoSpaceDE w:val="0"/>
              <w:autoSpaceDN w:val="0"/>
              <w:adjustRightInd w:val="0"/>
              <w:spacing w:before="20" w:after="20"/>
              <w:rPr>
                <w:rFonts w:asciiTheme="majorHAnsi" w:hAnsiTheme="majorHAnsi"/>
                <w:sz w:val="18"/>
                <w:szCs w:val="18"/>
              </w:rPr>
            </w:pPr>
          </w:p>
        </w:tc>
        <w:tc>
          <w:tcPr>
            <w:tcW w:w="2173" w:type="dxa"/>
          </w:tcPr>
          <w:p w14:paraId="2FC534E1" w14:textId="250FAD7B" w:rsidR="00D2027A" w:rsidRPr="00B378B6" w:rsidRDefault="00D2027A" w:rsidP="00FD6656">
            <w:pPr>
              <w:autoSpaceDE w:val="0"/>
              <w:autoSpaceDN w:val="0"/>
              <w:adjustRightInd w:val="0"/>
              <w:spacing w:before="20" w:after="20"/>
              <w:rPr>
                <w:rFonts w:asciiTheme="majorHAnsi" w:hAnsiTheme="majorHAnsi"/>
                <w:sz w:val="18"/>
                <w:szCs w:val="18"/>
                <w:highlight w:val="yellow"/>
              </w:rPr>
            </w:pPr>
            <w:r w:rsidRPr="00B378B6">
              <w:rPr>
                <w:rFonts w:asciiTheme="majorHAnsi" w:hAnsiTheme="majorHAnsi"/>
                <w:sz w:val="18"/>
                <w:szCs w:val="18"/>
              </w:rPr>
              <w:t>100% of active GEF IW projects establish a project website according to the IW</w:t>
            </w:r>
            <w:proofErr w:type="gramStart"/>
            <w:r w:rsidRPr="00B378B6">
              <w:rPr>
                <w:rFonts w:asciiTheme="majorHAnsi" w:hAnsiTheme="majorHAnsi"/>
                <w:sz w:val="18"/>
                <w:szCs w:val="18"/>
              </w:rPr>
              <w:t>:LEARN</w:t>
            </w:r>
            <w:proofErr w:type="gramEnd"/>
            <w:r w:rsidRPr="00B378B6">
              <w:rPr>
                <w:rFonts w:asciiTheme="majorHAnsi" w:hAnsiTheme="majorHAnsi"/>
                <w:sz w:val="18"/>
                <w:szCs w:val="18"/>
              </w:rPr>
              <w:t xml:space="preserve"> guidelines </w:t>
            </w:r>
          </w:p>
        </w:tc>
        <w:tc>
          <w:tcPr>
            <w:tcW w:w="1936" w:type="dxa"/>
          </w:tcPr>
          <w:p w14:paraId="3B8A7700"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c>
          <w:tcPr>
            <w:tcW w:w="2088" w:type="dxa"/>
          </w:tcPr>
          <w:p w14:paraId="4A041DFB"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cs="Arial"/>
                <w:color w:val="000000"/>
                <w:sz w:val="18"/>
                <w:szCs w:val="18"/>
              </w:rPr>
              <w:t>64% of active GEF IW projects establish a project website according to the IW</w:t>
            </w:r>
            <w:proofErr w:type="gramStart"/>
            <w:r w:rsidRPr="00B378B6">
              <w:rPr>
                <w:rFonts w:asciiTheme="majorHAnsi" w:hAnsiTheme="majorHAnsi" w:cs="Arial"/>
                <w:color w:val="000000"/>
                <w:sz w:val="18"/>
                <w:szCs w:val="18"/>
              </w:rPr>
              <w:t>:LEARN</w:t>
            </w:r>
            <w:proofErr w:type="gramEnd"/>
            <w:r w:rsidRPr="00B378B6">
              <w:rPr>
                <w:rFonts w:asciiTheme="majorHAnsi" w:hAnsiTheme="majorHAnsi" w:cs="Arial"/>
                <w:color w:val="000000"/>
                <w:sz w:val="18"/>
                <w:szCs w:val="18"/>
              </w:rPr>
              <w:t xml:space="preserve"> guidelines  </w:t>
            </w:r>
          </w:p>
        </w:tc>
        <w:tc>
          <w:tcPr>
            <w:tcW w:w="1755" w:type="dxa"/>
            <w:vMerge/>
          </w:tcPr>
          <w:p w14:paraId="1AFEFE01"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r>
      <w:tr w:rsidR="00D2027A" w:rsidRPr="00F869DC" w14:paraId="3AB89BA8" w14:textId="77777777" w:rsidTr="001A76BE">
        <w:trPr>
          <w:jc w:val="center"/>
        </w:trPr>
        <w:tc>
          <w:tcPr>
            <w:tcW w:w="2210" w:type="dxa"/>
            <w:vMerge/>
            <w:shd w:val="pct12" w:color="auto" w:fill="auto"/>
          </w:tcPr>
          <w:p w14:paraId="4C1CD489" w14:textId="77777777" w:rsidR="00D2027A" w:rsidRPr="00B378B6" w:rsidRDefault="00D2027A" w:rsidP="00FD6656">
            <w:pPr>
              <w:spacing w:before="20" w:after="20"/>
              <w:rPr>
                <w:rFonts w:asciiTheme="majorHAnsi" w:hAnsiTheme="majorHAnsi"/>
                <w:b/>
                <w:bCs/>
                <w:sz w:val="18"/>
                <w:szCs w:val="18"/>
              </w:rPr>
            </w:pPr>
          </w:p>
        </w:tc>
        <w:tc>
          <w:tcPr>
            <w:tcW w:w="1867" w:type="dxa"/>
          </w:tcPr>
          <w:p w14:paraId="0912763F"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of</w:t>
            </w:r>
            <w:proofErr w:type="gramEnd"/>
            <w:r w:rsidRPr="00B378B6">
              <w:rPr>
                <w:rFonts w:asciiTheme="majorHAnsi" w:hAnsiTheme="majorHAnsi"/>
                <w:sz w:val="18"/>
                <w:szCs w:val="18"/>
              </w:rPr>
              <w:t xml:space="preserve"> active projects that produce IW Experience Notes, which center on a key project achievement or innovation.</w:t>
            </w:r>
            <w:r w:rsidRPr="00B378B6">
              <w:rPr>
                <w:rFonts w:asciiTheme="majorHAnsi" w:hAnsiTheme="majorHAnsi"/>
                <w:sz w:val="18"/>
                <w:szCs w:val="18"/>
              </w:rPr>
              <w:tab/>
            </w:r>
          </w:p>
        </w:tc>
        <w:tc>
          <w:tcPr>
            <w:tcW w:w="2127" w:type="dxa"/>
            <w:vMerge/>
          </w:tcPr>
          <w:p w14:paraId="52F9BBBD" w14:textId="77777777" w:rsidR="00D2027A" w:rsidRPr="001A76BE" w:rsidRDefault="00D2027A" w:rsidP="00FD6656">
            <w:pPr>
              <w:autoSpaceDE w:val="0"/>
              <w:autoSpaceDN w:val="0"/>
              <w:adjustRightInd w:val="0"/>
              <w:spacing w:before="20" w:after="20"/>
              <w:rPr>
                <w:rFonts w:asciiTheme="majorHAnsi" w:hAnsiTheme="majorHAnsi"/>
                <w:sz w:val="18"/>
                <w:szCs w:val="18"/>
              </w:rPr>
            </w:pPr>
          </w:p>
        </w:tc>
        <w:tc>
          <w:tcPr>
            <w:tcW w:w="2173" w:type="dxa"/>
          </w:tcPr>
          <w:p w14:paraId="244F06A3" w14:textId="5436BCE7" w:rsidR="00D2027A" w:rsidRPr="00B378B6" w:rsidRDefault="00D2027A" w:rsidP="00FD6656">
            <w:pPr>
              <w:autoSpaceDE w:val="0"/>
              <w:autoSpaceDN w:val="0"/>
              <w:adjustRightInd w:val="0"/>
              <w:spacing w:before="20" w:after="20"/>
              <w:rPr>
                <w:rFonts w:asciiTheme="majorHAnsi" w:hAnsiTheme="majorHAnsi"/>
                <w:sz w:val="18"/>
                <w:szCs w:val="18"/>
                <w:highlight w:val="yellow"/>
              </w:rPr>
            </w:pPr>
            <w:r w:rsidRPr="00B378B6">
              <w:rPr>
                <w:rFonts w:asciiTheme="majorHAnsi" w:hAnsiTheme="majorHAnsi"/>
                <w:sz w:val="18"/>
                <w:szCs w:val="18"/>
              </w:rPr>
              <w:t xml:space="preserve">100% of active FSP’s produce at least 2 experience notes, and MSP’s produce at least </w:t>
            </w:r>
            <w:proofErr w:type="gramStart"/>
            <w:r w:rsidRPr="00B378B6">
              <w:rPr>
                <w:rFonts w:asciiTheme="majorHAnsi" w:hAnsiTheme="majorHAnsi"/>
                <w:sz w:val="18"/>
                <w:szCs w:val="18"/>
              </w:rPr>
              <w:t>1 experience</w:t>
            </w:r>
            <w:proofErr w:type="gramEnd"/>
            <w:r w:rsidRPr="00B378B6">
              <w:rPr>
                <w:rFonts w:asciiTheme="majorHAnsi" w:hAnsiTheme="majorHAnsi"/>
                <w:sz w:val="18"/>
                <w:szCs w:val="18"/>
              </w:rPr>
              <w:t xml:space="preserve"> notes, which center on a key project achievement or innovation.</w:t>
            </w:r>
          </w:p>
        </w:tc>
        <w:tc>
          <w:tcPr>
            <w:tcW w:w="1936" w:type="dxa"/>
          </w:tcPr>
          <w:p w14:paraId="06BE5417"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c>
          <w:tcPr>
            <w:tcW w:w="2088" w:type="dxa"/>
          </w:tcPr>
          <w:p w14:paraId="4EACA4A9"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cs="Arial"/>
                <w:color w:val="000000"/>
                <w:sz w:val="18"/>
                <w:szCs w:val="18"/>
              </w:rPr>
              <w:t xml:space="preserve">0% of active FSP’s produce experience notes, </w:t>
            </w:r>
            <w:r>
              <w:rPr>
                <w:rFonts w:asciiTheme="majorHAnsi" w:hAnsiTheme="majorHAnsi" w:cs="Arial"/>
                <w:color w:val="000000"/>
                <w:sz w:val="18"/>
                <w:szCs w:val="18"/>
              </w:rPr>
              <w:t xml:space="preserve">0 </w:t>
            </w:r>
            <w:r w:rsidRPr="00B378B6">
              <w:rPr>
                <w:rFonts w:asciiTheme="majorHAnsi" w:hAnsiTheme="majorHAnsi" w:cs="Arial"/>
                <w:color w:val="000000"/>
                <w:sz w:val="18"/>
                <w:szCs w:val="18"/>
              </w:rPr>
              <w:t>MSP’s produce experience notes</w:t>
            </w:r>
            <w:proofErr w:type="gramStart"/>
            <w:r w:rsidRPr="00B378B6">
              <w:rPr>
                <w:rFonts w:asciiTheme="majorHAnsi" w:hAnsiTheme="majorHAnsi" w:cs="Arial"/>
                <w:color w:val="000000"/>
                <w:sz w:val="18"/>
                <w:szCs w:val="18"/>
              </w:rPr>
              <w:t xml:space="preserve">,  </w:t>
            </w:r>
            <w:proofErr w:type="gramEnd"/>
          </w:p>
        </w:tc>
        <w:tc>
          <w:tcPr>
            <w:tcW w:w="1755" w:type="dxa"/>
            <w:vMerge/>
          </w:tcPr>
          <w:p w14:paraId="5035CAF9"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r>
      <w:tr w:rsidR="00D2027A" w:rsidRPr="00F869DC" w14:paraId="0E1763EB" w14:textId="77777777" w:rsidTr="001A76BE">
        <w:trPr>
          <w:jc w:val="center"/>
        </w:trPr>
        <w:tc>
          <w:tcPr>
            <w:tcW w:w="2210" w:type="dxa"/>
            <w:vMerge/>
            <w:shd w:val="pct12" w:color="auto" w:fill="auto"/>
          </w:tcPr>
          <w:p w14:paraId="573856C5" w14:textId="77777777" w:rsidR="00D2027A" w:rsidRPr="00B378B6" w:rsidRDefault="00D2027A" w:rsidP="00FD6656">
            <w:pPr>
              <w:spacing w:before="20" w:after="20"/>
              <w:rPr>
                <w:rFonts w:asciiTheme="majorHAnsi" w:hAnsiTheme="majorHAnsi"/>
                <w:b/>
                <w:bCs/>
                <w:sz w:val="18"/>
                <w:szCs w:val="18"/>
              </w:rPr>
            </w:pPr>
          </w:p>
        </w:tc>
        <w:tc>
          <w:tcPr>
            <w:tcW w:w="1867" w:type="dxa"/>
          </w:tcPr>
          <w:p w14:paraId="27659C22"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Number of IW projects attracting private sector finance</w:t>
            </w:r>
          </w:p>
        </w:tc>
        <w:tc>
          <w:tcPr>
            <w:tcW w:w="2127" w:type="dxa"/>
            <w:vMerge/>
          </w:tcPr>
          <w:p w14:paraId="21C537E5" w14:textId="77777777" w:rsidR="00D2027A" w:rsidRPr="001A76BE" w:rsidRDefault="00D2027A" w:rsidP="00FD6656">
            <w:pPr>
              <w:autoSpaceDE w:val="0"/>
              <w:autoSpaceDN w:val="0"/>
              <w:adjustRightInd w:val="0"/>
              <w:spacing w:before="20" w:after="20"/>
              <w:rPr>
                <w:rFonts w:asciiTheme="majorHAnsi" w:hAnsiTheme="majorHAnsi"/>
                <w:sz w:val="18"/>
                <w:szCs w:val="18"/>
              </w:rPr>
            </w:pPr>
          </w:p>
        </w:tc>
        <w:tc>
          <w:tcPr>
            <w:tcW w:w="2173" w:type="dxa"/>
          </w:tcPr>
          <w:p w14:paraId="002392A8" w14:textId="51A428FC" w:rsidR="00D2027A" w:rsidRPr="00B378B6" w:rsidRDefault="00D2027A" w:rsidP="00FD6656">
            <w:pPr>
              <w:autoSpaceDE w:val="0"/>
              <w:autoSpaceDN w:val="0"/>
              <w:adjustRightInd w:val="0"/>
              <w:spacing w:before="20" w:after="20"/>
              <w:rPr>
                <w:rFonts w:asciiTheme="majorHAnsi" w:hAnsiTheme="majorHAnsi"/>
                <w:sz w:val="18"/>
                <w:szCs w:val="18"/>
                <w:highlight w:val="yellow"/>
              </w:rPr>
            </w:pPr>
            <w:r w:rsidRPr="00B378B6">
              <w:rPr>
                <w:rFonts w:asciiTheme="majorHAnsi" w:hAnsiTheme="majorHAnsi"/>
                <w:sz w:val="18"/>
                <w:szCs w:val="18"/>
              </w:rPr>
              <w:t>10 projects have attracted private sector finance</w:t>
            </w:r>
          </w:p>
        </w:tc>
        <w:tc>
          <w:tcPr>
            <w:tcW w:w="1936" w:type="dxa"/>
          </w:tcPr>
          <w:p w14:paraId="6FBDE363"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c>
          <w:tcPr>
            <w:tcW w:w="2088" w:type="dxa"/>
          </w:tcPr>
          <w:p w14:paraId="62C93B2F" w14:textId="77777777" w:rsidR="00D2027A" w:rsidRPr="00B378B6" w:rsidRDefault="00D2027A" w:rsidP="00FD6656">
            <w:pPr>
              <w:autoSpaceDE w:val="0"/>
              <w:autoSpaceDN w:val="0"/>
              <w:adjustRightInd w:val="0"/>
              <w:spacing w:before="20" w:after="20"/>
              <w:rPr>
                <w:rFonts w:asciiTheme="majorHAnsi" w:hAnsiTheme="majorHAnsi"/>
                <w:sz w:val="18"/>
                <w:szCs w:val="18"/>
              </w:rPr>
            </w:pPr>
            <w:r>
              <w:rPr>
                <w:rFonts w:asciiTheme="majorHAnsi" w:hAnsiTheme="majorHAnsi" w:cs="Arial"/>
                <w:color w:val="000000"/>
                <w:sz w:val="18"/>
                <w:szCs w:val="18"/>
              </w:rPr>
              <w:t>1 project has</w:t>
            </w:r>
            <w:r w:rsidRPr="00B378B6">
              <w:rPr>
                <w:rFonts w:asciiTheme="majorHAnsi" w:hAnsiTheme="majorHAnsi" w:cs="Arial"/>
                <w:color w:val="000000"/>
                <w:sz w:val="18"/>
                <w:szCs w:val="18"/>
              </w:rPr>
              <w:t xml:space="preserve"> attracted private sector finance</w:t>
            </w:r>
          </w:p>
        </w:tc>
        <w:tc>
          <w:tcPr>
            <w:tcW w:w="1755" w:type="dxa"/>
            <w:vMerge/>
          </w:tcPr>
          <w:p w14:paraId="5CF069CA"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r>
      <w:tr w:rsidR="00D2027A" w:rsidRPr="00F869DC" w14:paraId="744FF77F" w14:textId="77777777" w:rsidTr="001A76BE">
        <w:trPr>
          <w:jc w:val="center"/>
        </w:trPr>
        <w:tc>
          <w:tcPr>
            <w:tcW w:w="2210" w:type="dxa"/>
            <w:vMerge/>
            <w:shd w:val="pct12" w:color="auto" w:fill="auto"/>
          </w:tcPr>
          <w:p w14:paraId="3260F9AD" w14:textId="77777777" w:rsidR="00D2027A" w:rsidRPr="00B378B6" w:rsidRDefault="00D2027A" w:rsidP="00FD6656">
            <w:pPr>
              <w:spacing w:before="20" w:after="20"/>
              <w:rPr>
                <w:rFonts w:asciiTheme="majorHAnsi" w:hAnsiTheme="majorHAnsi"/>
                <w:b/>
                <w:bCs/>
                <w:sz w:val="18"/>
                <w:szCs w:val="18"/>
              </w:rPr>
            </w:pPr>
          </w:p>
        </w:tc>
        <w:tc>
          <w:tcPr>
            <w:tcW w:w="1867" w:type="dxa"/>
          </w:tcPr>
          <w:p w14:paraId="4D572A61"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existing</w:t>
            </w:r>
            <w:proofErr w:type="gramEnd"/>
            <w:r w:rsidRPr="00B378B6">
              <w:rPr>
                <w:rFonts w:asciiTheme="majorHAnsi" w:hAnsiTheme="majorHAnsi"/>
                <w:sz w:val="18"/>
                <w:szCs w:val="18"/>
              </w:rPr>
              <w:t xml:space="preserve"> IW projects uploading results to iwlearn.net</w:t>
            </w:r>
          </w:p>
        </w:tc>
        <w:tc>
          <w:tcPr>
            <w:tcW w:w="2127" w:type="dxa"/>
            <w:vMerge/>
          </w:tcPr>
          <w:p w14:paraId="2006299A" w14:textId="77777777" w:rsidR="00D2027A" w:rsidRPr="001A76BE" w:rsidRDefault="00D2027A" w:rsidP="00FD6656">
            <w:pPr>
              <w:autoSpaceDE w:val="0"/>
              <w:autoSpaceDN w:val="0"/>
              <w:adjustRightInd w:val="0"/>
              <w:spacing w:before="20" w:after="20"/>
              <w:rPr>
                <w:rFonts w:asciiTheme="majorHAnsi" w:hAnsiTheme="majorHAnsi"/>
                <w:sz w:val="18"/>
                <w:szCs w:val="18"/>
              </w:rPr>
            </w:pPr>
          </w:p>
        </w:tc>
        <w:tc>
          <w:tcPr>
            <w:tcW w:w="2173" w:type="dxa"/>
          </w:tcPr>
          <w:p w14:paraId="24019E7C" w14:textId="25FE18B2" w:rsidR="00D2027A" w:rsidRPr="00B378B6" w:rsidRDefault="00D2027A" w:rsidP="00FD6656">
            <w:pPr>
              <w:autoSpaceDE w:val="0"/>
              <w:autoSpaceDN w:val="0"/>
              <w:adjustRightInd w:val="0"/>
              <w:spacing w:before="20" w:after="20"/>
              <w:rPr>
                <w:rFonts w:asciiTheme="majorHAnsi" w:hAnsiTheme="majorHAnsi"/>
                <w:sz w:val="18"/>
                <w:szCs w:val="18"/>
                <w:highlight w:val="yellow"/>
              </w:rPr>
            </w:pPr>
            <w:r w:rsidRPr="00B378B6">
              <w:rPr>
                <w:rFonts w:asciiTheme="majorHAnsi" w:hAnsiTheme="majorHAnsi"/>
                <w:sz w:val="18"/>
                <w:szCs w:val="18"/>
              </w:rPr>
              <w:t>85% of existing IW projects (and 50% of closed projects) provide results, etc. to iwlearn.net</w:t>
            </w:r>
          </w:p>
        </w:tc>
        <w:tc>
          <w:tcPr>
            <w:tcW w:w="1936" w:type="dxa"/>
          </w:tcPr>
          <w:p w14:paraId="6D29CD51"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c>
          <w:tcPr>
            <w:tcW w:w="2088" w:type="dxa"/>
          </w:tcPr>
          <w:p w14:paraId="77B68732"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cs="Arial"/>
                <w:color w:val="000000"/>
                <w:sz w:val="18"/>
                <w:szCs w:val="18"/>
              </w:rPr>
              <w:t>100% of existing IW projects (and 50% of closed projects</w:t>
            </w:r>
            <w:proofErr w:type="gramStart"/>
            <w:r w:rsidRPr="00B378B6">
              <w:rPr>
                <w:rFonts w:asciiTheme="majorHAnsi" w:hAnsiTheme="majorHAnsi" w:cs="Arial"/>
                <w:color w:val="000000"/>
                <w:sz w:val="18"/>
                <w:szCs w:val="18"/>
              </w:rPr>
              <w:t>)  have</w:t>
            </w:r>
            <w:proofErr w:type="gramEnd"/>
            <w:r w:rsidRPr="00B378B6">
              <w:rPr>
                <w:rFonts w:asciiTheme="majorHAnsi" w:hAnsiTheme="majorHAnsi" w:cs="Arial"/>
                <w:color w:val="000000"/>
                <w:sz w:val="18"/>
                <w:szCs w:val="18"/>
              </w:rPr>
              <w:t xml:space="preserve"> provided some results, etc. to iwlearn.net</w:t>
            </w:r>
          </w:p>
        </w:tc>
        <w:tc>
          <w:tcPr>
            <w:tcW w:w="1755" w:type="dxa"/>
            <w:vMerge/>
          </w:tcPr>
          <w:p w14:paraId="306D8339" w14:textId="77777777" w:rsidR="00D2027A" w:rsidRPr="00B378B6" w:rsidRDefault="00D2027A" w:rsidP="00FD6656">
            <w:pPr>
              <w:autoSpaceDE w:val="0"/>
              <w:autoSpaceDN w:val="0"/>
              <w:adjustRightInd w:val="0"/>
              <w:spacing w:before="20" w:after="20"/>
              <w:rPr>
                <w:rFonts w:asciiTheme="majorHAnsi" w:hAnsiTheme="majorHAnsi"/>
                <w:sz w:val="18"/>
                <w:szCs w:val="18"/>
              </w:rPr>
            </w:pPr>
          </w:p>
        </w:tc>
      </w:tr>
      <w:tr w:rsidR="005218C8" w:rsidRPr="00F869DC" w14:paraId="278574CD" w14:textId="77777777" w:rsidTr="001A76BE">
        <w:trPr>
          <w:jc w:val="center"/>
        </w:trPr>
        <w:tc>
          <w:tcPr>
            <w:tcW w:w="2210" w:type="dxa"/>
            <w:shd w:val="pct12" w:color="auto" w:fill="auto"/>
          </w:tcPr>
          <w:p w14:paraId="3AD6C284" w14:textId="77777777" w:rsidR="005218C8" w:rsidRDefault="005218C8" w:rsidP="00FD6656">
            <w:pPr>
              <w:keepNext/>
              <w:keepLines/>
              <w:spacing w:before="20" w:after="20"/>
              <w:rPr>
                <w:rFonts w:asciiTheme="majorHAnsi" w:hAnsiTheme="majorHAnsi"/>
                <w:b/>
                <w:bCs/>
                <w:sz w:val="18"/>
                <w:szCs w:val="18"/>
              </w:rPr>
            </w:pPr>
            <w:r w:rsidRPr="00B378B6">
              <w:rPr>
                <w:rFonts w:asciiTheme="majorHAnsi" w:hAnsiTheme="majorHAnsi"/>
                <w:b/>
                <w:bCs/>
                <w:sz w:val="18"/>
                <w:szCs w:val="18"/>
              </w:rPr>
              <w:t>Outcome 1.1</w:t>
            </w:r>
          </w:p>
          <w:p w14:paraId="3D6F2F7B" w14:textId="41B482CF" w:rsidR="005218C8" w:rsidRPr="000A38E5" w:rsidRDefault="005218C8" w:rsidP="00FD6656">
            <w:pPr>
              <w:keepNext/>
              <w:keepLines/>
              <w:spacing w:before="20" w:after="20"/>
              <w:rPr>
                <w:rFonts w:asciiTheme="majorHAnsi" w:hAnsiTheme="majorHAnsi"/>
                <w:bCs/>
                <w:i/>
                <w:sz w:val="18"/>
                <w:szCs w:val="18"/>
              </w:rPr>
            </w:pPr>
            <w:r w:rsidRPr="000A38E5">
              <w:rPr>
                <w:rFonts w:asciiTheme="majorHAnsi" w:hAnsiTheme="majorHAnsi"/>
                <w:bCs/>
                <w:i/>
                <w:sz w:val="18"/>
                <w:szCs w:val="18"/>
              </w:rPr>
              <w:t>(</w:t>
            </w:r>
            <w:proofErr w:type="gramStart"/>
            <w:r w:rsidRPr="000A38E5">
              <w:rPr>
                <w:rFonts w:asciiTheme="majorHAnsi" w:hAnsiTheme="majorHAnsi"/>
                <w:bCs/>
                <w:i/>
                <w:sz w:val="18"/>
                <w:szCs w:val="18"/>
              </w:rPr>
              <w:t>sub</w:t>
            </w:r>
            <w:proofErr w:type="gramEnd"/>
            <w:r w:rsidRPr="000A38E5">
              <w:rPr>
                <w:rFonts w:asciiTheme="majorHAnsi" w:hAnsiTheme="majorHAnsi"/>
                <w:bCs/>
                <w:i/>
                <w:sz w:val="18"/>
                <w:szCs w:val="18"/>
              </w:rPr>
              <w:t>-comp 1a.)</w:t>
            </w:r>
          </w:p>
          <w:p w14:paraId="5BF113B3" w14:textId="700B82C2" w:rsidR="005218C8" w:rsidRPr="00B378B6" w:rsidRDefault="005218C8" w:rsidP="00FD6656">
            <w:pPr>
              <w:keepNext/>
              <w:keepLines/>
              <w:spacing w:before="20" w:after="20"/>
              <w:rPr>
                <w:rFonts w:asciiTheme="majorHAnsi" w:hAnsiTheme="majorHAnsi"/>
                <w:b/>
                <w:bCs/>
                <w:sz w:val="18"/>
                <w:szCs w:val="18"/>
              </w:rPr>
            </w:pPr>
            <w:r>
              <w:rPr>
                <w:rFonts w:asciiTheme="majorHAnsi" w:hAnsiTheme="majorHAnsi"/>
                <w:sz w:val="18"/>
                <w:szCs w:val="18"/>
              </w:rPr>
              <w:t>I</w:t>
            </w:r>
            <w:r w:rsidRPr="00B378B6">
              <w:rPr>
                <w:rFonts w:asciiTheme="majorHAnsi" w:hAnsiTheme="majorHAnsi"/>
                <w:sz w:val="18"/>
                <w:szCs w:val="18"/>
              </w:rPr>
              <w:t>mproved effectiveness in combating Land Degradation in MENARID through an enhanced role of groundwater and improved subsurface space management</w:t>
            </w:r>
          </w:p>
        </w:tc>
        <w:tc>
          <w:tcPr>
            <w:tcW w:w="1867" w:type="dxa"/>
          </w:tcPr>
          <w:p w14:paraId="4A8D9A63" w14:textId="77777777" w:rsidR="005218C8" w:rsidRPr="00B378B6" w:rsidRDefault="005218C8" w:rsidP="00FD6656">
            <w:pPr>
              <w:keepNext/>
              <w:keepLines/>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MENARID projects incorporating GW management planning</w:t>
            </w:r>
          </w:p>
        </w:tc>
        <w:tc>
          <w:tcPr>
            <w:tcW w:w="2127" w:type="dxa"/>
          </w:tcPr>
          <w:p w14:paraId="0F6275AB" w14:textId="4891F2C1" w:rsidR="005218C8" w:rsidRPr="001A76BE" w:rsidRDefault="00D2027A" w:rsidP="00FD6656">
            <w:pPr>
              <w:widowControl w:val="0"/>
              <w:autoSpaceDE w:val="0"/>
              <w:autoSpaceDN w:val="0"/>
              <w:adjustRightInd w:val="0"/>
              <w:spacing w:before="20" w:after="20"/>
              <w:rPr>
                <w:rFonts w:asciiTheme="majorHAnsi" w:hAnsiTheme="majorHAnsi"/>
                <w:sz w:val="18"/>
                <w:szCs w:val="18"/>
              </w:rPr>
            </w:pPr>
            <w:r w:rsidRPr="001A76BE">
              <w:rPr>
                <w:rFonts w:asciiTheme="majorHAnsi" w:hAnsiTheme="majorHAnsi"/>
                <w:sz w:val="18"/>
                <w:szCs w:val="18"/>
              </w:rPr>
              <w:t>Facilitated technical groups and other IW LEARN tools promote effective exchanges among projects and countries and succeed in raising active participation / involvement of stakeholders.</w:t>
            </w:r>
          </w:p>
        </w:tc>
        <w:tc>
          <w:tcPr>
            <w:tcW w:w="2173" w:type="dxa"/>
          </w:tcPr>
          <w:p w14:paraId="35689212" w14:textId="2776B09E" w:rsidR="005218C8" w:rsidRPr="00B378B6" w:rsidRDefault="005218C8"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100% of MENARID projects incorporate 5 new </w:t>
            </w:r>
            <w:proofErr w:type="gramStart"/>
            <w:r w:rsidRPr="00B378B6">
              <w:rPr>
                <w:rFonts w:asciiTheme="majorHAnsi" w:hAnsiTheme="majorHAnsi"/>
                <w:sz w:val="18"/>
                <w:szCs w:val="18"/>
              </w:rPr>
              <w:t>management planning</w:t>
            </w:r>
            <w:proofErr w:type="gramEnd"/>
            <w:r w:rsidRPr="00B378B6">
              <w:rPr>
                <w:rFonts w:asciiTheme="majorHAnsi" w:hAnsiTheme="majorHAnsi"/>
                <w:sz w:val="18"/>
                <w:szCs w:val="18"/>
              </w:rPr>
              <w:t xml:space="preserve"> activities of GW use/protection in their activities.</w:t>
            </w:r>
          </w:p>
        </w:tc>
        <w:tc>
          <w:tcPr>
            <w:tcW w:w="1936" w:type="dxa"/>
          </w:tcPr>
          <w:p w14:paraId="07B888AC" w14:textId="77777777" w:rsidR="005218C8" w:rsidRPr="00B378B6" w:rsidRDefault="005218C8"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100% of MENARID projects incorporate at new management planning activities of GW use/protection in their activities.</w:t>
            </w:r>
          </w:p>
        </w:tc>
        <w:tc>
          <w:tcPr>
            <w:tcW w:w="2088" w:type="dxa"/>
          </w:tcPr>
          <w:p w14:paraId="4D5FD094" w14:textId="77777777" w:rsidR="005218C8" w:rsidRPr="00B378B6" w:rsidRDefault="005218C8"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Capacity of 100% of MENARID projects built to integrate groundwater elements and considerations into project execution. (</w:t>
            </w:r>
            <w:proofErr w:type="gramStart"/>
            <w:r w:rsidRPr="00B378B6">
              <w:rPr>
                <w:rFonts w:asciiTheme="majorHAnsi" w:hAnsiTheme="majorHAnsi"/>
                <w:sz w:val="18"/>
                <w:szCs w:val="18"/>
              </w:rPr>
              <w:t>all</w:t>
            </w:r>
            <w:proofErr w:type="gramEnd"/>
            <w:r w:rsidRPr="00B378B6">
              <w:rPr>
                <w:rFonts w:asciiTheme="majorHAnsi" w:hAnsiTheme="majorHAnsi"/>
                <w:sz w:val="18"/>
                <w:szCs w:val="18"/>
              </w:rPr>
              <w:t xml:space="preserve"> MENARID project portfolio attend at least 1 UNESCO training</w:t>
            </w:r>
          </w:p>
        </w:tc>
        <w:tc>
          <w:tcPr>
            <w:tcW w:w="1755" w:type="dxa"/>
          </w:tcPr>
          <w:p w14:paraId="6FD18A0A" w14:textId="77777777" w:rsidR="005218C8" w:rsidRPr="00B378B6" w:rsidRDefault="005218C8"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Good progress. </w:t>
            </w:r>
          </w:p>
          <w:p w14:paraId="54A99E63" w14:textId="3ED180F2" w:rsidR="005218C8" w:rsidRPr="00B378B6" w:rsidRDefault="005218C8" w:rsidP="00FD6656">
            <w:pPr>
              <w:widowControl w:val="0"/>
              <w:autoSpaceDE w:val="0"/>
              <w:autoSpaceDN w:val="0"/>
              <w:adjustRightInd w:val="0"/>
              <w:spacing w:before="20" w:after="20"/>
              <w:rPr>
                <w:rFonts w:asciiTheme="majorHAnsi" w:hAnsiTheme="majorHAnsi"/>
                <w:sz w:val="18"/>
                <w:szCs w:val="18"/>
              </w:rPr>
            </w:pPr>
            <w:r>
              <w:rPr>
                <w:rFonts w:asciiTheme="majorHAnsi" w:hAnsiTheme="majorHAnsi"/>
                <w:sz w:val="18"/>
                <w:szCs w:val="18"/>
              </w:rPr>
              <w:t>In target r</w:t>
            </w:r>
            <w:r w:rsidRPr="00B378B6">
              <w:rPr>
                <w:rFonts w:asciiTheme="majorHAnsi" w:hAnsiTheme="majorHAnsi"/>
                <w:sz w:val="18"/>
                <w:szCs w:val="18"/>
              </w:rPr>
              <w:t>ef to 5 new activitie</w:t>
            </w:r>
            <w:r>
              <w:rPr>
                <w:rFonts w:asciiTheme="majorHAnsi" w:hAnsiTheme="majorHAnsi"/>
                <w:sz w:val="18"/>
                <w:szCs w:val="18"/>
              </w:rPr>
              <w:t>s is arbitrary and unrealistic.</w:t>
            </w:r>
          </w:p>
          <w:p w14:paraId="0A2E2671" w14:textId="77777777" w:rsidR="005218C8" w:rsidRPr="00B378B6" w:rsidRDefault="005218C8" w:rsidP="00FD6656">
            <w:pPr>
              <w:widowControl w:val="0"/>
              <w:autoSpaceDE w:val="0"/>
              <w:autoSpaceDN w:val="0"/>
              <w:adjustRightInd w:val="0"/>
              <w:spacing w:before="20" w:after="20"/>
              <w:rPr>
                <w:rFonts w:asciiTheme="majorHAnsi" w:hAnsiTheme="majorHAnsi"/>
                <w:sz w:val="18"/>
                <w:szCs w:val="18"/>
              </w:rPr>
            </w:pPr>
          </w:p>
        </w:tc>
      </w:tr>
      <w:tr w:rsidR="00D2027A" w:rsidRPr="00F869DC" w14:paraId="7B490718" w14:textId="77777777" w:rsidTr="001A76BE">
        <w:trPr>
          <w:jc w:val="center"/>
        </w:trPr>
        <w:tc>
          <w:tcPr>
            <w:tcW w:w="2210" w:type="dxa"/>
            <w:vMerge w:val="restart"/>
            <w:shd w:val="pct12" w:color="auto" w:fill="auto"/>
          </w:tcPr>
          <w:p w14:paraId="45DE9558" w14:textId="77777777" w:rsidR="00D2027A" w:rsidRDefault="00D2027A" w:rsidP="00FD6656">
            <w:pPr>
              <w:keepNext/>
              <w:keepLines/>
              <w:spacing w:before="20" w:after="20"/>
              <w:rPr>
                <w:rFonts w:asciiTheme="majorHAnsi" w:hAnsiTheme="majorHAnsi"/>
                <w:b/>
                <w:bCs/>
                <w:sz w:val="18"/>
                <w:szCs w:val="18"/>
              </w:rPr>
            </w:pPr>
            <w:r w:rsidRPr="00B378B6">
              <w:rPr>
                <w:rFonts w:asciiTheme="majorHAnsi" w:hAnsiTheme="majorHAnsi"/>
                <w:b/>
                <w:bCs/>
                <w:sz w:val="18"/>
                <w:szCs w:val="18"/>
              </w:rPr>
              <w:t>Outcome 1.2</w:t>
            </w:r>
          </w:p>
          <w:p w14:paraId="7AB491CD" w14:textId="7C4A5749" w:rsidR="00D2027A" w:rsidRPr="000A38E5" w:rsidRDefault="00D2027A" w:rsidP="00FD6656">
            <w:pPr>
              <w:keepNext/>
              <w:keepLines/>
              <w:spacing w:before="20" w:after="20"/>
              <w:rPr>
                <w:rFonts w:asciiTheme="majorHAnsi" w:hAnsiTheme="majorHAnsi"/>
                <w:bCs/>
                <w:i/>
                <w:sz w:val="18"/>
                <w:szCs w:val="18"/>
              </w:rPr>
            </w:pPr>
            <w:r w:rsidRPr="000A38E5">
              <w:rPr>
                <w:rFonts w:asciiTheme="majorHAnsi" w:hAnsiTheme="majorHAnsi"/>
                <w:bCs/>
                <w:i/>
                <w:sz w:val="18"/>
                <w:szCs w:val="18"/>
              </w:rPr>
              <w:t>(</w:t>
            </w:r>
            <w:proofErr w:type="gramStart"/>
            <w:r w:rsidRPr="000A38E5">
              <w:rPr>
                <w:rFonts w:asciiTheme="majorHAnsi" w:hAnsiTheme="majorHAnsi"/>
                <w:bCs/>
                <w:i/>
                <w:sz w:val="18"/>
                <w:szCs w:val="18"/>
              </w:rPr>
              <w:t>sub</w:t>
            </w:r>
            <w:proofErr w:type="gramEnd"/>
            <w:r w:rsidRPr="000A38E5">
              <w:rPr>
                <w:rFonts w:asciiTheme="majorHAnsi" w:hAnsiTheme="majorHAnsi"/>
                <w:bCs/>
                <w:i/>
                <w:sz w:val="18"/>
                <w:szCs w:val="18"/>
              </w:rPr>
              <w:t>-comps 1b, 1c)</w:t>
            </w:r>
          </w:p>
          <w:p w14:paraId="071425A4" w14:textId="77777777" w:rsidR="00D2027A" w:rsidRPr="00B378B6" w:rsidRDefault="00D2027A" w:rsidP="00FD6656">
            <w:pPr>
              <w:keepNext/>
              <w:keepLines/>
              <w:spacing w:before="20" w:after="20"/>
              <w:rPr>
                <w:rFonts w:asciiTheme="majorHAnsi" w:hAnsiTheme="majorHAnsi"/>
                <w:sz w:val="18"/>
                <w:szCs w:val="18"/>
              </w:rPr>
            </w:pPr>
            <w:r w:rsidRPr="00B378B6">
              <w:rPr>
                <w:rFonts w:asciiTheme="majorHAnsi" w:hAnsiTheme="majorHAnsi"/>
                <w:sz w:val="18"/>
                <w:szCs w:val="18"/>
              </w:rPr>
              <w:t xml:space="preserve">Enabling regional inter-basin coordination to enhance management capacity of institutions and project partners </w:t>
            </w:r>
          </w:p>
          <w:p w14:paraId="2AF4C1CC" w14:textId="77777777" w:rsidR="00D2027A" w:rsidRPr="00B378B6" w:rsidRDefault="00D2027A" w:rsidP="00FD6656">
            <w:pPr>
              <w:keepNext/>
              <w:keepLines/>
              <w:spacing w:before="20" w:after="20"/>
              <w:rPr>
                <w:rFonts w:asciiTheme="majorHAnsi" w:hAnsiTheme="majorHAnsi"/>
                <w:sz w:val="18"/>
                <w:szCs w:val="18"/>
              </w:rPr>
            </w:pPr>
          </w:p>
          <w:p w14:paraId="0ABB71F3" w14:textId="77777777" w:rsidR="00D2027A" w:rsidRPr="00B378B6" w:rsidRDefault="00D2027A" w:rsidP="00FD6656">
            <w:pPr>
              <w:keepNext/>
              <w:keepLines/>
              <w:spacing w:before="20" w:after="20"/>
              <w:rPr>
                <w:rFonts w:asciiTheme="majorHAnsi" w:hAnsiTheme="majorHAnsi"/>
                <w:b/>
                <w:bCs/>
                <w:sz w:val="18"/>
                <w:szCs w:val="18"/>
              </w:rPr>
            </w:pPr>
          </w:p>
        </w:tc>
        <w:tc>
          <w:tcPr>
            <w:tcW w:w="1867" w:type="dxa"/>
          </w:tcPr>
          <w:p w14:paraId="540F2BA7" w14:textId="77777777" w:rsidR="00D2027A" w:rsidRPr="00B378B6" w:rsidRDefault="00D2027A" w:rsidP="00FD6656">
            <w:pPr>
              <w:keepNext/>
              <w:keepLines/>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Number of new regional processes in SEE</w:t>
            </w:r>
          </w:p>
        </w:tc>
        <w:tc>
          <w:tcPr>
            <w:tcW w:w="2127" w:type="dxa"/>
            <w:vMerge w:val="restart"/>
          </w:tcPr>
          <w:p w14:paraId="57237555" w14:textId="58270E1F" w:rsidR="001A76BE" w:rsidRPr="001A76BE" w:rsidRDefault="001A76BE" w:rsidP="001A76BE">
            <w:pPr>
              <w:spacing w:before="20" w:after="20"/>
              <w:rPr>
                <w:rFonts w:asciiTheme="majorHAnsi" w:hAnsiTheme="majorHAnsi"/>
                <w:sz w:val="18"/>
                <w:szCs w:val="18"/>
              </w:rPr>
            </w:pPr>
            <w:r w:rsidRPr="001A76BE">
              <w:rPr>
                <w:rFonts w:asciiTheme="majorHAnsi" w:hAnsiTheme="majorHAnsi"/>
                <w:sz w:val="18"/>
                <w:szCs w:val="18"/>
              </w:rPr>
              <w:t xml:space="preserve">National governments, development partners and stakeholders engage willingly and productively in the dialogue and knowledge sharing activities. </w:t>
            </w:r>
          </w:p>
          <w:p w14:paraId="263FB95E" w14:textId="0A87729E" w:rsidR="001A76BE" w:rsidRPr="001A76BE" w:rsidRDefault="001A76BE" w:rsidP="001A76BE">
            <w:pPr>
              <w:spacing w:before="20" w:after="20"/>
              <w:rPr>
                <w:rFonts w:asciiTheme="majorHAnsi" w:hAnsiTheme="majorHAnsi"/>
                <w:sz w:val="18"/>
                <w:szCs w:val="18"/>
              </w:rPr>
            </w:pPr>
            <w:r>
              <w:rPr>
                <w:rFonts w:asciiTheme="majorHAnsi" w:hAnsiTheme="majorHAnsi"/>
                <w:sz w:val="18"/>
                <w:szCs w:val="18"/>
              </w:rPr>
              <w:t xml:space="preserve">    </w:t>
            </w:r>
            <w:r w:rsidRPr="001A76BE">
              <w:rPr>
                <w:rFonts w:asciiTheme="majorHAnsi" w:hAnsiTheme="majorHAnsi"/>
                <w:sz w:val="18"/>
                <w:szCs w:val="18"/>
              </w:rPr>
              <w:t>Stakeholders are adequately represented in the dialogue and engage in effective interaction.</w:t>
            </w:r>
          </w:p>
          <w:p w14:paraId="0A0ADE03" w14:textId="2E364FE9" w:rsidR="001A76BE" w:rsidRPr="001A76BE" w:rsidRDefault="001A76BE" w:rsidP="001A76BE">
            <w:pPr>
              <w:spacing w:before="20" w:after="20"/>
              <w:rPr>
                <w:rFonts w:asciiTheme="majorHAnsi" w:hAnsiTheme="majorHAnsi"/>
                <w:sz w:val="18"/>
                <w:szCs w:val="18"/>
              </w:rPr>
            </w:pPr>
            <w:r>
              <w:rPr>
                <w:rFonts w:asciiTheme="majorHAnsi" w:hAnsiTheme="majorHAnsi"/>
                <w:sz w:val="18"/>
                <w:szCs w:val="18"/>
              </w:rPr>
              <w:t xml:space="preserve">    </w:t>
            </w:r>
            <w:r w:rsidRPr="001A76BE">
              <w:rPr>
                <w:rFonts w:asciiTheme="majorHAnsi" w:hAnsiTheme="majorHAnsi"/>
                <w:sz w:val="18"/>
                <w:szCs w:val="18"/>
              </w:rPr>
              <w:t xml:space="preserve">GEF projects in the SEE and the Med region are well informed about the IWLEARN and are willing or able to engage </w:t>
            </w:r>
          </w:p>
          <w:p w14:paraId="702C039E" w14:textId="6499E0F1" w:rsidR="001A76BE" w:rsidRPr="001A76BE" w:rsidRDefault="001A76BE" w:rsidP="001A76BE">
            <w:pPr>
              <w:spacing w:before="20" w:after="20"/>
              <w:rPr>
                <w:rFonts w:asciiTheme="majorHAnsi" w:hAnsiTheme="majorHAnsi"/>
                <w:sz w:val="18"/>
                <w:szCs w:val="18"/>
              </w:rPr>
            </w:pPr>
            <w:r>
              <w:rPr>
                <w:rFonts w:asciiTheme="majorHAnsi" w:hAnsiTheme="majorHAnsi"/>
                <w:sz w:val="18"/>
                <w:szCs w:val="18"/>
              </w:rPr>
              <w:t xml:space="preserve">    </w:t>
            </w:r>
            <w:r w:rsidRPr="001A76BE">
              <w:rPr>
                <w:rFonts w:asciiTheme="majorHAnsi" w:hAnsiTheme="majorHAnsi"/>
                <w:sz w:val="18"/>
                <w:szCs w:val="18"/>
              </w:rPr>
              <w:t xml:space="preserve">Insufficient funding or capacity to hold 3 regional meetings </w:t>
            </w:r>
          </w:p>
          <w:p w14:paraId="33ED7C18" w14:textId="79BA523C" w:rsidR="001A76BE" w:rsidRPr="001A76BE" w:rsidRDefault="001A76BE" w:rsidP="001A76BE">
            <w:pPr>
              <w:spacing w:before="20" w:after="20"/>
              <w:rPr>
                <w:rFonts w:asciiTheme="majorHAnsi" w:hAnsiTheme="majorHAnsi"/>
                <w:sz w:val="18"/>
                <w:szCs w:val="18"/>
              </w:rPr>
            </w:pPr>
            <w:r>
              <w:rPr>
                <w:rFonts w:asciiTheme="majorHAnsi" w:hAnsiTheme="majorHAnsi"/>
                <w:sz w:val="18"/>
                <w:szCs w:val="18"/>
              </w:rPr>
              <w:t xml:space="preserve">    </w:t>
            </w:r>
            <w:r w:rsidRPr="001A76BE">
              <w:rPr>
                <w:rFonts w:asciiTheme="majorHAnsi" w:hAnsiTheme="majorHAnsi"/>
                <w:sz w:val="18"/>
                <w:szCs w:val="18"/>
              </w:rPr>
              <w:t>Sufficient interest to hold 5 learning exchanges in each region</w:t>
            </w:r>
          </w:p>
          <w:p w14:paraId="7D91768F" w14:textId="0610F40F" w:rsidR="001A76BE" w:rsidRPr="001A76BE" w:rsidRDefault="001A76BE" w:rsidP="001A76BE">
            <w:pPr>
              <w:spacing w:before="20" w:after="20"/>
              <w:rPr>
                <w:rFonts w:asciiTheme="majorHAnsi" w:hAnsiTheme="majorHAnsi"/>
                <w:sz w:val="18"/>
                <w:szCs w:val="18"/>
              </w:rPr>
            </w:pPr>
            <w:r>
              <w:rPr>
                <w:rFonts w:asciiTheme="majorHAnsi" w:hAnsiTheme="majorHAnsi"/>
                <w:sz w:val="18"/>
                <w:szCs w:val="18"/>
              </w:rPr>
              <w:t xml:space="preserve">    </w:t>
            </w:r>
            <w:r w:rsidRPr="001A76BE">
              <w:rPr>
                <w:rFonts w:asciiTheme="majorHAnsi" w:hAnsiTheme="majorHAnsi"/>
                <w:sz w:val="18"/>
                <w:szCs w:val="18"/>
              </w:rPr>
              <w:t xml:space="preserve">Not all </w:t>
            </w:r>
            <w:proofErr w:type="gramStart"/>
            <w:r w:rsidRPr="001A76BE">
              <w:rPr>
                <w:rFonts w:asciiTheme="majorHAnsi" w:hAnsiTheme="majorHAnsi"/>
                <w:sz w:val="18"/>
                <w:szCs w:val="18"/>
              </w:rPr>
              <w:t>3 ecosystem</w:t>
            </w:r>
            <w:proofErr w:type="gramEnd"/>
            <w:r w:rsidRPr="001A76BE">
              <w:rPr>
                <w:rFonts w:asciiTheme="majorHAnsi" w:hAnsiTheme="majorHAnsi"/>
                <w:sz w:val="18"/>
                <w:szCs w:val="18"/>
              </w:rPr>
              <w:t xml:space="preserve"> types (marine, groundwater, surface) participate equitably. </w:t>
            </w:r>
          </w:p>
          <w:p w14:paraId="37E88511" w14:textId="536FA802" w:rsidR="00D2027A" w:rsidRPr="001A76BE" w:rsidRDefault="001A76BE" w:rsidP="001A76BE">
            <w:pPr>
              <w:spacing w:before="20" w:after="20"/>
              <w:rPr>
                <w:rFonts w:asciiTheme="majorHAnsi" w:hAnsiTheme="majorHAnsi"/>
                <w:sz w:val="18"/>
                <w:szCs w:val="18"/>
              </w:rPr>
            </w:pPr>
            <w:r>
              <w:rPr>
                <w:rFonts w:asciiTheme="majorHAnsi" w:hAnsiTheme="majorHAnsi"/>
                <w:sz w:val="18"/>
                <w:szCs w:val="18"/>
              </w:rPr>
              <w:t xml:space="preserve">    </w:t>
            </w:r>
            <w:r w:rsidRPr="001A76BE">
              <w:rPr>
                <w:rFonts w:asciiTheme="majorHAnsi" w:hAnsiTheme="majorHAnsi"/>
                <w:sz w:val="18"/>
                <w:szCs w:val="18"/>
              </w:rPr>
              <w:t>GEF IW projects are open and see value in engaging with projects dealing with different resource sectors</w:t>
            </w:r>
          </w:p>
        </w:tc>
        <w:tc>
          <w:tcPr>
            <w:tcW w:w="2173" w:type="dxa"/>
            <w:vMerge w:val="restart"/>
          </w:tcPr>
          <w:p w14:paraId="650A7E3B" w14:textId="4F48D38C"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 xml:space="preserve">Enhance and existing </w:t>
            </w:r>
            <w:proofErr w:type="gramStart"/>
            <w:r w:rsidRPr="00B378B6">
              <w:rPr>
                <w:rFonts w:asciiTheme="majorHAnsi" w:hAnsiTheme="majorHAnsi"/>
                <w:sz w:val="18"/>
                <w:szCs w:val="18"/>
              </w:rPr>
              <w:t>political  process</w:t>
            </w:r>
            <w:proofErr w:type="gramEnd"/>
            <w:r w:rsidRPr="00B378B6">
              <w:rPr>
                <w:rFonts w:asciiTheme="majorHAnsi" w:hAnsiTheme="majorHAnsi"/>
                <w:sz w:val="18"/>
                <w:szCs w:val="18"/>
              </w:rPr>
              <w:t xml:space="preserve"> in the SEE or Middle East Region</w:t>
            </w:r>
          </w:p>
        </w:tc>
        <w:tc>
          <w:tcPr>
            <w:tcW w:w="1936" w:type="dxa"/>
            <w:vMerge w:val="restart"/>
          </w:tcPr>
          <w:p w14:paraId="5E999218" w14:textId="77777777" w:rsidR="00D2027A" w:rsidRPr="00B378B6" w:rsidRDefault="00D2027A" w:rsidP="00FD6656">
            <w:pPr>
              <w:spacing w:before="20" w:after="20"/>
              <w:rPr>
                <w:rFonts w:asciiTheme="majorHAnsi" w:hAnsiTheme="majorHAnsi"/>
                <w:sz w:val="18"/>
                <w:szCs w:val="18"/>
              </w:rPr>
            </w:pPr>
          </w:p>
        </w:tc>
        <w:tc>
          <w:tcPr>
            <w:tcW w:w="2088" w:type="dxa"/>
            <w:vMerge w:val="restart"/>
          </w:tcPr>
          <w:p w14:paraId="2FE5AC8A" w14:textId="77777777" w:rsidR="00D2027A" w:rsidRPr="00B378B6" w:rsidRDefault="00D2027A" w:rsidP="0040765A">
            <w:pPr>
              <w:rPr>
                <w:rFonts w:asciiTheme="majorHAnsi" w:hAnsiTheme="majorHAnsi" w:cs="Arial"/>
                <w:sz w:val="18"/>
                <w:szCs w:val="18"/>
              </w:rPr>
            </w:pPr>
            <w:r w:rsidRPr="00B378B6">
              <w:rPr>
                <w:rFonts w:asciiTheme="majorHAnsi" w:hAnsiTheme="majorHAnsi"/>
                <w:sz w:val="18"/>
                <w:szCs w:val="18"/>
              </w:rPr>
              <w:t xml:space="preserve">Enhanced an </w:t>
            </w:r>
            <w:proofErr w:type="gramStart"/>
            <w:r w:rsidRPr="00B378B6">
              <w:rPr>
                <w:rFonts w:asciiTheme="majorHAnsi" w:hAnsiTheme="majorHAnsi"/>
                <w:sz w:val="18"/>
                <w:szCs w:val="18"/>
              </w:rPr>
              <w:t>existing  regional</w:t>
            </w:r>
            <w:proofErr w:type="gramEnd"/>
            <w:r w:rsidRPr="00B378B6">
              <w:rPr>
                <w:rFonts w:asciiTheme="majorHAnsi" w:hAnsiTheme="majorHAnsi"/>
                <w:sz w:val="18"/>
                <w:szCs w:val="18"/>
              </w:rPr>
              <w:t xml:space="preserve"> political process / initiative in the SEE  </w:t>
            </w:r>
            <w:r>
              <w:rPr>
                <w:rFonts w:asciiTheme="majorHAnsi" w:hAnsiTheme="majorHAnsi"/>
                <w:sz w:val="18"/>
                <w:szCs w:val="18"/>
              </w:rPr>
              <w:t xml:space="preserve">Drin Basin – Initiated Nijerta basin – signs in MENA </w:t>
            </w:r>
          </w:p>
          <w:p w14:paraId="44869BCE" w14:textId="1918FC42" w:rsidR="00D2027A" w:rsidRPr="00B378B6" w:rsidRDefault="00D2027A" w:rsidP="00FD6656">
            <w:pPr>
              <w:spacing w:before="20" w:after="20"/>
              <w:rPr>
                <w:rFonts w:asciiTheme="majorHAnsi" w:hAnsiTheme="majorHAnsi" w:cs="Arial"/>
                <w:sz w:val="18"/>
                <w:szCs w:val="18"/>
              </w:rPr>
            </w:pPr>
            <w:r w:rsidRPr="00B378B6">
              <w:rPr>
                <w:rFonts w:asciiTheme="majorHAnsi" w:hAnsiTheme="majorHAnsi"/>
                <w:sz w:val="18"/>
                <w:szCs w:val="18"/>
              </w:rPr>
              <w:t>None as yet</w:t>
            </w:r>
          </w:p>
        </w:tc>
        <w:tc>
          <w:tcPr>
            <w:tcW w:w="1755" w:type="dxa"/>
            <w:vMerge w:val="restart"/>
          </w:tcPr>
          <w:p w14:paraId="7B13F5B0" w14:textId="7DFF1255" w:rsidR="00D2027A" w:rsidRPr="00B378B6" w:rsidRDefault="00D2027A" w:rsidP="00FD6656">
            <w:pPr>
              <w:spacing w:before="20" w:after="20"/>
              <w:rPr>
                <w:rFonts w:asciiTheme="majorHAnsi" w:hAnsiTheme="majorHAnsi"/>
                <w:sz w:val="18"/>
                <w:szCs w:val="18"/>
              </w:rPr>
            </w:pPr>
            <w:r>
              <w:rPr>
                <w:rFonts w:asciiTheme="majorHAnsi" w:hAnsiTheme="majorHAnsi"/>
                <w:sz w:val="18"/>
                <w:szCs w:val="18"/>
              </w:rPr>
              <w:t xml:space="preserve">Very good progress </w:t>
            </w:r>
          </w:p>
          <w:p w14:paraId="47C5688F" w14:textId="6E2255C3" w:rsidR="00D2027A" w:rsidRPr="00B378B6" w:rsidRDefault="00D2027A" w:rsidP="00FD6656">
            <w:pPr>
              <w:spacing w:before="20" w:after="20"/>
              <w:rPr>
                <w:rFonts w:asciiTheme="majorHAnsi" w:hAnsiTheme="majorHAnsi"/>
                <w:sz w:val="18"/>
                <w:szCs w:val="18"/>
              </w:rPr>
            </w:pPr>
          </w:p>
        </w:tc>
      </w:tr>
      <w:tr w:rsidR="00D2027A" w:rsidRPr="00F869DC" w14:paraId="4F7FF9B5" w14:textId="77777777" w:rsidTr="001A76BE">
        <w:trPr>
          <w:jc w:val="center"/>
        </w:trPr>
        <w:tc>
          <w:tcPr>
            <w:tcW w:w="2210" w:type="dxa"/>
            <w:vMerge/>
            <w:shd w:val="pct12" w:color="auto" w:fill="auto"/>
          </w:tcPr>
          <w:p w14:paraId="3BA2190F" w14:textId="77777777" w:rsidR="00D2027A" w:rsidRPr="00B378B6" w:rsidRDefault="00D2027A" w:rsidP="00FD6656">
            <w:pPr>
              <w:spacing w:before="20" w:after="20"/>
              <w:rPr>
                <w:rFonts w:asciiTheme="majorHAnsi" w:hAnsiTheme="majorHAnsi"/>
                <w:b/>
                <w:bCs/>
                <w:sz w:val="18"/>
                <w:szCs w:val="18"/>
              </w:rPr>
            </w:pPr>
          </w:p>
        </w:tc>
        <w:tc>
          <w:tcPr>
            <w:tcW w:w="1867" w:type="dxa"/>
          </w:tcPr>
          <w:p w14:paraId="54A8194F"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Number of new regional processes in Middle East</w:t>
            </w:r>
          </w:p>
        </w:tc>
        <w:tc>
          <w:tcPr>
            <w:tcW w:w="2127" w:type="dxa"/>
            <w:vMerge/>
          </w:tcPr>
          <w:p w14:paraId="009F87C1" w14:textId="77777777" w:rsidR="00D2027A" w:rsidRPr="001A76BE" w:rsidRDefault="00D2027A" w:rsidP="00FD6656">
            <w:pPr>
              <w:spacing w:before="20" w:after="20"/>
              <w:rPr>
                <w:rFonts w:asciiTheme="majorHAnsi" w:hAnsiTheme="majorHAnsi"/>
                <w:sz w:val="18"/>
                <w:szCs w:val="18"/>
              </w:rPr>
            </w:pPr>
          </w:p>
        </w:tc>
        <w:tc>
          <w:tcPr>
            <w:tcW w:w="2173" w:type="dxa"/>
            <w:vMerge/>
          </w:tcPr>
          <w:p w14:paraId="4FDFC2C4" w14:textId="6E45A388" w:rsidR="00D2027A" w:rsidRPr="00B378B6" w:rsidRDefault="00D2027A" w:rsidP="00FD6656">
            <w:pPr>
              <w:spacing w:before="20" w:after="20"/>
              <w:rPr>
                <w:rFonts w:asciiTheme="majorHAnsi" w:hAnsiTheme="majorHAnsi"/>
                <w:sz w:val="18"/>
                <w:szCs w:val="18"/>
              </w:rPr>
            </w:pPr>
          </w:p>
        </w:tc>
        <w:tc>
          <w:tcPr>
            <w:tcW w:w="1936" w:type="dxa"/>
            <w:vMerge/>
          </w:tcPr>
          <w:p w14:paraId="563FB597" w14:textId="77777777" w:rsidR="00D2027A" w:rsidRPr="00B378B6" w:rsidRDefault="00D2027A" w:rsidP="00FD6656">
            <w:pPr>
              <w:spacing w:before="20" w:after="20"/>
              <w:rPr>
                <w:rFonts w:asciiTheme="majorHAnsi" w:hAnsiTheme="majorHAnsi"/>
                <w:sz w:val="18"/>
                <w:szCs w:val="18"/>
              </w:rPr>
            </w:pPr>
          </w:p>
        </w:tc>
        <w:tc>
          <w:tcPr>
            <w:tcW w:w="2088" w:type="dxa"/>
            <w:vMerge/>
          </w:tcPr>
          <w:p w14:paraId="65263A45" w14:textId="2CB4D1E9" w:rsidR="00D2027A" w:rsidRPr="00B378B6" w:rsidRDefault="00D2027A" w:rsidP="00FD6656">
            <w:pPr>
              <w:spacing w:before="20" w:after="20"/>
              <w:rPr>
                <w:rFonts w:asciiTheme="majorHAnsi" w:hAnsiTheme="majorHAnsi"/>
                <w:sz w:val="18"/>
                <w:szCs w:val="18"/>
              </w:rPr>
            </w:pPr>
          </w:p>
        </w:tc>
        <w:tc>
          <w:tcPr>
            <w:tcW w:w="1755" w:type="dxa"/>
            <w:vMerge/>
          </w:tcPr>
          <w:p w14:paraId="06964FCC" w14:textId="77777777" w:rsidR="00D2027A" w:rsidRPr="00B378B6" w:rsidRDefault="00D2027A" w:rsidP="00FD6656">
            <w:pPr>
              <w:spacing w:before="20" w:after="20"/>
              <w:rPr>
                <w:rFonts w:asciiTheme="majorHAnsi" w:hAnsiTheme="majorHAnsi"/>
                <w:sz w:val="18"/>
                <w:szCs w:val="18"/>
              </w:rPr>
            </w:pPr>
          </w:p>
        </w:tc>
      </w:tr>
      <w:tr w:rsidR="00D2027A" w:rsidRPr="00F869DC" w14:paraId="709DD156" w14:textId="77777777" w:rsidTr="001A76BE">
        <w:trPr>
          <w:jc w:val="center"/>
        </w:trPr>
        <w:tc>
          <w:tcPr>
            <w:tcW w:w="2210" w:type="dxa"/>
            <w:vMerge/>
            <w:shd w:val="pct12" w:color="auto" w:fill="auto"/>
          </w:tcPr>
          <w:p w14:paraId="7B9B8239" w14:textId="77777777" w:rsidR="00D2027A" w:rsidRPr="00B378B6" w:rsidRDefault="00D2027A" w:rsidP="00FD6656">
            <w:pPr>
              <w:spacing w:before="20" w:after="20"/>
              <w:rPr>
                <w:rFonts w:asciiTheme="majorHAnsi" w:hAnsiTheme="majorHAnsi"/>
                <w:b/>
                <w:bCs/>
                <w:sz w:val="18"/>
                <w:szCs w:val="18"/>
              </w:rPr>
            </w:pPr>
          </w:p>
        </w:tc>
        <w:tc>
          <w:tcPr>
            <w:tcW w:w="1867" w:type="dxa"/>
          </w:tcPr>
          <w:p w14:paraId="17DFAD03" w14:textId="77777777" w:rsidR="00D2027A" w:rsidRPr="00B378B6" w:rsidRDefault="00D2027A" w:rsidP="00FD6656">
            <w:pPr>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Number of new co-operation processes in transboundary basins</w:t>
            </w:r>
          </w:p>
        </w:tc>
        <w:tc>
          <w:tcPr>
            <w:tcW w:w="2127" w:type="dxa"/>
            <w:vMerge/>
          </w:tcPr>
          <w:p w14:paraId="235539B4" w14:textId="77777777" w:rsidR="00D2027A" w:rsidRPr="001A76BE" w:rsidRDefault="00D2027A" w:rsidP="00FD6656">
            <w:pPr>
              <w:spacing w:before="20" w:after="20"/>
              <w:rPr>
                <w:rFonts w:asciiTheme="majorHAnsi" w:hAnsiTheme="majorHAnsi"/>
                <w:sz w:val="18"/>
                <w:szCs w:val="18"/>
              </w:rPr>
            </w:pPr>
          </w:p>
        </w:tc>
        <w:tc>
          <w:tcPr>
            <w:tcW w:w="2173" w:type="dxa"/>
          </w:tcPr>
          <w:p w14:paraId="7AFCF991" w14:textId="0327A799"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 xml:space="preserve">Cooperation on at least </w:t>
            </w:r>
            <w:proofErr w:type="gramStart"/>
            <w:r w:rsidRPr="00B378B6">
              <w:rPr>
                <w:rFonts w:asciiTheme="majorHAnsi" w:hAnsiTheme="majorHAnsi"/>
                <w:sz w:val="18"/>
                <w:szCs w:val="18"/>
              </w:rPr>
              <w:t>one transboundary</w:t>
            </w:r>
            <w:proofErr w:type="gramEnd"/>
            <w:r w:rsidRPr="00B378B6">
              <w:rPr>
                <w:rFonts w:asciiTheme="majorHAnsi" w:hAnsiTheme="majorHAnsi"/>
                <w:sz w:val="18"/>
                <w:szCs w:val="18"/>
              </w:rPr>
              <w:t xml:space="preserve"> basins is enhanced or initiated.</w:t>
            </w:r>
          </w:p>
        </w:tc>
        <w:tc>
          <w:tcPr>
            <w:tcW w:w="1936" w:type="dxa"/>
            <w:vMerge/>
          </w:tcPr>
          <w:p w14:paraId="55FF39B1" w14:textId="77777777" w:rsidR="00D2027A" w:rsidRPr="00B378B6" w:rsidRDefault="00D2027A" w:rsidP="00FD6656">
            <w:pPr>
              <w:spacing w:before="20" w:after="20"/>
              <w:rPr>
                <w:rFonts w:asciiTheme="majorHAnsi" w:hAnsiTheme="majorHAnsi"/>
                <w:sz w:val="18"/>
                <w:szCs w:val="18"/>
              </w:rPr>
            </w:pPr>
          </w:p>
        </w:tc>
        <w:tc>
          <w:tcPr>
            <w:tcW w:w="2088" w:type="dxa"/>
          </w:tcPr>
          <w:p w14:paraId="3B552B9E" w14:textId="7D4B92BA" w:rsidR="00D2027A" w:rsidRPr="00B378B6" w:rsidRDefault="00D2027A" w:rsidP="00FD6656">
            <w:pPr>
              <w:spacing w:before="20" w:after="20"/>
              <w:rPr>
                <w:rFonts w:asciiTheme="majorHAnsi" w:hAnsiTheme="majorHAnsi"/>
                <w:sz w:val="18"/>
                <w:szCs w:val="18"/>
              </w:rPr>
            </w:pPr>
            <w:r>
              <w:rPr>
                <w:rFonts w:asciiTheme="majorHAnsi" w:hAnsiTheme="majorHAnsi"/>
                <w:sz w:val="18"/>
                <w:szCs w:val="18"/>
              </w:rPr>
              <w:t xml:space="preserve">Cooperation in Nijerta basin. </w:t>
            </w:r>
          </w:p>
        </w:tc>
        <w:tc>
          <w:tcPr>
            <w:tcW w:w="1755" w:type="dxa"/>
            <w:vMerge/>
          </w:tcPr>
          <w:p w14:paraId="4D7730F4" w14:textId="77777777" w:rsidR="00D2027A" w:rsidRPr="00B378B6" w:rsidRDefault="00D2027A" w:rsidP="00FD6656">
            <w:pPr>
              <w:spacing w:before="20" w:after="20"/>
              <w:rPr>
                <w:rFonts w:asciiTheme="majorHAnsi" w:hAnsiTheme="majorHAnsi"/>
                <w:sz w:val="18"/>
                <w:szCs w:val="18"/>
              </w:rPr>
            </w:pPr>
          </w:p>
        </w:tc>
      </w:tr>
      <w:tr w:rsidR="00D2027A" w:rsidRPr="00F869DC" w14:paraId="79B49A84" w14:textId="77777777" w:rsidTr="001A76BE">
        <w:trPr>
          <w:trHeight w:val="1187"/>
          <w:jc w:val="center"/>
        </w:trPr>
        <w:tc>
          <w:tcPr>
            <w:tcW w:w="2210" w:type="dxa"/>
            <w:vMerge/>
            <w:shd w:val="pct12" w:color="auto" w:fill="auto"/>
          </w:tcPr>
          <w:p w14:paraId="7174C221" w14:textId="77777777" w:rsidR="00D2027A" w:rsidRPr="00B378B6" w:rsidRDefault="00D2027A" w:rsidP="00FD6656">
            <w:pPr>
              <w:spacing w:before="20" w:after="20"/>
              <w:rPr>
                <w:rFonts w:asciiTheme="majorHAnsi" w:hAnsiTheme="majorHAnsi"/>
                <w:b/>
                <w:bCs/>
                <w:sz w:val="18"/>
                <w:szCs w:val="18"/>
              </w:rPr>
            </w:pPr>
          </w:p>
        </w:tc>
        <w:tc>
          <w:tcPr>
            <w:tcW w:w="1867" w:type="dxa"/>
          </w:tcPr>
          <w:p w14:paraId="27486FCA"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bCs/>
                <w:sz w:val="18"/>
                <w:szCs w:val="18"/>
              </w:rPr>
              <w:t>Number of IW projects adopting new management approaches</w:t>
            </w:r>
          </w:p>
        </w:tc>
        <w:tc>
          <w:tcPr>
            <w:tcW w:w="2127" w:type="dxa"/>
            <w:vMerge/>
          </w:tcPr>
          <w:p w14:paraId="0F7B2596" w14:textId="77777777" w:rsidR="00D2027A" w:rsidRPr="001A76BE" w:rsidRDefault="00D2027A" w:rsidP="00FD6656">
            <w:pPr>
              <w:spacing w:before="20" w:after="20"/>
              <w:rPr>
                <w:rFonts w:asciiTheme="majorHAnsi" w:hAnsiTheme="majorHAnsi"/>
                <w:bCs/>
                <w:sz w:val="18"/>
                <w:szCs w:val="18"/>
              </w:rPr>
            </w:pPr>
          </w:p>
        </w:tc>
        <w:tc>
          <w:tcPr>
            <w:tcW w:w="2173" w:type="dxa"/>
          </w:tcPr>
          <w:p w14:paraId="20F55F58" w14:textId="1793784F" w:rsidR="00D2027A" w:rsidRPr="00B378B6" w:rsidRDefault="00D2027A" w:rsidP="00FD6656">
            <w:pPr>
              <w:spacing w:before="20" w:after="20"/>
              <w:rPr>
                <w:rFonts w:asciiTheme="majorHAnsi" w:hAnsiTheme="majorHAnsi"/>
                <w:sz w:val="18"/>
                <w:szCs w:val="18"/>
              </w:rPr>
            </w:pPr>
            <w:r w:rsidRPr="00B378B6">
              <w:rPr>
                <w:rFonts w:asciiTheme="majorHAnsi" w:hAnsiTheme="majorHAnsi"/>
                <w:bCs/>
                <w:sz w:val="18"/>
                <w:szCs w:val="18"/>
              </w:rPr>
              <w:t xml:space="preserve">5 IW projects demonstrate that partners have adopted at least 2 different management approaches as a result of sub-component </w:t>
            </w:r>
          </w:p>
        </w:tc>
        <w:tc>
          <w:tcPr>
            <w:tcW w:w="1936" w:type="dxa"/>
            <w:vMerge/>
          </w:tcPr>
          <w:p w14:paraId="005766F9" w14:textId="77777777" w:rsidR="00D2027A" w:rsidRPr="00B378B6" w:rsidRDefault="00D2027A" w:rsidP="00FD6656">
            <w:pPr>
              <w:spacing w:before="20" w:after="20"/>
              <w:rPr>
                <w:rFonts w:asciiTheme="majorHAnsi" w:hAnsiTheme="majorHAnsi"/>
                <w:sz w:val="18"/>
                <w:szCs w:val="18"/>
              </w:rPr>
            </w:pPr>
          </w:p>
        </w:tc>
        <w:tc>
          <w:tcPr>
            <w:tcW w:w="2088" w:type="dxa"/>
          </w:tcPr>
          <w:p w14:paraId="3416142F"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None as yet but in process</w:t>
            </w:r>
          </w:p>
          <w:p w14:paraId="4E110B9E" w14:textId="23E1F782" w:rsidR="00D2027A" w:rsidRPr="00B378B6" w:rsidRDefault="00D2027A" w:rsidP="00FD6656">
            <w:pPr>
              <w:spacing w:before="20" w:after="20"/>
              <w:rPr>
                <w:rFonts w:asciiTheme="majorHAnsi" w:hAnsiTheme="majorHAnsi"/>
                <w:sz w:val="18"/>
                <w:szCs w:val="18"/>
              </w:rPr>
            </w:pPr>
          </w:p>
        </w:tc>
        <w:tc>
          <w:tcPr>
            <w:tcW w:w="1755" w:type="dxa"/>
            <w:vMerge/>
          </w:tcPr>
          <w:p w14:paraId="7EF78BA1" w14:textId="77777777" w:rsidR="00D2027A" w:rsidRPr="00B378B6" w:rsidRDefault="00D2027A" w:rsidP="00FD6656">
            <w:pPr>
              <w:spacing w:before="20" w:after="20"/>
              <w:rPr>
                <w:rFonts w:asciiTheme="majorHAnsi" w:hAnsiTheme="majorHAnsi"/>
                <w:sz w:val="18"/>
                <w:szCs w:val="18"/>
              </w:rPr>
            </w:pPr>
          </w:p>
        </w:tc>
      </w:tr>
      <w:tr w:rsidR="00D2027A" w:rsidRPr="00F869DC" w14:paraId="6D346FBE" w14:textId="77777777" w:rsidTr="001A76BE">
        <w:trPr>
          <w:jc w:val="center"/>
        </w:trPr>
        <w:tc>
          <w:tcPr>
            <w:tcW w:w="2210" w:type="dxa"/>
            <w:vMerge w:val="restart"/>
            <w:shd w:val="pct12" w:color="auto" w:fill="auto"/>
          </w:tcPr>
          <w:p w14:paraId="2098C40C" w14:textId="77777777" w:rsidR="00D2027A" w:rsidRDefault="00D2027A" w:rsidP="00FD6656">
            <w:pPr>
              <w:keepNext/>
              <w:spacing w:before="20" w:after="20"/>
              <w:rPr>
                <w:rFonts w:asciiTheme="majorHAnsi" w:hAnsiTheme="majorHAnsi"/>
                <w:b/>
                <w:bCs/>
                <w:sz w:val="18"/>
                <w:szCs w:val="18"/>
              </w:rPr>
            </w:pPr>
            <w:r w:rsidRPr="00B378B6">
              <w:rPr>
                <w:rFonts w:asciiTheme="majorHAnsi" w:hAnsiTheme="majorHAnsi"/>
                <w:b/>
                <w:bCs/>
                <w:sz w:val="18"/>
                <w:szCs w:val="18"/>
              </w:rPr>
              <w:t>Outcome 2.1</w:t>
            </w:r>
          </w:p>
          <w:p w14:paraId="04A4396D" w14:textId="2B3BC245" w:rsidR="00D2027A" w:rsidRPr="000A38E5" w:rsidRDefault="00D2027A" w:rsidP="00FD6656">
            <w:pPr>
              <w:keepNext/>
              <w:spacing w:before="20" w:after="20"/>
              <w:rPr>
                <w:rFonts w:asciiTheme="majorHAnsi" w:hAnsiTheme="majorHAnsi"/>
                <w:bCs/>
                <w:i/>
                <w:sz w:val="18"/>
                <w:szCs w:val="18"/>
              </w:rPr>
            </w:pPr>
            <w:r w:rsidRPr="000A38E5">
              <w:rPr>
                <w:rFonts w:asciiTheme="majorHAnsi" w:hAnsiTheme="majorHAnsi"/>
                <w:bCs/>
                <w:i/>
                <w:sz w:val="18"/>
                <w:szCs w:val="18"/>
              </w:rPr>
              <w:t>(</w:t>
            </w:r>
            <w:proofErr w:type="gramStart"/>
            <w:r w:rsidRPr="000A38E5">
              <w:rPr>
                <w:rFonts w:asciiTheme="majorHAnsi" w:hAnsiTheme="majorHAnsi"/>
                <w:bCs/>
                <w:i/>
                <w:sz w:val="18"/>
                <w:szCs w:val="18"/>
              </w:rPr>
              <w:t>sub</w:t>
            </w:r>
            <w:proofErr w:type="gramEnd"/>
            <w:r w:rsidRPr="000A38E5">
              <w:rPr>
                <w:rFonts w:asciiTheme="majorHAnsi" w:hAnsiTheme="majorHAnsi"/>
                <w:bCs/>
                <w:i/>
                <w:sz w:val="18"/>
                <w:szCs w:val="18"/>
              </w:rPr>
              <w:t>-comps 2a, 2c)</w:t>
            </w:r>
          </w:p>
          <w:p w14:paraId="1FA5D136" w14:textId="77777777" w:rsidR="00D2027A" w:rsidRPr="00B378B6" w:rsidRDefault="00D2027A" w:rsidP="00FD6656">
            <w:pPr>
              <w:keepNext/>
              <w:keepLines/>
              <w:spacing w:before="20" w:after="20"/>
              <w:rPr>
                <w:rFonts w:asciiTheme="majorHAnsi" w:hAnsiTheme="majorHAnsi"/>
                <w:b/>
                <w:bCs/>
                <w:sz w:val="18"/>
                <w:szCs w:val="18"/>
              </w:rPr>
            </w:pPr>
            <w:r w:rsidRPr="00B378B6">
              <w:rPr>
                <w:rFonts w:asciiTheme="majorHAnsi" w:hAnsiTheme="majorHAnsi"/>
                <w:color w:val="000000"/>
                <w:sz w:val="18"/>
                <w:szCs w:val="18"/>
              </w:rPr>
              <w:t>Increased capacity of GEF groundwater and freshwater basin projects to exchange experiences and replicate successful groundwater management approaches and practices to address adaptive management</w:t>
            </w:r>
          </w:p>
        </w:tc>
        <w:tc>
          <w:tcPr>
            <w:tcW w:w="1867" w:type="dxa"/>
          </w:tcPr>
          <w:p w14:paraId="3757B7B8"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Number of CoPs formed</w:t>
            </w:r>
          </w:p>
          <w:p w14:paraId="3B2FE30A" w14:textId="77777777" w:rsidR="00D2027A" w:rsidRPr="00B378B6" w:rsidRDefault="00D2027A" w:rsidP="00FD6656">
            <w:pPr>
              <w:spacing w:before="20" w:after="20"/>
              <w:rPr>
                <w:rFonts w:asciiTheme="majorHAnsi" w:hAnsiTheme="majorHAnsi"/>
                <w:bCs/>
                <w:sz w:val="18"/>
                <w:szCs w:val="18"/>
              </w:rPr>
            </w:pPr>
          </w:p>
        </w:tc>
        <w:tc>
          <w:tcPr>
            <w:tcW w:w="2127" w:type="dxa"/>
            <w:vMerge w:val="restart"/>
          </w:tcPr>
          <w:p w14:paraId="4D5BE688" w14:textId="77777777" w:rsidR="001A76BE" w:rsidRPr="001A76BE" w:rsidRDefault="001A76BE" w:rsidP="001A76BE">
            <w:pPr>
              <w:spacing w:before="20" w:after="20"/>
              <w:rPr>
                <w:rFonts w:asciiTheme="majorHAnsi" w:hAnsiTheme="majorHAnsi"/>
                <w:bCs/>
                <w:sz w:val="18"/>
                <w:szCs w:val="18"/>
              </w:rPr>
            </w:pPr>
            <w:r w:rsidRPr="001A76BE">
              <w:rPr>
                <w:rFonts w:asciiTheme="majorHAnsi" w:hAnsiTheme="majorHAnsi"/>
                <w:sz w:val="18"/>
                <w:szCs w:val="18"/>
              </w:rPr>
              <w:t>Facilitated and structured dialogues succeed in engaging active participation of stakeholders and practitioners</w:t>
            </w:r>
          </w:p>
          <w:p w14:paraId="59A7BE87" w14:textId="77777777" w:rsidR="001A76BE" w:rsidRPr="001A76BE" w:rsidRDefault="001A76BE" w:rsidP="001A76BE">
            <w:pPr>
              <w:spacing w:before="20" w:after="20"/>
              <w:rPr>
                <w:rFonts w:asciiTheme="majorHAnsi" w:hAnsiTheme="majorHAnsi"/>
                <w:bCs/>
                <w:sz w:val="18"/>
                <w:szCs w:val="18"/>
              </w:rPr>
            </w:pPr>
          </w:p>
          <w:p w14:paraId="13453A0E" w14:textId="77777777" w:rsidR="001A76BE" w:rsidRPr="001A76BE" w:rsidRDefault="001A76BE" w:rsidP="001A76BE">
            <w:pPr>
              <w:spacing w:before="20" w:after="20"/>
              <w:rPr>
                <w:rFonts w:asciiTheme="majorHAnsi" w:hAnsiTheme="majorHAnsi"/>
                <w:bCs/>
                <w:sz w:val="18"/>
                <w:szCs w:val="18"/>
              </w:rPr>
            </w:pPr>
            <w:r w:rsidRPr="001A76BE">
              <w:rPr>
                <w:rFonts w:asciiTheme="majorHAnsi" w:hAnsiTheme="majorHAnsi"/>
                <w:bCs/>
                <w:sz w:val="18"/>
                <w:szCs w:val="18"/>
              </w:rPr>
              <w:t xml:space="preserve">Learning champions fail to follow through in developing surface water agenda. </w:t>
            </w:r>
          </w:p>
          <w:p w14:paraId="61D0EBF9" w14:textId="77777777" w:rsidR="001A76BE" w:rsidRPr="001A76BE" w:rsidRDefault="001A76BE" w:rsidP="001A76BE">
            <w:pPr>
              <w:spacing w:before="20" w:after="20"/>
              <w:rPr>
                <w:rFonts w:asciiTheme="majorHAnsi" w:hAnsiTheme="majorHAnsi"/>
                <w:bCs/>
                <w:sz w:val="18"/>
                <w:szCs w:val="18"/>
              </w:rPr>
            </w:pPr>
          </w:p>
          <w:p w14:paraId="5FD46D3B" w14:textId="26F994D6" w:rsidR="00D2027A" w:rsidRPr="001A76BE" w:rsidRDefault="001A76BE" w:rsidP="001A76BE">
            <w:pPr>
              <w:spacing w:before="20" w:after="20"/>
              <w:rPr>
                <w:rFonts w:asciiTheme="majorHAnsi" w:hAnsiTheme="majorHAnsi"/>
                <w:sz w:val="18"/>
                <w:szCs w:val="18"/>
              </w:rPr>
            </w:pPr>
            <w:r w:rsidRPr="001A76BE">
              <w:rPr>
                <w:rFonts w:asciiTheme="majorHAnsi" w:hAnsiTheme="majorHAnsi"/>
                <w:bCs/>
                <w:sz w:val="18"/>
                <w:szCs w:val="18"/>
              </w:rPr>
              <w:t>COP members find IW</w:t>
            </w:r>
            <w:proofErr w:type="gramStart"/>
            <w:r w:rsidRPr="001A76BE">
              <w:rPr>
                <w:rFonts w:asciiTheme="majorHAnsi" w:hAnsiTheme="majorHAnsi"/>
                <w:bCs/>
                <w:sz w:val="18"/>
                <w:szCs w:val="18"/>
              </w:rPr>
              <w:t>:LEARN</w:t>
            </w:r>
            <w:proofErr w:type="gramEnd"/>
            <w:r w:rsidRPr="001A76BE">
              <w:rPr>
                <w:rFonts w:asciiTheme="majorHAnsi" w:hAnsiTheme="majorHAnsi"/>
                <w:bCs/>
                <w:sz w:val="18"/>
                <w:szCs w:val="18"/>
              </w:rPr>
              <w:t xml:space="preserve"> community platform hard to use or reluctant to use</w:t>
            </w:r>
          </w:p>
        </w:tc>
        <w:tc>
          <w:tcPr>
            <w:tcW w:w="2173" w:type="dxa"/>
          </w:tcPr>
          <w:p w14:paraId="3725BE44" w14:textId="025DB424" w:rsidR="00D2027A" w:rsidRPr="004C443A" w:rsidRDefault="00D2027A" w:rsidP="00FD6656">
            <w:pPr>
              <w:spacing w:before="20" w:after="20"/>
              <w:rPr>
                <w:rFonts w:asciiTheme="majorHAnsi" w:hAnsiTheme="majorHAnsi"/>
                <w:sz w:val="18"/>
                <w:szCs w:val="18"/>
              </w:rPr>
            </w:pPr>
            <w:r w:rsidRPr="004C443A">
              <w:rPr>
                <w:rFonts w:asciiTheme="majorHAnsi" w:hAnsiTheme="majorHAnsi"/>
                <w:sz w:val="18"/>
                <w:szCs w:val="18"/>
              </w:rPr>
              <w:t>Two functional CoPs (surface freshwater and groundwater) established</w:t>
            </w:r>
          </w:p>
        </w:tc>
        <w:tc>
          <w:tcPr>
            <w:tcW w:w="1936" w:type="dxa"/>
          </w:tcPr>
          <w:p w14:paraId="3E01030E" w14:textId="77777777" w:rsidR="00D2027A" w:rsidRPr="00B378B6" w:rsidRDefault="00D2027A" w:rsidP="00FD6656">
            <w:pPr>
              <w:spacing w:before="20" w:after="20"/>
              <w:rPr>
                <w:rFonts w:asciiTheme="majorHAnsi" w:hAnsiTheme="majorHAnsi"/>
                <w:bCs/>
                <w:sz w:val="18"/>
                <w:szCs w:val="18"/>
              </w:rPr>
            </w:pPr>
          </w:p>
          <w:p w14:paraId="47DF0D72" w14:textId="77777777" w:rsidR="00D2027A" w:rsidRPr="00B378B6" w:rsidRDefault="00D2027A" w:rsidP="00FD6656">
            <w:pPr>
              <w:spacing w:before="20" w:after="20"/>
              <w:rPr>
                <w:rFonts w:asciiTheme="majorHAnsi" w:hAnsiTheme="majorHAnsi"/>
                <w:bCs/>
                <w:sz w:val="18"/>
                <w:szCs w:val="18"/>
              </w:rPr>
            </w:pPr>
          </w:p>
          <w:p w14:paraId="5313B4B1" w14:textId="77777777" w:rsidR="00D2027A" w:rsidRPr="00B378B6" w:rsidRDefault="00D2027A" w:rsidP="00FD6656">
            <w:pPr>
              <w:spacing w:before="20" w:after="20"/>
              <w:rPr>
                <w:rFonts w:asciiTheme="majorHAnsi" w:hAnsiTheme="majorHAnsi"/>
                <w:bCs/>
                <w:sz w:val="18"/>
                <w:szCs w:val="18"/>
              </w:rPr>
            </w:pPr>
          </w:p>
        </w:tc>
        <w:tc>
          <w:tcPr>
            <w:tcW w:w="2088" w:type="dxa"/>
          </w:tcPr>
          <w:p w14:paraId="3607C1D1"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 CoPs formed. </w:t>
            </w:r>
          </w:p>
          <w:p w14:paraId="62A34EC2" w14:textId="77777777" w:rsidR="00D2027A" w:rsidRPr="00B378B6" w:rsidRDefault="00D2027A" w:rsidP="00FD6656">
            <w:pPr>
              <w:spacing w:before="20" w:after="20"/>
              <w:rPr>
                <w:rFonts w:asciiTheme="majorHAnsi" w:hAnsiTheme="majorHAnsi"/>
                <w:bCs/>
                <w:sz w:val="18"/>
                <w:szCs w:val="18"/>
              </w:rPr>
            </w:pPr>
          </w:p>
        </w:tc>
        <w:tc>
          <w:tcPr>
            <w:tcW w:w="1755" w:type="dxa"/>
            <w:vMerge w:val="restart"/>
          </w:tcPr>
          <w:p w14:paraId="2E114E88" w14:textId="68B3CFED"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In spite of difficulties with online CoPs good progress via </w:t>
            </w:r>
            <w:proofErr w:type="gramStart"/>
            <w:r w:rsidRPr="00B378B6">
              <w:rPr>
                <w:rFonts w:asciiTheme="majorHAnsi" w:hAnsiTheme="majorHAnsi"/>
                <w:bCs/>
                <w:sz w:val="18"/>
                <w:szCs w:val="18"/>
              </w:rPr>
              <w:t>face to face</w:t>
            </w:r>
            <w:proofErr w:type="gramEnd"/>
            <w:r w:rsidRPr="00B378B6">
              <w:rPr>
                <w:rFonts w:asciiTheme="majorHAnsi" w:hAnsiTheme="majorHAnsi"/>
                <w:bCs/>
                <w:sz w:val="18"/>
                <w:szCs w:val="18"/>
              </w:rPr>
              <w:t xml:space="preserve"> </w:t>
            </w:r>
            <w:r w:rsidR="00E22628" w:rsidRPr="00B378B6">
              <w:rPr>
                <w:rFonts w:asciiTheme="majorHAnsi" w:hAnsiTheme="majorHAnsi"/>
                <w:bCs/>
                <w:sz w:val="18"/>
                <w:szCs w:val="18"/>
              </w:rPr>
              <w:t>activities</w:t>
            </w:r>
            <w:r w:rsidRPr="00B378B6">
              <w:rPr>
                <w:rFonts w:asciiTheme="majorHAnsi" w:hAnsiTheme="majorHAnsi"/>
                <w:bCs/>
                <w:sz w:val="18"/>
                <w:szCs w:val="18"/>
              </w:rPr>
              <w:t xml:space="preserve">.  </w:t>
            </w:r>
          </w:p>
          <w:p w14:paraId="68FE7A04" w14:textId="4D80A1A0"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 Indicators use language that makes monitoring difficult </w:t>
            </w:r>
            <w:r w:rsidR="00E22628" w:rsidRPr="00B378B6">
              <w:rPr>
                <w:rFonts w:asciiTheme="majorHAnsi" w:hAnsiTheme="majorHAnsi"/>
                <w:bCs/>
                <w:sz w:val="18"/>
                <w:szCs w:val="18"/>
              </w:rPr>
              <w:t>e.g.</w:t>
            </w:r>
            <w:r w:rsidRPr="00B378B6">
              <w:rPr>
                <w:rFonts w:asciiTheme="majorHAnsi" w:hAnsiTheme="majorHAnsi"/>
                <w:bCs/>
                <w:sz w:val="18"/>
                <w:szCs w:val="18"/>
              </w:rPr>
              <w:t xml:space="preserve"> What is meant </w:t>
            </w:r>
            <w:proofErr w:type="gramStart"/>
            <w:r w:rsidRPr="00B378B6">
              <w:rPr>
                <w:rFonts w:asciiTheme="majorHAnsi" w:hAnsiTheme="majorHAnsi"/>
                <w:bCs/>
                <w:sz w:val="18"/>
                <w:szCs w:val="18"/>
              </w:rPr>
              <w:t>by  involved</w:t>
            </w:r>
            <w:proofErr w:type="gramEnd"/>
            <w:r w:rsidRPr="00B378B6">
              <w:rPr>
                <w:rFonts w:asciiTheme="majorHAnsi" w:hAnsiTheme="majorHAnsi"/>
                <w:bCs/>
                <w:sz w:val="18"/>
                <w:szCs w:val="18"/>
              </w:rPr>
              <w:t xml:space="preserve"> in the CoPs. If one were to say actively involved then % is unrealistic.</w:t>
            </w:r>
          </w:p>
          <w:p w14:paraId="059BD7A7" w14:textId="77777777" w:rsidR="00D2027A" w:rsidRPr="00B378B6" w:rsidRDefault="00D2027A" w:rsidP="00FD6656">
            <w:pPr>
              <w:spacing w:before="20" w:after="20"/>
              <w:rPr>
                <w:rFonts w:asciiTheme="majorHAnsi" w:hAnsiTheme="majorHAnsi"/>
                <w:bCs/>
                <w:sz w:val="18"/>
                <w:szCs w:val="18"/>
              </w:rPr>
            </w:pPr>
          </w:p>
          <w:p w14:paraId="46ACE03C" w14:textId="619444CF"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10 Commissions seems </w:t>
            </w:r>
            <w:r w:rsidR="00E22628" w:rsidRPr="00B378B6">
              <w:rPr>
                <w:rFonts w:asciiTheme="majorHAnsi" w:hAnsiTheme="majorHAnsi"/>
                <w:bCs/>
                <w:sz w:val="18"/>
                <w:szCs w:val="18"/>
              </w:rPr>
              <w:t>arbitrary</w:t>
            </w:r>
            <w:r w:rsidRPr="00B378B6">
              <w:rPr>
                <w:rFonts w:asciiTheme="majorHAnsi" w:hAnsiTheme="majorHAnsi"/>
                <w:bCs/>
                <w:sz w:val="18"/>
                <w:szCs w:val="18"/>
              </w:rPr>
              <w:t xml:space="preserve"> and should be assessed against the number of relevant commissions. </w:t>
            </w:r>
          </w:p>
          <w:p w14:paraId="71232AF8" w14:textId="73EFD37E" w:rsidR="00D2027A" w:rsidRPr="00B378B6" w:rsidRDefault="00D2027A" w:rsidP="00FD6656">
            <w:pPr>
              <w:spacing w:before="20" w:after="20"/>
              <w:rPr>
                <w:rFonts w:asciiTheme="majorHAnsi" w:hAnsiTheme="majorHAnsi"/>
                <w:bCs/>
                <w:sz w:val="18"/>
                <w:szCs w:val="18"/>
              </w:rPr>
            </w:pPr>
          </w:p>
        </w:tc>
      </w:tr>
      <w:tr w:rsidR="00D2027A" w:rsidRPr="00F869DC" w14:paraId="0EF4992B" w14:textId="77777777" w:rsidTr="001A76BE">
        <w:trPr>
          <w:trHeight w:val="134"/>
          <w:jc w:val="center"/>
        </w:trPr>
        <w:tc>
          <w:tcPr>
            <w:tcW w:w="2210" w:type="dxa"/>
            <w:vMerge/>
            <w:shd w:val="pct12" w:color="auto" w:fill="auto"/>
          </w:tcPr>
          <w:p w14:paraId="0FAFAB69" w14:textId="77777777" w:rsidR="00D2027A" w:rsidRPr="00B378B6" w:rsidRDefault="00D2027A" w:rsidP="00FD6656">
            <w:pPr>
              <w:spacing w:before="20" w:after="20"/>
              <w:rPr>
                <w:rFonts w:asciiTheme="majorHAnsi" w:hAnsiTheme="majorHAnsi"/>
                <w:b/>
                <w:bCs/>
                <w:sz w:val="18"/>
                <w:szCs w:val="18"/>
              </w:rPr>
            </w:pPr>
          </w:p>
        </w:tc>
        <w:tc>
          <w:tcPr>
            <w:tcW w:w="1867" w:type="dxa"/>
          </w:tcPr>
          <w:p w14:paraId="614F9776"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of</w:t>
            </w:r>
            <w:proofErr w:type="gramEnd"/>
            <w:r w:rsidRPr="00B378B6">
              <w:rPr>
                <w:rFonts w:asciiTheme="majorHAnsi" w:hAnsiTheme="majorHAnsi"/>
                <w:sz w:val="18"/>
                <w:szCs w:val="18"/>
              </w:rPr>
              <w:t xml:space="preserve"> groundwater projects involved in CoP</w:t>
            </w:r>
          </w:p>
        </w:tc>
        <w:tc>
          <w:tcPr>
            <w:tcW w:w="2127" w:type="dxa"/>
            <w:vMerge/>
          </w:tcPr>
          <w:p w14:paraId="1051AEB2" w14:textId="77777777" w:rsidR="00D2027A" w:rsidRPr="001A76BE" w:rsidRDefault="00D2027A" w:rsidP="00FD6656">
            <w:pPr>
              <w:spacing w:before="20" w:after="20"/>
              <w:rPr>
                <w:rFonts w:asciiTheme="majorHAnsi" w:hAnsiTheme="majorHAnsi"/>
                <w:sz w:val="18"/>
                <w:szCs w:val="18"/>
              </w:rPr>
            </w:pPr>
          </w:p>
        </w:tc>
        <w:tc>
          <w:tcPr>
            <w:tcW w:w="2173" w:type="dxa"/>
          </w:tcPr>
          <w:p w14:paraId="45726C2C" w14:textId="736F4FB4" w:rsidR="00D2027A" w:rsidRPr="004C443A" w:rsidRDefault="00D2027A" w:rsidP="00FD6656">
            <w:pPr>
              <w:spacing w:before="20" w:after="20"/>
              <w:rPr>
                <w:rFonts w:asciiTheme="majorHAnsi" w:hAnsiTheme="majorHAnsi"/>
                <w:sz w:val="18"/>
                <w:szCs w:val="18"/>
              </w:rPr>
            </w:pPr>
            <w:r w:rsidRPr="004C443A">
              <w:rPr>
                <w:rFonts w:asciiTheme="majorHAnsi" w:hAnsiTheme="majorHAnsi"/>
                <w:sz w:val="18"/>
                <w:szCs w:val="18"/>
              </w:rPr>
              <w:t>100% of IW groundwater projects involved</w:t>
            </w:r>
          </w:p>
        </w:tc>
        <w:tc>
          <w:tcPr>
            <w:tcW w:w="1936" w:type="dxa"/>
          </w:tcPr>
          <w:p w14:paraId="51ACB9D0"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100% of IW groundwater projects involved</w:t>
            </w:r>
          </w:p>
        </w:tc>
        <w:tc>
          <w:tcPr>
            <w:tcW w:w="2088" w:type="dxa"/>
          </w:tcPr>
          <w:p w14:paraId="6A6134A1" w14:textId="6059E695" w:rsidR="00D2027A" w:rsidRPr="00B378B6" w:rsidRDefault="00D2027A" w:rsidP="004C443A">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36% GW projects </w:t>
            </w:r>
            <w:r>
              <w:rPr>
                <w:rFonts w:asciiTheme="majorHAnsi" w:hAnsiTheme="majorHAnsi"/>
                <w:sz w:val="18"/>
                <w:szCs w:val="18"/>
              </w:rPr>
              <w:t>signed up</w:t>
            </w:r>
          </w:p>
        </w:tc>
        <w:tc>
          <w:tcPr>
            <w:tcW w:w="1755" w:type="dxa"/>
            <w:vMerge/>
          </w:tcPr>
          <w:p w14:paraId="2E2CFD0D"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r>
      <w:tr w:rsidR="00D2027A" w:rsidRPr="00F869DC" w14:paraId="4FD8603B" w14:textId="77777777" w:rsidTr="001A76BE">
        <w:trPr>
          <w:trHeight w:val="495"/>
          <w:jc w:val="center"/>
        </w:trPr>
        <w:tc>
          <w:tcPr>
            <w:tcW w:w="2210" w:type="dxa"/>
            <w:vMerge/>
            <w:shd w:val="pct12" w:color="auto" w:fill="auto"/>
          </w:tcPr>
          <w:p w14:paraId="58A4B7FF" w14:textId="77777777" w:rsidR="00D2027A" w:rsidRPr="00B378B6" w:rsidRDefault="00D2027A" w:rsidP="00FD6656">
            <w:pPr>
              <w:spacing w:before="20" w:after="20"/>
              <w:rPr>
                <w:rFonts w:asciiTheme="majorHAnsi" w:hAnsiTheme="majorHAnsi"/>
                <w:b/>
                <w:bCs/>
                <w:sz w:val="18"/>
                <w:szCs w:val="18"/>
              </w:rPr>
            </w:pPr>
          </w:p>
        </w:tc>
        <w:tc>
          <w:tcPr>
            <w:tcW w:w="1867" w:type="dxa"/>
          </w:tcPr>
          <w:p w14:paraId="4233A660"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surface</w:t>
            </w:r>
            <w:proofErr w:type="gramEnd"/>
            <w:r w:rsidRPr="00B378B6">
              <w:rPr>
                <w:rFonts w:asciiTheme="majorHAnsi" w:hAnsiTheme="majorHAnsi"/>
                <w:sz w:val="18"/>
                <w:szCs w:val="18"/>
              </w:rPr>
              <w:t xml:space="preserve"> freshwater projects involved in CoP</w:t>
            </w:r>
          </w:p>
        </w:tc>
        <w:tc>
          <w:tcPr>
            <w:tcW w:w="2127" w:type="dxa"/>
            <w:vMerge/>
          </w:tcPr>
          <w:p w14:paraId="3F7FBD07" w14:textId="77777777" w:rsidR="00D2027A" w:rsidRPr="001A76BE" w:rsidRDefault="00D2027A" w:rsidP="00FD6656">
            <w:pPr>
              <w:spacing w:before="20" w:after="20"/>
              <w:rPr>
                <w:rFonts w:asciiTheme="majorHAnsi" w:hAnsiTheme="majorHAnsi"/>
                <w:sz w:val="18"/>
                <w:szCs w:val="18"/>
              </w:rPr>
            </w:pPr>
          </w:p>
        </w:tc>
        <w:tc>
          <w:tcPr>
            <w:tcW w:w="2173" w:type="dxa"/>
          </w:tcPr>
          <w:p w14:paraId="52828A90" w14:textId="28A79159" w:rsidR="00D2027A" w:rsidRPr="004C443A" w:rsidRDefault="00D2027A" w:rsidP="00FD6656">
            <w:pPr>
              <w:spacing w:before="20" w:after="20"/>
              <w:rPr>
                <w:rFonts w:asciiTheme="majorHAnsi" w:hAnsiTheme="majorHAnsi"/>
                <w:sz w:val="18"/>
                <w:szCs w:val="18"/>
              </w:rPr>
            </w:pPr>
            <w:r w:rsidRPr="004C443A">
              <w:rPr>
                <w:rFonts w:asciiTheme="majorHAnsi" w:hAnsiTheme="majorHAnsi"/>
                <w:sz w:val="18"/>
                <w:szCs w:val="18"/>
              </w:rPr>
              <w:t>75% of IW surface freshwater projects involved</w:t>
            </w:r>
          </w:p>
        </w:tc>
        <w:tc>
          <w:tcPr>
            <w:tcW w:w="1936" w:type="dxa"/>
          </w:tcPr>
          <w:p w14:paraId="750AA068"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75% of IW surface freshwater projects involved</w:t>
            </w:r>
          </w:p>
        </w:tc>
        <w:tc>
          <w:tcPr>
            <w:tcW w:w="2088" w:type="dxa"/>
          </w:tcPr>
          <w:p w14:paraId="33B8BDC7" w14:textId="675C92F3" w:rsidR="00D2027A" w:rsidRPr="00B378B6" w:rsidRDefault="00D2027A" w:rsidP="00FD6656">
            <w:pPr>
              <w:widowControl w:val="0"/>
              <w:autoSpaceDE w:val="0"/>
              <w:autoSpaceDN w:val="0"/>
              <w:adjustRightInd w:val="0"/>
              <w:spacing w:before="20" w:after="20"/>
              <w:rPr>
                <w:rFonts w:asciiTheme="majorHAnsi" w:hAnsiTheme="majorHAnsi"/>
                <w:sz w:val="18"/>
                <w:szCs w:val="18"/>
              </w:rPr>
            </w:pPr>
            <w:r>
              <w:rPr>
                <w:rFonts w:asciiTheme="majorHAnsi" w:hAnsiTheme="majorHAnsi"/>
                <w:sz w:val="18"/>
                <w:szCs w:val="18"/>
              </w:rPr>
              <w:t>85%</w:t>
            </w:r>
            <w:r w:rsidRPr="00B378B6">
              <w:rPr>
                <w:rFonts w:asciiTheme="majorHAnsi" w:hAnsiTheme="majorHAnsi"/>
                <w:sz w:val="18"/>
                <w:szCs w:val="18"/>
              </w:rPr>
              <w:t xml:space="preserve"> </w:t>
            </w:r>
            <w:r>
              <w:rPr>
                <w:rFonts w:asciiTheme="majorHAnsi" w:hAnsiTheme="majorHAnsi"/>
                <w:sz w:val="18"/>
                <w:szCs w:val="18"/>
              </w:rPr>
              <w:t xml:space="preserve">GW projects signed up </w:t>
            </w:r>
          </w:p>
        </w:tc>
        <w:tc>
          <w:tcPr>
            <w:tcW w:w="1755" w:type="dxa"/>
            <w:vMerge/>
          </w:tcPr>
          <w:p w14:paraId="515548D8"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r>
      <w:tr w:rsidR="00D2027A" w:rsidRPr="00F869DC" w14:paraId="334B4056" w14:textId="77777777" w:rsidTr="001A76BE">
        <w:trPr>
          <w:jc w:val="center"/>
        </w:trPr>
        <w:tc>
          <w:tcPr>
            <w:tcW w:w="2210" w:type="dxa"/>
            <w:vMerge/>
            <w:shd w:val="pct12" w:color="auto" w:fill="auto"/>
          </w:tcPr>
          <w:p w14:paraId="3AF0A880" w14:textId="77777777" w:rsidR="00D2027A" w:rsidRPr="00B378B6" w:rsidRDefault="00D2027A" w:rsidP="00FD6656">
            <w:pPr>
              <w:spacing w:before="20" w:after="20"/>
              <w:rPr>
                <w:rFonts w:asciiTheme="majorHAnsi" w:hAnsiTheme="majorHAnsi"/>
                <w:b/>
                <w:bCs/>
                <w:sz w:val="18"/>
                <w:szCs w:val="18"/>
              </w:rPr>
            </w:pPr>
          </w:p>
        </w:tc>
        <w:tc>
          <w:tcPr>
            <w:tcW w:w="1867" w:type="dxa"/>
          </w:tcPr>
          <w:p w14:paraId="3D7D1403"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Number of transboundary commissions (or equivalent) involved in CoP</w:t>
            </w:r>
          </w:p>
        </w:tc>
        <w:tc>
          <w:tcPr>
            <w:tcW w:w="2127" w:type="dxa"/>
            <w:vMerge/>
          </w:tcPr>
          <w:p w14:paraId="2B573D54" w14:textId="77777777" w:rsidR="00D2027A" w:rsidRPr="001A76BE" w:rsidRDefault="00D2027A" w:rsidP="00FD6656">
            <w:pPr>
              <w:spacing w:before="20" w:after="20"/>
              <w:rPr>
                <w:rFonts w:asciiTheme="majorHAnsi" w:hAnsiTheme="majorHAnsi"/>
                <w:sz w:val="18"/>
                <w:szCs w:val="18"/>
              </w:rPr>
            </w:pPr>
          </w:p>
        </w:tc>
        <w:tc>
          <w:tcPr>
            <w:tcW w:w="2173" w:type="dxa"/>
          </w:tcPr>
          <w:p w14:paraId="027584F2" w14:textId="22838A24" w:rsidR="00D2027A" w:rsidRPr="004C443A" w:rsidRDefault="00D2027A" w:rsidP="00FD6656">
            <w:pPr>
              <w:spacing w:before="20" w:after="20"/>
              <w:rPr>
                <w:rFonts w:asciiTheme="majorHAnsi" w:hAnsiTheme="majorHAnsi"/>
                <w:bCs/>
                <w:sz w:val="18"/>
                <w:szCs w:val="18"/>
              </w:rPr>
            </w:pPr>
            <w:r w:rsidRPr="004C443A">
              <w:rPr>
                <w:rFonts w:asciiTheme="majorHAnsi" w:hAnsiTheme="majorHAnsi"/>
                <w:sz w:val="18"/>
                <w:szCs w:val="18"/>
              </w:rPr>
              <w:t>10 transboundary commissions involved</w:t>
            </w:r>
          </w:p>
        </w:tc>
        <w:tc>
          <w:tcPr>
            <w:tcW w:w="1936" w:type="dxa"/>
          </w:tcPr>
          <w:p w14:paraId="7179E0D2"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sz w:val="18"/>
                <w:szCs w:val="18"/>
              </w:rPr>
              <w:t>Currently 3 (Cartagena, Lake Victoria Fisheries, ICPDR</w:t>
            </w:r>
          </w:p>
        </w:tc>
        <w:tc>
          <w:tcPr>
            <w:tcW w:w="2088" w:type="dxa"/>
          </w:tcPr>
          <w:p w14:paraId="6BB2DF3C"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bCs/>
                <w:sz w:val="18"/>
                <w:szCs w:val="18"/>
              </w:rPr>
              <w:t>See comment</w:t>
            </w:r>
          </w:p>
        </w:tc>
        <w:tc>
          <w:tcPr>
            <w:tcW w:w="1755" w:type="dxa"/>
            <w:vMerge/>
          </w:tcPr>
          <w:p w14:paraId="482AF6CF"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r>
      <w:tr w:rsidR="00D2027A" w:rsidRPr="00F869DC" w14:paraId="3AEA761A" w14:textId="77777777" w:rsidTr="001A76BE">
        <w:trPr>
          <w:jc w:val="center"/>
        </w:trPr>
        <w:tc>
          <w:tcPr>
            <w:tcW w:w="2210" w:type="dxa"/>
            <w:vMerge/>
            <w:shd w:val="pct12" w:color="auto" w:fill="auto"/>
          </w:tcPr>
          <w:p w14:paraId="68EFF49D" w14:textId="77777777" w:rsidR="00D2027A" w:rsidRPr="00B378B6" w:rsidRDefault="00D2027A" w:rsidP="00FD6656">
            <w:pPr>
              <w:spacing w:before="20" w:after="20"/>
              <w:rPr>
                <w:rFonts w:asciiTheme="majorHAnsi" w:hAnsiTheme="majorHAnsi"/>
                <w:b/>
                <w:bCs/>
                <w:sz w:val="18"/>
                <w:szCs w:val="18"/>
              </w:rPr>
            </w:pPr>
          </w:p>
        </w:tc>
        <w:tc>
          <w:tcPr>
            <w:tcW w:w="1867" w:type="dxa"/>
          </w:tcPr>
          <w:p w14:paraId="58880EEA"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Number of groundwater practices replicated through IWL</w:t>
            </w:r>
          </w:p>
        </w:tc>
        <w:tc>
          <w:tcPr>
            <w:tcW w:w="2127" w:type="dxa"/>
            <w:vMerge/>
          </w:tcPr>
          <w:p w14:paraId="29ABAA52" w14:textId="77777777" w:rsidR="00D2027A" w:rsidRPr="001A76BE" w:rsidRDefault="00D2027A" w:rsidP="00FD6656">
            <w:pPr>
              <w:spacing w:before="20" w:after="20"/>
              <w:rPr>
                <w:rFonts w:asciiTheme="majorHAnsi" w:hAnsiTheme="majorHAnsi"/>
                <w:sz w:val="18"/>
                <w:szCs w:val="18"/>
              </w:rPr>
            </w:pPr>
          </w:p>
        </w:tc>
        <w:tc>
          <w:tcPr>
            <w:tcW w:w="2173" w:type="dxa"/>
          </w:tcPr>
          <w:p w14:paraId="76B105B7" w14:textId="4CD88679" w:rsidR="00D2027A" w:rsidRPr="004C443A" w:rsidRDefault="00D2027A" w:rsidP="00FD6656">
            <w:pPr>
              <w:spacing w:before="20" w:after="20"/>
              <w:rPr>
                <w:rFonts w:asciiTheme="majorHAnsi" w:hAnsiTheme="majorHAnsi"/>
                <w:bCs/>
                <w:sz w:val="18"/>
                <w:szCs w:val="18"/>
              </w:rPr>
            </w:pPr>
            <w:r w:rsidRPr="004C443A">
              <w:rPr>
                <w:rFonts w:asciiTheme="majorHAnsi" w:hAnsiTheme="majorHAnsi"/>
                <w:sz w:val="18"/>
                <w:szCs w:val="18"/>
              </w:rPr>
              <w:t>3 groundwater related priority replicable practices disseminated through IW LEARN platform, and 2 cases of integrated cooperative approaches among water-bodies documented.</w:t>
            </w:r>
          </w:p>
        </w:tc>
        <w:tc>
          <w:tcPr>
            <w:tcW w:w="1936" w:type="dxa"/>
          </w:tcPr>
          <w:p w14:paraId="00352E1A" w14:textId="77777777" w:rsidR="00D2027A" w:rsidRPr="00B378B6" w:rsidRDefault="00D2027A" w:rsidP="00FD6656">
            <w:pPr>
              <w:spacing w:before="20" w:after="20"/>
              <w:rPr>
                <w:rFonts w:asciiTheme="majorHAnsi" w:hAnsiTheme="majorHAnsi"/>
                <w:bCs/>
                <w:sz w:val="18"/>
                <w:szCs w:val="18"/>
              </w:rPr>
            </w:pPr>
          </w:p>
        </w:tc>
        <w:tc>
          <w:tcPr>
            <w:tcW w:w="2088" w:type="dxa"/>
          </w:tcPr>
          <w:p w14:paraId="13364F39"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None as yet </w:t>
            </w:r>
          </w:p>
        </w:tc>
        <w:tc>
          <w:tcPr>
            <w:tcW w:w="1755" w:type="dxa"/>
            <w:vMerge/>
          </w:tcPr>
          <w:p w14:paraId="258A04E4"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r>
      <w:tr w:rsidR="00D2027A" w:rsidRPr="00F869DC" w14:paraId="76D53151" w14:textId="77777777" w:rsidTr="001A76BE">
        <w:trPr>
          <w:jc w:val="center"/>
        </w:trPr>
        <w:tc>
          <w:tcPr>
            <w:tcW w:w="2210" w:type="dxa"/>
            <w:vMerge/>
            <w:shd w:val="pct12" w:color="auto" w:fill="auto"/>
          </w:tcPr>
          <w:p w14:paraId="4FC1963E" w14:textId="77777777" w:rsidR="00D2027A" w:rsidRPr="00B378B6" w:rsidRDefault="00D2027A" w:rsidP="00FD6656">
            <w:pPr>
              <w:spacing w:before="20" w:after="20"/>
              <w:rPr>
                <w:rFonts w:asciiTheme="majorHAnsi" w:hAnsiTheme="majorHAnsi"/>
                <w:b/>
                <w:bCs/>
                <w:sz w:val="18"/>
                <w:szCs w:val="18"/>
              </w:rPr>
            </w:pPr>
          </w:p>
        </w:tc>
        <w:tc>
          <w:tcPr>
            <w:tcW w:w="1867" w:type="dxa"/>
          </w:tcPr>
          <w:p w14:paraId="50AD9759"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Number of exchanges between surface and groundwater projects</w:t>
            </w:r>
          </w:p>
        </w:tc>
        <w:tc>
          <w:tcPr>
            <w:tcW w:w="2127" w:type="dxa"/>
            <w:vMerge/>
          </w:tcPr>
          <w:p w14:paraId="79195F47" w14:textId="77777777" w:rsidR="00D2027A" w:rsidRPr="001A76BE" w:rsidRDefault="00D2027A" w:rsidP="00FD6656">
            <w:pPr>
              <w:spacing w:before="20" w:after="20"/>
              <w:rPr>
                <w:rFonts w:asciiTheme="majorHAnsi" w:hAnsiTheme="majorHAnsi"/>
                <w:sz w:val="18"/>
                <w:szCs w:val="18"/>
              </w:rPr>
            </w:pPr>
          </w:p>
        </w:tc>
        <w:tc>
          <w:tcPr>
            <w:tcW w:w="2173" w:type="dxa"/>
          </w:tcPr>
          <w:p w14:paraId="2E940E78" w14:textId="39B1E7E0" w:rsidR="00D2027A" w:rsidRPr="00B378B6" w:rsidRDefault="00D2027A" w:rsidP="00FD6656">
            <w:pPr>
              <w:spacing w:before="20" w:after="20"/>
              <w:rPr>
                <w:rFonts w:asciiTheme="majorHAnsi" w:hAnsiTheme="majorHAnsi"/>
                <w:bCs/>
                <w:sz w:val="18"/>
                <w:szCs w:val="18"/>
                <w:highlight w:val="yellow"/>
              </w:rPr>
            </w:pPr>
            <w:r w:rsidRPr="00B378B6">
              <w:rPr>
                <w:rFonts w:asciiTheme="majorHAnsi" w:hAnsiTheme="majorHAnsi"/>
                <w:sz w:val="18"/>
                <w:szCs w:val="18"/>
              </w:rPr>
              <w:t>5 exchanges between groundwater and surface water projects.</w:t>
            </w:r>
          </w:p>
        </w:tc>
        <w:tc>
          <w:tcPr>
            <w:tcW w:w="1936" w:type="dxa"/>
          </w:tcPr>
          <w:p w14:paraId="00FBE2F8" w14:textId="77777777" w:rsidR="00D2027A" w:rsidRPr="00B378B6" w:rsidRDefault="00D2027A" w:rsidP="00FD6656">
            <w:pPr>
              <w:spacing w:before="20" w:after="20"/>
              <w:rPr>
                <w:rFonts w:asciiTheme="majorHAnsi" w:hAnsiTheme="majorHAnsi"/>
                <w:bCs/>
                <w:sz w:val="18"/>
                <w:szCs w:val="18"/>
              </w:rPr>
            </w:pPr>
          </w:p>
        </w:tc>
        <w:tc>
          <w:tcPr>
            <w:tcW w:w="2088" w:type="dxa"/>
          </w:tcPr>
          <w:p w14:paraId="5A3F019C" w14:textId="333B1C43" w:rsidR="00D2027A" w:rsidRPr="00B378B6" w:rsidRDefault="00D2027A" w:rsidP="004C443A">
            <w:pPr>
              <w:widowControl w:val="0"/>
              <w:autoSpaceDE w:val="0"/>
              <w:autoSpaceDN w:val="0"/>
              <w:adjustRightInd w:val="0"/>
              <w:spacing w:before="20" w:after="20"/>
              <w:rPr>
                <w:rFonts w:asciiTheme="majorHAnsi" w:hAnsiTheme="majorHAnsi"/>
                <w:sz w:val="18"/>
                <w:szCs w:val="18"/>
              </w:rPr>
            </w:pPr>
            <w:proofErr w:type="gramStart"/>
            <w:r w:rsidRPr="00B378B6">
              <w:rPr>
                <w:rFonts w:asciiTheme="majorHAnsi" w:hAnsiTheme="majorHAnsi"/>
                <w:sz w:val="18"/>
                <w:szCs w:val="18"/>
              </w:rPr>
              <w:t>Achieved  through</w:t>
            </w:r>
            <w:proofErr w:type="gramEnd"/>
            <w:r w:rsidRPr="00B378B6">
              <w:rPr>
                <w:rFonts w:asciiTheme="majorHAnsi" w:hAnsiTheme="majorHAnsi"/>
                <w:sz w:val="18"/>
                <w:szCs w:val="18"/>
              </w:rPr>
              <w:t xml:space="preserve"> various workshops </w:t>
            </w:r>
            <w:r>
              <w:rPr>
                <w:rFonts w:asciiTheme="majorHAnsi" w:hAnsiTheme="majorHAnsi"/>
                <w:sz w:val="18"/>
                <w:szCs w:val="18"/>
              </w:rPr>
              <w:t xml:space="preserve">and roundtables. </w:t>
            </w:r>
            <w:r w:rsidRPr="00B378B6">
              <w:rPr>
                <w:rFonts w:asciiTheme="majorHAnsi" w:hAnsiTheme="majorHAnsi"/>
                <w:sz w:val="18"/>
                <w:szCs w:val="18"/>
              </w:rPr>
              <w:t xml:space="preserve"> </w:t>
            </w:r>
          </w:p>
        </w:tc>
        <w:tc>
          <w:tcPr>
            <w:tcW w:w="1755" w:type="dxa"/>
            <w:vMerge/>
          </w:tcPr>
          <w:p w14:paraId="3E2D9C62"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r>
      <w:tr w:rsidR="00D2027A" w:rsidRPr="00F869DC" w14:paraId="6866721F" w14:textId="77777777" w:rsidTr="001A76BE">
        <w:trPr>
          <w:jc w:val="center"/>
        </w:trPr>
        <w:tc>
          <w:tcPr>
            <w:tcW w:w="2210" w:type="dxa"/>
            <w:vMerge/>
            <w:shd w:val="pct12" w:color="auto" w:fill="auto"/>
          </w:tcPr>
          <w:p w14:paraId="6BD1E8D5" w14:textId="77777777" w:rsidR="00D2027A" w:rsidRPr="00B378B6" w:rsidRDefault="00D2027A" w:rsidP="00FD6656">
            <w:pPr>
              <w:spacing w:before="20" w:after="20"/>
              <w:rPr>
                <w:rFonts w:asciiTheme="majorHAnsi" w:hAnsiTheme="majorHAnsi"/>
                <w:b/>
                <w:bCs/>
                <w:sz w:val="18"/>
                <w:szCs w:val="18"/>
              </w:rPr>
            </w:pPr>
          </w:p>
        </w:tc>
        <w:tc>
          <w:tcPr>
            <w:tcW w:w="1867" w:type="dxa"/>
          </w:tcPr>
          <w:p w14:paraId="6EDE2FAF" w14:textId="77777777" w:rsidR="00D2027A" w:rsidRPr="004C443A" w:rsidRDefault="00D2027A" w:rsidP="00FD6656">
            <w:pPr>
              <w:spacing w:before="20" w:after="20"/>
              <w:rPr>
                <w:rFonts w:asciiTheme="majorHAnsi" w:hAnsiTheme="majorHAnsi"/>
                <w:bCs/>
                <w:strike/>
                <w:sz w:val="18"/>
                <w:szCs w:val="18"/>
              </w:rPr>
            </w:pPr>
            <w:r w:rsidRPr="004C443A">
              <w:rPr>
                <w:rFonts w:asciiTheme="majorHAnsi" w:hAnsiTheme="majorHAnsi"/>
                <w:bCs/>
                <w:strike/>
                <w:sz w:val="18"/>
                <w:szCs w:val="18"/>
              </w:rPr>
              <w:t xml:space="preserve">Participation at groundwater CoP by surface water representatives and </w:t>
            </w:r>
            <w:r w:rsidRPr="004C443A">
              <w:rPr>
                <w:rFonts w:asciiTheme="majorHAnsi" w:hAnsiTheme="majorHAnsi"/>
                <w:bCs/>
                <w:i/>
                <w:strike/>
                <w:sz w:val="18"/>
                <w:szCs w:val="18"/>
              </w:rPr>
              <w:t xml:space="preserve">vice versa </w:t>
            </w:r>
          </w:p>
        </w:tc>
        <w:tc>
          <w:tcPr>
            <w:tcW w:w="2127" w:type="dxa"/>
            <w:vMerge/>
          </w:tcPr>
          <w:p w14:paraId="24B0E5E8" w14:textId="77777777" w:rsidR="00D2027A" w:rsidRPr="001A76BE" w:rsidRDefault="00D2027A" w:rsidP="00FD6656">
            <w:pPr>
              <w:spacing w:before="20" w:after="20"/>
              <w:rPr>
                <w:rFonts w:asciiTheme="majorHAnsi" w:hAnsiTheme="majorHAnsi"/>
                <w:strike/>
                <w:sz w:val="18"/>
                <w:szCs w:val="18"/>
              </w:rPr>
            </w:pPr>
          </w:p>
        </w:tc>
        <w:tc>
          <w:tcPr>
            <w:tcW w:w="2173" w:type="dxa"/>
          </w:tcPr>
          <w:p w14:paraId="5CD83399" w14:textId="5D691E01" w:rsidR="00D2027A" w:rsidRPr="004C443A" w:rsidRDefault="00D2027A" w:rsidP="00FD6656">
            <w:pPr>
              <w:spacing w:before="20" w:after="20"/>
              <w:rPr>
                <w:rFonts w:asciiTheme="majorHAnsi" w:hAnsiTheme="majorHAnsi"/>
                <w:bCs/>
                <w:strike/>
                <w:sz w:val="18"/>
                <w:szCs w:val="18"/>
                <w:highlight w:val="yellow"/>
              </w:rPr>
            </w:pPr>
            <w:r w:rsidRPr="004C443A">
              <w:rPr>
                <w:rFonts w:asciiTheme="majorHAnsi" w:hAnsiTheme="majorHAnsi"/>
                <w:strike/>
                <w:sz w:val="18"/>
                <w:szCs w:val="18"/>
              </w:rPr>
              <w:t>Groundwater and surface water CoP representatives routinely attend each others meetings</w:t>
            </w:r>
          </w:p>
        </w:tc>
        <w:tc>
          <w:tcPr>
            <w:tcW w:w="1936" w:type="dxa"/>
          </w:tcPr>
          <w:p w14:paraId="6D406B7E" w14:textId="6843BF2A" w:rsidR="00D2027A" w:rsidRPr="00B378B6" w:rsidRDefault="00D2027A" w:rsidP="004C443A">
            <w:pPr>
              <w:spacing w:before="20" w:after="20"/>
              <w:rPr>
                <w:rFonts w:asciiTheme="majorHAnsi" w:hAnsiTheme="majorHAnsi"/>
                <w:bCs/>
                <w:sz w:val="18"/>
                <w:szCs w:val="18"/>
              </w:rPr>
            </w:pPr>
            <w:r>
              <w:rPr>
                <w:rFonts w:asciiTheme="majorHAnsi" w:hAnsiTheme="majorHAnsi"/>
                <w:bCs/>
                <w:sz w:val="18"/>
                <w:szCs w:val="18"/>
              </w:rPr>
              <w:t>Remove as not clear</w:t>
            </w:r>
            <w:r w:rsidRPr="00B378B6">
              <w:rPr>
                <w:rFonts w:asciiTheme="majorHAnsi" w:hAnsiTheme="majorHAnsi"/>
                <w:bCs/>
                <w:sz w:val="18"/>
                <w:szCs w:val="18"/>
              </w:rPr>
              <w:t xml:space="preserve"> what meetings are being referred</w:t>
            </w:r>
            <w:r>
              <w:rPr>
                <w:rFonts w:asciiTheme="majorHAnsi" w:hAnsiTheme="majorHAnsi"/>
                <w:bCs/>
                <w:sz w:val="18"/>
                <w:szCs w:val="18"/>
              </w:rPr>
              <w:t xml:space="preserve"> to.</w:t>
            </w:r>
          </w:p>
        </w:tc>
        <w:tc>
          <w:tcPr>
            <w:tcW w:w="2088" w:type="dxa"/>
          </w:tcPr>
          <w:p w14:paraId="5B68A4BA"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c>
          <w:tcPr>
            <w:tcW w:w="1755" w:type="dxa"/>
            <w:vMerge/>
          </w:tcPr>
          <w:p w14:paraId="58845966"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r>
      <w:tr w:rsidR="00D2027A" w:rsidRPr="00F869DC" w14:paraId="565F55E6" w14:textId="77777777" w:rsidTr="001A76BE">
        <w:trPr>
          <w:jc w:val="center"/>
        </w:trPr>
        <w:tc>
          <w:tcPr>
            <w:tcW w:w="2210" w:type="dxa"/>
            <w:vMerge w:val="restart"/>
            <w:shd w:val="pct12" w:color="auto" w:fill="auto"/>
          </w:tcPr>
          <w:p w14:paraId="3D3507D2" w14:textId="77777777" w:rsidR="00D2027A" w:rsidRDefault="00D2027A" w:rsidP="00FD6656">
            <w:pPr>
              <w:spacing w:before="20" w:after="20"/>
              <w:rPr>
                <w:rFonts w:asciiTheme="majorHAnsi" w:hAnsiTheme="majorHAnsi"/>
                <w:b/>
                <w:bCs/>
                <w:sz w:val="18"/>
                <w:szCs w:val="18"/>
              </w:rPr>
            </w:pPr>
            <w:r w:rsidRPr="00B378B6">
              <w:rPr>
                <w:rFonts w:asciiTheme="majorHAnsi" w:hAnsiTheme="majorHAnsi"/>
                <w:b/>
                <w:bCs/>
                <w:sz w:val="18"/>
                <w:szCs w:val="18"/>
              </w:rPr>
              <w:t>Outcome 2.2</w:t>
            </w:r>
          </w:p>
          <w:p w14:paraId="2E98A955" w14:textId="5E5570B6" w:rsidR="00D2027A" w:rsidRPr="00B378B6" w:rsidRDefault="00D2027A" w:rsidP="00FD6656">
            <w:pPr>
              <w:spacing w:before="20" w:after="20"/>
              <w:rPr>
                <w:rFonts w:asciiTheme="majorHAnsi" w:hAnsiTheme="majorHAnsi"/>
                <w:b/>
                <w:bCs/>
                <w:sz w:val="18"/>
                <w:szCs w:val="18"/>
              </w:rPr>
            </w:pPr>
            <w:r>
              <w:rPr>
                <w:rFonts w:asciiTheme="majorHAnsi" w:hAnsiTheme="majorHAnsi"/>
                <w:bCs/>
                <w:i/>
                <w:sz w:val="18"/>
                <w:szCs w:val="18"/>
              </w:rPr>
              <w:t>(</w:t>
            </w:r>
            <w:proofErr w:type="gramStart"/>
            <w:r>
              <w:rPr>
                <w:rFonts w:asciiTheme="majorHAnsi" w:hAnsiTheme="majorHAnsi"/>
                <w:bCs/>
                <w:i/>
                <w:sz w:val="18"/>
                <w:szCs w:val="18"/>
              </w:rPr>
              <w:t>sub</w:t>
            </w:r>
            <w:proofErr w:type="gramEnd"/>
            <w:r>
              <w:rPr>
                <w:rFonts w:asciiTheme="majorHAnsi" w:hAnsiTheme="majorHAnsi"/>
                <w:bCs/>
                <w:i/>
                <w:sz w:val="18"/>
                <w:szCs w:val="18"/>
              </w:rPr>
              <w:t>-comp 2a)</w:t>
            </w:r>
          </w:p>
          <w:p w14:paraId="3679E718" w14:textId="77777777" w:rsidR="00D2027A" w:rsidRPr="00B378B6" w:rsidRDefault="00D2027A" w:rsidP="00FD6656">
            <w:pPr>
              <w:spacing w:before="20" w:after="20"/>
              <w:rPr>
                <w:rFonts w:asciiTheme="majorHAnsi" w:hAnsiTheme="majorHAnsi"/>
                <w:b/>
                <w:bCs/>
                <w:sz w:val="18"/>
                <w:szCs w:val="18"/>
              </w:rPr>
            </w:pPr>
            <w:r w:rsidRPr="00B378B6">
              <w:rPr>
                <w:rFonts w:asciiTheme="majorHAnsi" w:hAnsiTheme="majorHAnsi"/>
                <w:sz w:val="18"/>
                <w:szCs w:val="18"/>
              </w:rPr>
              <w:t xml:space="preserve">Lessons and </w:t>
            </w:r>
            <w:proofErr w:type="gramStart"/>
            <w:r w:rsidRPr="00B378B6">
              <w:rPr>
                <w:rFonts w:asciiTheme="majorHAnsi" w:hAnsiTheme="majorHAnsi"/>
                <w:sz w:val="18"/>
                <w:szCs w:val="18"/>
              </w:rPr>
              <w:t>science  from</w:t>
            </w:r>
            <w:proofErr w:type="gramEnd"/>
            <w:r w:rsidRPr="00B378B6">
              <w:rPr>
                <w:rFonts w:asciiTheme="majorHAnsi" w:hAnsiTheme="majorHAnsi"/>
                <w:sz w:val="18"/>
                <w:szCs w:val="18"/>
              </w:rPr>
              <w:t xml:space="preserve"> GEF groundwater portfolio incorporated into and disseminated through networks, partners, and processes, strengthening the GEF IW GW portfolio</w:t>
            </w:r>
          </w:p>
        </w:tc>
        <w:tc>
          <w:tcPr>
            <w:tcW w:w="1867" w:type="dxa"/>
          </w:tcPr>
          <w:p w14:paraId="7DA35B75"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Number of examples/lessons/ good practices disseminated</w:t>
            </w:r>
          </w:p>
          <w:p w14:paraId="7EF88C3D" w14:textId="77777777" w:rsidR="00D2027A" w:rsidRPr="00B378B6" w:rsidRDefault="00D2027A" w:rsidP="00FD6656">
            <w:pPr>
              <w:spacing w:before="20" w:after="20"/>
              <w:rPr>
                <w:rFonts w:asciiTheme="majorHAnsi" w:hAnsiTheme="majorHAnsi"/>
                <w:sz w:val="18"/>
                <w:szCs w:val="18"/>
              </w:rPr>
            </w:pPr>
          </w:p>
        </w:tc>
        <w:tc>
          <w:tcPr>
            <w:tcW w:w="2127" w:type="dxa"/>
            <w:vMerge w:val="restart"/>
          </w:tcPr>
          <w:p w14:paraId="05439C3D" w14:textId="77777777" w:rsidR="001A76BE" w:rsidRPr="001A76BE" w:rsidRDefault="001A76BE" w:rsidP="001A76BE">
            <w:pPr>
              <w:widowControl w:val="0"/>
              <w:autoSpaceDE w:val="0"/>
              <w:autoSpaceDN w:val="0"/>
              <w:adjustRightInd w:val="0"/>
              <w:spacing w:before="20" w:after="20"/>
              <w:rPr>
                <w:rFonts w:asciiTheme="majorHAnsi" w:hAnsiTheme="majorHAnsi"/>
                <w:sz w:val="18"/>
                <w:szCs w:val="18"/>
              </w:rPr>
            </w:pPr>
            <w:r w:rsidRPr="001A76BE">
              <w:rPr>
                <w:rFonts w:asciiTheme="majorHAnsi" w:hAnsiTheme="majorHAnsi"/>
                <w:sz w:val="18"/>
                <w:szCs w:val="18"/>
              </w:rPr>
              <w:t>GEF IW groundwater projects identify appropriate lessons for dissemination</w:t>
            </w:r>
          </w:p>
          <w:p w14:paraId="0DCD8B35" w14:textId="77777777" w:rsidR="001A76BE" w:rsidRPr="001A76BE" w:rsidRDefault="001A76BE" w:rsidP="001A76BE">
            <w:pPr>
              <w:widowControl w:val="0"/>
              <w:autoSpaceDE w:val="0"/>
              <w:autoSpaceDN w:val="0"/>
              <w:adjustRightInd w:val="0"/>
              <w:spacing w:before="120" w:after="20"/>
              <w:rPr>
                <w:rFonts w:asciiTheme="majorHAnsi" w:hAnsiTheme="majorHAnsi"/>
                <w:sz w:val="18"/>
                <w:szCs w:val="18"/>
              </w:rPr>
            </w:pPr>
            <w:r w:rsidRPr="001A76BE">
              <w:rPr>
                <w:rFonts w:asciiTheme="majorHAnsi" w:hAnsiTheme="majorHAnsi"/>
                <w:sz w:val="18"/>
                <w:szCs w:val="18"/>
              </w:rPr>
              <w:t>Sufficient interest from IW groundwater projects to participate in IW Science Conference.</w:t>
            </w:r>
          </w:p>
          <w:p w14:paraId="216228D4" w14:textId="77777777" w:rsidR="001A76BE" w:rsidRPr="001A76BE" w:rsidRDefault="001A76BE" w:rsidP="001A76BE">
            <w:pPr>
              <w:widowControl w:val="0"/>
              <w:autoSpaceDE w:val="0"/>
              <w:autoSpaceDN w:val="0"/>
              <w:adjustRightInd w:val="0"/>
              <w:spacing w:before="120" w:after="20"/>
              <w:rPr>
                <w:rFonts w:asciiTheme="majorHAnsi" w:hAnsiTheme="majorHAnsi"/>
                <w:sz w:val="18"/>
                <w:szCs w:val="18"/>
              </w:rPr>
            </w:pPr>
            <w:r w:rsidRPr="001A76BE">
              <w:rPr>
                <w:rFonts w:asciiTheme="majorHAnsi" w:hAnsiTheme="majorHAnsi"/>
                <w:sz w:val="18"/>
                <w:szCs w:val="18"/>
              </w:rPr>
              <w:t>Continuing promotion of transboundary groundwater projects by GEF for future funding.</w:t>
            </w:r>
          </w:p>
          <w:p w14:paraId="4A600824" w14:textId="4DC505D0" w:rsidR="00D2027A" w:rsidRPr="001A76BE" w:rsidRDefault="001A76BE" w:rsidP="001A76BE">
            <w:pPr>
              <w:widowControl w:val="0"/>
              <w:autoSpaceDE w:val="0"/>
              <w:autoSpaceDN w:val="0"/>
              <w:adjustRightInd w:val="0"/>
              <w:spacing w:before="20" w:after="20"/>
              <w:rPr>
                <w:rFonts w:asciiTheme="majorHAnsi" w:hAnsiTheme="majorHAnsi"/>
                <w:sz w:val="18"/>
                <w:szCs w:val="18"/>
              </w:rPr>
            </w:pPr>
            <w:r w:rsidRPr="001A76BE">
              <w:rPr>
                <w:rFonts w:asciiTheme="majorHAnsi" w:hAnsiTheme="majorHAnsi"/>
                <w:sz w:val="18"/>
                <w:szCs w:val="18"/>
              </w:rPr>
              <w:t>GEF IW groundwater and surface water projects interact and future GEF IW projects reflect better integration</w:t>
            </w:r>
          </w:p>
        </w:tc>
        <w:tc>
          <w:tcPr>
            <w:tcW w:w="2173" w:type="dxa"/>
          </w:tcPr>
          <w:p w14:paraId="2029005D" w14:textId="3170AB15" w:rsidR="00D2027A" w:rsidRPr="004C443A" w:rsidRDefault="00D2027A" w:rsidP="00FD6656">
            <w:pPr>
              <w:widowControl w:val="0"/>
              <w:autoSpaceDE w:val="0"/>
              <w:autoSpaceDN w:val="0"/>
              <w:adjustRightInd w:val="0"/>
              <w:spacing w:before="20" w:after="20"/>
              <w:rPr>
                <w:rFonts w:asciiTheme="majorHAnsi" w:hAnsiTheme="majorHAnsi"/>
                <w:sz w:val="18"/>
                <w:szCs w:val="18"/>
              </w:rPr>
            </w:pPr>
            <w:r w:rsidRPr="004C443A">
              <w:rPr>
                <w:rFonts w:asciiTheme="majorHAnsi" w:hAnsiTheme="majorHAnsi"/>
                <w:sz w:val="18"/>
                <w:szCs w:val="18"/>
              </w:rPr>
              <w:t>6 examples / lessons / good practices disseminated through networks and / or published through IW</w:t>
            </w:r>
            <w:proofErr w:type="gramStart"/>
            <w:r w:rsidRPr="004C443A">
              <w:rPr>
                <w:rFonts w:asciiTheme="majorHAnsi" w:hAnsiTheme="majorHAnsi"/>
                <w:sz w:val="18"/>
                <w:szCs w:val="18"/>
              </w:rPr>
              <w:t>:LEARN</w:t>
            </w:r>
            <w:proofErr w:type="gramEnd"/>
            <w:r w:rsidRPr="004C443A">
              <w:rPr>
                <w:rFonts w:asciiTheme="majorHAnsi" w:hAnsiTheme="majorHAnsi"/>
                <w:sz w:val="18"/>
                <w:szCs w:val="18"/>
              </w:rPr>
              <w:t xml:space="preserve"> and partner networks or programmes</w:t>
            </w:r>
          </w:p>
        </w:tc>
        <w:tc>
          <w:tcPr>
            <w:tcW w:w="1936" w:type="dxa"/>
            <w:vMerge w:val="restart"/>
          </w:tcPr>
          <w:p w14:paraId="5FFFC188"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c>
          <w:tcPr>
            <w:tcW w:w="2088" w:type="dxa"/>
          </w:tcPr>
          <w:p w14:paraId="71B05EC3"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 xml:space="preserve">Currently no clear examples of lessons disseminated. </w:t>
            </w:r>
          </w:p>
        </w:tc>
        <w:tc>
          <w:tcPr>
            <w:tcW w:w="1755" w:type="dxa"/>
            <w:vMerge w:val="restart"/>
          </w:tcPr>
          <w:p w14:paraId="16304F4F" w14:textId="67B2CA56" w:rsidR="00D2027A" w:rsidRPr="00B378B6" w:rsidRDefault="00D2027A" w:rsidP="00FD6656">
            <w:pPr>
              <w:widowControl w:val="0"/>
              <w:autoSpaceDE w:val="0"/>
              <w:autoSpaceDN w:val="0"/>
              <w:adjustRightInd w:val="0"/>
              <w:spacing w:before="20" w:after="20"/>
              <w:rPr>
                <w:rFonts w:asciiTheme="majorHAnsi" w:hAnsiTheme="majorHAnsi"/>
                <w:sz w:val="18"/>
                <w:szCs w:val="18"/>
              </w:rPr>
            </w:pPr>
            <w:r>
              <w:rPr>
                <w:rFonts w:asciiTheme="majorHAnsi" w:hAnsiTheme="majorHAnsi"/>
                <w:sz w:val="18"/>
                <w:szCs w:val="18"/>
              </w:rPr>
              <w:t xml:space="preserve">Some progress via face to face meetings and other </w:t>
            </w:r>
            <w:r w:rsidR="00E22628">
              <w:rPr>
                <w:rFonts w:asciiTheme="majorHAnsi" w:hAnsiTheme="majorHAnsi"/>
                <w:sz w:val="18"/>
                <w:szCs w:val="18"/>
              </w:rPr>
              <w:t>activities</w:t>
            </w:r>
            <w:r>
              <w:rPr>
                <w:rFonts w:asciiTheme="majorHAnsi" w:hAnsiTheme="majorHAnsi"/>
                <w:sz w:val="18"/>
                <w:szCs w:val="18"/>
              </w:rPr>
              <w:t xml:space="preserve"> previously mentioned under sub-comp </w:t>
            </w:r>
            <w:proofErr w:type="gramStart"/>
            <w:r>
              <w:rPr>
                <w:rFonts w:asciiTheme="majorHAnsi" w:hAnsiTheme="majorHAnsi"/>
                <w:sz w:val="18"/>
                <w:szCs w:val="18"/>
              </w:rPr>
              <w:t>2a  and</w:t>
            </w:r>
            <w:proofErr w:type="gramEnd"/>
            <w:r>
              <w:rPr>
                <w:rFonts w:asciiTheme="majorHAnsi" w:hAnsiTheme="majorHAnsi"/>
                <w:sz w:val="18"/>
                <w:szCs w:val="18"/>
              </w:rPr>
              <w:t xml:space="preserve"> science conference </w:t>
            </w:r>
          </w:p>
        </w:tc>
      </w:tr>
      <w:tr w:rsidR="00D2027A" w:rsidRPr="00F869DC" w14:paraId="6155FDB8" w14:textId="77777777" w:rsidTr="001A76BE">
        <w:trPr>
          <w:jc w:val="center"/>
        </w:trPr>
        <w:tc>
          <w:tcPr>
            <w:tcW w:w="2210" w:type="dxa"/>
            <w:vMerge/>
            <w:shd w:val="pct12" w:color="auto" w:fill="auto"/>
          </w:tcPr>
          <w:p w14:paraId="226F4E58" w14:textId="77777777" w:rsidR="00D2027A" w:rsidRPr="00B378B6" w:rsidRDefault="00D2027A" w:rsidP="00FD6656">
            <w:pPr>
              <w:spacing w:before="20" w:after="20"/>
              <w:rPr>
                <w:rFonts w:asciiTheme="majorHAnsi" w:hAnsiTheme="majorHAnsi"/>
                <w:b/>
                <w:bCs/>
                <w:sz w:val="18"/>
                <w:szCs w:val="18"/>
              </w:rPr>
            </w:pPr>
          </w:p>
        </w:tc>
        <w:tc>
          <w:tcPr>
            <w:tcW w:w="1867" w:type="dxa"/>
          </w:tcPr>
          <w:p w14:paraId="231D4E20"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of</w:t>
            </w:r>
            <w:proofErr w:type="gramEnd"/>
            <w:r w:rsidRPr="00B378B6">
              <w:rPr>
                <w:rFonts w:asciiTheme="majorHAnsi" w:hAnsiTheme="majorHAnsi"/>
                <w:sz w:val="18"/>
                <w:szCs w:val="18"/>
              </w:rPr>
              <w:t xml:space="preserve"> presentations focusing on groundwater at IW Science conference</w:t>
            </w:r>
          </w:p>
        </w:tc>
        <w:tc>
          <w:tcPr>
            <w:tcW w:w="2127" w:type="dxa"/>
            <w:vMerge/>
          </w:tcPr>
          <w:p w14:paraId="675BCDAC" w14:textId="77777777" w:rsidR="00D2027A" w:rsidRPr="001A76BE" w:rsidRDefault="00D2027A" w:rsidP="00FD6656">
            <w:pPr>
              <w:widowControl w:val="0"/>
              <w:autoSpaceDE w:val="0"/>
              <w:autoSpaceDN w:val="0"/>
              <w:adjustRightInd w:val="0"/>
              <w:spacing w:before="20" w:after="20"/>
              <w:rPr>
                <w:rFonts w:asciiTheme="majorHAnsi" w:hAnsiTheme="majorHAnsi"/>
                <w:sz w:val="18"/>
                <w:szCs w:val="18"/>
              </w:rPr>
            </w:pPr>
          </w:p>
        </w:tc>
        <w:tc>
          <w:tcPr>
            <w:tcW w:w="2173" w:type="dxa"/>
          </w:tcPr>
          <w:p w14:paraId="364AF865" w14:textId="612519CE" w:rsidR="00D2027A" w:rsidRPr="004C443A" w:rsidRDefault="00D2027A" w:rsidP="00FD6656">
            <w:pPr>
              <w:widowControl w:val="0"/>
              <w:autoSpaceDE w:val="0"/>
              <w:autoSpaceDN w:val="0"/>
              <w:adjustRightInd w:val="0"/>
              <w:spacing w:before="20" w:after="20"/>
              <w:rPr>
                <w:rFonts w:asciiTheme="majorHAnsi" w:hAnsiTheme="majorHAnsi"/>
                <w:sz w:val="18"/>
                <w:szCs w:val="18"/>
              </w:rPr>
            </w:pPr>
            <w:r w:rsidRPr="004C443A">
              <w:rPr>
                <w:rFonts w:asciiTheme="majorHAnsi" w:hAnsiTheme="majorHAnsi"/>
                <w:sz w:val="18"/>
                <w:szCs w:val="18"/>
              </w:rPr>
              <w:t>30% of presentations at IW Science conference focus on Groundwater</w:t>
            </w:r>
          </w:p>
        </w:tc>
        <w:tc>
          <w:tcPr>
            <w:tcW w:w="1936" w:type="dxa"/>
            <w:vMerge/>
          </w:tcPr>
          <w:p w14:paraId="7527FB34"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c>
          <w:tcPr>
            <w:tcW w:w="2088" w:type="dxa"/>
          </w:tcPr>
          <w:p w14:paraId="19DCE2CB"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25% presentations focused on GW.</w:t>
            </w:r>
          </w:p>
        </w:tc>
        <w:tc>
          <w:tcPr>
            <w:tcW w:w="1755" w:type="dxa"/>
            <w:vMerge/>
          </w:tcPr>
          <w:p w14:paraId="49F5449C"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p>
        </w:tc>
      </w:tr>
      <w:tr w:rsidR="00D2027A" w:rsidRPr="00F869DC" w14:paraId="3F7A10B1" w14:textId="77777777" w:rsidTr="001A76BE">
        <w:trPr>
          <w:jc w:val="center"/>
        </w:trPr>
        <w:tc>
          <w:tcPr>
            <w:tcW w:w="2210" w:type="dxa"/>
            <w:vMerge w:val="restart"/>
            <w:shd w:val="pct12" w:color="auto" w:fill="auto"/>
          </w:tcPr>
          <w:p w14:paraId="3AF36F02" w14:textId="77777777" w:rsidR="00D2027A" w:rsidRDefault="00D2027A" w:rsidP="00FD6656">
            <w:pPr>
              <w:spacing w:before="20" w:after="20"/>
              <w:rPr>
                <w:rFonts w:asciiTheme="majorHAnsi" w:hAnsiTheme="majorHAnsi"/>
                <w:b/>
                <w:bCs/>
                <w:sz w:val="18"/>
                <w:szCs w:val="18"/>
              </w:rPr>
            </w:pPr>
            <w:r w:rsidRPr="00B378B6">
              <w:rPr>
                <w:rFonts w:asciiTheme="majorHAnsi" w:hAnsiTheme="majorHAnsi"/>
                <w:b/>
                <w:bCs/>
                <w:sz w:val="18"/>
                <w:szCs w:val="18"/>
              </w:rPr>
              <w:t>Outcome 3.1</w:t>
            </w:r>
          </w:p>
          <w:p w14:paraId="7CA33DDF" w14:textId="15F21ACC" w:rsidR="00D2027A" w:rsidRPr="00B378B6" w:rsidRDefault="00D2027A" w:rsidP="00FD6656">
            <w:pPr>
              <w:spacing w:before="20" w:after="20"/>
              <w:rPr>
                <w:rFonts w:asciiTheme="majorHAnsi" w:hAnsiTheme="majorHAnsi"/>
                <w:b/>
                <w:bCs/>
                <w:sz w:val="18"/>
                <w:szCs w:val="18"/>
              </w:rPr>
            </w:pPr>
            <w:r>
              <w:rPr>
                <w:rFonts w:asciiTheme="majorHAnsi" w:hAnsiTheme="majorHAnsi"/>
                <w:bCs/>
                <w:i/>
                <w:sz w:val="18"/>
                <w:szCs w:val="18"/>
              </w:rPr>
              <w:t>(</w:t>
            </w:r>
            <w:proofErr w:type="gramStart"/>
            <w:r>
              <w:rPr>
                <w:rFonts w:asciiTheme="majorHAnsi" w:hAnsiTheme="majorHAnsi"/>
                <w:bCs/>
                <w:i/>
                <w:sz w:val="18"/>
                <w:szCs w:val="18"/>
              </w:rPr>
              <w:t>sub</w:t>
            </w:r>
            <w:proofErr w:type="gramEnd"/>
            <w:r>
              <w:rPr>
                <w:rFonts w:asciiTheme="majorHAnsi" w:hAnsiTheme="majorHAnsi"/>
                <w:bCs/>
                <w:i/>
                <w:sz w:val="18"/>
                <w:szCs w:val="18"/>
              </w:rPr>
              <w:t>-comp</w:t>
            </w:r>
            <w:r w:rsidRPr="000A38E5">
              <w:rPr>
                <w:rFonts w:asciiTheme="majorHAnsi" w:hAnsiTheme="majorHAnsi"/>
                <w:bCs/>
                <w:i/>
                <w:sz w:val="18"/>
                <w:szCs w:val="18"/>
              </w:rPr>
              <w:t xml:space="preserve"> </w:t>
            </w:r>
            <w:r>
              <w:rPr>
                <w:rFonts w:asciiTheme="majorHAnsi" w:hAnsiTheme="majorHAnsi"/>
                <w:bCs/>
                <w:i/>
                <w:sz w:val="18"/>
                <w:szCs w:val="18"/>
              </w:rPr>
              <w:t>3a)</w:t>
            </w:r>
          </w:p>
          <w:p w14:paraId="27F68089" w14:textId="77777777" w:rsidR="00D2027A" w:rsidRPr="00B378B6" w:rsidRDefault="00D2027A" w:rsidP="00FD6656">
            <w:pPr>
              <w:spacing w:before="20" w:after="20"/>
              <w:rPr>
                <w:rFonts w:asciiTheme="majorHAnsi" w:hAnsiTheme="majorHAnsi"/>
                <w:b/>
                <w:bCs/>
                <w:sz w:val="18"/>
                <w:szCs w:val="18"/>
              </w:rPr>
            </w:pPr>
            <w:r w:rsidRPr="00B378B6">
              <w:rPr>
                <w:rFonts w:asciiTheme="majorHAnsi" w:hAnsiTheme="majorHAnsi"/>
                <w:sz w:val="18"/>
                <w:szCs w:val="18"/>
              </w:rPr>
              <w:t>Global GEF IW portfolio performance and capacities strengthened, in particular among project managers of GEF IW projects</w:t>
            </w:r>
          </w:p>
        </w:tc>
        <w:tc>
          <w:tcPr>
            <w:tcW w:w="1867" w:type="dxa"/>
          </w:tcPr>
          <w:p w14:paraId="36ADD552"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 </w:t>
            </w:r>
            <w:proofErr w:type="gramStart"/>
            <w:r w:rsidRPr="00B378B6">
              <w:rPr>
                <w:rFonts w:asciiTheme="majorHAnsi" w:hAnsiTheme="majorHAnsi"/>
                <w:bCs/>
                <w:sz w:val="18"/>
                <w:szCs w:val="18"/>
              </w:rPr>
              <w:t>of</w:t>
            </w:r>
            <w:proofErr w:type="gramEnd"/>
            <w:r w:rsidRPr="00B378B6">
              <w:rPr>
                <w:rFonts w:asciiTheme="majorHAnsi" w:hAnsiTheme="majorHAnsi"/>
                <w:bCs/>
                <w:sz w:val="18"/>
                <w:szCs w:val="18"/>
              </w:rPr>
              <w:t xml:space="preserve"> IWC6 participants indicate increased capacity</w:t>
            </w:r>
          </w:p>
          <w:p w14:paraId="45DD848E" w14:textId="77777777" w:rsidR="00D2027A" w:rsidRPr="00B378B6" w:rsidRDefault="00D2027A" w:rsidP="00FD6656">
            <w:pPr>
              <w:spacing w:before="20" w:after="20"/>
              <w:rPr>
                <w:rFonts w:asciiTheme="majorHAnsi" w:hAnsiTheme="majorHAnsi"/>
                <w:sz w:val="18"/>
                <w:szCs w:val="18"/>
              </w:rPr>
            </w:pPr>
          </w:p>
          <w:p w14:paraId="5E33064A" w14:textId="77777777" w:rsidR="00D2027A" w:rsidRPr="00B378B6" w:rsidRDefault="00D2027A" w:rsidP="00FD6656">
            <w:pPr>
              <w:spacing w:before="20" w:after="20"/>
              <w:rPr>
                <w:rFonts w:asciiTheme="majorHAnsi" w:hAnsiTheme="majorHAnsi"/>
                <w:bCs/>
                <w:sz w:val="18"/>
                <w:szCs w:val="18"/>
              </w:rPr>
            </w:pPr>
          </w:p>
        </w:tc>
        <w:tc>
          <w:tcPr>
            <w:tcW w:w="2127" w:type="dxa"/>
            <w:vMerge w:val="restart"/>
          </w:tcPr>
          <w:p w14:paraId="2125E337" w14:textId="77777777" w:rsidR="001A76BE" w:rsidRPr="001A76BE" w:rsidRDefault="001A76BE" w:rsidP="001A76BE">
            <w:pPr>
              <w:spacing w:before="20" w:after="20"/>
              <w:rPr>
                <w:rFonts w:asciiTheme="majorHAnsi" w:hAnsiTheme="majorHAnsi"/>
                <w:sz w:val="18"/>
                <w:szCs w:val="18"/>
              </w:rPr>
            </w:pPr>
            <w:r w:rsidRPr="001A76BE">
              <w:rPr>
                <w:rFonts w:asciiTheme="majorHAnsi" w:hAnsiTheme="majorHAnsi"/>
                <w:sz w:val="18"/>
                <w:szCs w:val="18"/>
              </w:rPr>
              <w:t>Not all GEF IW projects are willing to engage in various types of portfolio learning activities or to expose any weaknesses in project implementation to external scrutiny.</w:t>
            </w:r>
          </w:p>
          <w:p w14:paraId="458A7F76" w14:textId="77777777" w:rsidR="001A76BE" w:rsidRPr="001A76BE" w:rsidRDefault="001A76BE" w:rsidP="001A76BE">
            <w:pPr>
              <w:spacing w:before="20" w:after="20"/>
              <w:rPr>
                <w:rFonts w:asciiTheme="majorHAnsi" w:hAnsiTheme="majorHAnsi"/>
                <w:b/>
                <w:sz w:val="18"/>
                <w:szCs w:val="18"/>
              </w:rPr>
            </w:pPr>
          </w:p>
          <w:p w14:paraId="6D489A78" w14:textId="77777777" w:rsidR="001A76BE" w:rsidRPr="001A76BE" w:rsidRDefault="001A76BE" w:rsidP="001A76BE">
            <w:pPr>
              <w:spacing w:before="20" w:after="20"/>
              <w:rPr>
                <w:rFonts w:asciiTheme="majorHAnsi" w:hAnsiTheme="majorHAnsi"/>
                <w:sz w:val="18"/>
                <w:szCs w:val="18"/>
              </w:rPr>
            </w:pPr>
            <w:r w:rsidRPr="001A76BE">
              <w:rPr>
                <w:rFonts w:asciiTheme="majorHAnsi" w:hAnsiTheme="majorHAnsi"/>
                <w:sz w:val="18"/>
                <w:szCs w:val="18"/>
              </w:rPr>
              <w:t>Geopolitical and economic conditions enable full participation in the IWC6</w:t>
            </w:r>
          </w:p>
          <w:p w14:paraId="155AEE2C" w14:textId="77777777" w:rsidR="001A76BE" w:rsidRPr="001A76BE" w:rsidRDefault="001A76BE" w:rsidP="001A76BE">
            <w:pPr>
              <w:spacing w:before="20" w:after="20"/>
              <w:rPr>
                <w:rFonts w:asciiTheme="majorHAnsi" w:hAnsiTheme="majorHAnsi"/>
                <w:b/>
                <w:sz w:val="18"/>
                <w:szCs w:val="18"/>
              </w:rPr>
            </w:pPr>
          </w:p>
          <w:p w14:paraId="18D4C2B5" w14:textId="5C6FDC22" w:rsidR="00D2027A" w:rsidRPr="001A76BE" w:rsidRDefault="001A76BE" w:rsidP="001A76BE">
            <w:pPr>
              <w:spacing w:before="20" w:after="20"/>
              <w:rPr>
                <w:rFonts w:asciiTheme="majorHAnsi" w:hAnsiTheme="majorHAnsi"/>
                <w:sz w:val="18"/>
                <w:szCs w:val="18"/>
              </w:rPr>
            </w:pPr>
            <w:r w:rsidRPr="001A76BE">
              <w:rPr>
                <w:rFonts w:asciiTheme="majorHAnsi" w:hAnsiTheme="majorHAnsi"/>
                <w:sz w:val="18"/>
                <w:szCs w:val="18"/>
              </w:rPr>
              <w:t>The previous four IW conferences have helped to build a sense of community and trust among all IW projects.</w:t>
            </w:r>
          </w:p>
        </w:tc>
        <w:tc>
          <w:tcPr>
            <w:tcW w:w="2173" w:type="dxa"/>
          </w:tcPr>
          <w:p w14:paraId="66852264" w14:textId="47EE3785" w:rsidR="00D2027A" w:rsidRPr="00540644" w:rsidRDefault="00D2027A" w:rsidP="00FD6656">
            <w:pPr>
              <w:spacing w:before="20" w:after="20"/>
              <w:rPr>
                <w:rFonts w:asciiTheme="majorHAnsi" w:hAnsiTheme="majorHAnsi"/>
                <w:bCs/>
                <w:sz w:val="18"/>
                <w:szCs w:val="18"/>
              </w:rPr>
            </w:pPr>
            <w:r w:rsidRPr="00540644">
              <w:rPr>
                <w:rFonts w:asciiTheme="majorHAnsi" w:hAnsiTheme="majorHAnsi"/>
                <w:sz w:val="18"/>
                <w:szCs w:val="18"/>
              </w:rPr>
              <w:t>At least 75% of IWC6 participant evaluations confirm increased capacity vs. individual baselines, and/or indicate changes to personal or institutional work plans</w:t>
            </w:r>
          </w:p>
        </w:tc>
        <w:tc>
          <w:tcPr>
            <w:tcW w:w="1936" w:type="dxa"/>
            <w:vMerge w:val="restart"/>
          </w:tcPr>
          <w:p w14:paraId="1C854A8B" w14:textId="77777777" w:rsidR="00D2027A" w:rsidRPr="00B378B6" w:rsidRDefault="00D2027A" w:rsidP="00FD6656">
            <w:pPr>
              <w:spacing w:before="20" w:after="20"/>
              <w:rPr>
                <w:rFonts w:asciiTheme="majorHAnsi" w:hAnsiTheme="majorHAnsi"/>
                <w:bCs/>
                <w:sz w:val="18"/>
                <w:szCs w:val="18"/>
              </w:rPr>
            </w:pPr>
          </w:p>
        </w:tc>
        <w:tc>
          <w:tcPr>
            <w:tcW w:w="2088" w:type="dxa"/>
          </w:tcPr>
          <w:p w14:paraId="408985C5"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88% of participants submitting evaluations confirm the IWC6 was relevant to work and an overall success (4.41/5)</w:t>
            </w:r>
            <w:r w:rsidRPr="00B378B6">
              <w:rPr>
                <w:rFonts w:asciiTheme="majorHAnsi" w:hAnsiTheme="majorHAnsi"/>
                <w:sz w:val="18"/>
                <w:szCs w:val="18"/>
              </w:rPr>
              <w:br/>
            </w:r>
          </w:p>
        </w:tc>
        <w:tc>
          <w:tcPr>
            <w:tcW w:w="1755" w:type="dxa"/>
            <w:vMerge w:val="restart"/>
          </w:tcPr>
          <w:p w14:paraId="76DDB725" w14:textId="77777777" w:rsidR="00D2027A" w:rsidRPr="00B378B6" w:rsidRDefault="00D2027A" w:rsidP="00FD6656">
            <w:pPr>
              <w:spacing w:before="20" w:after="20"/>
              <w:rPr>
                <w:rFonts w:asciiTheme="majorHAnsi" w:hAnsiTheme="majorHAnsi"/>
                <w:bCs/>
                <w:sz w:val="18"/>
                <w:szCs w:val="18"/>
              </w:rPr>
            </w:pPr>
          </w:p>
          <w:p w14:paraId="32C80BD1" w14:textId="69AA016A" w:rsidR="00D2027A" w:rsidRPr="00B378B6" w:rsidRDefault="00D2027A" w:rsidP="00FD6656">
            <w:pPr>
              <w:spacing w:before="20" w:after="20"/>
              <w:rPr>
                <w:rFonts w:asciiTheme="majorHAnsi" w:hAnsiTheme="majorHAnsi"/>
                <w:bCs/>
                <w:sz w:val="18"/>
                <w:szCs w:val="18"/>
              </w:rPr>
            </w:pPr>
            <w:r>
              <w:rPr>
                <w:rFonts w:asciiTheme="majorHAnsi" w:hAnsiTheme="majorHAnsi"/>
                <w:bCs/>
                <w:sz w:val="18"/>
                <w:szCs w:val="18"/>
              </w:rPr>
              <w:t xml:space="preserve">Achieved. </w:t>
            </w:r>
            <w:r w:rsidRPr="00B378B6">
              <w:rPr>
                <w:rFonts w:asciiTheme="majorHAnsi" w:hAnsiTheme="majorHAnsi"/>
                <w:bCs/>
                <w:sz w:val="18"/>
                <w:szCs w:val="18"/>
              </w:rPr>
              <w:t xml:space="preserve"> </w:t>
            </w:r>
          </w:p>
        </w:tc>
      </w:tr>
      <w:tr w:rsidR="00D2027A" w:rsidRPr="00F869DC" w14:paraId="6D1F8422" w14:textId="77777777" w:rsidTr="001A76BE">
        <w:trPr>
          <w:jc w:val="center"/>
        </w:trPr>
        <w:tc>
          <w:tcPr>
            <w:tcW w:w="2210" w:type="dxa"/>
            <w:vMerge/>
            <w:shd w:val="pct12" w:color="auto" w:fill="auto"/>
          </w:tcPr>
          <w:p w14:paraId="48DF1FE1" w14:textId="77777777" w:rsidR="00D2027A" w:rsidRPr="00B378B6" w:rsidRDefault="00D2027A" w:rsidP="00FD6656">
            <w:pPr>
              <w:spacing w:before="20" w:after="20"/>
              <w:rPr>
                <w:rFonts w:asciiTheme="majorHAnsi" w:hAnsiTheme="majorHAnsi"/>
                <w:b/>
                <w:bCs/>
                <w:sz w:val="18"/>
                <w:szCs w:val="18"/>
              </w:rPr>
            </w:pPr>
          </w:p>
        </w:tc>
        <w:tc>
          <w:tcPr>
            <w:tcW w:w="1867" w:type="dxa"/>
          </w:tcPr>
          <w:p w14:paraId="32D6E2D1"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of</w:t>
            </w:r>
            <w:proofErr w:type="gramEnd"/>
            <w:r w:rsidRPr="00B378B6">
              <w:rPr>
                <w:rFonts w:asciiTheme="majorHAnsi" w:hAnsiTheme="majorHAnsi"/>
                <w:sz w:val="18"/>
                <w:szCs w:val="18"/>
              </w:rPr>
              <w:t xml:space="preserve"> IWC6 exhibit an innovation or replicable experience</w:t>
            </w:r>
          </w:p>
        </w:tc>
        <w:tc>
          <w:tcPr>
            <w:tcW w:w="2127" w:type="dxa"/>
            <w:vMerge/>
          </w:tcPr>
          <w:p w14:paraId="3627D3F0" w14:textId="77777777" w:rsidR="00D2027A" w:rsidRPr="001A76BE" w:rsidRDefault="00D2027A" w:rsidP="00FD6656">
            <w:pPr>
              <w:spacing w:before="20" w:after="20"/>
              <w:rPr>
                <w:rFonts w:asciiTheme="majorHAnsi" w:hAnsiTheme="majorHAnsi"/>
                <w:sz w:val="18"/>
                <w:szCs w:val="18"/>
              </w:rPr>
            </w:pPr>
          </w:p>
        </w:tc>
        <w:tc>
          <w:tcPr>
            <w:tcW w:w="2173" w:type="dxa"/>
          </w:tcPr>
          <w:p w14:paraId="78C82ADD" w14:textId="353E67FB" w:rsidR="00D2027A" w:rsidRPr="00540644" w:rsidRDefault="00D2027A" w:rsidP="00FD6656">
            <w:pPr>
              <w:spacing w:before="20" w:after="20"/>
              <w:rPr>
                <w:rFonts w:asciiTheme="majorHAnsi" w:hAnsiTheme="majorHAnsi"/>
                <w:bCs/>
                <w:sz w:val="18"/>
                <w:szCs w:val="18"/>
              </w:rPr>
            </w:pPr>
            <w:r w:rsidRPr="00540644">
              <w:rPr>
                <w:rFonts w:asciiTheme="majorHAnsi" w:hAnsiTheme="majorHAnsi"/>
                <w:sz w:val="18"/>
                <w:szCs w:val="18"/>
              </w:rPr>
              <w:t>50% of IWC6-attending GEF IW projects exhibit at least one top innovation and/or replicable experience</w:t>
            </w:r>
          </w:p>
        </w:tc>
        <w:tc>
          <w:tcPr>
            <w:tcW w:w="1936" w:type="dxa"/>
            <w:vMerge/>
          </w:tcPr>
          <w:p w14:paraId="3221504E" w14:textId="77777777" w:rsidR="00D2027A" w:rsidRPr="00B378B6" w:rsidRDefault="00D2027A" w:rsidP="00FD6656">
            <w:pPr>
              <w:spacing w:before="20" w:after="20"/>
              <w:rPr>
                <w:rFonts w:asciiTheme="majorHAnsi" w:hAnsiTheme="majorHAnsi"/>
                <w:bCs/>
                <w:sz w:val="18"/>
                <w:szCs w:val="18"/>
              </w:rPr>
            </w:pPr>
          </w:p>
        </w:tc>
        <w:tc>
          <w:tcPr>
            <w:tcW w:w="2088" w:type="dxa"/>
          </w:tcPr>
          <w:p w14:paraId="43128917"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52% of attending GEF IW projects exhibit</w:t>
            </w:r>
          </w:p>
        </w:tc>
        <w:tc>
          <w:tcPr>
            <w:tcW w:w="1755" w:type="dxa"/>
            <w:vMerge/>
          </w:tcPr>
          <w:p w14:paraId="39221F82" w14:textId="77777777" w:rsidR="00D2027A" w:rsidRPr="00B378B6" w:rsidRDefault="00D2027A" w:rsidP="00FD6656">
            <w:pPr>
              <w:spacing w:before="20" w:after="20"/>
              <w:rPr>
                <w:rFonts w:asciiTheme="majorHAnsi" w:hAnsiTheme="majorHAnsi"/>
                <w:bCs/>
                <w:sz w:val="18"/>
                <w:szCs w:val="18"/>
              </w:rPr>
            </w:pPr>
          </w:p>
        </w:tc>
      </w:tr>
      <w:tr w:rsidR="00D2027A" w:rsidRPr="00F869DC" w14:paraId="574C0F9F" w14:textId="77777777" w:rsidTr="001A76BE">
        <w:trPr>
          <w:jc w:val="center"/>
        </w:trPr>
        <w:tc>
          <w:tcPr>
            <w:tcW w:w="2210" w:type="dxa"/>
            <w:vMerge/>
            <w:shd w:val="pct12" w:color="auto" w:fill="auto"/>
          </w:tcPr>
          <w:p w14:paraId="6D1CF83F" w14:textId="77777777" w:rsidR="00D2027A" w:rsidRPr="00B378B6" w:rsidRDefault="00D2027A" w:rsidP="00FD6656">
            <w:pPr>
              <w:spacing w:before="20" w:after="20"/>
              <w:rPr>
                <w:rFonts w:asciiTheme="majorHAnsi" w:hAnsiTheme="majorHAnsi"/>
                <w:b/>
                <w:bCs/>
                <w:sz w:val="18"/>
                <w:szCs w:val="18"/>
              </w:rPr>
            </w:pPr>
          </w:p>
        </w:tc>
        <w:tc>
          <w:tcPr>
            <w:tcW w:w="1867" w:type="dxa"/>
          </w:tcPr>
          <w:p w14:paraId="0B6C784F"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 xml:space="preserve">% </w:t>
            </w:r>
            <w:proofErr w:type="gramStart"/>
            <w:r w:rsidRPr="00B378B6">
              <w:rPr>
                <w:rFonts w:asciiTheme="majorHAnsi" w:hAnsiTheme="majorHAnsi"/>
                <w:sz w:val="18"/>
                <w:szCs w:val="18"/>
              </w:rPr>
              <w:t>of</w:t>
            </w:r>
            <w:proofErr w:type="gramEnd"/>
            <w:r w:rsidRPr="00B378B6">
              <w:rPr>
                <w:rFonts w:asciiTheme="majorHAnsi" w:hAnsiTheme="majorHAnsi"/>
                <w:sz w:val="18"/>
                <w:szCs w:val="18"/>
              </w:rPr>
              <w:t xml:space="preserve"> IW project managers attend IWC6</w:t>
            </w:r>
          </w:p>
        </w:tc>
        <w:tc>
          <w:tcPr>
            <w:tcW w:w="2127" w:type="dxa"/>
            <w:vMerge/>
          </w:tcPr>
          <w:p w14:paraId="11C7AE25" w14:textId="77777777" w:rsidR="00D2027A" w:rsidRPr="001A76BE" w:rsidRDefault="00D2027A" w:rsidP="00FD6656">
            <w:pPr>
              <w:spacing w:before="20" w:after="20"/>
              <w:rPr>
                <w:rFonts w:asciiTheme="majorHAnsi" w:hAnsiTheme="majorHAnsi"/>
                <w:sz w:val="18"/>
                <w:szCs w:val="18"/>
              </w:rPr>
            </w:pPr>
          </w:p>
        </w:tc>
        <w:tc>
          <w:tcPr>
            <w:tcW w:w="2173" w:type="dxa"/>
          </w:tcPr>
          <w:p w14:paraId="5B502612" w14:textId="30FA6A2B" w:rsidR="00D2027A" w:rsidRPr="00540644" w:rsidRDefault="00D2027A" w:rsidP="00FD6656">
            <w:pPr>
              <w:spacing w:before="20" w:after="20"/>
              <w:rPr>
                <w:rFonts w:asciiTheme="majorHAnsi" w:hAnsiTheme="majorHAnsi"/>
                <w:bCs/>
                <w:sz w:val="18"/>
                <w:szCs w:val="18"/>
              </w:rPr>
            </w:pPr>
            <w:r w:rsidRPr="00540644">
              <w:rPr>
                <w:rFonts w:asciiTheme="majorHAnsi" w:hAnsiTheme="majorHAnsi"/>
                <w:sz w:val="18"/>
                <w:szCs w:val="18"/>
              </w:rPr>
              <w:t>75% of IWC6-attending GEF IW project managers attend the IWC6 and pre-conference workshops</w:t>
            </w:r>
          </w:p>
        </w:tc>
        <w:tc>
          <w:tcPr>
            <w:tcW w:w="1936" w:type="dxa"/>
            <w:vMerge/>
          </w:tcPr>
          <w:p w14:paraId="2CD1634C" w14:textId="77777777" w:rsidR="00D2027A" w:rsidRPr="00B378B6" w:rsidRDefault="00D2027A" w:rsidP="00FD6656">
            <w:pPr>
              <w:spacing w:before="20" w:after="20"/>
              <w:rPr>
                <w:rFonts w:asciiTheme="majorHAnsi" w:hAnsiTheme="majorHAnsi"/>
                <w:bCs/>
                <w:sz w:val="18"/>
                <w:szCs w:val="18"/>
              </w:rPr>
            </w:pPr>
          </w:p>
        </w:tc>
        <w:tc>
          <w:tcPr>
            <w:tcW w:w="2088" w:type="dxa"/>
          </w:tcPr>
          <w:p w14:paraId="77DB1D84" w14:textId="77777777" w:rsidR="00D2027A" w:rsidRPr="00B378B6" w:rsidRDefault="00D2027A" w:rsidP="00FD6656">
            <w:pPr>
              <w:widowControl w:val="0"/>
              <w:autoSpaceDE w:val="0"/>
              <w:autoSpaceDN w:val="0"/>
              <w:adjustRightInd w:val="0"/>
              <w:spacing w:before="20" w:after="20"/>
              <w:rPr>
                <w:rFonts w:asciiTheme="majorHAnsi" w:hAnsiTheme="majorHAnsi"/>
                <w:sz w:val="18"/>
                <w:szCs w:val="18"/>
              </w:rPr>
            </w:pPr>
            <w:r w:rsidRPr="00B378B6">
              <w:rPr>
                <w:rFonts w:asciiTheme="majorHAnsi" w:hAnsiTheme="majorHAnsi"/>
                <w:sz w:val="18"/>
                <w:szCs w:val="18"/>
              </w:rPr>
              <w:t>65% of IWC6 attending GEF IW managers attend the pre-conference</w:t>
            </w:r>
          </w:p>
        </w:tc>
        <w:tc>
          <w:tcPr>
            <w:tcW w:w="1755" w:type="dxa"/>
            <w:vMerge/>
          </w:tcPr>
          <w:p w14:paraId="2C085906" w14:textId="77777777" w:rsidR="00D2027A" w:rsidRPr="00B378B6" w:rsidRDefault="00D2027A" w:rsidP="00FD6656">
            <w:pPr>
              <w:spacing w:before="20" w:after="20"/>
              <w:rPr>
                <w:rFonts w:asciiTheme="majorHAnsi" w:hAnsiTheme="majorHAnsi"/>
                <w:bCs/>
                <w:sz w:val="18"/>
                <w:szCs w:val="18"/>
              </w:rPr>
            </w:pPr>
          </w:p>
        </w:tc>
      </w:tr>
      <w:tr w:rsidR="00D2027A" w:rsidRPr="00F869DC" w14:paraId="163C9321" w14:textId="77777777" w:rsidTr="001A76BE">
        <w:trPr>
          <w:jc w:val="center"/>
        </w:trPr>
        <w:tc>
          <w:tcPr>
            <w:tcW w:w="2210" w:type="dxa"/>
            <w:vMerge w:val="restart"/>
            <w:shd w:val="pct12" w:color="auto" w:fill="auto"/>
          </w:tcPr>
          <w:p w14:paraId="1C003BCD" w14:textId="77777777" w:rsidR="00D2027A" w:rsidRDefault="00D2027A" w:rsidP="00FD6656">
            <w:pPr>
              <w:spacing w:before="20" w:after="20"/>
              <w:rPr>
                <w:rFonts w:asciiTheme="majorHAnsi" w:hAnsiTheme="majorHAnsi"/>
                <w:b/>
                <w:bCs/>
                <w:sz w:val="18"/>
                <w:szCs w:val="18"/>
              </w:rPr>
            </w:pPr>
            <w:r w:rsidRPr="00B378B6">
              <w:rPr>
                <w:rFonts w:asciiTheme="majorHAnsi" w:hAnsiTheme="majorHAnsi"/>
                <w:b/>
                <w:bCs/>
                <w:sz w:val="18"/>
                <w:szCs w:val="18"/>
              </w:rPr>
              <w:t>Outcome 3.2</w:t>
            </w:r>
          </w:p>
          <w:p w14:paraId="03FAB5DE" w14:textId="752E30AB" w:rsidR="00D2027A" w:rsidRPr="00B378B6" w:rsidRDefault="00D2027A" w:rsidP="00FD6656">
            <w:pPr>
              <w:spacing w:before="20" w:after="20"/>
              <w:rPr>
                <w:rFonts w:asciiTheme="majorHAnsi" w:hAnsiTheme="majorHAnsi"/>
                <w:b/>
                <w:bCs/>
                <w:sz w:val="18"/>
                <w:szCs w:val="18"/>
              </w:rPr>
            </w:pPr>
            <w:r>
              <w:rPr>
                <w:rFonts w:asciiTheme="majorHAnsi" w:hAnsiTheme="majorHAnsi"/>
                <w:bCs/>
                <w:i/>
                <w:sz w:val="18"/>
                <w:szCs w:val="18"/>
              </w:rPr>
              <w:t>(</w:t>
            </w:r>
            <w:proofErr w:type="gramStart"/>
            <w:r>
              <w:rPr>
                <w:rFonts w:asciiTheme="majorHAnsi" w:hAnsiTheme="majorHAnsi"/>
                <w:bCs/>
                <w:i/>
                <w:sz w:val="18"/>
                <w:szCs w:val="18"/>
              </w:rPr>
              <w:t>sub</w:t>
            </w:r>
            <w:proofErr w:type="gramEnd"/>
            <w:r>
              <w:rPr>
                <w:rFonts w:asciiTheme="majorHAnsi" w:hAnsiTheme="majorHAnsi"/>
                <w:bCs/>
                <w:i/>
                <w:sz w:val="18"/>
                <w:szCs w:val="18"/>
              </w:rPr>
              <w:t>-comps 3b, 3d)</w:t>
            </w:r>
          </w:p>
          <w:p w14:paraId="5002F6AC" w14:textId="77777777" w:rsidR="00D2027A" w:rsidRPr="00B378B6" w:rsidRDefault="00D2027A" w:rsidP="00FD6656">
            <w:pPr>
              <w:spacing w:before="20" w:after="20"/>
              <w:rPr>
                <w:rFonts w:asciiTheme="majorHAnsi" w:hAnsiTheme="majorHAnsi"/>
                <w:b/>
                <w:bCs/>
                <w:sz w:val="18"/>
                <w:szCs w:val="18"/>
              </w:rPr>
            </w:pPr>
            <w:r w:rsidRPr="00B378B6">
              <w:rPr>
                <w:rFonts w:asciiTheme="majorHAnsi" w:hAnsiTheme="majorHAnsi"/>
                <w:sz w:val="18"/>
                <w:szCs w:val="18"/>
              </w:rPr>
              <w:t>Increased awareness of GEF IW experiences and achievements and partnership with non- GEF supported Interventions</w:t>
            </w:r>
          </w:p>
        </w:tc>
        <w:tc>
          <w:tcPr>
            <w:tcW w:w="1867" w:type="dxa"/>
          </w:tcPr>
          <w:p w14:paraId="1CBDFE1A"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Number of global policy discussions/events with GEF IW Projects on the agenda</w:t>
            </w:r>
          </w:p>
        </w:tc>
        <w:tc>
          <w:tcPr>
            <w:tcW w:w="2127" w:type="dxa"/>
            <w:vMerge w:val="restart"/>
          </w:tcPr>
          <w:p w14:paraId="254DC1F1" w14:textId="77777777" w:rsidR="001A76BE" w:rsidRPr="001A76BE" w:rsidRDefault="001A76BE" w:rsidP="001A76BE">
            <w:pPr>
              <w:spacing w:before="20" w:after="20"/>
              <w:rPr>
                <w:rFonts w:asciiTheme="majorHAnsi" w:hAnsiTheme="majorHAnsi"/>
                <w:sz w:val="18"/>
                <w:szCs w:val="18"/>
              </w:rPr>
            </w:pPr>
            <w:r w:rsidRPr="001A76BE">
              <w:rPr>
                <w:rFonts w:asciiTheme="majorHAnsi" w:hAnsiTheme="majorHAnsi"/>
                <w:sz w:val="18"/>
                <w:szCs w:val="18"/>
              </w:rPr>
              <w:t xml:space="preserve">Mutual acceptance between GEF and meeting hosts </w:t>
            </w:r>
            <w:proofErr w:type="gramStart"/>
            <w:r w:rsidRPr="001A76BE">
              <w:rPr>
                <w:rFonts w:asciiTheme="majorHAnsi" w:hAnsiTheme="majorHAnsi"/>
                <w:sz w:val="18"/>
                <w:szCs w:val="18"/>
              </w:rPr>
              <w:t>regarding  GEF</w:t>
            </w:r>
            <w:proofErr w:type="gramEnd"/>
            <w:r w:rsidRPr="001A76BE">
              <w:rPr>
                <w:rFonts w:asciiTheme="majorHAnsi" w:hAnsiTheme="majorHAnsi"/>
                <w:sz w:val="18"/>
                <w:szCs w:val="18"/>
              </w:rPr>
              <w:t xml:space="preserve"> IW projects’ participation side-events</w:t>
            </w:r>
          </w:p>
          <w:p w14:paraId="331603C2" w14:textId="77777777" w:rsidR="001A76BE" w:rsidRPr="001A76BE" w:rsidRDefault="001A76BE" w:rsidP="001A76BE">
            <w:pPr>
              <w:spacing w:before="20" w:after="20"/>
              <w:rPr>
                <w:rFonts w:asciiTheme="majorHAnsi" w:hAnsiTheme="majorHAnsi"/>
                <w:sz w:val="18"/>
                <w:szCs w:val="18"/>
              </w:rPr>
            </w:pPr>
          </w:p>
          <w:p w14:paraId="58761639" w14:textId="6E9AEEB5" w:rsidR="00D2027A" w:rsidRPr="001A76BE" w:rsidRDefault="001A76BE" w:rsidP="001A76BE">
            <w:pPr>
              <w:spacing w:before="20" w:after="20"/>
              <w:rPr>
                <w:rFonts w:asciiTheme="majorHAnsi" w:hAnsiTheme="majorHAnsi"/>
                <w:sz w:val="18"/>
                <w:szCs w:val="18"/>
              </w:rPr>
            </w:pPr>
            <w:r w:rsidRPr="001A76BE">
              <w:rPr>
                <w:rFonts w:asciiTheme="majorHAnsi" w:hAnsiTheme="majorHAnsi"/>
                <w:sz w:val="18"/>
                <w:szCs w:val="18"/>
              </w:rPr>
              <w:t>Contact will be made with event organizers well in advance</w:t>
            </w:r>
          </w:p>
        </w:tc>
        <w:tc>
          <w:tcPr>
            <w:tcW w:w="2173" w:type="dxa"/>
          </w:tcPr>
          <w:p w14:paraId="3FC9E836" w14:textId="34706F99" w:rsidR="00D2027A" w:rsidRPr="00540644" w:rsidRDefault="00D2027A" w:rsidP="00FD6656">
            <w:pPr>
              <w:spacing w:before="20" w:after="20"/>
              <w:rPr>
                <w:rFonts w:asciiTheme="majorHAnsi" w:hAnsiTheme="majorHAnsi"/>
                <w:sz w:val="18"/>
                <w:szCs w:val="18"/>
              </w:rPr>
            </w:pPr>
            <w:r w:rsidRPr="00540644">
              <w:rPr>
                <w:rFonts w:asciiTheme="majorHAnsi" w:hAnsiTheme="majorHAnsi"/>
                <w:sz w:val="18"/>
                <w:szCs w:val="18"/>
              </w:rPr>
              <w:t xml:space="preserve">2 events featuring at least 4 projects per year </w:t>
            </w:r>
          </w:p>
        </w:tc>
        <w:tc>
          <w:tcPr>
            <w:tcW w:w="1936" w:type="dxa"/>
            <w:vMerge w:val="restart"/>
          </w:tcPr>
          <w:p w14:paraId="3FDE455F" w14:textId="77777777" w:rsidR="00D2027A" w:rsidRPr="00B378B6" w:rsidRDefault="00D2027A" w:rsidP="00FD6656">
            <w:pPr>
              <w:spacing w:before="20" w:after="20"/>
              <w:rPr>
                <w:rFonts w:asciiTheme="majorHAnsi" w:hAnsiTheme="majorHAnsi"/>
                <w:sz w:val="18"/>
                <w:szCs w:val="18"/>
              </w:rPr>
            </w:pPr>
          </w:p>
        </w:tc>
        <w:tc>
          <w:tcPr>
            <w:tcW w:w="2088" w:type="dxa"/>
            <w:vMerge w:val="restart"/>
          </w:tcPr>
          <w:p w14:paraId="4D181A9D"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5 events featuring 6 projects (Hai to Bonn, Victoria to Marseille, Dnipro to Rio, International River Symposium, Dinaric, Volta to UNECE Water Convention) linking to 5 separate political/dialogue processes</w:t>
            </w:r>
          </w:p>
        </w:tc>
        <w:tc>
          <w:tcPr>
            <w:tcW w:w="1755" w:type="dxa"/>
            <w:vMerge w:val="restart"/>
          </w:tcPr>
          <w:p w14:paraId="30C1CF5B" w14:textId="759DE3F8" w:rsidR="00D2027A" w:rsidRPr="00B378B6" w:rsidRDefault="00D2027A" w:rsidP="00540644">
            <w:pPr>
              <w:spacing w:before="20" w:after="20"/>
              <w:rPr>
                <w:rFonts w:asciiTheme="majorHAnsi" w:hAnsiTheme="majorHAnsi"/>
                <w:sz w:val="18"/>
                <w:szCs w:val="18"/>
              </w:rPr>
            </w:pPr>
            <w:r>
              <w:rPr>
                <w:rFonts w:asciiTheme="majorHAnsi" w:hAnsiTheme="majorHAnsi"/>
                <w:sz w:val="18"/>
                <w:szCs w:val="18"/>
              </w:rPr>
              <w:t xml:space="preserve">Reasonable progress </w:t>
            </w:r>
          </w:p>
        </w:tc>
      </w:tr>
      <w:tr w:rsidR="00D2027A" w:rsidRPr="00F869DC" w14:paraId="06F59CB2" w14:textId="77777777" w:rsidTr="001A76BE">
        <w:trPr>
          <w:jc w:val="center"/>
        </w:trPr>
        <w:tc>
          <w:tcPr>
            <w:tcW w:w="2210" w:type="dxa"/>
            <w:vMerge/>
            <w:shd w:val="pct12" w:color="auto" w:fill="auto"/>
          </w:tcPr>
          <w:p w14:paraId="2CE50DE4" w14:textId="77777777" w:rsidR="00D2027A" w:rsidRPr="00B378B6" w:rsidRDefault="00D2027A" w:rsidP="00FD6656">
            <w:pPr>
              <w:spacing w:before="20" w:after="20"/>
              <w:rPr>
                <w:rFonts w:asciiTheme="majorHAnsi" w:hAnsiTheme="majorHAnsi"/>
                <w:b/>
                <w:bCs/>
                <w:sz w:val="18"/>
                <w:szCs w:val="18"/>
              </w:rPr>
            </w:pPr>
          </w:p>
        </w:tc>
        <w:tc>
          <w:tcPr>
            <w:tcW w:w="1867" w:type="dxa"/>
          </w:tcPr>
          <w:p w14:paraId="6A52A071" w14:textId="77777777" w:rsidR="00D2027A" w:rsidRPr="00B378B6" w:rsidRDefault="00D2027A" w:rsidP="00FD6656">
            <w:pPr>
              <w:spacing w:before="20" w:after="20"/>
              <w:rPr>
                <w:rFonts w:asciiTheme="majorHAnsi" w:hAnsiTheme="majorHAnsi"/>
                <w:sz w:val="18"/>
                <w:szCs w:val="18"/>
              </w:rPr>
            </w:pPr>
            <w:r w:rsidRPr="00B378B6">
              <w:rPr>
                <w:rFonts w:asciiTheme="majorHAnsi" w:hAnsiTheme="majorHAnsi"/>
                <w:sz w:val="18"/>
                <w:szCs w:val="18"/>
              </w:rPr>
              <w:t>Number of partnerships (established between GEF IW projects and external partners), joint activities or co-funding resulting from global forum participation</w:t>
            </w:r>
          </w:p>
        </w:tc>
        <w:tc>
          <w:tcPr>
            <w:tcW w:w="2127" w:type="dxa"/>
            <w:vMerge/>
          </w:tcPr>
          <w:p w14:paraId="2F3DDDCB" w14:textId="77777777" w:rsidR="00D2027A" w:rsidRPr="001A76BE" w:rsidRDefault="00D2027A" w:rsidP="00FD6656">
            <w:pPr>
              <w:spacing w:before="20" w:after="20"/>
              <w:rPr>
                <w:rFonts w:asciiTheme="majorHAnsi" w:hAnsiTheme="majorHAnsi"/>
                <w:sz w:val="18"/>
                <w:szCs w:val="18"/>
              </w:rPr>
            </w:pPr>
          </w:p>
        </w:tc>
        <w:tc>
          <w:tcPr>
            <w:tcW w:w="2173" w:type="dxa"/>
          </w:tcPr>
          <w:p w14:paraId="7EE20D3A" w14:textId="453F7A26" w:rsidR="00D2027A" w:rsidRPr="00540644" w:rsidRDefault="00D2027A" w:rsidP="00FD6656">
            <w:pPr>
              <w:spacing w:before="20" w:after="20"/>
              <w:rPr>
                <w:rFonts w:asciiTheme="majorHAnsi" w:hAnsiTheme="majorHAnsi"/>
                <w:sz w:val="18"/>
                <w:szCs w:val="18"/>
              </w:rPr>
            </w:pPr>
            <w:r w:rsidRPr="00540644">
              <w:rPr>
                <w:rFonts w:asciiTheme="majorHAnsi" w:hAnsiTheme="majorHAnsi"/>
                <w:sz w:val="18"/>
                <w:szCs w:val="18"/>
              </w:rPr>
              <w:t>At least one example each year</w:t>
            </w:r>
          </w:p>
        </w:tc>
        <w:tc>
          <w:tcPr>
            <w:tcW w:w="1936" w:type="dxa"/>
            <w:vMerge/>
          </w:tcPr>
          <w:p w14:paraId="412265C7" w14:textId="77777777" w:rsidR="00D2027A" w:rsidRPr="00B378B6" w:rsidRDefault="00D2027A" w:rsidP="00FD6656">
            <w:pPr>
              <w:spacing w:before="20" w:after="20"/>
              <w:rPr>
                <w:rFonts w:asciiTheme="majorHAnsi" w:hAnsiTheme="majorHAnsi"/>
                <w:sz w:val="18"/>
                <w:szCs w:val="18"/>
              </w:rPr>
            </w:pPr>
          </w:p>
        </w:tc>
        <w:tc>
          <w:tcPr>
            <w:tcW w:w="2088" w:type="dxa"/>
            <w:vMerge/>
          </w:tcPr>
          <w:p w14:paraId="5FA758EF" w14:textId="77777777" w:rsidR="00D2027A" w:rsidRPr="00B378B6" w:rsidRDefault="00D2027A" w:rsidP="00FD6656">
            <w:pPr>
              <w:spacing w:before="20" w:after="20"/>
              <w:rPr>
                <w:rFonts w:asciiTheme="majorHAnsi" w:hAnsiTheme="majorHAnsi"/>
                <w:sz w:val="18"/>
                <w:szCs w:val="18"/>
              </w:rPr>
            </w:pPr>
          </w:p>
        </w:tc>
        <w:tc>
          <w:tcPr>
            <w:tcW w:w="1755" w:type="dxa"/>
            <w:vMerge/>
          </w:tcPr>
          <w:p w14:paraId="320BBA44" w14:textId="77777777" w:rsidR="00D2027A" w:rsidRPr="00B378B6" w:rsidRDefault="00D2027A" w:rsidP="00FD6656">
            <w:pPr>
              <w:spacing w:before="20" w:after="20"/>
              <w:rPr>
                <w:rFonts w:asciiTheme="majorHAnsi" w:hAnsiTheme="majorHAnsi"/>
                <w:sz w:val="18"/>
                <w:szCs w:val="18"/>
              </w:rPr>
            </w:pPr>
          </w:p>
        </w:tc>
      </w:tr>
      <w:tr w:rsidR="00D2027A" w:rsidRPr="00F869DC" w14:paraId="43B0AFCE" w14:textId="77777777" w:rsidTr="001A76BE">
        <w:trPr>
          <w:jc w:val="center"/>
        </w:trPr>
        <w:tc>
          <w:tcPr>
            <w:tcW w:w="2210" w:type="dxa"/>
            <w:vMerge w:val="restart"/>
            <w:shd w:val="pct12" w:color="auto" w:fill="auto"/>
          </w:tcPr>
          <w:p w14:paraId="178911E9" w14:textId="77777777" w:rsidR="00D2027A" w:rsidRDefault="00D2027A" w:rsidP="00FD6656">
            <w:pPr>
              <w:spacing w:before="20" w:after="20"/>
              <w:rPr>
                <w:rFonts w:asciiTheme="majorHAnsi" w:hAnsiTheme="majorHAnsi"/>
                <w:b/>
                <w:bCs/>
                <w:sz w:val="18"/>
                <w:szCs w:val="18"/>
              </w:rPr>
            </w:pPr>
            <w:r w:rsidRPr="00B378B6">
              <w:rPr>
                <w:rFonts w:asciiTheme="majorHAnsi" w:hAnsiTheme="majorHAnsi"/>
                <w:b/>
                <w:bCs/>
                <w:sz w:val="18"/>
                <w:szCs w:val="18"/>
              </w:rPr>
              <w:t>Outcome 3.3</w:t>
            </w:r>
          </w:p>
          <w:p w14:paraId="080E1007" w14:textId="1D772DAE" w:rsidR="00D2027A" w:rsidRPr="00B378B6" w:rsidRDefault="00D2027A" w:rsidP="00FD6656">
            <w:pPr>
              <w:spacing w:before="20" w:after="20"/>
              <w:rPr>
                <w:rFonts w:asciiTheme="majorHAnsi" w:hAnsiTheme="majorHAnsi"/>
                <w:b/>
                <w:bCs/>
                <w:sz w:val="18"/>
                <w:szCs w:val="18"/>
              </w:rPr>
            </w:pPr>
            <w:r>
              <w:rPr>
                <w:rFonts w:asciiTheme="majorHAnsi" w:hAnsiTheme="majorHAnsi"/>
                <w:bCs/>
                <w:i/>
                <w:sz w:val="18"/>
                <w:szCs w:val="18"/>
              </w:rPr>
              <w:t>(</w:t>
            </w:r>
            <w:proofErr w:type="gramStart"/>
            <w:r>
              <w:rPr>
                <w:rFonts w:asciiTheme="majorHAnsi" w:hAnsiTheme="majorHAnsi"/>
                <w:bCs/>
                <w:i/>
                <w:sz w:val="18"/>
                <w:szCs w:val="18"/>
              </w:rPr>
              <w:t>sub</w:t>
            </w:r>
            <w:proofErr w:type="gramEnd"/>
            <w:r>
              <w:rPr>
                <w:rFonts w:asciiTheme="majorHAnsi" w:hAnsiTheme="majorHAnsi"/>
                <w:bCs/>
                <w:i/>
                <w:sz w:val="18"/>
                <w:szCs w:val="18"/>
              </w:rPr>
              <w:t>-comp 3c)</w:t>
            </w:r>
          </w:p>
          <w:p w14:paraId="0080E8CC"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Improved technical implementation of projects through strengthening the science base of IW projects and improved integration of the wider science community into these projects.</w:t>
            </w:r>
            <w:r w:rsidRPr="00B378B6" w:rsidDel="00722361">
              <w:rPr>
                <w:rFonts w:asciiTheme="majorHAnsi" w:hAnsiTheme="majorHAnsi"/>
                <w:bCs/>
                <w:sz w:val="18"/>
                <w:szCs w:val="18"/>
              </w:rPr>
              <w:t xml:space="preserve"> </w:t>
            </w:r>
          </w:p>
          <w:p w14:paraId="6C6F82B8" w14:textId="77777777" w:rsidR="00D2027A" w:rsidRPr="00B378B6" w:rsidRDefault="00D2027A" w:rsidP="00FD6656">
            <w:pPr>
              <w:spacing w:before="20" w:after="20"/>
              <w:rPr>
                <w:rFonts w:asciiTheme="majorHAnsi" w:hAnsiTheme="majorHAnsi"/>
                <w:bCs/>
                <w:sz w:val="18"/>
                <w:szCs w:val="18"/>
              </w:rPr>
            </w:pPr>
          </w:p>
        </w:tc>
        <w:tc>
          <w:tcPr>
            <w:tcW w:w="1867" w:type="dxa"/>
          </w:tcPr>
          <w:p w14:paraId="0CF6B7EC"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 </w:t>
            </w:r>
            <w:proofErr w:type="gramStart"/>
            <w:r w:rsidRPr="00B378B6">
              <w:rPr>
                <w:rFonts w:asciiTheme="majorHAnsi" w:hAnsiTheme="majorHAnsi"/>
                <w:bCs/>
                <w:sz w:val="18"/>
                <w:szCs w:val="18"/>
              </w:rPr>
              <w:t>of</w:t>
            </w:r>
            <w:proofErr w:type="gramEnd"/>
            <w:r w:rsidRPr="00B378B6">
              <w:rPr>
                <w:rFonts w:asciiTheme="majorHAnsi" w:hAnsiTheme="majorHAnsi"/>
                <w:bCs/>
                <w:sz w:val="18"/>
                <w:szCs w:val="18"/>
              </w:rPr>
              <w:t xml:space="preserve"> GEF IW projects participating at Science Conference sharing results</w:t>
            </w:r>
          </w:p>
        </w:tc>
        <w:tc>
          <w:tcPr>
            <w:tcW w:w="2127" w:type="dxa"/>
            <w:vMerge w:val="restart"/>
          </w:tcPr>
          <w:p w14:paraId="0DC7181F" w14:textId="77777777" w:rsidR="001A76BE" w:rsidRPr="001A76BE" w:rsidRDefault="001A76BE" w:rsidP="001A76BE">
            <w:pPr>
              <w:spacing w:before="20" w:after="20"/>
              <w:rPr>
                <w:rFonts w:asciiTheme="majorHAnsi" w:hAnsiTheme="majorHAnsi"/>
                <w:bCs/>
                <w:sz w:val="18"/>
                <w:szCs w:val="18"/>
              </w:rPr>
            </w:pPr>
            <w:r w:rsidRPr="001A76BE">
              <w:rPr>
                <w:rFonts w:asciiTheme="majorHAnsi" w:hAnsiTheme="majorHAnsi"/>
                <w:bCs/>
                <w:sz w:val="18"/>
                <w:szCs w:val="18"/>
              </w:rPr>
              <w:t>IW projects collect and deliver ‘science’ information at IW Science Conference</w:t>
            </w:r>
          </w:p>
          <w:p w14:paraId="29F51F12" w14:textId="77777777" w:rsidR="001A76BE" w:rsidRPr="001A76BE" w:rsidRDefault="001A76BE" w:rsidP="001A76BE">
            <w:pPr>
              <w:spacing w:before="20" w:after="20"/>
              <w:rPr>
                <w:rFonts w:asciiTheme="majorHAnsi" w:hAnsiTheme="majorHAnsi"/>
                <w:bCs/>
                <w:sz w:val="18"/>
                <w:szCs w:val="18"/>
              </w:rPr>
            </w:pPr>
          </w:p>
          <w:p w14:paraId="3BB5B399" w14:textId="77777777" w:rsidR="001A76BE" w:rsidRPr="001A76BE" w:rsidRDefault="001A76BE" w:rsidP="001A76BE">
            <w:pPr>
              <w:spacing w:before="20" w:after="20"/>
              <w:rPr>
                <w:rFonts w:asciiTheme="majorHAnsi" w:hAnsiTheme="majorHAnsi"/>
                <w:bCs/>
                <w:sz w:val="18"/>
                <w:szCs w:val="18"/>
              </w:rPr>
            </w:pPr>
            <w:r w:rsidRPr="001A76BE">
              <w:rPr>
                <w:rFonts w:asciiTheme="majorHAnsi" w:hAnsiTheme="majorHAnsi"/>
                <w:bCs/>
                <w:sz w:val="18"/>
                <w:szCs w:val="18"/>
              </w:rPr>
              <w:t>IW and international scientists willing to participate and interact</w:t>
            </w:r>
          </w:p>
          <w:p w14:paraId="44B7D5D7" w14:textId="77777777" w:rsidR="001A76BE" w:rsidRPr="001A76BE" w:rsidRDefault="001A76BE" w:rsidP="001A76BE">
            <w:pPr>
              <w:pStyle w:val="Normal1"/>
              <w:spacing w:before="20" w:after="20"/>
              <w:jc w:val="left"/>
              <w:rPr>
                <w:rFonts w:asciiTheme="majorHAnsi" w:hAnsiTheme="majorHAnsi" w:cs="Times New Roman"/>
                <w:sz w:val="18"/>
                <w:szCs w:val="18"/>
              </w:rPr>
            </w:pPr>
          </w:p>
          <w:p w14:paraId="5B936A1A" w14:textId="77777777" w:rsidR="001A76BE" w:rsidRPr="001A76BE" w:rsidRDefault="001A76BE" w:rsidP="001A76BE">
            <w:pPr>
              <w:pStyle w:val="Normal1"/>
              <w:spacing w:before="20" w:after="20"/>
              <w:jc w:val="left"/>
              <w:rPr>
                <w:rFonts w:asciiTheme="majorHAnsi" w:hAnsiTheme="majorHAnsi" w:cs="Times New Roman"/>
                <w:sz w:val="18"/>
                <w:szCs w:val="18"/>
              </w:rPr>
            </w:pPr>
            <w:r w:rsidRPr="001A76BE">
              <w:rPr>
                <w:rFonts w:asciiTheme="majorHAnsi" w:hAnsiTheme="majorHAnsi" w:cs="Times New Roman"/>
                <w:sz w:val="18"/>
                <w:szCs w:val="18"/>
              </w:rPr>
              <w:t>Projects value the Journal publication</w:t>
            </w:r>
          </w:p>
          <w:p w14:paraId="0DB23836" w14:textId="415A4ED9" w:rsidR="00D2027A" w:rsidRPr="001A76BE" w:rsidRDefault="001A76BE" w:rsidP="001A76BE">
            <w:pPr>
              <w:spacing w:before="20" w:after="20"/>
              <w:rPr>
                <w:rFonts w:asciiTheme="majorHAnsi" w:hAnsiTheme="majorHAnsi"/>
                <w:bCs/>
                <w:sz w:val="18"/>
                <w:szCs w:val="18"/>
              </w:rPr>
            </w:pPr>
            <w:r w:rsidRPr="001A76BE">
              <w:rPr>
                <w:rFonts w:asciiTheme="majorHAnsi" w:hAnsiTheme="majorHAnsi" w:cs="Times New Roman"/>
                <w:sz w:val="18"/>
                <w:szCs w:val="18"/>
              </w:rPr>
              <w:t>Projects actively participate submitting papers</w:t>
            </w:r>
          </w:p>
        </w:tc>
        <w:tc>
          <w:tcPr>
            <w:tcW w:w="2173" w:type="dxa"/>
          </w:tcPr>
          <w:p w14:paraId="6FFA871D" w14:textId="7372945A" w:rsidR="00D2027A" w:rsidRPr="00540644" w:rsidRDefault="00D2027A" w:rsidP="00FD6656">
            <w:pPr>
              <w:spacing w:before="20" w:after="20"/>
              <w:rPr>
                <w:rFonts w:asciiTheme="majorHAnsi" w:hAnsiTheme="majorHAnsi"/>
                <w:bCs/>
                <w:sz w:val="18"/>
                <w:szCs w:val="18"/>
              </w:rPr>
            </w:pPr>
            <w:r w:rsidRPr="00540644">
              <w:rPr>
                <w:rFonts w:asciiTheme="majorHAnsi" w:hAnsiTheme="majorHAnsi"/>
                <w:bCs/>
                <w:sz w:val="18"/>
                <w:szCs w:val="18"/>
              </w:rPr>
              <w:t>50% of IW projects participating in GEF IW Science Conference actively share results</w:t>
            </w:r>
          </w:p>
        </w:tc>
        <w:tc>
          <w:tcPr>
            <w:tcW w:w="1936" w:type="dxa"/>
          </w:tcPr>
          <w:p w14:paraId="791E4E14" w14:textId="77777777" w:rsidR="00D2027A" w:rsidRPr="00B378B6" w:rsidRDefault="00D2027A" w:rsidP="00FD6656">
            <w:pPr>
              <w:pStyle w:val="Normal1"/>
              <w:spacing w:before="20" w:after="20"/>
              <w:jc w:val="left"/>
              <w:rPr>
                <w:rFonts w:asciiTheme="majorHAnsi" w:hAnsiTheme="majorHAnsi" w:cs="Times New Roman"/>
                <w:bCs/>
                <w:sz w:val="18"/>
                <w:szCs w:val="18"/>
              </w:rPr>
            </w:pPr>
            <w:r w:rsidRPr="00B378B6">
              <w:rPr>
                <w:rFonts w:asciiTheme="majorHAnsi" w:hAnsiTheme="majorHAnsi" w:cs="Times New Roman"/>
                <w:sz w:val="18"/>
                <w:szCs w:val="18"/>
              </w:rPr>
              <w:t xml:space="preserve"> </w:t>
            </w:r>
          </w:p>
        </w:tc>
        <w:tc>
          <w:tcPr>
            <w:tcW w:w="2088" w:type="dxa"/>
          </w:tcPr>
          <w:p w14:paraId="1AA660DC" w14:textId="77777777" w:rsidR="00D2027A" w:rsidRPr="00B378B6" w:rsidRDefault="00D2027A" w:rsidP="00FD6656">
            <w:pPr>
              <w:rPr>
                <w:rFonts w:asciiTheme="majorHAnsi" w:hAnsiTheme="majorHAnsi" w:cs="Arial"/>
                <w:sz w:val="18"/>
                <w:szCs w:val="18"/>
              </w:rPr>
            </w:pPr>
            <w:r w:rsidRPr="00B378B6">
              <w:rPr>
                <w:rFonts w:asciiTheme="majorHAnsi" w:hAnsiTheme="majorHAnsi" w:cs="Arial"/>
                <w:sz w:val="18"/>
                <w:szCs w:val="18"/>
              </w:rPr>
              <w:t>56% projects participating (45 GEF projects)</w:t>
            </w:r>
          </w:p>
          <w:p w14:paraId="7BDE9AAE" w14:textId="77777777" w:rsidR="00D2027A" w:rsidRPr="00B378B6" w:rsidRDefault="00D2027A"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0"/>
              <w:rPr>
                <w:rFonts w:asciiTheme="majorHAnsi" w:hAnsiTheme="majorHAnsi"/>
                <w:bCs/>
                <w:sz w:val="18"/>
                <w:szCs w:val="18"/>
              </w:rPr>
            </w:pPr>
          </w:p>
        </w:tc>
        <w:tc>
          <w:tcPr>
            <w:tcW w:w="1755" w:type="dxa"/>
            <w:vMerge w:val="restart"/>
          </w:tcPr>
          <w:p w14:paraId="25E0FF59" w14:textId="00891096" w:rsidR="00D2027A" w:rsidRPr="00B378B6" w:rsidRDefault="00D2027A"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0"/>
              <w:rPr>
                <w:rFonts w:asciiTheme="majorHAnsi" w:hAnsiTheme="majorHAnsi"/>
                <w:bCs/>
                <w:sz w:val="18"/>
                <w:szCs w:val="18"/>
              </w:rPr>
            </w:pPr>
            <w:r>
              <w:rPr>
                <w:rFonts w:asciiTheme="majorHAnsi" w:hAnsiTheme="majorHAnsi"/>
                <w:bCs/>
                <w:sz w:val="18"/>
                <w:szCs w:val="18"/>
              </w:rPr>
              <w:t xml:space="preserve">Reasonable progress mainly via science conference.  </w:t>
            </w:r>
          </w:p>
        </w:tc>
      </w:tr>
      <w:tr w:rsidR="00D2027A" w:rsidRPr="00F869DC" w14:paraId="3C58F78D" w14:textId="77777777" w:rsidTr="001A76BE">
        <w:trPr>
          <w:jc w:val="center"/>
        </w:trPr>
        <w:tc>
          <w:tcPr>
            <w:tcW w:w="2210" w:type="dxa"/>
            <w:vMerge/>
            <w:shd w:val="pct12" w:color="auto" w:fill="auto"/>
          </w:tcPr>
          <w:p w14:paraId="6C554DB2" w14:textId="77777777" w:rsidR="00D2027A" w:rsidRPr="00B378B6" w:rsidRDefault="00D2027A" w:rsidP="00FD6656">
            <w:pPr>
              <w:spacing w:before="20" w:after="20"/>
              <w:rPr>
                <w:rFonts w:asciiTheme="majorHAnsi" w:hAnsiTheme="majorHAnsi"/>
                <w:b/>
                <w:bCs/>
                <w:sz w:val="18"/>
                <w:szCs w:val="18"/>
              </w:rPr>
            </w:pPr>
          </w:p>
        </w:tc>
        <w:tc>
          <w:tcPr>
            <w:tcW w:w="1867" w:type="dxa"/>
          </w:tcPr>
          <w:p w14:paraId="1F929A08"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Number of IW projects referenced in scientific literature </w:t>
            </w:r>
          </w:p>
        </w:tc>
        <w:tc>
          <w:tcPr>
            <w:tcW w:w="2127" w:type="dxa"/>
            <w:vMerge/>
          </w:tcPr>
          <w:p w14:paraId="22683404" w14:textId="77777777" w:rsidR="00D2027A" w:rsidRPr="001A76BE" w:rsidRDefault="00D2027A" w:rsidP="00FD6656">
            <w:pPr>
              <w:spacing w:before="20" w:after="20"/>
              <w:rPr>
                <w:rFonts w:asciiTheme="majorHAnsi" w:hAnsiTheme="majorHAnsi"/>
                <w:bCs/>
                <w:sz w:val="18"/>
                <w:szCs w:val="18"/>
              </w:rPr>
            </w:pPr>
          </w:p>
        </w:tc>
        <w:tc>
          <w:tcPr>
            <w:tcW w:w="2173" w:type="dxa"/>
          </w:tcPr>
          <w:p w14:paraId="562BDBD4" w14:textId="0923184F" w:rsidR="00D2027A" w:rsidRPr="00540644" w:rsidRDefault="00D2027A" w:rsidP="00FD6656">
            <w:pPr>
              <w:spacing w:before="20" w:after="20"/>
              <w:rPr>
                <w:rFonts w:asciiTheme="majorHAnsi" w:hAnsiTheme="majorHAnsi"/>
                <w:bCs/>
                <w:sz w:val="18"/>
                <w:szCs w:val="18"/>
              </w:rPr>
            </w:pPr>
            <w:r w:rsidRPr="00540644">
              <w:rPr>
                <w:rFonts w:asciiTheme="majorHAnsi" w:hAnsiTheme="majorHAnsi"/>
                <w:bCs/>
                <w:sz w:val="18"/>
                <w:szCs w:val="18"/>
              </w:rPr>
              <w:t>10 IW projects are ‘cited’ in the Science Citation Index</w:t>
            </w:r>
          </w:p>
        </w:tc>
        <w:tc>
          <w:tcPr>
            <w:tcW w:w="1936" w:type="dxa"/>
          </w:tcPr>
          <w:p w14:paraId="6B9D3352" w14:textId="77777777" w:rsidR="00D2027A" w:rsidRPr="00B378B6" w:rsidRDefault="00D2027A" w:rsidP="00FD6656">
            <w:pPr>
              <w:spacing w:before="20" w:after="20"/>
              <w:rPr>
                <w:rFonts w:asciiTheme="majorHAnsi" w:hAnsiTheme="majorHAnsi"/>
                <w:bCs/>
                <w:sz w:val="18"/>
                <w:szCs w:val="18"/>
              </w:rPr>
            </w:pPr>
          </w:p>
        </w:tc>
        <w:tc>
          <w:tcPr>
            <w:tcW w:w="2088" w:type="dxa"/>
          </w:tcPr>
          <w:p w14:paraId="08C6D2CB"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cs="Arial"/>
                <w:sz w:val="18"/>
                <w:szCs w:val="18"/>
              </w:rPr>
              <w:t>0 projects cited in index</w:t>
            </w:r>
          </w:p>
        </w:tc>
        <w:tc>
          <w:tcPr>
            <w:tcW w:w="1755" w:type="dxa"/>
            <w:vMerge/>
          </w:tcPr>
          <w:p w14:paraId="4E916EEA" w14:textId="77777777" w:rsidR="00D2027A" w:rsidRPr="00B378B6" w:rsidRDefault="00D2027A" w:rsidP="00FD6656">
            <w:pPr>
              <w:spacing w:before="20" w:after="20"/>
              <w:rPr>
                <w:rFonts w:asciiTheme="majorHAnsi" w:hAnsiTheme="majorHAnsi"/>
                <w:bCs/>
                <w:sz w:val="18"/>
                <w:szCs w:val="18"/>
              </w:rPr>
            </w:pPr>
          </w:p>
        </w:tc>
      </w:tr>
      <w:tr w:rsidR="00D2027A" w:rsidRPr="00F869DC" w14:paraId="3FAB41E8" w14:textId="77777777" w:rsidTr="001A76BE">
        <w:trPr>
          <w:jc w:val="center"/>
        </w:trPr>
        <w:tc>
          <w:tcPr>
            <w:tcW w:w="2210" w:type="dxa"/>
            <w:vMerge/>
            <w:shd w:val="pct12" w:color="auto" w:fill="auto"/>
          </w:tcPr>
          <w:p w14:paraId="3C1DAF52" w14:textId="77777777" w:rsidR="00D2027A" w:rsidRPr="00B378B6" w:rsidRDefault="00D2027A" w:rsidP="00FD6656">
            <w:pPr>
              <w:spacing w:before="20" w:after="20"/>
              <w:rPr>
                <w:rFonts w:asciiTheme="majorHAnsi" w:hAnsiTheme="majorHAnsi"/>
                <w:b/>
                <w:bCs/>
                <w:sz w:val="18"/>
                <w:szCs w:val="18"/>
              </w:rPr>
            </w:pPr>
          </w:p>
        </w:tc>
        <w:tc>
          <w:tcPr>
            <w:tcW w:w="1867" w:type="dxa"/>
          </w:tcPr>
          <w:p w14:paraId="59DBA11F" w14:textId="77777777" w:rsidR="00D2027A" w:rsidRPr="00B378B6" w:rsidRDefault="00D2027A"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 </w:t>
            </w:r>
            <w:proofErr w:type="gramStart"/>
            <w:r w:rsidRPr="00B378B6">
              <w:rPr>
                <w:rFonts w:asciiTheme="majorHAnsi" w:hAnsiTheme="majorHAnsi" w:cs="Times New Roman"/>
                <w:sz w:val="18"/>
                <w:szCs w:val="18"/>
              </w:rPr>
              <w:t>of</w:t>
            </w:r>
            <w:proofErr w:type="gramEnd"/>
            <w:r w:rsidRPr="00B378B6">
              <w:rPr>
                <w:rFonts w:asciiTheme="majorHAnsi" w:hAnsiTheme="majorHAnsi" w:cs="Times New Roman"/>
                <w:sz w:val="18"/>
                <w:szCs w:val="18"/>
              </w:rPr>
              <w:t xml:space="preserve"> IW projects submitting papers to journal</w:t>
            </w:r>
          </w:p>
        </w:tc>
        <w:tc>
          <w:tcPr>
            <w:tcW w:w="2127" w:type="dxa"/>
            <w:vMerge/>
          </w:tcPr>
          <w:p w14:paraId="29228DDF" w14:textId="77777777" w:rsidR="00D2027A" w:rsidRPr="001A76BE" w:rsidRDefault="00D2027A" w:rsidP="00FD6656">
            <w:pPr>
              <w:spacing w:before="20" w:after="20"/>
              <w:rPr>
                <w:rFonts w:asciiTheme="majorHAnsi" w:hAnsiTheme="majorHAnsi"/>
                <w:sz w:val="18"/>
                <w:szCs w:val="18"/>
              </w:rPr>
            </w:pPr>
          </w:p>
        </w:tc>
        <w:tc>
          <w:tcPr>
            <w:tcW w:w="2173" w:type="dxa"/>
          </w:tcPr>
          <w:p w14:paraId="59C11547" w14:textId="12A04277" w:rsidR="00D2027A" w:rsidRPr="00540644" w:rsidRDefault="00D2027A" w:rsidP="00FD6656">
            <w:pPr>
              <w:spacing w:before="20" w:after="20"/>
              <w:rPr>
                <w:rFonts w:asciiTheme="majorHAnsi" w:hAnsiTheme="majorHAnsi"/>
                <w:bCs/>
                <w:sz w:val="18"/>
                <w:szCs w:val="18"/>
              </w:rPr>
            </w:pPr>
            <w:r w:rsidRPr="00540644">
              <w:rPr>
                <w:rFonts w:asciiTheme="majorHAnsi" w:hAnsiTheme="majorHAnsi"/>
                <w:sz w:val="18"/>
                <w:szCs w:val="18"/>
              </w:rPr>
              <w:t>40% of IW portfolio submit papers for consideration in Journal</w:t>
            </w:r>
          </w:p>
        </w:tc>
        <w:tc>
          <w:tcPr>
            <w:tcW w:w="1936" w:type="dxa"/>
          </w:tcPr>
          <w:p w14:paraId="5F5A17A9" w14:textId="77F04A88" w:rsidR="00D2027A" w:rsidRPr="00B378B6" w:rsidRDefault="00D2027A" w:rsidP="00FD6656">
            <w:pPr>
              <w:spacing w:before="20" w:after="20"/>
              <w:rPr>
                <w:rFonts w:asciiTheme="majorHAnsi" w:hAnsiTheme="majorHAnsi"/>
                <w:bCs/>
                <w:sz w:val="18"/>
                <w:szCs w:val="18"/>
              </w:rPr>
            </w:pPr>
            <w:r w:rsidRPr="00540644">
              <w:rPr>
                <w:rFonts w:asciiTheme="majorHAnsi" w:hAnsiTheme="majorHAnsi"/>
                <w:bCs/>
                <w:sz w:val="18"/>
                <w:szCs w:val="18"/>
              </w:rPr>
              <w:t xml:space="preserve">SCM mins record </w:t>
            </w:r>
            <w:proofErr w:type="gramStart"/>
            <w:r w:rsidRPr="00540644">
              <w:rPr>
                <w:rFonts w:asciiTheme="majorHAnsi" w:hAnsiTheme="majorHAnsi"/>
                <w:bCs/>
                <w:sz w:val="18"/>
                <w:szCs w:val="18"/>
              </w:rPr>
              <w:t>change to 24 projects not clear</w:t>
            </w:r>
            <w:proofErr w:type="gramEnd"/>
            <w:r w:rsidRPr="00540644">
              <w:rPr>
                <w:rFonts w:asciiTheme="majorHAnsi" w:hAnsiTheme="majorHAnsi"/>
                <w:bCs/>
                <w:sz w:val="18"/>
                <w:szCs w:val="18"/>
              </w:rPr>
              <w:t xml:space="preserve"> why – MTE recommends retention of original.</w:t>
            </w:r>
            <w:r>
              <w:rPr>
                <w:rFonts w:asciiTheme="majorHAnsi" w:hAnsiTheme="majorHAnsi"/>
                <w:bCs/>
                <w:sz w:val="18"/>
                <w:szCs w:val="18"/>
              </w:rPr>
              <w:t xml:space="preserve"> </w:t>
            </w:r>
          </w:p>
        </w:tc>
        <w:tc>
          <w:tcPr>
            <w:tcW w:w="2088" w:type="dxa"/>
          </w:tcPr>
          <w:p w14:paraId="1E4AAA8E"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2 to date. </w:t>
            </w:r>
          </w:p>
        </w:tc>
        <w:tc>
          <w:tcPr>
            <w:tcW w:w="1755" w:type="dxa"/>
            <w:vMerge/>
          </w:tcPr>
          <w:p w14:paraId="317DBC3D" w14:textId="77777777" w:rsidR="00D2027A" w:rsidRPr="00B378B6" w:rsidRDefault="00D2027A" w:rsidP="00FD6656">
            <w:pPr>
              <w:spacing w:before="20" w:after="20"/>
              <w:rPr>
                <w:rFonts w:asciiTheme="majorHAnsi" w:hAnsiTheme="majorHAnsi"/>
                <w:bCs/>
                <w:sz w:val="18"/>
                <w:szCs w:val="18"/>
              </w:rPr>
            </w:pPr>
          </w:p>
        </w:tc>
      </w:tr>
      <w:tr w:rsidR="00D2027A" w:rsidRPr="00F869DC" w14:paraId="26D2C745" w14:textId="77777777" w:rsidTr="001A76BE">
        <w:trPr>
          <w:jc w:val="center"/>
        </w:trPr>
        <w:tc>
          <w:tcPr>
            <w:tcW w:w="2210" w:type="dxa"/>
            <w:vMerge/>
            <w:shd w:val="pct12" w:color="auto" w:fill="auto"/>
          </w:tcPr>
          <w:p w14:paraId="280C41A4" w14:textId="77777777" w:rsidR="00D2027A" w:rsidRPr="00B378B6" w:rsidRDefault="00D2027A" w:rsidP="00FD6656">
            <w:pPr>
              <w:spacing w:before="20" w:after="20"/>
              <w:rPr>
                <w:rFonts w:asciiTheme="majorHAnsi" w:hAnsiTheme="majorHAnsi"/>
                <w:b/>
                <w:bCs/>
                <w:sz w:val="18"/>
                <w:szCs w:val="18"/>
              </w:rPr>
            </w:pPr>
          </w:p>
        </w:tc>
        <w:tc>
          <w:tcPr>
            <w:tcW w:w="1867" w:type="dxa"/>
          </w:tcPr>
          <w:p w14:paraId="793EFAAE" w14:textId="77777777" w:rsidR="00D2027A" w:rsidRPr="00540644" w:rsidRDefault="00D2027A" w:rsidP="00FD6656">
            <w:pPr>
              <w:pStyle w:val="Normal1"/>
              <w:spacing w:before="20" w:after="20"/>
              <w:jc w:val="left"/>
              <w:rPr>
                <w:rFonts w:asciiTheme="majorHAnsi" w:hAnsiTheme="majorHAnsi" w:cs="Times New Roman"/>
                <w:strike/>
                <w:sz w:val="18"/>
                <w:szCs w:val="18"/>
              </w:rPr>
            </w:pPr>
            <w:r w:rsidRPr="00540644">
              <w:rPr>
                <w:rFonts w:asciiTheme="majorHAnsi" w:hAnsiTheme="majorHAnsi" w:cs="Times New Roman"/>
                <w:strike/>
                <w:sz w:val="18"/>
                <w:szCs w:val="18"/>
              </w:rPr>
              <w:t xml:space="preserve">% </w:t>
            </w:r>
            <w:proofErr w:type="gramStart"/>
            <w:r w:rsidRPr="00540644">
              <w:rPr>
                <w:rFonts w:asciiTheme="majorHAnsi" w:hAnsiTheme="majorHAnsi" w:cs="Times New Roman"/>
                <w:strike/>
                <w:sz w:val="18"/>
                <w:szCs w:val="18"/>
              </w:rPr>
              <w:t>readers</w:t>
            </w:r>
            <w:proofErr w:type="gramEnd"/>
            <w:r w:rsidRPr="00540644">
              <w:rPr>
                <w:rFonts w:asciiTheme="majorHAnsi" w:hAnsiTheme="majorHAnsi" w:cs="Times New Roman"/>
                <w:strike/>
                <w:sz w:val="18"/>
                <w:szCs w:val="18"/>
              </w:rPr>
              <w:t xml:space="preserve"> satisfied</w:t>
            </w:r>
          </w:p>
          <w:p w14:paraId="0023D7B5" w14:textId="77777777" w:rsidR="00D2027A" w:rsidRPr="00540644" w:rsidRDefault="00D2027A" w:rsidP="00FD6656">
            <w:pPr>
              <w:pStyle w:val="Normal1"/>
              <w:spacing w:before="20" w:after="20"/>
              <w:jc w:val="left"/>
              <w:rPr>
                <w:rFonts w:asciiTheme="majorHAnsi" w:hAnsiTheme="majorHAnsi"/>
                <w:bCs/>
                <w:strike/>
                <w:sz w:val="18"/>
                <w:szCs w:val="18"/>
              </w:rPr>
            </w:pPr>
          </w:p>
        </w:tc>
        <w:tc>
          <w:tcPr>
            <w:tcW w:w="2127" w:type="dxa"/>
            <w:vMerge/>
          </w:tcPr>
          <w:p w14:paraId="59736FB2" w14:textId="77777777" w:rsidR="00D2027A" w:rsidRPr="001A76BE" w:rsidRDefault="00D2027A" w:rsidP="00FD6656">
            <w:pPr>
              <w:spacing w:before="20" w:after="20"/>
              <w:rPr>
                <w:rFonts w:asciiTheme="majorHAnsi" w:hAnsiTheme="majorHAnsi"/>
                <w:strike/>
                <w:sz w:val="18"/>
                <w:szCs w:val="18"/>
              </w:rPr>
            </w:pPr>
          </w:p>
        </w:tc>
        <w:tc>
          <w:tcPr>
            <w:tcW w:w="2173" w:type="dxa"/>
          </w:tcPr>
          <w:p w14:paraId="7A16DCD8" w14:textId="2DA97828" w:rsidR="00D2027A" w:rsidRPr="00540644" w:rsidRDefault="00D2027A" w:rsidP="00FD6656">
            <w:pPr>
              <w:spacing w:before="20" w:after="20"/>
              <w:rPr>
                <w:rFonts w:asciiTheme="majorHAnsi" w:hAnsiTheme="majorHAnsi"/>
                <w:bCs/>
                <w:strike/>
                <w:sz w:val="18"/>
                <w:szCs w:val="18"/>
              </w:rPr>
            </w:pPr>
            <w:r w:rsidRPr="00540644">
              <w:rPr>
                <w:rFonts w:asciiTheme="majorHAnsi" w:hAnsiTheme="majorHAnsi"/>
                <w:strike/>
                <w:sz w:val="18"/>
                <w:szCs w:val="18"/>
              </w:rPr>
              <w:t xml:space="preserve">Reader surveys </w:t>
            </w:r>
            <w:proofErr w:type="gramStart"/>
            <w:r w:rsidRPr="00540644">
              <w:rPr>
                <w:rFonts w:asciiTheme="majorHAnsi" w:hAnsiTheme="majorHAnsi"/>
                <w:strike/>
                <w:sz w:val="18"/>
                <w:szCs w:val="18"/>
              </w:rPr>
              <w:t>indicate  75</w:t>
            </w:r>
            <w:proofErr w:type="gramEnd"/>
            <w:r w:rsidRPr="00540644">
              <w:rPr>
                <w:rFonts w:asciiTheme="majorHAnsi" w:hAnsiTheme="majorHAnsi"/>
                <w:strike/>
                <w:sz w:val="18"/>
                <w:szCs w:val="18"/>
              </w:rPr>
              <w:t>% satisfied and willing to contribute / read future editions</w:t>
            </w:r>
          </w:p>
        </w:tc>
        <w:tc>
          <w:tcPr>
            <w:tcW w:w="1936" w:type="dxa"/>
          </w:tcPr>
          <w:p w14:paraId="5A233D1C"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bCs/>
                <w:sz w:val="18"/>
                <w:szCs w:val="18"/>
              </w:rPr>
              <w:t xml:space="preserve">Not measurable – remove. </w:t>
            </w:r>
          </w:p>
        </w:tc>
        <w:tc>
          <w:tcPr>
            <w:tcW w:w="2088" w:type="dxa"/>
          </w:tcPr>
          <w:p w14:paraId="14EC3FF4" w14:textId="77777777" w:rsidR="00D2027A" w:rsidRPr="00B378B6" w:rsidRDefault="00D2027A" w:rsidP="00FD6656">
            <w:pPr>
              <w:spacing w:before="20" w:after="20"/>
              <w:rPr>
                <w:rFonts w:asciiTheme="majorHAnsi" w:hAnsiTheme="majorHAnsi"/>
                <w:bCs/>
                <w:sz w:val="18"/>
                <w:szCs w:val="18"/>
              </w:rPr>
            </w:pPr>
          </w:p>
        </w:tc>
        <w:tc>
          <w:tcPr>
            <w:tcW w:w="1755" w:type="dxa"/>
            <w:vMerge/>
          </w:tcPr>
          <w:p w14:paraId="465E32E1" w14:textId="77777777" w:rsidR="00D2027A" w:rsidRPr="00B378B6" w:rsidRDefault="00D2027A" w:rsidP="00FD6656">
            <w:pPr>
              <w:spacing w:before="20" w:after="20"/>
              <w:rPr>
                <w:rFonts w:asciiTheme="majorHAnsi" w:hAnsiTheme="majorHAnsi"/>
                <w:bCs/>
                <w:sz w:val="18"/>
                <w:szCs w:val="18"/>
              </w:rPr>
            </w:pPr>
          </w:p>
        </w:tc>
      </w:tr>
      <w:tr w:rsidR="00D2027A" w:rsidRPr="00F869DC" w14:paraId="5696C41F" w14:textId="77777777" w:rsidTr="001A76BE">
        <w:trPr>
          <w:jc w:val="center"/>
        </w:trPr>
        <w:tc>
          <w:tcPr>
            <w:tcW w:w="2210" w:type="dxa"/>
            <w:vMerge/>
            <w:shd w:val="pct12" w:color="auto" w:fill="auto"/>
          </w:tcPr>
          <w:p w14:paraId="7F335A42" w14:textId="77777777" w:rsidR="00D2027A" w:rsidRPr="00B378B6" w:rsidRDefault="00D2027A" w:rsidP="00FD6656">
            <w:pPr>
              <w:spacing w:before="20" w:after="20"/>
              <w:rPr>
                <w:rFonts w:asciiTheme="majorHAnsi" w:hAnsiTheme="majorHAnsi"/>
                <w:b/>
                <w:bCs/>
                <w:sz w:val="18"/>
                <w:szCs w:val="18"/>
              </w:rPr>
            </w:pPr>
          </w:p>
        </w:tc>
        <w:tc>
          <w:tcPr>
            <w:tcW w:w="1867" w:type="dxa"/>
          </w:tcPr>
          <w:p w14:paraId="701A9F05" w14:textId="77777777" w:rsidR="00D2027A" w:rsidRPr="00540644" w:rsidRDefault="00D2027A" w:rsidP="00FD6656">
            <w:pPr>
              <w:pStyle w:val="Normal1"/>
              <w:spacing w:before="20" w:after="20"/>
              <w:jc w:val="left"/>
              <w:rPr>
                <w:rFonts w:asciiTheme="majorHAnsi" w:hAnsiTheme="majorHAnsi"/>
                <w:bCs/>
                <w:sz w:val="18"/>
                <w:szCs w:val="18"/>
              </w:rPr>
            </w:pPr>
            <w:r w:rsidRPr="00540644">
              <w:rPr>
                <w:rFonts w:asciiTheme="majorHAnsi" w:hAnsiTheme="majorHAnsi" w:cs="Times New Roman"/>
                <w:sz w:val="18"/>
                <w:szCs w:val="18"/>
              </w:rPr>
              <w:t xml:space="preserve">% IW projects demonstrate examples of shared practices </w:t>
            </w:r>
          </w:p>
        </w:tc>
        <w:tc>
          <w:tcPr>
            <w:tcW w:w="2127" w:type="dxa"/>
            <w:vMerge/>
          </w:tcPr>
          <w:p w14:paraId="1CD53173" w14:textId="77777777" w:rsidR="00D2027A" w:rsidRPr="001A76BE" w:rsidRDefault="00D2027A" w:rsidP="00FD6656">
            <w:pPr>
              <w:spacing w:before="20" w:after="20"/>
              <w:rPr>
                <w:rFonts w:asciiTheme="majorHAnsi" w:hAnsiTheme="majorHAnsi"/>
                <w:sz w:val="18"/>
                <w:szCs w:val="18"/>
              </w:rPr>
            </w:pPr>
          </w:p>
        </w:tc>
        <w:tc>
          <w:tcPr>
            <w:tcW w:w="2173" w:type="dxa"/>
          </w:tcPr>
          <w:p w14:paraId="48536532" w14:textId="3C90DF59" w:rsidR="00D2027A" w:rsidRPr="00540644" w:rsidRDefault="00D2027A" w:rsidP="00FD6656">
            <w:pPr>
              <w:spacing w:before="20" w:after="20"/>
              <w:rPr>
                <w:rFonts w:asciiTheme="majorHAnsi" w:hAnsiTheme="majorHAnsi"/>
                <w:bCs/>
                <w:sz w:val="18"/>
                <w:szCs w:val="18"/>
              </w:rPr>
            </w:pPr>
            <w:r w:rsidRPr="00540644">
              <w:rPr>
                <w:rFonts w:asciiTheme="majorHAnsi" w:hAnsiTheme="majorHAnsi"/>
                <w:sz w:val="18"/>
                <w:szCs w:val="18"/>
              </w:rPr>
              <w:t>50% of GEF IW projects indicate at least one example of sharing practices</w:t>
            </w:r>
          </w:p>
        </w:tc>
        <w:tc>
          <w:tcPr>
            <w:tcW w:w="1936" w:type="dxa"/>
          </w:tcPr>
          <w:p w14:paraId="425E1C09" w14:textId="5868300D" w:rsidR="00D2027A" w:rsidRPr="00B378B6" w:rsidRDefault="00D2027A" w:rsidP="00FD6656">
            <w:pPr>
              <w:spacing w:before="20" w:after="20"/>
              <w:rPr>
                <w:rFonts w:asciiTheme="majorHAnsi" w:hAnsiTheme="majorHAnsi"/>
                <w:bCs/>
                <w:sz w:val="18"/>
                <w:szCs w:val="18"/>
                <w:highlight w:val="yellow"/>
              </w:rPr>
            </w:pPr>
          </w:p>
        </w:tc>
        <w:tc>
          <w:tcPr>
            <w:tcW w:w="2088" w:type="dxa"/>
          </w:tcPr>
          <w:p w14:paraId="2F665C30" w14:textId="77777777" w:rsidR="00D2027A" w:rsidRPr="00B378B6" w:rsidRDefault="00D2027A" w:rsidP="00FD6656">
            <w:pPr>
              <w:spacing w:before="20" w:after="20"/>
              <w:rPr>
                <w:rFonts w:asciiTheme="majorHAnsi" w:hAnsiTheme="majorHAnsi"/>
                <w:bCs/>
                <w:sz w:val="18"/>
                <w:szCs w:val="18"/>
              </w:rPr>
            </w:pPr>
            <w:r w:rsidRPr="00B378B6">
              <w:rPr>
                <w:rFonts w:asciiTheme="majorHAnsi" w:hAnsiTheme="majorHAnsi" w:cs="Arial"/>
                <w:sz w:val="18"/>
                <w:szCs w:val="18"/>
              </w:rPr>
              <w:t>6% (10/168) of GEF IW projects indicate at least one example of sharing practices</w:t>
            </w:r>
          </w:p>
        </w:tc>
        <w:tc>
          <w:tcPr>
            <w:tcW w:w="1755" w:type="dxa"/>
            <w:vMerge/>
          </w:tcPr>
          <w:p w14:paraId="04EB6BE4" w14:textId="77777777" w:rsidR="00D2027A" w:rsidRPr="00B378B6" w:rsidRDefault="00D2027A" w:rsidP="00FD6656">
            <w:pPr>
              <w:spacing w:before="20" w:after="20"/>
              <w:rPr>
                <w:rFonts w:asciiTheme="majorHAnsi" w:hAnsiTheme="majorHAnsi"/>
                <w:bCs/>
                <w:sz w:val="18"/>
                <w:szCs w:val="18"/>
              </w:rPr>
            </w:pPr>
          </w:p>
        </w:tc>
      </w:tr>
      <w:tr w:rsidR="001A76BE" w:rsidRPr="00F869DC" w14:paraId="17A5C509" w14:textId="77777777" w:rsidTr="001A76BE">
        <w:trPr>
          <w:trHeight w:val="292"/>
          <w:jc w:val="center"/>
        </w:trPr>
        <w:tc>
          <w:tcPr>
            <w:tcW w:w="2210" w:type="dxa"/>
            <w:vMerge w:val="restart"/>
            <w:shd w:val="pct12" w:color="auto" w:fill="auto"/>
          </w:tcPr>
          <w:p w14:paraId="70EEBF3D" w14:textId="77777777" w:rsidR="001A76BE" w:rsidRDefault="001A76BE" w:rsidP="00FD6656">
            <w:pPr>
              <w:spacing w:before="20" w:after="20"/>
              <w:rPr>
                <w:rFonts w:asciiTheme="majorHAnsi" w:hAnsiTheme="majorHAnsi"/>
                <w:b/>
                <w:bCs/>
                <w:sz w:val="18"/>
                <w:szCs w:val="18"/>
              </w:rPr>
            </w:pPr>
            <w:r w:rsidRPr="00B378B6">
              <w:rPr>
                <w:rFonts w:asciiTheme="majorHAnsi" w:hAnsiTheme="majorHAnsi"/>
                <w:b/>
                <w:bCs/>
                <w:sz w:val="18"/>
                <w:szCs w:val="18"/>
              </w:rPr>
              <w:t>Outcome 4.1</w:t>
            </w:r>
          </w:p>
          <w:p w14:paraId="0020265C" w14:textId="4298151C" w:rsidR="001A76BE" w:rsidRPr="00B378B6" w:rsidRDefault="001A76BE" w:rsidP="00FD6656">
            <w:pPr>
              <w:spacing w:before="20" w:after="20"/>
              <w:rPr>
                <w:rFonts w:asciiTheme="majorHAnsi" w:hAnsiTheme="majorHAnsi"/>
                <w:b/>
                <w:bCs/>
                <w:sz w:val="18"/>
                <w:szCs w:val="18"/>
              </w:rPr>
            </w:pPr>
            <w:r>
              <w:rPr>
                <w:rFonts w:asciiTheme="majorHAnsi" w:hAnsiTheme="majorHAnsi"/>
                <w:bCs/>
                <w:i/>
                <w:sz w:val="18"/>
                <w:szCs w:val="18"/>
              </w:rPr>
              <w:t>(Comp 4)</w:t>
            </w:r>
          </w:p>
          <w:p w14:paraId="122B692B" w14:textId="77777777" w:rsidR="001A76BE" w:rsidRPr="00B378B6" w:rsidRDefault="001A76BE" w:rsidP="00FD6656">
            <w:pPr>
              <w:spacing w:before="20" w:after="20"/>
              <w:rPr>
                <w:rFonts w:asciiTheme="majorHAnsi" w:hAnsiTheme="majorHAnsi"/>
                <w:sz w:val="18"/>
                <w:szCs w:val="18"/>
              </w:rPr>
            </w:pPr>
            <w:r w:rsidRPr="00B378B6">
              <w:rPr>
                <w:rFonts w:asciiTheme="majorHAnsi" w:hAnsiTheme="majorHAnsi"/>
                <w:sz w:val="18"/>
                <w:szCs w:val="18"/>
              </w:rPr>
              <w:t>Improved web-based information and knowledge management and utilization of the IW resource center and project communication platforms</w:t>
            </w:r>
          </w:p>
          <w:p w14:paraId="266E6094" w14:textId="77777777" w:rsidR="001A76BE" w:rsidRPr="00B378B6" w:rsidRDefault="001A76BE" w:rsidP="00FD6656">
            <w:pPr>
              <w:spacing w:before="20" w:after="20"/>
              <w:rPr>
                <w:rFonts w:asciiTheme="majorHAnsi" w:hAnsiTheme="majorHAnsi"/>
                <w:b/>
                <w:bCs/>
                <w:sz w:val="18"/>
                <w:szCs w:val="18"/>
              </w:rPr>
            </w:pPr>
          </w:p>
        </w:tc>
        <w:tc>
          <w:tcPr>
            <w:tcW w:w="1867" w:type="dxa"/>
          </w:tcPr>
          <w:p w14:paraId="737BCBF4"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bCs/>
                <w:sz w:val="18"/>
                <w:szCs w:val="18"/>
              </w:rPr>
              <w:t xml:space="preserve">% </w:t>
            </w:r>
            <w:proofErr w:type="gramStart"/>
            <w:r w:rsidRPr="00B378B6">
              <w:rPr>
                <w:rFonts w:asciiTheme="majorHAnsi" w:hAnsiTheme="majorHAnsi"/>
                <w:bCs/>
                <w:sz w:val="18"/>
                <w:szCs w:val="18"/>
              </w:rPr>
              <w:t>of</w:t>
            </w:r>
            <w:proofErr w:type="gramEnd"/>
            <w:r w:rsidRPr="00B378B6">
              <w:rPr>
                <w:rFonts w:asciiTheme="majorHAnsi" w:hAnsiTheme="majorHAnsi"/>
                <w:bCs/>
                <w:sz w:val="18"/>
                <w:szCs w:val="18"/>
              </w:rPr>
              <w:t xml:space="preserve"> IW Stakeholders satisfied with iwlearn.net</w:t>
            </w:r>
          </w:p>
          <w:p w14:paraId="6F4C46B3" w14:textId="77777777" w:rsidR="001A76BE" w:rsidRPr="00B378B6" w:rsidRDefault="001A76BE" w:rsidP="00FD6656">
            <w:pPr>
              <w:spacing w:before="20" w:after="20"/>
              <w:rPr>
                <w:rFonts w:asciiTheme="majorHAnsi" w:hAnsiTheme="majorHAnsi"/>
                <w:bCs/>
                <w:sz w:val="18"/>
                <w:szCs w:val="18"/>
              </w:rPr>
            </w:pPr>
          </w:p>
        </w:tc>
        <w:tc>
          <w:tcPr>
            <w:tcW w:w="2127" w:type="dxa"/>
            <w:vMerge w:val="restart"/>
          </w:tcPr>
          <w:p w14:paraId="0E40FF52" w14:textId="77777777" w:rsidR="001A76BE" w:rsidRPr="001A76BE" w:rsidRDefault="001A76BE" w:rsidP="001A76BE">
            <w:pPr>
              <w:spacing w:before="20" w:after="20"/>
              <w:rPr>
                <w:rFonts w:asciiTheme="majorHAnsi" w:hAnsiTheme="majorHAnsi"/>
                <w:bCs/>
                <w:sz w:val="18"/>
                <w:szCs w:val="18"/>
              </w:rPr>
            </w:pPr>
            <w:r w:rsidRPr="001A76BE">
              <w:rPr>
                <w:rFonts w:asciiTheme="majorHAnsi" w:hAnsiTheme="majorHAnsi"/>
                <w:bCs/>
                <w:sz w:val="18"/>
                <w:szCs w:val="18"/>
              </w:rPr>
              <w:t>Stakeholders have good access to internet</w:t>
            </w:r>
          </w:p>
          <w:p w14:paraId="6E8F94B9" w14:textId="77777777" w:rsidR="001A76BE" w:rsidRPr="001A76BE" w:rsidRDefault="001A76BE" w:rsidP="001A76BE">
            <w:pPr>
              <w:spacing w:before="20" w:after="20"/>
              <w:rPr>
                <w:rFonts w:asciiTheme="majorHAnsi" w:hAnsiTheme="majorHAnsi"/>
                <w:bCs/>
                <w:sz w:val="18"/>
                <w:szCs w:val="18"/>
              </w:rPr>
            </w:pPr>
          </w:p>
          <w:p w14:paraId="1549764B" w14:textId="77777777" w:rsidR="001A76BE" w:rsidRPr="001A76BE" w:rsidRDefault="001A76BE" w:rsidP="001A76BE">
            <w:pPr>
              <w:spacing w:before="20" w:after="20"/>
              <w:rPr>
                <w:rFonts w:asciiTheme="majorHAnsi" w:hAnsiTheme="majorHAnsi"/>
                <w:bCs/>
                <w:sz w:val="18"/>
                <w:szCs w:val="18"/>
              </w:rPr>
            </w:pPr>
            <w:r w:rsidRPr="001A76BE">
              <w:rPr>
                <w:rFonts w:asciiTheme="majorHAnsi" w:hAnsiTheme="majorHAnsi"/>
                <w:bCs/>
                <w:sz w:val="18"/>
                <w:szCs w:val="18"/>
              </w:rPr>
              <w:t>Web-platform actively used by other IW</w:t>
            </w:r>
            <w:proofErr w:type="gramStart"/>
            <w:r w:rsidRPr="001A76BE">
              <w:rPr>
                <w:rFonts w:asciiTheme="majorHAnsi" w:hAnsiTheme="majorHAnsi"/>
                <w:bCs/>
                <w:sz w:val="18"/>
                <w:szCs w:val="18"/>
              </w:rPr>
              <w:t>:LEARN</w:t>
            </w:r>
            <w:proofErr w:type="gramEnd"/>
            <w:r w:rsidRPr="001A76BE">
              <w:rPr>
                <w:rFonts w:asciiTheme="majorHAnsi" w:hAnsiTheme="majorHAnsi"/>
                <w:bCs/>
                <w:sz w:val="18"/>
                <w:szCs w:val="18"/>
              </w:rPr>
              <w:t xml:space="preserve"> activities</w:t>
            </w:r>
          </w:p>
          <w:p w14:paraId="3E4BE31A" w14:textId="77777777" w:rsidR="001A76BE" w:rsidRPr="001A76BE" w:rsidRDefault="001A76BE" w:rsidP="001A76BE">
            <w:pPr>
              <w:spacing w:before="20" w:after="20"/>
              <w:rPr>
                <w:rFonts w:asciiTheme="majorHAnsi" w:hAnsiTheme="majorHAnsi"/>
                <w:bCs/>
                <w:sz w:val="18"/>
                <w:szCs w:val="18"/>
              </w:rPr>
            </w:pPr>
          </w:p>
          <w:p w14:paraId="00543DB5" w14:textId="77777777" w:rsidR="001A76BE" w:rsidRPr="001A76BE" w:rsidRDefault="001A76BE" w:rsidP="001A76BE">
            <w:pPr>
              <w:spacing w:before="20" w:after="20"/>
              <w:rPr>
                <w:rFonts w:asciiTheme="majorHAnsi" w:hAnsiTheme="majorHAnsi"/>
                <w:bCs/>
                <w:sz w:val="18"/>
                <w:szCs w:val="18"/>
              </w:rPr>
            </w:pPr>
            <w:r w:rsidRPr="001A76BE">
              <w:rPr>
                <w:rFonts w:asciiTheme="majorHAnsi" w:hAnsiTheme="majorHAnsi"/>
                <w:bCs/>
                <w:sz w:val="18"/>
                <w:szCs w:val="18"/>
              </w:rPr>
              <w:t>Availability of up-to-date content</w:t>
            </w:r>
          </w:p>
          <w:p w14:paraId="3ACFF364" w14:textId="77777777" w:rsidR="001A76BE" w:rsidRPr="001A76BE" w:rsidRDefault="001A76BE" w:rsidP="001A76BE">
            <w:pPr>
              <w:spacing w:before="20" w:after="20"/>
              <w:rPr>
                <w:rFonts w:asciiTheme="majorHAnsi" w:hAnsiTheme="majorHAnsi"/>
                <w:bCs/>
                <w:sz w:val="18"/>
                <w:szCs w:val="18"/>
              </w:rPr>
            </w:pPr>
          </w:p>
          <w:p w14:paraId="0181B2F1" w14:textId="56B9045E" w:rsidR="001A76BE" w:rsidRPr="001A76BE" w:rsidRDefault="001A76BE" w:rsidP="001A76BE">
            <w:pPr>
              <w:spacing w:before="20" w:after="20"/>
              <w:rPr>
                <w:rFonts w:asciiTheme="majorHAnsi" w:hAnsiTheme="majorHAnsi"/>
                <w:bCs/>
                <w:sz w:val="18"/>
                <w:szCs w:val="18"/>
              </w:rPr>
            </w:pPr>
            <w:r w:rsidRPr="001A76BE">
              <w:rPr>
                <w:rFonts w:asciiTheme="majorHAnsi" w:hAnsiTheme="majorHAnsi"/>
                <w:bCs/>
                <w:sz w:val="18"/>
                <w:szCs w:val="18"/>
              </w:rPr>
              <w:t>Other ‘waters’ web sites are up-to-date</w:t>
            </w:r>
          </w:p>
        </w:tc>
        <w:tc>
          <w:tcPr>
            <w:tcW w:w="2173" w:type="dxa"/>
          </w:tcPr>
          <w:p w14:paraId="5C4132FE" w14:textId="39D6D3A2" w:rsidR="001A76BE" w:rsidRPr="00B378B6" w:rsidRDefault="001A76BE" w:rsidP="00FD6656">
            <w:pPr>
              <w:spacing w:before="20" w:after="20"/>
              <w:rPr>
                <w:rFonts w:asciiTheme="majorHAnsi" w:hAnsiTheme="majorHAnsi"/>
                <w:bCs/>
                <w:sz w:val="18"/>
                <w:szCs w:val="18"/>
                <w:highlight w:val="yellow"/>
              </w:rPr>
            </w:pPr>
            <w:r w:rsidRPr="00540644">
              <w:rPr>
                <w:rFonts w:asciiTheme="majorHAnsi" w:hAnsiTheme="majorHAnsi"/>
                <w:bCs/>
                <w:sz w:val="18"/>
                <w:szCs w:val="18"/>
              </w:rPr>
              <w:t>Stakeholder satisfaction rating for iwlearn.net &gt;75% ‘satisfied’</w:t>
            </w:r>
          </w:p>
        </w:tc>
        <w:tc>
          <w:tcPr>
            <w:tcW w:w="1936" w:type="dxa"/>
          </w:tcPr>
          <w:p w14:paraId="4C4E1EC0" w14:textId="77777777" w:rsidR="001A76BE" w:rsidRPr="00B378B6" w:rsidRDefault="001A76BE" w:rsidP="00FD6656">
            <w:pPr>
              <w:spacing w:before="20" w:after="20"/>
              <w:rPr>
                <w:rFonts w:asciiTheme="majorHAnsi" w:hAnsiTheme="majorHAnsi"/>
                <w:bCs/>
                <w:sz w:val="18"/>
                <w:szCs w:val="18"/>
              </w:rPr>
            </w:pPr>
          </w:p>
        </w:tc>
        <w:tc>
          <w:tcPr>
            <w:tcW w:w="2088" w:type="dxa"/>
          </w:tcPr>
          <w:p w14:paraId="6BFE9BD7"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bCs/>
                <w:sz w:val="18"/>
                <w:szCs w:val="18"/>
              </w:rPr>
              <w:t xml:space="preserve">No formal survey of stakeholder satisfaction was undertaken for the MTE but from feedback received by MTE stakeholder satisfaction is close to target but usage is low. </w:t>
            </w:r>
          </w:p>
        </w:tc>
        <w:tc>
          <w:tcPr>
            <w:tcW w:w="1755" w:type="dxa"/>
            <w:vMerge w:val="restart"/>
          </w:tcPr>
          <w:p w14:paraId="4621E598" w14:textId="1E0A434B" w:rsidR="001A76BE" w:rsidRDefault="001A76BE" w:rsidP="0026018F">
            <w:pPr>
              <w:spacing w:before="20" w:after="20"/>
              <w:rPr>
                <w:rFonts w:asciiTheme="majorHAnsi" w:hAnsiTheme="majorHAnsi"/>
                <w:bCs/>
                <w:sz w:val="18"/>
                <w:szCs w:val="18"/>
              </w:rPr>
            </w:pPr>
            <w:r>
              <w:rPr>
                <w:rFonts w:asciiTheme="majorHAnsi" w:hAnsiTheme="majorHAnsi"/>
                <w:bCs/>
                <w:sz w:val="18"/>
                <w:szCs w:val="18"/>
              </w:rPr>
              <w:t xml:space="preserve">Progress in that website has been much improved but still some critical issues regarding functionality and content </w:t>
            </w:r>
            <w:r w:rsidR="00E22628">
              <w:rPr>
                <w:rFonts w:asciiTheme="majorHAnsi" w:hAnsiTheme="majorHAnsi"/>
                <w:bCs/>
                <w:sz w:val="18"/>
                <w:szCs w:val="18"/>
              </w:rPr>
              <w:t>esp.</w:t>
            </w:r>
            <w:r>
              <w:rPr>
                <w:rFonts w:asciiTheme="majorHAnsi" w:hAnsiTheme="majorHAnsi"/>
                <w:bCs/>
                <w:sz w:val="18"/>
                <w:szCs w:val="18"/>
              </w:rPr>
              <w:t xml:space="preserve"> wrt to CoP platforms and visualisation tool. Not as advanced as it should be at this stage of the project. </w:t>
            </w:r>
            <w:r w:rsidRPr="00B378B6">
              <w:rPr>
                <w:rFonts w:asciiTheme="majorHAnsi" w:hAnsiTheme="majorHAnsi"/>
                <w:bCs/>
                <w:sz w:val="18"/>
                <w:szCs w:val="18"/>
              </w:rPr>
              <w:t xml:space="preserve"> </w:t>
            </w:r>
          </w:p>
          <w:p w14:paraId="1D71BFC7" w14:textId="77777777" w:rsidR="001A76BE" w:rsidRDefault="001A76BE" w:rsidP="0026018F">
            <w:pPr>
              <w:spacing w:before="20" w:after="20"/>
              <w:rPr>
                <w:rFonts w:asciiTheme="majorHAnsi" w:hAnsiTheme="majorHAnsi"/>
                <w:bCs/>
                <w:sz w:val="18"/>
                <w:szCs w:val="18"/>
              </w:rPr>
            </w:pPr>
          </w:p>
          <w:p w14:paraId="21AD7D1F" w14:textId="55D78FE8" w:rsidR="001A76BE" w:rsidRPr="00B378B6" w:rsidRDefault="001A76BE" w:rsidP="0026018F">
            <w:pPr>
              <w:spacing w:before="20" w:after="20"/>
              <w:rPr>
                <w:rFonts w:asciiTheme="majorHAnsi" w:hAnsiTheme="majorHAnsi"/>
                <w:bCs/>
                <w:sz w:val="18"/>
                <w:szCs w:val="18"/>
              </w:rPr>
            </w:pPr>
            <w:r>
              <w:rPr>
                <w:rFonts w:asciiTheme="majorHAnsi" w:hAnsiTheme="majorHAnsi"/>
                <w:bCs/>
                <w:sz w:val="18"/>
                <w:szCs w:val="18"/>
              </w:rPr>
              <w:t xml:space="preserve">MTE doubts that </w:t>
            </w:r>
            <w:proofErr w:type="gramStart"/>
            <w:r>
              <w:rPr>
                <w:rFonts w:asciiTheme="majorHAnsi" w:hAnsiTheme="majorHAnsi"/>
                <w:bCs/>
                <w:sz w:val="18"/>
                <w:szCs w:val="18"/>
              </w:rPr>
              <w:t>unique hits is</w:t>
            </w:r>
            <w:proofErr w:type="gramEnd"/>
            <w:r>
              <w:rPr>
                <w:rFonts w:asciiTheme="majorHAnsi" w:hAnsiTheme="majorHAnsi"/>
                <w:bCs/>
                <w:sz w:val="18"/>
                <w:szCs w:val="18"/>
              </w:rPr>
              <w:t xml:space="preserve"> a good measure of outcome success. More of a measure of general public awareness. </w:t>
            </w:r>
          </w:p>
        </w:tc>
      </w:tr>
      <w:tr w:rsidR="001A76BE" w:rsidRPr="00F869DC" w14:paraId="04BC4AF5" w14:textId="77777777" w:rsidTr="001A76BE">
        <w:trPr>
          <w:trHeight w:val="70"/>
          <w:jc w:val="center"/>
        </w:trPr>
        <w:tc>
          <w:tcPr>
            <w:tcW w:w="2210" w:type="dxa"/>
            <w:vMerge/>
            <w:shd w:val="pct12" w:color="auto" w:fill="auto"/>
          </w:tcPr>
          <w:p w14:paraId="4D84BBA4" w14:textId="77777777" w:rsidR="001A76BE" w:rsidRPr="00B378B6" w:rsidRDefault="001A76BE" w:rsidP="00FD6656">
            <w:pPr>
              <w:spacing w:before="20" w:after="20"/>
              <w:rPr>
                <w:rFonts w:asciiTheme="majorHAnsi" w:hAnsiTheme="majorHAnsi"/>
                <w:b/>
                <w:bCs/>
                <w:sz w:val="18"/>
                <w:szCs w:val="18"/>
              </w:rPr>
            </w:pPr>
          </w:p>
        </w:tc>
        <w:tc>
          <w:tcPr>
            <w:tcW w:w="1867" w:type="dxa"/>
          </w:tcPr>
          <w:p w14:paraId="781F6674"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bCs/>
                <w:sz w:val="18"/>
                <w:szCs w:val="18"/>
              </w:rPr>
              <w:t>\Number of hits per month on iwlearn.net increase</w:t>
            </w:r>
          </w:p>
          <w:p w14:paraId="67AA7536" w14:textId="77777777" w:rsidR="001A76BE" w:rsidRPr="00B378B6" w:rsidRDefault="001A76BE" w:rsidP="00FD6656">
            <w:pPr>
              <w:spacing w:before="20" w:after="20"/>
              <w:rPr>
                <w:rFonts w:asciiTheme="majorHAnsi" w:hAnsiTheme="majorHAnsi"/>
                <w:bCs/>
                <w:sz w:val="18"/>
                <w:szCs w:val="18"/>
              </w:rPr>
            </w:pPr>
          </w:p>
        </w:tc>
        <w:tc>
          <w:tcPr>
            <w:tcW w:w="2127" w:type="dxa"/>
            <w:vMerge/>
          </w:tcPr>
          <w:p w14:paraId="75067022" w14:textId="77777777" w:rsidR="001A76BE" w:rsidRPr="001A76BE" w:rsidRDefault="001A76BE" w:rsidP="00FD6656">
            <w:pPr>
              <w:spacing w:before="20" w:after="20"/>
              <w:rPr>
                <w:rFonts w:asciiTheme="majorHAnsi" w:hAnsiTheme="majorHAnsi"/>
                <w:bCs/>
                <w:sz w:val="18"/>
                <w:szCs w:val="18"/>
              </w:rPr>
            </w:pPr>
          </w:p>
        </w:tc>
        <w:tc>
          <w:tcPr>
            <w:tcW w:w="2173" w:type="dxa"/>
          </w:tcPr>
          <w:p w14:paraId="115F893D" w14:textId="67BA66CB" w:rsidR="001A76BE" w:rsidRPr="003B0E5B" w:rsidRDefault="001A76BE" w:rsidP="00FD6656">
            <w:pPr>
              <w:spacing w:before="20" w:after="20"/>
              <w:rPr>
                <w:rFonts w:asciiTheme="majorHAnsi" w:hAnsiTheme="majorHAnsi"/>
                <w:bCs/>
                <w:sz w:val="18"/>
                <w:szCs w:val="18"/>
              </w:rPr>
            </w:pPr>
            <w:r w:rsidRPr="003B0E5B">
              <w:rPr>
                <w:rFonts w:asciiTheme="majorHAnsi" w:hAnsiTheme="majorHAnsi"/>
                <w:bCs/>
                <w:sz w:val="18"/>
                <w:szCs w:val="18"/>
              </w:rPr>
              <w:t>End of project show 25% more hits per month vs. baseline</w:t>
            </w:r>
          </w:p>
        </w:tc>
        <w:tc>
          <w:tcPr>
            <w:tcW w:w="1936" w:type="dxa"/>
          </w:tcPr>
          <w:p w14:paraId="19209CDD" w14:textId="1147FC76" w:rsidR="001A76BE" w:rsidRPr="00B378B6" w:rsidRDefault="001A76BE" w:rsidP="00FD6656">
            <w:pPr>
              <w:spacing w:before="20" w:after="20"/>
              <w:rPr>
                <w:rFonts w:asciiTheme="majorHAnsi" w:hAnsiTheme="majorHAnsi"/>
                <w:bCs/>
                <w:sz w:val="18"/>
                <w:szCs w:val="18"/>
              </w:rPr>
            </w:pPr>
          </w:p>
        </w:tc>
        <w:tc>
          <w:tcPr>
            <w:tcW w:w="2088" w:type="dxa"/>
          </w:tcPr>
          <w:p w14:paraId="7B841D86" w14:textId="1D9F92B2" w:rsidR="001A76BE" w:rsidRPr="00B378B6" w:rsidRDefault="001A76BE" w:rsidP="00C20F97">
            <w:pPr>
              <w:spacing w:before="20" w:after="20"/>
              <w:rPr>
                <w:rFonts w:asciiTheme="majorHAnsi" w:hAnsiTheme="majorHAnsi"/>
                <w:bCs/>
                <w:sz w:val="18"/>
                <w:szCs w:val="18"/>
              </w:rPr>
            </w:pPr>
            <w:r>
              <w:rPr>
                <w:rFonts w:asciiTheme="majorHAnsi" w:hAnsiTheme="majorHAnsi"/>
                <w:bCs/>
                <w:sz w:val="18"/>
                <w:szCs w:val="18"/>
              </w:rPr>
              <w:t xml:space="preserve">From a baseline of 6,739 av. Unique hits per month the average increase over the first 12 </w:t>
            </w:r>
            <w:r w:rsidR="00E22628">
              <w:rPr>
                <w:rFonts w:asciiTheme="majorHAnsi" w:hAnsiTheme="majorHAnsi"/>
                <w:bCs/>
                <w:sz w:val="18"/>
                <w:szCs w:val="18"/>
              </w:rPr>
              <w:t>months</w:t>
            </w:r>
            <w:r>
              <w:rPr>
                <w:rFonts w:asciiTheme="majorHAnsi" w:hAnsiTheme="majorHAnsi"/>
                <w:bCs/>
                <w:sz w:val="18"/>
                <w:szCs w:val="18"/>
              </w:rPr>
              <w:t xml:space="preserve"> but over the last 12 months it is 3% down on baseline.  </w:t>
            </w:r>
          </w:p>
        </w:tc>
        <w:tc>
          <w:tcPr>
            <w:tcW w:w="1755" w:type="dxa"/>
            <w:vMerge/>
          </w:tcPr>
          <w:p w14:paraId="166D9365" w14:textId="77777777" w:rsidR="001A76BE" w:rsidRPr="00B378B6" w:rsidRDefault="001A76BE" w:rsidP="00FD6656">
            <w:pPr>
              <w:spacing w:before="20" w:after="20"/>
              <w:rPr>
                <w:rFonts w:asciiTheme="majorHAnsi" w:hAnsiTheme="majorHAnsi"/>
                <w:bCs/>
                <w:sz w:val="18"/>
                <w:szCs w:val="18"/>
              </w:rPr>
            </w:pPr>
          </w:p>
        </w:tc>
      </w:tr>
      <w:tr w:rsidR="001A76BE" w:rsidRPr="00F869DC" w14:paraId="4005C0C9" w14:textId="77777777" w:rsidTr="001A76BE">
        <w:trPr>
          <w:trHeight w:val="980"/>
          <w:jc w:val="center"/>
        </w:trPr>
        <w:tc>
          <w:tcPr>
            <w:tcW w:w="2210" w:type="dxa"/>
            <w:vMerge/>
            <w:shd w:val="pct12" w:color="auto" w:fill="auto"/>
          </w:tcPr>
          <w:p w14:paraId="4694547F" w14:textId="77777777" w:rsidR="001A76BE" w:rsidRPr="00B378B6" w:rsidRDefault="001A76BE" w:rsidP="00FD6656">
            <w:pPr>
              <w:spacing w:before="20" w:after="20"/>
              <w:rPr>
                <w:rFonts w:asciiTheme="majorHAnsi" w:hAnsiTheme="majorHAnsi"/>
                <w:b/>
                <w:bCs/>
                <w:sz w:val="18"/>
                <w:szCs w:val="18"/>
              </w:rPr>
            </w:pPr>
          </w:p>
        </w:tc>
        <w:tc>
          <w:tcPr>
            <w:tcW w:w="1867" w:type="dxa"/>
          </w:tcPr>
          <w:p w14:paraId="437A6E85"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bCs/>
                <w:sz w:val="18"/>
                <w:szCs w:val="18"/>
              </w:rPr>
              <w:t>Number of downloads per month increase</w:t>
            </w:r>
          </w:p>
        </w:tc>
        <w:tc>
          <w:tcPr>
            <w:tcW w:w="2127" w:type="dxa"/>
            <w:vMerge/>
          </w:tcPr>
          <w:p w14:paraId="4EEF5034" w14:textId="77777777" w:rsidR="001A76BE" w:rsidRPr="001A76BE" w:rsidRDefault="001A76BE" w:rsidP="00FD6656">
            <w:pPr>
              <w:spacing w:before="20" w:after="20"/>
              <w:rPr>
                <w:rFonts w:asciiTheme="majorHAnsi" w:hAnsiTheme="majorHAnsi"/>
                <w:bCs/>
                <w:sz w:val="18"/>
                <w:szCs w:val="18"/>
              </w:rPr>
            </w:pPr>
          </w:p>
        </w:tc>
        <w:tc>
          <w:tcPr>
            <w:tcW w:w="2173" w:type="dxa"/>
          </w:tcPr>
          <w:p w14:paraId="4AEEAAC0" w14:textId="1308AD5C" w:rsidR="001A76BE" w:rsidRPr="003B0E5B" w:rsidRDefault="001A76BE" w:rsidP="00FD6656">
            <w:pPr>
              <w:spacing w:before="20" w:after="20"/>
              <w:rPr>
                <w:rFonts w:asciiTheme="majorHAnsi" w:hAnsiTheme="majorHAnsi"/>
                <w:bCs/>
                <w:sz w:val="18"/>
                <w:szCs w:val="18"/>
              </w:rPr>
            </w:pPr>
            <w:r w:rsidRPr="003B0E5B">
              <w:rPr>
                <w:rFonts w:asciiTheme="majorHAnsi" w:hAnsiTheme="majorHAnsi"/>
                <w:bCs/>
                <w:sz w:val="18"/>
                <w:szCs w:val="18"/>
              </w:rPr>
              <w:t>End of project show 25% more downloads per month vs. baseline</w:t>
            </w:r>
          </w:p>
        </w:tc>
        <w:tc>
          <w:tcPr>
            <w:tcW w:w="1936" w:type="dxa"/>
          </w:tcPr>
          <w:p w14:paraId="411957B3" w14:textId="77777777" w:rsidR="001A76BE" w:rsidRPr="00B378B6" w:rsidRDefault="001A76BE" w:rsidP="00FD6656">
            <w:pPr>
              <w:spacing w:before="20" w:after="20"/>
              <w:rPr>
                <w:rFonts w:asciiTheme="majorHAnsi" w:hAnsiTheme="majorHAnsi"/>
                <w:bCs/>
                <w:sz w:val="18"/>
                <w:szCs w:val="18"/>
              </w:rPr>
            </w:pPr>
          </w:p>
        </w:tc>
        <w:tc>
          <w:tcPr>
            <w:tcW w:w="2088" w:type="dxa"/>
          </w:tcPr>
          <w:p w14:paraId="0446409A" w14:textId="420202AD" w:rsidR="001A76BE" w:rsidRPr="00B378B6" w:rsidRDefault="001A76BE" w:rsidP="00FD6656">
            <w:pPr>
              <w:spacing w:before="20" w:after="20"/>
              <w:rPr>
                <w:rFonts w:asciiTheme="majorHAnsi" w:hAnsiTheme="majorHAnsi"/>
                <w:bCs/>
                <w:sz w:val="18"/>
                <w:szCs w:val="18"/>
              </w:rPr>
            </w:pPr>
            <w:r>
              <w:rPr>
                <w:rFonts w:asciiTheme="majorHAnsi" w:hAnsiTheme="majorHAnsi" w:cs="Arial"/>
                <w:sz w:val="18"/>
                <w:szCs w:val="18"/>
              </w:rPr>
              <w:t xml:space="preserve">From a baseline of 19 </w:t>
            </w:r>
            <w:proofErr w:type="gramStart"/>
            <w:r>
              <w:rPr>
                <w:rFonts w:asciiTheme="majorHAnsi" w:hAnsiTheme="majorHAnsi" w:cs="Arial"/>
                <w:sz w:val="18"/>
                <w:szCs w:val="18"/>
              </w:rPr>
              <w:t>downloads  per</w:t>
            </w:r>
            <w:proofErr w:type="gramEnd"/>
            <w:r>
              <w:rPr>
                <w:rFonts w:asciiTheme="majorHAnsi" w:hAnsiTheme="majorHAnsi" w:cs="Arial"/>
                <w:sz w:val="18"/>
                <w:szCs w:val="18"/>
              </w:rPr>
              <w:t xml:space="preserve"> month there was 89% increase to May 2012 but this has since dropped back to baseline for average of last 8 months. </w:t>
            </w:r>
            <w:r w:rsidRPr="00B378B6">
              <w:rPr>
                <w:rFonts w:asciiTheme="majorHAnsi" w:hAnsiTheme="majorHAnsi" w:cs="Arial"/>
                <w:sz w:val="18"/>
                <w:szCs w:val="18"/>
              </w:rPr>
              <w:br/>
            </w:r>
          </w:p>
        </w:tc>
        <w:tc>
          <w:tcPr>
            <w:tcW w:w="1755" w:type="dxa"/>
            <w:vMerge/>
          </w:tcPr>
          <w:p w14:paraId="16290DDE" w14:textId="77777777" w:rsidR="001A76BE" w:rsidRPr="00B378B6" w:rsidRDefault="001A76BE" w:rsidP="00FD6656">
            <w:pPr>
              <w:spacing w:before="20" w:after="20"/>
              <w:rPr>
                <w:rFonts w:asciiTheme="majorHAnsi" w:hAnsiTheme="majorHAnsi"/>
                <w:bCs/>
                <w:sz w:val="18"/>
                <w:szCs w:val="18"/>
              </w:rPr>
            </w:pPr>
          </w:p>
        </w:tc>
      </w:tr>
      <w:tr w:rsidR="001A76BE" w:rsidRPr="00F869DC" w14:paraId="096F9472" w14:textId="77777777" w:rsidTr="001A76BE">
        <w:trPr>
          <w:jc w:val="center"/>
        </w:trPr>
        <w:tc>
          <w:tcPr>
            <w:tcW w:w="2210" w:type="dxa"/>
            <w:shd w:val="pct12" w:color="auto" w:fill="auto"/>
          </w:tcPr>
          <w:p w14:paraId="37C1AF45" w14:textId="77777777" w:rsidR="001A76BE" w:rsidRDefault="001A76BE" w:rsidP="00FD6656">
            <w:pPr>
              <w:spacing w:before="20" w:after="20"/>
              <w:rPr>
                <w:rFonts w:asciiTheme="majorHAnsi" w:hAnsiTheme="majorHAnsi"/>
                <w:b/>
                <w:bCs/>
                <w:sz w:val="18"/>
                <w:szCs w:val="18"/>
              </w:rPr>
            </w:pPr>
            <w:r w:rsidRPr="00B378B6">
              <w:rPr>
                <w:rFonts w:asciiTheme="majorHAnsi" w:hAnsiTheme="majorHAnsi"/>
                <w:b/>
                <w:bCs/>
                <w:sz w:val="18"/>
                <w:szCs w:val="18"/>
              </w:rPr>
              <w:t>Outcome 4.2</w:t>
            </w:r>
          </w:p>
          <w:p w14:paraId="5F6EBBD8" w14:textId="58021455" w:rsidR="001A76BE" w:rsidRPr="00B378B6" w:rsidRDefault="001A76BE" w:rsidP="00FD6656">
            <w:pPr>
              <w:spacing w:before="20" w:after="20"/>
              <w:rPr>
                <w:rFonts w:asciiTheme="majorHAnsi" w:hAnsiTheme="majorHAnsi"/>
                <w:b/>
                <w:bCs/>
                <w:sz w:val="18"/>
                <w:szCs w:val="18"/>
              </w:rPr>
            </w:pPr>
            <w:r>
              <w:rPr>
                <w:rFonts w:asciiTheme="majorHAnsi" w:hAnsiTheme="majorHAnsi"/>
                <w:bCs/>
                <w:i/>
                <w:sz w:val="18"/>
                <w:szCs w:val="18"/>
              </w:rPr>
              <w:t>(C</w:t>
            </w:r>
            <w:r w:rsidRPr="000A38E5">
              <w:rPr>
                <w:rFonts w:asciiTheme="majorHAnsi" w:hAnsiTheme="majorHAnsi"/>
                <w:bCs/>
                <w:i/>
                <w:sz w:val="18"/>
                <w:szCs w:val="18"/>
              </w:rPr>
              <w:t xml:space="preserve">omps </w:t>
            </w:r>
            <w:r>
              <w:rPr>
                <w:rFonts w:asciiTheme="majorHAnsi" w:hAnsiTheme="majorHAnsi"/>
                <w:bCs/>
                <w:i/>
                <w:sz w:val="18"/>
                <w:szCs w:val="18"/>
              </w:rPr>
              <w:t>4)</w:t>
            </w:r>
          </w:p>
          <w:p w14:paraId="1C6DB226" w14:textId="77777777" w:rsidR="001A76BE" w:rsidRPr="00B378B6" w:rsidRDefault="001A76BE" w:rsidP="00FD6656">
            <w:pPr>
              <w:spacing w:before="20" w:after="20"/>
              <w:rPr>
                <w:rFonts w:asciiTheme="majorHAnsi" w:hAnsiTheme="majorHAnsi"/>
                <w:sz w:val="18"/>
                <w:szCs w:val="18"/>
              </w:rPr>
            </w:pPr>
            <w:r w:rsidRPr="00B378B6">
              <w:rPr>
                <w:rFonts w:asciiTheme="majorHAnsi" w:hAnsiTheme="majorHAnsi"/>
                <w:sz w:val="18"/>
                <w:szCs w:val="18"/>
              </w:rPr>
              <w:t>Enhanced visibility and visualization of project activities and results facilitates cooperation and replication</w:t>
            </w:r>
          </w:p>
          <w:p w14:paraId="37582B9B" w14:textId="77777777" w:rsidR="001A76BE" w:rsidRPr="00B378B6" w:rsidRDefault="001A76BE" w:rsidP="00FD6656">
            <w:pPr>
              <w:spacing w:before="20" w:after="20"/>
              <w:rPr>
                <w:rFonts w:asciiTheme="majorHAnsi" w:hAnsiTheme="majorHAnsi"/>
                <w:b/>
                <w:bCs/>
                <w:sz w:val="18"/>
                <w:szCs w:val="18"/>
              </w:rPr>
            </w:pPr>
          </w:p>
        </w:tc>
        <w:tc>
          <w:tcPr>
            <w:tcW w:w="1867" w:type="dxa"/>
          </w:tcPr>
          <w:p w14:paraId="4C8D9DF1"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bCs/>
                <w:sz w:val="18"/>
                <w:szCs w:val="18"/>
              </w:rPr>
              <w:t xml:space="preserve">% </w:t>
            </w:r>
            <w:proofErr w:type="gramStart"/>
            <w:r w:rsidRPr="00B378B6">
              <w:rPr>
                <w:rFonts w:asciiTheme="majorHAnsi" w:hAnsiTheme="majorHAnsi"/>
                <w:bCs/>
                <w:sz w:val="18"/>
                <w:szCs w:val="18"/>
              </w:rPr>
              <w:t>of</w:t>
            </w:r>
            <w:proofErr w:type="gramEnd"/>
            <w:r w:rsidRPr="00B378B6">
              <w:rPr>
                <w:rFonts w:asciiTheme="majorHAnsi" w:hAnsiTheme="majorHAnsi"/>
                <w:bCs/>
                <w:sz w:val="18"/>
                <w:szCs w:val="18"/>
              </w:rPr>
              <w:t xml:space="preserve"> projects utilising the IW:LEARN Website toolkit or offering a website consistent with IW:LEARN Website Guidelines </w:t>
            </w:r>
          </w:p>
        </w:tc>
        <w:tc>
          <w:tcPr>
            <w:tcW w:w="2127" w:type="dxa"/>
            <w:vMerge/>
          </w:tcPr>
          <w:p w14:paraId="59DC5CC5" w14:textId="77777777" w:rsidR="001A76BE" w:rsidRPr="001A76BE" w:rsidRDefault="001A76BE" w:rsidP="00FD6656">
            <w:pPr>
              <w:spacing w:before="20" w:after="20"/>
              <w:rPr>
                <w:rFonts w:asciiTheme="majorHAnsi" w:hAnsiTheme="majorHAnsi"/>
                <w:bCs/>
                <w:sz w:val="18"/>
                <w:szCs w:val="18"/>
              </w:rPr>
            </w:pPr>
          </w:p>
        </w:tc>
        <w:tc>
          <w:tcPr>
            <w:tcW w:w="2173" w:type="dxa"/>
          </w:tcPr>
          <w:p w14:paraId="6FF10F13" w14:textId="4DE4B40E" w:rsidR="001A76BE" w:rsidRPr="003B0E5B" w:rsidRDefault="001A76BE" w:rsidP="00FD6656">
            <w:pPr>
              <w:spacing w:before="20" w:after="20"/>
              <w:rPr>
                <w:rFonts w:asciiTheme="majorHAnsi" w:hAnsiTheme="majorHAnsi"/>
                <w:bCs/>
                <w:sz w:val="18"/>
                <w:szCs w:val="18"/>
              </w:rPr>
            </w:pPr>
            <w:r w:rsidRPr="003B0E5B">
              <w:rPr>
                <w:rFonts w:asciiTheme="majorHAnsi" w:hAnsiTheme="majorHAnsi"/>
                <w:bCs/>
                <w:sz w:val="18"/>
                <w:szCs w:val="18"/>
              </w:rPr>
              <w:t>75% of projects utilising the IW</w:t>
            </w:r>
            <w:proofErr w:type="gramStart"/>
            <w:r w:rsidRPr="003B0E5B">
              <w:rPr>
                <w:rFonts w:asciiTheme="majorHAnsi" w:hAnsiTheme="majorHAnsi"/>
                <w:bCs/>
                <w:sz w:val="18"/>
                <w:szCs w:val="18"/>
              </w:rPr>
              <w:t>:LEARN</w:t>
            </w:r>
            <w:proofErr w:type="gramEnd"/>
            <w:r w:rsidRPr="003B0E5B">
              <w:rPr>
                <w:rFonts w:asciiTheme="majorHAnsi" w:hAnsiTheme="majorHAnsi"/>
                <w:bCs/>
                <w:sz w:val="18"/>
                <w:szCs w:val="18"/>
              </w:rPr>
              <w:t xml:space="preserve"> Website toolkit or offering a website consistent with IW:LEARN Website Guidelines</w:t>
            </w:r>
          </w:p>
        </w:tc>
        <w:tc>
          <w:tcPr>
            <w:tcW w:w="1936" w:type="dxa"/>
          </w:tcPr>
          <w:p w14:paraId="0DDC34A8" w14:textId="77777777" w:rsidR="001A76BE" w:rsidRPr="00B378B6" w:rsidRDefault="001A76BE" w:rsidP="00FD6656">
            <w:pPr>
              <w:spacing w:before="20" w:after="20"/>
              <w:rPr>
                <w:rFonts w:asciiTheme="majorHAnsi" w:hAnsiTheme="majorHAnsi"/>
                <w:bCs/>
                <w:sz w:val="18"/>
                <w:szCs w:val="18"/>
              </w:rPr>
            </w:pPr>
          </w:p>
        </w:tc>
        <w:tc>
          <w:tcPr>
            <w:tcW w:w="2088" w:type="dxa"/>
          </w:tcPr>
          <w:p w14:paraId="53DCC21C"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cs="Arial"/>
                <w:color w:val="000000"/>
                <w:sz w:val="18"/>
                <w:szCs w:val="18"/>
              </w:rPr>
              <w:t>64% of active GEF IW projects establish a project website according to the IW</w:t>
            </w:r>
            <w:proofErr w:type="gramStart"/>
            <w:r w:rsidRPr="00B378B6">
              <w:rPr>
                <w:rFonts w:asciiTheme="majorHAnsi" w:hAnsiTheme="majorHAnsi" w:cs="Arial"/>
                <w:color w:val="000000"/>
                <w:sz w:val="18"/>
                <w:szCs w:val="18"/>
              </w:rPr>
              <w:t>:LEARN</w:t>
            </w:r>
            <w:proofErr w:type="gramEnd"/>
            <w:r w:rsidRPr="00B378B6">
              <w:rPr>
                <w:rFonts w:asciiTheme="majorHAnsi" w:hAnsiTheme="majorHAnsi" w:cs="Arial"/>
                <w:color w:val="000000"/>
                <w:sz w:val="18"/>
                <w:szCs w:val="18"/>
              </w:rPr>
              <w:t xml:space="preserve"> guidelines  </w:t>
            </w:r>
          </w:p>
        </w:tc>
        <w:tc>
          <w:tcPr>
            <w:tcW w:w="1755" w:type="dxa"/>
          </w:tcPr>
          <w:p w14:paraId="570F8509" w14:textId="4C0A3337" w:rsidR="001A76BE" w:rsidRPr="00B378B6" w:rsidRDefault="001A76BE" w:rsidP="00FD6656">
            <w:pPr>
              <w:spacing w:before="20" w:after="20"/>
              <w:rPr>
                <w:rFonts w:asciiTheme="majorHAnsi" w:hAnsiTheme="majorHAnsi"/>
                <w:bCs/>
                <w:sz w:val="18"/>
                <w:szCs w:val="18"/>
              </w:rPr>
            </w:pPr>
            <w:r>
              <w:rPr>
                <w:rFonts w:asciiTheme="majorHAnsi" w:hAnsiTheme="majorHAnsi"/>
                <w:bCs/>
                <w:sz w:val="18"/>
                <w:szCs w:val="18"/>
              </w:rPr>
              <w:t xml:space="preserve">Good </w:t>
            </w:r>
            <w:proofErr w:type="gramStart"/>
            <w:r>
              <w:rPr>
                <w:rFonts w:asciiTheme="majorHAnsi" w:hAnsiTheme="majorHAnsi"/>
                <w:bCs/>
                <w:sz w:val="18"/>
                <w:szCs w:val="18"/>
              </w:rPr>
              <w:t xml:space="preserve">progress </w:t>
            </w:r>
            <w:r w:rsidRPr="00B378B6">
              <w:rPr>
                <w:rFonts w:asciiTheme="majorHAnsi" w:hAnsiTheme="majorHAnsi"/>
                <w:bCs/>
                <w:sz w:val="18"/>
                <w:szCs w:val="18"/>
              </w:rPr>
              <w:t xml:space="preserve"> </w:t>
            </w:r>
            <w:proofErr w:type="gramEnd"/>
          </w:p>
        </w:tc>
      </w:tr>
      <w:tr w:rsidR="001A76BE" w:rsidRPr="00F869DC" w14:paraId="382A08DC" w14:textId="77777777" w:rsidTr="001A76BE">
        <w:trPr>
          <w:jc w:val="center"/>
        </w:trPr>
        <w:tc>
          <w:tcPr>
            <w:tcW w:w="2210" w:type="dxa"/>
            <w:shd w:val="pct12" w:color="auto" w:fill="auto"/>
          </w:tcPr>
          <w:p w14:paraId="189E9BA7" w14:textId="77777777" w:rsidR="001A76BE" w:rsidRDefault="001A76BE" w:rsidP="00FD6656">
            <w:pPr>
              <w:spacing w:before="20" w:after="20"/>
              <w:rPr>
                <w:rFonts w:asciiTheme="majorHAnsi" w:hAnsiTheme="majorHAnsi"/>
                <w:b/>
                <w:bCs/>
                <w:sz w:val="18"/>
                <w:szCs w:val="18"/>
              </w:rPr>
            </w:pPr>
            <w:r w:rsidRPr="00B378B6">
              <w:rPr>
                <w:rFonts w:asciiTheme="majorHAnsi" w:hAnsiTheme="majorHAnsi"/>
                <w:b/>
                <w:bCs/>
                <w:sz w:val="18"/>
                <w:szCs w:val="18"/>
              </w:rPr>
              <w:t>Outcome 4.3</w:t>
            </w:r>
          </w:p>
          <w:p w14:paraId="62D2DBFD" w14:textId="4E4E7451" w:rsidR="001A76BE" w:rsidRPr="00D87336" w:rsidRDefault="001A76BE" w:rsidP="00FD6656">
            <w:pPr>
              <w:spacing w:before="20" w:after="20"/>
              <w:rPr>
                <w:rFonts w:asciiTheme="majorHAnsi" w:hAnsiTheme="majorHAnsi"/>
                <w:bCs/>
                <w:i/>
                <w:sz w:val="18"/>
                <w:szCs w:val="18"/>
              </w:rPr>
            </w:pPr>
            <w:r w:rsidRPr="00D87336">
              <w:rPr>
                <w:rFonts w:asciiTheme="majorHAnsi" w:hAnsiTheme="majorHAnsi"/>
                <w:bCs/>
                <w:i/>
                <w:sz w:val="18"/>
                <w:szCs w:val="18"/>
              </w:rPr>
              <w:t>(Comp 4)</w:t>
            </w:r>
          </w:p>
          <w:p w14:paraId="17C61F07" w14:textId="77777777" w:rsidR="001A76BE" w:rsidRPr="00B378B6" w:rsidRDefault="001A76BE" w:rsidP="00FD6656">
            <w:pPr>
              <w:spacing w:before="20" w:after="20"/>
              <w:rPr>
                <w:rFonts w:asciiTheme="majorHAnsi" w:hAnsiTheme="majorHAnsi"/>
                <w:sz w:val="18"/>
                <w:szCs w:val="18"/>
              </w:rPr>
            </w:pPr>
            <w:r w:rsidRPr="00B378B6">
              <w:rPr>
                <w:rFonts w:asciiTheme="majorHAnsi" w:hAnsiTheme="majorHAnsi"/>
                <w:sz w:val="18"/>
                <w:szCs w:val="18"/>
              </w:rPr>
              <w:t>Enhanced stakeholder access to data and results from IW projects</w:t>
            </w:r>
          </w:p>
          <w:p w14:paraId="26A0FC5A" w14:textId="77777777" w:rsidR="001A76BE" w:rsidRPr="00B378B6" w:rsidRDefault="001A76BE" w:rsidP="00FD6656">
            <w:pPr>
              <w:spacing w:before="20" w:after="20"/>
              <w:rPr>
                <w:rFonts w:asciiTheme="majorHAnsi" w:hAnsiTheme="majorHAnsi"/>
                <w:sz w:val="18"/>
                <w:szCs w:val="18"/>
              </w:rPr>
            </w:pPr>
          </w:p>
          <w:p w14:paraId="08FDD400" w14:textId="77777777" w:rsidR="001A76BE" w:rsidRPr="00B378B6" w:rsidRDefault="001A76BE" w:rsidP="00FD6656">
            <w:pPr>
              <w:spacing w:before="20" w:after="20"/>
              <w:rPr>
                <w:rFonts w:asciiTheme="majorHAnsi" w:hAnsiTheme="majorHAnsi"/>
                <w:b/>
                <w:bCs/>
                <w:sz w:val="18"/>
                <w:szCs w:val="18"/>
              </w:rPr>
            </w:pPr>
          </w:p>
        </w:tc>
        <w:tc>
          <w:tcPr>
            <w:tcW w:w="1867" w:type="dxa"/>
          </w:tcPr>
          <w:p w14:paraId="0CBACC89"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bCs/>
                <w:sz w:val="18"/>
                <w:szCs w:val="18"/>
              </w:rPr>
              <w:t xml:space="preserve">% </w:t>
            </w:r>
            <w:proofErr w:type="gramStart"/>
            <w:r w:rsidRPr="00B378B6">
              <w:rPr>
                <w:rFonts w:asciiTheme="majorHAnsi" w:hAnsiTheme="majorHAnsi"/>
                <w:bCs/>
                <w:sz w:val="18"/>
                <w:szCs w:val="18"/>
              </w:rPr>
              <w:t>of</w:t>
            </w:r>
            <w:proofErr w:type="gramEnd"/>
            <w:r w:rsidRPr="00B378B6">
              <w:rPr>
                <w:rFonts w:asciiTheme="majorHAnsi" w:hAnsiTheme="majorHAnsi"/>
                <w:bCs/>
                <w:sz w:val="18"/>
                <w:szCs w:val="18"/>
              </w:rPr>
              <w:t xml:space="preserve"> IW projects have current information on project results iwlearn.net</w:t>
            </w:r>
          </w:p>
        </w:tc>
        <w:tc>
          <w:tcPr>
            <w:tcW w:w="2127" w:type="dxa"/>
            <w:vMerge/>
          </w:tcPr>
          <w:p w14:paraId="2549096E" w14:textId="77777777" w:rsidR="001A76BE" w:rsidRPr="001A76BE" w:rsidRDefault="001A76BE" w:rsidP="00FD6656">
            <w:pPr>
              <w:spacing w:before="20" w:after="20"/>
              <w:rPr>
                <w:rFonts w:asciiTheme="majorHAnsi" w:hAnsiTheme="majorHAnsi"/>
                <w:bCs/>
                <w:sz w:val="18"/>
                <w:szCs w:val="18"/>
              </w:rPr>
            </w:pPr>
          </w:p>
        </w:tc>
        <w:tc>
          <w:tcPr>
            <w:tcW w:w="2173" w:type="dxa"/>
          </w:tcPr>
          <w:p w14:paraId="754550A6" w14:textId="75DFC9AE" w:rsidR="001A76BE" w:rsidRPr="003B0E5B" w:rsidRDefault="001A76BE" w:rsidP="00FD6656">
            <w:pPr>
              <w:spacing w:before="20" w:after="20"/>
              <w:rPr>
                <w:rFonts w:asciiTheme="majorHAnsi" w:hAnsiTheme="majorHAnsi"/>
                <w:bCs/>
                <w:sz w:val="18"/>
                <w:szCs w:val="18"/>
              </w:rPr>
            </w:pPr>
            <w:r w:rsidRPr="003B0E5B">
              <w:rPr>
                <w:rFonts w:asciiTheme="majorHAnsi" w:hAnsiTheme="majorHAnsi"/>
                <w:bCs/>
                <w:sz w:val="18"/>
                <w:szCs w:val="18"/>
              </w:rPr>
              <w:t xml:space="preserve">At least 90% of IW projects have current information on project results </w:t>
            </w:r>
            <w:proofErr w:type="gramStart"/>
            <w:r w:rsidRPr="003B0E5B">
              <w:rPr>
                <w:rFonts w:asciiTheme="majorHAnsi" w:hAnsiTheme="majorHAnsi"/>
                <w:bCs/>
                <w:sz w:val="18"/>
                <w:szCs w:val="18"/>
              </w:rPr>
              <w:t>at  iwlearn.net</w:t>
            </w:r>
            <w:proofErr w:type="gramEnd"/>
            <w:r w:rsidRPr="003B0E5B">
              <w:rPr>
                <w:rFonts w:asciiTheme="majorHAnsi" w:hAnsiTheme="majorHAnsi"/>
                <w:bCs/>
                <w:sz w:val="18"/>
                <w:szCs w:val="18"/>
              </w:rPr>
              <w:t xml:space="preserve"> or maintain links to project sites housed elsewhere</w:t>
            </w:r>
          </w:p>
          <w:p w14:paraId="7F33E8F0" w14:textId="77777777" w:rsidR="001A76BE" w:rsidRPr="003B0E5B" w:rsidRDefault="001A76BE" w:rsidP="00FD6656">
            <w:pPr>
              <w:spacing w:before="20" w:after="20"/>
              <w:rPr>
                <w:rFonts w:asciiTheme="majorHAnsi" w:hAnsiTheme="majorHAnsi"/>
                <w:bCs/>
                <w:sz w:val="18"/>
                <w:szCs w:val="18"/>
              </w:rPr>
            </w:pPr>
          </w:p>
        </w:tc>
        <w:tc>
          <w:tcPr>
            <w:tcW w:w="1936" w:type="dxa"/>
          </w:tcPr>
          <w:p w14:paraId="057C2A1D" w14:textId="77777777" w:rsidR="001A76BE" w:rsidRPr="00B378B6" w:rsidRDefault="001A76BE" w:rsidP="00FD6656">
            <w:pPr>
              <w:spacing w:before="20" w:after="20"/>
              <w:rPr>
                <w:rFonts w:asciiTheme="majorHAnsi" w:hAnsiTheme="majorHAnsi"/>
                <w:bCs/>
                <w:sz w:val="18"/>
                <w:szCs w:val="18"/>
              </w:rPr>
            </w:pPr>
          </w:p>
        </w:tc>
        <w:tc>
          <w:tcPr>
            <w:tcW w:w="2088" w:type="dxa"/>
          </w:tcPr>
          <w:p w14:paraId="076855CF" w14:textId="77777777" w:rsidR="001A76BE" w:rsidRPr="00B378B6" w:rsidRDefault="001A76BE" w:rsidP="00FD6656">
            <w:pPr>
              <w:spacing w:before="20" w:after="20"/>
              <w:rPr>
                <w:rFonts w:asciiTheme="majorHAnsi" w:hAnsiTheme="majorHAnsi"/>
                <w:bCs/>
                <w:sz w:val="18"/>
                <w:szCs w:val="18"/>
              </w:rPr>
            </w:pPr>
            <w:r w:rsidRPr="00B378B6">
              <w:rPr>
                <w:rFonts w:asciiTheme="majorHAnsi" w:hAnsiTheme="majorHAnsi"/>
                <w:bCs/>
                <w:sz w:val="18"/>
                <w:szCs w:val="18"/>
              </w:rPr>
              <w:t>45% of IW projects, consisting of both ongoing projects with websites and recently commenced projects have current information in the Project Database.</w:t>
            </w:r>
          </w:p>
        </w:tc>
        <w:tc>
          <w:tcPr>
            <w:tcW w:w="1755" w:type="dxa"/>
          </w:tcPr>
          <w:p w14:paraId="48B08D50" w14:textId="53D50BF5" w:rsidR="001A76BE" w:rsidRPr="00B378B6" w:rsidRDefault="001A76BE" w:rsidP="00FD6656">
            <w:pPr>
              <w:spacing w:before="20" w:after="20"/>
              <w:rPr>
                <w:rFonts w:asciiTheme="majorHAnsi" w:hAnsiTheme="majorHAnsi"/>
                <w:bCs/>
                <w:sz w:val="18"/>
                <w:szCs w:val="18"/>
              </w:rPr>
            </w:pPr>
            <w:r>
              <w:rPr>
                <w:rFonts w:asciiTheme="majorHAnsi" w:hAnsiTheme="majorHAnsi"/>
                <w:bCs/>
                <w:sz w:val="18"/>
                <w:szCs w:val="18"/>
              </w:rPr>
              <w:t xml:space="preserve">Progress but difficulties getting projects to supply required data sets. </w:t>
            </w:r>
            <w:r w:rsidRPr="00B378B6">
              <w:rPr>
                <w:rFonts w:asciiTheme="majorHAnsi" w:hAnsiTheme="majorHAnsi"/>
                <w:bCs/>
                <w:sz w:val="18"/>
                <w:szCs w:val="18"/>
              </w:rPr>
              <w:t xml:space="preserve"> </w:t>
            </w:r>
          </w:p>
        </w:tc>
      </w:tr>
      <w:tr w:rsidR="001A76BE" w:rsidRPr="00F869DC" w14:paraId="7496EB85" w14:textId="77777777" w:rsidTr="001A76BE">
        <w:trPr>
          <w:trHeight w:val="735"/>
          <w:jc w:val="center"/>
        </w:trPr>
        <w:tc>
          <w:tcPr>
            <w:tcW w:w="2210" w:type="dxa"/>
            <w:vMerge w:val="restart"/>
            <w:shd w:val="pct12" w:color="auto" w:fill="auto"/>
          </w:tcPr>
          <w:p w14:paraId="3FA2AEBF" w14:textId="77777777" w:rsidR="001A76BE" w:rsidRDefault="001A76BE" w:rsidP="00FD6656">
            <w:pPr>
              <w:keepNext/>
              <w:keepLines/>
              <w:spacing w:before="20" w:after="20"/>
              <w:rPr>
                <w:rFonts w:asciiTheme="majorHAnsi" w:hAnsiTheme="majorHAnsi"/>
                <w:b/>
                <w:bCs/>
                <w:sz w:val="18"/>
                <w:szCs w:val="18"/>
              </w:rPr>
            </w:pPr>
            <w:r w:rsidRPr="00B378B6">
              <w:rPr>
                <w:rFonts w:asciiTheme="majorHAnsi" w:hAnsiTheme="majorHAnsi"/>
                <w:b/>
                <w:bCs/>
                <w:sz w:val="18"/>
                <w:szCs w:val="18"/>
              </w:rPr>
              <w:t>Outcome 5.1</w:t>
            </w:r>
          </w:p>
          <w:p w14:paraId="32D1277C" w14:textId="1218A6D8" w:rsidR="001A76BE" w:rsidRPr="00B378B6" w:rsidRDefault="001A76BE" w:rsidP="00FD6656">
            <w:pPr>
              <w:keepNext/>
              <w:keepLines/>
              <w:spacing w:before="20" w:after="20"/>
              <w:rPr>
                <w:rFonts w:asciiTheme="majorHAnsi" w:hAnsiTheme="majorHAnsi"/>
                <w:b/>
                <w:bCs/>
                <w:sz w:val="18"/>
                <w:szCs w:val="18"/>
              </w:rPr>
            </w:pPr>
            <w:r>
              <w:rPr>
                <w:rFonts w:asciiTheme="majorHAnsi" w:hAnsiTheme="majorHAnsi"/>
                <w:bCs/>
                <w:i/>
                <w:sz w:val="18"/>
                <w:szCs w:val="18"/>
              </w:rPr>
              <w:t>(</w:t>
            </w:r>
            <w:proofErr w:type="gramStart"/>
            <w:r>
              <w:rPr>
                <w:rFonts w:asciiTheme="majorHAnsi" w:hAnsiTheme="majorHAnsi"/>
                <w:bCs/>
                <w:i/>
                <w:sz w:val="18"/>
                <w:szCs w:val="18"/>
              </w:rPr>
              <w:t>sub</w:t>
            </w:r>
            <w:proofErr w:type="gramEnd"/>
            <w:r>
              <w:rPr>
                <w:rFonts w:asciiTheme="majorHAnsi" w:hAnsiTheme="majorHAnsi"/>
                <w:bCs/>
                <w:i/>
                <w:sz w:val="18"/>
                <w:szCs w:val="18"/>
              </w:rPr>
              <w:t>-comps 5a, 5b, 5c, 5d)</w:t>
            </w:r>
          </w:p>
          <w:p w14:paraId="5F16B285" w14:textId="77777777" w:rsidR="001A76BE" w:rsidRPr="00B378B6" w:rsidRDefault="001A76BE" w:rsidP="00FD6656">
            <w:pPr>
              <w:keepNext/>
              <w:keepLines/>
              <w:spacing w:before="20" w:after="20"/>
              <w:rPr>
                <w:rFonts w:asciiTheme="majorHAnsi" w:hAnsiTheme="majorHAnsi"/>
                <w:bCs/>
                <w:sz w:val="18"/>
                <w:szCs w:val="18"/>
              </w:rPr>
            </w:pPr>
            <w:r w:rsidRPr="00B378B6">
              <w:rPr>
                <w:rFonts w:asciiTheme="majorHAnsi" w:hAnsiTheme="majorHAnsi"/>
                <w:bCs/>
                <w:sz w:val="18"/>
                <w:szCs w:val="18"/>
              </w:rPr>
              <w:t>Improved standardization and harmonization of new GEF methodological approaches as well as results-based management in IW projects to help address new global issues &amp; improve performance, including vulnerability to climatic variability &amp; change in transboundary basins.</w:t>
            </w:r>
          </w:p>
        </w:tc>
        <w:tc>
          <w:tcPr>
            <w:tcW w:w="1867" w:type="dxa"/>
          </w:tcPr>
          <w:p w14:paraId="04CB900E" w14:textId="77777777" w:rsidR="001A76BE" w:rsidRPr="00B378B6" w:rsidRDefault="001A76BE" w:rsidP="00FD6656">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B378B6">
              <w:rPr>
                <w:rFonts w:asciiTheme="majorHAnsi" w:hAnsiTheme="majorHAnsi"/>
                <w:color w:val="000000"/>
                <w:sz w:val="18"/>
                <w:szCs w:val="18"/>
              </w:rPr>
              <w:t>Endorsement of TDA/SAP methodology by GEF IWTF</w:t>
            </w:r>
          </w:p>
        </w:tc>
        <w:tc>
          <w:tcPr>
            <w:tcW w:w="2127" w:type="dxa"/>
            <w:vMerge w:val="restart"/>
          </w:tcPr>
          <w:p w14:paraId="11824D1C" w14:textId="77777777" w:rsidR="001A76BE" w:rsidRPr="001A76BE" w:rsidRDefault="001A76BE" w:rsidP="001A7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proofErr w:type="gramStart"/>
            <w:r w:rsidRPr="001A76BE">
              <w:rPr>
                <w:rFonts w:asciiTheme="majorHAnsi" w:hAnsiTheme="majorHAnsi"/>
                <w:color w:val="000000"/>
                <w:sz w:val="18"/>
                <w:szCs w:val="18"/>
              </w:rPr>
              <w:t>The TDA/SAP methodology and training course will be endorsed by GEF IWTF</w:t>
            </w:r>
            <w:proofErr w:type="gramEnd"/>
            <w:r w:rsidRPr="001A76BE">
              <w:rPr>
                <w:rFonts w:asciiTheme="majorHAnsi" w:hAnsiTheme="majorHAnsi"/>
                <w:color w:val="000000"/>
                <w:sz w:val="18"/>
                <w:szCs w:val="18"/>
              </w:rPr>
              <w:t>. Sustainability will rely on continued support from GEF and the Agencies.</w:t>
            </w:r>
          </w:p>
          <w:p w14:paraId="4ED4D714" w14:textId="77777777" w:rsidR="001A76BE" w:rsidRPr="001A76BE" w:rsidRDefault="001A76BE" w:rsidP="001A7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20"/>
              <w:rPr>
                <w:rFonts w:asciiTheme="majorHAnsi" w:hAnsiTheme="majorHAnsi"/>
                <w:color w:val="000000"/>
                <w:sz w:val="18"/>
                <w:szCs w:val="18"/>
              </w:rPr>
            </w:pPr>
            <w:r w:rsidRPr="001A76BE">
              <w:rPr>
                <w:rFonts w:asciiTheme="majorHAnsi" w:hAnsiTheme="majorHAnsi"/>
                <w:color w:val="000000"/>
                <w:sz w:val="18"/>
                <w:szCs w:val="18"/>
              </w:rPr>
              <w:t>The methodology and training course is perceived as prescriptive. Lack of institutional ownership leads to poor delivery coverage and little further development of the process.</w:t>
            </w:r>
          </w:p>
          <w:p w14:paraId="564C050A" w14:textId="77777777" w:rsidR="001A76BE" w:rsidRPr="001A76BE" w:rsidRDefault="001A76BE" w:rsidP="001A76BE">
            <w:pPr>
              <w:pStyle w:val="Normal1"/>
              <w:spacing w:before="20" w:after="20"/>
              <w:jc w:val="left"/>
              <w:rPr>
                <w:rFonts w:asciiTheme="majorHAnsi" w:hAnsiTheme="majorHAnsi" w:cs="Times New Roman"/>
                <w:sz w:val="18"/>
                <w:szCs w:val="18"/>
              </w:rPr>
            </w:pPr>
            <w:r w:rsidRPr="001A76BE">
              <w:rPr>
                <w:rFonts w:asciiTheme="majorHAnsi" w:hAnsiTheme="majorHAnsi" w:cs="Times New Roman"/>
                <w:sz w:val="18"/>
                <w:szCs w:val="18"/>
              </w:rPr>
              <w:t>Agreement between GEF, Agencies and Projects on Manual contents</w:t>
            </w:r>
          </w:p>
          <w:p w14:paraId="3D6A2441" w14:textId="77777777" w:rsidR="001A76BE" w:rsidRPr="001A76BE" w:rsidRDefault="001A76BE" w:rsidP="001A76BE">
            <w:pPr>
              <w:pStyle w:val="Normal1"/>
              <w:spacing w:before="20" w:after="20"/>
              <w:jc w:val="left"/>
              <w:rPr>
                <w:rFonts w:asciiTheme="majorHAnsi" w:hAnsiTheme="majorHAnsi" w:cs="Times New Roman"/>
                <w:sz w:val="18"/>
                <w:szCs w:val="18"/>
              </w:rPr>
            </w:pPr>
          </w:p>
          <w:p w14:paraId="2BFDA05D" w14:textId="77777777" w:rsidR="001A76BE" w:rsidRPr="001A76BE" w:rsidRDefault="001A76BE" w:rsidP="001A76BE">
            <w:pPr>
              <w:pStyle w:val="Normal1"/>
              <w:spacing w:before="20" w:after="20"/>
              <w:jc w:val="left"/>
              <w:rPr>
                <w:rFonts w:asciiTheme="majorHAnsi" w:hAnsiTheme="majorHAnsi" w:cs="Times New Roman"/>
                <w:sz w:val="18"/>
                <w:szCs w:val="18"/>
              </w:rPr>
            </w:pPr>
            <w:r w:rsidRPr="001A76BE">
              <w:rPr>
                <w:rFonts w:asciiTheme="majorHAnsi" w:hAnsiTheme="majorHAnsi" w:cs="Times New Roman"/>
                <w:sz w:val="18"/>
                <w:szCs w:val="18"/>
              </w:rPr>
              <w:t>Co-operation needed between insurance and financial private sector with IW projects at the transboundary level</w:t>
            </w:r>
          </w:p>
          <w:p w14:paraId="3BFDE5F4" w14:textId="77777777" w:rsidR="001A76BE" w:rsidRPr="001A76BE" w:rsidRDefault="001A76BE" w:rsidP="001A76BE">
            <w:pPr>
              <w:pStyle w:val="Normal1"/>
              <w:spacing w:before="20" w:after="20"/>
              <w:jc w:val="left"/>
              <w:rPr>
                <w:rFonts w:asciiTheme="majorHAnsi" w:hAnsiTheme="majorHAnsi" w:cs="Times New Roman"/>
                <w:sz w:val="18"/>
                <w:szCs w:val="18"/>
              </w:rPr>
            </w:pPr>
            <w:r w:rsidRPr="001A76BE">
              <w:rPr>
                <w:rFonts w:asciiTheme="majorHAnsi" w:hAnsiTheme="majorHAnsi" w:cs="Times New Roman"/>
                <w:sz w:val="18"/>
                <w:szCs w:val="18"/>
              </w:rPr>
              <w:t>An agreed synthesis of current best practices can be prepared and accepted by experts/IWTF</w:t>
            </w:r>
          </w:p>
          <w:p w14:paraId="166B9723" w14:textId="77777777" w:rsidR="001A76BE" w:rsidRPr="001A76BE" w:rsidRDefault="001A76BE" w:rsidP="001A76BE">
            <w:pPr>
              <w:spacing w:before="20" w:after="20"/>
              <w:rPr>
                <w:rFonts w:asciiTheme="majorHAnsi" w:hAnsiTheme="majorHAnsi"/>
                <w:sz w:val="18"/>
                <w:szCs w:val="18"/>
              </w:rPr>
            </w:pPr>
            <w:r w:rsidRPr="001A76BE">
              <w:rPr>
                <w:rFonts w:asciiTheme="majorHAnsi" w:hAnsiTheme="majorHAnsi"/>
                <w:sz w:val="18"/>
                <w:szCs w:val="18"/>
              </w:rPr>
              <w:t>Projects and private sector are willing to participate in preparing guidance</w:t>
            </w:r>
          </w:p>
          <w:p w14:paraId="3891D6DB" w14:textId="77777777" w:rsidR="001A76BE" w:rsidRPr="001A76BE" w:rsidRDefault="001A76BE" w:rsidP="001A76BE">
            <w:pPr>
              <w:spacing w:before="20" w:after="20"/>
              <w:rPr>
                <w:rFonts w:asciiTheme="majorHAnsi" w:hAnsiTheme="majorHAnsi"/>
                <w:sz w:val="18"/>
                <w:szCs w:val="18"/>
              </w:rPr>
            </w:pPr>
          </w:p>
          <w:p w14:paraId="35551FD7" w14:textId="4DEC71CA" w:rsidR="001A76BE" w:rsidRPr="001A76BE" w:rsidRDefault="001A76BE" w:rsidP="001A76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1A76BE">
              <w:rPr>
                <w:rFonts w:asciiTheme="majorHAnsi" w:hAnsiTheme="majorHAnsi"/>
                <w:sz w:val="18"/>
                <w:szCs w:val="18"/>
              </w:rPr>
              <w:t>Private sector values involvement with GEF projects</w:t>
            </w:r>
          </w:p>
        </w:tc>
        <w:tc>
          <w:tcPr>
            <w:tcW w:w="2173" w:type="dxa"/>
          </w:tcPr>
          <w:p w14:paraId="1062269B" w14:textId="7DFB861E" w:rsidR="001A76BE" w:rsidRPr="003B0E5B"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3B0E5B">
              <w:rPr>
                <w:rFonts w:asciiTheme="majorHAnsi" w:hAnsiTheme="majorHAnsi"/>
                <w:color w:val="000000"/>
                <w:sz w:val="18"/>
                <w:szCs w:val="18"/>
              </w:rPr>
              <w:t>GEF IWTF endorsement</w:t>
            </w:r>
          </w:p>
          <w:p w14:paraId="206FC0A8" w14:textId="77777777" w:rsidR="001A76BE" w:rsidRPr="003B0E5B"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p>
        </w:tc>
        <w:tc>
          <w:tcPr>
            <w:tcW w:w="1936" w:type="dxa"/>
          </w:tcPr>
          <w:p w14:paraId="7A3EB748" w14:textId="77777777" w:rsidR="001A76BE" w:rsidRPr="00B378B6"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p>
        </w:tc>
        <w:tc>
          <w:tcPr>
            <w:tcW w:w="2088" w:type="dxa"/>
          </w:tcPr>
          <w:p w14:paraId="530A4595" w14:textId="2F38AA25" w:rsidR="001A76BE" w:rsidRPr="00B378B6"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Pr>
                <w:rFonts w:asciiTheme="majorHAnsi" w:hAnsiTheme="majorHAnsi"/>
                <w:color w:val="000000"/>
                <w:sz w:val="18"/>
                <w:szCs w:val="18"/>
              </w:rPr>
              <w:t xml:space="preserve">TDA/SAP draft online and GEF comments to be incorporated </w:t>
            </w:r>
          </w:p>
        </w:tc>
        <w:tc>
          <w:tcPr>
            <w:tcW w:w="1755" w:type="dxa"/>
          </w:tcPr>
          <w:p w14:paraId="4C1C4BDB" w14:textId="6FDE1005" w:rsidR="001A76BE" w:rsidRPr="00B378B6"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B378B6">
              <w:rPr>
                <w:rFonts w:asciiTheme="majorHAnsi" w:hAnsiTheme="majorHAnsi"/>
                <w:color w:val="000000"/>
                <w:sz w:val="18"/>
                <w:szCs w:val="18"/>
              </w:rPr>
              <w:t xml:space="preserve"> </w:t>
            </w:r>
            <w:r>
              <w:rPr>
                <w:rFonts w:asciiTheme="majorHAnsi" w:hAnsiTheme="majorHAnsi"/>
                <w:color w:val="000000"/>
                <w:sz w:val="18"/>
                <w:szCs w:val="18"/>
              </w:rPr>
              <w:t xml:space="preserve">Good progress </w:t>
            </w:r>
          </w:p>
        </w:tc>
      </w:tr>
      <w:tr w:rsidR="001A76BE" w:rsidRPr="00F869DC" w14:paraId="33F84687" w14:textId="77777777" w:rsidTr="001A76BE">
        <w:trPr>
          <w:trHeight w:val="1128"/>
          <w:jc w:val="center"/>
        </w:trPr>
        <w:tc>
          <w:tcPr>
            <w:tcW w:w="2210" w:type="dxa"/>
            <w:vMerge/>
            <w:shd w:val="pct12" w:color="auto" w:fill="auto"/>
          </w:tcPr>
          <w:p w14:paraId="5CD63AC9" w14:textId="77777777" w:rsidR="001A76BE" w:rsidRPr="00B378B6" w:rsidRDefault="001A76BE" w:rsidP="00FD6656">
            <w:pPr>
              <w:keepNext/>
              <w:keepLines/>
              <w:spacing w:before="20" w:after="20"/>
              <w:rPr>
                <w:rFonts w:asciiTheme="majorHAnsi" w:hAnsiTheme="majorHAnsi"/>
                <w:b/>
                <w:bCs/>
                <w:sz w:val="18"/>
                <w:szCs w:val="18"/>
              </w:rPr>
            </w:pPr>
          </w:p>
        </w:tc>
        <w:tc>
          <w:tcPr>
            <w:tcW w:w="1867" w:type="dxa"/>
            <w:tcBorders>
              <w:bottom w:val="single" w:sz="4" w:space="0" w:color="auto"/>
            </w:tcBorders>
          </w:tcPr>
          <w:p w14:paraId="219A1966" w14:textId="77777777" w:rsidR="001A76BE" w:rsidRPr="00B378B6" w:rsidRDefault="001A76BE" w:rsidP="00FD6656">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B378B6">
              <w:rPr>
                <w:rFonts w:asciiTheme="majorHAnsi" w:hAnsiTheme="majorHAnsi"/>
                <w:color w:val="000000"/>
                <w:sz w:val="18"/>
                <w:szCs w:val="18"/>
              </w:rPr>
              <w:t xml:space="preserve">Number of IW projects utilizing new methodology </w:t>
            </w:r>
          </w:p>
        </w:tc>
        <w:tc>
          <w:tcPr>
            <w:tcW w:w="2127" w:type="dxa"/>
            <w:vMerge/>
          </w:tcPr>
          <w:p w14:paraId="01BDB163" w14:textId="77777777" w:rsidR="001A76BE" w:rsidRPr="001A76BE"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p>
        </w:tc>
        <w:tc>
          <w:tcPr>
            <w:tcW w:w="2173" w:type="dxa"/>
            <w:tcBorders>
              <w:bottom w:val="single" w:sz="4" w:space="0" w:color="auto"/>
            </w:tcBorders>
          </w:tcPr>
          <w:p w14:paraId="2FCD1281" w14:textId="1DB34729" w:rsidR="001A76BE" w:rsidRPr="003B0E5B"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3B0E5B">
              <w:rPr>
                <w:rFonts w:asciiTheme="majorHAnsi" w:hAnsiTheme="majorHAnsi"/>
                <w:color w:val="000000"/>
                <w:sz w:val="18"/>
                <w:szCs w:val="18"/>
              </w:rPr>
              <w:t>5 new projects utilize the new methodology by end of project</w:t>
            </w:r>
          </w:p>
        </w:tc>
        <w:tc>
          <w:tcPr>
            <w:tcW w:w="1936" w:type="dxa"/>
            <w:tcBorders>
              <w:bottom w:val="single" w:sz="4" w:space="0" w:color="auto"/>
            </w:tcBorders>
          </w:tcPr>
          <w:p w14:paraId="694BBE65" w14:textId="77777777" w:rsidR="001A76BE" w:rsidRPr="00B378B6"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p>
        </w:tc>
        <w:tc>
          <w:tcPr>
            <w:tcW w:w="2088" w:type="dxa"/>
            <w:tcBorders>
              <w:bottom w:val="single" w:sz="4" w:space="0" w:color="auto"/>
            </w:tcBorders>
          </w:tcPr>
          <w:p w14:paraId="19D4193D" w14:textId="77777777" w:rsidR="001A76BE" w:rsidRPr="00B378B6"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B378B6">
              <w:rPr>
                <w:rFonts w:asciiTheme="majorHAnsi" w:hAnsiTheme="majorHAnsi" w:cs="Arial"/>
                <w:sz w:val="18"/>
                <w:szCs w:val="18"/>
              </w:rPr>
              <w:t>5 projects using the new methodology (Kura, Humboldt, CLME, Baikal, Amazon)</w:t>
            </w:r>
          </w:p>
        </w:tc>
        <w:tc>
          <w:tcPr>
            <w:tcW w:w="1755" w:type="dxa"/>
            <w:tcBorders>
              <w:bottom w:val="single" w:sz="4" w:space="0" w:color="auto"/>
            </w:tcBorders>
          </w:tcPr>
          <w:p w14:paraId="78D8E5E4" w14:textId="02EA00D4" w:rsidR="001A76BE" w:rsidRPr="00B378B6" w:rsidRDefault="001A76BE" w:rsidP="00FD66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0" w:after="20"/>
              <w:rPr>
                <w:rFonts w:asciiTheme="majorHAnsi" w:hAnsiTheme="majorHAnsi"/>
                <w:color w:val="000000"/>
                <w:sz w:val="18"/>
                <w:szCs w:val="18"/>
              </w:rPr>
            </w:pPr>
            <w:r>
              <w:rPr>
                <w:rFonts w:asciiTheme="majorHAnsi" w:hAnsiTheme="majorHAnsi"/>
                <w:color w:val="000000"/>
                <w:sz w:val="18"/>
                <w:szCs w:val="18"/>
              </w:rPr>
              <w:t xml:space="preserve">Good progress </w:t>
            </w:r>
          </w:p>
        </w:tc>
      </w:tr>
      <w:tr w:rsidR="001A76BE" w:rsidRPr="00F869DC" w14:paraId="13F5C824" w14:textId="77777777" w:rsidTr="001A76BE">
        <w:trPr>
          <w:trHeight w:val="630"/>
          <w:jc w:val="center"/>
        </w:trPr>
        <w:tc>
          <w:tcPr>
            <w:tcW w:w="2210" w:type="dxa"/>
            <w:vMerge/>
            <w:shd w:val="pct12" w:color="auto" w:fill="auto"/>
          </w:tcPr>
          <w:p w14:paraId="56B675B2" w14:textId="77777777" w:rsidR="001A76BE" w:rsidRPr="00B378B6" w:rsidRDefault="001A76BE" w:rsidP="00FD6656">
            <w:pPr>
              <w:keepNext/>
              <w:keepLines/>
              <w:spacing w:before="20" w:after="20"/>
              <w:rPr>
                <w:rFonts w:asciiTheme="majorHAnsi" w:hAnsiTheme="majorHAnsi"/>
                <w:b/>
                <w:bCs/>
                <w:sz w:val="18"/>
                <w:szCs w:val="18"/>
              </w:rPr>
            </w:pPr>
          </w:p>
        </w:tc>
        <w:tc>
          <w:tcPr>
            <w:tcW w:w="1867" w:type="dxa"/>
            <w:tcBorders>
              <w:top w:val="single" w:sz="4" w:space="0" w:color="auto"/>
              <w:bottom w:val="single" w:sz="4" w:space="0" w:color="auto"/>
            </w:tcBorders>
          </w:tcPr>
          <w:p w14:paraId="30CE0089" w14:textId="77777777" w:rsidR="001A76BE" w:rsidRPr="00B378B6" w:rsidRDefault="001A76BE" w:rsidP="00FD6656">
            <w:pPr>
              <w:pStyle w:val="Normal1"/>
              <w:keepNext/>
              <w:keepLines/>
              <w:spacing w:before="20" w:after="20"/>
              <w:jc w:val="left"/>
              <w:rPr>
                <w:rFonts w:asciiTheme="majorHAnsi" w:hAnsiTheme="majorHAnsi" w:cs="Times New Roman"/>
                <w:sz w:val="18"/>
                <w:szCs w:val="18"/>
              </w:rPr>
            </w:pPr>
            <w:r w:rsidRPr="00B378B6">
              <w:rPr>
                <w:rFonts w:asciiTheme="majorHAnsi" w:hAnsiTheme="majorHAnsi" w:cs="Times New Roman"/>
                <w:sz w:val="18"/>
                <w:szCs w:val="18"/>
              </w:rPr>
              <w:t>Number of CTAs/PMs using the manual</w:t>
            </w:r>
          </w:p>
        </w:tc>
        <w:tc>
          <w:tcPr>
            <w:tcW w:w="2127" w:type="dxa"/>
            <w:vMerge/>
          </w:tcPr>
          <w:p w14:paraId="01A74F06" w14:textId="77777777" w:rsidR="001A76BE" w:rsidRPr="001A76BE" w:rsidRDefault="001A76BE" w:rsidP="00FD6656">
            <w:pPr>
              <w:pStyle w:val="Normal1"/>
              <w:spacing w:before="20" w:after="20"/>
              <w:jc w:val="left"/>
              <w:rPr>
                <w:rFonts w:asciiTheme="majorHAnsi" w:hAnsiTheme="majorHAnsi" w:cs="Times New Roman"/>
                <w:sz w:val="18"/>
                <w:szCs w:val="18"/>
              </w:rPr>
            </w:pPr>
          </w:p>
        </w:tc>
        <w:tc>
          <w:tcPr>
            <w:tcW w:w="2173" w:type="dxa"/>
            <w:tcBorders>
              <w:top w:val="single" w:sz="4" w:space="0" w:color="auto"/>
            </w:tcBorders>
          </w:tcPr>
          <w:p w14:paraId="69F75D8F" w14:textId="654ACCFF" w:rsidR="001A76BE" w:rsidRPr="00192F91" w:rsidRDefault="001A76BE" w:rsidP="00FD6656">
            <w:pPr>
              <w:pStyle w:val="Normal1"/>
              <w:spacing w:before="20" w:after="20"/>
              <w:jc w:val="left"/>
              <w:rPr>
                <w:rFonts w:asciiTheme="majorHAnsi" w:hAnsiTheme="majorHAnsi" w:cs="Times New Roman"/>
                <w:sz w:val="18"/>
                <w:szCs w:val="18"/>
              </w:rPr>
            </w:pPr>
            <w:r w:rsidRPr="00192F91">
              <w:rPr>
                <w:rFonts w:asciiTheme="majorHAnsi" w:hAnsiTheme="majorHAnsi" w:cs="Times New Roman"/>
                <w:sz w:val="18"/>
                <w:szCs w:val="18"/>
              </w:rPr>
              <w:t>50% CTAs/PM using the manual</w:t>
            </w:r>
          </w:p>
        </w:tc>
        <w:tc>
          <w:tcPr>
            <w:tcW w:w="1936" w:type="dxa"/>
            <w:tcBorders>
              <w:top w:val="single" w:sz="4" w:space="0" w:color="auto"/>
            </w:tcBorders>
          </w:tcPr>
          <w:p w14:paraId="51CD3654" w14:textId="77777777" w:rsidR="001A76BE" w:rsidRPr="00B378B6" w:rsidRDefault="001A76BE"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10% CTAs/PM have taken online Test on Manual </w:t>
            </w:r>
            <w:proofErr w:type="gramStart"/>
            <w:r w:rsidRPr="00B378B6">
              <w:rPr>
                <w:rFonts w:asciiTheme="majorHAnsi" w:hAnsiTheme="majorHAnsi" w:cs="Times New Roman"/>
                <w:sz w:val="18"/>
                <w:szCs w:val="18"/>
              </w:rPr>
              <w:t xml:space="preserve">content  </w:t>
            </w:r>
            <w:proofErr w:type="gramEnd"/>
          </w:p>
        </w:tc>
        <w:tc>
          <w:tcPr>
            <w:tcW w:w="2088" w:type="dxa"/>
            <w:tcBorders>
              <w:top w:val="single" w:sz="4" w:space="0" w:color="auto"/>
            </w:tcBorders>
          </w:tcPr>
          <w:p w14:paraId="3DBF18B3" w14:textId="637AC0FA" w:rsidR="001A76BE" w:rsidRPr="00B378B6" w:rsidRDefault="001A76BE" w:rsidP="003B0E5B">
            <w:pPr>
              <w:pStyle w:val="Normal1"/>
              <w:spacing w:before="20" w:after="20"/>
              <w:jc w:val="left"/>
              <w:rPr>
                <w:rFonts w:asciiTheme="majorHAnsi" w:hAnsiTheme="majorHAnsi"/>
                <w:color w:val="000000"/>
                <w:sz w:val="18"/>
                <w:szCs w:val="18"/>
              </w:rPr>
            </w:pPr>
            <w:r w:rsidRPr="00B378B6">
              <w:rPr>
                <w:rFonts w:asciiTheme="majorHAnsi" w:hAnsiTheme="majorHAnsi"/>
                <w:color w:val="000000"/>
                <w:sz w:val="18"/>
                <w:szCs w:val="18"/>
              </w:rPr>
              <w:t>Too early to determine</w:t>
            </w:r>
          </w:p>
        </w:tc>
        <w:tc>
          <w:tcPr>
            <w:tcW w:w="1755" w:type="dxa"/>
            <w:tcBorders>
              <w:top w:val="single" w:sz="4" w:space="0" w:color="auto"/>
            </w:tcBorders>
          </w:tcPr>
          <w:p w14:paraId="5185C57A" w14:textId="51C780D3" w:rsidR="001A76BE" w:rsidRPr="003B0E5B" w:rsidRDefault="001A76BE" w:rsidP="003B0E5B">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All PMs should be expected to review the manual and be consulting the manual at regular intervals to enhance harmonization of approach and full </w:t>
            </w:r>
            <w:r w:rsidR="00E22628" w:rsidRPr="00B378B6">
              <w:rPr>
                <w:rFonts w:asciiTheme="majorHAnsi" w:hAnsiTheme="majorHAnsi" w:cs="Times New Roman"/>
                <w:sz w:val="18"/>
                <w:szCs w:val="18"/>
              </w:rPr>
              <w:t>utilization</w:t>
            </w:r>
            <w:r w:rsidRPr="00B378B6">
              <w:rPr>
                <w:rFonts w:asciiTheme="majorHAnsi" w:hAnsiTheme="majorHAnsi" w:cs="Times New Roman"/>
                <w:sz w:val="18"/>
                <w:szCs w:val="18"/>
              </w:rPr>
              <w:t xml:space="preserve"> of lessons. </w:t>
            </w:r>
          </w:p>
        </w:tc>
      </w:tr>
      <w:tr w:rsidR="001A76BE" w:rsidRPr="00F869DC" w14:paraId="0E06A93E" w14:textId="77777777" w:rsidTr="001A76BE">
        <w:trPr>
          <w:trHeight w:val="153"/>
          <w:jc w:val="center"/>
        </w:trPr>
        <w:tc>
          <w:tcPr>
            <w:tcW w:w="2210" w:type="dxa"/>
            <w:vMerge/>
            <w:shd w:val="pct12" w:color="auto" w:fill="auto"/>
          </w:tcPr>
          <w:p w14:paraId="570BD95B" w14:textId="77777777" w:rsidR="001A76BE" w:rsidRPr="00B378B6" w:rsidRDefault="001A76BE" w:rsidP="00FD6656">
            <w:pPr>
              <w:keepNext/>
              <w:keepLines/>
              <w:spacing w:before="20" w:after="20"/>
              <w:rPr>
                <w:rFonts w:asciiTheme="majorHAnsi" w:hAnsiTheme="majorHAnsi"/>
                <w:b/>
                <w:bCs/>
                <w:sz w:val="18"/>
                <w:szCs w:val="18"/>
              </w:rPr>
            </w:pPr>
          </w:p>
        </w:tc>
        <w:tc>
          <w:tcPr>
            <w:tcW w:w="1867" w:type="dxa"/>
            <w:tcBorders>
              <w:top w:val="single" w:sz="4" w:space="0" w:color="auto"/>
              <w:bottom w:val="single" w:sz="4" w:space="0" w:color="auto"/>
            </w:tcBorders>
          </w:tcPr>
          <w:p w14:paraId="7C9E4E73" w14:textId="77777777" w:rsidR="001A76BE" w:rsidRPr="00D87336" w:rsidRDefault="001A76BE" w:rsidP="00FD6656">
            <w:pPr>
              <w:pStyle w:val="Normal1"/>
              <w:keepNext/>
              <w:keepLines/>
              <w:spacing w:before="20" w:after="20"/>
              <w:jc w:val="left"/>
              <w:rPr>
                <w:rFonts w:asciiTheme="majorHAnsi" w:hAnsiTheme="majorHAnsi" w:cs="Times New Roman"/>
                <w:strike/>
                <w:sz w:val="18"/>
                <w:szCs w:val="18"/>
              </w:rPr>
            </w:pPr>
            <w:r w:rsidRPr="00D87336">
              <w:rPr>
                <w:rFonts w:asciiTheme="majorHAnsi" w:hAnsiTheme="majorHAnsi" w:cs="Times New Roman"/>
                <w:strike/>
                <w:sz w:val="18"/>
                <w:szCs w:val="18"/>
              </w:rPr>
              <w:t>IW project start up time reduced</w:t>
            </w:r>
          </w:p>
        </w:tc>
        <w:tc>
          <w:tcPr>
            <w:tcW w:w="2127" w:type="dxa"/>
            <w:vMerge/>
          </w:tcPr>
          <w:p w14:paraId="3731B28F" w14:textId="77777777" w:rsidR="001A76BE" w:rsidRPr="001A76BE" w:rsidRDefault="001A76BE" w:rsidP="00FD6656">
            <w:pPr>
              <w:pStyle w:val="Normal1"/>
              <w:spacing w:before="20" w:after="20"/>
              <w:jc w:val="left"/>
              <w:rPr>
                <w:rFonts w:asciiTheme="majorHAnsi" w:hAnsiTheme="majorHAnsi" w:cs="Times New Roman"/>
                <w:strike/>
                <w:sz w:val="18"/>
                <w:szCs w:val="18"/>
              </w:rPr>
            </w:pPr>
          </w:p>
        </w:tc>
        <w:tc>
          <w:tcPr>
            <w:tcW w:w="2173" w:type="dxa"/>
            <w:tcBorders>
              <w:bottom w:val="single" w:sz="4" w:space="0" w:color="auto"/>
            </w:tcBorders>
          </w:tcPr>
          <w:p w14:paraId="60347C2D" w14:textId="0A8F5161" w:rsidR="001A76BE" w:rsidRPr="00192F91" w:rsidRDefault="001A76BE" w:rsidP="00FD6656">
            <w:pPr>
              <w:pStyle w:val="Normal1"/>
              <w:spacing w:before="20" w:after="20"/>
              <w:jc w:val="left"/>
              <w:rPr>
                <w:rFonts w:asciiTheme="majorHAnsi" w:hAnsiTheme="majorHAnsi" w:cs="Times New Roman"/>
                <w:strike/>
                <w:sz w:val="18"/>
                <w:szCs w:val="18"/>
              </w:rPr>
            </w:pPr>
            <w:r w:rsidRPr="00192F91">
              <w:rPr>
                <w:rFonts w:asciiTheme="majorHAnsi" w:hAnsiTheme="majorHAnsi" w:cs="Times New Roman"/>
                <w:strike/>
                <w:sz w:val="18"/>
                <w:szCs w:val="18"/>
              </w:rPr>
              <w:t>Start-up phase of projects take 50% less time</w:t>
            </w:r>
          </w:p>
        </w:tc>
        <w:tc>
          <w:tcPr>
            <w:tcW w:w="1936" w:type="dxa"/>
            <w:tcBorders>
              <w:bottom w:val="single" w:sz="4" w:space="0" w:color="auto"/>
            </w:tcBorders>
          </w:tcPr>
          <w:p w14:paraId="588CA17D" w14:textId="5EA199CC" w:rsidR="001A76BE" w:rsidRPr="00B378B6" w:rsidRDefault="001A76BE" w:rsidP="003B0E5B">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 </w:t>
            </w:r>
            <w:r>
              <w:rPr>
                <w:rFonts w:asciiTheme="majorHAnsi" w:hAnsiTheme="majorHAnsi" w:cs="Times New Roman"/>
                <w:sz w:val="18"/>
                <w:szCs w:val="18"/>
              </w:rPr>
              <w:t>None</w:t>
            </w:r>
          </w:p>
        </w:tc>
        <w:tc>
          <w:tcPr>
            <w:tcW w:w="2088" w:type="dxa"/>
            <w:tcBorders>
              <w:bottom w:val="single" w:sz="4" w:space="0" w:color="auto"/>
            </w:tcBorders>
          </w:tcPr>
          <w:p w14:paraId="261C1BC4" w14:textId="6DEB2BC3" w:rsidR="001A76BE" w:rsidRPr="00B378B6" w:rsidRDefault="001A76BE" w:rsidP="00FD6656">
            <w:pPr>
              <w:widowControl w:val="0"/>
              <w:tabs>
                <w:tab w:val="left" w:pos="-11575"/>
                <w:tab w:val="left" w:pos="-11485"/>
                <w:tab w:val="left" w:pos="-11395"/>
                <w:tab w:val="left" w:pos="5600"/>
                <w:tab w:val="left" w:pos="6160"/>
                <w:tab w:val="left" w:pos="6720"/>
              </w:tabs>
              <w:autoSpaceDE w:val="0"/>
              <w:autoSpaceDN w:val="0"/>
              <w:adjustRightInd w:val="0"/>
              <w:spacing w:before="20" w:after="20"/>
              <w:rPr>
                <w:rFonts w:asciiTheme="majorHAnsi" w:eastAsia="Times New Roman" w:hAnsiTheme="majorHAnsi"/>
                <w:sz w:val="18"/>
                <w:szCs w:val="18"/>
              </w:rPr>
            </w:pPr>
          </w:p>
        </w:tc>
        <w:tc>
          <w:tcPr>
            <w:tcW w:w="1755" w:type="dxa"/>
            <w:tcBorders>
              <w:bottom w:val="single" w:sz="4" w:space="0" w:color="auto"/>
            </w:tcBorders>
          </w:tcPr>
          <w:p w14:paraId="55FE7177" w14:textId="77777777" w:rsidR="001A76BE" w:rsidRDefault="001A76BE" w:rsidP="0026018F">
            <w:pPr>
              <w:pStyle w:val="Normal1"/>
              <w:spacing w:before="20" w:after="20"/>
              <w:jc w:val="left"/>
              <w:rPr>
                <w:rFonts w:asciiTheme="majorHAnsi" w:hAnsiTheme="majorHAnsi"/>
                <w:sz w:val="18"/>
                <w:szCs w:val="18"/>
              </w:rPr>
            </w:pPr>
            <w:r w:rsidRPr="00B378B6">
              <w:rPr>
                <w:rFonts w:asciiTheme="majorHAnsi" w:hAnsiTheme="majorHAnsi" w:cs="Times New Roman"/>
                <w:sz w:val="18"/>
                <w:szCs w:val="18"/>
              </w:rPr>
              <w:t>Remove this indicator</w:t>
            </w:r>
          </w:p>
          <w:p w14:paraId="1F620280" w14:textId="1D53C73C" w:rsidR="001A76BE" w:rsidRPr="00B378B6" w:rsidRDefault="001A76BE" w:rsidP="0026018F">
            <w:pPr>
              <w:widowControl w:val="0"/>
              <w:tabs>
                <w:tab w:val="left" w:pos="-11575"/>
                <w:tab w:val="left" w:pos="-11485"/>
                <w:tab w:val="left" w:pos="-11395"/>
                <w:tab w:val="left" w:pos="5600"/>
                <w:tab w:val="left" w:pos="6160"/>
                <w:tab w:val="left" w:pos="6720"/>
              </w:tabs>
              <w:autoSpaceDE w:val="0"/>
              <w:autoSpaceDN w:val="0"/>
              <w:adjustRightInd w:val="0"/>
              <w:spacing w:before="20" w:after="20"/>
              <w:rPr>
                <w:rFonts w:asciiTheme="majorHAnsi" w:hAnsiTheme="majorHAnsi"/>
                <w:color w:val="000000"/>
                <w:sz w:val="18"/>
                <w:szCs w:val="18"/>
              </w:rPr>
            </w:pPr>
            <w:r w:rsidRPr="00B378B6">
              <w:rPr>
                <w:rFonts w:asciiTheme="majorHAnsi" w:hAnsiTheme="majorHAnsi"/>
                <w:sz w:val="18"/>
                <w:szCs w:val="18"/>
              </w:rPr>
              <w:t>Does not address the Outcome in any meaningful way.</w:t>
            </w:r>
          </w:p>
        </w:tc>
      </w:tr>
      <w:tr w:rsidR="001A76BE" w:rsidRPr="00F869DC" w14:paraId="50581C76" w14:textId="77777777" w:rsidTr="001A76BE">
        <w:trPr>
          <w:jc w:val="center"/>
        </w:trPr>
        <w:tc>
          <w:tcPr>
            <w:tcW w:w="2210" w:type="dxa"/>
            <w:vMerge/>
            <w:shd w:val="pct12" w:color="auto" w:fill="auto"/>
          </w:tcPr>
          <w:p w14:paraId="3097609A" w14:textId="77777777" w:rsidR="001A76BE" w:rsidRPr="00B378B6" w:rsidRDefault="001A76BE" w:rsidP="00FD6656">
            <w:pPr>
              <w:spacing w:before="20" w:after="20"/>
              <w:rPr>
                <w:rFonts w:asciiTheme="majorHAnsi" w:hAnsiTheme="majorHAnsi"/>
                <w:b/>
                <w:bCs/>
                <w:sz w:val="18"/>
                <w:szCs w:val="18"/>
              </w:rPr>
            </w:pPr>
          </w:p>
        </w:tc>
        <w:tc>
          <w:tcPr>
            <w:tcW w:w="1867" w:type="dxa"/>
            <w:tcBorders>
              <w:top w:val="single" w:sz="4" w:space="0" w:color="auto"/>
              <w:bottom w:val="single" w:sz="4" w:space="0" w:color="auto"/>
            </w:tcBorders>
          </w:tcPr>
          <w:p w14:paraId="3A61CCD0" w14:textId="77777777" w:rsidR="001A76BE" w:rsidRPr="00D87336" w:rsidRDefault="001A76BE" w:rsidP="00FD6656">
            <w:pPr>
              <w:pStyle w:val="Normal1"/>
              <w:spacing w:before="20" w:after="20"/>
              <w:jc w:val="left"/>
              <w:rPr>
                <w:rFonts w:asciiTheme="majorHAnsi" w:hAnsiTheme="majorHAnsi" w:cs="Times New Roman"/>
                <w:strike/>
                <w:sz w:val="18"/>
                <w:szCs w:val="18"/>
              </w:rPr>
            </w:pPr>
            <w:r w:rsidRPr="00D87336">
              <w:rPr>
                <w:rFonts w:asciiTheme="majorHAnsi" w:hAnsiTheme="majorHAnsi" w:cs="Times New Roman"/>
                <w:strike/>
                <w:sz w:val="18"/>
                <w:szCs w:val="18"/>
              </w:rPr>
              <w:t>Majority of project stakeholders accept index-insurance methodology</w:t>
            </w:r>
          </w:p>
          <w:p w14:paraId="54FB0B5F" w14:textId="77777777" w:rsidR="001A76BE" w:rsidRPr="00D87336" w:rsidRDefault="001A76BE" w:rsidP="00FD6656">
            <w:pPr>
              <w:pStyle w:val="Normal1"/>
              <w:spacing w:before="20" w:after="20"/>
              <w:jc w:val="left"/>
              <w:rPr>
                <w:rFonts w:asciiTheme="majorHAnsi" w:hAnsiTheme="majorHAnsi" w:cs="Times New Roman"/>
                <w:strike/>
                <w:sz w:val="18"/>
                <w:szCs w:val="18"/>
              </w:rPr>
            </w:pPr>
            <w:r w:rsidRPr="00D87336">
              <w:rPr>
                <w:rFonts w:asciiTheme="majorHAnsi" w:hAnsiTheme="majorHAnsi" w:cs="Times New Roman"/>
                <w:strike/>
                <w:sz w:val="18"/>
                <w:szCs w:val="18"/>
              </w:rPr>
              <w:t>Number of IW projects using approach</w:t>
            </w:r>
          </w:p>
        </w:tc>
        <w:tc>
          <w:tcPr>
            <w:tcW w:w="2127" w:type="dxa"/>
            <w:vMerge/>
          </w:tcPr>
          <w:p w14:paraId="5ED5F3C4" w14:textId="77777777" w:rsidR="001A76BE" w:rsidRPr="001A76BE" w:rsidRDefault="001A76BE" w:rsidP="00FD6656">
            <w:pPr>
              <w:pStyle w:val="Normal1"/>
              <w:spacing w:before="20" w:after="20"/>
              <w:jc w:val="left"/>
              <w:rPr>
                <w:rFonts w:asciiTheme="majorHAnsi" w:hAnsiTheme="majorHAnsi" w:cs="Times New Roman"/>
                <w:strike/>
                <w:sz w:val="18"/>
                <w:szCs w:val="18"/>
              </w:rPr>
            </w:pPr>
          </w:p>
        </w:tc>
        <w:tc>
          <w:tcPr>
            <w:tcW w:w="2173" w:type="dxa"/>
            <w:tcBorders>
              <w:top w:val="single" w:sz="4" w:space="0" w:color="auto"/>
              <w:bottom w:val="single" w:sz="4" w:space="0" w:color="auto"/>
            </w:tcBorders>
          </w:tcPr>
          <w:p w14:paraId="3DF0241D" w14:textId="089BDF66" w:rsidR="001A76BE" w:rsidRPr="00192F91" w:rsidRDefault="001A76BE" w:rsidP="00FD6656">
            <w:pPr>
              <w:pStyle w:val="Normal1"/>
              <w:spacing w:before="20" w:after="20"/>
              <w:jc w:val="left"/>
              <w:rPr>
                <w:rFonts w:asciiTheme="majorHAnsi" w:hAnsiTheme="majorHAnsi" w:cs="Times New Roman"/>
                <w:strike/>
                <w:sz w:val="18"/>
                <w:szCs w:val="18"/>
              </w:rPr>
            </w:pPr>
            <w:r w:rsidRPr="00192F91">
              <w:rPr>
                <w:rFonts w:asciiTheme="majorHAnsi" w:hAnsiTheme="majorHAnsi" w:cs="Times New Roman"/>
                <w:strike/>
                <w:sz w:val="18"/>
                <w:szCs w:val="18"/>
              </w:rPr>
              <w:t>Acceptance by stakeholders of approach</w:t>
            </w:r>
          </w:p>
          <w:p w14:paraId="40A635E4" w14:textId="77777777" w:rsidR="001A76BE" w:rsidRPr="00192F91" w:rsidRDefault="001A76BE" w:rsidP="00FD6656">
            <w:pPr>
              <w:pStyle w:val="Normal1"/>
              <w:spacing w:before="20" w:after="20"/>
              <w:jc w:val="left"/>
              <w:rPr>
                <w:rFonts w:asciiTheme="majorHAnsi" w:hAnsiTheme="majorHAnsi" w:cs="Times New Roman"/>
                <w:strike/>
                <w:sz w:val="18"/>
                <w:szCs w:val="18"/>
              </w:rPr>
            </w:pPr>
          </w:p>
          <w:p w14:paraId="436E3F00" w14:textId="77777777" w:rsidR="001A76BE" w:rsidRPr="00192F91" w:rsidRDefault="001A76BE" w:rsidP="00FD6656">
            <w:pPr>
              <w:pStyle w:val="Normal1"/>
              <w:spacing w:before="20" w:after="20"/>
              <w:jc w:val="left"/>
              <w:rPr>
                <w:rFonts w:asciiTheme="majorHAnsi" w:hAnsiTheme="majorHAnsi" w:cs="Times New Roman"/>
                <w:strike/>
                <w:sz w:val="18"/>
                <w:szCs w:val="18"/>
              </w:rPr>
            </w:pPr>
            <w:r w:rsidRPr="00192F91">
              <w:rPr>
                <w:rFonts w:asciiTheme="majorHAnsi" w:hAnsiTheme="majorHAnsi" w:cs="Times New Roman"/>
                <w:strike/>
                <w:sz w:val="18"/>
                <w:szCs w:val="18"/>
              </w:rPr>
              <w:t>At least one IW projects utilize methodology</w:t>
            </w:r>
          </w:p>
        </w:tc>
        <w:tc>
          <w:tcPr>
            <w:tcW w:w="1936" w:type="dxa"/>
            <w:tcBorders>
              <w:top w:val="single" w:sz="4" w:space="0" w:color="auto"/>
              <w:bottom w:val="single" w:sz="4" w:space="0" w:color="auto"/>
            </w:tcBorders>
          </w:tcPr>
          <w:p w14:paraId="7773AE4D" w14:textId="789600F2" w:rsidR="001A76BE" w:rsidRPr="00B378B6" w:rsidRDefault="001A76BE" w:rsidP="003B0E5B">
            <w:pPr>
              <w:pStyle w:val="Normal1"/>
              <w:spacing w:before="20" w:after="20"/>
              <w:jc w:val="left"/>
              <w:rPr>
                <w:rFonts w:asciiTheme="majorHAnsi" w:hAnsiTheme="majorHAnsi" w:cs="Times New Roman"/>
                <w:sz w:val="18"/>
                <w:szCs w:val="18"/>
              </w:rPr>
            </w:pPr>
            <w:r>
              <w:rPr>
                <w:rFonts w:asciiTheme="majorHAnsi" w:hAnsiTheme="majorHAnsi" w:cs="Times New Roman"/>
                <w:sz w:val="18"/>
                <w:szCs w:val="18"/>
              </w:rPr>
              <w:t xml:space="preserve"> None</w:t>
            </w:r>
          </w:p>
        </w:tc>
        <w:tc>
          <w:tcPr>
            <w:tcW w:w="2088" w:type="dxa"/>
            <w:tcBorders>
              <w:top w:val="single" w:sz="4" w:space="0" w:color="auto"/>
              <w:bottom w:val="single" w:sz="4" w:space="0" w:color="auto"/>
            </w:tcBorders>
          </w:tcPr>
          <w:p w14:paraId="2BF2AEDE" w14:textId="77777777" w:rsidR="001A76BE" w:rsidRPr="00B378B6" w:rsidRDefault="001A76BE" w:rsidP="00FD6656">
            <w:pPr>
              <w:pStyle w:val="Normal1"/>
              <w:spacing w:before="20" w:after="20"/>
              <w:jc w:val="left"/>
              <w:rPr>
                <w:rFonts w:asciiTheme="majorHAnsi" w:hAnsiTheme="majorHAnsi" w:cs="Times New Roman"/>
                <w:sz w:val="18"/>
                <w:szCs w:val="18"/>
              </w:rPr>
            </w:pPr>
          </w:p>
        </w:tc>
        <w:tc>
          <w:tcPr>
            <w:tcW w:w="1755" w:type="dxa"/>
            <w:tcBorders>
              <w:top w:val="single" w:sz="4" w:space="0" w:color="auto"/>
              <w:bottom w:val="single" w:sz="4" w:space="0" w:color="auto"/>
            </w:tcBorders>
          </w:tcPr>
          <w:p w14:paraId="39135223" w14:textId="77777777" w:rsidR="001A76BE" w:rsidRDefault="001A76BE" w:rsidP="0026018F">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Remove both </w:t>
            </w:r>
            <w:r>
              <w:rPr>
                <w:rFonts w:asciiTheme="majorHAnsi" w:hAnsiTheme="majorHAnsi" w:cs="Times New Roman"/>
                <w:sz w:val="18"/>
                <w:szCs w:val="18"/>
              </w:rPr>
              <w:t>indicators</w:t>
            </w:r>
          </w:p>
          <w:p w14:paraId="182B4DE6" w14:textId="3542CC3A" w:rsidR="001A76BE" w:rsidRPr="00B378B6" w:rsidRDefault="001A76BE" w:rsidP="0026018F">
            <w:pPr>
              <w:pStyle w:val="Normal1"/>
              <w:spacing w:before="20" w:after="20"/>
              <w:jc w:val="left"/>
              <w:rPr>
                <w:rFonts w:asciiTheme="majorHAnsi" w:hAnsiTheme="majorHAnsi" w:cs="Times New Roman"/>
                <w:sz w:val="18"/>
                <w:szCs w:val="18"/>
              </w:rPr>
            </w:pPr>
            <w:proofErr w:type="gramStart"/>
            <w:r w:rsidRPr="00B378B6">
              <w:rPr>
                <w:rFonts w:asciiTheme="majorHAnsi" w:hAnsiTheme="majorHAnsi" w:cs="Times New Roman"/>
                <w:sz w:val="18"/>
                <w:szCs w:val="18"/>
              </w:rPr>
              <w:t>as</w:t>
            </w:r>
            <w:proofErr w:type="gramEnd"/>
            <w:r w:rsidRPr="00B378B6">
              <w:rPr>
                <w:rFonts w:asciiTheme="majorHAnsi" w:hAnsiTheme="majorHAnsi" w:cs="Times New Roman"/>
                <w:sz w:val="18"/>
                <w:szCs w:val="18"/>
              </w:rPr>
              <w:t xml:space="preserve"> related activity </w:t>
            </w:r>
            <w:r>
              <w:rPr>
                <w:rFonts w:asciiTheme="majorHAnsi" w:hAnsiTheme="majorHAnsi" w:cs="Times New Roman"/>
                <w:sz w:val="18"/>
                <w:szCs w:val="18"/>
              </w:rPr>
              <w:t>no longer to be pursued.</w:t>
            </w:r>
          </w:p>
        </w:tc>
      </w:tr>
      <w:tr w:rsidR="001A76BE" w:rsidRPr="00F869DC" w14:paraId="360183E0" w14:textId="77777777" w:rsidTr="001A76BE">
        <w:trPr>
          <w:jc w:val="center"/>
        </w:trPr>
        <w:tc>
          <w:tcPr>
            <w:tcW w:w="2210" w:type="dxa"/>
            <w:vMerge/>
            <w:shd w:val="pct12" w:color="auto" w:fill="auto"/>
          </w:tcPr>
          <w:p w14:paraId="5F48C5A3" w14:textId="77777777" w:rsidR="001A76BE" w:rsidRPr="00B378B6" w:rsidRDefault="001A76BE" w:rsidP="00FD6656">
            <w:pPr>
              <w:spacing w:before="20" w:after="20"/>
              <w:rPr>
                <w:rFonts w:asciiTheme="majorHAnsi" w:hAnsiTheme="majorHAnsi"/>
                <w:b/>
                <w:bCs/>
                <w:sz w:val="18"/>
                <w:szCs w:val="18"/>
              </w:rPr>
            </w:pPr>
          </w:p>
        </w:tc>
        <w:tc>
          <w:tcPr>
            <w:tcW w:w="1867" w:type="dxa"/>
            <w:tcBorders>
              <w:top w:val="single" w:sz="4" w:space="0" w:color="auto"/>
            </w:tcBorders>
          </w:tcPr>
          <w:p w14:paraId="05D2F834" w14:textId="77777777" w:rsidR="001A76BE" w:rsidRPr="00B378B6" w:rsidRDefault="001A76BE"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Number of IW projects using approach to climatic variability &amp; change</w:t>
            </w:r>
          </w:p>
          <w:p w14:paraId="09888B48" w14:textId="77777777" w:rsidR="001A76BE" w:rsidRPr="00B378B6" w:rsidRDefault="001A76BE" w:rsidP="00FD6656">
            <w:pPr>
              <w:pStyle w:val="Normal1"/>
              <w:spacing w:before="20" w:after="20"/>
              <w:jc w:val="left"/>
              <w:rPr>
                <w:rFonts w:asciiTheme="majorHAnsi" w:hAnsiTheme="majorHAnsi" w:cs="Times New Roman"/>
                <w:sz w:val="18"/>
                <w:szCs w:val="18"/>
              </w:rPr>
            </w:pPr>
          </w:p>
        </w:tc>
        <w:tc>
          <w:tcPr>
            <w:tcW w:w="2127" w:type="dxa"/>
            <w:vMerge/>
          </w:tcPr>
          <w:p w14:paraId="76CAA5D1" w14:textId="77777777" w:rsidR="001A76BE" w:rsidRPr="001A76BE" w:rsidRDefault="001A76BE" w:rsidP="00FD6656">
            <w:pPr>
              <w:pStyle w:val="Normal1"/>
              <w:spacing w:before="20" w:after="20"/>
              <w:jc w:val="left"/>
              <w:rPr>
                <w:rFonts w:asciiTheme="majorHAnsi" w:hAnsiTheme="majorHAnsi" w:cs="Times New Roman"/>
                <w:sz w:val="18"/>
                <w:szCs w:val="18"/>
              </w:rPr>
            </w:pPr>
          </w:p>
        </w:tc>
        <w:tc>
          <w:tcPr>
            <w:tcW w:w="2173" w:type="dxa"/>
            <w:tcBorders>
              <w:top w:val="single" w:sz="4" w:space="0" w:color="auto"/>
            </w:tcBorders>
          </w:tcPr>
          <w:p w14:paraId="5653F8F6" w14:textId="50F58A62" w:rsidR="001A76BE" w:rsidRPr="00192F91" w:rsidRDefault="001A76BE" w:rsidP="00FD6656">
            <w:pPr>
              <w:pStyle w:val="Normal1"/>
              <w:spacing w:before="20" w:after="20"/>
              <w:jc w:val="left"/>
              <w:rPr>
                <w:rFonts w:asciiTheme="majorHAnsi" w:hAnsiTheme="majorHAnsi" w:cs="Times New Roman"/>
                <w:sz w:val="18"/>
                <w:szCs w:val="18"/>
              </w:rPr>
            </w:pPr>
            <w:r w:rsidRPr="00192F91">
              <w:rPr>
                <w:rFonts w:asciiTheme="majorHAnsi" w:hAnsiTheme="majorHAnsi" w:cs="Times New Roman"/>
                <w:sz w:val="18"/>
                <w:szCs w:val="18"/>
              </w:rPr>
              <w:t xml:space="preserve">Agreed methodology developed and piloted in 5 GEF5 IW projects; Acceptance of approach by IWTF for use in </w:t>
            </w:r>
            <w:r w:rsidRPr="00192F91">
              <w:rPr>
                <w:rFonts w:asciiTheme="majorHAnsi" w:hAnsiTheme="majorHAnsi" w:cs="Times New Roman"/>
                <w:sz w:val="18"/>
                <w:szCs w:val="18"/>
                <w:u w:val="single"/>
              </w:rPr>
              <w:t>all</w:t>
            </w:r>
            <w:r w:rsidRPr="00192F91">
              <w:rPr>
                <w:rFonts w:asciiTheme="majorHAnsi" w:hAnsiTheme="majorHAnsi" w:cs="Times New Roman"/>
                <w:sz w:val="18"/>
                <w:szCs w:val="18"/>
              </w:rPr>
              <w:t xml:space="preserve"> IW projects</w:t>
            </w:r>
          </w:p>
        </w:tc>
        <w:tc>
          <w:tcPr>
            <w:tcW w:w="1936" w:type="dxa"/>
            <w:tcBorders>
              <w:top w:val="single" w:sz="4" w:space="0" w:color="auto"/>
            </w:tcBorders>
          </w:tcPr>
          <w:p w14:paraId="6E82CADC" w14:textId="77777777" w:rsidR="001A76BE" w:rsidRPr="00B378B6" w:rsidRDefault="001A76BE"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Agreed methodology developed and piloted in 5 GEF5 IW projects </w:t>
            </w:r>
          </w:p>
        </w:tc>
        <w:tc>
          <w:tcPr>
            <w:tcW w:w="2088" w:type="dxa"/>
            <w:tcBorders>
              <w:top w:val="single" w:sz="4" w:space="0" w:color="auto"/>
            </w:tcBorders>
          </w:tcPr>
          <w:p w14:paraId="2AAD3D6E" w14:textId="77777777" w:rsidR="001A76BE" w:rsidRPr="00B378B6" w:rsidRDefault="001A76BE"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No pilots as yet </w:t>
            </w:r>
          </w:p>
        </w:tc>
        <w:tc>
          <w:tcPr>
            <w:tcW w:w="1755" w:type="dxa"/>
            <w:tcBorders>
              <w:top w:val="single" w:sz="4" w:space="0" w:color="auto"/>
            </w:tcBorders>
          </w:tcPr>
          <w:p w14:paraId="531A60D4" w14:textId="2DAF3BF3" w:rsidR="001A76BE" w:rsidRPr="00B378B6" w:rsidRDefault="001A76BE"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If the methodology is agreed this de facto involves IWTF acceptance. </w:t>
            </w:r>
            <w:r>
              <w:rPr>
                <w:rFonts w:asciiTheme="majorHAnsi" w:hAnsiTheme="majorHAnsi" w:cs="Times New Roman"/>
                <w:sz w:val="18"/>
                <w:szCs w:val="18"/>
              </w:rPr>
              <w:t xml:space="preserve"> However related subcomponent yet to commence activities. </w:t>
            </w:r>
            <w:r w:rsidRPr="00B378B6">
              <w:rPr>
                <w:rFonts w:asciiTheme="majorHAnsi" w:hAnsiTheme="majorHAnsi" w:cs="Times New Roman"/>
                <w:sz w:val="18"/>
                <w:szCs w:val="18"/>
              </w:rPr>
              <w:t xml:space="preserve"> </w:t>
            </w:r>
          </w:p>
        </w:tc>
      </w:tr>
      <w:tr w:rsidR="001A76BE" w:rsidRPr="00F869DC" w14:paraId="2D5AD177" w14:textId="77777777" w:rsidTr="001A76BE">
        <w:trPr>
          <w:trHeight w:val="750"/>
          <w:jc w:val="center"/>
        </w:trPr>
        <w:tc>
          <w:tcPr>
            <w:tcW w:w="2210" w:type="dxa"/>
            <w:vMerge w:val="restart"/>
            <w:shd w:val="pct12" w:color="auto" w:fill="auto"/>
          </w:tcPr>
          <w:p w14:paraId="732D0090" w14:textId="77777777" w:rsidR="001A76BE" w:rsidRDefault="001A76BE" w:rsidP="00FD6656">
            <w:pPr>
              <w:spacing w:before="20" w:after="20"/>
              <w:rPr>
                <w:rFonts w:asciiTheme="majorHAnsi" w:hAnsiTheme="majorHAnsi"/>
                <w:b/>
                <w:bCs/>
                <w:sz w:val="18"/>
                <w:szCs w:val="18"/>
              </w:rPr>
            </w:pPr>
            <w:r w:rsidRPr="00B378B6">
              <w:rPr>
                <w:rFonts w:asciiTheme="majorHAnsi" w:hAnsiTheme="majorHAnsi"/>
                <w:b/>
                <w:bCs/>
                <w:sz w:val="18"/>
                <w:szCs w:val="18"/>
              </w:rPr>
              <w:t>Outcome 5.2</w:t>
            </w:r>
          </w:p>
          <w:p w14:paraId="56C56231" w14:textId="2382DBB8" w:rsidR="001A76BE" w:rsidRPr="00B378B6" w:rsidRDefault="001A76BE" w:rsidP="00FD6656">
            <w:pPr>
              <w:spacing w:before="20" w:after="20"/>
              <w:rPr>
                <w:rFonts w:asciiTheme="majorHAnsi" w:hAnsiTheme="majorHAnsi"/>
                <w:b/>
                <w:bCs/>
                <w:sz w:val="18"/>
                <w:szCs w:val="18"/>
              </w:rPr>
            </w:pPr>
            <w:r>
              <w:rPr>
                <w:rFonts w:asciiTheme="majorHAnsi" w:hAnsiTheme="majorHAnsi"/>
                <w:bCs/>
                <w:i/>
                <w:sz w:val="18"/>
                <w:szCs w:val="18"/>
              </w:rPr>
              <w:t>(</w:t>
            </w:r>
            <w:proofErr w:type="gramStart"/>
            <w:r>
              <w:rPr>
                <w:rFonts w:asciiTheme="majorHAnsi" w:hAnsiTheme="majorHAnsi"/>
                <w:bCs/>
                <w:i/>
                <w:sz w:val="18"/>
                <w:szCs w:val="18"/>
              </w:rPr>
              <w:t>sub</w:t>
            </w:r>
            <w:proofErr w:type="gramEnd"/>
            <w:r>
              <w:rPr>
                <w:rFonts w:asciiTheme="majorHAnsi" w:hAnsiTheme="majorHAnsi"/>
                <w:bCs/>
                <w:i/>
                <w:sz w:val="18"/>
                <w:szCs w:val="18"/>
              </w:rPr>
              <w:t>-comp 5d)</w:t>
            </w:r>
          </w:p>
          <w:p w14:paraId="207B8C80" w14:textId="77777777" w:rsidR="001A76BE" w:rsidRPr="00B378B6" w:rsidRDefault="001A76BE" w:rsidP="00FD6656">
            <w:pPr>
              <w:spacing w:before="20" w:after="20"/>
              <w:rPr>
                <w:rFonts w:asciiTheme="majorHAnsi" w:hAnsiTheme="majorHAnsi"/>
                <w:b/>
                <w:bCs/>
                <w:sz w:val="18"/>
                <w:szCs w:val="18"/>
              </w:rPr>
            </w:pPr>
            <w:r w:rsidRPr="00B378B6">
              <w:rPr>
                <w:rFonts w:asciiTheme="majorHAnsi" w:hAnsiTheme="majorHAnsi"/>
                <w:sz w:val="18"/>
                <w:szCs w:val="18"/>
              </w:rPr>
              <w:t>Public-private partnerships promoted and facilitate sustainability of GEF IW interventions</w:t>
            </w:r>
          </w:p>
        </w:tc>
        <w:tc>
          <w:tcPr>
            <w:tcW w:w="1867" w:type="dxa"/>
          </w:tcPr>
          <w:p w14:paraId="3EC9CB77" w14:textId="77777777" w:rsidR="001A76BE" w:rsidRPr="00B378B6" w:rsidRDefault="001A76BE"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Number of IW projects with sustainable private sector finances</w:t>
            </w:r>
          </w:p>
        </w:tc>
        <w:tc>
          <w:tcPr>
            <w:tcW w:w="2127" w:type="dxa"/>
            <w:vMerge/>
          </w:tcPr>
          <w:p w14:paraId="0B358FE0" w14:textId="77777777" w:rsidR="001A76BE" w:rsidRPr="001A76BE" w:rsidRDefault="001A76BE" w:rsidP="00FD6656">
            <w:pPr>
              <w:spacing w:before="20" w:after="20"/>
              <w:rPr>
                <w:rFonts w:asciiTheme="majorHAnsi" w:hAnsiTheme="majorHAnsi"/>
                <w:sz w:val="18"/>
                <w:szCs w:val="18"/>
              </w:rPr>
            </w:pPr>
          </w:p>
        </w:tc>
        <w:tc>
          <w:tcPr>
            <w:tcW w:w="2173" w:type="dxa"/>
          </w:tcPr>
          <w:p w14:paraId="5E8F5A36" w14:textId="5748496C" w:rsidR="001A76BE" w:rsidRPr="00192F91" w:rsidRDefault="001A76BE" w:rsidP="00FD6656">
            <w:pPr>
              <w:spacing w:before="20" w:after="20"/>
              <w:rPr>
                <w:rFonts w:asciiTheme="majorHAnsi" w:hAnsiTheme="majorHAnsi"/>
                <w:i/>
                <w:sz w:val="18"/>
                <w:szCs w:val="18"/>
              </w:rPr>
            </w:pPr>
            <w:r w:rsidRPr="00192F91">
              <w:rPr>
                <w:rFonts w:asciiTheme="majorHAnsi" w:hAnsiTheme="majorHAnsi"/>
                <w:sz w:val="18"/>
                <w:szCs w:val="18"/>
              </w:rPr>
              <w:t>10 projects have developed/promoted public-private sector engagement</w:t>
            </w:r>
          </w:p>
        </w:tc>
        <w:tc>
          <w:tcPr>
            <w:tcW w:w="1936" w:type="dxa"/>
          </w:tcPr>
          <w:p w14:paraId="3C84BC7C" w14:textId="1D7B665A" w:rsidR="001A76BE" w:rsidRPr="00B378B6" w:rsidRDefault="001A76BE" w:rsidP="00FD6656">
            <w:pPr>
              <w:spacing w:before="20" w:after="20"/>
              <w:rPr>
                <w:rFonts w:asciiTheme="majorHAnsi" w:hAnsiTheme="majorHAnsi"/>
                <w:sz w:val="18"/>
                <w:szCs w:val="18"/>
              </w:rPr>
            </w:pPr>
          </w:p>
        </w:tc>
        <w:tc>
          <w:tcPr>
            <w:tcW w:w="2088" w:type="dxa"/>
          </w:tcPr>
          <w:p w14:paraId="4B3FA5FB" w14:textId="77777777" w:rsidR="001A76BE" w:rsidRPr="00B378B6" w:rsidRDefault="001A76BE" w:rsidP="00FD6656">
            <w:pPr>
              <w:spacing w:before="20" w:after="20"/>
              <w:rPr>
                <w:rFonts w:asciiTheme="majorHAnsi" w:eastAsia="Times New Roman" w:hAnsiTheme="majorHAnsi"/>
                <w:sz w:val="18"/>
                <w:szCs w:val="18"/>
              </w:rPr>
            </w:pPr>
            <w:r w:rsidRPr="00B378B6">
              <w:rPr>
                <w:rFonts w:asciiTheme="majorHAnsi" w:eastAsia="Times New Roman" w:hAnsiTheme="majorHAnsi"/>
                <w:sz w:val="18"/>
                <w:szCs w:val="18"/>
              </w:rPr>
              <w:t>1/10 projects have developed/promoted public-private sector engagement</w:t>
            </w:r>
          </w:p>
        </w:tc>
        <w:tc>
          <w:tcPr>
            <w:tcW w:w="1755" w:type="dxa"/>
          </w:tcPr>
          <w:p w14:paraId="63CF6C37" w14:textId="1BEFDB5D" w:rsidR="001A76BE" w:rsidRPr="00B378B6" w:rsidRDefault="001A76BE" w:rsidP="00FD6656">
            <w:pPr>
              <w:spacing w:before="20" w:after="20"/>
              <w:rPr>
                <w:rFonts w:asciiTheme="majorHAnsi" w:hAnsiTheme="majorHAnsi"/>
                <w:sz w:val="18"/>
                <w:szCs w:val="18"/>
              </w:rPr>
            </w:pPr>
            <w:r>
              <w:rPr>
                <w:rFonts w:asciiTheme="majorHAnsi" w:hAnsiTheme="majorHAnsi"/>
                <w:sz w:val="18"/>
                <w:szCs w:val="18"/>
              </w:rPr>
              <w:t xml:space="preserve">Some progress in that draft of guidance manual produced. </w:t>
            </w:r>
          </w:p>
          <w:p w14:paraId="2777789C" w14:textId="77777777" w:rsidR="001A76BE" w:rsidRPr="00B378B6" w:rsidRDefault="001A76BE" w:rsidP="00FD6656">
            <w:pPr>
              <w:spacing w:before="20" w:after="20"/>
              <w:rPr>
                <w:rFonts w:asciiTheme="majorHAnsi" w:hAnsiTheme="majorHAnsi"/>
                <w:sz w:val="18"/>
                <w:szCs w:val="18"/>
              </w:rPr>
            </w:pPr>
          </w:p>
        </w:tc>
      </w:tr>
      <w:tr w:rsidR="001A76BE" w:rsidRPr="00F869DC" w14:paraId="3AFE6A4E" w14:textId="77777777" w:rsidTr="001A76BE">
        <w:trPr>
          <w:trHeight w:val="304"/>
          <w:jc w:val="center"/>
        </w:trPr>
        <w:tc>
          <w:tcPr>
            <w:tcW w:w="2210" w:type="dxa"/>
            <w:vMerge/>
            <w:shd w:val="pct12" w:color="auto" w:fill="auto"/>
          </w:tcPr>
          <w:p w14:paraId="10227F13" w14:textId="77777777" w:rsidR="001A76BE" w:rsidRPr="00B378B6" w:rsidRDefault="001A76BE" w:rsidP="00FD6656">
            <w:pPr>
              <w:spacing w:before="20" w:after="20"/>
              <w:rPr>
                <w:rFonts w:asciiTheme="majorHAnsi" w:hAnsiTheme="majorHAnsi"/>
                <w:b/>
                <w:bCs/>
                <w:sz w:val="18"/>
                <w:szCs w:val="18"/>
              </w:rPr>
            </w:pPr>
          </w:p>
        </w:tc>
        <w:tc>
          <w:tcPr>
            <w:tcW w:w="1867" w:type="dxa"/>
          </w:tcPr>
          <w:p w14:paraId="1671C243" w14:textId="77777777" w:rsidR="001A76BE" w:rsidRPr="00B378B6" w:rsidRDefault="001A76BE" w:rsidP="00FD6656">
            <w:pPr>
              <w:pStyle w:val="Normal1"/>
              <w:spacing w:before="20" w:after="20"/>
              <w:jc w:val="left"/>
              <w:rPr>
                <w:rFonts w:asciiTheme="majorHAnsi" w:hAnsiTheme="majorHAnsi" w:cs="Times New Roman"/>
                <w:sz w:val="18"/>
                <w:szCs w:val="18"/>
              </w:rPr>
            </w:pPr>
            <w:r w:rsidRPr="00B378B6">
              <w:rPr>
                <w:rFonts w:asciiTheme="majorHAnsi" w:hAnsiTheme="majorHAnsi" w:cs="Times New Roman"/>
                <w:sz w:val="18"/>
                <w:szCs w:val="18"/>
              </w:rPr>
              <w:t xml:space="preserve">% </w:t>
            </w:r>
            <w:proofErr w:type="gramStart"/>
            <w:r w:rsidRPr="00B378B6">
              <w:rPr>
                <w:rFonts w:asciiTheme="majorHAnsi" w:hAnsiTheme="majorHAnsi" w:cs="Times New Roman"/>
                <w:sz w:val="18"/>
                <w:szCs w:val="18"/>
              </w:rPr>
              <w:t>of</w:t>
            </w:r>
            <w:proofErr w:type="gramEnd"/>
            <w:r w:rsidRPr="00B378B6">
              <w:rPr>
                <w:rFonts w:asciiTheme="majorHAnsi" w:hAnsiTheme="majorHAnsi" w:cs="Times New Roman"/>
                <w:sz w:val="18"/>
                <w:szCs w:val="18"/>
              </w:rPr>
              <w:t xml:space="preserve"> IW projects included public-private partnerships in sustainability plans</w:t>
            </w:r>
          </w:p>
        </w:tc>
        <w:tc>
          <w:tcPr>
            <w:tcW w:w="2127" w:type="dxa"/>
            <w:vMerge/>
          </w:tcPr>
          <w:p w14:paraId="628C0E2A" w14:textId="77777777" w:rsidR="001A76BE" w:rsidRPr="001A76BE" w:rsidRDefault="001A76BE" w:rsidP="00FD6656">
            <w:pPr>
              <w:spacing w:before="20" w:after="20"/>
              <w:rPr>
                <w:rFonts w:asciiTheme="majorHAnsi" w:hAnsiTheme="majorHAnsi"/>
                <w:sz w:val="18"/>
                <w:szCs w:val="18"/>
              </w:rPr>
            </w:pPr>
          </w:p>
        </w:tc>
        <w:tc>
          <w:tcPr>
            <w:tcW w:w="2173" w:type="dxa"/>
          </w:tcPr>
          <w:p w14:paraId="25364D52" w14:textId="20DD3D79" w:rsidR="001A76BE" w:rsidRPr="00B378B6" w:rsidRDefault="001A76BE" w:rsidP="00FD6656">
            <w:pPr>
              <w:spacing w:before="20" w:after="20"/>
              <w:rPr>
                <w:rFonts w:asciiTheme="majorHAnsi" w:hAnsiTheme="majorHAnsi"/>
                <w:i/>
                <w:sz w:val="18"/>
                <w:szCs w:val="18"/>
                <w:highlight w:val="yellow"/>
              </w:rPr>
            </w:pPr>
            <w:r w:rsidRPr="00192F91">
              <w:rPr>
                <w:rFonts w:asciiTheme="majorHAnsi" w:hAnsiTheme="majorHAnsi"/>
                <w:sz w:val="18"/>
                <w:szCs w:val="18"/>
              </w:rPr>
              <w:t>50% of IW projects have a sustainability plan / exit strategy that utilizes the best practices collated</w:t>
            </w:r>
          </w:p>
        </w:tc>
        <w:tc>
          <w:tcPr>
            <w:tcW w:w="1936" w:type="dxa"/>
          </w:tcPr>
          <w:p w14:paraId="2F41197C" w14:textId="77777777" w:rsidR="001A76BE" w:rsidRPr="00B378B6" w:rsidRDefault="001A76BE" w:rsidP="00FD6656">
            <w:pPr>
              <w:spacing w:before="20" w:after="20"/>
              <w:rPr>
                <w:rFonts w:asciiTheme="majorHAnsi" w:hAnsiTheme="majorHAnsi"/>
                <w:i/>
                <w:sz w:val="18"/>
                <w:szCs w:val="18"/>
              </w:rPr>
            </w:pPr>
          </w:p>
        </w:tc>
        <w:tc>
          <w:tcPr>
            <w:tcW w:w="2088" w:type="dxa"/>
          </w:tcPr>
          <w:p w14:paraId="6F7B6397" w14:textId="77777777" w:rsidR="001A76BE" w:rsidRPr="00B378B6" w:rsidRDefault="001A76BE" w:rsidP="00FD6656">
            <w:pPr>
              <w:spacing w:before="20" w:after="20"/>
              <w:rPr>
                <w:rFonts w:asciiTheme="majorHAnsi" w:eastAsia="Times New Roman" w:hAnsiTheme="majorHAnsi"/>
                <w:sz w:val="18"/>
                <w:szCs w:val="18"/>
              </w:rPr>
            </w:pPr>
            <w:r w:rsidRPr="00B378B6">
              <w:rPr>
                <w:rFonts w:asciiTheme="majorHAnsi" w:eastAsia="Times New Roman" w:hAnsiTheme="majorHAnsi"/>
                <w:sz w:val="18"/>
                <w:szCs w:val="18"/>
              </w:rPr>
              <w:t xml:space="preserve">None as yet </w:t>
            </w:r>
          </w:p>
        </w:tc>
        <w:tc>
          <w:tcPr>
            <w:tcW w:w="1755" w:type="dxa"/>
          </w:tcPr>
          <w:p w14:paraId="6BA884E0" w14:textId="77777777" w:rsidR="001A76BE" w:rsidRPr="00B378B6" w:rsidRDefault="001A76BE" w:rsidP="00FD6656">
            <w:pPr>
              <w:spacing w:before="20" w:after="20"/>
              <w:rPr>
                <w:rFonts w:asciiTheme="majorHAnsi" w:hAnsiTheme="majorHAnsi"/>
                <w:sz w:val="18"/>
                <w:szCs w:val="18"/>
              </w:rPr>
            </w:pPr>
          </w:p>
        </w:tc>
      </w:tr>
    </w:tbl>
    <w:p w14:paraId="4D40FF96" w14:textId="77777777" w:rsidR="00FD6656" w:rsidRDefault="00FD6656" w:rsidP="00FD6656">
      <w:pPr>
        <w:spacing w:before="60" w:after="60" w:line="288" w:lineRule="auto"/>
      </w:pPr>
    </w:p>
    <w:p w14:paraId="7AD4AEB0" w14:textId="77777777" w:rsidR="00FD6656" w:rsidRDefault="00FD6656" w:rsidP="00FD6656">
      <w:pPr>
        <w:spacing w:before="60" w:after="60" w:line="288" w:lineRule="auto"/>
        <w:sectPr w:rsidR="00FD6656" w:rsidSect="00FD6656">
          <w:pgSz w:w="16820" w:h="11900" w:orient="landscape"/>
          <w:pgMar w:top="1440" w:right="1440" w:bottom="1440" w:left="1440" w:header="708" w:footer="708" w:gutter="0"/>
          <w:cols w:space="708"/>
          <w:docGrid w:linePitch="360"/>
        </w:sectPr>
      </w:pPr>
    </w:p>
    <w:p w14:paraId="4827B103" w14:textId="783A28A7" w:rsidR="00DD67A9" w:rsidRPr="00DD67A9" w:rsidRDefault="00540CD7" w:rsidP="00DD67A9">
      <w:pPr>
        <w:pStyle w:val="Heading3"/>
      </w:pPr>
      <w:bookmarkStart w:id="56" w:name="_Toc320280638"/>
      <w:bookmarkStart w:id="57" w:name="_Toc341527044"/>
      <w:bookmarkStart w:id="58" w:name="_Toc222479145"/>
      <w:r w:rsidRPr="007D1C06">
        <w:t>Efficiency</w:t>
      </w:r>
      <w:bookmarkEnd w:id="56"/>
      <w:bookmarkEnd w:id="57"/>
      <w:bookmarkEnd w:id="58"/>
    </w:p>
    <w:p w14:paraId="34A5C765" w14:textId="3FC1DCA7" w:rsidR="007B029D" w:rsidRPr="007B029D" w:rsidRDefault="007B029D" w:rsidP="007B029D">
      <w:r>
        <w:rPr>
          <w:rFonts w:asciiTheme="majorHAnsi" w:hAnsiTheme="majorHAnsi"/>
          <w:sz w:val="22"/>
          <w:szCs w:val="22"/>
        </w:rPr>
        <w:t xml:space="preserve">The </w:t>
      </w:r>
      <w:r w:rsidRPr="00E544FB">
        <w:rPr>
          <w:rFonts w:asciiTheme="majorHAnsi" w:hAnsiTheme="majorHAnsi"/>
          <w:sz w:val="22"/>
          <w:szCs w:val="22"/>
        </w:rPr>
        <w:t xml:space="preserve">MTE assessed the project overall in efficient use of time to date as </w:t>
      </w:r>
      <w:r w:rsidR="001B575E">
        <w:rPr>
          <w:rFonts w:asciiTheme="majorHAnsi" w:hAnsiTheme="majorHAnsi"/>
          <w:b/>
          <w:sz w:val="22"/>
          <w:szCs w:val="22"/>
        </w:rPr>
        <w:t>Moderately S</w:t>
      </w:r>
      <w:r w:rsidRPr="00E544FB">
        <w:rPr>
          <w:rFonts w:asciiTheme="majorHAnsi" w:hAnsiTheme="majorHAnsi"/>
          <w:b/>
          <w:sz w:val="22"/>
          <w:szCs w:val="22"/>
        </w:rPr>
        <w:t>atisfactory</w:t>
      </w:r>
      <w:r>
        <w:rPr>
          <w:rFonts w:asciiTheme="majorHAnsi" w:hAnsiTheme="majorHAnsi"/>
          <w:b/>
          <w:sz w:val="22"/>
          <w:szCs w:val="22"/>
        </w:rPr>
        <w:t>.</w:t>
      </w:r>
    </w:p>
    <w:p w14:paraId="6743C184" w14:textId="78D73C85" w:rsidR="00D610BA" w:rsidRDefault="00562192" w:rsidP="002D6C50">
      <w:pPr>
        <w:jc w:val="both"/>
        <w:rPr>
          <w:rFonts w:asciiTheme="majorHAnsi" w:hAnsiTheme="majorHAnsi"/>
          <w:sz w:val="22"/>
          <w:szCs w:val="22"/>
        </w:rPr>
      </w:pPr>
      <w:r w:rsidRPr="005F5560">
        <w:rPr>
          <w:rFonts w:asciiTheme="majorHAnsi" w:hAnsiTheme="majorHAnsi"/>
          <w:sz w:val="22"/>
          <w:szCs w:val="22"/>
        </w:rPr>
        <w:t>The project began implementation</w:t>
      </w:r>
      <w:r w:rsidR="002D6C50">
        <w:rPr>
          <w:rFonts w:asciiTheme="majorHAnsi" w:hAnsiTheme="majorHAnsi"/>
          <w:sz w:val="22"/>
          <w:szCs w:val="22"/>
        </w:rPr>
        <w:t xml:space="preserve"> as expected</w:t>
      </w:r>
      <w:r w:rsidRPr="005F5560">
        <w:rPr>
          <w:rFonts w:asciiTheme="majorHAnsi" w:hAnsiTheme="majorHAnsi"/>
          <w:sz w:val="22"/>
          <w:szCs w:val="22"/>
        </w:rPr>
        <w:t xml:space="preserve"> in January 2011 and is due to end in July 2014 hence about 57% of project time has elapsed and as shown </w:t>
      </w:r>
      <w:r w:rsidRPr="00411A12">
        <w:rPr>
          <w:rFonts w:asciiTheme="majorHAnsi" w:hAnsiTheme="majorHAnsi"/>
          <w:sz w:val="22"/>
          <w:szCs w:val="22"/>
        </w:rPr>
        <w:t xml:space="preserve">under </w:t>
      </w:r>
      <w:proofErr w:type="gramStart"/>
      <w:r w:rsidR="00411A12">
        <w:rPr>
          <w:rFonts w:asciiTheme="majorHAnsi" w:hAnsiTheme="majorHAnsi"/>
          <w:sz w:val="22"/>
          <w:szCs w:val="22"/>
        </w:rPr>
        <w:t>S</w:t>
      </w:r>
      <w:r w:rsidRPr="00411A12">
        <w:rPr>
          <w:rFonts w:asciiTheme="majorHAnsi" w:hAnsiTheme="majorHAnsi"/>
          <w:sz w:val="22"/>
          <w:szCs w:val="22"/>
        </w:rPr>
        <w:t xml:space="preserve">ection </w:t>
      </w:r>
      <w:r w:rsidR="00D610BA" w:rsidRPr="00411A12">
        <w:rPr>
          <w:rFonts w:asciiTheme="majorHAnsi" w:hAnsiTheme="majorHAnsi"/>
          <w:sz w:val="22"/>
          <w:szCs w:val="22"/>
        </w:rPr>
        <w:t xml:space="preserve"> </w:t>
      </w:r>
      <w:r w:rsidR="00411A12" w:rsidRPr="00411A12">
        <w:rPr>
          <w:rFonts w:asciiTheme="majorHAnsi" w:hAnsiTheme="majorHAnsi"/>
          <w:sz w:val="22"/>
          <w:szCs w:val="22"/>
        </w:rPr>
        <w:t>3.5.4</w:t>
      </w:r>
      <w:proofErr w:type="gramEnd"/>
      <w:r w:rsidR="00411A12" w:rsidRPr="00411A12">
        <w:rPr>
          <w:rFonts w:asciiTheme="majorHAnsi" w:hAnsiTheme="majorHAnsi"/>
          <w:sz w:val="22"/>
          <w:szCs w:val="22"/>
        </w:rPr>
        <w:t xml:space="preserve"> </w:t>
      </w:r>
      <w:r w:rsidR="002D6C50">
        <w:rPr>
          <w:rFonts w:asciiTheme="majorHAnsi" w:hAnsiTheme="majorHAnsi"/>
          <w:sz w:val="22"/>
          <w:szCs w:val="22"/>
        </w:rPr>
        <w:t>Financial Planning</w:t>
      </w:r>
      <w:r w:rsidR="00D610BA" w:rsidRPr="00411A12">
        <w:rPr>
          <w:rFonts w:asciiTheme="majorHAnsi" w:hAnsiTheme="majorHAnsi"/>
          <w:sz w:val="22"/>
          <w:szCs w:val="22"/>
        </w:rPr>
        <w:t xml:space="preserve">, 55% </w:t>
      </w:r>
      <w:r w:rsidR="002D6C50">
        <w:rPr>
          <w:rFonts w:asciiTheme="majorHAnsi" w:hAnsiTheme="majorHAnsi"/>
          <w:sz w:val="22"/>
          <w:szCs w:val="22"/>
        </w:rPr>
        <w:t xml:space="preserve">of project funds </w:t>
      </w:r>
      <w:r w:rsidR="00D610BA" w:rsidRPr="00411A12">
        <w:rPr>
          <w:rFonts w:asciiTheme="majorHAnsi" w:hAnsiTheme="majorHAnsi"/>
          <w:sz w:val="22"/>
          <w:szCs w:val="22"/>
        </w:rPr>
        <w:t>has been utilised</w:t>
      </w:r>
      <w:r w:rsidR="00D610BA" w:rsidRPr="005F5560">
        <w:rPr>
          <w:rFonts w:asciiTheme="majorHAnsi" w:hAnsiTheme="majorHAnsi"/>
          <w:sz w:val="22"/>
          <w:szCs w:val="22"/>
        </w:rPr>
        <w:t xml:space="preserve">  to date which indicates the project is largely on track in this respect</w:t>
      </w:r>
      <w:r w:rsidR="00411A12">
        <w:rPr>
          <w:rFonts w:asciiTheme="majorHAnsi" w:hAnsiTheme="majorHAnsi"/>
          <w:sz w:val="22"/>
          <w:szCs w:val="22"/>
        </w:rPr>
        <w:t xml:space="preserve">. </w:t>
      </w:r>
      <w:r w:rsidR="002D6C50">
        <w:rPr>
          <w:rFonts w:asciiTheme="majorHAnsi" w:hAnsiTheme="majorHAnsi"/>
          <w:sz w:val="22"/>
          <w:szCs w:val="22"/>
        </w:rPr>
        <w:t>Some s</w:t>
      </w:r>
      <w:r w:rsidR="00A86E57">
        <w:rPr>
          <w:rFonts w:asciiTheme="majorHAnsi" w:hAnsiTheme="majorHAnsi"/>
          <w:sz w:val="22"/>
          <w:szCs w:val="22"/>
        </w:rPr>
        <w:t xml:space="preserve">avings have been made most </w:t>
      </w:r>
      <w:r w:rsidR="005F5560" w:rsidRPr="005F5560">
        <w:rPr>
          <w:rFonts w:asciiTheme="majorHAnsi" w:hAnsiTheme="majorHAnsi"/>
          <w:sz w:val="22"/>
          <w:szCs w:val="22"/>
        </w:rPr>
        <w:t xml:space="preserve">notably </w:t>
      </w:r>
      <w:r w:rsidR="00D610BA" w:rsidRPr="005F5560">
        <w:rPr>
          <w:rFonts w:asciiTheme="majorHAnsi" w:hAnsiTheme="majorHAnsi"/>
          <w:sz w:val="22"/>
          <w:szCs w:val="22"/>
        </w:rPr>
        <w:t xml:space="preserve">in regard to Monitoring </w:t>
      </w:r>
      <w:r w:rsidR="002D6C50">
        <w:rPr>
          <w:rFonts w:asciiTheme="majorHAnsi" w:hAnsiTheme="majorHAnsi"/>
          <w:sz w:val="22"/>
          <w:szCs w:val="22"/>
        </w:rPr>
        <w:t xml:space="preserve">&amp; Evaluation </w:t>
      </w:r>
      <w:proofErr w:type="gramStart"/>
      <w:r w:rsidR="00E22628">
        <w:rPr>
          <w:rFonts w:asciiTheme="majorHAnsi" w:hAnsiTheme="majorHAnsi"/>
          <w:sz w:val="22"/>
          <w:szCs w:val="22"/>
        </w:rPr>
        <w:t>activities</w:t>
      </w:r>
      <w:r w:rsidR="002D6C50">
        <w:rPr>
          <w:rFonts w:asciiTheme="majorHAnsi" w:hAnsiTheme="majorHAnsi"/>
          <w:sz w:val="22"/>
          <w:szCs w:val="22"/>
        </w:rPr>
        <w:t xml:space="preserve"> </w:t>
      </w:r>
      <w:r w:rsidR="00D610BA" w:rsidRPr="005F5560">
        <w:rPr>
          <w:rFonts w:asciiTheme="majorHAnsi" w:hAnsiTheme="majorHAnsi"/>
          <w:sz w:val="22"/>
          <w:szCs w:val="22"/>
        </w:rPr>
        <w:t xml:space="preserve"> where</w:t>
      </w:r>
      <w:proofErr w:type="gramEnd"/>
      <w:r w:rsidR="00D610BA" w:rsidRPr="005F5560">
        <w:rPr>
          <w:rFonts w:asciiTheme="majorHAnsi" w:hAnsiTheme="majorHAnsi"/>
          <w:sz w:val="22"/>
          <w:szCs w:val="22"/>
        </w:rPr>
        <w:t xml:space="preserve"> only  14% of funds have been utilised</w:t>
      </w:r>
      <w:r w:rsidR="002D6C50">
        <w:rPr>
          <w:rFonts w:asciiTheme="majorHAnsi" w:hAnsiTheme="majorHAnsi"/>
          <w:sz w:val="22"/>
          <w:szCs w:val="22"/>
        </w:rPr>
        <w:t xml:space="preserve"> </w:t>
      </w:r>
      <w:r w:rsidR="00D610BA" w:rsidRPr="005F5560">
        <w:rPr>
          <w:rFonts w:asciiTheme="majorHAnsi" w:hAnsiTheme="majorHAnsi"/>
          <w:sz w:val="22"/>
          <w:szCs w:val="22"/>
        </w:rPr>
        <w:t xml:space="preserve">and further savings of about </w:t>
      </w:r>
      <w:r w:rsidR="00411A12">
        <w:rPr>
          <w:rFonts w:asciiTheme="majorHAnsi" w:hAnsiTheme="majorHAnsi"/>
          <w:sz w:val="22"/>
          <w:szCs w:val="22"/>
        </w:rPr>
        <w:t>$15</w:t>
      </w:r>
      <w:r w:rsidR="005F5560" w:rsidRPr="005F5560">
        <w:rPr>
          <w:rFonts w:asciiTheme="majorHAnsi" w:hAnsiTheme="majorHAnsi"/>
          <w:sz w:val="22"/>
          <w:szCs w:val="22"/>
        </w:rPr>
        <w:t xml:space="preserve">0,000 were realised on IWC6 allowing some additional funds to be diverted to other components where original budgets were </w:t>
      </w:r>
      <w:r w:rsidR="005F5560" w:rsidRPr="002D6C50">
        <w:rPr>
          <w:rFonts w:asciiTheme="majorHAnsi" w:hAnsiTheme="majorHAnsi"/>
          <w:sz w:val="22"/>
          <w:szCs w:val="22"/>
        </w:rPr>
        <w:t xml:space="preserve">tight.  </w:t>
      </w:r>
      <w:r w:rsidR="00EA3BC6" w:rsidRPr="002D6C50">
        <w:rPr>
          <w:rFonts w:asciiTheme="majorHAnsi" w:hAnsiTheme="majorHAnsi"/>
          <w:sz w:val="22"/>
          <w:szCs w:val="22"/>
        </w:rPr>
        <w:t xml:space="preserve">However costs associated with project management are well ahead of expected </w:t>
      </w:r>
      <w:r w:rsidR="002D6C50" w:rsidRPr="002D6C50">
        <w:rPr>
          <w:rFonts w:asciiTheme="majorHAnsi" w:hAnsiTheme="majorHAnsi"/>
          <w:sz w:val="22"/>
          <w:szCs w:val="22"/>
        </w:rPr>
        <w:t>owing it seems to under</w:t>
      </w:r>
      <w:r w:rsidR="002D6C50">
        <w:rPr>
          <w:rFonts w:asciiTheme="majorHAnsi" w:hAnsiTheme="majorHAnsi"/>
          <w:sz w:val="22"/>
          <w:szCs w:val="22"/>
        </w:rPr>
        <w:t xml:space="preserve"> </w:t>
      </w:r>
      <w:r w:rsidR="002D6C50" w:rsidRPr="002D6C50">
        <w:rPr>
          <w:rFonts w:asciiTheme="majorHAnsi" w:hAnsiTheme="majorHAnsi"/>
          <w:sz w:val="22"/>
          <w:szCs w:val="22"/>
        </w:rPr>
        <w:t xml:space="preserve">budgeting for this component at the start of the project. </w:t>
      </w:r>
      <w:r w:rsidR="002D6C50">
        <w:rPr>
          <w:rFonts w:asciiTheme="majorHAnsi" w:hAnsiTheme="majorHAnsi"/>
          <w:sz w:val="22"/>
          <w:szCs w:val="22"/>
        </w:rPr>
        <w:t xml:space="preserve">If </w:t>
      </w:r>
      <w:r w:rsidR="00411A12" w:rsidRPr="002D6C50">
        <w:rPr>
          <w:rFonts w:asciiTheme="majorHAnsi" w:hAnsiTheme="majorHAnsi"/>
          <w:sz w:val="22"/>
          <w:szCs w:val="22"/>
        </w:rPr>
        <w:t xml:space="preserve">the current spend rate under this component remains the same unspent budgets are </w:t>
      </w:r>
      <w:r w:rsidR="002D6C50">
        <w:rPr>
          <w:rFonts w:asciiTheme="majorHAnsi" w:hAnsiTheme="majorHAnsi"/>
          <w:sz w:val="22"/>
          <w:szCs w:val="22"/>
        </w:rPr>
        <w:t xml:space="preserve">barely </w:t>
      </w:r>
      <w:r w:rsidR="00411A12" w:rsidRPr="002D6C50">
        <w:rPr>
          <w:rFonts w:asciiTheme="majorHAnsi" w:hAnsiTheme="majorHAnsi"/>
          <w:sz w:val="22"/>
          <w:szCs w:val="22"/>
        </w:rPr>
        <w:t>sufficient</w:t>
      </w:r>
      <w:r w:rsidR="002D6C50">
        <w:rPr>
          <w:rFonts w:asciiTheme="majorHAnsi" w:hAnsiTheme="majorHAnsi"/>
          <w:sz w:val="22"/>
          <w:szCs w:val="22"/>
        </w:rPr>
        <w:t xml:space="preserve"> and must be monitored carefully</w:t>
      </w:r>
      <w:r w:rsidR="00411A12" w:rsidRPr="002D6C50">
        <w:rPr>
          <w:rFonts w:asciiTheme="majorHAnsi" w:hAnsiTheme="majorHAnsi"/>
          <w:sz w:val="22"/>
          <w:szCs w:val="22"/>
        </w:rPr>
        <w:t>.</w:t>
      </w:r>
      <w:r w:rsidR="00411A12">
        <w:rPr>
          <w:rFonts w:asciiTheme="majorHAnsi" w:hAnsiTheme="majorHAnsi"/>
          <w:sz w:val="22"/>
          <w:szCs w:val="22"/>
        </w:rPr>
        <w:t xml:space="preserve"> </w:t>
      </w:r>
      <w:r w:rsidR="002D6C50">
        <w:rPr>
          <w:rFonts w:asciiTheme="majorHAnsi" w:hAnsiTheme="majorHAnsi"/>
          <w:sz w:val="22"/>
          <w:szCs w:val="22"/>
        </w:rPr>
        <w:t xml:space="preserve"> </w:t>
      </w:r>
    </w:p>
    <w:p w14:paraId="07058E37" w14:textId="77777777" w:rsidR="00411A12" w:rsidRDefault="00411A12" w:rsidP="00D610BA">
      <w:pPr>
        <w:rPr>
          <w:rFonts w:asciiTheme="majorHAnsi" w:hAnsiTheme="majorHAnsi"/>
          <w:sz w:val="22"/>
          <w:szCs w:val="22"/>
        </w:rPr>
      </w:pPr>
    </w:p>
    <w:p w14:paraId="0102FEEA" w14:textId="2B6424B3" w:rsidR="002D6C50" w:rsidRPr="005F5560" w:rsidRDefault="002D6C50" w:rsidP="00D610BA">
      <w:pPr>
        <w:rPr>
          <w:rFonts w:asciiTheme="majorHAnsi" w:hAnsiTheme="majorHAnsi"/>
          <w:sz w:val="22"/>
          <w:szCs w:val="22"/>
        </w:rPr>
      </w:pPr>
      <w:r w:rsidRPr="006A2417">
        <w:rPr>
          <w:rFonts w:asciiTheme="majorHAnsi" w:hAnsiTheme="majorHAnsi"/>
          <w:sz w:val="22"/>
          <w:szCs w:val="22"/>
        </w:rPr>
        <w:t xml:space="preserve">Table </w:t>
      </w:r>
      <w:r w:rsidR="006A2417" w:rsidRPr="006A2417">
        <w:rPr>
          <w:rFonts w:asciiTheme="majorHAnsi" w:hAnsiTheme="majorHAnsi"/>
          <w:sz w:val="22"/>
          <w:szCs w:val="22"/>
        </w:rPr>
        <w:t>2.</w:t>
      </w:r>
      <w:r>
        <w:rPr>
          <w:rFonts w:asciiTheme="majorHAnsi" w:hAnsiTheme="majorHAnsi"/>
          <w:sz w:val="22"/>
          <w:szCs w:val="22"/>
        </w:rPr>
        <w:t xml:space="preserve"> Deviations from expected schedule of project deliverables</w:t>
      </w:r>
    </w:p>
    <w:tbl>
      <w:tblPr>
        <w:tblStyle w:val="TableGrid"/>
        <w:tblpPr w:leftFromText="180" w:rightFromText="180" w:vertAnchor="text" w:horzAnchor="page" w:tblpX="1369" w:tblpY="303"/>
        <w:tblW w:w="0" w:type="auto"/>
        <w:tblLook w:val="04A0" w:firstRow="1" w:lastRow="0" w:firstColumn="1" w:lastColumn="0" w:noHBand="0" w:noVBand="1"/>
      </w:tblPr>
      <w:tblGrid>
        <w:gridCol w:w="4746"/>
        <w:gridCol w:w="4428"/>
      </w:tblGrid>
      <w:tr w:rsidR="00C271F9" w:rsidRPr="00060C35" w14:paraId="49B921D9" w14:textId="77777777" w:rsidTr="00C271F9">
        <w:tc>
          <w:tcPr>
            <w:tcW w:w="4746" w:type="dxa"/>
          </w:tcPr>
          <w:p w14:paraId="6C001ED0" w14:textId="77777777" w:rsidR="00C271F9" w:rsidRPr="00060C35" w:rsidRDefault="00C271F9" w:rsidP="00C271F9">
            <w:pPr>
              <w:widowControl w:val="0"/>
              <w:autoSpaceDE w:val="0"/>
              <w:autoSpaceDN w:val="0"/>
              <w:adjustRightInd w:val="0"/>
              <w:jc w:val="center"/>
              <w:rPr>
                <w:rFonts w:asciiTheme="majorHAnsi" w:hAnsiTheme="majorHAnsi" w:cs="Helvetica"/>
                <w:color w:val="540002"/>
                <w:sz w:val="22"/>
                <w:szCs w:val="22"/>
                <w:lang w:val="en-US"/>
              </w:rPr>
            </w:pPr>
            <w:r w:rsidRPr="00060C35">
              <w:rPr>
                <w:rFonts w:asciiTheme="majorHAnsi" w:hAnsiTheme="majorHAnsi" w:cs="Helvetica"/>
                <w:color w:val="540002"/>
                <w:sz w:val="22"/>
                <w:szCs w:val="22"/>
                <w:lang w:val="en-US"/>
              </w:rPr>
              <w:t>Activity</w:t>
            </w:r>
          </w:p>
        </w:tc>
        <w:tc>
          <w:tcPr>
            <w:tcW w:w="4428" w:type="dxa"/>
          </w:tcPr>
          <w:p w14:paraId="5BAAFD02" w14:textId="77777777" w:rsidR="00C271F9" w:rsidRPr="00060C35" w:rsidRDefault="00C271F9" w:rsidP="00C271F9">
            <w:pPr>
              <w:widowControl w:val="0"/>
              <w:autoSpaceDE w:val="0"/>
              <w:autoSpaceDN w:val="0"/>
              <w:adjustRightInd w:val="0"/>
              <w:jc w:val="center"/>
              <w:rPr>
                <w:rFonts w:asciiTheme="majorHAnsi" w:hAnsiTheme="majorHAnsi" w:cs="Helvetica"/>
                <w:color w:val="540002"/>
                <w:sz w:val="22"/>
                <w:szCs w:val="22"/>
                <w:lang w:val="en-US"/>
              </w:rPr>
            </w:pPr>
            <w:r w:rsidRPr="00060C35">
              <w:rPr>
                <w:rFonts w:asciiTheme="majorHAnsi" w:hAnsiTheme="majorHAnsi" w:cs="Helvetica"/>
                <w:color w:val="540002"/>
                <w:sz w:val="22"/>
                <w:szCs w:val="22"/>
                <w:lang w:val="en-US"/>
              </w:rPr>
              <w:t>Deviation from scheduled delivery</w:t>
            </w:r>
          </w:p>
        </w:tc>
      </w:tr>
      <w:tr w:rsidR="00C271F9" w:rsidRPr="00060C35" w14:paraId="203342E9" w14:textId="77777777" w:rsidTr="00C271F9">
        <w:tc>
          <w:tcPr>
            <w:tcW w:w="4746" w:type="dxa"/>
          </w:tcPr>
          <w:p w14:paraId="5E545FCA"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1a MENARID</w:t>
            </w:r>
          </w:p>
        </w:tc>
        <w:tc>
          <w:tcPr>
            <w:tcW w:w="4428" w:type="dxa"/>
          </w:tcPr>
          <w:p w14:paraId="65EBC00B"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No deviations</w:t>
            </w:r>
          </w:p>
        </w:tc>
      </w:tr>
      <w:tr w:rsidR="00C271F9" w:rsidRPr="00060C35" w14:paraId="2DA78318" w14:textId="77777777" w:rsidTr="00C271F9">
        <w:tc>
          <w:tcPr>
            <w:tcW w:w="4746" w:type="dxa"/>
          </w:tcPr>
          <w:p w14:paraId="699AA11C"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 xml:space="preserve">1b SEE &amp; Med Dialogue </w:t>
            </w:r>
          </w:p>
        </w:tc>
        <w:tc>
          <w:tcPr>
            <w:tcW w:w="4428" w:type="dxa"/>
          </w:tcPr>
          <w:p w14:paraId="6C239F69"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No deviations</w:t>
            </w:r>
          </w:p>
        </w:tc>
      </w:tr>
      <w:tr w:rsidR="00C271F9" w:rsidRPr="00060C35" w14:paraId="4B79545E" w14:textId="77777777" w:rsidTr="00C271F9">
        <w:tc>
          <w:tcPr>
            <w:tcW w:w="4746" w:type="dxa"/>
          </w:tcPr>
          <w:p w14:paraId="0E5D049E"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 xml:space="preserve">1c Services to regions </w:t>
            </w:r>
          </w:p>
        </w:tc>
        <w:tc>
          <w:tcPr>
            <w:tcW w:w="4428" w:type="dxa"/>
          </w:tcPr>
          <w:p w14:paraId="2186CD29"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No deviations</w:t>
            </w:r>
          </w:p>
        </w:tc>
      </w:tr>
      <w:tr w:rsidR="00C271F9" w:rsidRPr="00D97AA1" w14:paraId="20579292" w14:textId="77777777" w:rsidTr="00C271F9">
        <w:tc>
          <w:tcPr>
            <w:tcW w:w="4746" w:type="dxa"/>
          </w:tcPr>
          <w:p w14:paraId="08A67604"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2a Groundwater Copy</w:t>
            </w:r>
          </w:p>
        </w:tc>
        <w:tc>
          <w:tcPr>
            <w:tcW w:w="4428" w:type="dxa"/>
          </w:tcPr>
          <w:p w14:paraId="750A1F16"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Groundwater Integration Dialogue #1 in the MERCOSUR region. National experts involved in the follow up to the GEF Guarani Project. Due Q4 2012 now expected Q2 2013</w:t>
            </w:r>
          </w:p>
        </w:tc>
      </w:tr>
      <w:tr w:rsidR="00C271F9" w:rsidRPr="00D97AA1" w14:paraId="5B8A0115" w14:textId="77777777" w:rsidTr="00C271F9">
        <w:tc>
          <w:tcPr>
            <w:tcW w:w="4746" w:type="dxa"/>
          </w:tcPr>
          <w:p w14:paraId="5A9E9D04"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 xml:space="preserve">2b Surface water CoP </w:t>
            </w:r>
          </w:p>
          <w:p w14:paraId="11FA8237"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p>
          <w:p w14:paraId="526230B3"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p>
        </w:tc>
        <w:tc>
          <w:tcPr>
            <w:tcW w:w="4428" w:type="dxa"/>
          </w:tcPr>
          <w:p w14:paraId="1BF33020"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 xml:space="preserve">Some delay with Formation of Facilitator Group and facilitation of exchanges to prepare surface water 'learning agendas'. Now expected Q1 2013. </w:t>
            </w:r>
          </w:p>
        </w:tc>
      </w:tr>
      <w:tr w:rsidR="00C271F9" w:rsidRPr="00D97AA1" w14:paraId="722DE17B" w14:textId="77777777" w:rsidTr="00C271F9">
        <w:tc>
          <w:tcPr>
            <w:tcW w:w="4746" w:type="dxa"/>
          </w:tcPr>
          <w:p w14:paraId="58586B14"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3a IWC6</w:t>
            </w:r>
          </w:p>
          <w:p w14:paraId="5310C00C"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p>
        </w:tc>
        <w:tc>
          <w:tcPr>
            <w:tcW w:w="4428" w:type="dxa"/>
          </w:tcPr>
          <w:p w14:paraId="44A467C6" w14:textId="4B7C9C53"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 xml:space="preserve">No </w:t>
            </w:r>
            <w:r w:rsidR="007B029D">
              <w:rPr>
                <w:rFonts w:asciiTheme="majorHAnsi" w:hAnsiTheme="majorHAnsi" w:cs="Helvetica"/>
                <w:color w:val="540002"/>
                <w:sz w:val="20"/>
                <w:szCs w:val="20"/>
                <w:lang w:val="en-US"/>
              </w:rPr>
              <w:t xml:space="preserve">major </w:t>
            </w:r>
            <w:r w:rsidRPr="00060C35">
              <w:rPr>
                <w:rFonts w:asciiTheme="majorHAnsi" w:hAnsiTheme="majorHAnsi" w:cs="Helvetica"/>
                <w:color w:val="540002"/>
                <w:sz w:val="20"/>
                <w:szCs w:val="20"/>
                <w:lang w:val="en-US"/>
              </w:rPr>
              <w:t>deviations, except the final report overdue expected Q1 2013</w:t>
            </w:r>
          </w:p>
        </w:tc>
      </w:tr>
      <w:tr w:rsidR="00C271F9" w:rsidRPr="00D97AA1" w14:paraId="02C1ADD4" w14:textId="77777777" w:rsidTr="00C271F9">
        <w:tc>
          <w:tcPr>
            <w:tcW w:w="4746" w:type="dxa"/>
          </w:tcPr>
          <w:p w14:paraId="6530219E"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 xml:space="preserve">3b Global dialogue participation </w:t>
            </w:r>
          </w:p>
        </w:tc>
        <w:tc>
          <w:tcPr>
            <w:tcW w:w="4428" w:type="dxa"/>
          </w:tcPr>
          <w:p w14:paraId="0286A702"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No deviation</w:t>
            </w:r>
          </w:p>
        </w:tc>
      </w:tr>
      <w:tr w:rsidR="00C271F9" w:rsidRPr="00D97AA1" w14:paraId="34737501" w14:textId="77777777" w:rsidTr="00C271F9">
        <w:tc>
          <w:tcPr>
            <w:tcW w:w="4746" w:type="dxa"/>
          </w:tcPr>
          <w:p w14:paraId="5B365709" w14:textId="77777777"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3c Science partnership</w:t>
            </w:r>
          </w:p>
        </w:tc>
        <w:tc>
          <w:tcPr>
            <w:tcW w:w="4428" w:type="dxa"/>
          </w:tcPr>
          <w:p w14:paraId="4EB5EDDF" w14:textId="4FB77FEC" w:rsidR="00C271F9" w:rsidRPr="00060C35" w:rsidRDefault="00C271F9" w:rsidP="00C271F9">
            <w:pPr>
              <w:widowControl w:val="0"/>
              <w:autoSpaceDE w:val="0"/>
              <w:autoSpaceDN w:val="0"/>
              <w:adjustRightInd w:val="0"/>
              <w:rPr>
                <w:rFonts w:asciiTheme="majorHAnsi" w:hAnsiTheme="majorHAnsi" w:cs="Helvetica"/>
                <w:color w:val="540002"/>
                <w:sz w:val="20"/>
                <w:szCs w:val="20"/>
                <w:lang w:val="en-US"/>
              </w:rPr>
            </w:pPr>
            <w:r w:rsidRPr="00060C35">
              <w:rPr>
                <w:rFonts w:asciiTheme="majorHAnsi" w:hAnsiTheme="majorHAnsi" w:cs="Helvetica"/>
                <w:color w:val="540002"/>
                <w:sz w:val="20"/>
                <w:szCs w:val="20"/>
                <w:lang w:val="en-US"/>
              </w:rPr>
              <w:t>No</w:t>
            </w:r>
            <w:r w:rsidR="007B029D">
              <w:rPr>
                <w:rFonts w:asciiTheme="majorHAnsi" w:hAnsiTheme="majorHAnsi" w:cs="Helvetica"/>
                <w:color w:val="540002"/>
                <w:sz w:val="20"/>
                <w:szCs w:val="20"/>
                <w:lang w:val="en-US"/>
              </w:rPr>
              <w:t xml:space="preserve"> major</w:t>
            </w:r>
            <w:r w:rsidR="006C543C">
              <w:rPr>
                <w:rFonts w:asciiTheme="majorHAnsi" w:hAnsiTheme="majorHAnsi" w:cs="Helvetica"/>
                <w:color w:val="540002"/>
                <w:sz w:val="20"/>
                <w:szCs w:val="20"/>
                <w:lang w:val="en-US"/>
              </w:rPr>
              <w:t xml:space="preserve"> deviation although </w:t>
            </w:r>
            <w:proofErr w:type="gramStart"/>
            <w:r w:rsidR="006C543C">
              <w:rPr>
                <w:rFonts w:asciiTheme="majorHAnsi" w:hAnsiTheme="majorHAnsi" w:cs="Helvetica"/>
                <w:color w:val="540002"/>
                <w:sz w:val="20"/>
                <w:szCs w:val="20"/>
                <w:lang w:val="en-US"/>
              </w:rPr>
              <w:t xml:space="preserve">evaluation </w:t>
            </w:r>
            <w:r w:rsidRPr="00060C35">
              <w:rPr>
                <w:rFonts w:asciiTheme="majorHAnsi" w:hAnsiTheme="majorHAnsi" w:cs="Helvetica"/>
                <w:color w:val="540002"/>
                <w:sz w:val="20"/>
                <w:szCs w:val="20"/>
                <w:lang w:val="en-US"/>
              </w:rPr>
              <w:t>report</w:t>
            </w:r>
            <w:proofErr w:type="gramEnd"/>
            <w:r w:rsidRPr="00060C35">
              <w:rPr>
                <w:rFonts w:asciiTheme="majorHAnsi" w:hAnsiTheme="majorHAnsi" w:cs="Helvetica"/>
                <w:color w:val="540002"/>
                <w:sz w:val="20"/>
                <w:szCs w:val="20"/>
                <w:lang w:val="en-US"/>
              </w:rPr>
              <w:t xml:space="preserve"> overdue. Expected Q1 2013 </w:t>
            </w:r>
          </w:p>
        </w:tc>
      </w:tr>
      <w:tr w:rsidR="00C271F9" w:rsidRPr="00D97AA1" w14:paraId="21FDAE15" w14:textId="77777777" w:rsidTr="00C271F9">
        <w:tc>
          <w:tcPr>
            <w:tcW w:w="4746" w:type="dxa"/>
          </w:tcPr>
          <w:p w14:paraId="4C5C7DE8"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3d Journal </w:t>
            </w:r>
          </w:p>
          <w:p w14:paraId="1356FF41"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0B8B2F84"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75AA98B1"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3d Publications </w:t>
            </w:r>
          </w:p>
          <w:p w14:paraId="2CB0B1EB"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11A64257"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324BBF66"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1EFA83F3"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3d Film</w:t>
            </w:r>
          </w:p>
        </w:tc>
        <w:tc>
          <w:tcPr>
            <w:tcW w:w="4428" w:type="dxa"/>
          </w:tcPr>
          <w:p w14:paraId="0BA4B73B" w14:textId="66D1E555" w:rsidR="00C271F9" w:rsidRPr="00D97AA1" w:rsidRDefault="006C543C" w:rsidP="00C271F9">
            <w:pPr>
              <w:widowControl w:val="0"/>
              <w:autoSpaceDE w:val="0"/>
              <w:autoSpaceDN w:val="0"/>
              <w:adjustRightInd w:val="0"/>
              <w:rPr>
                <w:rFonts w:asciiTheme="majorHAnsi" w:hAnsiTheme="majorHAnsi" w:cs="Helvetica"/>
                <w:color w:val="540002"/>
                <w:sz w:val="20"/>
                <w:szCs w:val="20"/>
                <w:lang w:val="en-US"/>
              </w:rPr>
            </w:pPr>
            <w:r>
              <w:rPr>
                <w:rFonts w:asciiTheme="majorHAnsi" w:hAnsiTheme="majorHAnsi" w:cs="Helvetica"/>
                <w:color w:val="540002"/>
                <w:sz w:val="20"/>
                <w:szCs w:val="20"/>
                <w:lang w:val="en-US"/>
              </w:rPr>
              <w:t xml:space="preserve">Significant delay: due Q2 2012 </w:t>
            </w:r>
            <w:r w:rsidR="00C271F9" w:rsidRPr="00D97AA1">
              <w:rPr>
                <w:rFonts w:asciiTheme="majorHAnsi" w:hAnsiTheme="majorHAnsi" w:cs="Helvetica"/>
                <w:color w:val="540002"/>
                <w:sz w:val="20"/>
                <w:szCs w:val="20"/>
                <w:lang w:val="en-US"/>
              </w:rPr>
              <w:t>now expected July 2013.</w:t>
            </w:r>
          </w:p>
          <w:p w14:paraId="4915FD84"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6BAB9BCC"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Freshwater completed, Marine, delayed at GEF behest, was to be finished by Rio Plus 20 (June 2012) now expected Q2 2013. D</w:t>
            </w:r>
          </w:p>
          <w:p w14:paraId="3184E210"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51E14A84"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Significant delay: should have been finished for Rio Plus 20 (June 2012)</w:t>
            </w:r>
          </w:p>
          <w:p w14:paraId="4AF48777"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Now expected Q2 2013</w:t>
            </w:r>
          </w:p>
        </w:tc>
      </w:tr>
      <w:tr w:rsidR="00C271F9" w:rsidRPr="00D97AA1" w14:paraId="3B2ABB4A" w14:textId="77777777" w:rsidTr="00C271F9">
        <w:tc>
          <w:tcPr>
            <w:tcW w:w="4746" w:type="dxa"/>
          </w:tcPr>
          <w:p w14:paraId="1C0C2AE8"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COMPONENT 4</w:t>
            </w:r>
          </w:p>
          <w:p w14:paraId="19D6C081"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p w14:paraId="5EA3CD82"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tc>
        <w:tc>
          <w:tcPr>
            <w:tcW w:w="4428" w:type="dxa"/>
          </w:tcPr>
          <w:p w14:paraId="74389EA3" w14:textId="77472CCF" w:rsidR="00C271F9" w:rsidRPr="00D97AA1" w:rsidRDefault="00E22628" w:rsidP="00A57CFF">
            <w:pPr>
              <w:widowControl w:val="0"/>
              <w:autoSpaceDE w:val="0"/>
              <w:autoSpaceDN w:val="0"/>
              <w:adjustRightInd w:val="0"/>
              <w:rPr>
                <w:rFonts w:asciiTheme="majorHAnsi" w:hAnsiTheme="majorHAnsi" w:cs="Helvetica"/>
                <w:color w:val="540002"/>
                <w:sz w:val="20"/>
                <w:szCs w:val="20"/>
                <w:lang w:val="en-US"/>
              </w:rPr>
            </w:pPr>
            <w:r>
              <w:rPr>
                <w:rFonts w:asciiTheme="majorHAnsi" w:hAnsiTheme="majorHAnsi" w:cs="Helvetica"/>
                <w:color w:val="540002"/>
                <w:sz w:val="20"/>
                <w:szCs w:val="20"/>
                <w:lang w:val="en-US"/>
              </w:rPr>
              <w:t>Visualization</w:t>
            </w:r>
            <w:r w:rsidR="00A57CFF">
              <w:rPr>
                <w:rFonts w:asciiTheme="majorHAnsi" w:hAnsiTheme="majorHAnsi" w:cs="Helvetica"/>
                <w:color w:val="540002"/>
                <w:sz w:val="20"/>
                <w:szCs w:val="20"/>
                <w:lang w:val="en-US"/>
              </w:rPr>
              <w:t xml:space="preserve"> tool is late but d</w:t>
            </w:r>
            <w:r w:rsidR="006C543C">
              <w:rPr>
                <w:rFonts w:asciiTheme="majorHAnsi" w:hAnsiTheme="majorHAnsi" w:cs="Helvetica"/>
                <w:color w:val="540002"/>
                <w:sz w:val="20"/>
                <w:szCs w:val="20"/>
                <w:lang w:val="en-US"/>
              </w:rPr>
              <w:t xml:space="preserve">ifficult to evaluate </w:t>
            </w:r>
            <w:r w:rsidR="007B029D">
              <w:rPr>
                <w:rFonts w:asciiTheme="majorHAnsi" w:hAnsiTheme="majorHAnsi" w:cs="Helvetica"/>
                <w:color w:val="540002"/>
                <w:sz w:val="20"/>
                <w:szCs w:val="20"/>
                <w:lang w:val="en-US"/>
              </w:rPr>
              <w:t xml:space="preserve">in detail </w:t>
            </w:r>
            <w:r w:rsidR="00A57CFF">
              <w:rPr>
                <w:rFonts w:asciiTheme="majorHAnsi" w:hAnsiTheme="majorHAnsi" w:cs="Helvetica"/>
                <w:color w:val="540002"/>
                <w:sz w:val="20"/>
                <w:szCs w:val="20"/>
                <w:lang w:val="en-US"/>
              </w:rPr>
              <w:t xml:space="preserve">as </w:t>
            </w:r>
            <w:r w:rsidR="007B029D">
              <w:rPr>
                <w:rFonts w:asciiTheme="majorHAnsi" w:hAnsiTheme="majorHAnsi" w:cs="Helvetica"/>
                <w:color w:val="540002"/>
                <w:sz w:val="20"/>
                <w:szCs w:val="20"/>
                <w:lang w:val="en-US"/>
              </w:rPr>
              <w:t xml:space="preserve">the </w:t>
            </w:r>
            <w:r w:rsidR="00C271F9" w:rsidRPr="00D97AA1">
              <w:rPr>
                <w:rFonts w:asciiTheme="majorHAnsi" w:hAnsiTheme="majorHAnsi" w:cs="Helvetica"/>
                <w:color w:val="540002"/>
                <w:sz w:val="20"/>
                <w:szCs w:val="20"/>
                <w:lang w:val="en-US"/>
              </w:rPr>
              <w:t xml:space="preserve">workplan </w:t>
            </w:r>
            <w:r w:rsidR="007B029D">
              <w:rPr>
                <w:rFonts w:asciiTheme="majorHAnsi" w:hAnsiTheme="majorHAnsi" w:cs="Helvetica"/>
                <w:color w:val="540002"/>
                <w:sz w:val="20"/>
                <w:szCs w:val="20"/>
                <w:lang w:val="en-US"/>
              </w:rPr>
              <w:t>for this component indicates</w:t>
            </w:r>
            <w:r w:rsidR="00C271F9" w:rsidRPr="00D97AA1">
              <w:rPr>
                <w:rFonts w:asciiTheme="majorHAnsi" w:hAnsiTheme="majorHAnsi" w:cs="Helvetica"/>
                <w:color w:val="540002"/>
                <w:sz w:val="20"/>
                <w:szCs w:val="20"/>
                <w:lang w:val="en-US"/>
              </w:rPr>
              <w:t xml:space="preserve"> that all activities were ongoing t</w:t>
            </w:r>
            <w:r w:rsidR="007B029D">
              <w:rPr>
                <w:rFonts w:asciiTheme="majorHAnsi" w:hAnsiTheme="majorHAnsi" w:cs="Helvetica"/>
                <w:color w:val="540002"/>
                <w:sz w:val="20"/>
                <w:szCs w:val="20"/>
                <w:lang w:val="en-US"/>
              </w:rPr>
              <w:t xml:space="preserve">hru the entire implementation period </w:t>
            </w:r>
            <w:proofErr w:type="gramStart"/>
            <w:r w:rsidR="007B029D">
              <w:rPr>
                <w:rFonts w:asciiTheme="majorHAnsi" w:hAnsiTheme="majorHAnsi" w:cs="Helvetica"/>
                <w:color w:val="540002"/>
                <w:sz w:val="20"/>
                <w:szCs w:val="20"/>
                <w:lang w:val="en-US"/>
              </w:rPr>
              <w:t xml:space="preserve">of </w:t>
            </w:r>
            <w:r w:rsidR="00C271F9" w:rsidRPr="00D97AA1">
              <w:rPr>
                <w:rFonts w:asciiTheme="majorHAnsi" w:hAnsiTheme="majorHAnsi" w:cs="Helvetica"/>
                <w:color w:val="540002"/>
                <w:sz w:val="20"/>
                <w:szCs w:val="20"/>
                <w:lang w:val="en-US"/>
              </w:rPr>
              <w:t xml:space="preserve"> the</w:t>
            </w:r>
            <w:proofErr w:type="gramEnd"/>
            <w:r w:rsidR="00C271F9" w:rsidRPr="00D97AA1">
              <w:rPr>
                <w:rFonts w:asciiTheme="majorHAnsi" w:hAnsiTheme="majorHAnsi" w:cs="Helvetica"/>
                <w:color w:val="540002"/>
                <w:sz w:val="20"/>
                <w:szCs w:val="20"/>
                <w:lang w:val="en-US"/>
              </w:rPr>
              <w:t xml:space="preserve"> project. </w:t>
            </w:r>
          </w:p>
        </w:tc>
      </w:tr>
      <w:tr w:rsidR="00C271F9" w:rsidRPr="00D97AA1" w14:paraId="6AFEF28F" w14:textId="77777777" w:rsidTr="00C271F9">
        <w:tc>
          <w:tcPr>
            <w:tcW w:w="4746" w:type="dxa"/>
          </w:tcPr>
          <w:p w14:paraId="715FEB42"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5a TDA-SAP Methodology </w:t>
            </w:r>
          </w:p>
        </w:tc>
        <w:tc>
          <w:tcPr>
            <w:tcW w:w="4428" w:type="dxa"/>
          </w:tcPr>
          <w:p w14:paraId="07D139F7" w14:textId="1CF8DC3C"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Entire activity, both methodology and course were to be finished </w:t>
            </w:r>
            <w:r>
              <w:rPr>
                <w:rFonts w:asciiTheme="majorHAnsi" w:hAnsiTheme="majorHAnsi" w:cs="Helvetica"/>
                <w:color w:val="540002"/>
                <w:sz w:val="20"/>
                <w:szCs w:val="20"/>
                <w:lang w:val="en-US"/>
              </w:rPr>
              <w:t xml:space="preserve">Q4 </w:t>
            </w:r>
            <w:r w:rsidRPr="00D97AA1">
              <w:rPr>
                <w:rFonts w:asciiTheme="majorHAnsi" w:hAnsiTheme="majorHAnsi" w:cs="Helvetica"/>
                <w:color w:val="540002"/>
                <w:sz w:val="20"/>
                <w:szCs w:val="20"/>
                <w:lang w:val="en-US"/>
              </w:rPr>
              <w:t xml:space="preserve">2012. </w:t>
            </w:r>
            <w:r w:rsidR="007B029D">
              <w:rPr>
                <w:rFonts w:asciiTheme="majorHAnsi" w:hAnsiTheme="majorHAnsi" w:cs="Helvetica"/>
                <w:color w:val="540002"/>
                <w:sz w:val="20"/>
                <w:szCs w:val="20"/>
                <w:lang w:val="en-US"/>
              </w:rPr>
              <w:t>GEF slow to comment</w:t>
            </w:r>
          </w:p>
          <w:p w14:paraId="00A97D4B"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&gt;2013Q1</w:t>
            </w:r>
          </w:p>
          <w:p w14:paraId="01386172"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tc>
      </w:tr>
      <w:tr w:rsidR="00C271F9" w:rsidRPr="00D97AA1" w14:paraId="1788862B" w14:textId="77777777" w:rsidTr="00C271F9">
        <w:tc>
          <w:tcPr>
            <w:tcW w:w="4746" w:type="dxa"/>
          </w:tcPr>
          <w:p w14:paraId="51AC3A5D"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5b PM Manual </w:t>
            </w:r>
          </w:p>
        </w:tc>
        <w:tc>
          <w:tcPr>
            <w:tcW w:w="4428" w:type="dxa"/>
          </w:tcPr>
          <w:p w14:paraId="5747EE5B" w14:textId="02858C41"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Some </w:t>
            </w:r>
            <w:r>
              <w:rPr>
                <w:rFonts w:asciiTheme="majorHAnsi" w:hAnsiTheme="majorHAnsi" w:cs="Helvetica"/>
                <w:color w:val="540002"/>
                <w:sz w:val="20"/>
                <w:szCs w:val="20"/>
                <w:lang w:val="en-US"/>
              </w:rPr>
              <w:t>delay p</w:t>
            </w:r>
            <w:r w:rsidR="007B029D">
              <w:rPr>
                <w:rFonts w:asciiTheme="majorHAnsi" w:hAnsiTheme="majorHAnsi" w:cs="Helvetica"/>
                <w:color w:val="540002"/>
                <w:sz w:val="20"/>
                <w:szCs w:val="20"/>
                <w:lang w:val="en-US"/>
              </w:rPr>
              <w:t xml:space="preserve">reparation </w:t>
            </w:r>
            <w:proofErr w:type="gramStart"/>
            <w:r w:rsidR="007B029D">
              <w:rPr>
                <w:rFonts w:asciiTheme="majorHAnsi" w:hAnsiTheme="majorHAnsi" w:cs="Helvetica"/>
                <w:color w:val="540002"/>
                <w:sz w:val="20"/>
                <w:szCs w:val="20"/>
                <w:lang w:val="en-US"/>
              </w:rPr>
              <w:t xml:space="preserve">of  </w:t>
            </w:r>
            <w:r w:rsidRPr="00D97AA1">
              <w:rPr>
                <w:rFonts w:asciiTheme="majorHAnsi" w:hAnsiTheme="majorHAnsi" w:cs="Helvetica"/>
                <w:color w:val="540002"/>
                <w:sz w:val="20"/>
                <w:szCs w:val="20"/>
                <w:lang w:val="en-US"/>
              </w:rPr>
              <w:t>accompanying</w:t>
            </w:r>
            <w:proofErr w:type="gramEnd"/>
            <w:r w:rsidRPr="00D97AA1">
              <w:rPr>
                <w:rFonts w:asciiTheme="majorHAnsi" w:hAnsiTheme="majorHAnsi" w:cs="Helvetica"/>
                <w:color w:val="540002"/>
                <w:sz w:val="20"/>
                <w:szCs w:val="20"/>
                <w:lang w:val="en-US"/>
              </w:rPr>
              <w:t xml:space="preserve"> Course outstanding now due Q1 2013</w:t>
            </w:r>
          </w:p>
          <w:p w14:paraId="7D8FFA76"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p>
        </w:tc>
      </w:tr>
      <w:tr w:rsidR="00C271F9" w:rsidRPr="00D97AA1" w14:paraId="790F88C7" w14:textId="77777777" w:rsidTr="00C271F9">
        <w:tc>
          <w:tcPr>
            <w:tcW w:w="4746" w:type="dxa"/>
          </w:tcPr>
          <w:p w14:paraId="6B8FD87D"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5c Flood index </w:t>
            </w:r>
          </w:p>
        </w:tc>
        <w:tc>
          <w:tcPr>
            <w:tcW w:w="4428" w:type="dxa"/>
          </w:tcPr>
          <w:p w14:paraId="08712E72"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No progress</w:t>
            </w:r>
          </w:p>
        </w:tc>
      </w:tr>
      <w:tr w:rsidR="00C271F9" w:rsidRPr="00D97AA1" w14:paraId="28048354" w14:textId="77777777" w:rsidTr="00C271F9">
        <w:tc>
          <w:tcPr>
            <w:tcW w:w="4746" w:type="dxa"/>
          </w:tcPr>
          <w:p w14:paraId="63FF316D"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5d Private Sector </w:t>
            </w:r>
          </w:p>
        </w:tc>
        <w:tc>
          <w:tcPr>
            <w:tcW w:w="4428" w:type="dxa"/>
          </w:tcPr>
          <w:p w14:paraId="47E7F08F" w14:textId="1F26D59E" w:rsidR="00C271F9" w:rsidRPr="00D97AA1" w:rsidRDefault="00C271F9" w:rsidP="007B029D">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2011Q4 Manual </w:t>
            </w:r>
            <w:r w:rsidR="007B029D">
              <w:rPr>
                <w:rFonts w:asciiTheme="majorHAnsi" w:hAnsiTheme="majorHAnsi" w:cs="Helvetica"/>
                <w:color w:val="540002"/>
                <w:sz w:val="20"/>
                <w:szCs w:val="20"/>
                <w:lang w:val="en-US"/>
              </w:rPr>
              <w:t>–</w:t>
            </w:r>
            <w:r w:rsidRPr="00D97AA1">
              <w:rPr>
                <w:rFonts w:asciiTheme="majorHAnsi" w:hAnsiTheme="majorHAnsi" w:cs="Helvetica"/>
                <w:color w:val="540002"/>
                <w:sz w:val="20"/>
                <w:szCs w:val="20"/>
                <w:lang w:val="en-US"/>
              </w:rPr>
              <w:t xml:space="preserve"> delayed</w:t>
            </w:r>
            <w:r w:rsidR="007B029D">
              <w:rPr>
                <w:rFonts w:asciiTheme="majorHAnsi" w:hAnsiTheme="majorHAnsi" w:cs="Helvetica"/>
                <w:color w:val="540002"/>
                <w:sz w:val="20"/>
                <w:szCs w:val="20"/>
                <w:lang w:val="en-US"/>
              </w:rPr>
              <w:t xml:space="preserve"> owing to slow response to </w:t>
            </w:r>
            <w:proofErr w:type="gramStart"/>
            <w:r w:rsidR="007B029D">
              <w:rPr>
                <w:rFonts w:asciiTheme="majorHAnsi" w:hAnsiTheme="majorHAnsi" w:cs="Helvetica"/>
                <w:color w:val="540002"/>
                <w:sz w:val="20"/>
                <w:szCs w:val="20"/>
                <w:lang w:val="en-US"/>
              </w:rPr>
              <w:t xml:space="preserve">draft </w:t>
            </w:r>
            <w:r w:rsidRPr="00D97AA1">
              <w:rPr>
                <w:rFonts w:asciiTheme="majorHAnsi" w:hAnsiTheme="majorHAnsi" w:cs="Helvetica"/>
                <w:color w:val="540002"/>
                <w:sz w:val="20"/>
                <w:szCs w:val="20"/>
                <w:lang w:val="en-US"/>
              </w:rPr>
              <w:t xml:space="preserve"> by</w:t>
            </w:r>
            <w:proofErr w:type="gramEnd"/>
            <w:r w:rsidRPr="00D97AA1">
              <w:rPr>
                <w:rFonts w:asciiTheme="majorHAnsi" w:hAnsiTheme="majorHAnsi" w:cs="Helvetica"/>
                <w:color w:val="540002"/>
                <w:sz w:val="20"/>
                <w:szCs w:val="20"/>
                <w:lang w:val="en-US"/>
              </w:rPr>
              <w:t xml:space="preserve"> GEF</w:t>
            </w:r>
            <w:r w:rsidR="007B029D">
              <w:rPr>
                <w:rFonts w:asciiTheme="majorHAnsi" w:hAnsiTheme="majorHAnsi" w:cs="Helvetica"/>
                <w:color w:val="540002"/>
                <w:sz w:val="20"/>
                <w:szCs w:val="20"/>
                <w:lang w:val="en-US"/>
              </w:rPr>
              <w:t xml:space="preserve">. Completion shortly. </w:t>
            </w:r>
          </w:p>
        </w:tc>
      </w:tr>
      <w:tr w:rsidR="00C271F9" w:rsidRPr="00D97AA1" w14:paraId="4B3FA1C5" w14:textId="77777777" w:rsidTr="00C271F9">
        <w:tc>
          <w:tcPr>
            <w:tcW w:w="4746" w:type="dxa"/>
          </w:tcPr>
          <w:p w14:paraId="502EFE23" w14:textId="77777777"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sidRPr="00D97AA1">
              <w:rPr>
                <w:rFonts w:asciiTheme="majorHAnsi" w:hAnsiTheme="majorHAnsi" w:cs="Helvetica"/>
                <w:color w:val="540002"/>
                <w:sz w:val="20"/>
                <w:szCs w:val="20"/>
                <w:lang w:val="en-US"/>
              </w:rPr>
              <w:t xml:space="preserve">5e Climate methodology </w:t>
            </w:r>
          </w:p>
        </w:tc>
        <w:tc>
          <w:tcPr>
            <w:tcW w:w="4428" w:type="dxa"/>
          </w:tcPr>
          <w:p w14:paraId="35D86FA3" w14:textId="6D65B1E0" w:rsidR="00C271F9" w:rsidRPr="00D97AA1" w:rsidRDefault="00C271F9" w:rsidP="00C271F9">
            <w:pPr>
              <w:widowControl w:val="0"/>
              <w:autoSpaceDE w:val="0"/>
              <w:autoSpaceDN w:val="0"/>
              <w:adjustRightInd w:val="0"/>
              <w:rPr>
                <w:rFonts w:asciiTheme="majorHAnsi" w:hAnsiTheme="majorHAnsi" w:cs="Helvetica"/>
                <w:color w:val="540002"/>
                <w:sz w:val="20"/>
                <w:szCs w:val="20"/>
                <w:lang w:val="en-US"/>
              </w:rPr>
            </w:pPr>
            <w:r>
              <w:rPr>
                <w:rFonts w:asciiTheme="majorHAnsi" w:hAnsiTheme="majorHAnsi" w:cs="Helvetica"/>
                <w:color w:val="540002"/>
                <w:sz w:val="20"/>
                <w:szCs w:val="20"/>
                <w:lang w:val="en-US"/>
              </w:rPr>
              <w:t xml:space="preserve">Significant </w:t>
            </w:r>
            <w:proofErr w:type="gramStart"/>
            <w:r>
              <w:rPr>
                <w:rFonts w:asciiTheme="majorHAnsi" w:hAnsiTheme="majorHAnsi" w:cs="Helvetica"/>
                <w:color w:val="540002"/>
                <w:sz w:val="20"/>
                <w:szCs w:val="20"/>
                <w:lang w:val="en-US"/>
              </w:rPr>
              <w:t xml:space="preserve">delay </w:t>
            </w:r>
            <w:r w:rsidR="007B029D">
              <w:rPr>
                <w:rFonts w:asciiTheme="majorHAnsi" w:hAnsiTheme="majorHAnsi" w:cs="Helvetica"/>
                <w:color w:val="540002"/>
                <w:sz w:val="20"/>
                <w:szCs w:val="20"/>
                <w:lang w:val="en-US"/>
              </w:rPr>
              <w:t xml:space="preserve"> to</w:t>
            </w:r>
            <w:proofErr w:type="gramEnd"/>
            <w:r w:rsidR="007B029D">
              <w:rPr>
                <w:rFonts w:asciiTheme="majorHAnsi" w:hAnsiTheme="majorHAnsi" w:cs="Helvetica"/>
                <w:color w:val="540002"/>
                <w:sz w:val="20"/>
                <w:szCs w:val="20"/>
                <w:lang w:val="en-US"/>
              </w:rPr>
              <w:t xml:space="preserve"> e</w:t>
            </w:r>
            <w:r w:rsidRPr="00D97AA1">
              <w:rPr>
                <w:rFonts w:asciiTheme="majorHAnsi" w:hAnsiTheme="majorHAnsi" w:cs="Helvetica"/>
                <w:color w:val="540002"/>
                <w:sz w:val="20"/>
                <w:szCs w:val="20"/>
                <w:lang w:val="en-US"/>
              </w:rPr>
              <w:t>ntire component due Q2 2012 now expected Q2 2013</w:t>
            </w:r>
          </w:p>
        </w:tc>
      </w:tr>
    </w:tbl>
    <w:p w14:paraId="632DEF6F" w14:textId="77777777" w:rsidR="00C271F9" w:rsidRDefault="00C271F9" w:rsidP="00E544FB">
      <w:pPr>
        <w:ind w:right="-74"/>
        <w:jc w:val="both"/>
        <w:rPr>
          <w:rFonts w:asciiTheme="majorHAnsi" w:hAnsiTheme="majorHAnsi"/>
          <w:sz w:val="22"/>
          <w:szCs w:val="22"/>
        </w:rPr>
      </w:pPr>
    </w:p>
    <w:p w14:paraId="0A9CD42F" w14:textId="305AABCD" w:rsidR="00991105" w:rsidRDefault="00D3405F" w:rsidP="00C271F9">
      <w:pPr>
        <w:ind w:right="-74"/>
        <w:jc w:val="both"/>
        <w:rPr>
          <w:rFonts w:asciiTheme="majorHAnsi" w:hAnsiTheme="majorHAnsi"/>
          <w:sz w:val="22"/>
          <w:szCs w:val="22"/>
        </w:rPr>
      </w:pPr>
      <w:r w:rsidRPr="00E544FB">
        <w:rPr>
          <w:rFonts w:asciiTheme="majorHAnsi" w:hAnsiTheme="majorHAnsi"/>
          <w:sz w:val="22"/>
          <w:szCs w:val="22"/>
        </w:rPr>
        <w:t xml:space="preserve">As indicted in </w:t>
      </w:r>
      <w:r w:rsidR="00DD67A9">
        <w:rPr>
          <w:rFonts w:asciiTheme="majorHAnsi" w:hAnsiTheme="majorHAnsi"/>
          <w:sz w:val="22"/>
          <w:szCs w:val="22"/>
        </w:rPr>
        <w:t>Table 2 above</w:t>
      </w:r>
      <w:proofErr w:type="gramStart"/>
      <w:r w:rsidR="00DD67A9">
        <w:rPr>
          <w:rFonts w:asciiTheme="majorHAnsi" w:hAnsiTheme="majorHAnsi"/>
          <w:sz w:val="22"/>
          <w:szCs w:val="22"/>
        </w:rPr>
        <w:t xml:space="preserve">, </w:t>
      </w:r>
      <w:r w:rsidRPr="00E544FB">
        <w:rPr>
          <w:rFonts w:asciiTheme="majorHAnsi" w:hAnsiTheme="majorHAnsi"/>
          <w:sz w:val="22"/>
          <w:szCs w:val="22"/>
        </w:rPr>
        <w:t xml:space="preserve"> w</w:t>
      </w:r>
      <w:r w:rsidR="00991105" w:rsidRPr="00E544FB">
        <w:rPr>
          <w:rFonts w:asciiTheme="majorHAnsi" w:hAnsiTheme="majorHAnsi"/>
          <w:sz w:val="22"/>
          <w:szCs w:val="22"/>
        </w:rPr>
        <w:t>ith</w:t>
      </w:r>
      <w:proofErr w:type="gramEnd"/>
      <w:r w:rsidR="00991105" w:rsidRPr="00E544FB">
        <w:rPr>
          <w:rFonts w:asciiTheme="majorHAnsi" w:hAnsiTheme="majorHAnsi"/>
          <w:sz w:val="22"/>
          <w:szCs w:val="22"/>
        </w:rPr>
        <w:t xml:space="preserve"> regard to delivering results as per the planned schedule </w:t>
      </w:r>
      <w:r w:rsidR="007B029D">
        <w:rPr>
          <w:rFonts w:asciiTheme="majorHAnsi" w:hAnsiTheme="majorHAnsi"/>
          <w:sz w:val="22"/>
          <w:szCs w:val="22"/>
        </w:rPr>
        <w:t>from the</w:t>
      </w:r>
      <w:r w:rsidR="00991105" w:rsidRPr="00E544FB">
        <w:rPr>
          <w:rFonts w:asciiTheme="majorHAnsi" w:hAnsiTheme="majorHAnsi"/>
          <w:sz w:val="22"/>
          <w:szCs w:val="22"/>
        </w:rPr>
        <w:t xml:space="preserve"> Inception Report most activities are </w:t>
      </w:r>
      <w:r w:rsidRPr="00E544FB">
        <w:rPr>
          <w:rFonts w:asciiTheme="majorHAnsi" w:hAnsiTheme="majorHAnsi"/>
          <w:sz w:val="22"/>
          <w:szCs w:val="22"/>
        </w:rPr>
        <w:t>on schedule but with</w:t>
      </w:r>
      <w:r w:rsidR="007B029D">
        <w:rPr>
          <w:rFonts w:asciiTheme="majorHAnsi" w:hAnsiTheme="majorHAnsi"/>
          <w:sz w:val="22"/>
          <w:szCs w:val="22"/>
        </w:rPr>
        <w:t xml:space="preserve"> some notable </w:t>
      </w:r>
      <w:r w:rsidRPr="00E544FB">
        <w:rPr>
          <w:rFonts w:asciiTheme="majorHAnsi" w:hAnsiTheme="majorHAnsi"/>
          <w:sz w:val="22"/>
          <w:szCs w:val="22"/>
        </w:rPr>
        <w:t>exceptions</w:t>
      </w:r>
      <w:r w:rsidR="00411A12">
        <w:rPr>
          <w:rFonts w:asciiTheme="majorHAnsi" w:hAnsiTheme="majorHAnsi"/>
          <w:sz w:val="22"/>
          <w:szCs w:val="22"/>
        </w:rPr>
        <w:t xml:space="preserve"> whose completion is outstanding</w:t>
      </w:r>
      <w:r w:rsidRPr="00E544FB">
        <w:rPr>
          <w:rFonts w:asciiTheme="majorHAnsi" w:hAnsiTheme="majorHAnsi"/>
          <w:sz w:val="22"/>
          <w:szCs w:val="22"/>
        </w:rPr>
        <w:t>. Most critical in the view of the MTE are the delays in a) finalising the ICT platforms</w:t>
      </w:r>
      <w:proofErr w:type="gramStart"/>
      <w:r w:rsidRPr="00E544FB">
        <w:rPr>
          <w:rFonts w:asciiTheme="majorHAnsi" w:hAnsiTheme="majorHAnsi"/>
          <w:sz w:val="22"/>
          <w:szCs w:val="22"/>
        </w:rPr>
        <w:t>,  b</w:t>
      </w:r>
      <w:proofErr w:type="gramEnd"/>
      <w:r w:rsidRPr="00E544FB">
        <w:rPr>
          <w:rFonts w:asciiTheme="majorHAnsi" w:hAnsiTheme="majorHAnsi"/>
          <w:sz w:val="22"/>
          <w:szCs w:val="22"/>
        </w:rPr>
        <w:t xml:space="preserve">) full completion of the TDA/SAP and PM manuals and c) Climate mainstreaming.  </w:t>
      </w:r>
      <w:r w:rsidR="00411A12">
        <w:rPr>
          <w:rFonts w:asciiTheme="majorHAnsi" w:hAnsiTheme="majorHAnsi"/>
          <w:sz w:val="22"/>
          <w:szCs w:val="22"/>
        </w:rPr>
        <w:t>Whereas the MTE believes that</w:t>
      </w:r>
      <w:r w:rsidR="007B029D">
        <w:rPr>
          <w:rFonts w:asciiTheme="majorHAnsi" w:hAnsiTheme="majorHAnsi"/>
          <w:sz w:val="22"/>
          <w:szCs w:val="22"/>
        </w:rPr>
        <w:t xml:space="preserve"> the project will catch up the </w:t>
      </w:r>
      <w:r w:rsidR="00411A12">
        <w:rPr>
          <w:rFonts w:asciiTheme="majorHAnsi" w:hAnsiTheme="majorHAnsi"/>
          <w:sz w:val="22"/>
          <w:szCs w:val="22"/>
        </w:rPr>
        <w:t xml:space="preserve">in the time remaining having so many loose ends, reports, film, IT fixes etc distracts and dilutes the efforts of the PCU and this is confirmed by the PM. </w:t>
      </w:r>
    </w:p>
    <w:p w14:paraId="480F6C38" w14:textId="77777777" w:rsidR="00C271F9" w:rsidRPr="00C271F9" w:rsidRDefault="00C271F9" w:rsidP="003A2A6A">
      <w:pPr>
        <w:ind w:right="-74"/>
        <w:jc w:val="both"/>
        <w:rPr>
          <w:rFonts w:asciiTheme="majorHAnsi" w:hAnsiTheme="majorHAnsi"/>
          <w:sz w:val="22"/>
          <w:szCs w:val="22"/>
        </w:rPr>
      </w:pPr>
    </w:p>
    <w:p w14:paraId="20A9ED40" w14:textId="217DA061" w:rsidR="008F7E64" w:rsidRDefault="00411A12" w:rsidP="005C4AC5">
      <w:pPr>
        <w:jc w:val="both"/>
      </w:pPr>
      <w:r w:rsidRPr="00C271F9">
        <w:rPr>
          <w:rFonts w:asciiTheme="majorHAnsi" w:hAnsiTheme="majorHAnsi"/>
          <w:sz w:val="22"/>
          <w:szCs w:val="22"/>
        </w:rPr>
        <w:t xml:space="preserve">Finally with regard to efficiency as noted under </w:t>
      </w:r>
      <w:r w:rsidR="005F5560" w:rsidRPr="00C271F9">
        <w:rPr>
          <w:rFonts w:asciiTheme="majorHAnsi" w:hAnsiTheme="majorHAnsi"/>
          <w:sz w:val="22"/>
          <w:szCs w:val="22"/>
        </w:rPr>
        <w:t xml:space="preserve">section </w:t>
      </w:r>
      <w:r w:rsidR="00C271F9" w:rsidRPr="00C271F9">
        <w:rPr>
          <w:rFonts w:asciiTheme="majorHAnsi" w:hAnsiTheme="majorHAnsi"/>
          <w:sz w:val="22"/>
          <w:szCs w:val="22"/>
        </w:rPr>
        <w:t xml:space="preserve">3.5.2 </w:t>
      </w:r>
      <w:r w:rsidR="005F5560" w:rsidRPr="00C271F9">
        <w:rPr>
          <w:rFonts w:asciiTheme="majorHAnsi" w:hAnsiTheme="majorHAnsi"/>
          <w:sz w:val="22"/>
          <w:szCs w:val="22"/>
        </w:rPr>
        <w:t xml:space="preserve">the MTE considers the dual IAs, </w:t>
      </w:r>
      <w:r w:rsidR="007B029D">
        <w:rPr>
          <w:rFonts w:asciiTheme="majorHAnsi" w:hAnsiTheme="majorHAnsi"/>
          <w:sz w:val="22"/>
          <w:szCs w:val="22"/>
        </w:rPr>
        <w:t xml:space="preserve">and EA’s </w:t>
      </w:r>
      <w:r w:rsidR="005F5560" w:rsidRPr="00C271F9">
        <w:rPr>
          <w:rFonts w:asciiTheme="majorHAnsi" w:hAnsiTheme="majorHAnsi"/>
          <w:sz w:val="22"/>
          <w:szCs w:val="22"/>
        </w:rPr>
        <w:t>and split PCU to be a highly inefficient arrangement</w:t>
      </w:r>
      <w:r w:rsidRPr="00C271F9">
        <w:rPr>
          <w:rFonts w:asciiTheme="majorHAnsi" w:hAnsiTheme="majorHAnsi"/>
          <w:sz w:val="22"/>
          <w:szCs w:val="22"/>
        </w:rPr>
        <w:t xml:space="preserve"> with concomitant impact on effectivenes</w:t>
      </w:r>
      <w:r w:rsidR="00C271F9" w:rsidRPr="00C271F9">
        <w:rPr>
          <w:rFonts w:asciiTheme="majorHAnsi" w:hAnsiTheme="majorHAnsi"/>
          <w:sz w:val="22"/>
          <w:szCs w:val="22"/>
        </w:rPr>
        <w:t>s as a consequence of geographic separation and weakened command chain</w:t>
      </w:r>
      <w:r w:rsidR="005F5560" w:rsidRPr="00C271F9">
        <w:rPr>
          <w:rFonts w:asciiTheme="majorHAnsi" w:hAnsiTheme="majorHAnsi"/>
          <w:sz w:val="22"/>
          <w:szCs w:val="22"/>
        </w:rPr>
        <w:t xml:space="preserve">. </w:t>
      </w:r>
      <w:r w:rsidR="00C271F9">
        <w:rPr>
          <w:rFonts w:asciiTheme="majorHAnsi" w:hAnsiTheme="majorHAnsi"/>
          <w:sz w:val="22"/>
          <w:szCs w:val="22"/>
        </w:rPr>
        <w:t xml:space="preserve"> </w:t>
      </w:r>
    </w:p>
    <w:p w14:paraId="3518944A" w14:textId="4093462D" w:rsidR="008C2D67" w:rsidRDefault="008F7E64" w:rsidP="008C2D67">
      <w:pPr>
        <w:pStyle w:val="Heading3"/>
      </w:pPr>
      <w:bookmarkStart w:id="59" w:name="_Toc222479146"/>
      <w:r w:rsidRPr="008C2D67">
        <w:t>Assumptions and Risks</w:t>
      </w:r>
      <w:bookmarkEnd w:id="59"/>
      <w:r w:rsidRPr="008C2D67">
        <w:t xml:space="preserve"> </w:t>
      </w:r>
    </w:p>
    <w:p w14:paraId="705B2810" w14:textId="6AAF34D5" w:rsidR="00F1381A" w:rsidRPr="00F1381A" w:rsidRDefault="00A00D57" w:rsidP="00A00D57">
      <w:pPr>
        <w:jc w:val="both"/>
        <w:rPr>
          <w:rFonts w:asciiTheme="majorHAnsi" w:hAnsiTheme="majorHAnsi" w:cs="Arial"/>
          <w:sz w:val="20"/>
          <w:szCs w:val="20"/>
        </w:rPr>
      </w:pPr>
      <w:r w:rsidRPr="00A00D57">
        <w:rPr>
          <w:rFonts w:asciiTheme="majorHAnsi" w:hAnsiTheme="majorHAnsi"/>
          <w:sz w:val="22"/>
          <w:szCs w:val="22"/>
        </w:rPr>
        <w:t xml:space="preserve">The MTE considered the identification and management of risks to be </w:t>
      </w:r>
      <w:r w:rsidRPr="00A00D57">
        <w:rPr>
          <w:rFonts w:asciiTheme="majorHAnsi" w:hAnsiTheme="majorHAnsi"/>
          <w:b/>
          <w:sz w:val="22"/>
          <w:szCs w:val="22"/>
        </w:rPr>
        <w:t>Satisfactory</w:t>
      </w:r>
      <w:r w:rsidRPr="00A00D57">
        <w:rPr>
          <w:rFonts w:asciiTheme="majorHAnsi" w:hAnsiTheme="majorHAnsi"/>
          <w:sz w:val="22"/>
          <w:szCs w:val="22"/>
        </w:rPr>
        <w:t xml:space="preserve">. </w:t>
      </w:r>
      <w:r w:rsidR="008C2D67" w:rsidRPr="008C2D67">
        <w:rPr>
          <w:rFonts w:asciiTheme="majorHAnsi" w:hAnsiTheme="majorHAnsi"/>
          <w:sz w:val="22"/>
          <w:szCs w:val="22"/>
        </w:rPr>
        <w:t xml:space="preserve">The Project Document </w:t>
      </w:r>
      <w:r w:rsidR="008C2D67">
        <w:rPr>
          <w:rFonts w:asciiTheme="majorHAnsi" w:hAnsiTheme="majorHAnsi"/>
          <w:sz w:val="22"/>
          <w:szCs w:val="22"/>
        </w:rPr>
        <w:t xml:space="preserve">identified the underlying assumptions for attainment of project objectives and the key risks. These </w:t>
      </w:r>
      <w:r w:rsidR="00F1381A">
        <w:rPr>
          <w:rFonts w:asciiTheme="majorHAnsi" w:hAnsiTheme="majorHAnsi"/>
          <w:sz w:val="22"/>
          <w:szCs w:val="22"/>
        </w:rPr>
        <w:t xml:space="preserve">were further updated in the inception report and are shown in </w:t>
      </w:r>
      <w:r w:rsidR="00D77D5B" w:rsidRPr="00D77D5B">
        <w:rPr>
          <w:rFonts w:asciiTheme="majorHAnsi" w:hAnsiTheme="majorHAnsi"/>
          <w:sz w:val="22"/>
          <w:szCs w:val="22"/>
        </w:rPr>
        <w:t xml:space="preserve">Table 1. </w:t>
      </w:r>
      <w:proofErr w:type="gramStart"/>
      <w:r w:rsidR="00F1381A">
        <w:rPr>
          <w:rFonts w:asciiTheme="majorHAnsi" w:hAnsiTheme="majorHAnsi"/>
          <w:sz w:val="22"/>
          <w:szCs w:val="22"/>
        </w:rPr>
        <w:t>above</w:t>
      </w:r>
      <w:proofErr w:type="gramEnd"/>
      <w:r w:rsidR="00F1381A">
        <w:rPr>
          <w:rFonts w:asciiTheme="majorHAnsi" w:hAnsiTheme="majorHAnsi"/>
          <w:sz w:val="22"/>
          <w:szCs w:val="22"/>
        </w:rPr>
        <w:t xml:space="preserve"> and following </w:t>
      </w:r>
      <w:r w:rsidR="00D77D5B">
        <w:rPr>
          <w:rFonts w:asciiTheme="majorHAnsi" w:hAnsiTheme="majorHAnsi"/>
          <w:sz w:val="22"/>
          <w:szCs w:val="22"/>
        </w:rPr>
        <w:t xml:space="preserve">Table 3  </w:t>
      </w:r>
      <w:r w:rsidR="008C2D67" w:rsidRPr="008C2D67">
        <w:rPr>
          <w:rFonts w:asciiTheme="majorHAnsi" w:hAnsiTheme="majorHAnsi"/>
          <w:sz w:val="22"/>
          <w:szCs w:val="22"/>
        </w:rPr>
        <w:t xml:space="preserve">identified potential risks </w:t>
      </w:r>
      <w:r w:rsidR="00F1381A">
        <w:rPr>
          <w:rFonts w:asciiTheme="majorHAnsi" w:hAnsiTheme="majorHAnsi"/>
          <w:sz w:val="22"/>
          <w:szCs w:val="22"/>
        </w:rPr>
        <w:t xml:space="preserve">and means of mitigation. </w:t>
      </w:r>
      <w:r w:rsidR="008C2D67" w:rsidRPr="008C2D67">
        <w:rPr>
          <w:rFonts w:asciiTheme="majorHAnsi" w:hAnsiTheme="majorHAnsi"/>
          <w:sz w:val="22"/>
          <w:szCs w:val="22"/>
        </w:rPr>
        <w:t xml:space="preserve">The </w:t>
      </w:r>
      <w:r w:rsidR="00F1381A">
        <w:rPr>
          <w:rFonts w:asciiTheme="majorHAnsi" w:hAnsiTheme="majorHAnsi"/>
          <w:sz w:val="22"/>
          <w:szCs w:val="22"/>
        </w:rPr>
        <w:t>assumptions and risks identified see</w:t>
      </w:r>
      <w:r w:rsidR="00D77D5B">
        <w:rPr>
          <w:rFonts w:asciiTheme="majorHAnsi" w:hAnsiTheme="majorHAnsi"/>
          <w:sz w:val="22"/>
          <w:szCs w:val="22"/>
        </w:rPr>
        <w:t xml:space="preserve">m appropriate for this project </w:t>
      </w:r>
      <w:r w:rsidR="00F1381A">
        <w:rPr>
          <w:rFonts w:asciiTheme="majorHAnsi" w:hAnsiTheme="majorHAnsi"/>
          <w:sz w:val="22"/>
          <w:szCs w:val="22"/>
        </w:rPr>
        <w:t xml:space="preserve">but it is now clear that </w:t>
      </w:r>
      <w:r w:rsidR="00254639">
        <w:rPr>
          <w:rFonts w:asciiTheme="majorHAnsi" w:hAnsiTheme="majorHAnsi"/>
          <w:sz w:val="22"/>
          <w:szCs w:val="22"/>
        </w:rPr>
        <w:t xml:space="preserve">the level of certain risks is currently higher. This applies to Risks number 4 and 6 and relates to the currently very poor support from projects with regard to providing materials and data for the website and visualisation tool and participation in the CoPs.  The MTE believes </w:t>
      </w:r>
      <w:r w:rsidR="00D77D5B">
        <w:rPr>
          <w:rFonts w:asciiTheme="majorHAnsi" w:hAnsiTheme="majorHAnsi"/>
          <w:sz w:val="22"/>
          <w:szCs w:val="22"/>
        </w:rPr>
        <w:t xml:space="preserve">the appropriate levels of risk </w:t>
      </w:r>
      <w:r w:rsidR="00254639">
        <w:rPr>
          <w:rFonts w:asciiTheme="majorHAnsi" w:hAnsiTheme="majorHAnsi"/>
          <w:sz w:val="22"/>
          <w:szCs w:val="22"/>
        </w:rPr>
        <w:t xml:space="preserve">are now </w:t>
      </w:r>
      <w:r w:rsidR="00254639" w:rsidRPr="00254639">
        <w:rPr>
          <w:rFonts w:asciiTheme="majorHAnsi" w:hAnsiTheme="majorHAnsi"/>
          <w:b/>
          <w:sz w:val="22"/>
          <w:szCs w:val="22"/>
        </w:rPr>
        <w:t xml:space="preserve">Medium </w:t>
      </w:r>
      <w:r w:rsidR="00254639">
        <w:rPr>
          <w:rFonts w:asciiTheme="majorHAnsi" w:hAnsiTheme="majorHAnsi"/>
          <w:sz w:val="22"/>
          <w:szCs w:val="22"/>
        </w:rPr>
        <w:t xml:space="preserve">and </w:t>
      </w:r>
      <w:proofErr w:type="gramStart"/>
      <w:r w:rsidR="00254639" w:rsidRPr="00254639">
        <w:rPr>
          <w:rFonts w:asciiTheme="majorHAnsi" w:hAnsiTheme="majorHAnsi"/>
          <w:b/>
          <w:sz w:val="22"/>
          <w:szCs w:val="22"/>
        </w:rPr>
        <w:t>High</w:t>
      </w:r>
      <w:proofErr w:type="gramEnd"/>
      <w:r w:rsidR="005C4AC5">
        <w:rPr>
          <w:rFonts w:asciiTheme="majorHAnsi" w:hAnsiTheme="majorHAnsi"/>
          <w:sz w:val="22"/>
          <w:szCs w:val="22"/>
        </w:rPr>
        <w:t xml:space="preserve"> respectively. Identified </w:t>
      </w:r>
      <w:r w:rsidR="00254639">
        <w:rPr>
          <w:rFonts w:asciiTheme="majorHAnsi" w:hAnsiTheme="majorHAnsi"/>
          <w:sz w:val="22"/>
          <w:szCs w:val="22"/>
        </w:rPr>
        <w:t xml:space="preserve">mitigation measures are </w:t>
      </w:r>
      <w:proofErr w:type="gramStart"/>
      <w:r w:rsidR="00254639">
        <w:rPr>
          <w:rFonts w:asciiTheme="majorHAnsi" w:hAnsiTheme="majorHAnsi"/>
          <w:sz w:val="22"/>
          <w:szCs w:val="22"/>
        </w:rPr>
        <w:t>appropriate  but</w:t>
      </w:r>
      <w:proofErr w:type="gramEnd"/>
      <w:r w:rsidR="00254639">
        <w:rPr>
          <w:rFonts w:asciiTheme="majorHAnsi" w:hAnsiTheme="majorHAnsi"/>
          <w:sz w:val="22"/>
          <w:szCs w:val="22"/>
        </w:rPr>
        <w:t xml:space="preserve"> they need to be stepped up</w:t>
      </w:r>
      <w:r w:rsidR="005C4AC5">
        <w:rPr>
          <w:rFonts w:asciiTheme="majorHAnsi" w:hAnsiTheme="majorHAnsi"/>
          <w:sz w:val="22"/>
          <w:szCs w:val="22"/>
        </w:rPr>
        <w:t xml:space="preserve"> if the medium and high level risks are to be avoided</w:t>
      </w:r>
      <w:r w:rsidR="00254639">
        <w:rPr>
          <w:rFonts w:asciiTheme="majorHAnsi" w:hAnsiTheme="majorHAnsi"/>
          <w:sz w:val="22"/>
          <w:szCs w:val="22"/>
        </w:rPr>
        <w:t xml:space="preserve">.  </w:t>
      </w:r>
    </w:p>
    <w:p w14:paraId="741CEE76" w14:textId="77777777" w:rsidR="00F1381A" w:rsidRDefault="00F1381A" w:rsidP="00F1381A">
      <w:pPr>
        <w:rPr>
          <w:rFonts w:asciiTheme="majorHAnsi" w:hAnsiTheme="majorHAnsi" w:cs="Arial"/>
          <w:sz w:val="20"/>
          <w:szCs w:val="20"/>
        </w:rPr>
      </w:pPr>
    </w:p>
    <w:p w14:paraId="0502D2A2" w14:textId="36AD4955" w:rsidR="00254639" w:rsidRPr="000C322E" w:rsidRDefault="006A2417" w:rsidP="00F1381A">
      <w:pPr>
        <w:rPr>
          <w:rFonts w:asciiTheme="majorHAnsi" w:hAnsiTheme="majorHAnsi" w:cs="Arial"/>
          <w:b/>
          <w:sz w:val="20"/>
          <w:szCs w:val="20"/>
        </w:rPr>
      </w:pPr>
      <w:r w:rsidRPr="006A2417">
        <w:rPr>
          <w:rFonts w:asciiTheme="majorHAnsi" w:hAnsiTheme="majorHAnsi" w:cs="Arial"/>
          <w:b/>
          <w:sz w:val="20"/>
          <w:szCs w:val="20"/>
        </w:rPr>
        <w:t xml:space="preserve">Table 3. </w:t>
      </w:r>
      <w:r w:rsidR="00254639" w:rsidRPr="000C322E">
        <w:rPr>
          <w:rFonts w:asciiTheme="majorHAnsi" w:hAnsiTheme="majorHAnsi" w:cs="Arial"/>
          <w:b/>
          <w:sz w:val="20"/>
          <w:szCs w:val="20"/>
        </w:rPr>
        <w:t xml:space="preserve"> Project Risk Table </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
        <w:gridCol w:w="4597"/>
        <w:gridCol w:w="829"/>
        <w:gridCol w:w="3660"/>
      </w:tblGrid>
      <w:tr w:rsidR="00F1381A" w:rsidRPr="00F1381A" w14:paraId="21F9F7B8" w14:textId="77777777" w:rsidTr="00254639">
        <w:trPr>
          <w:tblHeader/>
        </w:trPr>
        <w:tc>
          <w:tcPr>
            <w:tcW w:w="187" w:type="pct"/>
          </w:tcPr>
          <w:p w14:paraId="14F5206D" w14:textId="77777777" w:rsidR="00F1381A" w:rsidRPr="00F1381A" w:rsidRDefault="00F1381A" w:rsidP="00F1381A">
            <w:pPr>
              <w:spacing w:line="288" w:lineRule="auto"/>
              <w:jc w:val="center"/>
              <w:rPr>
                <w:rFonts w:asciiTheme="majorHAnsi" w:hAnsiTheme="majorHAnsi"/>
                <w:b/>
                <w:sz w:val="20"/>
                <w:szCs w:val="20"/>
              </w:rPr>
            </w:pPr>
          </w:p>
        </w:tc>
        <w:tc>
          <w:tcPr>
            <w:tcW w:w="2435" w:type="pct"/>
          </w:tcPr>
          <w:p w14:paraId="1AE9BD4E" w14:textId="77777777" w:rsidR="00F1381A" w:rsidRPr="00F1381A" w:rsidRDefault="00F1381A" w:rsidP="00F1381A">
            <w:pPr>
              <w:spacing w:line="288" w:lineRule="auto"/>
              <w:jc w:val="center"/>
              <w:rPr>
                <w:rFonts w:asciiTheme="majorHAnsi" w:hAnsiTheme="majorHAnsi"/>
                <w:b/>
                <w:sz w:val="20"/>
                <w:szCs w:val="20"/>
              </w:rPr>
            </w:pPr>
            <w:r w:rsidRPr="00F1381A">
              <w:rPr>
                <w:rFonts w:asciiTheme="majorHAnsi" w:hAnsiTheme="majorHAnsi"/>
                <w:b/>
                <w:sz w:val="20"/>
                <w:szCs w:val="20"/>
              </w:rPr>
              <w:t>Risk description</w:t>
            </w:r>
          </w:p>
        </w:tc>
        <w:tc>
          <w:tcPr>
            <w:tcW w:w="439" w:type="pct"/>
          </w:tcPr>
          <w:p w14:paraId="14102CA9" w14:textId="77777777" w:rsidR="00F1381A" w:rsidRP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Rating</w:t>
            </w:r>
          </w:p>
        </w:tc>
        <w:tc>
          <w:tcPr>
            <w:tcW w:w="1939" w:type="pct"/>
          </w:tcPr>
          <w:p w14:paraId="4B8E0245" w14:textId="77777777" w:rsidR="00F1381A" w:rsidRPr="00F1381A" w:rsidRDefault="00F1381A" w:rsidP="00F1381A">
            <w:pPr>
              <w:spacing w:line="288" w:lineRule="auto"/>
              <w:jc w:val="center"/>
              <w:rPr>
                <w:rFonts w:asciiTheme="majorHAnsi" w:hAnsiTheme="majorHAnsi"/>
                <w:b/>
                <w:sz w:val="20"/>
                <w:szCs w:val="20"/>
              </w:rPr>
            </w:pPr>
            <w:r w:rsidRPr="00F1381A">
              <w:rPr>
                <w:rFonts w:asciiTheme="majorHAnsi" w:hAnsiTheme="majorHAnsi"/>
                <w:b/>
                <w:sz w:val="20"/>
                <w:szCs w:val="20"/>
              </w:rPr>
              <w:t>Mitigation measures</w:t>
            </w:r>
          </w:p>
        </w:tc>
      </w:tr>
      <w:tr w:rsidR="00F1381A" w:rsidRPr="00F1381A" w14:paraId="483E5EBC" w14:textId="77777777" w:rsidTr="00254639">
        <w:trPr>
          <w:trHeight w:val="379"/>
        </w:trPr>
        <w:tc>
          <w:tcPr>
            <w:tcW w:w="187" w:type="pct"/>
          </w:tcPr>
          <w:p w14:paraId="0DA121D7"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1</w:t>
            </w:r>
          </w:p>
        </w:tc>
        <w:tc>
          <w:tcPr>
            <w:tcW w:w="2435" w:type="pct"/>
          </w:tcPr>
          <w:p w14:paraId="799C0055"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Not all GEF IW projects are willing to engage in various types of portfolio learning activities or to expose any weaknesses in project implementation to external scrutiny</w:t>
            </w:r>
          </w:p>
        </w:tc>
        <w:tc>
          <w:tcPr>
            <w:tcW w:w="439" w:type="pct"/>
          </w:tcPr>
          <w:p w14:paraId="70C5A4CD" w14:textId="77777777" w:rsidR="00F1381A" w:rsidRP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L</w:t>
            </w:r>
          </w:p>
        </w:tc>
        <w:tc>
          <w:tcPr>
            <w:tcW w:w="1939" w:type="pct"/>
          </w:tcPr>
          <w:p w14:paraId="69504A46"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Project stakeholders are officially encouraged to utilize GEF IW</w:t>
            </w:r>
            <w:proofErr w:type="gramStart"/>
            <w:r w:rsidRPr="00F1381A">
              <w:rPr>
                <w:rFonts w:asciiTheme="majorHAnsi" w:hAnsiTheme="majorHAnsi"/>
                <w:sz w:val="20"/>
                <w:szCs w:val="20"/>
              </w:rPr>
              <w:t>:LEARN</w:t>
            </w:r>
            <w:proofErr w:type="gramEnd"/>
            <w:r w:rsidRPr="00F1381A">
              <w:rPr>
                <w:rFonts w:asciiTheme="majorHAnsi" w:hAnsiTheme="majorHAnsi"/>
                <w:sz w:val="20"/>
                <w:szCs w:val="20"/>
              </w:rPr>
              <w:t xml:space="preserve"> services at all levels of implementation and execution</w:t>
            </w:r>
          </w:p>
        </w:tc>
      </w:tr>
      <w:tr w:rsidR="00F1381A" w:rsidRPr="00F1381A" w14:paraId="4AA6531B" w14:textId="77777777" w:rsidTr="00254639">
        <w:tc>
          <w:tcPr>
            <w:tcW w:w="187" w:type="pct"/>
          </w:tcPr>
          <w:p w14:paraId="1BC51D14"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2</w:t>
            </w:r>
          </w:p>
        </w:tc>
        <w:tc>
          <w:tcPr>
            <w:tcW w:w="2435" w:type="pct"/>
          </w:tcPr>
          <w:p w14:paraId="73F94661"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Participants are sufficiently aware of GEF IW</w:t>
            </w:r>
            <w:proofErr w:type="gramStart"/>
            <w:r w:rsidRPr="00F1381A">
              <w:rPr>
                <w:rFonts w:asciiTheme="majorHAnsi" w:hAnsiTheme="majorHAnsi"/>
                <w:sz w:val="20"/>
                <w:szCs w:val="20"/>
              </w:rPr>
              <w:t>:LEARN</w:t>
            </w:r>
            <w:proofErr w:type="gramEnd"/>
            <w:r w:rsidRPr="00F1381A">
              <w:rPr>
                <w:rFonts w:asciiTheme="majorHAnsi" w:hAnsiTheme="majorHAnsi"/>
                <w:sz w:val="20"/>
                <w:szCs w:val="20"/>
              </w:rPr>
              <w:t xml:space="preserve"> and know how to both engage its services and provide their own experience to peers (via CoP participation, IWEN production IWC engagement and information syndication)</w:t>
            </w:r>
          </w:p>
        </w:tc>
        <w:tc>
          <w:tcPr>
            <w:tcW w:w="439" w:type="pct"/>
          </w:tcPr>
          <w:p w14:paraId="3D0DE755" w14:textId="77777777" w:rsidR="00F1381A" w:rsidRP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M</w:t>
            </w:r>
          </w:p>
        </w:tc>
        <w:tc>
          <w:tcPr>
            <w:tcW w:w="1939" w:type="pct"/>
          </w:tcPr>
          <w:p w14:paraId="59707787"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The project will effectively market its basic service line to the portfolio</w:t>
            </w:r>
          </w:p>
        </w:tc>
      </w:tr>
      <w:tr w:rsidR="00F1381A" w:rsidRPr="00F1381A" w14:paraId="72C71E35" w14:textId="77777777" w:rsidTr="00254639">
        <w:tc>
          <w:tcPr>
            <w:tcW w:w="187" w:type="pct"/>
          </w:tcPr>
          <w:p w14:paraId="69CEFD36"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3</w:t>
            </w:r>
          </w:p>
        </w:tc>
        <w:tc>
          <w:tcPr>
            <w:tcW w:w="2435" w:type="pct"/>
          </w:tcPr>
          <w:p w14:paraId="44D4E89E"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 xml:space="preserve">A flood index for an </w:t>
            </w:r>
            <w:proofErr w:type="gramStart"/>
            <w:r w:rsidRPr="00F1381A">
              <w:rPr>
                <w:rFonts w:asciiTheme="majorHAnsi" w:hAnsiTheme="majorHAnsi"/>
                <w:sz w:val="20"/>
                <w:szCs w:val="20"/>
              </w:rPr>
              <w:t>insurance based</w:t>
            </w:r>
            <w:proofErr w:type="gramEnd"/>
            <w:r w:rsidRPr="00F1381A">
              <w:rPr>
                <w:rFonts w:asciiTheme="majorHAnsi" w:hAnsiTheme="majorHAnsi"/>
                <w:sz w:val="20"/>
                <w:szCs w:val="20"/>
              </w:rPr>
              <w:t xml:space="preserve"> mechanism is not feasible. This is a highly innovative index in an emerging area of climate risk financing. As compared to other tested index-based insurance products, the complexity stems from (i) transboundary nature of the risk considered; (ii) potential human intervention and subsequent willingness of the insurance industry to adopt the index</w:t>
            </w:r>
          </w:p>
        </w:tc>
        <w:tc>
          <w:tcPr>
            <w:tcW w:w="439" w:type="pct"/>
          </w:tcPr>
          <w:p w14:paraId="36ECD3BC" w14:textId="77777777" w:rsidR="00F1381A" w:rsidRP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M</w:t>
            </w:r>
          </w:p>
        </w:tc>
        <w:tc>
          <w:tcPr>
            <w:tcW w:w="1939" w:type="pct"/>
          </w:tcPr>
          <w:p w14:paraId="3683A113"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If the demonstration does not succeed, a methodology would still have been developed and capacity built on climate risk assessment in transboundary basins</w:t>
            </w:r>
          </w:p>
        </w:tc>
      </w:tr>
      <w:tr w:rsidR="00F1381A" w:rsidRPr="00F1381A" w14:paraId="6A7D87DE" w14:textId="77777777" w:rsidTr="00254639">
        <w:tc>
          <w:tcPr>
            <w:tcW w:w="187" w:type="pct"/>
          </w:tcPr>
          <w:p w14:paraId="5BDEBBF5"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4</w:t>
            </w:r>
          </w:p>
        </w:tc>
        <w:tc>
          <w:tcPr>
            <w:tcW w:w="2435" w:type="pct"/>
          </w:tcPr>
          <w:p w14:paraId="0ADD84A4"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With a global spread of constituents, the website and similar mechanisms cannot be replied upon to “pull” beneficiaries. There is a need to “push” (as the previous IW</w:t>
            </w:r>
            <w:proofErr w:type="gramStart"/>
            <w:r w:rsidRPr="00F1381A">
              <w:rPr>
                <w:rFonts w:asciiTheme="majorHAnsi" w:hAnsiTheme="majorHAnsi"/>
                <w:sz w:val="20"/>
                <w:szCs w:val="20"/>
              </w:rPr>
              <w:t>:LEARN</w:t>
            </w:r>
            <w:proofErr w:type="gramEnd"/>
            <w:r w:rsidRPr="00F1381A">
              <w:rPr>
                <w:rFonts w:asciiTheme="majorHAnsi" w:hAnsiTheme="majorHAnsi"/>
                <w:sz w:val="20"/>
                <w:szCs w:val="20"/>
              </w:rPr>
              <w:t xml:space="preserve"> team did with their direct interaction) as well as rely on “pull” for electronic products and services.</w:t>
            </w:r>
          </w:p>
        </w:tc>
        <w:tc>
          <w:tcPr>
            <w:tcW w:w="439" w:type="pct"/>
          </w:tcPr>
          <w:p w14:paraId="1E6205E8" w14:textId="77777777" w:rsid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L</w:t>
            </w:r>
            <w:r w:rsidR="00254639">
              <w:rPr>
                <w:rFonts w:asciiTheme="majorHAnsi" w:hAnsiTheme="majorHAnsi"/>
                <w:sz w:val="20"/>
                <w:szCs w:val="20"/>
              </w:rPr>
              <w:t xml:space="preserve"> </w:t>
            </w:r>
          </w:p>
          <w:p w14:paraId="6F364ADC" w14:textId="7FCC51B1" w:rsidR="00254639" w:rsidRPr="00254639" w:rsidRDefault="00254639" w:rsidP="00F1381A">
            <w:pPr>
              <w:spacing w:line="288" w:lineRule="auto"/>
              <w:jc w:val="center"/>
              <w:rPr>
                <w:rFonts w:asciiTheme="majorHAnsi" w:hAnsiTheme="majorHAnsi"/>
                <w:b/>
                <w:sz w:val="20"/>
                <w:szCs w:val="20"/>
              </w:rPr>
            </w:pPr>
            <w:r w:rsidRPr="00254639">
              <w:rPr>
                <w:rFonts w:asciiTheme="majorHAnsi" w:hAnsiTheme="majorHAnsi"/>
                <w:b/>
                <w:sz w:val="20"/>
                <w:szCs w:val="20"/>
              </w:rPr>
              <w:t>(M)</w:t>
            </w:r>
          </w:p>
        </w:tc>
        <w:tc>
          <w:tcPr>
            <w:tcW w:w="1939" w:type="pct"/>
          </w:tcPr>
          <w:p w14:paraId="10E2DE79"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The project will make an investment in direct interaction with beneficiaries. Constituents need to be engaged to the extent possible to create a sense of ownership.</w:t>
            </w:r>
          </w:p>
        </w:tc>
      </w:tr>
      <w:tr w:rsidR="00F1381A" w:rsidRPr="00F1381A" w14:paraId="0F348B21" w14:textId="77777777" w:rsidTr="00254639">
        <w:tc>
          <w:tcPr>
            <w:tcW w:w="187" w:type="pct"/>
          </w:tcPr>
          <w:p w14:paraId="6CD24D87" w14:textId="31896AA0"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5</w:t>
            </w:r>
          </w:p>
        </w:tc>
        <w:tc>
          <w:tcPr>
            <w:tcW w:w="2435" w:type="pct"/>
          </w:tcPr>
          <w:p w14:paraId="5AF513E0"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The proposed regional context is a positive step but it risks fragmentation (between regions and themes) and might weaken its global dimension and hence the cost benefit is much reduced.</w:t>
            </w:r>
          </w:p>
        </w:tc>
        <w:tc>
          <w:tcPr>
            <w:tcW w:w="439" w:type="pct"/>
          </w:tcPr>
          <w:p w14:paraId="07085E82" w14:textId="77777777" w:rsidR="00F1381A" w:rsidRP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L</w:t>
            </w:r>
          </w:p>
        </w:tc>
        <w:tc>
          <w:tcPr>
            <w:tcW w:w="1939" w:type="pct"/>
          </w:tcPr>
          <w:p w14:paraId="671E4471"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The project's management will be specifically tasked with ensuring coherence (in their terms of reference)</w:t>
            </w:r>
          </w:p>
        </w:tc>
      </w:tr>
      <w:tr w:rsidR="00F1381A" w:rsidRPr="00F1381A" w14:paraId="6DCF21A9" w14:textId="77777777" w:rsidTr="00254639">
        <w:tc>
          <w:tcPr>
            <w:tcW w:w="187" w:type="pct"/>
          </w:tcPr>
          <w:p w14:paraId="6DCA2FED"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6</w:t>
            </w:r>
          </w:p>
        </w:tc>
        <w:tc>
          <w:tcPr>
            <w:tcW w:w="2435" w:type="pct"/>
          </w:tcPr>
          <w:p w14:paraId="009D871F"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Partners do not interact between different CoPs or follow requests to increase interactions from PCU/PSC</w:t>
            </w:r>
          </w:p>
        </w:tc>
        <w:tc>
          <w:tcPr>
            <w:tcW w:w="439" w:type="pct"/>
          </w:tcPr>
          <w:p w14:paraId="5C66DDC6" w14:textId="77777777" w:rsid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M</w:t>
            </w:r>
          </w:p>
          <w:p w14:paraId="365552A8" w14:textId="7156D31D" w:rsidR="00254639" w:rsidRPr="00254639" w:rsidRDefault="00254639" w:rsidP="00F1381A">
            <w:pPr>
              <w:spacing w:line="288" w:lineRule="auto"/>
              <w:jc w:val="center"/>
              <w:rPr>
                <w:rFonts w:asciiTheme="majorHAnsi" w:hAnsiTheme="majorHAnsi"/>
                <w:b/>
                <w:sz w:val="20"/>
                <w:szCs w:val="20"/>
              </w:rPr>
            </w:pPr>
            <w:r w:rsidRPr="00254639">
              <w:rPr>
                <w:rFonts w:asciiTheme="majorHAnsi" w:hAnsiTheme="majorHAnsi"/>
                <w:b/>
                <w:sz w:val="20"/>
                <w:szCs w:val="20"/>
              </w:rPr>
              <w:t xml:space="preserve">(H) </w:t>
            </w:r>
          </w:p>
        </w:tc>
        <w:tc>
          <w:tcPr>
            <w:tcW w:w="1939" w:type="pct"/>
          </w:tcPr>
          <w:p w14:paraId="0250B8D3"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Agreements between partners/Agencies/EAs will reflect importance of co-operation to ensure integrated approach</w:t>
            </w:r>
          </w:p>
        </w:tc>
      </w:tr>
      <w:tr w:rsidR="00F1381A" w:rsidRPr="00F1381A" w14:paraId="2BE4D761" w14:textId="77777777" w:rsidTr="00254639">
        <w:trPr>
          <w:trHeight w:val="386"/>
        </w:trPr>
        <w:tc>
          <w:tcPr>
            <w:tcW w:w="187" w:type="pct"/>
          </w:tcPr>
          <w:p w14:paraId="3E4B3447"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sz w:val="20"/>
                <w:szCs w:val="20"/>
              </w:rPr>
              <w:t>7</w:t>
            </w:r>
          </w:p>
        </w:tc>
        <w:tc>
          <w:tcPr>
            <w:tcW w:w="2435" w:type="pct"/>
          </w:tcPr>
          <w:p w14:paraId="66215724" w14:textId="77777777" w:rsidR="00F1381A" w:rsidRPr="00F1381A" w:rsidRDefault="00F1381A" w:rsidP="00F1381A">
            <w:pPr>
              <w:spacing w:line="288" w:lineRule="auto"/>
              <w:rPr>
                <w:rFonts w:asciiTheme="majorHAnsi" w:hAnsiTheme="majorHAnsi" w:cs="Arial"/>
                <w:sz w:val="20"/>
                <w:szCs w:val="20"/>
              </w:rPr>
            </w:pPr>
            <w:r w:rsidRPr="00F1381A">
              <w:rPr>
                <w:rFonts w:asciiTheme="majorHAnsi" w:hAnsiTheme="majorHAnsi" w:cs="Arial"/>
                <w:sz w:val="20"/>
                <w:szCs w:val="20"/>
              </w:rPr>
              <w:t xml:space="preserve">There is a risk of instability and potential for continued worsening of political situation in the Middle East </w:t>
            </w:r>
          </w:p>
        </w:tc>
        <w:tc>
          <w:tcPr>
            <w:tcW w:w="439" w:type="pct"/>
          </w:tcPr>
          <w:p w14:paraId="2818E7A1" w14:textId="77777777" w:rsidR="00F1381A" w:rsidRPr="00F1381A" w:rsidRDefault="00F1381A" w:rsidP="00F1381A">
            <w:pPr>
              <w:spacing w:line="288" w:lineRule="auto"/>
              <w:jc w:val="center"/>
              <w:rPr>
                <w:rFonts w:asciiTheme="majorHAnsi" w:hAnsiTheme="majorHAnsi"/>
                <w:sz w:val="20"/>
                <w:szCs w:val="20"/>
              </w:rPr>
            </w:pPr>
            <w:r w:rsidRPr="00F1381A">
              <w:rPr>
                <w:rFonts w:asciiTheme="majorHAnsi" w:hAnsiTheme="majorHAnsi"/>
                <w:sz w:val="20"/>
                <w:szCs w:val="20"/>
              </w:rPr>
              <w:t>M</w:t>
            </w:r>
          </w:p>
        </w:tc>
        <w:tc>
          <w:tcPr>
            <w:tcW w:w="1939" w:type="pct"/>
          </w:tcPr>
          <w:p w14:paraId="5E7AE660" w14:textId="77777777" w:rsidR="00F1381A" w:rsidRPr="00F1381A" w:rsidRDefault="00F1381A" w:rsidP="00F1381A">
            <w:pPr>
              <w:spacing w:line="288" w:lineRule="auto"/>
              <w:rPr>
                <w:rFonts w:asciiTheme="majorHAnsi" w:hAnsiTheme="majorHAnsi"/>
                <w:sz w:val="20"/>
                <w:szCs w:val="20"/>
              </w:rPr>
            </w:pPr>
            <w:r w:rsidRPr="00F1381A">
              <w:rPr>
                <w:rFonts w:asciiTheme="majorHAnsi" w:hAnsiTheme="majorHAnsi" w:cs="Arial"/>
                <w:sz w:val="20"/>
                <w:szCs w:val="20"/>
              </w:rPr>
              <w:t>Mitigation strategy will be to redirect funds accordingly in the event that instability prevents us from conducting workshops in the region</w:t>
            </w:r>
          </w:p>
        </w:tc>
      </w:tr>
    </w:tbl>
    <w:p w14:paraId="05276A4D" w14:textId="77777777" w:rsidR="00F1381A" w:rsidRDefault="00F1381A" w:rsidP="00F1381A"/>
    <w:p w14:paraId="0429D2A5" w14:textId="38E2F00F" w:rsidR="00C125B4" w:rsidRPr="008C2D67" w:rsidRDefault="00C125B4" w:rsidP="00F1381A">
      <w:pPr>
        <w:rPr>
          <w:rFonts w:asciiTheme="majorHAnsi" w:hAnsiTheme="majorHAnsi"/>
          <w:sz w:val="22"/>
          <w:szCs w:val="22"/>
        </w:rPr>
      </w:pPr>
      <w:r w:rsidRPr="008C2D67">
        <w:rPr>
          <w:rFonts w:asciiTheme="majorHAnsi" w:hAnsiTheme="majorHAnsi"/>
          <w:sz w:val="22"/>
          <w:szCs w:val="22"/>
        </w:rPr>
        <w:br w:type="page"/>
      </w:r>
    </w:p>
    <w:p w14:paraId="1463CDF7" w14:textId="02207ADA" w:rsidR="0064093F" w:rsidRDefault="00540CD7" w:rsidP="006C398A">
      <w:pPr>
        <w:pStyle w:val="Heading2"/>
      </w:pPr>
      <w:bookmarkStart w:id="60" w:name="_Toc320280640"/>
      <w:bookmarkStart w:id="61" w:name="_Toc341527045"/>
      <w:bookmarkStart w:id="62" w:name="_Toc222479147"/>
      <w:r w:rsidRPr="007D1C06">
        <w:t>Assessment of the progress towards</w:t>
      </w:r>
      <w:r w:rsidR="007B16FA">
        <w:t xml:space="preserve"> achievement and</w:t>
      </w:r>
      <w:r w:rsidRPr="007D1C06">
        <w:t xml:space="preserve"> sustainability of project outcomes</w:t>
      </w:r>
      <w:bookmarkEnd w:id="60"/>
      <w:bookmarkEnd w:id="61"/>
      <w:bookmarkEnd w:id="62"/>
    </w:p>
    <w:p w14:paraId="32167917" w14:textId="1AD23A9D" w:rsidR="006F20C8" w:rsidRDefault="00791F44" w:rsidP="00C711C9">
      <w:pPr>
        <w:jc w:val="both"/>
        <w:rPr>
          <w:rFonts w:asciiTheme="majorHAnsi" w:hAnsiTheme="majorHAnsi"/>
          <w:sz w:val="22"/>
          <w:szCs w:val="22"/>
        </w:rPr>
      </w:pPr>
      <w:proofErr w:type="gramStart"/>
      <w:r>
        <w:rPr>
          <w:rFonts w:asciiTheme="majorHAnsi" w:hAnsiTheme="majorHAnsi"/>
          <w:sz w:val="22"/>
          <w:szCs w:val="22"/>
        </w:rPr>
        <w:t>P</w:t>
      </w:r>
      <w:r w:rsidR="00D77D5B">
        <w:rPr>
          <w:rFonts w:asciiTheme="majorHAnsi" w:hAnsiTheme="majorHAnsi"/>
          <w:sz w:val="22"/>
          <w:szCs w:val="22"/>
        </w:rPr>
        <w:t xml:space="preserve">rogress </w:t>
      </w:r>
      <w:r w:rsidR="006F20C8" w:rsidRPr="006F20C8">
        <w:rPr>
          <w:rFonts w:asciiTheme="majorHAnsi" w:hAnsiTheme="majorHAnsi"/>
          <w:sz w:val="22"/>
          <w:szCs w:val="22"/>
        </w:rPr>
        <w:t>toward achiev</w:t>
      </w:r>
      <w:r>
        <w:rPr>
          <w:rFonts w:asciiTheme="majorHAnsi" w:hAnsiTheme="majorHAnsi"/>
          <w:sz w:val="22"/>
          <w:szCs w:val="22"/>
        </w:rPr>
        <w:t>ement of Outcomes is generally s</w:t>
      </w:r>
      <w:r w:rsidR="006F20C8" w:rsidRPr="00791F44">
        <w:rPr>
          <w:rFonts w:asciiTheme="majorHAnsi" w:hAnsiTheme="majorHAnsi"/>
          <w:sz w:val="22"/>
          <w:szCs w:val="22"/>
        </w:rPr>
        <w:t>atisfactory</w:t>
      </w:r>
      <w:r w:rsidR="006F20C8" w:rsidRPr="006F20C8">
        <w:rPr>
          <w:rFonts w:asciiTheme="majorHAnsi" w:hAnsiTheme="majorHAnsi"/>
          <w:sz w:val="22"/>
          <w:szCs w:val="22"/>
        </w:rPr>
        <w:t xml:space="preserve"> and most are</w:t>
      </w:r>
      <w:proofErr w:type="gramEnd"/>
      <w:r w:rsidR="006F20C8" w:rsidRPr="006F20C8">
        <w:rPr>
          <w:rFonts w:asciiTheme="majorHAnsi" w:hAnsiTheme="majorHAnsi"/>
          <w:sz w:val="22"/>
          <w:szCs w:val="22"/>
        </w:rPr>
        <w:t xml:space="preserve"> likely to be realised</w:t>
      </w:r>
      <w:r w:rsidR="00C711C9">
        <w:rPr>
          <w:rFonts w:asciiTheme="majorHAnsi" w:hAnsiTheme="majorHAnsi"/>
          <w:sz w:val="22"/>
          <w:szCs w:val="22"/>
        </w:rPr>
        <w:t xml:space="preserve"> to a large extent</w:t>
      </w:r>
      <w:r w:rsidR="006F20C8" w:rsidRPr="006F20C8">
        <w:rPr>
          <w:rFonts w:asciiTheme="majorHAnsi" w:hAnsiTheme="majorHAnsi"/>
          <w:sz w:val="22"/>
          <w:szCs w:val="22"/>
        </w:rPr>
        <w:t xml:space="preserve"> by the end of the project</w:t>
      </w:r>
      <w:r w:rsidR="00C711C9">
        <w:rPr>
          <w:rFonts w:asciiTheme="majorHAnsi" w:hAnsiTheme="majorHAnsi"/>
          <w:sz w:val="22"/>
          <w:szCs w:val="22"/>
        </w:rPr>
        <w:t>,</w:t>
      </w:r>
      <w:r w:rsidR="006F20C8" w:rsidRPr="006F20C8">
        <w:rPr>
          <w:rFonts w:asciiTheme="majorHAnsi" w:hAnsiTheme="majorHAnsi"/>
          <w:sz w:val="22"/>
          <w:szCs w:val="22"/>
        </w:rPr>
        <w:t xml:space="preserve"> what is less certain at this stage is their sustainability. </w:t>
      </w:r>
      <w:r w:rsidR="005C4AC5">
        <w:rPr>
          <w:rFonts w:asciiTheme="majorHAnsi" w:hAnsiTheme="majorHAnsi"/>
          <w:sz w:val="22"/>
          <w:szCs w:val="22"/>
        </w:rPr>
        <w:t xml:space="preserve">Thus the likelihood that the project will achieve and sustain its Outcomes is </w:t>
      </w:r>
      <w:r w:rsidR="00D77D5B">
        <w:rPr>
          <w:rFonts w:asciiTheme="majorHAnsi" w:hAnsiTheme="majorHAnsi"/>
          <w:sz w:val="22"/>
          <w:szCs w:val="22"/>
        </w:rPr>
        <w:t xml:space="preserve">assessed by the MTE as being </w:t>
      </w:r>
      <w:proofErr w:type="gramStart"/>
      <w:r w:rsidRPr="00791F44">
        <w:rPr>
          <w:rFonts w:asciiTheme="majorHAnsi" w:hAnsiTheme="majorHAnsi"/>
          <w:b/>
          <w:sz w:val="22"/>
          <w:szCs w:val="22"/>
        </w:rPr>
        <w:t>Moderately</w:t>
      </w:r>
      <w:proofErr w:type="gramEnd"/>
      <w:r w:rsidRPr="00791F44">
        <w:rPr>
          <w:rFonts w:asciiTheme="majorHAnsi" w:hAnsiTheme="majorHAnsi"/>
          <w:b/>
          <w:sz w:val="22"/>
          <w:szCs w:val="22"/>
        </w:rPr>
        <w:t xml:space="preserve"> Likely.</w:t>
      </w:r>
      <w:r>
        <w:rPr>
          <w:rFonts w:asciiTheme="majorHAnsi" w:hAnsiTheme="majorHAnsi"/>
          <w:sz w:val="22"/>
          <w:szCs w:val="22"/>
        </w:rPr>
        <w:t xml:space="preserve"> </w:t>
      </w:r>
    </w:p>
    <w:p w14:paraId="3E1C583E" w14:textId="77777777" w:rsidR="008A4C4B" w:rsidRPr="008A4C4B" w:rsidRDefault="008A4C4B" w:rsidP="00C711C9">
      <w:pPr>
        <w:jc w:val="both"/>
        <w:rPr>
          <w:rFonts w:asciiTheme="majorHAnsi" w:hAnsiTheme="majorHAnsi"/>
          <w:sz w:val="22"/>
          <w:szCs w:val="22"/>
        </w:rPr>
      </w:pPr>
    </w:p>
    <w:p w14:paraId="7C30A8B9" w14:textId="7E855FB0" w:rsidR="00C70C4A" w:rsidRPr="00FD7D3B" w:rsidRDefault="00CA501B" w:rsidP="008A4C4B">
      <w:pPr>
        <w:jc w:val="both"/>
        <w:rPr>
          <w:rFonts w:asciiTheme="majorHAnsi" w:hAnsiTheme="majorHAnsi"/>
          <w:sz w:val="22"/>
          <w:szCs w:val="22"/>
        </w:rPr>
      </w:pPr>
      <w:r w:rsidRPr="002045F8">
        <w:rPr>
          <w:rFonts w:asciiTheme="majorHAnsi" w:hAnsiTheme="majorHAnsi"/>
          <w:sz w:val="22"/>
          <w:szCs w:val="22"/>
        </w:rPr>
        <w:t>With the</w:t>
      </w:r>
      <w:r w:rsidR="002045F8" w:rsidRPr="002045F8">
        <w:rPr>
          <w:rFonts w:asciiTheme="majorHAnsi" w:hAnsiTheme="majorHAnsi"/>
          <w:sz w:val="22"/>
          <w:szCs w:val="22"/>
        </w:rPr>
        <w:t xml:space="preserve"> GEF International Waters</w:t>
      </w:r>
      <w:r w:rsidRPr="002045F8">
        <w:rPr>
          <w:rFonts w:asciiTheme="majorHAnsi" w:hAnsiTheme="majorHAnsi"/>
          <w:sz w:val="22"/>
          <w:szCs w:val="22"/>
        </w:rPr>
        <w:t xml:space="preserve"> focal area lacking a</w:t>
      </w:r>
      <w:r w:rsidR="00C711C9">
        <w:rPr>
          <w:rFonts w:asciiTheme="majorHAnsi" w:hAnsiTheme="majorHAnsi"/>
          <w:sz w:val="22"/>
          <w:szCs w:val="22"/>
        </w:rPr>
        <w:t>n</w:t>
      </w:r>
      <w:r w:rsidRPr="002045F8">
        <w:rPr>
          <w:rFonts w:asciiTheme="majorHAnsi" w:hAnsiTheme="majorHAnsi"/>
          <w:sz w:val="22"/>
          <w:szCs w:val="22"/>
        </w:rPr>
        <w:t xml:space="preserve"> overarching governing convention, IW</w:t>
      </w:r>
      <w:proofErr w:type="gramStart"/>
      <w:r w:rsidRPr="002045F8">
        <w:rPr>
          <w:rFonts w:asciiTheme="majorHAnsi" w:hAnsiTheme="majorHAnsi"/>
          <w:sz w:val="22"/>
          <w:szCs w:val="22"/>
        </w:rPr>
        <w:t>:LEARN</w:t>
      </w:r>
      <w:proofErr w:type="gramEnd"/>
      <w:r w:rsidRPr="002045F8">
        <w:rPr>
          <w:rFonts w:asciiTheme="majorHAnsi" w:hAnsiTheme="majorHAnsi"/>
          <w:sz w:val="22"/>
          <w:szCs w:val="22"/>
        </w:rPr>
        <w:t xml:space="preserve"> </w:t>
      </w:r>
      <w:r w:rsidR="00282883">
        <w:rPr>
          <w:rFonts w:asciiTheme="majorHAnsi" w:hAnsiTheme="majorHAnsi"/>
          <w:sz w:val="22"/>
          <w:szCs w:val="22"/>
        </w:rPr>
        <w:t>is</w:t>
      </w:r>
      <w:r w:rsidRPr="002045F8">
        <w:rPr>
          <w:rFonts w:asciiTheme="majorHAnsi" w:hAnsiTheme="majorHAnsi"/>
          <w:sz w:val="22"/>
          <w:szCs w:val="22"/>
        </w:rPr>
        <w:t xml:space="preserve"> seen as filling the gap of the function of experience sharing and learning </w:t>
      </w:r>
      <w:r w:rsidR="008A4C4B">
        <w:rPr>
          <w:rFonts w:asciiTheme="majorHAnsi" w:hAnsiTheme="majorHAnsi"/>
          <w:sz w:val="22"/>
          <w:szCs w:val="22"/>
        </w:rPr>
        <w:t xml:space="preserve">typically found </w:t>
      </w:r>
      <w:r w:rsidRPr="002045F8">
        <w:rPr>
          <w:rFonts w:asciiTheme="majorHAnsi" w:hAnsiTheme="majorHAnsi"/>
          <w:sz w:val="22"/>
          <w:szCs w:val="22"/>
        </w:rPr>
        <w:t xml:space="preserve">under </w:t>
      </w:r>
      <w:r w:rsidRPr="00FD7D3B">
        <w:rPr>
          <w:rFonts w:asciiTheme="majorHAnsi" w:hAnsiTheme="majorHAnsi"/>
          <w:sz w:val="22"/>
          <w:szCs w:val="22"/>
        </w:rPr>
        <w:t xml:space="preserve">conventions and their </w:t>
      </w:r>
      <w:r w:rsidR="002045F8" w:rsidRPr="00FD7D3B">
        <w:rPr>
          <w:rFonts w:asciiTheme="majorHAnsi" w:hAnsiTheme="majorHAnsi"/>
          <w:sz w:val="22"/>
          <w:szCs w:val="22"/>
        </w:rPr>
        <w:t xml:space="preserve">clearing house mechanisms. </w:t>
      </w:r>
      <w:r w:rsidR="00282883" w:rsidRPr="00FD7D3B">
        <w:rPr>
          <w:rFonts w:asciiTheme="majorHAnsi" w:hAnsiTheme="majorHAnsi"/>
          <w:sz w:val="22"/>
          <w:szCs w:val="22"/>
        </w:rPr>
        <w:t>Num</w:t>
      </w:r>
      <w:r w:rsidR="001B36C0" w:rsidRPr="00FD7D3B">
        <w:rPr>
          <w:rFonts w:asciiTheme="majorHAnsi" w:hAnsiTheme="majorHAnsi"/>
          <w:sz w:val="22"/>
          <w:szCs w:val="22"/>
        </w:rPr>
        <w:t>erous</w:t>
      </w:r>
      <w:r w:rsidR="002045F8" w:rsidRPr="00FD7D3B">
        <w:rPr>
          <w:rFonts w:asciiTheme="majorHAnsi" w:hAnsiTheme="majorHAnsi"/>
          <w:sz w:val="22"/>
          <w:szCs w:val="22"/>
        </w:rPr>
        <w:t xml:space="preserve"> respondents to the MTE have pr</w:t>
      </w:r>
      <w:r w:rsidR="008A4C4B" w:rsidRPr="00FD7D3B">
        <w:rPr>
          <w:rFonts w:asciiTheme="majorHAnsi" w:hAnsiTheme="majorHAnsi"/>
          <w:sz w:val="22"/>
          <w:szCs w:val="22"/>
        </w:rPr>
        <w:t xml:space="preserve">essed for a permanent IW-LEARN </w:t>
      </w:r>
      <w:r w:rsidR="002045F8" w:rsidRPr="00FD7D3B">
        <w:rPr>
          <w:rFonts w:asciiTheme="majorHAnsi" w:hAnsiTheme="majorHAnsi"/>
          <w:sz w:val="22"/>
          <w:szCs w:val="22"/>
        </w:rPr>
        <w:t xml:space="preserve">to be </w:t>
      </w:r>
      <w:r w:rsidR="00282883" w:rsidRPr="00FD7D3B">
        <w:rPr>
          <w:rFonts w:asciiTheme="majorHAnsi" w:hAnsiTheme="majorHAnsi"/>
          <w:sz w:val="22"/>
          <w:szCs w:val="22"/>
        </w:rPr>
        <w:t>incorporated</w:t>
      </w:r>
      <w:r w:rsidR="002045F8" w:rsidRPr="00FD7D3B">
        <w:rPr>
          <w:rFonts w:asciiTheme="majorHAnsi" w:hAnsiTheme="majorHAnsi"/>
          <w:sz w:val="22"/>
          <w:szCs w:val="22"/>
        </w:rPr>
        <w:t xml:space="preserve"> into </w:t>
      </w:r>
      <w:r w:rsidR="00282883" w:rsidRPr="00FD7D3B">
        <w:rPr>
          <w:rFonts w:asciiTheme="majorHAnsi" w:hAnsiTheme="majorHAnsi"/>
          <w:sz w:val="22"/>
          <w:szCs w:val="22"/>
        </w:rPr>
        <w:t xml:space="preserve">the </w:t>
      </w:r>
      <w:r w:rsidR="002045F8" w:rsidRPr="00FD7D3B">
        <w:rPr>
          <w:rFonts w:asciiTheme="majorHAnsi" w:hAnsiTheme="majorHAnsi"/>
          <w:sz w:val="22"/>
          <w:szCs w:val="22"/>
        </w:rPr>
        <w:t>GEF Sec</w:t>
      </w:r>
      <w:r w:rsidR="001B36C0" w:rsidRPr="00FD7D3B">
        <w:rPr>
          <w:rFonts w:asciiTheme="majorHAnsi" w:hAnsiTheme="majorHAnsi"/>
          <w:sz w:val="22"/>
          <w:szCs w:val="22"/>
        </w:rPr>
        <w:t xml:space="preserve">retariat and one of the key recommendations from the </w:t>
      </w:r>
      <w:r w:rsidR="00282883" w:rsidRPr="00FD7D3B">
        <w:rPr>
          <w:rFonts w:asciiTheme="majorHAnsi" w:hAnsiTheme="majorHAnsi"/>
          <w:sz w:val="22"/>
          <w:szCs w:val="22"/>
        </w:rPr>
        <w:t>Terminal E</w:t>
      </w:r>
      <w:r w:rsidR="001B36C0" w:rsidRPr="00FD7D3B">
        <w:rPr>
          <w:rFonts w:asciiTheme="majorHAnsi" w:hAnsiTheme="majorHAnsi"/>
          <w:sz w:val="22"/>
          <w:szCs w:val="22"/>
        </w:rPr>
        <w:t>valuation of the last phase (foot note) was that ‘</w:t>
      </w:r>
      <w:r w:rsidR="001B36C0" w:rsidRPr="00FD7D3B">
        <w:rPr>
          <w:rFonts w:asciiTheme="majorHAnsi" w:hAnsiTheme="majorHAnsi"/>
          <w:i/>
          <w:sz w:val="22"/>
          <w:szCs w:val="22"/>
        </w:rPr>
        <w:t>IW-Learning should be mainstreamed into IW projects (especially during their formulation stages) and institutionalised by the Agencies and particularly by the GEF Secretariat within the IW core function of the Secretariat. The key to sustainability of IW</w:t>
      </w:r>
      <w:proofErr w:type="gramStart"/>
      <w:r w:rsidR="001B36C0" w:rsidRPr="00FD7D3B">
        <w:rPr>
          <w:rFonts w:asciiTheme="majorHAnsi" w:hAnsiTheme="majorHAnsi"/>
          <w:i/>
          <w:sz w:val="22"/>
          <w:szCs w:val="22"/>
        </w:rPr>
        <w:t>:LEARN</w:t>
      </w:r>
      <w:proofErr w:type="gramEnd"/>
      <w:r w:rsidR="001B36C0" w:rsidRPr="00FD7D3B">
        <w:rPr>
          <w:rFonts w:asciiTheme="majorHAnsi" w:hAnsiTheme="majorHAnsi"/>
          <w:i/>
          <w:sz w:val="22"/>
          <w:szCs w:val="22"/>
        </w:rPr>
        <w:t xml:space="preserve"> benefits is therefore mainstreaming and institutionalisation. Without it, the GEF will be that much poorer.’ </w:t>
      </w:r>
      <w:r w:rsidR="001B36C0" w:rsidRPr="00FD7D3B">
        <w:rPr>
          <w:rFonts w:asciiTheme="majorHAnsi" w:hAnsiTheme="majorHAnsi"/>
          <w:sz w:val="22"/>
          <w:szCs w:val="22"/>
        </w:rPr>
        <w:t>The MTE supports those statements. However MTE respondents close to GEF state that institutionalising within GEF is</w:t>
      </w:r>
      <w:r w:rsidR="00764656" w:rsidRPr="00FD7D3B">
        <w:rPr>
          <w:rFonts w:asciiTheme="majorHAnsi" w:hAnsiTheme="majorHAnsi"/>
          <w:sz w:val="22"/>
          <w:szCs w:val="22"/>
        </w:rPr>
        <w:t xml:space="preserve">, unfortunately, </w:t>
      </w:r>
      <w:r w:rsidR="00C125B4" w:rsidRPr="00FD7D3B">
        <w:rPr>
          <w:rFonts w:asciiTheme="majorHAnsi" w:hAnsiTheme="majorHAnsi"/>
          <w:sz w:val="22"/>
          <w:szCs w:val="22"/>
        </w:rPr>
        <w:t>unlikely to happen</w:t>
      </w:r>
      <w:r w:rsidR="00282883" w:rsidRPr="00FD7D3B">
        <w:rPr>
          <w:rFonts w:asciiTheme="majorHAnsi" w:hAnsiTheme="majorHAnsi"/>
          <w:sz w:val="22"/>
          <w:szCs w:val="22"/>
        </w:rPr>
        <w:t xml:space="preserve"> in the near future</w:t>
      </w:r>
      <w:r w:rsidR="00C125B4" w:rsidRPr="00FD7D3B">
        <w:rPr>
          <w:rFonts w:asciiTheme="majorHAnsi" w:hAnsiTheme="majorHAnsi"/>
          <w:sz w:val="22"/>
          <w:szCs w:val="22"/>
        </w:rPr>
        <w:t xml:space="preserve">.  </w:t>
      </w:r>
    </w:p>
    <w:p w14:paraId="482FA69F" w14:textId="77777777" w:rsidR="00C70C4A" w:rsidRPr="00FD7D3B" w:rsidRDefault="00C70C4A" w:rsidP="008A4C4B">
      <w:pPr>
        <w:jc w:val="both"/>
        <w:rPr>
          <w:rFonts w:asciiTheme="majorHAnsi" w:hAnsiTheme="majorHAnsi"/>
          <w:sz w:val="22"/>
          <w:szCs w:val="22"/>
        </w:rPr>
      </w:pPr>
    </w:p>
    <w:p w14:paraId="79A2660B" w14:textId="5827BAB6" w:rsidR="008E3684" w:rsidRDefault="00C125B4" w:rsidP="00C70C4A">
      <w:pPr>
        <w:jc w:val="both"/>
        <w:rPr>
          <w:rFonts w:asciiTheme="majorHAnsi" w:hAnsiTheme="majorHAnsi"/>
          <w:sz w:val="22"/>
          <w:szCs w:val="22"/>
        </w:rPr>
      </w:pPr>
      <w:r>
        <w:rPr>
          <w:rFonts w:asciiTheme="majorHAnsi" w:hAnsiTheme="majorHAnsi"/>
          <w:sz w:val="22"/>
          <w:szCs w:val="22"/>
        </w:rPr>
        <w:t>It seems inevitable</w:t>
      </w:r>
      <w:r w:rsidR="005C4AC5">
        <w:rPr>
          <w:rFonts w:asciiTheme="majorHAnsi" w:hAnsiTheme="majorHAnsi"/>
          <w:sz w:val="22"/>
          <w:szCs w:val="22"/>
        </w:rPr>
        <w:t>,</w:t>
      </w:r>
      <w:r>
        <w:rPr>
          <w:rFonts w:asciiTheme="majorHAnsi" w:hAnsiTheme="majorHAnsi"/>
          <w:sz w:val="22"/>
          <w:szCs w:val="22"/>
        </w:rPr>
        <w:t xml:space="preserve"> therefore</w:t>
      </w:r>
      <w:r w:rsidR="005C4AC5">
        <w:rPr>
          <w:rFonts w:asciiTheme="majorHAnsi" w:hAnsiTheme="majorHAnsi"/>
          <w:sz w:val="22"/>
          <w:szCs w:val="22"/>
        </w:rPr>
        <w:t>,</w:t>
      </w:r>
      <w:r>
        <w:rPr>
          <w:rFonts w:asciiTheme="majorHAnsi" w:hAnsiTheme="majorHAnsi"/>
          <w:sz w:val="22"/>
          <w:szCs w:val="22"/>
        </w:rPr>
        <w:t xml:space="preserve"> that if the</w:t>
      </w:r>
      <w:r w:rsidR="008A4C4B">
        <w:rPr>
          <w:rFonts w:asciiTheme="majorHAnsi" w:hAnsiTheme="majorHAnsi"/>
          <w:sz w:val="22"/>
          <w:szCs w:val="22"/>
        </w:rPr>
        <w:t xml:space="preserve"> core</w:t>
      </w:r>
      <w:r w:rsidR="00027A12">
        <w:rPr>
          <w:rFonts w:asciiTheme="majorHAnsi" w:hAnsiTheme="majorHAnsi"/>
          <w:sz w:val="22"/>
          <w:szCs w:val="22"/>
        </w:rPr>
        <w:t xml:space="preserve"> outcomes of the project are to</w:t>
      </w:r>
      <w:r>
        <w:rPr>
          <w:rFonts w:asciiTheme="majorHAnsi" w:hAnsiTheme="majorHAnsi"/>
          <w:sz w:val="22"/>
          <w:szCs w:val="22"/>
        </w:rPr>
        <w:t xml:space="preserve"> be sustained and the overwhelming consensus of those involved with GEF IW portfolio </w:t>
      </w:r>
      <w:r w:rsidR="00282883">
        <w:rPr>
          <w:rFonts w:asciiTheme="majorHAnsi" w:hAnsiTheme="majorHAnsi"/>
          <w:sz w:val="22"/>
          <w:szCs w:val="22"/>
        </w:rPr>
        <w:t xml:space="preserve">and the MTE </w:t>
      </w:r>
      <w:r w:rsidR="00F0346B">
        <w:rPr>
          <w:rFonts w:asciiTheme="majorHAnsi" w:hAnsiTheme="majorHAnsi"/>
          <w:sz w:val="22"/>
          <w:szCs w:val="22"/>
        </w:rPr>
        <w:t xml:space="preserve">believe they </w:t>
      </w:r>
      <w:r>
        <w:rPr>
          <w:rFonts w:asciiTheme="majorHAnsi" w:hAnsiTheme="majorHAnsi"/>
          <w:sz w:val="22"/>
          <w:szCs w:val="22"/>
        </w:rPr>
        <w:t xml:space="preserve">should </w:t>
      </w:r>
      <w:r w:rsidRPr="00C70C4A">
        <w:rPr>
          <w:rFonts w:asciiTheme="majorHAnsi" w:hAnsiTheme="majorHAnsi"/>
          <w:sz w:val="22"/>
          <w:szCs w:val="22"/>
        </w:rPr>
        <w:t>be</w:t>
      </w:r>
      <w:r w:rsidR="00282883" w:rsidRPr="00C70C4A">
        <w:rPr>
          <w:rFonts w:asciiTheme="majorHAnsi" w:hAnsiTheme="majorHAnsi"/>
          <w:sz w:val="22"/>
          <w:szCs w:val="22"/>
        </w:rPr>
        <w:t>,</w:t>
      </w:r>
      <w:r w:rsidRPr="00C70C4A">
        <w:rPr>
          <w:rFonts w:asciiTheme="majorHAnsi" w:hAnsiTheme="majorHAnsi"/>
          <w:sz w:val="22"/>
          <w:szCs w:val="22"/>
        </w:rPr>
        <w:t xml:space="preserve"> </w:t>
      </w:r>
      <w:r w:rsidR="00FD7D3B">
        <w:rPr>
          <w:rFonts w:asciiTheme="majorHAnsi" w:hAnsiTheme="majorHAnsi"/>
          <w:sz w:val="22"/>
          <w:szCs w:val="22"/>
        </w:rPr>
        <w:t>some incremental costs will</w:t>
      </w:r>
      <w:r w:rsidR="005C4AC5">
        <w:rPr>
          <w:rFonts w:asciiTheme="majorHAnsi" w:hAnsiTheme="majorHAnsi"/>
          <w:sz w:val="22"/>
          <w:szCs w:val="22"/>
        </w:rPr>
        <w:t>,</w:t>
      </w:r>
      <w:r w:rsidR="00FD7D3B">
        <w:rPr>
          <w:rFonts w:asciiTheme="majorHAnsi" w:hAnsiTheme="majorHAnsi"/>
          <w:sz w:val="22"/>
          <w:szCs w:val="22"/>
        </w:rPr>
        <w:t xml:space="preserve"> of necessity</w:t>
      </w:r>
      <w:r w:rsidR="005C4AC5">
        <w:rPr>
          <w:rFonts w:asciiTheme="majorHAnsi" w:hAnsiTheme="majorHAnsi"/>
          <w:sz w:val="22"/>
          <w:szCs w:val="22"/>
        </w:rPr>
        <w:t>,</w:t>
      </w:r>
      <w:r w:rsidR="00FD7D3B">
        <w:rPr>
          <w:rFonts w:asciiTheme="majorHAnsi" w:hAnsiTheme="majorHAnsi"/>
          <w:sz w:val="22"/>
          <w:szCs w:val="22"/>
        </w:rPr>
        <w:t xml:space="preserve"> need to be covered by GEF</w:t>
      </w:r>
      <w:r w:rsidR="004A65E7" w:rsidRPr="00C70C4A">
        <w:rPr>
          <w:rFonts w:asciiTheme="majorHAnsi" w:hAnsiTheme="majorHAnsi"/>
          <w:sz w:val="22"/>
          <w:szCs w:val="22"/>
        </w:rPr>
        <w:t>.  And indeed this is already been done</w:t>
      </w:r>
      <w:r w:rsidR="00282883" w:rsidRPr="00C70C4A">
        <w:rPr>
          <w:rFonts w:asciiTheme="majorHAnsi" w:hAnsiTheme="majorHAnsi"/>
          <w:sz w:val="22"/>
          <w:szCs w:val="22"/>
        </w:rPr>
        <w:t>,</w:t>
      </w:r>
      <w:r w:rsidR="004A65E7" w:rsidRPr="00C70C4A">
        <w:rPr>
          <w:rFonts w:asciiTheme="majorHAnsi" w:hAnsiTheme="majorHAnsi"/>
          <w:sz w:val="22"/>
          <w:szCs w:val="22"/>
        </w:rPr>
        <w:t xml:space="preserve"> to some extent</w:t>
      </w:r>
      <w:r w:rsidR="00C711C9">
        <w:rPr>
          <w:rFonts w:asciiTheme="majorHAnsi" w:hAnsiTheme="majorHAnsi"/>
          <w:sz w:val="22"/>
          <w:szCs w:val="22"/>
        </w:rPr>
        <w:t xml:space="preserve">, </w:t>
      </w:r>
      <w:r w:rsidR="004A65E7" w:rsidRPr="00C70C4A">
        <w:rPr>
          <w:rFonts w:asciiTheme="majorHAnsi" w:hAnsiTheme="majorHAnsi"/>
          <w:sz w:val="22"/>
          <w:szCs w:val="22"/>
        </w:rPr>
        <w:t xml:space="preserve">through several GEF projects such as the currently under implementation </w:t>
      </w:r>
      <w:r w:rsidR="004A65E7" w:rsidRPr="00C70C4A">
        <w:rPr>
          <w:rFonts w:asciiTheme="majorHAnsi" w:hAnsiTheme="majorHAnsi"/>
          <w:i/>
          <w:sz w:val="22"/>
          <w:szCs w:val="22"/>
        </w:rPr>
        <w:t>GEF IW: LEARN/CTI</w:t>
      </w:r>
      <w:r w:rsidR="008A4C4B" w:rsidRPr="00C70C4A">
        <w:rPr>
          <w:rFonts w:asciiTheme="majorHAnsi" w:hAnsiTheme="majorHAnsi"/>
          <w:i/>
          <w:sz w:val="22"/>
          <w:szCs w:val="22"/>
        </w:rPr>
        <w:t>, (foot);</w:t>
      </w:r>
      <w:r w:rsidR="008A4C4B" w:rsidRPr="00C70C4A">
        <w:rPr>
          <w:rFonts w:asciiTheme="majorHAnsi" w:hAnsiTheme="majorHAnsi"/>
          <w:sz w:val="22"/>
          <w:szCs w:val="22"/>
        </w:rPr>
        <w:t xml:space="preserve"> the </w:t>
      </w:r>
      <w:r w:rsidR="00C70C4A" w:rsidRPr="00C70C4A">
        <w:rPr>
          <w:rFonts w:asciiTheme="majorHAnsi" w:hAnsiTheme="majorHAnsi"/>
          <w:sz w:val="22"/>
          <w:szCs w:val="22"/>
        </w:rPr>
        <w:t xml:space="preserve">project </w:t>
      </w:r>
      <w:r w:rsidR="008A4C4B" w:rsidRPr="00C70C4A">
        <w:rPr>
          <w:rFonts w:asciiTheme="majorHAnsi" w:hAnsiTheme="majorHAnsi"/>
          <w:i/>
          <w:sz w:val="22"/>
          <w:szCs w:val="22"/>
        </w:rPr>
        <w:t>‘A Global Community of Practice to Improve the Management of Large Marine Ecosystems and their coasts (LME/ICM-CoP)’</w:t>
      </w:r>
      <w:r w:rsidR="008A4C4B" w:rsidRPr="00C70C4A">
        <w:rPr>
          <w:rFonts w:asciiTheme="majorHAnsi" w:hAnsiTheme="majorHAnsi"/>
          <w:sz w:val="22"/>
          <w:szCs w:val="22"/>
        </w:rPr>
        <w:t xml:space="preserve"> expected to start implementation later this year and the project through which the next IW Conference will be supported </w:t>
      </w:r>
      <w:r w:rsidR="00C70C4A" w:rsidRPr="00C70C4A">
        <w:rPr>
          <w:rFonts w:asciiTheme="majorHAnsi" w:hAnsiTheme="majorHAnsi"/>
          <w:sz w:val="22"/>
          <w:szCs w:val="22"/>
        </w:rPr>
        <w:t>–</w:t>
      </w:r>
      <w:r w:rsidR="008A4C4B" w:rsidRPr="00C70C4A">
        <w:rPr>
          <w:rFonts w:asciiTheme="majorHAnsi" w:hAnsiTheme="majorHAnsi"/>
          <w:sz w:val="22"/>
          <w:szCs w:val="22"/>
        </w:rPr>
        <w:t xml:space="preserve"> </w:t>
      </w:r>
      <w:r w:rsidR="00C70C4A" w:rsidRPr="00C70C4A">
        <w:rPr>
          <w:rFonts w:asciiTheme="majorHAnsi" w:hAnsiTheme="majorHAnsi"/>
          <w:sz w:val="22"/>
          <w:szCs w:val="22"/>
        </w:rPr>
        <w:t>‘</w:t>
      </w:r>
      <w:r w:rsidR="008A4C4B" w:rsidRPr="00C70C4A">
        <w:rPr>
          <w:rFonts w:asciiTheme="majorHAnsi" w:hAnsiTheme="majorHAnsi"/>
          <w:i/>
          <w:sz w:val="22"/>
          <w:szCs w:val="22"/>
        </w:rPr>
        <w:t>Implementing Integrated Land Water and Wastewater Management in Caribbean SIDS.</w:t>
      </w:r>
      <w:r w:rsidR="00C70C4A" w:rsidRPr="00C70C4A">
        <w:rPr>
          <w:rFonts w:asciiTheme="majorHAnsi" w:hAnsiTheme="majorHAnsi"/>
          <w:i/>
          <w:sz w:val="22"/>
          <w:szCs w:val="22"/>
        </w:rPr>
        <w:t>’</w:t>
      </w:r>
      <w:r w:rsidR="006E5A0D" w:rsidRPr="00C70C4A">
        <w:rPr>
          <w:rFonts w:asciiTheme="majorHAnsi" w:hAnsiTheme="majorHAnsi"/>
          <w:sz w:val="22"/>
          <w:szCs w:val="22"/>
        </w:rPr>
        <w:t xml:space="preserve"> </w:t>
      </w:r>
      <w:r w:rsidR="00C70C4A" w:rsidRPr="00C70C4A">
        <w:rPr>
          <w:rFonts w:asciiTheme="majorHAnsi" w:hAnsiTheme="majorHAnsi"/>
          <w:sz w:val="22"/>
          <w:szCs w:val="22"/>
        </w:rPr>
        <w:t xml:space="preserve"> However none of these provide for core IW LEARN services and hence a follow on project will be required to ensure continuity and sustainability of IW Learn services to the whole IW portfolio. </w:t>
      </w:r>
    </w:p>
    <w:p w14:paraId="50EB91C7" w14:textId="77777777" w:rsidR="00DE57A4" w:rsidRPr="00C70C4A" w:rsidRDefault="00DE57A4" w:rsidP="00C70C4A">
      <w:pPr>
        <w:jc w:val="both"/>
        <w:rPr>
          <w:rFonts w:asciiTheme="majorHAnsi" w:hAnsiTheme="majorHAnsi"/>
          <w:sz w:val="22"/>
          <w:szCs w:val="22"/>
        </w:rPr>
      </w:pPr>
    </w:p>
    <w:p w14:paraId="6E97CEF5" w14:textId="0732BC73" w:rsidR="00DE57A4" w:rsidRPr="003171D2" w:rsidRDefault="00DE57A4" w:rsidP="00C711C9">
      <w:pPr>
        <w:jc w:val="both"/>
        <w:rPr>
          <w:rFonts w:asciiTheme="majorHAnsi" w:hAnsiTheme="majorHAnsi" w:cs="Helvetica"/>
          <w:sz w:val="22"/>
          <w:szCs w:val="22"/>
          <w:lang w:val="en-US"/>
        </w:rPr>
      </w:pPr>
      <w:r w:rsidRPr="003171D2">
        <w:rPr>
          <w:rFonts w:asciiTheme="majorHAnsi" w:hAnsiTheme="majorHAnsi" w:cs="Helvetica"/>
          <w:sz w:val="22"/>
          <w:szCs w:val="22"/>
          <w:lang w:val="en-US"/>
        </w:rPr>
        <w:t xml:space="preserve">It was commented at the SCM by the GEF representative that KM is playing an increasingly important role within GEF-SEC and anticipated that KM, </w:t>
      </w:r>
      <w:r w:rsidR="003171D2" w:rsidRPr="003171D2">
        <w:rPr>
          <w:rFonts w:asciiTheme="majorHAnsi" w:hAnsiTheme="majorHAnsi" w:cs="Helvetica"/>
          <w:sz w:val="22"/>
          <w:szCs w:val="22"/>
          <w:lang w:val="en-US"/>
        </w:rPr>
        <w:t>portfolio</w:t>
      </w:r>
      <w:r w:rsidRPr="003171D2">
        <w:rPr>
          <w:rFonts w:asciiTheme="majorHAnsi" w:hAnsiTheme="majorHAnsi" w:cs="Helvetica"/>
          <w:sz w:val="22"/>
          <w:szCs w:val="22"/>
          <w:lang w:val="en-US"/>
        </w:rPr>
        <w:t xml:space="preserve"> learning and RBM would take a more prominent role in the GEF6 strategy currently under formulation.  He stressed that they for their part would be doing their utmost to </w:t>
      </w:r>
      <w:r w:rsidR="00C711C9">
        <w:rPr>
          <w:rFonts w:asciiTheme="majorHAnsi" w:hAnsiTheme="majorHAnsi" w:cs="Helvetica"/>
          <w:sz w:val="22"/>
          <w:szCs w:val="22"/>
          <w:lang w:val="en-US"/>
        </w:rPr>
        <w:t xml:space="preserve">sustain the IWLEARN activities </w:t>
      </w:r>
      <w:r w:rsidRPr="003171D2">
        <w:rPr>
          <w:rFonts w:asciiTheme="majorHAnsi" w:hAnsiTheme="majorHAnsi" w:cs="Helvetica"/>
          <w:sz w:val="22"/>
          <w:szCs w:val="22"/>
          <w:lang w:val="en-US"/>
        </w:rPr>
        <w:t xml:space="preserve">and were looking at innovative partnership </w:t>
      </w:r>
      <w:r w:rsidR="003171D2" w:rsidRPr="003171D2">
        <w:rPr>
          <w:rFonts w:asciiTheme="majorHAnsi" w:hAnsiTheme="majorHAnsi" w:cs="Helvetica"/>
          <w:sz w:val="22"/>
          <w:szCs w:val="22"/>
          <w:lang w:val="en-US"/>
        </w:rPr>
        <w:t>arrangements</w:t>
      </w:r>
      <w:r w:rsidR="00D77D5B">
        <w:rPr>
          <w:rFonts w:asciiTheme="majorHAnsi" w:hAnsiTheme="majorHAnsi" w:cs="Helvetica"/>
          <w:sz w:val="22"/>
          <w:szCs w:val="22"/>
          <w:lang w:val="en-US"/>
        </w:rPr>
        <w:t xml:space="preserve"> </w:t>
      </w:r>
      <w:r w:rsidRPr="003171D2">
        <w:rPr>
          <w:rFonts w:asciiTheme="majorHAnsi" w:hAnsiTheme="majorHAnsi" w:cs="Helvetica"/>
          <w:sz w:val="22"/>
          <w:szCs w:val="22"/>
          <w:lang w:val="en-US"/>
        </w:rPr>
        <w:t xml:space="preserve">with new partners such as large international NGOs and possibly UNECE </w:t>
      </w:r>
      <w:r w:rsidR="003171D2" w:rsidRPr="003171D2">
        <w:rPr>
          <w:rFonts w:asciiTheme="majorHAnsi" w:hAnsiTheme="majorHAnsi" w:cs="Helvetica"/>
          <w:sz w:val="22"/>
          <w:szCs w:val="22"/>
          <w:lang w:val="en-US"/>
        </w:rPr>
        <w:t xml:space="preserve">et to cover some of the costs, </w:t>
      </w:r>
      <w:r w:rsidRPr="003171D2">
        <w:rPr>
          <w:rFonts w:asciiTheme="majorHAnsi" w:hAnsiTheme="majorHAnsi" w:cs="Helvetica"/>
          <w:sz w:val="22"/>
          <w:szCs w:val="22"/>
          <w:lang w:val="en-US"/>
        </w:rPr>
        <w:t>together with perhaps some incremental funding from GEF</w:t>
      </w:r>
      <w:r w:rsidR="003171D2" w:rsidRPr="003171D2">
        <w:rPr>
          <w:rFonts w:asciiTheme="majorHAnsi" w:hAnsiTheme="majorHAnsi" w:cs="Helvetica"/>
          <w:sz w:val="22"/>
          <w:szCs w:val="22"/>
          <w:lang w:val="en-US"/>
        </w:rPr>
        <w:t xml:space="preserve">. </w:t>
      </w:r>
    </w:p>
    <w:p w14:paraId="64BE9AA0" w14:textId="77777777" w:rsidR="00A66243" w:rsidRDefault="00A66243" w:rsidP="00A66243"/>
    <w:p w14:paraId="5C206C14" w14:textId="40744392" w:rsidR="00540CD7" w:rsidRPr="00427682" w:rsidRDefault="00F70109" w:rsidP="00427682">
      <w:pPr>
        <w:jc w:val="both"/>
        <w:rPr>
          <w:rFonts w:asciiTheme="majorHAnsi" w:hAnsiTheme="majorHAnsi"/>
          <w:sz w:val="22"/>
          <w:szCs w:val="22"/>
        </w:rPr>
      </w:pPr>
      <w:r w:rsidRPr="00427682">
        <w:rPr>
          <w:rFonts w:asciiTheme="majorHAnsi" w:hAnsiTheme="majorHAnsi"/>
          <w:sz w:val="22"/>
          <w:szCs w:val="22"/>
        </w:rPr>
        <w:t xml:space="preserve">Starting under GEF4  (Nov 2006) </w:t>
      </w:r>
      <w:r w:rsidR="008E3684" w:rsidRPr="00427682">
        <w:rPr>
          <w:rFonts w:asciiTheme="majorHAnsi" w:hAnsiTheme="majorHAnsi"/>
          <w:sz w:val="22"/>
          <w:szCs w:val="22"/>
        </w:rPr>
        <w:t>all new GEF IW projects developed are required to allocate 1% of the budget to IW Learning activities much of which is usually spent on participation of project staff and relevant government officials at the</w:t>
      </w:r>
      <w:r w:rsidRPr="00427682">
        <w:rPr>
          <w:rFonts w:asciiTheme="majorHAnsi" w:hAnsiTheme="majorHAnsi"/>
          <w:sz w:val="22"/>
          <w:szCs w:val="22"/>
        </w:rPr>
        <w:t xml:space="preserve"> IW Conference. Otherwise no direction is provided by GEF regarding how the money should be spent.  To further spread the cost of learning activities and better target </w:t>
      </w:r>
      <w:r w:rsidR="005C4AC5">
        <w:rPr>
          <w:rFonts w:asciiTheme="majorHAnsi" w:hAnsiTheme="majorHAnsi"/>
          <w:sz w:val="22"/>
          <w:szCs w:val="22"/>
        </w:rPr>
        <w:t>the funds</w:t>
      </w:r>
      <w:r w:rsidRPr="00427682">
        <w:rPr>
          <w:rFonts w:asciiTheme="majorHAnsi" w:hAnsiTheme="majorHAnsi"/>
          <w:sz w:val="22"/>
          <w:szCs w:val="22"/>
        </w:rPr>
        <w:t xml:space="preserve"> the MTE </w:t>
      </w:r>
      <w:r w:rsidR="00C711C9" w:rsidRPr="00427682">
        <w:rPr>
          <w:rFonts w:asciiTheme="majorHAnsi" w:hAnsiTheme="majorHAnsi"/>
          <w:sz w:val="22"/>
          <w:szCs w:val="22"/>
        </w:rPr>
        <w:t>recommends</w:t>
      </w:r>
      <w:r w:rsidRPr="00427682">
        <w:rPr>
          <w:rFonts w:asciiTheme="majorHAnsi" w:hAnsiTheme="majorHAnsi"/>
          <w:sz w:val="22"/>
          <w:szCs w:val="22"/>
        </w:rPr>
        <w:t xml:space="preserve"> that the allocation be increased to 2% as soon as possible and that </w:t>
      </w:r>
      <w:r w:rsidR="00332B99" w:rsidRPr="00427682">
        <w:rPr>
          <w:rFonts w:asciiTheme="majorHAnsi" w:hAnsiTheme="majorHAnsi"/>
          <w:sz w:val="22"/>
          <w:szCs w:val="22"/>
        </w:rPr>
        <w:t xml:space="preserve">clear direction </w:t>
      </w:r>
      <w:proofErr w:type="gramStart"/>
      <w:r w:rsidR="00332B99" w:rsidRPr="00427682">
        <w:rPr>
          <w:rFonts w:asciiTheme="majorHAnsi" w:hAnsiTheme="majorHAnsi"/>
          <w:sz w:val="22"/>
          <w:szCs w:val="22"/>
        </w:rPr>
        <w:t>is given as to how the funds are to be spent</w:t>
      </w:r>
      <w:proofErr w:type="gramEnd"/>
      <w:r w:rsidR="00332B99" w:rsidRPr="00427682">
        <w:rPr>
          <w:rFonts w:asciiTheme="majorHAnsi" w:hAnsiTheme="majorHAnsi"/>
          <w:sz w:val="22"/>
          <w:szCs w:val="22"/>
        </w:rPr>
        <w:t>. This should be fully articulated as part of the Project</w:t>
      </w:r>
      <w:r w:rsidR="00427682" w:rsidRPr="00427682">
        <w:rPr>
          <w:rFonts w:asciiTheme="majorHAnsi" w:hAnsiTheme="majorHAnsi"/>
          <w:sz w:val="22"/>
          <w:szCs w:val="22"/>
        </w:rPr>
        <w:t xml:space="preserve">’s </w:t>
      </w:r>
      <w:r w:rsidR="00332B99" w:rsidRPr="00427682">
        <w:rPr>
          <w:rFonts w:asciiTheme="majorHAnsi" w:hAnsiTheme="majorHAnsi"/>
          <w:sz w:val="22"/>
          <w:szCs w:val="22"/>
        </w:rPr>
        <w:t>Sustainability plan</w:t>
      </w:r>
      <w:r w:rsidR="00FD7D3B" w:rsidRPr="00427682">
        <w:rPr>
          <w:rFonts w:asciiTheme="majorHAnsi" w:hAnsiTheme="majorHAnsi"/>
          <w:sz w:val="22"/>
          <w:szCs w:val="22"/>
        </w:rPr>
        <w:t xml:space="preserve"> – see below</w:t>
      </w:r>
      <w:r w:rsidR="00332B99" w:rsidRPr="00427682">
        <w:rPr>
          <w:rFonts w:asciiTheme="majorHAnsi" w:hAnsiTheme="majorHAnsi"/>
          <w:sz w:val="22"/>
          <w:szCs w:val="22"/>
        </w:rPr>
        <w:t xml:space="preserve">.  </w:t>
      </w:r>
    </w:p>
    <w:p w14:paraId="20A4B132" w14:textId="77777777" w:rsidR="00FD7D3B" w:rsidRDefault="00FD7D3B" w:rsidP="00540CD7"/>
    <w:p w14:paraId="638F70FC" w14:textId="21957C59" w:rsidR="00332B99" w:rsidRPr="00D77D5B" w:rsidRDefault="00FD7D3B" w:rsidP="00D77D5B">
      <w:pPr>
        <w:widowControl w:val="0"/>
        <w:spacing w:before="120"/>
        <w:jc w:val="both"/>
        <w:rPr>
          <w:rFonts w:asciiTheme="majorHAnsi" w:hAnsiTheme="majorHAnsi"/>
          <w:sz w:val="22"/>
          <w:szCs w:val="22"/>
        </w:rPr>
      </w:pPr>
      <w:r>
        <w:rPr>
          <w:rFonts w:asciiTheme="majorHAnsi" w:hAnsiTheme="majorHAnsi"/>
          <w:sz w:val="22"/>
          <w:szCs w:val="22"/>
        </w:rPr>
        <w:t>Before the end of the Project, all project p</w:t>
      </w:r>
      <w:r w:rsidRPr="002B1783">
        <w:rPr>
          <w:rFonts w:asciiTheme="majorHAnsi" w:hAnsiTheme="majorHAnsi"/>
          <w:sz w:val="22"/>
          <w:szCs w:val="22"/>
        </w:rPr>
        <w:t xml:space="preserve">artners </w:t>
      </w:r>
      <w:r w:rsidR="00C711C9" w:rsidRPr="002B1783">
        <w:rPr>
          <w:rFonts w:asciiTheme="majorHAnsi" w:hAnsiTheme="majorHAnsi"/>
          <w:sz w:val="22"/>
          <w:szCs w:val="22"/>
        </w:rPr>
        <w:t xml:space="preserve">according to their TORs </w:t>
      </w:r>
      <w:r w:rsidRPr="002B1783">
        <w:rPr>
          <w:rFonts w:asciiTheme="majorHAnsi" w:hAnsiTheme="majorHAnsi"/>
          <w:sz w:val="22"/>
          <w:szCs w:val="22"/>
        </w:rPr>
        <w:t>and are required</w:t>
      </w:r>
      <w:r w:rsidR="00C711C9">
        <w:rPr>
          <w:rFonts w:asciiTheme="majorHAnsi" w:hAnsiTheme="majorHAnsi"/>
          <w:sz w:val="22"/>
          <w:szCs w:val="22"/>
        </w:rPr>
        <w:t xml:space="preserve"> </w:t>
      </w:r>
      <w:r w:rsidRPr="002B1783">
        <w:rPr>
          <w:rFonts w:asciiTheme="majorHAnsi" w:hAnsiTheme="majorHAnsi"/>
          <w:sz w:val="22"/>
          <w:szCs w:val="22"/>
        </w:rPr>
        <w:t>to elaborate a fin</w:t>
      </w:r>
      <w:r>
        <w:rPr>
          <w:rFonts w:asciiTheme="majorHAnsi" w:hAnsiTheme="majorHAnsi"/>
          <w:sz w:val="22"/>
          <w:szCs w:val="22"/>
        </w:rPr>
        <w:t xml:space="preserve">al report that must include … </w:t>
      </w:r>
      <w:r w:rsidRPr="00C711C9">
        <w:rPr>
          <w:rFonts w:asciiTheme="majorHAnsi" w:hAnsiTheme="majorHAnsi"/>
          <w:i/>
          <w:sz w:val="22"/>
          <w:szCs w:val="22"/>
        </w:rPr>
        <w:t>’any possible plan or strategy for sustaining the activity and its benefits after project termination</w:t>
      </w:r>
      <w:r w:rsidRPr="002B1783">
        <w:rPr>
          <w:rFonts w:asciiTheme="majorHAnsi" w:hAnsiTheme="majorHAnsi"/>
          <w:sz w:val="22"/>
          <w:szCs w:val="22"/>
        </w:rPr>
        <w:t xml:space="preserve">.’ </w:t>
      </w:r>
      <w:r>
        <w:rPr>
          <w:rFonts w:asciiTheme="majorHAnsi" w:hAnsiTheme="majorHAnsi"/>
          <w:sz w:val="22"/>
          <w:szCs w:val="22"/>
        </w:rPr>
        <w:t xml:space="preserve"> The PCU is further charged </w:t>
      </w:r>
      <w:r w:rsidR="00C711C9">
        <w:rPr>
          <w:rFonts w:asciiTheme="majorHAnsi" w:hAnsiTheme="majorHAnsi"/>
          <w:sz w:val="22"/>
          <w:szCs w:val="22"/>
        </w:rPr>
        <w:t>with incorporating</w:t>
      </w:r>
      <w:r>
        <w:rPr>
          <w:rFonts w:asciiTheme="majorHAnsi" w:hAnsiTheme="majorHAnsi"/>
          <w:sz w:val="22"/>
          <w:szCs w:val="22"/>
        </w:rPr>
        <w:t xml:space="preserve"> the individual partner plans</w:t>
      </w:r>
      <w:r w:rsidRPr="002B1783">
        <w:rPr>
          <w:rFonts w:asciiTheme="majorHAnsi" w:hAnsiTheme="majorHAnsi"/>
          <w:sz w:val="22"/>
          <w:szCs w:val="22"/>
        </w:rPr>
        <w:t xml:space="preserve"> into an overall sustainability plan for the project.  The MTE recommends that work </w:t>
      </w:r>
      <w:r>
        <w:rPr>
          <w:rFonts w:asciiTheme="majorHAnsi" w:hAnsiTheme="majorHAnsi"/>
          <w:sz w:val="22"/>
          <w:szCs w:val="22"/>
        </w:rPr>
        <w:t>on</w:t>
      </w:r>
      <w:r w:rsidRPr="002B1783">
        <w:rPr>
          <w:rFonts w:asciiTheme="majorHAnsi" w:hAnsiTheme="majorHAnsi"/>
          <w:sz w:val="22"/>
          <w:szCs w:val="22"/>
        </w:rPr>
        <w:t xml:space="preserve"> these sustainability plans begins forthwith because</w:t>
      </w:r>
      <w:r>
        <w:rPr>
          <w:rFonts w:asciiTheme="majorHAnsi" w:hAnsiTheme="majorHAnsi"/>
          <w:sz w:val="22"/>
          <w:szCs w:val="22"/>
        </w:rPr>
        <w:t xml:space="preserve"> in most cases </w:t>
      </w:r>
      <w:proofErr w:type="gramStart"/>
      <w:r>
        <w:rPr>
          <w:rFonts w:asciiTheme="majorHAnsi" w:hAnsiTheme="majorHAnsi"/>
          <w:sz w:val="22"/>
          <w:szCs w:val="22"/>
        </w:rPr>
        <w:t xml:space="preserve">the </w:t>
      </w:r>
      <w:r w:rsidRPr="002B1783">
        <w:rPr>
          <w:rFonts w:asciiTheme="majorHAnsi" w:hAnsiTheme="majorHAnsi"/>
          <w:sz w:val="22"/>
          <w:szCs w:val="22"/>
        </w:rPr>
        <w:t xml:space="preserve"> institutional</w:t>
      </w:r>
      <w:proofErr w:type="gramEnd"/>
      <w:r w:rsidRPr="002B1783">
        <w:rPr>
          <w:rFonts w:asciiTheme="majorHAnsi" w:hAnsiTheme="majorHAnsi"/>
          <w:sz w:val="22"/>
          <w:szCs w:val="22"/>
        </w:rPr>
        <w:t xml:space="preserve"> support required will need to be</w:t>
      </w:r>
      <w:r>
        <w:rPr>
          <w:rFonts w:asciiTheme="majorHAnsi" w:hAnsiTheme="majorHAnsi"/>
          <w:sz w:val="22"/>
          <w:szCs w:val="22"/>
        </w:rPr>
        <w:t xml:space="preserve"> formally </w:t>
      </w:r>
      <w:r w:rsidRPr="002B1783">
        <w:rPr>
          <w:rFonts w:asciiTheme="majorHAnsi" w:hAnsiTheme="majorHAnsi"/>
          <w:sz w:val="22"/>
          <w:szCs w:val="22"/>
        </w:rPr>
        <w:t xml:space="preserve"> solicited and approved</w:t>
      </w:r>
      <w:r>
        <w:rPr>
          <w:rFonts w:asciiTheme="majorHAnsi" w:hAnsiTheme="majorHAnsi"/>
          <w:sz w:val="22"/>
          <w:szCs w:val="22"/>
        </w:rPr>
        <w:t xml:space="preserve"> by relevant authorities</w:t>
      </w:r>
      <w:r w:rsidRPr="002B1783">
        <w:rPr>
          <w:rFonts w:asciiTheme="majorHAnsi" w:hAnsiTheme="majorHAnsi"/>
          <w:sz w:val="22"/>
          <w:szCs w:val="22"/>
        </w:rPr>
        <w:t xml:space="preserve"> prior to the end of the project if the sustainability plan </w:t>
      </w:r>
      <w:r w:rsidR="00600753">
        <w:rPr>
          <w:rFonts w:asciiTheme="majorHAnsi" w:hAnsiTheme="majorHAnsi"/>
          <w:sz w:val="22"/>
          <w:szCs w:val="22"/>
        </w:rPr>
        <w:t xml:space="preserve">is to provide a clear road map for the future rather than </w:t>
      </w:r>
      <w:r w:rsidRPr="002B1783">
        <w:rPr>
          <w:rFonts w:asciiTheme="majorHAnsi" w:hAnsiTheme="majorHAnsi"/>
          <w:sz w:val="22"/>
          <w:szCs w:val="22"/>
        </w:rPr>
        <w:t xml:space="preserve">a mere wish-list. </w:t>
      </w:r>
      <w:r w:rsidR="004D10E4">
        <w:rPr>
          <w:rFonts w:asciiTheme="majorHAnsi" w:hAnsiTheme="majorHAnsi"/>
          <w:sz w:val="22"/>
          <w:szCs w:val="22"/>
        </w:rPr>
        <w:t xml:space="preserve"> A comprehensive sustainability plan was written in October 2008</w:t>
      </w:r>
      <w:r w:rsidR="005C4AC5">
        <w:rPr>
          <w:rStyle w:val="FootnoteReference"/>
          <w:rFonts w:asciiTheme="majorHAnsi" w:hAnsiTheme="majorHAnsi"/>
          <w:sz w:val="22"/>
          <w:szCs w:val="22"/>
        </w:rPr>
        <w:footnoteReference w:id="3"/>
      </w:r>
      <w:r w:rsidR="004D10E4">
        <w:rPr>
          <w:rFonts w:asciiTheme="majorHAnsi" w:hAnsiTheme="majorHAnsi"/>
          <w:sz w:val="22"/>
          <w:szCs w:val="22"/>
        </w:rPr>
        <w:t xml:space="preserve"> and provides a useful model for the forthcoming plan. What seems to have been lacking previously according to the PM, who helped formulate the plan, was obtaining full ownership by IAs and GEF. </w:t>
      </w:r>
    </w:p>
    <w:p w14:paraId="156A4637" w14:textId="475F3170" w:rsidR="004D10E4" w:rsidRDefault="00D37989" w:rsidP="004D10E4">
      <w:pPr>
        <w:pStyle w:val="Heading2"/>
      </w:pPr>
      <w:bookmarkStart w:id="63" w:name="_Toc222479148"/>
      <w:r>
        <w:t>Catalytic role</w:t>
      </w:r>
      <w:bookmarkEnd w:id="63"/>
      <w:r>
        <w:t xml:space="preserve"> </w:t>
      </w:r>
    </w:p>
    <w:p w14:paraId="178860E0" w14:textId="741DC3A0" w:rsidR="00791F44" w:rsidRDefault="00900F61" w:rsidP="00EB57C9">
      <w:pPr>
        <w:autoSpaceDE w:val="0"/>
        <w:autoSpaceDN w:val="0"/>
        <w:adjustRightInd w:val="0"/>
        <w:jc w:val="both"/>
        <w:rPr>
          <w:rFonts w:asciiTheme="majorHAnsi" w:hAnsiTheme="majorHAnsi"/>
          <w:b/>
          <w:sz w:val="22"/>
          <w:szCs w:val="22"/>
        </w:rPr>
      </w:pPr>
      <w:r w:rsidRPr="003863BD">
        <w:rPr>
          <w:rFonts w:asciiTheme="majorHAnsi" w:hAnsiTheme="majorHAnsi"/>
          <w:sz w:val="22"/>
          <w:szCs w:val="22"/>
        </w:rPr>
        <w:t xml:space="preserve">The terminal evaluation of the previous phase rated that </w:t>
      </w:r>
      <w:r w:rsidR="00CB1DDC">
        <w:rPr>
          <w:rFonts w:asciiTheme="majorHAnsi" w:hAnsiTheme="majorHAnsi"/>
          <w:sz w:val="22"/>
          <w:szCs w:val="22"/>
        </w:rPr>
        <w:t>project</w:t>
      </w:r>
      <w:r w:rsidRPr="003863BD">
        <w:rPr>
          <w:rFonts w:asciiTheme="majorHAnsi" w:hAnsiTheme="majorHAnsi"/>
          <w:sz w:val="22"/>
          <w:szCs w:val="22"/>
        </w:rPr>
        <w:t xml:space="preserve"> as highly satisfactory with regard to the projects catalytic role and replication and there are </w:t>
      </w:r>
      <w:proofErr w:type="gramStart"/>
      <w:r w:rsidRPr="003863BD">
        <w:rPr>
          <w:rFonts w:asciiTheme="majorHAnsi" w:hAnsiTheme="majorHAnsi"/>
          <w:sz w:val="22"/>
          <w:szCs w:val="22"/>
        </w:rPr>
        <w:t>already  some</w:t>
      </w:r>
      <w:proofErr w:type="gramEnd"/>
      <w:r w:rsidRPr="003863BD">
        <w:rPr>
          <w:rFonts w:asciiTheme="majorHAnsi" w:hAnsiTheme="majorHAnsi"/>
          <w:sz w:val="22"/>
          <w:szCs w:val="22"/>
        </w:rPr>
        <w:t xml:space="preserve"> notable examples under this phase </w:t>
      </w:r>
      <w:r w:rsidR="003863BD" w:rsidRPr="003863BD">
        <w:rPr>
          <w:rFonts w:asciiTheme="majorHAnsi" w:hAnsiTheme="majorHAnsi"/>
          <w:sz w:val="22"/>
          <w:szCs w:val="22"/>
        </w:rPr>
        <w:t xml:space="preserve">under component 1b </w:t>
      </w:r>
      <w:r w:rsidR="00BC6604">
        <w:rPr>
          <w:rFonts w:asciiTheme="majorHAnsi" w:hAnsiTheme="majorHAnsi"/>
          <w:sz w:val="22"/>
          <w:szCs w:val="22"/>
        </w:rPr>
        <w:t xml:space="preserve">(see below) </w:t>
      </w:r>
      <w:r w:rsidR="00791F44">
        <w:rPr>
          <w:rFonts w:asciiTheme="majorHAnsi" w:hAnsiTheme="majorHAnsi"/>
          <w:sz w:val="22"/>
          <w:szCs w:val="22"/>
        </w:rPr>
        <w:t xml:space="preserve">and this aspect of the project is currently assessed by the MTE as being </w:t>
      </w:r>
      <w:r w:rsidR="00791F44" w:rsidRPr="00791F44">
        <w:rPr>
          <w:rFonts w:asciiTheme="majorHAnsi" w:hAnsiTheme="majorHAnsi"/>
          <w:b/>
          <w:sz w:val="22"/>
          <w:szCs w:val="22"/>
        </w:rPr>
        <w:t>Satisfactory</w:t>
      </w:r>
      <w:r w:rsidR="00791F44">
        <w:rPr>
          <w:rFonts w:asciiTheme="majorHAnsi" w:hAnsiTheme="majorHAnsi"/>
          <w:b/>
          <w:sz w:val="22"/>
          <w:szCs w:val="22"/>
        </w:rPr>
        <w:t xml:space="preserve">. </w:t>
      </w:r>
    </w:p>
    <w:p w14:paraId="6D34FDBC" w14:textId="77777777" w:rsidR="00BC6604" w:rsidRPr="003863BD" w:rsidRDefault="00BC6604" w:rsidP="00EB57C9">
      <w:pPr>
        <w:autoSpaceDE w:val="0"/>
        <w:autoSpaceDN w:val="0"/>
        <w:adjustRightInd w:val="0"/>
        <w:jc w:val="both"/>
        <w:rPr>
          <w:rFonts w:asciiTheme="majorHAnsi" w:hAnsiTheme="majorHAnsi"/>
          <w:b/>
          <w:sz w:val="22"/>
          <w:szCs w:val="22"/>
        </w:rPr>
      </w:pPr>
    </w:p>
    <w:p w14:paraId="4D2B8F8F" w14:textId="07EEE5AE" w:rsidR="00BC6604" w:rsidRPr="00BC6604" w:rsidRDefault="00BC6604" w:rsidP="009269CE">
      <w:pPr>
        <w:widowControl w:val="0"/>
        <w:autoSpaceDE w:val="0"/>
        <w:autoSpaceDN w:val="0"/>
        <w:adjustRightInd w:val="0"/>
        <w:jc w:val="both"/>
        <w:rPr>
          <w:rFonts w:asciiTheme="majorHAnsi" w:hAnsiTheme="majorHAnsi" w:cs="Helvetica"/>
          <w:sz w:val="22"/>
          <w:szCs w:val="22"/>
          <w:lang w:val="en-US"/>
        </w:rPr>
      </w:pPr>
      <w:r w:rsidRPr="00BC6604">
        <w:rPr>
          <w:rFonts w:asciiTheme="majorHAnsi" w:hAnsiTheme="majorHAnsi" w:cs="Helvetica"/>
          <w:sz w:val="22"/>
          <w:szCs w:val="22"/>
          <w:lang w:val="en-US"/>
        </w:rPr>
        <w:t xml:space="preserve">The International Roundtable on Protection and Sustainable Use of Transboundary Waters in Southeastern Europe (15-16 December 2011, Zagreb, Croatia) has resulted in a decision to </w:t>
      </w:r>
      <w:proofErr w:type="gramStart"/>
      <w:r w:rsidRPr="00BC6604">
        <w:rPr>
          <w:rFonts w:asciiTheme="majorHAnsi" w:hAnsiTheme="majorHAnsi" w:cs="Helvetica"/>
          <w:sz w:val="22"/>
          <w:szCs w:val="22"/>
          <w:lang w:val="en-US"/>
        </w:rPr>
        <w:t>continue  the</w:t>
      </w:r>
      <w:proofErr w:type="gramEnd"/>
      <w:r w:rsidRPr="00BC6604">
        <w:rPr>
          <w:rFonts w:asciiTheme="majorHAnsi" w:hAnsiTheme="majorHAnsi" w:cs="Helvetica"/>
          <w:sz w:val="22"/>
          <w:szCs w:val="22"/>
          <w:lang w:val="en-US"/>
        </w:rPr>
        <w:t xml:space="preserve"> </w:t>
      </w:r>
      <w:r w:rsidR="00E22628" w:rsidRPr="00BC6604">
        <w:rPr>
          <w:rFonts w:asciiTheme="majorHAnsi" w:hAnsiTheme="majorHAnsi" w:cs="Helvetica"/>
          <w:sz w:val="22"/>
          <w:szCs w:val="22"/>
          <w:lang w:val="en-US"/>
        </w:rPr>
        <w:t>Petersburg</w:t>
      </w:r>
      <w:r w:rsidRPr="00BC6604">
        <w:rPr>
          <w:rFonts w:asciiTheme="majorHAnsi" w:hAnsiTheme="majorHAnsi" w:cs="Helvetica"/>
          <w:sz w:val="22"/>
          <w:szCs w:val="22"/>
          <w:lang w:val="en-US"/>
        </w:rPr>
        <w:t xml:space="preserve"> Phase II / Athens Declaration Process. Both the German Ministry of Environment and </w:t>
      </w:r>
      <w:proofErr w:type="gramStart"/>
      <w:r w:rsidRPr="00BC6604">
        <w:rPr>
          <w:rFonts w:asciiTheme="majorHAnsi" w:hAnsiTheme="majorHAnsi" w:cs="Helvetica"/>
          <w:sz w:val="22"/>
          <w:szCs w:val="22"/>
          <w:lang w:val="en-US"/>
        </w:rPr>
        <w:t>UNECE,</w:t>
      </w:r>
      <w:proofErr w:type="gramEnd"/>
      <w:r w:rsidRPr="00BC6604">
        <w:rPr>
          <w:rFonts w:asciiTheme="majorHAnsi" w:hAnsiTheme="majorHAnsi" w:cs="Helvetica"/>
          <w:sz w:val="22"/>
          <w:szCs w:val="22"/>
          <w:lang w:val="en-US"/>
        </w:rPr>
        <w:t xml:space="preserve"> re-confirmed its commitment to partner with the GEF IWLEARN towards the enhancement of cooperation on TWRM in SEE. In addition, it was decided that the </w:t>
      </w:r>
      <w:r w:rsidR="00E22628" w:rsidRPr="00BC6604">
        <w:rPr>
          <w:rFonts w:asciiTheme="majorHAnsi" w:hAnsiTheme="majorHAnsi" w:cs="Helvetica"/>
          <w:sz w:val="22"/>
          <w:szCs w:val="22"/>
          <w:lang w:val="en-US"/>
        </w:rPr>
        <w:t>Petersburg</w:t>
      </w:r>
      <w:r w:rsidRPr="00BC6604">
        <w:rPr>
          <w:rFonts w:asciiTheme="majorHAnsi" w:hAnsiTheme="majorHAnsi" w:cs="Helvetica"/>
          <w:sz w:val="22"/>
          <w:szCs w:val="22"/>
          <w:lang w:val="en-US"/>
        </w:rPr>
        <w:t>-</w:t>
      </w:r>
      <w:proofErr w:type="gramStart"/>
      <w:r w:rsidRPr="00BC6604">
        <w:rPr>
          <w:rFonts w:asciiTheme="majorHAnsi" w:hAnsiTheme="majorHAnsi" w:cs="Helvetica"/>
          <w:sz w:val="22"/>
          <w:szCs w:val="22"/>
          <w:lang w:val="en-US"/>
        </w:rPr>
        <w:t>type  approach</w:t>
      </w:r>
      <w:proofErr w:type="gramEnd"/>
      <w:r w:rsidRPr="00BC6604">
        <w:rPr>
          <w:rFonts w:asciiTheme="majorHAnsi" w:hAnsiTheme="majorHAnsi" w:cs="Helvetica"/>
          <w:sz w:val="22"/>
          <w:szCs w:val="22"/>
          <w:lang w:val="en-US"/>
        </w:rPr>
        <w:t xml:space="preserve"> should be replicated elsewhere in the SEE area if respective interest is expressed by SEE countries.</w:t>
      </w:r>
    </w:p>
    <w:p w14:paraId="1B2F4F3F" w14:textId="77777777" w:rsidR="00BC6604" w:rsidRPr="00BC6604" w:rsidRDefault="00BC6604" w:rsidP="00BC6604">
      <w:pPr>
        <w:widowControl w:val="0"/>
        <w:autoSpaceDE w:val="0"/>
        <w:autoSpaceDN w:val="0"/>
        <w:adjustRightInd w:val="0"/>
        <w:rPr>
          <w:rFonts w:asciiTheme="majorHAnsi" w:hAnsiTheme="majorHAnsi" w:cs="Helvetica"/>
          <w:sz w:val="22"/>
          <w:szCs w:val="22"/>
          <w:lang w:val="en-US"/>
        </w:rPr>
      </w:pPr>
      <w:r w:rsidRPr="00BC6604">
        <w:rPr>
          <w:rFonts w:asciiTheme="majorHAnsi" w:hAnsiTheme="majorHAnsi" w:cs="Helvetica"/>
          <w:sz w:val="22"/>
          <w:szCs w:val="22"/>
          <w:lang w:val="en-US"/>
        </w:rPr>
        <w:t> </w:t>
      </w:r>
    </w:p>
    <w:p w14:paraId="493DB450" w14:textId="00FFE5C1" w:rsidR="00FF3E14" w:rsidRDefault="00BC6604" w:rsidP="00BC6604">
      <w:pPr>
        <w:jc w:val="both"/>
        <w:rPr>
          <w:rFonts w:asciiTheme="majorHAnsi" w:hAnsiTheme="majorHAnsi" w:cs="Helvetica"/>
          <w:sz w:val="22"/>
          <w:szCs w:val="22"/>
          <w:lang w:val="en-US"/>
        </w:rPr>
      </w:pPr>
      <w:r w:rsidRPr="00BC6604">
        <w:rPr>
          <w:rFonts w:asciiTheme="majorHAnsi" w:hAnsiTheme="majorHAnsi" w:cs="Helvetica"/>
          <w:sz w:val="22"/>
          <w:szCs w:val="22"/>
          <w:lang w:val="en-US"/>
        </w:rPr>
        <w:t xml:space="preserve">The International Roundtable on Transboundary Water Resources Management in the Southern Mediterranean was organized back to back with the Sixth Session of the Meeting of the Parties to the UNECE Convention on the Protection and Use of Transboundary Watercourses and International Lakes. The Roundtable fed in the MoP of the Water Convention and </w:t>
      </w:r>
      <w:proofErr w:type="gramStart"/>
      <w:r w:rsidRPr="00BC6604">
        <w:rPr>
          <w:rFonts w:asciiTheme="majorHAnsi" w:hAnsiTheme="majorHAnsi" w:cs="Helvetica"/>
          <w:sz w:val="22"/>
          <w:szCs w:val="22"/>
          <w:lang w:val="en-US"/>
        </w:rPr>
        <w:t>facilitate</w:t>
      </w:r>
      <w:proofErr w:type="gramEnd"/>
      <w:r w:rsidRPr="00BC6604">
        <w:rPr>
          <w:rFonts w:asciiTheme="majorHAnsi" w:hAnsiTheme="majorHAnsi" w:cs="Helvetica"/>
          <w:sz w:val="22"/>
          <w:szCs w:val="22"/>
          <w:lang w:val="en-US"/>
        </w:rPr>
        <w:t xml:space="preserve"> related discussion; the conclusions of the Roundtable including the expression of support of the participants to the prospect of the southern Mediterranean countries becoming eligible to accede to the Water Convention were presented to the MoP. Tunisia announced its interest to explore possibilities to initiate the process to accede the Water Convention. A new initiative for transboundary cooperation is being developed between Algeria and Tunisia for the river Medjerda within the AMCOW framework with the support of GWP-Med. </w:t>
      </w:r>
      <w:proofErr w:type="gramStart"/>
      <w:r w:rsidRPr="00BC6604">
        <w:rPr>
          <w:rFonts w:asciiTheme="majorHAnsi" w:hAnsiTheme="majorHAnsi" w:cs="Helvetica"/>
          <w:sz w:val="22"/>
          <w:szCs w:val="22"/>
          <w:lang w:val="en-US"/>
        </w:rPr>
        <w:t>A concrete request was made for the support of the initiative by International Organisations, including GEF, and donors</w:t>
      </w:r>
      <w:proofErr w:type="gramEnd"/>
      <w:r w:rsidRPr="00BC6604">
        <w:rPr>
          <w:rFonts w:asciiTheme="majorHAnsi" w:hAnsiTheme="majorHAnsi" w:cs="Helvetica"/>
          <w:sz w:val="22"/>
          <w:szCs w:val="22"/>
          <w:lang w:val="en-US"/>
        </w:rPr>
        <w:t>. The UfM Secretariat, GWP-Med and UNECE as well as the UNESCWA responded positively as new partners.</w:t>
      </w:r>
    </w:p>
    <w:p w14:paraId="34E6B8E7" w14:textId="77777777" w:rsidR="00BC6604" w:rsidRPr="00BC6604" w:rsidRDefault="00BC6604" w:rsidP="00BC6604">
      <w:pPr>
        <w:jc w:val="both"/>
        <w:rPr>
          <w:rFonts w:asciiTheme="majorHAnsi" w:hAnsiTheme="majorHAnsi"/>
          <w:sz w:val="22"/>
          <w:szCs w:val="22"/>
        </w:rPr>
      </w:pPr>
    </w:p>
    <w:p w14:paraId="0D0C43C6" w14:textId="1C76CBF5" w:rsidR="004D10E4" w:rsidRPr="005660CC" w:rsidRDefault="005660CC" w:rsidP="00EB57C9">
      <w:pPr>
        <w:jc w:val="both"/>
        <w:rPr>
          <w:rFonts w:asciiTheme="majorHAnsi" w:hAnsiTheme="majorHAnsi"/>
          <w:sz w:val="22"/>
          <w:szCs w:val="22"/>
        </w:rPr>
      </w:pPr>
      <w:r w:rsidRPr="005660CC">
        <w:rPr>
          <w:rFonts w:asciiTheme="majorHAnsi" w:hAnsiTheme="majorHAnsi"/>
          <w:sz w:val="22"/>
          <w:szCs w:val="22"/>
        </w:rPr>
        <w:t>Whereas the above are good examples which were brought to the attention of the MTE the MTE believes there may well be many more in the other regions and the PCU</w:t>
      </w:r>
      <w:r w:rsidR="00BD2CA8">
        <w:rPr>
          <w:rFonts w:asciiTheme="majorHAnsi" w:hAnsiTheme="majorHAnsi"/>
          <w:sz w:val="22"/>
          <w:szCs w:val="22"/>
        </w:rPr>
        <w:t xml:space="preserve"> and </w:t>
      </w:r>
      <w:proofErr w:type="gramStart"/>
      <w:r w:rsidR="00BD2CA8">
        <w:rPr>
          <w:rFonts w:asciiTheme="majorHAnsi" w:hAnsiTheme="majorHAnsi"/>
          <w:sz w:val="22"/>
          <w:szCs w:val="22"/>
        </w:rPr>
        <w:t xml:space="preserve">Partners </w:t>
      </w:r>
      <w:r w:rsidRPr="005660CC">
        <w:rPr>
          <w:rFonts w:asciiTheme="majorHAnsi" w:hAnsiTheme="majorHAnsi"/>
          <w:sz w:val="22"/>
          <w:szCs w:val="22"/>
        </w:rPr>
        <w:t xml:space="preserve"> should</w:t>
      </w:r>
      <w:proofErr w:type="gramEnd"/>
      <w:r w:rsidRPr="005660CC">
        <w:rPr>
          <w:rFonts w:asciiTheme="majorHAnsi" w:hAnsiTheme="majorHAnsi"/>
          <w:sz w:val="22"/>
          <w:szCs w:val="22"/>
        </w:rPr>
        <w:t xml:space="preserve"> collect and document</w:t>
      </w:r>
      <w:r w:rsidR="00CB1DDC">
        <w:rPr>
          <w:rFonts w:asciiTheme="majorHAnsi" w:hAnsiTheme="majorHAnsi"/>
          <w:sz w:val="22"/>
          <w:szCs w:val="22"/>
        </w:rPr>
        <w:t xml:space="preserve"> these </w:t>
      </w:r>
      <w:r w:rsidRPr="005660CC">
        <w:rPr>
          <w:rFonts w:asciiTheme="majorHAnsi" w:hAnsiTheme="majorHAnsi"/>
          <w:sz w:val="22"/>
          <w:szCs w:val="22"/>
        </w:rPr>
        <w:t xml:space="preserve"> to demonstrate further the value of IW LEARN and for pur</w:t>
      </w:r>
      <w:r w:rsidR="00D77D5B">
        <w:rPr>
          <w:rFonts w:asciiTheme="majorHAnsi" w:hAnsiTheme="majorHAnsi"/>
          <w:sz w:val="22"/>
          <w:szCs w:val="22"/>
        </w:rPr>
        <w:t>poses of the final evaluation.</w:t>
      </w:r>
    </w:p>
    <w:p w14:paraId="6F73CC2B" w14:textId="32926156" w:rsidR="000C44EF" w:rsidRDefault="00540CD7" w:rsidP="000C44EF">
      <w:pPr>
        <w:pStyle w:val="Heading2"/>
      </w:pPr>
      <w:bookmarkStart w:id="64" w:name="_Toc320280646"/>
      <w:bookmarkStart w:id="65" w:name="_Toc341527051"/>
      <w:bookmarkStart w:id="66" w:name="_Toc222479149"/>
      <w:r w:rsidRPr="007D1C06">
        <w:t>Assessment of Monitoring and Evaluation Systems</w:t>
      </w:r>
      <w:bookmarkEnd w:id="64"/>
      <w:bookmarkEnd w:id="65"/>
      <w:bookmarkEnd w:id="66"/>
    </w:p>
    <w:p w14:paraId="486C6E47" w14:textId="2CF606C9" w:rsidR="000C44EF" w:rsidRPr="00BE1992" w:rsidRDefault="00197B3B" w:rsidP="000C44EF">
      <w:pPr>
        <w:rPr>
          <w:rFonts w:asciiTheme="majorHAnsi" w:hAnsiTheme="majorHAnsi"/>
          <w:b/>
          <w:sz w:val="22"/>
          <w:szCs w:val="22"/>
        </w:rPr>
      </w:pPr>
      <w:r>
        <w:rPr>
          <w:rFonts w:asciiTheme="majorHAnsi" w:hAnsiTheme="majorHAnsi"/>
          <w:sz w:val="22"/>
          <w:szCs w:val="22"/>
        </w:rPr>
        <w:t xml:space="preserve">The Project is assessed overall as </w:t>
      </w:r>
      <w:r w:rsidRPr="00197B3B">
        <w:rPr>
          <w:rFonts w:asciiTheme="majorHAnsi" w:hAnsiTheme="majorHAnsi"/>
          <w:b/>
          <w:sz w:val="22"/>
          <w:szCs w:val="22"/>
        </w:rPr>
        <w:t>Satisfactory</w:t>
      </w:r>
      <w:r>
        <w:rPr>
          <w:rFonts w:asciiTheme="majorHAnsi" w:hAnsiTheme="majorHAnsi"/>
          <w:sz w:val="22"/>
          <w:szCs w:val="22"/>
        </w:rPr>
        <w:t xml:space="preserve"> with respect to monitoring and evaluation systems. </w:t>
      </w:r>
    </w:p>
    <w:p w14:paraId="34958294" w14:textId="4B6ABE79" w:rsidR="006E44B6" w:rsidRPr="001B4338" w:rsidRDefault="00540CD7" w:rsidP="006E44B6">
      <w:pPr>
        <w:pStyle w:val="Heading3"/>
        <w:rPr>
          <w:sz w:val="22"/>
          <w:szCs w:val="22"/>
        </w:rPr>
      </w:pPr>
      <w:bookmarkStart w:id="67" w:name="_Toc320280647"/>
      <w:bookmarkStart w:id="68" w:name="_Toc341527052"/>
      <w:bookmarkStart w:id="69" w:name="_Toc222479150"/>
      <w:r w:rsidRPr="00120607">
        <w:rPr>
          <w:sz w:val="22"/>
          <w:szCs w:val="22"/>
        </w:rPr>
        <w:t>M&amp;E design</w:t>
      </w:r>
      <w:bookmarkEnd w:id="67"/>
      <w:bookmarkEnd w:id="68"/>
      <w:bookmarkEnd w:id="69"/>
      <w:r w:rsidR="000C44EF" w:rsidRPr="00120607">
        <w:rPr>
          <w:sz w:val="22"/>
          <w:szCs w:val="22"/>
        </w:rPr>
        <w:t xml:space="preserve"> </w:t>
      </w:r>
    </w:p>
    <w:p w14:paraId="5650A917" w14:textId="147B4056" w:rsidR="000C44EF" w:rsidRPr="00120607" w:rsidRDefault="000C44EF" w:rsidP="00EB57C9">
      <w:pPr>
        <w:jc w:val="both"/>
        <w:rPr>
          <w:rFonts w:asciiTheme="majorHAnsi" w:hAnsiTheme="majorHAnsi"/>
          <w:sz w:val="22"/>
          <w:szCs w:val="22"/>
        </w:rPr>
      </w:pPr>
      <w:r w:rsidRPr="00120607">
        <w:rPr>
          <w:rFonts w:asciiTheme="majorHAnsi" w:hAnsiTheme="majorHAnsi"/>
          <w:sz w:val="22"/>
          <w:szCs w:val="22"/>
        </w:rPr>
        <w:t>The project documents and Inception report contain details of a comprehensive M&amp;E and associated, roles responsibilities and budgets</w:t>
      </w:r>
      <w:r w:rsidR="003367CA" w:rsidRPr="00120607">
        <w:rPr>
          <w:rFonts w:asciiTheme="majorHAnsi" w:hAnsiTheme="majorHAnsi"/>
          <w:sz w:val="22"/>
          <w:szCs w:val="22"/>
        </w:rPr>
        <w:t xml:space="preserve"> full</w:t>
      </w:r>
      <w:r w:rsidR="00443CCE">
        <w:rPr>
          <w:rFonts w:asciiTheme="majorHAnsi" w:hAnsiTheme="majorHAnsi"/>
          <w:sz w:val="22"/>
          <w:szCs w:val="22"/>
        </w:rPr>
        <w:t>y</w:t>
      </w:r>
      <w:r w:rsidR="003367CA" w:rsidRPr="00120607">
        <w:rPr>
          <w:rFonts w:asciiTheme="majorHAnsi" w:hAnsiTheme="majorHAnsi"/>
          <w:sz w:val="22"/>
          <w:szCs w:val="22"/>
        </w:rPr>
        <w:t xml:space="preserve"> consistent with GEF and IA M&amp;E policies</w:t>
      </w:r>
      <w:r w:rsidRPr="00120607">
        <w:rPr>
          <w:rFonts w:asciiTheme="majorHAnsi" w:hAnsiTheme="majorHAnsi"/>
          <w:sz w:val="22"/>
          <w:szCs w:val="22"/>
        </w:rPr>
        <w:t xml:space="preserve">.  The Project Results Framework is fully elaborated and clear attempts have been made to make the </w:t>
      </w:r>
      <w:r w:rsidR="00447E41" w:rsidRPr="00120607">
        <w:rPr>
          <w:rFonts w:asciiTheme="majorHAnsi" w:hAnsiTheme="majorHAnsi"/>
          <w:sz w:val="22"/>
          <w:szCs w:val="22"/>
        </w:rPr>
        <w:t xml:space="preserve">Outcome </w:t>
      </w:r>
      <w:r w:rsidRPr="00120607">
        <w:rPr>
          <w:rFonts w:asciiTheme="majorHAnsi" w:hAnsiTheme="majorHAnsi"/>
          <w:sz w:val="22"/>
          <w:szCs w:val="22"/>
        </w:rPr>
        <w:t>indicators SMART</w:t>
      </w:r>
      <w:r w:rsidR="00FF3E14">
        <w:rPr>
          <w:rStyle w:val="FootnoteReference"/>
          <w:rFonts w:asciiTheme="majorHAnsi" w:hAnsiTheme="majorHAnsi"/>
          <w:sz w:val="22"/>
          <w:szCs w:val="22"/>
        </w:rPr>
        <w:footnoteReference w:id="4"/>
      </w:r>
      <w:r w:rsidR="00FF3E14">
        <w:rPr>
          <w:rFonts w:asciiTheme="majorHAnsi" w:hAnsiTheme="majorHAnsi"/>
          <w:sz w:val="22"/>
          <w:szCs w:val="22"/>
        </w:rPr>
        <w:t xml:space="preserve"> </w:t>
      </w:r>
      <w:r w:rsidRPr="00120607">
        <w:rPr>
          <w:rFonts w:asciiTheme="majorHAnsi" w:hAnsiTheme="majorHAnsi"/>
          <w:sz w:val="22"/>
          <w:szCs w:val="22"/>
        </w:rPr>
        <w:t xml:space="preserve">although some are considered </w:t>
      </w:r>
      <w:proofErr w:type="gramStart"/>
      <w:r w:rsidRPr="00120607">
        <w:rPr>
          <w:rFonts w:asciiTheme="majorHAnsi" w:hAnsiTheme="majorHAnsi"/>
          <w:sz w:val="22"/>
          <w:szCs w:val="22"/>
        </w:rPr>
        <w:t>by  the</w:t>
      </w:r>
      <w:proofErr w:type="gramEnd"/>
      <w:r w:rsidRPr="00120607">
        <w:rPr>
          <w:rFonts w:asciiTheme="majorHAnsi" w:hAnsiTheme="majorHAnsi"/>
          <w:sz w:val="22"/>
          <w:szCs w:val="22"/>
        </w:rPr>
        <w:t xml:space="preserve"> MTE to be lacking in this respect. The indicators were reviewed at the last SCM and changes highlighted in </w:t>
      </w:r>
      <w:r w:rsidR="00FF3E14" w:rsidRPr="00FF3E14">
        <w:rPr>
          <w:rFonts w:asciiTheme="majorHAnsi" w:hAnsiTheme="majorHAnsi"/>
          <w:sz w:val="22"/>
          <w:szCs w:val="22"/>
        </w:rPr>
        <w:t>Table 1, in section 3.1.3</w:t>
      </w:r>
      <w:r w:rsidRPr="00FF3E14">
        <w:rPr>
          <w:rFonts w:asciiTheme="majorHAnsi" w:hAnsiTheme="majorHAnsi"/>
          <w:sz w:val="22"/>
          <w:szCs w:val="22"/>
        </w:rPr>
        <w:t>.</w:t>
      </w:r>
      <w:r w:rsidR="003367CA" w:rsidRPr="00120607">
        <w:rPr>
          <w:rFonts w:asciiTheme="majorHAnsi" w:hAnsiTheme="majorHAnsi"/>
          <w:sz w:val="22"/>
          <w:szCs w:val="22"/>
        </w:rPr>
        <w:t xml:space="preserve">  Unfortunately what</w:t>
      </w:r>
      <w:r w:rsidRPr="00120607">
        <w:rPr>
          <w:rFonts w:asciiTheme="majorHAnsi" w:hAnsiTheme="majorHAnsi"/>
          <w:sz w:val="22"/>
          <w:szCs w:val="22"/>
        </w:rPr>
        <w:t xml:space="preserve"> is missing in spite of mention being made</w:t>
      </w:r>
      <w:r w:rsidR="005660CC">
        <w:rPr>
          <w:rFonts w:asciiTheme="majorHAnsi" w:hAnsiTheme="majorHAnsi"/>
          <w:sz w:val="22"/>
          <w:szCs w:val="22"/>
        </w:rPr>
        <w:t xml:space="preserve"> to them</w:t>
      </w:r>
      <w:r w:rsidRPr="00120607">
        <w:rPr>
          <w:rFonts w:asciiTheme="majorHAnsi" w:hAnsiTheme="majorHAnsi"/>
          <w:sz w:val="22"/>
          <w:szCs w:val="22"/>
        </w:rPr>
        <w:t xml:space="preserve"> in the project documents and Inception report</w:t>
      </w:r>
      <w:r w:rsidR="00CB1DDC">
        <w:rPr>
          <w:rFonts w:asciiTheme="majorHAnsi" w:hAnsiTheme="majorHAnsi"/>
          <w:sz w:val="22"/>
          <w:szCs w:val="22"/>
        </w:rPr>
        <w:t>,</w:t>
      </w:r>
      <w:r w:rsidRPr="00120607">
        <w:rPr>
          <w:rFonts w:asciiTheme="majorHAnsi" w:hAnsiTheme="majorHAnsi"/>
          <w:sz w:val="22"/>
          <w:szCs w:val="22"/>
        </w:rPr>
        <w:t xml:space="preserve"> are mid-term indicators.  These should have been developed at the inception meeting but were overlooked.  </w:t>
      </w:r>
      <w:r w:rsidR="006E44B6">
        <w:rPr>
          <w:rFonts w:asciiTheme="majorHAnsi" w:hAnsiTheme="majorHAnsi"/>
          <w:sz w:val="22"/>
          <w:szCs w:val="22"/>
        </w:rPr>
        <w:t xml:space="preserve">M&amp;E design is assessed as </w:t>
      </w:r>
      <w:r w:rsidR="006E44B6" w:rsidRPr="006E44B6">
        <w:rPr>
          <w:rFonts w:asciiTheme="majorHAnsi" w:hAnsiTheme="majorHAnsi"/>
          <w:b/>
          <w:sz w:val="22"/>
          <w:szCs w:val="22"/>
        </w:rPr>
        <w:t>Satisfactory</w:t>
      </w:r>
    </w:p>
    <w:p w14:paraId="340964F6" w14:textId="62DCDDA8" w:rsidR="001B4338" w:rsidRPr="001B4338" w:rsidRDefault="00540CD7" w:rsidP="001B4338">
      <w:pPr>
        <w:pStyle w:val="Heading3"/>
      </w:pPr>
      <w:bookmarkStart w:id="70" w:name="_Toc320280648"/>
      <w:bookmarkStart w:id="71" w:name="_Toc341527053"/>
      <w:bookmarkStart w:id="72" w:name="_Toc222479151"/>
      <w:r w:rsidRPr="007D1C06">
        <w:t>M&amp;E plan implementation</w:t>
      </w:r>
      <w:bookmarkEnd w:id="70"/>
      <w:bookmarkEnd w:id="71"/>
      <w:bookmarkEnd w:id="72"/>
    </w:p>
    <w:p w14:paraId="0E4C555E" w14:textId="5FF7A219" w:rsidR="003367CA" w:rsidRPr="00447E41" w:rsidRDefault="00737078" w:rsidP="00447E41">
      <w:pPr>
        <w:jc w:val="both"/>
        <w:rPr>
          <w:rFonts w:asciiTheme="majorHAnsi" w:hAnsiTheme="majorHAnsi"/>
          <w:sz w:val="22"/>
          <w:szCs w:val="22"/>
        </w:rPr>
      </w:pPr>
      <w:r w:rsidRPr="00447E41">
        <w:rPr>
          <w:rFonts w:asciiTheme="majorHAnsi" w:hAnsiTheme="majorHAnsi"/>
          <w:sz w:val="22"/>
          <w:szCs w:val="22"/>
        </w:rPr>
        <w:t xml:space="preserve">As required a project inception workshop was held on March 2011 with all relevant parties present. A full and comprehensive report was produced </w:t>
      </w:r>
      <w:r w:rsidR="005660CC" w:rsidRPr="00447E41">
        <w:rPr>
          <w:rFonts w:asciiTheme="majorHAnsi" w:hAnsiTheme="majorHAnsi"/>
          <w:sz w:val="22"/>
          <w:szCs w:val="22"/>
        </w:rPr>
        <w:t>albeit</w:t>
      </w:r>
      <w:r w:rsidRPr="00447E41">
        <w:rPr>
          <w:rFonts w:asciiTheme="majorHAnsi" w:hAnsiTheme="majorHAnsi"/>
          <w:sz w:val="22"/>
          <w:szCs w:val="22"/>
        </w:rPr>
        <w:t xml:space="preserve"> without the elaboration of mid-term outcom</w:t>
      </w:r>
      <w:r w:rsidR="00486034">
        <w:rPr>
          <w:rFonts w:asciiTheme="majorHAnsi" w:hAnsiTheme="majorHAnsi"/>
          <w:sz w:val="22"/>
          <w:szCs w:val="22"/>
        </w:rPr>
        <w:t xml:space="preserve">e indicators.  Minor justified </w:t>
      </w:r>
      <w:r w:rsidRPr="00447E41">
        <w:rPr>
          <w:rFonts w:asciiTheme="majorHAnsi" w:hAnsiTheme="majorHAnsi"/>
          <w:sz w:val="22"/>
          <w:szCs w:val="22"/>
        </w:rPr>
        <w:t xml:space="preserve">modifications were made to the results framework and risk table. </w:t>
      </w:r>
      <w:r w:rsidR="00447E41" w:rsidRPr="00447E41">
        <w:rPr>
          <w:rFonts w:asciiTheme="majorHAnsi" w:hAnsiTheme="majorHAnsi"/>
          <w:sz w:val="22"/>
          <w:szCs w:val="22"/>
        </w:rPr>
        <w:t xml:space="preserve"> </w:t>
      </w:r>
    </w:p>
    <w:p w14:paraId="1DCC024D" w14:textId="77777777" w:rsidR="00447E41" w:rsidRPr="00447E41" w:rsidRDefault="00447E41" w:rsidP="00447E41">
      <w:pPr>
        <w:jc w:val="both"/>
        <w:rPr>
          <w:rFonts w:asciiTheme="majorHAnsi" w:hAnsiTheme="majorHAnsi"/>
          <w:sz w:val="22"/>
          <w:szCs w:val="22"/>
        </w:rPr>
      </w:pPr>
    </w:p>
    <w:p w14:paraId="0D54006F" w14:textId="68482949" w:rsidR="00447E41" w:rsidRPr="00447E41" w:rsidRDefault="00447E41" w:rsidP="00447E41">
      <w:pPr>
        <w:jc w:val="both"/>
        <w:rPr>
          <w:rFonts w:asciiTheme="majorHAnsi" w:hAnsiTheme="majorHAnsi"/>
          <w:sz w:val="22"/>
          <w:szCs w:val="22"/>
        </w:rPr>
      </w:pPr>
      <w:r w:rsidRPr="00447E41">
        <w:rPr>
          <w:rFonts w:asciiTheme="majorHAnsi" w:hAnsiTheme="majorHAnsi"/>
          <w:sz w:val="22"/>
          <w:szCs w:val="22"/>
        </w:rPr>
        <w:t xml:space="preserve">Day to day monitoring is the responsibility of the PCU and this has been done most effectively utilising weekly virtual meetings with PCU components in Bangkok and Nairobi and regular monitoring of </w:t>
      </w:r>
      <w:r w:rsidR="002E0540" w:rsidRPr="00447E41">
        <w:rPr>
          <w:rFonts w:asciiTheme="majorHAnsi" w:hAnsiTheme="majorHAnsi"/>
          <w:sz w:val="22"/>
          <w:szCs w:val="22"/>
        </w:rPr>
        <w:t>activities</w:t>
      </w:r>
      <w:r w:rsidRPr="00447E41">
        <w:rPr>
          <w:rFonts w:asciiTheme="majorHAnsi" w:hAnsiTheme="majorHAnsi"/>
          <w:sz w:val="22"/>
          <w:szCs w:val="22"/>
        </w:rPr>
        <w:t xml:space="preserve"> and expenditures utilising a shadow budget and project </w:t>
      </w:r>
      <w:r w:rsidR="002E0540" w:rsidRPr="00447E41">
        <w:rPr>
          <w:rFonts w:asciiTheme="majorHAnsi" w:hAnsiTheme="majorHAnsi"/>
          <w:sz w:val="22"/>
          <w:szCs w:val="22"/>
        </w:rPr>
        <w:t>activity</w:t>
      </w:r>
      <w:r w:rsidRPr="00447E41">
        <w:rPr>
          <w:rFonts w:asciiTheme="majorHAnsi" w:hAnsiTheme="majorHAnsi"/>
          <w:sz w:val="22"/>
          <w:szCs w:val="22"/>
        </w:rPr>
        <w:t xml:space="preserve"> master spread sheet. </w:t>
      </w:r>
    </w:p>
    <w:p w14:paraId="228D2652" w14:textId="77777777" w:rsidR="00AC3749" w:rsidRPr="00447E41" w:rsidRDefault="00AC3749" w:rsidP="00447E41">
      <w:pPr>
        <w:jc w:val="both"/>
        <w:rPr>
          <w:rFonts w:asciiTheme="majorHAnsi" w:hAnsiTheme="majorHAnsi"/>
          <w:sz w:val="22"/>
          <w:szCs w:val="22"/>
        </w:rPr>
      </w:pPr>
    </w:p>
    <w:p w14:paraId="1C03ECD6" w14:textId="74476656" w:rsidR="00AC3749" w:rsidRDefault="002E0540" w:rsidP="00447E41">
      <w:pPr>
        <w:jc w:val="both"/>
        <w:rPr>
          <w:rFonts w:asciiTheme="majorHAnsi" w:hAnsiTheme="majorHAnsi"/>
          <w:sz w:val="22"/>
          <w:szCs w:val="22"/>
        </w:rPr>
      </w:pPr>
      <w:r w:rsidRPr="00FF3E14">
        <w:rPr>
          <w:rFonts w:asciiTheme="majorHAnsi" w:hAnsiTheme="majorHAnsi"/>
          <w:sz w:val="22"/>
          <w:szCs w:val="22"/>
        </w:rPr>
        <w:t>The P</w:t>
      </w:r>
      <w:r w:rsidR="00AC3749" w:rsidRPr="00FF3E14">
        <w:rPr>
          <w:rFonts w:asciiTheme="majorHAnsi" w:hAnsiTheme="majorHAnsi"/>
          <w:sz w:val="22"/>
          <w:szCs w:val="22"/>
        </w:rPr>
        <w:t>roject Steering Committee is the primary governing body intended to provide strategic guidance to the project execution and formally supervise all activities undertaken through the PCU.  The PCU met for the first time immediately following the</w:t>
      </w:r>
      <w:r w:rsidR="00FD4C35" w:rsidRPr="00FF3E14">
        <w:rPr>
          <w:rFonts w:asciiTheme="majorHAnsi" w:hAnsiTheme="majorHAnsi"/>
          <w:sz w:val="22"/>
          <w:szCs w:val="22"/>
        </w:rPr>
        <w:t xml:space="preserve"> Inception workshop, </w:t>
      </w:r>
      <w:r w:rsidRPr="00FF3E14">
        <w:rPr>
          <w:rFonts w:asciiTheme="majorHAnsi" w:hAnsiTheme="majorHAnsi"/>
          <w:sz w:val="22"/>
          <w:szCs w:val="22"/>
        </w:rPr>
        <w:t xml:space="preserve">and again, </w:t>
      </w:r>
      <w:r w:rsidR="00AC3749" w:rsidRPr="00FF3E14">
        <w:rPr>
          <w:rFonts w:asciiTheme="majorHAnsi" w:hAnsiTheme="majorHAnsi"/>
          <w:sz w:val="22"/>
          <w:szCs w:val="22"/>
        </w:rPr>
        <w:t>with partial participation</w:t>
      </w:r>
      <w:r w:rsidRPr="00FF3E14">
        <w:rPr>
          <w:rFonts w:asciiTheme="majorHAnsi" w:hAnsiTheme="majorHAnsi"/>
          <w:sz w:val="22"/>
          <w:szCs w:val="22"/>
        </w:rPr>
        <w:t>,</w:t>
      </w:r>
      <w:r w:rsidR="00CB1DDC">
        <w:rPr>
          <w:rFonts w:asciiTheme="majorHAnsi" w:hAnsiTheme="majorHAnsi"/>
          <w:sz w:val="22"/>
          <w:szCs w:val="22"/>
        </w:rPr>
        <w:t xml:space="preserve"> in the margins of </w:t>
      </w:r>
      <w:r w:rsidR="00AC3749" w:rsidRPr="00FF3E14">
        <w:rPr>
          <w:rFonts w:asciiTheme="majorHAnsi" w:hAnsiTheme="majorHAnsi"/>
          <w:sz w:val="22"/>
          <w:szCs w:val="22"/>
        </w:rPr>
        <w:t xml:space="preserve">the </w:t>
      </w:r>
      <w:proofErr w:type="gramStart"/>
      <w:r w:rsidR="00AC3749" w:rsidRPr="00FF3E14">
        <w:rPr>
          <w:rFonts w:asciiTheme="majorHAnsi" w:hAnsiTheme="majorHAnsi"/>
          <w:sz w:val="22"/>
          <w:szCs w:val="22"/>
        </w:rPr>
        <w:t xml:space="preserve">IWC6 </w:t>
      </w:r>
      <w:r w:rsidR="00FD4C35" w:rsidRPr="00FF3E14">
        <w:rPr>
          <w:rFonts w:asciiTheme="majorHAnsi" w:hAnsiTheme="majorHAnsi"/>
          <w:sz w:val="22"/>
          <w:szCs w:val="22"/>
        </w:rPr>
        <w:t xml:space="preserve"> and</w:t>
      </w:r>
      <w:proofErr w:type="gramEnd"/>
      <w:r w:rsidRPr="00FF3E14">
        <w:rPr>
          <w:rFonts w:asciiTheme="majorHAnsi" w:hAnsiTheme="majorHAnsi"/>
          <w:sz w:val="22"/>
          <w:szCs w:val="22"/>
        </w:rPr>
        <w:t xml:space="preserve"> then </w:t>
      </w:r>
      <w:r w:rsidR="00FD4C35" w:rsidRPr="00FF3E14">
        <w:rPr>
          <w:rFonts w:asciiTheme="majorHAnsi" w:hAnsiTheme="majorHAnsi"/>
          <w:sz w:val="22"/>
          <w:szCs w:val="22"/>
        </w:rPr>
        <w:t>again virtually (partial part</w:t>
      </w:r>
      <w:r w:rsidRPr="00FF3E14">
        <w:rPr>
          <w:rFonts w:asciiTheme="majorHAnsi" w:hAnsiTheme="majorHAnsi"/>
          <w:sz w:val="22"/>
          <w:szCs w:val="22"/>
        </w:rPr>
        <w:t>icipation</w:t>
      </w:r>
      <w:r w:rsidR="00FD4C35" w:rsidRPr="00FF3E14">
        <w:rPr>
          <w:rFonts w:asciiTheme="majorHAnsi" w:hAnsiTheme="majorHAnsi"/>
          <w:sz w:val="22"/>
          <w:szCs w:val="22"/>
        </w:rPr>
        <w:t xml:space="preserve">) in </w:t>
      </w:r>
      <w:r w:rsidRPr="00FF3E14">
        <w:rPr>
          <w:rFonts w:asciiTheme="majorHAnsi" w:hAnsiTheme="majorHAnsi"/>
          <w:sz w:val="22"/>
          <w:szCs w:val="22"/>
        </w:rPr>
        <w:t xml:space="preserve">June 2012. </w:t>
      </w:r>
      <w:r w:rsidR="00FD4C35" w:rsidRPr="00FF3E14">
        <w:rPr>
          <w:rFonts w:asciiTheme="majorHAnsi" w:hAnsiTheme="majorHAnsi"/>
          <w:sz w:val="22"/>
          <w:szCs w:val="22"/>
        </w:rPr>
        <w:t xml:space="preserve">  </w:t>
      </w:r>
      <w:r w:rsidRPr="00FF3E14">
        <w:rPr>
          <w:rFonts w:asciiTheme="majorHAnsi" w:hAnsiTheme="majorHAnsi"/>
          <w:sz w:val="22"/>
          <w:szCs w:val="22"/>
        </w:rPr>
        <w:t>It</w:t>
      </w:r>
      <w:r w:rsidR="00B07A44" w:rsidRPr="00FF3E14">
        <w:rPr>
          <w:rFonts w:asciiTheme="majorHAnsi" w:hAnsiTheme="majorHAnsi"/>
          <w:sz w:val="22"/>
          <w:szCs w:val="22"/>
        </w:rPr>
        <w:t xml:space="preserve"> was intended</w:t>
      </w:r>
      <w:r w:rsidRPr="00FF3E14">
        <w:rPr>
          <w:rFonts w:asciiTheme="majorHAnsi" w:hAnsiTheme="majorHAnsi"/>
          <w:sz w:val="22"/>
          <w:szCs w:val="22"/>
        </w:rPr>
        <w:t xml:space="preserve"> according to the TOR for the Committee that it should meet twice per year, once face-to-face and once virtually. U</w:t>
      </w:r>
      <w:r w:rsidR="00FF4A85" w:rsidRPr="00FF3E14">
        <w:rPr>
          <w:rFonts w:asciiTheme="majorHAnsi" w:hAnsiTheme="majorHAnsi"/>
          <w:sz w:val="22"/>
          <w:szCs w:val="22"/>
        </w:rPr>
        <w:t>nfortunately</w:t>
      </w:r>
      <w:r w:rsidR="00FD4C35" w:rsidRPr="00FF3E14">
        <w:rPr>
          <w:rFonts w:asciiTheme="majorHAnsi" w:hAnsiTheme="majorHAnsi"/>
          <w:sz w:val="22"/>
          <w:szCs w:val="22"/>
        </w:rPr>
        <w:t xml:space="preserve"> t</w:t>
      </w:r>
      <w:r w:rsidR="00CB1DDC">
        <w:rPr>
          <w:rFonts w:asciiTheme="majorHAnsi" w:hAnsiTheme="majorHAnsi"/>
          <w:sz w:val="22"/>
          <w:szCs w:val="22"/>
        </w:rPr>
        <w:t xml:space="preserve">he SCM did not have its second </w:t>
      </w:r>
      <w:r w:rsidR="00FD4C35" w:rsidRPr="00FF3E14">
        <w:rPr>
          <w:rFonts w:asciiTheme="majorHAnsi" w:hAnsiTheme="majorHAnsi"/>
          <w:sz w:val="22"/>
          <w:szCs w:val="22"/>
        </w:rPr>
        <w:t xml:space="preserve">full face to face </w:t>
      </w:r>
      <w:proofErr w:type="gramStart"/>
      <w:r w:rsidR="00FD4C35" w:rsidRPr="00FF3E14">
        <w:rPr>
          <w:rFonts w:asciiTheme="majorHAnsi" w:hAnsiTheme="majorHAnsi"/>
          <w:sz w:val="22"/>
          <w:szCs w:val="22"/>
        </w:rPr>
        <w:t>meeting  until</w:t>
      </w:r>
      <w:proofErr w:type="gramEnd"/>
      <w:r w:rsidR="00FD4C35" w:rsidRPr="00FF3E14">
        <w:rPr>
          <w:rFonts w:asciiTheme="majorHAnsi" w:hAnsiTheme="majorHAnsi"/>
          <w:sz w:val="22"/>
          <w:szCs w:val="22"/>
        </w:rPr>
        <w:t xml:space="preserve"> </w:t>
      </w:r>
      <w:r w:rsidRPr="00FF3E14">
        <w:rPr>
          <w:rFonts w:asciiTheme="majorHAnsi" w:hAnsiTheme="majorHAnsi"/>
          <w:sz w:val="22"/>
          <w:szCs w:val="22"/>
        </w:rPr>
        <w:t>January 2013 nearly two years after the first</w:t>
      </w:r>
      <w:r w:rsidR="00496CDC" w:rsidRPr="00FF3E14">
        <w:rPr>
          <w:rFonts w:asciiTheme="majorHAnsi" w:hAnsiTheme="majorHAnsi"/>
          <w:sz w:val="22"/>
          <w:szCs w:val="22"/>
        </w:rPr>
        <w:t xml:space="preserve">. Given the </w:t>
      </w:r>
      <w:r w:rsidR="00B07A44" w:rsidRPr="00FF3E14">
        <w:rPr>
          <w:rFonts w:asciiTheme="majorHAnsi" w:hAnsiTheme="majorHAnsi"/>
          <w:sz w:val="22"/>
          <w:szCs w:val="22"/>
        </w:rPr>
        <w:t xml:space="preserve">delayed </w:t>
      </w:r>
      <w:r w:rsidR="00496CDC" w:rsidRPr="00FF3E14">
        <w:rPr>
          <w:rFonts w:asciiTheme="majorHAnsi" w:hAnsiTheme="majorHAnsi"/>
          <w:sz w:val="22"/>
          <w:szCs w:val="22"/>
        </w:rPr>
        <w:t>status of some of the key project activities the MTE considers it critical that the SCM meet</w:t>
      </w:r>
      <w:r w:rsidR="00447E41" w:rsidRPr="00FF3E14">
        <w:rPr>
          <w:rFonts w:asciiTheme="majorHAnsi" w:hAnsiTheme="majorHAnsi"/>
          <w:sz w:val="22"/>
          <w:szCs w:val="22"/>
        </w:rPr>
        <w:t xml:space="preserve"> </w:t>
      </w:r>
      <w:r w:rsidRPr="00FF3E14">
        <w:rPr>
          <w:rFonts w:asciiTheme="majorHAnsi" w:hAnsiTheme="majorHAnsi"/>
          <w:sz w:val="22"/>
          <w:szCs w:val="22"/>
        </w:rPr>
        <w:t>again face-to-</w:t>
      </w:r>
      <w:r w:rsidR="00447E41" w:rsidRPr="00FF3E14">
        <w:rPr>
          <w:rFonts w:asciiTheme="majorHAnsi" w:hAnsiTheme="majorHAnsi"/>
          <w:sz w:val="22"/>
          <w:szCs w:val="22"/>
        </w:rPr>
        <w:t>face</w:t>
      </w:r>
      <w:r w:rsidRPr="00FF3E14">
        <w:rPr>
          <w:rFonts w:asciiTheme="majorHAnsi" w:hAnsiTheme="majorHAnsi"/>
          <w:sz w:val="22"/>
          <w:szCs w:val="22"/>
        </w:rPr>
        <w:t xml:space="preserve">, with full participation </w:t>
      </w:r>
      <w:r w:rsidR="00447E41" w:rsidRPr="00FF3E14">
        <w:rPr>
          <w:rFonts w:asciiTheme="majorHAnsi" w:hAnsiTheme="majorHAnsi"/>
          <w:sz w:val="22"/>
          <w:szCs w:val="22"/>
        </w:rPr>
        <w:t>at about</w:t>
      </w:r>
      <w:r w:rsidRPr="00FF3E14">
        <w:rPr>
          <w:rFonts w:asciiTheme="majorHAnsi" w:hAnsiTheme="majorHAnsi"/>
          <w:sz w:val="22"/>
          <w:szCs w:val="22"/>
        </w:rPr>
        <w:t xml:space="preserve"> </w:t>
      </w:r>
      <w:proofErr w:type="gramStart"/>
      <w:r w:rsidRPr="00FF3E14">
        <w:rPr>
          <w:rFonts w:asciiTheme="majorHAnsi" w:hAnsiTheme="majorHAnsi"/>
          <w:sz w:val="22"/>
          <w:szCs w:val="22"/>
        </w:rPr>
        <w:t xml:space="preserve">the </w:t>
      </w:r>
      <w:r w:rsidR="00447E41" w:rsidRPr="00FF3E14">
        <w:rPr>
          <w:rFonts w:asciiTheme="majorHAnsi" w:hAnsiTheme="majorHAnsi"/>
          <w:sz w:val="22"/>
          <w:szCs w:val="22"/>
        </w:rPr>
        <w:t xml:space="preserve"> half</w:t>
      </w:r>
      <w:proofErr w:type="gramEnd"/>
      <w:r w:rsidR="00447E41" w:rsidRPr="00FF3E14">
        <w:rPr>
          <w:rFonts w:asciiTheme="majorHAnsi" w:hAnsiTheme="majorHAnsi"/>
          <w:sz w:val="22"/>
          <w:szCs w:val="22"/>
        </w:rPr>
        <w:t xml:space="preserve"> way </w:t>
      </w:r>
      <w:r w:rsidR="00CB1DDC">
        <w:rPr>
          <w:rFonts w:asciiTheme="majorHAnsi" w:hAnsiTheme="majorHAnsi"/>
          <w:sz w:val="22"/>
          <w:szCs w:val="22"/>
        </w:rPr>
        <w:t xml:space="preserve">point </w:t>
      </w:r>
      <w:r w:rsidR="00447E41" w:rsidRPr="00FF3E14">
        <w:rPr>
          <w:rFonts w:asciiTheme="majorHAnsi" w:hAnsiTheme="majorHAnsi"/>
          <w:sz w:val="22"/>
          <w:szCs w:val="22"/>
        </w:rPr>
        <w:t>through the remainder of the project.</w:t>
      </w:r>
      <w:r w:rsidR="00447E41" w:rsidRPr="00447E41">
        <w:rPr>
          <w:rFonts w:asciiTheme="majorHAnsi" w:hAnsiTheme="majorHAnsi"/>
          <w:sz w:val="22"/>
          <w:szCs w:val="22"/>
        </w:rPr>
        <w:t xml:space="preserve"> </w:t>
      </w:r>
      <w:r w:rsidR="00AC3749" w:rsidRPr="00447E41">
        <w:rPr>
          <w:rFonts w:asciiTheme="majorHAnsi" w:hAnsiTheme="majorHAnsi"/>
          <w:sz w:val="22"/>
          <w:szCs w:val="22"/>
        </w:rPr>
        <w:t xml:space="preserve"> </w:t>
      </w:r>
    </w:p>
    <w:p w14:paraId="20218819" w14:textId="77777777" w:rsidR="00447E41" w:rsidRDefault="00447E41" w:rsidP="00447E41">
      <w:pPr>
        <w:jc w:val="both"/>
        <w:rPr>
          <w:rFonts w:asciiTheme="majorHAnsi" w:hAnsiTheme="majorHAnsi"/>
          <w:sz w:val="22"/>
          <w:szCs w:val="22"/>
        </w:rPr>
      </w:pPr>
    </w:p>
    <w:p w14:paraId="416EE01A" w14:textId="06A7C91C" w:rsidR="00447E41" w:rsidRDefault="002E0540" w:rsidP="00447E41">
      <w:pPr>
        <w:jc w:val="both"/>
        <w:rPr>
          <w:rFonts w:asciiTheme="majorHAnsi" w:hAnsiTheme="majorHAnsi" w:cs="Times New Roman"/>
          <w:sz w:val="22"/>
          <w:szCs w:val="22"/>
        </w:rPr>
      </w:pPr>
      <w:r>
        <w:rPr>
          <w:rFonts w:asciiTheme="majorHAnsi" w:hAnsiTheme="majorHAnsi" w:cs="Times New Roman"/>
          <w:sz w:val="22"/>
          <w:szCs w:val="22"/>
        </w:rPr>
        <w:t>Quarterly progress reports as</w:t>
      </w:r>
      <w:r w:rsidR="00440403" w:rsidRPr="00875D98">
        <w:rPr>
          <w:rFonts w:asciiTheme="majorHAnsi" w:hAnsiTheme="majorHAnsi" w:cs="Times New Roman"/>
          <w:sz w:val="22"/>
          <w:szCs w:val="22"/>
        </w:rPr>
        <w:t xml:space="preserve"> required by the M&amp;E plan </w:t>
      </w:r>
      <w:r>
        <w:rPr>
          <w:rFonts w:asciiTheme="majorHAnsi" w:hAnsiTheme="majorHAnsi" w:cs="Times New Roman"/>
          <w:sz w:val="22"/>
          <w:szCs w:val="22"/>
        </w:rPr>
        <w:t>to be</w:t>
      </w:r>
      <w:r w:rsidR="00440403" w:rsidRPr="00875D98">
        <w:rPr>
          <w:rFonts w:asciiTheme="majorHAnsi" w:hAnsiTheme="majorHAnsi" w:cs="Times New Roman"/>
          <w:sz w:val="22"/>
          <w:szCs w:val="22"/>
        </w:rPr>
        <w:t xml:space="preserve"> produced by the PCU with oversight from UNOPS </w:t>
      </w:r>
      <w:r>
        <w:rPr>
          <w:rFonts w:asciiTheme="majorHAnsi" w:hAnsiTheme="majorHAnsi" w:cs="Times New Roman"/>
          <w:sz w:val="22"/>
          <w:szCs w:val="22"/>
        </w:rPr>
        <w:t>are</w:t>
      </w:r>
      <w:r w:rsidR="00440403" w:rsidRPr="00875D98">
        <w:rPr>
          <w:rFonts w:asciiTheme="majorHAnsi" w:hAnsiTheme="majorHAnsi" w:cs="Times New Roman"/>
          <w:sz w:val="22"/>
          <w:szCs w:val="22"/>
        </w:rPr>
        <w:t xml:space="preserve"> the main </w:t>
      </w:r>
      <w:r>
        <w:rPr>
          <w:rFonts w:asciiTheme="majorHAnsi" w:hAnsiTheme="majorHAnsi" w:cs="Times New Roman"/>
          <w:sz w:val="22"/>
          <w:szCs w:val="22"/>
        </w:rPr>
        <w:t xml:space="preserve">project </w:t>
      </w:r>
      <w:r w:rsidR="00440403" w:rsidRPr="00875D98">
        <w:rPr>
          <w:rFonts w:asciiTheme="majorHAnsi" w:hAnsiTheme="majorHAnsi" w:cs="Times New Roman"/>
          <w:sz w:val="22"/>
          <w:szCs w:val="22"/>
        </w:rPr>
        <w:t>status report</w:t>
      </w:r>
      <w:r>
        <w:rPr>
          <w:rFonts w:asciiTheme="majorHAnsi" w:hAnsiTheme="majorHAnsi" w:cs="Times New Roman"/>
          <w:sz w:val="22"/>
          <w:szCs w:val="22"/>
        </w:rPr>
        <w:t>s</w:t>
      </w:r>
      <w:r w:rsidR="00440403" w:rsidRPr="00875D98">
        <w:rPr>
          <w:rFonts w:asciiTheme="majorHAnsi" w:hAnsiTheme="majorHAnsi" w:cs="Times New Roman"/>
          <w:sz w:val="22"/>
          <w:szCs w:val="22"/>
        </w:rPr>
        <w:t xml:space="preserve"> </w:t>
      </w:r>
      <w:r>
        <w:rPr>
          <w:rFonts w:asciiTheme="majorHAnsi" w:hAnsiTheme="majorHAnsi" w:cs="Times New Roman"/>
          <w:sz w:val="22"/>
          <w:szCs w:val="22"/>
        </w:rPr>
        <w:t>and</w:t>
      </w:r>
      <w:r w:rsidR="00CB1DDC">
        <w:rPr>
          <w:rFonts w:asciiTheme="majorHAnsi" w:hAnsiTheme="majorHAnsi" w:cs="Times New Roman"/>
          <w:sz w:val="22"/>
          <w:szCs w:val="22"/>
        </w:rPr>
        <w:t xml:space="preserve"> should</w:t>
      </w:r>
      <w:r>
        <w:rPr>
          <w:rFonts w:asciiTheme="majorHAnsi" w:hAnsiTheme="majorHAnsi" w:cs="Times New Roman"/>
          <w:sz w:val="22"/>
          <w:szCs w:val="22"/>
        </w:rPr>
        <w:t xml:space="preserve"> be </w:t>
      </w:r>
      <w:r w:rsidR="00440403" w:rsidRPr="00875D98">
        <w:rPr>
          <w:rFonts w:asciiTheme="majorHAnsi" w:hAnsiTheme="majorHAnsi" w:cs="Times New Roman"/>
          <w:sz w:val="22"/>
          <w:szCs w:val="22"/>
        </w:rPr>
        <w:t xml:space="preserve">distributed to all SCM members.  In addition the project is required to update UNDPs Atlas based and Enhanced Results Based Management Platform.  </w:t>
      </w:r>
      <w:r w:rsidR="00440403" w:rsidRPr="002E0540">
        <w:rPr>
          <w:rFonts w:asciiTheme="majorHAnsi" w:hAnsiTheme="majorHAnsi" w:cs="Times New Roman"/>
          <w:sz w:val="22"/>
          <w:szCs w:val="22"/>
        </w:rPr>
        <w:t xml:space="preserve">Regarding the latter, this has been complied with although </w:t>
      </w:r>
      <w:r w:rsidR="00875D98" w:rsidRPr="002E0540">
        <w:rPr>
          <w:rFonts w:asciiTheme="majorHAnsi" w:hAnsiTheme="majorHAnsi" w:cs="Times New Roman"/>
          <w:sz w:val="22"/>
          <w:szCs w:val="22"/>
        </w:rPr>
        <w:t>it appears that progress reports have only been entered into the ERBM since quarter 1 of 2012.</w:t>
      </w:r>
      <w:r w:rsidR="00875D98" w:rsidRPr="00875D98">
        <w:rPr>
          <w:rFonts w:asciiTheme="majorHAnsi" w:hAnsiTheme="majorHAnsi" w:cs="Times New Roman"/>
          <w:sz w:val="22"/>
          <w:szCs w:val="22"/>
        </w:rPr>
        <w:t xml:space="preserve"> </w:t>
      </w:r>
      <w:r w:rsidR="00875D98">
        <w:rPr>
          <w:rFonts w:asciiTheme="majorHAnsi" w:hAnsiTheme="majorHAnsi" w:cs="Times New Roman"/>
          <w:sz w:val="22"/>
          <w:szCs w:val="22"/>
        </w:rPr>
        <w:t xml:space="preserve"> With respect to the former the MTE notes that </w:t>
      </w:r>
      <w:r w:rsidR="00570F31">
        <w:rPr>
          <w:rFonts w:asciiTheme="majorHAnsi" w:hAnsiTheme="majorHAnsi" w:cs="Times New Roman"/>
          <w:sz w:val="22"/>
          <w:szCs w:val="22"/>
        </w:rPr>
        <w:t xml:space="preserve">the reports offer </w:t>
      </w:r>
      <w:r w:rsidR="00FD2E11">
        <w:rPr>
          <w:rFonts w:asciiTheme="majorHAnsi" w:hAnsiTheme="majorHAnsi" w:cs="Times New Roman"/>
          <w:sz w:val="22"/>
          <w:szCs w:val="22"/>
        </w:rPr>
        <w:t xml:space="preserve">a succinct overview of progress and indicate slips and corrections </w:t>
      </w:r>
      <w:r w:rsidR="00570F31">
        <w:rPr>
          <w:rFonts w:asciiTheme="majorHAnsi" w:hAnsiTheme="majorHAnsi" w:cs="Times New Roman"/>
          <w:sz w:val="22"/>
          <w:szCs w:val="22"/>
        </w:rPr>
        <w:t xml:space="preserve">and very briefly outstanding issues. The MTE believes that these reports would be of more benefit if more emphasis were given to the issues and corrective actions and responsible parties indicated – more of a typical issue log. </w:t>
      </w:r>
      <w:r>
        <w:rPr>
          <w:rFonts w:asciiTheme="majorHAnsi" w:hAnsiTheme="majorHAnsi" w:cs="Times New Roman"/>
          <w:sz w:val="22"/>
          <w:szCs w:val="22"/>
        </w:rPr>
        <w:t>Curr</w:t>
      </w:r>
      <w:r w:rsidR="00CB1DDC">
        <w:rPr>
          <w:rFonts w:asciiTheme="majorHAnsi" w:hAnsiTheme="majorHAnsi" w:cs="Times New Roman"/>
          <w:sz w:val="22"/>
          <w:szCs w:val="22"/>
        </w:rPr>
        <w:t xml:space="preserve">ently the progress reports are </w:t>
      </w:r>
      <w:r>
        <w:rPr>
          <w:rFonts w:asciiTheme="majorHAnsi" w:hAnsiTheme="majorHAnsi" w:cs="Times New Roman"/>
          <w:sz w:val="22"/>
          <w:szCs w:val="22"/>
        </w:rPr>
        <w:t xml:space="preserve">only sent directly to the UNDP RTA and UNOPS, other SCM are expected to read reports once </w:t>
      </w:r>
      <w:proofErr w:type="gramStart"/>
      <w:r>
        <w:rPr>
          <w:rFonts w:asciiTheme="majorHAnsi" w:hAnsiTheme="majorHAnsi" w:cs="Times New Roman"/>
          <w:sz w:val="22"/>
          <w:szCs w:val="22"/>
        </w:rPr>
        <w:t>posted  on</w:t>
      </w:r>
      <w:proofErr w:type="gramEnd"/>
      <w:r>
        <w:rPr>
          <w:rFonts w:asciiTheme="majorHAnsi" w:hAnsiTheme="majorHAnsi" w:cs="Times New Roman"/>
          <w:sz w:val="22"/>
          <w:szCs w:val="22"/>
        </w:rPr>
        <w:t xml:space="preserve"> the IW LEARN website. The MTE believes that if</w:t>
      </w:r>
      <w:r w:rsidR="00CB1DDC">
        <w:rPr>
          <w:rFonts w:asciiTheme="majorHAnsi" w:hAnsiTheme="majorHAnsi" w:cs="Times New Roman"/>
          <w:sz w:val="22"/>
          <w:szCs w:val="22"/>
        </w:rPr>
        <w:t xml:space="preserve"> SCM members are to respond</w:t>
      </w:r>
      <w:r>
        <w:rPr>
          <w:rFonts w:asciiTheme="majorHAnsi" w:hAnsiTheme="majorHAnsi" w:cs="Times New Roman"/>
          <w:sz w:val="22"/>
          <w:szCs w:val="22"/>
        </w:rPr>
        <w:t xml:space="preserve"> to project progress reports as they should </w:t>
      </w:r>
      <w:r w:rsidR="00BE1992">
        <w:rPr>
          <w:rFonts w:asciiTheme="majorHAnsi" w:hAnsiTheme="majorHAnsi" w:cs="Times New Roman"/>
          <w:sz w:val="22"/>
          <w:szCs w:val="22"/>
        </w:rPr>
        <w:t xml:space="preserve">the reports </w:t>
      </w:r>
      <w:r w:rsidR="00CB1DDC">
        <w:rPr>
          <w:rFonts w:asciiTheme="majorHAnsi" w:hAnsiTheme="majorHAnsi" w:cs="Times New Roman"/>
          <w:sz w:val="22"/>
          <w:szCs w:val="22"/>
        </w:rPr>
        <w:t>must</w:t>
      </w:r>
      <w:r w:rsidR="00BE1992">
        <w:rPr>
          <w:rFonts w:asciiTheme="majorHAnsi" w:hAnsiTheme="majorHAnsi" w:cs="Times New Roman"/>
          <w:sz w:val="22"/>
          <w:szCs w:val="22"/>
        </w:rPr>
        <w:t xml:space="preserve"> be sent to all member of the Steering Committee directly and comments sought. </w:t>
      </w:r>
      <w:r>
        <w:rPr>
          <w:rFonts w:asciiTheme="majorHAnsi" w:hAnsiTheme="majorHAnsi" w:cs="Times New Roman"/>
          <w:sz w:val="22"/>
          <w:szCs w:val="22"/>
        </w:rPr>
        <w:t xml:space="preserve"> </w:t>
      </w:r>
      <w:r w:rsidR="00570F31">
        <w:rPr>
          <w:rFonts w:asciiTheme="majorHAnsi" w:hAnsiTheme="majorHAnsi" w:cs="Times New Roman"/>
          <w:sz w:val="22"/>
          <w:szCs w:val="22"/>
        </w:rPr>
        <w:t>The M&amp;E plan also requires that project financial status is repo</w:t>
      </w:r>
      <w:r w:rsidR="00F0346B">
        <w:rPr>
          <w:rFonts w:asciiTheme="majorHAnsi" w:hAnsiTheme="majorHAnsi" w:cs="Times New Roman"/>
          <w:sz w:val="22"/>
          <w:szCs w:val="22"/>
        </w:rPr>
        <w:t xml:space="preserve">rted on quarterly </w:t>
      </w:r>
      <w:r w:rsidR="00BE1992">
        <w:rPr>
          <w:rFonts w:asciiTheme="majorHAnsi" w:hAnsiTheme="majorHAnsi" w:cs="Times New Roman"/>
          <w:sz w:val="22"/>
          <w:szCs w:val="22"/>
        </w:rPr>
        <w:t xml:space="preserve">including information regarding </w:t>
      </w:r>
      <w:r w:rsidR="00F0346B">
        <w:rPr>
          <w:rFonts w:asciiTheme="majorHAnsi" w:hAnsiTheme="majorHAnsi" w:cs="Times New Roman"/>
          <w:sz w:val="22"/>
          <w:szCs w:val="22"/>
        </w:rPr>
        <w:t xml:space="preserve">and delivery </w:t>
      </w:r>
      <w:r w:rsidR="00570F31">
        <w:rPr>
          <w:rFonts w:asciiTheme="majorHAnsi" w:hAnsiTheme="majorHAnsi" w:cs="Times New Roman"/>
          <w:sz w:val="22"/>
          <w:szCs w:val="22"/>
        </w:rPr>
        <w:t>of expected co</w:t>
      </w:r>
      <w:r w:rsidR="00CB1DDC">
        <w:rPr>
          <w:rFonts w:asciiTheme="majorHAnsi" w:hAnsiTheme="majorHAnsi" w:cs="Times New Roman"/>
          <w:sz w:val="22"/>
          <w:szCs w:val="22"/>
        </w:rPr>
        <w:t>-</w:t>
      </w:r>
      <w:r w:rsidR="00570F31">
        <w:rPr>
          <w:rFonts w:asciiTheme="majorHAnsi" w:hAnsiTheme="majorHAnsi" w:cs="Times New Roman"/>
          <w:sz w:val="22"/>
          <w:szCs w:val="22"/>
        </w:rPr>
        <w:t>financing and leveraged additional co</w:t>
      </w:r>
      <w:r w:rsidR="00CB1DDC">
        <w:rPr>
          <w:rFonts w:asciiTheme="majorHAnsi" w:hAnsiTheme="majorHAnsi" w:cs="Times New Roman"/>
          <w:sz w:val="22"/>
          <w:szCs w:val="22"/>
        </w:rPr>
        <w:t>-</w:t>
      </w:r>
      <w:r w:rsidR="00570F31">
        <w:rPr>
          <w:rFonts w:asciiTheme="majorHAnsi" w:hAnsiTheme="majorHAnsi" w:cs="Times New Roman"/>
          <w:sz w:val="22"/>
          <w:szCs w:val="22"/>
        </w:rPr>
        <w:t xml:space="preserve">financing.  Both these elements are absent from the QPRs and these omissions should be corrected for the remainder of the project. </w:t>
      </w:r>
    </w:p>
    <w:p w14:paraId="6E1140D9" w14:textId="77777777" w:rsidR="0070333A" w:rsidRDefault="0070333A" w:rsidP="00447E41">
      <w:pPr>
        <w:jc w:val="both"/>
        <w:rPr>
          <w:rFonts w:asciiTheme="majorHAnsi" w:hAnsiTheme="majorHAnsi" w:cs="Times New Roman"/>
          <w:sz w:val="22"/>
          <w:szCs w:val="22"/>
        </w:rPr>
      </w:pPr>
    </w:p>
    <w:p w14:paraId="466A53D0" w14:textId="038DE6CA" w:rsidR="005E2B7C" w:rsidRDefault="0070333A" w:rsidP="00447E41">
      <w:pPr>
        <w:jc w:val="both"/>
        <w:rPr>
          <w:rFonts w:asciiTheme="majorHAnsi" w:hAnsiTheme="majorHAnsi" w:cs="Times New Roman"/>
          <w:sz w:val="22"/>
          <w:szCs w:val="22"/>
        </w:rPr>
      </w:pPr>
      <w:r>
        <w:rPr>
          <w:rFonts w:asciiTheme="majorHAnsi" w:hAnsiTheme="majorHAnsi" w:cs="Times New Roman"/>
          <w:sz w:val="22"/>
          <w:szCs w:val="22"/>
        </w:rPr>
        <w:t xml:space="preserve">With regard to annual reporting the M&amp;E plan requires the project to deliver the standard Annual Project Review/Project Implementation Reports (APR/PIR) </w:t>
      </w:r>
      <w:r w:rsidR="005E2B7C">
        <w:rPr>
          <w:rFonts w:asciiTheme="majorHAnsi" w:hAnsiTheme="majorHAnsi" w:cs="Times New Roman"/>
          <w:sz w:val="22"/>
          <w:szCs w:val="22"/>
        </w:rPr>
        <w:t xml:space="preserve">and this indeed completed for the period from start of project to June 2012 in time for the June 2012 SCM. </w:t>
      </w:r>
      <w:r w:rsidR="00CB1DDC">
        <w:rPr>
          <w:rFonts w:asciiTheme="majorHAnsi" w:hAnsiTheme="majorHAnsi"/>
          <w:sz w:val="22"/>
          <w:szCs w:val="22"/>
        </w:rPr>
        <w:t xml:space="preserve">M&amp;E implementation </w:t>
      </w:r>
      <w:r w:rsidR="006E44B6">
        <w:rPr>
          <w:rFonts w:asciiTheme="majorHAnsi" w:hAnsiTheme="majorHAnsi"/>
          <w:sz w:val="22"/>
          <w:szCs w:val="22"/>
        </w:rPr>
        <w:t xml:space="preserve">is assessed as </w:t>
      </w:r>
      <w:r w:rsidR="006E44B6" w:rsidRPr="006E44B6">
        <w:rPr>
          <w:rFonts w:asciiTheme="majorHAnsi" w:hAnsiTheme="majorHAnsi"/>
          <w:b/>
          <w:sz w:val="22"/>
          <w:szCs w:val="22"/>
        </w:rPr>
        <w:t>Satisfactory</w:t>
      </w:r>
      <w:r w:rsidR="00B94EF0">
        <w:rPr>
          <w:rFonts w:asciiTheme="majorHAnsi" w:hAnsiTheme="majorHAnsi"/>
          <w:b/>
          <w:sz w:val="22"/>
          <w:szCs w:val="22"/>
        </w:rPr>
        <w:t>.</w:t>
      </w:r>
    </w:p>
    <w:p w14:paraId="7E6E3AEB" w14:textId="75D6F5EB" w:rsidR="00F73067" w:rsidRDefault="00540CD7" w:rsidP="00F73067">
      <w:pPr>
        <w:pStyle w:val="Heading3"/>
      </w:pPr>
      <w:bookmarkStart w:id="73" w:name="_Toc320280649"/>
      <w:bookmarkStart w:id="74" w:name="_Toc341527054"/>
      <w:bookmarkStart w:id="75" w:name="_Toc222479152"/>
      <w:r w:rsidRPr="007D1C06">
        <w:t>Budgeting and funding for M&amp;E activities</w:t>
      </w:r>
      <w:bookmarkEnd w:id="73"/>
      <w:bookmarkEnd w:id="74"/>
      <w:bookmarkEnd w:id="75"/>
    </w:p>
    <w:p w14:paraId="65D7575C" w14:textId="14B96516" w:rsidR="00F73067" w:rsidRPr="00FF3E14" w:rsidRDefault="00F73067" w:rsidP="00FF3E14">
      <w:pPr>
        <w:jc w:val="both"/>
        <w:rPr>
          <w:rFonts w:asciiTheme="majorHAnsi" w:hAnsiTheme="majorHAnsi"/>
          <w:sz w:val="22"/>
          <w:szCs w:val="22"/>
        </w:rPr>
      </w:pPr>
      <w:r w:rsidRPr="008342EE">
        <w:rPr>
          <w:rFonts w:asciiTheme="majorHAnsi" w:hAnsiTheme="majorHAnsi"/>
          <w:sz w:val="22"/>
          <w:szCs w:val="22"/>
        </w:rPr>
        <w:t>The M&amp;E activities a</w:t>
      </w:r>
      <w:r w:rsidR="000A01C7" w:rsidRPr="008342EE">
        <w:rPr>
          <w:rFonts w:asciiTheme="majorHAnsi" w:hAnsiTheme="majorHAnsi"/>
          <w:sz w:val="22"/>
          <w:szCs w:val="22"/>
        </w:rPr>
        <w:t>nd associated budgets (total 150,</w:t>
      </w:r>
      <w:r w:rsidRPr="008342EE">
        <w:rPr>
          <w:rFonts w:asciiTheme="majorHAnsi" w:hAnsiTheme="majorHAnsi"/>
          <w:sz w:val="22"/>
          <w:szCs w:val="22"/>
        </w:rPr>
        <w:t>000 USD) presented in the Project Document</w:t>
      </w:r>
      <w:r w:rsidR="000A01C7" w:rsidRPr="008342EE">
        <w:rPr>
          <w:rFonts w:asciiTheme="majorHAnsi" w:hAnsiTheme="majorHAnsi"/>
          <w:sz w:val="22"/>
          <w:szCs w:val="22"/>
        </w:rPr>
        <w:t xml:space="preserve"> </w:t>
      </w:r>
      <w:proofErr w:type="gramStart"/>
      <w:r w:rsidRPr="008342EE">
        <w:rPr>
          <w:rFonts w:asciiTheme="majorHAnsi" w:hAnsiTheme="majorHAnsi"/>
          <w:sz w:val="22"/>
          <w:szCs w:val="22"/>
        </w:rPr>
        <w:t>is</w:t>
      </w:r>
      <w:proofErr w:type="gramEnd"/>
      <w:r w:rsidRPr="008342EE">
        <w:rPr>
          <w:rFonts w:asciiTheme="majorHAnsi" w:hAnsiTheme="majorHAnsi"/>
          <w:sz w:val="22"/>
          <w:szCs w:val="22"/>
        </w:rPr>
        <w:t xml:space="preserve"> considered by the MTE to be consistent with the scope and overall budget of the project. </w:t>
      </w:r>
      <w:r w:rsidR="000A01C7" w:rsidRPr="008342EE">
        <w:rPr>
          <w:rFonts w:asciiTheme="majorHAnsi" w:hAnsiTheme="majorHAnsi"/>
          <w:sz w:val="22"/>
          <w:szCs w:val="22"/>
        </w:rPr>
        <w:t xml:space="preserve"> </w:t>
      </w:r>
      <w:r w:rsidRPr="008342EE">
        <w:rPr>
          <w:rFonts w:asciiTheme="majorHAnsi" w:hAnsiTheme="majorHAnsi"/>
          <w:sz w:val="22"/>
          <w:szCs w:val="22"/>
        </w:rPr>
        <w:t>All the expected M&amp;E activities planned have been undertaken by the Project or are a continuous process. It has not been possible to verify the precise costs of the various activities during the MTE.</w:t>
      </w:r>
      <w:r w:rsidR="004B1F29">
        <w:rPr>
          <w:rFonts w:asciiTheme="majorHAnsi" w:hAnsiTheme="majorHAnsi"/>
          <w:sz w:val="22"/>
          <w:szCs w:val="22"/>
        </w:rPr>
        <w:t xml:space="preserve"> M&amp;E budgeting and funding</w:t>
      </w:r>
      <w:r w:rsidR="006E44B6">
        <w:rPr>
          <w:rFonts w:asciiTheme="majorHAnsi" w:hAnsiTheme="majorHAnsi"/>
          <w:sz w:val="22"/>
          <w:szCs w:val="22"/>
        </w:rPr>
        <w:t xml:space="preserve"> is assessed as </w:t>
      </w:r>
      <w:r w:rsidR="006E44B6" w:rsidRPr="006E44B6">
        <w:rPr>
          <w:rFonts w:asciiTheme="majorHAnsi" w:hAnsiTheme="majorHAnsi"/>
          <w:b/>
          <w:sz w:val="22"/>
          <w:szCs w:val="22"/>
        </w:rPr>
        <w:t>Highly Satisfactory</w:t>
      </w:r>
    </w:p>
    <w:p w14:paraId="7015F3D3" w14:textId="2B9CD1FE" w:rsidR="008342EE" w:rsidRDefault="00540CD7" w:rsidP="008342EE">
      <w:pPr>
        <w:pStyle w:val="Heading3"/>
      </w:pPr>
      <w:bookmarkStart w:id="76" w:name="_Toc320280650"/>
      <w:bookmarkStart w:id="77" w:name="_Toc341527055"/>
      <w:bookmarkStart w:id="78" w:name="_Toc222479153"/>
      <w:r w:rsidRPr="007D1C06">
        <w:t>Long-term monitoring</w:t>
      </w:r>
      <w:bookmarkEnd w:id="76"/>
      <w:bookmarkEnd w:id="77"/>
      <w:bookmarkEnd w:id="78"/>
    </w:p>
    <w:p w14:paraId="731E1700" w14:textId="19EAF642" w:rsidR="00EC2B6D" w:rsidRPr="001B575E" w:rsidRDefault="006E44B6" w:rsidP="003A2A6A">
      <w:pPr>
        <w:jc w:val="both"/>
        <w:rPr>
          <w:rFonts w:asciiTheme="majorHAnsi" w:hAnsiTheme="majorHAnsi"/>
          <w:sz w:val="22"/>
          <w:szCs w:val="22"/>
        </w:rPr>
      </w:pPr>
      <w:r w:rsidRPr="006E44B6">
        <w:rPr>
          <w:rFonts w:asciiTheme="majorHAnsi" w:hAnsiTheme="majorHAnsi"/>
          <w:sz w:val="22"/>
          <w:szCs w:val="22"/>
        </w:rPr>
        <w:t>The GEF Tracking Tool containing as it does two Process Indicators relating to IW learning activities provides some long term monitoring. Nevertheless given</w:t>
      </w:r>
      <w:r w:rsidR="000A01C7" w:rsidRPr="008342EE">
        <w:rPr>
          <w:rFonts w:asciiTheme="majorHAnsi" w:hAnsiTheme="majorHAnsi"/>
          <w:sz w:val="22"/>
          <w:szCs w:val="22"/>
        </w:rPr>
        <w:t xml:space="preserve"> the unusually long duration of the IW LEARN series of projects it is unfortunate that a formal system of monitoring and estimating project impacts against expectations has not been instigated</w:t>
      </w:r>
      <w:r w:rsidR="008342EE" w:rsidRPr="008342EE">
        <w:rPr>
          <w:rFonts w:asciiTheme="majorHAnsi" w:hAnsiTheme="majorHAnsi"/>
          <w:sz w:val="22"/>
          <w:szCs w:val="22"/>
        </w:rPr>
        <w:t xml:space="preserve">. </w:t>
      </w:r>
      <w:r w:rsidR="000A01C7" w:rsidRPr="008342EE">
        <w:rPr>
          <w:rFonts w:asciiTheme="majorHAnsi" w:hAnsiTheme="majorHAnsi"/>
          <w:sz w:val="22"/>
          <w:szCs w:val="22"/>
        </w:rPr>
        <w:t xml:space="preserve"> </w:t>
      </w:r>
      <w:r w:rsidR="008342EE" w:rsidRPr="008342EE">
        <w:rPr>
          <w:rFonts w:asciiTheme="majorHAnsi" w:hAnsiTheme="majorHAnsi"/>
          <w:sz w:val="22"/>
          <w:szCs w:val="22"/>
        </w:rPr>
        <w:t>Any</w:t>
      </w:r>
      <w:r w:rsidR="000A01C7" w:rsidRPr="008342EE">
        <w:rPr>
          <w:rFonts w:asciiTheme="majorHAnsi" w:hAnsiTheme="majorHAnsi"/>
          <w:sz w:val="22"/>
          <w:szCs w:val="22"/>
        </w:rPr>
        <w:t xml:space="preserve"> future IW LEARN </w:t>
      </w:r>
      <w:r w:rsidR="008342EE" w:rsidRPr="008342EE">
        <w:rPr>
          <w:rFonts w:asciiTheme="majorHAnsi" w:hAnsiTheme="majorHAnsi"/>
          <w:sz w:val="22"/>
          <w:szCs w:val="22"/>
        </w:rPr>
        <w:t xml:space="preserve">project </w:t>
      </w:r>
      <w:proofErr w:type="gramStart"/>
      <w:r w:rsidR="008342EE" w:rsidRPr="008342EE">
        <w:rPr>
          <w:rFonts w:asciiTheme="majorHAnsi" w:hAnsiTheme="majorHAnsi"/>
          <w:sz w:val="22"/>
          <w:szCs w:val="22"/>
        </w:rPr>
        <w:t xml:space="preserve">should </w:t>
      </w:r>
      <w:r w:rsidR="000A01C7" w:rsidRPr="008342EE">
        <w:rPr>
          <w:rFonts w:asciiTheme="majorHAnsi" w:hAnsiTheme="majorHAnsi"/>
          <w:sz w:val="22"/>
          <w:szCs w:val="22"/>
        </w:rPr>
        <w:t xml:space="preserve"> include</w:t>
      </w:r>
      <w:proofErr w:type="gramEnd"/>
      <w:r w:rsidR="000A01C7" w:rsidRPr="008342EE">
        <w:rPr>
          <w:rFonts w:asciiTheme="majorHAnsi" w:hAnsiTheme="majorHAnsi"/>
          <w:sz w:val="22"/>
          <w:szCs w:val="22"/>
        </w:rPr>
        <w:t xml:space="preserve"> </w:t>
      </w:r>
      <w:r w:rsidR="008342EE" w:rsidRPr="008342EE">
        <w:rPr>
          <w:rFonts w:asciiTheme="majorHAnsi" w:hAnsiTheme="majorHAnsi"/>
          <w:sz w:val="22"/>
          <w:szCs w:val="22"/>
        </w:rPr>
        <w:t xml:space="preserve">a component to investigate, and report on previous IW LEARN impacts both directly </w:t>
      </w:r>
      <w:r w:rsidR="00BE1992">
        <w:rPr>
          <w:rFonts w:asciiTheme="majorHAnsi" w:hAnsiTheme="majorHAnsi"/>
          <w:sz w:val="22"/>
          <w:szCs w:val="22"/>
        </w:rPr>
        <w:t xml:space="preserve">on the GEF IW portfolio and on </w:t>
      </w:r>
      <w:r w:rsidR="008342EE" w:rsidRPr="008342EE">
        <w:rPr>
          <w:rFonts w:asciiTheme="majorHAnsi" w:hAnsiTheme="majorHAnsi"/>
          <w:sz w:val="22"/>
          <w:szCs w:val="22"/>
        </w:rPr>
        <w:t xml:space="preserve">related programmes via catalytic influences. </w:t>
      </w:r>
      <w:r w:rsidR="00F32D1D">
        <w:rPr>
          <w:rFonts w:asciiTheme="majorHAnsi" w:hAnsiTheme="majorHAnsi"/>
          <w:sz w:val="22"/>
          <w:szCs w:val="22"/>
        </w:rPr>
        <w:t xml:space="preserve">The PM did report however that in preparation for a planned presentation of the IW LEARN programme to the GEF CEO </w:t>
      </w:r>
      <w:r w:rsidR="00F32D1D" w:rsidRPr="001B575E">
        <w:rPr>
          <w:rFonts w:asciiTheme="majorHAnsi" w:hAnsiTheme="majorHAnsi" w:cs="Helvetica"/>
          <w:sz w:val="22"/>
          <w:szCs w:val="22"/>
          <w:lang w:val="en-US"/>
        </w:rPr>
        <w:t xml:space="preserve">the PCU has established a beneficiary database of 1000's of people who participated in workshops, IT workshops, IWC's, dialogues, </w:t>
      </w:r>
      <w:proofErr w:type="spellStart"/>
      <w:r w:rsidR="00F32D1D" w:rsidRPr="001B575E">
        <w:rPr>
          <w:rFonts w:asciiTheme="majorHAnsi" w:hAnsiTheme="majorHAnsi" w:cs="Helvetica"/>
          <w:sz w:val="22"/>
          <w:szCs w:val="22"/>
          <w:lang w:val="en-US"/>
        </w:rPr>
        <w:t>twinnings</w:t>
      </w:r>
      <w:proofErr w:type="spellEnd"/>
      <w:r w:rsidR="00F32D1D" w:rsidRPr="001B575E">
        <w:rPr>
          <w:rFonts w:asciiTheme="majorHAnsi" w:hAnsiTheme="majorHAnsi" w:cs="Helvetica"/>
          <w:sz w:val="22"/>
          <w:szCs w:val="22"/>
          <w:lang w:val="en-US"/>
        </w:rPr>
        <w:t xml:space="preserve"> and global dialogues with a few to surveying them and following up on their related activities. </w:t>
      </w:r>
      <w:r w:rsidRPr="001B575E">
        <w:rPr>
          <w:rFonts w:asciiTheme="majorHAnsi" w:hAnsiTheme="majorHAnsi"/>
          <w:sz w:val="22"/>
          <w:szCs w:val="22"/>
        </w:rPr>
        <w:t>Project long-term monitoring is assessed as</w:t>
      </w:r>
      <w:r w:rsidR="00F32D1D" w:rsidRPr="001B575E">
        <w:rPr>
          <w:rFonts w:asciiTheme="majorHAnsi" w:hAnsiTheme="majorHAnsi"/>
          <w:sz w:val="22"/>
          <w:szCs w:val="22"/>
        </w:rPr>
        <w:t xml:space="preserve"> </w:t>
      </w:r>
      <w:proofErr w:type="gramStart"/>
      <w:r w:rsidR="00F32D1D" w:rsidRPr="001B575E">
        <w:rPr>
          <w:rFonts w:asciiTheme="majorHAnsi" w:hAnsiTheme="majorHAnsi"/>
          <w:b/>
          <w:sz w:val="22"/>
          <w:szCs w:val="22"/>
        </w:rPr>
        <w:t>Moderately</w:t>
      </w:r>
      <w:proofErr w:type="gramEnd"/>
      <w:r w:rsidRPr="001B575E">
        <w:rPr>
          <w:rFonts w:asciiTheme="majorHAnsi" w:hAnsiTheme="majorHAnsi"/>
          <w:b/>
          <w:sz w:val="22"/>
          <w:szCs w:val="22"/>
        </w:rPr>
        <w:t xml:space="preserve"> Unsatisfactory</w:t>
      </w:r>
      <w:r w:rsidR="00B94EF0" w:rsidRPr="001B575E">
        <w:rPr>
          <w:rFonts w:asciiTheme="majorHAnsi" w:hAnsiTheme="majorHAnsi"/>
          <w:b/>
          <w:sz w:val="22"/>
          <w:szCs w:val="22"/>
        </w:rPr>
        <w:t>.</w:t>
      </w:r>
    </w:p>
    <w:p w14:paraId="061C46AC" w14:textId="02B6F7B8" w:rsidR="00971A1C" w:rsidRPr="008342EE" w:rsidRDefault="00971A1C" w:rsidP="00EC2B6D">
      <w:pPr>
        <w:rPr>
          <w:rFonts w:asciiTheme="majorHAnsi" w:hAnsiTheme="majorHAnsi"/>
          <w:sz w:val="22"/>
          <w:szCs w:val="22"/>
        </w:rPr>
      </w:pPr>
      <w:r>
        <w:rPr>
          <w:rFonts w:asciiTheme="majorHAnsi" w:hAnsiTheme="majorHAnsi"/>
          <w:sz w:val="22"/>
          <w:szCs w:val="22"/>
        </w:rPr>
        <w:br w:type="page"/>
      </w:r>
    </w:p>
    <w:p w14:paraId="66DBEA80" w14:textId="3557E443" w:rsidR="00B94EF0" w:rsidRDefault="00EC2B6D" w:rsidP="00B94EF0">
      <w:pPr>
        <w:pStyle w:val="Heading2"/>
      </w:pPr>
      <w:bookmarkStart w:id="79" w:name="_Toc320280651"/>
      <w:bookmarkStart w:id="80" w:name="_Toc341527056"/>
      <w:bookmarkStart w:id="81" w:name="_Toc222479154"/>
      <w:r w:rsidRPr="00FD4C35">
        <w:t>Assessment of processes that affected attainment of project results</w:t>
      </w:r>
      <w:bookmarkEnd w:id="79"/>
      <w:bookmarkEnd w:id="80"/>
      <w:bookmarkEnd w:id="81"/>
      <w:r w:rsidRPr="00FD4C35">
        <w:t xml:space="preserve"> </w:t>
      </w:r>
    </w:p>
    <w:p w14:paraId="1DC020BF" w14:textId="2F65937E" w:rsidR="00B94EF0" w:rsidRPr="00B94EF0" w:rsidRDefault="00B94EF0" w:rsidP="00B94EF0">
      <w:pPr>
        <w:rPr>
          <w:rFonts w:asciiTheme="majorHAnsi" w:hAnsiTheme="majorHAnsi"/>
        </w:rPr>
      </w:pPr>
      <w:r w:rsidRPr="00B94EF0">
        <w:rPr>
          <w:rFonts w:asciiTheme="majorHAnsi" w:hAnsiTheme="majorHAnsi"/>
        </w:rPr>
        <w:t xml:space="preserve">Overall this is considered by the MTE to be </w:t>
      </w:r>
      <w:r w:rsidRPr="00B94EF0">
        <w:rPr>
          <w:rFonts w:asciiTheme="majorHAnsi" w:hAnsiTheme="majorHAnsi"/>
          <w:b/>
        </w:rPr>
        <w:t>Satisfactory</w:t>
      </w:r>
      <w:r>
        <w:rPr>
          <w:rFonts w:asciiTheme="majorHAnsi" w:hAnsiTheme="majorHAnsi"/>
          <w:b/>
        </w:rPr>
        <w:t xml:space="preserve">. </w:t>
      </w:r>
    </w:p>
    <w:p w14:paraId="65EE4886" w14:textId="77777777" w:rsidR="00EC2B6D" w:rsidRDefault="00EC2B6D" w:rsidP="00D37989">
      <w:pPr>
        <w:pStyle w:val="Heading3"/>
      </w:pPr>
      <w:bookmarkStart w:id="82" w:name="_Toc320280652"/>
      <w:bookmarkStart w:id="83" w:name="_Toc341527057"/>
      <w:bookmarkStart w:id="84" w:name="_Toc222479155"/>
      <w:r w:rsidRPr="00FD4C35">
        <w:t>Preparation and readiness</w:t>
      </w:r>
      <w:bookmarkEnd w:id="82"/>
      <w:bookmarkEnd w:id="83"/>
      <w:bookmarkEnd w:id="84"/>
    </w:p>
    <w:p w14:paraId="731A9091" w14:textId="6684F9FB" w:rsidR="0045561C" w:rsidRDefault="002544AC" w:rsidP="002544AC">
      <w:pPr>
        <w:jc w:val="both"/>
        <w:rPr>
          <w:rFonts w:ascii="Calibri" w:eastAsia="Batang" w:hAnsi="Calibri" w:cs="Times New Roman"/>
          <w:color w:val="000000"/>
          <w:sz w:val="22"/>
          <w:szCs w:val="22"/>
          <w:lang w:eastAsia="ko-KR"/>
        </w:rPr>
      </w:pPr>
      <w:r w:rsidRPr="002544AC">
        <w:rPr>
          <w:rFonts w:asciiTheme="majorHAnsi" w:hAnsiTheme="majorHAnsi"/>
          <w:sz w:val="22"/>
          <w:szCs w:val="22"/>
        </w:rPr>
        <w:t xml:space="preserve">The MTE assessed the project to be </w:t>
      </w:r>
      <w:r w:rsidRPr="002544AC">
        <w:rPr>
          <w:rFonts w:asciiTheme="majorHAnsi" w:hAnsiTheme="majorHAnsi"/>
          <w:b/>
          <w:sz w:val="22"/>
          <w:szCs w:val="22"/>
        </w:rPr>
        <w:t>Moderately Satisfactory</w:t>
      </w:r>
      <w:r w:rsidRPr="002544AC">
        <w:rPr>
          <w:rFonts w:asciiTheme="majorHAnsi" w:hAnsiTheme="majorHAnsi"/>
          <w:sz w:val="22"/>
          <w:szCs w:val="22"/>
        </w:rPr>
        <w:t xml:space="preserve"> in respect to </w:t>
      </w:r>
      <w:r w:rsidR="00A871A1" w:rsidRPr="002544AC">
        <w:rPr>
          <w:rFonts w:asciiTheme="majorHAnsi" w:hAnsiTheme="majorHAnsi"/>
          <w:sz w:val="22"/>
          <w:szCs w:val="22"/>
        </w:rPr>
        <w:t>Preparation</w:t>
      </w:r>
      <w:r w:rsidRPr="002544AC">
        <w:rPr>
          <w:rFonts w:asciiTheme="majorHAnsi" w:hAnsiTheme="majorHAnsi"/>
          <w:sz w:val="22"/>
          <w:szCs w:val="22"/>
        </w:rPr>
        <w:t xml:space="preserve"> and Readiness.</w:t>
      </w:r>
      <w:r w:rsidRPr="002544AC">
        <w:t xml:space="preserve"> </w:t>
      </w:r>
      <w:r w:rsidR="009D72F9" w:rsidRPr="00573982">
        <w:rPr>
          <w:rFonts w:asciiTheme="majorHAnsi" w:hAnsiTheme="majorHAnsi"/>
          <w:sz w:val="22"/>
          <w:szCs w:val="22"/>
        </w:rPr>
        <w:t>The</w:t>
      </w:r>
      <w:r w:rsidR="005C0F0E" w:rsidRPr="00573982">
        <w:rPr>
          <w:rFonts w:asciiTheme="majorHAnsi" w:hAnsiTheme="majorHAnsi"/>
          <w:sz w:val="22"/>
          <w:szCs w:val="22"/>
        </w:rPr>
        <w:t xml:space="preserve"> development of the </w:t>
      </w:r>
      <w:r w:rsidR="009D72F9" w:rsidRPr="00573982">
        <w:rPr>
          <w:rFonts w:asciiTheme="majorHAnsi" w:hAnsiTheme="majorHAnsi"/>
          <w:sz w:val="22"/>
          <w:szCs w:val="22"/>
        </w:rPr>
        <w:t xml:space="preserve">current IW LEARN </w:t>
      </w:r>
      <w:r w:rsidR="005C0F0E" w:rsidRPr="00573982">
        <w:rPr>
          <w:rFonts w:asciiTheme="majorHAnsi" w:hAnsiTheme="majorHAnsi"/>
          <w:sz w:val="22"/>
          <w:szCs w:val="22"/>
        </w:rPr>
        <w:t xml:space="preserve">builds on experiences dating from 1997 as an experimental portfolio-wide knowledge management and capacity building </w:t>
      </w:r>
      <w:proofErr w:type="gramStart"/>
      <w:r w:rsidR="005C0F0E" w:rsidRPr="00573982">
        <w:rPr>
          <w:rFonts w:asciiTheme="majorHAnsi" w:hAnsiTheme="majorHAnsi"/>
          <w:sz w:val="22"/>
          <w:szCs w:val="22"/>
        </w:rPr>
        <w:t>initi</w:t>
      </w:r>
      <w:r w:rsidR="006E44B6">
        <w:rPr>
          <w:rFonts w:asciiTheme="majorHAnsi" w:hAnsiTheme="majorHAnsi"/>
          <w:sz w:val="22"/>
          <w:szCs w:val="22"/>
        </w:rPr>
        <w:t>ative, that</w:t>
      </w:r>
      <w:proofErr w:type="gramEnd"/>
      <w:r w:rsidR="006E44B6">
        <w:rPr>
          <w:rFonts w:asciiTheme="majorHAnsi" w:hAnsiTheme="majorHAnsi"/>
          <w:sz w:val="22"/>
          <w:szCs w:val="22"/>
        </w:rPr>
        <w:t xml:space="preserve"> also </w:t>
      </w:r>
      <w:r w:rsidR="005C0F0E" w:rsidRPr="00573982">
        <w:rPr>
          <w:rFonts w:asciiTheme="majorHAnsi" w:hAnsiTheme="majorHAnsi"/>
          <w:sz w:val="22"/>
          <w:szCs w:val="22"/>
        </w:rPr>
        <w:t>organized the first GEF IW Conference (IWC) in Budapest in 2000. A foundational project during the period 2000-2003 provided knowledge management training and on-demand technical assistance for GEF IW projects, as well as piloting of a number of learning tools. The subsequent Operational Phase of</w:t>
      </w:r>
      <w:r w:rsidR="005C0F0E" w:rsidRPr="008342EE">
        <w:rPr>
          <w:rFonts w:asciiTheme="majorHAnsi" w:hAnsiTheme="majorHAnsi"/>
          <w:sz w:val="22"/>
          <w:szCs w:val="22"/>
        </w:rPr>
        <w:t xml:space="preserve"> IWLEARN (2004-2008</w:t>
      </w:r>
      <w:proofErr w:type="gramStart"/>
      <w:r w:rsidR="005C0F0E" w:rsidRPr="008342EE">
        <w:rPr>
          <w:rFonts w:asciiTheme="majorHAnsi" w:hAnsiTheme="majorHAnsi"/>
          <w:sz w:val="22"/>
          <w:szCs w:val="22"/>
        </w:rPr>
        <w:t>),</w:t>
      </w:r>
      <w:proofErr w:type="gramEnd"/>
      <w:r w:rsidR="005C0F0E" w:rsidRPr="008342EE">
        <w:rPr>
          <w:rFonts w:asciiTheme="majorHAnsi" w:hAnsiTheme="majorHAnsi"/>
          <w:sz w:val="22"/>
          <w:szCs w:val="22"/>
        </w:rPr>
        <w:t xml:space="preserve"> built on pilot phase</w:t>
      </w:r>
      <w:r w:rsidR="005C0F0E">
        <w:rPr>
          <w:rFonts w:asciiTheme="majorHAnsi" w:hAnsiTheme="majorHAnsi"/>
          <w:sz w:val="22"/>
          <w:szCs w:val="22"/>
        </w:rPr>
        <w:t xml:space="preserve">. During this period a further 4 IW conferences were organised every two years in differing locations around the globe.  It is also notable that many of the key figures in the development of the project have been </w:t>
      </w:r>
      <w:r w:rsidR="00AC3EC9">
        <w:rPr>
          <w:rFonts w:asciiTheme="majorHAnsi" w:hAnsiTheme="majorHAnsi"/>
          <w:sz w:val="22"/>
          <w:szCs w:val="22"/>
        </w:rPr>
        <w:t xml:space="preserve">involved with IW LEARN </w:t>
      </w:r>
      <w:r w:rsidR="005C0F0E">
        <w:rPr>
          <w:rFonts w:asciiTheme="majorHAnsi" w:hAnsiTheme="majorHAnsi"/>
          <w:sz w:val="22"/>
          <w:szCs w:val="22"/>
        </w:rPr>
        <w:t xml:space="preserve">since very early on in the programme and some from the very beginning.  This wealth of experience plus the observations and recommendations from mid-term and final evaluations </w:t>
      </w:r>
      <w:r w:rsidR="00AC3EC9">
        <w:rPr>
          <w:rFonts w:asciiTheme="majorHAnsi" w:hAnsiTheme="majorHAnsi"/>
          <w:sz w:val="22"/>
          <w:szCs w:val="22"/>
        </w:rPr>
        <w:t>summarised in a document prod</w:t>
      </w:r>
      <w:r w:rsidR="00BC6604">
        <w:rPr>
          <w:rFonts w:asciiTheme="majorHAnsi" w:hAnsiTheme="majorHAnsi"/>
          <w:sz w:val="22"/>
          <w:szCs w:val="22"/>
        </w:rPr>
        <w:t xml:space="preserve">uced by current Project Manager of the previous projects, </w:t>
      </w:r>
      <w:r w:rsidR="005C0F0E">
        <w:rPr>
          <w:rFonts w:asciiTheme="majorHAnsi" w:hAnsiTheme="majorHAnsi"/>
          <w:sz w:val="22"/>
          <w:szCs w:val="22"/>
        </w:rPr>
        <w:t>were</w:t>
      </w:r>
      <w:r w:rsidR="00AC3EC9">
        <w:rPr>
          <w:rFonts w:asciiTheme="majorHAnsi" w:hAnsiTheme="majorHAnsi"/>
          <w:sz w:val="22"/>
          <w:szCs w:val="22"/>
        </w:rPr>
        <w:t xml:space="preserve"> </w:t>
      </w:r>
      <w:r w:rsidR="005C0F0E">
        <w:rPr>
          <w:rFonts w:asciiTheme="majorHAnsi" w:hAnsiTheme="majorHAnsi"/>
          <w:sz w:val="22"/>
          <w:szCs w:val="22"/>
        </w:rPr>
        <w:t xml:space="preserve">thus available for the development of the current phase under a PPG grant extending </w:t>
      </w:r>
      <w:proofErr w:type="gramStart"/>
      <w:r w:rsidR="005C0F0E">
        <w:rPr>
          <w:rFonts w:asciiTheme="majorHAnsi" w:hAnsiTheme="majorHAnsi"/>
          <w:sz w:val="22"/>
          <w:szCs w:val="22"/>
        </w:rPr>
        <w:t xml:space="preserve">from  </w:t>
      </w:r>
      <w:r w:rsidR="00103ECA">
        <w:rPr>
          <w:rFonts w:asciiTheme="majorHAnsi" w:hAnsiTheme="majorHAnsi"/>
          <w:sz w:val="22"/>
          <w:szCs w:val="22"/>
        </w:rPr>
        <w:t>December</w:t>
      </w:r>
      <w:proofErr w:type="gramEnd"/>
      <w:r w:rsidR="00103ECA">
        <w:rPr>
          <w:rFonts w:asciiTheme="majorHAnsi" w:hAnsiTheme="majorHAnsi"/>
          <w:sz w:val="22"/>
          <w:szCs w:val="22"/>
        </w:rPr>
        <w:t xml:space="preserve"> 2009 to December 2011. </w:t>
      </w:r>
      <w:r w:rsidR="0099763E">
        <w:rPr>
          <w:rFonts w:asciiTheme="majorHAnsi" w:hAnsiTheme="majorHAnsi"/>
          <w:sz w:val="22"/>
          <w:szCs w:val="22"/>
        </w:rPr>
        <w:t>The core activities of IW LEARN, i</w:t>
      </w:r>
      <w:r w:rsidR="003D5FF0">
        <w:rPr>
          <w:rFonts w:asciiTheme="majorHAnsi" w:hAnsiTheme="majorHAnsi"/>
          <w:sz w:val="22"/>
          <w:szCs w:val="22"/>
        </w:rPr>
        <w:t>.</w:t>
      </w:r>
      <w:r w:rsidR="0099763E">
        <w:rPr>
          <w:rFonts w:asciiTheme="majorHAnsi" w:hAnsiTheme="majorHAnsi"/>
          <w:sz w:val="22"/>
          <w:szCs w:val="22"/>
        </w:rPr>
        <w:t>e</w:t>
      </w:r>
      <w:r w:rsidR="003D5FF0">
        <w:rPr>
          <w:rFonts w:asciiTheme="majorHAnsi" w:hAnsiTheme="majorHAnsi"/>
          <w:sz w:val="22"/>
          <w:szCs w:val="22"/>
        </w:rPr>
        <w:t>.</w:t>
      </w:r>
      <w:r w:rsidR="0099763E">
        <w:rPr>
          <w:rFonts w:asciiTheme="majorHAnsi" w:hAnsiTheme="majorHAnsi"/>
          <w:sz w:val="22"/>
          <w:szCs w:val="22"/>
        </w:rPr>
        <w:t xml:space="preserve"> those that ar</w:t>
      </w:r>
      <w:r w:rsidR="003D5FF0">
        <w:rPr>
          <w:rFonts w:asciiTheme="majorHAnsi" w:hAnsiTheme="majorHAnsi"/>
          <w:sz w:val="22"/>
          <w:szCs w:val="22"/>
        </w:rPr>
        <w:t>e seen to most directly respond</w:t>
      </w:r>
      <w:r w:rsidR="001E3B4C">
        <w:rPr>
          <w:rFonts w:asciiTheme="majorHAnsi" w:hAnsiTheme="majorHAnsi"/>
          <w:sz w:val="22"/>
          <w:szCs w:val="22"/>
        </w:rPr>
        <w:t xml:space="preserve"> to the needs of the Portfolio </w:t>
      </w:r>
      <w:r w:rsidR="0099763E">
        <w:rPr>
          <w:rFonts w:asciiTheme="majorHAnsi" w:hAnsiTheme="majorHAnsi"/>
          <w:sz w:val="22"/>
          <w:szCs w:val="22"/>
        </w:rPr>
        <w:t xml:space="preserve">are thus </w:t>
      </w:r>
      <w:proofErr w:type="gramStart"/>
      <w:r w:rsidR="0099763E">
        <w:rPr>
          <w:rFonts w:asciiTheme="majorHAnsi" w:hAnsiTheme="majorHAnsi"/>
          <w:sz w:val="22"/>
          <w:szCs w:val="22"/>
        </w:rPr>
        <w:t>rightly  prominent</w:t>
      </w:r>
      <w:proofErr w:type="gramEnd"/>
      <w:r w:rsidR="0099763E">
        <w:rPr>
          <w:rFonts w:asciiTheme="majorHAnsi" w:hAnsiTheme="majorHAnsi"/>
          <w:sz w:val="22"/>
          <w:szCs w:val="22"/>
        </w:rPr>
        <w:t xml:space="preserve"> in the current project </w:t>
      </w:r>
      <w:r w:rsidR="003D5FF0">
        <w:rPr>
          <w:rFonts w:asciiTheme="majorHAnsi" w:hAnsiTheme="majorHAnsi"/>
          <w:sz w:val="22"/>
          <w:szCs w:val="22"/>
        </w:rPr>
        <w:t xml:space="preserve">namely </w:t>
      </w:r>
      <w:r w:rsidR="0045561C" w:rsidRPr="005E2B7C">
        <w:rPr>
          <w:rFonts w:ascii="Calibri" w:eastAsia="Batang" w:hAnsi="Calibri" w:cs="Times New Roman"/>
          <w:color w:val="000000"/>
          <w:sz w:val="22"/>
          <w:szCs w:val="22"/>
          <w:lang w:eastAsia="ko-KR"/>
        </w:rPr>
        <w:t>to deliver its varied service line</w:t>
      </w:r>
      <w:r w:rsidR="003D5FF0">
        <w:rPr>
          <w:rFonts w:ascii="Calibri" w:eastAsia="Batang" w:hAnsi="Calibri" w:cs="Times New Roman"/>
          <w:color w:val="000000"/>
          <w:sz w:val="22"/>
          <w:szCs w:val="22"/>
          <w:lang w:eastAsia="ko-KR"/>
        </w:rPr>
        <w:t>s</w:t>
      </w:r>
      <w:r w:rsidR="0045561C" w:rsidRPr="005E2B7C">
        <w:rPr>
          <w:rFonts w:ascii="Calibri" w:eastAsia="Batang" w:hAnsi="Calibri" w:cs="Times New Roman"/>
          <w:color w:val="000000"/>
          <w:sz w:val="22"/>
          <w:szCs w:val="22"/>
          <w:lang w:eastAsia="ko-KR"/>
        </w:rPr>
        <w:t xml:space="preserve"> consisting of both information management activities and face-to-face capacity building initiatives. </w:t>
      </w:r>
      <w:proofErr w:type="gramStart"/>
      <w:r w:rsidR="003D5FF0">
        <w:rPr>
          <w:rFonts w:ascii="Calibri" w:eastAsia="Batang" w:hAnsi="Calibri" w:cs="Times New Roman"/>
          <w:color w:val="000000"/>
          <w:sz w:val="22"/>
          <w:szCs w:val="22"/>
          <w:lang w:eastAsia="ko-KR"/>
        </w:rPr>
        <w:t>experience</w:t>
      </w:r>
      <w:proofErr w:type="gramEnd"/>
      <w:r w:rsidR="003D5FF0">
        <w:rPr>
          <w:rFonts w:ascii="Calibri" w:eastAsia="Batang" w:hAnsi="Calibri" w:cs="Times New Roman"/>
          <w:color w:val="000000"/>
          <w:sz w:val="22"/>
          <w:szCs w:val="22"/>
          <w:lang w:eastAsia="ko-KR"/>
        </w:rPr>
        <w:t xml:space="preserve"> sharing and learning and</w:t>
      </w:r>
      <w:r w:rsidR="003D5FF0" w:rsidRPr="005E2B7C">
        <w:rPr>
          <w:rFonts w:ascii="Calibri" w:eastAsia="Batang" w:hAnsi="Calibri" w:cs="Times New Roman"/>
          <w:color w:val="000000"/>
          <w:sz w:val="22"/>
          <w:szCs w:val="22"/>
          <w:lang w:eastAsia="ko-KR"/>
        </w:rPr>
        <w:t xml:space="preserve"> dialogue facilitation </w:t>
      </w:r>
      <w:r w:rsidR="0099763E">
        <w:rPr>
          <w:rFonts w:asciiTheme="majorHAnsi" w:hAnsiTheme="majorHAnsi"/>
          <w:sz w:val="22"/>
          <w:szCs w:val="22"/>
        </w:rPr>
        <w:t xml:space="preserve">notable under components 1, 3 and 4. </w:t>
      </w:r>
    </w:p>
    <w:p w14:paraId="3C15C9D8" w14:textId="77777777" w:rsidR="0045561C" w:rsidRDefault="0045561C" w:rsidP="00CB4A1E">
      <w:pPr>
        <w:jc w:val="both"/>
        <w:rPr>
          <w:rFonts w:ascii="Calibri" w:eastAsia="Batang" w:hAnsi="Calibri" w:cs="Times New Roman"/>
          <w:color w:val="000000"/>
          <w:sz w:val="22"/>
          <w:szCs w:val="22"/>
          <w:lang w:eastAsia="ko-KR"/>
        </w:rPr>
      </w:pPr>
    </w:p>
    <w:p w14:paraId="3D4A9452" w14:textId="61C33E56" w:rsidR="001D4102" w:rsidRDefault="0045561C" w:rsidP="00573982">
      <w:pPr>
        <w:spacing w:after="60"/>
        <w:jc w:val="both"/>
        <w:rPr>
          <w:rFonts w:asciiTheme="majorHAnsi" w:hAnsiTheme="majorHAnsi"/>
          <w:sz w:val="22"/>
          <w:szCs w:val="22"/>
        </w:rPr>
      </w:pPr>
      <w:proofErr w:type="gramStart"/>
      <w:r w:rsidRPr="00573982">
        <w:rPr>
          <w:rFonts w:asciiTheme="majorHAnsi" w:eastAsia="Batang" w:hAnsiTheme="majorHAnsi" w:cs="Times New Roman"/>
          <w:color w:val="000000"/>
          <w:sz w:val="22"/>
          <w:szCs w:val="22"/>
          <w:lang w:eastAsia="ko-KR"/>
        </w:rPr>
        <w:t>T</w:t>
      </w:r>
      <w:r w:rsidR="003D5FF0">
        <w:rPr>
          <w:rFonts w:asciiTheme="majorHAnsi" w:eastAsia="Batang" w:hAnsiTheme="majorHAnsi" w:cs="Times New Roman"/>
          <w:color w:val="000000"/>
          <w:sz w:val="22"/>
          <w:szCs w:val="22"/>
          <w:lang w:eastAsia="ko-KR"/>
        </w:rPr>
        <w:t>he emphasis on Ground water in C</w:t>
      </w:r>
      <w:r w:rsidRPr="00573982">
        <w:rPr>
          <w:rFonts w:asciiTheme="majorHAnsi" w:eastAsia="Batang" w:hAnsiTheme="majorHAnsi" w:cs="Times New Roman"/>
          <w:color w:val="000000"/>
          <w:sz w:val="22"/>
          <w:szCs w:val="22"/>
          <w:lang w:eastAsia="ko-KR"/>
        </w:rPr>
        <w:t>omponent</w:t>
      </w:r>
      <w:r w:rsidR="00573982" w:rsidRPr="00573982">
        <w:rPr>
          <w:rFonts w:asciiTheme="majorHAnsi" w:eastAsia="Batang" w:hAnsiTheme="majorHAnsi" w:cs="Times New Roman"/>
          <w:color w:val="000000"/>
          <w:sz w:val="22"/>
          <w:szCs w:val="22"/>
          <w:lang w:eastAsia="ko-KR"/>
        </w:rPr>
        <w:t xml:space="preserve">s </w:t>
      </w:r>
      <w:r w:rsidRPr="00573982">
        <w:rPr>
          <w:rFonts w:asciiTheme="majorHAnsi" w:eastAsia="Batang" w:hAnsiTheme="majorHAnsi" w:cs="Times New Roman"/>
          <w:color w:val="000000"/>
          <w:sz w:val="22"/>
          <w:szCs w:val="22"/>
          <w:lang w:eastAsia="ko-KR"/>
        </w:rPr>
        <w:t>1</w:t>
      </w:r>
      <w:r w:rsidR="00573982" w:rsidRPr="00573982">
        <w:rPr>
          <w:rFonts w:asciiTheme="majorHAnsi" w:eastAsia="Batang" w:hAnsiTheme="majorHAnsi" w:cs="Times New Roman"/>
          <w:color w:val="000000"/>
          <w:sz w:val="22"/>
          <w:szCs w:val="22"/>
          <w:lang w:eastAsia="ko-KR"/>
        </w:rPr>
        <w:t>a, 2a</w:t>
      </w:r>
      <w:r w:rsidR="003D5FF0">
        <w:rPr>
          <w:rFonts w:asciiTheme="majorHAnsi" w:eastAsia="Batang" w:hAnsiTheme="majorHAnsi" w:cs="Times New Roman"/>
          <w:color w:val="000000"/>
          <w:sz w:val="22"/>
          <w:szCs w:val="22"/>
          <w:lang w:eastAsia="ko-KR"/>
        </w:rPr>
        <w:t xml:space="preserve"> and</w:t>
      </w:r>
      <w:r w:rsidR="00573982" w:rsidRPr="00573982">
        <w:rPr>
          <w:rFonts w:asciiTheme="majorHAnsi" w:eastAsia="Batang" w:hAnsiTheme="majorHAnsi" w:cs="Times New Roman"/>
          <w:color w:val="000000"/>
          <w:sz w:val="22"/>
          <w:szCs w:val="22"/>
          <w:lang w:eastAsia="ko-KR"/>
        </w:rPr>
        <w:t xml:space="preserve"> </w:t>
      </w:r>
      <w:r w:rsidRPr="00573982">
        <w:rPr>
          <w:rFonts w:asciiTheme="majorHAnsi" w:eastAsia="Batang" w:hAnsiTheme="majorHAnsi" w:cs="Times New Roman"/>
          <w:color w:val="000000"/>
          <w:sz w:val="22"/>
          <w:szCs w:val="22"/>
          <w:lang w:eastAsia="ko-KR"/>
        </w:rPr>
        <w:t xml:space="preserve">related sub-components stems from </w:t>
      </w:r>
      <w:r w:rsidR="00573982" w:rsidRPr="00573982">
        <w:rPr>
          <w:rFonts w:asciiTheme="majorHAnsi" w:hAnsiTheme="majorHAnsi"/>
          <w:sz w:val="22"/>
          <w:szCs w:val="22"/>
        </w:rPr>
        <w:t>the GEF having increased its focus on the Mediterranean and MENARID regions, as well as on groundwater management issues.</w:t>
      </w:r>
      <w:proofErr w:type="gramEnd"/>
      <w:r w:rsidR="00573982" w:rsidRPr="00573982">
        <w:rPr>
          <w:rFonts w:asciiTheme="majorHAnsi" w:hAnsiTheme="majorHAnsi"/>
          <w:sz w:val="22"/>
          <w:szCs w:val="22"/>
        </w:rPr>
        <w:t xml:space="preserve"> The new IW</w:t>
      </w:r>
      <w:proofErr w:type="gramStart"/>
      <w:r w:rsidR="00573982" w:rsidRPr="00573982">
        <w:rPr>
          <w:rFonts w:asciiTheme="majorHAnsi" w:hAnsiTheme="majorHAnsi"/>
          <w:sz w:val="22"/>
          <w:szCs w:val="22"/>
        </w:rPr>
        <w:t>:LEARN</w:t>
      </w:r>
      <w:proofErr w:type="gramEnd"/>
      <w:r w:rsidR="00573982" w:rsidRPr="00573982">
        <w:rPr>
          <w:rFonts w:asciiTheme="majorHAnsi" w:hAnsiTheme="majorHAnsi"/>
          <w:sz w:val="22"/>
          <w:szCs w:val="22"/>
        </w:rPr>
        <w:t xml:space="preserve"> project includes cross-project and agency learning support to GEF project teams on methodologies for groundwater/surface water management, especially concerning aquifer protection and recharge issues in the MENARID region with mobilizing new partners. </w:t>
      </w:r>
    </w:p>
    <w:p w14:paraId="554C2AC2" w14:textId="362F024D" w:rsidR="00924B4F" w:rsidRDefault="00924B4F" w:rsidP="00573982">
      <w:pPr>
        <w:spacing w:after="60"/>
        <w:jc w:val="both"/>
        <w:rPr>
          <w:rFonts w:asciiTheme="majorHAnsi" w:hAnsiTheme="majorHAnsi"/>
          <w:sz w:val="22"/>
          <w:szCs w:val="22"/>
        </w:rPr>
      </w:pPr>
    </w:p>
    <w:p w14:paraId="45AD1368" w14:textId="66D813ED" w:rsidR="00E73FCE" w:rsidRDefault="00573982" w:rsidP="00573982">
      <w:pPr>
        <w:spacing w:after="60"/>
        <w:jc w:val="both"/>
        <w:rPr>
          <w:rFonts w:asciiTheme="majorHAnsi" w:hAnsiTheme="majorHAnsi"/>
          <w:sz w:val="22"/>
          <w:szCs w:val="22"/>
        </w:rPr>
      </w:pPr>
      <w:r w:rsidRPr="003D5FF0">
        <w:rPr>
          <w:rFonts w:asciiTheme="majorHAnsi" w:hAnsiTheme="majorHAnsi"/>
          <w:sz w:val="22"/>
          <w:szCs w:val="22"/>
        </w:rPr>
        <w:t>Several analyses of the main project stakeholders</w:t>
      </w:r>
      <w:r w:rsidR="003D5FF0">
        <w:rPr>
          <w:rFonts w:asciiTheme="majorHAnsi" w:hAnsiTheme="majorHAnsi"/>
          <w:sz w:val="22"/>
          <w:szCs w:val="22"/>
        </w:rPr>
        <w:t xml:space="preserve"> </w:t>
      </w:r>
      <w:proofErr w:type="gramStart"/>
      <w:r w:rsidR="003D5FF0">
        <w:rPr>
          <w:rFonts w:asciiTheme="majorHAnsi" w:hAnsiTheme="majorHAnsi"/>
          <w:sz w:val="22"/>
          <w:szCs w:val="22"/>
        </w:rPr>
        <w:t xml:space="preserve">are reported to have been </w:t>
      </w:r>
      <w:r w:rsidRPr="003D5FF0">
        <w:rPr>
          <w:rFonts w:asciiTheme="majorHAnsi" w:hAnsiTheme="majorHAnsi"/>
          <w:sz w:val="22"/>
          <w:szCs w:val="22"/>
        </w:rPr>
        <w:t>undertaken</w:t>
      </w:r>
      <w:proofErr w:type="gramEnd"/>
      <w:r w:rsidRPr="003D5FF0">
        <w:rPr>
          <w:rFonts w:asciiTheme="majorHAnsi" w:hAnsiTheme="majorHAnsi"/>
          <w:sz w:val="22"/>
          <w:szCs w:val="22"/>
        </w:rPr>
        <w:t xml:space="preserve"> during the PPG phase. In addition</w:t>
      </w:r>
      <w:r w:rsidR="003D5FF0">
        <w:rPr>
          <w:rFonts w:asciiTheme="majorHAnsi" w:hAnsiTheme="majorHAnsi"/>
          <w:sz w:val="22"/>
          <w:szCs w:val="22"/>
        </w:rPr>
        <w:t>, each project sub-component had</w:t>
      </w:r>
      <w:r w:rsidRPr="003D5FF0">
        <w:rPr>
          <w:rFonts w:asciiTheme="majorHAnsi" w:hAnsiTheme="majorHAnsi"/>
          <w:sz w:val="22"/>
          <w:szCs w:val="22"/>
        </w:rPr>
        <w:t xml:space="preserve"> a sub-set of IW</w:t>
      </w:r>
      <w:proofErr w:type="gramStart"/>
      <w:r w:rsidRPr="003D5FF0">
        <w:rPr>
          <w:rFonts w:asciiTheme="majorHAnsi" w:hAnsiTheme="majorHAnsi"/>
          <w:sz w:val="22"/>
          <w:szCs w:val="22"/>
        </w:rPr>
        <w:t>:LEARN’s</w:t>
      </w:r>
      <w:proofErr w:type="gramEnd"/>
      <w:r w:rsidRPr="003D5FF0">
        <w:rPr>
          <w:rFonts w:asciiTheme="majorHAnsi" w:hAnsiTheme="majorHAnsi"/>
          <w:sz w:val="22"/>
          <w:szCs w:val="22"/>
        </w:rPr>
        <w:t xml:space="preserve"> overall stakeholders</w:t>
      </w:r>
      <w:r w:rsidR="003D5FF0">
        <w:rPr>
          <w:rFonts w:asciiTheme="majorHAnsi" w:hAnsiTheme="majorHAnsi"/>
          <w:sz w:val="22"/>
          <w:szCs w:val="22"/>
        </w:rPr>
        <w:t xml:space="preserve"> contributing and undertaking further surveys </w:t>
      </w:r>
      <w:r w:rsidRPr="003D5FF0">
        <w:rPr>
          <w:rFonts w:asciiTheme="majorHAnsi" w:hAnsiTheme="majorHAnsi"/>
          <w:sz w:val="22"/>
          <w:szCs w:val="22"/>
        </w:rPr>
        <w:t xml:space="preserve">to design the proposed sub-component activities. </w:t>
      </w:r>
    </w:p>
    <w:p w14:paraId="0A814C0F" w14:textId="77777777" w:rsidR="00B94EF0" w:rsidRDefault="00B94EF0" w:rsidP="00573982">
      <w:pPr>
        <w:spacing w:after="60"/>
        <w:jc w:val="both"/>
        <w:rPr>
          <w:rFonts w:asciiTheme="majorHAnsi" w:hAnsiTheme="majorHAnsi"/>
          <w:sz w:val="22"/>
          <w:szCs w:val="22"/>
        </w:rPr>
      </w:pPr>
    </w:p>
    <w:p w14:paraId="7FB5A34F" w14:textId="1A3B5212" w:rsidR="005D2AD9" w:rsidRPr="003D5FF0" w:rsidRDefault="005D2AD9" w:rsidP="00573982">
      <w:pPr>
        <w:spacing w:after="60"/>
        <w:jc w:val="both"/>
        <w:rPr>
          <w:rFonts w:asciiTheme="majorHAnsi" w:hAnsiTheme="majorHAnsi"/>
          <w:sz w:val="22"/>
          <w:szCs w:val="22"/>
        </w:rPr>
      </w:pPr>
      <w:r w:rsidRPr="003D5FF0">
        <w:rPr>
          <w:rFonts w:asciiTheme="majorHAnsi" w:hAnsiTheme="majorHAnsi"/>
          <w:sz w:val="22"/>
          <w:szCs w:val="22"/>
        </w:rPr>
        <w:t xml:space="preserve">Perhaps most importantly </w:t>
      </w:r>
      <w:r w:rsidR="00FB0B19" w:rsidRPr="003D5FF0">
        <w:rPr>
          <w:rFonts w:asciiTheme="majorHAnsi" w:hAnsiTheme="majorHAnsi"/>
          <w:sz w:val="22"/>
          <w:szCs w:val="22"/>
        </w:rPr>
        <w:t>in terms of readiness however is</w:t>
      </w:r>
      <w:r w:rsidRPr="003D5FF0">
        <w:rPr>
          <w:rFonts w:asciiTheme="majorHAnsi" w:hAnsiTheme="majorHAnsi"/>
          <w:sz w:val="22"/>
          <w:szCs w:val="22"/>
        </w:rPr>
        <w:t xml:space="preserve"> the apparent lack at the start of the project of a clear articulation of the design specification of the overarching ICT component 4.  </w:t>
      </w:r>
      <w:r w:rsidR="00921A1D">
        <w:rPr>
          <w:rFonts w:asciiTheme="majorHAnsi" w:hAnsiTheme="majorHAnsi"/>
          <w:sz w:val="22"/>
          <w:szCs w:val="22"/>
        </w:rPr>
        <w:t xml:space="preserve">Although the MTE notes that the PM did produce more detailed descriptions of the </w:t>
      </w:r>
      <w:r w:rsidR="00CB1DDC">
        <w:rPr>
          <w:rFonts w:asciiTheme="majorHAnsi" w:hAnsiTheme="majorHAnsi"/>
          <w:sz w:val="22"/>
          <w:szCs w:val="22"/>
        </w:rPr>
        <w:t>requirements</w:t>
      </w:r>
      <w:r w:rsidR="00921A1D">
        <w:rPr>
          <w:rFonts w:asciiTheme="majorHAnsi" w:hAnsiTheme="majorHAnsi"/>
          <w:sz w:val="22"/>
          <w:szCs w:val="22"/>
        </w:rPr>
        <w:t xml:space="preserve"> for the Visualisation Tool and Results Archive shortly after project start up it seems not to have had the desired impact. </w:t>
      </w:r>
      <w:r w:rsidRPr="003D5FF0">
        <w:rPr>
          <w:rFonts w:asciiTheme="majorHAnsi" w:hAnsiTheme="majorHAnsi"/>
          <w:sz w:val="22"/>
          <w:szCs w:val="22"/>
        </w:rPr>
        <w:t xml:space="preserve">This has led to several switches in software platform and technical specifications and a lack of clarity among users and the ICT of exactly what the various ICT tools should be delivering.  This was most evident at the January 2013 SCM </w:t>
      </w:r>
      <w:proofErr w:type="gramStart"/>
      <w:r w:rsidRPr="003D5FF0">
        <w:rPr>
          <w:rFonts w:asciiTheme="majorHAnsi" w:hAnsiTheme="majorHAnsi"/>
          <w:sz w:val="22"/>
          <w:szCs w:val="22"/>
        </w:rPr>
        <w:t>which</w:t>
      </w:r>
      <w:proofErr w:type="gramEnd"/>
      <w:r w:rsidRPr="003D5FF0">
        <w:rPr>
          <w:rFonts w:asciiTheme="majorHAnsi" w:hAnsiTheme="majorHAnsi"/>
          <w:sz w:val="22"/>
          <w:szCs w:val="22"/>
        </w:rPr>
        <w:t xml:space="preserve"> the MTE attended and led to the recommendation to engage a consultant to look at overall design and content specs. </w:t>
      </w:r>
      <w:r w:rsidR="00EC2A7D" w:rsidRPr="003D5FF0">
        <w:rPr>
          <w:rFonts w:asciiTheme="majorHAnsi" w:hAnsiTheme="majorHAnsi"/>
          <w:sz w:val="22"/>
          <w:szCs w:val="22"/>
        </w:rPr>
        <w:t>The MTE considers this to be most unfortunate given that the proj</w:t>
      </w:r>
      <w:r w:rsidR="00921A1D">
        <w:rPr>
          <w:rFonts w:asciiTheme="majorHAnsi" w:hAnsiTheme="majorHAnsi"/>
          <w:sz w:val="22"/>
          <w:szCs w:val="22"/>
        </w:rPr>
        <w:t xml:space="preserve">ect is half way </w:t>
      </w:r>
      <w:r w:rsidR="00EC2A7D" w:rsidRPr="003D5FF0">
        <w:rPr>
          <w:rFonts w:asciiTheme="majorHAnsi" w:hAnsiTheme="majorHAnsi"/>
          <w:sz w:val="22"/>
          <w:szCs w:val="22"/>
        </w:rPr>
        <w:t>through its implementation</w:t>
      </w:r>
      <w:r w:rsidR="00A86E57">
        <w:rPr>
          <w:rFonts w:asciiTheme="majorHAnsi" w:hAnsiTheme="majorHAnsi"/>
          <w:sz w:val="22"/>
          <w:szCs w:val="22"/>
        </w:rPr>
        <w:t>.</w:t>
      </w:r>
      <w:r w:rsidR="00EC2A7D" w:rsidRPr="003D5FF0">
        <w:rPr>
          <w:rFonts w:asciiTheme="majorHAnsi" w:hAnsiTheme="majorHAnsi"/>
          <w:sz w:val="22"/>
          <w:szCs w:val="22"/>
        </w:rPr>
        <w:t xml:space="preserve"> </w:t>
      </w:r>
      <w:r w:rsidR="002544AC">
        <w:rPr>
          <w:rFonts w:asciiTheme="majorHAnsi" w:hAnsiTheme="majorHAnsi"/>
          <w:sz w:val="22"/>
          <w:szCs w:val="22"/>
        </w:rPr>
        <w:t xml:space="preserve"> The UNEP Components Coordinator (Nairobi) </w:t>
      </w:r>
      <w:r w:rsidR="00103ECA">
        <w:rPr>
          <w:rFonts w:asciiTheme="majorHAnsi" w:hAnsiTheme="majorHAnsi"/>
          <w:sz w:val="22"/>
          <w:szCs w:val="22"/>
        </w:rPr>
        <w:t xml:space="preserve">expressed understandable frustration at the lack of clear or </w:t>
      </w:r>
      <w:proofErr w:type="gramStart"/>
      <w:r w:rsidR="00103ECA">
        <w:rPr>
          <w:rFonts w:asciiTheme="majorHAnsi" w:hAnsiTheme="majorHAnsi"/>
          <w:sz w:val="22"/>
          <w:szCs w:val="22"/>
        </w:rPr>
        <w:t>shifting  guidelines</w:t>
      </w:r>
      <w:proofErr w:type="gramEnd"/>
      <w:r w:rsidR="00103ECA">
        <w:rPr>
          <w:rFonts w:asciiTheme="majorHAnsi" w:hAnsiTheme="majorHAnsi"/>
          <w:sz w:val="22"/>
          <w:szCs w:val="22"/>
        </w:rPr>
        <w:t xml:space="preserve"> </w:t>
      </w:r>
      <w:r w:rsidR="002544AC">
        <w:rPr>
          <w:rFonts w:asciiTheme="majorHAnsi" w:hAnsiTheme="majorHAnsi"/>
          <w:sz w:val="22"/>
          <w:szCs w:val="22"/>
        </w:rPr>
        <w:t>however the MTE believes that clarity and stability should have been insisted upon</w:t>
      </w:r>
      <w:r w:rsidR="001E3B4C">
        <w:rPr>
          <w:rFonts w:asciiTheme="majorHAnsi" w:hAnsiTheme="majorHAnsi"/>
          <w:sz w:val="22"/>
          <w:szCs w:val="22"/>
        </w:rPr>
        <w:t xml:space="preserve"> by UNEP-PCU </w:t>
      </w:r>
      <w:r w:rsidR="002544AC">
        <w:rPr>
          <w:rFonts w:asciiTheme="majorHAnsi" w:hAnsiTheme="majorHAnsi"/>
          <w:sz w:val="22"/>
          <w:szCs w:val="22"/>
        </w:rPr>
        <w:t xml:space="preserve"> at the onset and fully documented. </w:t>
      </w:r>
    </w:p>
    <w:p w14:paraId="1EB13A59" w14:textId="77D9125A" w:rsidR="00921A1D" w:rsidRPr="00921A1D" w:rsidRDefault="00EC2B6D" w:rsidP="00921A1D">
      <w:pPr>
        <w:pStyle w:val="Heading3"/>
      </w:pPr>
      <w:bookmarkStart w:id="85" w:name="_Toc320280653"/>
      <w:bookmarkStart w:id="86" w:name="_Toc341527058"/>
      <w:bookmarkStart w:id="87" w:name="_Toc222479156"/>
      <w:r w:rsidRPr="00FD4C35">
        <w:t>Implementation approach and adaptive management</w:t>
      </w:r>
      <w:bookmarkEnd w:id="85"/>
      <w:bookmarkEnd w:id="86"/>
      <w:bookmarkEnd w:id="87"/>
    </w:p>
    <w:p w14:paraId="796CC2D3" w14:textId="57087AB1" w:rsidR="00027361" w:rsidRDefault="002544AC" w:rsidP="00921A1D">
      <w:pPr>
        <w:pStyle w:val="PlainText"/>
        <w:spacing w:after="120"/>
        <w:jc w:val="both"/>
        <w:rPr>
          <w:rFonts w:asciiTheme="majorHAnsi" w:hAnsiTheme="majorHAnsi"/>
          <w:sz w:val="22"/>
          <w:szCs w:val="22"/>
        </w:rPr>
      </w:pPr>
      <w:r>
        <w:rPr>
          <w:rFonts w:asciiTheme="majorHAnsi" w:eastAsiaTheme="minorEastAsia" w:hAnsiTheme="majorHAnsi" w:cstheme="minorBidi"/>
          <w:sz w:val="22"/>
          <w:szCs w:val="22"/>
        </w:rPr>
        <w:t>The MTE assessed the Pro</w:t>
      </w:r>
      <w:r w:rsidR="00FF3E14">
        <w:rPr>
          <w:rFonts w:asciiTheme="majorHAnsi" w:eastAsiaTheme="minorEastAsia" w:hAnsiTheme="majorHAnsi" w:cstheme="minorBidi"/>
          <w:sz w:val="22"/>
          <w:szCs w:val="22"/>
        </w:rPr>
        <w:t>ject</w:t>
      </w:r>
      <w:r>
        <w:rPr>
          <w:rFonts w:asciiTheme="majorHAnsi" w:eastAsiaTheme="minorEastAsia" w:hAnsiTheme="majorHAnsi" w:cstheme="minorBidi"/>
          <w:sz w:val="22"/>
          <w:szCs w:val="22"/>
        </w:rPr>
        <w:t xml:space="preserve"> as </w:t>
      </w:r>
      <w:r w:rsidRPr="002544AC">
        <w:rPr>
          <w:rFonts w:asciiTheme="majorHAnsi" w:eastAsiaTheme="minorEastAsia" w:hAnsiTheme="majorHAnsi" w:cstheme="minorBidi"/>
          <w:b/>
          <w:sz w:val="22"/>
          <w:szCs w:val="22"/>
        </w:rPr>
        <w:t>Satisfactory</w:t>
      </w:r>
      <w:r>
        <w:rPr>
          <w:rFonts w:asciiTheme="majorHAnsi" w:eastAsiaTheme="minorEastAsia" w:hAnsiTheme="majorHAnsi" w:cstheme="minorBidi"/>
          <w:sz w:val="22"/>
          <w:szCs w:val="22"/>
        </w:rPr>
        <w:t xml:space="preserve"> with regard to implementation approach and adaptive management. </w:t>
      </w:r>
      <w:r w:rsidR="00027361">
        <w:rPr>
          <w:rFonts w:asciiTheme="majorHAnsi" w:eastAsiaTheme="minorEastAsia" w:hAnsiTheme="majorHAnsi" w:cstheme="minorBidi"/>
          <w:sz w:val="22"/>
          <w:szCs w:val="22"/>
        </w:rPr>
        <w:t>Project</w:t>
      </w:r>
      <w:r w:rsidR="00027361" w:rsidRPr="00FF4A85">
        <w:rPr>
          <w:rFonts w:asciiTheme="majorHAnsi" w:eastAsiaTheme="minorEastAsia" w:hAnsiTheme="majorHAnsi" w:cstheme="minorBidi"/>
          <w:sz w:val="22"/>
          <w:szCs w:val="22"/>
        </w:rPr>
        <w:t xml:space="preserve"> implementation mechanisms outlined in the project document</w:t>
      </w:r>
      <w:r w:rsidR="00027361">
        <w:rPr>
          <w:rFonts w:asciiTheme="majorHAnsi" w:eastAsiaTheme="minorEastAsia" w:hAnsiTheme="majorHAnsi" w:cstheme="minorBidi"/>
          <w:sz w:val="22"/>
          <w:szCs w:val="22"/>
        </w:rPr>
        <w:t>s</w:t>
      </w:r>
      <w:r w:rsidR="00027361" w:rsidRPr="00FF4A85">
        <w:rPr>
          <w:rFonts w:asciiTheme="majorHAnsi" w:eastAsiaTheme="minorEastAsia" w:hAnsiTheme="majorHAnsi" w:cstheme="minorBidi"/>
          <w:sz w:val="22"/>
          <w:szCs w:val="22"/>
        </w:rPr>
        <w:t xml:space="preserve"> are considered by the MTE to </w:t>
      </w:r>
      <w:r w:rsidR="00027361">
        <w:rPr>
          <w:rFonts w:asciiTheme="majorHAnsi" w:eastAsiaTheme="minorEastAsia" w:hAnsiTheme="majorHAnsi" w:cstheme="minorBidi"/>
          <w:sz w:val="22"/>
          <w:szCs w:val="22"/>
        </w:rPr>
        <w:t>have been</w:t>
      </w:r>
      <w:r w:rsidR="00027361" w:rsidRPr="00FF4A85">
        <w:rPr>
          <w:rFonts w:asciiTheme="majorHAnsi" w:eastAsiaTheme="minorEastAsia" w:hAnsiTheme="majorHAnsi" w:cstheme="minorBidi"/>
          <w:sz w:val="22"/>
          <w:szCs w:val="22"/>
        </w:rPr>
        <w:t xml:space="preserve"> designed with clear roles and responsibilities </w:t>
      </w:r>
      <w:r w:rsidR="00027361">
        <w:rPr>
          <w:rFonts w:asciiTheme="majorHAnsi" w:eastAsiaTheme="minorEastAsia" w:hAnsiTheme="majorHAnsi" w:cstheme="minorBidi"/>
          <w:sz w:val="22"/>
          <w:szCs w:val="22"/>
        </w:rPr>
        <w:t>that</w:t>
      </w:r>
      <w:r w:rsidR="00027361" w:rsidRPr="00FF4A85">
        <w:rPr>
          <w:rFonts w:asciiTheme="majorHAnsi" w:eastAsiaTheme="minorEastAsia" w:hAnsiTheme="majorHAnsi" w:cstheme="minorBidi"/>
          <w:sz w:val="22"/>
          <w:szCs w:val="22"/>
        </w:rPr>
        <w:t xml:space="preserve"> have been largely followed by the </w:t>
      </w:r>
      <w:proofErr w:type="gramStart"/>
      <w:r w:rsidR="00027361" w:rsidRPr="00FF4A85">
        <w:rPr>
          <w:rFonts w:asciiTheme="majorHAnsi" w:eastAsiaTheme="minorEastAsia" w:hAnsiTheme="majorHAnsi" w:cstheme="minorBidi"/>
          <w:sz w:val="22"/>
          <w:szCs w:val="22"/>
        </w:rPr>
        <w:t xml:space="preserve">project </w:t>
      </w:r>
      <w:r w:rsidR="00921A1D">
        <w:rPr>
          <w:rFonts w:asciiTheme="majorHAnsi" w:eastAsiaTheme="minorEastAsia" w:hAnsiTheme="majorHAnsi" w:cstheme="minorBidi"/>
          <w:sz w:val="22"/>
          <w:szCs w:val="22"/>
        </w:rPr>
        <w:t>.</w:t>
      </w:r>
      <w:proofErr w:type="gramEnd"/>
    </w:p>
    <w:p w14:paraId="5BEA4CFE" w14:textId="77777777" w:rsidR="00CB1DDC" w:rsidRDefault="00653C92" w:rsidP="009079BF">
      <w:pPr>
        <w:spacing w:after="120"/>
        <w:jc w:val="both"/>
        <w:rPr>
          <w:rFonts w:asciiTheme="majorHAnsi" w:hAnsiTheme="majorHAnsi"/>
          <w:sz w:val="22"/>
          <w:szCs w:val="22"/>
        </w:rPr>
      </w:pPr>
      <w:r>
        <w:rPr>
          <w:rFonts w:asciiTheme="majorHAnsi" w:hAnsiTheme="majorHAnsi"/>
          <w:sz w:val="22"/>
          <w:szCs w:val="22"/>
        </w:rPr>
        <w:t>The</w:t>
      </w:r>
      <w:r w:rsidR="009C6066" w:rsidRPr="00653C92">
        <w:rPr>
          <w:rFonts w:asciiTheme="majorHAnsi" w:hAnsiTheme="majorHAnsi"/>
          <w:sz w:val="22"/>
          <w:szCs w:val="22"/>
        </w:rPr>
        <w:t xml:space="preserve"> project documents outline the relative comparative advantages of the two implementing agencies </w:t>
      </w:r>
      <w:r w:rsidR="009079BF" w:rsidRPr="00653C92">
        <w:rPr>
          <w:rFonts w:asciiTheme="majorHAnsi" w:hAnsiTheme="majorHAnsi"/>
          <w:sz w:val="22"/>
          <w:szCs w:val="22"/>
        </w:rPr>
        <w:t xml:space="preserve">with regard to the </w:t>
      </w:r>
      <w:r>
        <w:rPr>
          <w:rFonts w:asciiTheme="majorHAnsi" w:hAnsiTheme="majorHAnsi"/>
          <w:sz w:val="22"/>
          <w:szCs w:val="22"/>
        </w:rPr>
        <w:t xml:space="preserve">dual </w:t>
      </w:r>
      <w:r w:rsidR="009079BF" w:rsidRPr="00653C92">
        <w:rPr>
          <w:rFonts w:asciiTheme="majorHAnsi" w:hAnsiTheme="majorHAnsi"/>
          <w:sz w:val="22"/>
          <w:szCs w:val="22"/>
        </w:rPr>
        <w:t>project</w:t>
      </w:r>
      <w:r w:rsidR="001D4102" w:rsidRPr="00653C92">
        <w:rPr>
          <w:rFonts w:asciiTheme="majorHAnsi" w:hAnsiTheme="majorHAnsi"/>
          <w:sz w:val="22"/>
          <w:szCs w:val="22"/>
        </w:rPr>
        <w:t xml:space="preserve"> implementation and notes</w:t>
      </w:r>
      <w:r>
        <w:rPr>
          <w:rFonts w:asciiTheme="majorHAnsi" w:hAnsiTheme="majorHAnsi"/>
          <w:sz w:val="22"/>
          <w:szCs w:val="22"/>
        </w:rPr>
        <w:t xml:space="preserve"> UNDPs global network of country offices and the fact that</w:t>
      </w:r>
      <w:r w:rsidR="001D4102" w:rsidRPr="00653C92">
        <w:rPr>
          <w:rFonts w:asciiTheme="majorHAnsi" w:hAnsiTheme="majorHAnsi"/>
          <w:sz w:val="22"/>
          <w:szCs w:val="22"/>
        </w:rPr>
        <w:t xml:space="preserve"> </w:t>
      </w:r>
      <w:r w:rsidR="009079BF" w:rsidRPr="00653C92">
        <w:rPr>
          <w:rFonts w:asciiTheme="majorHAnsi" w:hAnsiTheme="majorHAnsi"/>
          <w:sz w:val="22"/>
          <w:szCs w:val="22"/>
        </w:rPr>
        <w:t>UNDP has successfully lead the implementation of the IW</w:t>
      </w:r>
      <w:proofErr w:type="gramStart"/>
      <w:r w:rsidR="009079BF" w:rsidRPr="00653C92">
        <w:rPr>
          <w:rFonts w:asciiTheme="majorHAnsi" w:hAnsiTheme="majorHAnsi"/>
          <w:sz w:val="22"/>
          <w:szCs w:val="22"/>
        </w:rPr>
        <w:t>:LEARN</w:t>
      </w:r>
      <w:proofErr w:type="gramEnd"/>
      <w:r w:rsidR="009079BF" w:rsidRPr="00653C92">
        <w:rPr>
          <w:rFonts w:asciiTheme="majorHAnsi" w:hAnsiTheme="majorHAnsi"/>
          <w:sz w:val="22"/>
          <w:szCs w:val="22"/>
        </w:rPr>
        <w:t xml:space="preserve"> project since its inception in 1998</w:t>
      </w:r>
      <w:r w:rsidR="001D4102" w:rsidRPr="00653C92">
        <w:rPr>
          <w:rFonts w:asciiTheme="majorHAnsi" w:hAnsiTheme="majorHAnsi"/>
          <w:sz w:val="22"/>
          <w:szCs w:val="22"/>
        </w:rPr>
        <w:t>.</w:t>
      </w:r>
      <w:r w:rsidR="009079BF" w:rsidRPr="00653C92">
        <w:rPr>
          <w:rFonts w:asciiTheme="majorHAnsi" w:hAnsiTheme="majorHAnsi"/>
          <w:sz w:val="22"/>
          <w:szCs w:val="22"/>
        </w:rPr>
        <w:t xml:space="preserve"> </w:t>
      </w:r>
      <w:r w:rsidR="001D4102" w:rsidRPr="00653C92">
        <w:rPr>
          <w:rFonts w:asciiTheme="majorHAnsi" w:hAnsiTheme="majorHAnsi"/>
          <w:sz w:val="22"/>
          <w:szCs w:val="22"/>
        </w:rPr>
        <w:t>UNDP is also the implementing agency for the current project: Portfolio Learning in International Waters with a Focus on Oceans, Coasts, and Islands and Regional Asia/Pacific and Coral Triangle Learning Processes” (CTI IW</w:t>
      </w:r>
      <w:proofErr w:type="gramStart"/>
      <w:r w:rsidR="001D4102" w:rsidRPr="00653C92">
        <w:rPr>
          <w:rFonts w:asciiTheme="majorHAnsi" w:hAnsiTheme="majorHAnsi"/>
          <w:sz w:val="22"/>
          <w:szCs w:val="22"/>
        </w:rPr>
        <w:t>:LEARN</w:t>
      </w:r>
      <w:proofErr w:type="gramEnd"/>
      <w:r w:rsidR="001D4102" w:rsidRPr="00653C92">
        <w:rPr>
          <w:rFonts w:asciiTheme="majorHAnsi" w:hAnsiTheme="majorHAnsi"/>
          <w:sz w:val="22"/>
          <w:szCs w:val="22"/>
        </w:rPr>
        <w:t xml:space="preserve">) which will support continuation of a number of the successfully piloted KM activities under the IW:LEARN pilot and operational phases from 2000 - 2008. In addition, UNDP has established itself as one of the leading international organizations supporting the improved governance of transboundary water bodies. </w:t>
      </w:r>
      <w:proofErr w:type="gramStart"/>
      <w:r w:rsidR="009079BF" w:rsidRPr="00653C92">
        <w:rPr>
          <w:rFonts w:asciiTheme="majorHAnsi" w:hAnsiTheme="majorHAnsi"/>
          <w:sz w:val="22"/>
          <w:szCs w:val="22"/>
        </w:rPr>
        <w:t>Whereas UNEPs comparative advantage lies in knowledge management, science to policy linkages and capacity building.</w:t>
      </w:r>
      <w:proofErr w:type="gramEnd"/>
      <w:r w:rsidR="009079BF" w:rsidRPr="00653C92">
        <w:rPr>
          <w:rFonts w:asciiTheme="majorHAnsi" w:hAnsiTheme="majorHAnsi"/>
          <w:sz w:val="22"/>
          <w:szCs w:val="22"/>
        </w:rPr>
        <w:t xml:space="preserve"> UNEP has long-implemented GEF IW</w:t>
      </w:r>
      <w:proofErr w:type="gramStart"/>
      <w:r w:rsidR="009079BF" w:rsidRPr="00653C92">
        <w:rPr>
          <w:rFonts w:asciiTheme="majorHAnsi" w:hAnsiTheme="majorHAnsi"/>
          <w:sz w:val="22"/>
          <w:szCs w:val="22"/>
        </w:rPr>
        <w:t>:LEARN’s</w:t>
      </w:r>
      <w:proofErr w:type="gramEnd"/>
      <w:r w:rsidR="009079BF" w:rsidRPr="00653C92">
        <w:rPr>
          <w:rFonts w:asciiTheme="majorHAnsi" w:hAnsiTheme="majorHAnsi"/>
          <w:sz w:val="22"/>
          <w:szCs w:val="22"/>
        </w:rPr>
        <w:t xml:space="preserve"> information management agenda, including specifically, the iwlearn.net website a</w:t>
      </w:r>
      <w:r w:rsidR="001D4102" w:rsidRPr="00653C92">
        <w:rPr>
          <w:rFonts w:asciiTheme="majorHAnsi" w:hAnsiTheme="majorHAnsi"/>
          <w:sz w:val="22"/>
          <w:szCs w:val="22"/>
        </w:rPr>
        <w:t xml:space="preserve">nd subsidiary website toolkit. </w:t>
      </w:r>
    </w:p>
    <w:p w14:paraId="4560CE59" w14:textId="23DBA449" w:rsidR="001D4102" w:rsidRDefault="00653C92" w:rsidP="009079BF">
      <w:pPr>
        <w:spacing w:after="120"/>
        <w:jc w:val="both"/>
        <w:rPr>
          <w:rFonts w:asciiTheme="majorHAnsi" w:hAnsiTheme="majorHAnsi"/>
          <w:sz w:val="22"/>
          <w:szCs w:val="22"/>
        </w:rPr>
      </w:pPr>
      <w:r>
        <w:rPr>
          <w:rFonts w:asciiTheme="majorHAnsi" w:hAnsiTheme="majorHAnsi"/>
          <w:sz w:val="22"/>
          <w:szCs w:val="22"/>
        </w:rPr>
        <w:t xml:space="preserve">In the view of the MTE while the above supports dual implementation it does not fully justify it or exclude single agency implementation. </w:t>
      </w:r>
    </w:p>
    <w:p w14:paraId="3D53758C" w14:textId="4B90737F" w:rsidR="00E73FCE" w:rsidRDefault="009079BF" w:rsidP="00E73FCE">
      <w:pPr>
        <w:spacing w:after="60"/>
        <w:jc w:val="both"/>
        <w:rPr>
          <w:rFonts w:asciiTheme="majorHAnsi" w:hAnsiTheme="majorHAnsi"/>
          <w:sz w:val="22"/>
          <w:szCs w:val="22"/>
        </w:rPr>
      </w:pPr>
      <w:r w:rsidRPr="00552DC9">
        <w:rPr>
          <w:rFonts w:asciiTheme="majorHAnsi" w:hAnsiTheme="majorHAnsi"/>
          <w:sz w:val="22"/>
          <w:szCs w:val="22"/>
        </w:rPr>
        <w:t>The MTE believes that the arrangement of dual IA</w:t>
      </w:r>
      <w:r w:rsidR="00552DC9">
        <w:rPr>
          <w:rFonts w:asciiTheme="majorHAnsi" w:hAnsiTheme="majorHAnsi"/>
          <w:sz w:val="22"/>
          <w:szCs w:val="22"/>
        </w:rPr>
        <w:t>s</w:t>
      </w:r>
      <w:r w:rsidRPr="00552DC9">
        <w:rPr>
          <w:rFonts w:asciiTheme="majorHAnsi" w:hAnsiTheme="majorHAnsi"/>
          <w:sz w:val="22"/>
          <w:szCs w:val="22"/>
        </w:rPr>
        <w:t xml:space="preserve"> is inefficient requiring as it does the production of two full project documents</w:t>
      </w:r>
      <w:r w:rsidR="00653C92">
        <w:rPr>
          <w:rFonts w:asciiTheme="majorHAnsi" w:hAnsiTheme="majorHAnsi"/>
          <w:sz w:val="22"/>
          <w:szCs w:val="22"/>
        </w:rPr>
        <w:t xml:space="preserve"> and associated approval procedures, </w:t>
      </w:r>
      <w:r w:rsidRPr="00552DC9">
        <w:rPr>
          <w:rFonts w:asciiTheme="majorHAnsi" w:hAnsiTheme="majorHAnsi"/>
          <w:sz w:val="22"/>
          <w:szCs w:val="22"/>
        </w:rPr>
        <w:t xml:space="preserve">and </w:t>
      </w:r>
      <w:r w:rsidR="00653C92">
        <w:rPr>
          <w:rFonts w:asciiTheme="majorHAnsi" w:hAnsiTheme="majorHAnsi"/>
          <w:sz w:val="22"/>
          <w:szCs w:val="22"/>
        </w:rPr>
        <w:t xml:space="preserve">more important a </w:t>
      </w:r>
      <w:proofErr w:type="gramStart"/>
      <w:r w:rsidR="00552DC9" w:rsidRPr="00552DC9">
        <w:rPr>
          <w:rFonts w:asciiTheme="majorHAnsi" w:hAnsiTheme="majorHAnsi"/>
          <w:sz w:val="22"/>
          <w:szCs w:val="22"/>
        </w:rPr>
        <w:t>weakening  of</w:t>
      </w:r>
      <w:proofErr w:type="gramEnd"/>
      <w:r w:rsidR="00552DC9" w:rsidRPr="00552DC9">
        <w:rPr>
          <w:rFonts w:asciiTheme="majorHAnsi" w:hAnsiTheme="majorHAnsi"/>
          <w:sz w:val="22"/>
          <w:szCs w:val="22"/>
        </w:rPr>
        <w:t xml:space="preserve"> project oversight and </w:t>
      </w:r>
      <w:r w:rsidR="00552DC9">
        <w:rPr>
          <w:rFonts w:asciiTheme="majorHAnsi" w:hAnsiTheme="majorHAnsi"/>
          <w:sz w:val="22"/>
          <w:szCs w:val="22"/>
        </w:rPr>
        <w:t xml:space="preserve">command chain and </w:t>
      </w:r>
      <w:r w:rsidR="00552DC9" w:rsidRPr="00552DC9">
        <w:rPr>
          <w:rFonts w:asciiTheme="majorHAnsi" w:hAnsiTheme="majorHAnsi"/>
          <w:sz w:val="22"/>
          <w:szCs w:val="22"/>
        </w:rPr>
        <w:t>the resulting de facto split in the PCU</w:t>
      </w:r>
      <w:r w:rsidR="001E3B4C">
        <w:rPr>
          <w:rFonts w:asciiTheme="majorHAnsi" w:hAnsiTheme="majorHAnsi"/>
          <w:sz w:val="22"/>
          <w:szCs w:val="22"/>
        </w:rPr>
        <w:t xml:space="preserve">. </w:t>
      </w:r>
      <w:proofErr w:type="gramStart"/>
      <w:r w:rsidR="001E3B4C">
        <w:rPr>
          <w:rFonts w:asciiTheme="majorHAnsi" w:hAnsiTheme="majorHAnsi"/>
          <w:sz w:val="22"/>
          <w:szCs w:val="22"/>
        </w:rPr>
        <w:t>A</w:t>
      </w:r>
      <w:r w:rsidR="00653C92">
        <w:rPr>
          <w:rFonts w:asciiTheme="majorHAnsi" w:hAnsiTheme="majorHAnsi"/>
          <w:sz w:val="22"/>
          <w:szCs w:val="22"/>
        </w:rPr>
        <w:t xml:space="preserve">nd </w:t>
      </w:r>
      <w:r w:rsidR="00552DC9">
        <w:rPr>
          <w:rFonts w:asciiTheme="majorHAnsi" w:hAnsiTheme="majorHAnsi"/>
          <w:sz w:val="22"/>
          <w:szCs w:val="22"/>
        </w:rPr>
        <w:t xml:space="preserve"> although</w:t>
      </w:r>
      <w:proofErr w:type="gramEnd"/>
      <w:r w:rsidR="00552DC9">
        <w:rPr>
          <w:rFonts w:asciiTheme="majorHAnsi" w:hAnsiTheme="majorHAnsi"/>
          <w:sz w:val="22"/>
          <w:szCs w:val="22"/>
        </w:rPr>
        <w:t xml:space="preserve"> this problem ha</w:t>
      </w:r>
      <w:r w:rsidR="00027361">
        <w:rPr>
          <w:rFonts w:asciiTheme="majorHAnsi" w:hAnsiTheme="majorHAnsi"/>
          <w:sz w:val="22"/>
          <w:szCs w:val="22"/>
        </w:rPr>
        <w:t>s been specifically addressed in</w:t>
      </w:r>
      <w:r w:rsidR="00552DC9">
        <w:rPr>
          <w:rFonts w:asciiTheme="majorHAnsi" w:hAnsiTheme="majorHAnsi"/>
          <w:sz w:val="22"/>
          <w:szCs w:val="22"/>
        </w:rPr>
        <w:t xml:space="preserve"> the project document</w:t>
      </w:r>
      <w:r w:rsidR="00027361">
        <w:rPr>
          <w:rFonts w:asciiTheme="majorHAnsi" w:hAnsiTheme="majorHAnsi"/>
          <w:sz w:val="22"/>
          <w:szCs w:val="22"/>
        </w:rPr>
        <w:t xml:space="preserve"> following previous evaluations drawing attention to the negative impact of this arrangement it is reported that some difficulties remain regarding the command chain within the current PCU</w:t>
      </w:r>
      <w:r w:rsidR="00653C92">
        <w:rPr>
          <w:rFonts w:asciiTheme="majorHAnsi" w:hAnsiTheme="majorHAnsi"/>
          <w:sz w:val="22"/>
          <w:szCs w:val="22"/>
        </w:rPr>
        <w:t>.</w:t>
      </w:r>
    </w:p>
    <w:p w14:paraId="01ABE4D6" w14:textId="77777777" w:rsidR="00B94EF0" w:rsidRDefault="00B94EF0" w:rsidP="00E73FCE">
      <w:pPr>
        <w:spacing w:after="60"/>
        <w:jc w:val="both"/>
        <w:rPr>
          <w:rFonts w:asciiTheme="majorHAnsi" w:hAnsiTheme="majorHAnsi"/>
          <w:sz w:val="22"/>
          <w:szCs w:val="22"/>
        </w:rPr>
      </w:pPr>
    </w:p>
    <w:p w14:paraId="346813E4" w14:textId="7FAB9BA3" w:rsidR="009C6066" w:rsidRDefault="00552DC9" w:rsidP="00E73FCE">
      <w:pPr>
        <w:spacing w:after="60"/>
        <w:jc w:val="both"/>
        <w:rPr>
          <w:rFonts w:asciiTheme="majorHAnsi" w:hAnsiTheme="majorHAnsi"/>
          <w:sz w:val="22"/>
          <w:szCs w:val="22"/>
        </w:rPr>
      </w:pPr>
      <w:r w:rsidRPr="00552DC9">
        <w:rPr>
          <w:rFonts w:asciiTheme="majorHAnsi" w:hAnsiTheme="majorHAnsi"/>
          <w:sz w:val="22"/>
          <w:szCs w:val="22"/>
        </w:rPr>
        <w:t xml:space="preserve"> </w:t>
      </w:r>
      <w:r w:rsidR="00E73FCE">
        <w:rPr>
          <w:rFonts w:asciiTheme="majorHAnsi" w:hAnsiTheme="majorHAnsi"/>
          <w:sz w:val="22"/>
          <w:szCs w:val="22"/>
        </w:rPr>
        <w:t>The</w:t>
      </w:r>
      <w:r w:rsidR="00E73FCE" w:rsidRPr="003D5FF0">
        <w:rPr>
          <w:rFonts w:asciiTheme="majorHAnsi" w:hAnsiTheme="majorHAnsi"/>
          <w:sz w:val="22"/>
          <w:szCs w:val="22"/>
        </w:rPr>
        <w:t xml:space="preserve"> need to divide the project into 15 sub</w:t>
      </w:r>
      <w:r w:rsidR="00E73FCE">
        <w:rPr>
          <w:rFonts w:asciiTheme="majorHAnsi" w:hAnsiTheme="majorHAnsi"/>
          <w:sz w:val="22"/>
          <w:szCs w:val="22"/>
        </w:rPr>
        <w:t>-</w:t>
      </w:r>
      <w:r w:rsidR="00E73FCE" w:rsidRPr="003D5FF0">
        <w:rPr>
          <w:rFonts w:asciiTheme="majorHAnsi" w:hAnsiTheme="majorHAnsi"/>
          <w:sz w:val="22"/>
          <w:szCs w:val="22"/>
        </w:rPr>
        <w:t>components</w:t>
      </w:r>
      <w:r w:rsidR="00E73FCE">
        <w:rPr>
          <w:rFonts w:asciiTheme="majorHAnsi" w:hAnsiTheme="majorHAnsi"/>
          <w:sz w:val="22"/>
          <w:szCs w:val="22"/>
        </w:rPr>
        <w:t xml:space="preserve"> with 12 intended Outcomes</w:t>
      </w:r>
      <w:r w:rsidR="00E73FCE" w:rsidRPr="003D5FF0">
        <w:rPr>
          <w:rFonts w:asciiTheme="majorHAnsi" w:hAnsiTheme="majorHAnsi"/>
          <w:sz w:val="22"/>
          <w:szCs w:val="22"/>
        </w:rPr>
        <w:t xml:space="preserve"> under the 5 main components does result in a rather overcomplicated project structure which leads to resources especially those of the PCU being thinly spread.</w:t>
      </w:r>
      <w:r w:rsidR="00E73FCE">
        <w:rPr>
          <w:rFonts w:asciiTheme="majorHAnsi" w:hAnsiTheme="majorHAnsi"/>
          <w:sz w:val="22"/>
          <w:szCs w:val="22"/>
        </w:rPr>
        <w:t xml:space="preserve"> In addition, al</w:t>
      </w:r>
      <w:r w:rsidR="00E73FCE" w:rsidRPr="003D5FF0">
        <w:rPr>
          <w:rFonts w:asciiTheme="majorHAnsi" w:hAnsiTheme="majorHAnsi"/>
          <w:sz w:val="22"/>
          <w:szCs w:val="22"/>
        </w:rPr>
        <w:t xml:space="preserve">though interesting and innovative the MTE considers that the components on the Index Insurance Pilot and mainstreaming of climate impacts could have been left out given the time and funds allocated to the overall project.   </w:t>
      </w:r>
    </w:p>
    <w:p w14:paraId="3DA572D6" w14:textId="77777777" w:rsidR="00E73FCE" w:rsidRPr="00552DC9" w:rsidRDefault="00E73FCE" w:rsidP="00E73FCE">
      <w:pPr>
        <w:spacing w:after="60"/>
        <w:jc w:val="both"/>
        <w:rPr>
          <w:rFonts w:asciiTheme="majorHAnsi" w:hAnsiTheme="majorHAnsi"/>
          <w:sz w:val="22"/>
          <w:szCs w:val="22"/>
        </w:rPr>
      </w:pPr>
    </w:p>
    <w:p w14:paraId="46FB4303" w14:textId="61B607A4" w:rsidR="00653C92" w:rsidRDefault="0056405D" w:rsidP="00D15622">
      <w:pPr>
        <w:pStyle w:val="PlainText"/>
        <w:spacing w:after="120"/>
        <w:jc w:val="both"/>
        <w:rPr>
          <w:rFonts w:asciiTheme="majorHAnsi" w:eastAsiaTheme="minorEastAsia" w:hAnsiTheme="majorHAnsi" w:cstheme="minorBidi"/>
          <w:sz w:val="22"/>
          <w:szCs w:val="22"/>
        </w:rPr>
      </w:pPr>
      <w:r>
        <w:rPr>
          <w:rFonts w:asciiTheme="majorHAnsi" w:eastAsiaTheme="minorEastAsia" w:hAnsiTheme="majorHAnsi" w:cstheme="minorBidi"/>
          <w:sz w:val="22"/>
          <w:szCs w:val="22"/>
        </w:rPr>
        <w:t xml:space="preserve">The MTE </w:t>
      </w:r>
      <w:r w:rsidR="00E73FCE">
        <w:rPr>
          <w:rFonts w:asciiTheme="majorHAnsi" w:eastAsiaTheme="minorEastAsia" w:hAnsiTheme="majorHAnsi" w:cstheme="minorBidi"/>
          <w:sz w:val="22"/>
          <w:szCs w:val="22"/>
        </w:rPr>
        <w:t>considers</w:t>
      </w:r>
      <w:r w:rsidR="00027361">
        <w:rPr>
          <w:rFonts w:asciiTheme="majorHAnsi" w:eastAsiaTheme="minorEastAsia" w:hAnsiTheme="majorHAnsi" w:cstheme="minorBidi"/>
          <w:sz w:val="22"/>
          <w:szCs w:val="22"/>
        </w:rPr>
        <w:t xml:space="preserve"> </w:t>
      </w:r>
      <w:r w:rsidR="00653C92">
        <w:rPr>
          <w:rFonts w:asciiTheme="majorHAnsi" w:eastAsiaTheme="minorEastAsia" w:hAnsiTheme="majorHAnsi" w:cstheme="minorBidi"/>
          <w:sz w:val="22"/>
          <w:szCs w:val="22"/>
        </w:rPr>
        <w:t>that the large number of pre-selected</w:t>
      </w:r>
      <w:r>
        <w:rPr>
          <w:rFonts w:asciiTheme="majorHAnsi" w:eastAsiaTheme="minorEastAsia" w:hAnsiTheme="majorHAnsi" w:cstheme="minorBidi"/>
          <w:sz w:val="22"/>
          <w:szCs w:val="22"/>
        </w:rPr>
        <w:t xml:space="preserve"> partners</w:t>
      </w:r>
      <w:r w:rsidR="00027361">
        <w:rPr>
          <w:rFonts w:asciiTheme="majorHAnsi" w:eastAsiaTheme="minorEastAsia" w:hAnsiTheme="majorHAnsi" w:cstheme="minorBidi"/>
          <w:sz w:val="22"/>
          <w:szCs w:val="22"/>
        </w:rPr>
        <w:t>,</w:t>
      </w:r>
      <w:r>
        <w:rPr>
          <w:rFonts w:asciiTheme="majorHAnsi" w:eastAsiaTheme="minorEastAsia" w:hAnsiTheme="majorHAnsi" w:cstheme="minorBidi"/>
          <w:sz w:val="22"/>
          <w:szCs w:val="22"/>
        </w:rPr>
        <w:t xml:space="preserve"> several with </w:t>
      </w:r>
      <w:r w:rsidR="001E3B4C">
        <w:rPr>
          <w:rFonts w:asciiTheme="majorHAnsi" w:eastAsiaTheme="minorEastAsia" w:hAnsiTheme="majorHAnsi" w:cstheme="minorBidi"/>
          <w:sz w:val="22"/>
          <w:szCs w:val="22"/>
        </w:rPr>
        <w:t>responsibilities</w:t>
      </w:r>
      <w:r>
        <w:rPr>
          <w:rFonts w:asciiTheme="majorHAnsi" w:eastAsiaTheme="minorEastAsia" w:hAnsiTheme="majorHAnsi" w:cstheme="minorBidi"/>
          <w:sz w:val="22"/>
          <w:szCs w:val="22"/>
        </w:rPr>
        <w:t xml:space="preserve"> for several sub</w:t>
      </w:r>
      <w:r w:rsidR="00653C92">
        <w:rPr>
          <w:rFonts w:asciiTheme="majorHAnsi" w:eastAsiaTheme="minorEastAsia" w:hAnsiTheme="majorHAnsi" w:cstheme="minorBidi"/>
          <w:sz w:val="22"/>
          <w:szCs w:val="22"/>
        </w:rPr>
        <w:t>-</w:t>
      </w:r>
      <w:r w:rsidR="00E22628">
        <w:rPr>
          <w:rFonts w:asciiTheme="majorHAnsi" w:eastAsiaTheme="minorEastAsia" w:hAnsiTheme="majorHAnsi" w:cstheme="minorBidi"/>
          <w:sz w:val="22"/>
          <w:szCs w:val="22"/>
        </w:rPr>
        <w:t>components</w:t>
      </w:r>
      <w:r>
        <w:rPr>
          <w:rFonts w:asciiTheme="majorHAnsi" w:eastAsiaTheme="minorEastAsia" w:hAnsiTheme="majorHAnsi" w:cstheme="minorBidi"/>
          <w:sz w:val="22"/>
          <w:szCs w:val="22"/>
        </w:rPr>
        <w:t xml:space="preserve"> as illustrated </w:t>
      </w:r>
      <w:r w:rsidR="00D15622">
        <w:rPr>
          <w:rFonts w:asciiTheme="majorHAnsi" w:eastAsiaTheme="minorEastAsia" w:hAnsiTheme="majorHAnsi" w:cstheme="minorBidi"/>
          <w:sz w:val="22"/>
          <w:szCs w:val="22"/>
        </w:rPr>
        <w:t xml:space="preserve">in the table </w:t>
      </w:r>
      <w:r>
        <w:rPr>
          <w:rFonts w:asciiTheme="majorHAnsi" w:eastAsiaTheme="minorEastAsia" w:hAnsiTheme="majorHAnsi" w:cstheme="minorBidi"/>
          <w:sz w:val="22"/>
          <w:szCs w:val="22"/>
        </w:rPr>
        <w:t>below is an unnecessary over</w:t>
      </w:r>
      <w:r w:rsidR="00D15622">
        <w:rPr>
          <w:rFonts w:asciiTheme="majorHAnsi" w:eastAsiaTheme="minorEastAsia" w:hAnsiTheme="majorHAnsi" w:cstheme="minorBidi"/>
          <w:sz w:val="22"/>
          <w:szCs w:val="22"/>
        </w:rPr>
        <w:t xml:space="preserve"> </w:t>
      </w:r>
      <w:r>
        <w:rPr>
          <w:rFonts w:asciiTheme="majorHAnsi" w:eastAsiaTheme="minorEastAsia" w:hAnsiTheme="majorHAnsi" w:cstheme="minorBidi"/>
          <w:sz w:val="22"/>
          <w:szCs w:val="22"/>
        </w:rPr>
        <w:t xml:space="preserve">complication that has led to inefficiencies of implementation </w:t>
      </w:r>
      <w:r w:rsidR="00D15622">
        <w:rPr>
          <w:rFonts w:asciiTheme="majorHAnsi" w:eastAsiaTheme="minorEastAsia" w:hAnsiTheme="majorHAnsi" w:cstheme="minorBidi"/>
          <w:sz w:val="22"/>
          <w:szCs w:val="22"/>
        </w:rPr>
        <w:t xml:space="preserve">and added to the burden of the PCU to orchestrate partner </w:t>
      </w:r>
      <w:r w:rsidR="001E3B4C">
        <w:rPr>
          <w:rFonts w:asciiTheme="majorHAnsi" w:eastAsiaTheme="minorEastAsia" w:hAnsiTheme="majorHAnsi" w:cstheme="minorBidi"/>
          <w:sz w:val="22"/>
          <w:szCs w:val="22"/>
        </w:rPr>
        <w:t>activities</w:t>
      </w:r>
      <w:r w:rsidR="00D15622">
        <w:rPr>
          <w:rFonts w:asciiTheme="majorHAnsi" w:eastAsiaTheme="minorEastAsia" w:hAnsiTheme="majorHAnsi" w:cstheme="minorBidi"/>
          <w:sz w:val="22"/>
          <w:szCs w:val="22"/>
        </w:rPr>
        <w:t xml:space="preserve"> and deliverables. </w:t>
      </w:r>
      <w:r w:rsidR="0002553C">
        <w:rPr>
          <w:rFonts w:asciiTheme="majorHAnsi" w:eastAsiaTheme="minorEastAsia" w:hAnsiTheme="majorHAnsi" w:cstheme="minorBidi"/>
          <w:sz w:val="22"/>
          <w:szCs w:val="22"/>
        </w:rPr>
        <w:t xml:space="preserve"> This is not to say that lead individuals within the partner agencies have not been fully cooperative and committed to the </w:t>
      </w:r>
      <w:proofErr w:type="gramStart"/>
      <w:r w:rsidR="0002553C">
        <w:rPr>
          <w:rFonts w:asciiTheme="majorHAnsi" w:eastAsiaTheme="minorEastAsia" w:hAnsiTheme="majorHAnsi" w:cstheme="minorBidi"/>
          <w:sz w:val="22"/>
          <w:szCs w:val="22"/>
        </w:rPr>
        <w:t>project</w:t>
      </w:r>
      <w:proofErr w:type="gramEnd"/>
      <w:r w:rsidR="0002553C">
        <w:rPr>
          <w:rFonts w:asciiTheme="majorHAnsi" w:eastAsiaTheme="minorEastAsia" w:hAnsiTheme="majorHAnsi" w:cstheme="minorBidi"/>
          <w:sz w:val="22"/>
          <w:szCs w:val="22"/>
        </w:rPr>
        <w:t xml:space="preserve"> as this has indeed been reported with </w:t>
      </w:r>
      <w:r w:rsidR="001E3B4C">
        <w:rPr>
          <w:rFonts w:asciiTheme="majorHAnsi" w:eastAsiaTheme="minorEastAsia" w:hAnsiTheme="majorHAnsi" w:cstheme="minorBidi"/>
          <w:sz w:val="22"/>
          <w:szCs w:val="22"/>
        </w:rPr>
        <w:t>regard</w:t>
      </w:r>
      <w:r w:rsidR="0002553C">
        <w:rPr>
          <w:rFonts w:asciiTheme="majorHAnsi" w:eastAsiaTheme="minorEastAsia" w:hAnsiTheme="majorHAnsi" w:cstheme="minorBidi"/>
          <w:sz w:val="22"/>
          <w:szCs w:val="22"/>
        </w:rPr>
        <w:t xml:space="preserve"> to all partner agencies.  </w:t>
      </w:r>
    </w:p>
    <w:p w14:paraId="22844231" w14:textId="7CCF6AB2" w:rsidR="00653C92" w:rsidRPr="006A2417" w:rsidRDefault="006A2417" w:rsidP="00D15622">
      <w:pPr>
        <w:pStyle w:val="PlainText"/>
        <w:spacing w:after="120"/>
        <w:jc w:val="both"/>
        <w:rPr>
          <w:rFonts w:asciiTheme="majorHAnsi" w:eastAsiaTheme="minorEastAsia" w:hAnsiTheme="majorHAnsi" w:cstheme="minorBidi"/>
          <w:b/>
          <w:sz w:val="22"/>
          <w:szCs w:val="22"/>
        </w:rPr>
      </w:pPr>
      <w:r w:rsidRPr="006A2417">
        <w:rPr>
          <w:rFonts w:asciiTheme="majorHAnsi" w:eastAsiaTheme="minorEastAsia" w:hAnsiTheme="majorHAnsi" w:cstheme="minorBidi"/>
          <w:b/>
          <w:sz w:val="22"/>
          <w:szCs w:val="22"/>
        </w:rPr>
        <w:t xml:space="preserve">Table 4. </w:t>
      </w:r>
      <w:proofErr w:type="gramStart"/>
      <w:r w:rsidRPr="006A2417">
        <w:rPr>
          <w:rFonts w:asciiTheme="majorHAnsi" w:eastAsiaTheme="minorEastAsia" w:hAnsiTheme="majorHAnsi" w:cstheme="minorBidi"/>
          <w:b/>
          <w:sz w:val="22"/>
          <w:szCs w:val="22"/>
        </w:rPr>
        <w:t>Matrix of responsibilities of Partner to Sub-Component.</w:t>
      </w:r>
      <w:proofErr w:type="gramEnd"/>
      <w:r w:rsidRPr="006A2417">
        <w:rPr>
          <w:rFonts w:asciiTheme="majorHAnsi" w:eastAsiaTheme="minorEastAsia" w:hAnsiTheme="majorHAnsi" w:cstheme="minorBidi"/>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851"/>
        <w:gridCol w:w="708"/>
        <w:gridCol w:w="993"/>
        <w:gridCol w:w="708"/>
        <w:gridCol w:w="1134"/>
        <w:gridCol w:w="709"/>
        <w:gridCol w:w="851"/>
        <w:gridCol w:w="851"/>
        <w:gridCol w:w="567"/>
        <w:gridCol w:w="992"/>
      </w:tblGrid>
      <w:tr w:rsidR="003A4313" w:rsidRPr="00D15622" w14:paraId="10A3D578" w14:textId="77777777" w:rsidTr="006A2417">
        <w:trPr>
          <w:tblHeader/>
        </w:trPr>
        <w:tc>
          <w:tcPr>
            <w:tcW w:w="817" w:type="dxa"/>
          </w:tcPr>
          <w:p w14:paraId="2AEA2FAA" w14:textId="3CADB0AB" w:rsidR="003A4313" w:rsidRPr="00D15622" w:rsidRDefault="003A4313" w:rsidP="003A4313">
            <w:pPr>
              <w:jc w:val="center"/>
              <w:rPr>
                <w:rFonts w:asciiTheme="majorHAnsi" w:hAnsiTheme="majorHAnsi"/>
                <w:b/>
                <w:sz w:val="20"/>
                <w:szCs w:val="20"/>
              </w:rPr>
            </w:pPr>
            <w:r w:rsidRPr="00D15622">
              <w:rPr>
                <w:rFonts w:asciiTheme="majorHAnsi" w:hAnsiTheme="majorHAnsi"/>
                <w:b/>
                <w:sz w:val="20"/>
                <w:szCs w:val="20"/>
              </w:rPr>
              <w:t>Sub-Comp</w:t>
            </w:r>
            <w:r>
              <w:rPr>
                <w:rFonts w:asciiTheme="majorHAnsi" w:hAnsiTheme="majorHAnsi"/>
                <w:b/>
                <w:sz w:val="20"/>
                <w:szCs w:val="20"/>
              </w:rPr>
              <w:t xml:space="preserve">. </w:t>
            </w:r>
          </w:p>
        </w:tc>
        <w:tc>
          <w:tcPr>
            <w:tcW w:w="851" w:type="dxa"/>
          </w:tcPr>
          <w:p w14:paraId="753362D9"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UNDP</w:t>
            </w:r>
          </w:p>
        </w:tc>
        <w:tc>
          <w:tcPr>
            <w:tcW w:w="708" w:type="dxa"/>
          </w:tcPr>
          <w:p w14:paraId="4F6413B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UNEP</w:t>
            </w:r>
          </w:p>
        </w:tc>
        <w:tc>
          <w:tcPr>
            <w:tcW w:w="993" w:type="dxa"/>
          </w:tcPr>
          <w:p w14:paraId="4D55617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UNESCO</w:t>
            </w:r>
          </w:p>
        </w:tc>
        <w:tc>
          <w:tcPr>
            <w:tcW w:w="708" w:type="dxa"/>
          </w:tcPr>
          <w:p w14:paraId="5F891A73"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UNU</w:t>
            </w:r>
          </w:p>
        </w:tc>
        <w:tc>
          <w:tcPr>
            <w:tcW w:w="1134" w:type="dxa"/>
          </w:tcPr>
          <w:p w14:paraId="29C89029"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GWP-MED</w:t>
            </w:r>
          </w:p>
        </w:tc>
        <w:tc>
          <w:tcPr>
            <w:tcW w:w="709" w:type="dxa"/>
          </w:tcPr>
          <w:p w14:paraId="49A66FBA" w14:textId="38148E84"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IUCN</w:t>
            </w:r>
          </w:p>
        </w:tc>
        <w:tc>
          <w:tcPr>
            <w:tcW w:w="851" w:type="dxa"/>
          </w:tcPr>
          <w:p w14:paraId="28FACAE1" w14:textId="3C3D1F48" w:rsidR="003A4313" w:rsidRDefault="003A4313" w:rsidP="0056405D">
            <w:pPr>
              <w:jc w:val="center"/>
              <w:rPr>
                <w:rFonts w:asciiTheme="majorHAnsi" w:hAnsiTheme="majorHAnsi"/>
                <w:b/>
                <w:sz w:val="20"/>
                <w:szCs w:val="20"/>
              </w:rPr>
            </w:pPr>
            <w:r>
              <w:rPr>
                <w:rFonts w:asciiTheme="majorHAnsi" w:hAnsiTheme="majorHAnsi"/>
                <w:b/>
                <w:sz w:val="20"/>
                <w:szCs w:val="20"/>
              </w:rPr>
              <w:t>Sea</w:t>
            </w:r>
            <w:r w:rsidR="006A2417">
              <w:rPr>
                <w:rFonts w:asciiTheme="majorHAnsi" w:hAnsiTheme="majorHAnsi"/>
                <w:b/>
                <w:sz w:val="20"/>
                <w:szCs w:val="20"/>
              </w:rPr>
              <w:t xml:space="preserve"> </w:t>
            </w:r>
            <w:r>
              <w:rPr>
                <w:rFonts w:asciiTheme="majorHAnsi" w:hAnsiTheme="majorHAnsi"/>
                <w:b/>
                <w:sz w:val="20"/>
                <w:szCs w:val="20"/>
              </w:rPr>
              <w:t>Start</w:t>
            </w:r>
          </w:p>
        </w:tc>
        <w:tc>
          <w:tcPr>
            <w:tcW w:w="851" w:type="dxa"/>
          </w:tcPr>
          <w:p w14:paraId="72B88B98" w14:textId="40B63422" w:rsidR="003A4313" w:rsidRPr="00D15622" w:rsidRDefault="003A4313" w:rsidP="0056405D">
            <w:pPr>
              <w:jc w:val="center"/>
              <w:rPr>
                <w:rFonts w:asciiTheme="majorHAnsi" w:hAnsiTheme="majorHAnsi"/>
                <w:b/>
                <w:sz w:val="20"/>
                <w:szCs w:val="20"/>
              </w:rPr>
            </w:pPr>
            <w:r>
              <w:rPr>
                <w:rFonts w:asciiTheme="majorHAnsi" w:hAnsiTheme="majorHAnsi"/>
                <w:b/>
                <w:sz w:val="20"/>
                <w:szCs w:val="20"/>
              </w:rPr>
              <w:t>Rhodes Uni</w:t>
            </w:r>
          </w:p>
        </w:tc>
        <w:tc>
          <w:tcPr>
            <w:tcW w:w="567" w:type="dxa"/>
          </w:tcPr>
          <w:p w14:paraId="264B061B" w14:textId="2BFFED1C" w:rsidR="003A4313" w:rsidRPr="00D15622" w:rsidRDefault="003A4313" w:rsidP="0056405D">
            <w:pPr>
              <w:jc w:val="center"/>
              <w:rPr>
                <w:rFonts w:asciiTheme="majorHAnsi" w:hAnsiTheme="majorHAnsi"/>
                <w:b/>
                <w:sz w:val="20"/>
                <w:szCs w:val="20"/>
              </w:rPr>
            </w:pPr>
            <w:r>
              <w:rPr>
                <w:rFonts w:asciiTheme="majorHAnsi" w:hAnsiTheme="majorHAnsi"/>
                <w:b/>
                <w:sz w:val="20"/>
                <w:szCs w:val="20"/>
              </w:rPr>
              <w:t>CEP</w:t>
            </w:r>
          </w:p>
        </w:tc>
        <w:tc>
          <w:tcPr>
            <w:tcW w:w="992" w:type="dxa"/>
          </w:tcPr>
          <w:p w14:paraId="0E4F3B55" w14:textId="143827A3" w:rsidR="003A4313" w:rsidRPr="00D15622" w:rsidRDefault="003A4313" w:rsidP="0056405D">
            <w:pPr>
              <w:jc w:val="center"/>
              <w:rPr>
                <w:rFonts w:asciiTheme="majorHAnsi" w:hAnsiTheme="majorHAnsi"/>
                <w:b/>
                <w:sz w:val="20"/>
                <w:szCs w:val="20"/>
              </w:rPr>
            </w:pPr>
            <w:r>
              <w:rPr>
                <w:rFonts w:asciiTheme="majorHAnsi" w:hAnsiTheme="majorHAnsi"/>
                <w:b/>
                <w:sz w:val="20"/>
                <w:szCs w:val="20"/>
              </w:rPr>
              <w:t>PEMSEA</w:t>
            </w:r>
          </w:p>
        </w:tc>
      </w:tr>
      <w:tr w:rsidR="003A4313" w:rsidRPr="00D15622" w14:paraId="1452A1C5" w14:textId="77777777" w:rsidTr="006A2417">
        <w:tc>
          <w:tcPr>
            <w:tcW w:w="817" w:type="dxa"/>
          </w:tcPr>
          <w:p w14:paraId="784108CC"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1.a</w:t>
            </w:r>
          </w:p>
        </w:tc>
        <w:tc>
          <w:tcPr>
            <w:tcW w:w="851" w:type="dxa"/>
          </w:tcPr>
          <w:p w14:paraId="71FB80C1" w14:textId="77777777" w:rsidR="003A4313" w:rsidRPr="00D15622" w:rsidRDefault="003A4313" w:rsidP="0056405D">
            <w:pPr>
              <w:jc w:val="center"/>
              <w:rPr>
                <w:rFonts w:asciiTheme="majorHAnsi" w:hAnsiTheme="majorHAnsi"/>
                <w:b/>
                <w:sz w:val="20"/>
                <w:szCs w:val="20"/>
              </w:rPr>
            </w:pPr>
          </w:p>
        </w:tc>
        <w:tc>
          <w:tcPr>
            <w:tcW w:w="708" w:type="dxa"/>
          </w:tcPr>
          <w:p w14:paraId="588755B0" w14:textId="77777777" w:rsidR="003A4313" w:rsidRPr="00D15622" w:rsidRDefault="003A4313" w:rsidP="0056405D">
            <w:pPr>
              <w:jc w:val="center"/>
              <w:rPr>
                <w:rFonts w:asciiTheme="majorHAnsi" w:hAnsiTheme="majorHAnsi"/>
                <w:b/>
                <w:sz w:val="20"/>
                <w:szCs w:val="20"/>
              </w:rPr>
            </w:pPr>
          </w:p>
        </w:tc>
        <w:tc>
          <w:tcPr>
            <w:tcW w:w="993" w:type="dxa"/>
          </w:tcPr>
          <w:p w14:paraId="5AEF183A"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21815A5D" w14:textId="77777777" w:rsidR="003A4313" w:rsidRPr="00D15622" w:rsidRDefault="003A4313" w:rsidP="0056405D">
            <w:pPr>
              <w:jc w:val="center"/>
              <w:rPr>
                <w:rFonts w:asciiTheme="majorHAnsi" w:hAnsiTheme="majorHAnsi"/>
                <w:b/>
                <w:sz w:val="20"/>
                <w:szCs w:val="20"/>
              </w:rPr>
            </w:pPr>
          </w:p>
        </w:tc>
        <w:tc>
          <w:tcPr>
            <w:tcW w:w="1134" w:type="dxa"/>
          </w:tcPr>
          <w:p w14:paraId="7A746DD6" w14:textId="77777777" w:rsidR="003A4313" w:rsidRPr="00D15622" w:rsidRDefault="003A4313" w:rsidP="0056405D">
            <w:pPr>
              <w:jc w:val="center"/>
              <w:rPr>
                <w:rFonts w:asciiTheme="majorHAnsi" w:hAnsiTheme="majorHAnsi"/>
                <w:b/>
                <w:sz w:val="20"/>
                <w:szCs w:val="20"/>
              </w:rPr>
            </w:pPr>
          </w:p>
        </w:tc>
        <w:tc>
          <w:tcPr>
            <w:tcW w:w="709" w:type="dxa"/>
          </w:tcPr>
          <w:p w14:paraId="0BD808F9" w14:textId="77777777" w:rsidR="003A4313" w:rsidRPr="00D15622" w:rsidRDefault="003A4313" w:rsidP="0056405D">
            <w:pPr>
              <w:jc w:val="center"/>
              <w:rPr>
                <w:rFonts w:asciiTheme="majorHAnsi" w:hAnsiTheme="majorHAnsi"/>
                <w:b/>
                <w:sz w:val="20"/>
                <w:szCs w:val="20"/>
              </w:rPr>
            </w:pPr>
          </w:p>
        </w:tc>
        <w:tc>
          <w:tcPr>
            <w:tcW w:w="851" w:type="dxa"/>
          </w:tcPr>
          <w:p w14:paraId="6AEF70DB" w14:textId="77777777" w:rsidR="003A4313" w:rsidRPr="00DB483E" w:rsidRDefault="003A4313" w:rsidP="0056405D">
            <w:pPr>
              <w:jc w:val="center"/>
              <w:rPr>
                <w:rFonts w:asciiTheme="majorHAnsi" w:hAnsiTheme="majorHAnsi"/>
                <w:b/>
                <w:sz w:val="20"/>
                <w:szCs w:val="20"/>
                <w:highlight w:val="yellow"/>
              </w:rPr>
            </w:pPr>
          </w:p>
        </w:tc>
        <w:tc>
          <w:tcPr>
            <w:tcW w:w="851" w:type="dxa"/>
          </w:tcPr>
          <w:p w14:paraId="49D79543" w14:textId="3845DB00" w:rsidR="003A4313" w:rsidRPr="00D15622" w:rsidRDefault="003A4313" w:rsidP="0056405D">
            <w:pPr>
              <w:jc w:val="center"/>
              <w:rPr>
                <w:rFonts w:asciiTheme="majorHAnsi" w:hAnsiTheme="majorHAnsi"/>
                <w:b/>
                <w:sz w:val="20"/>
                <w:szCs w:val="20"/>
              </w:rPr>
            </w:pPr>
          </w:p>
        </w:tc>
        <w:tc>
          <w:tcPr>
            <w:tcW w:w="567" w:type="dxa"/>
          </w:tcPr>
          <w:p w14:paraId="5BDCAFAE" w14:textId="2CD0303E" w:rsidR="003A4313" w:rsidRPr="00D15622" w:rsidRDefault="003A4313" w:rsidP="0056405D">
            <w:pPr>
              <w:jc w:val="center"/>
              <w:rPr>
                <w:rFonts w:asciiTheme="majorHAnsi" w:hAnsiTheme="majorHAnsi"/>
                <w:b/>
                <w:sz w:val="20"/>
                <w:szCs w:val="20"/>
              </w:rPr>
            </w:pPr>
          </w:p>
        </w:tc>
        <w:tc>
          <w:tcPr>
            <w:tcW w:w="992" w:type="dxa"/>
          </w:tcPr>
          <w:p w14:paraId="5FA69297" w14:textId="2735F3F4" w:rsidR="003A4313" w:rsidRPr="00D15622" w:rsidRDefault="003A4313" w:rsidP="0056405D">
            <w:pPr>
              <w:jc w:val="center"/>
              <w:rPr>
                <w:rFonts w:asciiTheme="majorHAnsi" w:hAnsiTheme="majorHAnsi"/>
                <w:b/>
                <w:sz w:val="20"/>
                <w:szCs w:val="20"/>
              </w:rPr>
            </w:pPr>
          </w:p>
        </w:tc>
      </w:tr>
      <w:tr w:rsidR="003A4313" w:rsidRPr="00D15622" w14:paraId="7294B1ED" w14:textId="77777777" w:rsidTr="006A2417">
        <w:tc>
          <w:tcPr>
            <w:tcW w:w="817" w:type="dxa"/>
          </w:tcPr>
          <w:p w14:paraId="4114C02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1.b</w:t>
            </w:r>
          </w:p>
        </w:tc>
        <w:tc>
          <w:tcPr>
            <w:tcW w:w="851" w:type="dxa"/>
          </w:tcPr>
          <w:p w14:paraId="541CA435" w14:textId="77777777" w:rsidR="003A4313" w:rsidRPr="00D15622" w:rsidRDefault="003A4313" w:rsidP="0056405D">
            <w:pPr>
              <w:jc w:val="center"/>
              <w:rPr>
                <w:rFonts w:asciiTheme="majorHAnsi" w:hAnsiTheme="majorHAnsi"/>
                <w:b/>
                <w:sz w:val="20"/>
                <w:szCs w:val="20"/>
              </w:rPr>
            </w:pPr>
          </w:p>
        </w:tc>
        <w:tc>
          <w:tcPr>
            <w:tcW w:w="708" w:type="dxa"/>
          </w:tcPr>
          <w:p w14:paraId="69D471BF" w14:textId="77777777" w:rsidR="003A4313" w:rsidRPr="00D15622" w:rsidRDefault="003A4313" w:rsidP="0056405D">
            <w:pPr>
              <w:jc w:val="center"/>
              <w:rPr>
                <w:rFonts w:asciiTheme="majorHAnsi" w:hAnsiTheme="majorHAnsi"/>
                <w:b/>
                <w:sz w:val="20"/>
                <w:szCs w:val="20"/>
              </w:rPr>
            </w:pPr>
          </w:p>
        </w:tc>
        <w:tc>
          <w:tcPr>
            <w:tcW w:w="993" w:type="dxa"/>
          </w:tcPr>
          <w:p w14:paraId="161CAD31" w14:textId="77777777" w:rsidR="003A4313" w:rsidRPr="00D15622" w:rsidRDefault="003A4313" w:rsidP="0056405D">
            <w:pPr>
              <w:jc w:val="center"/>
              <w:rPr>
                <w:rFonts w:asciiTheme="majorHAnsi" w:hAnsiTheme="majorHAnsi"/>
                <w:b/>
                <w:sz w:val="20"/>
                <w:szCs w:val="20"/>
              </w:rPr>
            </w:pPr>
          </w:p>
        </w:tc>
        <w:tc>
          <w:tcPr>
            <w:tcW w:w="708" w:type="dxa"/>
          </w:tcPr>
          <w:p w14:paraId="652CED7E" w14:textId="77777777" w:rsidR="003A4313" w:rsidRPr="00D15622" w:rsidRDefault="003A4313" w:rsidP="0056405D">
            <w:pPr>
              <w:jc w:val="center"/>
              <w:rPr>
                <w:rFonts w:asciiTheme="majorHAnsi" w:hAnsiTheme="majorHAnsi"/>
                <w:b/>
                <w:sz w:val="20"/>
                <w:szCs w:val="20"/>
              </w:rPr>
            </w:pPr>
          </w:p>
        </w:tc>
        <w:tc>
          <w:tcPr>
            <w:tcW w:w="1134" w:type="dxa"/>
          </w:tcPr>
          <w:p w14:paraId="079FD990"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9" w:type="dxa"/>
          </w:tcPr>
          <w:p w14:paraId="299F1528" w14:textId="77777777" w:rsidR="003A4313" w:rsidRPr="00D15622" w:rsidRDefault="003A4313" w:rsidP="0056405D">
            <w:pPr>
              <w:jc w:val="center"/>
              <w:rPr>
                <w:rFonts w:asciiTheme="majorHAnsi" w:hAnsiTheme="majorHAnsi"/>
                <w:b/>
                <w:sz w:val="20"/>
                <w:szCs w:val="20"/>
              </w:rPr>
            </w:pPr>
          </w:p>
        </w:tc>
        <w:tc>
          <w:tcPr>
            <w:tcW w:w="851" w:type="dxa"/>
          </w:tcPr>
          <w:p w14:paraId="0F0BDB10" w14:textId="77777777" w:rsidR="003A4313" w:rsidRPr="00DB483E" w:rsidRDefault="003A4313" w:rsidP="0056405D">
            <w:pPr>
              <w:jc w:val="center"/>
              <w:rPr>
                <w:rFonts w:asciiTheme="majorHAnsi" w:hAnsiTheme="majorHAnsi"/>
                <w:b/>
                <w:sz w:val="20"/>
                <w:szCs w:val="20"/>
                <w:highlight w:val="yellow"/>
              </w:rPr>
            </w:pPr>
          </w:p>
        </w:tc>
        <w:tc>
          <w:tcPr>
            <w:tcW w:w="851" w:type="dxa"/>
          </w:tcPr>
          <w:p w14:paraId="2650A995" w14:textId="7EC963F0" w:rsidR="003A4313" w:rsidRPr="00D15622" w:rsidRDefault="003A4313" w:rsidP="0056405D">
            <w:pPr>
              <w:jc w:val="center"/>
              <w:rPr>
                <w:rFonts w:asciiTheme="majorHAnsi" w:hAnsiTheme="majorHAnsi"/>
                <w:b/>
                <w:sz w:val="20"/>
                <w:szCs w:val="20"/>
              </w:rPr>
            </w:pPr>
          </w:p>
        </w:tc>
        <w:tc>
          <w:tcPr>
            <w:tcW w:w="567" w:type="dxa"/>
          </w:tcPr>
          <w:p w14:paraId="604EC812" w14:textId="6E8603E7" w:rsidR="003A4313" w:rsidRPr="00D15622" w:rsidRDefault="003A4313" w:rsidP="0056405D">
            <w:pPr>
              <w:jc w:val="center"/>
              <w:rPr>
                <w:rFonts w:asciiTheme="majorHAnsi" w:hAnsiTheme="majorHAnsi"/>
                <w:b/>
                <w:sz w:val="20"/>
                <w:szCs w:val="20"/>
              </w:rPr>
            </w:pPr>
          </w:p>
        </w:tc>
        <w:tc>
          <w:tcPr>
            <w:tcW w:w="992" w:type="dxa"/>
          </w:tcPr>
          <w:p w14:paraId="1A6A142D" w14:textId="3C4C9076" w:rsidR="003A4313" w:rsidRPr="00D15622" w:rsidRDefault="003A4313" w:rsidP="0056405D">
            <w:pPr>
              <w:jc w:val="center"/>
              <w:rPr>
                <w:rFonts w:asciiTheme="majorHAnsi" w:hAnsiTheme="majorHAnsi"/>
                <w:b/>
                <w:sz w:val="20"/>
                <w:szCs w:val="20"/>
              </w:rPr>
            </w:pPr>
          </w:p>
        </w:tc>
      </w:tr>
      <w:tr w:rsidR="003A4313" w:rsidRPr="00D15622" w14:paraId="276F7B77" w14:textId="77777777" w:rsidTr="006A2417">
        <w:tc>
          <w:tcPr>
            <w:tcW w:w="817" w:type="dxa"/>
          </w:tcPr>
          <w:p w14:paraId="4D7AB80C"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1.c</w:t>
            </w:r>
          </w:p>
        </w:tc>
        <w:tc>
          <w:tcPr>
            <w:tcW w:w="851" w:type="dxa"/>
          </w:tcPr>
          <w:p w14:paraId="77F39460"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569015EB" w14:textId="77777777" w:rsidR="003A4313" w:rsidRPr="00D15622" w:rsidRDefault="003A4313" w:rsidP="0056405D">
            <w:pPr>
              <w:jc w:val="center"/>
              <w:rPr>
                <w:rFonts w:asciiTheme="majorHAnsi" w:hAnsiTheme="majorHAnsi"/>
                <w:b/>
                <w:sz w:val="20"/>
                <w:szCs w:val="20"/>
              </w:rPr>
            </w:pPr>
          </w:p>
        </w:tc>
        <w:tc>
          <w:tcPr>
            <w:tcW w:w="993" w:type="dxa"/>
          </w:tcPr>
          <w:p w14:paraId="70A5B9B3" w14:textId="77777777" w:rsidR="003A4313" w:rsidRPr="00D15622" w:rsidRDefault="003A4313" w:rsidP="0056405D">
            <w:pPr>
              <w:jc w:val="center"/>
              <w:rPr>
                <w:rFonts w:asciiTheme="majorHAnsi" w:hAnsiTheme="majorHAnsi"/>
                <w:b/>
                <w:sz w:val="20"/>
                <w:szCs w:val="20"/>
              </w:rPr>
            </w:pPr>
          </w:p>
        </w:tc>
        <w:tc>
          <w:tcPr>
            <w:tcW w:w="708" w:type="dxa"/>
          </w:tcPr>
          <w:p w14:paraId="20D2065C" w14:textId="77777777" w:rsidR="003A4313" w:rsidRPr="00D15622" w:rsidRDefault="003A4313" w:rsidP="0056405D">
            <w:pPr>
              <w:jc w:val="center"/>
              <w:rPr>
                <w:rFonts w:asciiTheme="majorHAnsi" w:hAnsiTheme="majorHAnsi"/>
                <w:b/>
                <w:sz w:val="20"/>
                <w:szCs w:val="20"/>
              </w:rPr>
            </w:pPr>
          </w:p>
        </w:tc>
        <w:tc>
          <w:tcPr>
            <w:tcW w:w="1134" w:type="dxa"/>
          </w:tcPr>
          <w:p w14:paraId="344AB47D" w14:textId="77777777" w:rsidR="003A4313" w:rsidRPr="00D15622" w:rsidRDefault="003A4313" w:rsidP="0056405D">
            <w:pPr>
              <w:jc w:val="center"/>
              <w:rPr>
                <w:rFonts w:asciiTheme="majorHAnsi" w:hAnsiTheme="majorHAnsi"/>
                <w:b/>
                <w:sz w:val="20"/>
                <w:szCs w:val="20"/>
              </w:rPr>
            </w:pPr>
          </w:p>
        </w:tc>
        <w:tc>
          <w:tcPr>
            <w:tcW w:w="709" w:type="dxa"/>
          </w:tcPr>
          <w:p w14:paraId="0483B031" w14:textId="77777777" w:rsidR="003A4313" w:rsidRPr="00D15622" w:rsidRDefault="003A4313" w:rsidP="0056405D">
            <w:pPr>
              <w:jc w:val="center"/>
              <w:rPr>
                <w:rFonts w:asciiTheme="majorHAnsi" w:hAnsiTheme="majorHAnsi"/>
                <w:b/>
                <w:sz w:val="20"/>
                <w:szCs w:val="20"/>
              </w:rPr>
            </w:pPr>
          </w:p>
        </w:tc>
        <w:tc>
          <w:tcPr>
            <w:tcW w:w="851" w:type="dxa"/>
          </w:tcPr>
          <w:p w14:paraId="22DAB579" w14:textId="77777777" w:rsidR="003A4313" w:rsidRPr="00DB483E" w:rsidRDefault="003A4313" w:rsidP="0056405D">
            <w:pPr>
              <w:jc w:val="center"/>
              <w:rPr>
                <w:rFonts w:asciiTheme="majorHAnsi" w:hAnsiTheme="majorHAnsi"/>
                <w:b/>
                <w:sz w:val="20"/>
                <w:szCs w:val="20"/>
                <w:highlight w:val="yellow"/>
              </w:rPr>
            </w:pPr>
          </w:p>
        </w:tc>
        <w:tc>
          <w:tcPr>
            <w:tcW w:w="851" w:type="dxa"/>
          </w:tcPr>
          <w:p w14:paraId="67B2D1EC" w14:textId="54DFA571" w:rsidR="003A4313" w:rsidRPr="00D15622" w:rsidRDefault="003A4313" w:rsidP="0056405D">
            <w:pPr>
              <w:jc w:val="center"/>
              <w:rPr>
                <w:rFonts w:asciiTheme="majorHAnsi" w:hAnsiTheme="majorHAnsi"/>
                <w:b/>
                <w:sz w:val="20"/>
                <w:szCs w:val="20"/>
              </w:rPr>
            </w:pPr>
            <w:r>
              <w:rPr>
                <w:rFonts w:asciiTheme="majorHAnsi" w:hAnsiTheme="majorHAnsi"/>
                <w:b/>
                <w:sz w:val="20"/>
                <w:szCs w:val="20"/>
              </w:rPr>
              <w:t>S</w:t>
            </w:r>
          </w:p>
        </w:tc>
        <w:tc>
          <w:tcPr>
            <w:tcW w:w="567" w:type="dxa"/>
          </w:tcPr>
          <w:p w14:paraId="40B58043" w14:textId="691A4D66" w:rsidR="003A4313" w:rsidRPr="00D15622" w:rsidRDefault="003A4313" w:rsidP="0056405D">
            <w:pPr>
              <w:jc w:val="center"/>
              <w:rPr>
                <w:rFonts w:asciiTheme="majorHAnsi" w:hAnsiTheme="majorHAnsi"/>
                <w:b/>
                <w:sz w:val="20"/>
                <w:szCs w:val="20"/>
              </w:rPr>
            </w:pPr>
            <w:r>
              <w:rPr>
                <w:rFonts w:asciiTheme="majorHAnsi" w:hAnsiTheme="majorHAnsi"/>
                <w:b/>
                <w:sz w:val="20"/>
                <w:szCs w:val="20"/>
              </w:rPr>
              <w:t>S</w:t>
            </w:r>
          </w:p>
        </w:tc>
        <w:tc>
          <w:tcPr>
            <w:tcW w:w="992" w:type="dxa"/>
          </w:tcPr>
          <w:p w14:paraId="30FAFAAD" w14:textId="311843C2" w:rsidR="003A4313" w:rsidRPr="00D15622" w:rsidRDefault="003A4313" w:rsidP="0056405D">
            <w:pPr>
              <w:jc w:val="center"/>
              <w:rPr>
                <w:rFonts w:asciiTheme="majorHAnsi" w:hAnsiTheme="majorHAnsi"/>
                <w:b/>
                <w:sz w:val="20"/>
                <w:szCs w:val="20"/>
              </w:rPr>
            </w:pPr>
            <w:r>
              <w:rPr>
                <w:rFonts w:asciiTheme="majorHAnsi" w:hAnsiTheme="majorHAnsi"/>
                <w:b/>
                <w:sz w:val="20"/>
                <w:szCs w:val="20"/>
              </w:rPr>
              <w:t>S</w:t>
            </w:r>
          </w:p>
        </w:tc>
      </w:tr>
      <w:tr w:rsidR="003A4313" w:rsidRPr="00D15622" w14:paraId="741E78DD" w14:textId="77777777" w:rsidTr="006A2417">
        <w:tc>
          <w:tcPr>
            <w:tcW w:w="817" w:type="dxa"/>
          </w:tcPr>
          <w:p w14:paraId="7AE05C0B"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2.a</w:t>
            </w:r>
          </w:p>
        </w:tc>
        <w:tc>
          <w:tcPr>
            <w:tcW w:w="851" w:type="dxa"/>
          </w:tcPr>
          <w:p w14:paraId="0C380DB5"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8" w:type="dxa"/>
          </w:tcPr>
          <w:p w14:paraId="5D728808" w14:textId="77777777" w:rsidR="003A4313" w:rsidRPr="00D15622" w:rsidRDefault="003A4313" w:rsidP="0056405D">
            <w:pPr>
              <w:jc w:val="center"/>
              <w:rPr>
                <w:rFonts w:asciiTheme="majorHAnsi" w:hAnsiTheme="majorHAnsi"/>
                <w:b/>
                <w:sz w:val="20"/>
                <w:szCs w:val="20"/>
              </w:rPr>
            </w:pPr>
          </w:p>
        </w:tc>
        <w:tc>
          <w:tcPr>
            <w:tcW w:w="993" w:type="dxa"/>
          </w:tcPr>
          <w:p w14:paraId="0DD98C5A"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6DEA0C52" w14:textId="77777777" w:rsidR="003A4313" w:rsidRPr="00D15622" w:rsidRDefault="003A4313" w:rsidP="0056405D">
            <w:pPr>
              <w:jc w:val="center"/>
              <w:rPr>
                <w:rFonts w:asciiTheme="majorHAnsi" w:hAnsiTheme="majorHAnsi"/>
                <w:b/>
                <w:sz w:val="20"/>
                <w:szCs w:val="20"/>
              </w:rPr>
            </w:pPr>
          </w:p>
        </w:tc>
        <w:tc>
          <w:tcPr>
            <w:tcW w:w="1134" w:type="dxa"/>
          </w:tcPr>
          <w:p w14:paraId="46E78566" w14:textId="77777777" w:rsidR="003A4313" w:rsidRPr="00D15622" w:rsidRDefault="003A4313" w:rsidP="0056405D">
            <w:pPr>
              <w:jc w:val="center"/>
              <w:rPr>
                <w:rFonts w:asciiTheme="majorHAnsi" w:hAnsiTheme="majorHAnsi"/>
                <w:b/>
                <w:sz w:val="20"/>
                <w:szCs w:val="20"/>
              </w:rPr>
            </w:pPr>
          </w:p>
        </w:tc>
        <w:tc>
          <w:tcPr>
            <w:tcW w:w="709" w:type="dxa"/>
          </w:tcPr>
          <w:p w14:paraId="0178CBE6" w14:textId="77777777" w:rsidR="003A4313" w:rsidRPr="00D15622" w:rsidRDefault="003A4313" w:rsidP="0056405D">
            <w:pPr>
              <w:jc w:val="center"/>
              <w:rPr>
                <w:rFonts w:asciiTheme="majorHAnsi" w:hAnsiTheme="majorHAnsi"/>
                <w:b/>
                <w:sz w:val="20"/>
                <w:szCs w:val="20"/>
              </w:rPr>
            </w:pPr>
          </w:p>
        </w:tc>
        <w:tc>
          <w:tcPr>
            <w:tcW w:w="851" w:type="dxa"/>
          </w:tcPr>
          <w:p w14:paraId="69AF6D57" w14:textId="77777777" w:rsidR="003A4313" w:rsidRPr="00DB483E" w:rsidRDefault="003A4313" w:rsidP="0056405D">
            <w:pPr>
              <w:jc w:val="center"/>
              <w:rPr>
                <w:rFonts w:asciiTheme="majorHAnsi" w:hAnsiTheme="majorHAnsi"/>
                <w:b/>
                <w:sz w:val="20"/>
                <w:szCs w:val="20"/>
                <w:highlight w:val="yellow"/>
              </w:rPr>
            </w:pPr>
          </w:p>
        </w:tc>
        <w:tc>
          <w:tcPr>
            <w:tcW w:w="851" w:type="dxa"/>
          </w:tcPr>
          <w:p w14:paraId="03026763" w14:textId="3B709921" w:rsidR="003A4313" w:rsidRPr="00D15622" w:rsidRDefault="003A4313" w:rsidP="0056405D">
            <w:pPr>
              <w:jc w:val="center"/>
              <w:rPr>
                <w:rFonts w:asciiTheme="majorHAnsi" w:hAnsiTheme="majorHAnsi"/>
                <w:b/>
                <w:sz w:val="20"/>
                <w:szCs w:val="20"/>
              </w:rPr>
            </w:pPr>
          </w:p>
        </w:tc>
        <w:tc>
          <w:tcPr>
            <w:tcW w:w="567" w:type="dxa"/>
          </w:tcPr>
          <w:p w14:paraId="2389498D" w14:textId="522C27DF" w:rsidR="003A4313" w:rsidRPr="00D15622" w:rsidRDefault="003A4313" w:rsidP="0056405D">
            <w:pPr>
              <w:jc w:val="center"/>
              <w:rPr>
                <w:rFonts w:asciiTheme="majorHAnsi" w:hAnsiTheme="majorHAnsi"/>
                <w:b/>
                <w:sz w:val="20"/>
                <w:szCs w:val="20"/>
              </w:rPr>
            </w:pPr>
          </w:p>
        </w:tc>
        <w:tc>
          <w:tcPr>
            <w:tcW w:w="992" w:type="dxa"/>
          </w:tcPr>
          <w:p w14:paraId="3AF56B34" w14:textId="0E065220" w:rsidR="003A4313" w:rsidRPr="00D15622" w:rsidRDefault="003A4313" w:rsidP="0056405D">
            <w:pPr>
              <w:jc w:val="center"/>
              <w:rPr>
                <w:rFonts w:asciiTheme="majorHAnsi" w:hAnsiTheme="majorHAnsi"/>
                <w:b/>
                <w:sz w:val="20"/>
                <w:szCs w:val="20"/>
              </w:rPr>
            </w:pPr>
          </w:p>
        </w:tc>
      </w:tr>
      <w:tr w:rsidR="003A4313" w:rsidRPr="00D15622" w14:paraId="485F2AC0" w14:textId="77777777" w:rsidTr="006A2417">
        <w:tc>
          <w:tcPr>
            <w:tcW w:w="817" w:type="dxa"/>
          </w:tcPr>
          <w:p w14:paraId="500FA15B"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2.b</w:t>
            </w:r>
          </w:p>
        </w:tc>
        <w:tc>
          <w:tcPr>
            <w:tcW w:w="851" w:type="dxa"/>
          </w:tcPr>
          <w:p w14:paraId="02AE0FA2"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8" w:type="dxa"/>
          </w:tcPr>
          <w:p w14:paraId="6A9A58B8" w14:textId="77777777" w:rsidR="003A4313" w:rsidRPr="00D15622" w:rsidRDefault="003A4313" w:rsidP="0056405D">
            <w:pPr>
              <w:jc w:val="center"/>
              <w:rPr>
                <w:rFonts w:asciiTheme="majorHAnsi" w:hAnsiTheme="majorHAnsi"/>
                <w:b/>
                <w:sz w:val="20"/>
                <w:szCs w:val="20"/>
              </w:rPr>
            </w:pPr>
          </w:p>
        </w:tc>
        <w:tc>
          <w:tcPr>
            <w:tcW w:w="993" w:type="dxa"/>
          </w:tcPr>
          <w:p w14:paraId="3E4A84C1" w14:textId="77777777" w:rsidR="003A4313" w:rsidRPr="00D15622" w:rsidRDefault="003A4313" w:rsidP="0056405D">
            <w:pPr>
              <w:jc w:val="center"/>
              <w:rPr>
                <w:rFonts w:asciiTheme="majorHAnsi" w:hAnsiTheme="majorHAnsi"/>
                <w:b/>
                <w:sz w:val="20"/>
                <w:szCs w:val="20"/>
              </w:rPr>
            </w:pPr>
          </w:p>
        </w:tc>
        <w:tc>
          <w:tcPr>
            <w:tcW w:w="708" w:type="dxa"/>
          </w:tcPr>
          <w:p w14:paraId="4BD3BEE6" w14:textId="77777777" w:rsidR="003A4313" w:rsidRPr="00D15622" w:rsidRDefault="003A4313" w:rsidP="0056405D">
            <w:pPr>
              <w:jc w:val="center"/>
              <w:rPr>
                <w:rFonts w:asciiTheme="majorHAnsi" w:hAnsiTheme="majorHAnsi"/>
                <w:b/>
                <w:sz w:val="20"/>
                <w:szCs w:val="20"/>
              </w:rPr>
            </w:pPr>
          </w:p>
        </w:tc>
        <w:tc>
          <w:tcPr>
            <w:tcW w:w="1134" w:type="dxa"/>
          </w:tcPr>
          <w:p w14:paraId="154F4EC8" w14:textId="77777777" w:rsidR="003A4313" w:rsidRPr="00D15622" w:rsidRDefault="003A4313" w:rsidP="0056405D">
            <w:pPr>
              <w:jc w:val="center"/>
              <w:rPr>
                <w:rFonts w:asciiTheme="majorHAnsi" w:hAnsiTheme="majorHAnsi"/>
                <w:b/>
                <w:sz w:val="20"/>
                <w:szCs w:val="20"/>
              </w:rPr>
            </w:pPr>
          </w:p>
        </w:tc>
        <w:tc>
          <w:tcPr>
            <w:tcW w:w="709" w:type="dxa"/>
          </w:tcPr>
          <w:p w14:paraId="43DC2284" w14:textId="07AC2EA8" w:rsidR="003A4313" w:rsidRPr="00D15622" w:rsidRDefault="003A4313" w:rsidP="0056405D">
            <w:pPr>
              <w:jc w:val="center"/>
              <w:rPr>
                <w:rFonts w:asciiTheme="majorHAnsi" w:hAnsiTheme="majorHAnsi"/>
                <w:b/>
                <w:sz w:val="20"/>
                <w:szCs w:val="20"/>
              </w:rPr>
            </w:pPr>
            <w:r>
              <w:rPr>
                <w:rFonts w:asciiTheme="majorHAnsi" w:hAnsiTheme="majorHAnsi"/>
                <w:b/>
                <w:sz w:val="20"/>
                <w:szCs w:val="20"/>
              </w:rPr>
              <w:t>L</w:t>
            </w:r>
          </w:p>
        </w:tc>
        <w:tc>
          <w:tcPr>
            <w:tcW w:w="851" w:type="dxa"/>
          </w:tcPr>
          <w:p w14:paraId="1D1F2B12" w14:textId="77777777" w:rsidR="003A4313" w:rsidRPr="00DB483E" w:rsidRDefault="003A4313" w:rsidP="0056405D">
            <w:pPr>
              <w:jc w:val="center"/>
              <w:rPr>
                <w:rFonts w:asciiTheme="majorHAnsi" w:hAnsiTheme="majorHAnsi"/>
                <w:b/>
                <w:sz w:val="20"/>
                <w:szCs w:val="20"/>
                <w:highlight w:val="yellow"/>
              </w:rPr>
            </w:pPr>
          </w:p>
        </w:tc>
        <w:tc>
          <w:tcPr>
            <w:tcW w:w="851" w:type="dxa"/>
          </w:tcPr>
          <w:p w14:paraId="07E39366" w14:textId="0A028118" w:rsidR="003A4313" w:rsidRPr="00D15622" w:rsidRDefault="003A4313" w:rsidP="0056405D">
            <w:pPr>
              <w:jc w:val="center"/>
              <w:rPr>
                <w:rFonts w:asciiTheme="majorHAnsi" w:hAnsiTheme="majorHAnsi"/>
                <w:b/>
                <w:sz w:val="20"/>
                <w:szCs w:val="20"/>
              </w:rPr>
            </w:pPr>
          </w:p>
        </w:tc>
        <w:tc>
          <w:tcPr>
            <w:tcW w:w="567" w:type="dxa"/>
          </w:tcPr>
          <w:p w14:paraId="39A39FA2" w14:textId="0E44FE7C" w:rsidR="003A4313" w:rsidRPr="00D15622" w:rsidRDefault="003A4313" w:rsidP="0056405D">
            <w:pPr>
              <w:jc w:val="center"/>
              <w:rPr>
                <w:rFonts w:asciiTheme="majorHAnsi" w:hAnsiTheme="majorHAnsi"/>
                <w:b/>
                <w:sz w:val="20"/>
                <w:szCs w:val="20"/>
              </w:rPr>
            </w:pPr>
          </w:p>
        </w:tc>
        <w:tc>
          <w:tcPr>
            <w:tcW w:w="992" w:type="dxa"/>
          </w:tcPr>
          <w:p w14:paraId="1E8DFE3D" w14:textId="6C9CC547" w:rsidR="003A4313" w:rsidRPr="00D15622" w:rsidRDefault="003A4313" w:rsidP="0056405D">
            <w:pPr>
              <w:jc w:val="center"/>
              <w:rPr>
                <w:rFonts w:asciiTheme="majorHAnsi" w:hAnsiTheme="majorHAnsi"/>
                <w:b/>
                <w:sz w:val="20"/>
                <w:szCs w:val="20"/>
              </w:rPr>
            </w:pPr>
          </w:p>
        </w:tc>
      </w:tr>
      <w:tr w:rsidR="003A4313" w:rsidRPr="00D15622" w14:paraId="650A06A1" w14:textId="77777777" w:rsidTr="006A2417">
        <w:tc>
          <w:tcPr>
            <w:tcW w:w="817" w:type="dxa"/>
          </w:tcPr>
          <w:p w14:paraId="05F7D142"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3.a</w:t>
            </w:r>
          </w:p>
        </w:tc>
        <w:tc>
          <w:tcPr>
            <w:tcW w:w="851" w:type="dxa"/>
          </w:tcPr>
          <w:p w14:paraId="0F238BB9"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61B3FB44" w14:textId="77777777" w:rsidR="003A4313" w:rsidRPr="00D15622" w:rsidRDefault="003A4313" w:rsidP="0056405D">
            <w:pPr>
              <w:jc w:val="center"/>
              <w:rPr>
                <w:rFonts w:asciiTheme="majorHAnsi" w:hAnsiTheme="majorHAnsi"/>
                <w:b/>
                <w:sz w:val="20"/>
                <w:szCs w:val="20"/>
              </w:rPr>
            </w:pPr>
          </w:p>
        </w:tc>
        <w:tc>
          <w:tcPr>
            <w:tcW w:w="993" w:type="dxa"/>
          </w:tcPr>
          <w:p w14:paraId="50BB4F58" w14:textId="77777777" w:rsidR="003A4313" w:rsidRPr="00D15622" w:rsidRDefault="003A4313" w:rsidP="0056405D">
            <w:pPr>
              <w:jc w:val="center"/>
              <w:rPr>
                <w:rFonts w:asciiTheme="majorHAnsi" w:hAnsiTheme="majorHAnsi"/>
                <w:b/>
                <w:sz w:val="20"/>
                <w:szCs w:val="20"/>
              </w:rPr>
            </w:pPr>
          </w:p>
        </w:tc>
        <w:tc>
          <w:tcPr>
            <w:tcW w:w="708" w:type="dxa"/>
          </w:tcPr>
          <w:p w14:paraId="3CDFD589" w14:textId="77777777" w:rsidR="003A4313" w:rsidRPr="00D15622" w:rsidRDefault="003A4313" w:rsidP="0056405D">
            <w:pPr>
              <w:jc w:val="center"/>
              <w:rPr>
                <w:rFonts w:asciiTheme="majorHAnsi" w:hAnsiTheme="majorHAnsi"/>
                <w:b/>
                <w:sz w:val="20"/>
                <w:szCs w:val="20"/>
              </w:rPr>
            </w:pPr>
          </w:p>
        </w:tc>
        <w:tc>
          <w:tcPr>
            <w:tcW w:w="1134" w:type="dxa"/>
          </w:tcPr>
          <w:p w14:paraId="720FB831" w14:textId="77777777" w:rsidR="003A4313" w:rsidRPr="00D15622" w:rsidRDefault="003A4313" w:rsidP="0056405D">
            <w:pPr>
              <w:jc w:val="center"/>
              <w:rPr>
                <w:rFonts w:asciiTheme="majorHAnsi" w:hAnsiTheme="majorHAnsi"/>
                <w:b/>
                <w:sz w:val="20"/>
                <w:szCs w:val="20"/>
              </w:rPr>
            </w:pPr>
          </w:p>
        </w:tc>
        <w:tc>
          <w:tcPr>
            <w:tcW w:w="709" w:type="dxa"/>
          </w:tcPr>
          <w:p w14:paraId="75EF9E24" w14:textId="77777777" w:rsidR="003A4313" w:rsidRPr="00D15622" w:rsidRDefault="003A4313" w:rsidP="0056405D">
            <w:pPr>
              <w:jc w:val="center"/>
              <w:rPr>
                <w:rFonts w:asciiTheme="majorHAnsi" w:hAnsiTheme="majorHAnsi"/>
                <w:b/>
                <w:sz w:val="20"/>
                <w:szCs w:val="20"/>
              </w:rPr>
            </w:pPr>
          </w:p>
        </w:tc>
        <w:tc>
          <w:tcPr>
            <w:tcW w:w="851" w:type="dxa"/>
          </w:tcPr>
          <w:p w14:paraId="2FE42666" w14:textId="77777777" w:rsidR="003A4313" w:rsidRPr="00DB483E" w:rsidRDefault="003A4313" w:rsidP="0056405D">
            <w:pPr>
              <w:jc w:val="center"/>
              <w:rPr>
                <w:rFonts w:asciiTheme="majorHAnsi" w:hAnsiTheme="majorHAnsi"/>
                <w:b/>
                <w:sz w:val="20"/>
                <w:szCs w:val="20"/>
                <w:highlight w:val="yellow"/>
              </w:rPr>
            </w:pPr>
          </w:p>
        </w:tc>
        <w:tc>
          <w:tcPr>
            <w:tcW w:w="851" w:type="dxa"/>
          </w:tcPr>
          <w:p w14:paraId="7F05BD45" w14:textId="4FC4119A" w:rsidR="003A4313" w:rsidRPr="00D15622" w:rsidRDefault="003A4313" w:rsidP="0056405D">
            <w:pPr>
              <w:jc w:val="center"/>
              <w:rPr>
                <w:rFonts w:asciiTheme="majorHAnsi" w:hAnsiTheme="majorHAnsi"/>
                <w:b/>
                <w:sz w:val="20"/>
                <w:szCs w:val="20"/>
              </w:rPr>
            </w:pPr>
          </w:p>
        </w:tc>
        <w:tc>
          <w:tcPr>
            <w:tcW w:w="567" w:type="dxa"/>
          </w:tcPr>
          <w:p w14:paraId="27D77F24" w14:textId="409A6AF3" w:rsidR="003A4313" w:rsidRPr="00D15622" w:rsidRDefault="003A4313" w:rsidP="0056405D">
            <w:pPr>
              <w:jc w:val="center"/>
              <w:rPr>
                <w:rFonts w:asciiTheme="majorHAnsi" w:hAnsiTheme="majorHAnsi"/>
                <w:b/>
                <w:sz w:val="20"/>
                <w:szCs w:val="20"/>
              </w:rPr>
            </w:pPr>
          </w:p>
        </w:tc>
        <w:tc>
          <w:tcPr>
            <w:tcW w:w="992" w:type="dxa"/>
          </w:tcPr>
          <w:p w14:paraId="601A1E52" w14:textId="552FDA53" w:rsidR="003A4313" w:rsidRPr="00D15622" w:rsidRDefault="003A4313" w:rsidP="0056405D">
            <w:pPr>
              <w:jc w:val="center"/>
              <w:rPr>
                <w:rFonts w:asciiTheme="majorHAnsi" w:hAnsiTheme="majorHAnsi"/>
                <w:b/>
                <w:sz w:val="20"/>
                <w:szCs w:val="20"/>
              </w:rPr>
            </w:pPr>
          </w:p>
        </w:tc>
      </w:tr>
      <w:tr w:rsidR="003A4313" w:rsidRPr="00D15622" w14:paraId="7AEFC2C3" w14:textId="77777777" w:rsidTr="006A2417">
        <w:tc>
          <w:tcPr>
            <w:tcW w:w="817" w:type="dxa"/>
          </w:tcPr>
          <w:p w14:paraId="4CAD3C55"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3.b</w:t>
            </w:r>
          </w:p>
        </w:tc>
        <w:tc>
          <w:tcPr>
            <w:tcW w:w="851" w:type="dxa"/>
          </w:tcPr>
          <w:p w14:paraId="2CF06DA9"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1EABABA3" w14:textId="77777777" w:rsidR="003A4313" w:rsidRPr="00D15622" w:rsidRDefault="003A4313" w:rsidP="0056405D">
            <w:pPr>
              <w:jc w:val="center"/>
              <w:rPr>
                <w:rFonts w:asciiTheme="majorHAnsi" w:hAnsiTheme="majorHAnsi"/>
                <w:b/>
                <w:sz w:val="20"/>
                <w:szCs w:val="20"/>
              </w:rPr>
            </w:pPr>
          </w:p>
        </w:tc>
        <w:tc>
          <w:tcPr>
            <w:tcW w:w="993" w:type="dxa"/>
          </w:tcPr>
          <w:p w14:paraId="3AE44B61" w14:textId="77777777" w:rsidR="003A4313" w:rsidRPr="00D15622" w:rsidRDefault="003A4313" w:rsidP="0056405D">
            <w:pPr>
              <w:jc w:val="center"/>
              <w:rPr>
                <w:rFonts w:asciiTheme="majorHAnsi" w:hAnsiTheme="majorHAnsi"/>
                <w:b/>
                <w:sz w:val="20"/>
                <w:szCs w:val="20"/>
              </w:rPr>
            </w:pPr>
          </w:p>
        </w:tc>
        <w:tc>
          <w:tcPr>
            <w:tcW w:w="708" w:type="dxa"/>
          </w:tcPr>
          <w:p w14:paraId="632CA6CC" w14:textId="77777777" w:rsidR="003A4313" w:rsidRPr="00D15622" w:rsidRDefault="003A4313" w:rsidP="0056405D">
            <w:pPr>
              <w:jc w:val="center"/>
              <w:rPr>
                <w:rFonts w:asciiTheme="majorHAnsi" w:hAnsiTheme="majorHAnsi"/>
                <w:b/>
                <w:sz w:val="20"/>
                <w:szCs w:val="20"/>
              </w:rPr>
            </w:pPr>
          </w:p>
        </w:tc>
        <w:tc>
          <w:tcPr>
            <w:tcW w:w="1134" w:type="dxa"/>
          </w:tcPr>
          <w:p w14:paraId="4307C2CA" w14:textId="77777777" w:rsidR="003A4313" w:rsidRPr="00D15622" w:rsidRDefault="003A4313" w:rsidP="0056405D">
            <w:pPr>
              <w:jc w:val="center"/>
              <w:rPr>
                <w:rFonts w:asciiTheme="majorHAnsi" w:hAnsiTheme="majorHAnsi"/>
                <w:b/>
                <w:sz w:val="20"/>
                <w:szCs w:val="20"/>
              </w:rPr>
            </w:pPr>
          </w:p>
        </w:tc>
        <w:tc>
          <w:tcPr>
            <w:tcW w:w="709" w:type="dxa"/>
          </w:tcPr>
          <w:p w14:paraId="0EE956C5" w14:textId="77777777" w:rsidR="003A4313" w:rsidRPr="00D15622" w:rsidRDefault="003A4313" w:rsidP="0056405D">
            <w:pPr>
              <w:jc w:val="center"/>
              <w:rPr>
                <w:rFonts w:asciiTheme="majorHAnsi" w:hAnsiTheme="majorHAnsi"/>
                <w:b/>
                <w:sz w:val="20"/>
                <w:szCs w:val="20"/>
              </w:rPr>
            </w:pPr>
          </w:p>
        </w:tc>
        <w:tc>
          <w:tcPr>
            <w:tcW w:w="851" w:type="dxa"/>
          </w:tcPr>
          <w:p w14:paraId="054D16BF" w14:textId="77777777" w:rsidR="003A4313" w:rsidRPr="00DB483E" w:rsidRDefault="003A4313" w:rsidP="0056405D">
            <w:pPr>
              <w:jc w:val="center"/>
              <w:rPr>
                <w:rFonts w:asciiTheme="majorHAnsi" w:hAnsiTheme="majorHAnsi"/>
                <w:b/>
                <w:sz w:val="20"/>
                <w:szCs w:val="20"/>
                <w:highlight w:val="yellow"/>
              </w:rPr>
            </w:pPr>
          </w:p>
        </w:tc>
        <w:tc>
          <w:tcPr>
            <w:tcW w:w="851" w:type="dxa"/>
          </w:tcPr>
          <w:p w14:paraId="668E7154" w14:textId="5EA1EEA5" w:rsidR="003A4313" w:rsidRPr="00D15622" w:rsidRDefault="003A4313" w:rsidP="0056405D">
            <w:pPr>
              <w:jc w:val="center"/>
              <w:rPr>
                <w:rFonts w:asciiTheme="majorHAnsi" w:hAnsiTheme="majorHAnsi"/>
                <w:b/>
                <w:sz w:val="20"/>
                <w:szCs w:val="20"/>
              </w:rPr>
            </w:pPr>
          </w:p>
        </w:tc>
        <w:tc>
          <w:tcPr>
            <w:tcW w:w="567" w:type="dxa"/>
          </w:tcPr>
          <w:p w14:paraId="449ECCB6" w14:textId="1A3B0DD5" w:rsidR="003A4313" w:rsidRPr="00D15622" w:rsidRDefault="003A4313" w:rsidP="0056405D">
            <w:pPr>
              <w:jc w:val="center"/>
              <w:rPr>
                <w:rFonts w:asciiTheme="majorHAnsi" w:hAnsiTheme="majorHAnsi"/>
                <w:b/>
                <w:sz w:val="20"/>
                <w:szCs w:val="20"/>
              </w:rPr>
            </w:pPr>
          </w:p>
        </w:tc>
        <w:tc>
          <w:tcPr>
            <w:tcW w:w="992" w:type="dxa"/>
          </w:tcPr>
          <w:p w14:paraId="1BC8A1B1" w14:textId="11354B84" w:rsidR="003A4313" w:rsidRPr="00D15622" w:rsidRDefault="003A4313" w:rsidP="0056405D">
            <w:pPr>
              <w:jc w:val="center"/>
              <w:rPr>
                <w:rFonts w:asciiTheme="majorHAnsi" w:hAnsiTheme="majorHAnsi"/>
                <w:b/>
                <w:sz w:val="20"/>
                <w:szCs w:val="20"/>
              </w:rPr>
            </w:pPr>
          </w:p>
        </w:tc>
      </w:tr>
      <w:tr w:rsidR="003A4313" w:rsidRPr="00D15622" w14:paraId="556CBFB0" w14:textId="77777777" w:rsidTr="006A2417">
        <w:tc>
          <w:tcPr>
            <w:tcW w:w="817" w:type="dxa"/>
          </w:tcPr>
          <w:p w14:paraId="5B0FAD45"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3.c</w:t>
            </w:r>
          </w:p>
        </w:tc>
        <w:tc>
          <w:tcPr>
            <w:tcW w:w="851" w:type="dxa"/>
          </w:tcPr>
          <w:p w14:paraId="037728C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8" w:type="dxa"/>
          </w:tcPr>
          <w:p w14:paraId="0D6425AD"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993" w:type="dxa"/>
          </w:tcPr>
          <w:p w14:paraId="560606FB" w14:textId="77777777" w:rsidR="003A4313" w:rsidRPr="00D15622" w:rsidRDefault="003A4313" w:rsidP="0056405D">
            <w:pPr>
              <w:jc w:val="center"/>
              <w:rPr>
                <w:rFonts w:asciiTheme="majorHAnsi" w:hAnsiTheme="majorHAnsi"/>
                <w:b/>
                <w:sz w:val="20"/>
                <w:szCs w:val="20"/>
              </w:rPr>
            </w:pPr>
          </w:p>
        </w:tc>
        <w:tc>
          <w:tcPr>
            <w:tcW w:w="708" w:type="dxa"/>
          </w:tcPr>
          <w:p w14:paraId="4046C0AC"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1134" w:type="dxa"/>
          </w:tcPr>
          <w:p w14:paraId="755A5921" w14:textId="77777777" w:rsidR="003A4313" w:rsidRPr="00D15622" w:rsidRDefault="003A4313" w:rsidP="0056405D">
            <w:pPr>
              <w:jc w:val="center"/>
              <w:rPr>
                <w:rFonts w:asciiTheme="majorHAnsi" w:hAnsiTheme="majorHAnsi"/>
                <w:b/>
                <w:sz w:val="20"/>
                <w:szCs w:val="20"/>
              </w:rPr>
            </w:pPr>
          </w:p>
        </w:tc>
        <w:tc>
          <w:tcPr>
            <w:tcW w:w="709" w:type="dxa"/>
          </w:tcPr>
          <w:p w14:paraId="6003E462" w14:textId="77777777" w:rsidR="003A4313" w:rsidRPr="00D15622" w:rsidRDefault="003A4313" w:rsidP="0056405D">
            <w:pPr>
              <w:jc w:val="center"/>
              <w:rPr>
                <w:rFonts w:asciiTheme="majorHAnsi" w:hAnsiTheme="majorHAnsi"/>
                <w:b/>
                <w:sz w:val="20"/>
                <w:szCs w:val="20"/>
              </w:rPr>
            </w:pPr>
          </w:p>
        </w:tc>
        <w:tc>
          <w:tcPr>
            <w:tcW w:w="851" w:type="dxa"/>
          </w:tcPr>
          <w:p w14:paraId="195771FE" w14:textId="77777777" w:rsidR="003A4313" w:rsidRPr="00DB483E" w:rsidRDefault="003A4313" w:rsidP="0056405D">
            <w:pPr>
              <w:jc w:val="center"/>
              <w:rPr>
                <w:rFonts w:asciiTheme="majorHAnsi" w:hAnsiTheme="majorHAnsi"/>
                <w:b/>
                <w:sz w:val="20"/>
                <w:szCs w:val="20"/>
                <w:highlight w:val="yellow"/>
              </w:rPr>
            </w:pPr>
          </w:p>
        </w:tc>
        <w:tc>
          <w:tcPr>
            <w:tcW w:w="851" w:type="dxa"/>
          </w:tcPr>
          <w:p w14:paraId="3B5DD9A6" w14:textId="796E58F4" w:rsidR="003A4313" w:rsidRPr="00D15622" w:rsidRDefault="003A4313" w:rsidP="0056405D">
            <w:pPr>
              <w:jc w:val="center"/>
              <w:rPr>
                <w:rFonts w:asciiTheme="majorHAnsi" w:hAnsiTheme="majorHAnsi"/>
                <w:b/>
                <w:sz w:val="20"/>
                <w:szCs w:val="20"/>
              </w:rPr>
            </w:pPr>
          </w:p>
        </w:tc>
        <w:tc>
          <w:tcPr>
            <w:tcW w:w="567" w:type="dxa"/>
          </w:tcPr>
          <w:p w14:paraId="3F471090" w14:textId="019E9244" w:rsidR="003A4313" w:rsidRPr="00D15622" w:rsidRDefault="003A4313" w:rsidP="0056405D">
            <w:pPr>
              <w:jc w:val="center"/>
              <w:rPr>
                <w:rFonts w:asciiTheme="majorHAnsi" w:hAnsiTheme="majorHAnsi"/>
                <w:b/>
                <w:sz w:val="20"/>
                <w:szCs w:val="20"/>
              </w:rPr>
            </w:pPr>
          </w:p>
        </w:tc>
        <w:tc>
          <w:tcPr>
            <w:tcW w:w="992" w:type="dxa"/>
          </w:tcPr>
          <w:p w14:paraId="261A2E3E" w14:textId="1B204014" w:rsidR="003A4313" w:rsidRPr="00D15622" w:rsidRDefault="003A4313" w:rsidP="0056405D">
            <w:pPr>
              <w:jc w:val="center"/>
              <w:rPr>
                <w:rFonts w:asciiTheme="majorHAnsi" w:hAnsiTheme="majorHAnsi"/>
                <w:b/>
                <w:sz w:val="20"/>
                <w:szCs w:val="20"/>
              </w:rPr>
            </w:pPr>
          </w:p>
        </w:tc>
      </w:tr>
      <w:tr w:rsidR="003A4313" w:rsidRPr="00D15622" w14:paraId="4BE400E3" w14:textId="77777777" w:rsidTr="006A2417">
        <w:tc>
          <w:tcPr>
            <w:tcW w:w="817" w:type="dxa"/>
          </w:tcPr>
          <w:p w14:paraId="4802A17F"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3.d</w:t>
            </w:r>
          </w:p>
        </w:tc>
        <w:tc>
          <w:tcPr>
            <w:tcW w:w="851" w:type="dxa"/>
          </w:tcPr>
          <w:p w14:paraId="27FA67D2"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8" w:type="dxa"/>
          </w:tcPr>
          <w:p w14:paraId="4C6D9F3B"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993" w:type="dxa"/>
          </w:tcPr>
          <w:p w14:paraId="24828043"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8" w:type="dxa"/>
          </w:tcPr>
          <w:p w14:paraId="3D7F5E69"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1134" w:type="dxa"/>
          </w:tcPr>
          <w:p w14:paraId="5A55B457"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9" w:type="dxa"/>
          </w:tcPr>
          <w:p w14:paraId="6CE43B09" w14:textId="73868831" w:rsidR="003A4313" w:rsidRPr="00D15622" w:rsidRDefault="003A4313" w:rsidP="0056405D">
            <w:pPr>
              <w:jc w:val="center"/>
              <w:rPr>
                <w:rFonts w:asciiTheme="majorHAnsi" w:hAnsiTheme="majorHAnsi"/>
                <w:b/>
                <w:sz w:val="20"/>
                <w:szCs w:val="20"/>
              </w:rPr>
            </w:pPr>
            <w:r>
              <w:rPr>
                <w:rFonts w:asciiTheme="majorHAnsi" w:hAnsiTheme="majorHAnsi"/>
                <w:b/>
                <w:sz w:val="20"/>
                <w:szCs w:val="20"/>
              </w:rPr>
              <w:t>S</w:t>
            </w:r>
          </w:p>
        </w:tc>
        <w:tc>
          <w:tcPr>
            <w:tcW w:w="851" w:type="dxa"/>
          </w:tcPr>
          <w:p w14:paraId="4AE00D8E" w14:textId="78D0BC46" w:rsidR="003A4313" w:rsidRPr="00DB483E" w:rsidRDefault="003A4313" w:rsidP="0056405D">
            <w:pPr>
              <w:jc w:val="center"/>
              <w:rPr>
                <w:rFonts w:asciiTheme="majorHAnsi" w:hAnsiTheme="majorHAnsi"/>
                <w:b/>
                <w:sz w:val="20"/>
                <w:szCs w:val="20"/>
                <w:highlight w:val="yellow"/>
              </w:rPr>
            </w:pPr>
          </w:p>
        </w:tc>
        <w:tc>
          <w:tcPr>
            <w:tcW w:w="851" w:type="dxa"/>
          </w:tcPr>
          <w:p w14:paraId="5E613A69" w14:textId="4ABCDFBC" w:rsidR="003A4313" w:rsidRPr="00D15622" w:rsidRDefault="003A4313" w:rsidP="0056405D">
            <w:pPr>
              <w:jc w:val="center"/>
              <w:rPr>
                <w:rFonts w:asciiTheme="majorHAnsi" w:hAnsiTheme="majorHAnsi"/>
                <w:b/>
                <w:sz w:val="20"/>
                <w:szCs w:val="20"/>
              </w:rPr>
            </w:pPr>
          </w:p>
        </w:tc>
        <w:tc>
          <w:tcPr>
            <w:tcW w:w="567" w:type="dxa"/>
          </w:tcPr>
          <w:p w14:paraId="28FA0A8A" w14:textId="1A738FD2" w:rsidR="003A4313" w:rsidRPr="00D15622" w:rsidRDefault="003A4313" w:rsidP="0056405D">
            <w:pPr>
              <w:jc w:val="center"/>
              <w:rPr>
                <w:rFonts w:asciiTheme="majorHAnsi" w:hAnsiTheme="majorHAnsi"/>
                <w:b/>
                <w:sz w:val="20"/>
                <w:szCs w:val="20"/>
              </w:rPr>
            </w:pPr>
          </w:p>
        </w:tc>
        <w:tc>
          <w:tcPr>
            <w:tcW w:w="992" w:type="dxa"/>
          </w:tcPr>
          <w:p w14:paraId="24F45169" w14:textId="55493764" w:rsidR="003A4313" w:rsidRPr="00D15622" w:rsidRDefault="003A4313" w:rsidP="0056405D">
            <w:pPr>
              <w:jc w:val="center"/>
              <w:rPr>
                <w:rFonts w:asciiTheme="majorHAnsi" w:hAnsiTheme="majorHAnsi"/>
                <w:b/>
                <w:sz w:val="20"/>
                <w:szCs w:val="20"/>
              </w:rPr>
            </w:pPr>
          </w:p>
        </w:tc>
      </w:tr>
      <w:tr w:rsidR="003A4313" w:rsidRPr="00D15622" w14:paraId="6E682291" w14:textId="77777777" w:rsidTr="006A2417">
        <w:tc>
          <w:tcPr>
            <w:tcW w:w="817" w:type="dxa"/>
          </w:tcPr>
          <w:p w14:paraId="0502D2D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4a-e</w:t>
            </w:r>
          </w:p>
        </w:tc>
        <w:tc>
          <w:tcPr>
            <w:tcW w:w="851" w:type="dxa"/>
          </w:tcPr>
          <w:p w14:paraId="585F5BCB"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8" w:type="dxa"/>
          </w:tcPr>
          <w:p w14:paraId="5D5164D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993" w:type="dxa"/>
          </w:tcPr>
          <w:p w14:paraId="1696941A"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8" w:type="dxa"/>
          </w:tcPr>
          <w:p w14:paraId="29BC76EC"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1134" w:type="dxa"/>
          </w:tcPr>
          <w:p w14:paraId="3E2B0E8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709" w:type="dxa"/>
          </w:tcPr>
          <w:p w14:paraId="0FC07029" w14:textId="0B23C39A" w:rsidR="003A4313" w:rsidRPr="00D15622" w:rsidRDefault="003A4313" w:rsidP="0056405D">
            <w:pPr>
              <w:jc w:val="center"/>
              <w:rPr>
                <w:rFonts w:asciiTheme="majorHAnsi" w:hAnsiTheme="majorHAnsi"/>
                <w:b/>
                <w:sz w:val="20"/>
                <w:szCs w:val="20"/>
              </w:rPr>
            </w:pPr>
            <w:r>
              <w:rPr>
                <w:rFonts w:asciiTheme="majorHAnsi" w:hAnsiTheme="majorHAnsi"/>
                <w:b/>
                <w:sz w:val="20"/>
                <w:szCs w:val="20"/>
              </w:rPr>
              <w:t>S</w:t>
            </w:r>
          </w:p>
        </w:tc>
        <w:tc>
          <w:tcPr>
            <w:tcW w:w="851" w:type="dxa"/>
          </w:tcPr>
          <w:p w14:paraId="70D1F7E7" w14:textId="7AD3C176" w:rsidR="003A4313" w:rsidRPr="00DB483E" w:rsidRDefault="00DB483E" w:rsidP="0056405D">
            <w:pPr>
              <w:jc w:val="center"/>
              <w:rPr>
                <w:rFonts w:asciiTheme="majorHAnsi" w:hAnsiTheme="majorHAnsi"/>
                <w:b/>
                <w:sz w:val="20"/>
                <w:szCs w:val="20"/>
                <w:highlight w:val="yellow"/>
              </w:rPr>
            </w:pPr>
            <w:r w:rsidRPr="00DB483E">
              <w:rPr>
                <w:rFonts w:asciiTheme="majorHAnsi" w:hAnsiTheme="majorHAnsi"/>
                <w:b/>
                <w:sz w:val="20"/>
                <w:szCs w:val="20"/>
              </w:rPr>
              <w:t>S</w:t>
            </w:r>
          </w:p>
        </w:tc>
        <w:tc>
          <w:tcPr>
            <w:tcW w:w="851" w:type="dxa"/>
          </w:tcPr>
          <w:p w14:paraId="5F870A6B" w14:textId="1074EDC2" w:rsidR="003A4313" w:rsidRPr="00D15622" w:rsidRDefault="003A4313" w:rsidP="0056405D">
            <w:pPr>
              <w:jc w:val="center"/>
              <w:rPr>
                <w:rFonts w:asciiTheme="majorHAnsi" w:hAnsiTheme="majorHAnsi"/>
                <w:b/>
                <w:sz w:val="20"/>
                <w:szCs w:val="20"/>
              </w:rPr>
            </w:pPr>
          </w:p>
        </w:tc>
        <w:tc>
          <w:tcPr>
            <w:tcW w:w="567" w:type="dxa"/>
          </w:tcPr>
          <w:p w14:paraId="29B9C2AD" w14:textId="530AC727" w:rsidR="003A4313" w:rsidRPr="00D15622" w:rsidRDefault="003A4313" w:rsidP="0056405D">
            <w:pPr>
              <w:jc w:val="center"/>
              <w:rPr>
                <w:rFonts w:asciiTheme="majorHAnsi" w:hAnsiTheme="majorHAnsi"/>
                <w:b/>
                <w:sz w:val="20"/>
                <w:szCs w:val="20"/>
              </w:rPr>
            </w:pPr>
          </w:p>
        </w:tc>
        <w:tc>
          <w:tcPr>
            <w:tcW w:w="992" w:type="dxa"/>
          </w:tcPr>
          <w:p w14:paraId="14D9463C" w14:textId="74DEE83E" w:rsidR="003A4313" w:rsidRPr="00D15622" w:rsidRDefault="003A4313" w:rsidP="0056405D">
            <w:pPr>
              <w:jc w:val="center"/>
              <w:rPr>
                <w:rFonts w:asciiTheme="majorHAnsi" w:hAnsiTheme="majorHAnsi"/>
                <w:b/>
                <w:sz w:val="20"/>
                <w:szCs w:val="20"/>
              </w:rPr>
            </w:pPr>
          </w:p>
        </w:tc>
      </w:tr>
      <w:tr w:rsidR="003A4313" w:rsidRPr="00D15622" w14:paraId="3AACCF11" w14:textId="77777777" w:rsidTr="006A2417">
        <w:tc>
          <w:tcPr>
            <w:tcW w:w="817" w:type="dxa"/>
          </w:tcPr>
          <w:p w14:paraId="2C030C6A"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5.a</w:t>
            </w:r>
          </w:p>
        </w:tc>
        <w:tc>
          <w:tcPr>
            <w:tcW w:w="851" w:type="dxa"/>
          </w:tcPr>
          <w:p w14:paraId="0BFFFC2D"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767A10A1" w14:textId="77777777" w:rsidR="003A4313" w:rsidRPr="00D15622" w:rsidRDefault="003A4313" w:rsidP="0056405D">
            <w:pPr>
              <w:jc w:val="center"/>
              <w:rPr>
                <w:rFonts w:asciiTheme="majorHAnsi" w:hAnsiTheme="majorHAnsi"/>
                <w:b/>
                <w:sz w:val="20"/>
                <w:szCs w:val="20"/>
              </w:rPr>
            </w:pPr>
          </w:p>
        </w:tc>
        <w:tc>
          <w:tcPr>
            <w:tcW w:w="993" w:type="dxa"/>
          </w:tcPr>
          <w:p w14:paraId="43DCD8DD" w14:textId="77777777" w:rsidR="003A4313" w:rsidRPr="00D15622" w:rsidRDefault="003A4313" w:rsidP="0056405D">
            <w:pPr>
              <w:jc w:val="center"/>
              <w:rPr>
                <w:rFonts w:asciiTheme="majorHAnsi" w:hAnsiTheme="majorHAnsi"/>
                <w:b/>
                <w:sz w:val="20"/>
                <w:szCs w:val="20"/>
              </w:rPr>
            </w:pPr>
          </w:p>
        </w:tc>
        <w:tc>
          <w:tcPr>
            <w:tcW w:w="708" w:type="dxa"/>
          </w:tcPr>
          <w:p w14:paraId="0A78712D"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1134" w:type="dxa"/>
          </w:tcPr>
          <w:p w14:paraId="499A8B7C" w14:textId="77777777" w:rsidR="003A4313" w:rsidRPr="00D15622" w:rsidRDefault="003A4313" w:rsidP="0056405D">
            <w:pPr>
              <w:jc w:val="center"/>
              <w:rPr>
                <w:rFonts w:asciiTheme="majorHAnsi" w:hAnsiTheme="majorHAnsi"/>
                <w:b/>
                <w:sz w:val="20"/>
                <w:szCs w:val="20"/>
              </w:rPr>
            </w:pPr>
          </w:p>
        </w:tc>
        <w:tc>
          <w:tcPr>
            <w:tcW w:w="709" w:type="dxa"/>
          </w:tcPr>
          <w:p w14:paraId="3CF99FA0" w14:textId="77777777" w:rsidR="003A4313" w:rsidRPr="00D15622" w:rsidRDefault="003A4313" w:rsidP="0056405D">
            <w:pPr>
              <w:jc w:val="center"/>
              <w:rPr>
                <w:rFonts w:asciiTheme="majorHAnsi" w:hAnsiTheme="majorHAnsi"/>
                <w:b/>
                <w:sz w:val="20"/>
                <w:szCs w:val="20"/>
              </w:rPr>
            </w:pPr>
          </w:p>
        </w:tc>
        <w:tc>
          <w:tcPr>
            <w:tcW w:w="851" w:type="dxa"/>
          </w:tcPr>
          <w:p w14:paraId="69DA7C1E" w14:textId="77777777" w:rsidR="003A4313" w:rsidRPr="00DB483E" w:rsidRDefault="003A4313" w:rsidP="0056405D">
            <w:pPr>
              <w:jc w:val="center"/>
              <w:rPr>
                <w:rFonts w:asciiTheme="majorHAnsi" w:hAnsiTheme="majorHAnsi"/>
                <w:b/>
                <w:sz w:val="20"/>
                <w:szCs w:val="20"/>
                <w:highlight w:val="yellow"/>
              </w:rPr>
            </w:pPr>
          </w:p>
        </w:tc>
        <w:tc>
          <w:tcPr>
            <w:tcW w:w="851" w:type="dxa"/>
          </w:tcPr>
          <w:p w14:paraId="6955B7DF" w14:textId="42203D3F" w:rsidR="003A4313" w:rsidRPr="00D15622" w:rsidRDefault="003A4313" w:rsidP="0056405D">
            <w:pPr>
              <w:jc w:val="center"/>
              <w:rPr>
                <w:rFonts w:asciiTheme="majorHAnsi" w:hAnsiTheme="majorHAnsi"/>
                <w:b/>
                <w:sz w:val="20"/>
                <w:szCs w:val="20"/>
              </w:rPr>
            </w:pPr>
          </w:p>
        </w:tc>
        <w:tc>
          <w:tcPr>
            <w:tcW w:w="567" w:type="dxa"/>
          </w:tcPr>
          <w:p w14:paraId="5DF3DA46" w14:textId="5AA7903F" w:rsidR="003A4313" w:rsidRPr="00D15622" w:rsidRDefault="003A4313" w:rsidP="0056405D">
            <w:pPr>
              <w:jc w:val="center"/>
              <w:rPr>
                <w:rFonts w:asciiTheme="majorHAnsi" w:hAnsiTheme="majorHAnsi"/>
                <w:b/>
                <w:sz w:val="20"/>
                <w:szCs w:val="20"/>
              </w:rPr>
            </w:pPr>
          </w:p>
        </w:tc>
        <w:tc>
          <w:tcPr>
            <w:tcW w:w="992" w:type="dxa"/>
          </w:tcPr>
          <w:p w14:paraId="48E60078" w14:textId="566E3BAA" w:rsidR="003A4313" w:rsidRPr="00D15622" w:rsidRDefault="003A4313" w:rsidP="0056405D">
            <w:pPr>
              <w:jc w:val="center"/>
              <w:rPr>
                <w:rFonts w:asciiTheme="majorHAnsi" w:hAnsiTheme="majorHAnsi"/>
                <w:b/>
                <w:sz w:val="20"/>
                <w:szCs w:val="20"/>
              </w:rPr>
            </w:pPr>
          </w:p>
        </w:tc>
      </w:tr>
      <w:tr w:rsidR="003A4313" w:rsidRPr="00D15622" w14:paraId="36915A6B" w14:textId="77777777" w:rsidTr="006A2417">
        <w:tc>
          <w:tcPr>
            <w:tcW w:w="817" w:type="dxa"/>
          </w:tcPr>
          <w:p w14:paraId="12907FFE"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5.b</w:t>
            </w:r>
          </w:p>
        </w:tc>
        <w:tc>
          <w:tcPr>
            <w:tcW w:w="851" w:type="dxa"/>
          </w:tcPr>
          <w:p w14:paraId="4C8AEB52"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08727D89" w14:textId="77777777" w:rsidR="003A4313" w:rsidRPr="00D15622" w:rsidRDefault="003A4313" w:rsidP="0056405D">
            <w:pPr>
              <w:jc w:val="center"/>
              <w:rPr>
                <w:rFonts w:asciiTheme="majorHAnsi" w:hAnsiTheme="majorHAnsi"/>
                <w:b/>
                <w:sz w:val="20"/>
                <w:szCs w:val="20"/>
              </w:rPr>
            </w:pPr>
          </w:p>
        </w:tc>
        <w:tc>
          <w:tcPr>
            <w:tcW w:w="993" w:type="dxa"/>
          </w:tcPr>
          <w:p w14:paraId="2B46B4F5" w14:textId="77777777" w:rsidR="003A4313" w:rsidRPr="00D15622" w:rsidRDefault="003A4313" w:rsidP="0056405D">
            <w:pPr>
              <w:jc w:val="center"/>
              <w:rPr>
                <w:rFonts w:asciiTheme="majorHAnsi" w:hAnsiTheme="majorHAnsi"/>
                <w:b/>
                <w:sz w:val="20"/>
                <w:szCs w:val="20"/>
              </w:rPr>
            </w:pPr>
          </w:p>
        </w:tc>
        <w:tc>
          <w:tcPr>
            <w:tcW w:w="708" w:type="dxa"/>
          </w:tcPr>
          <w:p w14:paraId="5298D9B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S</w:t>
            </w:r>
          </w:p>
        </w:tc>
        <w:tc>
          <w:tcPr>
            <w:tcW w:w="1134" w:type="dxa"/>
          </w:tcPr>
          <w:p w14:paraId="4CE542F5" w14:textId="77777777" w:rsidR="003A4313" w:rsidRPr="00D15622" w:rsidRDefault="003A4313" w:rsidP="0056405D">
            <w:pPr>
              <w:jc w:val="center"/>
              <w:rPr>
                <w:rFonts w:asciiTheme="majorHAnsi" w:hAnsiTheme="majorHAnsi"/>
                <w:b/>
                <w:sz w:val="20"/>
                <w:szCs w:val="20"/>
              </w:rPr>
            </w:pPr>
          </w:p>
        </w:tc>
        <w:tc>
          <w:tcPr>
            <w:tcW w:w="709" w:type="dxa"/>
          </w:tcPr>
          <w:p w14:paraId="394B3EA8" w14:textId="77777777" w:rsidR="003A4313" w:rsidRPr="00D15622" w:rsidRDefault="003A4313" w:rsidP="0056405D">
            <w:pPr>
              <w:jc w:val="center"/>
              <w:rPr>
                <w:rFonts w:asciiTheme="majorHAnsi" w:hAnsiTheme="majorHAnsi"/>
                <w:b/>
                <w:sz w:val="20"/>
                <w:szCs w:val="20"/>
              </w:rPr>
            </w:pPr>
          </w:p>
        </w:tc>
        <w:tc>
          <w:tcPr>
            <w:tcW w:w="851" w:type="dxa"/>
          </w:tcPr>
          <w:p w14:paraId="725E0FAA" w14:textId="77777777" w:rsidR="003A4313" w:rsidRPr="00DB483E" w:rsidRDefault="003A4313" w:rsidP="0056405D">
            <w:pPr>
              <w:jc w:val="center"/>
              <w:rPr>
                <w:rFonts w:asciiTheme="majorHAnsi" w:hAnsiTheme="majorHAnsi"/>
                <w:b/>
                <w:sz w:val="20"/>
                <w:szCs w:val="20"/>
                <w:highlight w:val="yellow"/>
              </w:rPr>
            </w:pPr>
          </w:p>
        </w:tc>
        <w:tc>
          <w:tcPr>
            <w:tcW w:w="851" w:type="dxa"/>
          </w:tcPr>
          <w:p w14:paraId="610B4261" w14:textId="7DD869C1" w:rsidR="003A4313" w:rsidRPr="00D15622" w:rsidRDefault="003A4313" w:rsidP="0056405D">
            <w:pPr>
              <w:jc w:val="center"/>
              <w:rPr>
                <w:rFonts w:asciiTheme="majorHAnsi" w:hAnsiTheme="majorHAnsi"/>
                <w:b/>
                <w:sz w:val="20"/>
                <w:szCs w:val="20"/>
              </w:rPr>
            </w:pPr>
          </w:p>
        </w:tc>
        <w:tc>
          <w:tcPr>
            <w:tcW w:w="567" w:type="dxa"/>
          </w:tcPr>
          <w:p w14:paraId="5CF50173" w14:textId="187BD0F0" w:rsidR="003A4313" w:rsidRPr="00D15622" w:rsidRDefault="003A4313" w:rsidP="0056405D">
            <w:pPr>
              <w:jc w:val="center"/>
              <w:rPr>
                <w:rFonts w:asciiTheme="majorHAnsi" w:hAnsiTheme="majorHAnsi"/>
                <w:b/>
                <w:sz w:val="20"/>
                <w:szCs w:val="20"/>
              </w:rPr>
            </w:pPr>
          </w:p>
        </w:tc>
        <w:tc>
          <w:tcPr>
            <w:tcW w:w="992" w:type="dxa"/>
          </w:tcPr>
          <w:p w14:paraId="1246860D" w14:textId="6F099062" w:rsidR="003A4313" w:rsidRPr="00D15622" w:rsidRDefault="003A4313" w:rsidP="0056405D">
            <w:pPr>
              <w:jc w:val="center"/>
              <w:rPr>
                <w:rFonts w:asciiTheme="majorHAnsi" w:hAnsiTheme="majorHAnsi"/>
                <w:b/>
                <w:sz w:val="20"/>
                <w:szCs w:val="20"/>
              </w:rPr>
            </w:pPr>
          </w:p>
        </w:tc>
      </w:tr>
      <w:tr w:rsidR="003A4313" w:rsidRPr="00D15622" w14:paraId="6F203CE8" w14:textId="77777777" w:rsidTr="006A2417">
        <w:tc>
          <w:tcPr>
            <w:tcW w:w="817" w:type="dxa"/>
          </w:tcPr>
          <w:p w14:paraId="01468F7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5.c</w:t>
            </w:r>
          </w:p>
        </w:tc>
        <w:tc>
          <w:tcPr>
            <w:tcW w:w="851" w:type="dxa"/>
          </w:tcPr>
          <w:p w14:paraId="0AFAA4D8"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4C92B96D" w14:textId="77777777" w:rsidR="003A4313" w:rsidRPr="00D15622" w:rsidRDefault="003A4313" w:rsidP="0056405D">
            <w:pPr>
              <w:jc w:val="center"/>
              <w:rPr>
                <w:rFonts w:asciiTheme="majorHAnsi" w:hAnsiTheme="majorHAnsi"/>
                <w:b/>
                <w:sz w:val="20"/>
                <w:szCs w:val="20"/>
              </w:rPr>
            </w:pPr>
          </w:p>
        </w:tc>
        <w:tc>
          <w:tcPr>
            <w:tcW w:w="993" w:type="dxa"/>
          </w:tcPr>
          <w:p w14:paraId="33E07077" w14:textId="77777777" w:rsidR="003A4313" w:rsidRPr="00D15622" w:rsidRDefault="003A4313" w:rsidP="0056405D">
            <w:pPr>
              <w:jc w:val="center"/>
              <w:rPr>
                <w:rFonts w:asciiTheme="majorHAnsi" w:hAnsiTheme="majorHAnsi"/>
                <w:b/>
                <w:sz w:val="20"/>
                <w:szCs w:val="20"/>
              </w:rPr>
            </w:pPr>
          </w:p>
        </w:tc>
        <w:tc>
          <w:tcPr>
            <w:tcW w:w="708" w:type="dxa"/>
          </w:tcPr>
          <w:p w14:paraId="44474991" w14:textId="77777777" w:rsidR="003A4313" w:rsidRPr="00D15622" w:rsidRDefault="003A4313" w:rsidP="0056405D">
            <w:pPr>
              <w:jc w:val="center"/>
              <w:rPr>
                <w:rFonts w:asciiTheme="majorHAnsi" w:hAnsiTheme="majorHAnsi"/>
                <w:b/>
                <w:sz w:val="20"/>
                <w:szCs w:val="20"/>
              </w:rPr>
            </w:pPr>
          </w:p>
        </w:tc>
        <w:tc>
          <w:tcPr>
            <w:tcW w:w="1134" w:type="dxa"/>
          </w:tcPr>
          <w:p w14:paraId="7DDE0C53" w14:textId="77777777" w:rsidR="003A4313" w:rsidRPr="00D15622" w:rsidRDefault="003A4313" w:rsidP="0056405D">
            <w:pPr>
              <w:jc w:val="center"/>
              <w:rPr>
                <w:rFonts w:asciiTheme="majorHAnsi" w:hAnsiTheme="majorHAnsi"/>
                <w:b/>
                <w:sz w:val="20"/>
                <w:szCs w:val="20"/>
              </w:rPr>
            </w:pPr>
          </w:p>
        </w:tc>
        <w:tc>
          <w:tcPr>
            <w:tcW w:w="709" w:type="dxa"/>
          </w:tcPr>
          <w:p w14:paraId="63E7E4C8" w14:textId="77777777" w:rsidR="003A4313" w:rsidRPr="00D15622" w:rsidRDefault="003A4313" w:rsidP="0056405D">
            <w:pPr>
              <w:jc w:val="center"/>
              <w:rPr>
                <w:rFonts w:asciiTheme="majorHAnsi" w:hAnsiTheme="majorHAnsi"/>
                <w:b/>
                <w:sz w:val="20"/>
                <w:szCs w:val="20"/>
              </w:rPr>
            </w:pPr>
          </w:p>
        </w:tc>
        <w:tc>
          <w:tcPr>
            <w:tcW w:w="851" w:type="dxa"/>
          </w:tcPr>
          <w:p w14:paraId="1ADDB8D3" w14:textId="77777777" w:rsidR="003A4313" w:rsidRPr="00DB483E" w:rsidRDefault="003A4313" w:rsidP="0056405D">
            <w:pPr>
              <w:jc w:val="center"/>
              <w:rPr>
                <w:rFonts w:asciiTheme="majorHAnsi" w:hAnsiTheme="majorHAnsi"/>
                <w:b/>
                <w:sz w:val="20"/>
                <w:szCs w:val="20"/>
                <w:highlight w:val="yellow"/>
              </w:rPr>
            </w:pPr>
          </w:p>
        </w:tc>
        <w:tc>
          <w:tcPr>
            <w:tcW w:w="851" w:type="dxa"/>
          </w:tcPr>
          <w:p w14:paraId="471FB917" w14:textId="1D8BE505" w:rsidR="003A4313" w:rsidRPr="00D15622" w:rsidRDefault="003A4313" w:rsidP="0056405D">
            <w:pPr>
              <w:jc w:val="center"/>
              <w:rPr>
                <w:rFonts w:asciiTheme="majorHAnsi" w:hAnsiTheme="majorHAnsi"/>
                <w:b/>
                <w:sz w:val="20"/>
                <w:szCs w:val="20"/>
              </w:rPr>
            </w:pPr>
          </w:p>
        </w:tc>
        <w:tc>
          <w:tcPr>
            <w:tcW w:w="567" w:type="dxa"/>
          </w:tcPr>
          <w:p w14:paraId="0DCE7516" w14:textId="07FE701D" w:rsidR="003A4313" w:rsidRPr="00D15622" w:rsidRDefault="003A4313" w:rsidP="0056405D">
            <w:pPr>
              <w:jc w:val="center"/>
              <w:rPr>
                <w:rFonts w:asciiTheme="majorHAnsi" w:hAnsiTheme="majorHAnsi"/>
                <w:b/>
                <w:sz w:val="20"/>
                <w:szCs w:val="20"/>
              </w:rPr>
            </w:pPr>
          </w:p>
        </w:tc>
        <w:tc>
          <w:tcPr>
            <w:tcW w:w="992" w:type="dxa"/>
          </w:tcPr>
          <w:p w14:paraId="4A8BC563" w14:textId="3E4590BD" w:rsidR="003A4313" w:rsidRPr="00D15622" w:rsidRDefault="003A4313" w:rsidP="0056405D">
            <w:pPr>
              <w:jc w:val="center"/>
              <w:rPr>
                <w:rFonts w:asciiTheme="majorHAnsi" w:hAnsiTheme="majorHAnsi"/>
                <w:b/>
                <w:sz w:val="20"/>
                <w:szCs w:val="20"/>
              </w:rPr>
            </w:pPr>
          </w:p>
        </w:tc>
      </w:tr>
      <w:tr w:rsidR="003A4313" w:rsidRPr="00D15622" w14:paraId="04EA28CE" w14:textId="77777777" w:rsidTr="006A2417">
        <w:tc>
          <w:tcPr>
            <w:tcW w:w="817" w:type="dxa"/>
          </w:tcPr>
          <w:p w14:paraId="42CD773C"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5.d</w:t>
            </w:r>
          </w:p>
        </w:tc>
        <w:tc>
          <w:tcPr>
            <w:tcW w:w="851" w:type="dxa"/>
          </w:tcPr>
          <w:p w14:paraId="5F640273"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1ABEE4D3" w14:textId="77777777" w:rsidR="003A4313" w:rsidRPr="00D15622" w:rsidRDefault="003A4313" w:rsidP="0056405D">
            <w:pPr>
              <w:jc w:val="center"/>
              <w:rPr>
                <w:rFonts w:asciiTheme="majorHAnsi" w:hAnsiTheme="majorHAnsi"/>
                <w:b/>
                <w:sz w:val="20"/>
                <w:szCs w:val="20"/>
              </w:rPr>
            </w:pPr>
          </w:p>
        </w:tc>
        <w:tc>
          <w:tcPr>
            <w:tcW w:w="993" w:type="dxa"/>
          </w:tcPr>
          <w:p w14:paraId="285D2D79" w14:textId="77777777" w:rsidR="003A4313" w:rsidRPr="00D15622" w:rsidRDefault="003A4313" w:rsidP="0056405D">
            <w:pPr>
              <w:jc w:val="center"/>
              <w:rPr>
                <w:rFonts w:asciiTheme="majorHAnsi" w:hAnsiTheme="majorHAnsi"/>
                <w:b/>
                <w:sz w:val="20"/>
                <w:szCs w:val="20"/>
              </w:rPr>
            </w:pPr>
          </w:p>
        </w:tc>
        <w:tc>
          <w:tcPr>
            <w:tcW w:w="708" w:type="dxa"/>
          </w:tcPr>
          <w:p w14:paraId="19A644FD" w14:textId="77777777" w:rsidR="003A4313" w:rsidRPr="00D15622" w:rsidRDefault="003A4313" w:rsidP="0056405D">
            <w:pPr>
              <w:jc w:val="center"/>
              <w:rPr>
                <w:rFonts w:asciiTheme="majorHAnsi" w:hAnsiTheme="majorHAnsi"/>
                <w:b/>
                <w:sz w:val="20"/>
                <w:szCs w:val="20"/>
              </w:rPr>
            </w:pPr>
          </w:p>
        </w:tc>
        <w:tc>
          <w:tcPr>
            <w:tcW w:w="1134" w:type="dxa"/>
          </w:tcPr>
          <w:p w14:paraId="1AB16312" w14:textId="77777777" w:rsidR="003A4313" w:rsidRPr="00D15622" w:rsidRDefault="003A4313" w:rsidP="0056405D">
            <w:pPr>
              <w:jc w:val="center"/>
              <w:rPr>
                <w:rFonts w:asciiTheme="majorHAnsi" w:hAnsiTheme="majorHAnsi"/>
                <w:b/>
                <w:sz w:val="20"/>
                <w:szCs w:val="20"/>
              </w:rPr>
            </w:pPr>
          </w:p>
        </w:tc>
        <w:tc>
          <w:tcPr>
            <w:tcW w:w="709" w:type="dxa"/>
          </w:tcPr>
          <w:p w14:paraId="18CF5ED1" w14:textId="77777777" w:rsidR="003A4313" w:rsidRPr="00D15622" w:rsidRDefault="003A4313" w:rsidP="0056405D">
            <w:pPr>
              <w:jc w:val="center"/>
              <w:rPr>
                <w:rFonts w:asciiTheme="majorHAnsi" w:hAnsiTheme="majorHAnsi"/>
                <w:b/>
                <w:sz w:val="20"/>
                <w:szCs w:val="20"/>
              </w:rPr>
            </w:pPr>
          </w:p>
        </w:tc>
        <w:tc>
          <w:tcPr>
            <w:tcW w:w="851" w:type="dxa"/>
          </w:tcPr>
          <w:p w14:paraId="227840CE" w14:textId="77777777" w:rsidR="003A4313" w:rsidRPr="00DB483E" w:rsidRDefault="003A4313" w:rsidP="0056405D">
            <w:pPr>
              <w:jc w:val="center"/>
              <w:rPr>
                <w:rFonts w:asciiTheme="majorHAnsi" w:hAnsiTheme="majorHAnsi"/>
                <w:b/>
                <w:sz w:val="20"/>
                <w:szCs w:val="20"/>
                <w:highlight w:val="yellow"/>
              </w:rPr>
            </w:pPr>
          </w:p>
        </w:tc>
        <w:tc>
          <w:tcPr>
            <w:tcW w:w="851" w:type="dxa"/>
          </w:tcPr>
          <w:p w14:paraId="2410407F" w14:textId="47083F7C" w:rsidR="003A4313" w:rsidRPr="00D15622" w:rsidRDefault="003A4313" w:rsidP="0056405D">
            <w:pPr>
              <w:jc w:val="center"/>
              <w:rPr>
                <w:rFonts w:asciiTheme="majorHAnsi" w:hAnsiTheme="majorHAnsi"/>
                <w:b/>
                <w:sz w:val="20"/>
                <w:szCs w:val="20"/>
              </w:rPr>
            </w:pPr>
          </w:p>
        </w:tc>
        <w:tc>
          <w:tcPr>
            <w:tcW w:w="567" w:type="dxa"/>
          </w:tcPr>
          <w:p w14:paraId="5D23DA32" w14:textId="270C75CF" w:rsidR="003A4313" w:rsidRPr="00D15622" w:rsidRDefault="003A4313" w:rsidP="0056405D">
            <w:pPr>
              <w:jc w:val="center"/>
              <w:rPr>
                <w:rFonts w:asciiTheme="majorHAnsi" w:hAnsiTheme="majorHAnsi"/>
                <w:b/>
                <w:sz w:val="20"/>
                <w:szCs w:val="20"/>
              </w:rPr>
            </w:pPr>
          </w:p>
        </w:tc>
        <w:tc>
          <w:tcPr>
            <w:tcW w:w="992" w:type="dxa"/>
          </w:tcPr>
          <w:p w14:paraId="2232761E" w14:textId="446E78FA" w:rsidR="003A4313" w:rsidRPr="00D15622" w:rsidRDefault="003A4313" w:rsidP="0056405D">
            <w:pPr>
              <w:jc w:val="center"/>
              <w:rPr>
                <w:rFonts w:asciiTheme="majorHAnsi" w:hAnsiTheme="majorHAnsi"/>
                <w:b/>
                <w:sz w:val="20"/>
                <w:szCs w:val="20"/>
              </w:rPr>
            </w:pPr>
          </w:p>
        </w:tc>
      </w:tr>
      <w:tr w:rsidR="003A4313" w:rsidRPr="00D15622" w14:paraId="4C4F787C" w14:textId="77777777" w:rsidTr="006A2417">
        <w:tc>
          <w:tcPr>
            <w:tcW w:w="817" w:type="dxa"/>
          </w:tcPr>
          <w:p w14:paraId="262C1A63"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5.e</w:t>
            </w:r>
          </w:p>
        </w:tc>
        <w:tc>
          <w:tcPr>
            <w:tcW w:w="851" w:type="dxa"/>
          </w:tcPr>
          <w:p w14:paraId="04FD209C" w14:textId="77777777" w:rsidR="003A4313" w:rsidRPr="00D15622" w:rsidRDefault="003A4313" w:rsidP="0056405D">
            <w:pPr>
              <w:jc w:val="center"/>
              <w:rPr>
                <w:rFonts w:asciiTheme="majorHAnsi" w:hAnsiTheme="majorHAnsi"/>
                <w:b/>
                <w:sz w:val="20"/>
                <w:szCs w:val="20"/>
              </w:rPr>
            </w:pPr>
            <w:r w:rsidRPr="00D15622">
              <w:rPr>
                <w:rFonts w:asciiTheme="majorHAnsi" w:hAnsiTheme="majorHAnsi"/>
                <w:b/>
                <w:sz w:val="20"/>
                <w:szCs w:val="20"/>
              </w:rPr>
              <w:t>L</w:t>
            </w:r>
          </w:p>
        </w:tc>
        <w:tc>
          <w:tcPr>
            <w:tcW w:w="708" w:type="dxa"/>
          </w:tcPr>
          <w:p w14:paraId="7DD8AF93" w14:textId="77777777" w:rsidR="003A4313" w:rsidRPr="00D15622" w:rsidRDefault="003A4313" w:rsidP="0056405D">
            <w:pPr>
              <w:jc w:val="center"/>
              <w:rPr>
                <w:rFonts w:asciiTheme="majorHAnsi" w:hAnsiTheme="majorHAnsi"/>
                <w:b/>
                <w:sz w:val="20"/>
                <w:szCs w:val="20"/>
              </w:rPr>
            </w:pPr>
          </w:p>
        </w:tc>
        <w:tc>
          <w:tcPr>
            <w:tcW w:w="993" w:type="dxa"/>
          </w:tcPr>
          <w:p w14:paraId="7CD48F5D" w14:textId="77777777" w:rsidR="003A4313" w:rsidRPr="00D15622" w:rsidRDefault="003A4313" w:rsidP="0056405D">
            <w:pPr>
              <w:jc w:val="center"/>
              <w:rPr>
                <w:rFonts w:asciiTheme="majorHAnsi" w:hAnsiTheme="majorHAnsi"/>
                <w:b/>
                <w:sz w:val="20"/>
                <w:szCs w:val="20"/>
              </w:rPr>
            </w:pPr>
          </w:p>
        </w:tc>
        <w:tc>
          <w:tcPr>
            <w:tcW w:w="708" w:type="dxa"/>
          </w:tcPr>
          <w:p w14:paraId="018CD175" w14:textId="77777777" w:rsidR="003A4313" w:rsidRPr="00D15622" w:rsidRDefault="003A4313" w:rsidP="0056405D">
            <w:pPr>
              <w:jc w:val="center"/>
              <w:rPr>
                <w:rFonts w:asciiTheme="majorHAnsi" w:hAnsiTheme="majorHAnsi"/>
                <w:b/>
                <w:sz w:val="20"/>
                <w:szCs w:val="20"/>
              </w:rPr>
            </w:pPr>
          </w:p>
        </w:tc>
        <w:tc>
          <w:tcPr>
            <w:tcW w:w="1134" w:type="dxa"/>
          </w:tcPr>
          <w:p w14:paraId="124C33EC" w14:textId="77777777" w:rsidR="003A4313" w:rsidRPr="00D15622" w:rsidRDefault="003A4313" w:rsidP="0056405D">
            <w:pPr>
              <w:jc w:val="center"/>
              <w:rPr>
                <w:rFonts w:asciiTheme="majorHAnsi" w:hAnsiTheme="majorHAnsi"/>
                <w:b/>
                <w:sz w:val="20"/>
                <w:szCs w:val="20"/>
              </w:rPr>
            </w:pPr>
          </w:p>
        </w:tc>
        <w:tc>
          <w:tcPr>
            <w:tcW w:w="709" w:type="dxa"/>
          </w:tcPr>
          <w:p w14:paraId="37B0045C" w14:textId="77777777" w:rsidR="003A4313" w:rsidRPr="00D15622" w:rsidRDefault="003A4313" w:rsidP="0056405D">
            <w:pPr>
              <w:jc w:val="center"/>
              <w:rPr>
                <w:rFonts w:asciiTheme="majorHAnsi" w:hAnsiTheme="majorHAnsi"/>
                <w:b/>
                <w:sz w:val="20"/>
                <w:szCs w:val="20"/>
              </w:rPr>
            </w:pPr>
          </w:p>
        </w:tc>
        <w:tc>
          <w:tcPr>
            <w:tcW w:w="851" w:type="dxa"/>
          </w:tcPr>
          <w:p w14:paraId="0B682009" w14:textId="77777777" w:rsidR="003A4313" w:rsidRPr="00DB483E" w:rsidRDefault="003A4313" w:rsidP="0056405D">
            <w:pPr>
              <w:jc w:val="center"/>
              <w:rPr>
                <w:rFonts w:asciiTheme="majorHAnsi" w:hAnsiTheme="majorHAnsi"/>
                <w:b/>
                <w:sz w:val="20"/>
                <w:szCs w:val="20"/>
                <w:highlight w:val="yellow"/>
              </w:rPr>
            </w:pPr>
          </w:p>
        </w:tc>
        <w:tc>
          <w:tcPr>
            <w:tcW w:w="851" w:type="dxa"/>
          </w:tcPr>
          <w:p w14:paraId="3D4132C2" w14:textId="7A5AE09F" w:rsidR="003A4313" w:rsidRPr="00D15622" w:rsidRDefault="003A4313" w:rsidP="0056405D">
            <w:pPr>
              <w:jc w:val="center"/>
              <w:rPr>
                <w:rFonts w:asciiTheme="majorHAnsi" w:hAnsiTheme="majorHAnsi"/>
                <w:b/>
                <w:sz w:val="20"/>
                <w:szCs w:val="20"/>
              </w:rPr>
            </w:pPr>
          </w:p>
        </w:tc>
        <w:tc>
          <w:tcPr>
            <w:tcW w:w="567" w:type="dxa"/>
          </w:tcPr>
          <w:p w14:paraId="39CC29AB" w14:textId="1E8707C1" w:rsidR="003A4313" w:rsidRPr="00D15622" w:rsidRDefault="003A4313" w:rsidP="0056405D">
            <w:pPr>
              <w:jc w:val="center"/>
              <w:rPr>
                <w:rFonts w:asciiTheme="majorHAnsi" w:hAnsiTheme="majorHAnsi"/>
                <w:b/>
                <w:sz w:val="20"/>
                <w:szCs w:val="20"/>
              </w:rPr>
            </w:pPr>
          </w:p>
        </w:tc>
        <w:tc>
          <w:tcPr>
            <w:tcW w:w="992" w:type="dxa"/>
          </w:tcPr>
          <w:p w14:paraId="1070A3FA" w14:textId="4376A607" w:rsidR="003A4313" w:rsidRPr="00D15622" w:rsidRDefault="003A4313" w:rsidP="0056405D">
            <w:pPr>
              <w:jc w:val="center"/>
              <w:rPr>
                <w:rFonts w:asciiTheme="majorHAnsi" w:hAnsiTheme="majorHAnsi"/>
                <w:b/>
                <w:sz w:val="20"/>
                <w:szCs w:val="20"/>
              </w:rPr>
            </w:pPr>
          </w:p>
        </w:tc>
      </w:tr>
    </w:tbl>
    <w:p w14:paraId="651B376D" w14:textId="77777777" w:rsidR="00FA0595" w:rsidRPr="00FF4A85" w:rsidRDefault="00FA0595" w:rsidP="00EC2A7D">
      <w:pPr>
        <w:pStyle w:val="PlainText"/>
        <w:spacing w:after="120"/>
        <w:jc w:val="both"/>
        <w:rPr>
          <w:rFonts w:asciiTheme="majorHAnsi" w:eastAsiaTheme="minorEastAsia" w:hAnsiTheme="majorHAnsi" w:cstheme="minorBidi"/>
          <w:sz w:val="22"/>
          <w:szCs w:val="22"/>
        </w:rPr>
      </w:pPr>
    </w:p>
    <w:p w14:paraId="1A7A430A" w14:textId="010F106A" w:rsidR="00FF4A85" w:rsidRDefault="00FF4A85" w:rsidP="001E3B4C">
      <w:pPr>
        <w:jc w:val="both"/>
        <w:rPr>
          <w:rFonts w:asciiTheme="majorHAnsi" w:hAnsiTheme="majorHAnsi"/>
          <w:sz w:val="22"/>
          <w:szCs w:val="22"/>
        </w:rPr>
      </w:pPr>
      <w:r w:rsidRPr="00FF4A85">
        <w:rPr>
          <w:rFonts w:asciiTheme="majorHAnsi" w:hAnsiTheme="majorHAnsi"/>
          <w:sz w:val="22"/>
          <w:szCs w:val="22"/>
        </w:rPr>
        <w:t>The project Steering committee met for the first time immediately following the</w:t>
      </w:r>
      <w:r w:rsidRPr="00447E41">
        <w:rPr>
          <w:rFonts w:asciiTheme="majorHAnsi" w:hAnsiTheme="majorHAnsi"/>
          <w:sz w:val="22"/>
          <w:szCs w:val="22"/>
        </w:rPr>
        <w:t xml:space="preserve"> Inception workshop, again with partial p</w:t>
      </w:r>
      <w:r w:rsidR="001E3B4C">
        <w:rPr>
          <w:rFonts w:asciiTheme="majorHAnsi" w:hAnsiTheme="majorHAnsi"/>
          <w:sz w:val="22"/>
          <w:szCs w:val="22"/>
        </w:rPr>
        <w:t xml:space="preserve">articipation in the margins of </w:t>
      </w:r>
      <w:r w:rsidRPr="00447E41">
        <w:rPr>
          <w:rFonts w:asciiTheme="majorHAnsi" w:hAnsiTheme="majorHAnsi"/>
          <w:sz w:val="22"/>
          <w:szCs w:val="22"/>
        </w:rPr>
        <w:t>the IWC6</w:t>
      </w:r>
      <w:r w:rsidR="001E3B4C">
        <w:rPr>
          <w:rFonts w:asciiTheme="majorHAnsi" w:hAnsiTheme="majorHAnsi"/>
          <w:sz w:val="22"/>
          <w:szCs w:val="22"/>
        </w:rPr>
        <w:t xml:space="preserve"> O</w:t>
      </w:r>
      <w:r w:rsidR="00F0346B">
        <w:rPr>
          <w:rFonts w:asciiTheme="majorHAnsi" w:hAnsiTheme="majorHAnsi"/>
          <w:sz w:val="22"/>
          <w:szCs w:val="22"/>
        </w:rPr>
        <w:t xml:space="preserve">ct </w:t>
      </w:r>
      <w:proofErr w:type="gramStart"/>
      <w:r w:rsidR="001E3B4C">
        <w:rPr>
          <w:rFonts w:asciiTheme="majorHAnsi" w:hAnsiTheme="majorHAnsi"/>
          <w:sz w:val="22"/>
          <w:szCs w:val="22"/>
        </w:rPr>
        <w:t>20</w:t>
      </w:r>
      <w:r w:rsidR="00F0346B">
        <w:rPr>
          <w:rFonts w:asciiTheme="majorHAnsi" w:hAnsiTheme="majorHAnsi"/>
          <w:sz w:val="22"/>
          <w:szCs w:val="22"/>
        </w:rPr>
        <w:t>11</w:t>
      </w:r>
      <w:r w:rsidRPr="00447E41">
        <w:rPr>
          <w:rFonts w:asciiTheme="majorHAnsi" w:hAnsiTheme="majorHAnsi"/>
          <w:sz w:val="22"/>
          <w:szCs w:val="22"/>
        </w:rPr>
        <w:t xml:space="preserve">  and</w:t>
      </w:r>
      <w:proofErr w:type="gramEnd"/>
      <w:r w:rsidRPr="00447E41">
        <w:rPr>
          <w:rFonts w:asciiTheme="majorHAnsi" w:hAnsiTheme="majorHAnsi"/>
          <w:sz w:val="22"/>
          <w:szCs w:val="22"/>
        </w:rPr>
        <w:t xml:space="preserve"> again virtually </w:t>
      </w:r>
      <w:r w:rsidR="0002553C">
        <w:rPr>
          <w:rFonts w:asciiTheme="majorHAnsi" w:hAnsiTheme="majorHAnsi"/>
          <w:sz w:val="22"/>
          <w:szCs w:val="22"/>
        </w:rPr>
        <w:t xml:space="preserve">in </w:t>
      </w:r>
      <w:r w:rsidR="00F0346B" w:rsidRPr="0002553C">
        <w:rPr>
          <w:rFonts w:asciiTheme="majorHAnsi" w:hAnsiTheme="majorHAnsi"/>
          <w:sz w:val="22"/>
          <w:szCs w:val="22"/>
        </w:rPr>
        <w:t>June 2012</w:t>
      </w:r>
      <w:r w:rsidRPr="0002553C">
        <w:rPr>
          <w:rFonts w:asciiTheme="majorHAnsi" w:hAnsiTheme="majorHAnsi"/>
          <w:sz w:val="22"/>
          <w:szCs w:val="22"/>
        </w:rPr>
        <w:t>.</w:t>
      </w:r>
      <w:r w:rsidRPr="00447E41">
        <w:rPr>
          <w:rFonts w:asciiTheme="majorHAnsi" w:hAnsiTheme="majorHAnsi"/>
          <w:sz w:val="22"/>
          <w:szCs w:val="22"/>
        </w:rPr>
        <w:t xml:space="preserve">  </w:t>
      </w:r>
      <w:r>
        <w:rPr>
          <w:rFonts w:asciiTheme="majorHAnsi" w:hAnsiTheme="majorHAnsi"/>
          <w:sz w:val="22"/>
          <w:szCs w:val="22"/>
        </w:rPr>
        <w:t>Although it was intended that the SC would meet twice per year, once face to face and once virtually, u</w:t>
      </w:r>
      <w:r w:rsidRPr="00447E41">
        <w:rPr>
          <w:rFonts w:asciiTheme="majorHAnsi" w:hAnsiTheme="majorHAnsi"/>
          <w:sz w:val="22"/>
          <w:szCs w:val="22"/>
        </w:rPr>
        <w:t xml:space="preserve">nfortunately the SCM did not have its </w:t>
      </w:r>
      <w:proofErr w:type="gramStart"/>
      <w:r w:rsidRPr="00447E41">
        <w:rPr>
          <w:rFonts w:asciiTheme="majorHAnsi" w:hAnsiTheme="majorHAnsi"/>
          <w:sz w:val="22"/>
          <w:szCs w:val="22"/>
        </w:rPr>
        <w:t>second  full</w:t>
      </w:r>
      <w:proofErr w:type="gramEnd"/>
      <w:r w:rsidRPr="00447E41">
        <w:rPr>
          <w:rFonts w:asciiTheme="majorHAnsi" w:hAnsiTheme="majorHAnsi"/>
          <w:sz w:val="22"/>
          <w:szCs w:val="22"/>
        </w:rPr>
        <w:t xml:space="preserve"> face to face meeting  until January 2013 nearly two years later. Given the </w:t>
      </w:r>
      <w:r>
        <w:rPr>
          <w:rFonts w:asciiTheme="majorHAnsi" w:hAnsiTheme="majorHAnsi"/>
          <w:sz w:val="22"/>
          <w:szCs w:val="22"/>
        </w:rPr>
        <w:t xml:space="preserve">delayed </w:t>
      </w:r>
      <w:r w:rsidRPr="00447E41">
        <w:rPr>
          <w:rFonts w:asciiTheme="majorHAnsi" w:hAnsiTheme="majorHAnsi"/>
          <w:sz w:val="22"/>
          <w:szCs w:val="22"/>
        </w:rPr>
        <w:t>status of some of the key project activities the MTE considers</w:t>
      </w:r>
      <w:r>
        <w:rPr>
          <w:rFonts w:asciiTheme="majorHAnsi" w:hAnsiTheme="majorHAnsi"/>
          <w:sz w:val="22"/>
          <w:szCs w:val="22"/>
        </w:rPr>
        <w:t xml:space="preserve"> that the SC has only partially fulfilled its role of providing </w:t>
      </w:r>
      <w:r w:rsidR="0056405D">
        <w:rPr>
          <w:rFonts w:asciiTheme="majorHAnsi" w:hAnsiTheme="majorHAnsi"/>
          <w:sz w:val="22"/>
          <w:szCs w:val="22"/>
        </w:rPr>
        <w:t xml:space="preserve">strategic direction, guidance and assessment to maximise the projects execution progress. </w:t>
      </w:r>
    </w:p>
    <w:p w14:paraId="39F55799" w14:textId="77777777" w:rsidR="001E3B4C" w:rsidRPr="00971A1C" w:rsidRDefault="001E3B4C" w:rsidP="001E3B4C">
      <w:pPr>
        <w:jc w:val="both"/>
        <w:rPr>
          <w:rFonts w:asciiTheme="majorHAnsi" w:hAnsiTheme="majorHAnsi"/>
          <w:sz w:val="22"/>
          <w:szCs w:val="22"/>
        </w:rPr>
      </w:pPr>
    </w:p>
    <w:p w14:paraId="602A3094" w14:textId="14A6CE38" w:rsidR="00FA0595" w:rsidRPr="00971A1C" w:rsidRDefault="003A4313" w:rsidP="00EC2A7D">
      <w:pPr>
        <w:pStyle w:val="PlainText"/>
        <w:spacing w:after="120"/>
        <w:jc w:val="both"/>
        <w:rPr>
          <w:rFonts w:asciiTheme="majorHAnsi" w:eastAsiaTheme="minorEastAsia" w:hAnsiTheme="majorHAnsi" w:cstheme="minorBidi"/>
          <w:sz w:val="22"/>
          <w:szCs w:val="22"/>
        </w:rPr>
      </w:pPr>
      <w:r w:rsidRPr="00971A1C">
        <w:rPr>
          <w:rFonts w:asciiTheme="majorHAnsi" w:eastAsiaTheme="minorEastAsia" w:hAnsiTheme="majorHAnsi" w:cstheme="minorBidi"/>
          <w:sz w:val="22"/>
          <w:szCs w:val="22"/>
        </w:rPr>
        <w:t xml:space="preserve">The PCU is comprised of the following individuals. </w:t>
      </w:r>
    </w:p>
    <w:tbl>
      <w:tblPr>
        <w:tblStyle w:val="TableGrid"/>
        <w:tblW w:w="0" w:type="auto"/>
        <w:tblLook w:val="04A0" w:firstRow="1" w:lastRow="0" w:firstColumn="1" w:lastColumn="0" w:noHBand="0" w:noVBand="1"/>
      </w:tblPr>
      <w:tblGrid>
        <w:gridCol w:w="4618"/>
        <w:gridCol w:w="4618"/>
      </w:tblGrid>
      <w:tr w:rsidR="00DB483E" w:rsidRPr="00971A1C" w14:paraId="5804C74B" w14:textId="77777777" w:rsidTr="00DB483E">
        <w:tc>
          <w:tcPr>
            <w:tcW w:w="4618" w:type="dxa"/>
          </w:tcPr>
          <w:p w14:paraId="72211871" w14:textId="37BF59A6"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 xml:space="preserve">Title </w:t>
            </w:r>
          </w:p>
        </w:tc>
        <w:tc>
          <w:tcPr>
            <w:tcW w:w="4618" w:type="dxa"/>
          </w:tcPr>
          <w:p w14:paraId="7AB39FC2" w14:textId="42DEFF8F"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 xml:space="preserve">Location </w:t>
            </w:r>
          </w:p>
        </w:tc>
      </w:tr>
      <w:tr w:rsidR="00DB483E" w:rsidRPr="00971A1C" w14:paraId="7CB272BE" w14:textId="77777777" w:rsidTr="00DB483E">
        <w:tc>
          <w:tcPr>
            <w:tcW w:w="4618" w:type="dxa"/>
          </w:tcPr>
          <w:p w14:paraId="012A6AC2" w14:textId="2E46788F" w:rsidR="00DB483E" w:rsidRPr="00971A1C" w:rsidRDefault="00DB483E" w:rsidP="00DB483E">
            <w:pPr>
              <w:spacing w:before="120" w:line="288" w:lineRule="auto"/>
              <w:rPr>
                <w:rFonts w:asciiTheme="majorHAnsi" w:hAnsiTheme="majorHAnsi" w:cs="Arial"/>
                <w:sz w:val="20"/>
                <w:szCs w:val="20"/>
              </w:rPr>
            </w:pPr>
            <w:r w:rsidRPr="00971A1C">
              <w:rPr>
                <w:rFonts w:asciiTheme="majorHAnsi" w:hAnsiTheme="majorHAnsi" w:cs="Arial"/>
                <w:sz w:val="20"/>
                <w:szCs w:val="20"/>
              </w:rPr>
              <w:t>UNOPS CTA/Project Manager</w:t>
            </w:r>
          </w:p>
        </w:tc>
        <w:tc>
          <w:tcPr>
            <w:tcW w:w="4618" w:type="dxa"/>
          </w:tcPr>
          <w:p w14:paraId="534E44CE" w14:textId="2B4AFECC"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 xml:space="preserve">Bratislava </w:t>
            </w:r>
          </w:p>
        </w:tc>
      </w:tr>
      <w:tr w:rsidR="00DB483E" w:rsidRPr="00971A1C" w14:paraId="4C622CAD" w14:textId="77777777" w:rsidTr="00DB483E">
        <w:tc>
          <w:tcPr>
            <w:tcW w:w="4618" w:type="dxa"/>
          </w:tcPr>
          <w:p w14:paraId="64E8DB82" w14:textId="608BDB11" w:rsidR="00DB483E" w:rsidRPr="00971A1C" w:rsidRDefault="00DB483E" w:rsidP="00DB483E">
            <w:pPr>
              <w:spacing w:before="120" w:line="288" w:lineRule="auto"/>
              <w:rPr>
                <w:rFonts w:asciiTheme="majorHAnsi" w:hAnsiTheme="majorHAnsi" w:cs="Arial"/>
                <w:sz w:val="20"/>
                <w:szCs w:val="20"/>
                <w:highlight w:val="yellow"/>
              </w:rPr>
            </w:pPr>
            <w:r w:rsidRPr="00441297">
              <w:rPr>
                <w:rFonts w:asciiTheme="majorHAnsi" w:hAnsiTheme="majorHAnsi" w:cs="Arial"/>
                <w:sz w:val="20"/>
                <w:szCs w:val="20"/>
              </w:rPr>
              <w:t>UNDP-UNOPS Project Coordination Officer</w:t>
            </w:r>
          </w:p>
        </w:tc>
        <w:tc>
          <w:tcPr>
            <w:tcW w:w="4618" w:type="dxa"/>
          </w:tcPr>
          <w:p w14:paraId="5439E710" w14:textId="31E7D606" w:rsidR="00DB483E" w:rsidRPr="00971A1C" w:rsidRDefault="0002553C" w:rsidP="00EC2A7D">
            <w:pPr>
              <w:pStyle w:val="PlainText"/>
              <w:spacing w:after="120"/>
              <w:jc w:val="both"/>
              <w:rPr>
                <w:rFonts w:asciiTheme="majorHAnsi" w:eastAsiaTheme="minorEastAsia" w:hAnsiTheme="majorHAnsi" w:cstheme="minorBidi"/>
              </w:rPr>
            </w:pPr>
            <w:r>
              <w:rPr>
                <w:rFonts w:asciiTheme="majorHAnsi" w:eastAsiaTheme="minorEastAsia" w:hAnsiTheme="majorHAnsi" w:cstheme="minorBidi"/>
              </w:rPr>
              <w:t>Bratislava</w:t>
            </w:r>
            <w:r w:rsidR="00DB483E" w:rsidRPr="00971A1C">
              <w:rPr>
                <w:rFonts w:asciiTheme="majorHAnsi" w:eastAsiaTheme="minorEastAsia" w:hAnsiTheme="majorHAnsi" w:cstheme="minorBidi"/>
              </w:rPr>
              <w:t xml:space="preserve"> </w:t>
            </w:r>
          </w:p>
        </w:tc>
      </w:tr>
      <w:tr w:rsidR="00DB483E" w:rsidRPr="00971A1C" w14:paraId="5A1BFE56" w14:textId="77777777" w:rsidTr="00DB483E">
        <w:tc>
          <w:tcPr>
            <w:tcW w:w="4618" w:type="dxa"/>
          </w:tcPr>
          <w:p w14:paraId="6D58B6D8" w14:textId="70600233" w:rsidR="00DB483E" w:rsidRPr="00971A1C" w:rsidRDefault="00DB483E" w:rsidP="00DB483E">
            <w:pPr>
              <w:spacing w:before="120" w:line="288" w:lineRule="auto"/>
              <w:rPr>
                <w:rFonts w:asciiTheme="majorHAnsi" w:hAnsiTheme="majorHAnsi" w:cs="Arial"/>
                <w:sz w:val="20"/>
                <w:szCs w:val="20"/>
              </w:rPr>
            </w:pPr>
            <w:r w:rsidRPr="00971A1C">
              <w:rPr>
                <w:rFonts w:asciiTheme="majorHAnsi" w:hAnsiTheme="majorHAnsi" w:cs="Arial"/>
                <w:sz w:val="20"/>
                <w:szCs w:val="20"/>
              </w:rPr>
              <w:t xml:space="preserve">UNEP Project Coordinator </w:t>
            </w:r>
          </w:p>
        </w:tc>
        <w:tc>
          <w:tcPr>
            <w:tcW w:w="4618" w:type="dxa"/>
          </w:tcPr>
          <w:p w14:paraId="7F6B800A" w14:textId="79E0523D"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 xml:space="preserve">Nairobi </w:t>
            </w:r>
          </w:p>
        </w:tc>
      </w:tr>
      <w:tr w:rsidR="00DB483E" w:rsidRPr="00971A1C" w14:paraId="0A4A90C5" w14:textId="77777777" w:rsidTr="00DB483E">
        <w:tc>
          <w:tcPr>
            <w:tcW w:w="4618" w:type="dxa"/>
          </w:tcPr>
          <w:p w14:paraId="7EF90912" w14:textId="2E41555D" w:rsidR="00DB483E" w:rsidRPr="00971A1C" w:rsidRDefault="00DB483E" w:rsidP="00DB483E">
            <w:pPr>
              <w:spacing w:before="120" w:line="288" w:lineRule="auto"/>
              <w:rPr>
                <w:rFonts w:asciiTheme="majorHAnsi" w:hAnsiTheme="majorHAnsi" w:cs="Arial"/>
                <w:sz w:val="20"/>
                <w:szCs w:val="20"/>
              </w:rPr>
            </w:pPr>
            <w:r w:rsidRPr="00971A1C">
              <w:rPr>
                <w:rFonts w:asciiTheme="majorHAnsi" w:hAnsiTheme="majorHAnsi" w:cs="Arial"/>
                <w:sz w:val="20"/>
                <w:szCs w:val="20"/>
              </w:rPr>
              <w:t>UNEP Technical Assistant</w:t>
            </w:r>
          </w:p>
        </w:tc>
        <w:tc>
          <w:tcPr>
            <w:tcW w:w="4618" w:type="dxa"/>
          </w:tcPr>
          <w:p w14:paraId="32DE03F5" w14:textId="2DBFEAB1"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 xml:space="preserve">Nairobi </w:t>
            </w:r>
          </w:p>
        </w:tc>
      </w:tr>
      <w:tr w:rsidR="00DB483E" w:rsidRPr="00971A1C" w14:paraId="5BFAC45E" w14:textId="77777777" w:rsidTr="00DB483E">
        <w:tc>
          <w:tcPr>
            <w:tcW w:w="4618" w:type="dxa"/>
          </w:tcPr>
          <w:p w14:paraId="69A082F9" w14:textId="1B74ADEC" w:rsidR="00DB483E" w:rsidRPr="00971A1C" w:rsidRDefault="00DB483E" w:rsidP="00DB483E">
            <w:pPr>
              <w:spacing w:before="120" w:line="288" w:lineRule="auto"/>
              <w:rPr>
                <w:rFonts w:asciiTheme="majorHAnsi" w:hAnsiTheme="majorHAnsi" w:cs="Arial"/>
                <w:sz w:val="20"/>
                <w:szCs w:val="20"/>
              </w:rPr>
            </w:pPr>
            <w:r w:rsidRPr="00971A1C">
              <w:rPr>
                <w:rFonts w:asciiTheme="majorHAnsi" w:hAnsiTheme="majorHAnsi" w:cs="Arial"/>
                <w:sz w:val="20"/>
                <w:szCs w:val="20"/>
              </w:rPr>
              <w:t>SeaStart Information Technology Specialist</w:t>
            </w:r>
          </w:p>
        </w:tc>
        <w:tc>
          <w:tcPr>
            <w:tcW w:w="4618" w:type="dxa"/>
          </w:tcPr>
          <w:p w14:paraId="4DCD6725" w14:textId="369B5DF2"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Bangkok</w:t>
            </w:r>
          </w:p>
        </w:tc>
      </w:tr>
      <w:tr w:rsidR="00DB483E" w:rsidRPr="00971A1C" w14:paraId="13BDBCC5" w14:textId="77777777" w:rsidTr="00DB483E">
        <w:tc>
          <w:tcPr>
            <w:tcW w:w="4618" w:type="dxa"/>
          </w:tcPr>
          <w:p w14:paraId="3E4C2064" w14:textId="6641081B" w:rsidR="00DB483E" w:rsidRPr="00971A1C" w:rsidRDefault="00DB483E" w:rsidP="00DB483E">
            <w:pPr>
              <w:spacing w:before="120" w:line="288" w:lineRule="auto"/>
              <w:rPr>
                <w:rFonts w:asciiTheme="majorHAnsi" w:hAnsiTheme="majorHAnsi" w:cs="Arial"/>
                <w:sz w:val="20"/>
                <w:szCs w:val="20"/>
              </w:rPr>
            </w:pPr>
            <w:r w:rsidRPr="00971A1C">
              <w:rPr>
                <w:rFonts w:asciiTheme="majorHAnsi" w:hAnsiTheme="majorHAnsi" w:cs="Arial"/>
                <w:sz w:val="20"/>
                <w:szCs w:val="20"/>
              </w:rPr>
              <w:t>SeaStart Communications and Training Specialist</w:t>
            </w:r>
          </w:p>
        </w:tc>
        <w:tc>
          <w:tcPr>
            <w:tcW w:w="4618" w:type="dxa"/>
          </w:tcPr>
          <w:p w14:paraId="098378CB" w14:textId="3ABE0543"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Bangkok</w:t>
            </w:r>
          </w:p>
        </w:tc>
      </w:tr>
      <w:tr w:rsidR="00DB483E" w:rsidRPr="00971A1C" w14:paraId="141086CC" w14:textId="77777777" w:rsidTr="00DB483E">
        <w:tc>
          <w:tcPr>
            <w:tcW w:w="4618" w:type="dxa"/>
          </w:tcPr>
          <w:p w14:paraId="70FF8DCE" w14:textId="67E0D7B0" w:rsidR="00DB483E" w:rsidRPr="00971A1C" w:rsidRDefault="00DB483E" w:rsidP="00DB483E">
            <w:pPr>
              <w:spacing w:before="120" w:line="288" w:lineRule="auto"/>
              <w:rPr>
                <w:rFonts w:asciiTheme="majorHAnsi" w:hAnsiTheme="majorHAnsi" w:cs="Arial"/>
                <w:sz w:val="20"/>
                <w:szCs w:val="20"/>
              </w:rPr>
            </w:pPr>
            <w:r w:rsidRPr="00971A1C">
              <w:rPr>
                <w:rFonts w:asciiTheme="majorHAnsi" w:hAnsiTheme="majorHAnsi" w:cs="Arial"/>
                <w:sz w:val="20"/>
                <w:szCs w:val="20"/>
              </w:rPr>
              <w:t>SeaStart Information Technology Assistant</w:t>
            </w:r>
          </w:p>
        </w:tc>
        <w:tc>
          <w:tcPr>
            <w:tcW w:w="4618" w:type="dxa"/>
          </w:tcPr>
          <w:p w14:paraId="16F0198A" w14:textId="26DCBAF4" w:rsidR="00DB483E" w:rsidRPr="00971A1C" w:rsidRDefault="00DB483E" w:rsidP="00EC2A7D">
            <w:pPr>
              <w:pStyle w:val="PlainText"/>
              <w:spacing w:after="120"/>
              <w:jc w:val="both"/>
              <w:rPr>
                <w:rFonts w:asciiTheme="majorHAnsi" w:eastAsiaTheme="minorEastAsia" w:hAnsiTheme="majorHAnsi" w:cstheme="minorBidi"/>
              </w:rPr>
            </w:pPr>
            <w:r w:rsidRPr="00971A1C">
              <w:rPr>
                <w:rFonts w:asciiTheme="majorHAnsi" w:eastAsiaTheme="minorEastAsia" w:hAnsiTheme="majorHAnsi" w:cstheme="minorBidi"/>
              </w:rPr>
              <w:t>Bangkok</w:t>
            </w:r>
          </w:p>
        </w:tc>
      </w:tr>
    </w:tbl>
    <w:p w14:paraId="138E5F5A" w14:textId="77777777" w:rsidR="00DB483E" w:rsidRDefault="00DB483E" w:rsidP="00EC2A7D">
      <w:pPr>
        <w:pStyle w:val="PlainText"/>
        <w:spacing w:after="120"/>
        <w:jc w:val="both"/>
        <w:rPr>
          <w:rFonts w:ascii="Times New Roman" w:eastAsiaTheme="minorEastAsia" w:hAnsi="Times New Roman" w:cstheme="minorBidi"/>
          <w:sz w:val="24"/>
          <w:szCs w:val="24"/>
        </w:rPr>
      </w:pPr>
    </w:p>
    <w:p w14:paraId="1DD6890D" w14:textId="07EBCA36" w:rsidR="00DB483E" w:rsidRPr="007C2075" w:rsidRDefault="00FB0B19" w:rsidP="00EC2A7D">
      <w:pPr>
        <w:pStyle w:val="PlainText"/>
        <w:spacing w:after="120"/>
        <w:jc w:val="both"/>
        <w:rPr>
          <w:rFonts w:asciiTheme="majorHAnsi" w:eastAsiaTheme="minorEastAsia" w:hAnsiTheme="majorHAnsi" w:cstheme="minorBidi"/>
          <w:sz w:val="22"/>
          <w:szCs w:val="22"/>
        </w:rPr>
      </w:pPr>
      <w:r w:rsidRPr="007C2075">
        <w:rPr>
          <w:rFonts w:asciiTheme="majorHAnsi" w:eastAsiaTheme="minorEastAsia" w:hAnsiTheme="majorHAnsi" w:cstheme="minorBidi"/>
          <w:sz w:val="22"/>
          <w:szCs w:val="22"/>
        </w:rPr>
        <w:t>It is reported by all the PCU that whereas the split between three locations</w:t>
      </w:r>
      <w:r w:rsidR="007C2075">
        <w:rPr>
          <w:rFonts w:asciiTheme="majorHAnsi" w:eastAsiaTheme="minorEastAsia" w:hAnsiTheme="majorHAnsi" w:cstheme="minorBidi"/>
          <w:sz w:val="22"/>
          <w:szCs w:val="22"/>
        </w:rPr>
        <w:t xml:space="preserve"> (and three agencies)</w:t>
      </w:r>
      <w:r w:rsidRPr="007C2075">
        <w:rPr>
          <w:rFonts w:asciiTheme="majorHAnsi" w:eastAsiaTheme="minorEastAsia" w:hAnsiTheme="majorHAnsi" w:cstheme="minorBidi"/>
          <w:sz w:val="22"/>
          <w:szCs w:val="22"/>
        </w:rPr>
        <w:t xml:space="preserve"> is by no means ideal they have adapted well to the situation and virtual meetings are held each week.  It is clear that the PCU members are highly competent individuals who are dedicated to their tasks</w:t>
      </w:r>
      <w:r w:rsidR="007C2075">
        <w:rPr>
          <w:rFonts w:asciiTheme="majorHAnsi" w:eastAsiaTheme="minorEastAsia" w:hAnsiTheme="majorHAnsi" w:cstheme="minorBidi"/>
          <w:sz w:val="22"/>
          <w:szCs w:val="22"/>
        </w:rPr>
        <w:t xml:space="preserve"> and have adapted well to the projects constant demands and have sought innovative solutions</w:t>
      </w:r>
      <w:r w:rsidR="001E3B4C">
        <w:rPr>
          <w:rFonts w:asciiTheme="majorHAnsi" w:eastAsiaTheme="minorEastAsia" w:hAnsiTheme="majorHAnsi" w:cstheme="minorBidi"/>
          <w:sz w:val="22"/>
          <w:szCs w:val="22"/>
        </w:rPr>
        <w:t xml:space="preserve"> to the challenges met</w:t>
      </w:r>
      <w:r w:rsidRPr="007C2075">
        <w:rPr>
          <w:rFonts w:asciiTheme="majorHAnsi" w:eastAsiaTheme="minorEastAsia" w:hAnsiTheme="majorHAnsi" w:cstheme="minorBidi"/>
          <w:sz w:val="22"/>
          <w:szCs w:val="22"/>
        </w:rPr>
        <w:t xml:space="preserve">. </w:t>
      </w:r>
      <w:r w:rsidR="001E3B4C">
        <w:rPr>
          <w:rFonts w:asciiTheme="majorHAnsi" w:eastAsiaTheme="minorEastAsia" w:hAnsiTheme="majorHAnsi" w:cstheme="minorBidi"/>
          <w:sz w:val="22"/>
          <w:szCs w:val="22"/>
        </w:rPr>
        <w:t>T</w:t>
      </w:r>
      <w:r w:rsidRPr="007C2075">
        <w:rPr>
          <w:rFonts w:asciiTheme="majorHAnsi" w:eastAsiaTheme="minorEastAsia" w:hAnsiTheme="majorHAnsi" w:cstheme="minorBidi"/>
          <w:sz w:val="22"/>
          <w:szCs w:val="22"/>
        </w:rPr>
        <w:t>he MTE believes</w:t>
      </w:r>
      <w:r w:rsidR="001E3B4C">
        <w:rPr>
          <w:rFonts w:asciiTheme="majorHAnsi" w:eastAsiaTheme="minorEastAsia" w:hAnsiTheme="majorHAnsi" w:cstheme="minorBidi"/>
          <w:sz w:val="22"/>
          <w:szCs w:val="22"/>
        </w:rPr>
        <w:t>,</w:t>
      </w:r>
      <w:r w:rsidRPr="007C2075">
        <w:rPr>
          <w:rFonts w:asciiTheme="majorHAnsi" w:eastAsiaTheme="minorEastAsia" w:hAnsiTheme="majorHAnsi" w:cstheme="minorBidi"/>
          <w:sz w:val="22"/>
          <w:szCs w:val="22"/>
        </w:rPr>
        <w:t xml:space="preserve"> </w:t>
      </w:r>
      <w:r w:rsidR="001E3B4C">
        <w:rPr>
          <w:rFonts w:asciiTheme="majorHAnsi" w:eastAsiaTheme="minorEastAsia" w:hAnsiTheme="majorHAnsi" w:cstheme="minorBidi"/>
          <w:sz w:val="22"/>
          <w:szCs w:val="22"/>
        </w:rPr>
        <w:t>h</w:t>
      </w:r>
      <w:r w:rsidR="001E3B4C" w:rsidRPr="007C2075">
        <w:rPr>
          <w:rFonts w:asciiTheme="majorHAnsi" w:eastAsiaTheme="minorEastAsia" w:hAnsiTheme="majorHAnsi" w:cstheme="minorBidi"/>
          <w:sz w:val="22"/>
          <w:szCs w:val="22"/>
        </w:rPr>
        <w:t>owever</w:t>
      </w:r>
      <w:r w:rsidR="001E3B4C">
        <w:rPr>
          <w:rFonts w:asciiTheme="majorHAnsi" w:eastAsiaTheme="minorEastAsia" w:hAnsiTheme="majorHAnsi" w:cstheme="minorBidi"/>
          <w:sz w:val="22"/>
          <w:szCs w:val="22"/>
        </w:rPr>
        <w:t>,</w:t>
      </w:r>
      <w:r w:rsidR="001E3B4C" w:rsidRPr="007C2075">
        <w:rPr>
          <w:rFonts w:asciiTheme="majorHAnsi" w:eastAsiaTheme="minorEastAsia" w:hAnsiTheme="majorHAnsi" w:cstheme="minorBidi"/>
          <w:sz w:val="22"/>
          <w:szCs w:val="22"/>
        </w:rPr>
        <w:t xml:space="preserve"> </w:t>
      </w:r>
      <w:r w:rsidRPr="007C2075">
        <w:rPr>
          <w:rFonts w:asciiTheme="majorHAnsi" w:eastAsiaTheme="minorEastAsia" w:hAnsiTheme="majorHAnsi" w:cstheme="minorBidi"/>
          <w:sz w:val="22"/>
          <w:szCs w:val="22"/>
        </w:rPr>
        <w:t xml:space="preserve">that for such a project having the PCU in a single location </w:t>
      </w:r>
      <w:r w:rsidR="007C2075">
        <w:rPr>
          <w:rFonts w:asciiTheme="majorHAnsi" w:eastAsiaTheme="minorEastAsia" w:hAnsiTheme="majorHAnsi" w:cstheme="minorBidi"/>
          <w:sz w:val="22"/>
          <w:szCs w:val="22"/>
        </w:rPr>
        <w:t xml:space="preserve">under a single agency </w:t>
      </w:r>
      <w:r w:rsidRPr="007C2075">
        <w:rPr>
          <w:rFonts w:asciiTheme="majorHAnsi" w:eastAsiaTheme="minorEastAsia" w:hAnsiTheme="majorHAnsi" w:cstheme="minorBidi"/>
          <w:sz w:val="22"/>
          <w:szCs w:val="22"/>
        </w:rPr>
        <w:t xml:space="preserve">with a clear chain of command would have substantially aided communication and progress particularly with regard to the ICT platforms. </w:t>
      </w:r>
    </w:p>
    <w:p w14:paraId="57AEEDD8" w14:textId="67A0C569" w:rsidR="007C2075" w:rsidRPr="002544AC" w:rsidRDefault="007C2075" w:rsidP="00EC2A7D">
      <w:pPr>
        <w:pStyle w:val="PlainText"/>
        <w:spacing w:after="120"/>
        <w:jc w:val="both"/>
        <w:rPr>
          <w:rFonts w:asciiTheme="majorHAnsi" w:eastAsiaTheme="minorEastAsia" w:hAnsiTheme="majorHAnsi" w:cstheme="minorBidi"/>
          <w:sz w:val="22"/>
          <w:szCs w:val="22"/>
        </w:rPr>
      </w:pPr>
      <w:r w:rsidRPr="00BA4397">
        <w:rPr>
          <w:rFonts w:asciiTheme="majorHAnsi" w:eastAsiaTheme="minorEastAsia" w:hAnsiTheme="majorHAnsi" w:cstheme="minorBidi"/>
          <w:sz w:val="22"/>
          <w:szCs w:val="22"/>
        </w:rPr>
        <w:t>Given the multiple sub-components and partner agencies the MTE believes that more programme support should have been provided to the PCU in the p</w:t>
      </w:r>
      <w:r w:rsidR="00990726" w:rsidRPr="00BA4397">
        <w:rPr>
          <w:rFonts w:asciiTheme="majorHAnsi" w:eastAsiaTheme="minorEastAsia" w:hAnsiTheme="majorHAnsi" w:cstheme="minorBidi"/>
          <w:sz w:val="22"/>
          <w:szCs w:val="22"/>
        </w:rPr>
        <w:t xml:space="preserve">roject design and budget. </w:t>
      </w:r>
      <w:r w:rsidR="00BA4397" w:rsidRPr="00BA4397">
        <w:rPr>
          <w:rFonts w:asciiTheme="majorHAnsi" w:eastAsiaTheme="minorEastAsia" w:hAnsiTheme="majorHAnsi" w:cstheme="minorBidi"/>
          <w:sz w:val="22"/>
          <w:szCs w:val="22"/>
        </w:rPr>
        <w:t>This has</w:t>
      </w:r>
      <w:r w:rsidR="00990726" w:rsidRPr="00BA4397">
        <w:rPr>
          <w:rFonts w:asciiTheme="majorHAnsi" w:eastAsiaTheme="minorEastAsia" w:hAnsiTheme="majorHAnsi" w:cstheme="minorBidi"/>
          <w:sz w:val="22"/>
          <w:szCs w:val="22"/>
        </w:rPr>
        <w:t xml:space="preserve"> become even more evident since UNOPS and UNDP agreed that more routine </w:t>
      </w:r>
      <w:r w:rsidR="00BA4397" w:rsidRPr="00BA4397">
        <w:rPr>
          <w:rFonts w:asciiTheme="majorHAnsi" w:eastAsiaTheme="minorEastAsia" w:hAnsiTheme="majorHAnsi" w:cstheme="minorBidi"/>
          <w:sz w:val="22"/>
          <w:szCs w:val="22"/>
        </w:rPr>
        <w:t>administrative</w:t>
      </w:r>
      <w:r w:rsidR="00990726" w:rsidRPr="00BA4397">
        <w:rPr>
          <w:rFonts w:asciiTheme="majorHAnsi" w:eastAsiaTheme="minorEastAsia" w:hAnsiTheme="majorHAnsi" w:cstheme="minorBidi"/>
          <w:sz w:val="22"/>
          <w:szCs w:val="22"/>
        </w:rPr>
        <w:t xml:space="preserve"> tasks would fall to the PCU rather than UNOPS IW Unit in Copenhagen.  The original support provided in the project document </w:t>
      </w:r>
      <w:r w:rsidR="00BA4397" w:rsidRPr="00BA4397">
        <w:rPr>
          <w:rFonts w:asciiTheme="majorHAnsi" w:eastAsiaTheme="minorEastAsia" w:hAnsiTheme="majorHAnsi" w:cstheme="minorBidi"/>
          <w:sz w:val="22"/>
          <w:szCs w:val="22"/>
        </w:rPr>
        <w:t>is</w:t>
      </w:r>
      <w:r w:rsidR="00990726" w:rsidRPr="00BA4397">
        <w:rPr>
          <w:rFonts w:asciiTheme="majorHAnsi" w:eastAsiaTheme="minorEastAsia" w:hAnsiTheme="majorHAnsi" w:cstheme="minorBidi"/>
          <w:sz w:val="22"/>
          <w:szCs w:val="22"/>
        </w:rPr>
        <w:t xml:space="preserve"> that of a single administrative assistant and this was provided</w:t>
      </w:r>
      <w:r w:rsidR="00BA4397" w:rsidRPr="00BA4397">
        <w:rPr>
          <w:rFonts w:asciiTheme="majorHAnsi" w:eastAsiaTheme="minorEastAsia" w:hAnsiTheme="majorHAnsi" w:cstheme="minorBidi"/>
          <w:sz w:val="22"/>
          <w:szCs w:val="22"/>
        </w:rPr>
        <w:t>,</w:t>
      </w:r>
      <w:r w:rsidR="00990726" w:rsidRPr="00BA4397">
        <w:rPr>
          <w:rFonts w:asciiTheme="majorHAnsi" w:eastAsiaTheme="minorEastAsia" w:hAnsiTheme="majorHAnsi" w:cstheme="minorBidi"/>
          <w:sz w:val="22"/>
          <w:szCs w:val="22"/>
        </w:rPr>
        <w:t xml:space="preserve"> but only part time</w:t>
      </w:r>
      <w:r w:rsidR="00BA4397" w:rsidRPr="00BA4397">
        <w:rPr>
          <w:rFonts w:asciiTheme="majorHAnsi" w:eastAsiaTheme="minorEastAsia" w:hAnsiTheme="majorHAnsi" w:cstheme="minorBidi"/>
          <w:sz w:val="22"/>
          <w:szCs w:val="22"/>
        </w:rPr>
        <w:t>,</w:t>
      </w:r>
      <w:r w:rsidR="00990726" w:rsidRPr="00BA4397">
        <w:rPr>
          <w:rFonts w:asciiTheme="majorHAnsi" w:eastAsiaTheme="minorEastAsia" w:hAnsiTheme="majorHAnsi" w:cstheme="minorBidi"/>
          <w:sz w:val="22"/>
          <w:szCs w:val="22"/>
        </w:rPr>
        <w:t xml:space="preserve"> as an in kind contribution from UNDP Bratislava office where the PM is located. Thanks to savings made, largely on the IWC6</w:t>
      </w:r>
      <w:r w:rsidR="00BA4397" w:rsidRPr="00BA4397">
        <w:rPr>
          <w:rFonts w:asciiTheme="majorHAnsi" w:eastAsiaTheme="minorEastAsia" w:hAnsiTheme="majorHAnsi" w:cstheme="minorBidi"/>
          <w:sz w:val="22"/>
          <w:szCs w:val="22"/>
        </w:rPr>
        <w:t>,</w:t>
      </w:r>
      <w:r w:rsidR="00990726" w:rsidRPr="00BA4397">
        <w:rPr>
          <w:rFonts w:asciiTheme="majorHAnsi" w:eastAsiaTheme="minorEastAsia" w:hAnsiTheme="majorHAnsi" w:cstheme="minorBidi"/>
          <w:sz w:val="22"/>
          <w:szCs w:val="22"/>
        </w:rPr>
        <w:t xml:space="preserve"> funds have been available to support the hiring of a </w:t>
      </w:r>
      <w:r w:rsidR="00BA4397" w:rsidRPr="00BA4397">
        <w:rPr>
          <w:rFonts w:asciiTheme="majorHAnsi" w:eastAsiaTheme="minorEastAsia" w:hAnsiTheme="majorHAnsi" w:cstheme="minorBidi"/>
          <w:sz w:val="22"/>
          <w:szCs w:val="22"/>
        </w:rPr>
        <w:t xml:space="preserve">much needed </w:t>
      </w:r>
      <w:r w:rsidR="00990726" w:rsidRPr="00BA4397">
        <w:rPr>
          <w:rFonts w:asciiTheme="majorHAnsi" w:eastAsiaTheme="minorEastAsia" w:hAnsiTheme="majorHAnsi" w:cstheme="minorBidi"/>
          <w:sz w:val="22"/>
          <w:szCs w:val="22"/>
        </w:rPr>
        <w:t>programme officer since April 2012.  It is clear that programme and administrative support requir</w:t>
      </w:r>
      <w:r w:rsidR="00BA4397" w:rsidRPr="00BA4397">
        <w:rPr>
          <w:rFonts w:asciiTheme="majorHAnsi" w:eastAsiaTheme="minorEastAsia" w:hAnsiTheme="majorHAnsi" w:cstheme="minorBidi"/>
          <w:sz w:val="22"/>
          <w:szCs w:val="22"/>
        </w:rPr>
        <w:t>e</w:t>
      </w:r>
      <w:r w:rsidR="00990726" w:rsidRPr="00BA4397">
        <w:rPr>
          <w:rFonts w:asciiTheme="majorHAnsi" w:eastAsiaTheme="minorEastAsia" w:hAnsiTheme="majorHAnsi" w:cstheme="minorBidi"/>
          <w:sz w:val="22"/>
          <w:szCs w:val="22"/>
        </w:rPr>
        <w:t xml:space="preserve">ments </w:t>
      </w:r>
      <w:r w:rsidR="00BA4397" w:rsidRPr="00BA4397">
        <w:rPr>
          <w:rFonts w:asciiTheme="majorHAnsi" w:eastAsiaTheme="minorEastAsia" w:hAnsiTheme="majorHAnsi" w:cstheme="minorBidi"/>
          <w:sz w:val="22"/>
          <w:szCs w:val="22"/>
        </w:rPr>
        <w:t>were</w:t>
      </w:r>
      <w:r w:rsidR="00990726" w:rsidRPr="00BA4397">
        <w:rPr>
          <w:rFonts w:asciiTheme="majorHAnsi" w:eastAsiaTheme="minorEastAsia" w:hAnsiTheme="majorHAnsi" w:cstheme="minorBidi"/>
          <w:sz w:val="22"/>
          <w:szCs w:val="22"/>
        </w:rPr>
        <w:t xml:space="preserve"> underestimated and although the current situation is </w:t>
      </w:r>
      <w:r w:rsidR="00BA4397" w:rsidRPr="00BA4397">
        <w:rPr>
          <w:rFonts w:asciiTheme="majorHAnsi" w:eastAsiaTheme="minorEastAsia" w:hAnsiTheme="majorHAnsi" w:cstheme="minorBidi"/>
          <w:sz w:val="22"/>
          <w:szCs w:val="22"/>
        </w:rPr>
        <w:t>functional the PCU and the MTE agrees that additional support through perhaps an intern or more in</w:t>
      </w:r>
      <w:r w:rsidR="00E73FCE">
        <w:rPr>
          <w:rFonts w:asciiTheme="majorHAnsi" w:eastAsiaTheme="minorEastAsia" w:hAnsiTheme="majorHAnsi" w:cstheme="minorBidi"/>
          <w:sz w:val="22"/>
          <w:szCs w:val="22"/>
        </w:rPr>
        <w:t>-</w:t>
      </w:r>
      <w:r w:rsidR="00BA4397" w:rsidRPr="00BA4397">
        <w:rPr>
          <w:rFonts w:asciiTheme="majorHAnsi" w:eastAsiaTheme="minorEastAsia" w:hAnsiTheme="majorHAnsi" w:cstheme="minorBidi"/>
          <w:sz w:val="22"/>
          <w:szCs w:val="22"/>
        </w:rPr>
        <w:t xml:space="preserve">kind support from UNDP would allow for more effective implementation in the remaining period of the project. </w:t>
      </w:r>
    </w:p>
    <w:p w14:paraId="63D8C783" w14:textId="7B1F76D2" w:rsidR="007C2075" w:rsidRPr="007C2075" w:rsidRDefault="00EC2B6D" w:rsidP="007C2075">
      <w:pPr>
        <w:pStyle w:val="Heading3"/>
      </w:pPr>
      <w:bookmarkStart w:id="88" w:name="_Toc222479157"/>
      <w:bookmarkStart w:id="89" w:name="_Toc320280655"/>
      <w:bookmarkStart w:id="90" w:name="_Toc341527060"/>
      <w:r w:rsidRPr="00FD4C35">
        <w:t>Stakeholder involvement</w:t>
      </w:r>
      <w:bookmarkEnd w:id="88"/>
      <w:r w:rsidRPr="00FD4C35">
        <w:t xml:space="preserve"> </w:t>
      </w:r>
      <w:bookmarkEnd w:id="89"/>
      <w:bookmarkEnd w:id="90"/>
    </w:p>
    <w:p w14:paraId="5B2FDA6B" w14:textId="1E7F7864" w:rsidR="009A41EA" w:rsidRDefault="00BA4397" w:rsidP="00BA4397">
      <w:pPr>
        <w:jc w:val="both"/>
        <w:rPr>
          <w:rFonts w:asciiTheme="majorHAnsi" w:hAnsiTheme="majorHAnsi"/>
          <w:sz w:val="22"/>
          <w:szCs w:val="22"/>
        </w:rPr>
      </w:pPr>
      <w:r>
        <w:rPr>
          <w:rFonts w:asciiTheme="majorHAnsi" w:hAnsiTheme="majorHAnsi"/>
          <w:sz w:val="22"/>
          <w:szCs w:val="22"/>
        </w:rPr>
        <w:t xml:space="preserve">Although the primary stakeholders may be defined </w:t>
      </w:r>
      <w:proofErr w:type="gramStart"/>
      <w:r>
        <w:rPr>
          <w:rFonts w:asciiTheme="majorHAnsi" w:hAnsiTheme="majorHAnsi"/>
          <w:sz w:val="22"/>
          <w:szCs w:val="22"/>
        </w:rPr>
        <w:t xml:space="preserve">as </w:t>
      </w:r>
      <w:r w:rsidR="008924CF" w:rsidRPr="00706A70">
        <w:rPr>
          <w:rFonts w:asciiTheme="majorHAnsi" w:hAnsiTheme="majorHAnsi"/>
          <w:sz w:val="22"/>
          <w:szCs w:val="22"/>
        </w:rPr>
        <w:t xml:space="preserve"> GEF</w:t>
      </w:r>
      <w:proofErr w:type="gramEnd"/>
      <w:r w:rsidR="008924CF" w:rsidRPr="00706A70">
        <w:rPr>
          <w:rFonts w:asciiTheme="majorHAnsi" w:hAnsiTheme="majorHAnsi"/>
          <w:sz w:val="22"/>
          <w:szCs w:val="22"/>
        </w:rPr>
        <w:t xml:space="preserve"> recipient countries, IW projects and their partners, GEF Agencies, EAs and the GEF</w:t>
      </w:r>
      <w:r w:rsidR="00E73FCE">
        <w:rPr>
          <w:rFonts w:asciiTheme="majorHAnsi" w:hAnsiTheme="majorHAnsi"/>
          <w:sz w:val="22"/>
          <w:szCs w:val="22"/>
        </w:rPr>
        <w:t>,</w:t>
      </w:r>
      <w:r>
        <w:rPr>
          <w:rFonts w:asciiTheme="majorHAnsi" w:hAnsiTheme="majorHAnsi"/>
          <w:sz w:val="22"/>
          <w:szCs w:val="22"/>
        </w:rPr>
        <w:t xml:space="preserve"> </w:t>
      </w:r>
      <w:r w:rsidR="008924CF" w:rsidRPr="00706A70">
        <w:rPr>
          <w:rFonts w:asciiTheme="majorHAnsi" w:hAnsiTheme="majorHAnsi"/>
          <w:sz w:val="22"/>
          <w:szCs w:val="22"/>
        </w:rPr>
        <w:t xml:space="preserve"> IW:LEARN’s most important stakeholders are the managers of active GEF IW projects, as well as those under development.</w:t>
      </w:r>
      <w:r w:rsidR="00E73FCE">
        <w:rPr>
          <w:rFonts w:asciiTheme="majorHAnsi" w:hAnsiTheme="majorHAnsi"/>
          <w:sz w:val="22"/>
          <w:szCs w:val="22"/>
        </w:rPr>
        <w:t xml:space="preserve">  A number of project managers </w:t>
      </w:r>
      <w:r w:rsidR="00A167DA" w:rsidRPr="00706A70">
        <w:rPr>
          <w:rFonts w:asciiTheme="majorHAnsi" w:hAnsiTheme="majorHAnsi"/>
          <w:sz w:val="22"/>
          <w:szCs w:val="22"/>
        </w:rPr>
        <w:t>or ex project managers were involved in project development and some are also members of the Technical Advisor Group providing input</w:t>
      </w:r>
      <w:r>
        <w:rPr>
          <w:rFonts w:asciiTheme="majorHAnsi" w:hAnsiTheme="majorHAnsi"/>
          <w:sz w:val="22"/>
          <w:szCs w:val="22"/>
        </w:rPr>
        <w:t>,</w:t>
      </w:r>
      <w:r w:rsidR="002544AC">
        <w:rPr>
          <w:rFonts w:asciiTheme="majorHAnsi" w:hAnsiTheme="majorHAnsi"/>
          <w:sz w:val="22"/>
          <w:szCs w:val="22"/>
        </w:rPr>
        <w:t xml:space="preserve"> in particular </w:t>
      </w:r>
      <w:r w:rsidR="00A167DA" w:rsidRPr="00706A70">
        <w:rPr>
          <w:rFonts w:asciiTheme="majorHAnsi" w:hAnsiTheme="majorHAnsi"/>
          <w:sz w:val="22"/>
          <w:szCs w:val="22"/>
        </w:rPr>
        <w:t xml:space="preserve">to the TDA/SAP manual and </w:t>
      </w:r>
      <w:r w:rsidR="009A41EA" w:rsidRPr="00706A70">
        <w:rPr>
          <w:rFonts w:asciiTheme="majorHAnsi" w:hAnsiTheme="majorHAnsi"/>
          <w:sz w:val="22"/>
          <w:szCs w:val="22"/>
        </w:rPr>
        <w:t xml:space="preserve">the Project Managers Manual.  </w:t>
      </w:r>
    </w:p>
    <w:p w14:paraId="186A9F55" w14:textId="77777777" w:rsidR="00BA4397" w:rsidRPr="00706A70" w:rsidRDefault="00BA4397" w:rsidP="00BA4397">
      <w:pPr>
        <w:jc w:val="both"/>
        <w:rPr>
          <w:rFonts w:asciiTheme="majorHAnsi" w:hAnsiTheme="majorHAnsi"/>
          <w:sz w:val="22"/>
          <w:szCs w:val="22"/>
        </w:rPr>
      </w:pPr>
    </w:p>
    <w:p w14:paraId="4A03E081" w14:textId="7BB91CE8" w:rsidR="009A41EA" w:rsidRDefault="009A41EA" w:rsidP="00BA4397">
      <w:pPr>
        <w:jc w:val="both"/>
        <w:rPr>
          <w:rFonts w:asciiTheme="majorHAnsi" w:hAnsiTheme="majorHAnsi"/>
          <w:sz w:val="22"/>
          <w:szCs w:val="22"/>
        </w:rPr>
      </w:pPr>
      <w:r w:rsidRPr="00706A70">
        <w:rPr>
          <w:rFonts w:asciiTheme="majorHAnsi" w:hAnsiTheme="majorHAnsi"/>
          <w:sz w:val="22"/>
          <w:szCs w:val="22"/>
        </w:rPr>
        <w:t xml:space="preserve">Ongoing communication and involvement of stakeholders, primarily PMs and partner </w:t>
      </w:r>
      <w:r w:rsidR="003A2A6A" w:rsidRPr="00706A70">
        <w:rPr>
          <w:rFonts w:asciiTheme="majorHAnsi" w:hAnsiTheme="majorHAnsi"/>
          <w:sz w:val="22"/>
          <w:szCs w:val="22"/>
        </w:rPr>
        <w:t>institutions is</w:t>
      </w:r>
      <w:r w:rsidRPr="00706A70">
        <w:rPr>
          <w:rFonts w:asciiTheme="majorHAnsi" w:hAnsiTheme="majorHAnsi"/>
          <w:sz w:val="22"/>
          <w:szCs w:val="22"/>
        </w:rPr>
        <w:t xml:space="preserve"> primarily through the workshops, targeted learning events </w:t>
      </w:r>
      <w:r w:rsidR="003A2A6A" w:rsidRPr="00706A70">
        <w:rPr>
          <w:rFonts w:asciiTheme="majorHAnsi" w:hAnsiTheme="majorHAnsi"/>
          <w:sz w:val="22"/>
          <w:szCs w:val="22"/>
        </w:rPr>
        <w:t>and twinnings</w:t>
      </w:r>
      <w:r w:rsidRPr="00706A70">
        <w:rPr>
          <w:rFonts w:asciiTheme="majorHAnsi" w:hAnsiTheme="majorHAnsi"/>
          <w:sz w:val="22"/>
          <w:szCs w:val="22"/>
        </w:rPr>
        <w:t>. All key stakeholder groups have been actively involved in the IWC6 and the Science Conference. A key object</w:t>
      </w:r>
      <w:r w:rsidR="00E73FCE">
        <w:rPr>
          <w:rFonts w:asciiTheme="majorHAnsi" w:hAnsiTheme="majorHAnsi"/>
          <w:sz w:val="22"/>
          <w:szCs w:val="22"/>
        </w:rPr>
        <w:t xml:space="preserve">ive of the project is that the </w:t>
      </w:r>
      <w:r w:rsidR="00DA31D2">
        <w:rPr>
          <w:rFonts w:asciiTheme="majorHAnsi" w:hAnsiTheme="majorHAnsi"/>
          <w:sz w:val="22"/>
          <w:szCs w:val="22"/>
        </w:rPr>
        <w:t>face-to-</w:t>
      </w:r>
      <w:r w:rsidRPr="00706A70">
        <w:rPr>
          <w:rFonts w:asciiTheme="majorHAnsi" w:hAnsiTheme="majorHAnsi"/>
          <w:sz w:val="22"/>
          <w:szCs w:val="22"/>
        </w:rPr>
        <w:t>face collaborative int</w:t>
      </w:r>
      <w:r w:rsidR="00F625F9">
        <w:rPr>
          <w:rFonts w:asciiTheme="majorHAnsi" w:hAnsiTheme="majorHAnsi"/>
          <w:sz w:val="22"/>
          <w:szCs w:val="22"/>
        </w:rPr>
        <w:t>erventions be enhanced via the online C</w:t>
      </w:r>
      <w:r w:rsidRPr="00706A70">
        <w:rPr>
          <w:rFonts w:asciiTheme="majorHAnsi" w:hAnsiTheme="majorHAnsi"/>
          <w:sz w:val="22"/>
          <w:szCs w:val="22"/>
        </w:rPr>
        <w:t xml:space="preserve">ommunities of Practice but as discussed elsewhere in this report this has not to date met with </w:t>
      </w:r>
      <w:r w:rsidR="00F625F9">
        <w:rPr>
          <w:rFonts w:asciiTheme="majorHAnsi" w:hAnsiTheme="majorHAnsi"/>
          <w:sz w:val="22"/>
          <w:szCs w:val="22"/>
        </w:rPr>
        <w:t xml:space="preserve">any real </w:t>
      </w:r>
      <w:r w:rsidRPr="00706A70">
        <w:rPr>
          <w:rFonts w:asciiTheme="majorHAnsi" w:hAnsiTheme="majorHAnsi"/>
          <w:sz w:val="22"/>
          <w:szCs w:val="22"/>
        </w:rPr>
        <w:t xml:space="preserve">success. </w:t>
      </w:r>
    </w:p>
    <w:p w14:paraId="13AC1F41" w14:textId="77777777" w:rsidR="00E73FCE" w:rsidRPr="00706A70" w:rsidRDefault="00E73FCE" w:rsidP="00BA4397">
      <w:pPr>
        <w:jc w:val="both"/>
        <w:rPr>
          <w:rFonts w:asciiTheme="majorHAnsi" w:hAnsiTheme="majorHAnsi"/>
          <w:sz w:val="22"/>
          <w:szCs w:val="22"/>
        </w:rPr>
      </w:pPr>
    </w:p>
    <w:p w14:paraId="62F4F493" w14:textId="5F651556" w:rsidR="00A167DA" w:rsidRPr="00FB2461" w:rsidRDefault="00204CB8" w:rsidP="00BA4397">
      <w:pPr>
        <w:jc w:val="both"/>
        <w:rPr>
          <w:rFonts w:asciiTheme="majorHAnsi" w:hAnsiTheme="majorHAnsi"/>
          <w:b/>
          <w:sz w:val="22"/>
          <w:szCs w:val="22"/>
        </w:rPr>
      </w:pPr>
      <w:r w:rsidRPr="00706A70">
        <w:rPr>
          <w:rFonts w:asciiTheme="majorHAnsi" w:hAnsiTheme="majorHAnsi"/>
          <w:sz w:val="22"/>
          <w:szCs w:val="22"/>
        </w:rPr>
        <w:t xml:space="preserve">In general, from feedback </w:t>
      </w:r>
      <w:r w:rsidR="00E73FCE" w:rsidRPr="00706A70">
        <w:rPr>
          <w:rFonts w:asciiTheme="majorHAnsi" w:hAnsiTheme="majorHAnsi"/>
          <w:sz w:val="22"/>
          <w:szCs w:val="22"/>
        </w:rPr>
        <w:t>received</w:t>
      </w:r>
      <w:r w:rsidR="00E73FCE">
        <w:rPr>
          <w:rFonts w:asciiTheme="majorHAnsi" w:hAnsiTheme="majorHAnsi"/>
          <w:sz w:val="22"/>
          <w:szCs w:val="22"/>
        </w:rPr>
        <w:t xml:space="preserve"> the MTE believes that </w:t>
      </w:r>
      <w:r w:rsidRPr="00706A70">
        <w:rPr>
          <w:rFonts w:asciiTheme="majorHAnsi" w:hAnsiTheme="majorHAnsi"/>
          <w:sz w:val="22"/>
          <w:szCs w:val="22"/>
        </w:rPr>
        <w:t>excellent collaboration between the various partners and institutions has been developed and maintained.</w:t>
      </w:r>
      <w:r w:rsidR="00F625F9">
        <w:rPr>
          <w:rFonts w:asciiTheme="majorHAnsi" w:hAnsiTheme="majorHAnsi"/>
          <w:sz w:val="22"/>
          <w:szCs w:val="22"/>
        </w:rPr>
        <w:t xml:space="preserve"> This aspe</w:t>
      </w:r>
      <w:r w:rsidR="00FB2461">
        <w:rPr>
          <w:rFonts w:asciiTheme="majorHAnsi" w:hAnsiTheme="majorHAnsi"/>
          <w:sz w:val="22"/>
          <w:szCs w:val="22"/>
        </w:rPr>
        <w:t>ct of the project is assessed by</w:t>
      </w:r>
      <w:r w:rsidR="00F625F9">
        <w:rPr>
          <w:rFonts w:asciiTheme="majorHAnsi" w:hAnsiTheme="majorHAnsi"/>
          <w:sz w:val="22"/>
          <w:szCs w:val="22"/>
        </w:rPr>
        <w:t xml:space="preserve"> the MTE to be </w:t>
      </w:r>
      <w:r w:rsidR="00F625F9" w:rsidRPr="00FB2461">
        <w:rPr>
          <w:rFonts w:asciiTheme="majorHAnsi" w:hAnsiTheme="majorHAnsi"/>
          <w:b/>
          <w:sz w:val="22"/>
          <w:szCs w:val="22"/>
        </w:rPr>
        <w:t xml:space="preserve">Satisfactory. </w:t>
      </w:r>
    </w:p>
    <w:p w14:paraId="6EB3B6B6" w14:textId="515CDD65" w:rsidR="00E4777D" w:rsidRPr="00B94EF0" w:rsidRDefault="00EC2B6D" w:rsidP="00E4777D">
      <w:pPr>
        <w:pStyle w:val="Heading3"/>
      </w:pPr>
      <w:bookmarkStart w:id="91" w:name="_Toc320280656"/>
      <w:bookmarkStart w:id="92" w:name="_Toc341527061"/>
      <w:bookmarkStart w:id="93" w:name="_Toc222479158"/>
      <w:r w:rsidRPr="00F2237B">
        <w:t>Financial planning and management</w:t>
      </w:r>
      <w:bookmarkEnd w:id="91"/>
      <w:bookmarkEnd w:id="92"/>
      <w:bookmarkEnd w:id="93"/>
    </w:p>
    <w:p w14:paraId="470628AA" w14:textId="577DE35E" w:rsidR="00E514F6" w:rsidRPr="00706A70" w:rsidRDefault="00FB2461" w:rsidP="003A2A6A">
      <w:pPr>
        <w:jc w:val="both"/>
        <w:rPr>
          <w:rFonts w:asciiTheme="majorHAnsi" w:hAnsiTheme="majorHAnsi"/>
          <w:sz w:val="22"/>
          <w:szCs w:val="22"/>
        </w:rPr>
      </w:pPr>
      <w:r>
        <w:rPr>
          <w:rFonts w:asciiTheme="majorHAnsi" w:hAnsiTheme="majorHAnsi"/>
          <w:sz w:val="22"/>
          <w:szCs w:val="22"/>
        </w:rPr>
        <w:t xml:space="preserve">This aspect of the project is assessed by the MTE to be </w:t>
      </w:r>
      <w:r w:rsidRPr="00FB2461">
        <w:rPr>
          <w:rFonts w:asciiTheme="majorHAnsi" w:hAnsiTheme="majorHAnsi"/>
          <w:b/>
          <w:sz w:val="22"/>
          <w:szCs w:val="22"/>
        </w:rPr>
        <w:t xml:space="preserve">Satisfactory. </w:t>
      </w:r>
      <w:r w:rsidR="00E514F6" w:rsidRPr="00706A70">
        <w:rPr>
          <w:rFonts w:asciiTheme="majorHAnsi" w:hAnsiTheme="majorHAnsi"/>
          <w:sz w:val="22"/>
          <w:szCs w:val="22"/>
        </w:rPr>
        <w:t xml:space="preserve">Project finances are overseen and managed by UNOPS and UNEP-DEWA for the UNDP and UNEP implemented components respectively according to their respective rules and procedures. Once again this does lead to a difficulty for the PCU as the financial management procedures and online resources available to the </w:t>
      </w:r>
      <w:r w:rsidR="00E74173">
        <w:rPr>
          <w:rFonts w:asciiTheme="majorHAnsi" w:hAnsiTheme="majorHAnsi"/>
          <w:sz w:val="22"/>
          <w:szCs w:val="22"/>
        </w:rPr>
        <w:t xml:space="preserve">PCU are quite different and </w:t>
      </w:r>
      <w:r w:rsidR="003A2A6A">
        <w:rPr>
          <w:rFonts w:asciiTheme="majorHAnsi" w:hAnsiTheme="majorHAnsi"/>
          <w:sz w:val="22"/>
          <w:szCs w:val="22"/>
        </w:rPr>
        <w:t>in</w:t>
      </w:r>
      <w:r w:rsidR="003A2A6A" w:rsidRPr="00706A70">
        <w:rPr>
          <w:rFonts w:asciiTheme="majorHAnsi" w:hAnsiTheme="majorHAnsi"/>
          <w:sz w:val="22"/>
          <w:szCs w:val="22"/>
        </w:rPr>
        <w:t>compatible</w:t>
      </w:r>
      <w:r w:rsidR="003A2A6A">
        <w:rPr>
          <w:rFonts w:asciiTheme="majorHAnsi" w:hAnsiTheme="majorHAnsi"/>
          <w:sz w:val="22"/>
          <w:szCs w:val="22"/>
        </w:rPr>
        <w:t xml:space="preserve"> except</w:t>
      </w:r>
      <w:r w:rsidR="00E74173">
        <w:rPr>
          <w:rFonts w:asciiTheme="majorHAnsi" w:hAnsiTheme="majorHAnsi"/>
          <w:sz w:val="22"/>
          <w:szCs w:val="22"/>
        </w:rPr>
        <w:t xml:space="preserve"> when rolled up to full C</w:t>
      </w:r>
      <w:r w:rsidR="00E514F6" w:rsidRPr="00706A70">
        <w:rPr>
          <w:rFonts w:asciiTheme="majorHAnsi" w:hAnsiTheme="majorHAnsi"/>
          <w:sz w:val="22"/>
          <w:szCs w:val="22"/>
        </w:rPr>
        <w:t xml:space="preserve">omponent level. And whereas the PM is actively involved in the financial planning process of the UNOPS/UNDP </w:t>
      </w:r>
      <w:r w:rsidR="003A2A6A" w:rsidRPr="00706A70">
        <w:rPr>
          <w:rFonts w:asciiTheme="majorHAnsi" w:hAnsiTheme="majorHAnsi"/>
          <w:sz w:val="22"/>
          <w:szCs w:val="22"/>
        </w:rPr>
        <w:t>component and</w:t>
      </w:r>
      <w:r w:rsidR="00E514F6" w:rsidRPr="00706A70">
        <w:rPr>
          <w:rFonts w:asciiTheme="majorHAnsi" w:hAnsiTheme="majorHAnsi"/>
          <w:sz w:val="22"/>
          <w:szCs w:val="22"/>
        </w:rPr>
        <w:t xml:space="preserve"> has maintained a detailed and regularly updated shadow budget he has no input into </w:t>
      </w:r>
      <w:r w:rsidR="003A2A6A" w:rsidRPr="00706A70">
        <w:rPr>
          <w:rFonts w:asciiTheme="majorHAnsi" w:hAnsiTheme="majorHAnsi"/>
          <w:sz w:val="22"/>
          <w:szCs w:val="22"/>
        </w:rPr>
        <w:t>the UNEP</w:t>
      </w:r>
      <w:r w:rsidR="00E514F6" w:rsidRPr="00706A70">
        <w:rPr>
          <w:rFonts w:asciiTheme="majorHAnsi" w:hAnsiTheme="majorHAnsi"/>
          <w:sz w:val="22"/>
          <w:szCs w:val="22"/>
        </w:rPr>
        <w:t xml:space="preserve"> financial management process. </w:t>
      </w:r>
    </w:p>
    <w:p w14:paraId="05DAB73E" w14:textId="77777777" w:rsidR="00DA328D" w:rsidRPr="00706A70" w:rsidRDefault="00DA328D" w:rsidP="003A2A6A">
      <w:pPr>
        <w:jc w:val="both"/>
        <w:rPr>
          <w:rFonts w:asciiTheme="majorHAnsi" w:hAnsiTheme="majorHAnsi"/>
          <w:sz w:val="22"/>
          <w:szCs w:val="22"/>
        </w:rPr>
      </w:pPr>
    </w:p>
    <w:p w14:paraId="4EFD78E8" w14:textId="771C74EF" w:rsidR="00DA328D" w:rsidRPr="00706A70" w:rsidRDefault="00E74173" w:rsidP="003A2A6A">
      <w:pPr>
        <w:jc w:val="both"/>
        <w:rPr>
          <w:rFonts w:asciiTheme="majorHAnsi" w:hAnsiTheme="majorHAnsi"/>
          <w:sz w:val="22"/>
          <w:szCs w:val="22"/>
        </w:rPr>
      </w:pPr>
      <w:r>
        <w:rPr>
          <w:rFonts w:asciiTheme="majorHAnsi" w:hAnsiTheme="majorHAnsi"/>
          <w:sz w:val="22"/>
          <w:szCs w:val="22"/>
        </w:rPr>
        <w:t xml:space="preserve">Notwithstanding the above operational difficulties </w:t>
      </w:r>
      <w:r w:rsidR="00DA328D" w:rsidRPr="00706A70">
        <w:rPr>
          <w:rFonts w:asciiTheme="majorHAnsi" w:hAnsiTheme="majorHAnsi"/>
          <w:sz w:val="22"/>
          <w:szCs w:val="22"/>
        </w:rPr>
        <w:t>the MTE believes</w:t>
      </w:r>
      <w:r w:rsidR="00706A70" w:rsidRPr="00706A70">
        <w:rPr>
          <w:rFonts w:asciiTheme="majorHAnsi" w:hAnsiTheme="majorHAnsi"/>
          <w:sz w:val="22"/>
          <w:szCs w:val="22"/>
        </w:rPr>
        <w:t xml:space="preserve"> that both </w:t>
      </w:r>
      <w:r w:rsidR="003A2A6A" w:rsidRPr="00706A70">
        <w:rPr>
          <w:rFonts w:asciiTheme="majorHAnsi" w:hAnsiTheme="majorHAnsi"/>
          <w:sz w:val="22"/>
          <w:szCs w:val="22"/>
        </w:rPr>
        <w:t>financial and</w:t>
      </w:r>
      <w:r w:rsidR="00706A70" w:rsidRPr="00706A70">
        <w:rPr>
          <w:rFonts w:asciiTheme="majorHAnsi" w:hAnsiTheme="majorHAnsi"/>
          <w:sz w:val="22"/>
          <w:szCs w:val="22"/>
        </w:rPr>
        <w:t xml:space="preserve"> administrative management ha</w:t>
      </w:r>
      <w:r w:rsidR="00FB2461">
        <w:rPr>
          <w:rFonts w:asciiTheme="majorHAnsi" w:hAnsiTheme="majorHAnsi"/>
          <w:sz w:val="22"/>
          <w:szCs w:val="22"/>
        </w:rPr>
        <w:t>ve</w:t>
      </w:r>
      <w:r w:rsidR="00706A70" w:rsidRPr="00706A70">
        <w:rPr>
          <w:rFonts w:asciiTheme="majorHAnsi" w:hAnsiTheme="majorHAnsi"/>
          <w:sz w:val="22"/>
          <w:szCs w:val="22"/>
        </w:rPr>
        <w:t xml:space="preserve"> been </w:t>
      </w:r>
      <w:r w:rsidR="00DA328D" w:rsidRPr="00706A70">
        <w:rPr>
          <w:rFonts w:asciiTheme="majorHAnsi" w:hAnsiTheme="majorHAnsi"/>
          <w:sz w:val="22"/>
          <w:szCs w:val="22"/>
        </w:rPr>
        <w:t xml:space="preserve">carried out to the expected standards by both executing agencies. </w:t>
      </w:r>
    </w:p>
    <w:p w14:paraId="4419234D" w14:textId="77777777" w:rsidR="00DA328D" w:rsidRPr="00706A70" w:rsidRDefault="00DA328D" w:rsidP="003A2A6A">
      <w:pPr>
        <w:jc w:val="both"/>
        <w:rPr>
          <w:rFonts w:asciiTheme="majorHAnsi" w:hAnsiTheme="majorHAnsi"/>
          <w:sz w:val="22"/>
          <w:szCs w:val="22"/>
        </w:rPr>
      </w:pPr>
    </w:p>
    <w:p w14:paraId="3350A620" w14:textId="7BF84CC5" w:rsidR="00DA328D" w:rsidRPr="00706A70" w:rsidRDefault="00FF3E14" w:rsidP="003A2A6A">
      <w:pPr>
        <w:jc w:val="both"/>
        <w:rPr>
          <w:rFonts w:asciiTheme="majorHAnsi" w:hAnsiTheme="majorHAnsi"/>
          <w:sz w:val="22"/>
          <w:szCs w:val="22"/>
        </w:rPr>
      </w:pPr>
      <w:r>
        <w:rPr>
          <w:rFonts w:asciiTheme="majorHAnsi" w:hAnsiTheme="majorHAnsi"/>
          <w:sz w:val="22"/>
          <w:szCs w:val="22"/>
        </w:rPr>
        <w:t>Table 5</w:t>
      </w:r>
      <w:r w:rsidR="003A2A6A" w:rsidRPr="00706A70">
        <w:rPr>
          <w:rFonts w:asciiTheme="majorHAnsi" w:hAnsiTheme="majorHAnsi"/>
          <w:sz w:val="22"/>
          <w:szCs w:val="22"/>
        </w:rPr>
        <w:t xml:space="preserve"> shows</w:t>
      </w:r>
      <w:r w:rsidR="00DA328D" w:rsidRPr="00706A70">
        <w:rPr>
          <w:rFonts w:asciiTheme="majorHAnsi" w:hAnsiTheme="majorHAnsi"/>
          <w:sz w:val="22"/>
          <w:szCs w:val="22"/>
        </w:rPr>
        <w:t xml:space="preserve"> the overall project budget by component with variances in expected versus actual expenditures over the first two years of the project. What is notable is that </w:t>
      </w:r>
      <w:r w:rsidR="003A2A6A" w:rsidRPr="00706A70">
        <w:rPr>
          <w:rFonts w:asciiTheme="majorHAnsi" w:hAnsiTheme="majorHAnsi"/>
          <w:sz w:val="22"/>
          <w:szCs w:val="22"/>
        </w:rPr>
        <w:t>for components</w:t>
      </w:r>
      <w:r w:rsidR="00DA328D" w:rsidRPr="00706A70">
        <w:rPr>
          <w:rFonts w:asciiTheme="majorHAnsi" w:hAnsiTheme="majorHAnsi"/>
          <w:sz w:val="22"/>
          <w:szCs w:val="22"/>
        </w:rPr>
        <w:t xml:space="preserve"> 3, 5 &amp; 7 expenditures are lagging whereas for project management etc expenditure is 48% in excess of the expected.  In regard to component </w:t>
      </w:r>
      <w:r w:rsidR="00E74173">
        <w:rPr>
          <w:rFonts w:asciiTheme="majorHAnsi" w:hAnsiTheme="majorHAnsi"/>
          <w:sz w:val="22"/>
          <w:szCs w:val="22"/>
        </w:rPr>
        <w:t>3</w:t>
      </w:r>
      <w:r w:rsidR="00DA328D" w:rsidRPr="00706A70">
        <w:rPr>
          <w:rFonts w:asciiTheme="majorHAnsi" w:hAnsiTheme="majorHAnsi"/>
          <w:sz w:val="22"/>
          <w:szCs w:val="22"/>
        </w:rPr>
        <w:t xml:space="preserve"> much of this is due to savings made on the IWC6 and for the M&amp;E component is similarly due to savings. The </w:t>
      </w:r>
      <w:r w:rsidR="00964201">
        <w:rPr>
          <w:rFonts w:asciiTheme="majorHAnsi" w:hAnsiTheme="majorHAnsi"/>
          <w:sz w:val="22"/>
          <w:szCs w:val="22"/>
        </w:rPr>
        <w:t>lag in component 5 is owing to delayed</w:t>
      </w:r>
      <w:r w:rsidR="00DA328D" w:rsidRPr="00706A70">
        <w:rPr>
          <w:rFonts w:asciiTheme="majorHAnsi" w:hAnsiTheme="majorHAnsi"/>
          <w:sz w:val="22"/>
          <w:szCs w:val="22"/>
        </w:rPr>
        <w:t xml:space="preserve"> implementation of several subcomponents discussed elsewhere in this report. </w:t>
      </w:r>
      <w:r w:rsidR="00E74173">
        <w:rPr>
          <w:rFonts w:asciiTheme="majorHAnsi" w:hAnsiTheme="majorHAnsi"/>
          <w:sz w:val="22"/>
          <w:szCs w:val="22"/>
        </w:rPr>
        <w:t xml:space="preserve"> The </w:t>
      </w:r>
      <w:r w:rsidR="003A2A6A">
        <w:rPr>
          <w:rFonts w:asciiTheme="majorHAnsi" w:hAnsiTheme="majorHAnsi"/>
          <w:sz w:val="22"/>
          <w:szCs w:val="22"/>
        </w:rPr>
        <w:t>over expenditure</w:t>
      </w:r>
      <w:r w:rsidR="00E74173">
        <w:rPr>
          <w:rFonts w:asciiTheme="majorHAnsi" w:hAnsiTheme="majorHAnsi"/>
          <w:sz w:val="22"/>
          <w:szCs w:val="22"/>
        </w:rPr>
        <w:t xml:space="preserve"> against project management is, from discussions with the PCU and UNOPS, due largely to underestimation of these costs during project formulation.  </w:t>
      </w:r>
    </w:p>
    <w:p w14:paraId="32B46E6F" w14:textId="77777777" w:rsidR="00DA328D" w:rsidRDefault="00DA328D" w:rsidP="00E4777D"/>
    <w:p w14:paraId="74AE3229" w14:textId="77777777" w:rsidR="00EC157E" w:rsidRDefault="00EC157E" w:rsidP="00E4777D"/>
    <w:p w14:paraId="59C73BC4" w14:textId="77777777" w:rsidR="00EC157E" w:rsidRDefault="00EC157E" w:rsidP="00E4777D"/>
    <w:p w14:paraId="4B4CA532" w14:textId="77777777" w:rsidR="00EC157E" w:rsidRDefault="00EC157E" w:rsidP="00E4777D"/>
    <w:p w14:paraId="45D5E4AA" w14:textId="77777777" w:rsidR="00EC157E" w:rsidRDefault="00EC157E" w:rsidP="00E4777D"/>
    <w:p w14:paraId="39B2341C" w14:textId="77777777" w:rsidR="00EC157E" w:rsidRDefault="00EC157E" w:rsidP="00E4777D"/>
    <w:tbl>
      <w:tblPr>
        <w:tblW w:w="9072" w:type="dxa"/>
        <w:tblInd w:w="108" w:type="dxa"/>
        <w:tblLayout w:type="fixed"/>
        <w:tblLook w:val="04A0" w:firstRow="1" w:lastRow="0" w:firstColumn="1" w:lastColumn="0" w:noHBand="0" w:noVBand="1"/>
      </w:tblPr>
      <w:tblGrid>
        <w:gridCol w:w="709"/>
        <w:gridCol w:w="1843"/>
        <w:gridCol w:w="1134"/>
        <w:gridCol w:w="1134"/>
        <w:gridCol w:w="1134"/>
        <w:gridCol w:w="992"/>
        <w:gridCol w:w="1134"/>
        <w:gridCol w:w="992"/>
      </w:tblGrid>
      <w:tr w:rsidR="00706A70" w:rsidRPr="000B5011" w14:paraId="7B585EC4" w14:textId="77777777" w:rsidTr="00706A70">
        <w:trPr>
          <w:trHeight w:val="390"/>
        </w:trPr>
        <w:tc>
          <w:tcPr>
            <w:tcW w:w="9072" w:type="dxa"/>
            <w:gridSpan w:val="8"/>
            <w:tcBorders>
              <w:top w:val="nil"/>
              <w:left w:val="nil"/>
              <w:bottom w:val="nil"/>
              <w:right w:val="nil"/>
            </w:tcBorders>
            <w:shd w:val="clear" w:color="auto" w:fill="auto"/>
            <w:noWrap/>
            <w:vAlign w:val="center"/>
            <w:hideMark/>
          </w:tcPr>
          <w:p w14:paraId="6042BCF8" w14:textId="01E715CC" w:rsidR="00706A70" w:rsidRPr="000B5011" w:rsidRDefault="006A2417" w:rsidP="00FE0A01">
            <w:pPr>
              <w:rPr>
                <w:rFonts w:asciiTheme="majorHAnsi" w:eastAsia="Times New Roman" w:hAnsiTheme="majorHAnsi" w:cs="Arial"/>
                <w:sz w:val="20"/>
                <w:szCs w:val="20"/>
              </w:rPr>
            </w:pPr>
            <w:r w:rsidRPr="000B5011">
              <w:rPr>
                <w:rFonts w:asciiTheme="majorHAnsi" w:eastAsia="Times New Roman" w:hAnsiTheme="majorHAnsi" w:cs="Arial"/>
                <w:bCs/>
                <w:sz w:val="20"/>
                <w:szCs w:val="20"/>
              </w:rPr>
              <w:t xml:space="preserve">Table 5. </w:t>
            </w:r>
            <w:r w:rsidR="00EC157E" w:rsidRPr="000B5011">
              <w:rPr>
                <w:rFonts w:asciiTheme="majorHAnsi" w:eastAsia="Times New Roman" w:hAnsiTheme="majorHAnsi" w:cs="Arial"/>
                <w:bCs/>
                <w:sz w:val="20"/>
                <w:szCs w:val="20"/>
              </w:rPr>
              <w:t xml:space="preserve"> </w:t>
            </w:r>
            <w:r w:rsidR="00706A70" w:rsidRPr="000B5011">
              <w:rPr>
                <w:rFonts w:asciiTheme="majorHAnsi" w:eastAsia="Times New Roman" w:hAnsiTheme="majorHAnsi" w:cs="Arial"/>
                <w:bCs/>
                <w:sz w:val="20"/>
                <w:szCs w:val="20"/>
              </w:rPr>
              <w:t>MENARID GEF IW</w:t>
            </w:r>
            <w:r w:rsidR="003A2A6A" w:rsidRPr="000B5011">
              <w:rPr>
                <w:rFonts w:asciiTheme="majorHAnsi" w:eastAsia="Times New Roman" w:hAnsiTheme="majorHAnsi" w:cs="Arial"/>
                <w:bCs/>
                <w:sz w:val="20"/>
                <w:szCs w:val="20"/>
              </w:rPr>
              <w:t>: LEARN</w:t>
            </w:r>
            <w:r w:rsidR="00706A70" w:rsidRPr="000B5011">
              <w:rPr>
                <w:rFonts w:asciiTheme="majorHAnsi" w:eastAsia="Times New Roman" w:hAnsiTheme="majorHAnsi" w:cs="Arial"/>
                <w:bCs/>
                <w:sz w:val="20"/>
                <w:szCs w:val="20"/>
              </w:rPr>
              <w:t xml:space="preserve"> – </w:t>
            </w:r>
            <w:r w:rsidR="00EC157E" w:rsidRPr="000B5011">
              <w:rPr>
                <w:rFonts w:asciiTheme="majorHAnsi" w:eastAsia="Times New Roman" w:hAnsiTheme="majorHAnsi" w:cs="Arial"/>
                <w:bCs/>
                <w:sz w:val="20"/>
                <w:szCs w:val="20"/>
              </w:rPr>
              <w:t xml:space="preserve">Summary of budgets expenditures and variances. </w:t>
            </w:r>
          </w:p>
        </w:tc>
      </w:tr>
      <w:tr w:rsidR="00673F40" w:rsidRPr="006C2007" w14:paraId="2C4B7134" w14:textId="77777777" w:rsidTr="008611F1">
        <w:trPr>
          <w:trHeight w:val="700"/>
        </w:trPr>
        <w:tc>
          <w:tcPr>
            <w:tcW w:w="70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8387BE5" w14:textId="5FF17CCD" w:rsidR="00FE0A01" w:rsidRPr="006C2007" w:rsidRDefault="006C2007" w:rsidP="006C2007">
            <w:pPr>
              <w:jc w:val="center"/>
              <w:rPr>
                <w:rFonts w:asciiTheme="majorHAnsi" w:eastAsia="Times New Roman" w:hAnsiTheme="majorHAnsi" w:cs="Arial"/>
                <w:bCs/>
                <w:sz w:val="18"/>
                <w:szCs w:val="18"/>
              </w:rPr>
            </w:pPr>
            <w:r w:rsidRPr="006C2007">
              <w:rPr>
                <w:rFonts w:asciiTheme="majorHAnsi" w:eastAsia="Times New Roman" w:hAnsiTheme="majorHAnsi" w:cs="Arial"/>
                <w:bCs/>
                <w:sz w:val="18"/>
                <w:szCs w:val="18"/>
              </w:rPr>
              <w:t>Comp.</w:t>
            </w:r>
          </w:p>
        </w:tc>
        <w:tc>
          <w:tcPr>
            <w:tcW w:w="1843"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79F5A8E0" w14:textId="65DC2896" w:rsidR="00FE0A01" w:rsidRPr="006C2007" w:rsidRDefault="006C2007"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Description</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605C8B6A" w14:textId="1165B392"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Initial Budget</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595D4D07" w14:textId="64BCDC35"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Expenditure to Date</w:t>
            </w:r>
          </w:p>
        </w:tc>
        <w:tc>
          <w:tcPr>
            <w:tcW w:w="1134" w:type="dxa"/>
            <w:tcBorders>
              <w:top w:val="single" w:sz="4" w:space="0" w:color="auto"/>
              <w:left w:val="nil"/>
              <w:bottom w:val="single" w:sz="4" w:space="0" w:color="auto"/>
              <w:right w:val="nil"/>
            </w:tcBorders>
            <w:shd w:val="clear" w:color="auto" w:fill="C6D9F1" w:themeFill="text2" w:themeFillTint="33"/>
            <w:vAlign w:val="center"/>
            <w:hideMark/>
          </w:tcPr>
          <w:p w14:paraId="6B60F87B" w14:textId="1BAC1B4E" w:rsidR="00FE0A01" w:rsidRPr="006C2007" w:rsidRDefault="006C2007"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Planned expend.</w:t>
            </w:r>
            <w:r w:rsidR="00FE0A01" w:rsidRPr="006C2007">
              <w:rPr>
                <w:rFonts w:asciiTheme="majorHAnsi" w:eastAsia="Times New Roman" w:hAnsiTheme="majorHAnsi" w:cs="Arial"/>
                <w:bCs/>
                <w:sz w:val="20"/>
                <w:szCs w:val="20"/>
              </w:rPr>
              <w:t xml:space="preserve"> at start</w:t>
            </w:r>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2978F4" w14:textId="54BC24E3"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Variance % to date</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0C11DC45" w14:textId="3ACF86F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2013 Budget</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14:paraId="243BFC51" w14:textId="3EC41F08"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2014 Budget</w:t>
            </w:r>
          </w:p>
        </w:tc>
      </w:tr>
      <w:tr w:rsidR="00673F40" w:rsidRPr="006C2007" w14:paraId="42ED1F97" w14:textId="77777777" w:rsidTr="008611F1">
        <w:trPr>
          <w:trHeight w:val="631"/>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7C0E545" w14:textId="77777777" w:rsidR="00FE0A01" w:rsidRDefault="00FE0A01" w:rsidP="00FE0A01">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w:t>
            </w:r>
          </w:p>
          <w:p w14:paraId="72461C63" w14:textId="2E285219" w:rsidR="008611F1" w:rsidRPr="006C2007" w:rsidRDefault="008611F1" w:rsidP="00FE0A01">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UNDP</w:t>
            </w:r>
          </w:p>
        </w:tc>
        <w:tc>
          <w:tcPr>
            <w:tcW w:w="1843" w:type="dxa"/>
            <w:tcBorders>
              <w:top w:val="nil"/>
              <w:left w:val="nil"/>
              <w:bottom w:val="single" w:sz="4" w:space="0" w:color="auto"/>
              <w:right w:val="single" w:sz="4" w:space="0" w:color="auto"/>
            </w:tcBorders>
            <w:shd w:val="clear" w:color="auto" w:fill="auto"/>
            <w:vAlign w:val="center"/>
            <w:hideMark/>
          </w:tcPr>
          <w:p w14:paraId="06BBF103" w14:textId="03ACE600" w:rsidR="00FE0A01" w:rsidRPr="006C2007" w:rsidRDefault="00FE0A01" w:rsidP="006C2007">
            <w:pP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xml:space="preserve">1. MENARID Support </w:t>
            </w:r>
          </w:p>
        </w:tc>
        <w:tc>
          <w:tcPr>
            <w:tcW w:w="1134" w:type="dxa"/>
            <w:tcBorders>
              <w:top w:val="nil"/>
              <w:left w:val="nil"/>
              <w:bottom w:val="single" w:sz="4" w:space="0" w:color="auto"/>
              <w:right w:val="single" w:sz="4" w:space="0" w:color="auto"/>
            </w:tcBorders>
            <w:shd w:val="clear" w:color="auto" w:fill="auto"/>
            <w:vAlign w:val="center"/>
            <w:hideMark/>
          </w:tcPr>
          <w:p w14:paraId="7319BB0E" w14:textId="005B4E60"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906,290</w:t>
            </w:r>
          </w:p>
        </w:tc>
        <w:tc>
          <w:tcPr>
            <w:tcW w:w="1134" w:type="dxa"/>
            <w:tcBorders>
              <w:top w:val="nil"/>
              <w:left w:val="nil"/>
              <w:bottom w:val="single" w:sz="4" w:space="0" w:color="auto"/>
              <w:right w:val="single" w:sz="4" w:space="0" w:color="auto"/>
            </w:tcBorders>
            <w:shd w:val="clear" w:color="auto" w:fill="auto"/>
            <w:vAlign w:val="center"/>
            <w:hideMark/>
          </w:tcPr>
          <w:p w14:paraId="3D2A066A" w14:textId="5A7E95BF"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495,269</w:t>
            </w:r>
          </w:p>
        </w:tc>
        <w:tc>
          <w:tcPr>
            <w:tcW w:w="1134" w:type="dxa"/>
            <w:tcBorders>
              <w:top w:val="nil"/>
              <w:left w:val="nil"/>
              <w:bottom w:val="single" w:sz="4" w:space="0" w:color="auto"/>
              <w:right w:val="nil"/>
            </w:tcBorders>
            <w:shd w:val="clear" w:color="auto" w:fill="auto"/>
            <w:noWrap/>
            <w:vAlign w:val="center"/>
            <w:hideMark/>
          </w:tcPr>
          <w:p w14:paraId="1044F3F1" w14:textId="5231FEAF"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565,600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404F1973" w14:textId="7777777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-12%</w:t>
            </w:r>
          </w:p>
        </w:tc>
        <w:tc>
          <w:tcPr>
            <w:tcW w:w="1134" w:type="dxa"/>
            <w:tcBorders>
              <w:top w:val="nil"/>
              <w:left w:val="nil"/>
              <w:bottom w:val="single" w:sz="4" w:space="0" w:color="auto"/>
              <w:right w:val="single" w:sz="4" w:space="0" w:color="auto"/>
            </w:tcBorders>
            <w:shd w:val="clear" w:color="auto" w:fill="auto"/>
            <w:vAlign w:val="center"/>
            <w:hideMark/>
          </w:tcPr>
          <w:p w14:paraId="359033C2" w14:textId="3965837D"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235,068</w:t>
            </w:r>
          </w:p>
        </w:tc>
        <w:tc>
          <w:tcPr>
            <w:tcW w:w="992" w:type="dxa"/>
            <w:tcBorders>
              <w:top w:val="nil"/>
              <w:left w:val="nil"/>
              <w:bottom w:val="single" w:sz="4" w:space="0" w:color="auto"/>
              <w:right w:val="single" w:sz="4" w:space="0" w:color="auto"/>
            </w:tcBorders>
            <w:shd w:val="clear" w:color="auto" w:fill="auto"/>
            <w:vAlign w:val="center"/>
            <w:hideMark/>
          </w:tcPr>
          <w:p w14:paraId="781E714A" w14:textId="6699939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177,534</w:t>
            </w:r>
          </w:p>
        </w:tc>
      </w:tr>
      <w:tr w:rsidR="00673F40" w:rsidRPr="006C2007" w14:paraId="26073FAD" w14:textId="77777777" w:rsidTr="008611F1">
        <w:trPr>
          <w:trHeight w:val="83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BE24E3D" w14:textId="77777777" w:rsidR="00FE0A01" w:rsidRDefault="00FE0A01" w:rsidP="00FE0A01">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w:t>
            </w:r>
          </w:p>
          <w:p w14:paraId="1DE1B980" w14:textId="13E06D1A" w:rsidR="008611F1" w:rsidRPr="006C2007" w:rsidRDefault="008611F1" w:rsidP="00FE0A01">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UNDP</w:t>
            </w:r>
          </w:p>
        </w:tc>
        <w:tc>
          <w:tcPr>
            <w:tcW w:w="1843" w:type="dxa"/>
            <w:tcBorders>
              <w:top w:val="nil"/>
              <w:left w:val="nil"/>
              <w:bottom w:val="single" w:sz="4" w:space="0" w:color="auto"/>
              <w:right w:val="single" w:sz="4" w:space="0" w:color="auto"/>
            </w:tcBorders>
            <w:shd w:val="clear" w:color="auto" w:fill="auto"/>
            <w:vAlign w:val="center"/>
            <w:hideMark/>
          </w:tcPr>
          <w:p w14:paraId="77962E93" w14:textId="192BD598" w:rsidR="00FE0A01" w:rsidRPr="006C2007" w:rsidRDefault="00FE0A01" w:rsidP="008611F1">
            <w:pP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xml:space="preserve">Accelerated Learning and Replication </w:t>
            </w:r>
          </w:p>
        </w:tc>
        <w:tc>
          <w:tcPr>
            <w:tcW w:w="1134" w:type="dxa"/>
            <w:tcBorders>
              <w:top w:val="nil"/>
              <w:left w:val="nil"/>
              <w:bottom w:val="single" w:sz="4" w:space="0" w:color="auto"/>
              <w:right w:val="single" w:sz="4" w:space="0" w:color="auto"/>
            </w:tcBorders>
            <w:shd w:val="clear" w:color="auto" w:fill="auto"/>
            <w:vAlign w:val="center"/>
            <w:hideMark/>
          </w:tcPr>
          <w:p w14:paraId="5785BDC1" w14:textId="5BAC1405"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405,209</w:t>
            </w:r>
          </w:p>
        </w:tc>
        <w:tc>
          <w:tcPr>
            <w:tcW w:w="1134" w:type="dxa"/>
            <w:tcBorders>
              <w:top w:val="nil"/>
              <w:left w:val="nil"/>
              <w:bottom w:val="single" w:sz="4" w:space="0" w:color="auto"/>
              <w:right w:val="single" w:sz="4" w:space="0" w:color="auto"/>
            </w:tcBorders>
            <w:shd w:val="clear" w:color="auto" w:fill="auto"/>
            <w:vAlign w:val="center"/>
            <w:hideMark/>
          </w:tcPr>
          <w:p w14:paraId="40CD74CC" w14:textId="6694F1B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237,441</w:t>
            </w:r>
          </w:p>
        </w:tc>
        <w:tc>
          <w:tcPr>
            <w:tcW w:w="1134" w:type="dxa"/>
            <w:tcBorders>
              <w:top w:val="nil"/>
              <w:left w:val="nil"/>
              <w:bottom w:val="single" w:sz="4" w:space="0" w:color="auto"/>
              <w:right w:val="nil"/>
            </w:tcBorders>
            <w:shd w:val="clear" w:color="auto" w:fill="auto"/>
            <w:noWrap/>
            <w:vAlign w:val="center"/>
            <w:hideMark/>
          </w:tcPr>
          <w:p w14:paraId="25068E3A" w14:textId="472A125A"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230,600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78B11ED" w14:textId="7777777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3%</w:t>
            </w:r>
          </w:p>
        </w:tc>
        <w:tc>
          <w:tcPr>
            <w:tcW w:w="1134" w:type="dxa"/>
            <w:tcBorders>
              <w:top w:val="nil"/>
              <w:left w:val="nil"/>
              <w:bottom w:val="single" w:sz="4" w:space="0" w:color="auto"/>
              <w:right w:val="single" w:sz="4" w:space="0" w:color="auto"/>
            </w:tcBorders>
            <w:shd w:val="clear" w:color="auto" w:fill="auto"/>
            <w:vAlign w:val="center"/>
            <w:hideMark/>
          </w:tcPr>
          <w:p w14:paraId="7D3B762E" w14:textId="39F6B75F"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122,863</w:t>
            </w:r>
          </w:p>
        </w:tc>
        <w:tc>
          <w:tcPr>
            <w:tcW w:w="992" w:type="dxa"/>
            <w:tcBorders>
              <w:top w:val="nil"/>
              <w:left w:val="nil"/>
              <w:bottom w:val="single" w:sz="4" w:space="0" w:color="auto"/>
              <w:right w:val="single" w:sz="4" w:space="0" w:color="auto"/>
            </w:tcBorders>
            <w:shd w:val="clear" w:color="auto" w:fill="auto"/>
            <w:vAlign w:val="center"/>
            <w:hideMark/>
          </w:tcPr>
          <w:p w14:paraId="6D31AEAE" w14:textId="2B92A986"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43,255</w:t>
            </w:r>
          </w:p>
        </w:tc>
      </w:tr>
      <w:tr w:rsidR="00673F40" w:rsidRPr="006C2007" w14:paraId="6F23264B" w14:textId="77777777" w:rsidTr="008611F1">
        <w:trPr>
          <w:trHeight w:val="836"/>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23C64A5A" w14:textId="77777777" w:rsidR="00FE0A01" w:rsidRDefault="00FE0A01" w:rsidP="00FE0A01">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3</w:t>
            </w:r>
          </w:p>
          <w:p w14:paraId="7F228A10" w14:textId="091F1240" w:rsidR="008611F1" w:rsidRPr="006C2007" w:rsidRDefault="008611F1" w:rsidP="00FE0A01">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UNDP</w:t>
            </w:r>
          </w:p>
        </w:tc>
        <w:tc>
          <w:tcPr>
            <w:tcW w:w="1843" w:type="dxa"/>
            <w:tcBorders>
              <w:top w:val="nil"/>
              <w:left w:val="nil"/>
              <w:bottom w:val="single" w:sz="4" w:space="0" w:color="auto"/>
              <w:right w:val="single" w:sz="4" w:space="0" w:color="auto"/>
            </w:tcBorders>
            <w:shd w:val="clear" w:color="auto" w:fill="auto"/>
            <w:vAlign w:val="center"/>
            <w:hideMark/>
          </w:tcPr>
          <w:p w14:paraId="6B178D2F" w14:textId="760D3DC5" w:rsidR="00FE0A01" w:rsidRPr="006C2007" w:rsidRDefault="00FE0A01" w:rsidP="006C2007">
            <w:pP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xml:space="preserve">Global and GEF IW Portfolio Learning </w:t>
            </w:r>
          </w:p>
        </w:tc>
        <w:tc>
          <w:tcPr>
            <w:tcW w:w="1134" w:type="dxa"/>
            <w:tcBorders>
              <w:top w:val="nil"/>
              <w:left w:val="nil"/>
              <w:bottom w:val="single" w:sz="4" w:space="0" w:color="auto"/>
              <w:right w:val="single" w:sz="4" w:space="0" w:color="auto"/>
            </w:tcBorders>
            <w:shd w:val="clear" w:color="auto" w:fill="auto"/>
            <w:vAlign w:val="center"/>
            <w:hideMark/>
          </w:tcPr>
          <w:p w14:paraId="01902A35" w14:textId="68889E56"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763,980</w:t>
            </w:r>
          </w:p>
        </w:tc>
        <w:tc>
          <w:tcPr>
            <w:tcW w:w="1134" w:type="dxa"/>
            <w:tcBorders>
              <w:top w:val="nil"/>
              <w:left w:val="nil"/>
              <w:bottom w:val="single" w:sz="4" w:space="0" w:color="auto"/>
              <w:right w:val="single" w:sz="4" w:space="0" w:color="auto"/>
            </w:tcBorders>
            <w:shd w:val="clear" w:color="auto" w:fill="auto"/>
            <w:vAlign w:val="center"/>
            <w:hideMark/>
          </w:tcPr>
          <w:p w14:paraId="12AFD68C" w14:textId="1CEDAE6B"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419,326</w:t>
            </w:r>
          </w:p>
        </w:tc>
        <w:tc>
          <w:tcPr>
            <w:tcW w:w="1134" w:type="dxa"/>
            <w:tcBorders>
              <w:top w:val="nil"/>
              <w:left w:val="nil"/>
              <w:bottom w:val="single" w:sz="4" w:space="0" w:color="auto"/>
              <w:right w:val="nil"/>
            </w:tcBorders>
            <w:shd w:val="clear" w:color="auto" w:fill="auto"/>
            <w:noWrap/>
            <w:vAlign w:val="center"/>
            <w:hideMark/>
          </w:tcPr>
          <w:p w14:paraId="7EC6818A" w14:textId="3A13172D"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610,600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06477D2" w14:textId="7777777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-31%</w:t>
            </w:r>
          </w:p>
        </w:tc>
        <w:tc>
          <w:tcPr>
            <w:tcW w:w="1134" w:type="dxa"/>
            <w:tcBorders>
              <w:top w:val="nil"/>
              <w:left w:val="nil"/>
              <w:bottom w:val="single" w:sz="4" w:space="0" w:color="auto"/>
              <w:right w:val="single" w:sz="4" w:space="0" w:color="auto"/>
            </w:tcBorders>
            <w:shd w:val="clear" w:color="auto" w:fill="auto"/>
            <w:vAlign w:val="center"/>
            <w:hideMark/>
          </w:tcPr>
          <w:p w14:paraId="495565B7" w14:textId="355DF73B"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241,693</w:t>
            </w:r>
          </w:p>
        </w:tc>
        <w:tc>
          <w:tcPr>
            <w:tcW w:w="992" w:type="dxa"/>
            <w:tcBorders>
              <w:top w:val="nil"/>
              <w:left w:val="nil"/>
              <w:bottom w:val="single" w:sz="4" w:space="0" w:color="auto"/>
              <w:right w:val="single" w:sz="4" w:space="0" w:color="auto"/>
            </w:tcBorders>
            <w:shd w:val="clear" w:color="auto" w:fill="auto"/>
            <w:vAlign w:val="center"/>
            <w:hideMark/>
          </w:tcPr>
          <w:p w14:paraId="6C2C00AF" w14:textId="35613924"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128,383</w:t>
            </w:r>
          </w:p>
        </w:tc>
      </w:tr>
      <w:tr w:rsidR="00673F40" w:rsidRPr="006C2007" w14:paraId="330E9665" w14:textId="77777777" w:rsidTr="008611F1">
        <w:trPr>
          <w:trHeight w:val="1415"/>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080BD388" w14:textId="77777777" w:rsidR="00FE0A01" w:rsidRDefault="00FE0A01" w:rsidP="00FE0A01">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w:t>
            </w:r>
          </w:p>
          <w:p w14:paraId="3280FAAA" w14:textId="1D27EC17" w:rsidR="008611F1" w:rsidRPr="006C2007" w:rsidRDefault="008611F1" w:rsidP="00FE0A01">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UNEP</w:t>
            </w:r>
          </w:p>
        </w:tc>
        <w:tc>
          <w:tcPr>
            <w:tcW w:w="1843" w:type="dxa"/>
            <w:tcBorders>
              <w:top w:val="nil"/>
              <w:left w:val="nil"/>
              <w:bottom w:val="single" w:sz="4" w:space="0" w:color="auto"/>
              <w:right w:val="single" w:sz="4" w:space="0" w:color="auto"/>
            </w:tcBorders>
            <w:shd w:val="clear" w:color="auto" w:fill="auto"/>
            <w:vAlign w:val="center"/>
            <w:hideMark/>
          </w:tcPr>
          <w:p w14:paraId="514057E3" w14:textId="4924E70E" w:rsidR="00FE0A01" w:rsidRPr="006C2007" w:rsidRDefault="00FE0A01" w:rsidP="006C2007">
            <w:pPr>
              <w:rPr>
                <w:rFonts w:ascii="Calibri" w:hAnsi="Calibri"/>
                <w:sz w:val="20"/>
                <w:szCs w:val="20"/>
              </w:rPr>
            </w:pPr>
            <w:r w:rsidRPr="006C2007">
              <w:rPr>
                <w:rFonts w:asciiTheme="majorHAnsi" w:eastAsia="Times New Roman" w:hAnsiTheme="majorHAnsi" w:cs="Arial"/>
                <w:bCs/>
                <w:sz w:val="20"/>
                <w:szCs w:val="20"/>
              </w:rPr>
              <w:t> </w:t>
            </w:r>
            <w:r w:rsidR="006C2007" w:rsidRPr="006C2007">
              <w:rPr>
                <w:rFonts w:ascii="Calibri" w:hAnsi="Calibri"/>
                <w:sz w:val="20"/>
                <w:szCs w:val="20"/>
              </w:rPr>
              <w:t>Information Management and Comm</w:t>
            </w:r>
            <w:r w:rsidR="008611F1">
              <w:rPr>
                <w:rFonts w:ascii="Calibri" w:hAnsi="Calibri"/>
                <w:sz w:val="20"/>
                <w:szCs w:val="20"/>
              </w:rPr>
              <w:t xml:space="preserve">s. </w:t>
            </w:r>
            <w:r w:rsidR="006C2007" w:rsidRPr="006C2007">
              <w:rPr>
                <w:rFonts w:ascii="Calibri" w:hAnsi="Calibri"/>
                <w:sz w:val="20"/>
                <w:szCs w:val="20"/>
              </w:rPr>
              <w:t xml:space="preserve">Platform </w:t>
            </w:r>
          </w:p>
          <w:p w14:paraId="191D297F" w14:textId="2C7877CF" w:rsidR="006C2007" w:rsidRPr="008611F1" w:rsidRDefault="006C2007" w:rsidP="00FE0A01">
            <w:pPr>
              <w:rPr>
                <w:rFonts w:asciiTheme="majorHAnsi" w:eastAsia="Times New Roman" w:hAnsiTheme="majorHAnsi" w:cs="Arial"/>
                <w:bCs/>
                <w:i/>
                <w:sz w:val="20"/>
                <w:szCs w:val="20"/>
              </w:rPr>
            </w:pPr>
            <w:r w:rsidRPr="008611F1">
              <w:rPr>
                <w:rFonts w:ascii="Calibri" w:hAnsi="Calibri"/>
                <w:i/>
                <w:sz w:val="20"/>
                <w:szCs w:val="20"/>
              </w:rPr>
              <w:t>NB. These figures include UNEP 3c.</w:t>
            </w:r>
            <w:r w:rsidRPr="008611F1">
              <w:rPr>
                <w:rFonts w:ascii="Calibri" w:hAnsi="Calibri"/>
                <w:i/>
                <w:color w:val="3366FF"/>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0ECDA988" w14:textId="5EC84086"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935,000</w:t>
            </w:r>
          </w:p>
        </w:tc>
        <w:tc>
          <w:tcPr>
            <w:tcW w:w="1134" w:type="dxa"/>
            <w:tcBorders>
              <w:top w:val="nil"/>
              <w:left w:val="nil"/>
              <w:bottom w:val="single" w:sz="4" w:space="0" w:color="auto"/>
              <w:right w:val="single" w:sz="4" w:space="0" w:color="auto"/>
            </w:tcBorders>
            <w:shd w:val="clear" w:color="auto" w:fill="auto"/>
            <w:vAlign w:val="center"/>
            <w:hideMark/>
          </w:tcPr>
          <w:p w14:paraId="02ED8952" w14:textId="5C7AEF43"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513,766</w:t>
            </w:r>
          </w:p>
        </w:tc>
        <w:tc>
          <w:tcPr>
            <w:tcW w:w="1134" w:type="dxa"/>
            <w:tcBorders>
              <w:top w:val="nil"/>
              <w:left w:val="nil"/>
              <w:bottom w:val="single" w:sz="4" w:space="0" w:color="auto"/>
              <w:right w:val="nil"/>
            </w:tcBorders>
            <w:shd w:val="clear" w:color="auto" w:fill="auto"/>
            <w:noWrap/>
            <w:vAlign w:val="center"/>
            <w:hideMark/>
          </w:tcPr>
          <w:p w14:paraId="6DB9CA21" w14:textId="0A8556BF"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533,117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B8C4ECD" w14:textId="7777777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20B7CDCA" w14:textId="77BC4944"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210,617</w:t>
            </w:r>
          </w:p>
        </w:tc>
        <w:tc>
          <w:tcPr>
            <w:tcW w:w="992" w:type="dxa"/>
            <w:tcBorders>
              <w:top w:val="nil"/>
              <w:left w:val="nil"/>
              <w:bottom w:val="single" w:sz="4" w:space="0" w:color="auto"/>
              <w:right w:val="single" w:sz="4" w:space="0" w:color="auto"/>
            </w:tcBorders>
            <w:shd w:val="clear" w:color="auto" w:fill="auto"/>
            <w:vAlign w:val="center"/>
            <w:hideMark/>
          </w:tcPr>
          <w:p w14:paraId="465E8484" w14:textId="5DDE2964"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210,617</w:t>
            </w:r>
          </w:p>
        </w:tc>
      </w:tr>
      <w:tr w:rsidR="00673F40" w:rsidRPr="006C2007" w14:paraId="4D4EAE5C" w14:textId="77777777" w:rsidTr="008611F1">
        <w:trPr>
          <w:trHeight w:val="698"/>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78B46A9" w14:textId="77777777" w:rsidR="00FE0A01" w:rsidRDefault="00FE0A01" w:rsidP="00FE0A01">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5</w:t>
            </w:r>
          </w:p>
          <w:p w14:paraId="51AC5D62" w14:textId="1522AFFE" w:rsidR="008611F1" w:rsidRPr="006C2007" w:rsidRDefault="008611F1" w:rsidP="00FE0A01">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UNDP</w:t>
            </w:r>
          </w:p>
        </w:tc>
        <w:tc>
          <w:tcPr>
            <w:tcW w:w="1843" w:type="dxa"/>
            <w:tcBorders>
              <w:top w:val="nil"/>
              <w:left w:val="nil"/>
              <w:bottom w:val="single" w:sz="4" w:space="0" w:color="auto"/>
              <w:right w:val="single" w:sz="4" w:space="0" w:color="auto"/>
            </w:tcBorders>
            <w:shd w:val="clear" w:color="auto" w:fill="auto"/>
            <w:vAlign w:val="center"/>
            <w:hideMark/>
          </w:tcPr>
          <w:p w14:paraId="5C875762" w14:textId="4304EA86" w:rsidR="00FE0A01" w:rsidRPr="006C2007" w:rsidRDefault="00FE0A01" w:rsidP="006C2007">
            <w:pP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xml:space="preserve">Programmatic Tools </w:t>
            </w:r>
          </w:p>
        </w:tc>
        <w:tc>
          <w:tcPr>
            <w:tcW w:w="1134" w:type="dxa"/>
            <w:tcBorders>
              <w:top w:val="nil"/>
              <w:left w:val="nil"/>
              <w:bottom w:val="single" w:sz="4" w:space="0" w:color="auto"/>
              <w:right w:val="single" w:sz="4" w:space="0" w:color="auto"/>
            </w:tcBorders>
            <w:shd w:val="clear" w:color="auto" w:fill="auto"/>
            <w:vAlign w:val="center"/>
            <w:hideMark/>
          </w:tcPr>
          <w:p w14:paraId="4F304230" w14:textId="6716F63A" w:rsidR="00FE0A01" w:rsidRPr="006C2007" w:rsidRDefault="00FE0A01" w:rsidP="006C2007">
            <w:pPr>
              <w:jc w:val="center"/>
              <w:rPr>
                <w:rFonts w:asciiTheme="majorHAnsi" w:eastAsia="Times New Roman" w:hAnsiTheme="majorHAnsi" w:cs="Arial"/>
                <w:bCs/>
                <w:color w:val="000000"/>
                <w:sz w:val="20"/>
                <w:szCs w:val="20"/>
              </w:rPr>
            </w:pPr>
            <w:r w:rsidRPr="006C2007">
              <w:rPr>
                <w:rFonts w:asciiTheme="majorHAnsi" w:eastAsia="Times New Roman" w:hAnsiTheme="majorHAnsi" w:cs="Arial"/>
                <w:bCs/>
                <w:color w:val="000000"/>
                <w:sz w:val="20"/>
                <w:szCs w:val="20"/>
              </w:rPr>
              <w:t>407,371</w:t>
            </w:r>
          </w:p>
        </w:tc>
        <w:tc>
          <w:tcPr>
            <w:tcW w:w="1134" w:type="dxa"/>
            <w:tcBorders>
              <w:top w:val="nil"/>
              <w:left w:val="nil"/>
              <w:bottom w:val="single" w:sz="4" w:space="0" w:color="auto"/>
              <w:right w:val="single" w:sz="4" w:space="0" w:color="auto"/>
            </w:tcBorders>
            <w:shd w:val="clear" w:color="auto" w:fill="auto"/>
            <w:vAlign w:val="center"/>
            <w:hideMark/>
          </w:tcPr>
          <w:p w14:paraId="09680162" w14:textId="17097771" w:rsidR="00FE0A01" w:rsidRPr="006C2007" w:rsidRDefault="00FE0A01" w:rsidP="006C2007">
            <w:pPr>
              <w:jc w:val="center"/>
              <w:rPr>
                <w:rFonts w:asciiTheme="majorHAnsi" w:eastAsia="Times New Roman" w:hAnsiTheme="majorHAnsi" w:cs="Arial"/>
                <w:bCs/>
                <w:color w:val="000000"/>
                <w:sz w:val="20"/>
                <w:szCs w:val="20"/>
              </w:rPr>
            </w:pPr>
            <w:r w:rsidRPr="006C2007">
              <w:rPr>
                <w:rFonts w:asciiTheme="majorHAnsi" w:eastAsia="Times New Roman" w:hAnsiTheme="majorHAnsi" w:cs="Arial"/>
                <w:bCs/>
                <w:color w:val="000000"/>
                <w:sz w:val="20"/>
                <w:szCs w:val="20"/>
              </w:rPr>
              <w:t>210,493</w:t>
            </w:r>
          </w:p>
        </w:tc>
        <w:tc>
          <w:tcPr>
            <w:tcW w:w="1134" w:type="dxa"/>
            <w:tcBorders>
              <w:top w:val="nil"/>
              <w:left w:val="nil"/>
              <w:bottom w:val="single" w:sz="4" w:space="0" w:color="auto"/>
              <w:right w:val="nil"/>
            </w:tcBorders>
            <w:shd w:val="clear" w:color="auto" w:fill="auto"/>
            <w:noWrap/>
            <w:vAlign w:val="center"/>
            <w:hideMark/>
          </w:tcPr>
          <w:p w14:paraId="7609CD30" w14:textId="3B566662"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260,800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119A4E" w14:textId="7777777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-19%</w:t>
            </w:r>
          </w:p>
        </w:tc>
        <w:tc>
          <w:tcPr>
            <w:tcW w:w="1134" w:type="dxa"/>
            <w:tcBorders>
              <w:top w:val="nil"/>
              <w:left w:val="nil"/>
              <w:bottom w:val="single" w:sz="4" w:space="0" w:color="auto"/>
              <w:right w:val="single" w:sz="4" w:space="0" w:color="auto"/>
            </w:tcBorders>
            <w:shd w:val="clear" w:color="auto" w:fill="auto"/>
            <w:vAlign w:val="center"/>
            <w:hideMark/>
          </w:tcPr>
          <w:p w14:paraId="4B598384" w14:textId="02B5B174" w:rsidR="00FE0A01" w:rsidRPr="006C2007" w:rsidRDefault="00FE0A01" w:rsidP="006C2007">
            <w:pPr>
              <w:jc w:val="center"/>
              <w:rPr>
                <w:rFonts w:asciiTheme="majorHAnsi" w:eastAsia="Times New Roman" w:hAnsiTheme="majorHAnsi" w:cs="Arial"/>
                <w:bCs/>
                <w:color w:val="000000"/>
                <w:sz w:val="20"/>
                <w:szCs w:val="20"/>
              </w:rPr>
            </w:pPr>
            <w:r w:rsidRPr="006C2007">
              <w:rPr>
                <w:rFonts w:asciiTheme="majorHAnsi" w:eastAsia="Times New Roman" w:hAnsiTheme="majorHAnsi" w:cs="Arial"/>
                <w:bCs/>
                <w:color w:val="000000"/>
                <w:sz w:val="20"/>
                <w:szCs w:val="20"/>
              </w:rPr>
              <w:t>152,870</w:t>
            </w:r>
          </w:p>
        </w:tc>
        <w:tc>
          <w:tcPr>
            <w:tcW w:w="992" w:type="dxa"/>
            <w:tcBorders>
              <w:top w:val="nil"/>
              <w:left w:val="nil"/>
              <w:bottom w:val="single" w:sz="4" w:space="0" w:color="auto"/>
              <w:right w:val="single" w:sz="4" w:space="0" w:color="auto"/>
            </w:tcBorders>
            <w:shd w:val="clear" w:color="auto" w:fill="auto"/>
            <w:vAlign w:val="center"/>
            <w:hideMark/>
          </w:tcPr>
          <w:p w14:paraId="44174F6C" w14:textId="3FBE967D" w:rsidR="00FE0A01" w:rsidRPr="006C2007" w:rsidRDefault="00FE0A01" w:rsidP="006C2007">
            <w:pPr>
              <w:jc w:val="center"/>
              <w:rPr>
                <w:rFonts w:asciiTheme="majorHAnsi" w:eastAsia="Times New Roman" w:hAnsiTheme="majorHAnsi" w:cs="Arial"/>
                <w:bCs/>
                <w:color w:val="000000"/>
                <w:sz w:val="20"/>
                <w:szCs w:val="20"/>
              </w:rPr>
            </w:pPr>
            <w:r w:rsidRPr="006C2007">
              <w:rPr>
                <w:rFonts w:asciiTheme="majorHAnsi" w:eastAsia="Times New Roman" w:hAnsiTheme="majorHAnsi" w:cs="Arial"/>
                <w:bCs/>
                <w:color w:val="000000"/>
                <w:sz w:val="20"/>
                <w:szCs w:val="20"/>
              </w:rPr>
              <w:t>64,885</w:t>
            </w:r>
          </w:p>
        </w:tc>
      </w:tr>
      <w:tr w:rsidR="00673F40" w:rsidRPr="006C2007" w14:paraId="279E4363" w14:textId="77777777" w:rsidTr="008611F1">
        <w:trPr>
          <w:trHeight w:val="567"/>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5E83EE3D" w14:textId="1F98F7A3" w:rsidR="00FE0A01" w:rsidRPr="006C2007" w:rsidRDefault="00FE0A01" w:rsidP="00FE0A01">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xml:space="preserve"> </w:t>
            </w:r>
            <w:r w:rsidR="008611F1">
              <w:rPr>
                <w:rFonts w:asciiTheme="majorHAnsi" w:eastAsia="Times New Roman" w:hAnsiTheme="majorHAnsi" w:cs="Arial"/>
                <w:bCs/>
                <w:sz w:val="20"/>
                <w:szCs w:val="20"/>
              </w:rPr>
              <w:t>UNDP</w:t>
            </w:r>
          </w:p>
        </w:tc>
        <w:tc>
          <w:tcPr>
            <w:tcW w:w="1843" w:type="dxa"/>
            <w:tcBorders>
              <w:top w:val="nil"/>
              <w:left w:val="nil"/>
              <w:bottom w:val="single" w:sz="4" w:space="0" w:color="auto"/>
              <w:right w:val="single" w:sz="4" w:space="0" w:color="auto"/>
            </w:tcBorders>
            <w:shd w:val="clear" w:color="auto" w:fill="auto"/>
            <w:vAlign w:val="center"/>
            <w:hideMark/>
          </w:tcPr>
          <w:p w14:paraId="06578CCE" w14:textId="6F83552B" w:rsidR="00FE0A01" w:rsidRPr="006C2007" w:rsidRDefault="006C2007" w:rsidP="006C2007">
            <w:pPr>
              <w:rPr>
                <w:rFonts w:asciiTheme="majorHAnsi" w:eastAsia="Times New Roman" w:hAnsiTheme="majorHAnsi" w:cs="Arial"/>
                <w:bCs/>
                <w:sz w:val="20"/>
                <w:szCs w:val="20"/>
              </w:rPr>
            </w:pPr>
            <w:r>
              <w:rPr>
                <w:rFonts w:asciiTheme="majorHAnsi" w:eastAsia="Times New Roman" w:hAnsiTheme="majorHAnsi" w:cs="Arial"/>
                <w:bCs/>
                <w:sz w:val="20"/>
                <w:szCs w:val="20"/>
              </w:rPr>
              <w:t>Monitoring</w:t>
            </w:r>
            <w:r w:rsidR="00FE0A01" w:rsidRPr="006C2007">
              <w:rPr>
                <w:rFonts w:asciiTheme="majorHAnsi" w:eastAsia="Times New Roman" w:hAnsiTheme="majorHAnsi" w:cs="Arial"/>
                <w:bCs/>
                <w:sz w:val="20"/>
                <w:szCs w:val="20"/>
              </w:rPr>
              <w:t xml:space="preserve"> and Evaluation</w:t>
            </w:r>
          </w:p>
        </w:tc>
        <w:tc>
          <w:tcPr>
            <w:tcW w:w="1134" w:type="dxa"/>
            <w:tcBorders>
              <w:top w:val="nil"/>
              <w:left w:val="nil"/>
              <w:bottom w:val="single" w:sz="4" w:space="0" w:color="auto"/>
              <w:right w:val="single" w:sz="4" w:space="0" w:color="auto"/>
            </w:tcBorders>
            <w:shd w:val="clear" w:color="auto" w:fill="auto"/>
            <w:noWrap/>
            <w:vAlign w:val="center"/>
            <w:hideMark/>
          </w:tcPr>
          <w:p w14:paraId="67C16ADD" w14:textId="4DD6550A"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155,150</w:t>
            </w:r>
          </w:p>
        </w:tc>
        <w:tc>
          <w:tcPr>
            <w:tcW w:w="1134" w:type="dxa"/>
            <w:tcBorders>
              <w:top w:val="nil"/>
              <w:left w:val="nil"/>
              <w:bottom w:val="single" w:sz="4" w:space="0" w:color="auto"/>
              <w:right w:val="single" w:sz="4" w:space="0" w:color="auto"/>
            </w:tcBorders>
            <w:shd w:val="clear" w:color="auto" w:fill="auto"/>
            <w:noWrap/>
            <w:vAlign w:val="center"/>
            <w:hideMark/>
          </w:tcPr>
          <w:p w14:paraId="022D8AB0" w14:textId="5489B1A8"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22,011</w:t>
            </w:r>
          </w:p>
        </w:tc>
        <w:tc>
          <w:tcPr>
            <w:tcW w:w="1134" w:type="dxa"/>
            <w:tcBorders>
              <w:top w:val="nil"/>
              <w:left w:val="nil"/>
              <w:bottom w:val="nil"/>
              <w:right w:val="nil"/>
            </w:tcBorders>
            <w:shd w:val="clear" w:color="auto" w:fill="auto"/>
            <w:noWrap/>
            <w:vAlign w:val="center"/>
            <w:hideMark/>
          </w:tcPr>
          <w:p w14:paraId="282E32B8" w14:textId="338BC51B"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67,500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0F5C79D7" w14:textId="7777777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-67%</w:t>
            </w:r>
          </w:p>
        </w:tc>
        <w:tc>
          <w:tcPr>
            <w:tcW w:w="1134" w:type="dxa"/>
            <w:tcBorders>
              <w:top w:val="nil"/>
              <w:left w:val="nil"/>
              <w:bottom w:val="single" w:sz="4" w:space="0" w:color="auto"/>
              <w:right w:val="single" w:sz="4" w:space="0" w:color="auto"/>
            </w:tcBorders>
            <w:shd w:val="clear" w:color="auto" w:fill="auto"/>
            <w:noWrap/>
            <w:vAlign w:val="center"/>
            <w:hideMark/>
          </w:tcPr>
          <w:p w14:paraId="69BAF20A" w14:textId="176FA4BA"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32,100</w:t>
            </w:r>
          </w:p>
        </w:tc>
        <w:tc>
          <w:tcPr>
            <w:tcW w:w="992" w:type="dxa"/>
            <w:tcBorders>
              <w:top w:val="nil"/>
              <w:left w:val="nil"/>
              <w:bottom w:val="single" w:sz="4" w:space="0" w:color="auto"/>
              <w:right w:val="single" w:sz="4" w:space="0" w:color="auto"/>
            </w:tcBorders>
            <w:shd w:val="clear" w:color="auto" w:fill="auto"/>
            <w:noWrap/>
            <w:vAlign w:val="center"/>
            <w:hideMark/>
          </w:tcPr>
          <w:p w14:paraId="43E447AB" w14:textId="310B7E7C"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77,575</w:t>
            </w:r>
          </w:p>
        </w:tc>
      </w:tr>
      <w:tr w:rsidR="00673F40" w:rsidRPr="006C2007" w14:paraId="4BC88DB7" w14:textId="77777777" w:rsidTr="008611F1">
        <w:trPr>
          <w:trHeight w:val="830"/>
        </w:trPr>
        <w:tc>
          <w:tcPr>
            <w:tcW w:w="709" w:type="dxa"/>
            <w:tcBorders>
              <w:top w:val="nil"/>
              <w:left w:val="single" w:sz="4" w:space="0" w:color="auto"/>
              <w:bottom w:val="single" w:sz="4" w:space="0" w:color="auto"/>
              <w:right w:val="single" w:sz="4" w:space="0" w:color="auto"/>
            </w:tcBorders>
            <w:shd w:val="clear" w:color="auto" w:fill="auto"/>
            <w:vAlign w:val="center"/>
            <w:hideMark/>
          </w:tcPr>
          <w:p w14:paraId="7D8C05C0" w14:textId="048D7C4D" w:rsidR="00FE0A01" w:rsidRPr="006C2007" w:rsidRDefault="008611F1" w:rsidP="00FE0A01">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 xml:space="preserve">UNDP </w:t>
            </w:r>
          </w:p>
        </w:tc>
        <w:tc>
          <w:tcPr>
            <w:tcW w:w="1843" w:type="dxa"/>
            <w:tcBorders>
              <w:top w:val="nil"/>
              <w:left w:val="nil"/>
              <w:bottom w:val="single" w:sz="4" w:space="0" w:color="auto"/>
              <w:right w:val="single" w:sz="4" w:space="0" w:color="auto"/>
            </w:tcBorders>
            <w:shd w:val="clear" w:color="auto" w:fill="auto"/>
            <w:vAlign w:val="center"/>
            <w:hideMark/>
          </w:tcPr>
          <w:p w14:paraId="7FC5A051" w14:textId="77777777" w:rsidR="00FE0A01" w:rsidRPr="006C2007" w:rsidRDefault="00FE0A01" w:rsidP="00FE0A01">
            <w:pP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xml:space="preserve">Project Management PCU inc Travel </w:t>
            </w:r>
          </w:p>
        </w:tc>
        <w:tc>
          <w:tcPr>
            <w:tcW w:w="1134" w:type="dxa"/>
            <w:tcBorders>
              <w:top w:val="nil"/>
              <w:left w:val="nil"/>
              <w:bottom w:val="single" w:sz="4" w:space="0" w:color="auto"/>
              <w:right w:val="single" w:sz="4" w:space="0" w:color="auto"/>
            </w:tcBorders>
            <w:shd w:val="clear" w:color="auto" w:fill="auto"/>
            <w:vAlign w:val="center"/>
            <w:hideMark/>
          </w:tcPr>
          <w:p w14:paraId="5BA43025" w14:textId="1DF1718C"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522,000</w:t>
            </w:r>
          </w:p>
        </w:tc>
        <w:tc>
          <w:tcPr>
            <w:tcW w:w="1134" w:type="dxa"/>
            <w:tcBorders>
              <w:top w:val="nil"/>
              <w:left w:val="nil"/>
              <w:bottom w:val="single" w:sz="4" w:space="0" w:color="auto"/>
              <w:right w:val="single" w:sz="4" w:space="0" w:color="auto"/>
            </w:tcBorders>
            <w:shd w:val="clear" w:color="auto" w:fill="auto"/>
            <w:vAlign w:val="center"/>
            <w:hideMark/>
          </w:tcPr>
          <w:p w14:paraId="44D7EADC" w14:textId="0AA3E756"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352,979</w:t>
            </w:r>
          </w:p>
        </w:tc>
        <w:tc>
          <w:tcPr>
            <w:tcW w:w="1134" w:type="dxa"/>
            <w:tcBorders>
              <w:top w:val="single" w:sz="4" w:space="0" w:color="auto"/>
              <w:left w:val="nil"/>
              <w:bottom w:val="single" w:sz="4" w:space="0" w:color="auto"/>
              <w:right w:val="nil"/>
            </w:tcBorders>
            <w:shd w:val="clear" w:color="auto" w:fill="auto"/>
            <w:noWrap/>
            <w:vAlign w:val="center"/>
            <w:hideMark/>
          </w:tcPr>
          <w:p w14:paraId="2A59D795" w14:textId="7660511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238,500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3B04AEA" w14:textId="77777777"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48%</w:t>
            </w:r>
          </w:p>
        </w:tc>
        <w:tc>
          <w:tcPr>
            <w:tcW w:w="1134" w:type="dxa"/>
            <w:tcBorders>
              <w:top w:val="nil"/>
              <w:left w:val="nil"/>
              <w:bottom w:val="single" w:sz="4" w:space="0" w:color="auto"/>
              <w:right w:val="single" w:sz="4" w:space="0" w:color="auto"/>
            </w:tcBorders>
            <w:shd w:val="clear" w:color="auto" w:fill="auto"/>
            <w:vAlign w:val="center"/>
            <w:hideMark/>
          </w:tcPr>
          <w:p w14:paraId="2D36E068" w14:textId="59B14DF2"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137,310</w:t>
            </w:r>
          </w:p>
        </w:tc>
        <w:tc>
          <w:tcPr>
            <w:tcW w:w="992" w:type="dxa"/>
            <w:tcBorders>
              <w:top w:val="nil"/>
              <w:left w:val="nil"/>
              <w:bottom w:val="single" w:sz="4" w:space="0" w:color="auto"/>
              <w:right w:val="single" w:sz="4" w:space="0" w:color="auto"/>
            </w:tcBorders>
            <w:shd w:val="clear" w:color="auto" w:fill="auto"/>
            <w:vAlign w:val="center"/>
            <w:hideMark/>
          </w:tcPr>
          <w:p w14:paraId="2D4BB0C0" w14:textId="0B385D78" w:rsidR="00FE0A01" w:rsidRPr="006C2007" w:rsidRDefault="00FE0A01" w:rsidP="006C2007">
            <w:pPr>
              <w:jc w:val="center"/>
              <w:rPr>
                <w:rFonts w:asciiTheme="majorHAnsi" w:eastAsia="Times New Roman" w:hAnsiTheme="majorHAnsi" w:cs="Arial"/>
                <w:bCs/>
                <w:sz w:val="20"/>
                <w:szCs w:val="20"/>
              </w:rPr>
            </w:pPr>
            <w:r w:rsidRPr="006C2007">
              <w:rPr>
                <w:rFonts w:asciiTheme="majorHAnsi" w:eastAsia="Times New Roman" w:hAnsiTheme="majorHAnsi" w:cs="Arial"/>
                <w:bCs/>
                <w:sz w:val="20"/>
                <w:szCs w:val="20"/>
              </w:rPr>
              <w:t>46,630</w:t>
            </w:r>
          </w:p>
        </w:tc>
      </w:tr>
      <w:tr w:rsidR="00673F40" w:rsidRPr="006C2007" w14:paraId="42E071B9" w14:textId="77777777" w:rsidTr="00673F40">
        <w:trPr>
          <w:trHeight w:val="520"/>
        </w:trPr>
        <w:tc>
          <w:tcPr>
            <w:tcW w:w="709" w:type="dxa"/>
            <w:tcBorders>
              <w:top w:val="nil"/>
              <w:left w:val="single" w:sz="4" w:space="0" w:color="auto"/>
              <w:bottom w:val="single" w:sz="4" w:space="0" w:color="auto"/>
              <w:right w:val="single" w:sz="4" w:space="0" w:color="auto"/>
            </w:tcBorders>
            <w:shd w:val="clear" w:color="000000" w:fill="EBF1DE"/>
            <w:noWrap/>
            <w:vAlign w:val="center"/>
            <w:hideMark/>
          </w:tcPr>
          <w:p w14:paraId="67F188C2" w14:textId="77777777" w:rsidR="00FE0A01" w:rsidRPr="006C2007" w:rsidRDefault="00FE0A01" w:rsidP="00FE0A01">
            <w:pP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w:t>
            </w:r>
          </w:p>
        </w:tc>
        <w:tc>
          <w:tcPr>
            <w:tcW w:w="1843" w:type="dxa"/>
            <w:tcBorders>
              <w:top w:val="nil"/>
              <w:left w:val="nil"/>
              <w:bottom w:val="single" w:sz="4" w:space="0" w:color="auto"/>
              <w:right w:val="single" w:sz="4" w:space="0" w:color="auto"/>
            </w:tcBorders>
            <w:shd w:val="clear" w:color="000000" w:fill="EBF1DE"/>
            <w:noWrap/>
            <w:vAlign w:val="center"/>
            <w:hideMark/>
          </w:tcPr>
          <w:p w14:paraId="38186E2B" w14:textId="34A04612" w:rsidR="00FE0A01" w:rsidRPr="006C2007" w:rsidRDefault="00FE0A01" w:rsidP="00FE0A01">
            <w:pPr>
              <w:rPr>
                <w:rFonts w:asciiTheme="majorHAnsi" w:eastAsia="Times New Roman" w:hAnsiTheme="majorHAnsi" w:cs="Arial"/>
                <w:bCs/>
                <w:sz w:val="20"/>
                <w:szCs w:val="20"/>
              </w:rPr>
            </w:pPr>
            <w:r w:rsidRPr="006C2007">
              <w:rPr>
                <w:rFonts w:asciiTheme="majorHAnsi" w:eastAsia="Times New Roman" w:hAnsiTheme="majorHAnsi" w:cs="Arial"/>
                <w:bCs/>
                <w:sz w:val="20"/>
                <w:szCs w:val="20"/>
              </w:rPr>
              <w:t xml:space="preserve">TOTALS </w:t>
            </w:r>
          </w:p>
        </w:tc>
        <w:tc>
          <w:tcPr>
            <w:tcW w:w="1134" w:type="dxa"/>
            <w:tcBorders>
              <w:top w:val="nil"/>
              <w:left w:val="nil"/>
              <w:bottom w:val="single" w:sz="4" w:space="0" w:color="auto"/>
              <w:right w:val="single" w:sz="4" w:space="0" w:color="auto"/>
            </w:tcBorders>
            <w:shd w:val="clear" w:color="000000" w:fill="EBF1DE"/>
            <w:noWrap/>
            <w:vAlign w:val="center"/>
            <w:hideMark/>
          </w:tcPr>
          <w:p w14:paraId="1C472C7C" w14:textId="36B2594B" w:rsidR="00FE0A01" w:rsidRPr="006C2007" w:rsidRDefault="008611F1" w:rsidP="006C2007">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4,095,000</w:t>
            </w:r>
          </w:p>
        </w:tc>
        <w:tc>
          <w:tcPr>
            <w:tcW w:w="1134" w:type="dxa"/>
            <w:tcBorders>
              <w:top w:val="nil"/>
              <w:left w:val="nil"/>
              <w:bottom w:val="single" w:sz="4" w:space="0" w:color="auto"/>
              <w:right w:val="single" w:sz="4" w:space="0" w:color="auto"/>
            </w:tcBorders>
            <w:shd w:val="clear" w:color="000000" w:fill="EBF1DE"/>
            <w:noWrap/>
            <w:vAlign w:val="center"/>
            <w:hideMark/>
          </w:tcPr>
          <w:p w14:paraId="718241BF" w14:textId="0BBAD0E0" w:rsidR="00FE0A01" w:rsidRPr="006C2007" w:rsidRDefault="008611F1" w:rsidP="006C2007">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2,251,284</w:t>
            </w:r>
          </w:p>
        </w:tc>
        <w:tc>
          <w:tcPr>
            <w:tcW w:w="1134" w:type="dxa"/>
            <w:tcBorders>
              <w:top w:val="nil"/>
              <w:left w:val="nil"/>
              <w:bottom w:val="single" w:sz="4" w:space="0" w:color="auto"/>
              <w:right w:val="nil"/>
            </w:tcBorders>
            <w:shd w:val="clear" w:color="000000" w:fill="EBF1DE"/>
            <w:noWrap/>
            <w:vAlign w:val="center"/>
            <w:hideMark/>
          </w:tcPr>
          <w:p w14:paraId="2D213F23" w14:textId="28859590" w:rsidR="00FE0A01" w:rsidRPr="006C2007" w:rsidRDefault="008611F1" w:rsidP="006C2007">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2,506,717</w:t>
            </w:r>
          </w:p>
        </w:tc>
        <w:tc>
          <w:tcPr>
            <w:tcW w:w="992" w:type="dxa"/>
            <w:tcBorders>
              <w:top w:val="nil"/>
              <w:left w:val="single" w:sz="4" w:space="0" w:color="auto"/>
              <w:bottom w:val="single" w:sz="4" w:space="0" w:color="auto"/>
              <w:right w:val="single" w:sz="4" w:space="0" w:color="auto"/>
            </w:tcBorders>
            <w:shd w:val="clear" w:color="000000" w:fill="EBF1DE"/>
            <w:noWrap/>
            <w:vAlign w:val="center"/>
            <w:hideMark/>
          </w:tcPr>
          <w:p w14:paraId="6F7FFA34" w14:textId="412E8247" w:rsidR="00FE0A01" w:rsidRPr="006C2007" w:rsidRDefault="007F7CD8" w:rsidP="006C2007">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11</w:t>
            </w:r>
            <w:r w:rsidR="00EC157E">
              <w:rPr>
                <w:rFonts w:asciiTheme="majorHAnsi" w:eastAsia="Times New Roman" w:hAnsiTheme="majorHAnsi" w:cs="Arial"/>
                <w:bCs/>
                <w:sz w:val="20"/>
                <w:szCs w:val="20"/>
              </w:rPr>
              <w:t>%</w:t>
            </w:r>
          </w:p>
        </w:tc>
        <w:tc>
          <w:tcPr>
            <w:tcW w:w="1134" w:type="dxa"/>
            <w:tcBorders>
              <w:top w:val="nil"/>
              <w:left w:val="nil"/>
              <w:bottom w:val="single" w:sz="4" w:space="0" w:color="auto"/>
              <w:right w:val="nil"/>
            </w:tcBorders>
            <w:shd w:val="clear" w:color="000000" w:fill="EBF1DE"/>
            <w:noWrap/>
            <w:vAlign w:val="center"/>
            <w:hideMark/>
          </w:tcPr>
          <w:p w14:paraId="1BAE8A97" w14:textId="2F3A2FA3" w:rsidR="00FE0A01" w:rsidRPr="006C2007" w:rsidRDefault="008611F1" w:rsidP="006C2007">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1,132,520</w:t>
            </w:r>
          </w:p>
        </w:tc>
        <w:tc>
          <w:tcPr>
            <w:tcW w:w="992" w:type="dxa"/>
            <w:tcBorders>
              <w:top w:val="nil"/>
              <w:left w:val="single" w:sz="4" w:space="0" w:color="auto"/>
              <w:bottom w:val="single" w:sz="4" w:space="0" w:color="auto"/>
              <w:right w:val="single" w:sz="4" w:space="0" w:color="auto"/>
            </w:tcBorders>
            <w:shd w:val="clear" w:color="000000" w:fill="EBF1DE"/>
            <w:noWrap/>
            <w:vAlign w:val="center"/>
            <w:hideMark/>
          </w:tcPr>
          <w:p w14:paraId="12077356" w14:textId="1815D8D3" w:rsidR="00FE0A01" w:rsidRPr="006C2007" w:rsidRDefault="008611F1" w:rsidP="006C2007">
            <w:pPr>
              <w:jc w:val="center"/>
              <w:rPr>
                <w:rFonts w:asciiTheme="majorHAnsi" w:eastAsia="Times New Roman" w:hAnsiTheme="majorHAnsi" w:cs="Arial"/>
                <w:bCs/>
                <w:sz w:val="20"/>
                <w:szCs w:val="20"/>
              </w:rPr>
            </w:pPr>
            <w:r>
              <w:rPr>
                <w:rFonts w:asciiTheme="majorHAnsi" w:eastAsia="Times New Roman" w:hAnsiTheme="majorHAnsi" w:cs="Arial"/>
                <w:bCs/>
                <w:sz w:val="20"/>
                <w:szCs w:val="20"/>
              </w:rPr>
              <w:t>748,879</w:t>
            </w:r>
          </w:p>
        </w:tc>
      </w:tr>
    </w:tbl>
    <w:p w14:paraId="095CB0A0" w14:textId="77777777" w:rsidR="00A46D83" w:rsidRDefault="00A46D83" w:rsidP="00E4777D"/>
    <w:p w14:paraId="43F0A804" w14:textId="7FAA10EE" w:rsidR="00A46D83" w:rsidRDefault="00A46D83" w:rsidP="00E4777D"/>
    <w:tbl>
      <w:tblPr>
        <w:tblW w:w="8971" w:type="dxa"/>
        <w:tblInd w:w="108" w:type="dxa"/>
        <w:tblLook w:val="04A0" w:firstRow="1" w:lastRow="0" w:firstColumn="1" w:lastColumn="0" w:noHBand="0" w:noVBand="1"/>
      </w:tblPr>
      <w:tblGrid>
        <w:gridCol w:w="1429"/>
        <w:gridCol w:w="2050"/>
        <w:gridCol w:w="1417"/>
        <w:gridCol w:w="840"/>
        <w:gridCol w:w="1151"/>
        <w:gridCol w:w="1118"/>
        <w:gridCol w:w="966"/>
      </w:tblGrid>
      <w:tr w:rsidR="000B5011" w:rsidRPr="000B5011" w14:paraId="66FB0654" w14:textId="77777777" w:rsidTr="000B5011">
        <w:trPr>
          <w:trHeight w:val="280"/>
        </w:trPr>
        <w:tc>
          <w:tcPr>
            <w:tcW w:w="8971" w:type="dxa"/>
            <w:gridSpan w:val="7"/>
            <w:tcBorders>
              <w:top w:val="nil"/>
              <w:left w:val="nil"/>
              <w:bottom w:val="nil"/>
              <w:right w:val="nil"/>
            </w:tcBorders>
            <w:shd w:val="clear" w:color="auto" w:fill="auto"/>
            <w:vAlign w:val="bottom"/>
            <w:hideMark/>
          </w:tcPr>
          <w:p w14:paraId="10855ADA" w14:textId="285C6242" w:rsidR="000B5011" w:rsidRPr="000B5011" w:rsidRDefault="000B5011" w:rsidP="000B5011">
            <w:pPr>
              <w:rPr>
                <w:rFonts w:ascii="Calibri" w:eastAsia="Times New Roman" w:hAnsi="Calibri" w:cs="Times New Roman"/>
                <w:b/>
                <w:sz w:val="20"/>
                <w:szCs w:val="20"/>
              </w:rPr>
            </w:pPr>
            <w:r w:rsidRPr="000B5011">
              <w:rPr>
                <w:rFonts w:ascii="Calibri" w:eastAsia="Times New Roman" w:hAnsi="Calibri" w:cs="Times New Roman"/>
                <w:b/>
                <w:sz w:val="20"/>
                <w:szCs w:val="20"/>
              </w:rPr>
              <w:t xml:space="preserve">Table 6. </w:t>
            </w:r>
            <w:r>
              <w:rPr>
                <w:rFonts w:ascii="Calibri" w:eastAsia="Times New Roman" w:hAnsi="Calibri" w:cs="Times New Roman"/>
                <w:b/>
                <w:sz w:val="20"/>
                <w:szCs w:val="20"/>
              </w:rPr>
              <w:t xml:space="preserve"> </w:t>
            </w:r>
            <w:r>
              <w:rPr>
                <w:rFonts w:ascii="Calibri" w:eastAsia="Times New Roman" w:hAnsi="Calibri" w:cs="Times New Roman"/>
                <w:b/>
                <w:bCs/>
                <w:sz w:val="20"/>
                <w:szCs w:val="20"/>
              </w:rPr>
              <w:t xml:space="preserve">Summary of </w:t>
            </w:r>
            <w:r w:rsidRPr="000B5011">
              <w:rPr>
                <w:rFonts w:ascii="Calibri" w:eastAsia="Times New Roman" w:hAnsi="Calibri" w:cs="Times New Roman"/>
                <w:b/>
                <w:bCs/>
                <w:sz w:val="20"/>
                <w:szCs w:val="20"/>
              </w:rPr>
              <w:t>Co-</w:t>
            </w:r>
            <w:proofErr w:type="gramStart"/>
            <w:r w:rsidRPr="000B5011">
              <w:rPr>
                <w:rFonts w:ascii="Calibri" w:eastAsia="Times New Roman" w:hAnsi="Calibri" w:cs="Times New Roman"/>
                <w:b/>
                <w:bCs/>
                <w:sz w:val="20"/>
                <w:szCs w:val="20"/>
              </w:rPr>
              <w:t xml:space="preserve">financing </w:t>
            </w:r>
            <w:r>
              <w:rPr>
                <w:rFonts w:ascii="Calibri" w:eastAsia="Times New Roman" w:hAnsi="Calibri" w:cs="Times New Roman"/>
                <w:b/>
                <w:bCs/>
                <w:sz w:val="20"/>
                <w:szCs w:val="20"/>
              </w:rPr>
              <w:t xml:space="preserve"> Pledged</w:t>
            </w:r>
            <w:proofErr w:type="gramEnd"/>
            <w:r>
              <w:rPr>
                <w:rFonts w:ascii="Calibri" w:eastAsia="Times New Roman" w:hAnsi="Calibri" w:cs="Times New Roman"/>
                <w:b/>
                <w:bCs/>
                <w:sz w:val="20"/>
                <w:szCs w:val="20"/>
              </w:rPr>
              <w:t xml:space="preserve"> and received </w:t>
            </w:r>
            <w:r w:rsidRPr="000B5011">
              <w:rPr>
                <w:rFonts w:ascii="Calibri" w:eastAsia="Times New Roman" w:hAnsi="Calibri" w:cs="Times New Roman"/>
                <w:b/>
                <w:bCs/>
                <w:sz w:val="20"/>
                <w:szCs w:val="20"/>
              </w:rPr>
              <w:t>Sources</w:t>
            </w:r>
          </w:p>
        </w:tc>
      </w:tr>
      <w:tr w:rsidR="000B5011" w:rsidRPr="000B5011" w14:paraId="0A155032" w14:textId="77777777" w:rsidTr="000B5011">
        <w:trPr>
          <w:trHeight w:val="840"/>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EC581"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Activity</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14:paraId="685BC71E"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Name of Co-finance source</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23F2C143"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Classification</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32ECE861"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Type</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459B9E31"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Amount Committed</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14:paraId="7E10862E"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Total Co-financing Recorded</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AF87E62"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Received</w:t>
            </w:r>
          </w:p>
        </w:tc>
      </w:tr>
      <w:tr w:rsidR="000B5011" w:rsidRPr="000B5011" w14:paraId="380FB944" w14:textId="77777777" w:rsidTr="000B5011">
        <w:trPr>
          <w:trHeight w:val="2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6EB2326D"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w:t>
            </w:r>
          </w:p>
        </w:tc>
        <w:tc>
          <w:tcPr>
            <w:tcW w:w="2050" w:type="dxa"/>
            <w:tcBorders>
              <w:top w:val="nil"/>
              <w:left w:val="nil"/>
              <w:bottom w:val="single" w:sz="4" w:space="0" w:color="auto"/>
              <w:right w:val="single" w:sz="4" w:space="0" w:color="auto"/>
            </w:tcBorders>
            <w:shd w:val="clear" w:color="auto" w:fill="auto"/>
            <w:vAlign w:val="bottom"/>
            <w:hideMark/>
          </w:tcPr>
          <w:p w14:paraId="45457C81"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xml:space="preserve">Original Pledges </w:t>
            </w:r>
          </w:p>
        </w:tc>
        <w:tc>
          <w:tcPr>
            <w:tcW w:w="1417" w:type="dxa"/>
            <w:tcBorders>
              <w:top w:val="nil"/>
              <w:left w:val="nil"/>
              <w:bottom w:val="single" w:sz="4" w:space="0" w:color="auto"/>
              <w:right w:val="single" w:sz="4" w:space="0" w:color="auto"/>
            </w:tcBorders>
            <w:shd w:val="clear" w:color="auto" w:fill="auto"/>
            <w:vAlign w:val="bottom"/>
            <w:hideMark/>
          </w:tcPr>
          <w:p w14:paraId="15C632EA"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w:t>
            </w:r>
          </w:p>
        </w:tc>
        <w:tc>
          <w:tcPr>
            <w:tcW w:w="840" w:type="dxa"/>
            <w:tcBorders>
              <w:top w:val="nil"/>
              <w:left w:val="nil"/>
              <w:bottom w:val="single" w:sz="4" w:space="0" w:color="auto"/>
              <w:right w:val="single" w:sz="4" w:space="0" w:color="auto"/>
            </w:tcBorders>
            <w:shd w:val="clear" w:color="auto" w:fill="auto"/>
            <w:vAlign w:val="bottom"/>
            <w:hideMark/>
          </w:tcPr>
          <w:p w14:paraId="6F9BEA83"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w:t>
            </w:r>
          </w:p>
        </w:tc>
        <w:tc>
          <w:tcPr>
            <w:tcW w:w="1151" w:type="dxa"/>
            <w:tcBorders>
              <w:top w:val="nil"/>
              <w:left w:val="nil"/>
              <w:bottom w:val="single" w:sz="4" w:space="0" w:color="auto"/>
              <w:right w:val="single" w:sz="4" w:space="0" w:color="auto"/>
            </w:tcBorders>
            <w:shd w:val="clear" w:color="auto" w:fill="auto"/>
            <w:vAlign w:val="bottom"/>
            <w:hideMark/>
          </w:tcPr>
          <w:p w14:paraId="4B808393"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w:t>
            </w:r>
          </w:p>
        </w:tc>
        <w:tc>
          <w:tcPr>
            <w:tcW w:w="1118" w:type="dxa"/>
            <w:tcBorders>
              <w:top w:val="nil"/>
              <w:left w:val="nil"/>
              <w:bottom w:val="single" w:sz="4" w:space="0" w:color="auto"/>
              <w:right w:val="single" w:sz="4" w:space="0" w:color="auto"/>
            </w:tcBorders>
            <w:shd w:val="clear" w:color="auto" w:fill="auto"/>
            <w:vAlign w:val="bottom"/>
            <w:hideMark/>
          </w:tcPr>
          <w:p w14:paraId="1C446C1B"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w:t>
            </w:r>
          </w:p>
        </w:tc>
        <w:tc>
          <w:tcPr>
            <w:tcW w:w="966" w:type="dxa"/>
            <w:tcBorders>
              <w:top w:val="nil"/>
              <w:left w:val="nil"/>
              <w:bottom w:val="single" w:sz="4" w:space="0" w:color="auto"/>
              <w:right w:val="single" w:sz="4" w:space="0" w:color="auto"/>
            </w:tcBorders>
            <w:shd w:val="clear" w:color="auto" w:fill="auto"/>
            <w:vAlign w:val="bottom"/>
            <w:hideMark/>
          </w:tcPr>
          <w:p w14:paraId="07F40926" w14:textId="77777777" w:rsidR="000B5011" w:rsidRPr="000B5011" w:rsidRDefault="000B5011" w:rsidP="000B5011">
            <w:pPr>
              <w:rPr>
                <w:rFonts w:ascii="Calibri" w:eastAsia="Times New Roman" w:hAnsi="Calibri" w:cs="Times New Roman"/>
                <w:b/>
                <w:bCs/>
                <w:sz w:val="20"/>
                <w:szCs w:val="20"/>
              </w:rPr>
            </w:pPr>
            <w:r w:rsidRPr="000B5011">
              <w:rPr>
                <w:rFonts w:ascii="Calibri" w:eastAsia="Times New Roman" w:hAnsi="Calibri" w:cs="Times New Roman"/>
                <w:b/>
                <w:bCs/>
                <w:sz w:val="20"/>
                <w:szCs w:val="20"/>
              </w:rPr>
              <w:t> </w:t>
            </w:r>
          </w:p>
        </w:tc>
      </w:tr>
      <w:tr w:rsidR="000B5011" w:rsidRPr="000B5011" w14:paraId="5E797379"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4E4343F6" w14:textId="7B3257BD"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r>
              <w:rPr>
                <w:rFonts w:ascii="Calibri" w:eastAsia="Times New Roman" w:hAnsi="Calibri" w:cs="Times New Roman"/>
                <w:sz w:val="18"/>
                <w:szCs w:val="18"/>
              </w:rPr>
              <w:t xml:space="preserve">All </w:t>
            </w:r>
          </w:p>
        </w:tc>
        <w:tc>
          <w:tcPr>
            <w:tcW w:w="2050" w:type="dxa"/>
            <w:tcBorders>
              <w:top w:val="nil"/>
              <w:left w:val="nil"/>
              <w:bottom w:val="single" w:sz="4" w:space="0" w:color="auto"/>
              <w:right w:val="single" w:sz="4" w:space="0" w:color="auto"/>
            </w:tcBorders>
            <w:shd w:val="clear" w:color="auto" w:fill="auto"/>
            <w:vAlign w:val="bottom"/>
            <w:hideMark/>
          </w:tcPr>
          <w:p w14:paraId="0593218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UNDP Energy and Environment Group</w:t>
            </w:r>
          </w:p>
        </w:tc>
        <w:tc>
          <w:tcPr>
            <w:tcW w:w="1417" w:type="dxa"/>
            <w:tcBorders>
              <w:top w:val="nil"/>
              <w:left w:val="nil"/>
              <w:bottom w:val="single" w:sz="4" w:space="0" w:color="auto"/>
              <w:right w:val="single" w:sz="4" w:space="0" w:color="auto"/>
            </w:tcBorders>
            <w:shd w:val="clear" w:color="auto" w:fill="auto"/>
            <w:vAlign w:val="bottom"/>
            <w:hideMark/>
          </w:tcPr>
          <w:p w14:paraId="787A778E"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nil"/>
              <w:left w:val="nil"/>
              <w:bottom w:val="single" w:sz="4" w:space="0" w:color="auto"/>
              <w:right w:val="single" w:sz="4" w:space="0" w:color="auto"/>
            </w:tcBorders>
            <w:shd w:val="clear" w:color="auto" w:fill="auto"/>
            <w:vAlign w:val="bottom"/>
            <w:hideMark/>
          </w:tcPr>
          <w:p w14:paraId="0D498D4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Grant</w:t>
            </w:r>
          </w:p>
        </w:tc>
        <w:tc>
          <w:tcPr>
            <w:tcW w:w="1151" w:type="dxa"/>
            <w:tcBorders>
              <w:top w:val="nil"/>
              <w:left w:val="nil"/>
              <w:bottom w:val="single" w:sz="4" w:space="0" w:color="auto"/>
              <w:right w:val="single" w:sz="4" w:space="0" w:color="auto"/>
            </w:tcBorders>
            <w:shd w:val="clear" w:color="auto" w:fill="auto"/>
            <w:vAlign w:val="bottom"/>
            <w:hideMark/>
          </w:tcPr>
          <w:p w14:paraId="59BDBF06"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415,000</w:t>
            </w:r>
          </w:p>
        </w:tc>
        <w:tc>
          <w:tcPr>
            <w:tcW w:w="1118" w:type="dxa"/>
            <w:tcBorders>
              <w:top w:val="nil"/>
              <w:left w:val="nil"/>
              <w:bottom w:val="single" w:sz="4" w:space="0" w:color="auto"/>
              <w:right w:val="single" w:sz="4" w:space="0" w:color="auto"/>
            </w:tcBorders>
            <w:shd w:val="clear" w:color="auto" w:fill="auto"/>
            <w:vAlign w:val="bottom"/>
            <w:hideMark/>
          </w:tcPr>
          <w:p w14:paraId="5F56280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nil"/>
              <w:left w:val="nil"/>
              <w:bottom w:val="single" w:sz="4" w:space="0" w:color="auto"/>
              <w:right w:val="single" w:sz="4" w:space="0" w:color="auto"/>
            </w:tcBorders>
            <w:shd w:val="clear" w:color="auto" w:fill="auto"/>
            <w:vAlign w:val="bottom"/>
            <w:hideMark/>
          </w:tcPr>
          <w:p w14:paraId="074ADFD4" w14:textId="35B034F7" w:rsidR="000B5011" w:rsidRPr="000B5011" w:rsidRDefault="000B5011" w:rsidP="000B5011">
            <w:pPr>
              <w:jc w:val="right"/>
              <w:rPr>
                <w:rFonts w:ascii="Calibri" w:eastAsia="Times New Roman" w:hAnsi="Calibri" w:cs="Times New Roman"/>
                <w:sz w:val="18"/>
                <w:szCs w:val="18"/>
              </w:rPr>
            </w:pPr>
            <w:r>
              <w:rPr>
                <w:rFonts w:ascii="Calibri" w:eastAsia="Times New Roman" w:hAnsi="Calibri" w:cs="Times New Roman"/>
                <w:sz w:val="18"/>
                <w:szCs w:val="18"/>
              </w:rPr>
              <w:t>Will not be realised</w:t>
            </w:r>
            <w:r w:rsidRPr="000B5011">
              <w:rPr>
                <w:rFonts w:ascii="Calibri" w:eastAsia="Times New Roman" w:hAnsi="Calibri" w:cs="Times New Roman"/>
                <w:sz w:val="18"/>
                <w:szCs w:val="18"/>
              </w:rPr>
              <w:t xml:space="preserve"> </w:t>
            </w:r>
            <w:proofErr w:type="gramStart"/>
            <w:r w:rsidRPr="000B5011">
              <w:rPr>
                <w:rFonts w:ascii="Calibri" w:eastAsia="Times New Roman" w:hAnsi="Calibri" w:cs="Times New Roman"/>
                <w:sz w:val="18"/>
                <w:szCs w:val="18"/>
              </w:rPr>
              <w:t xml:space="preserve">-   </w:t>
            </w:r>
            <w:proofErr w:type="gramEnd"/>
          </w:p>
        </w:tc>
      </w:tr>
      <w:tr w:rsidR="000B5011" w:rsidRPr="000B5011" w14:paraId="6B6A381C" w14:textId="77777777" w:rsidTr="000B5011">
        <w:trPr>
          <w:trHeight w:val="480"/>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FD048" w14:textId="555CDEBA" w:rsidR="000B5011" w:rsidRPr="000B5011" w:rsidRDefault="000B5011" w:rsidP="000B5011">
            <w:pPr>
              <w:rPr>
                <w:rFonts w:ascii="Calibri" w:eastAsia="Times New Roman" w:hAnsi="Calibri" w:cs="Times New Roman"/>
                <w:sz w:val="18"/>
                <w:szCs w:val="18"/>
              </w:rPr>
            </w:pPr>
            <w:r>
              <w:rPr>
                <w:rFonts w:ascii="Calibri" w:eastAsia="Times New Roman" w:hAnsi="Calibri" w:cs="Times New Roman"/>
                <w:sz w:val="18"/>
                <w:szCs w:val="18"/>
              </w:rPr>
              <w:t xml:space="preserve">All </w:t>
            </w:r>
          </w:p>
        </w:tc>
        <w:tc>
          <w:tcPr>
            <w:tcW w:w="205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6468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UNDP Energy and Environment Group</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B8F83"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D8DD3"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6AD73"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1,348,000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8C76E"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B798B5"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w:t>
            </w:r>
            <w:proofErr w:type="gramStart"/>
            <w:r w:rsidRPr="000B5011">
              <w:rPr>
                <w:rFonts w:ascii="Calibri" w:eastAsia="Times New Roman" w:hAnsi="Calibri" w:cs="Times New Roman"/>
                <w:sz w:val="18"/>
                <w:szCs w:val="18"/>
              </w:rPr>
              <w:t xml:space="preserve">-   </w:t>
            </w:r>
            <w:proofErr w:type="gramEnd"/>
          </w:p>
        </w:tc>
      </w:tr>
      <w:tr w:rsidR="000B5011" w:rsidRPr="000B5011" w14:paraId="5AB7E15D" w14:textId="77777777" w:rsidTr="000B5011">
        <w:trPr>
          <w:trHeight w:val="720"/>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F77AA3" w14:textId="66D9632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1a&amp;2b </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14:paraId="0528B1C9"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UNESCO-IHP</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05391516"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79EA8EC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36748BC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550,000</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14:paraId="3023850C"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115000</w:t>
            </w:r>
          </w:p>
        </w:tc>
        <w:tc>
          <w:tcPr>
            <w:tcW w:w="966" w:type="dxa"/>
            <w:tcBorders>
              <w:top w:val="single" w:sz="4" w:space="0" w:color="auto"/>
              <w:left w:val="nil"/>
              <w:bottom w:val="single" w:sz="4" w:space="0" w:color="auto"/>
              <w:right w:val="single" w:sz="4" w:space="0" w:color="auto"/>
            </w:tcBorders>
            <w:shd w:val="clear" w:color="auto" w:fill="auto"/>
            <w:vAlign w:val="bottom"/>
            <w:hideMark/>
          </w:tcPr>
          <w:p w14:paraId="5DB3EDD5"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21 </w:t>
            </w:r>
          </w:p>
        </w:tc>
      </w:tr>
      <w:tr w:rsidR="000B5011" w:rsidRPr="000B5011" w14:paraId="27E27927"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5B4D9695" w14:textId="3CBDCA5A"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1b </w:t>
            </w:r>
          </w:p>
        </w:tc>
        <w:tc>
          <w:tcPr>
            <w:tcW w:w="2050" w:type="dxa"/>
            <w:tcBorders>
              <w:top w:val="nil"/>
              <w:left w:val="nil"/>
              <w:bottom w:val="single" w:sz="4" w:space="0" w:color="auto"/>
              <w:right w:val="single" w:sz="4" w:space="0" w:color="auto"/>
            </w:tcBorders>
            <w:shd w:val="clear" w:color="auto" w:fill="auto"/>
            <w:vAlign w:val="bottom"/>
            <w:hideMark/>
          </w:tcPr>
          <w:p w14:paraId="4A96BE4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Cornell University</w:t>
            </w:r>
          </w:p>
        </w:tc>
        <w:tc>
          <w:tcPr>
            <w:tcW w:w="1417" w:type="dxa"/>
            <w:tcBorders>
              <w:top w:val="nil"/>
              <w:left w:val="nil"/>
              <w:bottom w:val="single" w:sz="4" w:space="0" w:color="auto"/>
              <w:right w:val="single" w:sz="4" w:space="0" w:color="auto"/>
            </w:tcBorders>
            <w:shd w:val="clear" w:color="auto" w:fill="auto"/>
            <w:vAlign w:val="bottom"/>
            <w:hideMark/>
          </w:tcPr>
          <w:p w14:paraId="140D7B3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NGO</w:t>
            </w:r>
          </w:p>
        </w:tc>
        <w:tc>
          <w:tcPr>
            <w:tcW w:w="840" w:type="dxa"/>
            <w:tcBorders>
              <w:top w:val="nil"/>
              <w:left w:val="nil"/>
              <w:bottom w:val="single" w:sz="4" w:space="0" w:color="auto"/>
              <w:right w:val="single" w:sz="4" w:space="0" w:color="auto"/>
            </w:tcBorders>
            <w:shd w:val="clear" w:color="auto" w:fill="auto"/>
            <w:vAlign w:val="bottom"/>
            <w:hideMark/>
          </w:tcPr>
          <w:p w14:paraId="643C97E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039CC8EC"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40,000</w:t>
            </w:r>
          </w:p>
        </w:tc>
        <w:tc>
          <w:tcPr>
            <w:tcW w:w="1118" w:type="dxa"/>
            <w:tcBorders>
              <w:top w:val="nil"/>
              <w:left w:val="nil"/>
              <w:bottom w:val="single" w:sz="4" w:space="0" w:color="auto"/>
              <w:right w:val="single" w:sz="4" w:space="0" w:color="auto"/>
            </w:tcBorders>
            <w:shd w:val="clear" w:color="auto" w:fill="auto"/>
            <w:vAlign w:val="bottom"/>
            <w:hideMark/>
          </w:tcPr>
          <w:p w14:paraId="30D4C234"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nil"/>
              <w:left w:val="nil"/>
              <w:bottom w:val="single" w:sz="4" w:space="0" w:color="auto"/>
              <w:right w:val="single" w:sz="4" w:space="0" w:color="auto"/>
            </w:tcBorders>
            <w:shd w:val="clear" w:color="auto" w:fill="auto"/>
            <w:vAlign w:val="bottom"/>
            <w:hideMark/>
          </w:tcPr>
          <w:p w14:paraId="6D2B0EC4"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w:t>
            </w:r>
            <w:proofErr w:type="gramStart"/>
            <w:r w:rsidRPr="000B5011">
              <w:rPr>
                <w:rFonts w:ascii="Calibri" w:eastAsia="Times New Roman" w:hAnsi="Calibri" w:cs="Times New Roman"/>
                <w:sz w:val="18"/>
                <w:szCs w:val="18"/>
              </w:rPr>
              <w:t xml:space="preserve">-   </w:t>
            </w:r>
            <w:proofErr w:type="gramEnd"/>
          </w:p>
        </w:tc>
      </w:tr>
      <w:tr w:rsidR="000B5011" w:rsidRPr="000B5011" w14:paraId="0169F7C5"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364EA210" w14:textId="5808A9D9"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1b </w:t>
            </w:r>
          </w:p>
        </w:tc>
        <w:tc>
          <w:tcPr>
            <w:tcW w:w="2050" w:type="dxa"/>
            <w:tcBorders>
              <w:top w:val="nil"/>
              <w:left w:val="nil"/>
              <w:bottom w:val="single" w:sz="4" w:space="0" w:color="auto"/>
              <w:right w:val="single" w:sz="4" w:space="0" w:color="auto"/>
            </w:tcBorders>
            <w:shd w:val="clear" w:color="auto" w:fill="auto"/>
            <w:vAlign w:val="bottom"/>
            <w:hideMark/>
          </w:tcPr>
          <w:p w14:paraId="01AC11F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UNECE</w:t>
            </w:r>
          </w:p>
        </w:tc>
        <w:tc>
          <w:tcPr>
            <w:tcW w:w="1417" w:type="dxa"/>
            <w:tcBorders>
              <w:top w:val="nil"/>
              <w:left w:val="nil"/>
              <w:bottom w:val="single" w:sz="4" w:space="0" w:color="auto"/>
              <w:right w:val="single" w:sz="4" w:space="0" w:color="auto"/>
            </w:tcBorders>
            <w:shd w:val="clear" w:color="auto" w:fill="auto"/>
            <w:vAlign w:val="bottom"/>
            <w:hideMark/>
          </w:tcPr>
          <w:p w14:paraId="4138DAA9"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nil"/>
              <w:left w:val="nil"/>
              <w:bottom w:val="single" w:sz="4" w:space="0" w:color="auto"/>
              <w:right w:val="single" w:sz="4" w:space="0" w:color="auto"/>
            </w:tcBorders>
            <w:shd w:val="clear" w:color="auto" w:fill="auto"/>
            <w:vAlign w:val="bottom"/>
            <w:hideMark/>
          </w:tcPr>
          <w:p w14:paraId="3D296142"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Cash/In-Kind</w:t>
            </w:r>
          </w:p>
        </w:tc>
        <w:tc>
          <w:tcPr>
            <w:tcW w:w="1151" w:type="dxa"/>
            <w:tcBorders>
              <w:top w:val="nil"/>
              <w:left w:val="nil"/>
              <w:bottom w:val="single" w:sz="4" w:space="0" w:color="auto"/>
              <w:right w:val="single" w:sz="4" w:space="0" w:color="auto"/>
            </w:tcBorders>
            <w:shd w:val="clear" w:color="auto" w:fill="auto"/>
            <w:vAlign w:val="bottom"/>
            <w:hideMark/>
          </w:tcPr>
          <w:p w14:paraId="778505F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60,000</w:t>
            </w:r>
          </w:p>
        </w:tc>
        <w:tc>
          <w:tcPr>
            <w:tcW w:w="1118" w:type="dxa"/>
            <w:tcBorders>
              <w:top w:val="nil"/>
              <w:left w:val="nil"/>
              <w:bottom w:val="single" w:sz="4" w:space="0" w:color="auto"/>
              <w:right w:val="single" w:sz="4" w:space="0" w:color="auto"/>
            </w:tcBorders>
            <w:shd w:val="clear" w:color="auto" w:fill="auto"/>
            <w:vAlign w:val="bottom"/>
            <w:hideMark/>
          </w:tcPr>
          <w:p w14:paraId="45434254"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37139</w:t>
            </w:r>
          </w:p>
        </w:tc>
        <w:tc>
          <w:tcPr>
            <w:tcW w:w="966" w:type="dxa"/>
            <w:tcBorders>
              <w:top w:val="nil"/>
              <w:left w:val="nil"/>
              <w:bottom w:val="single" w:sz="4" w:space="0" w:color="auto"/>
              <w:right w:val="single" w:sz="4" w:space="0" w:color="auto"/>
            </w:tcBorders>
            <w:shd w:val="clear" w:color="auto" w:fill="auto"/>
            <w:vAlign w:val="bottom"/>
            <w:hideMark/>
          </w:tcPr>
          <w:p w14:paraId="405469C1"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62 </w:t>
            </w:r>
          </w:p>
        </w:tc>
      </w:tr>
      <w:tr w:rsidR="000B5011" w:rsidRPr="000B5011" w14:paraId="75E4E3FD"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5952EE32" w14:textId="5F68CACA"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1c </w:t>
            </w:r>
          </w:p>
        </w:tc>
        <w:tc>
          <w:tcPr>
            <w:tcW w:w="2050" w:type="dxa"/>
            <w:tcBorders>
              <w:top w:val="nil"/>
              <w:left w:val="nil"/>
              <w:bottom w:val="single" w:sz="4" w:space="0" w:color="auto"/>
              <w:right w:val="single" w:sz="4" w:space="0" w:color="auto"/>
            </w:tcBorders>
            <w:shd w:val="clear" w:color="auto" w:fill="auto"/>
            <w:vAlign w:val="bottom"/>
            <w:hideMark/>
          </w:tcPr>
          <w:p w14:paraId="5D88E5C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Sea-Start</w:t>
            </w:r>
          </w:p>
        </w:tc>
        <w:tc>
          <w:tcPr>
            <w:tcW w:w="1417" w:type="dxa"/>
            <w:tcBorders>
              <w:top w:val="nil"/>
              <w:left w:val="nil"/>
              <w:bottom w:val="single" w:sz="4" w:space="0" w:color="auto"/>
              <w:right w:val="single" w:sz="4" w:space="0" w:color="auto"/>
            </w:tcBorders>
            <w:shd w:val="clear" w:color="auto" w:fill="auto"/>
            <w:vAlign w:val="bottom"/>
            <w:hideMark/>
          </w:tcPr>
          <w:p w14:paraId="67E3108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NGO</w:t>
            </w:r>
          </w:p>
        </w:tc>
        <w:tc>
          <w:tcPr>
            <w:tcW w:w="840" w:type="dxa"/>
            <w:tcBorders>
              <w:top w:val="nil"/>
              <w:left w:val="nil"/>
              <w:bottom w:val="single" w:sz="4" w:space="0" w:color="auto"/>
              <w:right w:val="single" w:sz="4" w:space="0" w:color="auto"/>
            </w:tcBorders>
            <w:shd w:val="clear" w:color="auto" w:fill="auto"/>
            <w:vAlign w:val="bottom"/>
            <w:hideMark/>
          </w:tcPr>
          <w:p w14:paraId="0CFCF43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5F31A32B"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130,000</w:t>
            </w:r>
          </w:p>
        </w:tc>
        <w:tc>
          <w:tcPr>
            <w:tcW w:w="1118" w:type="dxa"/>
            <w:tcBorders>
              <w:top w:val="nil"/>
              <w:left w:val="nil"/>
              <w:bottom w:val="single" w:sz="4" w:space="0" w:color="auto"/>
              <w:right w:val="single" w:sz="4" w:space="0" w:color="auto"/>
            </w:tcBorders>
            <w:shd w:val="clear" w:color="auto" w:fill="auto"/>
            <w:vAlign w:val="bottom"/>
            <w:hideMark/>
          </w:tcPr>
          <w:p w14:paraId="0E4D8383"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nil"/>
              <w:left w:val="nil"/>
              <w:bottom w:val="single" w:sz="4" w:space="0" w:color="auto"/>
              <w:right w:val="single" w:sz="4" w:space="0" w:color="auto"/>
            </w:tcBorders>
            <w:shd w:val="clear" w:color="auto" w:fill="auto"/>
            <w:vAlign w:val="bottom"/>
            <w:hideMark/>
          </w:tcPr>
          <w:p w14:paraId="4EBAF8B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w:t>
            </w:r>
            <w:proofErr w:type="gramStart"/>
            <w:r w:rsidRPr="000B5011">
              <w:rPr>
                <w:rFonts w:ascii="Calibri" w:eastAsia="Times New Roman" w:hAnsi="Calibri" w:cs="Times New Roman"/>
                <w:sz w:val="18"/>
                <w:szCs w:val="18"/>
              </w:rPr>
              <w:t xml:space="preserve">-   </w:t>
            </w:r>
            <w:proofErr w:type="gramEnd"/>
          </w:p>
        </w:tc>
      </w:tr>
      <w:tr w:rsidR="000B5011" w:rsidRPr="000B5011" w14:paraId="221AB027"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690B5ABE" w14:textId="523882DF"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1c </w:t>
            </w:r>
          </w:p>
        </w:tc>
        <w:tc>
          <w:tcPr>
            <w:tcW w:w="2050" w:type="dxa"/>
            <w:tcBorders>
              <w:top w:val="nil"/>
              <w:left w:val="nil"/>
              <w:bottom w:val="single" w:sz="4" w:space="0" w:color="auto"/>
              <w:right w:val="single" w:sz="4" w:space="0" w:color="auto"/>
            </w:tcBorders>
            <w:shd w:val="clear" w:color="auto" w:fill="auto"/>
            <w:vAlign w:val="bottom"/>
            <w:hideMark/>
          </w:tcPr>
          <w:p w14:paraId="73A51259" w14:textId="5E74DEF1"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UNEP Caribbean </w:t>
            </w:r>
            <w:r w:rsidR="00E22628" w:rsidRPr="000B5011">
              <w:rPr>
                <w:rFonts w:ascii="Calibri" w:eastAsia="Times New Roman" w:hAnsi="Calibri" w:cs="Times New Roman"/>
                <w:sz w:val="18"/>
                <w:szCs w:val="18"/>
              </w:rPr>
              <w:t>Environment</w:t>
            </w:r>
            <w:r w:rsidRPr="000B5011">
              <w:rPr>
                <w:rFonts w:ascii="Calibri" w:eastAsia="Times New Roman" w:hAnsi="Calibri" w:cs="Times New Roman"/>
                <w:sz w:val="18"/>
                <w:szCs w:val="18"/>
              </w:rPr>
              <w:t xml:space="preserve"> Programme</w:t>
            </w:r>
          </w:p>
        </w:tc>
        <w:tc>
          <w:tcPr>
            <w:tcW w:w="1417" w:type="dxa"/>
            <w:tcBorders>
              <w:top w:val="nil"/>
              <w:left w:val="nil"/>
              <w:bottom w:val="single" w:sz="4" w:space="0" w:color="auto"/>
              <w:right w:val="single" w:sz="4" w:space="0" w:color="auto"/>
            </w:tcBorders>
            <w:shd w:val="clear" w:color="auto" w:fill="auto"/>
            <w:vAlign w:val="bottom"/>
            <w:hideMark/>
          </w:tcPr>
          <w:p w14:paraId="1EBDCCAE"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nil"/>
              <w:left w:val="nil"/>
              <w:bottom w:val="single" w:sz="4" w:space="0" w:color="auto"/>
              <w:right w:val="single" w:sz="4" w:space="0" w:color="auto"/>
            </w:tcBorders>
            <w:shd w:val="clear" w:color="auto" w:fill="auto"/>
            <w:vAlign w:val="bottom"/>
            <w:hideMark/>
          </w:tcPr>
          <w:p w14:paraId="7261FBD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34082028"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100,000</w:t>
            </w:r>
          </w:p>
        </w:tc>
        <w:tc>
          <w:tcPr>
            <w:tcW w:w="1118" w:type="dxa"/>
            <w:tcBorders>
              <w:top w:val="nil"/>
              <w:left w:val="nil"/>
              <w:bottom w:val="single" w:sz="4" w:space="0" w:color="auto"/>
              <w:right w:val="single" w:sz="4" w:space="0" w:color="auto"/>
            </w:tcBorders>
            <w:shd w:val="clear" w:color="auto" w:fill="auto"/>
            <w:vAlign w:val="bottom"/>
            <w:hideMark/>
          </w:tcPr>
          <w:p w14:paraId="36C6747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12500</w:t>
            </w:r>
          </w:p>
        </w:tc>
        <w:tc>
          <w:tcPr>
            <w:tcW w:w="966" w:type="dxa"/>
            <w:tcBorders>
              <w:top w:val="nil"/>
              <w:left w:val="nil"/>
              <w:bottom w:val="single" w:sz="4" w:space="0" w:color="auto"/>
              <w:right w:val="single" w:sz="4" w:space="0" w:color="auto"/>
            </w:tcBorders>
            <w:shd w:val="clear" w:color="auto" w:fill="auto"/>
            <w:vAlign w:val="bottom"/>
            <w:hideMark/>
          </w:tcPr>
          <w:p w14:paraId="766F2CE8"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13 </w:t>
            </w:r>
          </w:p>
        </w:tc>
      </w:tr>
      <w:tr w:rsidR="000B5011" w:rsidRPr="000B5011" w14:paraId="7843970C"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74E482FC" w14:textId="5D017688"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2a </w:t>
            </w:r>
          </w:p>
        </w:tc>
        <w:tc>
          <w:tcPr>
            <w:tcW w:w="2050" w:type="dxa"/>
            <w:tcBorders>
              <w:top w:val="nil"/>
              <w:left w:val="nil"/>
              <w:bottom w:val="single" w:sz="4" w:space="0" w:color="auto"/>
              <w:right w:val="single" w:sz="4" w:space="0" w:color="auto"/>
            </w:tcBorders>
            <w:shd w:val="clear" w:color="auto" w:fill="auto"/>
            <w:vAlign w:val="bottom"/>
            <w:hideMark/>
          </w:tcPr>
          <w:p w14:paraId="7D81EDF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IUCN-WANI</w:t>
            </w:r>
          </w:p>
        </w:tc>
        <w:tc>
          <w:tcPr>
            <w:tcW w:w="1417" w:type="dxa"/>
            <w:tcBorders>
              <w:top w:val="nil"/>
              <w:left w:val="nil"/>
              <w:bottom w:val="single" w:sz="4" w:space="0" w:color="auto"/>
              <w:right w:val="single" w:sz="4" w:space="0" w:color="auto"/>
            </w:tcBorders>
            <w:shd w:val="clear" w:color="auto" w:fill="auto"/>
            <w:vAlign w:val="bottom"/>
            <w:hideMark/>
          </w:tcPr>
          <w:p w14:paraId="7C91FBB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NGO</w:t>
            </w:r>
          </w:p>
        </w:tc>
        <w:tc>
          <w:tcPr>
            <w:tcW w:w="840" w:type="dxa"/>
            <w:tcBorders>
              <w:top w:val="nil"/>
              <w:left w:val="nil"/>
              <w:bottom w:val="single" w:sz="4" w:space="0" w:color="auto"/>
              <w:right w:val="single" w:sz="4" w:space="0" w:color="auto"/>
            </w:tcBorders>
            <w:shd w:val="clear" w:color="auto" w:fill="auto"/>
            <w:vAlign w:val="bottom"/>
            <w:hideMark/>
          </w:tcPr>
          <w:p w14:paraId="077241C6"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4551F583"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202,000</w:t>
            </w:r>
          </w:p>
        </w:tc>
        <w:tc>
          <w:tcPr>
            <w:tcW w:w="1118" w:type="dxa"/>
            <w:tcBorders>
              <w:top w:val="nil"/>
              <w:left w:val="nil"/>
              <w:bottom w:val="single" w:sz="4" w:space="0" w:color="auto"/>
              <w:right w:val="single" w:sz="4" w:space="0" w:color="auto"/>
            </w:tcBorders>
            <w:shd w:val="clear" w:color="auto" w:fill="auto"/>
            <w:vAlign w:val="bottom"/>
            <w:hideMark/>
          </w:tcPr>
          <w:p w14:paraId="74447F59"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39430</w:t>
            </w:r>
          </w:p>
        </w:tc>
        <w:tc>
          <w:tcPr>
            <w:tcW w:w="966" w:type="dxa"/>
            <w:tcBorders>
              <w:top w:val="nil"/>
              <w:left w:val="nil"/>
              <w:bottom w:val="single" w:sz="4" w:space="0" w:color="auto"/>
              <w:right w:val="single" w:sz="4" w:space="0" w:color="auto"/>
            </w:tcBorders>
            <w:shd w:val="clear" w:color="auto" w:fill="auto"/>
            <w:vAlign w:val="bottom"/>
            <w:hideMark/>
          </w:tcPr>
          <w:p w14:paraId="02D67498"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20 </w:t>
            </w:r>
          </w:p>
        </w:tc>
      </w:tr>
      <w:tr w:rsidR="000B5011" w:rsidRPr="000B5011" w14:paraId="384D6291"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5406B187" w14:textId="1C2D313A"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3c </w:t>
            </w:r>
          </w:p>
        </w:tc>
        <w:tc>
          <w:tcPr>
            <w:tcW w:w="2050" w:type="dxa"/>
            <w:tcBorders>
              <w:top w:val="nil"/>
              <w:left w:val="nil"/>
              <w:bottom w:val="single" w:sz="4" w:space="0" w:color="auto"/>
              <w:right w:val="single" w:sz="4" w:space="0" w:color="auto"/>
            </w:tcBorders>
            <w:shd w:val="clear" w:color="auto" w:fill="auto"/>
            <w:vAlign w:val="bottom"/>
            <w:hideMark/>
          </w:tcPr>
          <w:p w14:paraId="1FD576DD"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UNEP-IWG (Comp3)</w:t>
            </w:r>
          </w:p>
        </w:tc>
        <w:tc>
          <w:tcPr>
            <w:tcW w:w="1417" w:type="dxa"/>
            <w:tcBorders>
              <w:top w:val="nil"/>
              <w:left w:val="nil"/>
              <w:bottom w:val="single" w:sz="4" w:space="0" w:color="auto"/>
              <w:right w:val="single" w:sz="4" w:space="0" w:color="auto"/>
            </w:tcBorders>
            <w:shd w:val="clear" w:color="auto" w:fill="auto"/>
            <w:vAlign w:val="bottom"/>
            <w:hideMark/>
          </w:tcPr>
          <w:p w14:paraId="5B3DC89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nil"/>
              <w:left w:val="nil"/>
              <w:bottom w:val="single" w:sz="4" w:space="0" w:color="auto"/>
              <w:right w:val="single" w:sz="4" w:space="0" w:color="auto"/>
            </w:tcBorders>
            <w:shd w:val="clear" w:color="auto" w:fill="auto"/>
            <w:vAlign w:val="bottom"/>
            <w:hideMark/>
          </w:tcPr>
          <w:p w14:paraId="6C4412B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0A8E6DCB"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200,000</w:t>
            </w:r>
          </w:p>
        </w:tc>
        <w:tc>
          <w:tcPr>
            <w:tcW w:w="1118" w:type="dxa"/>
            <w:tcBorders>
              <w:top w:val="nil"/>
              <w:left w:val="nil"/>
              <w:bottom w:val="single" w:sz="4" w:space="0" w:color="auto"/>
              <w:right w:val="single" w:sz="4" w:space="0" w:color="auto"/>
            </w:tcBorders>
            <w:shd w:val="clear" w:color="auto" w:fill="auto"/>
            <w:vAlign w:val="bottom"/>
            <w:hideMark/>
          </w:tcPr>
          <w:p w14:paraId="1516B587"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nil"/>
              <w:left w:val="nil"/>
              <w:bottom w:val="single" w:sz="4" w:space="0" w:color="auto"/>
              <w:right w:val="single" w:sz="4" w:space="0" w:color="auto"/>
            </w:tcBorders>
            <w:shd w:val="clear" w:color="auto" w:fill="auto"/>
            <w:vAlign w:val="bottom"/>
            <w:hideMark/>
          </w:tcPr>
          <w:p w14:paraId="233EB909"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w:t>
            </w:r>
            <w:proofErr w:type="gramStart"/>
            <w:r w:rsidRPr="000B5011">
              <w:rPr>
                <w:rFonts w:ascii="Calibri" w:eastAsia="Times New Roman" w:hAnsi="Calibri" w:cs="Times New Roman"/>
                <w:sz w:val="18"/>
                <w:szCs w:val="18"/>
              </w:rPr>
              <w:t xml:space="preserve">-   </w:t>
            </w:r>
            <w:proofErr w:type="gramEnd"/>
          </w:p>
        </w:tc>
      </w:tr>
      <w:tr w:rsidR="000B5011" w:rsidRPr="000B5011" w14:paraId="317270FF"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0BCB156B" w14:textId="0CC62E2D"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3c and 5 </w:t>
            </w:r>
          </w:p>
        </w:tc>
        <w:tc>
          <w:tcPr>
            <w:tcW w:w="2050" w:type="dxa"/>
            <w:tcBorders>
              <w:top w:val="nil"/>
              <w:left w:val="nil"/>
              <w:bottom w:val="single" w:sz="4" w:space="0" w:color="auto"/>
              <w:right w:val="single" w:sz="4" w:space="0" w:color="auto"/>
            </w:tcBorders>
            <w:shd w:val="clear" w:color="auto" w:fill="auto"/>
            <w:vAlign w:val="bottom"/>
            <w:hideMark/>
          </w:tcPr>
          <w:p w14:paraId="09015AF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UNU-INWEH</w:t>
            </w:r>
          </w:p>
        </w:tc>
        <w:tc>
          <w:tcPr>
            <w:tcW w:w="1417" w:type="dxa"/>
            <w:tcBorders>
              <w:top w:val="nil"/>
              <w:left w:val="nil"/>
              <w:bottom w:val="single" w:sz="4" w:space="0" w:color="auto"/>
              <w:right w:val="single" w:sz="4" w:space="0" w:color="auto"/>
            </w:tcBorders>
            <w:shd w:val="clear" w:color="auto" w:fill="auto"/>
            <w:vAlign w:val="bottom"/>
            <w:hideMark/>
          </w:tcPr>
          <w:p w14:paraId="140AF52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nil"/>
              <w:left w:val="nil"/>
              <w:bottom w:val="single" w:sz="4" w:space="0" w:color="auto"/>
              <w:right w:val="single" w:sz="4" w:space="0" w:color="auto"/>
            </w:tcBorders>
            <w:shd w:val="clear" w:color="auto" w:fill="auto"/>
            <w:vAlign w:val="bottom"/>
            <w:hideMark/>
          </w:tcPr>
          <w:p w14:paraId="036B504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46F28FD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1,240,000</w:t>
            </w:r>
          </w:p>
        </w:tc>
        <w:tc>
          <w:tcPr>
            <w:tcW w:w="1118" w:type="dxa"/>
            <w:tcBorders>
              <w:top w:val="nil"/>
              <w:left w:val="nil"/>
              <w:bottom w:val="single" w:sz="4" w:space="0" w:color="auto"/>
              <w:right w:val="single" w:sz="4" w:space="0" w:color="auto"/>
            </w:tcBorders>
            <w:shd w:val="clear" w:color="auto" w:fill="auto"/>
            <w:vAlign w:val="bottom"/>
            <w:hideMark/>
          </w:tcPr>
          <w:p w14:paraId="6285678C"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50595</w:t>
            </w:r>
          </w:p>
        </w:tc>
        <w:tc>
          <w:tcPr>
            <w:tcW w:w="966" w:type="dxa"/>
            <w:tcBorders>
              <w:top w:val="nil"/>
              <w:left w:val="nil"/>
              <w:bottom w:val="single" w:sz="4" w:space="0" w:color="auto"/>
              <w:right w:val="single" w:sz="4" w:space="0" w:color="auto"/>
            </w:tcBorders>
            <w:shd w:val="clear" w:color="auto" w:fill="auto"/>
            <w:vAlign w:val="bottom"/>
            <w:hideMark/>
          </w:tcPr>
          <w:p w14:paraId="32E25F65"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4 </w:t>
            </w:r>
          </w:p>
        </w:tc>
      </w:tr>
      <w:tr w:rsidR="000B5011" w:rsidRPr="000B5011" w14:paraId="645816B2"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0E65AF2C" w14:textId="29E63F5A"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4 </w:t>
            </w:r>
          </w:p>
        </w:tc>
        <w:tc>
          <w:tcPr>
            <w:tcW w:w="2050" w:type="dxa"/>
            <w:tcBorders>
              <w:top w:val="nil"/>
              <w:left w:val="nil"/>
              <w:bottom w:val="single" w:sz="4" w:space="0" w:color="auto"/>
              <w:right w:val="single" w:sz="4" w:space="0" w:color="auto"/>
            </w:tcBorders>
            <w:shd w:val="clear" w:color="auto" w:fill="auto"/>
            <w:vAlign w:val="bottom"/>
            <w:hideMark/>
          </w:tcPr>
          <w:p w14:paraId="6DFDD7DD"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UNEP-DEWA</w:t>
            </w:r>
          </w:p>
        </w:tc>
        <w:tc>
          <w:tcPr>
            <w:tcW w:w="1417" w:type="dxa"/>
            <w:tcBorders>
              <w:top w:val="nil"/>
              <w:left w:val="nil"/>
              <w:bottom w:val="single" w:sz="4" w:space="0" w:color="auto"/>
              <w:right w:val="single" w:sz="4" w:space="0" w:color="auto"/>
            </w:tcBorders>
            <w:shd w:val="clear" w:color="auto" w:fill="auto"/>
            <w:vAlign w:val="bottom"/>
            <w:hideMark/>
          </w:tcPr>
          <w:p w14:paraId="3E4F31E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nil"/>
              <w:left w:val="nil"/>
              <w:bottom w:val="single" w:sz="4" w:space="0" w:color="auto"/>
              <w:right w:val="single" w:sz="4" w:space="0" w:color="auto"/>
            </w:tcBorders>
            <w:shd w:val="clear" w:color="auto" w:fill="auto"/>
            <w:vAlign w:val="bottom"/>
            <w:hideMark/>
          </w:tcPr>
          <w:p w14:paraId="7F3AEF4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12FAF1CE"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701824</w:t>
            </w:r>
          </w:p>
        </w:tc>
        <w:tc>
          <w:tcPr>
            <w:tcW w:w="1118" w:type="dxa"/>
            <w:tcBorders>
              <w:top w:val="nil"/>
              <w:left w:val="nil"/>
              <w:bottom w:val="single" w:sz="4" w:space="0" w:color="auto"/>
              <w:right w:val="single" w:sz="4" w:space="0" w:color="auto"/>
            </w:tcBorders>
            <w:shd w:val="clear" w:color="auto" w:fill="auto"/>
            <w:vAlign w:val="bottom"/>
            <w:hideMark/>
          </w:tcPr>
          <w:p w14:paraId="401B327E"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386608</w:t>
            </w:r>
          </w:p>
        </w:tc>
        <w:tc>
          <w:tcPr>
            <w:tcW w:w="966" w:type="dxa"/>
            <w:tcBorders>
              <w:top w:val="nil"/>
              <w:left w:val="nil"/>
              <w:bottom w:val="single" w:sz="4" w:space="0" w:color="auto"/>
              <w:right w:val="single" w:sz="4" w:space="0" w:color="auto"/>
            </w:tcBorders>
            <w:shd w:val="clear" w:color="auto" w:fill="auto"/>
            <w:vAlign w:val="bottom"/>
            <w:hideMark/>
          </w:tcPr>
          <w:p w14:paraId="6E6CF0A0"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55 </w:t>
            </w:r>
          </w:p>
        </w:tc>
      </w:tr>
      <w:tr w:rsidR="000B5011" w:rsidRPr="000B5011" w14:paraId="2C64C125"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226B8C26" w14:textId="011932B8"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xml:space="preserve">4 </w:t>
            </w:r>
          </w:p>
        </w:tc>
        <w:tc>
          <w:tcPr>
            <w:tcW w:w="2050" w:type="dxa"/>
            <w:tcBorders>
              <w:top w:val="nil"/>
              <w:left w:val="nil"/>
              <w:bottom w:val="single" w:sz="4" w:space="0" w:color="auto"/>
              <w:right w:val="single" w:sz="4" w:space="0" w:color="auto"/>
            </w:tcBorders>
            <w:shd w:val="clear" w:color="auto" w:fill="auto"/>
            <w:vAlign w:val="bottom"/>
            <w:hideMark/>
          </w:tcPr>
          <w:p w14:paraId="12EC4D59" w14:textId="3EBB7A36"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Sea-Start</w:t>
            </w:r>
            <w:r>
              <w:rPr>
                <w:rFonts w:ascii="Calibri" w:eastAsia="Times New Roman" w:hAnsi="Calibri" w:cs="Times New Roman"/>
                <w:sz w:val="18"/>
                <w:szCs w:val="18"/>
              </w:rPr>
              <w:t xml:space="preserve"> (now to PEMSEA) </w:t>
            </w:r>
          </w:p>
        </w:tc>
        <w:tc>
          <w:tcPr>
            <w:tcW w:w="1417" w:type="dxa"/>
            <w:tcBorders>
              <w:top w:val="nil"/>
              <w:left w:val="nil"/>
              <w:bottom w:val="single" w:sz="4" w:space="0" w:color="auto"/>
              <w:right w:val="single" w:sz="4" w:space="0" w:color="auto"/>
            </w:tcBorders>
            <w:shd w:val="clear" w:color="auto" w:fill="auto"/>
            <w:vAlign w:val="bottom"/>
            <w:hideMark/>
          </w:tcPr>
          <w:p w14:paraId="0E600403"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NGO</w:t>
            </w:r>
          </w:p>
        </w:tc>
        <w:tc>
          <w:tcPr>
            <w:tcW w:w="840" w:type="dxa"/>
            <w:tcBorders>
              <w:top w:val="nil"/>
              <w:left w:val="nil"/>
              <w:bottom w:val="single" w:sz="4" w:space="0" w:color="auto"/>
              <w:right w:val="single" w:sz="4" w:space="0" w:color="auto"/>
            </w:tcBorders>
            <w:shd w:val="clear" w:color="auto" w:fill="auto"/>
            <w:vAlign w:val="bottom"/>
            <w:hideMark/>
          </w:tcPr>
          <w:p w14:paraId="14868ECE"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092132A8"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108000</w:t>
            </w:r>
          </w:p>
        </w:tc>
        <w:tc>
          <w:tcPr>
            <w:tcW w:w="1118" w:type="dxa"/>
            <w:tcBorders>
              <w:top w:val="nil"/>
              <w:left w:val="nil"/>
              <w:bottom w:val="single" w:sz="4" w:space="0" w:color="auto"/>
              <w:right w:val="single" w:sz="4" w:space="0" w:color="auto"/>
            </w:tcBorders>
            <w:shd w:val="clear" w:color="auto" w:fill="auto"/>
            <w:vAlign w:val="bottom"/>
            <w:hideMark/>
          </w:tcPr>
          <w:p w14:paraId="59A104E3"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nil"/>
              <w:left w:val="nil"/>
              <w:bottom w:val="single" w:sz="4" w:space="0" w:color="auto"/>
              <w:right w:val="single" w:sz="4" w:space="0" w:color="auto"/>
            </w:tcBorders>
            <w:shd w:val="clear" w:color="auto" w:fill="auto"/>
            <w:vAlign w:val="bottom"/>
            <w:hideMark/>
          </w:tcPr>
          <w:p w14:paraId="1145589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r>
      <w:tr w:rsidR="000B5011" w:rsidRPr="000B5011" w14:paraId="2BCEECC6"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305280EF"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7 PCU</w:t>
            </w:r>
          </w:p>
        </w:tc>
        <w:tc>
          <w:tcPr>
            <w:tcW w:w="2050" w:type="dxa"/>
            <w:tcBorders>
              <w:top w:val="nil"/>
              <w:left w:val="nil"/>
              <w:bottom w:val="single" w:sz="4" w:space="0" w:color="auto"/>
              <w:right w:val="single" w:sz="4" w:space="0" w:color="auto"/>
            </w:tcBorders>
            <w:shd w:val="clear" w:color="auto" w:fill="auto"/>
            <w:vAlign w:val="bottom"/>
            <w:hideMark/>
          </w:tcPr>
          <w:p w14:paraId="6829182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UNDP Bratislava Regional Centre</w:t>
            </w:r>
          </w:p>
        </w:tc>
        <w:tc>
          <w:tcPr>
            <w:tcW w:w="1417" w:type="dxa"/>
            <w:tcBorders>
              <w:top w:val="nil"/>
              <w:left w:val="nil"/>
              <w:bottom w:val="single" w:sz="4" w:space="0" w:color="auto"/>
              <w:right w:val="single" w:sz="4" w:space="0" w:color="auto"/>
            </w:tcBorders>
            <w:shd w:val="clear" w:color="auto" w:fill="auto"/>
            <w:vAlign w:val="bottom"/>
            <w:hideMark/>
          </w:tcPr>
          <w:p w14:paraId="0B908D6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nil"/>
              <w:left w:val="nil"/>
              <w:bottom w:val="single" w:sz="4" w:space="0" w:color="auto"/>
              <w:right w:val="single" w:sz="4" w:space="0" w:color="auto"/>
            </w:tcBorders>
            <w:shd w:val="clear" w:color="auto" w:fill="auto"/>
            <w:vAlign w:val="bottom"/>
            <w:hideMark/>
          </w:tcPr>
          <w:p w14:paraId="438C635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7BCC7ED5"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60,000</w:t>
            </w:r>
          </w:p>
        </w:tc>
        <w:tc>
          <w:tcPr>
            <w:tcW w:w="1118" w:type="dxa"/>
            <w:tcBorders>
              <w:top w:val="nil"/>
              <w:left w:val="nil"/>
              <w:bottom w:val="single" w:sz="4" w:space="0" w:color="auto"/>
              <w:right w:val="single" w:sz="4" w:space="0" w:color="auto"/>
            </w:tcBorders>
            <w:shd w:val="clear" w:color="auto" w:fill="auto"/>
            <w:vAlign w:val="bottom"/>
            <w:hideMark/>
          </w:tcPr>
          <w:p w14:paraId="6F2ABD58"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nil"/>
              <w:left w:val="nil"/>
              <w:bottom w:val="single" w:sz="4" w:space="0" w:color="auto"/>
              <w:right w:val="single" w:sz="4" w:space="0" w:color="auto"/>
            </w:tcBorders>
            <w:shd w:val="clear" w:color="auto" w:fill="auto"/>
            <w:vAlign w:val="bottom"/>
            <w:hideMark/>
          </w:tcPr>
          <w:p w14:paraId="55AEBE7F"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w:t>
            </w:r>
            <w:proofErr w:type="gramStart"/>
            <w:r w:rsidRPr="000B5011">
              <w:rPr>
                <w:rFonts w:ascii="Calibri" w:eastAsia="Times New Roman" w:hAnsi="Calibri" w:cs="Times New Roman"/>
                <w:sz w:val="18"/>
                <w:szCs w:val="18"/>
              </w:rPr>
              <w:t xml:space="preserve">-   </w:t>
            </w:r>
            <w:proofErr w:type="gramEnd"/>
          </w:p>
        </w:tc>
      </w:tr>
      <w:tr w:rsidR="000B5011" w:rsidRPr="000B5011" w14:paraId="12090BB7"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3C5E2B3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7 PCU</w:t>
            </w:r>
          </w:p>
        </w:tc>
        <w:tc>
          <w:tcPr>
            <w:tcW w:w="2050" w:type="dxa"/>
            <w:tcBorders>
              <w:top w:val="nil"/>
              <w:left w:val="nil"/>
              <w:bottom w:val="single" w:sz="4" w:space="0" w:color="auto"/>
              <w:right w:val="single" w:sz="4" w:space="0" w:color="auto"/>
            </w:tcBorders>
            <w:shd w:val="clear" w:color="auto" w:fill="auto"/>
            <w:vAlign w:val="bottom"/>
            <w:hideMark/>
          </w:tcPr>
          <w:p w14:paraId="03ACBB2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UNEP</w:t>
            </w:r>
          </w:p>
        </w:tc>
        <w:tc>
          <w:tcPr>
            <w:tcW w:w="1417" w:type="dxa"/>
            <w:tcBorders>
              <w:top w:val="nil"/>
              <w:left w:val="nil"/>
              <w:bottom w:val="single" w:sz="4" w:space="0" w:color="auto"/>
              <w:right w:val="single" w:sz="4" w:space="0" w:color="auto"/>
            </w:tcBorders>
            <w:shd w:val="clear" w:color="auto" w:fill="auto"/>
            <w:vAlign w:val="bottom"/>
            <w:hideMark/>
          </w:tcPr>
          <w:p w14:paraId="1495207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nil"/>
              <w:left w:val="nil"/>
              <w:bottom w:val="single" w:sz="4" w:space="0" w:color="auto"/>
              <w:right w:val="single" w:sz="4" w:space="0" w:color="auto"/>
            </w:tcBorders>
            <w:shd w:val="clear" w:color="auto" w:fill="auto"/>
            <w:vAlign w:val="bottom"/>
            <w:hideMark/>
          </w:tcPr>
          <w:p w14:paraId="380B1F6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1DC10977"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50,000</w:t>
            </w:r>
          </w:p>
        </w:tc>
        <w:tc>
          <w:tcPr>
            <w:tcW w:w="1118" w:type="dxa"/>
            <w:tcBorders>
              <w:top w:val="nil"/>
              <w:left w:val="nil"/>
              <w:bottom w:val="single" w:sz="4" w:space="0" w:color="auto"/>
              <w:right w:val="single" w:sz="4" w:space="0" w:color="auto"/>
            </w:tcBorders>
            <w:shd w:val="clear" w:color="auto" w:fill="auto"/>
            <w:vAlign w:val="bottom"/>
            <w:hideMark/>
          </w:tcPr>
          <w:p w14:paraId="1194D98C"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0</w:t>
            </w:r>
          </w:p>
        </w:tc>
        <w:tc>
          <w:tcPr>
            <w:tcW w:w="966" w:type="dxa"/>
            <w:tcBorders>
              <w:top w:val="nil"/>
              <w:left w:val="nil"/>
              <w:bottom w:val="single" w:sz="4" w:space="0" w:color="auto"/>
              <w:right w:val="single" w:sz="4" w:space="0" w:color="auto"/>
            </w:tcBorders>
            <w:shd w:val="clear" w:color="auto" w:fill="auto"/>
            <w:vAlign w:val="bottom"/>
            <w:hideMark/>
          </w:tcPr>
          <w:p w14:paraId="166A95FF"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w:t>
            </w:r>
            <w:proofErr w:type="gramStart"/>
            <w:r w:rsidRPr="000B5011">
              <w:rPr>
                <w:rFonts w:ascii="Calibri" w:eastAsia="Times New Roman" w:hAnsi="Calibri" w:cs="Times New Roman"/>
                <w:sz w:val="18"/>
                <w:szCs w:val="18"/>
              </w:rPr>
              <w:t xml:space="preserve">-   </w:t>
            </w:r>
            <w:proofErr w:type="gramEnd"/>
          </w:p>
        </w:tc>
      </w:tr>
      <w:tr w:rsidR="000B5011" w:rsidRPr="000B5011" w14:paraId="4DB233F1" w14:textId="77777777" w:rsidTr="000B5011">
        <w:trPr>
          <w:trHeight w:val="240"/>
        </w:trPr>
        <w:tc>
          <w:tcPr>
            <w:tcW w:w="1429" w:type="dxa"/>
            <w:tcBorders>
              <w:top w:val="nil"/>
              <w:left w:val="nil"/>
              <w:bottom w:val="nil"/>
              <w:right w:val="nil"/>
            </w:tcBorders>
            <w:shd w:val="clear" w:color="auto" w:fill="auto"/>
            <w:vAlign w:val="bottom"/>
            <w:hideMark/>
          </w:tcPr>
          <w:p w14:paraId="0013282D" w14:textId="77777777" w:rsidR="000B5011" w:rsidRPr="000B5011" w:rsidRDefault="000B5011" w:rsidP="000B5011">
            <w:pPr>
              <w:rPr>
                <w:rFonts w:ascii="Calibri" w:eastAsia="Times New Roman" w:hAnsi="Calibri" w:cs="Times New Roman"/>
                <w:sz w:val="18"/>
                <w:szCs w:val="18"/>
              </w:rPr>
            </w:pPr>
          </w:p>
        </w:tc>
        <w:tc>
          <w:tcPr>
            <w:tcW w:w="2050" w:type="dxa"/>
            <w:tcBorders>
              <w:top w:val="nil"/>
              <w:left w:val="nil"/>
              <w:bottom w:val="nil"/>
              <w:right w:val="nil"/>
            </w:tcBorders>
            <w:shd w:val="clear" w:color="auto" w:fill="auto"/>
            <w:vAlign w:val="bottom"/>
            <w:hideMark/>
          </w:tcPr>
          <w:p w14:paraId="79F8FEC4" w14:textId="77777777" w:rsidR="000B5011" w:rsidRPr="000B5011" w:rsidRDefault="000B5011" w:rsidP="000B5011">
            <w:pPr>
              <w:rPr>
                <w:rFonts w:ascii="Calibri" w:eastAsia="Times New Roman" w:hAnsi="Calibri" w:cs="Times New Roman"/>
                <w:sz w:val="18"/>
                <w:szCs w:val="18"/>
              </w:rPr>
            </w:pPr>
          </w:p>
        </w:tc>
        <w:tc>
          <w:tcPr>
            <w:tcW w:w="1417" w:type="dxa"/>
            <w:tcBorders>
              <w:top w:val="nil"/>
              <w:left w:val="nil"/>
              <w:bottom w:val="nil"/>
              <w:right w:val="nil"/>
            </w:tcBorders>
            <w:shd w:val="clear" w:color="auto" w:fill="auto"/>
            <w:vAlign w:val="bottom"/>
            <w:hideMark/>
          </w:tcPr>
          <w:p w14:paraId="60529CCA" w14:textId="77777777" w:rsidR="000B5011" w:rsidRPr="000B5011" w:rsidRDefault="000B5011" w:rsidP="000B5011">
            <w:pPr>
              <w:rPr>
                <w:rFonts w:ascii="Calibri" w:eastAsia="Times New Roman" w:hAnsi="Calibri" w:cs="Times New Roman"/>
                <w:sz w:val="18"/>
                <w:szCs w:val="18"/>
              </w:rPr>
            </w:pPr>
          </w:p>
        </w:tc>
        <w:tc>
          <w:tcPr>
            <w:tcW w:w="840" w:type="dxa"/>
            <w:tcBorders>
              <w:top w:val="nil"/>
              <w:left w:val="nil"/>
              <w:bottom w:val="nil"/>
              <w:right w:val="nil"/>
            </w:tcBorders>
            <w:shd w:val="clear" w:color="auto" w:fill="auto"/>
            <w:vAlign w:val="bottom"/>
            <w:hideMark/>
          </w:tcPr>
          <w:p w14:paraId="5C55D51C" w14:textId="77777777" w:rsidR="000B5011" w:rsidRPr="000B5011" w:rsidRDefault="000B5011" w:rsidP="000B5011">
            <w:pPr>
              <w:rPr>
                <w:rFonts w:ascii="Calibri" w:eastAsia="Times New Roman" w:hAnsi="Calibri" w:cs="Times New Roman"/>
                <w:sz w:val="18"/>
                <w:szCs w:val="18"/>
              </w:rPr>
            </w:pPr>
          </w:p>
        </w:tc>
        <w:tc>
          <w:tcPr>
            <w:tcW w:w="1151" w:type="dxa"/>
            <w:tcBorders>
              <w:top w:val="nil"/>
              <w:left w:val="single" w:sz="4" w:space="0" w:color="auto"/>
              <w:bottom w:val="single" w:sz="4" w:space="0" w:color="auto"/>
              <w:right w:val="single" w:sz="4" w:space="0" w:color="auto"/>
            </w:tcBorders>
            <w:shd w:val="clear" w:color="auto" w:fill="auto"/>
            <w:vAlign w:val="bottom"/>
            <w:hideMark/>
          </w:tcPr>
          <w:p w14:paraId="63DD8A4E" w14:textId="77777777" w:rsidR="000B5011" w:rsidRPr="000B5011" w:rsidRDefault="000B5011" w:rsidP="000B5011">
            <w:pPr>
              <w:jc w:val="right"/>
              <w:rPr>
                <w:rFonts w:ascii="Calibri" w:eastAsia="Times New Roman" w:hAnsi="Calibri" w:cs="Times New Roman"/>
                <w:b/>
                <w:bCs/>
                <w:sz w:val="18"/>
                <w:szCs w:val="18"/>
              </w:rPr>
            </w:pPr>
            <w:r w:rsidRPr="000B5011">
              <w:rPr>
                <w:rFonts w:ascii="Calibri" w:eastAsia="Times New Roman" w:hAnsi="Calibri" w:cs="Times New Roman"/>
                <w:b/>
                <w:bCs/>
                <w:sz w:val="18"/>
                <w:szCs w:val="18"/>
              </w:rPr>
              <w:t>5,204,824</w:t>
            </w:r>
          </w:p>
        </w:tc>
        <w:tc>
          <w:tcPr>
            <w:tcW w:w="1118" w:type="dxa"/>
            <w:tcBorders>
              <w:top w:val="nil"/>
              <w:left w:val="nil"/>
              <w:bottom w:val="single" w:sz="4" w:space="0" w:color="auto"/>
              <w:right w:val="single" w:sz="4" w:space="0" w:color="auto"/>
            </w:tcBorders>
            <w:shd w:val="clear" w:color="auto" w:fill="auto"/>
            <w:vAlign w:val="bottom"/>
            <w:hideMark/>
          </w:tcPr>
          <w:p w14:paraId="450FCB32" w14:textId="77777777" w:rsidR="000B5011" w:rsidRPr="000B5011" w:rsidRDefault="000B5011" w:rsidP="000B5011">
            <w:pPr>
              <w:jc w:val="right"/>
              <w:rPr>
                <w:rFonts w:ascii="Calibri" w:eastAsia="Times New Roman" w:hAnsi="Calibri" w:cs="Times New Roman"/>
                <w:b/>
                <w:bCs/>
                <w:sz w:val="18"/>
                <w:szCs w:val="18"/>
              </w:rPr>
            </w:pPr>
            <w:r w:rsidRPr="000B5011">
              <w:rPr>
                <w:rFonts w:ascii="Calibri" w:eastAsia="Times New Roman" w:hAnsi="Calibri" w:cs="Times New Roman"/>
                <w:b/>
                <w:bCs/>
                <w:sz w:val="18"/>
                <w:szCs w:val="18"/>
              </w:rPr>
              <w:t xml:space="preserve"> 641,272.00 </w:t>
            </w:r>
          </w:p>
        </w:tc>
        <w:tc>
          <w:tcPr>
            <w:tcW w:w="966" w:type="dxa"/>
            <w:tcBorders>
              <w:top w:val="nil"/>
              <w:left w:val="nil"/>
              <w:bottom w:val="single" w:sz="4" w:space="0" w:color="auto"/>
              <w:right w:val="single" w:sz="4" w:space="0" w:color="auto"/>
            </w:tcBorders>
            <w:shd w:val="clear" w:color="auto" w:fill="auto"/>
            <w:vAlign w:val="bottom"/>
            <w:hideMark/>
          </w:tcPr>
          <w:p w14:paraId="09F3167B" w14:textId="77777777" w:rsidR="000B5011" w:rsidRPr="000B5011" w:rsidRDefault="000B5011" w:rsidP="000B5011">
            <w:pPr>
              <w:jc w:val="right"/>
              <w:rPr>
                <w:rFonts w:ascii="Calibri" w:eastAsia="Times New Roman" w:hAnsi="Calibri" w:cs="Times New Roman"/>
                <w:b/>
                <w:bCs/>
                <w:sz w:val="18"/>
                <w:szCs w:val="18"/>
              </w:rPr>
            </w:pPr>
            <w:r w:rsidRPr="000B5011">
              <w:rPr>
                <w:rFonts w:ascii="Calibri" w:eastAsia="Times New Roman" w:hAnsi="Calibri" w:cs="Times New Roman"/>
                <w:b/>
                <w:bCs/>
                <w:sz w:val="18"/>
                <w:szCs w:val="18"/>
              </w:rPr>
              <w:t xml:space="preserve"> 12 </w:t>
            </w:r>
          </w:p>
        </w:tc>
      </w:tr>
      <w:tr w:rsidR="000B5011" w:rsidRPr="000B5011" w14:paraId="5CFACCF2" w14:textId="77777777" w:rsidTr="000B5011">
        <w:trPr>
          <w:trHeight w:val="900"/>
        </w:trPr>
        <w:tc>
          <w:tcPr>
            <w:tcW w:w="4896" w:type="dxa"/>
            <w:gridSpan w:val="3"/>
            <w:tcBorders>
              <w:top w:val="nil"/>
              <w:left w:val="nil"/>
              <w:bottom w:val="nil"/>
              <w:right w:val="nil"/>
            </w:tcBorders>
            <w:shd w:val="clear" w:color="auto" w:fill="auto"/>
            <w:vAlign w:val="bottom"/>
            <w:hideMark/>
          </w:tcPr>
          <w:p w14:paraId="584599EE" w14:textId="5A4762E7" w:rsidR="000B5011" w:rsidRPr="000B5011" w:rsidRDefault="000B5011" w:rsidP="000B5011">
            <w:pPr>
              <w:rPr>
                <w:rFonts w:ascii="Times New Roman" w:eastAsia="Times New Roman" w:hAnsi="Times New Roman" w:cs="Times New Roman"/>
              </w:rPr>
            </w:pPr>
            <w:r w:rsidRPr="000B5011">
              <w:rPr>
                <w:rFonts w:ascii="Times New Roman" w:eastAsia="Times New Roman" w:hAnsi="Times New Roman" w:cs="Times New Roman"/>
                <w:b/>
                <w:bCs/>
              </w:rPr>
              <w:t xml:space="preserve">Leveraged additional Co-finance </w:t>
            </w:r>
          </w:p>
        </w:tc>
        <w:tc>
          <w:tcPr>
            <w:tcW w:w="840" w:type="dxa"/>
            <w:tcBorders>
              <w:top w:val="nil"/>
              <w:left w:val="nil"/>
              <w:bottom w:val="nil"/>
              <w:right w:val="nil"/>
            </w:tcBorders>
            <w:shd w:val="clear" w:color="auto" w:fill="auto"/>
            <w:vAlign w:val="bottom"/>
            <w:hideMark/>
          </w:tcPr>
          <w:p w14:paraId="012F2897" w14:textId="77777777" w:rsidR="000B5011" w:rsidRPr="000B5011" w:rsidRDefault="000B5011" w:rsidP="000B5011">
            <w:pPr>
              <w:rPr>
                <w:rFonts w:ascii="Times New Roman" w:eastAsia="Times New Roman" w:hAnsi="Times New Roman" w:cs="Times New Roman"/>
              </w:rPr>
            </w:pPr>
          </w:p>
        </w:tc>
        <w:tc>
          <w:tcPr>
            <w:tcW w:w="1151" w:type="dxa"/>
            <w:tcBorders>
              <w:top w:val="nil"/>
              <w:left w:val="nil"/>
              <w:bottom w:val="nil"/>
              <w:right w:val="nil"/>
            </w:tcBorders>
            <w:shd w:val="clear" w:color="auto" w:fill="auto"/>
            <w:vAlign w:val="bottom"/>
            <w:hideMark/>
          </w:tcPr>
          <w:p w14:paraId="0934D644" w14:textId="77777777" w:rsidR="000B5011" w:rsidRPr="000B5011" w:rsidRDefault="000B5011" w:rsidP="000B5011">
            <w:pPr>
              <w:rPr>
                <w:rFonts w:ascii="Times New Roman" w:eastAsia="Times New Roman" w:hAnsi="Times New Roman" w:cs="Times New Roman"/>
                <w:i/>
                <w:iCs/>
              </w:rPr>
            </w:pPr>
          </w:p>
        </w:tc>
        <w:tc>
          <w:tcPr>
            <w:tcW w:w="1118" w:type="dxa"/>
            <w:tcBorders>
              <w:top w:val="nil"/>
              <w:left w:val="nil"/>
              <w:bottom w:val="nil"/>
              <w:right w:val="nil"/>
            </w:tcBorders>
            <w:shd w:val="clear" w:color="auto" w:fill="auto"/>
            <w:vAlign w:val="bottom"/>
            <w:hideMark/>
          </w:tcPr>
          <w:p w14:paraId="4B0CA507" w14:textId="77777777" w:rsidR="000B5011" w:rsidRPr="000B5011" w:rsidRDefault="000B5011" w:rsidP="000B5011">
            <w:pPr>
              <w:rPr>
                <w:rFonts w:ascii="Times New Roman" w:eastAsia="Times New Roman" w:hAnsi="Times New Roman" w:cs="Times New Roman"/>
              </w:rPr>
            </w:pPr>
          </w:p>
        </w:tc>
        <w:tc>
          <w:tcPr>
            <w:tcW w:w="966" w:type="dxa"/>
            <w:tcBorders>
              <w:top w:val="nil"/>
              <w:left w:val="nil"/>
              <w:bottom w:val="nil"/>
              <w:right w:val="nil"/>
            </w:tcBorders>
            <w:shd w:val="clear" w:color="auto" w:fill="auto"/>
            <w:vAlign w:val="bottom"/>
            <w:hideMark/>
          </w:tcPr>
          <w:p w14:paraId="3F23D6F8" w14:textId="77777777" w:rsidR="000B5011" w:rsidRPr="000B5011" w:rsidRDefault="000B5011" w:rsidP="000B5011">
            <w:pPr>
              <w:rPr>
                <w:rFonts w:ascii="Times New Roman" w:eastAsia="Times New Roman" w:hAnsi="Times New Roman" w:cs="Times New Roman"/>
              </w:rPr>
            </w:pPr>
          </w:p>
        </w:tc>
      </w:tr>
      <w:tr w:rsidR="000B5011" w:rsidRPr="000B5011" w14:paraId="5C67F86B" w14:textId="77777777" w:rsidTr="000B5011">
        <w:trPr>
          <w:trHeight w:val="720"/>
        </w:trPr>
        <w:tc>
          <w:tcPr>
            <w:tcW w:w="14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54C7D"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1a&amp;2b MENARID, gwater cop</w:t>
            </w:r>
          </w:p>
        </w:tc>
        <w:tc>
          <w:tcPr>
            <w:tcW w:w="2050" w:type="dxa"/>
            <w:tcBorders>
              <w:top w:val="single" w:sz="4" w:space="0" w:color="auto"/>
              <w:left w:val="nil"/>
              <w:bottom w:val="single" w:sz="4" w:space="0" w:color="auto"/>
              <w:right w:val="single" w:sz="4" w:space="0" w:color="auto"/>
            </w:tcBorders>
            <w:shd w:val="clear" w:color="auto" w:fill="auto"/>
            <w:vAlign w:val="bottom"/>
            <w:hideMark/>
          </w:tcPr>
          <w:p w14:paraId="26A4127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FAO</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7F64CB12"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single" w:sz="4" w:space="0" w:color="auto"/>
              <w:left w:val="nil"/>
              <w:bottom w:val="single" w:sz="4" w:space="0" w:color="auto"/>
              <w:right w:val="single" w:sz="4" w:space="0" w:color="auto"/>
            </w:tcBorders>
            <w:shd w:val="clear" w:color="auto" w:fill="auto"/>
            <w:vAlign w:val="bottom"/>
            <w:hideMark/>
          </w:tcPr>
          <w:p w14:paraId="58CF770F"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single" w:sz="4" w:space="0" w:color="auto"/>
              <w:left w:val="nil"/>
              <w:bottom w:val="single" w:sz="4" w:space="0" w:color="auto"/>
              <w:right w:val="single" w:sz="4" w:space="0" w:color="auto"/>
            </w:tcBorders>
            <w:shd w:val="clear" w:color="auto" w:fill="auto"/>
            <w:vAlign w:val="bottom"/>
            <w:hideMark/>
          </w:tcPr>
          <w:p w14:paraId="2A176EA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single" w:sz="4" w:space="0" w:color="auto"/>
              <w:left w:val="nil"/>
              <w:bottom w:val="single" w:sz="4" w:space="0" w:color="auto"/>
              <w:right w:val="single" w:sz="4" w:space="0" w:color="auto"/>
            </w:tcBorders>
            <w:shd w:val="clear" w:color="auto" w:fill="auto"/>
            <w:vAlign w:val="bottom"/>
            <w:hideMark/>
          </w:tcPr>
          <w:p w14:paraId="5FFD3F08"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5000</w:t>
            </w:r>
          </w:p>
        </w:tc>
        <w:tc>
          <w:tcPr>
            <w:tcW w:w="966" w:type="dxa"/>
            <w:tcBorders>
              <w:top w:val="nil"/>
              <w:left w:val="nil"/>
              <w:bottom w:val="nil"/>
              <w:right w:val="nil"/>
            </w:tcBorders>
            <w:shd w:val="clear" w:color="auto" w:fill="auto"/>
            <w:vAlign w:val="bottom"/>
            <w:hideMark/>
          </w:tcPr>
          <w:p w14:paraId="1167F67E" w14:textId="77777777" w:rsidR="000B5011" w:rsidRPr="000B5011" w:rsidRDefault="000B5011" w:rsidP="000B5011">
            <w:pPr>
              <w:rPr>
                <w:rFonts w:ascii="Calibri" w:eastAsia="Times New Roman" w:hAnsi="Calibri" w:cs="Times New Roman"/>
                <w:sz w:val="18"/>
                <w:szCs w:val="18"/>
              </w:rPr>
            </w:pPr>
          </w:p>
        </w:tc>
      </w:tr>
      <w:tr w:rsidR="000B5011" w:rsidRPr="000B5011" w14:paraId="22F2AFBA" w14:textId="77777777" w:rsidTr="000B5011">
        <w:trPr>
          <w:trHeight w:val="72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1BB2070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1a&amp;2b MENARID, gwater cop</w:t>
            </w:r>
          </w:p>
        </w:tc>
        <w:tc>
          <w:tcPr>
            <w:tcW w:w="2050" w:type="dxa"/>
            <w:tcBorders>
              <w:top w:val="nil"/>
              <w:left w:val="nil"/>
              <w:bottom w:val="single" w:sz="4" w:space="0" w:color="auto"/>
              <w:right w:val="single" w:sz="4" w:space="0" w:color="auto"/>
            </w:tcBorders>
            <w:shd w:val="clear" w:color="auto" w:fill="auto"/>
            <w:vAlign w:val="bottom"/>
            <w:hideMark/>
          </w:tcPr>
          <w:p w14:paraId="17C3549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ICARDA</w:t>
            </w:r>
          </w:p>
        </w:tc>
        <w:tc>
          <w:tcPr>
            <w:tcW w:w="1417" w:type="dxa"/>
            <w:tcBorders>
              <w:top w:val="nil"/>
              <w:left w:val="nil"/>
              <w:bottom w:val="single" w:sz="4" w:space="0" w:color="auto"/>
              <w:right w:val="single" w:sz="4" w:space="0" w:color="auto"/>
            </w:tcBorders>
            <w:shd w:val="clear" w:color="auto" w:fill="auto"/>
            <w:vAlign w:val="bottom"/>
            <w:hideMark/>
          </w:tcPr>
          <w:p w14:paraId="3B9099D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nil"/>
              <w:left w:val="nil"/>
              <w:bottom w:val="single" w:sz="4" w:space="0" w:color="auto"/>
              <w:right w:val="single" w:sz="4" w:space="0" w:color="auto"/>
            </w:tcBorders>
            <w:shd w:val="clear" w:color="auto" w:fill="auto"/>
            <w:vAlign w:val="bottom"/>
            <w:hideMark/>
          </w:tcPr>
          <w:p w14:paraId="356AB269"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594B2FC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34759427"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15000</w:t>
            </w:r>
          </w:p>
        </w:tc>
        <w:tc>
          <w:tcPr>
            <w:tcW w:w="966" w:type="dxa"/>
            <w:tcBorders>
              <w:top w:val="nil"/>
              <w:left w:val="nil"/>
              <w:bottom w:val="nil"/>
              <w:right w:val="nil"/>
            </w:tcBorders>
            <w:shd w:val="clear" w:color="auto" w:fill="auto"/>
            <w:vAlign w:val="bottom"/>
            <w:hideMark/>
          </w:tcPr>
          <w:p w14:paraId="1DC17D5A" w14:textId="77777777" w:rsidR="000B5011" w:rsidRPr="000B5011" w:rsidRDefault="000B5011" w:rsidP="000B5011">
            <w:pPr>
              <w:rPr>
                <w:rFonts w:ascii="Calibri" w:eastAsia="Times New Roman" w:hAnsi="Calibri" w:cs="Times New Roman"/>
                <w:sz w:val="18"/>
                <w:szCs w:val="18"/>
              </w:rPr>
            </w:pPr>
          </w:p>
        </w:tc>
      </w:tr>
      <w:tr w:rsidR="000B5011" w:rsidRPr="000B5011" w14:paraId="53606A3E"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534C37B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1b Med Dialogue</w:t>
            </w:r>
          </w:p>
        </w:tc>
        <w:tc>
          <w:tcPr>
            <w:tcW w:w="2050" w:type="dxa"/>
            <w:tcBorders>
              <w:top w:val="nil"/>
              <w:left w:val="nil"/>
              <w:bottom w:val="single" w:sz="4" w:space="0" w:color="auto"/>
              <w:right w:val="single" w:sz="4" w:space="0" w:color="auto"/>
            </w:tcBorders>
            <w:shd w:val="clear" w:color="auto" w:fill="auto"/>
            <w:vAlign w:val="bottom"/>
            <w:hideMark/>
          </w:tcPr>
          <w:p w14:paraId="2E02CD83"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German Ministry of Environment</w:t>
            </w:r>
          </w:p>
        </w:tc>
        <w:tc>
          <w:tcPr>
            <w:tcW w:w="1417" w:type="dxa"/>
            <w:tcBorders>
              <w:top w:val="nil"/>
              <w:left w:val="nil"/>
              <w:bottom w:val="single" w:sz="4" w:space="0" w:color="auto"/>
              <w:right w:val="single" w:sz="4" w:space="0" w:color="auto"/>
            </w:tcBorders>
            <w:shd w:val="clear" w:color="auto" w:fill="auto"/>
            <w:vAlign w:val="bottom"/>
            <w:hideMark/>
          </w:tcPr>
          <w:p w14:paraId="3C92E67E"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Nat’l Gov’t</w:t>
            </w:r>
          </w:p>
        </w:tc>
        <w:tc>
          <w:tcPr>
            <w:tcW w:w="840" w:type="dxa"/>
            <w:tcBorders>
              <w:top w:val="nil"/>
              <w:left w:val="nil"/>
              <w:bottom w:val="single" w:sz="4" w:space="0" w:color="auto"/>
              <w:right w:val="single" w:sz="4" w:space="0" w:color="auto"/>
            </w:tcBorders>
            <w:shd w:val="clear" w:color="auto" w:fill="auto"/>
            <w:vAlign w:val="bottom"/>
            <w:hideMark/>
          </w:tcPr>
          <w:p w14:paraId="6AA149AF"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Grant</w:t>
            </w:r>
          </w:p>
        </w:tc>
        <w:tc>
          <w:tcPr>
            <w:tcW w:w="1151" w:type="dxa"/>
            <w:tcBorders>
              <w:top w:val="nil"/>
              <w:left w:val="nil"/>
              <w:bottom w:val="single" w:sz="4" w:space="0" w:color="auto"/>
              <w:right w:val="single" w:sz="4" w:space="0" w:color="auto"/>
            </w:tcBorders>
            <w:shd w:val="clear" w:color="auto" w:fill="auto"/>
            <w:vAlign w:val="bottom"/>
            <w:hideMark/>
          </w:tcPr>
          <w:p w14:paraId="4894BD9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0D39AC0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59853</w:t>
            </w:r>
          </w:p>
        </w:tc>
        <w:tc>
          <w:tcPr>
            <w:tcW w:w="966" w:type="dxa"/>
            <w:tcBorders>
              <w:top w:val="nil"/>
              <w:left w:val="nil"/>
              <w:bottom w:val="nil"/>
              <w:right w:val="nil"/>
            </w:tcBorders>
            <w:shd w:val="clear" w:color="auto" w:fill="auto"/>
            <w:vAlign w:val="bottom"/>
            <w:hideMark/>
          </w:tcPr>
          <w:p w14:paraId="7889A3DE" w14:textId="77777777" w:rsidR="000B5011" w:rsidRPr="000B5011" w:rsidRDefault="000B5011" w:rsidP="000B5011">
            <w:pPr>
              <w:rPr>
                <w:rFonts w:ascii="Calibri" w:eastAsia="Times New Roman" w:hAnsi="Calibri" w:cs="Times New Roman"/>
                <w:sz w:val="18"/>
                <w:szCs w:val="18"/>
              </w:rPr>
            </w:pPr>
          </w:p>
        </w:tc>
      </w:tr>
      <w:tr w:rsidR="000B5011" w:rsidRPr="000B5011" w14:paraId="645F5D46"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34D8AA42"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1b Med Dialogue</w:t>
            </w:r>
          </w:p>
        </w:tc>
        <w:tc>
          <w:tcPr>
            <w:tcW w:w="2050" w:type="dxa"/>
            <w:tcBorders>
              <w:top w:val="nil"/>
              <w:left w:val="nil"/>
              <w:bottom w:val="single" w:sz="4" w:space="0" w:color="auto"/>
              <w:right w:val="single" w:sz="4" w:space="0" w:color="auto"/>
            </w:tcBorders>
            <w:shd w:val="clear" w:color="auto" w:fill="auto"/>
            <w:vAlign w:val="bottom"/>
            <w:hideMark/>
          </w:tcPr>
          <w:p w14:paraId="770888B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Horizon 2020 Capacity Building/MEP</w:t>
            </w:r>
          </w:p>
        </w:tc>
        <w:tc>
          <w:tcPr>
            <w:tcW w:w="1417" w:type="dxa"/>
            <w:tcBorders>
              <w:top w:val="nil"/>
              <w:left w:val="nil"/>
              <w:bottom w:val="single" w:sz="4" w:space="0" w:color="auto"/>
              <w:right w:val="single" w:sz="4" w:space="0" w:color="auto"/>
            </w:tcBorders>
            <w:shd w:val="clear" w:color="auto" w:fill="auto"/>
            <w:vAlign w:val="bottom"/>
            <w:hideMark/>
          </w:tcPr>
          <w:p w14:paraId="1D725736"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NGO</w:t>
            </w:r>
          </w:p>
        </w:tc>
        <w:tc>
          <w:tcPr>
            <w:tcW w:w="840" w:type="dxa"/>
            <w:tcBorders>
              <w:top w:val="nil"/>
              <w:left w:val="nil"/>
              <w:bottom w:val="single" w:sz="4" w:space="0" w:color="auto"/>
              <w:right w:val="single" w:sz="4" w:space="0" w:color="auto"/>
            </w:tcBorders>
            <w:shd w:val="clear" w:color="auto" w:fill="auto"/>
            <w:vAlign w:val="bottom"/>
            <w:hideMark/>
          </w:tcPr>
          <w:p w14:paraId="46886E09"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Grant</w:t>
            </w:r>
          </w:p>
        </w:tc>
        <w:tc>
          <w:tcPr>
            <w:tcW w:w="1151" w:type="dxa"/>
            <w:tcBorders>
              <w:top w:val="nil"/>
              <w:left w:val="nil"/>
              <w:bottom w:val="single" w:sz="4" w:space="0" w:color="auto"/>
              <w:right w:val="single" w:sz="4" w:space="0" w:color="auto"/>
            </w:tcBorders>
            <w:shd w:val="clear" w:color="auto" w:fill="auto"/>
            <w:vAlign w:val="bottom"/>
            <w:hideMark/>
          </w:tcPr>
          <w:p w14:paraId="7AF22AAE"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375C4621"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10416</w:t>
            </w:r>
          </w:p>
        </w:tc>
        <w:tc>
          <w:tcPr>
            <w:tcW w:w="966" w:type="dxa"/>
            <w:tcBorders>
              <w:top w:val="nil"/>
              <w:left w:val="nil"/>
              <w:bottom w:val="nil"/>
              <w:right w:val="nil"/>
            </w:tcBorders>
            <w:shd w:val="clear" w:color="auto" w:fill="auto"/>
            <w:vAlign w:val="bottom"/>
            <w:hideMark/>
          </w:tcPr>
          <w:p w14:paraId="69FB2FA3" w14:textId="77777777" w:rsidR="000B5011" w:rsidRPr="000B5011" w:rsidRDefault="000B5011" w:rsidP="000B5011">
            <w:pPr>
              <w:rPr>
                <w:rFonts w:ascii="Calibri" w:eastAsia="Times New Roman" w:hAnsi="Calibri" w:cs="Times New Roman"/>
                <w:sz w:val="18"/>
                <w:szCs w:val="18"/>
              </w:rPr>
            </w:pPr>
          </w:p>
        </w:tc>
      </w:tr>
      <w:tr w:rsidR="000B5011" w:rsidRPr="000B5011" w14:paraId="1A76D08A"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398A3733"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1b Med Dialogue</w:t>
            </w:r>
          </w:p>
        </w:tc>
        <w:tc>
          <w:tcPr>
            <w:tcW w:w="2050" w:type="dxa"/>
            <w:tcBorders>
              <w:top w:val="nil"/>
              <w:left w:val="nil"/>
              <w:bottom w:val="single" w:sz="4" w:space="0" w:color="auto"/>
              <w:right w:val="single" w:sz="4" w:space="0" w:color="auto"/>
            </w:tcBorders>
            <w:shd w:val="clear" w:color="auto" w:fill="auto"/>
            <w:vAlign w:val="bottom"/>
            <w:hideMark/>
          </w:tcPr>
          <w:p w14:paraId="0674612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UNESCO</w:t>
            </w:r>
          </w:p>
        </w:tc>
        <w:tc>
          <w:tcPr>
            <w:tcW w:w="1417" w:type="dxa"/>
            <w:tcBorders>
              <w:top w:val="nil"/>
              <w:left w:val="nil"/>
              <w:bottom w:val="single" w:sz="4" w:space="0" w:color="auto"/>
              <w:right w:val="single" w:sz="4" w:space="0" w:color="auto"/>
            </w:tcBorders>
            <w:shd w:val="clear" w:color="auto" w:fill="auto"/>
            <w:vAlign w:val="bottom"/>
            <w:hideMark/>
          </w:tcPr>
          <w:p w14:paraId="39C0669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nil"/>
              <w:left w:val="nil"/>
              <w:bottom w:val="single" w:sz="4" w:space="0" w:color="auto"/>
              <w:right w:val="single" w:sz="4" w:space="0" w:color="auto"/>
            </w:tcBorders>
            <w:shd w:val="clear" w:color="auto" w:fill="auto"/>
            <w:vAlign w:val="bottom"/>
            <w:hideMark/>
          </w:tcPr>
          <w:p w14:paraId="252CA2FF"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Grant</w:t>
            </w:r>
          </w:p>
        </w:tc>
        <w:tc>
          <w:tcPr>
            <w:tcW w:w="1151" w:type="dxa"/>
            <w:tcBorders>
              <w:top w:val="nil"/>
              <w:left w:val="nil"/>
              <w:bottom w:val="single" w:sz="4" w:space="0" w:color="auto"/>
              <w:right w:val="single" w:sz="4" w:space="0" w:color="auto"/>
            </w:tcBorders>
            <w:shd w:val="clear" w:color="auto" w:fill="auto"/>
            <w:vAlign w:val="bottom"/>
            <w:hideMark/>
          </w:tcPr>
          <w:p w14:paraId="3C75D8F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10107A42"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15461</w:t>
            </w:r>
          </w:p>
        </w:tc>
        <w:tc>
          <w:tcPr>
            <w:tcW w:w="966" w:type="dxa"/>
            <w:tcBorders>
              <w:top w:val="nil"/>
              <w:left w:val="nil"/>
              <w:bottom w:val="nil"/>
              <w:right w:val="nil"/>
            </w:tcBorders>
            <w:shd w:val="clear" w:color="auto" w:fill="auto"/>
            <w:vAlign w:val="bottom"/>
            <w:hideMark/>
          </w:tcPr>
          <w:p w14:paraId="632EEE3F" w14:textId="77777777" w:rsidR="000B5011" w:rsidRPr="000B5011" w:rsidRDefault="000B5011" w:rsidP="000B5011">
            <w:pPr>
              <w:rPr>
                <w:rFonts w:ascii="Calibri" w:eastAsia="Times New Roman" w:hAnsi="Calibri" w:cs="Times New Roman"/>
                <w:sz w:val="18"/>
                <w:szCs w:val="18"/>
              </w:rPr>
            </w:pPr>
          </w:p>
        </w:tc>
      </w:tr>
      <w:tr w:rsidR="000B5011" w:rsidRPr="000B5011" w14:paraId="609250BE"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5B2AF5F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1b Med Dialogue</w:t>
            </w:r>
          </w:p>
        </w:tc>
        <w:tc>
          <w:tcPr>
            <w:tcW w:w="2050" w:type="dxa"/>
            <w:tcBorders>
              <w:top w:val="nil"/>
              <w:left w:val="nil"/>
              <w:bottom w:val="single" w:sz="4" w:space="0" w:color="auto"/>
              <w:right w:val="single" w:sz="4" w:space="0" w:color="auto"/>
            </w:tcBorders>
            <w:shd w:val="clear" w:color="auto" w:fill="auto"/>
            <w:vAlign w:val="bottom"/>
            <w:hideMark/>
          </w:tcPr>
          <w:p w14:paraId="1A2A77D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Union for the Mediterranean</w:t>
            </w:r>
          </w:p>
        </w:tc>
        <w:tc>
          <w:tcPr>
            <w:tcW w:w="1417" w:type="dxa"/>
            <w:tcBorders>
              <w:top w:val="nil"/>
              <w:left w:val="nil"/>
              <w:bottom w:val="single" w:sz="4" w:space="0" w:color="auto"/>
              <w:right w:val="single" w:sz="4" w:space="0" w:color="auto"/>
            </w:tcBorders>
            <w:shd w:val="clear" w:color="auto" w:fill="auto"/>
            <w:vAlign w:val="bottom"/>
            <w:hideMark/>
          </w:tcPr>
          <w:p w14:paraId="6A446A0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nil"/>
              <w:left w:val="nil"/>
              <w:bottom w:val="single" w:sz="4" w:space="0" w:color="auto"/>
              <w:right w:val="single" w:sz="4" w:space="0" w:color="auto"/>
            </w:tcBorders>
            <w:shd w:val="clear" w:color="auto" w:fill="auto"/>
            <w:vAlign w:val="bottom"/>
            <w:hideMark/>
          </w:tcPr>
          <w:p w14:paraId="5DA3FF6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Cash</w:t>
            </w:r>
          </w:p>
        </w:tc>
        <w:tc>
          <w:tcPr>
            <w:tcW w:w="1151" w:type="dxa"/>
            <w:tcBorders>
              <w:top w:val="nil"/>
              <w:left w:val="nil"/>
              <w:bottom w:val="single" w:sz="4" w:space="0" w:color="auto"/>
              <w:right w:val="single" w:sz="4" w:space="0" w:color="auto"/>
            </w:tcBorders>
            <w:shd w:val="clear" w:color="auto" w:fill="auto"/>
            <w:vAlign w:val="bottom"/>
            <w:hideMark/>
          </w:tcPr>
          <w:p w14:paraId="778A1E7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08BF5B01"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11180</w:t>
            </w:r>
          </w:p>
        </w:tc>
        <w:tc>
          <w:tcPr>
            <w:tcW w:w="966" w:type="dxa"/>
            <w:tcBorders>
              <w:top w:val="nil"/>
              <w:left w:val="nil"/>
              <w:bottom w:val="nil"/>
              <w:right w:val="nil"/>
            </w:tcBorders>
            <w:shd w:val="clear" w:color="auto" w:fill="auto"/>
            <w:vAlign w:val="bottom"/>
            <w:hideMark/>
          </w:tcPr>
          <w:p w14:paraId="3012E971" w14:textId="77777777" w:rsidR="000B5011" w:rsidRPr="000B5011" w:rsidRDefault="000B5011" w:rsidP="000B5011">
            <w:pPr>
              <w:rPr>
                <w:rFonts w:ascii="Calibri" w:eastAsia="Times New Roman" w:hAnsi="Calibri" w:cs="Times New Roman"/>
                <w:sz w:val="18"/>
                <w:szCs w:val="18"/>
              </w:rPr>
            </w:pPr>
          </w:p>
        </w:tc>
      </w:tr>
      <w:tr w:rsidR="000B5011" w:rsidRPr="000B5011" w14:paraId="01F51177"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683067CE"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1c Regional</w:t>
            </w:r>
          </w:p>
        </w:tc>
        <w:tc>
          <w:tcPr>
            <w:tcW w:w="2050" w:type="dxa"/>
            <w:tcBorders>
              <w:top w:val="nil"/>
              <w:left w:val="nil"/>
              <w:bottom w:val="single" w:sz="4" w:space="0" w:color="auto"/>
              <w:right w:val="single" w:sz="4" w:space="0" w:color="auto"/>
            </w:tcBorders>
            <w:shd w:val="clear" w:color="auto" w:fill="auto"/>
            <w:vAlign w:val="bottom"/>
            <w:hideMark/>
          </w:tcPr>
          <w:p w14:paraId="240B416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Rhodes University</w:t>
            </w:r>
          </w:p>
        </w:tc>
        <w:tc>
          <w:tcPr>
            <w:tcW w:w="1417" w:type="dxa"/>
            <w:tcBorders>
              <w:top w:val="nil"/>
              <w:left w:val="nil"/>
              <w:bottom w:val="single" w:sz="4" w:space="0" w:color="auto"/>
              <w:right w:val="single" w:sz="4" w:space="0" w:color="auto"/>
            </w:tcBorders>
            <w:shd w:val="clear" w:color="auto" w:fill="auto"/>
            <w:vAlign w:val="bottom"/>
            <w:hideMark/>
          </w:tcPr>
          <w:p w14:paraId="5ED9A22D"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NGO</w:t>
            </w:r>
          </w:p>
        </w:tc>
        <w:tc>
          <w:tcPr>
            <w:tcW w:w="840" w:type="dxa"/>
            <w:tcBorders>
              <w:top w:val="nil"/>
              <w:left w:val="nil"/>
              <w:bottom w:val="single" w:sz="4" w:space="0" w:color="auto"/>
              <w:right w:val="single" w:sz="4" w:space="0" w:color="auto"/>
            </w:tcBorders>
            <w:shd w:val="clear" w:color="auto" w:fill="auto"/>
            <w:vAlign w:val="bottom"/>
            <w:hideMark/>
          </w:tcPr>
          <w:p w14:paraId="5E2F7F4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5F33767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5455076D"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5719</w:t>
            </w:r>
          </w:p>
        </w:tc>
        <w:tc>
          <w:tcPr>
            <w:tcW w:w="966" w:type="dxa"/>
            <w:tcBorders>
              <w:top w:val="nil"/>
              <w:left w:val="nil"/>
              <w:bottom w:val="nil"/>
              <w:right w:val="nil"/>
            </w:tcBorders>
            <w:shd w:val="clear" w:color="auto" w:fill="auto"/>
            <w:vAlign w:val="bottom"/>
            <w:hideMark/>
          </w:tcPr>
          <w:p w14:paraId="5D0ACA05" w14:textId="77777777" w:rsidR="000B5011" w:rsidRPr="000B5011" w:rsidRDefault="000B5011" w:rsidP="000B5011">
            <w:pPr>
              <w:rPr>
                <w:rFonts w:ascii="Calibri" w:eastAsia="Times New Roman" w:hAnsi="Calibri" w:cs="Times New Roman"/>
                <w:sz w:val="18"/>
                <w:szCs w:val="18"/>
              </w:rPr>
            </w:pPr>
          </w:p>
        </w:tc>
      </w:tr>
      <w:tr w:rsidR="000B5011" w:rsidRPr="000B5011" w14:paraId="37163C87"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31ABA812"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1c Regional</w:t>
            </w:r>
          </w:p>
        </w:tc>
        <w:tc>
          <w:tcPr>
            <w:tcW w:w="2050" w:type="dxa"/>
            <w:tcBorders>
              <w:top w:val="nil"/>
              <w:left w:val="nil"/>
              <w:bottom w:val="single" w:sz="4" w:space="0" w:color="auto"/>
              <w:right w:val="single" w:sz="4" w:space="0" w:color="auto"/>
            </w:tcBorders>
            <w:shd w:val="clear" w:color="auto" w:fill="auto"/>
            <w:vAlign w:val="bottom"/>
            <w:hideMark/>
          </w:tcPr>
          <w:p w14:paraId="215B89F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UNECA</w:t>
            </w:r>
          </w:p>
        </w:tc>
        <w:tc>
          <w:tcPr>
            <w:tcW w:w="1417" w:type="dxa"/>
            <w:tcBorders>
              <w:top w:val="nil"/>
              <w:left w:val="nil"/>
              <w:bottom w:val="single" w:sz="4" w:space="0" w:color="auto"/>
              <w:right w:val="single" w:sz="4" w:space="0" w:color="auto"/>
            </w:tcBorders>
            <w:shd w:val="clear" w:color="auto" w:fill="auto"/>
            <w:vAlign w:val="bottom"/>
            <w:hideMark/>
          </w:tcPr>
          <w:p w14:paraId="4FC8A7E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14:paraId="5FDDA38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54D759BE"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649AB6D9"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12000</w:t>
            </w:r>
          </w:p>
        </w:tc>
        <w:tc>
          <w:tcPr>
            <w:tcW w:w="966" w:type="dxa"/>
            <w:tcBorders>
              <w:top w:val="nil"/>
              <w:left w:val="nil"/>
              <w:bottom w:val="nil"/>
              <w:right w:val="nil"/>
            </w:tcBorders>
            <w:shd w:val="clear" w:color="auto" w:fill="auto"/>
            <w:vAlign w:val="bottom"/>
            <w:hideMark/>
          </w:tcPr>
          <w:p w14:paraId="1E658118" w14:textId="77777777" w:rsidR="000B5011" w:rsidRPr="000B5011" w:rsidRDefault="000B5011" w:rsidP="000B5011">
            <w:pPr>
              <w:rPr>
                <w:rFonts w:ascii="Calibri" w:eastAsia="Times New Roman" w:hAnsi="Calibri" w:cs="Times New Roman"/>
                <w:sz w:val="18"/>
                <w:szCs w:val="18"/>
              </w:rPr>
            </w:pPr>
          </w:p>
        </w:tc>
      </w:tr>
      <w:tr w:rsidR="000B5011" w:rsidRPr="000B5011" w14:paraId="7C24B79D"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6B1CD37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1c Regional</w:t>
            </w:r>
          </w:p>
        </w:tc>
        <w:tc>
          <w:tcPr>
            <w:tcW w:w="2050" w:type="dxa"/>
            <w:tcBorders>
              <w:top w:val="nil"/>
              <w:left w:val="nil"/>
              <w:bottom w:val="single" w:sz="4" w:space="0" w:color="auto"/>
              <w:right w:val="single" w:sz="4" w:space="0" w:color="auto"/>
            </w:tcBorders>
            <w:shd w:val="clear" w:color="auto" w:fill="auto"/>
            <w:vAlign w:val="bottom"/>
            <w:hideMark/>
          </w:tcPr>
          <w:p w14:paraId="4BE986E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FAO</w:t>
            </w:r>
          </w:p>
        </w:tc>
        <w:tc>
          <w:tcPr>
            <w:tcW w:w="1417" w:type="dxa"/>
            <w:tcBorders>
              <w:top w:val="nil"/>
              <w:left w:val="nil"/>
              <w:bottom w:val="single" w:sz="4" w:space="0" w:color="auto"/>
              <w:right w:val="single" w:sz="4" w:space="0" w:color="auto"/>
            </w:tcBorders>
            <w:shd w:val="clear" w:color="auto" w:fill="auto"/>
            <w:vAlign w:val="bottom"/>
            <w:hideMark/>
          </w:tcPr>
          <w:p w14:paraId="58E9EDF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14:paraId="215AFB9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3A72A80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5BA5A62E"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6438</w:t>
            </w:r>
          </w:p>
        </w:tc>
        <w:tc>
          <w:tcPr>
            <w:tcW w:w="966" w:type="dxa"/>
            <w:tcBorders>
              <w:top w:val="nil"/>
              <w:left w:val="nil"/>
              <w:bottom w:val="nil"/>
              <w:right w:val="nil"/>
            </w:tcBorders>
            <w:shd w:val="clear" w:color="auto" w:fill="auto"/>
            <w:vAlign w:val="bottom"/>
            <w:hideMark/>
          </w:tcPr>
          <w:p w14:paraId="7CE51A09" w14:textId="77777777" w:rsidR="000B5011" w:rsidRPr="000B5011" w:rsidRDefault="000B5011" w:rsidP="000B5011">
            <w:pPr>
              <w:rPr>
                <w:rFonts w:ascii="Calibri" w:eastAsia="Times New Roman" w:hAnsi="Calibri" w:cs="Times New Roman"/>
                <w:sz w:val="18"/>
                <w:szCs w:val="18"/>
              </w:rPr>
            </w:pPr>
          </w:p>
        </w:tc>
      </w:tr>
      <w:tr w:rsidR="000B5011" w:rsidRPr="000B5011" w14:paraId="573C9BB5"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27A4F50D"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1c Regional</w:t>
            </w:r>
          </w:p>
        </w:tc>
        <w:tc>
          <w:tcPr>
            <w:tcW w:w="2050" w:type="dxa"/>
            <w:tcBorders>
              <w:top w:val="nil"/>
              <w:left w:val="nil"/>
              <w:bottom w:val="single" w:sz="4" w:space="0" w:color="auto"/>
              <w:right w:val="single" w:sz="4" w:space="0" w:color="auto"/>
            </w:tcBorders>
            <w:shd w:val="clear" w:color="auto" w:fill="auto"/>
            <w:vAlign w:val="bottom"/>
            <w:hideMark/>
          </w:tcPr>
          <w:p w14:paraId="7E59C6A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UNEP COBSEA (SIDA)</w:t>
            </w:r>
          </w:p>
        </w:tc>
        <w:tc>
          <w:tcPr>
            <w:tcW w:w="1417" w:type="dxa"/>
            <w:tcBorders>
              <w:top w:val="nil"/>
              <w:left w:val="nil"/>
              <w:bottom w:val="single" w:sz="4" w:space="0" w:color="auto"/>
              <w:right w:val="single" w:sz="4" w:space="0" w:color="auto"/>
            </w:tcBorders>
            <w:shd w:val="clear" w:color="auto" w:fill="auto"/>
            <w:vAlign w:val="bottom"/>
            <w:hideMark/>
          </w:tcPr>
          <w:p w14:paraId="55276AE2"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Impl. Agency</w:t>
            </w:r>
          </w:p>
        </w:tc>
        <w:tc>
          <w:tcPr>
            <w:tcW w:w="840" w:type="dxa"/>
            <w:tcBorders>
              <w:top w:val="nil"/>
              <w:left w:val="nil"/>
              <w:bottom w:val="single" w:sz="4" w:space="0" w:color="auto"/>
              <w:right w:val="single" w:sz="4" w:space="0" w:color="auto"/>
            </w:tcBorders>
            <w:shd w:val="clear" w:color="auto" w:fill="auto"/>
            <w:vAlign w:val="bottom"/>
            <w:hideMark/>
          </w:tcPr>
          <w:p w14:paraId="643C352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Cash</w:t>
            </w:r>
          </w:p>
        </w:tc>
        <w:tc>
          <w:tcPr>
            <w:tcW w:w="1151" w:type="dxa"/>
            <w:tcBorders>
              <w:top w:val="nil"/>
              <w:left w:val="nil"/>
              <w:bottom w:val="single" w:sz="4" w:space="0" w:color="auto"/>
              <w:right w:val="single" w:sz="4" w:space="0" w:color="auto"/>
            </w:tcBorders>
            <w:shd w:val="clear" w:color="auto" w:fill="auto"/>
            <w:vAlign w:val="bottom"/>
            <w:hideMark/>
          </w:tcPr>
          <w:p w14:paraId="74CFAC7F"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5E197F18"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1189.51</w:t>
            </w:r>
          </w:p>
        </w:tc>
        <w:tc>
          <w:tcPr>
            <w:tcW w:w="966" w:type="dxa"/>
            <w:tcBorders>
              <w:top w:val="nil"/>
              <w:left w:val="nil"/>
              <w:bottom w:val="nil"/>
              <w:right w:val="nil"/>
            </w:tcBorders>
            <w:shd w:val="clear" w:color="auto" w:fill="auto"/>
            <w:vAlign w:val="bottom"/>
            <w:hideMark/>
          </w:tcPr>
          <w:p w14:paraId="132D9868" w14:textId="77777777" w:rsidR="000B5011" w:rsidRPr="000B5011" w:rsidRDefault="000B5011" w:rsidP="000B5011">
            <w:pPr>
              <w:rPr>
                <w:rFonts w:ascii="Calibri" w:eastAsia="Times New Roman" w:hAnsi="Calibri" w:cs="Times New Roman"/>
                <w:sz w:val="18"/>
                <w:szCs w:val="18"/>
              </w:rPr>
            </w:pPr>
          </w:p>
        </w:tc>
      </w:tr>
      <w:tr w:rsidR="000B5011" w:rsidRPr="000B5011" w14:paraId="5E32A907"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4B2E44FF"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1c Regional</w:t>
            </w:r>
          </w:p>
        </w:tc>
        <w:tc>
          <w:tcPr>
            <w:tcW w:w="2050" w:type="dxa"/>
            <w:tcBorders>
              <w:top w:val="nil"/>
              <w:left w:val="nil"/>
              <w:bottom w:val="single" w:sz="4" w:space="0" w:color="auto"/>
              <w:right w:val="single" w:sz="4" w:space="0" w:color="auto"/>
            </w:tcBorders>
            <w:shd w:val="clear" w:color="auto" w:fill="auto"/>
            <w:vAlign w:val="bottom"/>
            <w:hideMark/>
          </w:tcPr>
          <w:p w14:paraId="4919C719"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UNECE</w:t>
            </w:r>
          </w:p>
        </w:tc>
        <w:tc>
          <w:tcPr>
            <w:tcW w:w="1417" w:type="dxa"/>
            <w:tcBorders>
              <w:top w:val="nil"/>
              <w:left w:val="nil"/>
              <w:bottom w:val="single" w:sz="4" w:space="0" w:color="auto"/>
              <w:right w:val="single" w:sz="4" w:space="0" w:color="auto"/>
            </w:tcBorders>
            <w:shd w:val="clear" w:color="auto" w:fill="auto"/>
            <w:vAlign w:val="bottom"/>
            <w:hideMark/>
          </w:tcPr>
          <w:p w14:paraId="7CF7E976"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14:paraId="4DC45CD6"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012A591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50A83E37"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13500</w:t>
            </w:r>
          </w:p>
        </w:tc>
        <w:tc>
          <w:tcPr>
            <w:tcW w:w="966" w:type="dxa"/>
            <w:tcBorders>
              <w:top w:val="nil"/>
              <w:left w:val="nil"/>
              <w:bottom w:val="nil"/>
              <w:right w:val="nil"/>
            </w:tcBorders>
            <w:shd w:val="clear" w:color="auto" w:fill="auto"/>
            <w:vAlign w:val="bottom"/>
            <w:hideMark/>
          </w:tcPr>
          <w:p w14:paraId="616797AD" w14:textId="77777777" w:rsidR="000B5011" w:rsidRPr="000B5011" w:rsidRDefault="000B5011" w:rsidP="000B5011">
            <w:pPr>
              <w:rPr>
                <w:rFonts w:ascii="Calibri" w:eastAsia="Times New Roman" w:hAnsi="Calibri" w:cs="Times New Roman"/>
                <w:sz w:val="18"/>
                <w:szCs w:val="18"/>
              </w:rPr>
            </w:pPr>
          </w:p>
        </w:tc>
      </w:tr>
      <w:tr w:rsidR="000B5011" w:rsidRPr="000B5011" w14:paraId="7808015C"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588B61EF"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3a IWC6</w:t>
            </w:r>
          </w:p>
        </w:tc>
        <w:tc>
          <w:tcPr>
            <w:tcW w:w="2050" w:type="dxa"/>
            <w:tcBorders>
              <w:top w:val="nil"/>
              <w:left w:val="nil"/>
              <w:bottom w:val="single" w:sz="4" w:space="0" w:color="auto"/>
              <w:right w:val="single" w:sz="4" w:space="0" w:color="auto"/>
            </w:tcBorders>
            <w:shd w:val="clear" w:color="auto" w:fill="auto"/>
            <w:vAlign w:val="bottom"/>
            <w:hideMark/>
          </w:tcPr>
          <w:p w14:paraId="7638F95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Government of Flanders/UNESCO-IOC</w:t>
            </w:r>
          </w:p>
        </w:tc>
        <w:tc>
          <w:tcPr>
            <w:tcW w:w="1417" w:type="dxa"/>
            <w:tcBorders>
              <w:top w:val="nil"/>
              <w:left w:val="nil"/>
              <w:bottom w:val="single" w:sz="4" w:space="0" w:color="auto"/>
              <w:right w:val="single" w:sz="4" w:space="0" w:color="auto"/>
            </w:tcBorders>
            <w:shd w:val="clear" w:color="auto" w:fill="auto"/>
            <w:vAlign w:val="bottom"/>
            <w:hideMark/>
          </w:tcPr>
          <w:p w14:paraId="02C297E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Multilat. Agency</w:t>
            </w:r>
          </w:p>
        </w:tc>
        <w:tc>
          <w:tcPr>
            <w:tcW w:w="840" w:type="dxa"/>
            <w:tcBorders>
              <w:top w:val="nil"/>
              <w:left w:val="nil"/>
              <w:bottom w:val="single" w:sz="4" w:space="0" w:color="auto"/>
              <w:right w:val="single" w:sz="4" w:space="0" w:color="auto"/>
            </w:tcBorders>
            <w:shd w:val="clear" w:color="auto" w:fill="auto"/>
            <w:vAlign w:val="bottom"/>
            <w:hideMark/>
          </w:tcPr>
          <w:p w14:paraId="7E4A91B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0DC4418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3D124C6E"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10636</w:t>
            </w:r>
          </w:p>
        </w:tc>
        <w:tc>
          <w:tcPr>
            <w:tcW w:w="966" w:type="dxa"/>
            <w:tcBorders>
              <w:top w:val="nil"/>
              <w:left w:val="nil"/>
              <w:bottom w:val="nil"/>
              <w:right w:val="nil"/>
            </w:tcBorders>
            <w:shd w:val="clear" w:color="auto" w:fill="auto"/>
            <w:vAlign w:val="bottom"/>
            <w:hideMark/>
          </w:tcPr>
          <w:p w14:paraId="020AEBE2" w14:textId="77777777" w:rsidR="000B5011" w:rsidRPr="000B5011" w:rsidRDefault="000B5011" w:rsidP="000B5011">
            <w:pPr>
              <w:rPr>
                <w:rFonts w:ascii="Calibri" w:eastAsia="Times New Roman" w:hAnsi="Calibri" w:cs="Times New Roman"/>
                <w:sz w:val="18"/>
                <w:szCs w:val="18"/>
              </w:rPr>
            </w:pPr>
          </w:p>
        </w:tc>
      </w:tr>
      <w:tr w:rsidR="000B5011" w:rsidRPr="000B5011" w14:paraId="44614F1C"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6629127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3a IWC6</w:t>
            </w:r>
          </w:p>
        </w:tc>
        <w:tc>
          <w:tcPr>
            <w:tcW w:w="2050" w:type="dxa"/>
            <w:tcBorders>
              <w:top w:val="nil"/>
              <w:left w:val="nil"/>
              <w:bottom w:val="single" w:sz="4" w:space="0" w:color="auto"/>
              <w:right w:val="single" w:sz="4" w:space="0" w:color="auto"/>
            </w:tcBorders>
            <w:shd w:val="clear" w:color="auto" w:fill="auto"/>
            <w:vAlign w:val="bottom"/>
            <w:hideMark/>
          </w:tcPr>
          <w:p w14:paraId="50B673A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Coca-Cola Eurasia Group</w:t>
            </w:r>
          </w:p>
        </w:tc>
        <w:tc>
          <w:tcPr>
            <w:tcW w:w="1417" w:type="dxa"/>
            <w:tcBorders>
              <w:top w:val="nil"/>
              <w:left w:val="nil"/>
              <w:bottom w:val="single" w:sz="4" w:space="0" w:color="auto"/>
              <w:right w:val="single" w:sz="4" w:space="0" w:color="auto"/>
            </w:tcBorders>
            <w:shd w:val="clear" w:color="auto" w:fill="auto"/>
            <w:vAlign w:val="bottom"/>
            <w:hideMark/>
          </w:tcPr>
          <w:p w14:paraId="0280141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Private Sector</w:t>
            </w:r>
          </w:p>
        </w:tc>
        <w:tc>
          <w:tcPr>
            <w:tcW w:w="840" w:type="dxa"/>
            <w:tcBorders>
              <w:top w:val="nil"/>
              <w:left w:val="nil"/>
              <w:bottom w:val="single" w:sz="4" w:space="0" w:color="auto"/>
              <w:right w:val="single" w:sz="4" w:space="0" w:color="auto"/>
            </w:tcBorders>
            <w:shd w:val="clear" w:color="auto" w:fill="auto"/>
            <w:vAlign w:val="bottom"/>
            <w:hideMark/>
          </w:tcPr>
          <w:p w14:paraId="068F1C82"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3B45678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70A11DF0"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30000</w:t>
            </w:r>
          </w:p>
        </w:tc>
        <w:tc>
          <w:tcPr>
            <w:tcW w:w="966" w:type="dxa"/>
            <w:tcBorders>
              <w:top w:val="nil"/>
              <w:left w:val="nil"/>
              <w:bottom w:val="nil"/>
              <w:right w:val="nil"/>
            </w:tcBorders>
            <w:shd w:val="clear" w:color="auto" w:fill="auto"/>
            <w:vAlign w:val="bottom"/>
            <w:hideMark/>
          </w:tcPr>
          <w:p w14:paraId="70067FCA" w14:textId="77777777" w:rsidR="000B5011" w:rsidRPr="000B5011" w:rsidRDefault="000B5011" w:rsidP="000B5011">
            <w:pPr>
              <w:rPr>
                <w:rFonts w:ascii="Calibri" w:eastAsia="Times New Roman" w:hAnsi="Calibri" w:cs="Times New Roman"/>
                <w:sz w:val="18"/>
                <w:szCs w:val="18"/>
              </w:rPr>
            </w:pPr>
          </w:p>
        </w:tc>
      </w:tr>
      <w:tr w:rsidR="000B5011" w:rsidRPr="000B5011" w14:paraId="1C016BCB"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6424C035"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3a IWC6</w:t>
            </w:r>
          </w:p>
        </w:tc>
        <w:tc>
          <w:tcPr>
            <w:tcW w:w="2050" w:type="dxa"/>
            <w:tcBorders>
              <w:top w:val="nil"/>
              <w:left w:val="nil"/>
              <w:bottom w:val="single" w:sz="4" w:space="0" w:color="auto"/>
              <w:right w:val="single" w:sz="4" w:space="0" w:color="auto"/>
            </w:tcBorders>
            <w:shd w:val="clear" w:color="auto" w:fill="auto"/>
            <w:vAlign w:val="bottom"/>
            <w:hideMark/>
          </w:tcPr>
          <w:p w14:paraId="70EEA5B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Municipality of Dubrovnik/Libertas Bus</w:t>
            </w:r>
          </w:p>
        </w:tc>
        <w:tc>
          <w:tcPr>
            <w:tcW w:w="1417" w:type="dxa"/>
            <w:tcBorders>
              <w:top w:val="nil"/>
              <w:left w:val="nil"/>
              <w:bottom w:val="single" w:sz="4" w:space="0" w:color="auto"/>
              <w:right w:val="single" w:sz="4" w:space="0" w:color="auto"/>
            </w:tcBorders>
            <w:shd w:val="clear" w:color="auto" w:fill="auto"/>
            <w:vAlign w:val="bottom"/>
            <w:hideMark/>
          </w:tcPr>
          <w:p w14:paraId="0E575B7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14:paraId="485D51F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3F1ECAE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1B5B972E"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1350</w:t>
            </w:r>
          </w:p>
        </w:tc>
        <w:tc>
          <w:tcPr>
            <w:tcW w:w="966" w:type="dxa"/>
            <w:tcBorders>
              <w:top w:val="nil"/>
              <w:left w:val="nil"/>
              <w:bottom w:val="nil"/>
              <w:right w:val="nil"/>
            </w:tcBorders>
            <w:shd w:val="clear" w:color="auto" w:fill="auto"/>
            <w:vAlign w:val="bottom"/>
            <w:hideMark/>
          </w:tcPr>
          <w:p w14:paraId="23C37237" w14:textId="77777777" w:rsidR="000B5011" w:rsidRPr="000B5011" w:rsidRDefault="000B5011" w:rsidP="000B5011">
            <w:pPr>
              <w:rPr>
                <w:rFonts w:ascii="Calibri" w:eastAsia="Times New Roman" w:hAnsi="Calibri" w:cs="Times New Roman"/>
                <w:sz w:val="18"/>
                <w:szCs w:val="18"/>
              </w:rPr>
            </w:pPr>
          </w:p>
        </w:tc>
      </w:tr>
      <w:tr w:rsidR="000B5011" w:rsidRPr="000B5011" w14:paraId="2E3EF3D7" w14:textId="77777777" w:rsidTr="000B5011">
        <w:trPr>
          <w:trHeight w:val="48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7D910CF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3a IWC6</w:t>
            </w:r>
          </w:p>
        </w:tc>
        <w:tc>
          <w:tcPr>
            <w:tcW w:w="2050" w:type="dxa"/>
            <w:tcBorders>
              <w:top w:val="nil"/>
              <w:left w:val="nil"/>
              <w:bottom w:val="single" w:sz="4" w:space="0" w:color="auto"/>
              <w:right w:val="single" w:sz="4" w:space="0" w:color="auto"/>
            </w:tcBorders>
            <w:shd w:val="clear" w:color="auto" w:fill="auto"/>
            <w:vAlign w:val="bottom"/>
            <w:hideMark/>
          </w:tcPr>
          <w:p w14:paraId="40ABE8E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Prefecture - Dubrovnik-Neretva County</w:t>
            </w:r>
          </w:p>
        </w:tc>
        <w:tc>
          <w:tcPr>
            <w:tcW w:w="1417" w:type="dxa"/>
            <w:tcBorders>
              <w:top w:val="nil"/>
              <w:left w:val="nil"/>
              <w:bottom w:val="single" w:sz="4" w:space="0" w:color="auto"/>
              <w:right w:val="single" w:sz="4" w:space="0" w:color="auto"/>
            </w:tcBorders>
            <w:shd w:val="clear" w:color="auto" w:fill="auto"/>
            <w:vAlign w:val="bottom"/>
            <w:hideMark/>
          </w:tcPr>
          <w:p w14:paraId="1E12B92A"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14:paraId="4F56528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3DA8EFD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1504F88C"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918</w:t>
            </w:r>
          </w:p>
        </w:tc>
        <w:tc>
          <w:tcPr>
            <w:tcW w:w="966" w:type="dxa"/>
            <w:tcBorders>
              <w:top w:val="nil"/>
              <w:left w:val="nil"/>
              <w:bottom w:val="nil"/>
              <w:right w:val="nil"/>
            </w:tcBorders>
            <w:shd w:val="clear" w:color="auto" w:fill="auto"/>
            <w:vAlign w:val="bottom"/>
            <w:hideMark/>
          </w:tcPr>
          <w:p w14:paraId="7ABFE19B" w14:textId="77777777" w:rsidR="000B5011" w:rsidRPr="000B5011" w:rsidRDefault="000B5011" w:rsidP="000B5011">
            <w:pPr>
              <w:rPr>
                <w:rFonts w:ascii="Calibri" w:eastAsia="Times New Roman" w:hAnsi="Calibri" w:cs="Times New Roman"/>
                <w:sz w:val="18"/>
                <w:szCs w:val="18"/>
              </w:rPr>
            </w:pPr>
          </w:p>
        </w:tc>
      </w:tr>
      <w:tr w:rsidR="000B5011" w:rsidRPr="000B5011" w14:paraId="68A3BD74"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401D54C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3a IWC6</w:t>
            </w:r>
          </w:p>
        </w:tc>
        <w:tc>
          <w:tcPr>
            <w:tcW w:w="2050" w:type="dxa"/>
            <w:tcBorders>
              <w:top w:val="nil"/>
              <w:left w:val="nil"/>
              <w:bottom w:val="single" w:sz="4" w:space="0" w:color="auto"/>
              <w:right w:val="single" w:sz="4" w:space="0" w:color="auto"/>
            </w:tcBorders>
            <w:shd w:val="clear" w:color="auto" w:fill="auto"/>
            <w:vAlign w:val="bottom"/>
            <w:hideMark/>
          </w:tcPr>
          <w:p w14:paraId="404914D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RSHU</w:t>
            </w:r>
          </w:p>
        </w:tc>
        <w:tc>
          <w:tcPr>
            <w:tcW w:w="1417" w:type="dxa"/>
            <w:tcBorders>
              <w:top w:val="nil"/>
              <w:left w:val="nil"/>
              <w:bottom w:val="single" w:sz="4" w:space="0" w:color="auto"/>
              <w:right w:val="single" w:sz="4" w:space="0" w:color="auto"/>
            </w:tcBorders>
            <w:shd w:val="clear" w:color="auto" w:fill="auto"/>
            <w:vAlign w:val="bottom"/>
            <w:hideMark/>
          </w:tcPr>
          <w:p w14:paraId="4EB0E30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840" w:type="dxa"/>
            <w:tcBorders>
              <w:top w:val="nil"/>
              <w:left w:val="nil"/>
              <w:bottom w:val="single" w:sz="4" w:space="0" w:color="auto"/>
              <w:right w:val="single" w:sz="4" w:space="0" w:color="auto"/>
            </w:tcBorders>
            <w:shd w:val="clear" w:color="auto" w:fill="auto"/>
            <w:vAlign w:val="bottom"/>
            <w:hideMark/>
          </w:tcPr>
          <w:p w14:paraId="73017CF8"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1B242D9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55F6625B"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918</w:t>
            </w:r>
          </w:p>
        </w:tc>
        <w:tc>
          <w:tcPr>
            <w:tcW w:w="966" w:type="dxa"/>
            <w:tcBorders>
              <w:top w:val="nil"/>
              <w:left w:val="nil"/>
              <w:bottom w:val="nil"/>
              <w:right w:val="nil"/>
            </w:tcBorders>
            <w:shd w:val="clear" w:color="auto" w:fill="auto"/>
            <w:vAlign w:val="bottom"/>
            <w:hideMark/>
          </w:tcPr>
          <w:p w14:paraId="68282F19" w14:textId="77777777" w:rsidR="000B5011" w:rsidRPr="000B5011" w:rsidRDefault="000B5011" w:rsidP="000B5011">
            <w:pPr>
              <w:rPr>
                <w:rFonts w:ascii="Calibri" w:eastAsia="Times New Roman" w:hAnsi="Calibri" w:cs="Times New Roman"/>
                <w:sz w:val="18"/>
                <w:szCs w:val="18"/>
              </w:rPr>
            </w:pPr>
          </w:p>
        </w:tc>
      </w:tr>
      <w:tr w:rsidR="000B5011" w:rsidRPr="000B5011" w14:paraId="608053A7"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6CA7F02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3c Science</w:t>
            </w:r>
          </w:p>
        </w:tc>
        <w:tc>
          <w:tcPr>
            <w:tcW w:w="2050" w:type="dxa"/>
            <w:tcBorders>
              <w:top w:val="nil"/>
              <w:left w:val="nil"/>
              <w:bottom w:val="single" w:sz="4" w:space="0" w:color="auto"/>
              <w:right w:val="single" w:sz="4" w:space="0" w:color="auto"/>
            </w:tcBorders>
            <w:shd w:val="clear" w:color="auto" w:fill="auto"/>
            <w:vAlign w:val="bottom"/>
            <w:hideMark/>
          </w:tcPr>
          <w:p w14:paraId="01B48F9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SIDA</w:t>
            </w:r>
          </w:p>
        </w:tc>
        <w:tc>
          <w:tcPr>
            <w:tcW w:w="1417" w:type="dxa"/>
            <w:tcBorders>
              <w:top w:val="nil"/>
              <w:left w:val="nil"/>
              <w:bottom w:val="single" w:sz="4" w:space="0" w:color="auto"/>
              <w:right w:val="single" w:sz="4" w:space="0" w:color="auto"/>
            </w:tcBorders>
            <w:shd w:val="clear" w:color="auto" w:fill="auto"/>
            <w:vAlign w:val="bottom"/>
            <w:hideMark/>
          </w:tcPr>
          <w:p w14:paraId="06F546BC"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Bilateral</w:t>
            </w:r>
          </w:p>
        </w:tc>
        <w:tc>
          <w:tcPr>
            <w:tcW w:w="840" w:type="dxa"/>
            <w:tcBorders>
              <w:top w:val="nil"/>
              <w:left w:val="nil"/>
              <w:bottom w:val="single" w:sz="4" w:space="0" w:color="auto"/>
              <w:right w:val="single" w:sz="4" w:space="0" w:color="auto"/>
            </w:tcBorders>
            <w:shd w:val="clear" w:color="auto" w:fill="auto"/>
            <w:vAlign w:val="bottom"/>
            <w:hideMark/>
          </w:tcPr>
          <w:p w14:paraId="0AA75A97"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Cash</w:t>
            </w:r>
          </w:p>
        </w:tc>
        <w:tc>
          <w:tcPr>
            <w:tcW w:w="1151" w:type="dxa"/>
            <w:tcBorders>
              <w:top w:val="nil"/>
              <w:left w:val="nil"/>
              <w:bottom w:val="single" w:sz="4" w:space="0" w:color="auto"/>
              <w:right w:val="single" w:sz="4" w:space="0" w:color="auto"/>
            </w:tcBorders>
            <w:shd w:val="clear" w:color="auto" w:fill="auto"/>
            <w:vAlign w:val="bottom"/>
            <w:hideMark/>
          </w:tcPr>
          <w:p w14:paraId="514B177B"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48D0A2F3"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77000</w:t>
            </w:r>
          </w:p>
        </w:tc>
        <w:tc>
          <w:tcPr>
            <w:tcW w:w="966" w:type="dxa"/>
            <w:tcBorders>
              <w:top w:val="nil"/>
              <w:left w:val="nil"/>
              <w:bottom w:val="nil"/>
              <w:right w:val="nil"/>
            </w:tcBorders>
            <w:shd w:val="clear" w:color="auto" w:fill="auto"/>
            <w:vAlign w:val="bottom"/>
            <w:hideMark/>
          </w:tcPr>
          <w:p w14:paraId="0708325A" w14:textId="77777777" w:rsidR="000B5011" w:rsidRPr="000B5011" w:rsidRDefault="000B5011" w:rsidP="000B5011">
            <w:pPr>
              <w:rPr>
                <w:rFonts w:ascii="Calibri" w:eastAsia="Times New Roman" w:hAnsi="Calibri" w:cs="Times New Roman"/>
                <w:sz w:val="18"/>
                <w:szCs w:val="18"/>
              </w:rPr>
            </w:pPr>
          </w:p>
        </w:tc>
      </w:tr>
      <w:tr w:rsidR="000B5011" w:rsidRPr="000B5011" w14:paraId="509281C2" w14:textId="77777777" w:rsidTr="000B5011">
        <w:trPr>
          <w:trHeight w:val="240"/>
        </w:trPr>
        <w:tc>
          <w:tcPr>
            <w:tcW w:w="1429" w:type="dxa"/>
            <w:tcBorders>
              <w:top w:val="nil"/>
              <w:left w:val="single" w:sz="4" w:space="0" w:color="auto"/>
              <w:bottom w:val="single" w:sz="4" w:space="0" w:color="auto"/>
              <w:right w:val="single" w:sz="4" w:space="0" w:color="auto"/>
            </w:tcBorders>
            <w:shd w:val="clear" w:color="auto" w:fill="auto"/>
            <w:vAlign w:val="bottom"/>
            <w:hideMark/>
          </w:tcPr>
          <w:p w14:paraId="361606E9" w14:textId="77777777" w:rsidR="000B5011" w:rsidRPr="000B5011" w:rsidRDefault="000B5011" w:rsidP="000B5011">
            <w:pPr>
              <w:rPr>
                <w:rFonts w:ascii="Times New Roman" w:eastAsia="Times New Roman" w:hAnsi="Times New Roman" w:cs="Times New Roman"/>
                <w:sz w:val="18"/>
                <w:szCs w:val="18"/>
              </w:rPr>
            </w:pPr>
            <w:r w:rsidRPr="000B5011">
              <w:rPr>
                <w:rFonts w:ascii="Times New Roman" w:eastAsia="Times New Roman" w:hAnsi="Times New Roman" w:cs="Times New Roman"/>
                <w:sz w:val="18"/>
                <w:szCs w:val="18"/>
              </w:rPr>
              <w:t>5a</w:t>
            </w:r>
          </w:p>
        </w:tc>
        <w:tc>
          <w:tcPr>
            <w:tcW w:w="2050" w:type="dxa"/>
            <w:tcBorders>
              <w:top w:val="nil"/>
              <w:left w:val="nil"/>
              <w:bottom w:val="single" w:sz="4" w:space="0" w:color="auto"/>
              <w:right w:val="single" w:sz="4" w:space="0" w:color="auto"/>
            </w:tcBorders>
            <w:shd w:val="clear" w:color="auto" w:fill="auto"/>
            <w:vAlign w:val="bottom"/>
            <w:hideMark/>
          </w:tcPr>
          <w:p w14:paraId="0613D8F0"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Barefoot Partnership</w:t>
            </w:r>
          </w:p>
        </w:tc>
        <w:tc>
          <w:tcPr>
            <w:tcW w:w="1417" w:type="dxa"/>
            <w:tcBorders>
              <w:top w:val="nil"/>
              <w:left w:val="nil"/>
              <w:bottom w:val="single" w:sz="4" w:space="0" w:color="auto"/>
              <w:right w:val="single" w:sz="4" w:space="0" w:color="auto"/>
            </w:tcBorders>
            <w:shd w:val="clear" w:color="auto" w:fill="auto"/>
            <w:vAlign w:val="bottom"/>
            <w:hideMark/>
          </w:tcPr>
          <w:p w14:paraId="42761CD2"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Private Sector</w:t>
            </w:r>
          </w:p>
        </w:tc>
        <w:tc>
          <w:tcPr>
            <w:tcW w:w="840" w:type="dxa"/>
            <w:tcBorders>
              <w:top w:val="nil"/>
              <w:left w:val="nil"/>
              <w:bottom w:val="single" w:sz="4" w:space="0" w:color="auto"/>
              <w:right w:val="single" w:sz="4" w:space="0" w:color="auto"/>
            </w:tcBorders>
            <w:shd w:val="clear" w:color="auto" w:fill="auto"/>
            <w:vAlign w:val="bottom"/>
            <w:hideMark/>
          </w:tcPr>
          <w:p w14:paraId="483C6F84"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In-Kind</w:t>
            </w:r>
          </w:p>
        </w:tc>
        <w:tc>
          <w:tcPr>
            <w:tcW w:w="1151" w:type="dxa"/>
            <w:tcBorders>
              <w:top w:val="nil"/>
              <w:left w:val="nil"/>
              <w:bottom w:val="single" w:sz="4" w:space="0" w:color="auto"/>
              <w:right w:val="single" w:sz="4" w:space="0" w:color="auto"/>
            </w:tcBorders>
            <w:shd w:val="clear" w:color="auto" w:fill="auto"/>
            <w:vAlign w:val="bottom"/>
            <w:hideMark/>
          </w:tcPr>
          <w:p w14:paraId="518F02E1" w14:textId="77777777" w:rsidR="000B5011" w:rsidRPr="000B5011" w:rsidRDefault="000B5011" w:rsidP="000B5011">
            <w:pPr>
              <w:rPr>
                <w:rFonts w:ascii="Calibri" w:eastAsia="Times New Roman" w:hAnsi="Calibri" w:cs="Times New Roman"/>
                <w:sz w:val="18"/>
                <w:szCs w:val="18"/>
              </w:rPr>
            </w:pPr>
            <w:r w:rsidRPr="000B5011">
              <w:rPr>
                <w:rFonts w:ascii="Calibri" w:eastAsia="Times New Roman" w:hAnsi="Calibri" w:cs="Times New Roman"/>
                <w:sz w:val="18"/>
                <w:szCs w:val="18"/>
              </w:rPr>
              <w:t> </w:t>
            </w:r>
          </w:p>
        </w:tc>
        <w:tc>
          <w:tcPr>
            <w:tcW w:w="1118" w:type="dxa"/>
            <w:tcBorders>
              <w:top w:val="nil"/>
              <w:left w:val="nil"/>
              <w:bottom w:val="single" w:sz="4" w:space="0" w:color="auto"/>
              <w:right w:val="single" w:sz="4" w:space="0" w:color="auto"/>
            </w:tcBorders>
            <w:shd w:val="clear" w:color="auto" w:fill="auto"/>
            <w:vAlign w:val="bottom"/>
            <w:hideMark/>
          </w:tcPr>
          <w:p w14:paraId="766E491A"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5000</w:t>
            </w:r>
          </w:p>
        </w:tc>
        <w:tc>
          <w:tcPr>
            <w:tcW w:w="966" w:type="dxa"/>
            <w:tcBorders>
              <w:top w:val="nil"/>
              <w:left w:val="nil"/>
              <w:bottom w:val="nil"/>
              <w:right w:val="nil"/>
            </w:tcBorders>
            <w:shd w:val="clear" w:color="auto" w:fill="auto"/>
            <w:vAlign w:val="bottom"/>
            <w:hideMark/>
          </w:tcPr>
          <w:p w14:paraId="7FF762B4" w14:textId="77777777" w:rsidR="000B5011" w:rsidRPr="000B5011" w:rsidRDefault="000B5011" w:rsidP="000B5011">
            <w:pPr>
              <w:rPr>
                <w:rFonts w:ascii="Calibri" w:eastAsia="Times New Roman" w:hAnsi="Calibri" w:cs="Times New Roman"/>
                <w:sz w:val="18"/>
                <w:szCs w:val="18"/>
              </w:rPr>
            </w:pPr>
          </w:p>
        </w:tc>
      </w:tr>
      <w:tr w:rsidR="000B5011" w:rsidRPr="000B5011" w14:paraId="234BE00F" w14:textId="77777777" w:rsidTr="000B5011">
        <w:trPr>
          <w:trHeight w:val="240"/>
        </w:trPr>
        <w:tc>
          <w:tcPr>
            <w:tcW w:w="1429" w:type="dxa"/>
            <w:tcBorders>
              <w:top w:val="nil"/>
              <w:left w:val="nil"/>
              <w:bottom w:val="nil"/>
              <w:right w:val="nil"/>
            </w:tcBorders>
            <w:shd w:val="clear" w:color="auto" w:fill="auto"/>
            <w:vAlign w:val="bottom"/>
            <w:hideMark/>
          </w:tcPr>
          <w:p w14:paraId="1F88DEBF" w14:textId="77777777" w:rsidR="000B5011" w:rsidRPr="000B5011" w:rsidRDefault="000B5011" w:rsidP="000B5011">
            <w:pPr>
              <w:rPr>
                <w:rFonts w:ascii="Times New Roman" w:eastAsia="Times New Roman" w:hAnsi="Times New Roman" w:cs="Times New Roman"/>
                <w:sz w:val="18"/>
                <w:szCs w:val="18"/>
              </w:rPr>
            </w:pPr>
          </w:p>
        </w:tc>
        <w:tc>
          <w:tcPr>
            <w:tcW w:w="2050" w:type="dxa"/>
            <w:tcBorders>
              <w:top w:val="nil"/>
              <w:left w:val="nil"/>
              <w:bottom w:val="nil"/>
              <w:right w:val="nil"/>
            </w:tcBorders>
            <w:shd w:val="clear" w:color="auto" w:fill="auto"/>
            <w:vAlign w:val="bottom"/>
            <w:hideMark/>
          </w:tcPr>
          <w:p w14:paraId="60D6151C" w14:textId="77777777" w:rsidR="000B5011" w:rsidRPr="000B5011" w:rsidRDefault="000B5011" w:rsidP="000B5011">
            <w:pPr>
              <w:rPr>
                <w:rFonts w:ascii="Times New Roman" w:eastAsia="Times New Roman" w:hAnsi="Times New Roman" w:cs="Times New Roman"/>
                <w:sz w:val="18"/>
                <w:szCs w:val="18"/>
              </w:rPr>
            </w:pPr>
          </w:p>
        </w:tc>
        <w:tc>
          <w:tcPr>
            <w:tcW w:w="1417" w:type="dxa"/>
            <w:tcBorders>
              <w:top w:val="nil"/>
              <w:left w:val="nil"/>
              <w:bottom w:val="nil"/>
              <w:right w:val="nil"/>
            </w:tcBorders>
            <w:shd w:val="clear" w:color="auto" w:fill="auto"/>
            <w:vAlign w:val="bottom"/>
            <w:hideMark/>
          </w:tcPr>
          <w:p w14:paraId="0FF4B734" w14:textId="77777777" w:rsidR="000B5011" w:rsidRPr="000B5011" w:rsidRDefault="000B5011" w:rsidP="000B5011">
            <w:pPr>
              <w:rPr>
                <w:rFonts w:ascii="Times New Roman" w:eastAsia="Times New Roman" w:hAnsi="Times New Roman" w:cs="Times New Roman"/>
                <w:sz w:val="18"/>
                <w:szCs w:val="18"/>
              </w:rPr>
            </w:pPr>
          </w:p>
        </w:tc>
        <w:tc>
          <w:tcPr>
            <w:tcW w:w="840" w:type="dxa"/>
            <w:tcBorders>
              <w:top w:val="nil"/>
              <w:left w:val="nil"/>
              <w:bottom w:val="nil"/>
              <w:right w:val="nil"/>
            </w:tcBorders>
            <w:shd w:val="clear" w:color="auto" w:fill="auto"/>
            <w:vAlign w:val="bottom"/>
            <w:hideMark/>
          </w:tcPr>
          <w:p w14:paraId="3A250C2D" w14:textId="77777777" w:rsidR="000B5011" w:rsidRPr="000B5011" w:rsidRDefault="000B5011" w:rsidP="000B5011">
            <w:pPr>
              <w:rPr>
                <w:rFonts w:ascii="Times New Roman" w:eastAsia="Times New Roman" w:hAnsi="Times New Roman" w:cs="Times New Roman"/>
                <w:sz w:val="18"/>
                <w:szCs w:val="18"/>
              </w:rPr>
            </w:pPr>
          </w:p>
        </w:tc>
        <w:tc>
          <w:tcPr>
            <w:tcW w:w="1151" w:type="dxa"/>
            <w:tcBorders>
              <w:top w:val="nil"/>
              <w:left w:val="nil"/>
              <w:bottom w:val="nil"/>
              <w:right w:val="nil"/>
            </w:tcBorders>
            <w:shd w:val="clear" w:color="auto" w:fill="auto"/>
            <w:vAlign w:val="bottom"/>
            <w:hideMark/>
          </w:tcPr>
          <w:p w14:paraId="3A50DC5C" w14:textId="77777777" w:rsidR="000B5011" w:rsidRPr="000B5011" w:rsidRDefault="000B5011" w:rsidP="000B5011">
            <w:pPr>
              <w:rPr>
                <w:rFonts w:ascii="Times New Roman" w:eastAsia="Times New Roman" w:hAnsi="Times New Roman" w:cs="Times New Roman"/>
                <w:sz w:val="18"/>
                <w:szCs w:val="18"/>
              </w:rPr>
            </w:pPr>
          </w:p>
        </w:tc>
        <w:tc>
          <w:tcPr>
            <w:tcW w:w="1118" w:type="dxa"/>
            <w:tcBorders>
              <w:top w:val="nil"/>
              <w:left w:val="single" w:sz="4" w:space="0" w:color="auto"/>
              <w:bottom w:val="single" w:sz="4" w:space="0" w:color="auto"/>
              <w:right w:val="single" w:sz="4" w:space="0" w:color="auto"/>
            </w:tcBorders>
            <w:shd w:val="clear" w:color="auto" w:fill="auto"/>
            <w:vAlign w:val="bottom"/>
            <w:hideMark/>
          </w:tcPr>
          <w:p w14:paraId="4B22903C" w14:textId="77777777" w:rsidR="000B5011" w:rsidRPr="000B5011" w:rsidRDefault="000B5011" w:rsidP="000B5011">
            <w:pPr>
              <w:jc w:val="right"/>
              <w:rPr>
                <w:rFonts w:ascii="Calibri" w:eastAsia="Times New Roman" w:hAnsi="Calibri" w:cs="Times New Roman"/>
                <w:sz w:val="18"/>
                <w:szCs w:val="18"/>
              </w:rPr>
            </w:pPr>
            <w:r w:rsidRPr="000B5011">
              <w:rPr>
                <w:rFonts w:ascii="Calibri" w:eastAsia="Times New Roman" w:hAnsi="Calibri" w:cs="Times New Roman"/>
                <w:sz w:val="18"/>
                <w:szCs w:val="18"/>
              </w:rPr>
              <w:t xml:space="preserve"> 281,578.51 </w:t>
            </w:r>
          </w:p>
        </w:tc>
        <w:tc>
          <w:tcPr>
            <w:tcW w:w="966" w:type="dxa"/>
            <w:tcBorders>
              <w:top w:val="nil"/>
              <w:left w:val="nil"/>
              <w:bottom w:val="nil"/>
              <w:right w:val="nil"/>
            </w:tcBorders>
            <w:shd w:val="clear" w:color="auto" w:fill="auto"/>
            <w:vAlign w:val="bottom"/>
            <w:hideMark/>
          </w:tcPr>
          <w:p w14:paraId="08042D56" w14:textId="77777777" w:rsidR="000B5011" w:rsidRPr="000B5011" w:rsidRDefault="000B5011" w:rsidP="000B5011">
            <w:pPr>
              <w:rPr>
                <w:rFonts w:ascii="Times New Roman" w:eastAsia="Times New Roman" w:hAnsi="Times New Roman" w:cs="Times New Roman"/>
                <w:sz w:val="18"/>
                <w:szCs w:val="18"/>
              </w:rPr>
            </w:pPr>
          </w:p>
        </w:tc>
      </w:tr>
    </w:tbl>
    <w:p w14:paraId="026A7CA5" w14:textId="77777777" w:rsidR="00A46D83" w:rsidRDefault="00A46D83" w:rsidP="00E4777D"/>
    <w:p w14:paraId="4A3C7B97" w14:textId="04670CEA" w:rsidR="00A46D83" w:rsidRDefault="00A46D83" w:rsidP="00E4777D"/>
    <w:p w14:paraId="0D5E2BCC" w14:textId="77777777" w:rsidR="00A46D83" w:rsidRDefault="00A46D83" w:rsidP="00E4777D"/>
    <w:p w14:paraId="70C2F6B7" w14:textId="0B3AC34B" w:rsidR="00A46D83" w:rsidRDefault="000B5011" w:rsidP="002C276F">
      <w:pPr>
        <w:jc w:val="both"/>
        <w:rPr>
          <w:rFonts w:asciiTheme="majorHAnsi" w:hAnsiTheme="majorHAnsi"/>
          <w:sz w:val="22"/>
          <w:szCs w:val="22"/>
        </w:rPr>
      </w:pPr>
      <w:r w:rsidRPr="002C276F">
        <w:rPr>
          <w:rFonts w:asciiTheme="majorHAnsi" w:hAnsiTheme="majorHAnsi"/>
          <w:sz w:val="22"/>
          <w:szCs w:val="22"/>
        </w:rPr>
        <w:t xml:space="preserve">Table 6 above indicates that of </w:t>
      </w:r>
      <w:r w:rsidRPr="00964201">
        <w:rPr>
          <w:rFonts w:asciiTheme="majorHAnsi" w:hAnsiTheme="majorHAnsi"/>
          <w:sz w:val="22"/>
          <w:szCs w:val="22"/>
        </w:rPr>
        <w:t>the $</w:t>
      </w:r>
      <w:r w:rsidRPr="00964201">
        <w:rPr>
          <w:rFonts w:asciiTheme="majorHAnsi" w:eastAsia="Times New Roman" w:hAnsiTheme="majorHAnsi" w:cs="Times New Roman"/>
          <w:bCs/>
          <w:sz w:val="22"/>
          <w:szCs w:val="22"/>
        </w:rPr>
        <w:t xml:space="preserve">5,204,824 originally pledged it is now known that the $415,000 that was to come </w:t>
      </w:r>
      <w:r w:rsidR="002C276F" w:rsidRPr="00964201">
        <w:rPr>
          <w:rFonts w:asciiTheme="majorHAnsi" w:eastAsia="Times New Roman" w:hAnsiTheme="majorHAnsi" w:cs="Times New Roman"/>
          <w:bCs/>
          <w:sz w:val="22"/>
          <w:szCs w:val="22"/>
        </w:rPr>
        <w:t>via the UNDP</w:t>
      </w:r>
      <w:r w:rsidR="002C276F" w:rsidRPr="002C276F">
        <w:rPr>
          <w:rFonts w:asciiTheme="majorHAnsi" w:eastAsia="Times New Roman" w:hAnsiTheme="majorHAnsi" w:cs="Times New Roman"/>
          <w:b/>
          <w:bCs/>
          <w:sz w:val="22"/>
          <w:szCs w:val="22"/>
        </w:rPr>
        <w:t xml:space="preserve"> </w:t>
      </w:r>
      <w:r w:rsidR="002C276F" w:rsidRPr="002C276F">
        <w:rPr>
          <w:rFonts w:asciiTheme="majorHAnsi" w:hAnsiTheme="majorHAnsi"/>
          <w:sz w:val="22"/>
          <w:szCs w:val="22"/>
        </w:rPr>
        <w:t xml:space="preserve">Climate Risk Finance Facility will not be realised </w:t>
      </w:r>
      <w:r w:rsidR="00964201">
        <w:rPr>
          <w:rFonts w:asciiTheme="majorHAnsi" w:hAnsiTheme="majorHAnsi"/>
          <w:sz w:val="22"/>
          <w:szCs w:val="22"/>
        </w:rPr>
        <w:t xml:space="preserve">and </w:t>
      </w:r>
      <w:r w:rsidR="002C276F" w:rsidRPr="002C276F">
        <w:rPr>
          <w:rFonts w:asciiTheme="majorHAnsi" w:hAnsiTheme="majorHAnsi"/>
          <w:sz w:val="22"/>
          <w:szCs w:val="22"/>
        </w:rPr>
        <w:t>of the remainder only  $641,272 has been received</w:t>
      </w:r>
      <w:r w:rsidR="00964201">
        <w:rPr>
          <w:rFonts w:asciiTheme="majorHAnsi" w:hAnsiTheme="majorHAnsi"/>
          <w:sz w:val="22"/>
          <w:szCs w:val="22"/>
        </w:rPr>
        <w:t xml:space="preserve"> to date</w:t>
      </w:r>
      <w:r w:rsidR="002C276F" w:rsidRPr="002C276F">
        <w:rPr>
          <w:rFonts w:asciiTheme="majorHAnsi" w:hAnsiTheme="majorHAnsi"/>
          <w:sz w:val="22"/>
          <w:szCs w:val="22"/>
        </w:rPr>
        <w:t xml:space="preserve">. The MTE was assured by the PCU and this was reiterated at the SCM that part of the deficit is due to underreporting to date and the remainder will </w:t>
      </w:r>
      <w:r w:rsidR="00964201">
        <w:rPr>
          <w:rFonts w:asciiTheme="majorHAnsi" w:hAnsiTheme="majorHAnsi"/>
          <w:sz w:val="22"/>
          <w:szCs w:val="22"/>
        </w:rPr>
        <w:t>indeed be provided</w:t>
      </w:r>
      <w:r w:rsidR="002C276F" w:rsidRPr="002C276F">
        <w:rPr>
          <w:rFonts w:asciiTheme="majorHAnsi" w:hAnsiTheme="majorHAnsi"/>
          <w:sz w:val="22"/>
          <w:szCs w:val="22"/>
        </w:rPr>
        <w:t xml:space="preserve">.  </w:t>
      </w:r>
    </w:p>
    <w:p w14:paraId="387305D6" w14:textId="77777777" w:rsidR="00964201" w:rsidRPr="002C276F" w:rsidRDefault="00964201" w:rsidP="002C276F">
      <w:pPr>
        <w:jc w:val="both"/>
        <w:rPr>
          <w:rFonts w:asciiTheme="majorHAnsi" w:hAnsiTheme="majorHAnsi"/>
          <w:sz w:val="22"/>
          <w:szCs w:val="22"/>
        </w:rPr>
      </w:pPr>
    </w:p>
    <w:p w14:paraId="49BC5366" w14:textId="1D818FDD" w:rsidR="00A46D83" w:rsidRPr="002C276F" w:rsidRDefault="002C276F" w:rsidP="002C276F">
      <w:pPr>
        <w:jc w:val="both"/>
        <w:rPr>
          <w:rFonts w:asciiTheme="majorHAnsi" w:hAnsiTheme="majorHAnsi"/>
          <w:sz w:val="22"/>
          <w:szCs w:val="22"/>
        </w:rPr>
      </w:pPr>
      <w:r w:rsidRPr="002C276F">
        <w:rPr>
          <w:rFonts w:asciiTheme="majorHAnsi" w:hAnsiTheme="majorHAnsi"/>
          <w:sz w:val="22"/>
          <w:szCs w:val="22"/>
        </w:rPr>
        <w:t>To date the project has had some s</w:t>
      </w:r>
      <w:r w:rsidR="00964201">
        <w:rPr>
          <w:rFonts w:asciiTheme="majorHAnsi" w:hAnsiTheme="majorHAnsi"/>
          <w:sz w:val="22"/>
          <w:szCs w:val="22"/>
        </w:rPr>
        <w:t xml:space="preserve">uccess </w:t>
      </w:r>
      <w:r w:rsidRPr="002C276F">
        <w:rPr>
          <w:rFonts w:asciiTheme="majorHAnsi" w:hAnsiTheme="majorHAnsi"/>
          <w:sz w:val="22"/>
          <w:szCs w:val="22"/>
        </w:rPr>
        <w:t>in raising additional co-finance amounting to $281,578 and it is expected by the PCU</w:t>
      </w:r>
      <w:r>
        <w:rPr>
          <w:rFonts w:asciiTheme="majorHAnsi" w:hAnsiTheme="majorHAnsi"/>
          <w:sz w:val="22"/>
          <w:szCs w:val="22"/>
        </w:rPr>
        <w:t xml:space="preserve"> that more will be forthcoming.</w:t>
      </w:r>
    </w:p>
    <w:p w14:paraId="6F7AFA10" w14:textId="72A63A97" w:rsidR="00E74173" w:rsidRPr="00B94EF0" w:rsidRDefault="003A2A6A" w:rsidP="00B94EF0">
      <w:pPr>
        <w:pStyle w:val="Heading3"/>
        <w:numPr>
          <w:ilvl w:val="0"/>
          <w:numId w:val="0"/>
        </w:numPr>
        <w:rPr>
          <w:i/>
        </w:rPr>
      </w:pPr>
      <w:bookmarkStart w:id="94" w:name="_Toc320280657"/>
      <w:bookmarkStart w:id="95" w:name="_Toc341527062"/>
      <w:bookmarkStart w:id="96" w:name="_Toc222479159"/>
      <w:r w:rsidRPr="00A87FDC">
        <w:rPr>
          <w:i/>
        </w:rPr>
        <w:t>UNDP and</w:t>
      </w:r>
      <w:r w:rsidR="00EC2B6D" w:rsidRPr="00A87FDC">
        <w:rPr>
          <w:i/>
        </w:rPr>
        <w:t xml:space="preserve"> UNEP supervision and backstopping</w:t>
      </w:r>
      <w:bookmarkEnd w:id="94"/>
      <w:bookmarkEnd w:id="95"/>
      <w:bookmarkEnd w:id="96"/>
    </w:p>
    <w:p w14:paraId="64655090" w14:textId="0E78D33A" w:rsidR="00EC2B6D" w:rsidRPr="002C276F" w:rsidRDefault="00E74173" w:rsidP="002C276F">
      <w:pPr>
        <w:jc w:val="both"/>
        <w:rPr>
          <w:rFonts w:asciiTheme="majorHAnsi" w:hAnsiTheme="majorHAnsi"/>
          <w:sz w:val="22"/>
          <w:szCs w:val="22"/>
        </w:rPr>
      </w:pPr>
      <w:r w:rsidRPr="003A2A6A">
        <w:rPr>
          <w:rFonts w:asciiTheme="majorHAnsi" w:hAnsiTheme="majorHAnsi"/>
          <w:sz w:val="22"/>
          <w:szCs w:val="22"/>
        </w:rPr>
        <w:t xml:space="preserve">UNDP supervision and backstopping is by the </w:t>
      </w:r>
      <w:r w:rsidR="003A2A6A" w:rsidRPr="003A2A6A">
        <w:rPr>
          <w:rFonts w:asciiTheme="majorHAnsi" w:hAnsiTheme="majorHAnsi"/>
          <w:sz w:val="22"/>
          <w:szCs w:val="22"/>
        </w:rPr>
        <w:t>IW Regional</w:t>
      </w:r>
      <w:r w:rsidRPr="003A2A6A">
        <w:rPr>
          <w:rFonts w:asciiTheme="majorHAnsi" w:hAnsiTheme="majorHAnsi"/>
          <w:sz w:val="22"/>
          <w:szCs w:val="22"/>
        </w:rPr>
        <w:t xml:space="preserve"> Technical Advisor based in the same offices as the Project Manager and is thus available as and when required by the Project Manager. UNEP supervision and backstopping is provided primarily via the Steering Committee but is reported to be sufficient although once again the fact that the UNEP project coordinator is based in Nairobi but </w:t>
      </w:r>
      <w:r w:rsidR="003A2A6A" w:rsidRPr="003A2A6A">
        <w:rPr>
          <w:rFonts w:asciiTheme="majorHAnsi" w:hAnsiTheme="majorHAnsi"/>
          <w:sz w:val="22"/>
          <w:szCs w:val="22"/>
        </w:rPr>
        <w:t>the PCU</w:t>
      </w:r>
      <w:r w:rsidRPr="003A2A6A">
        <w:rPr>
          <w:rFonts w:asciiTheme="majorHAnsi" w:hAnsiTheme="majorHAnsi"/>
          <w:sz w:val="22"/>
          <w:szCs w:val="22"/>
        </w:rPr>
        <w:t xml:space="preserve"> person responsible for management of the ICT component is based in </w:t>
      </w:r>
      <w:r w:rsidR="003A2A6A" w:rsidRPr="003A2A6A">
        <w:rPr>
          <w:rFonts w:asciiTheme="majorHAnsi" w:hAnsiTheme="majorHAnsi"/>
          <w:sz w:val="22"/>
          <w:szCs w:val="22"/>
        </w:rPr>
        <w:t>Bangkok and</w:t>
      </w:r>
      <w:r w:rsidR="0009134E" w:rsidRPr="003A2A6A">
        <w:rPr>
          <w:rFonts w:asciiTheme="majorHAnsi" w:hAnsiTheme="majorHAnsi"/>
          <w:sz w:val="22"/>
          <w:szCs w:val="22"/>
        </w:rPr>
        <w:t xml:space="preserve"> formally at least reports via Nairobi to the UNDP project manager </w:t>
      </w:r>
      <w:r w:rsidR="00964201">
        <w:rPr>
          <w:rFonts w:asciiTheme="majorHAnsi" w:hAnsiTheme="majorHAnsi"/>
          <w:sz w:val="22"/>
          <w:szCs w:val="22"/>
        </w:rPr>
        <w:t xml:space="preserve">in Bratislava </w:t>
      </w:r>
      <w:r w:rsidR="0009134E" w:rsidRPr="003A2A6A">
        <w:rPr>
          <w:rFonts w:asciiTheme="majorHAnsi" w:hAnsiTheme="majorHAnsi"/>
          <w:sz w:val="22"/>
          <w:szCs w:val="22"/>
        </w:rPr>
        <w:t xml:space="preserve">does not help communications. </w:t>
      </w:r>
      <w:r w:rsidRPr="003A2A6A">
        <w:rPr>
          <w:rFonts w:asciiTheme="majorHAnsi" w:hAnsiTheme="majorHAnsi"/>
          <w:sz w:val="22"/>
          <w:szCs w:val="22"/>
        </w:rPr>
        <w:t xml:space="preserve"> </w:t>
      </w:r>
    </w:p>
    <w:p w14:paraId="07E6AEB1" w14:textId="47AD0C2E" w:rsidR="004262BF" w:rsidRDefault="00FF76AD" w:rsidP="004262BF">
      <w:pPr>
        <w:pStyle w:val="Heading1"/>
        <w:spacing w:line="276" w:lineRule="auto"/>
      </w:pPr>
      <w:bookmarkStart w:id="97" w:name="_Toc341527063"/>
      <w:bookmarkStart w:id="98" w:name="_Toc222479160"/>
      <w:r w:rsidRPr="007D1C06">
        <w:t>Conclusions and Rating</w:t>
      </w:r>
      <w:bookmarkEnd w:id="97"/>
      <w:bookmarkEnd w:id="98"/>
    </w:p>
    <w:p w14:paraId="37C86C2E" w14:textId="49EBC13D" w:rsidR="004262BF" w:rsidRPr="007F7CD8" w:rsidRDefault="007F7CD8" w:rsidP="007F7CD8">
      <w:pPr>
        <w:jc w:val="both"/>
        <w:rPr>
          <w:rFonts w:asciiTheme="majorHAnsi" w:hAnsiTheme="majorHAnsi"/>
          <w:sz w:val="22"/>
          <w:szCs w:val="22"/>
        </w:rPr>
      </w:pPr>
      <w:r w:rsidRPr="007F7CD8">
        <w:rPr>
          <w:rFonts w:asciiTheme="majorHAnsi" w:hAnsiTheme="majorHAnsi"/>
          <w:sz w:val="22"/>
          <w:szCs w:val="22"/>
        </w:rPr>
        <w:t>The following Table 7</w:t>
      </w:r>
      <w:r w:rsidR="004262BF" w:rsidRPr="007F7CD8">
        <w:rPr>
          <w:rFonts w:asciiTheme="majorHAnsi" w:hAnsiTheme="majorHAnsi"/>
          <w:sz w:val="22"/>
          <w:szCs w:val="22"/>
        </w:rPr>
        <w:t xml:space="preserve"> provides a comprehensive summary of the MTE </w:t>
      </w:r>
      <w:r w:rsidR="00B236EA" w:rsidRPr="007F7CD8">
        <w:rPr>
          <w:rFonts w:asciiTheme="majorHAnsi" w:hAnsiTheme="majorHAnsi"/>
          <w:sz w:val="22"/>
          <w:szCs w:val="22"/>
        </w:rPr>
        <w:t>assessments</w:t>
      </w:r>
      <w:r w:rsidR="004262BF" w:rsidRPr="007F7CD8">
        <w:rPr>
          <w:rFonts w:asciiTheme="majorHAnsi" w:hAnsiTheme="majorHAnsi"/>
          <w:sz w:val="22"/>
          <w:szCs w:val="22"/>
        </w:rPr>
        <w:t xml:space="preserve"> and ratings assigned throughout this report according to the applicable criteria and standards as indicated in the Terms of Reference</w:t>
      </w:r>
    </w:p>
    <w:p w14:paraId="061D311C" w14:textId="77777777" w:rsidR="004262BF" w:rsidRDefault="004262BF" w:rsidP="004262BF"/>
    <w:p w14:paraId="1C9AD8B4" w14:textId="3EFF2FA3" w:rsidR="00AD2FAA" w:rsidRPr="007D1C06" w:rsidRDefault="00AD2FAA" w:rsidP="00AD2FAA">
      <w:pPr>
        <w:rPr>
          <w:b/>
        </w:rPr>
      </w:pPr>
      <w:r>
        <w:rPr>
          <w:b/>
        </w:rPr>
        <w:tab/>
        <w:t>Table 7. Mid-Term Evaluation</w:t>
      </w:r>
      <w:r w:rsidRPr="007D1C06">
        <w:rPr>
          <w:b/>
        </w:rPr>
        <w:t xml:space="preserve"> Ratings</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5528"/>
        <w:gridCol w:w="1426"/>
      </w:tblGrid>
      <w:tr w:rsidR="00AD2FAA" w:rsidRPr="007D1C06" w14:paraId="36ECC7EB" w14:textId="77777777" w:rsidTr="00AD2FAA">
        <w:trPr>
          <w:tblHeader/>
        </w:trPr>
        <w:tc>
          <w:tcPr>
            <w:tcW w:w="2376" w:type="dxa"/>
            <w:tcBorders>
              <w:bottom w:val="single" w:sz="4" w:space="0" w:color="auto"/>
            </w:tcBorders>
            <w:shd w:val="clear" w:color="auto" w:fill="CCFFFF"/>
            <w:vAlign w:val="center"/>
          </w:tcPr>
          <w:p w14:paraId="7B78381F" w14:textId="77777777" w:rsidR="00AD2FAA" w:rsidRPr="007D1C06" w:rsidRDefault="00AD2FAA" w:rsidP="00AD2FAA">
            <w:pPr>
              <w:pStyle w:val="PlainText"/>
              <w:ind w:left="180"/>
              <w:jc w:val="center"/>
              <w:rPr>
                <w:rFonts w:ascii="Calibri" w:hAnsi="Calibri" w:cs="Arial"/>
                <w:b/>
                <w:bCs/>
                <w:color w:val="000000"/>
              </w:rPr>
            </w:pPr>
            <w:r w:rsidRPr="007D1C06">
              <w:rPr>
                <w:rFonts w:ascii="Calibri" w:hAnsi="Calibri" w:cs="Arial"/>
                <w:b/>
                <w:bCs/>
                <w:color w:val="000000"/>
              </w:rPr>
              <w:t>Criterion</w:t>
            </w:r>
          </w:p>
        </w:tc>
        <w:tc>
          <w:tcPr>
            <w:tcW w:w="5528" w:type="dxa"/>
            <w:tcBorders>
              <w:bottom w:val="single" w:sz="4" w:space="0" w:color="auto"/>
            </w:tcBorders>
            <w:shd w:val="clear" w:color="auto" w:fill="CCFFFF"/>
            <w:vAlign w:val="center"/>
          </w:tcPr>
          <w:p w14:paraId="4E0DE915" w14:textId="77777777" w:rsidR="00AD2FAA" w:rsidRPr="007D1C06" w:rsidRDefault="00AD2FAA" w:rsidP="00AD2FAA">
            <w:pPr>
              <w:pStyle w:val="BodyText2"/>
              <w:tabs>
                <w:tab w:val="num" w:pos="1440"/>
              </w:tabs>
              <w:spacing w:after="60"/>
              <w:ind w:right="170"/>
              <w:rPr>
                <w:rFonts w:ascii="Calibri" w:hAnsi="Calibri" w:cs="Arial"/>
                <w:color w:val="000000"/>
                <w:sz w:val="20"/>
                <w:szCs w:val="20"/>
              </w:rPr>
            </w:pPr>
            <w:r>
              <w:rPr>
                <w:rFonts w:ascii="Calibri" w:hAnsi="Calibri" w:cs="Arial"/>
                <w:color w:val="000000"/>
                <w:sz w:val="20"/>
                <w:szCs w:val="20"/>
              </w:rPr>
              <w:t>Evaluator’s</w:t>
            </w:r>
            <w:r w:rsidRPr="007D1C06">
              <w:rPr>
                <w:rFonts w:ascii="Calibri" w:hAnsi="Calibri" w:cs="Arial"/>
                <w:color w:val="000000"/>
                <w:sz w:val="20"/>
                <w:szCs w:val="20"/>
              </w:rPr>
              <w:t xml:space="preserve"> Summary Comments</w:t>
            </w:r>
          </w:p>
        </w:tc>
        <w:tc>
          <w:tcPr>
            <w:tcW w:w="1426" w:type="dxa"/>
            <w:tcBorders>
              <w:bottom w:val="single" w:sz="4" w:space="0" w:color="auto"/>
            </w:tcBorders>
            <w:shd w:val="clear" w:color="auto" w:fill="CCFFFF"/>
            <w:vAlign w:val="center"/>
          </w:tcPr>
          <w:p w14:paraId="06B3B328" w14:textId="77777777" w:rsidR="00AD2FAA" w:rsidRPr="007D1C06" w:rsidRDefault="00AD2FAA" w:rsidP="00AD2FAA">
            <w:pPr>
              <w:pStyle w:val="BodyText2"/>
              <w:tabs>
                <w:tab w:val="num" w:pos="1440"/>
              </w:tabs>
              <w:spacing w:after="60"/>
              <w:ind w:right="170"/>
              <w:rPr>
                <w:rFonts w:ascii="Calibri" w:hAnsi="Calibri" w:cs="Arial"/>
                <w:color w:val="000000"/>
                <w:sz w:val="20"/>
                <w:szCs w:val="20"/>
              </w:rPr>
            </w:pPr>
            <w:r w:rsidRPr="007D1C06">
              <w:rPr>
                <w:rFonts w:ascii="Calibri" w:hAnsi="Calibri" w:cs="Arial"/>
                <w:color w:val="000000"/>
                <w:sz w:val="20"/>
                <w:szCs w:val="20"/>
              </w:rPr>
              <w:t>Reviewer’s Rating</w:t>
            </w:r>
          </w:p>
        </w:tc>
      </w:tr>
      <w:tr w:rsidR="00AD2FAA" w:rsidRPr="007D1C06" w14:paraId="2E4E91C3" w14:textId="77777777" w:rsidTr="00AD2FAA">
        <w:tc>
          <w:tcPr>
            <w:tcW w:w="2376" w:type="dxa"/>
            <w:shd w:val="clear" w:color="auto" w:fill="CCFFFF"/>
          </w:tcPr>
          <w:p w14:paraId="34BE59AA" w14:textId="77777777" w:rsidR="00AD2FAA" w:rsidRPr="007D1C06" w:rsidRDefault="00AD2FAA" w:rsidP="00AD2FAA">
            <w:pPr>
              <w:pStyle w:val="PlainText"/>
              <w:rPr>
                <w:rFonts w:ascii="Calibri" w:hAnsi="Calibri" w:cs="Arial"/>
                <w:b/>
                <w:bCs/>
                <w:color w:val="000000"/>
              </w:rPr>
            </w:pPr>
            <w:r w:rsidRPr="007D1C06">
              <w:rPr>
                <w:rFonts w:ascii="Calibri" w:hAnsi="Calibri" w:cs="Arial"/>
                <w:b/>
                <w:bCs/>
                <w:color w:val="000000"/>
              </w:rPr>
              <w:t>Overall Rating</w:t>
            </w:r>
          </w:p>
        </w:tc>
        <w:tc>
          <w:tcPr>
            <w:tcW w:w="5528" w:type="dxa"/>
            <w:shd w:val="clear" w:color="auto" w:fill="CCFFFF"/>
          </w:tcPr>
          <w:p w14:paraId="058299B1"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 xml:space="preserve">Overall the project is progressing well and although there are some shortcomings these are well within the capacity of the resources available to remedy well within the remaining time available. </w:t>
            </w:r>
          </w:p>
        </w:tc>
        <w:tc>
          <w:tcPr>
            <w:tcW w:w="1426" w:type="dxa"/>
            <w:shd w:val="clear" w:color="auto" w:fill="CCFFFF"/>
            <w:vAlign w:val="center"/>
          </w:tcPr>
          <w:p w14:paraId="7E4EC0FC" w14:textId="0F944134"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7D1C06" w14:paraId="21417C00" w14:textId="77777777" w:rsidTr="00AD2FAA">
        <w:trPr>
          <w:cantSplit/>
        </w:trPr>
        <w:tc>
          <w:tcPr>
            <w:tcW w:w="2376" w:type="dxa"/>
            <w:tcBorders>
              <w:bottom w:val="single" w:sz="4" w:space="0" w:color="auto"/>
            </w:tcBorders>
            <w:shd w:val="clear" w:color="auto" w:fill="F3F3F3"/>
          </w:tcPr>
          <w:p w14:paraId="173AB664" w14:textId="77777777" w:rsidR="00AD2FAA" w:rsidRPr="007D1C06" w:rsidRDefault="00AD2FAA" w:rsidP="00AD2FAA">
            <w:pPr>
              <w:pStyle w:val="PlainText"/>
              <w:rPr>
                <w:rFonts w:ascii="Calibri" w:hAnsi="Calibri" w:cs="Arial"/>
                <w:b/>
                <w:bCs/>
                <w:color w:val="000000"/>
              </w:rPr>
            </w:pPr>
            <w:r w:rsidRPr="007D1C06">
              <w:rPr>
                <w:rFonts w:ascii="Calibri" w:hAnsi="Calibri" w:cs="Arial"/>
                <w:b/>
                <w:bCs/>
                <w:color w:val="000000"/>
              </w:rPr>
              <w:t>Attainment of project objectives and results (overall rating)</w:t>
            </w:r>
          </w:p>
          <w:p w14:paraId="4273D7EB" w14:textId="77777777" w:rsidR="00AD2FAA" w:rsidRPr="007D1C06" w:rsidRDefault="00AD2FAA" w:rsidP="00AD2FAA">
            <w:pPr>
              <w:pStyle w:val="PlainText"/>
              <w:jc w:val="right"/>
              <w:rPr>
                <w:rFonts w:ascii="Calibri" w:hAnsi="Calibri" w:cs="Arial"/>
                <w:b/>
                <w:bCs/>
                <w:color w:val="000000"/>
              </w:rPr>
            </w:pPr>
            <w:r w:rsidRPr="007D1C06">
              <w:rPr>
                <w:rFonts w:ascii="Calibri" w:hAnsi="Calibri" w:cs="Arial"/>
                <w:b/>
                <w:bCs/>
                <w:color w:val="000000"/>
              </w:rPr>
              <w:t>Sub criteria (below)</w:t>
            </w:r>
          </w:p>
        </w:tc>
        <w:tc>
          <w:tcPr>
            <w:tcW w:w="5528" w:type="dxa"/>
            <w:tcBorders>
              <w:bottom w:val="single" w:sz="4" w:space="0" w:color="auto"/>
            </w:tcBorders>
            <w:shd w:val="clear" w:color="auto" w:fill="F3F3F3"/>
          </w:tcPr>
          <w:p w14:paraId="712F380C" w14:textId="77777777" w:rsidR="00AD2FAA" w:rsidRPr="00112EC2" w:rsidRDefault="00AD2FAA" w:rsidP="00AD2FAA">
            <w:pPr>
              <w:pStyle w:val="PlainText"/>
              <w:rPr>
                <w:rFonts w:asciiTheme="majorHAnsi" w:hAnsiTheme="majorHAnsi" w:cs="Arial"/>
                <w:bCs/>
              </w:rPr>
            </w:pPr>
            <w:r w:rsidRPr="00112EC2">
              <w:rPr>
                <w:rFonts w:asciiTheme="majorHAnsi" w:hAnsiTheme="majorHAnsi"/>
              </w:rPr>
              <w:t>Of the 12 sub-components the project has successfully initiated or completed all but two, namely 5c and 5e others are delayed but not critically so at this juncture.  Limited success with the online CoPs and continuing re-jigging of the ICT platforms are holding back the overall attainment of project objectives.</w:t>
            </w:r>
          </w:p>
        </w:tc>
        <w:tc>
          <w:tcPr>
            <w:tcW w:w="1426" w:type="dxa"/>
            <w:tcBorders>
              <w:bottom w:val="single" w:sz="4" w:space="0" w:color="auto"/>
            </w:tcBorders>
            <w:shd w:val="clear" w:color="auto" w:fill="F3F3F3"/>
            <w:vAlign w:val="center"/>
          </w:tcPr>
          <w:p w14:paraId="3B8610DB" w14:textId="45961872"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7D1C06" w14:paraId="7B1C8948" w14:textId="77777777" w:rsidTr="00AD2FAA">
        <w:trPr>
          <w:cantSplit/>
        </w:trPr>
        <w:tc>
          <w:tcPr>
            <w:tcW w:w="2376" w:type="dxa"/>
            <w:shd w:val="clear" w:color="auto" w:fill="auto"/>
          </w:tcPr>
          <w:p w14:paraId="683EC8B1" w14:textId="77777777" w:rsidR="00AD2FAA" w:rsidRPr="007D1C06" w:rsidRDefault="00AD2FAA" w:rsidP="00AD2FAA">
            <w:pPr>
              <w:pStyle w:val="PlainText"/>
              <w:spacing w:after="240"/>
              <w:jc w:val="right"/>
              <w:rPr>
                <w:rFonts w:ascii="Calibri" w:hAnsi="Calibri" w:cs="Arial"/>
                <w:bCs/>
                <w:color w:val="000000"/>
              </w:rPr>
            </w:pPr>
            <w:r w:rsidRPr="007D1C06">
              <w:rPr>
                <w:rFonts w:ascii="Calibri" w:hAnsi="Calibri" w:cs="Arial"/>
                <w:bCs/>
                <w:color w:val="000000"/>
              </w:rPr>
              <w:t>Achievement of outputs and activities</w:t>
            </w:r>
          </w:p>
        </w:tc>
        <w:tc>
          <w:tcPr>
            <w:tcW w:w="5528" w:type="dxa"/>
            <w:shd w:val="clear" w:color="auto" w:fill="auto"/>
          </w:tcPr>
          <w:p w14:paraId="4BA60D16" w14:textId="77777777" w:rsidR="00AD2FAA" w:rsidRDefault="00AD2FAA" w:rsidP="00AD2FAA">
            <w:pPr>
              <w:pStyle w:val="PlainText"/>
              <w:spacing w:after="240"/>
              <w:jc w:val="right"/>
              <w:rPr>
                <w:rFonts w:ascii="Calibri" w:hAnsi="Calibri" w:cs="Arial"/>
                <w:bCs/>
                <w:color w:val="000000"/>
              </w:rPr>
            </w:pPr>
          </w:p>
          <w:p w14:paraId="3C50D637" w14:textId="77777777" w:rsidR="00AD2FAA" w:rsidRDefault="00AD2FAA" w:rsidP="00AD2FAA">
            <w:pPr>
              <w:pStyle w:val="PlainText"/>
              <w:spacing w:after="240"/>
              <w:rPr>
                <w:rFonts w:ascii="Calibri" w:hAnsi="Calibri" w:cs="Arial"/>
                <w:bCs/>
                <w:color w:val="000000"/>
              </w:rPr>
            </w:pPr>
            <w:r w:rsidRPr="0092447D">
              <w:rPr>
                <w:rFonts w:ascii="Calibri" w:hAnsi="Calibri" w:cs="Arial"/>
                <w:b/>
                <w:bCs/>
                <w:color w:val="000000"/>
              </w:rPr>
              <w:t>Component 1:</w:t>
            </w:r>
            <w:r>
              <w:rPr>
                <w:rFonts w:ascii="Calibri" w:hAnsi="Calibri" w:cs="Arial"/>
                <w:b/>
                <w:bCs/>
                <w:color w:val="000000"/>
              </w:rPr>
              <w:t xml:space="preserve"> HS –</w:t>
            </w:r>
            <w:r>
              <w:rPr>
                <w:rFonts w:ascii="Calibri" w:hAnsi="Calibri" w:cs="Arial"/>
                <w:bCs/>
                <w:color w:val="000000"/>
              </w:rPr>
              <w:t xml:space="preserve"> </w:t>
            </w:r>
            <w:r>
              <w:rPr>
                <w:rFonts w:ascii="Calibri" w:hAnsi="Calibri"/>
              </w:rPr>
              <w:t>A</w:t>
            </w:r>
            <w:r w:rsidRPr="00DA0AD2">
              <w:rPr>
                <w:rFonts w:ascii="Calibri" w:hAnsi="Calibri"/>
              </w:rPr>
              <w:t xml:space="preserve"> number of well organised and attended events across the MENA and other targeted regions that have been organised.  Relevant and demand led capacity building has clearly been enhanced and it is likely that all planned outputs and activities will be achieved or indeed exceeded in some subcomponents.</w:t>
            </w:r>
            <w:r w:rsidRPr="0040711B">
              <w:rPr>
                <w:rFonts w:ascii="Calibri" w:hAnsi="Calibri"/>
                <w:sz w:val="22"/>
                <w:szCs w:val="22"/>
              </w:rPr>
              <w:t xml:space="preserve"> </w:t>
            </w:r>
            <w:r>
              <w:rPr>
                <w:rFonts w:ascii="Calibri" w:hAnsi="Calibri"/>
                <w:sz w:val="22"/>
                <w:szCs w:val="22"/>
              </w:rPr>
              <w:t xml:space="preserve"> </w:t>
            </w:r>
          </w:p>
          <w:p w14:paraId="0436D1ED" w14:textId="77777777" w:rsidR="00AD2FAA" w:rsidRPr="00DA0AD2" w:rsidRDefault="00AD2FAA" w:rsidP="00AD2FAA">
            <w:pPr>
              <w:pStyle w:val="PlainText"/>
              <w:spacing w:after="240"/>
              <w:rPr>
                <w:rFonts w:asciiTheme="majorHAnsi" w:hAnsiTheme="majorHAnsi" w:cs="Arial"/>
                <w:b/>
                <w:bCs/>
                <w:color w:val="000000"/>
              </w:rPr>
            </w:pPr>
            <w:r w:rsidRPr="00DA0AD2">
              <w:rPr>
                <w:rFonts w:asciiTheme="majorHAnsi" w:hAnsiTheme="majorHAnsi" w:cs="Arial"/>
                <w:b/>
                <w:bCs/>
                <w:color w:val="000000"/>
              </w:rPr>
              <w:t>Component 2: MU –</w:t>
            </w:r>
            <w:r w:rsidRPr="00DA0AD2">
              <w:rPr>
                <w:rFonts w:asciiTheme="majorHAnsi" w:hAnsiTheme="majorHAnsi" w:cs="Arial"/>
              </w:rPr>
              <w:t xml:space="preserve"> </w:t>
            </w:r>
            <w:r w:rsidRPr="00DA0AD2">
              <w:rPr>
                <w:rFonts w:asciiTheme="majorHAnsi" w:hAnsiTheme="majorHAnsi"/>
              </w:rPr>
              <w:t xml:space="preserve">There were significant delays owing to technical issues in getting the community platforms ready on which the CoPs depend and it was then considered inadequate to some degree by both partners </w:t>
            </w:r>
            <w:r w:rsidRPr="00DA0AD2">
              <w:rPr>
                <w:rFonts w:asciiTheme="majorHAnsi" w:hAnsiTheme="majorHAnsi" w:cs="Arial"/>
              </w:rPr>
              <w:t>There has</w:t>
            </w:r>
            <w:proofErr w:type="gramStart"/>
            <w:r w:rsidRPr="00DA0AD2">
              <w:rPr>
                <w:rFonts w:asciiTheme="majorHAnsi" w:hAnsiTheme="majorHAnsi" w:cs="Arial"/>
              </w:rPr>
              <w:t>,  however</w:t>
            </w:r>
            <w:proofErr w:type="gramEnd"/>
            <w:r w:rsidRPr="00DA0AD2">
              <w:rPr>
                <w:rFonts w:asciiTheme="majorHAnsi" w:hAnsiTheme="majorHAnsi" w:cs="Arial"/>
              </w:rPr>
              <w:t>, undoubtedly been some success in building engagement outside the bounds of the platforms through face to face activities.</w:t>
            </w:r>
          </w:p>
          <w:p w14:paraId="462031B0" w14:textId="77777777" w:rsidR="00AD2FAA" w:rsidRDefault="00AD2FAA" w:rsidP="00AD2FAA">
            <w:pPr>
              <w:pStyle w:val="PlainText"/>
              <w:spacing w:after="240"/>
              <w:rPr>
                <w:rFonts w:ascii="Calibri" w:hAnsi="Calibri" w:cs="Arial"/>
                <w:bCs/>
                <w:color w:val="000000"/>
              </w:rPr>
            </w:pPr>
            <w:r>
              <w:rPr>
                <w:rFonts w:ascii="Calibri" w:hAnsi="Calibri" w:cs="Arial"/>
                <w:b/>
                <w:bCs/>
                <w:color w:val="000000"/>
              </w:rPr>
              <w:t>Component 3: S</w:t>
            </w:r>
            <w:r w:rsidRPr="00462790">
              <w:rPr>
                <w:rFonts w:ascii="Calibri" w:hAnsi="Calibri" w:cs="Arial"/>
                <w:b/>
                <w:bCs/>
                <w:color w:val="000000"/>
              </w:rPr>
              <w:t xml:space="preserve"> </w:t>
            </w:r>
            <w:r>
              <w:rPr>
                <w:rFonts w:ascii="Calibri" w:hAnsi="Calibri" w:cs="Arial"/>
                <w:bCs/>
                <w:color w:val="000000"/>
              </w:rPr>
              <w:t xml:space="preserve">– IWC6 and Science conference successfully delivered. Delays with Journal and 20 years of GEF publications. </w:t>
            </w:r>
          </w:p>
          <w:p w14:paraId="5C1EF671" w14:textId="04C446A8" w:rsidR="00AD2FAA" w:rsidRPr="00E957B2" w:rsidRDefault="006C543C" w:rsidP="00AD2FAA">
            <w:pPr>
              <w:pStyle w:val="PlainText"/>
              <w:spacing w:after="240"/>
              <w:rPr>
                <w:rFonts w:ascii="Calibri" w:hAnsi="Calibri" w:cs="Arial"/>
                <w:bCs/>
                <w:color w:val="000000"/>
              </w:rPr>
            </w:pPr>
            <w:r>
              <w:rPr>
                <w:rFonts w:ascii="Calibri" w:hAnsi="Calibri" w:cs="Arial"/>
                <w:b/>
                <w:bCs/>
                <w:color w:val="000000"/>
              </w:rPr>
              <w:t>Component 4: MS</w:t>
            </w:r>
            <w:r w:rsidR="00AD2FAA" w:rsidRPr="00462790">
              <w:rPr>
                <w:rFonts w:ascii="Calibri" w:hAnsi="Calibri" w:cs="Arial"/>
                <w:b/>
                <w:bCs/>
                <w:color w:val="000000"/>
              </w:rPr>
              <w:t xml:space="preserve"> </w:t>
            </w:r>
            <w:r w:rsidR="00AD2FAA">
              <w:rPr>
                <w:rFonts w:ascii="Calibri" w:hAnsi="Calibri" w:cs="Arial"/>
                <w:b/>
                <w:bCs/>
                <w:color w:val="000000"/>
              </w:rPr>
              <w:t xml:space="preserve">– </w:t>
            </w:r>
            <w:r w:rsidR="00AD2FAA">
              <w:rPr>
                <w:rFonts w:ascii="Calibri" w:hAnsi="Calibri" w:cs="Arial"/>
                <w:bCs/>
                <w:color w:val="000000"/>
              </w:rPr>
              <w:t xml:space="preserve">Key components such as CoP platforms, visualisation tool and archive still not complete to key stakeholders satisfaction. </w:t>
            </w:r>
          </w:p>
          <w:p w14:paraId="2AE12E29" w14:textId="1B7DD5E1" w:rsidR="00AD2FAA" w:rsidRPr="007D1C06" w:rsidRDefault="00AD2FAA" w:rsidP="00964201">
            <w:pPr>
              <w:pStyle w:val="PlainText"/>
              <w:spacing w:after="240"/>
              <w:rPr>
                <w:rFonts w:ascii="Calibri" w:hAnsi="Calibri" w:cs="Arial"/>
                <w:bCs/>
                <w:color w:val="000000"/>
              </w:rPr>
            </w:pPr>
            <w:r w:rsidRPr="00462790">
              <w:rPr>
                <w:rFonts w:ascii="Calibri" w:hAnsi="Calibri" w:cs="Arial"/>
                <w:b/>
                <w:bCs/>
                <w:color w:val="000000"/>
              </w:rPr>
              <w:t>Component 5: S</w:t>
            </w:r>
            <w:r>
              <w:rPr>
                <w:rFonts w:ascii="Calibri" w:hAnsi="Calibri" w:cs="Arial"/>
                <w:bCs/>
                <w:color w:val="000000"/>
              </w:rPr>
              <w:t xml:space="preserve"> – Reasonable progress on all but two sub-components</w:t>
            </w:r>
            <w:proofErr w:type="gramStart"/>
            <w:r>
              <w:rPr>
                <w:rFonts w:ascii="Calibri" w:hAnsi="Calibri" w:cs="Arial"/>
                <w:bCs/>
                <w:color w:val="000000"/>
              </w:rPr>
              <w:t>,  notably</w:t>
            </w:r>
            <w:proofErr w:type="gramEnd"/>
            <w:r>
              <w:rPr>
                <w:rFonts w:ascii="Calibri" w:hAnsi="Calibri" w:cs="Arial"/>
                <w:bCs/>
                <w:color w:val="000000"/>
              </w:rPr>
              <w:t xml:space="preserve"> </w:t>
            </w:r>
            <w:r w:rsidR="00964201">
              <w:rPr>
                <w:rFonts w:ascii="Calibri" w:hAnsi="Calibri" w:cs="Arial"/>
                <w:bCs/>
                <w:color w:val="000000"/>
              </w:rPr>
              <w:t>TDA/SAP</w:t>
            </w:r>
            <w:r>
              <w:rPr>
                <w:rFonts w:ascii="Calibri" w:hAnsi="Calibri" w:cs="Arial"/>
                <w:bCs/>
                <w:color w:val="000000"/>
              </w:rPr>
              <w:t xml:space="preserve"> methodology and PM Manual. Others are less critical but will be completed except for Insurance Index. </w:t>
            </w:r>
          </w:p>
        </w:tc>
        <w:tc>
          <w:tcPr>
            <w:tcW w:w="1426" w:type="dxa"/>
            <w:shd w:val="clear" w:color="auto" w:fill="auto"/>
            <w:vAlign w:val="center"/>
          </w:tcPr>
          <w:p w14:paraId="1BB49DF5" w14:textId="77777777" w:rsidR="00AD2FAA" w:rsidRPr="007D1C06" w:rsidRDefault="00AD2FAA" w:rsidP="00AD2FAA">
            <w:pPr>
              <w:pStyle w:val="BodyText2"/>
              <w:tabs>
                <w:tab w:val="num" w:pos="1440"/>
              </w:tabs>
              <w:spacing w:after="240"/>
              <w:ind w:right="173"/>
              <w:rPr>
                <w:rFonts w:ascii="Calibri" w:hAnsi="Calibri" w:cs="Arial"/>
                <w:bCs/>
                <w:color w:val="000000"/>
                <w:sz w:val="20"/>
                <w:szCs w:val="20"/>
              </w:rPr>
            </w:pPr>
          </w:p>
        </w:tc>
      </w:tr>
      <w:tr w:rsidR="00AD2FAA" w:rsidRPr="007D1C06" w14:paraId="41004D62" w14:textId="77777777" w:rsidTr="00AD2FAA">
        <w:trPr>
          <w:cantSplit/>
        </w:trPr>
        <w:tc>
          <w:tcPr>
            <w:tcW w:w="2376" w:type="dxa"/>
            <w:shd w:val="clear" w:color="auto" w:fill="auto"/>
          </w:tcPr>
          <w:p w14:paraId="10CB81BA" w14:textId="77777777" w:rsidR="00AD2FAA" w:rsidRPr="007D1C06" w:rsidRDefault="00AD2FAA" w:rsidP="00AD2FAA">
            <w:pPr>
              <w:pStyle w:val="PlainText"/>
              <w:spacing w:after="240"/>
              <w:jc w:val="right"/>
              <w:rPr>
                <w:rFonts w:ascii="Calibri" w:hAnsi="Calibri" w:cs="Arial"/>
                <w:bCs/>
                <w:color w:val="000000"/>
              </w:rPr>
            </w:pPr>
            <w:r w:rsidRPr="007D1C06">
              <w:rPr>
                <w:rFonts w:ascii="Calibri" w:hAnsi="Calibri" w:cs="Arial"/>
                <w:bCs/>
                <w:color w:val="000000"/>
              </w:rPr>
              <w:t xml:space="preserve">Effectiveness </w:t>
            </w:r>
          </w:p>
        </w:tc>
        <w:tc>
          <w:tcPr>
            <w:tcW w:w="5528" w:type="dxa"/>
            <w:shd w:val="clear" w:color="auto" w:fill="auto"/>
          </w:tcPr>
          <w:p w14:paraId="6A3C65B4" w14:textId="77777777" w:rsidR="00AD2FAA" w:rsidRPr="00CC6EF9" w:rsidRDefault="00AD2FAA" w:rsidP="00AD2FAA">
            <w:pPr>
              <w:pStyle w:val="PlainText"/>
              <w:rPr>
                <w:rFonts w:asciiTheme="majorHAnsi" w:hAnsiTheme="majorHAnsi" w:cs="Arial"/>
                <w:bCs/>
                <w:color w:val="000000"/>
              </w:rPr>
            </w:pPr>
            <w:r w:rsidRPr="00CC6EF9">
              <w:rPr>
                <w:rFonts w:asciiTheme="majorHAnsi" w:hAnsiTheme="majorHAnsi"/>
              </w:rPr>
              <w:t xml:space="preserve">The project has delivered significant results during its first half of implementation and it is expected that this progress will continue in the second half provided the shortcomings of certain components especially CoPs and ICT platforms are corrected.   </w:t>
            </w:r>
          </w:p>
        </w:tc>
        <w:tc>
          <w:tcPr>
            <w:tcW w:w="1426" w:type="dxa"/>
            <w:shd w:val="clear" w:color="auto" w:fill="auto"/>
            <w:vAlign w:val="center"/>
          </w:tcPr>
          <w:p w14:paraId="2A169FE1"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MS</w:t>
            </w:r>
          </w:p>
        </w:tc>
      </w:tr>
      <w:tr w:rsidR="00AD2FAA" w:rsidRPr="007D1C06" w14:paraId="13D0241B" w14:textId="77777777" w:rsidTr="00AD2FAA">
        <w:trPr>
          <w:cantSplit/>
        </w:trPr>
        <w:tc>
          <w:tcPr>
            <w:tcW w:w="2376" w:type="dxa"/>
            <w:shd w:val="clear" w:color="auto" w:fill="auto"/>
          </w:tcPr>
          <w:p w14:paraId="43A58FDA" w14:textId="77777777" w:rsidR="00AD2FAA" w:rsidRPr="007D1C06" w:rsidRDefault="00AD2FAA" w:rsidP="00AD2FAA">
            <w:pPr>
              <w:pStyle w:val="PlainText"/>
              <w:jc w:val="right"/>
              <w:rPr>
                <w:rFonts w:ascii="Calibri" w:hAnsi="Calibri" w:cs="Arial"/>
                <w:bCs/>
                <w:color w:val="000000"/>
              </w:rPr>
            </w:pPr>
            <w:r w:rsidRPr="007D1C06">
              <w:rPr>
                <w:rFonts w:ascii="Calibri" w:hAnsi="Calibri" w:cs="Arial"/>
                <w:bCs/>
                <w:color w:val="000000"/>
              </w:rPr>
              <w:t>Relevance</w:t>
            </w:r>
          </w:p>
        </w:tc>
        <w:tc>
          <w:tcPr>
            <w:tcW w:w="5528" w:type="dxa"/>
            <w:shd w:val="clear" w:color="auto" w:fill="auto"/>
          </w:tcPr>
          <w:p w14:paraId="418C8393"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The project design clearly meets the needs of the IW Portfolio and its key stakeholders in GEF, IAs and Project Managers.</w:t>
            </w:r>
          </w:p>
        </w:tc>
        <w:tc>
          <w:tcPr>
            <w:tcW w:w="1426" w:type="dxa"/>
            <w:shd w:val="clear" w:color="auto" w:fill="auto"/>
            <w:vAlign w:val="center"/>
          </w:tcPr>
          <w:p w14:paraId="46A06F06"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HS</w:t>
            </w:r>
          </w:p>
        </w:tc>
      </w:tr>
      <w:tr w:rsidR="00AD2FAA" w:rsidRPr="007D1C06" w14:paraId="473AA8EA" w14:textId="77777777" w:rsidTr="00AD2FAA">
        <w:trPr>
          <w:cantSplit/>
        </w:trPr>
        <w:tc>
          <w:tcPr>
            <w:tcW w:w="2376" w:type="dxa"/>
            <w:shd w:val="clear" w:color="auto" w:fill="auto"/>
          </w:tcPr>
          <w:p w14:paraId="3305DB01" w14:textId="77777777" w:rsidR="00AD2FAA" w:rsidRPr="007D1C06" w:rsidRDefault="00AD2FAA" w:rsidP="00AD2FAA">
            <w:pPr>
              <w:pStyle w:val="PlainText"/>
              <w:jc w:val="right"/>
              <w:rPr>
                <w:rFonts w:ascii="Calibri" w:hAnsi="Calibri" w:cs="Arial"/>
                <w:bCs/>
                <w:color w:val="000000"/>
              </w:rPr>
            </w:pPr>
            <w:r w:rsidRPr="007D1C06">
              <w:rPr>
                <w:rFonts w:ascii="Calibri" w:hAnsi="Calibri" w:cs="Arial"/>
                <w:bCs/>
                <w:color w:val="000000"/>
              </w:rPr>
              <w:t>Efficiency</w:t>
            </w:r>
          </w:p>
        </w:tc>
        <w:tc>
          <w:tcPr>
            <w:tcW w:w="5528" w:type="dxa"/>
            <w:shd w:val="clear" w:color="auto" w:fill="auto"/>
          </w:tcPr>
          <w:p w14:paraId="02AF7BE0" w14:textId="77777777" w:rsidR="00AD2FAA" w:rsidRPr="001F41EA" w:rsidRDefault="00AD2FAA" w:rsidP="00AD2FAA">
            <w:pPr>
              <w:pStyle w:val="PlainText"/>
              <w:rPr>
                <w:rFonts w:asciiTheme="majorHAnsi" w:hAnsiTheme="majorHAnsi" w:cs="Arial"/>
                <w:bCs/>
                <w:color w:val="000000"/>
              </w:rPr>
            </w:pPr>
            <w:r w:rsidRPr="001F41EA">
              <w:rPr>
                <w:rFonts w:asciiTheme="majorHAnsi" w:hAnsiTheme="majorHAnsi" w:cs="Arial"/>
                <w:bCs/>
                <w:color w:val="000000"/>
              </w:rPr>
              <w:t xml:space="preserve">Although largely on track with regard to use of GEF funds </w:t>
            </w:r>
            <w:r w:rsidRPr="001F41EA">
              <w:rPr>
                <w:rFonts w:asciiTheme="majorHAnsi" w:hAnsiTheme="majorHAnsi"/>
              </w:rPr>
              <w:t>and most activities are on schedule there are some notable exceptions whose completion is outstanding. Most critical are the delays in a) finalising the ICT platforms</w:t>
            </w:r>
            <w:proofErr w:type="gramStart"/>
            <w:r w:rsidRPr="001F41EA">
              <w:rPr>
                <w:rFonts w:asciiTheme="majorHAnsi" w:hAnsiTheme="majorHAnsi"/>
              </w:rPr>
              <w:t>,  b</w:t>
            </w:r>
            <w:proofErr w:type="gramEnd"/>
            <w:r w:rsidRPr="001F41EA">
              <w:rPr>
                <w:rFonts w:asciiTheme="majorHAnsi" w:hAnsiTheme="majorHAnsi"/>
              </w:rPr>
              <w:t xml:space="preserve">) full completion of the TDA/SAP and PM manuals and c) Climate mainstreaming.  </w:t>
            </w:r>
            <w:r>
              <w:rPr>
                <w:rFonts w:asciiTheme="majorHAnsi" w:hAnsiTheme="majorHAnsi"/>
              </w:rPr>
              <w:t xml:space="preserve">Dual IAs/EAs considered inefficient. </w:t>
            </w:r>
          </w:p>
        </w:tc>
        <w:tc>
          <w:tcPr>
            <w:tcW w:w="1426" w:type="dxa"/>
            <w:shd w:val="clear" w:color="auto" w:fill="auto"/>
            <w:vAlign w:val="center"/>
          </w:tcPr>
          <w:p w14:paraId="212FF0EE" w14:textId="3F4C4DF1"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w:t>
            </w:r>
            <w:r w:rsidR="00623323">
              <w:rPr>
                <w:rFonts w:ascii="Calibri" w:hAnsi="Calibri" w:cs="Arial"/>
                <w:color w:val="000000"/>
                <w:sz w:val="20"/>
                <w:szCs w:val="20"/>
              </w:rPr>
              <w:t>S</w:t>
            </w:r>
          </w:p>
        </w:tc>
      </w:tr>
      <w:tr w:rsidR="00AD2FAA" w:rsidRPr="007D1C06" w14:paraId="52F0CAB9" w14:textId="77777777" w:rsidTr="00AD2FAA">
        <w:tc>
          <w:tcPr>
            <w:tcW w:w="2376" w:type="dxa"/>
            <w:tcBorders>
              <w:bottom w:val="single" w:sz="4" w:space="0" w:color="auto"/>
            </w:tcBorders>
            <w:shd w:val="clear" w:color="auto" w:fill="auto"/>
          </w:tcPr>
          <w:p w14:paraId="306EEA4E" w14:textId="77777777" w:rsidR="00AD2FAA" w:rsidRPr="001F41EA" w:rsidRDefault="00AD2FAA" w:rsidP="00AD2FAA">
            <w:pPr>
              <w:pStyle w:val="PlainText"/>
              <w:jc w:val="right"/>
              <w:rPr>
                <w:rFonts w:asciiTheme="majorHAnsi" w:hAnsiTheme="majorHAnsi" w:cs="Arial"/>
                <w:bCs/>
                <w:color w:val="000000"/>
              </w:rPr>
            </w:pPr>
            <w:r w:rsidRPr="001F41EA">
              <w:rPr>
                <w:rFonts w:asciiTheme="majorHAnsi" w:hAnsiTheme="majorHAnsi" w:cs="Arial"/>
                <w:bCs/>
                <w:color w:val="000000"/>
              </w:rPr>
              <w:t xml:space="preserve">Assumptions and Risks </w:t>
            </w:r>
          </w:p>
        </w:tc>
        <w:tc>
          <w:tcPr>
            <w:tcW w:w="5528" w:type="dxa"/>
            <w:tcBorders>
              <w:bottom w:val="single" w:sz="4" w:space="0" w:color="auto"/>
            </w:tcBorders>
            <w:shd w:val="clear" w:color="auto" w:fill="auto"/>
          </w:tcPr>
          <w:p w14:paraId="2A1F8F40" w14:textId="77777777" w:rsidR="00AD2FAA" w:rsidRPr="008F6902" w:rsidRDefault="00AD2FAA" w:rsidP="00AD2FAA">
            <w:pPr>
              <w:pStyle w:val="PlainText"/>
              <w:rPr>
                <w:rFonts w:ascii="Calibri" w:hAnsi="Calibri" w:cs="Arial"/>
                <w:bCs/>
                <w:color w:val="000000"/>
              </w:rPr>
            </w:pPr>
            <w:r w:rsidRPr="008F6902">
              <w:rPr>
                <w:rFonts w:asciiTheme="majorHAnsi" w:hAnsiTheme="majorHAnsi"/>
              </w:rPr>
              <w:t xml:space="preserve">The assumptions and risks identified seem appropriate for this project but it is now clear that the </w:t>
            </w:r>
            <w:proofErr w:type="gramStart"/>
            <w:r w:rsidRPr="008F6902">
              <w:rPr>
                <w:rFonts w:asciiTheme="majorHAnsi" w:hAnsiTheme="majorHAnsi"/>
              </w:rPr>
              <w:t>level of certain risks pertaining to CoP participation are</w:t>
            </w:r>
            <w:proofErr w:type="gramEnd"/>
            <w:r w:rsidRPr="008F6902">
              <w:rPr>
                <w:rFonts w:asciiTheme="majorHAnsi" w:hAnsiTheme="majorHAnsi"/>
              </w:rPr>
              <w:t xml:space="preserve"> currently</w:t>
            </w:r>
            <w:r>
              <w:rPr>
                <w:rFonts w:asciiTheme="majorHAnsi" w:hAnsiTheme="majorHAnsi"/>
              </w:rPr>
              <w:t xml:space="preserve"> deemed to be</w:t>
            </w:r>
            <w:r w:rsidRPr="008F6902">
              <w:rPr>
                <w:rFonts w:asciiTheme="majorHAnsi" w:hAnsiTheme="majorHAnsi"/>
              </w:rPr>
              <w:t xml:space="preserve"> higher.</w:t>
            </w:r>
          </w:p>
        </w:tc>
        <w:tc>
          <w:tcPr>
            <w:tcW w:w="1426" w:type="dxa"/>
            <w:tcBorders>
              <w:bottom w:val="single" w:sz="4" w:space="0" w:color="auto"/>
            </w:tcBorders>
            <w:shd w:val="clear" w:color="auto" w:fill="auto"/>
            <w:vAlign w:val="center"/>
          </w:tcPr>
          <w:p w14:paraId="17C746B8" w14:textId="77777777" w:rsidR="00AD2FAA" w:rsidRDefault="00AD2FAA" w:rsidP="00AD2FAA">
            <w:pPr>
              <w:pStyle w:val="BodyText2"/>
              <w:tabs>
                <w:tab w:val="num" w:pos="1440"/>
              </w:tabs>
              <w:spacing w:after="60"/>
              <w:ind w:right="173"/>
              <w:rPr>
                <w:rFonts w:ascii="Calibri" w:hAnsi="Calibri" w:cs="Arial"/>
                <w:color w:val="000000"/>
                <w:sz w:val="20"/>
                <w:szCs w:val="20"/>
              </w:rPr>
            </w:pPr>
            <w:r>
              <w:rPr>
                <w:rFonts w:ascii="Calibri" w:hAnsi="Calibri" w:cs="Arial"/>
                <w:color w:val="000000"/>
                <w:sz w:val="20"/>
                <w:szCs w:val="20"/>
              </w:rPr>
              <w:t>S</w:t>
            </w:r>
          </w:p>
        </w:tc>
      </w:tr>
      <w:tr w:rsidR="00AD2FAA" w:rsidRPr="007D1C06" w14:paraId="5BCB41F1" w14:textId="77777777" w:rsidTr="00AD2FAA">
        <w:tc>
          <w:tcPr>
            <w:tcW w:w="2376" w:type="dxa"/>
            <w:tcBorders>
              <w:bottom w:val="single" w:sz="4" w:space="0" w:color="auto"/>
            </w:tcBorders>
            <w:shd w:val="clear" w:color="auto" w:fill="F3F3F3"/>
          </w:tcPr>
          <w:p w14:paraId="7A9DF8CA" w14:textId="77777777" w:rsidR="00AD2FAA" w:rsidRPr="007D1C06" w:rsidRDefault="00AD2FAA" w:rsidP="00AD2FAA">
            <w:pPr>
              <w:pStyle w:val="PlainText"/>
              <w:rPr>
                <w:rFonts w:ascii="Calibri" w:hAnsi="Calibri" w:cs="Arial"/>
                <w:b/>
                <w:bCs/>
                <w:color w:val="000000"/>
              </w:rPr>
            </w:pPr>
            <w:r>
              <w:rPr>
                <w:rFonts w:ascii="Calibri" w:hAnsi="Calibri" w:cs="Arial"/>
                <w:b/>
                <w:bCs/>
                <w:color w:val="000000"/>
              </w:rPr>
              <w:t xml:space="preserve">Progress toward Achievement </w:t>
            </w:r>
            <w:r w:rsidRPr="007D1C06">
              <w:rPr>
                <w:rFonts w:ascii="Calibri" w:hAnsi="Calibri" w:cs="Arial"/>
                <w:b/>
                <w:bCs/>
                <w:color w:val="000000"/>
              </w:rPr>
              <w:t xml:space="preserve">of Project outcomes </w:t>
            </w:r>
          </w:p>
          <w:p w14:paraId="195E5891" w14:textId="77777777" w:rsidR="00AD2FAA" w:rsidRPr="007D1C06" w:rsidRDefault="00AD2FAA" w:rsidP="00AD2FAA">
            <w:pPr>
              <w:pStyle w:val="PlainText"/>
              <w:jc w:val="right"/>
              <w:rPr>
                <w:rFonts w:ascii="Calibri" w:hAnsi="Calibri" w:cs="Arial"/>
                <w:b/>
                <w:bCs/>
                <w:color w:val="000000"/>
              </w:rPr>
            </w:pPr>
          </w:p>
        </w:tc>
        <w:tc>
          <w:tcPr>
            <w:tcW w:w="5528" w:type="dxa"/>
            <w:tcBorders>
              <w:bottom w:val="single" w:sz="4" w:space="0" w:color="auto"/>
            </w:tcBorders>
            <w:shd w:val="clear" w:color="auto" w:fill="F3F3F3"/>
          </w:tcPr>
          <w:p w14:paraId="53787DD4"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 xml:space="preserve">The project is making good progress toward achieving its outcomes and by so doing significantly increase the cost effectiveness of GEF investment however concerted and innovative efforts will be required by all parties to ensure sustainability which is sought after by all stakeholders. </w:t>
            </w:r>
          </w:p>
        </w:tc>
        <w:tc>
          <w:tcPr>
            <w:tcW w:w="1426" w:type="dxa"/>
            <w:tcBorders>
              <w:bottom w:val="single" w:sz="4" w:space="0" w:color="auto"/>
            </w:tcBorders>
            <w:shd w:val="clear" w:color="auto" w:fill="F3F3F3"/>
            <w:vAlign w:val="center"/>
          </w:tcPr>
          <w:p w14:paraId="50800EF9"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ML</w:t>
            </w:r>
          </w:p>
        </w:tc>
      </w:tr>
      <w:tr w:rsidR="00AD2FAA" w:rsidRPr="007D1C06" w14:paraId="3974E2DD" w14:textId="77777777" w:rsidTr="00AD2FAA">
        <w:tc>
          <w:tcPr>
            <w:tcW w:w="2376" w:type="dxa"/>
            <w:tcBorders>
              <w:bottom w:val="single" w:sz="4" w:space="0" w:color="auto"/>
            </w:tcBorders>
            <w:shd w:val="clear" w:color="auto" w:fill="F3F3F3"/>
          </w:tcPr>
          <w:p w14:paraId="1FADB270" w14:textId="77777777" w:rsidR="00AD2FAA" w:rsidRPr="007D1C06" w:rsidRDefault="00AD2FAA" w:rsidP="00AD2FAA">
            <w:pPr>
              <w:pStyle w:val="PlainText"/>
              <w:rPr>
                <w:rFonts w:ascii="Calibri" w:hAnsi="Calibri" w:cs="Arial"/>
                <w:b/>
                <w:bCs/>
                <w:color w:val="000000"/>
              </w:rPr>
            </w:pPr>
            <w:r w:rsidRPr="007D1C06">
              <w:rPr>
                <w:rFonts w:ascii="Calibri" w:hAnsi="Calibri" w:cs="Arial"/>
                <w:b/>
                <w:bCs/>
                <w:color w:val="000000"/>
              </w:rPr>
              <w:t>Catalytic Role</w:t>
            </w:r>
          </w:p>
        </w:tc>
        <w:tc>
          <w:tcPr>
            <w:tcW w:w="5528" w:type="dxa"/>
            <w:tcBorders>
              <w:bottom w:val="single" w:sz="4" w:space="0" w:color="auto"/>
            </w:tcBorders>
            <w:shd w:val="clear" w:color="auto" w:fill="F3F3F3"/>
          </w:tcPr>
          <w:p w14:paraId="65A33E23"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 xml:space="preserve">There are some initial examples of catalytic affects especially in the SEE Med regions. Information is currently lacking for the other components and must be collected during the remainder of the project.  </w:t>
            </w:r>
          </w:p>
        </w:tc>
        <w:tc>
          <w:tcPr>
            <w:tcW w:w="1426" w:type="dxa"/>
            <w:tcBorders>
              <w:bottom w:val="single" w:sz="4" w:space="0" w:color="auto"/>
            </w:tcBorders>
            <w:shd w:val="clear" w:color="auto" w:fill="F3F3F3"/>
            <w:vAlign w:val="center"/>
          </w:tcPr>
          <w:p w14:paraId="4293C18C"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7D1C06" w14:paraId="2BB16C3F" w14:textId="77777777" w:rsidTr="00AD2FAA">
        <w:tc>
          <w:tcPr>
            <w:tcW w:w="2376" w:type="dxa"/>
            <w:tcBorders>
              <w:bottom w:val="single" w:sz="4" w:space="0" w:color="auto"/>
            </w:tcBorders>
            <w:shd w:val="clear" w:color="auto" w:fill="F3F3F3"/>
          </w:tcPr>
          <w:p w14:paraId="54300B4E" w14:textId="77777777" w:rsidR="00AD2FAA" w:rsidRPr="007D1C06" w:rsidRDefault="00AD2FAA" w:rsidP="00AD2FAA">
            <w:pPr>
              <w:pStyle w:val="PlainText"/>
              <w:rPr>
                <w:rFonts w:ascii="Calibri" w:hAnsi="Calibri" w:cs="Arial"/>
                <w:b/>
                <w:bCs/>
                <w:color w:val="000000"/>
              </w:rPr>
            </w:pPr>
            <w:r w:rsidRPr="007D1C06">
              <w:rPr>
                <w:rFonts w:ascii="Calibri" w:hAnsi="Calibri" w:cs="Arial"/>
                <w:b/>
                <w:bCs/>
                <w:color w:val="000000"/>
              </w:rPr>
              <w:t xml:space="preserve">Monitoring and Evaluation </w:t>
            </w:r>
            <w:r w:rsidRPr="007D1C06">
              <w:rPr>
                <w:rFonts w:ascii="Calibri" w:hAnsi="Calibri" w:cs="Arial"/>
                <w:b/>
                <w:bCs/>
                <w:color w:val="000000"/>
              </w:rPr>
              <w:br/>
              <w:t>(overall rating)</w:t>
            </w:r>
          </w:p>
          <w:p w14:paraId="522E9311" w14:textId="77777777" w:rsidR="00AD2FAA" w:rsidRPr="007D1C06" w:rsidRDefault="00AD2FAA" w:rsidP="00AD2FAA">
            <w:pPr>
              <w:pStyle w:val="PlainText"/>
              <w:jc w:val="right"/>
              <w:rPr>
                <w:rFonts w:ascii="Calibri" w:hAnsi="Calibri" w:cs="Arial"/>
                <w:b/>
                <w:bCs/>
                <w:color w:val="000000"/>
              </w:rPr>
            </w:pPr>
            <w:r w:rsidRPr="007D1C06">
              <w:rPr>
                <w:rFonts w:ascii="Calibri" w:hAnsi="Calibri" w:cs="Arial"/>
                <w:b/>
                <w:bCs/>
                <w:color w:val="000000"/>
              </w:rPr>
              <w:t>Sub criteria (below)</w:t>
            </w:r>
          </w:p>
        </w:tc>
        <w:tc>
          <w:tcPr>
            <w:tcW w:w="5528" w:type="dxa"/>
            <w:tcBorders>
              <w:bottom w:val="single" w:sz="4" w:space="0" w:color="auto"/>
            </w:tcBorders>
            <w:shd w:val="clear" w:color="auto" w:fill="F3F3F3"/>
          </w:tcPr>
          <w:p w14:paraId="5FCCC3F2"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 xml:space="preserve">The project was designed with a comprehensive M&amp;E plan and the various elements have been properly implemented during the course of the project to date. </w:t>
            </w:r>
          </w:p>
        </w:tc>
        <w:tc>
          <w:tcPr>
            <w:tcW w:w="1426" w:type="dxa"/>
            <w:tcBorders>
              <w:bottom w:val="single" w:sz="4" w:space="0" w:color="auto"/>
            </w:tcBorders>
            <w:shd w:val="clear" w:color="auto" w:fill="F3F3F3"/>
            <w:vAlign w:val="center"/>
          </w:tcPr>
          <w:p w14:paraId="4D8613C6"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465249" w14:paraId="73AB7AF2" w14:textId="77777777" w:rsidTr="00AD2FAA">
        <w:tc>
          <w:tcPr>
            <w:tcW w:w="2376" w:type="dxa"/>
            <w:shd w:val="clear" w:color="auto" w:fill="auto"/>
            <w:vAlign w:val="center"/>
          </w:tcPr>
          <w:p w14:paraId="50927425" w14:textId="77777777" w:rsidR="00AD2FAA" w:rsidRPr="00465249" w:rsidRDefault="00AD2FAA" w:rsidP="00AD2FAA">
            <w:pPr>
              <w:pStyle w:val="PlainText"/>
              <w:ind w:left="180"/>
              <w:jc w:val="right"/>
              <w:rPr>
                <w:rFonts w:ascii="Calibri" w:hAnsi="Calibri" w:cs="Arial"/>
                <w:bCs/>
                <w:color w:val="000000"/>
              </w:rPr>
            </w:pPr>
            <w:r w:rsidRPr="00465249">
              <w:rPr>
                <w:rFonts w:ascii="Calibri" w:hAnsi="Calibri" w:cs="Arial"/>
                <w:bCs/>
                <w:color w:val="000000"/>
              </w:rPr>
              <w:t>M&amp;E Design</w:t>
            </w:r>
          </w:p>
        </w:tc>
        <w:tc>
          <w:tcPr>
            <w:tcW w:w="5528" w:type="dxa"/>
            <w:shd w:val="clear" w:color="auto" w:fill="auto"/>
          </w:tcPr>
          <w:p w14:paraId="1D7E7F51" w14:textId="77777777" w:rsidR="00AD2FAA" w:rsidRPr="00465249" w:rsidRDefault="00AD2FAA" w:rsidP="00AD2FAA">
            <w:pPr>
              <w:pStyle w:val="PlainText"/>
              <w:rPr>
                <w:rFonts w:asciiTheme="majorHAnsi" w:hAnsiTheme="majorHAnsi" w:cs="Arial"/>
                <w:bCs/>
                <w:color w:val="000000"/>
              </w:rPr>
            </w:pPr>
            <w:r w:rsidRPr="00465249">
              <w:rPr>
                <w:rFonts w:asciiTheme="majorHAnsi" w:hAnsiTheme="majorHAnsi"/>
              </w:rPr>
              <w:t>The project documents and Inception report contain details of a comprehensive M&amp;E and associated, roles responsibilities and budgets consistent with GEF and IA M&amp;E policies.  The Project Results Framework is fully elaborated and clear attempts have been made to make the Outcome indicators SMART</w:t>
            </w:r>
            <w:r w:rsidRPr="00465249">
              <w:rPr>
                <w:rStyle w:val="FootnoteReference"/>
                <w:rFonts w:asciiTheme="majorHAnsi" w:eastAsia="Calibri" w:hAnsiTheme="majorHAnsi"/>
              </w:rPr>
              <w:footnoteReference w:id="5"/>
            </w:r>
            <w:r w:rsidRPr="00465249">
              <w:rPr>
                <w:rFonts w:asciiTheme="majorHAnsi" w:hAnsiTheme="majorHAnsi"/>
              </w:rPr>
              <w:t xml:space="preserve"> although some are considered to be lacking in this respect.</w:t>
            </w:r>
          </w:p>
        </w:tc>
        <w:tc>
          <w:tcPr>
            <w:tcW w:w="1426" w:type="dxa"/>
            <w:shd w:val="clear" w:color="auto" w:fill="auto"/>
            <w:vAlign w:val="center"/>
          </w:tcPr>
          <w:p w14:paraId="18E71208" w14:textId="77777777" w:rsidR="00AD2FAA" w:rsidRPr="00465249" w:rsidRDefault="00AD2FAA" w:rsidP="00AD2FAA">
            <w:pPr>
              <w:pStyle w:val="BodyText2"/>
              <w:tabs>
                <w:tab w:val="num" w:pos="1440"/>
              </w:tabs>
              <w:spacing w:after="60"/>
              <w:ind w:right="173"/>
              <w:rPr>
                <w:rFonts w:ascii="Calibri" w:hAnsi="Calibri" w:cs="Arial"/>
                <w:bCs/>
                <w:color w:val="000000"/>
                <w:sz w:val="20"/>
                <w:szCs w:val="20"/>
              </w:rPr>
            </w:pPr>
            <w:r w:rsidRPr="00465249">
              <w:rPr>
                <w:rFonts w:ascii="Calibri" w:hAnsi="Calibri" w:cs="Arial"/>
                <w:color w:val="000000"/>
                <w:sz w:val="20"/>
                <w:szCs w:val="20"/>
              </w:rPr>
              <w:t>S</w:t>
            </w:r>
          </w:p>
        </w:tc>
      </w:tr>
      <w:tr w:rsidR="00AD2FAA" w:rsidRPr="00465249" w14:paraId="0B9F85A1" w14:textId="77777777" w:rsidTr="00AD2FAA">
        <w:tc>
          <w:tcPr>
            <w:tcW w:w="2376" w:type="dxa"/>
            <w:shd w:val="clear" w:color="auto" w:fill="auto"/>
            <w:vAlign w:val="center"/>
          </w:tcPr>
          <w:p w14:paraId="14987F0B" w14:textId="77777777" w:rsidR="00AD2FAA" w:rsidRPr="00465249" w:rsidRDefault="00AD2FAA" w:rsidP="00AD2FAA">
            <w:pPr>
              <w:pStyle w:val="PlainText"/>
              <w:ind w:left="180"/>
              <w:jc w:val="right"/>
              <w:rPr>
                <w:rFonts w:ascii="Calibri" w:hAnsi="Calibri" w:cs="Arial"/>
                <w:bCs/>
                <w:color w:val="000000"/>
              </w:rPr>
            </w:pPr>
            <w:r w:rsidRPr="00465249">
              <w:rPr>
                <w:rFonts w:ascii="Calibri" w:hAnsi="Calibri" w:cs="Arial"/>
                <w:bCs/>
                <w:color w:val="000000"/>
              </w:rPr>
              <w:t xml:space="preserve">M&amp;E Plan Implementation </w:t>
            </w:r>
          </w:p>
        </w:tc>
        <w:tc>
          <w:tcPr>
            <w:tcW w:w="5528" w:type="dxa"/>
            <w:shd w:val="clear" w:color="auto" w:fill="auto"/>
          </w:tcPr>
          <w:p w14:paraId="394E767A" w14:textId="77777777" w:rsidR="00AD2FAA" w:rsidRPr="00465249" w:rsidRDefault="00AD2FAA" w:rsidP="00AD2FAA">
            <w:pPr>
              <w:pStyle w:val="PlainText"/>
              <w:rPr>
                <w:rFonts w:ascii="Calibri" w:hAnsi="Calibri" w:cs="Arial"/>
                <w:bCs/>
                <w:color w:val="000000"/>
              </w:rPr>
            </w:pPr>
            <w:r w:rsidRPr="00465249">
              <w:rPr>
                <w:rFonts w:ascii="Calibri" w:hAnsi="Calibri" w:cs="Arial"/>
                <w:bCs/>
                <w:color w:val="000000"/>
              </w:rPr>
              <w:t>The Project Inception Report provided an updating of the projects results framework with some modification to targets and risks however not mid-term indicators were formulated. Although the quarterly reports have been produced as required some amendments are required and a mechanism put in place to provide feedback.</w:t>
            </w:r>
          </w:p>
        </w:tc>
        <w:tc>
          <w:tcPr>
            <w:tcW w:w="1426" w:type="dxa"/>
            <w:shd w:val="clear" w:color="auto" w:fill="auto"/>
            <w:vAlign w:val="center"/>
          </w:tcPr>
          <w:p w14:paraId="122409FA" w14:textId="77777777" w:rsidR="00AD2FAA" w:rsidRPr="00465249" w:rsidRDefault="00AD2FAA" w:rsidP="00AD2FAA">
            <w:pPr>
              <w:pStyle w:val="BodyText2"/>
              <w:tabs>
                <w:tab w:val="num" w:pos="1440"/>
              </w:tabs>
              <w:spacing w:after="60"/>
              <w:ind w:right="173"/>
              <w:rPr>
                <w:rFonts w:ascii="Calibri" w:hAnsi="Calibri" w:cs="Arial"/>
                <w:bCs/>
                <w:color w:val="000000"/>
                <w:sz w:val="20"/>
                <w:szCs w:val="20"/>
              </w:rPr>
            </w:pPr>
            <w:r w:rsidRPr="00465249">
              <w:rPr>
                <w:rFonts w:ascii="Calibri" w:hAnsi="Calibri" w:cs="Arial"/>
                <w:color w:val="000000"/>
                <w:sz w:val="20"/>
                <w:szCs w:val="20"/>
              </w:rPr>
              <w:t>S</w:t>
            </w:r>
          </w:p>
        </w:tc>
      </w:tr>
      <w:tr w:rsidR="00AD2FAA" w:rsidRPr="00465249" w14:paraId="2A008AB6" w14:textId="77777777" w:rsidTr="00AD2FAA">
        <w:tc>
          <w:tcPr>
            <w:tcW w:w="2376" w:type="dxa"/>
            <w:tcBorders>
              <w:bottom w:val="single" w:sz="4" w:space="0" w:color="auto"/>
            </w:tcBorders>
            <w:shd w:val="clear" w:color="auto" w:fill="auto"/>
            <w:vAlign w:val="center"/>
          </w:tcPr>
          <w:p w14:paraId="01D621BF" w14:textId="77777777" w:rsidR="00AD2FAA" w:rsidRPr="00465249" w:rsidRDefault="00AD2FAA" w:rsidP="00AD2FAA">
            <w:pPr>
              <w:pStyle w:val="PlainText"/>
              <w:ind w:left="180"/>
              <w:jc w:val="right"/>
              <w:rPr>
                <w:rFonts w:ascii="Calibri" w:hAnsi="Calibri" w:cs="Arial"/>
                <w:bCs/>
                <w:color w:val="000000"/>
              </w:rPr>
            </w:pPr>
            <w:r w:rsidRPr="00465249">
              <w:rPr>
                <w:rFonts w:ascii="Calibri" w:hAnsi="Calibri" w:cs="Arial"/>
                <w:bCs/>
                <w:color w:val="000000"/>
              </w:rPr>
              <w:t>Budgeting and Funding for M&amp;E activities</w:t>
            </w:r>
          </w:p>
        </w:tc>
        <w:tc>
          <w:tcPr>
            <w:tcW w:w="5528" w:type="dxa"/>
            <w:tcBorders>
              <w:bottom w:val="single" w:sz="4" w:space="0" w:color="auto"/>
            </w:tcBorders>
            <w:shd w:val="clear" w:color="auto" w:fill="auto"/>
          </w:tcPr>
          <w:p w14:paraId="0ED94EF7" w14:textId="77777777" w:rsidR="00AD2FAA" w:rsidRPr="00465249" w:rsidRDefault="00AD2FAA" w:rsidP="00AD2FAA">
            <w:pPr>
              <w:pStyle w:val="PlainText"/>
              <w:rPr>
                <w:rFonts w:ascii="Calibri" w:hAnsi="Calibri" w:cs="Arial"/>
                <w:bCs/>
                <w:color w:val="000000"/>
              </w:rPr>
            </w:pPr>
            <w:r w:rsidRPr="00465249">
              <w:rPr>
                <w:rFonts w:ascii="Calibri" w:hAnsi="Calibri" w:cs="Arial"/>
                <w:bCs/>
                <w:color w:val="000000"/>
              </w:rPr>
              <w:t xml:space="preserve">This appears to be adequate for a project of this size. </w:t>
            </w:r>
          </w:p>
        </w:tc>
        <w:tc>
          <w:tcPr>
            <w:tcW w:w="1426" w:type="dxa"/>
            <w:tcBorders>
              <w:bottom w:val="single" w:sz="4" w:space="0" w:color="auto"/>
            </w:tcBorders>
            <w:shd w:val="clear" w:color="auto" w:fill="auto"/>
            <w:vAlign w:val="center"/>
          </w:tcPr>
          <w:p w14:paraId="41B72483" w14:textId="77777777" w:rsidR="00AD2FAA" w:rsidRPr="00465249"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H</w:t>
            </w:r>
            <w:r w:rsidRPr="00465249">
              <w:rPr>
                <w:rFonts w:ascii="Calibri" w:hAnsi="Calibri" w:cs="Arial"/>
                <w:color w:val="000000"/>
                <w:sz w:val="20"/>
                <w:szCs w:val="20"/>
              </w:rPr>
              <w:t>S</w:t>
            </w:r>
          </w:p>
        </w:tc>
      </w:tr>
      <w:tr w:rsidR="00AD2FAA" w:rsidRPr="007D1C06" w14:paraId="77AF68FE" w14:textId="77777777" w:rsidTr="00AD2FAA">
        <w:tc>
          <w:tcPr>
            <w:tcW w:w="2376" w:type="dxa"/>
            <w:tcBorders>
              <w:bottom w:val="single" w:sz="4" w:space="0" w:color="auto"/>
            </w:tcBorders>
            <w:shd w:val="clear" w:color="auto" w:fill="auto"/>
            <w:vAlign w:val="center"/>
          </w:tcPr>
          <w:p w14:paraId="71D628C7" w14:textId="77777777" w:rsidR="00AD2FAA" w:rsidRPr="00465249" w:rsidRDefault="00AD2FAA" w:rsidP="00AD2FAA">
            <w:pPr>
              <w:pStyle w:val="PlainText"/>
              <w:ind w:left="180"/>
              <w:jc w:val="right"/>
              <w:rPr>
                <w:rFonts w:ascii="Calibri" w:hAnsi="Calibri" w:cs="Arial"/>
                <w:bCs/>
                <w:color w:val="000000"/>
              </w:rPr>
            </w:pPr>
            <w:r w:rsidRPr="00465249">
              <w:rPr>
                <w:rFonts w:ascii="Calibri" w:hAnsi="Calibri" w:cs="Arial"/>
                <w:bCs/>
                <w:color w:val="000000"/>
              </w:rPr>
              <w:t>Long-tem monitoring</w:t>
            </w:r>
          </w:p>
        </w:tc>
        <w:tc>
          <w:tcPr>
            <w:tcW w:w="5528" w:type="dxa"/>
            <w:tcBorders>
              <w:bottom w:val="single" w:sz="4" w:space="0" w:color="auto"/>
            </w:tcBorders>
            <w:shd w:val="clear" w:color="auto" w:fill="auto"/>
          </w:tcPr>
          <w:p w14:paraId="3FE75121" w14:textId="77777777" w:rsidR="00AD2FAA" w:rsidRPr="00465249" w:rsidRDefault="00AD2FAA" w:rsidP="00AD2FAA">
            <w:pPr>
              <w:pStyle w:val="PlainText"/>
              <w:rPr>
                <w:rFonts w:asciiTheme="majorHAnsi" w:hAnsiTheme="majorHAnsi" w:cs="Arial"/>
                <w:bCs/>
                <w:color w:val="000000"/>
              </w:rPr>
            </w:pPr>
            <w:r w:rsidRPr="00465249">
              <w:rPr>
                <w:rFonts w:asciiTheme="majorHAnsi" w:hAnsiTheme="majorHAnsi"/>
              </w:rPr>
              <w:t>The GEF Tracking provides</w:t>
            </w:r>
            <w:r>
              <w:rPr>
                <w:rFonts w:asciiTheme="majorHAnsi" w:hAnsiTheme="majorHAnsi"/>
              </w:rPr>
              <w:t xml:space="preserve"> </w:t>
            </w:r>
            <w:proofErr w:type="gramStart"/>
            <w:r>
              <w:rPr>
                <w:rFonts w:asciiTheme="majorHAnsi" w:hAnsiTheme="majorHAnsi"/>
              </w:rPr>
              <w:t xml:space="preserve">for </w:t>
            </w:r>
            <w:r w:rsidRPr="00465249">
              <w:rPr>
                <w:rFonts w:asciiTheme="majorHAnsi" w:hAnsiTheme="majorHAnsi"/>
              </w:rPr>
              <w:t xml:space="preserve"> some</w:t>
            </w:r>
            <w:proofErr w:type="gramEnd"/>
            <w:r w:rsidRPr="00465249">
              <w:rPr>
                <w:rFonts w:asciiTheme="majorHAnsi" w:hAnsiTheme="majorHAnsi"/>
              </w:rPr>
              <w:t xml:space="preserve"> long term monitoring. Nevertheless given the unusually long duration of the IW LEARN series of projects it is unfortunate that a formal system of monitoring and estimating project impacts against expectations has not been instigated.  </w:t>
            </w:r>
          </w:p>
        </w:tc>
        <w:tc>
          <w:tcPr>
            <w:tcW w:w="1426" w:type="dxa"/>
            <w:tcBorders>
              <w:bottom w:val="single" w:sz="4" w:space="0" w:color="auto"/>
            </w:tcBorders>
            <w:shd w:val="clear" w:color="auto" w:fill="auto"/>
            <w:vAlign w:val="center"/>
          </w:tcPr>
          <w:p w14:paraId="28203C20"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sidRPr="00465249">
              <w:rPr>
                <w:rFonts w:ascii="Calibri" w:hAnsi="Calibri" w:cs="Arial"/>
                <w:color w:val="000000"/>
                <w:sz w:val="20"/>
                <w:szCs w:val="20"/>
              </w:rPr>
              <w:t>MS</w:t>
            </w:r>
          </w:p>
        </w:tc>
      </w:tr>
      <w:tr w:rsidR="00AD2FAA" w:rsidRPr="007D1C06" w14:paraId="66262BF2" w14:textId="77777777" w:rsidTr="00AD2FAA">
        <w:tc>
          <w:tcPr>
            <w:tcW w:w="2376" w:type="dxa"/>
            <w:tcBorders>
              <w:bottom w:val="single" w:sz="4" w:space="0" w:color="auto"/>
            </w:tcBorders>
          </w:tcPr>
          <w:p w14:paraId="1F5BE285" w14:textId="77777777" w:rsidR="00AD2FAA" w:rsidRPr="007D1C06" w:rsidRDefault="00AD2FAA" w:rsidP="00AD2FAA">
            <w:pPr>
              <w:pStyle w:val="PlainText"/>
              <w:rPr>
                <w:rFonts w:ascii="Calibri" w:hAnsi="Calibri" w:cs="Arial"/>
                <w:b/>
                <w:bCs/>
                <w:color w:val="000000"/>
              </w:rPr>
            </w:pPr>
            <w:r>
              <w:rPr>
                <w:rFonts w:ascii="Calibri" w:hAnsi="Calibri" w:cs="Arial"/>
                <w:b/>
                <w:bCs/>
                <w:color w:val="000000"/>
              </w:rPr>
              <w:t xml:space="preserve">Assessment of process that affected attainment of project </w:t>
            </w:r>
            <w:proofErr w:type="gramStart"/>
            <w:r>
              <w:rPr>
                <w:rFonts w:ascii="Calibri" w:hAnsi="Calibri" w:cs="Arial"/>
                <w:b/>
                <w:bCs/>
                <w:color w:val="000000"/>
              </w:rPr>
              <w:t>results</w:t>
            </w:r>
            <w:r w:rsidRPr="007D1C06">
              <w:rPr>
                <w:rFonts w:ascii="Calibri" w:hAnsi="Calibri" w:cs="Arial"/>
                <w:b/>
                <w:bCs/>
                <w:color w:val="000000"/>
              </w:rPr>
              <w:t>(</w:t>
            </w:r>
            <w:proofErr w:type="gramEnd"/>
            <w:r w:rsidRPr="007D1C06">
              <w:rPr>
                <w:rFonts w:ascii="Calibri" w:hAnsi="Calibri" w:cs="Arial"/>
                <w:b/>
                <w:bCs/>
                <w:color w:val="000000"/>
              </w:rPr>
              <w:t>overall rating)</w:t>
            </w:r>
          </w:p>
          <w:p w14:paraId="230DC0BD" w14:textId="77777777" w:rsidR="00AD2FAA" w:rsidRPr="007D1C06" w:rsidRDefault="00AD2FAA" w:rsidP="00AD2FAA">
            <w:pPr>
              <w:pStyle w:val="PlainText"/>
              <w:rPr>
                <w:rFonts w:ascii="Calibri" w:hAnsi="Calibri" w:cs="Arial"/>
                <w:b/>
                <w:bCs/>
                <w:color w:val="000000"/>
              </w:rPr>
            </w:pPr>
            <w:r w:rsidRPr="007D1C06">
              <w:rPr>
                <w:rFonts w:ascii="Calibri" w:hAnsi="Calibri" w:cs="Arial"/>
                <w:b/>
                <w:bCs/>
                <w:color w:val="000000"/>
              </w:rPr>
              <w:t>Sub criteria (below)</w:t>
            </w:r>
          </w:p>
        </w:tc>
        <w:tc>
          <w:tcPr>
            <w:tcW w:w="5528" w:type="dxa"/>
            <w:tcBorders>
              <w:bottom w:val="single" w:sz="4" w:space="0" w:color="auto"/>
            </w:tcBorders>
          </w:tcPr>
          <w:p w14:paraId="61A7E3E1"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This is considered to be adequate.</w:t>
            </w:r>
          </w:p>
        </w:tc>
        <w:tc>
          <w:tcPr>
            <w:tcW w:w="1426" w:type="dxa"/>
            <w:tcBorders>
              <w:bottom w:val="single" w:sz="4" w:space="0" w:color="auto"/>
            </w:tcBorders>
            <w:vAlign w:val="center"/>
          </w:tcPr>
          <w:p w14:paraId="00DE2B0C"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7D1C06" w14:paraId="21A41842" w14:textId="77777777" w:rsidTr="00AD2FAA">
        <w:tc>
          <w:tcPr>
            <w:tcW w:w="2376" w:type="dxa"/>
            <w:tcBorders>
              <w:bottom w:val="single" w:sz="4" w:space="0" w:color="auto"/>
            </w:tcBorders>
            <w:shd w:val="clear" w:color="auto" w:fill="auto"/>
          </w:tcPr>
          <w:p w14:paraId="6170D2C8" w14:textId="77777777" w:rsidR="00AD2FAA" w:rsidRPr="003A7869" w:rsidRDefault="00AD2FAA" w:rsidP="00AD2FAA">
            <w:pPr>
              <w:pStyle w:val="PlainText"/>
              <w:ind w:left="180"/>
              <w:jc w:val="right"/>
              <w:rPr>
                <w:rFonts w:ascii="Calibri" w:hAnsi="Calibri" w:cs="Arial"/>
                <w:bCs/>
                <w:color w:val="000000"/>
              </w:rPr>
            </w:pPr>
            <w:r w:rsidRPr="003A7869">
              <w:rPr>
                <w:rFonts w:ascii="Calibri" w:hAnsi="Calibri" w:cs="Arial"/>
                <w:bCs/>
                <w:color w:val="000000"/>
              </w:rPr>
              <w:t>Preparation and readiness</w:t>
            </w:r>
          </w:p>
        </w:tc>
        <w:tc>
          <w:tcPr>
            <w:tcW w:w="5528" w:type="dxa"/>
            <w:tcBorders>
              <w:bottom w:val="single" w:sz="4" w:space="0" w:color="auto"/>
            </w:tcBorders>
            <w:shd w:val="clear" w:color="auto" w:fill="auto"/>
          </w:tcPr>
          <w:p w14:paraId="40532F3A" w14:textId="77777777" w:rsidR="00AD2FAA" w:rsidRPr="007D1C06" w:rsidRDefault="00AD2FAA" w:rsidP="00AD2FAA">
            <w:pPr>
              <w:pStyle w:val="PlainText"/>
              <w:rPr>
                <w:rFonts w:ascii="Calibri" w:hAnsi="Calibri" w:cs="Arial"/>
                <w:bCs/>
                <w:color w:val="000000"/>
              </w:rPr>
            </w:pPr>
            <w:proofErr w:type="gramStart"/>
            <w:r>
              <w:rPr>
                <w:rFonts w:ascii="Calibri" w:hAnsi="Calibri" w:cs="Arial"/>
                <w:bCs/>
                <w:color w:val="000000"/>
              </w:rPr>
              <w:t>There</w:t>
            </w:r>
            <w:proofErr w:type="gramEnd"/>
            <w:r>
              <w:rPr>
                <w:rFonts w:ascii="Calibri" w:hAnsi="Calibri" w:cs="Arial"/>
                <w:bCs/>
                <w:color w:val="000000"/>
              </w:rPr>
              <w:t xml:space="preserve"> project went through a detailed design phase involving a wide range of stakeholders and lessons taken from two previous full sized projects. However the large number of sub-components and outcomes and the lack of readiness of the IT platform </w:t>
            </w:r>
            <w:proofErr w:type="gramStart"/>
            <w:r>
              <w:rPr>
                <w:rFonts w:ascii="Calibri" w:hAnsi="Calibri" w:cs="Arial"/>
                <w:bCs/>
                <w:color w:val="000000"/>
              </w:rPr>
              <w:t>has</w:t>
            </w:r>
            <w:proofErr w:type="gramEnd"/>
            <w:r>
              <w:rPr>
                <w:rFonts w:ascii="Calibri" w:hAnsi="Calibri" w:cs="Arial"/>
                <w:bCs/>
                <w:color w:val="000000"/>
              </w:rPr>
              <w:t xml:space="preserve"> negatively affected project implementation.  </w:t>
            </w:r>
          </w:p>
        </w:tc>
        <w:tc>
          <w:tcPr>
            <w:tcW w:w="1426" w:type="dxa"/>
            <w:tcBorders>
              <w:bottom w:val="single" w:sz="4" w:space="0" w:color="auto"/>
            </w:tcBorders>
            <w:shd w:val="clear" w:color="auto" w:fill="auto"/>
            <w:vAlign w:val="center"/>
          </w:tcPr>
          <w:p w14:paraId="5247A57A"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MS</w:t>
            </w:r>
          </w:p>
        </w:tc>
      </w:tr>
      <w:tr w:rsidR="00AD2FAA" w:rsidRPr="007D1C06" w14:paraId="2F56A743" w14:textId="77777777" w:rsidTr="00AD2FAA">
        <w:tc>
          <w:tcPr>
            <w:tcW w:w="2376" w:type="dxa"/>
            <w:tcBorders>
              <w:bottom w:val="single" w:sz="4" w:space="0" w:color="auto"/>
            </w:tcBorders>
            <w:shd w:val="clear" w:color="auto" w:fill="auto"/>
          </w:tcPr>
          <w:p w14:paraId="2F4354C6" w14:textId="77777777" w:rsidR="00AD2FAA" w:rsidRPr="003A7869" w:rsidRDefault="00AD2FAA" w:rsidP="00AD2FAA">
            <w:pPr>
              <w:pStyle w:val="PlainText"/>
              <w:jc w:val="right"/>
              <w:rPr>
                <w:rFonts w:ascii="Calibri" w:hAnsi="Calibri" w:cs="Arial"/>
                <w:bCs/>
                <w:color w:val="000000"/>
              </w:rPr>
            </w:pPr>
            <w:r w:rsidRPr="003A7869">
              <w:rPr>
                <w:rFonts w:ascii="Calibri" w:hAnsi="Calibri" w:cs="Arial"/>
                <w:bCs/>
                <w:color w:val="000000"/>
              </w:rPr>
              <w:t>Implementation approach and adaptive management</w:t>
            </w:r>
          </w:p>
        </w:tc>
        <w:tc>
          <w:tcPr>
            <w:tcW w:w="5528" w:type="dxa"/>
            <w:tcBorders>
              <w:bottom w:val="single" w:sz="4" w:space="0" w:color="auto"/>
            </w:tcBorders>
            <w:shd w:val="clear" w:color="auto" w:fill="auto"/>
          </w:tcPr>
          <w:p w14:paraId="4517FDA1"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 xml:space="preserve">The MTE has highlighted a number of issues that need </w:t>
            </w:r>
            <w:proofErr w:type="gramStart"/>
            <w:r>
              <w:rPr>
                <w:rFonts w:ascii="Calibri" w:hAnsi="Calibri" w:cs="Arial"/>
                <w:bCs/>
                <w:color w:val="000000"/>
              </w:rPr>
              <w:t>addressing  or</w:t>
            </w:r>
            <w:proofErr w:type="gramEnd"/>
            <w:r>
              <w:rPr>
                <w:rFonts w:ascii="Calibri" w:hAnsi="Calibri" w:cs="Arial"/>
                <w:bCs/>
                <w:color w:val="000000"/>
              </w:rPr>
              <w:t xml:space="preserve"> are in the process of being addressed  by the PCU and partners. The PCU components have adapted well to the split modality and multiple partners although not without some difficulties and PCU resources require further bolstering. The SCM needs to take a more proactive role in project support.  </w:t>
            </w:r>
          </w:p>
        </w:tc>
        <w:tc>
          <w:tcPr>
            <w:tcW w:w="1426" w:type="dxa"/>
            <w:tcBorders>
              <w:bottom w:val="single" w:sz="4" w:space="0" w:color="auto"/>
            </w:tcBorders>
            <w:shd w:val="clear" w:color="auto" w:fill="auto"/>
            <w:vAlign w:val="center"/>
          </w:tcPr>
          <w:p w14:paraId="4469F130"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7D1C06" w14:paraId="5F815806" w14:textId="77777777" w:rsidTr="00AD2FAA">
        <w:tc>
          <w:tcPr>
            <w:tcW w:w="2376" w:type="dxa"/>
            <w:tcBorders>
              <w:bottom w:val="single" w:sz="4" w:space="0" w:color="auto"/>
            </w:tcBorders>
            <w:shd w:val="clear" w:color="auto" w:fill="auto"/>
          </w:tcPr>
          <w:p w14:paraId="2A5B939A" w14:textId="77777777" w:rsidR="00AD2FAA" w:rsidRPr="003A7869" w:rsidRDefault="00AD2FAA" w:rsidP="00AD2FAA">
            <w:pPr>
              <w:pStyle w:val="PlainText"/>
              <w:jc w:val="right"/>
              <w:rPr>
                <w:rFonts w:ascii="Calibri" w:hAnsi="Calibri" w:cs="Arial"/>
                <w:bCs/>
                <w:color w:val="000000"/>
              </w:rPr>
            </w:pPr>
            <w:r w:rsidRPr="003A7869">
              <w:rPr>
                <w:rFonts w:ascii="Calibri" w:hAnsi="Calibri" w:cs="Arial"/>
                <w:bCs/>
                <w:color w:val="000000"/>
              </w:rPr>
              <w:t>Stakeholders involvement</w:t>
            </w:r>
          </w:p>
        </w:tc>
        <w:tc>
          <w:tcPr>
            <w:tcW w:w="5528" w:type="dxa"/>
            <w:tcBorders>
              <w:bottom w:val="single" w:sz="4" w:space="0" w:color="auto"/>
            </w:tcBorders>
            <w:shd w:val="clear" w:color="auto" w:fill="auto"/>
          </w:tcPr>
          <w:p w14:paraId="163A41C1" w14:textId="4939C51D" w:rsidR="00AD2FAA" w:rsidRPr="00121FEA" w:rsidRDefault="00AD2FAA" w:rsidP="00AD2FAA">
            <w:pPr>
              <w:jc w:val="both"/>
              <w:rPr>
                <w:rFonts w:asciiTheme="majorHAnsi" w:hAnsiTheme="majorHAnsi"/>
                <w:sz w:val="20"/>
                <w:szCs w:val="20"/>
              </w:rPr>
            </w:pPr>
            <w:r w:rsidRPr="00121FEA">
              <w:rPr>
                <w:rFonts w:asciiTheme="majorHAnsi" w:hAnsiTheme="majorHAnsi"/>
                <w:sz w:val="20"/>
                <w:szCs w:val="20"/>
              </w:rPr>
              <w:t>All key stakeholder groups have been actively involved in the IWC6, the Science Conference, workshops, regional meetings etc. Nevertheless   a key object</w:t>
            </w:r>
            <w:r w:rsidR="00964201">
              <w:rPr>
                <w:rFonts w:asciiTheme="majorHAnsi" w:hAnsiTheme="majorHAnsi"/>
                <w:sz w:val="20"/>
                <w:szCs w:val="20"/>
              </w:rPr>
              <w:t xml:space="preserve">ive of the project is that the </w:t>
            </w:r>
            <w:r w:rsidRPr="00121FEA">
              <w:rPr>
                <w:rFonts w:asciiTheme="majorHAnsi" w:hAnsiTheme="majorHAnsi"/>
                <w:sz w:val="20"/>
                <w:szCs w:val="20"/>
              </w:rPr>
              <w:t xml:space="preserve">face-to-face collaborative interventions be enhanced via the communities of Practice but as discussed elsewhere in this report this has not to date met with any real success. </w:t>
            </w:r>
          </w:p>
          <w:p w14:paraId="53F9558A" w14:textId="77777777" w:rsidR="00AD2FAA" w:rsidRPr="007D1C06" w:rsidRDefault="00AD2FAA" w:rsidP="00AD2FAA">
            <w:pPr>
              <w:pStyle w:val="PlainText"/>
              <w:rPr>
                <w:rFonts w:ascii="Calibri" w:hAnsi="Calibri" w:cs="Arial"/>
                <w:bCs/>
                <w:color w:val="000000"/>
              </w:rPr>
            </w:pPr>
          </w:p>
        </w:tc>
        <w:tc>
          <w:tcPr>
            <w:tcW w:w="1426" w:type="dxa"/>
            <w:tcBorders>
              <w:bottom w:val="single" w:sz="4" w:space="0" w:color="auto"/>
            </w:tcBorders>
            <w:shd w:val="clear" w:color="auto" w:fill="auto"/>
            <w:vAlign w:val="center"/>
          </w:tcPr>
          <w:p w14:paraId="1F537377"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7D1C06" w14:paraId="48D5A4D0" w14:textId="77777777" w:rsidTr="00AD2FAA">
        <w:tc>
          <w:tcPr>
            <w:tcW w:w="2376" w:type="dxa"/>
            <w:tcBorders>
              <w:bottom w:val="single" w:sz="4" w:space="0" w:color="auto"/>
            </w:tcBorders>
            <w:shd w:val="clear" w:color="auto" w:fill="auto"/>
          </w:tcPr>
          <w:p w14:paraId="001AB613" w14:textId="77777777" w:rsidR="00AD2FAA" w:rsidRPr="003A7869" w:rsidRDefault="00AD2FAA" w:rsidP="00AD2FAA">
            <w:pPr>
              <w:pStyle w:val="PlainText"/>
              <w:jc w:val="right"/>
              <w:rPr>
                <w:rFonts w:ascii="Calibri" w:hAnsi="Calibri" w:cs="Arial"/>
                <w:bCs/>
                <w:color w:val="000000"/>
              </w:rPr>
            </w:pPr>
            <w:r w:rsidRPr="003A7869">
              <w:rPr>
                <w:rFonts w:ascii="Calibri" w:hAnsi="Calibri" w:cs="Arial"/>
                <w:bCs/>
                <w:color w:val="000000"/>
              </w:rPr>
              <w:t>Financial planning</w:t>
            </w:r>
            <w:r>
              <w:rPr>
                <w:rFonts w:ascii="Calibri" w:hAnsi="Calibri" w:cs="Arial"/>
                <w:bCs/>
                <w:color w:val="000000"/>
              </w:rPr>
              <w:t xml:space="preserve"> and management</w:t>
            </w:r>
          </w:p>
        </w:tc>
        <w:tc>
          <w:tcPr>
            <w:tcW w:w="5528" w:type="dxa"/>
            <w:tcBorders>
              <w:bottom w:val="single" w:sz="4" w:space="0" w:color="auto"/>
            </w:tcBorders>
            <w:shd w:val="clear" w:color="auto" w:fill="auto"/>
          </w:tcPr>
          <w:p w14:paraId="1BC7ACDA" w14:textId="4DF023EC" w:rsidR="00AD2FAA" w:rsidRPr="007D1C06" w:rsidRDefault="00AD2FAA" w:rsidP="00AD2FAA">
            <w:pPr>
              <w:jc w:val="both"/>
              <w:rPr>
                <w:rFonts w:ascii="Calibri" w:hAnsi="Calibri" w:cs="Arial"/>
                <w:bCs/>
                <w:color w:val="000000"/>
              </w:rPr>
            </w:pPr>
            <w:r>
              <w:rPr>
                <w:rFonts w:asciiTheme="majorHAnsi" w:hAnsiTheme="majorHAnsi"/>
                <w:sz w:val="22"/>
                <w:szCs w:val="22"/>
              </w:rPr>
              <w:t>Fin</w:t>
            </w:r>
            <w:r w:rsidRPr="00706A70">
              <w:rPr>
                <w:rFonts w:asciiTheme="majorHAnsi" w:hAnsiTheme="majorHAnsi"/>
                <w:sz w:val="22"/>
                <w:szCs w:val="22"/>
              </w:rPr>
              <w:t>ancial a</w:t>
            </w:r>
            <w:r>
              <w:rPr>
                <w:rFonts w:asciiTheme="majorHAnsi" w:hAnsiTheme="majorHAnsi"/>
                <w:sz w:val="22"/>
                <w:szCs w:val="22"/>
              </w:rPr>
              <w:t>nd administrative management have</w:t>
            </w:r>
            <w:r w:rsidRPr="00706A70">
              <w:rPr>
                <w:rFonts w:asciiTheme="majorHAnsi" w:hAnsiTheme="majorHAnsi"/>
                <w:sz w:val="22"/>
                <w:szCs w:val="22"/>
              </w:rPr>
              <w:t xml:space="preserve"> been carried out to the expected standards by both executing agencies. </w:t>
            </w:r>
            <w:r>
              <w:rPr>
                <w:rFonts w:asciiTheme="majorHAnsi" w:hAnsiTheme="majorHAnsi"/>
                <w:sz w:val="22"/>
                <w:szCs w:val="22"/>
              </w:rPr>
              <w:t xml:space="preserve">The PCU has monitored expenditures carefully throughout and has good controls in place.  Co-financing requires to be kept more up to date especially with regard to in-kind contributions. </w:t>
            </w:r>
          </w:p>
        </w:tc>
        <w:tc>
          <w:tcPr>
            <w:tcW w:w="1426" w:type="dxa"/>
            <w:tcBorders>
              <w:bottom w:val="single" w:sz="4" w:space="0" w:color="auto"/>
            </w:tcBorders>
            <w:shd w:val="clear" w:color="auto" w:fill="auto"/>
            <w:vAlign w:val="center"/>
          </w:tcPr>
          <w:p w14:paraId="563EF8A5"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r w:rsidR="00AD2FAA" w:rsidRPr="007D1C06" w14:paraId="4374C7AA" w14:textId="77777777" w:rsidTr="00AD2FAA">
        <w:tc>
          <w:tcPr>
            <w:tcW w:w="2376" w:type="dxa"/>
            <w:tcBorders>
              <w:bottom w:val="single" w:sz="4" w:space="0" w:color="auto"/>
            </w:tcBorders>
            <w:shd w:val="clear" w:color="auto" w:fill="auto"/>
          </w:tcPr>
          <w:p w14:paraId="4720955B" w14:textId="77777777" w:rsidR="00AD2FAA" w:rsidRPr="003A7869" w:rsidRDefault="00AD2FAA" w:rsidP="00AD2FAA">
            <w:pPr>
              <w:pStyle w:val="PlainText"/>
              <w:jc w:val="right"/>
              <w:rPr>
                <w:rFonts w:ascii="Calibri" w:hAnsi="Calibri" w:cs="Arial"/>
                <w:bCs/>
                <w:color w:val="000000"/>
              </w:rPr>
            </w:pPr>
            <w:r w:rsidRPr="003A7869">
              <w:rPr>
                <w:rFonts w:ascii="Calibri" w:hAnsi="Calibri" w:cs="Arial"/>
                <w:bCs/>
                <w:color w:val="000000"/>
              </w:rPr>
              <w:t>UNDP</w:t>
            </w:r>
            <w:r>
              <w:rPr>
                <w:rFonts w:ascii="Calibri" w:hAnsi="Calibri" w:cs="Arial"/>
                <w:bCs/>
                <w:color w:val="000000"/>
              </w:rPr>
              <w:t xml:space="preserve"> and UNEP </w:t>
            </w:r>
            <w:r w:rsidRPr="003A7869">
              <w:rPr>
                <w:rFonts w:ascii="Calibri" w:hAnsi="Calibri" w:cs="Arial"/>
                <w:bCs/>
                <w:color w:val="000000"/>
              </w:rPr>
              <w:t xml:space="preserve">Supervision and backstopping </w:t>
            </w:r>
          </w:p>
        </w:tc>
        <w:tc>
          <w:tcPr>
            <w:tcW w:w="5528" w:type="dxa"/>
            <w:tcBorders>
              <w:bottom w:val="single" w:sz="4" w:space="0" w:color="auto"/>
            </w:tcBorders>
            <w:shd w:val="clear" w:color="auto" w:fill="auto"/>
          </w:tcPr>
          <w:p w14:paraId="480E9D13" w14:textId="77777777" w:rsidR="00AD2FAA" w:rsidRPr="007D1C06" w:rsidRDefault="00AD2FAA" w:rsidP="00AD2FAA">
            <w:pPr>
              <w:pStyle w:val="PlainText"/>
              <w:rPr>
                <w:rFonts w:ascii="Calibri" w:hAnsi="Calibri" w:cs="Arial"/>
                <w:bCs/>
                <w:color w:val="000000"/>
              </w:rPr>
            </w:pPr>
            <w:r>
              <w:rPr>
                <w:rFonts w:ascii="Calibri" w:hAnsi="Calibri" w:cs="Arial"/>
                <w:bCs/>
                <w:color w:val="000000"/>
              </w:rPr>
              <w:t xml:space="preserve">The implementing agencies generally provide adequate supervision and backstopping.  </w:t>
            </w:r>
          </w:p>
        </w:tc>
        <w:tc>
          <w:tcPr>
            <w:tcW w:w="1426" w:type="dxa"/>
            <w:tcBorders>
              <w:bottom w:val="single" w:sz="4" w:space="0" w:color="auto"/>
            </w:tcBorders>
            <w:shd w:val="clear" w:color="auto" w:fill="auto"/>
            <w:vAlign w:val="center"/>
          </w:tcPr>
          <w:p w14:paraId="73ACB3A5" w14:textId="77777777" w:rsidR="00AD2FAA" w:rsidRPr="007D1C06" w:rsidRDefault="00AD2FAA" w:rsidP="00AD2FAA">
            <w:pPr>
              <w:pStyle w:val="BodyText2"/>
              <w:tabs>
                <w:tab w:val="num" w:pos="1440"/>
              </w:tabs>
              <w:spacing w:after="60"/>
              <w:ind w:right="173"/>
              <w:rPr>
                <w:rFonts w:ascii="Calibri" w:hAnsi="Calibri" w:cs="Arial"/>
                <w:bCs/>
                <w:color w:val="000000"/>
                <w:sz w:val="20"/>
                <w:szCs w:val="20"/>
              </w:rPr>
            </w:pPr>
            <w:r>
              <w:rPr>
                <w:rFonts w:ascii="Calibri" w:hAnsi="Calibri" w:cs="Arial"/>
                <w:color w:val="000000"/>
                <w:sz w:val="20"/>
                <w:szCs w:val="20"/>
              </w:rPr>
              <w:t>S</w:t>
            </w:r>
          </w:p>
        </w:tc>
      </w:tr>
    </w:tbl>
    <w:p w14:paraId="067A3362" w14:textId="77777777" w:rsidR="00B236EA" w:rsidRPr="004262BF" w:rsidRDefault="00B236EA" w:rsidP="004262BF"/>
    <w:p w14:paraId="51C52DDB" w14:textId="12690250" w:rsidR="004262BF" w:rsidRPr="008F7E64" w:rsidRDefault="004262BF" w:rsidP="004262BF">
      <w:pPr>
        <w:rPr>
          <w:rFonts w:asciiTheme="majorHAnsi" w:hAnsiTheme="majorHAnsi"/>
          <w:b/>
          <w:sz w:val="18"/>
          <w:szCs w:val="18"/>
        </w:rPr>
      </w:pPr>
      <w:r w:rsidRPr="008F7E64">
        <w:rPr>
          <w:rFonts w:asciiTheme="majorHAnsi" w:hAnsiTheme="majorHAnsi"/>
          <w:b/>
          <w:sz w:val="18"/>
          <w:szCs w:val="18"/>
        </w:rPr>
        <w:t xml:space="preserve">Explanation of </w:t>
      </w:r>
      <w:r w:rsidR="00AD2FAA">
        <w:rPr>
          <w:rFonts w:asciiTheme="majorHAnsi" w:hAnsiTheme="majorHAnsi"/>
          <w:b/>
          <w:sz w:val="18"/>
          <w:szCs w:val="18"/>
        </w:rPr>
        <w:t xml:space="preserve">the GEF </w:t>
      </w:r>
      <w:r w:rsidRPr="008F7E64">
        <w:rPr>
          <w:rFonts w:asciiTheme="majorHAnsi" w:hAnsiTheme="majorHAnsi"/>
          <w:b/>
          <w:sz w:val="18"/>
          <w:szCs w:val="18"/>
        </w:rPr>
        <w:t>ratings</w:t>
      </w:r>
      <w:r w:rsidR="00964201">
        <w:rPr>
          <w:rFonts w:asciiTheme="majorHAnsi" w:hAnsiTheme="majorHAnsi"/>
          <w:b/>
          <w:sz w:val="18"/>
          <w:szCs w:val="18"/>
        </w:rPr>
        <w:t xml:space="preserve"> utilised above</w:t>
      </w:r>
      <w:r w:rsidR="00AD2FAA">
        <w:rPr>
          <w:rFonts w:asciiTheme="majorHAnsi" w:hAnsiTheme="majorHAnsi"/>
          <w:b/>
          <w:sz w:val="18"/>
          <w:szCs w:val="18"/>
        </w:rPr>
        <w:t xml:space="preserve">. </w:t>
      </w:r>
    </w:p>
    <w:p w14:paraId="147D1ACE" w14:textId="77777777" w:rsidR="004262BF" w:rsidRPr="008F7E64" w:rsidRDefault="004262BF" w:rsidP="004262BF">
      <w:pPr>
        <w:rPr>
          <w:rFonts w:asciiTheme="majorHAnsi" w:hAnsiTheme="majorHAnsi"/>
          <w:sz w:val="18"/>
          <w:szCs w:val="18"/>
        </w:rPr>
      </w:pPr>
      <w:r w:rsidRPr="008F7E64">
        <w:rPr>
          <w:rFonts w:asciiTheme="majorHAnsi" w:hAnsiTheme="majorHAnsi"/>
          <w:sz w:val="18"/>
          <w:szCs w:val="18"/>
        </w:rPr>
        <w:t>Rating of project objectives and results</w:t>
      </w:r>
    </w:p>
    <w:p w14:paraId="1E7A080F" w14:textId="73299581" w:rsidR="004262BF" w:rsidRPr="008F7E64" w:rsidRDefault="004262BF"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Highly Satisfactory (HS):</w:t>
      </w:r>
      <w:r w:rsidRPr="008F7E64">
        <w:rPr>
          <w:rFonts w:asciiTheme="majorHAnsi" w:hAnsiTheme="majorHAnsi"/>
          <w:sz w:val="18"/>
          <w:szCs w:val="18"/>
        </w:rPr>
        <w:t xml:space="preserve">  The project had no shortcomings in the achievement of its objectives </w:t>
      </w:r>
    </w:p>
    <w:p w14:paraId="4A93FC45" w14:textId="45E4B066" w:rsidR="004262BF" w:rsidRPr="008F7E64" w:rsidRDefault="004262BF"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Satisfactory (S):</w:t>
      </w:r>
      <w:r w:rsidRPr="008F7E64">
        <w:rPr>
          <w:rFonts w:asciiTheme="majorHAnsi" w:hAnsiTheme="majorHAnsi"/>
          <w:sz w:val="18"/>
          <w:szCs w:val="18"/>
        </w:rPr>
        <w:t xml:space="preserve"> The project had minor shortcomings in the achievement of its objectives, </w:t>
      </w:r>
    </w:p>
    <w:p w14:paraId="2A41AE39" w14:textId="265E60F9" w:rsidR="004262BF" w:rsidRPr="008F7E64" w:rsidRDefault="004262BF"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Moderately Satisfactory (MS):</w:t>
      </w:r>
      <w:r w:rsidRPr="008F7E64">
        <w:rPr>
          <w:rFonts w:asciiTheme="majorHAnsi" w:hAnsiTheme="majorHAnsi"/>
          <w:sz w:val="18"/>
          <w:szCs w:val="18"/>
        </w:rPr>
        <w:t xml:space="preserve"> The project had moderate shortcomings in the achievement of its objectives </w:t>
      </w:r>
    </w:p>
    <w:p w14:paraId="34C57B4D" w14:textId="30C8BFCB" w:rsidR="004262BF" w:rsidRPr="008F7E64" w:rsidRDefault="004262BF"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Moderately Unsatisfactory (MU):</w:t>
      </w:r>
      <w:r w:rsidRPr="008F7E64">
        <w:rPr>
          <w:rFonts w:asciiTheme="majorHAnsi" w:hAnsiTheme="majorHAnsi"/>
          <w:sz w:val="18"/>
          <w:szCs w:val="18"/>
        </w:rPr>
        <w:t xml:space="preserve"> The project had significant shortcomings in the achievement of its objectives, </w:t>
      </w:r>
    </w:p>
    <w:p w14:paraId="17181477" w14:textId="41A166C7" w:rsidR="004262BF" w:rsidRPr="008F7E64" w:rsidRDefault="004262BF" w:rsidP="00623323">
      <w:pPr>
        <w:numPr>
          <w:ilvl w:val="0"/>
          <w:numId w:val="11"/>
        </w:numPr>
        <w:spacing w:line="276" w:lineRule="auto"/>
        <w:rPr>
          <w:rFonts w:asciiTheme="majorHAnsi" w:hAnsiTheme="majorHAnsi"/>
          <w:sz w:val="18"/>
          <w:szCs w:val="18"/>
        </w:rPr>
      </w:pPr>
      <w:r w:rsidRPr="008F7E64">
        <w:rPr>
          <w:rFonts w:asciiTheme="majorHAnsi" w:hAnsiTheme="majorHAnsi"/>
          <w:b/>
          <w:sz w:val="18"/>
          <w:szCs w:val="18"/>
        </w:rPr>
        <w:t xml:space="preserve">Unsatisfactory (U) </w:t>
      </w:r>
      <w:r w:rsidRPr="008F7E64">
        <w:rPr>
          <w:rFonts w:asciiTheme="majorHAnsi" w:hAnsiTheme="majorHAnsi"/>
          <w:sz w:val="18"/>
          <w:szCs w:val="18"/>
        </w:rPr>
        <w:t xml:space="preserve">The project had major shortcomings in the achievement of its objectives </w:t>
      </w:r>
    </w:p>
    <w:p w14:paraId="05069B61" w14:textId="77777777" w:rsidR="00964201" w:rsidRDefault="004262BF" w:rsidP="00623323">
      <w:pPr>
        <w:numPr>
          <w:ilvl w:val="0"/>
          <w:numId w:val="11"/>
        </w:numPr>
        <w:spacing w:after="200" w:line="276" w:lineRule="auto"/>
        <w:rPr>
          <w:rFonts w:asciiTheme="majorHAnsi" w:hAnsiTheme="majorHAnsi"/>
          <w:sz w:val="18"/>
          <w:szCs w:val="18"/>
        </w:rPr>
      </w:pPr>
      <w:r w:rsidRPr="00964201">
        <w:rPr>
          <w:rFonts w:asciiTheme="majorHAnsi" w:hAnsiTheme="majorHAnsi"/>
          <w:b/>
          <w:sz w:val="18"/>
          <w:szCs w:val="18"/>
        </w:rPr>
        <w:t>Highly Unsatisfactory (HU):</w:t>
      </w:r>
      <w:r w:rsidRPr="00964201">
        <w:rPr>
          <w:rFonts w:asciiTheme="majorHAnsi" w:hAnsiTheme="majorHAnsi"/>
          <w:sz w:val="18"/>
          <w:szCs w:val="18"/>
        </w:rPr>
        <w:t xml:space="preserve"> The project had severe shortcomings in the achievement of its objectives, </w:t>
      </w:r>
    </w:p>
    <w:p w14:paraId="7908B8C3" w14:textId="69838A83" w:rsidR="00AD2FAA" w:rsidRPr="00964201" w:rsidRDefault="004262BF" w:rsidP="00964201">
      <w:pPr>
        <w:rPr>
          <w:rFonts w:asciiTheme="majorHAnsi" w:hAnsiTheme="majorHAnsi"/>
          <w:sz w:val="18"/>
          <w:szCs w:val="18"/>
        </w:rPr>
      </w:pPr>
      <w:r w:rsidRPr="00964201">
        <w:rPr>
          <w:rFonts w:asciiTheme="majorHAnsi" w:hAnsiTheme="majorHAnsi"/>
          <w:sz w:val="18"/>
          <w:szCs w:val="18"/>
        </w:rPr>
        <w:t>Ratings on sustainability</w:t>
      </w:r>
    </w:p>
    <w:p w14:paraId="7E5FDCA0" w14:textId="5EA50820" w:rsidR="004262BF" w:rsidRPr="00AD2FAA" w:rsidRDefault="004262BF" w:rsidP="00623323">
      <w:pPr>
        <w:numPr>
          <w:ilvl w:val="0"/>
          <w:numId w:val="12"/>
        </w:numPr>
        <w:spacing w:line="276" w:lineRule="auto"/>
        <w:rPr>
          <w:rFonts w:asciiTheme="majorHAnsi" w:hAnsiTheme="majorHAnsi"/>
          <w:b/>
          <w:sz w:val="18"/>
          <w:szCs w:val="18"/>
        </w:rPr>
      </w:pPr>
      <w:r w:rsidRPr="00AD2FAA">
        <w:rPr>
          <w:rFonts w:asciiTheme="majorHAnsi" w:hAnsiTheme="majorHAnsi"/>
          <w:b/>
          <w:sz w:val="18"/>
          <w:szCs w:val="18"/>
        </w:rPr>
        <w:t xml:space="preserve">Likely (L): </w:t>
      </w:r>
      <w:r w:rsidRPr="00964201">
        <w:rPr>
          <w:rFonts w:asciiTheme="majorHAnsi" w:hAnsiTheme="majorHAnsi"/>
          <w:sz w:val="18"/>
          <w:szCs w:val="18"/>
        </w:rPr>
        <w:t>There are no risks affecting this dimension of sustainability</w:t>
      </w:r>
      <w:r w:rsidRPr="00AD2FAA">
        <w:rPr>
          <w:rFonts w:asciiTheme="majorHAnsi" w:hAnsiTheme="majorHAnsi"/>
          <w:b/>
          <w:sz w:val="18"/>
          <w:szCs w:val="18"/>
        </w:rPr>
        <w:t>.</w:t>
      </w:r>
    </w:p>
    <w:p w14:paraId="3E9FDF82" w14:textId="77777777" w:rsidR="004262BF" w:rsidRPr="00AD2FAA" w:rsidRDefault="004262BF" w:rsidP="00623323">
      <w:pPr>
        <w:numPr>
          <w:ilvl w:val="0"/>
          <w:numId w:val="12"/>
        </w:numPr>
        <w:spacing w:line="276" w:lineRule="auto"/>
        <w:rPr>
          <w:rFonts w:asciiTheme="majorHAnsi" w:hAnsiTheme="majorHAnsi"/>
          <w:b/>
          <w:sz w:val="18"/>
          <w:szCs w:val="18"/>
        </w:rPr>
      </w:pPr>
      <w:r w:rsidRPr="008F7E64">
        <w:rPr>
          <w:rFonts w:asciiTheme="majorHAnsi" w:hAnsiTheme="majorHAnsi"/>
          <w:b/>
          <w:sz w:val="18"/>
          <w:szCs w:val="18"/>
        </w:rPr>
        <w:t>Moderately Likely (ML).</w:t>
      </w:r>
      <w:r w:rsidRPr="00AD2FAA">
        <w:rPr>
          <w:rFonts w:asciiTheme="majorHAnsi" w:hAnsiTheme="majorHAnsi"/>
          <w:b/>
          <w:sz w:val="18"/>
          <w:szCs w:val="18"/>
        </w:rPr>
        <w:t xml:space="preserve"> </w:t>
      </w:r>
      <w:r w:rsidRPr="00964201">
        <w:rPr>
          <w:rFonts w:asciiTheme="majorHAnsi" w:hAnsiTheme="majorHAnsi"/>
          <w:sz w:val="18"/>
          <w:szCs w:val="18"/>
        </w:rPr>
        <w:t>There are moderate risks that affect this dimension of sustainability.</w:t>
      </w:r>
    </w:p>
    <w:p w14:paraId="164E61F6" w14:textId="77777777" w:rsidR="004262BF" w:rsidRPr="008F7E64" w:rsidRDefault="004262BF" w:rsidP="00623323">
      <w:pPr>
        <w:numPr>
          <w:ilvl w:val="0"/>
          <w:numId w:val="12"/>
        </w:numPr>
        <w:spacing w:line="276" w:lineRule="auto"/>
        <w:rPr>
          <w:rFonts w:asciiTheme="majorHAnsi" w:hAnsiTheme="majorHAnsi"/>
          <w:sz w:val="18"/>
          <w:szCs w:val="18"/>
        </w:rPr>
      </w:pPr>
      <w:r w:rsidRPr="008F7E64">
        <w:rPr>
          <w:rFonts w:asciiTheme="majorHAnsi" w:hAnsiTheme="majorHAnsi"/>
          <w:b/>
          <w:sz w:val="18"/>
          <w:szCs w:val="18"/>
        </w:rPr>
        <w:t>Moderately Unlikely (MU):</w:t>
      </w:r>
      <w:r w:rsidRPr="008F7E64">
        <w:rPr>
          <w:rFonts w:asciiTheme="majorHAnsi" w:hAnsiTheme="majorHAnsi"/>
          <w:sz w:val="18"/>
          <w:szCs w:val="18"/>
        </w:rPr>
        <w:t xml:space="preserve"> There are significant risks that affect this dimension of sustainability</w:t>
      </w:r>
    </w:p>
    <w:p w14:paraId="5810C4C7" w14:textId="77777777" w:rsidR="004262BF" w:rsidRPr="008F7E64" w:rsidRDefault="004262BF" w:rsidP="00623323">
      <w:pPr>
        <w:numPr>
          <w:ilvl w:val="0"/>
          <w:numId w:val="12"/>
        </w:numPr>
        <w:spacing w:after="200" w:line="276" w:lineRule="auto"/>
        <w:rPr>
          <w:rFonts w:asciiTheme="majorHAnsi" w:hAnsiTheme="majorHAnsi"/>
          <w:sz w:val="18"/>
          <w:szCs w:val="18"/>
        </w:rPr>
      </w:pPr>
      <w:r w:rsidRPr="008F7E64">
        <w:rPr>
          <w:rFonts w:asciiTheme="majorHAnsi" w:hAnsiTheme="majorHAnsi"/>
          <w:b/>
          <w:sz w:val="18"/>
          <w:szCs w:val="18"/>
        </w:rPr>
        <w:t>Unlikely (U):</w:t>
      </w:r>
      <w:r w:rsidRPr="008F7E64">
        <w:rPr>
          <w:rFonts w:asciiTheme="majorHAnsi" w:hAnsiTheme="majorHAnsi"/>
          <w:sz w:val="18"/>
          <w:szCs w:val="18"/>
        </w:rPr>
        <w:t xml:space="preserve"> There are severe risks that affect this dimension of sustainability. </w:t>
      </w:r>
    </w:p>
    <w:p w14:paraId="0FDE96B3" w14:textId="77777777" w:rsidR="004262BF" w:rsidRPr="008F7E64" w:rsidRDefault="004262BF" w:rsidP="004262BF">
      <w:pPr>
        <w:rPr>
          <w:rFonts w:asciiTheme="majorHAnsi" w:hAnsiTheme="majorHAnsi"/>
          <w:sz w:val="18"/>
          <w:szCs w:val="18"/>
        </w:rPr>
      </w:pPr>
      <w:r w:rsidRPr="008F7E64">
        <w:rPr>
          <w:rFonts w:asciiTheme="majorHAnsi" w:hAnsiTheme="majorHAnsi"/>
          <w:sz w:val="18"/>
          <w:szCs w:val="18"/>
        </w:rPr>
        <w:t>Ratings of project M&amp;E</w:t>
      </w:r>
    </w:p>
    <w:p w14:paraId="69481848" w14:textId="77777777" w:rsidR="004262BF" w:rsidRPr="008F7E64" w:rsidRDefault="004262BF"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Highly Satisfactory (HS):</w:t>
      </w:r>
      <w:r w:rsidRPr="008F7E64">
        <w:rPr>
          <w:rFonts w:asciiTheme="majorHAnsi" w:hAnsiTheme="majorHAnsi"/>
          <w:sz w:val="18"/>
          <w:szCs w:val="18"/>
        </w:rPr>
        <w:t xml:space="preserve"> There were no shortcomings in the project M&amp;E system. </w:t>
      </w:r>
    </w:p>
    <w:p w14:paraId="0DD87865" w14:textId="77777777" w:rsidR="004262BF" w:rsidRPr="008F7E64" w:rsidRDefault="004262BF"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Satisfactory(S):</w:t>
      </w:r>
      <w:r w:rsidRPr="008F7E64">
        <w:rPr>
          <w:rFonts w:asciiTheme="majorHAnsi" w:hAnsiTheme="majorHAnsi"/>
          <w:sz w:val="18"/>
          <w:szCs w:val="18"/>
        </w:rPr>
        <w:t xml:space="preserve"> There were minor shortcomings in the project M&amp;E system.   </w:t>
      </w:r>
    </w:p>
    <w:p w14:paraId="448F864B" w14:textId="77777777" w:rsidR="004262BF" w:rsidRPr="008F7E64" w:rsidRDefault="004262BF"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 xml:space="preserve">Moderately Satisfactory (MS): </w:t>
      </w:r>
      <w:r w:rsidRPr="008F7E64">
        <w:rPr>
          <w:rFonts w:asciiTheme="majorHAnsi" w:hAnsiTheme="majorHAnsi"/>
          <w:sz w:val="18"/>
          <w:szCs w:val="18"/>
        </w:rPr>
        <w:t xml:space="preserve">There were moderate shortcomings in the project M&amp;E system.  </w:t>
      </w:r>
    </w:p>
    <w:p w14:paraId="511FCFA6" w14:textId="77777777" w:rsidR="004262BF" w:rsidRPr="008F7E64" w:rsidRDefault="004262BF"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Moderately Unsatisfactory (MU):</w:t>
      </w:r>
      <w:r w:rsidRPr="008F7E64">
        <w:rPr>
          <w:rFonts w:asciiTheme="majorHAnsi" w:hAnsiTheme="majorHAnsi"/>
          <w:sz w:val="18"/>
          <w:szCs w:val="18"/>
        </w:rPr>
        <w:t xml:space="preserve"> There were significant shortcomings in the project M&amp;E system. </w:t>
      </w:r>
    </w:p>
    <w:p w14:paraId="4C6DFC6E" w14:textId="77777777" w:rsidR="004262BF" w:rsidRPr="008F7E64" w:rsidRDefault="004262BF" w:rsidP="00623323">
      <w:pPr>
        <w:numPr>
          <w:ilvl w:val="0"/>
          <w:numId w:val="13"/>
        </w:numPr>
        <w:spacing w:line="276" w:lineRule="auto"/>
        <w:rPr>
          <w:rFonts w:asciiTheme="majorHAnsi" w:hAnsiTheme="majorHAnsi"/>
          <w:sz w:val="18"/>
          <w:szCs w:val="18"/>
        </w:rPr>
      </w:pPr>
      <w:r w:rsidRPr="008F7E64">
        <w:rPr>
          <w:rFonts w:asciiTheme="majorHAnsi" w:hAnsiTheme="majorHAnsi"/>
          <w:b/>
          <w:sz w:val="18"/>
          <w:szCs w:val="18"/>
        </w:rPr>
        <w:t xml:space="preserve">Unsatisfactory (U): </w:t>
      </w:r>
      <w:r w:rsidRPr="008F7E64">
        <w:rPr>
          <w:rFonts w:asciiTheme="majorHAnsi" w:hAnsiTheme="majorHAnsi"/>
          <w:sz w:val="18"/>
          <w:szCs w:val="18"/>
        </w:rPr>
        <w:t xml:space="preserve">There were major shortcomings in the project M&amp;E system.      </w:t>
      </w:r>
    </w:p>
    <w:p w14:paraId="3279DBBB" w14:textId="77777777" w:rsidR="004262BF" w:rsidRPr="008F7E64" w:rsidRDefault="004262BF" w:rsidP="00623323">
      <w:pPr>
        <w:numPr>
          <w:ilvl w:val="0"/>
          <w:numId w:val="13"/>
        </w:numPr>
        <w:spacing w:after="200" w:line="276" w:lineRule="auto"/>
        <w:rPr>
          <w:rFonts w:asciiTheme="majorHAnsi" w:hAnsiTheme="majorHAnsi"/>
          <w:sz w:val="18"/>
          <w:szCs w:val="18"/>
        </w:rPr>
      </w:pPr>
      <w:r w:rsidRPr="008F7E64">
        <w:rPr>
          <w:rFonts w:asciiTheme="majorHAnsi" w:hAnsiTheme="majorHAnsi"/>
          <w:b/>
          <w:sz w:val="18"/>
          <w:szCs w:val="18"/>
        </w:rPr>
        <w:t>Highly Unsatisfactory (HU):</w:t>
      </w:r>
      <w:r w:rsidRPr="008F7E64">
        <w:rPr>
          <w:rFonts w:asciiTheme="majorHAnsi" w:hAnsiTheme="majorHAnsi"/>
          <w:sz w:val="18"/>
          <w:szCs w:val="18"/>
        </w:rPr>
        <w:t xml:space="preserve"> The Project had no M&amp;E system.</w:t>
      </w:r>
    </w:p>
    <w:p w14:paraId="07EF71A0" w14:textId="77777777" w:rsidR="004262BF" w:rsidRPr="008F7E64" w:rsidRDefault="004262BF" w:rsidP="004262BF">
      <w:pPr>
        <w:rPr>
          <w:rFonts w:asciiTheme="majorHAnsi" w:hAnsiTheme="majorHAnsi"/>
          <w:sz w:val="18"/>
          <w:szCs w:val="18"/>
        </w:rPr>
      </w:pPr>
      <w:r w:rsidRPr="008F7E64">
        <w:rPr>
          <w:rFonts w:asciiTheme="majorHAnsi" w:hAnsiTheme="majorHAnsi"/>
          <w:sz w:val="18"/>
          <w:szCs w:val="18"/>
        </w:rPr>
        <w:t>All other ratings will be on the GEF six point scale (HS – HU).</w:t>
      </w:r>
    </w:p>
    <w:p w14:paraId="2500D782" w14:textId="77777777" w:rsidR="004262BF" w:rsidRPr="008F7E64" w:rsidRDefault="004262BF" w:rsidP="004262BF">
      <w:pPr>
        <w:rPr>
          <w:rFonts w:asciiTheme="majorHAnsi" w:hAnsiTheme="majorHAnsi"/>
        </w:rPr>
      </w:pPr>
    </w:p>
    <w:p w14:paraId="5B7322CB" w14:textId="77777777" w:rsidR="00FF76AD" w:rsidRDefault="00FF76AD" w:rsidP="00FF76AD">
      <w:pPr>
        <w:pStyle w:val="Heading1"/>
        <w:spacing w:line="276" w:lineRule="auto"/>
      </w:pPr>
      <w:bookmarkStart w:id="99" w:name="_Toc341527064"/>
      <w:bookmarkStart w:id="100" w:name="_Toc222479161"/>
      <w:r w:rsidRPr="007D1C06">
        <w:t>Lessons Learned</w:t>
      </w:r>
      <w:bookmarkEnd w:id="99"/>
      <w:bookmarkEnd w:id="100"/>
    </w:p>
    <w:p w14:paraId="3C2B9A20" w14:textId="77777777" w:rsidR="00797CF4" w:rsidRPr="00797CF4" w:rsidRDefault="00797CF4" w:rsidP="00797CF4"/>
    <w:p w14:paraId="2ABECCD5" w14:textId="00146CA7" w:rsidR="00B236EA" w:rsidRPr="00797CF4" w:rsidRDefault="00B236EA" w:rsidP="00623323">
      <w:pPr>
        <w:pStyle w:val="ListParagraph"/>
        <w:numPr>
          <w:ilvl w:val="0"/>
          <w:numId w:val="19"/>
        </w:numPr>
        <w:jc w:val="both"/>
        <w:rPr>
          <w:rFonts w:asciiTheme="majorHAnsi" w:hAnsiTheme="majorHAnsi"/>
        </w:rPr>
      </w:pPr>
      <w:r w:rsidRPr="00797CF4">
        <w:rPr>
          <w:rFonts w:asciiTheme="majorHAnsi" w:hAnsiTheme="majorHAnsi"/>
        </w:rPr>
        <w:t xml:space="preserve">The demand for IW LEARN services to the GEF IW Portfolio remains strong providing as they do critical knowledge management </w:t>
      </w:r>
      <w:r w:rsidR="00DD7F56" w:rsidRPr="00797CF4">
        <w:rPr>
          <w:rFonts w:asciiTheme="majorHAnsi" w:hAnsiTheme="majorHAnsi"/>
        </w:rPr>
        <w:t xml:space="preserve">services both </w:t>
      </w:r>
      <w:r w:rsidR="00161454" w:rsidRPr="00797CF4">
        <w:rPr>
          <w:rFonts w:asciiTheme="majorHAnsi" w:hAnsiTheme="majorHAnsi"/>
        </w:rPr>
        <w:t xml:space="preserve">online and through </w:t>
      </w:r>
      <w:r w:rsidR="003A2A6A" w:rsidRPr="00797CF4">
        <w:rPr>
          <w:rFonts w:asciiTheme="majorHAnsi" w:hAnsiTheme="majorHAnsi"/>
        </w:rPr>
        <w:t>the various</w:t>
      </w:r>
      <w:r w:rsidR="00161454" w:rsidRPr="00797CF4">
        <w:rPr>
          <w:rFonts w:asciiTheme="majorHAnsi" w:hAnsiTheme="majorHAnsi"/>
        </w:rPr>
        <w:t xml:space="preserve"> face-to-</w:t>
      </w:r>
      <w:r w:rsidR="00DD7F56" w:rsidRPr="00797CF4">
        <w:rPr>
          <w:rFonts w:asciiTheme="majorHAnsi" w:hAnsiTheme="majorHAnsi"/>
        </w:rPr>
        <w:t>face events</w:t>
      </w:r>
      <w:r w:rsidR="002B2A64" w:rsidRPr="00797CF4">
        <w:rPr>
          <w:rFonts w:asciiTheme="majorHAnsi" w:hAnsiTheme="majorHAnsi"/>
        </w:rPr>
        <w:t>.  Without these the IW portfolio as a whole be much less cost effective</w:t>
      </w:r>
      <w:r w:rsidR="00161454" w:rsidRPr="00797CF4">
        <w:rPr>
          <w:rFonts w:asciiTheme="majorHAnsi" w:hAnsiTheme="majorHAnsi"/>
        </w:rPr>
        <w:t xml:space="preserve"> as valuable knowledge would</w:t>
      </w:r>
      <w:r w:rsidR="003A2A6A" w:rsidRPr="00797CF4">
        <w:rPr>
          <w:rFonts w:asciiTheme="majorHAnsi" w:hAnsiTheme="majorHAnsi"/>
        </w:rPr>
        <w:t xml:space="preserve"> be</w:t>
      </w:r>
      <w:r w:rsidR="00161454" w:rsidRPr="00797CF4">
        <w:rPr>
          <w:rFonts w:asciiTheme="majorHAnsi" w:hAnsiTheme="majorHAnsi"/>
        </w:rPr>
        <w:t xml:space="preserve"> lost or underutilised</w:t>
      </w:r>
      <w:r w:rsidR="002B2A64" w:rsidRPr="00797CF4">
        <w:rPr>
          <w:rFonts w:asciiTheme="majorHAnsi" w:hAnsiTheme="majorHAnsi"/>
        </w:rPr>
        <w:t>.  However an overarching knowledge management strategy is lacking and should be developed if fu</w:t>
      </w:r>
      <w:r w:rsidR="00161454" w:rsidRPr="00797CF4">
        <w:rPr>
          <w:rFonts w:asciiTheme="majorHAnsi" w:hAnsiTheme="majorHAnsi"/>
        </w:rPr>
        <w:t>r</w:t>
      </w:r>
      <w:r w:rsidR="002B2A64" w:rsidRPr="00797CF4">
        <w:rPr>
          <w:rFonts w:asciiTheme="majorHAnsi" w:hAnsiTheme="majorHAnsi"/>
        </w:rPr>
        <w:t xml:space="preserve">ther IW LEARN projects are developed to better direct and focus the available resources and avoid some of the current fragmentation.  </w:t>
      </w:r>
    </w:p>
    <w:p w14:paraId="5E82552F" w14:textId="77777777" w:rsidR="00891800" w:rsidRDefault="00891800" w:rsidP="00AD3FC4">
      <w:pPr>
        <w:jc w:val="both"/>
        <w:rPr>
          <w:rFonts w:asciiTheme="majorHAnsi" w:hAnsiTheme="majorHAnsi"/>
          <w:sz w:val="22"/>
          <w:szCs w:val="22"/>
        </w:rPr>
      </w:pPr>
    </w:p>
    <w:p w14:paraId="490AD1C0" w14:textId="71F400AB" w:rsidR="00891800" w:rsidRPr="00797CF4" w:rsidRDefault="00891800" w:rsidP="00623323">
      <w:pPr>
        <w:pStyle w:val="ListParagraph"/>
        <w:numPr>
          <w:ilvl w:val="0"/>
          <w:numId w:val="19"/>
        </w:numPr>
        <w:jc w:val="both"/>
        <w:rPr>
          <w:rFonts w:asciiTheme="majorHAnsi" w:hAnsiTheme="majorHAnsi"/>
        </w:rPr>
      </w:pPr>
      <w:r w:rsidRPr="00797CF4">
        <w:rPr>
          <w:rFonts w:asciiTheme="majorHAnsi" w:hAnsiTheme="majorHAnsi"/>
        </w:rPr>
        <w:t>The IW biennial Conferences remain the jewel in the crown of IW</w:t>
      </w:r>
      <w:proofErr w:type="gramStart"/>
      <w:r w:rsidRPr="00797CF4">
        <w:rPr>
          <w:rFonts w:asciiTheme="majorHAnsi" w:hAnsiTheme="majorHAnsi"/>
        </w:rPr>
        <w:t>:LEARN</w:t>
      </w:r>
      <w:proofErr w:type="gramEnd"/>
      <w:r w:rsidRPr="00797CF4">
        <w:rPr>
          <w:rFonts w:asciiTheme="majorHAnsi" w:hAnsiTheme="majorHAnsi"/>
        </w:rPr>
        <w:t xml:space="preserve"> providing as they do an unrivalled opportunity for all stakeholders to meet and exchange experiences and ideas both formally and informally on the challenges of TWRM. There is little doubt that project implementation and formulation gain important benefits which are passed on to the </w:t>
      </w:r>
      <w:r w:rsidR="009269CE" w:rsidRPr="00797CF4">
        <w:rPr>
          <w:rFonts w:asciiTheme="majorHAnsi" w:hAnsiTheme="majorHAnsi"/>
        </w:rPr>
        <w:t>ultimate</w:t>
      </w:r>
      <w:r w:rsidRPr="00797CF4">
        <w:rPr>
          <w:rFonts w:asciiTheme="majorHAnsi" w:hAnsiTheme="majorHAnsi"/>
        </w:rPr>
        <w:t xml:space="preserve"> beneficiaries, the governments and citizens of participating countries in the form of </w:t>
      </w:r>
      <w:proofErr w:type="gramStart"/>
      <w:r w:rsidRPr="00797CF4">
        <w:rPr>
          <w:rFonts w:asciiTheme="majorHAnsi" w:hAnsiTheme="majorHAnsi"/>
        </w:rPr>
        <w:t>more</w:t>
      </w:r>
      <w:proofErr w:type="gramEnd"/>
      <w:r w:rsidRPr="00797CF4">
        <w:rPr>
          <w:rFonts w:asciiTheme="majorHAnsi" w:hAnsiTheme="majorHAnsi"/>
        </w:rPr>
        <w:t xml:space="preserve"> effective and efficient IW projects. </w:t>
      </w:r>
    </w:p>
    <w:p w14:paraId="20772365" w14:textId="77777777" w:rsidR="002B2A64" w:rsidRPr="00161454" w:rsidRDefault="002B2A64" w:rsidP="00AD3FC4">
      <w:pPr>
        <w:jc w:val="both"/>
        <w:rPr>
          <w:rFonts w:asciiTheme="majorHAnsi" w:hAnsiTheme="majorHAnsi"/>
          <w:sz w:val="22"/>
          <w:szCs w:val="22"/>
        </w:rPr>
      </w:pPr>
    </w:p>
    <w:p w14:paraId="27D95F53" w14:textId="75BC21AD" w:rsidR="002B2A64" w:rsidRPr="00797CF4" w:rsidRDefault="002B2A64" w:rsidP="00623323">
      <w:pPr>
        <w:pStyle w:val="ListParagraph"/>
        <w:numPr>
          <w:ilvl w:val="0"/>
          <w:numId w:val="19"/>
        </w:numPr>
        <w:jc w:val="both"/>
        <w:rPr>
          <w:rFonts w:asciiTheme="majorHAnsi" w:hAnsiTheme="majorHAnsi"/>
        </w:rPr>
      </w:pPr>
      <w:r w:rsidRPr="00797CF4">
        <w:rPr>
          <w:rFonts w:asciiTheme="majorHAnsi" w:hAnsiTheme="majorHAnsi"/>
        </w:rPr>
        <w:t>A wide range of stakeholders, particularly project managers and their technical staff, benefit from IW LEARN but they are still far less</w:t>
      </w:r>
      <w:r w:rsidR="00B508C6" w:rsidRPr="00797CF4">
        <w:rPr>
          <w:rFonts w:asciiTheme="majorHAnsi" w:hAnsiTheme="majorHAnsi"/>
        </w:rPr>
        <w:t xml:space="preserve"> forthcoming in contributing to IW LEARN. This is particularly apparent in the failure </w:t>
      </w:r>
      <w:r w:rsidR="003A2A6A" w:rsidRPr="00797CF4">
        <w:rPr>
          <w:rFonts w:asciiTheme="majorHAnsi" w:hAnsiTheme="majorHAnsi"/>
        </w:rPr>
        <w:t>of the</w:t>
      </w:r>
      <w:r w:rsidR="00B508C6" w:rsidRPr="00797CF4">
        <w:rPr>
          <w:rFonts w:asciiTheme="majorHAnsi" w:hAnsiTheme="majorHAnsi"/>
        </w:rPr>
        <w:t xml:space="preserve"> Communities of Practice to gain</w:t>
      </w:r>
      <w:r w:rsidR="00533F14" w:rsidRPr="00797CF4">
        <w:rPr>
          <w:rFonts w:asciiTheme="majorHAnsi" w:hAnsiTheme="majorHAnsi"/>
        </w:rPr>
        <w:t xml:space="preserve"> traction and whereas this may</w:t>
      </w:r>
      <w:r w:rsidR="00B508C6" w:rsidRPr="00797CF4">
        <w:rPr>
          <w:rFonts w:asciiTheme="majorHAnsi" w:hAnsiTheme="majorHAnsi"/>
        </w:rPr>
        <w:t>, in part,</w:t>
      </w:r>
      <w:r w:rsidR="00533F14" w:rsidRPr="00797CF4">
        <w:rPr>
          <w:rFonts w:asciiTheme="majorHAnsi" w:hAnsiTheme="majorHAnsi"/>
        </w:rPr>
        <w:t xml:space="preserve"> be</w:t>
      </w:r>
      <w:r w:rsidR="00B508C6" w:rsidRPr="00797CF4">
        <w:rPr>
          <w:rFonts w:asciiTheme="majorHAnsi" w:hAnsiTheme="majorHAnsi"/>
        </w:rPr>
        <w:t xml:space="preserve"> </w:t>
      </w:r>
      <w:r w:rsidR="00161454" w:rsidRPr="00797CF4">
        <w:rPr>
          <w:rFonts w:asciiTheme="majorHAnsi" w:hAnsiTheme="majorHAnsi"/>
        </w:rPr>
        <w:t>owing</w:t>
      </w:r>
      <w:r w:rsidR="00B508C6" w:rsidRPr="00797CF4">
        <w:rPr>
          <w:rFonts w:asciiTheme="majorHAnsi" w:hAnsiTheme="majorHAnsi"/>
        </w:rPr>
        <w:t xml:space="preserve"> to shortcomings in the</w:t>
      </w:r>
      <w:r w:rsidR="00533F14" w:rsidRPr="00797CF4">
        <w:rPr>
          <w:rFonts w:asciiTheme="majorHAnsi" w:hAnsiTheme="majorHAnsi"/>
        </w:rPr>
        <w:t xml:space="preserve"> ICT platform it</w:t>
      </w:r>
      <w:r w:rsidR="00161454" w:rsidRPr="00797CF4">
        <w:rPr>
          <w:rFonts w:asciiTheme="majorHAnsi" w:hAnsiTheme="majorHAnsi"/>
        </w:rPr>
        <w:t xml:space="preserve"> seems to be largely </w:t>
      </w:r>
      <w:r w:rsidR="003A2A6A" w:rsidRPr="00797CF4">
        <w:rPr>
          <w:rFonts w:asciiTheme="majorHAnsi" w:hAnsiTheme="majorHAnsi"/>
        </w:rPr>
        <w:t>because</w:t>
      </w:r>
      <w:r w:rsidR="00161454" w:rsidRPr="00797CF4">
        <w:rPr>
          <w:rFonts w:asciiTheme="majorHAnsi" w:hAnsiTheme="majorHAnsi"/>
        </w:rPr>
        <w:t xml:space="preserve"> </w:t>
      </w:r>
      <w:r w:rsidR="00533F14" w:rsidRPr="00797CF4">
        <w:rPr>
          <w:rFonts w:asciiTheme="majorHAnsi" w:hAnsiTheme="majorHAnsi"/>
        </w:rPr>
        <w:t xml:space="preserve">Project Managers do not feel there is sufficient benefit from </w:t>
      </w:r>
      <w:r w:rsidR="003A2A6A" w:rsidRPr="00797CF4">
        <w:rPr>
          <w:rFonts w:asciiTheme="majorHAnsi" w:hAnsiTheme="majorHAnsi"/>
        </w:rPr>
        <w:t>participation such</w:t>
      </w:r>
      <w:r w:rsidR="00533F14" w:rsidRPr="00797CF4">
        <w:rPr>
          <w:rFonts w:asciiTheme="majorHAnsi" w:hAnsiTheme="majorHAnsi"/>
        </w:rPr>
        <w:t xml:space="preserve"> that they are willing to allocate their time which is in constant demand from immediate project exigencies. </w:t>
      </w:r>
      <w:r w:rsidRPr="00797CF4">
        <w:rPr>
          <w:rFonts w:asciiTheme="majorHAnsi" w:hAnsiTheme="majorHAnsi"/>
        </w:rPr>
        <w:t xml:space="preserve"> </w:t>
      </w:r>
      <w:r w:rsidR="00891800" w:rsidRPr="00797CF4">
        <w:rPr>
          <w:rFonts w:asciiTheme="majorHAnsi" w:hAnsiTheme="majorHAnsi"/>
        </w:rPr>
        <w:t>It is not clear how</w:t>
      </w:r>
      <w:r w:rsidR="00797CF4" w:rsidRPr="00797CF4">
        <w:rPr>
          <w:rFonts w:asciiTheme="majorHAnsi" w:hAnsiTheme="majorHAnsi"/>
        </w:rPr>
        <w:t xml:space="preserve">, or indeed if, </w:t>
      </w:r>
      <w:r w:rsidR="00891800" w:rsidRPr="00797CF4">
        <w:rPr>
          <w:rFonts w:asciiTheme="majorHAnsi" w:hAnsiTheme="majorHAnsi"/>
        </w:rPr>
        <w:t xml:space="preserve">these difficulties can be overcome and </w:t>
      </w:r>
      <w:r w:rsidR="00797CF4" w:rsidRPr="00797CF4">
        <w:rPr>
          <w:rFonts w:asciiTheme="majorHAnsi" w:hAnsiTheme="majorHAnsi"/>
        </w:rPr>
        <w:t xml:space="preserve">future IW LEARN projects should be wary of repeating the same model but rather seek alternative means of achieving the ends the CoPs were intended to meet.  </w:t>
      </w:r>
    </w:p>
    <w:p w14:paraId="05C63D04" w14:textId="77777777" w:rsidR="00533F14" w:rsidRPr="00161454" w:rsidRDefault="00533F14" w:rsidP="00AD3FC4">
      <w:pPr>
        <w:jc w:val="both"/>
        <w:rPr>
          <w:rFonts w:asciiTheme="majorHAnsi" w:hAnsiTheme="majorHAnsi"/>
          <w:sz w:val="22"/>
          <w:szCs w:val="22"/>
        </w:rPr>
      </w:pPr>
    </w:p>
    <w:p w14:paraId="211F6EF6" w14:textId="3D22A90D" w:rsidR="00533F14" w:rsidRPr="00797CF4" w:rsidRDefault="00533F14" w:rsidP="00623323">
      <w:pPr>
        <w:pStyle w:val="ListParagraph"/>
        <w:numPr>
          <w:ilvl w:val="0"/>
          <w:numId w:val="19"/>
        </w:numPr>
        <w:jc w:val="both"/>
        <w:rPr>
          <w:rFonts w:asciiTheme="majorHAnsi" w:hAnsiTheme="majorHAnsi"/>
        </w:rPr>
      </w:pPr>
      <w:r w:rsidRPr="00797CF4">
        <w:rPr>
          <w:rFonts w:asciiTheme="majorHAnsi" w:hAnsiTheme="majorHAnsi"/>
        </w:rPr>
        <w:t xml:space="preserve">Design specifications for all the ICT platform </w:t>
      </w:r>
      <w:r w:rsidR="003A2A6A" w:rsidRPr="00797CF4">
        <w:rPr>
          <w:rFonts w:asciiTheme="majorHAnsi" w:hAnsiTheme="majorHAnsi"/>
        </w:rPr>
        <w:t>improvements should</w:t>
      </w:r>
      <w:r w:rsidRPr="00797CF4">
        <w:rPr>
          <w:rFonts w:asciiTheme="majorHAnsi" w:hAnsiTheme="majorHAnsi"/>
        </w:rPr>
        <w:t xml:space="preserve"> have been determined at the start of the project with clear agreement from all key stakeholders. Constant, changes and requests for alterations or new features </w:t>
      </w:r>
      <w:r w:rsidR="00161454" w:rsidRPr="00797CF4">
        <w:rPr>
          <w:rFonts w:asciiTheme="majorHAnsi" w:hAnsiTheme="majorHAnsi"/>
        </w:rPr>
        <w:t xml:space="preserve">seriously </w:t>
      </w:r>
      <w:proofErr w:type="gramStart"/>
      <w:r w:rsidR="00623323">
        <w:rPr>
          <w:rFonts w:asciiTheme="majorHAnsi" w:hAnsiTheme="majorHAnsi"/>
        </w:rPr>
        <w:t>diverts</w:t>
      </w:r>
      <w:proofErr w:type="gramEnd"/>
      <w:r w:rsidR="00623323">
        <w:rPr>
          <w:rFonts w:asciiTheme="majorHAnsi" w:hAnsiTheme="majorHAnsi"/>
        </w:rPr>
        <w:t xml:space="preserve"> </w:t>
      </w:r>
      <w:r w:rsidR="00161454" w:rsidRPr="00797CF4">
        <w:rPr>
          <w:rFonts w:asciiTheme="majorHAnsi" w:hAnsiTheme="majorHAnsi"/>
        </w:rPr>
        <w:t xml:space="preserve">resources </w:t>
      </w:r>
      <w:r w:rsidRPr="00797CF4">
        <w:rPr>
          <w:rFonts w:asciiTheme="majorHAnsi" w:hAnsiTheme="majorHAnsi"/>
        </w:rPr>
        <w:t xml:space="preserve">from the </w:t>
      </w:r>
      <w:r w:rsidR="00AD3FC4" w:rsidRPr="00797CF4">
        <w:rPr>
          <w:rFonts w:asciiTheme="majorHAnsi" w:hAnsiTheme="majorHAnsi"/>
        </w:rPr>
        <w:t xml:space="preserve">pursuit of the projects </w:t>
      </w:r>
      <w:r w:rsidR="00161454" w:rsidRPr="00797CF4">
        <w:rPr>
          <w:rFonts w:asciiTheme="majorHAnsi" w:hAnsiTheme="majorHAnsi"/>
        </w:rPr>
        <w:t xml:space="preserve">main </w:t>
      </w:r>
      <w:r w:rsidR="00AD3FC4" w:rsidRPr="00797CF4">
        <w:rPr>
          <w:rFonts w:asciiTheme="majorHAnsi" w:hAnsiTheme="majorHAnsi"/>
        </w:rPr>
        <w:t xml:space="preserve">objectives. </w:t>
      </w:r>
    </w:p>
    <w:p w14:paraId="51CA5B89" w14:textId="77777777" w:rsidR="00AD3FC4" w:rsidRPr="00161454" w:rsidRDefault="00AD3FC4" w:rsidP="00AD3FC4">
      <w:pPr>
        <w:jc w:val="both"/>
        <w:rPr>
          <w:rFonts w:asciiTheme="majorHAnsi" w:hAnsiTheme="majorHAnsi"/>
          <w:sz w:val="22"/>
          <w:szCs w:val="22"/>
        </w:rPr>
      </w:pPr>
    </w:p>
    <w:p w14:paraId="22F1CBB9" w14:textId="73051A14" w:rsidR="00AD3FC4" w:rsidRPr="00797CF4" w:rsidRDefault="00AD3FC4" w:rsidP="00623323">
      <w:pPr>
        <w:pStyle w:val="ListParagraph"/>
        <w:numPr>
          <w:ilvl w:val="0"/>
          <w:numId w:val="19"/>
        </w:numPr>
        <w:jc w:val="both"/>
        <w:rPr>
          <w:rFonts w:asciiTheme="majorHAnsi" w:hAnsiTheme="majorHAnsi"/>
        </w:rPr>
      </w:pPr>
      <w:r w:rsidRPr="00797CF4">
        <w:rPr>
          <w:rFonts w:asciiTheme="majorHAnsi" w:hAnsiTheme="majorHAnsi"/>
        </w:rPr>
        <w:t xml:space="preserve">Dual IAs and EAs while perhaps desirable from </w:t>
      </w:r>
      <w:r w:rsidR="003A2A6A" w:rsidRPr="00797CF4">
        <w:rPr>
          <w:rFonts w:asciiTheme="majorHAnsi" w:hAnsiTheme="majorHAnsi"/>
        </w:rPr>
        <w:t>an internal</w:t>
      </w:r>
      <w:r w:rsidRPr="00797CF4">
        <w:rPr>
          <w:rFonts w:asciiTheme="majorHAnsi" w:hAnsiTheme="majorHAnsi"/>
        </w:rPr>
        <w:t xml:space="preserve"> </w:t>
      </w:r>
      <w:r w:rsidR="003A2A6A" w:rsidRPr="00797CF4">
        <w:rPr>
          <w:rFonts w:asciiTheme="majorHAnsi" w:hAnsiTheme="majorHAnsi"/>
        </w:rPr>
        <w:t>UN perspective</w:t>
      </w:r>
      <w:r w:rsidRPr="00797CF4">
        <w:rPr>
          <w:rFonts w:asciiTheme="majorHAnsi" w:hAnsiTheme="majorHAnsi"/>
        </w:rPr>
        <w:t xml:space="preserve"> is inefficient if partnering agencies still have to adher</w:t>
      </w:r>
      <w:r w:rsidR="00161454" w:rsidRPr="00797CF4">
        <w:rPr>
          <w:rFonts w:asciiTheme="majorHAnsi" w:hAnsiTheme="majorHAnsi"/>
        </w:rPr>
        <w:t>e to their</w:t>
      </w:r>
      <w:r w:rsidRPr="00797CF4">
        <w:rPr>
          <w:rFonts w:asciiTheme="majorHAnsi" w:hAnsiTheme="majorHAnsi"/>
        </w:rPr>
        <w:t xml:space="preserve"> </w:t>
      </w:r>
      <w:r w:rsidR="003A2A6A" w:rsidRPr="00797CF4">
        <w:rPr>
          <w:rFonts w:asciiTheme="majorHAnsi" w:hAnsiTheme="majorHAnsi"/>
        </w:rPr>
        <w:t>different operational</w:t>
      </w:r>
      <w:r w:rsidRPr="00797CF4">
        <w:rPr>
          <w:rFonts w:asciiTheme="majorHAnsi" w:hAnsiTheme="majorHAnsi"/>
        </w:rPr>
        <w:t xml:space="preserve"> modalities. Any future IW LEARN projects should have a single IA and single EA. </w:t>
      </w:r>
      <w:r w:rsidR="00161454" w:rsidRPr="00797CF4">
        <w:rPr>
          <w:rFonts w:asciiTheme="majorHAnsi" w:hAnsiTheme="majorHAnsi"/>
        </w:rPr>
        <w:t>Expertise</w:t>
      </w:r>
      <w:r w:rsidRPr="00797CF4">
        <w:rPr>
          <w:rFonts w:asciiTheme="majorHAnsi" w:hAnsiTheme="majorHAnsi"/>
        </w:rPr>
        <w:t xml:space="preserve"> and support from other UN agencies is better brought in via more straightforward interagency cooperation agreements.   </w:t>
      </w:r>
    </w:p>
    <w:p w14:paraId="457C1E38" w14:textId="77777777" w:rsidR="0004661D" w:rsidRPr="00161454" w:rsidRDefault="0004661D" w:rsidP="0004661D">
      <w:pPr>
        <w:jc w:val="both"/>
        <w:rPr>
          <w:rFonts w:asciiTheme="majorHAnsi" w:hAnsiTheme="majorHAnsi"/>
          <w:sz w:val="22"/>
          <w:szCs w:val="22"/>
        </w:rPr>
      </w:pPr>
    </w:p>
    <w:p w14:paraId="74C4CB43" w14:textId="49ECFF9B" w:rsidR="00B236EA" w:rsidRPr="00797CF4" w:rsidRDefault="0004661D" w:rsidP="00623323">
      <w:pPr>
        <w:pStyle w:val="ListParagraph"/>
        <w:numPr>
          <w:ilvl w:val="0"/>
          <w:numId w:val="19"/>
        </w:numPr>
        <w:jc w:val="both"/>
        <w:rPr>
          <w:rFonts w:asciiTheme="majorHAnsi" w:hAnsiTheme="majorHAnsi"/>
        </w:rPr>
      </w:pPr>
      <w:r w:rsidRPr="00797CF4">
        <w:rPr>
          <w:rFonts w:asciiTheme="majorHAnsi" w:hAnsiTheme="majorHAnsi"/>
        </w:rPr>
        <w:t xml:space="preserve">A complex project structure with multiple sub-components and partner agencies is not a good model for maximum impact as the key management resources of the PCU become overstretched especially when these are limited. A </w:t>
      </w:r>
      <w:r w:rsidR="0034424F" w:rsidRPr="00797CF4">
        <w:rPr>
          <w:rFonts w:asciiTheme="majorHAnsi" w:hAnsiTheme="majorHAnsi"/>
        </w:rPr>
        <w:t xml:space="preserve">structure </w:t>
      </w:r>
      <w:r w:rsidRPr="00797CF4">
        <w:rPr>
          <w:rFonts w:asciiTheme="majorHAnsi" w:hAnsiTheme="majorHAnsi"/>
        </w:rPr>
        <w:t xml:space="preserve">more focused </w:t>
      </w:r>
      <w:r w:rsidR="0034424F" w:rsidRPr="00797CF4">
        <w:rPr>
          <w:rFonts w:asciiTheme="majorHAnsi" w:hAnsiTheme="majorHAnsi"/>
        </w:rPr>
        <w:t xml:space="preserve">on the core services </w:t>
      </w:r>
      <w:r w:rsidRPr="00797CF4">
        <w:rPr>
          <w:rFonts w:asciiTheme="majorHAnsi" w:hAnsiTheme="majorHAnsi"/>
        </w:rPr>
        <w:t>would yield greater cost benefits to the IW Portfolio as a whole.</w:t>
      </w:r>
    </w:p>
    <w:p w14:paraId="5224C176" w14:textId="77777777" w:rsidR="00D63B7C" w:rsidRDefault="00D63B7C" w:rsidP="0004661D">
      <w:pPr>
        <w:jc w:val="both"/>
        <w:rPr>
          <w:rFonts w:asciiTheme="majorHAnsi" w:hAnsiTheme="majorHAnsi"/>
          <w:sz w:val="22"/>
          <w:szCs w:val="22"/>
        </w:rPr>
      </w:pPr>
    </w:p>
    <w:p w14:paraId="6B0A9AF0" w14:textId="77777777" w:rsidR="00FF76AD" w:rsidRDefault="00FF76AD" w:rsidP="00FF76AD">
      <w:pPr>
        <w:pStyle w:val="Heading1"/>
        <w:spacing w:line="276" w:lineRule="auto"/>
      </w:pPr>
      <w:bookmarkStart w:id="101" w:name="_Toc320280662"/>
      <w:bookmarkStart w:id="102" w:name="_Toc341527065"/>
      <w:bookmarkStart w:id="103" w:name="_Toc222479162"/>
      <w:r w:rsidRPr="007D1C06">
        <w:t>Recommendations</w:t>
      </w:r>
      <w:bookmarkEnd w:id="101"/>
      <w:bookmarkEnd w:id="102"/>
      <w:bookmarkEnd w:id="103"/>
    </w:p>
    <w:p w14:paraId="6795A817" w14:textId="280421E5" w:rsidR="005F7B5B" w:rsidRPr="00741F29" w:rsidRDefault="005F7B5B" w:rsidP="003A2A6A">
      <w:pPr>
        <w:jc w:val="both"/>
        <w:rPr>
          <w:rFonts w:asciiTheme="majorHAnsi" w:hAnsiTheme="majorHAnsi"/>
          <w:sz w:val="22"/>
          <w:szCs w:val="22"/>
        </w:rPr>
      </w:pPr>
      <w:r w:rsidRPr="00741F29">
        <w:rPr>
          <w:rFonts w:asciiTheme="majorHAnsi" w:hAnsiTheme="majorHAnsi"/>
          <w:sz w:val="22"/>
          <w:szCs w:val="22"/>
        </w:rPr>
        <w:t xml:space="preserve">The MTE makes the following </w:t>
      </w:r>
      <w:r w:rsidR="003A2A6A" w:rsidRPr="00741F29">
        <w:rPr>
          <w:rFonts w:asciiTheme="majorHAnsi" w:hAnsiTheme="majorHAnsi"/>
          <w:sz w:val="22"/>
          <w:szCs w:val="22"/>
        </w:rPr>
        <w:t>recommendations to</w:t>
      </w:r>
      <w:r w:rsidRPr="00741F29">
        <w:rPr>
          <w:rFonts w:asciiTheme="majorHAnsi" w:hAnsiTheme="majorHAnsi"/>
          <w:sz w:val="22"/>
          <w:szCs w:val="22"/>
        </w:rPr>
        <w:t xml:space="preserve"> help ensure the project achieves its objectives: </w:t>
      </w:r>
    </w:p>
    <w:p w14:paraId="0127C4F9" w14:textId="77777777" w:rsidR="00741F29" w:rsidRPr="00741F29" w:rsidRDefault="00741F29" w:rsidP="003A2A6A">
      <w:pPr>
        <w:jc w:val="both"/>
        <w:rPr>
          <w:rFonts w:asciiTheme="majorHAnsi" w:hAnsiTheme="majorHAnsi"/>
        </w:rPr>
      </w:pPr>
    </w:p>
    <w:p w14:paraId="18BACA18" w14:textId="4D8743CA" w:rsidR="00741F29" w:rsidRPr="00741F29" w:rsidRDefault="00A365B5" w:rsidP="00623323">
      <w:pPr>
        <w:pStyle w:val="ListParagraph"/>
        <w:numPr>
          <w:ilvl w:val="0"/>
          <w:numId w:val="18"/>
        </w:numPr>
        <w:jc w:val="both"/>
        <w:rPr>
          <w:rFonts w:asciiTheme="majorHAnsi" w:hAnsiTheme="majorHAnsi"/>
        </w:rPr>
      </w:pPr>
      <w:r>
        <w:rPr>
          <w:rFonts w:asciiTheme="majorHAnsi" w:hAnsiTheme="majorHAnsi"/>
        </w:rPr>
        <w:t xml:space="preserve">Decisions and agreed actions from the </w:t>
      </w:r>
      <w:r w:rsidR="005F7B5B" w:rsidRPr="00741F29">
        <w:rPr>
          <w:rFonts w:asciiTheme="majorHAnsi" w:hAnsiTheme="majorHAnsi"/>
        </w:rPr>
        <w:t xml:space="preserve">January </w:t>
      </w:r>
      <w:r>
        <w:rPr>
          <w:rFonts w:asciiTheme="majorHAnsi" w:hAnsiTheme="majorHAnsi"/>
        </w:rPr>
        <w:t xml:space="preserve">2013 </w:t>
      </w:r>
      <w:r w:rsidR="005F7B5B" w:rsidRPr="00741F29">
        <w:rPr>
          <w:rFonts w:asciiTheme="majorHAnsi" w:hAnsiTheme="majorHAnsi"/>
        </w:rPr>
        <w:t xml:space="preserve">SCM should be </w:t>
      </w:r>
      <w:r w:rsidR="003A2A6A" w:rsidRPr="00741F29">
        <w:rPr>
          <w:rFonts w:asciiTheme="majorHAnsi" w:hAnsiTheme="majorHAnsi"/>
        </w:rPr>
        <w:t>rigorously followed</w:t>
      </w:r>
      <w:r w:rsidR="005F7B5B" w:rsidRPr="00741F29">
        <w:rPr>
          <w:rFonts w:asciiTheme="majorHAnsi" w:hAnsiTheme="majorHAnsi"/>
        </w:rPr>
        <w:t xml:space="preserve"> up by the PCU and partner agencies.  SC members should be kept informed of progress and take a pro-active role response to requests for support and or action from PCU. </w:t>
      </w:r>
      <w:r w:rsidR="00741F29" w:rsidRPr="00741F29">
        <w:rPr>
          <w:rFonts w:asciiTheme="majorHAnsi" w:hAnsiTheme="majorHAnsi"/>
        </w:rPr>
        <w:t xml:space="preserve"> Key among these are:</w:t>
      </w:r>
    </w:p>
    <w:p w14:paraId="0AAA7076" w14:textId="50E7BCE1" w:rsidR="005F7B5B" w:rsidRPr="00741F29" w:rsidRDefault="00741F29" w:rsidP="00675FAA">
      <w:pPr>
        <w:jc w:val="both"/>
        <w:rPr>
          <w:rFonts w:asciiTheme="majorHAnsi" w:hAnsiTheme="majorHAnsi"/>
        </w:rPr>
      </w:pPr>
      <w:r w:rsidRPr="00741F29">
        <w:rPr>
          <w:rFonts w:asciiTheme="majorHAnsi" w:hAnsiTheme="majorHAnsi"/>
        </w:rPr>
        <w:t xml:space="preserve"> </w:t>
      </w:r>
    </w:p>
    <w:p w14:paraId="582D57DA" w14:textId="69CB9BAE"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 xml:space="preserve">UNEP IWL PCU to complete improvements to the Community space by </w:t>
      </w:r>
      <w:r w:rsidRPr="00623323">
        <w:rPr>
          <w:rFonts w:asciiTheme="majorHAnsi" w:hAnsiTheme="majorHAnsi" w:cs="Arial"/>
        </w:rPr>
        <w:t>22 Feb</w:t>
      </w:r>
      <w:r w:rsidRPr="00741F29">
        <w:rPr>
          <w:rFonts w:asciiTheme="majorHAnsi" w:hAnsiTheme="majorHAnsi" w:cs="Arial"/>
        </w:rPr>
        <w:t xml:space="preserve">. DECISION: If improvements are not sufficiently completed, UNESCO will move the Groundwater CoP to the AKVO platform and work with UN IGRAC. </w:t>
      </w:r>
    </w:p>
    <w:p w14:paraId="38F61E03" w14:textId="17270FDA"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 xml:space="preserve">IUCN to prepare a schedule of content to be showcased on the Community platform.  This will include a monthly topic of conversation, led by an expert on a specific topic to </w:t>
      </w:r>
      <w:r w:rsidR="003A2A6A" w:rsidRPr="00741F29">
        <w:rPr>
          <w:rFonts w:asciiTheme="majorHAnsi" w:hAnsiTheme="majorHAnsi" w:cs="Arial"/>
        </w:rPr>
        <w:t>catalyse</w:t>
      </w:r>
      <w:r w:rsidRPr="00741F29">
        <w:rPr>
          <w:rFonts w:asciiTheme="majorHAnsi" w:hAnsiTheme="majorHAnsi" w:cs="Arial"/>
        </w:rPr>
        <w:t xml:space="preserve"> participation.</w:t>
      </w:r>
    </w:p>
    <w:p w14:paraId="197F9AD3" w14:textId="001911B6"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UNEP IWL to hire a consultant to have an independent review of the website and the different platforms of which it is composed by 15 Feb.</w:t>
      </w:r>
    </w:p>
    <w:p w14:paraId="07E86676" w14:textId="79900C41"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IWL will organize a technical design (knowledge management strategy) concept note to guide the website enhancements.</w:t>
      </w:r>
    </w:p>
    <w:p w14:paraId="22433481" w14:textId="71FE9688"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 xml:space="preserve">IWL Work with specific projects from each region (IWCAM, BCLME/Orange River, PEMSEA/South China Sea, Danube/Black Sea) to mine for information to pilot the visualization, particularly from TDA datasets. Acquire datasets, maps, videos and photos. </w:t>
      </w:r>
    </w:p>
    <w:p w14:paraId="4F3F7B09" w14:textId="1F6965F6"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 xml:space="preserve">COPs and WGs to be asked for comments on the ecosystem specific guidance for the TDA/SAP Methodology.  Martin to prepare questions to ask. IWL to organize by 31 Jan. </w:t>
      </w:r>
    </w:p>
    <w:p w14:paraId="456702BD" w14:textId="754CC990"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DECISION: Cancel the index insurance activity.</w:t>
      </w:r>
    </w:p>
    <w:p w14:paraId="1CD81B1B" w14:textId="6A4B110D"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 xml:space="preserve">All partners to complete a </w:t>
      </w:r>
      <w:r w:rsidR="003A2A6A" w:rsidRPr="00741F29">
        <w:rPr>
          <w:rFonts w:asciiTheme="majorHAnsi" w:hAnsiTheme="majorHAnsi" w:cs="Arial"/>
        </w:rPr>
        <w:t>one-page</w:t>
      </w:r>
      <w:r w:rsidRPr="00741F29">
        <w:rPr>
          <w:rFonts w:asciiTheme="majorHAnsi" w:hAnsiTheme="majorHAnsi" w:cs="Arial"/>
        </w:rPr>
        <w:t xml:space="preserve"> document with a preliminary indication of how their respective activities will be sustained after June 2014 by 15 Feb, with full plans by 15 Oct. </w:t>
      </w:r>
    </w:p>
    <w:p w14:paraId="475667D3" w14:textId="42BBA036"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 xml:space="preserve">DECISION: IWL to look into further collaboration with NOAA including sharing their blog, working on visualization, sending projects to existing NOAA trainings. </w:t>
      </w:r>
    </w:p>
    <w:p w14:paraId="38E536DC" w14:textId="3649E14E"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IWL PSC to conduct a teleconference meeting in mid-</w:t>
      </w:r>
      <w:r w:rsidR="003A2A6A" w:rsidRPr="00741F29">
        <w:rPr>
          <w:rFonts w:asciiTheme="majorHAnsi" w:hAnsiTheme="majorHAnsi" w:cs="Arial"/>
        </w:rPr>
        <w:t>February</w:t>
      </w:r>
      <w:r w:rsidRPr="00741F29">
        <w:rPr>
          <w:rFonts w:asciiTheme="majorHAnsi" w:hAnsiTheme="majorHAnsi" w:cs="Arial"/>
        </w:rPr>
        <w:t xml:space="preserve"> to review MTE findings. A face-to-face PSC meeting will be conducted to review progress in 6 to 7 months (likely as a one-day meeting after the IWC7 but ideally elsewhere). </w:t>
      </w:r>
    </w:p>
    <w:p w14:paraId="4C767B4D" w14:textId="79AF6088" w:rsidR="00741F29" w:rsidRPr="00741F29" w:rsidRDefault="00741F29" w:rsidP="00623323">
      <w:pPr>
        <w:pStyle w:val="ListParagraph"/>
        <w:numPr>
          <w:ilvl w:val="0"/>
          <w:numId w:val="21"/>
        </w:numPr>
        <w:ind w:left="709"/>
        <w:jc w:val="both"/>
        <w:rPr>
          <w:rFonts w:asciiTheme="majorHAnsi" w:hAnsiTheme="majorHAnsi" w:cs="Arial"/>
        </w:rPr>
      </w:pPr>
      <w:r w:rsidRPr="00741F29">
        <w:rPr>
          <w:rFonts w:asciiTheme="majorHAnsi" w:hAnsiTheme="majorHAnsi" w:cs="Arial"/>
        </w:rPr>
        <w:t xml:space="preserve">IWL PSC should prepare a “what is” IW:LEARN publication and also include it in PM manual (including how projects might allocate their 1% and other related issues) </w:t>
      </w:r>
    </w:p>
    <w:p w14:paraId="3033F1B4" w14:textId="77777777" w:rsidR="005F7B5B" w:rsidRDefault="005F7B5B" w:rsidP="00675FAA">
      <w:pPr>
        <w:jc w:val="both"/>
      </w:pPr>
    </w:p>
    <w:p w14:paraId="29EFBF1F" w14:textId="42782DD0" w:rsidR="006817BA" w:rsidRPr="00675FAA" w:rsidRDefault="005F7B5B" w:rsidP="00623323">
      <w:pPr>
        <w:pStyle w:val="ListParagraph"/>
        <w:numPr>
          <w:ilvl w:val="0"/>
          <w:numId w:val="18"/>
        </w:numPr>
        <w:jc w:val="both"/>
        <w:rPr>
          <w:rFonts w:asciiTheme="majorHAnsi" w:hAnsiTheme="majorHAnsi"/>
        </w:rPr>
      </w:pPr>
      <w:r w:rsidRPr="00741F29">
        <w:rPr>
          <w:rFonts w:asciiTheme="majorHAnsi" w:hAnsiTheme="majorHAnsi"/>
        </w:rPr>
        <w:t>Requests to GEF-SEC and IWTF for comment or ap</w:t>
      </w:r>
      <w:r w:rsidR="006817BA" w:rsidRPr="00741F29">
        <w:rPr>
          <w:rFonts w:asciiTheme="majorHAnsi" w:hAnsiTheme="majorHAnsi"/>
        </w:rPr>
        <w:t xml:space="preserve">proval on documents sent from PCU should be dealt with in a </w:t>
      </w:r>
      <w:proofErr w:type="gramStart"/>
      <w:r w:rsidR="003A2A6A" w:rsidRPr="00741F29">
        <w:rPr>
          <w:rFonts w:asciiTheme="majorHAnsi" w:hAnsiTheme="majorHAnsi"/>
        </w:rPr>
        <w:t xml:space="preserve">more </w:t>
      </w:r>
      <w:r w:rsidR="003A2A6A">
        <w:rPr>
          <w:rFonts w:asciiTheme="majorHAnsi" w:hAnsiTheme="majorHAnsi"/>
        </w:rPr>
        <w:t>timely</w:t>
      </w:r>
      <w:proofErr w:type="gramEnd"/>
      <w:r w:rsidR="006817BA" w:rsidRPr="00741F29">
        <w:rPr>
          <w:rFonts w:asciiTheme="majorHAnsi" w:hAnsiTheme="majorHAnsi"/>
        </w:rPr>
        <w:t xml:space="preserve"> manner to enable activities to be completed and resources concentrated on outstanding tasks. </w:t>
      </w:r>
    </w:p>
    <w:p w14:paraId="0BC256D6" w14:textId="07CCC997" w:rsidR="006817BA" w:rsidRPr="00675FAA" w:rsidRDefault="006817BA" w:rsidP="00623323">
      <w:pPr>
        <w:pStyle w:val="ListParagraph"/>
        <w:numPr>
          <w:ilvl w:val="0"/>
          <w:numId w:val="18"/>
        </w:numPr>
        <w:jc w:val="both"/>
        <w:rPr>
          <w:rFonts w:asciiTheme="majorHAnsi" w:hAnsiTheme="majorHAnsi"/>
        </w:rPr>
      </w:pPr>
      <w:r w:rsidRPr="00741F29">
        <w:rPr>
          <w:rFonts w:asciiTheme="majorHAnsi" w:hAnsiTheme="majorHAnsi"/>
        </w:rPr>
        <w:t xml:space="preserve">Quarterly progress reports should contain financial summaries </w:t>
      </w:r>
      <w:r w:rsidR="00441297">
        <w:rPr>
          <w:rFonts w:asciiTheme="majorHAnsi" w:hAnsiTheme="majorHAnsi" w:cs="Times New Roman"/>
        </w:rPr>
        <w:t xml:space="preserve">including information regarding and delivery of expected co-financing and leveraged additional co-financing </w:t>
      </w:r>
      <w:r w:rsidRPr="00741F29">
        <w:rPr>
          <w:rFonts w:asciiTheme="majorHAnsi" w:hAnsiTheme="majorHAnsi"/>
        </w:rPr>
        <w:t xml:space="preserve">and should </w:t>
      </w:r>
      <w:r w:rsidR="00441297">
        <w:rPr>
          <w:rFonts w:asciiTheme="majorHAnsi" w:hAnsiTheme="majorHAnsi"/>
        </w:rPr>
        <w:t xml:space="preserve">more clearly and with some detail </w:t>
      </w:r>
      <w:r w:rsidRPr="00741F29">
        <w:rPr>
          <w:rFonts w:asciiTheme="majorHAnsi" w:hAnsiTheme="majorHAnsi"/>
        </w:rPr>
        <w:t>highlight outstanding issues</w:t>
      </w:r>
      <w:r w:rsidR="00441297">
        <w:rPr>
          <w:rFonts w:asciiTheme="majorHAnsi" w:hAnsiTheme="majorHAnsi"/>
        </w:rPr>
        <w:t xml:space="preserve">. The reports should </w:t>
      </w:r>
      <w:r w:rsidRPr="00741F29">
        <w:rPr>
          <w:rFonts w:asciiTheme="majorHAnsi" w:hAnsiTheme="majorHAnsi"/>
        </w:rPr>
        <w:t xml:space="preserve">be distributed directly to SC members who should in turn make comment and if possible take action. It is demoralising and wasteful for the PCU to produce reports which are seemingly read by very few of the intended recipients. </w:t>
      </w:r>
    </w:p>
    <w:p w14:paraId="54A5B6C5" w14:textId="41D9F936" w:rsidR="006817BA" w:rsidRPr="00675FAA" w:rsidRDefault="006817BA" w:rsidP="00623323">
      <w:pPr>
        <w:pStyle w:val="ListParagraph"/>
        <w:numPr>
          <w:ilvl w:val="0"/>
          <w:numId w:val="18"/>
        </w:numPr>
        <w:jc w:val="both"/>
        <w:rPr>
          <w:rFonts w:asciiTheme="majorHAnsi" w:hAnsiTheme="majorHAnsi"/>
        </w:rPr>
      </w:pPr>
      <w:r w:rsidRPr="00741F29">
        <w:rPr>
          <w:rFonts w:asciiTheme="majorHAnsi" w:hAnsiTheme="majorHAnsi"/>
        </w:rPr>
        <w:t>A system should be set up within the PCU to better capture catalytic and replication effects of project interventions. And future IW Learn project should specifically seek to c</w:t>
      </w:r>
      <w:r w:rsidR="00675FAA">
        <w:rPr>
          <w:rFonts w:asciiTheme="majorHAnsi" w:hAnsiTheme="majorHAnsi"/>
        </w:rPr>
        <w:t>ollect and collate impa</w:t>
      </w:r>
      <w:r w:rsidRPr="00741F29">
        <w:rPr>
          <w:rFonts w:asciiTheme="majorHAnsi" w:hAnsiTheme="majorHAnsi"/>
        </w:rPr>
        <w:t>cts of IW LEARN interventions over the period since their inception</w:t>
      </w:r>
      <w:r w:rsidR="00741F29">
        <w:rPr>
          <w:rFonts w:asciiTheme="majorHAnsi" w:hAnsiTheme="majorHAnsi"/>
        </w:rPr>
        <w:t xml:space="preserve"> in 1998</w:t>
      </w:r>
      <w:r w:rsidRPr="00741F29">
        <w:rPr>
          <w:rFonts w:asciiTheme="majorHAnsi" w:hAnsiTheme="majorHAnsi"/>
        </w:rPr>
        <w:t xml:space="preserve">. </w:t>
      </w:r>
      <w:r w:rsidR="000A29B9">
        <w:rPr>
          <w:rFonts w:asciiTheme="majorHAnsi" w:hAnsiTheme="majorHAnsi"/>
        </w:rPr>
        <w:t xml:space="preserve"> </w:t>
      </w:r>
    </w:p>
    <w:p w14:paraId="01A03993" w14:textId="09EE1FEA" w:rsidR="0034424F" w:rsidRPr="00675FAA" w:rsidRDefault="006817BA" w:rsidP="00623323">
      <w:pPr>
        <w:pStyle w:val="ListParagraph"/>
        <w:numPr>
          <w:ilvl w:val="0"/>
          <w:numId w:val="18"/>
        </w:numPr>
        <w:jc w:val="both"/>
        <w:rPr>
          <w:rFonts w:asciiTheme="majorHAnsi" w:hAnsiTheme="majorHAnsi"/>
        </w:rPr>
      </w:pPr>
      <w:r w:rsidRPr="00741F29">
        <w:rPr>
          <w:rFonts w:asciiTheme="majorHAnsi" w:hAnsiTheme="majorHAnsi"/>
        </w:rPr>
        <w:t>The project should develop an introductory package for new and recent project managers and technical staff. Pos</w:t>
      </w:r>
      <w:r w:rsidR="00D275EB" w:rsidRPr="00741F29">
        <w:rPr>
          <w:rFonts w:asciiTheme="majorHAnsi" w:hAnsiTheme="majorHAnsi"/>
        </w:rPr>
        <w:t>sible in the form of a simple brochure</w:t>
      </w:r>
      <w:r w:rsidR="00797CF4">
        <w:rPr>
          <w:rFonts w:asciiTheme="majorHAnsi" w:hAnsiTheme="majorHAnsi"/>
        </w:rPr>
        <w:t xml:space="preserve"> style how-to guide</w:t>
      </w:r>
      <w:r w:rsidR="00D275EB" w:rsidRPr="00741F29">
        <w:rPr>
          <w:rFonts w:asciiTheme="majorHAnsi" w:hAnsiTheme="majorHAnsi"/>
        </w:rPr>
        <w:t xml:space="preserve"> to explain IW LEARN and </w:t>
      </w:r>
      <w:r w:rsidR="003A2A6A" w:rsidRPr="00741F29">
        <w:rPr>
          <w:rFonts w:asciiTheme="majorHAnsi" w:hAnsiTheme="majorHAnsi"/>
        </w:rPr>
        <w:t>the services</w:t>
      </w:r>
      <w:r w:rsidR="00D275EB" w:rsidRPr="00741F29">
        <w:rPr>
          <w:rFonts w:asciiTheme="majorHAnsi" w:hAnsiTheme="majorHAnsi"/>
        </w:rPr>
        <w:t xml:space="preserve"> it provides</w:t>
      </w:r>
      <w:r w:rsidR="003A2A6A" w:rsidRPr="00741F29">
        <w:rPr>
          <w:rFonts w:asciiTheme="majorHAnsi" w:hAnsiTheme="majorHAnsi"/>
        </w:rPr>
        <w:t>, draw</w:t>
      </w:r>
      <w:r w:rsidR="00D275EB" w:rsidRPr="00741F29">
        <w:rPr>
          <w:rFonts w:asciiTheme="majorHAnsi" w:hAnsiTheme="majorHAnsi"/>
        </w:rPr>
        <w:t xml:space="preserve"> attention to </w:t>
      </w:r>
      <w:r w:rsidR="000A29B9">
        <w:rPr>
          <w:rFonts w:asciiTheme="majorHAnsi" w:hAnsiTheme="majorHAnsi"/>
        </w:rPr>
        <w:t xml:space="preserve">the </w:t>
      </w:r>
      <w:r w:rsidR="00D275EB" w:rsidRPr="00741F29">
        <w:rPr>
          <w:rFonts w:asciiTheme="majorHAnsi" w:hAnsiTheme="majorHAnsi"/>
        </w:rPr>
        <w:t xml:space="preserve">obligations </w:t>
      </w:r>
      <w:r w:rsidR="000A29B9">
        <w:rPr>
          <w:rFonts w:asciiTheme="majorHAnsi" w:hAnsiTheme="majorHAnsi"/>
        </w:rPr>
        <w:t xml:space="preserve">projects and their staff have </w:t>
      </w:r>
      <w:r w:rsidR="00D275EB" w:rsidRPr="00741F29">
        <w:rPr>
          <w:rFonts w:asciiTheme="majorHAnsi" w:hAnsiTheme="majorHAnsi"/>
        </w:rPr>
        <w:t xml:space="preserve">to IW LEARN activities and to solicit their support. </w:t>
      </w:r>
    </w:p>
    <w:p w14:paraId="21A5AB0F" w14:textId="50AB5A88" w:rsidR="00DD67A9" w:rsidRPr="00797CF4" w:rsidRDefault="00741F29" w:rsidP="00623323">
      <w:pPr>
        <w:pStyle w:val="ListParagraph"/>
        <w:numPr>
          <w:ilvl w:val="0"/>
          <w:numId w:val="18"/>
        </w:numPr>
        <w:jc w:val="both"/>
        <w:rPr>
          <w:rFonts w:asciiTheme="majorHAnsi" w:hAnsiTheme="majorHAnsi"/>
        </w:rPr>
      </w:pPr>
      <w:r w:rsidRPr="00DA31D2">
        <w:rPr>
          <w:rFonts w:asciiTheme="majorHAnsi" w:hAnsiTheme="majorHAnsi"/>
        </w:rPr>
        <w:t xml:space="preserve">The mandatory allocation of </w:t>
      </w:r>
      <w:r w:rsidR="00DA31D2" w:rsidRPr="00DA31D2">
        <w:rPr>
          <w:rFonts w:asciiTheme="majorHAnsi" w:hAnsiTheme="majorHAnsi"/>
        </w:rPr>
        <w:t xml:space="preserve">1% of new project budgets to be targeted to IW LEARN should be increased to 2% and clear guidelines provided for the sort of activities that should be conducted with these funds.  Ideally a separate project </w:t>
      </w:r>
      <w:r w:rsidR="000A29B9">
        <w:rPr>
          <w:rFonts w:asciiTheme="majorHAnsi" w:hAnsiTheme="majorHAnsi"/>
        </w:rPr>
        <w:t xml:space="preserve">specific IW LEARN </w:t>
      </w:r>
      <w:r w:rsidR="00DA31D2" w:rsidRPr="00DA31D2">
        <w:rPr>
          <w:rFonts w:asciiTheme="majorHAnsi" w:hAnsiTheme="majorHAnsi"/>
        </w:rPr>
        <w:t xml:space="preserve">Component should </w:t>
      </w:r>
      <w:r w:rsidR="000A29B9">
        <w:rPr>
          <w:rFonts w:asciiTheme="majorHAnsi" w:hAnsiTheme="majorHAnsi"/>
        </w:rPr>
        <w:t xml:space="preserve">be </w:t>
      </w:r>
      <w:r w:rsidR="00DA31D2" w:rsidRPr="00DA31D2">
        <w:rPr>
          <w:rFonts w:asciiTheme="majorHAnsi" w:hAnsiTheme="majorHAnsi"/>
        </w:rPr>
        <w:t xml:space="preserve">established within each project’s results framework. </w:t>
      </w:r>
      <w:r w:rsidR="000A29B9">
        <w:rPr>
          <w:rFonts w:asciiTheme="majorHAnsi" w:hAnsiTheme="majorHAnsi"/>
        </w:rPr>
        <w:t xml:space="preserve"> </w:t>
      </w:r>
    </w:p>
    <w:p w14:paraId="6EE03E16" w14:textId="7E9EE590" w:rsidR="00675FAA" w:rsidRPr="00675FAA" w:rsidRDefault="00DA31D2" w:rsidP="00623323">
      <w:pPr>
        <w:pStyle w:val="ListParagraph"/>
        <w:numPr>
          <w:ilvl w:val="0"/>
          <w:numId w:val="18"/>
        </w:numPr>
        <w:jc w:val="both"/>
        <w:rPr>
          <w:rFonts w:asciiTheme="majorHAnsi" w:hAnsiTheme="majorHAnsi"/>
        </w:rPr>
      </w:pPr>
      <w:r>
        <w:rPr>
          <w:rFonts w:asciiTheme="majorHAnsi" w:hAnsiTheme="majorHAnsi"/>
        </w:rPr>
        <w:t>Building on 1.h above the PCU and partners with input from GEF-SEC and IAs should develop a comprehensive fully costed (as far as feasible</w:t>
      </w:r>
      <w:r w:rsidR="003A2A6A">
        <w:rPr>
          <w:rFonts w:asciiTheme="majorHAnsi" w:hAnsiTheme="majorHAnsi"/>
        </w:rPr>
        <w:t>) sustainability</w:t>
      </w:r>
      <w:r>
        <w:rPr>
          <w:rFonts w:asciiTheme="majorHAnsi" w:hAnsiTheme="majorHAnsi"/>
        </w:rPr>
        <w:t xml:space="preserve"> plan for the project to be presented at the next SCM. </w:t>
      </w:r>
      <w:r w:rsidR="00BC6604">
        <w:rPr>
          <w:rFonts w:asciiTheme="majorHAnsi" w:hAnsiTheme="majorHAnsi"/>
        </w:rPr>
        <w:t xml:space="preserve"> To be feasible such a plan will probable require the outline of a future IW</w:t>
      </w:r>
      <w:proofErr w:type="gramStart"/>
      <w:r w:rsidR="00BC6604">
        <w:rPr>
          <w:rFonts w:asciiTheme="majorHAnsi" w:hAnsiTheme="majorHAnsi"/>
        </w:rPr>
        <w:t>:LEARN</w:t>
      </w:r>
      <w:proofErr w:type="gramEnd"/>
      <w:r w:rsidR="00BC6604">
        <w:rPr>
          <w:rFonts w:asciiTheme="majorHAnsi" w:hAnsiTheme="majorHAnsi"/>
        </w:rPr>
        <w:t xml:space="preserve"> project and  some commitment from GEF to cover the incremental costs. </w:t>
      </w:r>
    </w:p>
    <w:p w14:paraId="7EF5EE11" w14:textId="180ABC89" w:rsidR="00A365B5" w:rsidRPr="00675FAA" w:rsidRDefault="00441297" w:rsidP="00623323">
      <w:pPr>
        <w:pStyle w:val="ListParagraph"/>
        <w:numPr>
          <w:ilvl w:val="0"/>
          <w:numId w:val="18"/>
        </w:numPr>
        <w:jc w:val="both"/>
      </w:pPr>
      <w:r w:rsidRPr="00441297">
        <w:rPr>
          <w:rFonts w:ascii="Calibri" w:hAnsi="Calibri"/>
        </w:rPr>
        <w:t xml:space="preserve">The more practicable recommendations contained in the Report of the Science Conference </w:t>
      </w:r>
      <w:r w:rsidR="003A2A6A" w:rsidRPr="00441297">
        <w:rPr>
          <w:rFonts w:ascii="Calibri" w:hAnsi="Calibri"/>
        </w:rPr>
        <w:t>should be</w:t>
      </w:r>
      <w:r w:rsidRPr="00441297">
        <w:rPr>
          <w:rFonts w:ascii="Calibri" w:hAnsi="Calibri"/>
        </w:rPr>
        <w:t xml:space="preserve"> extracted and submitted to GEF in a separate note which should lead to a considered response by GEF</w:t>
      </w:r>
      <w:r w:rsidR="002C276F">
        <w:rPr>
          <w:rFonts w:ascii="Calibri" w:hAnsi="Calibri"/>
        </w:rPr>
        <w:t xml:space="preserve"> and or IAs</w:t>
      </w:r>
      <w:r w:rsidRPr="00441297">
        <w:rPr>
          <w:rFonts w:ascii="Calibri" w:hAnsi="Calibri"/>
        </w:rPr>
        <w:t xml:space="preserve"> of each of the recommendations.  Recommendations and responses should be published on the IW LEARN web site. </w:t>
      </w:r>
      <w:bookmarkStart w:id="104" w:name="_Toc320280663"/>
      <w:bookmarkStart w:id="105" w:name="_Toc341527066"/>
    </w:p>
    <w:p w14:paraId="30907F78" w14:textId="2ED99334" w:rsidR="00205AB6" w:rsidRPr="00675FAA" w:rsidRDefault="00A365B5" w:rsidP="00623323">
      <w:pPr>
        <w:pStyle w:val="ListParagraph"/>
        <w:numPr>
          <w:ilvl w:val="0"/>
          <w:numId w:val="18"/>
        </w:numPr>
        <w:jc w:val="both"/>
        <w:rPr>
          <w:rFonts w:ascii="Calibri" w:hAnsi="Calibri"/>
        </w:rPr>
      </w:pPr>
      <w:r w:rsidRPr="00205AB6">
        <w:rPr>
          <w:rFonts w:ascii="Calibri" w:hAnsi="Calibri"/>
        </w:rPr>
        <w:t xml:space="preserve">In order to encourage Project Managers to participate more in the CoPs and thereby more thoroughly test the concept before the end of the project it is recommended that GEF-SEC and IAs actively encourage PMs to participate </w:t>
      </w:r>
      <w:r w:rsidR="00205AB6" w:rsidRPr="00205AB6">
        <w:rPr>
          <w:rFonts w:ascii="Calibri" w:hAnsi="Calibri"/>
        </w:rPr>
        <w:t xml:space="preserve">by </w:t>
      </w:r>
      <w:r w:rsidRPr="00205AB6">
        <w:rPr>
          <w:rFonts w:ascii="Calibri" w:hAnsi="Calibri"/>
        </w:rPr>
        <w:t xml:space="preserve">more clearly explaining the mutual benefits of so doing.  This could be promulgated via </w:t>
      </w:r>
      <w:r w:rsidR="003A2A6A" w:rsidRPr="00205AB6">
        <w:rPr>
          <w:rFonts w:ascii="Calibri" w:hAnsi="Calibri"/>
        </w:rPr>
        <w:t>the regular</w:t>
      </w:r>
      <w:r w:rsidRPr="00205AB6">
        <w:rPr>
          <w:rFonts w:ascii="Calibri" w:hAnsi="Calibri"/>
        </w:rPr>
        <w:t xml:space="preserve"> e-bulletins </w:t>
      </w:r>
      <w:r w:rsidR="00E84901" w:rsidRPr="00205AB6">
        <w:rPr>
          <w:rFonts w:ascii="Calibri" w:hAnsi="Calibri"/>
        </w:rPr>
        <w:t xml:space="preserve">prepared by the PCU. </w:t>
      </w:r>
    </w:p>
    <w:p w14:paraId="0C2B9E2D" w14:textId="77777777" w:rsidR="0045731A" w:rsidRPr="00675FAA" w:rsidRDefault="00E84901" w:rsidP="0045731A">
      <w:pPr>
        <w:pStyle w:val="ListParagraph"/>
        <w:numPr>
          <w:ilvl w:val="0"/>
          <w:numId w:val="18"/>
        </w:numPr>
        <w:jc w:val="both"/>
        <w:rPr>
          <w:rFonts w:ascii="Calibri" w:hAnsi="Calibri"/>
        </w:rPr>
      </w:pPr>
      <w:r w:rsidRPr="0045731A">
        <w:rPr>
          <w:rFonts w:ascii="Calibri" w:hAnsi="Calibri"/>
        </w:rPr>
        <w:t xml:space="preserve">Consideration should be given to increasing the personnel available to the PCU Bratislava to enable a more proactive </w:t>
      </w:r>
      <w:r w:rsidR="003A2A6A" w:rsidRPr="0045731A">
        <w:rPr>
          <w:rFonts w:ascii="Calibri" w:hAnsi="Calibri"/>
        </w:rPr>
        <w:t>approach for</w:t>
      </w:r>
      <w:r w:rsidRPr="0045731A">
        <w:rPr>
          <w:rFonts w:ascii="Calibri" w:hAnsi="Calibri"/>
        </w:rPr>
        <w:t xml:space="preserve"> the remainder of the project.  This is particularly important in view of the forthcoming </w:t>
      </w:r>
      <w:r w:rsidR="003A2A6A" w:rsidRPr="0045731A">
        <w:rPr>
          <w:rFonts w:ascii="Calibri" w:hAnsi="Calibri"/>
        </w:rPr>
        <w:t>IWC7 that</w:t>
      </w:r>
      <w:r w:rsidRPr="0045731A">
        <w:rPr>
          <w:rFonts w:ascii="Calibri" w:hAnsi="Calibri"/>
        </w:rPr>
        <w:t xml:space="preserve"> is already taking resources away from this project. </w:t>
      </w:r>
      <w:r w:rsidR="0045731A">
        <w:rPr>
          <w:rFonts w:ascii="Calibri" w:hAnsi="Calibri"/>
        </w:rPr>
        <w:t xml:space="preserve">Funds for IWC7 should be used to substitute resources diverted from IW LEARN III particularly with regard to dedicated managerial support. </w:t>
      </w:r>
    </w:p>
    <w:p w14:paraId="2E765D63" w14:textId="6A0991CF" w:rsidR="00E84901" w:rsidRPr="0045731A" w:rsidRDefault="0034424F" w:rsidP="00623323">
      <w:pPr>
        <w:pStyle w:val="ListParagraph"/>
        <w:numPr>
          <w:ilvl w:val="0"/>
          <w:numId w:val="18"/>
        </w:numPr>
        <w:jc w:val="both"/>
        <w:rPr>
          <w:rFonts w:ascii="Calibri" w:hAnsi="Calibri"/>
        </w:rPr>
      </w:pPr>
      <w:r w:rsidRPr="0045731A">
        <w:rPr>
          <w:rFonts w:ascii="Calibri" w:hAnsi="Calibri"/>
        </w:rPr>
        <w:t xml:space="preserve">A system should be </w:t>
      </w:r>
      <w:r w:rsidR="00486034" w:rsidRPr="0045731A">
        <w:rPr>
          <w:rFonts w:ascii="Calibri" w:hAnsi="Calibri"/>
        </w:rPr>
        <w:t>implemented</w:t>
      </w:r>
      <w:r w:rsidR="003A2A6A" w:rsidRPr="0045731A">
        <w:rPr>
          <w:rFonts w:ascii="Calibri" w:hAnsi="Calibri"/>
        </w:rPr>
        <w:t xml:space="preserve"> to</w:t>
      </w:r>
      <w:r w:rsidRPr="0045731A">
        <w:rPr>
          <w:rFonts w:ascii="Calibri" w:hAnsi="Calibri"/>
        </w:rPr>
        <w:t xml:space="preserve"> collect, collate and </w:t>
      </w:r>
      <w:r w:rsidR="003A2A6A" w:rsidRPr="0045731A">
        <w:rPr>
          <w:rFonts w:ascii="Calibri" w:hAnsi="Calibri"/>
        </w:rPr>
        <w:t>feedback</w:t>
      </w:r>
      <w:r w:rsidRPr="0045731A">
        <w:rPr>
          <w:rFonts w:ascii="Calibri" w:hAnsi="Calibri"/>
        </w:rPr>
        <w:t xml:space="preserve"> into the online versions of the TDA/SAP methodology and the PM Manual useful suggestions for improvements that users may post onto the website in the spaces </w:t>
      </w:r>
      <w:r w:rsidR="00486034" w:rsidRPr="0045731A">
        <w:rPr>
          <w:rFonts w:ascii="Calibri" w:hAnsi="Calibri"/>
        </w:rPr>
        <w:t xml:space="preserve">already </w:t>
      </w:r>
      <w:r w:rsidRPr="0045731A">
        <w:rPr>
          <w:rFonts w:ascii="Calibri" w:hAnsi="Calibri"/>
        </w:rPr>
        <w:t xml:space="preserve">provided.   A person or persons needs to be given the responsibility for this and provided with clear guidance. </w:t>
      </w:r>
    </w:p>
    <w:p w14:paraId="5CF83E16" w14:textId="4CECC4F1" w:rsidR="00DD67A9" w:rsidRPr="00E96664" w:rsidRDefault="00DD67A9" w:rsidP="00623323">
      <w:pPr>
        <w:pStyle w:val="ListParagraph"/>
        <w:numPr>
          <w:ilvl w:val="0"/>
          <w:numId w:val="18"/>
        </w:numPr>
        <w:jc w:val="both"/>
        <w:rPr>
          <w:rFonts w:asciiTheme="majorHAnsi" w:hAnsiTheme="majorHAnsi"/>
        </w:rPr>
      </w:pPr>
      <w:r w:rsidRPr="00E96664">
        <w:rPr>
          <w:rFonts w:asciiTheme="majorHAnsi" w:hAnsiTheme="majorHAnsi"/>
        </w:rPr>
        <w:t>Compliance by projects with completing the GEF tracking tool should be checked</w:t>
      </w:r>
      <w:r w:rsidR="00E96664" w:rsidRPr="00E96664">
        <w:rPr>
          <w:rFonts w:asciiTheme="majorHAnsi" w:hAnsiTheme="majorHAnsi"/>
        </w:rPr>
        <w:t xml:space="preserve"> by GEF-</w:t>
      </w:r>
      <w:proofErr w:type="gramStart"/>
      <w:r w:rsidR="00E96664" w:rsidRPr="00E96664">
        <w:rPr>
          <w:rFonts w:asciiTheme="majorHAnsi" w:hAnsiTheme="majorHAnsi"/>
        </w:rPr>
        <w:t xml:space="preserve">SEC </w:t>
      </w:r>
      <w:r w:rsidRPr="00E96664">
        <w:rPr>
          <w:rFonts w:asciiTheme="majorHAnsi" w:hAnsiTheme="majorHAnsi"/>
        </w:rPr>
        <w:t xml:space="preserve"> and</w:t>
      </w:r>
      <w:proofErr w:type="gramEnd"/>
      <w:r w:rsidRPr="00E96664">
        <w:rPr>
          <w:rFonts w:asciiTheme="majorHAnsi" w:hAnsiTheme="majorHAnsi"/>
        </w:rPr>
        <w:t xml:space="preserve"> if deficient steps taken to ensure better compliance in the future to aid IW LEARN impact tracking. </w:t>
      </w:r>
    </w:p>
    <w:p w14:paraId="79CD684F" w14:textId="51B5908D" w:rsidR="00BC6604" w:rsidRPr="00BC6604" w:rsidRDefault="00DD67A9" w:rsidP="00623323">
      <w:pPr>
        <w:pStyle w:val="ListParagraph"/>
        <w:numPr>
          <w:ilvl w:val="0"/>
          <w:numId w:val="18"/>
        </w:numPr>
        <w:jc w:val="both"/>
      </w:pPr>
      <w:r w:rsidRPr="00BC6604">
        <w:rPr>
          <w:rFonts w:ascii="Calibri" w:hAnsi="Calibri"/>
        </w:rPr>
        <w:t xml:space="preserve">To ensure that Project Managers are aware and make full use of the guidance provided by the online Project </w:t>
      </w:r>
      <w:r w:rsidR="009269CE">
        <w:rPr>
          <w:rFonts w:ascii="Calibri" w:hAnsi="Calibri"/>
        </w:rPr>
        <w:t xml:space="preserve">Managers Manual each PM should </w:t>
      </w:r>
      <w:r w:rsidRPr="00BC6604">
        <w:rPr>
          <w:rFonts w:ascii="Calibri" w:hAnsi="Calibri"/>
        </w:rPr>
        <w:t xml:space="preserve">be required take a short test based on the material which would lead to Certification of the PM when successfully completed. </w:t>
      </w:r>
    </w:p>
    <w:p w14:paraId="719D3DDE" w14:textId="516C96C7" w:rsidR="00A365B5" w:rsidRDefault="00CB1DDC" w:rsidP="00623323">
      <w:pPr>
        <w:pStyle w:val="ListParagraph"/>
        <w:numPr>
          <w:ilvl w:val="0"/>
          <w:numId w:val="18"/>
        </w:numPr>
        <w:jc w:val="both"/>
      </w:pPr>
      <w:r w:rsidRPr="00BC6604">
        <w:rPr>
          <w:rFonts w:asciiTheme="majorHAnsi" w:hAnsiTheme="majorHAnsi"/>
        </w:rPr>
        <w:t xml:space="preserve">Any </w:t>
      </w:r>
      <w:r w:rsidR="009269CE">
        <w:rPr>
          <w:rFonts w:asciiTheme="majorHAnsi" w:hAnsiTheme="majorHAnsi"/>
        </w:rPr>
        <w:t xml:space="preserve">future IW LEARN project should </w:t>
      </w:r>
      <w:r w:rsidRPr="00BC6604">
        <w:rPr>
          <w:rFonts w:asciiTheme="majorHAnsi" w:hAnsiTheme="majorHAnsi"/>
        </w:rPr>
        <w:t>include a component to investigate, and report on previous IW LEARN impacts both directly on the GEF IW portfolio and on related programmes via catalytic influences</w:t>
      </w:r>
    </w:p>
    <w:p w14:paraId="385B623D" w14:textId="7FE0BF5D" w:rsidR="00675FAA" w:rsidRDefault="00675FAA">
      <w:r>
        <w:br w:type="page"/>
      </w:r>
    </w:p>
    <w:p w14:paraId="6C1A584E" w14:textId="77777777" w:rsidR="00A365B5" w:rsidRDefault="00A365B5" w:rsidP="00A365B5"/>
    <w:p w14:paraId="3F9DF135" w14:textId="1DB1105D" w:rsidR="00BA1714" w:rsidRPr="007D1C06" w:rsidRDefault="00BA1714" w:rsidP="00BA1714">
      <w:pPr>
        <w:pStyle w:val="Heading-nonumber"/>
        <w:numPr>
          <w:ilvl w:val="0"/>
          <w:numId w:val="0"/>
        </w:numPr>
      </w:pPr>
      <w:bookmarkStart w:id="106" w:name="_Toc222479163"/>
      <w:bookmarkEnd w:id="104"/>
      <w:bookmarkEnd w:id="105"/>
      <w:r w:rsidRPr="007D1C06">
        <w:t>Annexes</w:t>
      </w:r>
      <w:r>
        <w:t>:</w:t>
      </w:r>
      <w:bookmarkEnd w:id="106"/>
    </w:p>
    <w:p w14:paraId="293B56AC" w14:textId="77777777" w:rsidR="00BA1714" w:rsidRPr="00BA1714" w:rsidRDefault="00BA1714" w:rsidP="00BA1714">
      <w:pPr>
        <w:rPr>
          <w:rFonts w:asciiTheme="majorHAnsi" w:hAnsiTheme="majorHAnsi"/>
          <w:sz w:val="22"/>
          <w:szCs w:val="22"/>
        </w:rPr>
      </w:pPr>
      <w:r w:rsidRPr="00BA1714">
        <w:rPr>
          <w:rFonts w:asciiTheme="majorHAnsi" w:hAnsiTheme="majorHAnsi"/>
          <w:sz w:val="22"/>
          <w:szCs w:val="22"/>
        </w:rPr>
        <w:t>Annex 1 – Mid-Term Evaluation Terms of Reference</w:t>
      </w:r>
    </w:p>
    <w:p w14:paraId="6478C4D9" w14:textId="6D6C31F0" w:rsidR="00BA1714" w:rsidRDefault="00BA1714" w:rsidP="00BA1714">
      <w:pPr>
        <w:rPr>
          <w:rFonts w:asciiTheme="majorHAnsi" w:hAnsiTheme="majorHAnsi"/>
          <w:sz w:val="22"/>
          <w:szCs w:val="22"/>
        </w:rPr>
      </w:pPr>
      <w:r w:rsidRPr="00BA1714">
        <w:rPr>
          <w:rFonts w:asciiTheme="majorHAnsi" w:hAnsiTheme="majorHAnsi"/>
          <w:sz w:val="22"/>
          <w:szCs w:val="22"/>
        </w:rPr>
        <w:t xml:space="preserve">Annex 2 – </w:t>
      </w:r>
      <w:r>
        <w:rPr>
          <w:rFonts w:asciiTheme="majorHAnsi" w:hAnsiTheme="majorHAnsi"/>
          <w:sz w:val="22"/>
          <w:szCs w:val="22"/>
        </w:rPr>
        <w:t xml:space="preserve">Distributed </w:t>
      </w:r>
      <w:r w:rsidR="00BC6604">
        <w:rPr>
          <w:rFonts w:asciiTheme="majorHAnsi" w:hAnsiTheme="majorHAnsi"/>
          <w:sz w:val="22"/>
          <w:szCs w:val="22"/>
        </w:rPr>
        <w:t>Questionnaires</w:t>
      </w:r>
    </w:p>
    <w:p w14:paraId="196ABB91" w14:textId="5A1F3AE4" w:rsidR="00BA1714" w:rsidRPr="00BA1714" w:rsidRDefault="00BA1714" w:rsidP="00BA1714">
      <w:pPr>
        <w:rPr>
          <w:rFonts w:asciiTheme="majorHAnsi" w:hAnsiTheme="majorHAnsi"/>
          <w:sz w:val="22"/>
          <w:szCs w:val="22"/>
        </w:rPr>
      </w:pPr>
      <w:r>
        <w:rPr>
          <w:rFonts w:asciiTheme="majorHAnsi" w:hAnsiTheme="majorHAnsi"/>
          <w:sz w:val="22"/>
          <w:szCs w:val="22"/>
        </w:rPr>
        <w:t xml:space="preserve">Annex 3 – Minutes of SCM meeting held 15-16 January 2013 </w:t>
      </w:r>
    </w:p>
    <w:p w14:paraId="082493CC" w14:textId="0E73D56A" w:rsidR="00BA1714" w:rsidRPr="00BA1714" w:rsidRDefault="00BA1714" w:rsidP="00BA1714">
      <w:pPr>
        <w:rPr>
          <w:rFonts w:asciiTheme="majorHAnsi" w:hAnsiTheme="majorHAnsi"/>
          <w:sz w:val="22"/>
          <w:szCs w:val="22"/>
        </w:rPr>
      </w:pPr>
      <w:r>
        <w:rPr>
          <w:rFonts w:asciiTheme="majorHAnsi" w:hAnsiTheme="majorHAnsi"/>
          <w:sz w:val="22"/>
          <w:szCs w:val="22"/>
        </w:rPr>
        <w:t>Annex 4</w:t>
      </w:r>
      <w:r w:rsidRPr="00BA1714">
        <w:rPr>
          <w:rFonts w:asciiTheme="majorHAnsi" w:hAnsiTheme="majorHAnsi"/>
          <w:sz w:val="22"/>
          <w:szCs w:val="22"/>
        </w:rPr>
        <w:t xml:space="preserve"> – List of stakeholders involved in MTE</w:t>
      </w:r>
    </w:p>
    <w:p w14:paraId="7E46C036" w14:textId="7B58EE0B" w:rsidR="00BA1714" w:rsidRPr="00BA1714" w:rsidRDefault="00BA1714" w:rsidP="00BA1714">
      <w:pPr>
        <w:rPr>
          <w:rFonts w:asciiTheme="majorHAnsi" w:hAnsiTheme="majorHAnsi"/>
          <w:sz w:val="22"/>
          <w:szCs w:val="22"/>
        </w:rPr>
      </w:pPr>
      <w:r>
        <w:rPr>
          <w:rFonts w:asciiTheme="majorHAnsi" w:hAnsiTheme="majorHAnsi"/>
          <w:sz w:val="22"/>
          <w:szCs w:val="22"/>
        </w:rPr>
        <w:t>Annex 5</w:t>
      </w:r>
      <w:r w:rsidRPr="00BA1714">
        <w:rPr>
          <w:rFonts w:asciiTheme="majorHAnsi" w:hAnsiTheme="majorHAnsi"/>
          <w:sz w:val="22"/>
          <w:szCs w:val="22"/>
        </w:rPr>
        <w:t xml:space="preserve"> – Documents reviewed</w:t>
      </w:r>
    </w:p>
    <w:p w14:paraId="58DE41F7" w14:textId="762A6879" w:rsidR="00FF76AD" w:rsidRPr="007D1C06" w:rsidRDefault="00FF76AD" w:rsidP="00FF76AD"/>
    <w:p w14:paraId="619584AF" w14:textId="77777777" w:rsidR="00ED7620" w:rsidRDefault="00ED7620" w:rsidP="00966305">
      <w:pPr>
        <w:rPr>
          <w:rFonts w:asciiTheme="majorHAnsi" w:hAnsiTheme="majorHAnsi"/>
        </w:rPr>
      </w:pPr>
    </w:p>
    <w:p w14:paraId="40101341" w14:textId="77777777" w:rsidR="00ED7620" w:rsidRPr="00C91059" w:rsidRDefault="00ED7620" w:rsidP="00966305">
      <w:pPr>
        <w:rPr>
          <w:rFonts w:asciiTheme="majorHAnsi" w:hAnsiTheme="majorHAnsi"/>
        </w:rPr>
      </w:pPr>
    </w:p>
    <w:p w14:paraId="741B5992" w14:textId="77777777" w:rsidR="00EC2B6D" w:rsidRPr="002F25E3" w:rsidRDefault="00EC2B6D" w:rsidP="00EC2B6D"/>
    <w:p w14:paraId="43BF6ABF" w14:textId="77777777" w:rsidR="004F5838" w:rsidRPr="00C91059" w:rsidRDefault="004F5838" w:rsidP="00966305">
      <w:pPr>
        <w:rPr>
          <w:rFonts w:asciiTheme="majorHAnsi" w:hAnsiTheme="majorHAnsi"/>
        </w:rPr>
      </w:pPr>
    </w:p>
    <w:sectPr w:rsidR="004F5838" w:rsidRPr="00C91059" w:rsidSect="0040711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15D56" w14:textId="77777777" w:rsidR="001C7D57" w:rsidRDefault="001C7D57">
      <w:r>
        <w:separator/>
      </w:r>
    </w:p>
    <w:p w14:paraId="651B273C" w14:textId="77777777" w:rsidR="001C7D57" w:rsidRDefault="001C7D57"/>
  </w:endnote>
  <w:endnote w:type="continuationSeparator" w:id="0">
    <w:p w14:paraId="309D848E" w14:textId="77777777" w:rsidR="001C7D57" w:rsidRDefault="001C7D57">
      <w:r>
        <w:continuationSeparator/>
      </w:r>
    </w:p>
    <w:p w14:paraId="5AA12131" w14:textId="77777777" w:rsidR="001C7D57" w:rsidRDefault="001C7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n-ea">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5FBA5" w14:textId="77777777" w:rsidR="001C7D57" w:rsidRDefault="001C7D57" w:rsidP="003C2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DD29F" w14:textId="77777777" w:rsidR="001C7D57" w:rsidRDefault="001C7D57" w:rsidP="000701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FD75A" w14:textId="77777777" w:rsidR="001C7D57" w:rsidRDefault="001C7D57" w:rsidP="003C2B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5FD6">
      <w:rPr>
        <w:rStyle w:val="PageNumber"/>
        <w:noProof/>
      </w:rPr>
      <w:t>58</w:t>
    </w:r>
    <w:r>
      <w:rPr>
        <w:rStyle w:val="PageNumber"/>
      </w:rPr>
      <w:fldChar w:fldCharType="end"/>
    </w:r>
  </w:p>
  <w:sdt>
    <w:sdtPr>
      <w:id w:val="-168719206"/>
      <w:docPartObj>
        <w:docPartGallery w:val="Page Numbers (Bottom of Page)"/>
        <w:docPartUnique/>
      </w:docPartObj>
    </w:sdtPr>
    <w:sdtContent>
      <w:p w14:paraId="216EFBD4" w14:textId="71424C8E" w:rsidR="001C7D57" w:rsidRDefault="001C7D57" w:rsidP="00070154">
        <w:pPr>
          <w:pStyle w:val="Footer"/>
          <w:pBdr>
            <w:top w:val="single" w:sz="4" w:space="1" w:color="auto"/>
          </w:pBdr>
          <w:ind w:right="360"/>
          <w:jc w:val="right"/>
        </w:pPr>
      </w:p>
    </w:sdtContent>
  </w:sdt>
  <w:p w14:paraId="39BFB0B5" w14:textId="77777777" w:rsidR="001C7D57" w:rsidRDefault="001C7D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730EC" w14:textId="77777777" w:rsidR="001C7D57" w:rsidRDefault="001C7D57">
      <w:r>
        <w:separator/>
      </w:r>
    </w:p>
    <w:p w14:paraId="4551ED8D" w14:textId="77777777" w:rsidR="001C7D57" w:rsidRDefault="001C7D57"/>
  </w:footnote>
  <w:footnote w:type="continuationSeparator" w:id="0">
    <w:p w14:paraId="27FE391B" w14:textId="77777777" w:rsidR="001C7D57" w:rsidRDefault="001C7D57">
      <w:r>
        <w:continuationSeparator/>
      </w:r>
    </w:p>
    <w:p w14:paraId="5D550E39" w14:textId="77777777" w:rsidR="001C7D57" w:rsidRDefault="001C7D57"/>
  </w:footnote>
  <w:footnote w:id="1">
    <w:p w14:paraId="170497A8" w14:textId="77777777" w:rsidR="001C7D57" w:rsidRPr="00FF3E14" w:rsidRDefault="001C7D57" w:rsidP="00AD2FAA">
      <w:pPr>
        <w:pStyle w:val="FootnoteText"/>
        <w:rPr>
          <w:lang w:val="en-US"/>
        </w:rPr>
      </w:pPr>
      <w:r>
        <w:rPr>
          <w:rStyle w:val="FootnoteReference"/>
        </w:rPr>
        <w:footnoteRef/>
      </w:r>
      <w:r>
        <w:t xml:space="preserve"> </w:t>
      </w:r>
      <w:r w:rsidRPr="0093191B">
        <w:rPr>
          <w:rFonts w:asciiTheme="majorHAnsi" w:hAnsiTheme="majorHAnsi"/>
          <w:b/>
          <w:sz w:val="18"/>
          <w:szCs w:val="18"/>
          <w:lang w:val="en-US"/>
        </w:rPr>
        <w:t>S</w:t>
      </w:r>
      <w:r w:rsidRPr="0093191B">
        <w:rPr>
          <w:rFonts w:asciiTheme="majorHAnsi" w:hAnsiTheme="majorHAnsi"/>
          <w:sz w:val="18"/>
          <w:szCs w:val="18"/>
          <w:lang w:val="en-US"/>
        </w:rPr>
        <w:t xml:space="preserve">pecific, </w:t>
      </w:r>
      <w:r w:rsidRPr="0093191B">
        <w:rPr>
          <w:rFonts w:asciiTheme="majorHAnsi" w:hAnsiTheme="majorHAnsi"/>
          <w:b/>
          <w:sz w:val="18"/>
          <w:szCs w:val="18"/>
          <w:lang w:val="en-US"/>
        </w:rPr>
        <w:t>M</w:t>
      </w:r>
      <w:r w:rsidRPr="0093191B">
        <w:rPr>
          <w:rFonts w:asciiTheme="majorHAnsi" w:hAnsiTheme="majorHAnsi"/>
          <w:sz w:val="18"/>
          <w:szCs w:val="18"/>
          <w:lang w:val="en-US"/>
        </w:rPr>
        <w:t xml:space="preserve">easurable, </w:t>
      </w:r>
      <w:r w:rsidRPr="0093191B">
        <w:rPr>
          <w:rFonts w:asciiTheme="majorHAnsi" w:hAnsiTheme="majorHAnsi"/>
          <w:b/>
          <w:sz w:val="18"/>
          <w:szCs w:val="18"/>
          <w:lang w:val="en-US"/>
        </w:rPr>
        <w:t>A</w:t>
      </w:r>
      <w:r w:rsidRPr="0093191B">
        <w:rPr>
          <w:rFonts w:asciiTheme="majorHAnsi" w:hAnsiTheme="majorHAnsi"/>
          <w:sz w:val="18"/>
          <w:szCs w:val="18"/>
          <w:lang w:val="en-US"/>
        </w:rPr>
        <w:t xml:space="preserve">chievable, </w:t>
      </w:r>
      <w:r w:rsidRPr="0093191B">
        <w:rPr>
          <w:rFonts w:asciiTheme="majorHAnsi" w:hAnsiTheme="majorHAnsi"/>
          <w:b/>
          <w:sz w:val="18"/>
          <w:szCs w:val="18"/>
          <w:lang w:val="en-US"/>
        </w:rPr>
        <w:t>R</w:t>
      </w:r>
      <w:r w:rsidRPr="0093191B">
        <w:rPr>
          <w:rFonts w:asciiTheme="majorHAnsi" w:hAnsiTheme="majorHAnsi"/>
          <w:sz w:val="18"/>
          <w:szCs w:val="18"/>
          <w:lang w:val="en-US"/>
        </w:rPr>
        <w:t xml:space="preserve">elevant, and </w:t>
      </w:r>
      <w:r w:rsidRPr="0093191B">
        <w:rPr>
          <w:rFonts w:asciiTheme="majorHAnsi" w:hAnsiTheme="majorHAnsi"/>
          <w:b/>
          <w:sz w:val="18"/>
          <w:szCs w:val="18"/>
          <w:lang w:val="en-US"/>
        </w:rPr>
        <w:t>T</w:t>
      </w:r>
      <w:r w:rsidRPr="0093191B">
        <w:rPr>
          <w:rFonts w:asciiTheme="majorHAnsi" w:hAnsiTheme="majorHAnsi"/>
          <w:sz w:val="18"/>
          <w:szCs w:val="18"/>
          <w:lang w:val="en-US"/>
        </w:rPr>
        <w:t>ime-bound</w:t>
      </w:r>
    </w:p>
  </w:footnote>
  <w:footnote w:id="2">
    <w:p w14:paraId="38F79DD1" w14:textId="2122603B" w:rsidR="001C7D57" w:rsidRPr="00E80795" w:rsidRDefault="001C7D57">
      <w:pPr>
        <w:pStyle w:val="FootnoteText"/>
        <w:rPr>
          <w:lang w:val="en-US"/>
        </w:rPr>
      </w:pPr>
      <w:r>
        <w:rPr>
          <w:rStyle w:val="FootnoteReference"/>
        </w:rPr>
        <w:footnoteRef/>
      </w:r>
      <w:r>
        <w:t xml:space="preserve"> </w:t>
      </w:r>
      <w:r w:rsidRPr="00CF65FB">
        <w:rPr>
          <w:rFonts w:ascii="Calibri" w:hAnsi="Calibri"/>
          <w:i/>
          <w:sz w:val="20"/>
          <w:szCs w:val="20"/>
        </w:rPr>
        <w:t>Paisley, Richard Kyle</w:t>
      </w:r>
      <w:proofErr w:type="gramStart"/>
      <w:r w:rsidRPr="00CF65FB">
        <w:rPr>
          <w:rFonts w:ascii="Calibri" w:hAnsi="Calibri"/>
          <w:i/>
          <w:sz w:val="20"/>
          <w:szCs w:val="20"/>
        </w:rPr>
        <w:t>.,</w:t>
      </w:r>
      <w:proofErr w:type="gramEnd"/>
      <w:r w:rsidRPr="00CF65FB">
        <w:rPr>
          <w:rFonts w:ascii="Calibri" w:hAnsi="Calibri"/>
          <w:i/>
          <w:sz w:val="20"/>
          <w:szCs w:val="20"/>
        </w:rPr>
        <w:t xml:space="preserve"> (2010). Terminal Evaluation of the Joint UNDP/UNEP GEF ProjectGF/1020-04-03 (4813): Strengthening Global Capacity to Sustain Transboundary Waters: The International Waters Learning Exchange and Resource Network (IW</w:t>
      </w:r>
      <w:proofErr w:type="gramStart"/>
      <w:r w:rsidRPr="00CF65FB">
        <w:rPr>
          <w:rFonts w:ascii="Calibri" w:hAnsi="Calibri"/>
          <w:i/>
          <w:sz w:val="20"/>
          <w:szCs w:val="20"/>
        </w:rPr>
        <w:t>:Learn</w:t>
      </w:r>
      <w:proofErr w:type="gramEnd"/>
      <w:r w:rsidRPr="00CF65FB">
        <w:rPr>
          <w:rFonts w:ascii="Calibri" w:hAnsi="Calibri"/>
          <w:i/>
          <w:sz w:val="20"/>
          <w:szCs w:val="20"/>
        </w:rPr>
        <w:t>) Operational Phase (UNDP and UNEP components).</w:t>
      </w:r>
    </w:p>
  </w:footnote>
  <w:footnote w:id="3">
    <w:p w14:paraId="7ED01DD2" w14:textId="77777777" w:rsidR="001C7D57" w:rsidRPr="00D77D5B" w:rsidRDefault="001C7D57" w:rsidP="005C4AC5">
      <w:pPr>
        <w:rPr>
          <w:rFonts w:asciiTheme="majorHAnsi" w:hAnsiTheme="majorHAnsi"/>
          <w:sz w:val="18"/>
          <w:szCs w:val="18"/>
        </w:rPr>
      </w:pPr>
      <w:r>
        <w:rPr>
          <w:rStyle w:val="FootnoteReference"/>
        </w:rPr>
        <w:footnoteRef/>
      </w:r>
      <w:r>
        <w:t xml:space="preserve"> </w:t>
      </w:r>
      <w:r w:rsidRPr="00D77D5B">
        <w:rPr>
          <w:rFonts w:asciiTheme="majorHAnsi" w:hAnsiTheme="majorHAnsi"/>
          <w:sz w:val="18"/>
          <w:szCs w:val="18"/>
        </w:rPr>
        <w:t>GEF IW</w:t>
      </w:r>
      <w:proofErr w:type="gramStart"/>
      <w:r w:rsidRPr="00D77D5B">
        <w:rPr>
          <w:rFonts w:asciiTheme="majorHAnsi" w:hAnsiTheme="majorHAnsi"/>
          <w:sz w:val="18"/>
          <w:szCs w:val="18"/>
        </w:rPr>
        <w:t>:LEARN</w:t>
      </w:r>
      <w:proofErr w:type="gramEnd"/>
      <w:r w:rsidRPr="00D77D5B">
        <w:rPr>
          <w:rFonts w:asciiTheme="majorHAnsi" w:hAnsiTheme="majorHAnsi"/>
          <w:sz w:val="18"/>
          <w:szCs w:val="18"/>
        </w:rPr>
        <w:t xml:space="preserve"> </w:t>
      </w:r>
      <w:r>
        <w:rPr>
          <w:rFonts w:asciiTheme="majorHAnsi" w:hAnsiTheme="majorHAnsi"/>
          <w:sz w:val="18"/>
          <w:szCs w:val="18"/>
        </w:rPr>
        <w:t>,</w:t>
      </w:r>
      <w:r w:rsidRPr="00D77D5B">
        <w:rPr>
          <w:rFonts w:asciiTheme="majorHAnsi" w:hAnsiTheme="majorHAnsi"/>
          <w:sz w:val="18"/>
          <w:szCs w:val="18"/>
        </w:rPr>
        <w:t>0-31</w:t>
      </w:r>
      <w:r w:rsidRPr="00D77D5B">
        <w:rPr>
          <w:rStyle w:val="FootnoteReference"/>
          <w:rFonts w:asciiTheme="majorHAnsi" w:hAnsiTheme="majorHAnsi"/>
          <w:sz w:val="18"/>
          <w:szCs w:val="18"/>
        </w:rPr>
        <w:footnoteRef/>
      </w:r>
      <w:r w:rsidRPr="00D77D5B">
        <w:rPr>
          <w:rFonts w:asciiTheme="majorHAnsi" w:hAnsiTheme="majorHAnsi"/>
          <w:sz w:val="18"/>
          <w:szCs w:val="18"/>
        </w:rPr>
        <w:t xml:space="preserve"> Commission</w:t>
      </w:r>
      <w:r>
        <w:rPr>
          <w:rFonts w:asciiTheme="majorHAnsi" w:hAnsiTheme="majorHAnsi"/>
          <w:sz w:val="18"/>
          <w:szCs w:val="18"/>
        </w:rPr>
        <w:t xml:space="preserve">, </w:t>
      </w:r>
      <w:r w:rsidRPr="00D77D5B">
        <w:rPr>
          <w:rFonts w:asciiTheme="majorHAnsi" w:hAnsiTheme="majorHAnsi"/>
          <w:sz w:val="18"/>
          <w:szCs w:val="18"/>
        </w:rPr>
        <w:t>Sustainability Plan</w:t>
      </w:r>
      <w:r>
        <w:rPr>
          <w:rFonts w:asciiTheme="majorHAnsi" w:hAnsiTheme="majorHAnsi"/>
          <w:sz w:val="18"/>
          <w:szCs w:val="18"/>
        </w:rPr>
        <w:t xml:space="preserve"> </w:t>
      </w:r>
      <w:r w:rsidRPr="00D77D5B">
        <w:rPr>
          <w:rFonts w:asciiTheme="majorHAnsi" w:hAnsiTheme="majorHAnsi"/>
          <w:sz w:val="18"/>
          <w:szCs w:val="18"/>
        </w:rPr>
        <w:t>(Draft 03 July)</w:t>
      </w:r>
      <w:r>
        <w:rPr>
          <w:rFonts w:asciiTheme="majorHAnsi" w:hAnsiTheme="majorHAnsi"/>
          <w:sz w:val="18"/>
          <w:szCs w:val="18"/>
        </w:rPr>
        <w:t xml:space="preserve"> 2008</w:t>
      </w:r>
    </w:p>
    <w:p w14:paraId="11150A09" w14:textId="77777777" w:rsidR="001C7D57" w:rsidRPr="00D77D5B" w:rsidRDefault="001C7D57" w:rsidP="005C4AC5">
      <w:pPr>
        <w:pStyle w:val="FootnoteText"/>
        <w:rPr>
          <w:lang w:val="en-US"/>
        </w:rPr>
      </w:pPr>
    </w:p>
  </w:footnote>
  <w:footnote w:id="4">
    <w:p w14:paraId="1D2BD116" w14:textId="6B97B453" w:rsidR="001C7D57" w:rsidRPr="00FF3E14" w:rsidRDefault="001C7D57">
      <w:pPr>
        <w:pStyle w:val="FootnoteText"/>
        <w:rPr>
          <w:lang w:val="en-US"/>
        </w:rPr>
      </w:pPr>
      <w:r>
        <w:rPr>
          <w:rStyle w:val="FootnoteReference"/>
        </w:rPr>
        <w:footnoteRef/>
      </w:r>
      <w:r>
        <w:t xml:space="preserve"> </w:t>
      </w:r>
      <w:r w:rsidRPr="00A02162">
        <w:rPr>
          <w:b/>
          <w:sz w:val="18"/>
          <w:szCs w:val="18"/>
          <w:lang w:val="en-US"/>
        </w:rPr>
        <w:t>S</w:t>
      </w:r>
      <w:r w:rsidRPr="00A02162">
        <w:rPr>
          <w:sz w:val="18"/>
          <w:szCs w:val="18"/>
          <w:lang w:val="en-US"/>
        </w:rPr>
        <w:t xml:space="preserve">pecific, </w:t>
      </w:r>
      <w:r w:rsidRPr="00A02162">
        <w:rPr>
          <w:b/>
          <w:sz w:val="18"/>
          <w:szCs w:val="18"/>
          <w:lang w:val="en-US"/>
        </w:rPr>
        <w:t>M</w:t>
      </w:r>
      <w:r w:rsidRPr="00A02162">
        <w:rPr>
          <w:sz w:val="18"/>
          <w:szCs w:val="18"/>
          <w:lang w:val="en-US"/>
        </w:rPr>
        <w:t xml:space="preserve">easurable, </w:t>
      </w:r>
      <w:r w:rsidRPr="00A02162">
        <w:rPr>
          <w:b/>
          <w:sz w:val="18"/>
          <w:szCs w:val="18"/>
          <w:lang w:val="en-US"/>
        </w:rPr>
        <w:t>A</w:t>
      </w:r>
      <w:r w:rsidRPr="00A02162">
        <w:rPr>
          <w:sz w:val="18"/>
          <w:szCs w:val="18"/>
          <w:lang w:val="en-US"/>
        </w:rPr>
        <w:t xml:space="preserve">chievable, </w:t>
      </w:r>
      <w:r w:rsidRPr="00A02162">
        <w:rPr>
          <w:b/>
          <w:sz w:val="18"/>
          <w:szCs w:val="18"/>
          <w:lang w:val="en-US"/>
        </w:rPr>
        <w:t>R</w:t>
      </w:r>
      <w:r w:rsidRPr="00A02162">
        <w:rPr>
          <w:sz w:val="18"/>
          <w:szCs w:val="18"/>
          <w:lang w:val="en-US"/>
        </w:rPr>
        <w:t xml:space="preserve">elevant, and </w:t>
      </w:r>
      <w:r w:rsidRPr="00A02162">
        <w:rPr>
          <w:b/>
          <w:sz w:val="18"/>
          <w:szCs w:val="18"/>
          <w:lang w:val="en-US"/>
        </w:rPr>
        <w:t>T</w:t>
      </w:r>
      <w:r w:rsidRPr="00A02162">
        <w:rPr>
          <w:sz w:val="18"/>
          <w:szCs w:val="18"/>
          <w:lang w:val="en-US"/>
        </w:rPr>
        <w:t>ime-bound</w:t>
      </w:r>
    </w:p>
  </w:footnote>
  <w:footnote w:id="5">
    <w:p w14:paraId="721C8F02" w14:textId="77777777" w:rsidR="001C7D57" w:rsidRPr="00FF3E14" w:rsidRDefault="001C7D57" w:rsidP="00AD2FAA">
      <w:pPr>
        <w:pStyle w:val="FootnoteText"/>
        <w:rPr>
          <w:lang w:val="en-US"/>
        </w:rPr>
      </w:pPr>
      <w:r>
        <w:rPr>
          <w:rStyle w:val="FootnoteReference"/>
        </w:rPr>
        <w:footnoteRef/>
      </w:r>
      <w:r>
        <w:t xml:space="preserve"> </w:t>
      </w:r>
      <w:r w:rsidRPr="00A02162">
        <w:rPr>
          <w:b/>
          <w:sz w:val="18"/>
          <w:szCs w:val="18"/>
          <w:lang w:val="en-US"/>
        </w:rPr>
        <w:t>S</w:t>
      </w:r>
      <w:r w:rsidRPr="00A02162">
        <w:rPr>
          <w:sz w:val="18"/>
          <w:szCs w:val="18"/>
          <w:lang w:val="en-US"/>
        </w:rPr>
        <w:t xml:space="preserve">pecific, </w:t>
      </w:r>
      <w:r w:rsidRPr="00A02162">
        <w:rPr>
          <w:b/>
          <w:sz w:val="18"/>
          <w:szCs w:val="18"/>
          <w:lang w:val="en-US"/>
        </w:rPr>
        <w:t>M</w:t>
      </w:r>
      <w:r w:rsidRPr="00A02162">
        <w:rPr>
          <w:sz w:val="18"/>
          <w:szCs w:val="18"/>
          <w:lang w:val="en-US"/>
        </w:rPr>
        <w:t xml:space="preserve">easurable, </w:t>
      </w:r>
      <w:r w:rsidRPr="00A02162">
        <w:rPr>
          <w:b/>
          <w:sz w:val="18"/>
          <w:szCs w:val="18"/>
          <w:lang w:val="en-US"/>
        </w:rPr>
        <w:t>A</w:t>
      </w:r>
      <w:r w:rsidRPr="00A02162">
        <w:rPr>
          <w:sz w:val="18"/>
          <w:szCs w:val="18"/>
          <w:lang w:val="en-US"/>
        </w:rPr>
        <w:t xml:space="preserve">chievable, </w:t>
      </w:r>
      <w:r w:rsidRPr="00A02162">
        <w:rPr>
          <w:b/>
          <w:sz w:val="18"/>
          <w:szCs w:val="18"/>
          <w:lang w:val="en-US"/>
        </w:rPr>
        <w:t>R</w:t>
      </w:r>
      <w:r w:rsidRPr="00A02162">
        <w:rPr>
          <w:sz w:val="18"/>
          <w:szCs w:val="18"/>
          <w:lang w:val="en-US"/>
        </w:rPr>
        <w:t xml:space="preserve">elevant, and </w:t>
      </w:r>
      <w:r w:rsidRPr="00A02162">
        <w:rPr>
          <w:b/>
          <w:sz w:val="18"/>
          <w:szCs w:val="18"/>
          <w:lang w:val="en-US"/>
        </w:rPr>
        <w:t>T</w:t>
      </w:r>
      <w:r w:rsidRPr="00A02162">
        <w:rPr>
          <w:sz w:val="18"/>
          <w:szCs w:val="18"/>
          <w:lang w:val="en-US"/>
        </w:rPr>
        <w:t>ime-bound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5968F" w14:textId="77777777" w:rsidR="001C7D57" w:rsidRDefault="001C7D57">
    <w:pPr>
      <w:pStyle w:val="Header"/>
    </w:pPr>
    <w:sdt>
      <w:sdtPr>
        <w:id w:val="171999623"/>
        <w:placeholder>
          <w:docPart w:val="7FADC85813A2EB4197D7213615DA606A"/>
        </w:placeholder>
        <w:temporary/>
        <w:showingPlcHdr/>
      </w:sdtPr>
      <w:sdtContent>
        <w:r>
          <w:t>[Type text]</w:t>
        </w:r>
      </w:sdtContent>
    </w:sdt>
    <w:r>
      <w:ptab w:relativeTo="margin" w:alignment="center" w:leader="none"/>
    </w:r>
    <w:sdt>
      <w:sdtPr>
        <w:id w:val="171999624"/>
        <w:placeholder>
          <w:docPart w:val="59A68A4FBCBDA94BB3A97AD45C6283EB"/>
        </w:placeholder>
        <w:temporary/>
        <w:showingPlcHdr/>
      </w:sdtPr>
      <w:sdtContent>
        <w:r>
          <w:t>[Type text]</w:t>
        </w:r>
      </w:sdtContent>
    </w:sdt>
    <w:r>
      <w:ptab w:relativeTo="margin" w:alignment="right" w:leader="none"/>
    </w:r>
    <w:sdt>
      <w:sdtPr>
        <w:id w:val="171999625"/>
        <w:placeholder>
          <w:docPart w:val="B24ECB4DB24ED04D9042839ABE1583A5"/>
        </w:placeholder>
        <w:temporary/>
        <w:showingPlcHdr/>
      </w:sdtPr>
      <w:sdtContent>
        <w:r>
          <w:t>[Type text]</w:t>
        </w:r>
      </w:sdtContent>
    </w:sdt>
  </w:p>
  <w:p w14:paraId="0A38B6E0" w14:textId="77777777" w:rsidR="001C7D57" w:rsidRDefault="001C7D5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B5241" w14:textId="77777777" w:rsidR="001C7D57" w:rsidRPr="001B4338" w:rsidRDefault="001C7D57" w:rsidP="002C2AE9">
    <w:pPr>
      <w:pStyle w:val="Title"/>
      <w:rPr>
        <w:sz w:val="18"/>
        <w:szCs w:val="18"/>
      </w:rPr>
    </w:pPr>
    <w:r w:rsidRPr="001B4338">
      <w:rPr>
        <w:sz w:val="18"/>
        <w:szCs w:val="18"/>
      </w:rPr>
      <w:t>Mid-Term Review of the joint UNDP/UNEP GEF Project “MENARID GEF IW</w:t>
    </w:r>
    <w:proofErr w:type="gramStart"/>
    <w:r w:rsidRPr="001B4338">
      <w:rPr>
        <w:sz w:val="18"/>
        <w:szCs w:val="18"/>
      </w:rPr>
      <w:t>:LEARN</w:t>
    </w:r>
    <w:proofErr w:type="gramEnd"/>
    <w:r w:rsidRPr="001B4338">
      <w:rPr>
        <w:sz w:val="18"/>
        <w:szCs w:val="18"/>
      </w:rPr>
      <w:t>: Strengthening IW Portfolio Delivery and Impact”</w:t>
    </w:r>
  </w:p>
  <w:p w14:paraId="59682F4A" w14:textId="77777777" w:rsidR="001C7D57" w:rsidRDefault="001C7D5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BD2"/>
    <w:multiLevelType w:val="hybridMultilevel"/>
    <w:tmpl w:val="146E1B4C"/>
    <w:lvl w:ilvl="0" w:tplc="04090017">
      <w:start w:val="1"/>
      <w:numFmt w:val="lowerLetter"/>
      <w:lvlText w:val="%1)"/>
      <w:lvlJc w:val="left"/>
      <w:pPr>
        <w:ind w:left="1866" w:hanging="360"/>
      </w:pPr>
      <w:rPr>
        <w:rFonts w:hint="default"/>
      </w:rPr>
    </w:lvl>
    <w:lvl w:ilvl="1" w:tplc="04090001">
      <w:start w:val="1"/>
      <w:numFmt w:val="bullet"/>
      <w:lvlText w:val=""/>
      <w:lvlJc w:val="left"/>
      <w:pPr>
        <w:tabs>
          <w:tab w:val="num" w:pos="2586"/>
        </w:tabs>
        <w:ind w:left="2586" w:hanging="360"/>
      </w:pPr>
      <w:rPr>
        <w:rFonts w:ascii="Symbol" w:hAnsi="Symbol" w:hint="default"/>
      </w:rPr>
    </w:lvl>
    <w:lvl w:ilvl="2" w:tplc="F58A584E" w:tentative="1">
      <w:start w:val="1"/>
      <w:numFmt w:val="bullet"/>
      <w:lvlText w:val=""/>
      <w:lvlJc w:val="left"/>
      <w:pPr>
        <w:tabs>
          <w:tab w:val="num" w:pos="3306"/>
        </w:tabs>
        <w:ind w:left="3306" w:hanging="360"/>
      </w:pPr>
      <w:rPr>
        <w:rFonts w:ascii="Wingdings" w:hAnsi="Wingdings" w:hint="default"/>
      </w:rPr>
    </w:lvl>
    <w:lvl w:ilvl="3" w:tplc="2550BDC4" w:tentative="1">
      <w:start w:val="1"/>
      <w:numFmt w:val="bullet"/>
      <w:lvlText w:val=""/>
      <w:lvlJc w:val="left"/>
      <w:pPr>
        <w:tabs>
          <w:tab w:val="num" w:pos="4026"/>
        </w:tabs>
        <w:ind w:left="4026" w:hanging="360"/>
      </w:pPr>
      <w:rPr>
        <w:rFonts w:ascii="Symbol" w:hAnsi="Symbol" w:hint="default"/>
      </w:rPr>
    </w:lvl>
    <w:lvl w:ilvl="4" w:tplc="7C3EC6C2" w:tentative="1">
      <w:start w:val="1"/>
      <w:numFmt w:val="bullet"/>
      <w:lvlText w:val="o"/>
      <w:lvlJc w:val="left"/>
      <w:pPr>
        <w:tabs>
          <w:tab w:val="num" w:pos="4746"/>
        </w:tabs>
        <w:ind w:left="4746" w:hanging="360"/>
      </w:pPr>
      <w:rPr>
        <w:rFonts w:ascii="Courier New" w:hAnsi="Courier New" w:cs="Symbol" w:hint="default"/>
      </w:rPr>
    </w:lvl>
    <w:lvl w:ilvl="5" w:tplc="9F3A1D70" w:tentative="1">
      <w:start w:val="1"/>
      <w:numFmt w:val="bullet"/>
      <w:lvlText w:val=""/>
      <w:lvlJc w:val="left"/>
      <w:pPr>
        <w:tabs>
          <w:tab w:val="num" w:pos="5466"/>
        </w:tabs>
        <w:ind w:left="5466" w:hanging="360"/>
      </w:pPr>
      <w:rPr>
        <w:rFonts w:ascii="Wingdings" w:hAnsi="Wingdings" w:hint="default"/>
      </w:rPr>
    </w:lvl>
    <w:lvl w:ilvl="6" w:tplc="C6203C7E" w:tentative="1">
      <w:start w:val="1"/>
      <w:numFmt w:val="bullet"/>
      <w:lvlText w:val=""/>
      <w:lvlJc w:val="left"/>
      <w:pPr>
        <w:tabs>
          <w:tab w:val="num" w:pos="6186"/>
        </w:tabs>
        <w:ind w:left="6186" w:hanging="360"/>
      </w:pPr>
      <w:rPr>
        <w:rFonts w:ascii="Symbol" w:hAnsi="Symbol" w:hint="default"/>
      </w:rPr>
    </w:lvl>
    <w:lvl w:ilvl="7" w:tplc="040C80C0" w:tentative="1">
      <w:start w:val="1"/>
      <w:numFmt w:val="bullet"/>
      <w:lvlText w:val="o"/>
      <w:lvlJc w:val="left"/>
      <w:pPr>
        <w:tabs>
          <w:tab w:val="num" w:pos="6906"/>
        </w:tabs>
        <w:ind w:left="6906" w:hanging="360"/>
      </w:pPr>
      <w:rPr>
        <w:rFonts w:ascii="Courier New" w:hAnsi="Courier New" w:cs="Symbol" w:hint="default"/>
      </w:rPr>
    </w:lvl>
    <w:lvl w:ilvl="8" w:tplc="B40EF372" w:tentative="1">
      <w:start w:val="1"/>
      <w:numFmt w:val="bullet"/>
      <w:lvlText w:val=""/>
      <w:lvlJc w:val="left"/>
      <w:pPr>
        <w:tabs>
          <w:tab w:val="num" w:pos="7626"/>
        </w:tabs>
        <w:ind w:left="7626" w:hanging="360"/>
      </w:pPr>
      <w:rPr>
        <w:rFonts w:ascii="Wingdings" w:hAnsi="Wingdings" w:hint="default"/>
      </w:rPr>
    </w:lvl>
  </w:abstractNum>
  <w:abstractNum w:abstractNumId="1">
    <w:nsid w:val="081404DB"/>
    <w:multiLevelType w:val="hybridMultilevel"/>
    <w:tmpl w:val="C5C6F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B7366"/>
    <w:multiLevelType w:val="hybridMultilevel"/>
    <w:tmpl w:val="D72E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94EC9"/>
    <w:multiLevelType w:val="hybridMultilevel"/>
    <w:tmpl w:val="86CE2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B5C5D9F"/>
    <w:multiLevelType w:val="multilevel"/>
    <w:tmpl w:val="31061A2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CEF20B8"/>
    <w:multiLevelType w:val="hybridMultilevel"/>
    <w:tmpl w:val="CF32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BC68D9"/>
    <w:multiLevelType w:val="hybridMultilevel"/>
    <w:tmpl w:val="146E1B4C"/>
    <w:lvl w:ilvl="0" w:tplc="04090017">
      <w:start w:val="1"/>
      <w:numFmt w:val="lowerLetter"/>
      <w:lvlText w:val="%1)"/>
      <w:lvlJc w:val="left"/>
      <w:pPr>
        <w:ind w:left="1866" w:hanging="360"/>
      </w:pPr>
      <w:rPr>
        <w:rFonts w:hint="default"/>
      </w:rPr>
    </w:lvl>
    <w:lvl w:ilvl="1" w:tplc="04090001">
      <w:start w:val="1"/>
      <w:numFmt w:val="bullet"/>
      <w:lvlText w:val=""/>
      <w:lvlJc w:val="left"/>
      <w:pPr>
        <w:tabs>
          <w:tab w:val="num" w:pos="2586"/>
        </w:tabs>
        <w:ind w:left="2586" w:hanging="360"/>
      </w:pPr>
      <w:rPr>
        <w:rFonts w:ascii="Symbol" w:hAnsi="Symbol" w:hint="default"/>
      </w:rPr>
    </w:lvl>
    <w:lvl w:ilvl="2" w:tplc="F58A584E" w:tentative="1">
      <w:start w:val="1"/>
      <w:numFmt w:val="bullet"/>
      <w:lvlText w:val=""/>
      <w:lvlJc w:val="left"/>
      <w:pPr>
        <w:tabs>
          <w:tab w:val="num" w:pos="3306"/>
        </w:tabs>
        <w:ind w:left="3306" w:hanging="360"/>
      </w:pPr>
      <w:rPr>
        <w:rFonts w:ascii="Wingdings" w:hAnsi="Wingdings" w:hint="default"/>
      </w:rPr>
    </w:lvl>
    <w:lvl w:ilvl="3" w:tplc="2550BDC4" w:tentative="1">
      <w:start w:val="1"/>
      <w:numFmt w:val="bullet"/>
      <w:lvlText w:val=""/>
      <w:lvlJc w:val="left"/>
      <w:pPr>
        <w:tabs>
          <w:tab w:val="num" w:pos="4026"/>
        </w:tabs>
        <w:ind w:left="4026" w:hanging="360"/>
      </w:pPr>
      <w:rPr>
        <w:rFonts w:ascii="Symbol" w:hAnsi="Symbol" w:hint="default"/>
      </w:rPr>
    </w:lvl>
    <w:lvl w:ilvl="4" w:tplc="7C3EC6C2" w:tentative="1">
      <w:start w:val="1"/>
      <w:numFmt w:val="bullet"/>
      <w:lvlText w:val="o"/>
      <w:lvlJc w:val="left"/>
      <w:pPr>
        <w:tabs>
          <w:tab w:val="num" w:pos="4746"/>
        </w:tabs>
        <w:ind w:left="4746" w:hanging="360"/>
      </w:pPr>
      <w:rPr>
        <w:rFonts w:ascii="Courier New" w:hAnsi="Courier New" w:cs="Symbol" w:hint="default"/>
      </w:rPr>
    </w:lvl>
    <w:lvl w:ilvl="5" w:tplc="9F3A1D70" w:tentative="1">
      <w:start w:val="1"/>
      <w:numFmt w:val="bullet"/>
      <w:lvlText w:val=""/>
      <w:lvlJc w:val="left"/>
      <w:pPr>
        <w:tabs>
          <w:tab w:val="num" w:pos="5466"/>
        </w:tabs>
        <w:ind w:left="5466" w:hanging="360"/>
      </w:pPr>
      <w:rPr>
        <w:rFonts w:ascii="Wingdings" w:hAnsi="Wingdings" w:hint="default"/>
      </w:rPr>
    </w:lvl>
    <w:lvl w:ilvl="6" w:tplc="C6203C7E" w:tentative="1">
      <w:start w:val="1"/>
      <w:numFmt w:val="bullet"/>
      <w:lvlText w:val=""/>
      <w:lvlJc w:val="left"/>
      <w:pPr>
        <w:tabs>
          <w:tab w:val="num" w:pos="6186"/>
        </w:tabs>
        <w:ind w:left="6186" w:hanging="360"/>
      </w:pPr>
      <w:rPr>
        <w:rFonts w:ascii="Symbol" w:hAnsi="Symbol" w:hint="default"/>
      </w:rPr>
    </w:lvl>
    <w:lvl w:ilvl="7" w:tplc="040C80C0" w:tentative="1">
      <w:start w:val="1"/>
      <w:numFmt w:val="bullet"/>
      <w:lvlText w:val="o"/>
      <w:lvlJc w:val="left"/>
      <w:pPr>
        <w:tabs>
          <w:tab w:val="num" w:pos="6906"/>
        </w:tabs>
        <w:ind w:left="6906" w:hanging="360"/>
      </w:pPr>
      <w:rPr>
        <w:rFonts w:ascii="Courier New" w:hAnsi="Courier New" w:cs="Symbol" w:hint="default"/>
      </w:rPr>
    </w:lvl>
    <w:lvl w:ilvl="8" w:tplc="B40EF372" w:tentative="1">
      <w:start w:val="1"/>
      <w:numFmt w:val="bullet"/>
      <w:lvlText w:val=""/>
      <w:lvlJc w:val="left"/>
      <w:pPr>
        <w:tabs>
          <w:tab w:val="num" w:pos="7626"/>
        </w:tabs>
        <w:ind w:left="7626" w:hanging="360"/>
      </w:pPr>
      <w:rPr>
        <w:rFonts w:ascii="Wingdings" w:hAnsi="Wingdings" w:hint="default"/>
      </w:rPr>
    </w:lvl>
  </w:abstractNum>
  <w:abstractNum w:abstractNumId="7">
    <w:nsid w:val="27D305EF"/>
    <w:multiLevelType w:val="hybridMultilevel"/>
    <w:tmpl w:val="B5782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84E38E2"/>
    <w:multiLevelType w:val="multilevel"/>
    <w:tmpl w:val="1E621F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86B253F"/>
    <w:multiLevelType w:val="hybridMultilevel"/>
    <w:tmpl w:val="2556C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F20FE"/>
    <w:multiLevelType w:val="hybridMultilevel"/>
    <w:tmpl w:val="B5D6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AC15C2"/>
    <w:multiLevelType w:val="hybridMultilevel"/>
    <w:tmpl w:val="DDA0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AD3298"/>
    <w:multiLevelType w:val="hybridMultilevel"/>
    <w:tmpl w:val="61B84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FD81CB2"/>
    <w:multiLevelType w:val="hybridMultilevel"/>
    <w:tmpl w:val="1E621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D2BD4"/>
    <w:multiLevelType w:val="hybridMultilevel"/>
    <w:tmpl w:val="2F12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C4335B"/>
    <w:multiLevelType w:val="hybridMultilevel"/>
    <w:tmpl w:val="869ED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406228"/>
    <w:multiLevelType w:val="hybridMultilevel"/>
    <w:tmpl w:val="E440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4841E2"/>
    <w:multiLevelType w:val="hybridMultilevel"/>
    <w:tmpl w:val="781C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070320"/>
    <w:multiLevelType w:val="hybridMultilevel"/>
    <w:tmpl w:val="1876E46A"/>
    <w:lvl w:ilvl="0" w:tplc="FB54817A">
      <w:start w:val="1"/>
      <w:numFmt w:val="bullet"/>
      <w:lvlText w:val="•"/>
      <w:lvlJc w:val="left"/>
      <w:pPr>
        <w:ind w:left="72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D467533"/>
    <w:multiLevelType w:val="hybridMultilevel"/>
    <w:tmpl w:val="26F0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AF41C3"/>
    <w:multiLevelType w:val="hybridMultilevel"/>
    <w:tmpl w:val="535419DC"/>
    <w:lvl w:ilvl="0" w:tplc="FB5481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0"/>
  </w:num>
  <w:num w:numId="5">
    <w:abstractNumId w:val="11"/>
  </w:num>
  <w:num w:numId="6">
    <w:abstractNumId w:val="16"/>
  </w:num>
  <w:num w:numId="7">
    <w:abstractNumId w:val="18"/>
  </w:num>
  <w:num w:numId="8">
    <w:abstractNumId w:val="20"/>
  </w:num>
  <w:num w:numId="9">
    <w:abstractNumId w:val="2"/>
  </w:num>
  <w:num w:numId="10">
    <w:abstractNumId w:val="14"/>
  </w:num>
  <w:num w:numId="11">
    <w:abstractNumId w:val="1"/>
  </w:num>
  <w:num w:numId="12">
    <w:abstractNumId w:val="17"/>
  </w:num>
  <w:num w:numId="13">
    <w:abstractNumId w:val="5"/>
  </w:num>
  <w:num w:numId="14">
    <w:abstractNumId w:val="19"/>
  </w:num>
  <w:num w:numId="15">
    <w:abstractNumId w:val="6"/>
  </w:num>
  <w:num w:numId="16">
    <w:abstractNumId w:val="7"/>
  </w:num>
  <w:num w:numId="17">
    <w:abstractNumId w:val="9"/>
  </w:num>
  <w:num w:numId="18">
    <w:abstractNumId w:val="13"/>
  </w:num>
  <w:num w:numId="19">
    <w:abstractNumId w:val="15"/>
  </w:num>
  <w:num w:numId="20">
    <w:abstractNumId w:val="8"/>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838"/>
    <w:rsid w:val="0000676E"/>
    <w:rsid w:val="000117C3"/>
    <w:rsid w:val="000234B0"/>
    <w:rsid w:val="0002553C"/>
    <w:rsid w:val="000260CE"/>
    <w:rsid w:val="00027361"/>
    <w:rsid w:val="00027A12"/>
    <w:rsid w:val="0003453B"/>
    <w:rsid w:val="0004661D"/>
    <w:rsid w:val="00046A50"/>
    <w:rsid w:val="00053A10"/>
    <w:rsid w:val="00054937"/>
    <w:rsid w:val="00055FD6"/>
    <w:rsid w:val="00060C35"/>
    <w:rsid w:val="00061A2F"/>
    <w:rsid w:val="00066802"/>
    <w:rsid w:val="00070154"/>
    <w:rsid w:val="0007329E"/>
    <w:rsid w:val="0007518C"/>
    <w:rsid w:val="00083B3F"/>
    <w:rsid w:val="00084CB3"/>
    <w:rsid w:val="0009134E"/>
    <w:rsid w:val="000A01C7"/>
    <w:rsid w:val="000A21A3"/>
    <w:rsid w:val="000A29B9"/>
    <w:rsid w:val="000A38E5"/>
    <w:rsid w:val="000A4F2F"/>
    <w:rsid w:val="000A6CD0"/>
    <w:rsid w:val="000A7F71"/>
    <w:rsid w:val="000B1894"/>
    <w:rsid w:val="000B40F3"/>
    <w:rsid w:val="000B417A"/>
    <w:rsid w:val="000B5011"/>
    <w:rsid w:val="000C1EC3"/>
    <w:rsid w:val="000C322E"/>
    <w:rsid w:val="000C44EF"/>
    <w:rsid w:val="000E5092"/>
    <w:rsid w:val="000F050A"/>
    <w:rsid w:val="000F12E2"/>
    <w:rsid w:val="000F4A7D"/>
    <w:rsid w:val="00103ECA"/>
    <w:rsid w:val="00105696"/>
    <w:rsid w:val="00107A2F"/>
    <w:rsid w:val="001100E4"/>
    <w:rsid w:val="00120607"/>
    <w:rsid w:val="001222DE"/>
    <w:rsid w:val="00154BE4"/>
    <w:rsid w:val="00155694"/>
    <w:rsid w:val="00157B60"/>
    <w:rsid w:val="00160A67"/>
    <w:rsid w:val="00161454"/>
    <w:rsid w:val="00163705"/>
    <w:rsid w:val="00181D23"/>
    <w:rsid w:val="00186CF4"/>
    <w:rsid w:val="00190194"/>
    <w:rsid w:val="00192F91"/>
    <w:rsid w:val="00197B3B"/>
    <w:rsid w:val="001A0DE7"/>
    <w:rsid w:val="001A76BE"/>
    <w:rsid w:val="001B36C0"/>
    <w:rsid w:val="001B4338"/>
    <w:rsid w:val="001B575E"/>
    <w:rsid w:val="001B75C1"/>
    <w:rsid w:val="001C105F"/>
    <w:rsid w:val="001C6378"/>
    <w:rsid w:val="001C7D57"/>
    <w:rsid w:val="001D3E44"/>
    <w:rsid w:val="001D4102"/>
    <w:rsid w:val="001E0058"/>
    <w:rsid w:val="001E3B4C"/>
    <w:rsid w:val="002045F8"/>
    <w:rsid w:val="00204CB8"/>
    <w:rsid w:val="00205AB6"/>
    <w:rsid w:val="002134A1"/>
    <w:rsid w:val="00213D76"/>
    <w:rsid w:val="002259ED"/>
    <w:rsid w:val="0022774D"/>
    <w:rsid w:val="002370EA"/>
    <w:rsid w:val="00240E2E"/>
    <w:rsid w:val="00242573"/>
    <w:rsid w:val="002544AC"/>
    <w:rsid w:val="00254639"/>
    <w:rsid w:val="0026018F"/>
    <w:rsid w:val="002669A3"/>
    <w:rsid w:val="002737F2"/>
    <w:rsid w:val="00280095"/>
    <w:rsid w:val="00282883"/>
    <w:rsid w:val="00290862"/>
    <w:rsid w:val="002A1FBE"/>
    <w:rsid w:val="002B1783"/>
    <w:rsid w:val="002B2A64"/>
    <w:rsid w:val="002B6A43"/>
    <w:rsid w:val="002B7EF2"/>
    <w:rsid w:val="002C1458"/>
    <w:rsid w:val="002C276F"/>
    <w:rsid w:val="002C2AE9"/>
    <w:rsid w:val="002D6C50"/>
    <w:rsid w:val="002E0540"/>
    <w:rsid w:val="002F25E3"/>
    <w:rsid w:val="002F4AC0"/>
    <w:rsid w:val="002F61B0"/>
    <w:rsid w:val="00306067"/>
    <w:rsid w:val="00310E0B"/>
    <w:rsid w:val="00312FB1"/>
    <w:rsid w:val="003171D2"/>
    <w:rsid w:val="0032123D"/>
    <w:rsid w:val="00321878"/>
    <w:rsid w:val="0032215B"/>
    <w:rsid w:val="00326A41"/>
    <w:rsid w:val="00327F2B"/>
    <w:rsid w:val="00332B99"/>
    <w:rsid w:val="003367CA"/>
    <w:rsid w:val="003419D8"/>
    <w:rsid w:val="003422C1"/>
    <w:rsid w:val="0034424F"/>
    <w:rsid w:val="00345ECC"/>
    <w:rsid w:val="00355B58"/>
    <w:rsid w:val="0036077E"/>
    <w:rsid w:val="003660C6"/>
    <w:rsid w:val="003717BC"/>
    <w:rsid w:val="00382166"/>
    <w:rsid w:val="00383EBF"/>
    <w:rsid w:val="003863BD"/>
    <w:rsid w:val="003A2A6A"/>
    <w:rsid w:val="003A4313"/>
    <w:rsid w:val="003A4ADA"/>
    <w:rsid w:val="003A6804"/>
    <w:rsid w:val="003A6B44"/>
    <w:rsid w:val="003B0E5B"/>
    <w:rsid w:val="003C195C"/>
    <w:rsid w:val="003C2BE0"/>
    <w:rsid w:val="003C39CA"/>
    <w:rsid w:val="003D3242"/>
    <w:rsid w:val="003D5CBE"/>
    <w:rsid w:val="003D5FF0"/>
    <w:rsid w:val="003F05FC"/>
    <w:rsid w:val="003F471E"/>
    <w:rsid w:val="003F754A"/>
    <w:rsid w:val="004053C0"/>
    <w:rsid w:val="0040711B"/>
    <w:rsid w:val="0040765A"/>
    <w:rsid w:val="00411A12"/>
    <w:rsid w:val="00412508"/>
    <w:rsid w:val="004125FD"/>
    <w:rsid w:val="00425A47"/>
    <w:rsid w:val="004262BF"/>
    <w:rsid w:val="00427682"/>
    <w:rsid w:val="00432473"/>
    <w:rsid w:val="00440403"/>
    <w:rsid w:val="00440991"/>
    <w:rsid w:val="004409B7"/>
    <w:rsid w:val="00441297"/>
    <w:rsid w:val="004439EF"/>
    <w:rsid w:val="00443CCE"/>
    <w:rsid w:val="00445B89"/>
    <w:rsid w:val="00447E41"/>
    <w:rsid w:val="00447F25"/>
    <w:rsid w:val="0045561C"/>
    <w:rsid w:val="0045731A"/>
    <w:rsid w:val="00472C48"/>
    <w:rsid w:val="00482018"/>
    <w:rsid w:val="004838C2"/>
    <w:rsid w:val="00486034"/>
    <w:rsid w:val="00486258"/>
    <w:rsid w:val="00496CDC"/>
    <w:rsid w:val="00497F4E"/>
    <w:rsid w:val="004A4A12"/>
    <w:rsid w:val="004A65E7"/>
    <w:rsid w:val="004B1F29"/>
    <w:rsid w:val="004B2EC7"/>
    <w:rsid w:val="004C443A"/>
    <w:rsid w:val="004D10E4"/>
    <w:rsid w:val="004D24DD"/>
    <w:rsid w:val="004D767E"/>
    <w:rsid w:val="004E0BDC"/>
    <w:rsid w:val="004E380E"/>
    <w:rsid w:val="004F1674"/>
    <w:rsid w:val="004F5838"/>
    <w:rsid w:val="00500F85"/>
    <w:rsid w:val="00503AD2"/>
    <w:rsid w:val="0051065B"/>
    <w:rsid w:val="005129DB"/>
    <w:rsid w:val="005218C8"/>
    <w:rsid w:val="00521D95"/>
    <w:rsid w:val="0052690C"/>
    <w:rsid w:val="00533F14"/>
    <w:rsid w:val="00540644"/>
    <w:rsid w:val="00540CD7"/>
    <w:rsid w:val="00543C7F"/>
    <w:rsid w:val="00552DC9"/>
    <w:rsid w:val="00562192"/>
    <w:rsid w:val="0056396C"/>
    <w:rsid w:val="0056405D"/>
    <w:rsid w:val="005660CC"/>
    <w:rsid w:val="00570F31"/>
    <w:rsid w:val="00573982"/>
    <w:rsid w:val="0057534B"/>
    <w:rsid w:val="00596810"/>
    <w:rsid w:val="005B2891"/>
    <w:rsid w:val="005B5E1A"/>
    <w:rsid w:val="005C0F0E"/>
    <w:rsid w:val="005C4AC5"/>
    <w:rsid w:val="005C5C93"/>
    <w:rsid w:val="005C7C8C"/>
    <w:rsid w:val="005D1989"/>
    <w:rsid w:val="005D2AD9"/>
    <w:rsid w:val="005D78E3"/>
    <w:rsid w:val="005E2B7C"/>
    <w:rsid w:val="005E2CAB"/>
    <w:rsid w:val="005E531F"/>
    <w:rsid w:val="005F113E"/>
    <w:rsid w:val="005F168E"/>
    <w:rsid w:val="005F5560"/>
    <w:rsid w:val="005F7B5B"/>
    <w:rsid w:val="005F7BC5"/>
    <w:rsid w:val="00600753"/>
    <w:rsid w:val="00610F8B"/>
    <w:rsid w:val="00623323"/>
    <w:rsid w:val="006310B9"/>
    <w:rsid w:val="0064093F"/>
    <w:rsid w:val="00641411"/>
    <w:rsid w:val="00644109"/>
    <w:rsid w:val="00644A25"/>
    <w:rsid w:val="0065008D"/>
    <w:rsid w:val="00651F4F"/>
    <w:rsid w:val="00652969"/>
    <w:rsid w:val="006533AB"/>
    <w:rsid w:val="00653C92"/>
    <w:rsid w:val="006568C4"/>
    <w:rsid w:val="00670F9A"/>
    <w:rsid w:val="00673EF0"/>
    <w:rsid w:val="00673F40"/>
    <w:rsid w:val="00675FAA"/>
    <w:rsid w:val="00677DB5"/>
    <w:rsid w:val="006817BA"/>
    <w:rsid w:val="006855EB"/>
    <w:rsid w:val="00696A30"/>
    <w:rsid w:val="006A2417"/>
    <w:rsid w:val="006B09E3"/>
    <w:rsid w:val="006B5B10"/>
    <w:rsid w:val="006C2007"/>
    <w:rsid w:val="006C398A"/>
    <w:rsid w:val="006C543C"/>
    <w:rsid w:val="006D1BD1"/>
    <w:rsid w:val="006E44B6"/>
    <w:rsid w:val="006E5A0D"/>
    <w:rsid w:val="006E605F"/>
    <w:rsid w:val="006E6AF0"/>
    <w:rsid w:val="006F20C8"/>
    <w:rsid w:val="007021D5"/>
    <w:rsid w:val="0070333A"/>
    <w:rsid w:val="00706A70"/>
    <w:rsid w:val="00707FB7"/>
    <w:rsid w:val="007158A5"/>
    <w:rsid w:val="00722C20"/>
    <w:rsid w:val="00727029"/>
    <w:rsid w:val="007346EC"/>
    <w:rsid w:val="00735010"/>
    <w:rsid w:val="00736783"/>
    <w:rsid w:val="00736E5A"/>
    <w:rsid w:val="00737078"/>
    <w:rsid w:val="00741F29"/>
    <w:rsid w:val="007559D4"/>
    <w:rsid w:val="00764656"/>
    <w:rsid w:val="00774253"/>
    <w:rsid w:val="0077537F"/>
    <w:rsid w:val="00776D7A"/>
    <w:rsid w:val="00777433"/>
    <w:rsid w:val="00784290"/>
    <w:rsid w:val="00791F44"/>
    <w:rsid w:val="00792685"/>
    <w:rsid w:val="0079280C"/>
    <w:rsid w:val="00795C90"/>
    <w:rsid w:val="00795CA0"/>
    <w:rsid w:val="00797CF4"/>
    <w:rsid w:val="007B029D"/>
    <w:rsid w:val="007B10C1"/>
    <w:rsid w:val="007B16FA"/>
    <w:rsid w:val="007B479B"/>
    <w:rsid w:val="007C2075"/>
    <w:rsid w:val="007D627A"/>
    <w:rsid w:val="007D6D14"/>
    <w:rsid w:val="007D6E1A"/>
    <w:rsid w:val="007F03FF"/>
    <w:rsid w:val="007F7CD8"/>
    <w:rsid w:val="00833455"/>
    <w:rsid w:val="008342EE"/>
    <w:rsid w:val="00835000"/>
    <w:rsid w:val="00837A41"/>
    <w:rsid w:val="0085116D"/>
    <w:rsid w:val="00857D45"/>
    <w:rsid w:val="008611F1"/>
    <w:rsid w:val="00874BAE"/>
    <w:rsid w:val="00875D98"/>
    <w:rsid w:val="0087737C"/>
    <w:rsid w:val="008803E8"/>
    <w:rsid w:val="0089105B"/>
    <w:rsid w:val="00891800"/>
    <w:rsid w:val="00891BB8"/>
    <w:rsid w:val="008924CF"/>
    <w:rsid w:val="008A3B91"/>
    <w:rsid w:val="008A4C4B"/>
    <w:rsid w:val="008B1405"/>
    <w:rsid w:val="008B6561"/>
    <w:rsid w:val="008B7493"/>
    <w:rsid w:val="008C2D67"/>
    <w:rsid w:val="008C4C25"/>
    <w:rsid w:val="008D7BC4"/>
    <w:rsid w:val="008E2B6D"/>
    <w:rsid w:val="008E3684"/>
    <w:rsid w:val="008E7B19"/>
    <w:rsid w:val="008F040C"/>
    <w:rsid w:val="008F7E64"/>
    <w:rsid w:val="00900F61"/>
    <w:rsid w:val="009014FE"/>
    <w:rsid w:val="00907917"/>
    <w:rsid w:val="009079BF"/>
    <w:rsid w:val="00917EC4"/>
    <w:rsid w:val="00921A1D"/>
    <w:rsid w:val="00924B4F"/>
    <w:rsid w:val="0092517F"/>
    <w:rsid w:val="009269CE"/>
    <w:rsid w:val="0093014D"/>
    <w:rsid w:val="0093191B"/>
    <w:rsid w:val="00931F66"/>
    <w:rsid w:val="00950B89"/>
    <w:rsid w:val="009639C4"/>
    <w:rsid w:val="00964201"/>
    <w:rsid w:val="00966305"/>
    <w:rsid w:val="00966891"/>
    <w:rsid w:val="00971A1C"/>
    <w:rsid w:val="009827B9"/>
    <w:rsid w:val="00985B94"/>
    <w:rsid w:val="00990726"/>
    <w:rsid w:val="00991105"/>
    <w:rsid w:val="00995F4E"/>
    <w:rsid w:val="00996CEB"/>
    <w:rsid w:val="0099763E"/>
    <w:rsid w:val="009A41EA"/>
    <w:rsid w:val="009A4832"/>
    <w:rsid w:val="009B0E27"/>
    <w:rsid w:val="009C1F8F"/>
    <w:rsid w:val="009C427C"/>
    <w:rsid w:val="009C6066"/>
    <w:rsid w:val="009D1AA1"/>
    <w:rsid w:val="009D72F9"/>
    <w:rsid w:val="009F19A2"/>
    <w:rsid w:val="009F2DB6"/>
    <w:rsid w:val="009F62E3"/>
    <w:rsid w:val="009F6AC8"/>
    <w:rsid w:val="009F7762"/>
    <w:rsid w:val="00A009A4"/>
    <w:rsid w:val="00A00D57"/>
    <w:rsid w:val="00A165D2"/>
    <w:rsid w:val="00A167DA"/>
    <w:rsid w:val="00A32D97"/>
    <w:rsid w:val="00A3531B"/>
    <w:rsid w:val="00A365B5"/>
    <w:rsid w:val="00A46D83"/>
    <w:rsid w:val="00A47432"/>
    <w:rsid w:val="00A50494"/>
    <w:rsid w:val="00A57CFF"/>
    <w:rsid w:val="00A62AD8"/>
    <w:rsid w:val="00A66243"/>
    <w:rsid w:val="00A7729E"/>
    <w:rsid w:val="00A84EA5"/>
    <w:rsid w:val="00A86E57"/>
    <w:rsid w:val="00A871A1"/>
    <w:rsid w:val="00A87FDC"/>
    <w:rsid w:val="00A92FCD"/>
    <w:rsid w:val="00AB1F77"/>
    <w:rsid w:val="00AB5042"/>
    <w:rsid w:val="00AC2486"/>
    <w:rsid w:val="00AC3749"/>
    <w:rsid w:val="00AC3EC9"/>
    <w:rsid w:val="00AC7F9D"/>
    <w:rsid w:val="00AD2FAA"/>
    <w:rsid w:val="00AD3FC4"/>
    <w:rsid w:val="00AD64B2"/>
    <w:rsid w:val="00AE46A6"/>
    <w:rsid w:val="00AE5BF4"/>
    <w:rsid w:val="00AF068F"/>
    <w:rsid w:val="00B00748"/>
    <w:rsid w:val="00B07A44"/>
    <w:rsid w:val="00B236EA"/>
    <w:rsid w:val="00B428E6"/>
    <w:rsid w:val="00B42D69"/>
    <w:rsid w:val="00B508C4"/>
    <w:rsid w:val="00B508C6"/>
    <w:rsid w:val="00B603B3"/>
    <w:rsid w:val="00B60DF4"/>
    <w:rsid w:val="00B72518"/>
    <w:rsid w:val="00B727E2"/>
    <w:rsid w:val="00B8148F"/>
    <w:rsid w:val="00B821EF"/>
    <w:rsid w:val="00B82286"/>
    <w:rsid w:val="00B94EF0"/>
    <w:rsid w:val="00B97411"/>
    <w:rsid w:val="00BA1714"/>
    <w:rsid w:val="00BA4397"/>
    <w:rsid w:val="00BA4696"/>
    <w:rsid w:val="00BC6604"/>
    <w:rsid w:val="00BD107A"/>
    <w:rsid w:val="00BD2CA8"/>
    <w:rsid w:val="00BE1992"/>
    <w:rsid w:val="00BE5194"/>
    <w:rsid w:val="00C124C9"/>
    <w:rsid w:val="00C125B4"/>
    <w:rsid w:val="00C20F97"/>
    <w:rsid w:val="00C24917"/>
    <w:rsid w:val="00C271F9"/>
    <w:rsid w:val="00C3676D"/>
    <w:rsid w:val="00C40C4B"/>
    <w:rsid w:val="00C60AAB"/>
    <w:rsid w:val="00C67010"/>
    <w:rsid w:val="00C70C4A"/>
    <w:rsid w:val="00C711C9"/>
    <w:rsid w:val="00C72127"/>
    <w:rsid w:val="00C8437D"/>
    <w:rsid w:val="00C9057E"/>
    <w:rsid w:val="00C91059"/>
    <w:rsid w:val="00C93A10"/>
    <w:rsid w:val="00C93D31"/>
    <w:rsid w:val="00C94C1B"/>
    <w:rsid w:val="00CA2074"/>
    <w:rsid w:val="00CA501B"/>
    <w:rsid w:val="00CA524D"/>
    <w:rsid w:val="00CA53A8"/>
    <w:rsid w:val="00CA5C9E"/>
    <w:rsid w:val="00CB1DDC"/>
    <w:rsid w:val="00CB4A1E"/>
    <w:rsid w:val="00CC3D6A"/>
    <w:rsid w:val="00CC48A3"/>
    <w:rsid w:val="00CD105D"/>
    <w:rsid w:val="00CE0963"/>
    <w:rsid w:val="00CE0F1F"/>
    <w:rsid w:val="00CE2350"/>
    <w:rsid w:val="00CE627B"/>
    <w:rsid w:val="00CF180B"/>
    <w:rsid w:val="00D03533"/>
    <w:rsid w:val="00D13B06"/>
    <w:rsid w:val="00D15622"/>
    <w:rsid w:val="00D16DFD"/>
    <w:rsid w:val="00D2027A"/>
    <w:rsid w:val="00D24633"/>
    <w:rsid w:val="00D26ACC"/>
    <w:rsid w:val="00D275EB"/>
    <w:rsid w:val="00D3405F"/>
    <w:rsid w:val="00D37989"/>
    <w:rsid w:val="00D46B18"/>
    <w:rsid w:val="00D53CA1"/>
    <w:rsid w:val="00D610BA"/>
    <w:rsid w:val="00D61D40"/>
    <w:rsid w:val="00D63B7C"/>
    <w:rsid w:val="00D64057"/>
    <w:rsid w:val="00D65B20"/>
    <w:rsid w:val="00D77D5B"/>
    <w:rsid w:val="00D87336"/>
    <w:rsid w:val="00D94835"/>
    <w:rsid w:val="00D95E08"/>
    <w:rsid w:val="00DA31D2"/>
    <w:rsid w:val="00DA328D"/>
    <w:rsid w:val="00DB3782"/>
    <w:rsid w:val="00DB483E"/>
    <w:rsid w:val="00DB7346"/>
    <w:rsid w:val="00DC162D"/>
    <w:rsid w:val="00DD67A9"/>
    <w:rsid w:val="00DD7F56"/>
    <w:rsid w:val="00DE3C01"/>
    <w:rsid w:val="00DE57A4"/>
    <w:rsid w:val="00DF264D"/>
    <w:rsid w:val="00E00935"/>
    <w:rsid w:val="00E00CC1"/>
    <w:rsid w:val="00E02655"/>
    <w:rsid w:val="00E1123B"/>
    <w:rsid w:val="00E142FE"/>
    <w:rsid w:val="00E21E69"/>
    <w:rsid w:val="00E22628"/>
    <w:rsid w:val="00E4777D"/>
    <w:rsid w:val="00E514F6"/>
    <w:rsid w:val="00E544FB"/>
    <w:rsid w:val="00E61A2A"/>
    <w:rsid w:val="00E64545"/>
    <w:rsid w:val="00E72FF7"/>
    <w:rsid w:val="00E73FCE"/>
    <w:rsid w:val="00E74173"/>
    <w:rsid w:val="00E80795"/>
    <w:rsid w:val="00E84901"/>
    <w:rsid w:val="00E854D1"/>
    <w:rsid w:val="00E86C9A"/>
    <w:rsid w:val="00E871DF"/>
    <w:rsid w:val="00E878D1"/>
    <w:rsid w:val="00E90AE9"/>
    <w:rsid w:val="00E961A2"/>
    <w:rsid w:val="00E96664"/>
    <w:rsid w:val="00EA1F08"/>
    <w:rsid w:val="00EA3BC6"/>
    <w:rsid w:val="00EA4077"/>
    <w:rsid w:val="00EA6567"/>
    <w:rsid w:val="00EA663C"/>
    <w:rsid w:val="00EB5319"/>
    <w:rsid w:val="00EB57C9"/>
    <w:rsid w:val="00EB783A"/>
    <w:rsid w:val="00EC157E"/>
    <w:rsid w:val="00EC2A7D"/>
    <w:rsid w:val="00EC2B6D"/>
    <w:rsid w:val="00EC4B9C"/>
    <w:rsid w:val="00ED7620"/>
    <w:rsid w:val="00EE07AB"/>
    <w:rsid w:val="00EE520D"/>
    <w:rsid w:val="00EF15CD"/>
    <w:rsid w:val="00EF2438"/>
    <w:rsid w:val="00EF2D2E"/>
    <w:rsid w:val="00EF3F84"/>
    <w:rsid w:val="00EF470D"/>
    <w:rsid w:val="00EF6BE4"/>
    <w:rsid w:val="00F0346B"/>
    <w:rsid w:val="00F1381A"/>
    <w:rsid w:val="00F2237B"/>
    <w:rsid w:val="00F32D1D"/>
    <w:rsid w:val="00F36A5F"/>
    <w:rsid w:val="00F36F49"/>
    <w:rsid w:val="00F42899"/>
    <w:rsid w:val="00F61F53"/>
    <w:rsid w:val="00F625F9"/>
    <w:rsid w:val="00F62874"/>
    <w:rsid w:val="00F66225"/>
    <w:rsid w:val="00F70109"/>
    <w:rsid w:val="00F73067"/>
    <w:rsid w:val="00F82277"/>
    <w:rsid w:val="00F84D9A"/>
    <w:rsid w:val="00F91654"/>
    <w:rsid w:val="00FA0595"/>
    <w:rsid w:val="00FB0B19"/>
    <w:rsid w:val="00FB2461"/>
    <w:rsid w:val="00FB6183"/>
    <w:rsid w:val="00FC5311"/>
    <w:rsid w:val="00FD2E11"/>
    <w:rsid w:val="00FD4C35"/>
    <w:rsid w:val="00FD6656"/>
    <w:rsid w:val="00FD6F77"/>
    <w:rsid w:val="00FD7D3B"/>
    <w:rsid w:val="00FE0A01"/>
    <w:rsid w:val="00FE25C3"/>
    <w:rsid w:val="00FE4BFB"/>
    <w:rsid w:val="00FE7826"/>
    <w:rsid w:val="00FE7D73"/>
    <w:rsid w:val="00FF105E"/>
    <w:rsid w:val="00FF201C"/>
    <w:rsid w:val="00FF3E14"/>
    <w:rsid w:val="00FF4A85"/>
    <w:rsid w:val="00FF7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373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83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583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CD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6A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6A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6A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76A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6A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6A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8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F5838"/>
    <w:rPr>
      <w:rFonts w:asciiTheme="majorHAnsi" w:eastAsiaTheme="majorEastAsia" w:hAnsiTheme="majorHAnsi" w:cstheme="majorBidi"/>
      <w:b/>
      <w:bCs/>
      <w:color w:val="345A8A" w:themeColor="accent1" w:themeShade="B5"/>
      <w:sz w:val="32"/>
      <w:szCs w:val="32"/>
    </w:rPr>
  </w:style>
  <w:style w:type="paragraph" w:customStyle="1" w:styleId="a">
    <w:name w:val="Абзац списка"/>
    <w:basedOn w:val="Normal"/>
    <w:uiPriority w:val="34"/>
    <w:qFormat/>
    <w:rsid w:val="00966305"/>
    <w:pPr>
      <w:spacing w:after="200" w:line="276" w:lineRule="auto"/>
      <w:ind w:left="720"/>
      <w:contextualSpacing/>
    </w:pPr>
    <w:rPr>
      <w:rFonts w:ascii="Calibri" w:eastAsia="Calibri" w:hAnsi="Calibri" w:cs="Times New Roman"/>
      <w:sz w:val="22"/>
      <w:szCs w:val="22"/>
      <w:lang w:val="en-US"/>
    </w:rPr>
  </w:style>
  <w:style w:type="paragraph" w:styleId="Subtitle">
    <w:name w:val="Subtitle"/>
    <w:basedOn w:val="Normal"/>
    <w:link w:val="SubtitleChar"/>
    <w:qFormat/>
    <w:rsid w:val="00966305"/>
    <w:pPr>
      <w:jc w:val="center"/>
    </w:pPr>
    <w:rPr>
      <w:rFonts w:ascii="Times New Roman" w:eastAsia="Times New Roman" w:hAnsi="Times New Roman" w:cs="Times New Roman"/>
      <w:b/>
      <w:sz w:val="28"/>
      <w:szCs w:val="20"/>
      <w:u w:val="single"/>
      <w:lang w:eastAsia="en-GB"/>
    </w:rPr>
  </w:style>
  <w:style w:type="character" w:customStyle="1" w:styleId="SubtitleChar">
    <w:name w:val="Subtitle Char"/>
    <w:basedOn w:val="DefaultParagraphFont"/>
    <w:link w:val="Subtitle"/>
    <w:rsid w:val="00966305"/>
    <w:rPr>
      <w:rFonts w:ascii="Times New Roman" w:eastAsia="Times New Roman" w:hAnsi="Times New Roman" w:cs="Times New Roman"/>
      <w:b/>
      <w:sz w:val="28"/>
      <w:szCs w:val="20"/>
      <w:u w:val="single"/>
      <w:lang w:eastAsia="en-GB"/>
    </w:rPr>
  </w:style>
  <w:style w:type="paragraph" w:styleId="BodyText3">
    <w:name w:val="Body Text 3"/>
    <w:basedOn w:val="Normal"/>
    <w:link w:val="BodyText3Char"/>
    <w:uiPriority w:val="99"/>
    <w:unhideWhenUsed/>
    <w:rsid w:val="00966305"/>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966305"/>
    <w:rPr>
      <w:rFonts w:ascii="Calibri" w:eastAsia="Calibri" w:hAnsi="Calibri" w:cs="Times New Roman"/>
      <w:sz w:val="16"/>
      <w:szCs w:val="16"/>
      <w:lang w:val="en-US"/>
    </w:rPr>
  </w:style>
  <w:style w:type="paragraph" w:customStyle="1" w:styleId="Heading-nonumber">
    <w:name w:val="Heading - no number"/>
    <w:basedOn w:val="Heading1"/>
    <w:next w:val="Normal"/>
    <w:qFormat/>
    <w:rsid w:val="00540CD7"/>
    <w:pPr>
      <w:spacing w:line="276" w:lineRule="auto"/>
    </w:pPr>
    <w:rPr>
      <w:color w:val="365F91" w:themeColor="accent1" w:themeShade="BF"/>
      <w:sz w:val="28"/>
      <w:szCs w:val="28"/>
    </w:rPr>
  </w:style>
  <w:style w:type="character" w:customStyle="1" w:styleId="Heading3Char">
    <w:name w:val="Heading 3 Char"/>
    <w:basedOn w:val="DefaultParagraphFont"/>
    <w:link w:val="Heading3"/>
    <w:uiPriority w:val="9"/>
    <w:rsid w:val="00540C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40CD7"/>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540CD7"/>
    <w:rPr>
      <w:rFonts w:eastAsiaTheme="minorHAnsi"/>
      <w:sz w:val="22"/>
      <w:szCs w:val="22"/>
    </w:rPr>
  </w:style>
  <w:style w:type="paragraph" w:styleId="BodyText2">
    <w:name w:val="Body Text 2"/>
    <w:basedOn w:val="Normal"/>
    <w:link w:val="BodyText2Char"/>
    <w:uiPriority w:val="99"/>
    <w:semiHidden/>
    <w:unhideWhenUsed/>
    <w:rsid w:val="00FF76AD"/>
    <w:pPr>
      <w:spacing w:after="120" w:line="480" w:lineRule="auto"/>
    </w:pPr>
  </w:style>
  <w:style w:type="character" w:customStyle="1" w:styleId="BodyText2Char">
    <w:name w:val="Body Text 2 Char"/>
    <w:basedOn w:val="DefaultParagraphFont"/>
    <w:link w:val="BodyText2"/>
    <w:uiPriority w:val="99"/>
    <w:semiHidden/>
    <w:rsid w:val="00FF76AD"/>
  </w:style>
  <w:style w:type="paragraph" w:styleId="PlainText">
    <w:name w:val="Plain Text"/>
    <w:basedOn w:val="Normal"/>
    <w:link w:val="PlainTextChar"/>
    <w:rsid w:val="00FF76AD"/>
    <w:rPr>
      <w:rFonts w:ascii="Courier New" w:eastAsia="Times New Roman" w:hAnsi="Courier New" w:cs="Courier New"/>
      <w:sz w:val="20"/>
      <w:szCs w:val="20"/>
    </w:rPr>
  </w:style>
  <w:style w:type="character" w:customStyle="1" w:styleId="PlainTextChar">
    <w:name w:val="Plain Text Char"/>
    <w:basedOn w:val="DefaultParagraphFont"/>
    <w:link w:val="PlainText"/>
    <w:rsid w:val="00FF76AD"/>
    <w:rPr>
      <w:rFonts w:ascii="Courier New" w:eastAsia="Times New Roman" w:hAnsi="Courier New" w:cs="Courier New"/>
      <w:sz w:val="20"/>
      <w:szCs w:val="20"/>
    </w:rPr>
  </w:style>
  <w:style w:type="paragraph" w:styleId="ListParagraph">
    <w:name w:val="List Paragraph"/>
    <w:basedOn w:val="Normal"/>
    <w:qFormat/>
    <w:rsid w:val="00FF76AD"/>
    <w:pPr>
      <w:spacing w:after="200" w:line="276" w:lineRule="auto"/>
      <w:ind w:left="720"/>
      <w:contextualSpacing/>
    </w:pPr>
    <w:rPr>
      <w:rFonts w:eastAsiaTheme="minorHAnsi"/>
      <w:sz w:val="22"/>
      <w:szCs w:val="22"/>
    </w:rPr>
  </w:style>
  <w:style w:type="character" w:customStyle="1" w:styleId="Heading4Char">
    <w:name w:val="Heading 4 Char"/>
    <w:basedOn w:val="DefaultParagraphFont"/>
    <w:link w:val="Heading4"/>
    <w:uiPriority w:val="9"/>
    <w:rsid w:val="00F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76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76A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F76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6A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22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15B"/>
    <w:rPr>
      <w:rFonts w:ascii="Lucida Grande" w:hAnsi="Lucida Grande" w:cs="Lucida Grande"/>
      <w:sz w:val="18"/>
      <w:szCs w:val="18"/>
    </w:rPr>
  </w:style>
  <w:style w:type="paragraph" w:customStyle="1" w:styleId="Normal1">
    <w:name w:val="Normal_1"/>
    <w:basedOn w:val="Normal"/>
    <w:uiPriority w:val="99"/>
    <w:rsid w:val="00FD6656"/>
    <w:pPr>
      <w:spacing w:after="200"/>
      <w:jc w:val="both"/>
    </w:pPr>
    <w:rPr>
      <w:rFonts w:ascii="Arial" w:eastAsia="Times New Roman" w:hAnsi="Arial" w:cs="Arial"/>
      <w:sz w:val="20"/>
      <w:szCs w:val="20"/>
      <w:lang w:val="en-US"/>
    </w:rPr>
  </w:style>
  <w:style w:type="character" w:styleId="Hyperlink">
    <w:name w:val="Hyperlink"/>
    <w:basedOn w:val="DefaultParagraphFont"/>
    <w:uiPriority w:val="99"/>
    <w:unhideWhenUsed/>
    <w:rsid w:val="00321878"/>
    <w:rPr>
      <w:color w:val="0000FF"/>
      <w:u w:val="single"/>
    </w:rPr>
  </w:style>
  <w:style w:type="character" w:styleId="FollowedHyperlink">
    <w:name w:val="FollowedHyperlink"/>
    <w:basedOn w:val="DefaultParagraphFont"/>
    <w:uiPriority w:val="99"/>
    <w:semiHidden/>
    <w:unhideWhenUsed/>
    <w:rsid w:val="003F471E"/>
    <w:rPr>
      <w:color w:val="800080" w:themeColor="followedHyperlink"/>
      <w:u w:val="single"/>
    </w:rPr>
  </w:style>
  <w:style w:type="table" w:styleId="TableGrid">
    <w:name w:val="Table Grid"/>
    <w:basedOn w:val="TableNormal"/>
    <w:uiPriority w:val="59"/>
    <w:rsid w:val="00991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otnote Text,ft,fn,Footnotes,Footnote ak"/>
    <w:basedOn w:val="Normal"/>
    <w:link w:val="FootnoteTextChar"/>
    <w:uiPriority w:val="99"/>
    <w:unhideWhenUsed/>
    <w:rsid w:val="00E80795"/>
  </w:style>
  <w:style w:type="character" w:customStyle="1" w:styleId="FootnoteTextChar">
    <w:name w:val="Footnote Text Char"/>
    <w:aliases w:val="Geneva 9 Char,Font: Geneva 9 Char,Boston 10 Char,f Char,single space Char,Footnote Char,otnote Text Char,ft Char,fn Char,Footnotes Char,Footnote ak Char"/>
    <w:basedOn w:val="DefaultParagraphFont"/>
    <w:link w:val="FootnoteText"/>
    <w:uiPriority w:val="99"/>
    <w:rsid w:val="00E80795"/>
  </w:style>
  <w:style w:type="character" w:styleId="FootnoteReference">
    <w:name w:val="footnote reference"/>
    <w:aliases w:val="16 Point,Superscript 6 Point,Superscript 6 Point + 11 pt,Ref,de nota al pie"/>
    <w:basedOn w:val="DefaultParagraphFont"/>
    <w:unhideWhenUsed/>
    <w:rsid w:val="00E80795"/>
    <w:rPr>
      <w:vertAlign w:val="superscript"/>
    </w:rPr>
  </w:style>
  <w:style w:type="character" w:customStyle="1" w:styleId="FootnoteTextChar1">
    <w:name w:val="Footnote Text Char1"/>
    <w:aliases w:val="Geneva 9 Char1,Font: Geneva 9 Char1,Boston 10 Char1,f Char1,single space Char1,Footnote Char1,otnote Text Char1,ft Char1,fn Char1,Footnotes Char1,Footnote ak Char1"/>
    <w:basedOn w:val="DefaultParagraphFont"/>
    <w:uiPriority w:val="99"/>
    <w:locked/>
    <w:rsid w:val="001A0DE7"/>
    <w:rPr>
      <w:rFonts w:ascii="Arial" w:hAnsi="Arial" w:cs="Times New Roman"/>
      <w:lang w:val="en-GB"/>
    </w:rPr>
  </w:style>
  <w:style w:type="paragraph" w:styleId="Header">
    <w:name w:val="header"/>
    <w:basedOn w:val="Normal"/>
    <w:link w:val="HeaderChar"/>
    <w:uiPriority w:val="99"/>
    <w:rsid w:val="009079BF"/>
    <w:pPr>
      <w:tabs>
        <w:tab w:val="center" w:pos="4153"/>
        <w:tab w:val="right" w:pos="8306"/>
      </w:tabs>
      <w:spacing w:after="60"/>
      <w:jc w:val="both"/>
    </w:pPr>
    <w:rPr>
      <w:rFonts w:ascii="Arial" w:eastAsia="Times New Roman" w:hAnsi="Arial" w:cs="Times New Roman"/>
      <w:sz w:val="22"/>
    </w:rPr>
  </w:style>
  <w:style w:type="character" w:customStyle="1" w:styleId="HeaderChar">
    <w:name w:val="Header Char"/>
    <w:basedOn w:val="DefaultParagraphFont"/>
    <w:link w:val="Header"/>
    <w:uiPriority w:val="99"/>
    <w:rsid w:val="009079BF"/>
    <w:rPr>
      <w:rFonts w:ascii="Arial" w:eastAsia="Times New Roman" w:hAnsi="Arial" w:cs="Times New Roman"/>
      <w:sz w:val="22"/>
    </w:rPr>
  </w:style>
  <w:style w:type="paragraph" w:customStyle="1" w:styleId="Default">
    <w:name w:val="Default"/>
    <w:rsid w:val="00DC162D"/>
    <w:pPr>
      <w:widowControl w:val="0"/>
      <w:autoSpaceDE w:val="0"/>
      <w:autoSpaceDN w:val="0"/>
      <w:adjustRightInd w:val="0"/>
    </w:pPr>
    <w:rPr>
      <w:rFonts w:ascii="Garamond" w:hAnsi="Garamond" w:cs="Garamond"/>
      <w:color w:val="000000"/>
      <w:lang w:val="en-US"/>
    </w:rPr>
  </w:style>
  <w:style w:type="character" w:styleId="PageNumber">
    <w:name w:val="page number"/>
    <w:basedOn w:val="DefaultParagraphFont"/>
    <w:uiPriority w:val="99"/>
    <w:semiHidden/>
    <w:unhideWhenUsed/>
    <w:rsid w:val="00070154"/>
  </w:style>
  <w:style w:type="character" w:styleId="Emphasis">
    <w:name w:val="Emphasis"/>
    <w:uiPriority w:val="99"/>
    <w:qFormat/>
    <w:rsid w:val="00AE5BF4"/>
    <w:rPr>
      <w:rFonts w:cs="Times New Roman"/>
      <w:i/>
      <w:iCs/>
    </w:rPr>
  </w:style>
  <w:style w:type="paragraph" w:styleId="TOC1">
    <w:name w:val="toc 1"/>
    <w:basedOn w:val="Normal"/>
    <w:next w:val="Normal"/>
    <w:autoRedefine/>
    <w:uiPriority w:val="39"/>
    <w:unhideWhenUsed/>
    <w:rsid w:val="00EF15CD"/>
    <w:pPr>
      <w:tabs>
        <w:tab w:val="right" w:leader="dot" w:pos="9010"/>
      </w:tabs>
      <w:spacing w:before="120"/>
    </w:pPr>
    <w:rPr>
      <w:rFonts w:asciiTheme="majorHAnsi" w:hAnsiTheme="majorHAnsi"/>
      <w:b/>
      <w:color w:val="548DD4"/>
    </w:rPr>
  </w:style>
  <w:style w:type="paragraph" w:styleId="TOC2">
    <w:name w:val="toc 2"/>
    <w:basedOn w:val="Normal"/>
    <w:next w:val="Normal"/>
    <w:autoRedefine/>
    <w:uiPriority w:val="39"/>
    <w:unhideWhenUsed/>
    <w:rsid w:val="00EF470D"/>
    <w:rPr>
      <w:sz w:val="22"/>
      <w:szCs w:val="22"/>
    </w:rPr>
  </w:style>
  <w:style w:type="paragraph" w:styleId="TOC3">
    <w:name w:val="toc 3"/>
    <w:basedOn w:val="Normal"/>
    <w:next w:val="Normal"/>
    <w:autoRedefine/>
    <w:uiPriority w:val="39"/>
    <w:unhideWhenUsed/>
    <w:rsid w:val="00EF470D"/>
    <w:pPr>
      <w:ind w:left="240"/>
    </w:pPr>
    <w:rPr>
      <w:i/>
      <w:sz w:val="22"/>
      <w:szCs w:val="22"/>
    </w:rPr>
  </w:style>
  <w:style w:type="paragraph" w:styleId="TOC4">
    <w:name w:val="toc 4"/>
    <w:basedOn w:val="Normal"/>
    <w:next w:val="Normal"/>
    <w:autoRedefine/>
    <w:uiPriority w:val="39"/>
    <w:unhideWhenUsed/>
    <w:rsid w:val="00EF470D"/>
    <w:pPr>
      <w:pBdr>
        <w:between w:val="double" w:sz="6" w:space="0" w:color="auto"/>
      </w:pBdr>
      <w:ind w:left="480"/>
    </w:pPr>
    <w:rPr>
      <w:sz w:val="20"/>
      <w:szCs w:val="20"/>
    </w:rPr>
  </w:style>
  <w:style w:type="paragraph" w:styleId="TOC5">
    <w:name w:val="toc 5"/>
    <w:basedOn w:val="Normal"/>
    <w:next w:val="Normal"/>
    <w:autoRedefine/>
    <w:uiPriority w:val="39"/>
    <w:unhideWhenUsed/>
    <w:rsid w:val="00EF470D"/>
    <w:pPr>
      <w:pBdr>
        <w:between w:val="double" w:sz="6" w:space="0" w:color="auto"/>
      </w:pBdr>
      <w:ind w:left="720"/>
    </w:pPr>
    <w:rPr>
      <w:sz w:val="20"/>
      <w:szCs w:val="20"/>
    </w:rPr>
  </w:style>
  <w:style w:type="paragraph" w:styleId="TOC6">
    <w:name w:val="toc 6"/>
    <w:basedOn w:val="Normal"/>
    <w:next w:val="Normal"/>
    <w:autoRedefine/>
    <w:uiPriority w:val="39"/>
    <w:unhideWhenUsed/>
    <w:rsid w:val="00EF470D"/>
    <w:pPr>
      <w:pBdr>
        <w:between w:val="double" w:sz="6" w:space="0" w:color="auto"/>
      </w:pBdr>
      <w:ind w:left="960"/>
    </w:pPr>
    <w:rPr>
      <w:sz w:val="20"/>
      <w:szCs w:val="20"/>
    </w:rPr>
  </w:style>
  <w:style w:type="paragraph" w:styleId="TOC7">
    <w:name w:val="toc 7"/>
    <w:basedOn w:val="Normal"/>
    <w:next w:val="Normal"/>
    <w:autoRedefine/>
    <w:uiPriority w:val="39"/>
    <w:unhideWhenUsed/>
    <w:rsid w:val="00EF470D"/>
    <w:pPr>
      <w:pBdr>
        <w:between w:val="double" w:sz="6" w:space="0" w:color="auto"/>
      </w:pBdr>
      <w:ind w:left="1200"/>
    </w:pPr>
    <w:rPr>
      <w:sz w:val="20"/>
      <w:szCs w:val="20"/>
    </w:rPr>
  </w:style>
  <w:style w:type="paragraph" w:styleId="TOC8">
    <w:name w:val="toc 8"/>
    <w:basedOn w:val="Normal"/>
    <w:next w:val="Normal"/>
    <w:autoRedefine/>
    <w:uiPriority w:val="39"/>
    <w:unhideWhenUsed/>
    <w:rsid w:val="00EF470D"/>
    <w:pPr>
      <w:pBdr>
        <w:between w:val="double" w:sz="6" w:space="0" w:color="auto"/>
      </w:pBdr>
      <w:ind w:left="1440"/>
    </w:pPr>
    <w:rPr>
      <w:sz w:val="20"/>
      <w:szCs w:val="20"/>
    </w:rPr>
  </w:style>
  <w:style w:type="paragraph" w:styleId="TOC9">
    <w:name w:val="toc 9"/>
    <w:basedOn w:val="Normal"/>
    <w:next w:val="Normal"/>
    <w:autoRedefine/>
    <w:uiPriority w:val="39"/>
    <w:unhideWhenUsed/>
    <w:rsid w:val="00EF470D"/>
    <w:pPr>
      <w:pBdr>
        <w:between w:val="double" w:sz="6" w:space="0" w:color="auto"/>
      </w:pBdr>
      <w:ind w:left="168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838"/>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583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0CD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76AD"/>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76A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76A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76A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76A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76A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583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F5838"/>
    <w:rPr>
      <w:rFonts w:asciiTheme="majorHAnsi" w:eastAsiaTheme="majorEastAsia" w:hAnsiTheme="majorHAnsi" w:cstheme="majorBidi"/>
      <w:b/>
      <w:bCs/>
      <w:color w:val="345A8A" w:themeColor="accent1" w:themeShade="B5"/>
      <w:sz w:val="32"/>
      <w:szCs w:val="32"/>
    </w:rPr>
  </w:style>
  <w:style w:type="paragraph" w:customStyle="1" w:styleId="a">
    <w:name w:val="Абзац списка"/>
    <w:basedOn w:val="Normal"/>
    <w:uiPriority w:val="34"/>
    <w:qFormat/>
    <w:rsid w:val="00966305"/>
    <w:pPr>
      <w:spacing w:after="200" w:line="276" w:lineRule="auto"/>
      <w:ind w:left="720"/>
      <w:contextualSpacing/>
    </w:pPr>
    <w:rPr>
      <w:rFonts w:ascii="Calibri" w:eastAsia="Calibri" w:hAnsi="Calibri" w:cs="Times New Roman"/>
      <w:sz w:val="22"/>
      <w:szCs w:val="22"/>
      <w:lang w:val="en-US"/>
    </w:rPr>
  </w:style>
  <w:style w:type="paragraph" w:styleId="Subtitle">
    <w:name w:val="Subtitle"/>
    <w:basedOn w:val="Normal"/>
    <w:link w:val="SubtitleChar"/>
    <w:qFormat/>
    <w:rsid w:val="00966305"/>
    <w:pPr>
      <w:jc w:val="center"/>
    </w:pPr>
    <w:rPr>
      <w:rFonts w:ascii="Times New Roman" w:eastAsia="Times New Roman" w:hAnsi="Times New Roman" w:cs="Times New Roman"/>
      <w:b/>
      <w:sz w:val="28"/>
      <w:szCs w:val="20"/>
      <w:u w:val="single"/>
      <w:lang w:eastAsia="en-GB"/>
    </w:rPr>
  </w:style>
  <w:style w:type="character" w:customStyle="1" w:styleId="SubtitleChar">
    <w:name w:val="Subtitle Char"/>
    <w:basedOn w:val="DefaultParagraphFont"/>
    <w:link w:val="Subtitle"/>
    <w:rsid w:val="00966305"/>
    <w:rPr>
      <w:rFonts w:ascii="Times New Roman" w:eastAsia="Times New Roman" w:hAnsi="Times New Roman" w:cs="Times New Roman"/>
      <w:b/>
      <w:sz w:val="28"/>
      <w:szCs w:val="20"/>
      <w:u w:val="single"/>
      <w:lang w:eastAsia="en-GB"/>
    </w:rPr>
  </w:style>
  <w:style w:type="paragraph" w:styleId="BodyText3">
    <w:name w:val="Body Text 3"/>
    <w:basedOn w:val="Normal"/>
    <w:link w:val="BodyText3Char"/>
    <w:uiPriority w:val="99"/>
    <w:unhideWhenUsed/>
    <w:rsid w:val="00966305"/>
    <w:pPr>
      <w:spacing w:after="120" w:line="276" w:lineRule="auto"/>
    </w:pPr>
    <w:rPr>
      <w:rFonts w:ascii="Calibri" w:eastAsia="Calibri" w:hAnsi="Calibri" w:cs="Times New Roman"/>
      <w:sz w:val="16"/>
      <w:szCs w:val="16"/>
      <w:lang w:val="en-US"/>
    </w:rPr>
  </w:style>
  <w:style w:type="character" w:customStyle="1" w:styleId="BodyText3Char">
    <w:name w:val="Body Text 3 Char"/>
    <w:basedOn w:val="DefaultParagraphFont"/>
    <w:link w:val="BodyText3"/>
    <w:uiPriority w:val="99"/>
    <w:rsid w:val="00966305"/>
    <w:rPr>
      <w:rFonts w:ascii="Calibri" w:eastAsia="Calibri" w:hAnsi="Calibri" w:cs="Times New Roman"/>
      <w:sz w:val="16"/>
      <w:szCs w:val="16"/>
      <w:lang w:val="en-US"/>
    </w:rPr>
  </w:style>
  <w:style w:type="paragraph" w:customStyle="1" w:styleId="Heading-nonumber">
    <w:name w:val="Heading - no number"/>
    <w:basedOn w:val="Heading1"/>
    <w:next w:val="Normal"/>
    <w:qFormat/>
    <w:rsid w:val="00540CD7"/>
    <w:pPr>
      <w:spacing w:line="276" w:lineRule="auto"/>
    </w:pPr>
    <w:rPr>
      <w:color w:val="365F91" w:themeColor="accent1" w:themeShade="BF"/>
      <w:sz w:val="28"/>
      <w:szCs w:val="28"/>
    </w:rPr>
  </w:style>
  <w:style w:type="character" w:customStyle="1" w:styleId="Heading3Char">
    <w:name w:val="Heading 3 Char"/>
    <w:basedOn w:val="DefaultParagraphFont"/>
    <w:link w:val="Heading3"/>
    <w:uiPriority w:val="9"/>
    <w:rsid w:val="00540CD7"/>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40CD7"/>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540CD7"/>
    <w:rPr>
      <w:rFonts w:eastAsiaTheme="minorHAnsi"/>
      <w:sz w:val="22"/>
      <w:szCs w:val="22"/>
    </w:rPr>
  </w:style>
  <w:style w:type="paragraph" w:styleId="BodyText2">
    <w:name w:val="Body Text 2"/>
    <w:basedOn w:val="Normal"/>
    <w:link w:val="BodyText2Char"/>
    <w:uiPriority w:val="99"/>
    <w:semiHidden/>
    <w:unhideWhenUsed/>
    <w:rsid w:val="00FF76AD"/>
    <w:pPr>
      <w:spacing w:after="120" w:line="480" w:lineRule="auto"/>
    </w:pPr>
  </w:style>
  <w:style w:type="character" w:customStyle="1" w:styleId="BodyText2Char">
    <w:name w:val="Body Text 2 Char"/>
    <w:basedOn w:val="DefaultParagraphFont"/>
    <w:link w:val="BodyText2"/>
    <w:uiPriority w:val="99"/>
    <w:semiHidden/>
    <w:rsid w:val="00FF76AD"/>
  </w:style>
  <w:style w:type="paragraph" w:styleId="PlainText">
    <w:name w:val="Plain Text"/>
    <w:basedOn w:val="Normal"/>
    <w:link w:val="PlainTextChar"/>
    <w:rsid w:val="00FF76AD"/>
    <w:rPr>
      <w:rFonts w:ascii="Courier New" w:eastAsia="Times New Roman" w:hAnsi="Courier New" w:cs="Courier New"/>
      <w:sz w:val="20"/>
      <w:szCs w:val="20"/>
    </w:rPr>
  </w:style>
  <w:style w:type="character" w:customStyle="1" w:styleId="PlainTextChar">
    <w:name w:val="Plain Text Char"/>
    <w:basedOn w:val="DefaultParagraphFont"/>
    <w:link w:val="PlainText"/>
    <w:rsid w:val="00FF76AD"/>
    <w:rPr>
      <w:rFonts w:ascii="Courier New" w:eastAsia="Times New Roman" w:hAnsi="Courier New" w:cs="Courier New"/>
      <w:sz w:val="20"/>
      <w:szCs w:val="20"/>
    </w:rPr>
  </w:style>
  <w:style w:type="paragraph" w:styleId="ListParagraph">
    <w:name w:val="List Paragraph"/>
    <w:basedOn w:val="Normal"/>
    <w:qFormat/>
    <w:rsid w:val="00FF76AD"/>
    <w:pPr>
      <w:spacing w:after="200" w:line="276" w:lineRule="auto"/>
      <w:ind w:left="720"/>
      <w:contextualSpacing/>
    </w:pPr>
    <w:rPr>
      <w:rFonts w:eastAsiaTheme="minorHAnsi"/>
      <w:sz w:val="22"/>
      <w:szCs w:val="22"/>
    </w:rPr>
  </w:style>
  <w:style w:type="character" w:customStyle="1" w:styleId="Heading4Char">
    <w:name w:val="Heading 4 Char"/>
    <w:basedOn w:val="DefaultParagraphFont"/>
    <w:link w:val="Heading4"/>
    <w:uiPriority w:val="9"/>
    <w:rsid w:val="00FF76A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76A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76A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76A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76A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76AD"/>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F76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76A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221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15B"/>
    <w:rPr>
      <w:rFonts w:ascii="Lucida Grande" w:hAnsi="Lucida Grande" w:cs="Lucida Grande"/>
      <w:sz w:val="18"/>
      <w:szCs w:val="18"/>
    </w:rPr>
  </w:style>
  <w:style w:type="paragraph" w:customStyle="1" w:styleId="Normal1">
    <w:name w:val="Normal_1"/>
    <w:basedOn w:val="Normal"/>
    <w:uiPriority w:val="99"/>
    <w:rsid w:val="00FD6656"/>
    <w:pPr>
      <w:spacing w:after="200"/>
      <w:jc w:val="both"/>
    </w:pPr>
    <w:rPr>
      <w:rFonts w:ascii="Arial" w:eastAsia="Times New Roman" w:hAnsi="Arial" w:cs="Arial"/>
      <w:sz w:val="20"/>
      <w:szCs w:val="20"/>
      <w:lang w:val="en-US"/>
    </w:rPr>
  </w:style>
  <w:style w:type="character" w:styleId="Hyperlink">
    <w:name w:val="Hyperlink"/>
    <w:basedOn w:val="DefaultParagraphFont"/>
    <w:uiPriority w:val="99"/>
    <w:unhideWhenUsed/>
    <w:rsid w:val="00321878"/>
    <w:rPr>
      <w:color w:val="0000FF"/>
      <w:u w:val="single"/>
    </w:rPr>
  </w:style>
  <w:style w:type="character" w:styleId="FollowedHyperlink">
    <w:name w:val="FollowedHyperlink"/>
    <w:basedOn w:val="DefaultParagraphFont"/>
    <w:uiPriority w:val="99"/>
    <w:semiHidden/>
    <w:unhideWhenUsed/>
    <w:rsid w:val="003F471E"/>
    <w:rPr>
      <w:color w:val="800080" w:themeColor="followedHyperlink"/>
      <w:u w:val="single"/>
    </w:rPr>
  </w:style>
  <w:style w:type="table" w:styleId="TableGrid">
    <w:name w:val="Table Grid"/>
    <w:basedOn w:val="TableNormal"/>
    <w:uiPriority w:val="59"/>
    <w:rsid w:val="00991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Geneva 9,Font: Geneva 9,Boston 10,f,single space,Footnote,otnote Text,ft,fn,Footnotes,Footnote ak"/>
    <w:basedOn w:val="Normal"/>
    <w:link w:val="FootnoteTextChar"/>
    <w:uiPriority w:val="99"/>
    <w:unhideWhenUsed/>
    <w:rsid w:val="00E80795"/>
  </w:style>
  <w:style w:type="character" w:customStyle="1" w:styleId="FootnoteTextChar">
    <w:name w:val="Footnote Text Char"/>
    <w:aliases w:val="Geneva 9 Char,Font: Geneva 9 Char,Boston 10 Char,f Char,single space Char,Footnote Char,otnote Text Char,ft Char,fn Char,Footnotes Char,Footnote ak Char"/>
    <w:basedOn w:val="DefaultParagraphFont"/>
    <w:link w:val="FootnoteText"/>
    <w:uiPriority w:val="99"/>
    <w:rsid w:val="00E80795"/>
  </w:style>
  <w:style w:type="character" w:styleId="FootnoteReference">
    <w:name w:val="footnote reference"/>
    <w:aliases w:val="16 Point,Superscript 6 Point,Superscript 6 Point + 11 pt,Ref,de nota al pie"/>
    <w:basedOn w:val="DefaultParagraphFont"/>
    <w:unhideWhenUsed/>
    <w:rsid w:val="00E80795"/>
    <w:rPr>
      <w:vertAlign w:val="superscript"/>
    </w:rPr>
  </w:style>
  <w:style w:type="character" w:customStyle="1" w:styleId="FootnoteTextChar1">
    <w:name w:val="Footnote Text Char1"/>
    <w:aliases w:val="Geneva 9 Char1,Font: Geneva 9 Char1,Boston 10 Char1,f Char1,single space Char1,Footnote Char1,otnote Text Char1,ft Char1,fn Char1,Footnotes Char1,Footnote ak Char1"/>
    <w:basedOn w:val="DefaultParagraphFont"/>
    <w:uiPriority w:val="99"/>
    <w:locked/>
    <w:rsid w:val="001A0DE7"/>
    <w:rPr>
      <w:rFonts w:ascii="Arial" w:hAnsi="Arial" w:cs="Times New Roman"/>
      <w:lang w:val="en-GB"/>
    </w:rPr>
  </w:style>
  <w:style w:type="paragraph" w:styleId="Header">
    <w:name w:val="header"/>
    <w:basedOn w:val="Normal"/>
    <w:link w:val="HeaderChar"/>
    <w:uiPriority w:val="99"/>
    <w:rsid w:val="009079BF"/>
    <w:pPr>
      <w:tabs>
        <w:tab w:val="center" w:pos="4153"/>
        <w:tab w:val="right" w:pos="8306"/>
      </w:tabs>
      <w:spacing w:after="60"/>
      <w:jc w:val="both"/>
    </w:pPr>
    <w:rPr>
      <w:rFonts w:ascii="Arial" w:eastAsia="Times New Roman" w:hAnsi="Arial" w:cs="Times New Roman"/>
      <w:sz w:val="22"/>
    </w:rPr>
  </w:style>
  <w:style w:type="character" w:customStyle="1" w:styleId="HeaderChar">
    <w:name w:val="Header Char"/>
    <w:basedOn w:val="DefaultParagraphFont"/>
    <w:link w:val="Header"/>
    <w:uiPriority w:val="99"/>
    <w:rsid w:val="009079BF"/>
    <w:rPr>
      <w:rFonts w:ascii="Arial" w:eastAsia="Times New Roman" w:hAnsi="Arial" w:cs="Times New Roman"/>
      <w:sz w:val="22"/>
    </w:rPr>
  </w:style>
  <w:style w:type="paragraph" w:customStyle="1" w:styleId="Default">
    <w:name w:val="Default"/>
    <w:rsid w:val="00DC162D"/>
    <w:pPr>
      <w:widowControl w:val="0"/>
      <w:autoSpaceDE w:val="0"/>
      <w:autoSpaceDN w:val="0"/>
      <w:adjustRightInd w:val="0"/>
    </w:pPr>
    <w:rPr>
      <w:rFonts w:ascii="Garamond" w:hAnsi="Garamond" w:cs="Garamond"/>
      <w:color w:val="000000"/>
      <w:lang w:val="en-US"/>
    </w:rPr>
  </w:style>
  <w:style w:type="character" w:styleId="PageNumber">
    <w:name w:val="page number"/>
    <w:basedOn w:val="DefaultParagraphFont"/>
    <w:uiPriority w:val="99"/>
    <w:semiHidden/>
    <w:unhideWhenUsed/>
    <w:rsid w:val="00070154"/>
  </w:style>
  <w:style w:type="character" w:styleId="Emphasis">
    <w:name w:val="Emphasis"/>
    <w:uiPriority w:val="99"/>
    <w:qFormat/>
    <w:rsid w:val="00AE5BF4"/>
    <w:rPr>
      <w:rFonts w:cs="Times New Roman"/>
      <w:i/>
      <w:iCs/>
    </w:rPr>
  </w:style>
  <w:style w:type="paragraph" w:styleId="TOC1">
    <w:name w:val="toc 1"/>
    <w:basedOn w:val="Normal"/>
    <w:next w:val="Normal"/>
    <w:autoRedefine/>
    <w:uiPriority w:val="39"/>
    <w:unhideWhenUsed/>
    <w:rsid w:val="00EF15CD"/>
    <w:pPr>
      <w:tabs>
        <w:tab w:val="right" w:leader="dot" w:pos="9010"/>
      </w:tabs>
      <w:spacing w:before="120"/>
    </w:pPr>
    <w:rPr>
      <w:rFonts w:asciiTheme="majorHAnsi" w:hAnsiTheme="majorHAnsi"/>
      <w:b/>
      <w:color w:val="548DD4"/>
    </w:rPr>
  </w:style>
  <w:style w:type="paragraph" w:styleId="TOC2">
    <w:name w:val="toc 2"/>
    <w:basedOn w:val="Normal"/>
    <w:next w:val="Normal"/>
    <w:autoRedefine/>
    <w:uiPriority w:val="39"/>
    <w:unhideWhenUsed/>
    <w:rsid w:val="00EF470D"/>
    <w:rPr>
      <w:sz w:val="22"/>
      <w:szCs w:val="22"/>
    </w:rPr>
  </w:style>
  <w:style w:type="paragraph" w:styleId="TOC3">
    <w:name w:val="toc 3"/>
    <w:basedOn w:val="Normal"/>
    <w:next w:val="Normal"/>
    <w:autoRedefine/>
    <w:uiPriority w:val="39"/>
    <w:unhideWhenUsed/>
    <w:rsid w:val="00EF470D"/>
    <w:pPr>
      <w:ind w:left="240"/>
    </w:pPr>
    <w:rPr>
      <w:i/>
      <w:sz w:val="22"/>
      <w:szCs w:val="22"/>
    </w:rPr>
  </w:style>
  <w:style w:type="paragraph" w:styleId="TOC4">
    <w:name w:val="toc 4"/>
    <w:basedOn w:val="Normal"/>
    <w:next w:val="Normal"/>
    <w:autoRedefine/>
    <w:uiPriority w:val="39"/>
    <w:unhideWhenUsed/>
    <w:rsid w:val="00EF470D"/>
    <w:pPr>
      <w:pBdr>
        <w:between w:val="double" w:sz="6" w:space="0" w:color="auto"/>
      </w:pBdr>
      <w:ind w:left="480"/>
    </w:pPr>
    <w:rPr>
      <w:sz w:val="20"/>
      <w:szCs w:val="20"/>
    </w:rPr>
  </w:style>
  <w:style w:type="paragraph" w:styleId="TOC5">
    <w:name w:val="toc 5"/>
    <w:basedOn w:val="Normal"/>
    <w:next w:val="Normal"/>
    <w:autoRedefine/>
    <w:uiPriority w:val="39"/>
    <w:unhideWhenUsed/>
    <w:rsid w:val="00EF470D"/>
    <w:pPr>
      <w:pBdr>
        <w:between w:val="double" w:sz="6" w:space="0" w:color="auto"/>
      </w:pBdr>
      <w:ind w:left="720"/>
    </w:pPr>
    <w:rPr>
      <w:sz w:val="20"/>
      <w:szCs w:val="20"/>
    </w:rPr>
  </w:style>
  <w:style w:type="paragraph" w:styleId="TOC6">
    <w:name w:val="toc 6"/>
    <w:basedOn w:val="Normal"/>
    <w:next w:val="Normal"/>
    <w:autoRedefine/>
    <w:uiPriority w:val="39"/>
    <w:unhideWhenUsed/>
    <w:rsid w:val="00EF470D"/>
    <w:pPr>
      <w:pBdr>
        <w:between w:val="double" w:sz="6" w:space="0" w:color="auto"/>
      </w:pBdr>
      <w:ind w:left="960"/>
    </w:pPr>
    <w:rPr>
      <w:sz w:val="20"/>
      <w:szCs w:val="20"/>
    </w:rPr>
  </w:style>
  <w:style w:type="paragraph" w:styleId="TOC7">
    <w:name w:val="toc 7"/>
    <w:basedOn w:val="Normal"/>
    <w:next w:val="Normal"/>
    <w:autoRedefine/>
    <w:uiPriority w:val="39"/>
    <w:unhideWhenUsed/>
    <w:rsid w:val="00EF470D"/>
    <w:pPr>
      <w:pBdr>
        <w:between w:val="double" w:sz="6" w:space="0" w:color="auto"/>
      </w:pBdr>
      <w:ind w:left="1200"/>
    </w:pPr>
    <w:rPr>
      <w:sz w:val="20"/>
      <w:szCs w:val="20"/>
    </w:rPr>
  </w:style>
  <w:style w:type="paragraph" w:styleId="TOC8">
    <w:name w:val="toc 8"/>
    <w:basedOn w:val="Normal"/>
    <w:next w:val="Normal"/>
    <w:autoRedefine/>
    <w:uiPriority w:val="39"/>
    <w:unhideWhenUsed/>
    <w:rsid w:val="00EF470D"/>
    <w:pPr>
      <w:pBdr>
        <w:between w:val="double" w:sz="6" w:space="0" w:color="auto"/>
      </w:pBdr>
      <w:ind w:left="1440"/>
    </w:pPr>
    <w:rPr>
      <w:sz w:val="20"/>
      <w:szCs w:val="20"/>
    </w:rPr>
  </w:style>
  <w:style w:type="paragraph" w:styleId="TOC9">
    <w:name w:val="toc 9"/>
    <w:basedOn w:val="Normal"/>
    <w:next w:val="Normal"/>
    <w:autoRedefine/>
    <w:uiPriority w:val="39"/>
    <w:unhideWhenUsed/>
    <w:rsid w:val="00EF470D"/>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523395">
      <w:bodyDiv w:val="1"/>
      <w:marLeft w:val="0"/>
      <w:marRight w:val="0"/>
      <w:marTop w:val="0"/>
      <w:marBottom w:val="0"/>
      <w:divBdr>
        <w:top w:val="none" w:sz="0" w:space="0" w:color="auto"/>
        <w:left w:val="none" w:sz="0" w:space="0" w:color="auto"/>
        <w:bottom w:val="none" w:sz="0" w:space="0" w:color="auto"/>
        <w:right w:val="none" w:sz="0" w:space="0" w:color="auto"/>
      </w:divBdr>
    </w:div>
    <w:div w:id="1273707076">
      <w:bodyDiv w:val="1"/>
      <w:marLeft w:val="0"/>
      <w:marRight w:val="0"/>
      <w:marTop w:val="0"/>
      <w:marBottom w:val="0"/>
      <w:divBdr>
        <w:top w:val="none" w:sz="0" w:space="0" w:color="auto"/>
        <w:left w:val="none" w:sz="0" w:space="0" w:color="auto"/>
        <w:bottom w:val="none" w:sz="0" w:space="0" w:color="auto"/>
        <w:right w:val="none" w:sz="0" w:space="0" w:color="auto"/>
      </w:divBdr>
    </w:div>
    <w:div w:id="17137975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manuals.iwlearn.net" TargetMode="Externa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ADC85813A2EB4197D7213615DA606A"/>
        <w:category>
          <w:name w:val="General"/>
          <w:gallery w:val="placeholder"/>
        </w:category>
        <w:types>
          <w:type w:val="bbPlcHdr"/>
        </w:types>
        <w:behaviors>
          <w:behavior w:val="content"/>
        </w:behaviors>
        <w:guid w:val="{872910EA-2E1A-AD45-B372-4CECDFD7F93E}"/>
      </w:docPartPr>
      <w:docPartBody>
        <w:p w14:paraId="2E204294" w14:textId="30421516" w:rsidR="00042B40" w:rsidRDefault="00042B40" w:rsidP="00042B40">
          <w:pPr>
            <w:pStyle w:val="7FADC85813A2EB4197D7213615DA606A"/>
          </w:pPr>
          <w:r>
            <w:t>[Type text]</w:t>
          </w:r>
        </w:p>
      </w:docPartBody>
    </w:docPart>
    <w:docPart>
      <w:docPartPr>
        <w:name w:val="59A68A4FBCBDA94BB3A97AD45C6283EB"/>
        <w:category>
          <w:name w:val="General"/>
          <w:gallery w:val="placeholder"/>
        </w:category>
        <w:types>
          <w:type w:val="bbPlcHdr"/>
        </w:types>
        <w:behaviors>
          <w:behavior w:val="content"/>
        </w:behaviors>
        <w:guid w:val="{454DBF2C-12C4-3642-9137-0C627D781733}"/>
      </w:docPartPr>
      <w:docPartBody>
        <w:p w14:paraId="282936E9" w14:textId="545D6520" w:rsidR="00042B40" w:rsidRDefault="00042B40" w:rsidP="00042B40">
          <w:pPr>
            <w:pStyle w:val="59A68A4FBCBDA94BB3A97AD45C6283EB"/>
          </w:pPr>
          <w:r>
            <w:t>[Type text]</w:t>
          </w:r>
        </w:p>
      </w:docPartBody>
    </w:docPart>
    <w:docPart>
      <w:docPartPr>
        <w:name w:val="B24ECB4DB24ED04D9042839ABE1583A5"/>
        <w:category>
          <w:name w:val="General"/>
          <w:gallery w:val="placeholder"/>
        </w:category>
        <w:types>
          <w:type w:val="bbPlcHdr"/>
        </w:types>
        <w:behaviors>
          <w:behavior w:val="content"/>
        </w:behaviors>
        <w:guid w:val="{CB4EB94E-8D65-974D-BD31-9294374B3049}"/>
      </w:docPartPr>
      <w:docPartBody>
        <w:p w14:paraId="5D40FF96" w14:textId="0E9B1F28" w:rsidR="00042B40" w:rsidRDefault="00042B40" w:rsidP="00042B40">
          <w:pPr>
            <w:pStyle w:val="B24ECB4DB24ED04D9042839ABE1583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n-ea">
    <w:panose1 w:val="00000000000000000000"/>
    <w:charset w:val="00"/>
    <w:family w:val="roman"/>
    <w:notTrueType/>
    <w:pitch w:val="default"/>
  </w:font>
  <w:font w:name="Batang">
    <w:altName w:val="바탕"/>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40"/>
    <w:rsid w:val="00042B40"/>
    <w:rsid w:val="008E0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47913C2B53842A1550788B7BEA807">
    <w:name w:val="E0247913C2B53842A1550788B7BEA807"/>
    <w:rsid w:val="00042B40"/>
  </w:style>
  <w:style w:type="paragraph" w:customStyle="1" w:styleId="E1063D97DE8C5142BD7F95362903CA85">
    <w:name w:val="E1063D97DE8C5142BD7F95362903CA85"/>
    <w:rsid w:val="00042B40"/>
  </w:style>
  <w:style w:type="paragraph" w:customStyle="1" w:styleId="443CB9EC33419A4894C414CD928A74FF">
    <w:name w:val="443CB9EC33419A4894C414CD928A74FF"/>
    <w:rsid w:val="00042B40"/>
  </w:style>
  <w:style w:type="paragraph" w:customStyle="1" w:styleId="FB21D430298C4A428F501572D9B9A547">
    <w:name w:val="FB21D430298C4A428F501572D9B9A547"/>
    <w:rsid w:val="00042B40"/>
  </w:style>
  <w:style w:type="paragraph" w:customStyle="1" w:styleId="C0D48610CC7AE847AD2F4C3BADE9E4F1">
    <w:name w:val="C0D48610CC7AE847AD2F4C3BADE9E4F1"/>
    <w:rsid w:val="00042B40"/>
  </w:style>
  <w:style w:type="paragraph" w:customStyle="1" w:styleId="7279E602D13DEB4E98C6F4274DF1BED1">
    <w:name w:val="7279E602D13DEB4E98C6F4274DF1BED1"/>
    <w:rsid w:val="00042B40"/>
  </w:style>
  <w:style w:type="paragraph" w:customStyle="1" w:styleId="72BB75B905C3DF438EC324BAC2BD71EF">
    <w:name w:val="72BB75B905C3DF438EC324BAC2BD71EF"/>
    <w:rsid w:val="00042B40"/>
  </w:style>
  <w:style w:type="paragraph" w:customStyle="1" w:styleId="0C4E6F782A32B3409CA4A4A513E83651">
    <w:name w:val="0C4E6F782A32B3409CA4A4A513E83651"/>
    <w:rsid w:val="00042B40"/>
  </w:style>
  <w:style w:type="paragraph" w:customStyle="1" w:styleId="F150A1A9600BDF41BB455FAA98AD5D10">
    <w:name w:val="F150A1A9600BDF41BB455FAA98AD5D10"/>
    <w:rsid w:val="00042B40"/>
  </w:style>
  <w:style w:type="paragraph" w:customStyle="1" w:styleId="6A2C168510CF484DB2E57C2919E82384">
    <w:name w:val="6A2C168510CF484DB2E57C2919E82384"/>
    <w:rsid w:val="00042B40"/>
  </w:style>
  <w:style w:type="paragraph" w:customStyle="1" w:styleId="96CF93B993942741B01BD66FC1953C6A">
    <w:name w:val="96CF93B993942741B01BD66FC1953C6A"/>
    <w:rsid w:val="00042B40"/>
  </w:style>
  <w:style w:type="paragraph" w:customStyle="1" w:styleId="919154608AEF6649AA1289FCAD72AFB8">
    <w:name w:val="919154608AEF6649AA1289FCAD72AFB8"/>
    <w:rsid w:val="00042B40"/>
  </w:style>
  <w:style w:type="paragraph" w:customStyle="1" w:styleId="1C7896B5667A1847BEBE241132E2BAC3">
    <w:name w:val="1C7896B5667A1847BEBE241132E2BAC3"/>
    <w:rsid w:val="00042B40"/>
  </w:style>
  <w:style w:type="paragraph" w:customStyle="1" w:styleId="22378DAA12FB874EA6111DF7061F6246">
    <w:name w:val="22378DAA12FB874EA6111DF7061F6246"/>
    <w:rsid w:val="00042B40"/>
  </w:style>
  <w:style w:type="paragraph" w:customStyle="1" w:styleId="6404F5F63AE9304490A737FAE21E64B6">
    <w:name w:val="6404F5F63AE9304490A737FAE21E64B6"/>
    <w:rsid w:val="00042B40"/>
  </w:style>
  <w:style w:type="paragraph" w:customStyle="1" w:styleId="25BCC24733ACEA498AABFFD95F672641">
    <w:name w:val="25BCC24733ACEA498AABFFD95F672641"/>
    <w:rsid w:val="00042B40"/>
  </w:style>
  <w:style w:type="paragraph" w:customStyle="1" w:styleId="1911D55195E99945A027EE445705D864">
    <w:name w:val="1911D55195E99945A027EE445705D864"/>
    <w:rsid w:val="00042B40"/>
  </w:style>
  <w:style w:type="paragraph" w:customStyle="1" w:styleId="01F660B3C7B53B4AADBA82F9A465CE4F">
    <w:name w:val="01F660B3C7B53B4AADBA82F9A465CE4F"/>
    <w:rsid w:val="00042B40"/>
  </w:style>
  <w:style w:type="paragraph" w:customStyle="1" w:styleId="68CF4B134E517845BA9970EADB54348D">
    <w:name w:val="68CF4B134E517845BA9970EADB54348D"/>
    <w:rsid w:val="00042B40"/>
  </w:style>
  <w:style w:type="paragraph" w:customStyle="1" w:styleId="D911804FD8D14948A9A0F7916711F910">
    <w:name w:val="D911804FD8D14948A9A0F7916711F910"/>
    <w:rsid w:val="00042B40"/>
  </w:style>
  <w:style w:type="paragraph" w:customStyle="1" w:styleId="5891FCDCAC618B46BB4238D16E06F34E">
    <w:name w:val="5891FCDCAC618B46BB4238D16E06F34E"/>
    <w:rsid w:val="00042B40"/>
  </w:style>
  <w:style w:type="paragraph" w:customStyle="1" w:styleId="ED9AA3708142B74E84F4CA1A03C1B34A">
    <w:name w:val="ED9AA3708142B74E84F4CA1A03C1B34A"/>
    <w:rsid w:val="00042B40"/>
  </w:style>
  <w:style w:type="paragraph" w:customStyle="1" w:styleId="EFEFE6F23F56DE43BBAF75507E5487D7">
    <w:name w:val="EFEFE6F23F56DE43BBAF75507E5487D7"/>
    <w:rsid w:val="00042B40"/>
  </w:style>
  <w:style w:type="paragraph" w:customStyle="1" w:styleId="42C1264CFCCF274DACC151A522060D57">
    <w:name w:val="42C1264CFCCF274DACC151A522060D57"/>
    <w:rsid w:val="00042B40"/>
  </w:style>
  <w:style w:type="paragraph" w:customStyle="1" w:styleId="0322D5A9D54A2440BE515A2CAC9D2A43">
    <w:name w:val="0322D5A9D54A2440BE515A2CAC9D2A43"/>
    <w:rsid w:val="00042B40"/>
  </w:style>
  <w:style w:type="paragraph" w:customStyle="1" w:styleId="9B3F2A1FB972134AB9F30BC34DAB9731">
    <w:name w:val="9B3F2A1FB972134AB9F30BC34DAB9731"/>
    <w:rsid w:val="00042B40"/>
  </w:style>
  <w:style w:type="paragraph" w:customStyle="1" w:styleId="2A14F748D0A4324AB9BCAEBF851A3BED">
    <w:name w:val="2A14F748D0A4324AB9BCAEBF851A3BED"/>
    <w:rsid w:val="00042B40"/>
  </w:style>
  <w:style w:type="paragraph" w:customStyle="1" w:styleId="0B5AAE88013B884AAE48CFB74E87B468">
    <w:name w:val="0B5AAE88013B884AAE48CFB74E87B468"/>
    <w:rsid w:val="00042B40"/>
  </w:style>
  <w:style w:type="paragraph" w:customStyle="1" w:styleId="0CBECCD5B755734FB2070BCE0649914F">
    <w:name w:val="0CBECCD5B755734FB2070BCE0649914F"/>
    <w:rsid w:val="00042B40"/>
  </w:style>
  <w:style w:type="paragraph" w:customStyle="1" w:styleId="25141FEA9A817C4D8CEAA9D32288D986">
    <w:name w:val="25141FEA9A817C4D8CEAA9D32288D986"/>
    <w:rsid w:val="00042B40"/>
  </w:style>
  <w:style w:type="paragraph" w:customStyle="1" w:styleId="7FADC85813A2EB4197D7213615DA606A">
    <w:name w:val="7FADC85813A2EB4197D7213615DA606A"/>
    <w:rsid w:val="00042B40"/>
  </w:style>
  <w:style w:type="paragraph" w:customStyle="1" w:styleId="59A68A4FBCBDA94BB3A97AD45C6283EB">
    <w:name w:val="59A68A4FBCBDA94BB3A97AD45C6283EB"/>
    <w:rsid w:val="00042B40"/>
  </w:style>
  <w:style w:type="paragraph" w:customStyle="1" w:styleId="B24ECB4DB24ED04D9042839ABE1583A5">
    <w:name w:val="B24ECB4DB24ED04D9042839ABE1583A5"/>
    <w:rsid w:val="00042B40"/>
  </w:style>
  <w:style w:type="paragraph" w:customStyle="1" w:styleId="4D3A75DD860C5549B949A06EB595AD89">
    <w:name w:val="4D3A75DD860C5549B949A06EB595AD89"/>
    <w:rsid w:val="00042B40"/>
  </w:style>
  <w:style w:type="paragraph" w:customStyle="1" w:styleId="093FFE01F13F86498C5EC12BB87C6984">
    <w:name w:val="093FFE01F13F86498C5EC12BB87C6984"/>
    <w:rsid w:val="00042B40"/>
  </w:style>
  <w:style w:type="paragraph" w:customStyle="1" w:styleId="15C6734C37CA964DBA8B631C6E0EFDBC">
    <w:name w:val="15C6734C37CA964DBA8B631C6E0EFDBC"/>
    <w:rsid w:val="00042B4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247913C2B53842A1550788B7BEA807">
    <w:name w:val="E0247913C2B53842A1550788B7BEA807"/>
    <w:rsid w:val="00042B40"/>
  </w:style>
  <w:style w:type="paragraph" w:customStyle="1" w:styleId="E1063D97DE8C5142BD7F95362903CA85">
    <w:name w:val="E1063D97DE8C5142BD7F95362903CA85"/>
    <w:rsid w:val="00042B40"/>
  </w:style>
  <w:style w:type="paragraph" w:customStyle="1" w:styleId="443CB9EC33419A4894C414CD928A74FF">
    <w:name w:val="443CB9EC33419A4894C414CD928A74FF"/>
    <w:rsid w:val="00042B40"/>
  </w:style>
  <w:style w:type="paragraph" w:customStyle="1" w:styleId="FB21D430298C4A428F501572D9B9A547">
    <w:name w:val="FB21D430298C4A428F501572D9B9A547"/>
    <w:rsid w:val="00042B40"/>
  </w:style>
  <w:style w:type="paragraph" w:customStyle="1" w:styleId="C0D48610CC7AE847AD2F4C3BADE9E4F1">
    <w:name w:val="C0D48610CC7AE847AD2F4C3BADE9E4F1"/>
    <w:rsid w:val="00042B40"/>
  </w:style>
  <w:style w:type="paragraph" w:customStyle="1" w:styleId="7279E602D13DEB4E98C6F4274DF1BED1">
    <w:name w:val="7279E602D13DEB4E98C6F4274DF1BED1"/>
    <w:rsid w:val="00042B40"/>
  </w:style>
  <w:style w:type="paragraph" w:customStyle="1" w:styleId="72BB75B905C3DF438EC324BAC2BD71EF">
    <w:name w:val="72BB75B905C3DF438EC324BAC2BD71EF"/>
    <w:rsid w:val="00042B40"/>
  </w:style>
  <w:style w:type="paragraph" w:customStyle="1" w:styleId="0C4E6F782A32B3409CA4A4A513E83651">
    <w:name w:val="0C4E6F782A32B3409CA4A4A513E83651"/>
    <w:rsid w:val="00042B40"/>
  </w:style>
  <w:style w:type="paragraph" w:customStyle="1" w:styleId="F150A1A9600BDF41BB455FAA98AD5D10">
    <w:name w:val="F150A1A9600BDF41BB455FAA98AD5D10"/>
    <w:rsid w:val="00042B40"/>
  </w:style>
  <w:style w:type="paragraph" w:customStyle="1" w:styleId="6A2C168510CF484DB2E57C2919E82384">
    <w:name w:val="6A2C168510CF484DB2E57C2919E82384"/>
    <w:rsid w:val="00042B40"/>
  </w:style>
  <w:style w:type="paragraph" w:customStyle="1" w:styleId="96CF93B993942741B01BD66FC1953C6A">
    <w:name w:val="96CF93B993942741B01BD66FC1953C6A"/>
    <w:rsid w:val="00042B40"/>
  </w:style>
  <w:style w:type="paragraph" w:customStyle="1" w:styleId="919154608AEF6649AA1289FCAD72AFB8">
    <w:name w:val="919154608AEF6649AA1289FCAD72AFB8"/>
    <w:rsid w:val="00042B40"/>
  </w:style>
  <w:style w:type="paragraph" w:customStyle="1" w:styleId="1C7896B5667A1847BEBE241132E2BAC3">
    <w:name w:val="1C7896B5667A1847BEBE241132E2BAC3"/>
    <w:rsid w:val="00042B40"/>
  </w:style>
  <w:style w:type="paragraph" w:customStyle="1" w:styleId="22378DAA12FB874EA6111DF7061F6246">
    <w:name w:val="22378DAA12FB874EA6111DF7061F6246"/>
    <w:rsid w:val="00042B40"/>
  </w:style>
  <w:style w:type="paragraph" w:customStyle="1" w:styleId="6404F5F63AE9304490A737FAE21E64B6">
    <w:name w:val="6404F5F63AE9304490A737FAE21E64B6"/>
    <w:rsid w:val="00042B40"/>
  </w:style>
  <w:style w:type="paragraph" w:customStyle="1" w:styleId="25BCC24733ACEA498AABFFD95F672641">
    <w:name w:val="25BCC24733ACEA498AABFFD95F672641"/>
    <w:rsid w:val="00042B40"/>
  </w:style>
  <w:style w:type="paragraph" w:customStyle="1" w:styleId="1911D55195E99945A027EE445705D864">
    <w:name w:val="1911D55195E99945A027EE445705D864"/>
    <w:rsid w:val="00042B40"/>
  </w:style>
  <w:style w:type="paragraph" w:customStyle="1" w:styleId="01F660B3C7B53B4AADBA82F9A465CE4F">
    <w:name w:val="01F660B3C7B53B4AADBA82F9A465CE4F"/>
    <w:rsid w:val="00042B40"/>
  </w:style>
  <w:style w:type="paragraph" w:customStyle="1" w:styleId="68CF4B134E517845BA9970EADB54348D">
    <w:name w:val="68CF4B134E517845BA9970EADB54348D"/>
    <w:rsid w:val="00042B40"/>
  </w:style>
  <w:style w:type="paragraph" w:customStyle="1" w:styleId="D911804FD8D14948A9A0F7916711F910">
    <w:name w:val="D911804FD8D14948A9A0F7916711F910"/>
    <w:rsid w:val="00042B40"/>
  </w:style>
  <w:style w:type="paragraph" w:customStyle="1" w:styleId="5891FCDCAC618B46BB4238D16E06F34E">
    <w:name w:val="5891FCDCAC618B46BB4238D16E06F34E"/>
    <w:rsid w:val="00042B40"/>
  </w:style>
  <w:style w:type="paragraph" w:customStyle="1" w:styleId="ED9AA3708142B74E84F4CA1A03C1B34A">
    <w:name w:val="ED9AA3708142B74E84F4CA1A03C1B34A"/>
    <w:rsid w:val="00042B40"/>
  </w:style>
  <w:style w:type="paragraph" w:customStyle="1" w:styleId="EFEFE6F23F56DE43BBAF75507E5487D7">
    <w:name w:val="EFEFE6F23F56DE43BBAF75507E5487D7"/>
    <w:rsid w:val="00042B40"/>
  </w:style>
  <w:style w:type="paragraph" w:customStyle="1" w:styleId="42C1264CFCCF274DACC151A522060D57">
    <w:name w:val="42C1264CFCCF274DACC151A522060D57"/>
    <w:rsid w:val="00042B40"/>
  </w:style>
  <w:style w:type="paragraph" w:customStyle="1" w:styleId="0322D5A9D54A2440BE515A2CAC9D2A43">
    <w:name w:val="0322D5A9D54A2440BE515A2CAC9D2A43"/>
    <w:rsid w:val="00042B40"/>
  </w:style>
  <w:style w:type="paragraph" w:customStyle="1" w:styleId="9B3F2A1FB972134AB9F30BC34DAB9731">
    <w:name w:val="9B3F2A1FB972134AB9F30BC34DAB9731"/>
    <w:rsid w:val="00042B40"/>
  </w:style>
  <w:style w:type="paragraph" w:customStyle="1" w:styleId="2A14F748D0A4324AB9BCAEBF851A3BED">
    <w:name w:val="2A14F748D0A4324AB9BCAEBF851A3BED"/>
    <w:rsid w:val="00042B40"/>
  </w:style>
  <w:style w:type="paragraph" w:customStyle="1" w:styleId="0B5AAE88013B884AAE48CFB74E87B468">
    <w:name w:val="0B5AAE88013B884AAE48CFB74E87B468"/>
    <w:rsid w:val="00042B40"/>
  </w:style>
  <w:style w:type="paragraph" w:customStyle="1" w:styleId="0CBECCD5B755734FB2070BCE0649914F">
    <w:name w:val="0CBECCD5B755734FB2070BCE0649914F"/>
    <w:rsid w:val="00042B40"/>
  </w:style>
  <w:style w:type="paragraph" w:customStyle="1" w:styleId="25141FEA9A817C4D8CEAA9D32288D986">
    <w:name w:val="25141FEA9A817C4D8CEAA9D32288D986"/>
    <w:rsid w:val="00042B40"/>
  </w:style>
  <w:style w:type="paragraph" w:customStyle="1" w:styleId="7FADC85813A2EB4197D7213615DA606A">
    <w:name w:val="7FADC85813A2EB4197D7213615DA606A"/>
    <w:rsid w:val="00042B40"/>
  </w:style>
  <w:style w:type="paragraph" w:customStyle="1" w:styleId="59A68A4FBCBDA94BB3A97AD45C6283EB">
    <w:name w:val="59A68A4FBCBDA94BB3A97AD45C6283EB"/>
    <w:rsid w:val="00042B40"/>
  </w:style>
  <w:style w:type="paragraph" w:customStyle="1" w:styleId="B24ECB4DB24ED04D9042839ABE1583A5">
    <w:name w:val="B24ECB4DB24ED04D9042839ABE1583A5"/>
    <w:rsid w:val="00042B40"/>
  </w:style>
  <w:style w:type="paragraph" w:customStyle="1" w:styleId="4D3A75DD860C5549B949A06EB595AD89">
    <w:name w:val="4D3A75DD860C5549B949A06EB595AD89"/>
    <w:rsid w:val="00042B40"/>
  </w:style>
  <w:style w:type="paragraph" w:customStyle="1" w:styleId="093FFE01F13F86498C5EC12BB87C6984">
    <w:name w:val="093FFE01F13F86498C5EC12BB87C6984"/>
    <w:rsid w:val="00042B40"/>
  </w:style>
  <w:style w:type="paragraph" w:customStyle="1" w:styleId="15C6734C37CA964DBA8B631C6E0EFDBC">
    <w:name w:val="15C6734C37CA964DBA8B631C6E0EFDBC"/>
    <w:rsid w:val="00042B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41239-37DB-6B4A-8DD0-D5D4DDC4F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71</Pages>
  <Words>28398</Words>
  <Characters>161874</Characters>
  <Application>Microsoft Macintosh Word</Application>
  <DocSecurity>0</DocSecurity>
  <Lines>1348</Lines>
  <Paragraphs>379</Paragraphs>
  <ScaleCrop>false</ScaleCrop>
  <Company/>
  <LinksUpToDate>false</LinksUpToDate>
  <CharactersWithSpaces>189893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Menz</dc:creator>
  <cp:keywords/>
  <dc:description/>
  <cp:lastModifiedBy>andrew Menz</cp:lastModifiedBy>
  <cp:revision>6</cp:revision>
  <cp:lastPrinted>2013-02-11T16:28:00Z</cp:lastPrinted>
  <dcterms:created xsi:type="dcterms:W3CDTF">2013-03-13T08:14:00Z</dcterms:created>
  <dcterms:modified xsi:type="dcterms:W3CDTF">2013-03-13T10:26:00Z</dcterms:modified>
</cp:coreProperties>
</file>