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51" w:rsidRDefault="00084451" w:rsidP="00084451">
      <w:pPr>
        <w:pStyle w:val="Heading1"/>
        <w:jc w:val="center"/>
      </w:pPr>
      <w:bookmarkStart w:id="0" w:name="_GoBack"/>
      <w:bookmarkStart w:id="1" w:name="_Toc363236299"/>
      <w:bookmarkEnd w:id="0"/>
      <w:r>
        <w:t>Terms of Reference</w:t>
      </w:r>
      <w:bookmarkEnd w:id="1"/>
    </w:p>
    <w:p w:rsidR="00084451" w:rsidRDefault="00084451" w:rsidP="00084451">
      <w:pPr>
        <w:rPr>
          <w:sz w:val="24"/>
        </w:rPr>
      </w:pPr>
    </w:p>
    <w:p w:rsidR="00084451" w:rsidRPr="00200739" w:rsidRDefault="00084451" w:rsidP="00084451">
      <w:pPr>
        <w:pStyle w:val="Title"/>
        <w:rPr>
          <w:rFonts w:ascii="Calibri" w:hAnsi="Calibri" w:cs="Calibri"/>
          <w:sz w:val="22"/>
          <w:szCs w:val="22"/>
        </w:rPr>
      </w:pPr>
      <w:r w:rsidRPr="00200739">
        <w:rPr>
          <w:rFonts w:ascii="Calibri" w:hAnsi="Calibri" w:cs="Calibri"/>
          <w:sz w:val="22"/>
          <w:szCs w:val="22"/>
        </w:rPr>
        <w:t>UNITED NATIONS DEVELOPMENT PROGRAMME</w:t>
      </w:r>
    </w:p>
    <w:p w:rsidR="00084451" w:rsidRPr="00200739" w:rsidRDefault="00084451" w:rsidP="00084451">
      <w:pPr>
        <w:jc w:val="center"/>
        <w:rPr>
          <w:rFonts w:ascii="Calibri" w:eastAsia="Malgun Gothic" w:hAnsi="Calibri" w:cs="Calibri"/>
          <w:b/>
        </w:rPr>
      </w:pPr>
      <w:r w:rsidRPr="00200739">
        <w:rPr>
          <w:rFonts w:ascii="Calibri" w:eastAsia="Malgun Gothic" w:hAnsi="Calibri" w:cs="Calibri"/>
          <w:b/>
        </w:rPr>
        <w:t>TERMS OF REFERENCE</w:t>
      </w:r>
    </w:p>
    <w:p w:rsidR="00084451" w:rsidRPr="00200739" w:rsidRDefault="00084451" w:rsidP="00084451">
      <w:pPr>
        <w:rPr>
          <w:rFonts w:ascii="Calibri" w:eastAsia="Malgun Gothic"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344"/>
      </w:tblGrid>
      <w:tr w:rsidR="00084451" w:rsidRPr="00200739" w:rsidTr="00E37DA1">
        <w:tc>
          <w:tcPr>
            <w:tcW w:w="9072" w:type="dxa"/>
            <w:gridSpan w:val="2"/>
            <w:shd w:val="clear" w:color="auto" w:fill="E0E0E0"/>
          </w:tcPr>
          <w:p w:rsidR="00084451" w:rsidRPr="00200739" w:rsidRDefault="00084451" w:rsidP="00E37DA1">
            <w:pPr>
              <w:rPr>
                <w:rFonts w:ascii="Calibri" w:eastAsia="Malgun Gothic" w:hAnsi="Calibri" w:cs="Calibri"/>
                <w:b/>
                <w:bCs/>
              </w:rPr>
            </w:pPr>
            <w:r w:rsidRPr="00200739">
              <w:rPr>
                <w:rFonts w:ascii="Calibri" w:eastAsia="Malgun Gothic" w:hAnsi="Calibri" w:cs="Calibri"/>
                <w:b/>
              </w:rPr>
              <w:t>I. POSITION INFORMATION</w:t>
            </w:r>
          </w:p>
        </w:tc>
      </w:tr>
      <w:tr w:rsidR="00084451" w:rsidRPr="00200739" w:rsidTr="00E37DA1">
        <w:trPr>
          <w:trHeight w:val="602"/>
        </w:trPr>
        <w:tc>
          <w:tcPr>
            <w:tcW w:w="1728" w:type="dxa"/>
          </w:tcPr>
          <w:p w:rsidR="00084451" w:rsidRPr="00200739" w:rsidRDefault="00084451" w:rsidP="00E37DA1">
            <w:pPr>
              <w:rPr>
                <w:rFonts w:ascii="Calibri" w:eastAsia="Malgun Gothic" w:hAnsi="Calibri" w:cs="Calibri"/>
                <w:b/>
              </w:rPr>
            </w:pPr>
            <w:r w:rsidRPr="00200739">
              <w:rPr>
                <w:rFonts w:ascii="Calibri" w:eastAsia="Malgun Gothic" w:hAnsi="Calibri" w:cs="Calibri"/>
                <w:b/>
              </w:rPr>
              <w:t>Position Name:</w:t>
            </w:r>
          </w:p>
          <w:p w:rsidR="00084451" w:rsidRPr="00200739" w:rsidRDefault="00084451" w:rsidP="00E37DA1">
            <w:pPr>
              <w:rPr>
                <w:rFonts w:ascii="Calibri" w:eastAsia="Malgun Gothic" w:hAnsi="Calibri" w:cs="Calibri"/>
                <w:b/>
              </w:rPr>
            </w:pPr>
          </w:p>
          <w:p w:rsidR="00084451" w:rsidRPr="00200739" w:rsidRDefault="00084451" w:rsidP="00E37DA1">
            <w:pPr>
              <w:rPr>
                <w:rFonts w:ascii="Calibri" w:eastAsia="Malgun Gothic" w:hAnsi="Calibri" w:cs="Calibri"/>
                <w:b/>
              </w:rPr>
            </w:pPr>
            <w:r w:rsidRPr="00200739">
              <w:rPr>
                <w:rFonts w:ascii="Calibri" w:eastAsia="Malgun Gothic" w:hAnsi="Calibri" w:cs="Calibri"/>
                <w:b/>
              </w:rPr>
              <w:t>Project Name:</w:t>
            </w:r>
          </w:p>
          <w:p w:rsidR="00084451" w:rsidRPr="00200739" w:rsidRDefault="00084451" w:rsidP="00E37DA1">
            <w:pPr>
              <w:rPr>
                <w:rFonts w:ascii="Calibri" w:eastAsia="Malgun Gothic" w:hAnsi="Calibri" w:cs="Calibri"/>
              </w:rPr>
            </w:pPr>
            <w:r w:rsidRPr="00200739">
              <w:rPr>
                <w:rFonts w:ascii="Calibri" w:eastAsia="Malgun Gothic" w:hAnsi="Calibri" w:cs="Calibri"/>
                <w:b/>
              </w:rPr>
              <w:t>Duration:</w:t>
            </w:r>
          </w:p>
        </w:tc>
        <w:tc>
          <w:tcPr>
            <w:tcW w:w="7344" w:type="dxa"/>
          </w:tcPr>
          <w:p w:rsidR="00084451" w:rsidRPr="00200739" w:rsidRDefault="00084451" w:rsidP="00E37DA1">
            <w:pPr>
              <w:rPr>
                <w:rFonts w:ascii="Calibri" w:eastAsia="Malgun Gothic" w:hAnsi="Calibri" w:cs="Calibri"/>
              </w:rPr>
            </w:pPr>
            <w:r w:rsidRPr="00200739">
              <w:rPr>
                <w:rFonts w:ascii="Calibri" w:eastAsia="Malgun Gothic" w:hAnsi="Calibri" w:cs="Calibri"/>
              </w:rPr>
              <w:t>International Consultant for Stocktaking of Sustainable Renewable Energy Development Programme (SRED).</w:t>
            </w:r>
          </w:p>
          <w:p w:rsidR="00084451" w:rsidRPr="00200739" w:rsidRDefault="00084451" w:rsidP="00E37DA1">
            <w:pPr>
              <w:rPr>
                <w:rFonts w:ascii="Calibri" w:eastAsia="Malgun Gothic" w:hAnsi="Calibri" w:cs="Calibri"/>
              </w:rPr>
            </w:pPr>
            <w:r w:rsidRPr="00200739">
              <w:rPr>
                <w:rFonts w:ascii="Calibri" w:eastAsia="Malgun Gothic" w:hAnsi="Calibri" w:cs="Calibri"/>
              </w:rPr>
              <w:t>Sustainable Renewable Energy Development Programme (SRED).</w:t>
            </w:r>
          </w:p>
          <w:p w:rsidR="00084451" w:rsidRPr="00200739" w:rsidRDefault="00084451" w:rsidP="00E37DA1">
            <w:pPr>
              <w:rPr>
                <w:rFonts w:ascii="Calibri" w:eastAsia="Malgun Gothic" w:hAnsi="Calibri" w:cs="Calibri"/>
              </w:rPr>
            </w:pPr>
            <w:r w:rsidRPr="00200739">
              <w:rPr>
                <w:rFonts w:ascii="Calibri" w:eastAsia="Malgun Gothic" w:hAnsi="Calibri" w:cs="Calibri"/>
              </w:rPr>
              <w:t xml:space="preserve">Consultancy work covers period from </w:t>
            </w:r>
            <w:r>
              <w:rPr>
                <w:rFonts w:ascii="Calibri" w:eastAsia="Malgun Gothic" w:hAnsi="Calibri" w:cs="Calibri"/>
              </w:rPr>
              <w:t>22</w:t>
            </w:r>
            <w:r w:rsidRPr="00200739">
              <w:rPr>
                <w:rFonts w:ascii="Calibri" w:eastAsia="Malgun Gothic" w:hAnsi="Calibri" w:cs="Calibri"/>
              </w:rPr>
              <w:t xml:space="preserve"> January until </w:t>
            </w:r>
            <w:r>
              <w:rPr>
                <w:rFonts w:ascii="Calibri" w:eastAsia="Malgun Gothic" w:hAnsi="Calibri" w:cs="Calibri"/>
              </w:rPr>
              <w:t>1</w:t>
            </w:r>
            <w:r w:rsidRPr="00200739">
              <w:rPr>
                <w:rFonts w:ascii="Calibri" w:eastAsia="Malgun Gothic" w:hAnsi="Calibri" w:cs="Calibri"/>
              </w:rPr>
              <w:t xml:space="preserve">5 February 2013 including one two-week mission to Pyongyang and 4 project sites from </w:t>
            </w:r>
            <w:r>
              <w:rPr>
                <w:rFonts w:ascii="Calibri" w:eastAsia="Malgun Gothic" w:hAnsi="Calibri" w:cs="Calibri"/>
              </w:rPr>
              <w:t>25</w:t>
            </w:r>
            <w:r w:rsidRPr="00200739">
              <w:rPr>
                <w:rFonts w:ascii="Calibri" w:eastAsia="Malgun Gothic" w:hAnsi="Calibri" w:cs="Calibri"/>
              </w:rPr>
              <w:t xml:space="preserve"> January until </w:t>
            </w:r>
            <w:r>
              <w:rPr>
                <w:rFonts w:ascii="Calibri" w:eastAsia="Malgun Gothic" w:hAnsi="Calibri" w:cs="Calibri"/>
              </w:rPr>
              <w:t>8</w:t>
            </w:r>
            <w:r w:rsidRPr="00200739">
              <w:rPr>
                <w:rFonts w:ascii="Calibri" w:eastAsia="Malgun Gothic" w:hAnsi="Calibri" w:cs="Calibri"/>
              </w:rPr>
              <w:t xml:space="preserve"> February 2013.</w:t>
            </w:r>
          </w:p>
          <w:p w:rsidR="00084451" w:rsidRPr="00200739" w:rsidRDefault="00084451" w:rsidP="00E37DA1">
            <w:pPr>
              <w:rPr>
                <w:rFonts w:ascii="Calibri" w:eastAsia="Malgun Gothic" w:hAnsi="Calibri" w:cs="Calibri"/>
              </w:rPr>
            </w:pPr>
          </w:p>
        </w:tc>
      </w:tr>
      <w:tr w:rsidR="00084451" w:rsidRPr="00200739" w:rsidTr="00E37DA1">
        <w:tblPrEx>
          <w:shd w:val="clear" w:color="auto" w:fill="E0E0E0"/>
        </w:tblPrEx>
        <w:tc>
          <w:tcPr>
            <w:tcW w:w="9072" w:type="dxa"/>
            <w:gridSpan w:val="2"/>
            <w:tcBorders>
              <w:bottom w:val="single" w:sz="4" w:space="0" w:color="auto"/>
            </w:tcBorders>
            <w:shd w:val="clear" w:color="auto" w:fill="E0E0E0"/>
          </w:tcPr>
          <w:p w:rsidR="00084451" w:rsidRPr="00200739" w:rsidRDefault="00084451" w:rsidP="00E37DA1">
            <w:pPr>
              <w:pStyle w:val="Heading1"/>
              <w:rPr>
                <w:rFonts w:ascii="Calibri" w:eastAsia="Malgun Gothic" w:hAnsi="Calibri" w:cs="Calibri"/>
                <w:bCs w:val="0"/>
                <w:i/>
                <w:iCs/>
                <w:color w:val="365F91"/>
                <w:sz w:val="22"/>
                <w:szCs w:val="22"/>
              </w:rPr>
            </w:pPr>
            <w:bookmarkStart w:id="2" w:name="_Toc352685267"/>
            <w:bookmarkStart w:id="3" w:name="_Toc352686795"/>
            <w:bookmarkStart w:id="4" w:name="_Toc355906185"/>
            <w:bookmarkStart w:id="5" w:name="_Toc355950783"/>
            <w:bookmarkStart w:id="6" w:name="_Toc363233779"/>
            <w:bookmarkStart w:id="7" w:name="_Toc363233907"/>
            <w:bookmarkStart w:id="8" w:name="_Toc363236300"/>
            <w:r w:rsidRPr="00200739">
              <w:rPr>
                <w:rFonts w:ascii="Calibri" w:eastAsia="Malgun Gothic" w:hAnsi="Calibri" w:cs="Calibri"/>
                <w:color w:val="365F91"/>
                <w:sz w:val="22"/>
                <w:szCs w:val="22"/>
              </w:rPr>
              <w:t>II. BACKGROUND INFORMATION/OBJECTIVES</w:t>
            </w:r>
            <w:bookmarkEnd w:id="2"/>
            <w:bookmarkEnd w:id="3"/>
            <w:bookmarkEnd w:id="4"/>
            <w:bookmarkEnd w:id="5"/>
            <w:bookmarkEnd w:id="6"/>
            <w:bookmarkEnd w:id="7"/>
            <w:bookmarkEnd w:id="8"/>
          </w:p>
        </w:tc>
      </w:tr>
      <w:tr w:rsidR="00084451" w:rsidRPr="00200739" w:rsidTr="00E37DA1">
        <w:tblPrEx>
          <w:shd w:val="clear" w:color="auto" w:fill="E0E0E0"/>
        </w:tblPrEx>
        <w:tc>
          <w:tcPr>
            <w:tcW w:w="9072" w:type="dxa"/>
            <w:gridSpan w:val="2"/>
          </w:tcPr>
          <w:p w:rsidR="00084451" w:rsidRPr="00200739" w:rsidRDefault="00084451" w:rsidP="00E37DA1">
            <w:pPr>
              <w:jc w:val="both"/>
              <w:rPr>
                <w:rFonts w:ascii="Calibri" w:eastAsia="Malgun Gothic" w:hAnsi="Calibri" w:cs="Calibri"/>
              </w:rPr>
            </w:pPr>
            <w:r w:rsidRPr="00200739">
              <w:rPr>
                <w:rFonts w:ascii="Calibri" w:eastAsia="Malgun Gothic" w:hAnsi="Calibri" w:cs="Calibri"/>
              </w:rPr>
              <w:t>The DPR Korea has a population of approximately 25 million, out of which 65% live in rural areas. The rural population is the most vulnerable group in terms of access to food security and energy services.  The limited endowment of natural resources suitable for agriculture makes it critical for many in the rural areas to find alternative employment and income-earning opportunities. At the same time, the prevailing lack of reliable energy supply and non-use of energy efficiency measures are some of the main barriers to the creation of employment opportunities outside farming. Alternative energies could become a solution for greenhouse gas emissions, land degradation, erosion and the deterioration of the natural ecosystems, and attendant increases in the risk of natural disasters.</w:t>
            </w:r>
          </w:p>
          <w:p w:rsidR="00084451" w:rsidRPr="00200739" w:rsidRDefault="00084451" w:rsidP="00E37DA1">
            <w:pPr>
              <w:jc w:val="both"/>
              <w:rPr>
                <w:rFonts w:ascii="Calibri" w:eastAsia="Malgun Gothic" w:hAnsi="Calibri" w:cs="Calibri"/>
              </w:rPr>
            </w:pPr>
          </w:p>
          <w:p w:rsidR="00084451" w:rsidRPr="00200739" w:rsidRDefault="00084451" w:rsidP="00E37DA1">
            <w:pPr>
              <w:jc w:val="both"/>
              <w:rPr>
                <w:rFonts w:ascii="Calibri" w:eastAsia="Malgun Gothic" w:hAnsi="Calibri" w:cs="Calibri"/>
              </w:rPr>
            </w:pPr>
            <w:r w:rsidRPr="00200739">
              <w:rPr>
                <w:rFonts w:ascii="Calibri" w:eastAsia="Malgun Gothic" w:hAnsi="Calibri" w:cs="Calibri"/>
              </w:rPr>
              <w:t>A number of barriers are currently hampering widespread and sustainable introduction and distribution of renewable energy and energy efficiency technologies in DPR Korea. As a consequence, the environmental, development and human health related challenges arising from the increasing use of fossil and local biomass fuel in rural DPR Korea are becoming more serious.</w:t>
            </w:r>
          </w:p>
          <w:p w:rsidR="00084451" w:rsidRPr="00200739" w:rsidRDefault="00084451" w:rsidP="00E37DA1">
            <w:pPr>
              <w:jc w:val="both"/>
              <w:rPr>
                <w:rFonts w:ascii="Calibri" w:eastAsia="Malgun Gothic" w:hAnsi="Calibri" w:cs="Calibri"/>
              </w:rPr>
            </w:pPr>
          </w:p>
          <w:p w:rsidR="00084451" w:rsidRPr="00200739" w:rsidRDefault="00084451" w:rsidP="00E37DA1">
            <w:pPr>
              <w:jc w:val="both"/>
              <w:rPr>
                <w:rFonts w:ascii="Calibri" w:eastAsia="Malgun Gothic" w:hAnsi="Calibri" w:cs="Calibri"/>
              </w:rPr>
            </w:pPr>
            <w:r w:rsidRPr="00200739">
              <w:rPr>
                <w:rFonts w:ascii="Calibri" w:eastAsia="Malgun Gothic" w:hAnsi="Calibri" w:cs="Calibri"/>
              </w:rPr>
              <w:t>To respond to the above challenges UNDP is implementing SRED (Sustainable Rural Energy Project) and SWEDPRA (Small Wind Energy Development and Promotion in Rural Areas Project) projects in DPRK since 2006. Both projects have re-started in 2010 after a prolonged period (3 years) of suspension. It is expected that both these projects will be closed by end of April 2013. UNDP DPRK is expecting to seek a No-Cost Extension for SRED and is proposing an independent stocktaking/interim assessment. UNDP DPRK therefore seeks the services of a consultant for an assignment comprising of a mission of about 14 working days and 1 week home-based for the following:</w:t>
            </w:r>
          </w:p>
          <w:p w:rsidR="00084451" w:rsidRPr="00200739" w:rsidRDefault="00084451" w:rsidP="00E37DA1">
            <w:pPr>
              <w:jc w:val="both"/>
              <w:rPr>
                <w:rFonts w:ascii="Calibri" w:eastAsia="Malgun Gothic" w:hAnsi="Calibri" w:cs="Calibri"/>
              </w:rPr>
            </w:pPr>
          </w:p>
          <w:p w:rsidR="00084451" w:rsidRPr="00200739" w:rsidRDefault="00084451" w:rsidP="00084451">
            <w:pPr>
              <w:numPr>
                <w:ilvl w:val="0"/>
                <w:numId w:val="8"/>
              </w:numPr>
              <w:spacing w:after="0"/>
              <w:jc w:val="both"/>
              <w:rPr>
                <w:rFonts w:ascii="Calibri" w:eastAsia="Malgun Gothic" w:hAnsi="Calibri" w:cs="Calibri"/>
              </w:rPr>
            </w:pPr>
            <w:r w:rsidRPr="00200739">
              <w:rPr>
                <w:rFonts w:ascii="Calibri" w:eastAsia="Malgun Gothic" w:hAnsi="Calibri" w:cs="Calibri"/>
              </w:rPr>
              <w:t>Quick assessment/stock taking of SRED project;</w:t>
            </w:r>
          </w:p>
          <w:p w:rsidR="00084451" w:rsidRPr="00200739" w:rsidRDefault="00084451" w:rsidP="00084451">
            <w:pPr>
              <w:numPr>
                <w:ilvl w:val="0"/>
                <w:numId w:val="8"/>
              </w:numPr>
              <w:spacing w:after="0"/>
              <w:jc w:val="both"/>
              <w:rPr>
                <w:rFonts w:ascii="Calibri" w:eastAsia="Malgun Gothic" w:hAnsi="Calibri" w:cs="Calibri"/>
              </w:rPr>
            </w:pPr>
            <w:r w:rsidRPr="00200739">
              <w:rPr>
                <w:rFonts w:ascii="Calibri" w:eastAsia="Malgun Gothic" w:hAnsi="Calibri" w:cs="Calibri"/>
              </w:rPr>
              <w:t xml:space="preserve">Brief review of project activities; </w:t>
            </w:r>
          </w:p>
          <w:p w:rsidR="00084451" w:rsidRPr="00200739" w:rsidRDefault="00084451" w:rsidP="00084451">
            <w:pPr>
              <w:numPr>
                <w:ilvl w:val="0"/>
                <w:numId w:val="8"/>
              </w:numPr>
              <w:spacing w:after="0"/>
              <w:jc w:val="both"/>
              <w:rPr>
                <w:rFonts w:ascii="Calibri" w:eastAsia="Malgun Gothic" w:hAnsi="Calibri" w:cs="Calibri"/>
              </w:rPr>
            </w:pPr>
            <w:r w:rsidRPr="00200739">
              <w:rPr>
                <w:rFonts w:ascii="Calibri" w:eastAsia="Malgun Gothic" w:hAnsi="Calibri" w:cs="Calibri"/>
              </w:rPr>
              <w:lastRenderedPageBreak/>
              <w:t>Lessons learned from project implementation;</w:t>
            </w:r>
          </w:p>
          <w:p w:rsidR="00084451" w:rsidRPr="00200739" w:rsidRDefault="00084451" w:rsidP="00084451">
            <w:pPr>
              <w:numPr>
                <w:ilvl w:val="0"/>
                <w:numId w:val="8"/>
              </w:numPr>
              <w:spacing w:after="0"/>
              <w:jc w:val="both"/>
              <w:rPr>
                <w:rFonts w:ascii="Calibri" w:eastAsia="Malgun Gothic" w:hAnsi="Calibri" w:cs="Calibri"/>
              </w:rPr>
            </w:pPr>
            <w:r w:rsidRPr="00200739">
              <w:rPr>
                <w:rFonts w:ascii="Calibri" w:eastAsia="Malgun Gothic" w:hAnsi="Calibri" w:cs="Calibri"/>
              </w:rPr>
              <w:t>Recommendation on removing shortcomings and future interventions by UNDP in SRED.</w:t>
            </w:r>
          </w:p>
          <w:p w:rsidR="00084451" w:rsidRPr="00200739" w:rsidRDefault="00084451" w:rsidP="00E37DA1">
            <w:pPr>
              <w:ind w:left="1080"/>
              <w:jc w:val="both"/>
              <w:rPr>
                <w:rFonts w:ascii="Calibri" w:eastAsia="Malgun Gothic" w:hAnsi="Calibri" w:cs="Calibri"/>
              </w:rPr>
            </w:pPr>
          </w:p>
          <w:p w:rsidR="00084451" w:rsidRPr="00200739" w:rsidRDefault="00084451" w:rsidP="00E37DA1">
            <w:pPr>
              <w:pStyle w:val="NoSpacing"/>
              <w:rPr>
                <w:rFonts w:ascii="Calibri" w:eastAsia="Malgun Gothic" w:hAnsi="Calibri" w:cs="Times New Roman"/>
              </w:rPr>
            </w:pPr>
            <w:r w:rsidRPr="00200739">
              <w:rPr>
                <w:rFonts w:ascii="Calibri" w:eastAsia="Malgun Gothic" w:hAnsi="Calibri" w:cs="Times New Roman"/>
              </w:rPr>
              <w:t>The above information prepared by International Consultant will be shared with UNDP Asia Pacific Regional Center (APRC) for review and validation of findings and recommendations on the way forward.</w:t>
            </w:r>
          </w:p>
        </w:tc>
      </w:tr>
      <w:tr w:rsidR="00084451" w:rsidRPr="00200739" w:rsidTr="00E37DA1">
        <w:tblPrEx>
          <w:shd w:val="clear" w:color="auto" w:fill="E0E0E0"/>
        </w:tblPrEx>
        <w:tc>
          <w:tcPr>
            <w:tcW w:w="9072" w:type="dxa"/>
            <w:gridSpan w:val="2"/>
            <w:shd w:val="clear" w:color="auto" w:fill="E0E0E0"/>
          </w:tcPr>
          <w:p w:rsidR="00084451" w:rsidRPr="00200739" w:rsidRDefault="00084451" w:rsidP="00E37DA1">
            <w:pPr>
              <w:rPr>
                <w:rFonts w:ascii="Calibri" w:eastAsia="Malgun Gothic" w:hAnsi="Calibri" w:cs="Calibri"/>
                <w:b/>
                <w:i/>
                <w:iCs/>
              </w:rPr>
            </w:pPr>
            <w:r w:rsidRPr="00200739">
              <w:rPr>
                <w:rFonts w:ascii="Calibri" w:eastAsia="Malgun Gothic" w:hAnsi="Calibri" w:cs="Calibri"/>
                <w:b/>
              </w:rPr>
              <w:lastRenderedPageBreak/>
              <w:t>III. FUNCTIONS</w:t>
            </w:r>
          </w:p>
        </w:tc>
      </w:tr>
      <w:tr w:rsidR="00084451" w:rsidRPr="00200739" w:rsidTr="00E37DA1">
        <w:tblPrEx>
          <w:shd w:val="clear" w:color="auto" w:fill="E0E0E0"/>
        </w:tblPrEx>
        <w:tc>
          <w:tcPr>
            <w:tcW w:w="9072" w:type="dxa"/>
            <w:gridSpan w:val="2"/>
          </w:tcPr>
          <w:p w:rsidR="00084451" w:rsidRPr="00200739" w:rsidRDefault="00084451" w:rsidP="00E37DA1">
            <w:pPr>
              <w:jc w:val="both"/>
              <w:rPr>
                <w:rFonts w:ascii="Calibri" w:eastAsia="Malgun Gothic" w:hAnsi="Calibri" w:cs="Calibri"/>
              </w:rPr>
            </w:pPr>
            <w:r w:rsidRPr="00200739">
              <w:rPr>
                <w:rFonts w:ascii="Calibri" w:eastAsia="Malgun Gothic" w:hAnsi="Calibri" w:cs="Calibri"/>
              </w:rPr>
              <w:t xml:space="preserve"> Under the overall guidance of UNDP DRR in DPR Korea and in close consultation with  the SRED/SWEDPRA Project Manager, M&amp;E Advisor and other relevant programme colleagues in the CO, the International Consultant will undertake internal SRED stocktaking, discuss current situation, consistency of project logic with current realities, relevance of and prospects for achievement of project outputs within the limited time and resources </w:t>
            </w:r>
            <w:r w:rsidRPr="00200739">
              <w:rPr>
                <w:rFonts w:ascii="Calibri" w:eastAsia="Malgun Gothic" w:hAnsi="Calibri" w:cs="Calibri"/>
                <w:color w:val="000000"/>
              </w:rPr>
              <w:t>and   recommend  outputs</w:t>
            </w:r>
            <w:r w:rsidRPr="00200739">
              <w:rPr>
                <w:rFonts w:ascii="Calibri" w:eastAsia="Malgun Gothic" w:hAnsi="Calibri" w:cs="Calibri"/>
                <w:color w:val="548DD4"/>
              </w:rPr>
              <w:t xml:space="preserve"> </w:t>
            </w:r>
            <w:r w:rsidRPr="00200739">
              <w:rPr>
                <w:rFonts w:ascii="Calibri" w:eastAsia="Malgun Gothic" w:hAnsi="Calibri" w:cs="Calibri"/>
              </w:rPr>
              <w:t xml:space="preserve"> more attuned to current realties, government priorities and UN policies, programming and operational guidelines.</w:t>
            </w:r>
          </w:p>
          <w:p w:rsidR="00084451" w:rsidRPr="00200739" w:rsidRDefault="00084451" w:rsidP="00E37DA1">
            <w:pPr>
              <w:jc w:val="both"/>
              <w:rPr>
                <w:rFonts w:ascii="Calibri" w:eastAsia="Malgun Gothic" w:hAnsi="Calibri" w:cs="Calibri"/>
              </w:rPr>
            </w:pPr>
          </w:p>
          <w:p w:rsidR="00084451" w:rsidRPr="00200739" w:rsidRDefault="00084451" w:rsidP="00E37DA1">
            <w:pPr>
              <w:jc w:val="both"/>
              <w:rPr>
                <w:rFonts w:ascii="Calibri" w:eastAsia="Malgun Gothic" w:hAnsi="Calibri" w:cs="Calibri"/>
              </w:rPr>
            </w:pPr>
            <w:r w:rsidRPr="00200739">
              <w:rPr>
                <w:rFonts w:ascii="Calibri" w:eastAsia="Malgun Gothic" w:hAnsi="Calibri" w:cs="Calibri"/>
              </w:rPr>
              <w:t>More specifically, the tasks of International Consultant during his mission will include:</w:t>
            </w:r>
          </w:p>
          <w:p w:rsidR="00084451" w:rsidRPr="00200739" w:rsidRDefault="00084451" w:rsidP="00084451">
            <w:pPr>
              <w:numPr>
                <w:ilvl w:val="0"/>
                <w:numId w:val="11"/>
              </w:numPr>
              <w:spacing w:after="0"/>
              <w:jc w:val="both"/>
              <w:rPr>
                <w:rFonts w:ascii="Calibri" w:eastAsia="Malgun Gothic" w:hAnsi="Calibri" w:cs="Calibri"/>
              </w:rPr>
            </w:pPr>
            <w:r w:rsidRPr="00200739">
              <w:rPr>
                <w:rFonts w:ascii="Calibri" w:eastAsia="Malgun Gothic" w:hAnsi="Calibri" w:cs="Calibri"/>
              </w:rPr>
              <w:t>Quick internal stocktaking/assessment of SRED project logic, country context, outputs against resources and time frame, implementation arrangements, country/sector context, procurement, special operations environment.</w:t>
            </w:r>
          </w:p>
          <w:p w:rsidR="00084451" w:rsidRPr="00200739" w:rsidRDefault="00084451" w:rsidP="00084451">
            <w:pPr>
              <w:numPr>
                <w:ilvl w:val="0"/>
                <w:numId w:val="11"/>
              </w:numPr>
              <w:spacing w:after="0"/>
              <w:jc w:val="both"/>
              <w:rPr>
                <w:rFonts w:ascii="Calibri" w:eastAsia="Malgun Gothic" w:hAnsi="Calibri" w:cs="Calibri"/>
              </w:rPr>
            </w:pPr>
            <w:r w:rsidRPr="00200739">
              <w:rPr>
                <w:rFonts w:ascii="Calibri" w:eastAsia="Malgun Gothic" w:hAnsi="Calibri" w:cs="Calibri"/>
              </w:rPr>
              <w:t>Consultation with UNDP Senior Management,</w:t>
            </w:r>
            <w:r w:rsidRPr="00200739">
              <w:rPr>
                <w:rFonts w:ascii="Calibri" w:eastAsia="Malgun Gothic" w:hAnsi="Calibri" w:cs="Times New Roman"/>
              </w:rPr>
              <w:t xml:space="preserve"> </w:t>
            </w:r>
            <w:r w:rsidRPr="00200739">
              <w:rPr>
                <w:rFonts w:ascii="Calibri" w:eastAsia="Malgun Gothic" w:hAnsi="Calibri" w:cs="Calibri"/>
              </w:rPr>
              <w:t>APRC Regional Technical Specialist and programme staff and key stakeholders on need for and technical inputs to a) ToR for independent SRED programme evaluation of the project and b) ToRs for local and international consultants for new project formulation.</w:t>
            </w:r>
          </w:p>
          <w:p w:rsidR="00084451" w:rsidRPr="00200739" w:rsidRDefault="00084451" w:rsidP="00084451">
            <w:pPr>
              <w:numPr>
                <w:ilvl w:val="0"/>
                <w:numId w:val="11"/>
              </w:numPr>
              <w:spacing w:after="0"/>
              <w:jc w:val="both"/>
              <w:rPr>
                <w:rFonts w:ascii="Calibri" w:eastAsia="Malgun Gothic" w:hAnsi="Calibri" w:cs="Calibri"/>
              </w:rPr>
            </w:pPr>
            <w:r w:rsidRPr="00200739">
              <w:rPr>
                <w:rFonts w:ascii="Calibri" w:eastAsia="Malgun Gothic" w:hAnsi="Calibri" w:cs="Calibri"/>
              </w:rPr>
              <w:t xml:space="preserve">Review the “Support to Diversification of Energy Resources and Energy Saving in DPR Korea” concept paper supplied by the government. </w:t>
            </w:r>
          </w:p>
          <w:p w:rsidR="00084451" w:rsidRPr="00200739" w:rsidRDefault="00084451" w:rsidP="00084451">
            <w:pPr>
              <w:numPr>
                <w:ilvl w:val="0"/>
                <w:numId w:val="11"/>
              </w:numPr>
              <w:spacing w:after="0"/>
              <w:jc w:val="both"/>
              <w:rPr>
                <w:rFonts w:ascii="Calibri" w:eastAsia="Malgun Gothic" w:hAnsi="Calibri" w:cs="Calibri"/>
              </w:rPr>
            </w:pPr>
            <w:r w:rsidRPr="00200739">
              <w:rPr>
                <w:rFonts w:ascii="Calibri" w:eastAsia="Malgun Gothic" w:hAnsi="Calibri" w:cs="Calibri"/>
              </w:rPr>
              <w:t>Consistent with policy, programme and operational environment, provide suggestions on possible new UNDP intervention/project ideas in Rural Energy Development area (Renewable Energy and Energy Efficiency), in conjunction of concept notes provided by the Government.</w:t>
            </w:r>
          </w:p>
          <w:p w:rsidR="00084451" w:rsidRPr="00200739" w:rsidRDefault="00084451" w:rsidP="00084451">
            <w:pPr>
              <w:numPr>
                <w:ilvl w:val="0"/>
                <w:numId w:val="11"/>
              </w:numPr>
              <w:spacing w:after="0"/>
              <w:jc w:val="both"/>
              <w:rPr>
                <w:rFonts w:ascii="Calibri" w:eastAsia="Malgun Gothic" w:hAnsi="Calibri" w:cs="Calibri"/>
              </w:rPr>
            </w:pPr>
            <w:r w:rsidRPr="00200739">
              <w:rPr>
                <w:rFonts w:ascii="Calibri" w:eastAsia="Malgun Gothic" w:hAnsi="Calibri" w:cs="Calibri"/>
              </w:rPr>
              <w:t>Explore and suggest opportunities for funding and partnerships.</w:t>
            </w:r>
          </w:p>
          <w:p w:rsidR="00084451" w:rsidRPr="00200739" w:rsidRDefault="00084451" w:rsidP="00E37DA1">
            <w:pPr>
              <w:ind w:left="720"/>
              <w:rPr>
                <w:rFonts w:ascii="Calibri" w:eastAsia="Malgun Gothic" w:hAnsi="Calibri" w:cs="Calibri"/>
              </w:rPr>
            </w:pPr>
          </w:p>
          <w:p w:rsidR="00084451" w:rsidRPr="00200739" w:rsidRDefault="00084451" w:rsidP="00E37DA1">
            <w:pPr>
              <w:spacing w:before="120" w:after="120"/>
              <w:jc w:val="both"/>
              <w:rPr>
                <w:rFonts w:ascii="Calibri" w:eastAsia="Malgun Gothic" w:hAnsi="Calibri" w:cs="Arial"/>
              </w:rPr>
            </w:pPr>
            <w:r w:rsidRPr="00200739">
              <w:rPr>
                <w:rFonts w:ascii="Calibri" w:eastAsia="Malgun Gothic" w:hAnsi="Calibri" w:cs="Arial"/>
              </w:rPr>
              <w:t>Prior to engagement and visiting the SRED/SWEDPRA Project Office, International Consultant shall receive all the relevant documents including at least:</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rPr>
              <w:t>Project Document – two versions</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Calibri"/>
              </w:rPr>
              <w:t>“Support to Diversification of Energy Resources and Energy Saving in DPR Korea” concept paper</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rPr>
              <w:t>Inception Workshop Report</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rPr>
              <w:t>Annual Work and Financial Plans</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rPr>
              <w:t xml:space="preserve">Annual Project Report/Project Implementation Review (API/PIR) for </w:t>
            </w:r>
            <w:r w:rsidRPr="00200739">
              <w:rPr>
                <w:rFonts w:ascii="Calibri" w:eastAsia="Malgun Gothic" w:hAnsi="Calibri" w:cs="Arial"/>
                <w:lang w:val="id-ID"/>
              </w:rPr>
              <w:t>20</w:t>
            </w:r>
            <w:r w:rsidRPr="00200739">
              <w:rPr>
                <w:rFonts w:ascii="Calibri" w:eastAsia="Malgun Gothic" w:hAnsi="Calibri" w:cs="Arial"/>
              </w:rPr>
              <w:t>11</w:t>
            </w:r>
            <w:r w:rsidRPr="00200739">
              <w:rPr>
                <w:rFonts w:ascii="Calibri" w:eastAsia="Malgun Gothic" w:hAnsi="Calibri" w:cs="Arial"/>
                <w:lang w:val="id-ID"/>
              </w:rPr>
              <w:t xml:space="preserve">, and </w:t>
            </w:r>
            <w:r w:rsidRPr="00200739">
              <w:rPr>
                <w:rFonts w:ascii="Calibri" w:eastAsia="Malgun Gothic" w:hAnsi="Calibri" w:cs="Arial"/>
              </w:rPr>
              <w:t xml:space="preserve">2012; </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lang w:val="id-ID"/>
              </w:rPr>
              <w:t>Quarterly Reports</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rPr>
              <w:t>Minutes of Project Technical Committee/Project Steering Committee meetings</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rPr>
              <w:t>Back-to-Office Reports of UNDP staff (if any)</w:t>
            </w:r>
          </w:p>
          <w:p w:rsidR="00084451" w:rsidRPr="00200739" w:rsidRDefault="00084451" w:rsidP="00084451">
            <w:pPr>
              <w:numPr>
                <w:ilvl w:val="0"/>
                <w:numId w:val="12"/>
              </w:numPr>
              <w:spacing w:after="0"/>
              <w:jc w:val="both"/>
              <w:rPr>
                <w:rFonts w:ascii="Calibri" w:eastAsia="Malgun Gothic" w:hAnsi="Calibri" w:cs="Arial"/>
              </w:rPr>
            </w:pPr>
            <w:r w:rsidRPr="00200739">
              <w:rPr>
                <w:rFonts w:ascii="Calibri" w:eastAsia="Malgun Gothic" w:hAnsi="Calibri" w:cs="Arial"/>
              </w:rPr>
              <w:t xml:space="preserve">Study reports/Conference proceedings/government guidelines, etc. </w:t>
            </w:r>
          </w:p>
          <w:p w:rsidR="00084451" w:rsidRPr="00200739" w:rsidRDefault="00084451" w:rsidP="00E37DA1">
            <w:pPr>
              <w:spacing w:before="120" w:after="120"/>
              <w:jc w:val="both"/>
              <w:rPr>
                <w:rFonts w:ascii="Calibri" w:eastAsia="Malgun Gothic" w:hAnsi="Calibri" w:cs="Arial"/>
              </w:rPr>
            </w:pPr>
            <w:r w:rsidRPr="00200739">
              <w:rPr>
                <w:rFonts w:ascii="Calibri" w:eastAsia="Malgun Gothic" w:hAnsi="Calibri" w:cs="Arial"/>
              </w:rPr>
              <w:t xml:space="preserve">To provide more details, as may be needed, the following will be made available for access by the </w:t>
            </w:r>
            <w:r w:rsidRPr="00200739">
              <w:rPr>
                <w:rFonts w:ascii="Calibri" w:eastAsia="Malgun Gothic" w:hAnsi="Calibri" w:cs="Arial"/>
              </w:rPr>
              <w:lastRenderedPageBreak/>
              <w:t>International Consultant:</w:t>
            </w:r>
          </w:p>
          <w:p w:rsidR="00084451" w:rsidRPr="00200739" w:rsidRDefault="00084451" w:rsidP="00E37DA1">
            <w:pPr>
              <w:jc w:val="both"/>
              <w:rPr>
                <w:rFonts w:ascii="Calibri" w:eastAsia="Malgun Gothic" w:hAnsi="Calibri" w:cs="Arial"/>
              </w:rPr>
            </w:pPr>
            <w:r w:rsidRPr="00200739">
              <w:rPr>
                <w:rFonts w:ascii="Calibri" w:eastAsia="Malgun Gothic" w:hAnsi="Calibri" w:cs="Arial"/>
              </w:rPr>
              <w:t>Terms of Reference for past consultants’ assignments and summary of the results;</w:t>
            </w:r>
          </w:p>
          <w:p w:rsidR="00084451" w:rsidRPr="00200739" w:rsidRDefault="00084451" w:rsidP="00E37DA1">
            <w:pPr>
              <w:jc w:val="both"/>
              <w:rPr>
                <w:rFonts w:ascii="Calibri" w:eastAsia="Malgun Gothic" w:hAnsi="Calibri" w:cs="Arial"/>
              </w:rPr>
            </w:pPr>
            <w:r w:rsidRPr="00200739">
              <w:rPr>
                <w:rFonts w:ascii="Calibri" w:eastAsia="Malgun Gothic" w:hAnsi="Calibri" w:cs="Arial"/>
              </w:rPr>
              <w:t>Past evaluation, audit reports (if any).</w:t>
            </w:r>
          </w:p>
          <w:p w:rsidR="00084451" w:rsidRPr="00200739" w:rsidRDefault="00084451" w:rsidP="00E37DA1">
            <w:pPr>
              <w:spacing w:before="120" w:after="120"/>
              <w:rPr>
                <w:rFonts w:ascii="Calibri" w:eastAsia="Malgun Gothic" w:hAnsi="Calibri" w:cs="Arial"/>
              </w:rPr>
            </w:pPr>
            <w:r w:rsidRPr="00200739">
              <w:rPr>
                <w:rFonts w:ascii="Calibri" w:eastAsia="Malgun Gothic" w:hAnsi="Calibri" w:cs="Arial"/>
              </w:rPr>
              <w:t>The International consultant  should at least interview the following people, but not limited to:</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UNDP Deputy Resident Representative;</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UNDP Programme Analyst on Energy and Environment;</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Senior Programme Advisor-M&amp;E</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Regional Technical Specialist (possibly use Skype interview)</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National Project Director (NPD)</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National Training Coordinator (NTC)</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Project Manager (PM)</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Project Administrative Assistant</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UNDP Financial Officer</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UNDP Procurement Officer</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Project Steering Committee Members</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Relevant project stakeholders, and personnel, but not limited to:</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National Coordination Committee (NCC)</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State Academy of Science (SAOS)</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State Commission of Science and Technology (SCST)</w:t>
            </w:r>
          </w:p>
          <w:p w:rsidR="00084451" w:rsidRPr="00200739" w:rsidRDefault="00084451" w:rsidP="00084451">
            <w:pPr>
              <w:numPr>
                <w:ilvl w:val="0"/>
                <w:numId w:val="9"/>
              </w:numPr>
              <w:spacing w:after="0"/>
              <w:jc w:val="both"/>
              <w:rPr>
                <w:rFonts w:ascii="Calibri" w:eastAsia="Malgun Gothic" w:hAnsi="Calibri" w:cs="Arial"/>
              </w:rPr>
            </w:pPr>
            <w:r w:rsidRPr="00200739">
              <w:rPr>
                <w:rFonts w:ascii="Calibri" w:eastAsia="Malgun Gothic" w:hAnsi="Calibri" w:cs="Arial"/>
              </w:rPr>
              <w:t>Non-Conventional Energy Development Centre (NCEDC)</w:t>
            </w:r>
          </w:p>
          <w:p w:rsidR="00084451" w:rsidRPr="00200739" w:rsidRDefault="00084451" w:rsidP="00084451">
            <w:pPr>
              <w:numPr>
                <w:ilvl w:val="0"/>
                <w:numId w:val="9"/>
              </w:numPr>
              <w:spacing w:after="0"/>
              <w:rPr>
                <w:rFonts w:ascii="Calibri" w:eastAsia="Malgun Gothic" w:hAnsi="Calibri" w:cs="Arial"/>
              </w:rPr>
            </w:pPr>
            <w:r w:rsidRPr="00200739">
              <w:rPr>
                <w:rFonts w:ascii="Calibri" w:eastAsia="Malgun Gothic" w:hAnsi="Calibri" w:cs="Arial"/>
              </w:rPr>
              <w:t>APRC Regional Technical Specialist (possibly use Skype interview)</w:t>
            </w:r>
          </w:p>
          <w:p w:rsidR="00084451" w:rsidRPr="00200739" w:rsidRDefault="00084451" w:rsidP="00084451">
            <w:pPr>
              <w:numPr>
                <w:ilvl w:val="0"/>
                <w:numId w:val="9"/>
              </w:numPr>
              <w:spacing w:after="0"/>
              <w:rPr>
                <w:rFonts w:ascii="Calibri" w:eastAsia="Malgun Gothic" w:hAnsi="Calibri" w:cs="Arial"/>
              </w:rPr>
            </w:pPr>
            <w:r w:rsidRPr="00200739">
              <w:rPr>
                <w:rFonts w:ascii="Calibri" w:eastAsia="Malgun Gothic" w:hAnsi="Calibri" w:cs="Arial"/>
              </w:rPr>
              <w:t>Research institutions</w:t>
            </w:r>
            <w:r w:rsidRPr="00200739">
              <w:rPr>
                <w:rFonts w:ascii="Calibri" w:eastAsia="Malgun Gothic" w:hAnsi="Calibri" w:cs="Arial"/>
                <w:lang w:val="id-ID"/>
              </w:rPr>
              <w:t xml:space="preserve"> </w:t>
            </w:r>
            <w:r w:rsidRPr="00200739">
              <w:rPr>
                <w:rFonts w:ascii="Calibri" w:eastAsia="Malgun Gothic" w:hAnsi="Calibri" w:cs="Arial"/>
              </w:rPr>
              <w:t xml:space="preserve">and </w:t>
            </w:r>
            <w:r w:rsidRPr="00200739">
              <w:rPr>
                <w:rFonts w:ascii="Calibri" w:eastAsia="Malgun Gothic" w:hAnsi="Calibri" w:cs="Arial"/>
                <w:lang w:val="id-ID"/>
              </w:rPr>
              <w:t>Expert</w:t>
            </w:r>
            <w:r w:rsidRPr="00200739">
              <w:rPr>
                <w:rFonts w:ascii="Calibri" w:eastAsia="Malgun Gothic" w:hAnsi="Calibri" w:cs="Arial"/>
              </w:rPr>
              <w:t xml:space="preserve">s in the country, where applicable </w:t>
            </w:r>
          </w:p>
          <w:p w:rsidR="00084451" w:rsidRPr="00200739" w:rsidRDefault="00084451" w:rsidP="00084451">
            <w:pPr>
              <w:numPr>
                <w:ilvl w:val="0"/>
                <w:numId w:val="9"/>
              </w:numPr>
              <w:spacing w:after="0"/>
              <w:rPr>
                <w:rFonts w:ascii="Calibri" w:eastAsia="Malgun Gothic" w:hAnsi="Calibri" w:cs="Calibri"/>
              </w:rPr>
            </w:pPr>
            <w:r w:rsidRPr="00200739">
              <w:rPr>
                <w:rFonts w:ascii="Calibri" w:eastAsia="Malgun Gothic" w:hAnsi="Calibri" w:cs="Arial"/>
              </w:rPr>
              <w:t>Other relevant personnel at UNDP Country Office in DPRK.</w:t>
            </w:r>
          </w:p>
          <w:p w:rsidR="00084451" w:rsidRPr="00200739" w:rsidRDefault="00084451" w:rsidP="00E37DA1">
            <w:pPr>
              <w:ind w:left="720"/>
              <w:rPr>
                <w:rFonts w:ascii="Calibri" w:eastAsia="Malgun Gothic" w:hAnsi="Calibri" w:cs="Calibri"/>
              </w:rPr>
            </w:pPr>
          </w:p>
        </w:tc>
      </w:tr>
      <w:tr w:rsidR="00084451" w:rsidRPr="00200739" w:rsidTr="00E37DA1">
        <w:tblPrEx>
          <w:shd w:val="clear" w:color="auto" w:fill="E0E0E0"/>
        </w:tblPrEx>
        <w:tc>
          <w:tcPr>
            <w:tcW w:w="9072" w:type="dxa"/>
            <w:gridSpan w:val="2"/>
            <w:shd w:val="clear" w:color="auto" w:fill="E0E0E0"/>
          </w:tcPr>
          <w:p w:rsidR="00084451" w:rsidRPr="00200739" w:rsidRDefault="00084451" w:rsidP="00E37DA1">
            <w:pPr>
              <w:rPr>
                <w:rFonts w:ascii="Calibri" w:eastAsia="Malgun Gothic" w:hAnsi="Calibri" w:cs="Calibri"/>
                <w:b/>
                <w:bCs/>
              </w:rPr>
            </w:pPr>
            <w:r w:rsidRPr="00200739">
              <w:rPr>
                <w:rFonts w:ascii="Calibri" w:eastAsia="Malgun Gothic" w:hAnsi="Calibri" w:cs="Calibri"/>
                <w:b/>
                <w:bCs/>
              </w:rPr>
              <w:lastRenderedPageBreak/>
              <w:t>IV. DELIVERABLES</w:t>
            </w:r>
          </w:p>
        </w:tc>
      </w:tr>
      <w:tr w:rsidR="00084451" w:rsidRPr="00200739" w:rsidTr="00E37DA1">
        <w:tblPrEx>
          <w:shd w:val="clear" w:color="auto" w:fill="E0E0E0"/>
        </w:tblPrEx>
        <w:trPr>
          <w:trHeight w:val="230"/>
        </w:trPr>
        <w:tc>
          <w:tcPr>
            <w:tcW w:w="9072" w:type="dxa"/>
            <w:gridSpan w:val="2"/>
            <w:tcBorders>
              <w:bottom w:val="single" w:sz="4" w:space="0" w:color="auto"/>
            </w:tcBorders>
          </w:tcPr>
          <w:p w:rsidR="00084451" w:rsidRPr="00200739" w:rsidRDefault="00084451" w:rsidP="00084451">
            <w:pPr>
              <w:numPr>
                <w:ilvl w:val="0"/>
                <w:numId w:val="10"/>
              </w:numPr>
              <w:spacing w:after="0"/>
              <w:rPr>
                <w:rFonts w:ascii="Calibri" w:eastAsia="Malgun Gothic" w:hAnsi="Calibri" w:cs="Calibri"/>
              </w:rPr>
            </w:pPr>
            <w:r w:rsidRPr="00200739">
              <w:rPr>
                <w:rFonts w:ascii="Calibri" w:eastAsia="Malgun Gothic" w:hAnsi="Calibri" w:cs="Calibri"/>
              </w:rPr>
              <w:t xml:space="preserve">Draft stocktaking/assessment report on SRED; </w:t>
            </w:r>
          </w:p>
        </w:tc>
      </w:tr>
      <w:tr w:rsidR="00084451" w:rsidRPr="00200739" w:rsidTr="00E37DA1">
        <w:tblPrEx>
          <w:shd w:val="clear" w:color="auto" w:fill="E0E0E0"/>
        </w:tblPrEx>
        <w:trPr>
          <w:trHeight w:val="230"/>
        </w:trPr>
        <w:tc>
          <w:tcPr>
            <w:tcW w:w="9072" w:type="dxa"/>
            <w:gridSpan w:val="2"/>
          </w:tcPr>
          <w:p w:rsidR="00084451" w:rsidRPr="00200739" w:rsidRDefault="00084451" w:rsidP="00084451">
            <w:pPr>
              <w:numPr>
                <w:ilvl w:val="0"/>
                <w:numId w:val="10"/>
              </w:numPr>
              <w:spacing w:after="0"/>
              <w:rPr>
                <w:rFonts w:ascii="Calibri" w:eastAsia="Malgun Gothic" w:hAnsi="Calibri" w:cs="Calibri"/>
              </w:rPr>
            </w:pPr>
            <w:r w:rsidRPr="00200739">
              <w:rPr>
                <w:rFonts w:ascii="Calibri" w:eastAsia="Malgun Gothic" w:hAnsi="Calibri" w:cs="Calibri"/>
              </w:rPr>
              <w:t>Draft concept note with set of recommendations for possible UNDP intervention in Rural Energy Development consistent with current country, programme, policy and operational context.</w:t>
            </w:r>
          </w:p>
          <w:p w:rsidR="00084451" w:rsidRPr="00200739" w:rsidRDefault="00084451" w:rsidP="00084451">
            <w:pPr>
              <w:numPr>
                <w:ilvl w:val="0"/>
                <w:numId w:val="10"/>
              </w:numPr>
              <w:spacing w:after="0"/>
              <w:rPr>
                <w:rFonts w:ascii="Calibri" w:eastAsia="Malgun Gothic" w:hAnsi="Calibri" w:cs="Calibri"/>
              </w:rPr>
            </w:pPr>
            <w:r w:rsidRPr="00200739">
              <w:rPr>
                <w:rFonts w:ascii="Calibri" w:eastAsia="Malgun Gothic" w:hAnsi="Calibri" w:cs="Calibri"/>
              </w:rPr>
              <w:t xml:space="preserve">Set of recommendations for </w:t>
            </w:r>
            <w:r w:rsidRPr="00200739">
              <w:rPr>
                <w:rFonts w:ascii="Calibri" w:eastAsia="Malgun Gothic" w:hAnsi="Calibri" w:cs="Calibri"/>
                <w:b/>
                <w:u w:val="single"/>
              </w:rPr>
              <w:t xml:space="preserve">options </w:t>
            </w:r>
            <w:r w:rsidRPr="00200739">
              <w:rPr>
                <w:rFonts w:ascii="Calibri" w:eastAsia="Malgun Gothic" w:hAnsi="Calibri" w:cs="Calibri"/>
              </w:rPr>
              <w:t xml:space="preserve">on SRED extension and/or substantive revision; focus, scope and approach and,  implementation arrangements (including the mix of government partners, their ongoing sector strategies and priorities consistent with UNDP outlook, their expectations and what they will bring to the table, their mandates and roles in any would-be project); </w:t>
            </w:r>
          </w:p>
        </w:tc>
      </w:tr>
      <w:tr w:rsidR="00084451" w:rsidRPr="00200739" w:rsidTr="00E37DA1">
        <w:tblPrEx>
          <w:shd w:val="clear" w:color="auto" w:fill="E0E0E0"/>
        </w:tblPrEx>
        <w:trPr>
          <w:trHeight w:val="230"/>
        </w:trPr>
        <w:tc>
          <w:tcPr>
            <w:tcW w:w="9072" w:type="dxa"/>
            <w:gridSpan w:val="2"/>
          </w:tcPr>
          <w:p w:rsidR="00084451" w:rsidRPr="00200739" w:rsidRDefault="00084451" w:rsidP="00084451">
            <w:pPr>
              <w:numPr>
                <w:ilvl w:val="0"/>
                <w:numId w:val="10"/>
              </w:numPr>
              <w:spacing w:after="0"/>
              <w:rPr>
                <w:rFonts w:ascii="Calibri" w:eastAsia="Malgun Gothic" w:hAnsi="Calibri" w:cs="Calibri"/>
              </w:rPr>
            </w:pPr>
            <w:r w:rsidRPr="00200739">
              <w:rPr>
                <w:rFonts w:ascii="Calibri" w:eastAsia="Malgun Gothic" w:hAnsi="Calibri" w:cs="Calibri"/>
              </w:rPr>
              <w:t>ToR for independent SRED programmes evaluation of the project.</w:t>
            </w:r>
          </w:p>
        </w:tc>
      </w:tr>
      <w:tr w:rsidR="00084451" w:rsidRPr="00200739" w:rsidTr="00E37DA1">
        <w:tblPrEx>
          <w:shd w:val="clear" w:color="auto" w:fill="E0E0E0"/>
        </w:tblPrEx>
        <w:trPr>
          <w:trHeight w:val="230"/>
        </w:trPr>
        <w:tc>
          <w:tcPr>
            <w:tcW w:w="9072" w:type="dxa"/>
            <w:gridSpan w:val="2"/>
          </w:tcPr>
          <w:p w:rsidR="00084451" w:rsidRPr="00200739" w:rsidRDefault="00084451" w:rsidP="00084451">
            <w:pPr>
              <w:numPr>
                <w:ilvl w:val="0"/>
                <w:numId w:val="10"/>
              </w:numPr>
              <w:spacing w:after="0"/>
              <w:rPr>
                <w:rFonts w:ascii="Calibri" w:eastAsia="Malgun Gothic" w:hAnsi="Calibri" w:cs="Calibri"/>
              </w:rPr>
            </w:pPr>
            <w:r w:rsidRPr="00200739">
              <w:rPr>
                <w:rFonts w:ascii="Calibri" w:eastAsia="Malgun Gothic" w:hAnsi="Calibri" w:cs="Calibri"/>
              </w:rPr>
              <w:t>ToRs for local and international consultants for possible new project formulation.</w:t>
            </w:r>
          </w:p>
        </w:tc>
      </w:tr>
    </w:tbl>
    <w:p w:rsidR="00084451" w:rsidRDefault="00084451" w:rsidP="00084451">
      <w:pPr>
        <w:rPr>
          <w:sz w:val="24"/>
        </w:rPr>
      </w:pPr>
    </w:p>
    <w:p w:rsidR="00084451" w:rsidRDefault="00084451" w:rsidP="00084451">
      <w:pPr>
        <w:spacing w:after="0"/>
        <w:rPr>
          <w:sz w:val="24"/>
        </w:rPr>
      </w:pPr>
    </w:p>
    <w:p w:rsidR="00C23AC0" w:rsidRPr="00084451" w:rsidRDefault="00C23AC0" w:rsidP="00084451"/>
    <w:sectPr w:rsidR="00C23AC0" w:rsidRPr="00084451" w:rsidSect="005C23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33" w:rsidRDefault="00D64933" w:rsidP="00F10C50">
      <w:pPr>
        <w:spacing w:after="0"/>
      </w:pPr>
      <w:r>
        <w:separator/>
      </w:r>
    </w:p>
  </w:endnote>
  <w:endnote w:type="continuationSeparator" w:id="0">
    <w:p w:rsidR="00D64933" w:rsidRDefault="00D64933" w:rsidP="00F10C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33" w:rsidRDefault="00D64933" w:rsidP="00F10C50">
      <w:pPr>
        <w:spacing w:after="0"/>
      </w:pPr>
      <w:r>
        <w:separator/>
      </w:r>
    </w:p>
  </w:footnote>
  <w:footnote w:type="continuationSeparator" w:id="0">
    <w:p w:rsidR="00D64933" w:rsidRDefault="00D64933" w:rsidP="00F10C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3EEF"/>
    <w:multiLevelType w:val="hybridMultilevel"/>
    <w:tmpl w:val="1A58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927B0"/>
    <w:multiLevelType w:val="hybridMultilevel"/>
    <w:tmpl w:val="AB7E7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CF6"/>
    <w:multiLevelType w:val="hybridMultilevel"/>
    <w:tmpl w:val="8504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7242E"/>
    <w:multiLevelType w:val="hybridMultilevel"/>
    <w:tmpl w:val="42C86E48"/>
    <w:lvl w:ilvl="0" w:tplc="6A1E7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E51A0"/>
    <w:multiLevelType w:val="multilevel"/>
    <w:tmpl w:val="4F944A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E434AA3"/>
    <w:multiLevelType w:val="hybridMultilevel"/>
    <w:tmpl w:val="0CC0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E2AFB"/>
    <w:multiLevelType w:val="hybridMultilevel"/>
    <w:tmpl w:val="2368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F4E80"/>
    <w:multiLevelType w:val="hybridMultilevel"/>
    <w:tmpl w:val="8CF8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E53F7C"/>
    <w:multiLevelType w:val="hybridMultilevel"/>
    <w:tmpl w:val="8B3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DC3F48"/>
    <w:multiLevelType w:val="hybridMultilevel"/>
    <w:tmpl w:val="C0C0421A"/>
    <w:lvl w:ilvl="0" w:tplc="BB10E6C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26CE0"/>
    <w:multiLevelType w:val="hybridMultilevel"/>
    <w:tmpl w:val="AC5E3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4"/>
  </w:num>
  <w:num w:numId="6">
    <w:abstractNumId w:val="0"/>
  </w:num>
  <w:num w:numId="7">
    <w:abstractNumId w:val="7"/>
  </w:num>
  <w:num w:numId="8">
    <w:abstractNumId w:val="10"/>
  </w:num>
  <w:num w:numId="9">
    <w:abstractNumId w:val="11"/>
  </w:num>
  <w:num w:numId="10">
    <w:abstractNumId w:val="5"/>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0C50"/>
    <w:rsid w:val="00084451"/>
    <w:rsid w:val="001B7189"/>
    <w:rsid w:val="00334501"/>
    <w:rsid w:val="00384CD9"/>
    <w:rsid w:val="005C2344"/>
    <w:rsid w:val="009018FC"/>
    <w:rsid w:val="00A50EE8"/>
    <w:rsid w:val="00B41290"/>
    <w:rsid w:val="00C23AC0"/>
    <w:rsid w:val="00D64933"/>
    <w:rsid w:val="00F10C5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50"/>
    <w:pPr>
      <w:spacing w:after="60" w:line="240" w:lineRule="auto"/>
    </w:pPr>
    <w:rPr>
      <w:rFonts w:ascii="Times New Roman" w:eastAsiaTheme="minorEastAsia" w:hAnsi="Times New Roman"/>
      <w:lang w:val="en-GB" w:eastAsia="zh-TW"/>
    </w:rPr>
  </w:style>
  <w:style w:type="paragraph" w:styleId="Heading1">
    <w:name w:val="heading 1"/>
    <w:basedOn w:val="Normal"/>
    <w:next w:val="Normal"/>
    <w:link w:val="Heading1Char"/>
    <w:uiPriority w:val="9"/>
    <w:qFormat/>
    <w:rsid w:val="00F10C50"/>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10C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C50"/>
    <w:rPr>
      <w:rFonts w:asciiTheme="majorHAnsi" w:eastAsiaTheme="majorEastAsia" w:hAnsiTheme="majorHAnsi" w:cstheme="majorBidi"/>
      <w:b/>
      <w:bCs/>
      <w:color w:val="365F91" w:themeColor="accent1" w:themeShade="BF"/>
      <w:sz w:val="28"/>
      <w:szCs w:val="28"/>
      <w:lang w:val="en-GB" w:eastAsia="zh-TW"/>
    </w:rPr>
  </w:style>
  <w:style w:type="character" w:customStyle="1" w:styleId="Heading3Char">
    <w:name w:val="Heading 3 Char"/>
    <w:basedOn w:val="DefaultParagraphFont"/>
    <w:link w:val="Heading3"/>
    <w:uiPriority w:val="9"/>
    <w:rsid w:val="00F10C50"/>
    <w:rPr>
      <w:rFonts w:asciiTheme="majorHAnsi" w:eastAsiaTheme="majorEastAsia" w:hAnsiTheme="majorHAnsi" w:cstheme="majorBidi"/>
      <w:b/>
      <w:bCs/>
      <w:color w:val="4F81BD" w:themeColor="accent1"/>
      <w:lang w:val="en-GB" w:eastAsia="zh-TW"/>
    </w:rPr>
  </w:style>
  <w:style w:type="character" w:styleId="Hyperlink">
    <w:name w:val="Hyperlink"/>
    <w:basedOn w:val="DefaultParagraphFont"/>
    <w:uiPriority w:val="99"/>
    <w:unhideWhenUsed/>
    <w:rsid w:val="00F10C50"/>
    <w:rPr>
      <w:color w:val="0000FF" w:themeColor="hyperlink"/>
      <w:u w:val="single"/>
    </w:rPr>
  </w:style>
  <w:style w:type="table" w:styleId="TableGrid">
    <w:name w:val="Table Grid"/>
    <w:basedOn w:val="TableNormal"/>
    <w:uiPriority w:val="59"/>
    <w:rsid w:val="00F10C5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10C50"/>
    <w:pPr>
      <w:ind w:left="720"/>
      <w:contextualSpacing/>
    </w:pPr>
    <w:rPr>
      <w:rFonts w:eastAsia="Times New Roman" w:cs="Times New Roman"/>
      <w:sz w:val="20"/>
      <w:szCs w:val="20"/>
      <w:lang w:val="en-US" w:eastAsia="en-US"/>
    </w:rPr>
  </w:style>
  <w:style w:type="paragraph" w:styleId="FootnoteText">
    <w:name w:val="footnote text"/>
    <w:basedOn w:val="Normal"/>
    <w:link w:val="FootnoteTextChar"/>
    <w:uiPriority w:val="99"/>
    <w:unhideWhenUsed/>
    <w:rsid w:val="00F10C50"/>
    <w:pPr>
      <w:spacing w:after="20"/>
    </w:pPr>
    <w:rPr>
      <w:sz w:val="20"/>
      <w:szCs w:val="20"/>
    </w:rPr>
  </w:style>
  <w:style w:type="character" w:customStyle="1" w:styleId="FootnoteTextChar">
    <w:name w:val="Footnote Text Char"/>
    <w:basedOn w:val="DefaultParagraphFont"/>
    <w:link w:val="FootnoteText"/>
    <w:uiPriority w:val="99"/>
    <w:rsid w:val="00F10C50"/>
    <w:rPr>
      <w:rFonts w:ascii="Times New Roman" w:eastAsiaTheme="minorEastAsia" w:hAnsi="Times New Roman"/>
      <w:sz w:val="20"/>
      <w:szCs w:val="20"/>
      <w:lang w:val="en-GB" w:eastAsia="zh-TW"/>
    </w:rPr>
  </w:style>
  <w:style w:type="character" w:styleId="FootnoteReference">
    <w:name w:val="footnote reference"/>
    <w:basedOn w:val="DefaultParagraphFont"/>
    <w:uiPriority w:val="99"/>
    <w:unhideWhenUsed/>
    <w:rsid w:val="00F10C50"/>
    <w:rPr>
      <w:vertAlign w:val="superscript"/>
    </w:rPr>
  </w:style>
  <w:style w:type="character" w:customStyle="1" w:styleId="ListParagraphChar">
    <w:name w:val="List Paragraph Char"/>
    <w:basedOn w:val="DefaultParagraphFont"/>
    <w:link w:val="ListParagraph"/>
    <w:uiPriority w:val="34"/>
    <w:rsid w:val="00F10C50"/>
    <w:rPr>
      <w:rFonts w:ascii="Times New Roman" w:eastAsia="Times New Roman" w:hAnsi="Times New Roman" w:cs="Times New Roman"/>
      <w:sz w:val="20"/>
      <w:szCs w:val="20"/>
    </w:rPr>
  </w:style>
  <w:style w:type="paragraph" w:styleId="NoSpacing">
    <w:name w:val="No Spacing"/>
    <w:uiPriority w:val="1"/>
    <w:qFormat/>
    <w:rsid w:val="00084451"/>
    <w:pPr>
      <w:spacing w:after="0" w:line="240" w:lineRule="auto"/>
    </w:pPr>
    <w:rPr>
      <w:rFonts w:eastAsiaTheme="minorEastAsia"/>
      <w:lang w:eastAsia="ko-KR"/>
    </w:rPr>
  </w:style>
  <w:style w:type="paragraph" w:styleId="Title">
    <w:name w:val="Title"/>
    <w:basedOn w:val="Normal"/>
    <w:link w:val="TitleChar"/>
    <w:qFormat/>
    <w:rsid w:val="00084451"/>
    <w:pPr>
      <w:spacing w:after="0"/>
      <w:jc w:val="center"/>
    </w:pPr>
    <w:rPr>
      <w:rFonts w:ascii="Arial" w:eastAsia="Times New Roman" w:hAnsi="Arial" w:cs="Times New Roman"/>
      <w:b/>
      <w:bCs/>
      <w:sz w:val="28"/>
      <w:szCs w:val="24"/>
      <w:lang w:val="en-US" w:eastAsia="en-US"/>
    </w:rPr>
  </w:style>
  <w:style w:type="character" w:customStyle="1" w:styleId="TitleChar">
    <w:name w:val="Title Char"/>
    <w:basedOn w:val="DefaultParagraphFont"/>
    <w:link w:val="Title"/>
    <w:rsid w:val="00084451"/>
    <w:rPr>
      <w:rFonts w:ascii="Arial" w:eastAsia="Times New Roman"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50"/>
    <w:pPr>
      <w:spacing w:after="60" w:line="240" w:lineRule="auto"/>
    </w:pPr>
    <w:rPr>
      <w:rFonts w:ascii="Times New Roman" w:eastAsiaTheme="minorEastAsia" w:hAnsi="Times New Roman"/>
      <w:lang w:val="en-GB" w:eastAsia="zh-TW"/>
    </w:rPr>
  </w:style>
  <w:style w:type="paragraph" w:styleId="Heading1">
    <w:name w:val="heading 1"/>
    <w:basedOn w:val="Normal"/>
    <w:next w:val="Normal"/>
    <w:link w:val="Heading1Char"/>
    <w:uiPriority w:val="9"/>
    <w:qFormat/>
    <w:rsid w:val="00F10C50"/>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10C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C50"/>
    <w:rPr>
      <w:rFonts w:asciiTheme="majorHAnsi" w:eastAsiaTheme="majorEastAsia" w:hAnsiTheme="majorHAnsi" w:cstheme="majorBidi"/>
      <w:b/>
      <w:bCs/>
      <w:color w:val="365F91" w:themeColor="accent1" w:themeShade="BF"/>
      <w:sz w:val="28"/>
      <w:szCs w:val="28"/>
      <w:lang w:val="en-GB" w:eastAsia="zh-TW"/>
    </w:rPr>
  </w:style>
  <w:style w:type="character" w:customStyle="1" w:styleId="Heading3Char">
    <w:name w:val="Heading 3 Char"/>
    <w:basedOn w:val="DefaultParagraphFont"/>
    <w:link w:val="Heading3"/>
    <w:uiPriority w:val="9"/>
    <w:rsid w:val="00F10C50"/>
    <w:rPr>
      <w:rFonts w:asciiTheme="majorHAnsi" w:eastAsiaTheme="majorEastAsia" w:hAnsiTheme="majorHAnsi" w:cstheme="majorBidi"/>
      <w:b/>
      <w:bCs/>
      <w:color w:val="4F81BD" w:themeColor="accent1"/>
      <w:lang w:val="en-GB" w:eastAsia="zh-TW"/>
    </w:rPr>
  </w:style>
  <w:style w:type="character" w:styleId="Hyperlink">
    <w:name w:val="Hyperlink"/>
    <w:basedOn w:val="DefaultParagraphFont"/>
    <w:uiPriority w:val="99"/>
    <w:unhideWhenUsed/>
    <w:rsid w:val="00F10C50"/>
    <w:rPr>
      <w:color w:val="0000FF" w:themeColor="hyperlink"/>
      <w:u w:val="single"/>
    </w:rPr>
  </w:style>
  <w:style w:type="table" w:styleId="TableGrid">
    <w:name w:val="Table Grid"/>
    <w:basedOn w:val="TableNormal"/>
    <w:uiPriority w:val="59"/>
    <w:rsid w:val="00F10C5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10C50"/>
    <w:pPr>
      <w:ind w:left="720"/>
      <w:contextualSpacing/>
    </w:pPr>
    <w:rPr>
      <w:rFonts w:eastAsia="Times New Roman" w:cs="Times New Roman"/>
      <w:sz w:val="20"/>
      <w:szCs w:val="20"/>
      <w:lang w:val="en-US" w:eastAsia="en-US"/>
    </w:rPr>
  </w:style>
  <w:style w:type="paragraph" w:styleId="FootnoteText">
    <w:name w:val="footnote text"/>
    <w:basedOn w:val="Normal"/>
    <w:link w:val="FootnoteTextChar"/>
    <w:uiPriority w:val="99"/>
    <w:unhideWhenUsed/>
    <w:rsid w:val="00F10C50"/>
    <w:pPr>
      <w:spacing w:after="20"/>
    </w:pPr>
    <w:rPr>
      <w:sz w:val="20"/>
      <w:szCs w:val="20"/>
    </w:rPr>
  </w:style>
  <w:style w:type="character" w:customStyle="1" w:styleId="FootnoteTextChar">
    <w:name w:val="Footnote Text Char"/>
    <w:basedOn w:val="DefaultParagraphFont"/>
    <w:link w:val="FootnoteText"/>
    <w:uiPriority w:val="99"/>
    <w:rsid w:val="00F10C50"/>
    <w:rPr>
      <w:rFonts w:ascii="Times New Roman" w:eastAsiaTheme="minorEastAsia" w:hAnsi="Times New Roman"/>
      <w:sz w:val="20"/>
      <w:szCs w:val="20"/>
      <w:lang w:val="en-GB" w:eastAsia="zh-TW"/>
    </w:rPr>
  </w:style>
  <w:style w:type="character" w:styleId="FootnoteReference">
    <w:name w:val="footnote reference"/>
    <w:basedOn w:val="DefaultParagraphFont"/>
    <w:uiPriority w:val="99"/>
    <w:unhideWhenUsed/>
    <w:rsid w:val="00F10C50"/>
    <w:rPr>
      <w:vertAlign w:val="superscript"/>
    </w:rPr>
  </w:style>
  <w:style w:type="character" w:customStyle="1" w:styleId="ListParagraphChar">
    <w:name w:val="List Paragraph Char"/>
    <w:basedOn w:val="DefaultParagraphFont"/>
    <w:link w:val="ListParagraph"/>
    <w:uiPriority w:val="34"/>
    <w:rsid w:val="00F10C50"/>
    <w:rPr>
      <w:rFonts w:ascii="Times New Roman" w:eastAsia="Times New Roman" w:hAnsi="Times New Roman" w:cs="Times New Roman"/>
      <w:sz w:val="20"/>
      <w:szCs w:val="20"/>
    </w:rPr>
  </w:style>
  <w:style w:type="paragraph" w:styleId="NoSpacing">
    <w:name w:val="No Spacing"/>
    <w:uiPriority w:val="1"/>
    <w:qFormat/>
    <w:rsid w:val="00084451"/>
    <w:pPr>
      <w:spacing w:after="0" w:line="240" w:lineRule="auto"/>
    </w:pPr>
    <w:rPr>
      <w:rFonts w:eastAsiaTheme="minorEastAsia"/>
      <w:lang w:eastAsia="ko-KR"/>
    </w:rPr>
  </w:style>
  <w:style w:type="paragraph" w:styleId="Title">
    <w:name w:val="Title"/>
    <w:basedOn w:val="Normal"/>
    <w:link w:val="TitleChar"/>
    <w:qFormat/>
    <w:rsid w:val="00084451"/>
    <w:pPr>
      <w:spacing w:after="0"/>
      <w:jc w:val="center"/>
    </w:pPr>
    <w:rPr>
      <w:rFonts w:ascii="Arial" w:eastAsia="Times New Roman" w:hAnsi="Arial" w:cs="Times New Roman"/>
      <w:b/>
      <w:bCs/>
      <w:sz w:val="28"/>
      <w:szCs w:val="24"/>
      <w:lang w:val="en-US" w:eastAsia="en-US"/>
    </w:rPr>
  </w:style>
  <w:style w:type="character" w:customStyle="1" w:styleId="TitleChar">
    <w:name w:val="Title Char"/>
    <w:basedOn w:val="DefaultParagraphFont"/>
    <w:link w:val="Title"/>
    <w:rsid w:val="00084451"/>
    <w:rPr>
      <w:rFonts w:ascii="Arial" w:eastAsia="Times New Roman" w:hAnsi="Arial"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zharas.takenov</dc:creator>
  <cp:lastModifiedBy>le.le.lan</cp:lastModifiedBy>
  <cp:revision>2</cp:revision>
  <dcterms:created xsi:type="dcterms:W3CDTF">2014-02-27T00:04:00Z</dcterms:created>
  <dcterms:modified xsi:type="dcterms:W3CDTF">2014-02-27T00:04:00Z</dcterms:modified>
</cp:coreProperties>
</file>