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5D" w:rsidRDefault="00DB445D" w:rsidP="00DB445D">
      <w:pPr>
        <w:spacing w:line="240" w:lineRule="exact"/>
        <w:rPr>
          <w:b/>
          <w:bCs/>
          <w:caps/>
          <w:color w:val="0000CC"/>
          <w:w w:val="90"/>
        </w:rPr>
      </w:pPr>
      <w:r>
        <w:rPr>
          <w:b/>
          <w:bCs/>
          <w:caps/>
          <w:noProof/>
          <w:color w:val="0000CC"/>
        </w:rPr>
        <mc:AlternateContent>
          <mc:Choice Requires="wps">
            <w:drawing>
              <wp:anchor distT="0" distB="0" distL="114300" distR="114300" simplePos="0" relativeHeight="251660288" behindDoc="0" locked="0" layoutInCell="1" allowOverlap="1">
                <wp:simplePos x="0" y="0"/>
                <wp:positionH relativeFrom="column">
                  <wp:posOffset>4299585</wp:posOffset>
                </wp:positionH>
                <wp:positionV relativeFrom="paragraph">
                  <wp:posOffset>-805180</wp:posOffset>
                </wp:positionV>
                <wp:extent cx="1157605" cy="1105535"/>
                <wp:effectExtent l="0" t="0" r="4445" b="0"/>
                <wp:wrapNone/>
                <wp:docPr id="26" name="Zone de texte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760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45D" w:rsidRPr="00EE7EC2" w:rsidRDefault="00DB445D" w:rsidP="00DB445D">
                            <w:r>
                              <w:rPr>
                                <w:noProof/>
                              </w:rPr>
                              <w:drawing>
                                <wp:inline distT="0" distB="0" distL="0" distR="0" wp14:anchorId="3984CFF0" wp14:editId="3729EEE6">
                                  <wp:extent cx="974537" cy="1064526"/>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556" cy="1064547"/>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6" o:spid="_x0000_s1026" type="#_x0000_t202" style="position:absolute;margin-left:338.55pt;margin-top:-63.4pt;width:91.15pt;height:87.05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" stroked="f">
                <v:textbox>
                  <w:txbxContent>
                    <w:p w:rsidR="00DB445D" w:rsidRPr="00EE7EC2" w:rsidRDefault="00DB445D" w:rsidP="00DB445D">
                      <w:r>
                        <w:rPr>
                          <w:noProof/>
                        </w:rPr>
                        <w:drawing>
                          <wp:inline distT="0" distB="0" distL="0" distR="0" wp14:anchorId="3984CFF0" wp14:editId="3729EEE6">
                            <wp:extent cx="974537" cy="1064526"/>
                            <wp:effectExtent l="0" t="0" r="0" b="254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74556" cy="1064547"/>
                                    </a:xfrm>
                                    <a:prstGeom prst="rect">
                                      <a:avLst/>
                                    </a:prstGeom>
                                    <a:noFill/>
                                    <a:ln>
                                      <a:noFill/>
                                    </a:ln>
                                  </pic:spPr>
                                </pic:pic>
                              </a:graphicData>
                            </a:graphic>
                          </wp:inline>
                        </w:drawing>
                      </w:r>
                    </w:p>
                  </w:txbxContent>
                </v:textbox>
              </v:shape>
            </w:pict>
          </mc:Fallback>
        </mc:AlternateContent>
      </w:r>
      <w:r>
        <w:rPr>
          <w:b/>
          <w:bCs/>
          <w:caps/>
          <w:noProof/>
          <w:color w:val="0000CC"/>
        </w:rPr>
        <mc:AlternateContent>
          <mc:Choice Requires="wps">
            <w:drawing>
              <wp:anchor distT="0" distB="0" distL="114300" distR="114300" simplePos="0" relativeHeight="251659264" behindDoc="1" locked="0" layoutInCell="1" allowOverlap="1">
                <wp:simplePos x="0" y="0"/>
                <wp:positionH relativeFrom="column">
                  <wp:posOffset>260985</wp:posOffset>
                </wp:positionH>
                <wp:positionV relativeFrom="paragraph">
                  <wp:posOffset>-739775</wp:posOffset>
                </wp:positionV>
                <wp:extent cx="1296035" cy="1028700"/>
                <wp:effectExtent l="0" t="0" r="0" b="0"/>
                <wp:wrapNone/>
                <wp:docPr id="23" name="Zone de texte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445D" w:rsidRPr="00EE7EC2" w:rsidRDefault="00DB445D" w:rsidP="00DB445D">
                            <w:r>
                              <w:rPr>
                                <w:noProof/>
                              </w:rPr>
                              <w:drawing>
                                <wp:inline distT="0" distB="0" distL="0" distR="0" wp14:anchorId="40D96E8F" wp14:editId="70732B5A">
                                  <wp:extent cx="1112520" cy="9347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520" cy="934720"/>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Zone de texte 23" o:spid="_x0000_s1027" type="#_x0000_t202" style="position:absolute;margin-left:20.55pt;margin-top:-58.25pt;width:102.05pt;height:81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" stroked="f">
                <v:textbox>
                  <w:txbxContent>
                    <w:p w:rsidR="00DB445D" w:rsidRPr="00EE7EC2" w:rsidRDefault="00DB445D" w:rsidP="00DB445D">
                      <w:r>
                        <w:rPr>
                          <w:noProof/>
                        </w:rPr>
                        <w:drawing>
                          <wp:inline distT="0" distB="0" distL="0" distR="0" wp14:anchorId="40D96E8F" wp14:editId="70732B5A">
                            <wp:extent cx="1112520" cy="93472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520" cy="934720"/>
                                    </a:xfrm>
                                    <a:prstGeom prst="rect">
                                      <a:avLst/>
                                    </a:prstGeom>
                                    <a:noFill/>
                                    <a:ln>
                                      <a:noFill/>
                                    </a:ln>
                                  </pic:spPr>
                                </pic:pic>
                              </a:graphicData>
                            </a:graphic>
                          </wp:inline>
                        </w:drawing>
                      </w:r>
                    </w:p>
                  </w:txbxContent>
                </v:textbox>
              </v:shape>
            </w:pict>
          </mc:Fallback>
        </mc:AlternateContent>
      </w:r>
    </w:p>
    <w:p w:rsidR="00DB445D" w:rsidRDefault="00DB445D" w:rsidP="00DB445D">
      <w:pPr>
        <w:spacing w:line="240" w:lineRule="exact"/>
        <w:rPr>
          <w:b/>
          <w:bCs/>
          <w:caps/>
          <w:color w:val="0000CC"/>
          <w:w w:val="90"/>
        </w:rPr>
      </w:pPr>
    </w:p>
    <w:p w:rsidR="00DB445D" w:rsidRPr="0046490F" w:rsidRDefault="00DB445D" w:rsidP="00DB445D">
      <w:pPr>
        <w:spacing w:line="240" w:lineRule="exact"/>
        <w:rPr>
          <w:b/>
          <w:bCs/>
          <w:caps/>
          <w:color w:val="0000CC"/>
          <w:w w:val="90"/>
          <w:sz w:val="22"/>
          <w:szCs w:val="22"/>
        </w:rPr>
      </w:pPr>
      <w:r w:rsidRPr="0046490F">
        <w:rPr>
          <w:b/>
          <w:bCs/>
          <w:caps/>
          <w:color w:val="0000CC"/>
          <w:w w:val="90"/>
          <w:sz w:val="22"/>
          <w:szCs w:val="22"/>
        </w:rPr>
        <w:t>Système des NationS UNIES</w:t>
      </w:r>
      <w:r>
        <w:rPr>
          <w:b/>
          <w:bCs/>
          <w:caps/>
          <w:color w:val="0000CC"/>
          <w:w w:val="90"/>
          <w:sz w:val="22"/>
          <w:szCs w:val="22"/>
        </w:rPr>
        <w:t xml:space="preserve">                                                                         </w:t>
      </w:r>
      <w:r w:rsidRPr="0046490F">
        <w:rPr>
          <w:b/>
          <w:bCs/>
          <w:caps/>
          <w:color w:val="0000CC"/>
          <w:w w:val="90"/>
          <w:sz w:val="22"/>
          <w:szCs w:val="22"/>
        </w:rPr>
        <w:t>République de Guinée</w:t>
      </w:r>
    </w:p>
    <w:p w:rsidR="00DB445D" w:rsidRPr="0046490F" w:rsidRDefault="00DB445D" w:rsidP="00DB445D">
      <w:pPr>
        <w:spacing w:line="240" w:lineRule="exact"/>
        <w:rPr>
          <w:b/>
          <w:bCs/>
          <w:caps/>
          <w:color w:val="0000CC"/>
          <w:w w:val="90"/>
          <w:sz w:val="22"/>
          <w:szCs w:val="22"/>
        </w:rPr>
      </w:pPr>
      <w:r w:rsidRPr="0046490F">
        <w:rPr>
          <w:b/>
          <w:bCs/>
          <w:caps/>
          <w:color w:val="0000CC"/>
          <w:w w:val="90"/>
          <w:sz w:val="22"/>
          <w:szCs w:val="22"/>
        </w:rPr>
        <w:t>EN GUINÉE</w:t>
      </w:r>
    </w:p>
    <w:p w:rsidR="00DB445D" w:rsidRPr="0046490F" w:rsidRDefault="00DB445D" w:rsidP="00DB445D">
      <w:pPr>
        <w:ind w:left="7088" w:hanging="7514"/>
        <w:rPr>
          <w:b/>
          <w:bCs/>
          <w:caps/>
          <w:color w:val="0000CC"/>
          <w:w w:val="90"/>
          <w:sz w:val="22"/>
          <w:szCs w:val="22"/>
        </w:rPr>
      </w:pPr>
    </w:p>
    <w:p w:rsidR="00DB445D" w:rsidRDefault="00DB445D" w:rsidP="00DB445D">
      <w:pPr>
        <w:pStyle w:val="Corpsdetexte2"/>
        <w:spacing w:after="0" w:line="240" w:lineRule="auto"/>
        <w:jc w:val="center"/>
        <w:rPr>
          <w:rFonts w:ascii="Book Antiqua" w:hAnsi="Book Antiqua"/>
          <w:b/>
          <w:sz w:val="32"/>
          <w:szCs w:val="32"/>
        </w:rPr>
      </w:pPr>
    </w:p>
    <w:p w:rsidR="00DB445D" w:rsidRDefault="00DB445D" w:rsidP="00DB445D">
      <w:pPr>
        <w:pStyle w:val="Corpsdetexte2"/>
        <w:spacing w:after="0" w:line="240" w:lineRule="auto"/>
        <w:jc w:val="center"/>
        <w:rPr>
          <w:rFonts w:ascii="Book Antiqua" w:hAnsi="Book Antiqua"/>
          <w:b/>
          <w:sz w:val="32"/>
          <w:szCs w:val="32"/>
        </w:rPr>
      </w:pPr>
    </w:p>
    <w:p w:rsidR="00DB445D" w:rsidRDefault="00DB445D" w:rsidP="00DB445D">
      <w:pPr>
        <w:pStyle w:val="Corpsdetexte2"/>
        <w:spacing w:after="0" w:line="240" w:lineRule="auto"/>
        <w:jc w:val="center"/>
        <w:rPr>
          <w:rFonts w:ascii="Book Antiqua" w:hAnsi="Book Antiqua"/>
          <w:b/>
          <w:sz w:val="32"/>
          <w:szCs w:val="32"/>
        </w:rPr>
      </w:pPr>
    </w:p>
    <w:p w:rsidR="00DB445D" w:rsidRDefault="00DB445D" w:rsidP="00DB445D">
      <w:pPr>
        <w:pStyle w:val="Corpsdetexte2"/>
        <w:spacing w:after="0" w:line="240" w:lineRule="auto"/>
        <w:rPr>
          <w:rFonts w:ascii="Book Antiqua" w:hAnsi="Book Antiqua"/>
          <w:b/>
          <w:sz w:val="32"/>
          <w:szCs w:val="32"/>
        </w:rPr>
      </w:pPr>
    </w:p>
    <w:p w:rsidR="00DB445D" w:rsidRDefault="00DB445D" w:rsidP="00DB445D">
      <w:pPr>
        <w:pStyle w:val="Corpsdetexte2"/>
        <w:spacing w:after="0" w:line="240" w:lineRule="auto"/>
        <w:rPr>
          <w:rFonts w:ascii="Book Antiqua" w:hAnsi="Book Antiqua"/>
          <w:b/>
          <w:sz w:val="32"/>
          <w:szCs w:val="32"/>
        </w:rPr>
      </w:pPr>
    </w:p>
    <w:p w:rsidR="00DB445D" w:rsidRDefault="00DB445D" w:rsidP="00DB445D">
      <w:pPr>
        <w:pStyle w:val="Corpsdetexte2"/>
        <w:spacing w:after="0" w:line="240" w:lineRule="auto"/>
        <w:rPr>
          <w:rFonts w:ascii="Book Antiqua" w:hAnsi="Book Antiqua"/>
          <w:b/>
          <w:sz w:val="32"/>
          <w:szCs w:val="32"/>
        </w:rPr>
      </w:pPr>
    </w:p>
    <w:p w:rsidR="00DB445D" w:rsidRDefault="00DB445D" w:rsidP="00DB445D">
      <w:pPr>
        <w:pStyle w:val="Corpsdetexte2"/>
        <w:spacing w:after="0" w:line="240" w:lineRule="auto"/>
        <w:rPr>
          <w:rFonts w:ascii="Book Antiqua" w:hAnsi="Book Antiqua"/>
          <w:b/>
          <w:sz w:val="32"/>
          <w:szCs w:val="32"/>
        </w:rPr>
      </w:pPr>
    </w:p>
    <w:p w:rsidR="00DB445D" w:rsidRDefault="00DB445D" w:rsidP="00DB445D">
      <w:pPr>
        <w:pStyle w:val="Corpsdetexte2"/>
        <w:spacing w:after="0" w:line="240" w:lineRule="auto"/>
        <w:jc w:val="center"/>
        <w:rPr>
          <w:rFonts w:ascii="Book Antiqua" w:hAnsi="Book Antiqua"/>
          <w:b/>
          <w:sz w:val="32"/>
          <w:szCs w:val="32"/>
        </w:rPr>
      </w:pPr>
    </w:p>
    <w:p w:rsidR="00DB445D" w:rsidRDefault="00DB445D" w:rsidP="00DB445D">
      <w:pPr>
        <w:pStyle w:val="Corpsdetexte2"/>
        <w:pBdr>
          <w:top w:val="single" w:sz="24" w:space="1" w:color="auto"/>
          <w:left w:val="single" w:sz="24" w:space="4" w:color="auto"/>
          <w:bottom w:val="single" w:sz="24" w:space="1" w:color="auto"/>
          <w:right w:val="single" w:sz="24" w:space="4" w:color="auto"/>
        </w:pBdr>
        <w:shd w:val="clear" w:color="auto" w:fill="CC99FF"/>
        <w:spacing w:after="0" w:line="240" w:lineRule="auto"/>
        <w:jc w:val="center"/>
        <w:rPr>
          <w:rFonts w:ascii="Book Antiqua" w:hAnsi="Book Antiqua"/>
          <w:b/>
          <w:sz w:val="32"/>
          <w:szCs w:val="32"/>
        </w:rPr>
      </w:pPr>
    </w:p>
    <w:p w:rsidR="00DB445D" w:rsidRPr="002A16B8" w:rsidRDefault="00DB445D" w:rsidP="00DB445D">
      <w:pPr>
        <w:pStyle w:val="Corpsdetexte2"/>
        <w:pBdr>
          <w:top w:val="single" w:sz="24" w:space="1" w:color="auto"/>
          <w:left w:val="single" w:sz="24" w:space="4" w:color="auto"/>
          <w:bottom w:val="single" w:sz="24" w:space="1" w:color="auto"/>
          <w:right w:val="single" w:sz="24" w:space="4" w:color="auto"/>
        </w:pBdr>
        <w:shd w:val="clear" w:color="auto" w:fill="CC99FF"/>
        <w:spacing w:after="0" w:line="240" w:lineRule="auto"/>
        <w:jc w:val="center"/>
        <w:rPr>
          <w:rFonts w:ascii="Book Antiqua" w:hAnsi="Book Antiqua" w:cs="Aharoni"/>
          <w:b/>
          <w:caps/>
          <w:sz w:val="32"/>
          <w:szCs w:val="32"/>
        </w:rPr>
      </w:pPr>
      <w:r w:rsidRPr="002A16B8">
        <w:rPr>
          <w:rFonts w:ascii="Book Antiqua" w:hAnsi="Book Antiqua" w:cs="Aharoni"/>
          <w:b/>
          <w:caps/>
          <w:sz w:val="32"/>
          <w:szCs w:val="32"/>
        </w:rPr>
        <w:t xml:space="preserve">Évaluation finale du </w:t>
      </w:r>
    </w:p>
    <w:p w:rsidR="00DB445D" w:rsidRPr="002A16B8" w:rsidRDefault="00DB445D" w:rsidP="00DB445D">
      <w:pPr>
        <w:pStyle w:val="Corpsdetexte2"/>
        <w:pBdr>
          <w:top w:val="single" w:sz="24" w:space="1" w:color="auto"/>
          <w:left w:val="single" w:sz="24" w:space="4" w:color="auto"/>
          <w:bottom w:val="single" w:sz="24" w:space="1" w:color="auto"/>
          <w:right w:val="single" w:sz="24" w:space="4" w:color="auto"/>
        </w:pBdr>
        <w:shd w:val="clear" w:color="auto" w:fill="CC99FF"/>
        <w:spacing w:after="0" w:line="240" w:lineRule="auto"/>
        <w:jc w:val="center"/>
        <w:rPr>
          <w:rFonts w:ascii="Book Antiqua" w:hAnsi="Book Antiqua" w:cs="Aharoni"/>
          <w:b/>
          <w:caps/>
          <w:sz w:val="32"/>
          <w:szCs w:val="32"/>
        </w:rPr>
      </w:pPr>
      <w:r w:rsidRPr="002A16B8">
        <w:rPr>
          <w:rFonts w:ascii="Book Antiqua" w:hAnsi="Book Antiqua" w:cs="Aharoni"/>
          <w:b/>
          <w:caps/>
          <w:sz w:val="32"/>
          <w:szCs w:val="32"/>
        </w:rPr>
        <w:t>PROGRAMME CONJOINT POUR LA RELANCE DES DYNAMIQUES LOCALES DE DÉVELOPPEMENT EN GUINÉE</w:t>
      </w:r>
      <w:r>
        <w:rPr>
          <w:rFonts w:ascii="Book Antiqua" w:hAnsi="Book Antiqua" w:cs="Aharoni"/>
          <w:b/>
          <w:caps/>
          <w:sz w:val="32"/>
          <w:szCs w:val="32"/>
        </w:rPr>
        <w:t xml:space="preserve"> </w:t>
      </w:r>
      <w:proofErr w:type="gramStart"/>
      <w:r w:rsidRPr="002A16B8">
        <w:rPr>
          <w:rFonts w:ascii="Book Antiqua" w:hAnsi="Book Antiqua" w:cs="Aharoni"/>
          <w:b/>
          <w:caps/>
          <w:sz w:val="32"/>
          <w:szCs w:val="32"/>
        </w:rPr>
        <w:t>FORESTIÈRE(</w:t>
      </w:r>
      <w:proofErr w:type="gramEnd"/>
      <w:r w:rsidRPr="002A16B8">
        <w:rPr>
          <w:rFonts w:ascii="Book Antiqua" w:hAnsi="Book Antiqua" w:cs="Aharoni"/>
          <w:b/>
          <w:caps/>
          <w:sz w:val="32"/>
          <w:szCs w:val="32"/>
        </w:rPr>
        <w:t>2007 – 2012)</w:t>
      </w:r>
    </w:p>
    <w:p w:rsidR="00DB445D" w:rsidRPr="007B2702" w:rsidRDefault="00DB445D" w:rsidP="00DB445D">
      <w:pPr>
        <w:pStyle w:val="Corpsdetexte2"/>
        <w:pBdr>
          <w:top w:val="single" w:sz="24" w:space="1" w:color="auto"/>
          <w:left w:val="single" w:sz="24" w:space="4" w:color="auto"/>
          <w:bottom w:val="single" w:sz="24" w:space="1" w:color="auto"/>
          <w:right w:val="single" w:sz="24" w:space="4" w:color="auto"/>
        </w:pBdr>
        <w:shd w:val="clear" w:color="auto" w:fill="CC99FF"/>
        <w:spacing w:after="0" w:line="240" w:lineRule="auto"/>
        <w:jc w:val="center"/>
        <w:rPr>
          <w:rFonts w:ascii="Book Antiqua" w:hAnsi="Book Antiqua"/>
          <w:b/>
          <w:sz w:val="32"/>
          <w:szCs w:val="32"/>
        </w:rPr>
      </w:pPr>
    </w:p>
    <w:p w:rsidR="00DB445D" w:rsidRDefault="00DB445D" w:rsidP="00DB445D">
      <w:pPr>
        <w:jc w:val="center"/>
        <w:rPr>
          <w:rFonts w:ascii="Albertus Extra Bold" w:hAnsi="Albertus Extra Bold"/>
          <w:b/>
          <w:bCs/>
          <w:caps/>
          <w:w w:val="90"/>
        </w:rPr>
      </w:pPr>
    </w:p>
    <w:p w:rsidR="00DB445D" w:rsidRDefault="00DB445D" w:rsidP="00DB445D">
      <w:pPr>
        <w:jc w:val="center"/>
        <w:rPr>
          <w:rFonts w:ascii="Arial Black" w:hAnsi="Arial Black" w:cs="Arial"/>
          <w:b/>
          <w:bCs/>
        </w:rPr>
      </w:pPr>
      <w:r>
        <w:rPr>
          <w:rFonts w:ascii="Arial Black" w:hAnsi="Arial Black" w:cs="Arial"/>
          <w:b/>
          <w:bCs/>
        </w:rPr>
        <w:t>Rapport final</w:t>
      </w:r>
    </w:p>
    <w:p w:rsidR="00DB445D" w:rsidRPr="003E57B9" w:rsidRDefault="00DB445D" w:rsidP="00DB445D">
      <w:pPr>
        <w:jc w:val="center"/>
        <w:rPr>
          <w:rFonts w:ascii="Arial Black" w:hAnsi="Arial Black" w:cs="Arial"/>
          <w:b/>
          <w:bCs/>
        </w:rPr>
      </w:pPr>
    </w:p>
    <w:p w:rsidR="00DB445D" w:rsidRDefault="00DB445D" w:rsidP="00DB445D">
      <w:pPr>
        <w:rPr>
          <w:rFonts w:ascii="Albertus Extra Bold" w:hAnsi="Albertus Extra Bold"/>
          <w:b/>
          <w:bCs/>
          <w:caps/>
          <w:w w:val="90"/>
        </w:rPr>
      </w:pPr>
    </w:p>
    <w:p w:rsidR="00DB445D" w:rsidRDefault="00DB445D" w:rsidP="00DB445D">
      <w:pPr>
        <w:rPr>
          <w:rFonts w:ascii="Albertus Extra Bold" w:hAnsi="Albertus Extra Bold"/>
          <w:b/>
          <w:bCs/>
          <w:caps/>
          <w:w w:val="90"/>
        </w:rPr>
      </w:pPr>
    </w:p>
    <w:p w:rsidR="00DB445D" w:rsidRDefault="00DB445D" w:rsidP="00DB445D">
      <w:pPr>
        <w:rPr>
          <w:rFonts w:ascii="Albertus Extra Bold" w:hAnsi="Albertus Extra Bold"/>
          <w:b/>
          <w:bCs/>
          <w:caps/>
          <w:w w:val="90"/>
        </w:rPr>
      </w:pPr>
    </w:p>
    <w:p w:rsidR="00DB445D" w:rsidRPr="002A16B8" w:rsidRDefault="00DB445D" w:rsidP="00DB445D">
      <w:pPr>
        <w:rPr>
          <w:rFonts w:ascii="Albertus Extra Bold" w:hAnsi="Albertus Extra Bold"/>
          <w:b/>
          <w:bCs/>
          <w:caps/>
          <w:w w:val="90"/>
        </w:rPr>
      </w:pPr>
    </w:p>
    <w:p w:rsidR="00DB445D" w:rsidRPr="00CE0306" w:rsidRDefault="00DB445D" w:rsidP="00DB445D">
      <w:pPr>
        <w:rPr>
          <w:rFonts w:ascii="Verdana" w:hAnsi="Verdana" w:cs="Arial"/>
          <w:b/>
          <w:color w:val="7030A0"/>
          <w:sz w:val="20"/>
          <w:u w:val="single"/>
        </w:rPr>
      </w:pPr>
      <w:r w:rsidRPr="00CE0306">
        <w:rPr>
          <w:rFonts w:ascii="Verdana" w:hAnsi="Verdana" w:cs="Arial"/>
          <w:b/>
          <w:color w:val="7030A0"/>
          <w:sz w:val="20"/>
          <w:u w:val="single"/>
        </w:rPr>
        <w:t>Consultants </w:t>
      </w:r>
    </w:p>
    <w:p w:rsidR="00DB445D" w:rsidRPr="00CE0306" w:rsidRDefault="00DB445D" w:rsidP="00DB445D">
      <w:pPr>
        <w:jc w:val="both"/>
        <w:rPr>
          <w:b/>
          <w:sz w:val="20"/>
          <w:u w:val="single"/>
        </w:rPr>
      </w:pPr>
      <w:r w:rsidRPr="00CE0306">
        <w:rPr>
          <w:b/>
          <w:sz w:val="20"/>
          <w:u w:val="single"/>
        </w:rPr>
        <w:t>Société Africaine d’Études &amp; d’Ingénierie Financière</w:t>
      </w:r>
    </w:p>
    <w:p w:rsidR="00DB445D" w:rsidRPr="00CE0306" w:rsidRDefault="00DB445D" w:rsidP="00DB445D">
      <w:pPr>
        <w:jc w:val="both"/>
        <w:rPr>
          <w:b/>
          <w:sz w:val="20"/>
        </w:rPr>
      </w:pPr>
      <w:r w:rsidRPr="00CE0306">
        <w:rPr>
          <w:b/>
          <w:sz w:val="20"/>
        </w:rPr>
        <w:t>SAEIF – Bureau d’Études, Immeuble</w:t>
      </w:r>
      <w:r>
        <w:rPr>
          <w:b/>
          <w:sz w:val="20"/>
        </w:rPr>
        <w:t xml:space="preserve"> </w:t>
      </w:r>
      <w:proofErr w:type="spellStart"/>
      <w:r w:rsidRPr="00CE0306">
        <w:rPr>
          <w:b/>
          <w:sz w:val="20"/>
        </w:rPr>
        <w:t>Alima</w:t>
      </w:r>
      <w:proofErr w:type="spellEnd"/>
      <w:r w:rsidRPr="00CE0306">
        <w:rPr>
          <w:b/>
          <w:sz w:val="20"/>
        </w:rPr>
        <w:t>, 4</w:t>
      </w:r>
      <w:r w:rsidRPr="00CE0306">
        <w:rPr>
          <w:b/>
          <w:sz w:val="20"/>
          <w:vertAlign w:val="superscript"/>
        </w:rPr>
        <w:t>ème</w:t>
      </w:r>
      <w:r w:rsidRPr="00CE0306">
        <w:rPr>
          <w:b/>
          <w:sz w:val="20"/>
        </w:rPr>
        <w:t xml:space="preserve">, </w:t>
      </w:r>
      <w:proofErr w:type="spellStart"/>
      <w:r w:rsidRPr="00CE0306">
        <w:rPr>
          <w:b/>
          <w:sz w:val="20"/>
        </w:rPr>
        <w:t>Manquépas</w:t>
      </w:r>
      <w:proofErr w:type="spellEnd"/>
      <w:r w:rsidRPr="00CE0306">
        <w:rPr>
          <w:b/>
          <w:sz w:val="20"/>
        </w:rPr>
        <w:t xml:space="preserve">, </w:t>
      </w:r>
      <w:proofErr w:type="spellStart"/>
      <w:r w:rsidRPr="00CE0306">
        <w:rPr>
          <w:b/>
          <w:sz w:val="20"/>
        </w:rPr>
        <w:t>Kaloum</w:t>
      </w:r>
      <w:proofErr w:type="spellEnd"/>
      <w:r w:rsidRPr="00CE0306">
        <w:rPr>
          <w:b/>
          <w:sz w:val="20"/>
        </w:rPr>
        <w:t>, Conakry</w:t>
      </w:r>
    </w:p>
    <w:p w:rsidR="00DB445D" w:rsidRDefault="00DB445D" w:rsidP="00DB445D">
      <w:pPr>
        <w:numPr>
          <w:ilvl w:val="0"/>
          <w:numId w:val="2"/>
        </w:numPr>
        <w:jc w:val="both"/>
        <w:rPr>
          <w:b/>
          <w:sz w:val="20"/>
        </w:rPr>
      </w:pPr>
      <w:r w:rsidRPr="00CE0306">
        <w:rPr>
          <w:b/>
          <w:sz w:val="20"/>
        </w:rPr>
        <w:t xml:space="preserve">Alphonse </w:t>
      </w:r>
      <w:proofErr w:type="spellStart"/>
      <w:r w:rsidRPr="00CE0306">
        <w:rPr>
          <w:b/>
          <w:sz w:val="20"/>
        </w:rPr>
        <w:t>Ngom</w:t>
      </w:r>
      <w:proofErr w:type="spellEnd"/>
    </w:p>
    <w:p w:rsidR="00DB445D" w:rsidRDefault="00DB445D" w:rsidP="00DB445D">
      <w:pPr>
        <w:numPr>
          <w:ilvl w:val="0"/>
          <w:numId w:val="2"/>
        </w:numPr>
        <w:jc w:val="both"/>
        <w:rPr>
          <w:b/>
          <w:bCs/>
          <w:caps/>
          <w:w w:val="90"/>
        </w:rPr>
      </w:pPr>
      <w:r w:rsidRPr="00CE0306">
        <w:rPr>
          <w:b/>
          <w:sz w:val="20"/>
        </w:rPr>
        <w:t>Dr Che</w:t>
      </w:r>
      <w:r>
        <w:rPr>
          <w:b/>
          <w:sz w:val="20"/>
        </w:rPr>
        <w:t>i</w:t>
      </w:r>
      <w:r w:rsidRPr="00CE0306">
        <w:rPr>
          <w:b/>
          <w:sz w:val="20"/>
        </w:rPr>
        <w:t>ck Tidiane Sidibé</w:t>
      </w:r>
    </w:p>
    <w:p w:rsidR="00DB445D" w:rsidRPr="002A16B8" w:rsidRDefault="00DB445D" w:rsidP="00DB445D">
      <w:pPr>
        <w:jc w:val="center"/>
        <w:rPr>
          <w:rFonts w:ascii="Albertus Extra Bold" w:hAnsi="Albertus Extra Bold"/>
          <w:b/>
          <w:bCs/>
          <w:caps/>
          <w:w w:val="90"/>
        </w:rPr>
      </w:pPr>
    </w:p>
    <w:p w:rsidR="00DB445D" w:rsidRPr="002A16B8" w:rsidRDefault="00DB445D" w:rsidP="00DB445D">
      <w:pPr>
        <w:jc w:val="center"/>
        <w:rPr>
          <w:rFonts w:ascii="Albertus Extra Bold" w:hAnsi="Albertus Extra Bold"/>
          <w:b/>
          <w:bCs/>
          <w:caps/>
          <w:w w:val="90"/>
        </w:rPr>
      </w:pPr>
    </w:p>
    <w:p w:rsidR="00DB445D" w:rsidRPr="002A16B8" w:rsidRDefault="00DB445D" w:rsidP="00DB445D">
      <w:pPr>
        <w:jc w:val="center"/>
        <w:rPr>
          <w:rFonts w:ascii="Albertus Extra Bold" w:hAnsi="Albertus Extra Bold"/>
          <w:b/>
          <w:bCs/>
          <w:caps/>
          <w:w w:val="90"/>
        </w:rPr>
      </w:pPr>
    </w:p>
    <w:p w:rsidR="00DB445D" w:rsidRPr="002A16B8" w:rsidRDefault="00DB445D" w:rsidP="00DB445D">
      <w:pPr>
        <w:jc w:val="center"/>
        <w:rPr>
          <w:rFonts w:ascii="Calibri" w:hAnsi="Calibri" w:cs="Calibri"/>
          <w:b/>
          <w:bCs/>
        </w:rPr>
      </w:pPr>
      <w:r>
        <w:rPr>
          <w:rFonts w:ascii="Calibri" w:hAnsi="Calibri" w:cs="Calibri"/>
          <w:b/>
          <w:bCs/>
        </w:rPr>
        <w:t>Décembre 2012</w:t>
      </w:r>
    </w:p>
    <w:p w:rsidR="00DB445D" w:rsidRPr="002A16B8" w:rsidRDefault="00DB445D" w:rsidP="00DB445D">
      <w:pPr>
        <w:jc w:val="center"/>
        <w:rPr>
          <w:rFonts w:ascii="Calibri" w:hAnsi="Calibri" w:cs="Calibri"/>
          <w:b/>
          <w:bCs/>
          <w:caps/>
          <w:w w:val="90"/>
          <w:sz w:val="36"/>
          <w:szCs w:val="36"/>
        </w:rPr>
      </w:pPr>
    </w:p>
    <w:p w:rsidR="00DB445D" w:rsidRPr="002A16B8" w:rsidRDefault="00DB445D" w:rsidP="00DB445D">
      <w:pPr>
        <w:jc w:val="center"/>
        <w:rPr>
          <w:rFonts w:ascii="Calibri" w:hAnsi="Calibri" w:cs="Calibri"/>
          <w:b/>
          <w:bCs/>
          <w:caps/>
          <w:w w:val="90"/>
          <w:sz w:val="36"/>
          <w:szCs w:val="36"/>
        </w:rPr>
      </w:pPr>
    </w:p>
    <w:p w:rsidR="00DB445D" w:rsidRPr="002A16B8" w:rsidRDefault="00DB445D" w:rsidP="00DB445D">
      <w:pPr>
        <w:jc w:val="center"/>
        <w:rPr>
          <w:rFonts w:ascii="Calibri" w:hAnsi="Calibri" w:cs="Calibri"/>
          <w:b/>
          <w:bCs/>
          <w:caps/>
          <w:w w:val="90"/>
          <w:sz w:val="36"/>
          <w:szCs w:val="36"/>
        </w:rPr>
      </w:pPr>
    </w:p>
    <w:p w:rsidR="00DB445D" w:rsidRPr="002A16B8" w:rsidRDefault="00DB445D" w:rsidP="00DB445D">
      <w:pPr>
        <w:rPr>
          <w:rFonts w:ascii="Calibri" w:hAnsi="Calibri" w:cs="Calibri"/>
          <w:b/>
          <w:sz w:val="20"/>
        </w:rPr>
      </w:pPr>
      <w:r w:rsidRPr="002A16B8">
        <w:rPr>
          <w:rFonts w:ascii="Calibri" w:hAnsi="Calibri" w:cs="Calibri"/>
          <w:b/>
          <w:sz w:val="20"/>
        </w:rPr>
        <w:t xml:space="preserve">Système des Nations Unies </w:t>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Pr>
          <w:rFonts w:ascii="Calibri" w:hAnsi="Calibri" w:cs="Calibri"/>
          <w:b/>
          <w:sz w:val="20"/>
        </w:rPr>
        <w:tab/>
      </w:r>
      <w:r w:rsidRPr="002A16B8">
        <w:rPr>
          <w:rFonts w:ascii="Calibri" w:hAnsi="Calibri" w:cs="Calibri"/>
          <w:b/>
          <w:sz w:val="20"/>
        </w:rPr>
        <w:t xml:space="preserve">Ministère de la Coopération                           </w:t>
      </w:r>
      <w:r w:rsidRPr="002A16B8">
        <w:rPr>
          <w:rFonts w:ascii="Calibri" w:hAnsi="Calibri" w:cs="Calibri"/>
          <w:b/>
          <w:sz w:val="20"/>
        </w:rPr>
        <w:tab/>
      </w:r>
      <w:r w:rsidRPr="002A16B8">
        <w:rPr>
          <w:rFonts w:ascii="Calibri" w:hAnsi="Calibri" w:cs="Calibri"/>
          <w:b/>
          <w:sz w:val="20"/>
        </w:rPr>
        <w:tab/>
      </w:r>
      <w:r w:rsidRPr="002A16B8">
        <w:rPr>
          <w:rFonts w:ascii="Calibri" w:hAnsi="Calibri" w:cs="Calibri"/>
          <w:b/>
          <w:sz w:val="20"/>
        </w:rPr>
        <w:tab/>
      </w:r>
      <w:r w:rsidRPr="002A16B8">
        <w:rPr>
          <w:rFonts w:ascii="Calibri" w:hAnsi="Calibri" w:cs="Calibri"/>
          <w:b/>
          <w:sz w:val="20"/>
        </w:rPr>
        <w:tab/>
      </w:r>
    </w:p>
    <w:p w:rsidR="00DB445D" w:rsidRDefault="00DB445D" w:rsidP="00DB445D">
      <w:pPr>
        <w:jc w:val="both"/>
        <w:rPr>
          <w:rFonts w:ascii="Rockwell Extra Bold" w:hAnsi="Rockwell Extra Bold" w:cs="Arial"/>
          <w:bCs/>
          <w:caps/>
          <w:sz w:val="22"/>
          <w:szCs w:val="22"/>
        </w:rPr>
      </w:pPr>
    </w:p>
    <w:p w:rsidR="00DB445D" w:rsidRDefault="00DB445D" w:rsidP="00DB445D">
      <w:pPr>
        <w:jc w:val="both"/>
        <w:rPr>
          <w:rFonts w:ascii="Rockwell Extra Bold" w:hAnsi="Rockwell Extra Bold" w:cs="Arial"/>
          <w:bCs/>
          <w:caps/>
          <w:sz w:val="22"/>
          <w:szCs w:val="22"/>
        </w:rPr>
      </w:pPr>
    </w:p>
    <w:p w:rsidR="00DB445D" w:rsidRDefault="00DB445D" w:rsidP="00DB445D">
      <w:pPr>
        <w:jc w:val="both"/>
        <w:rPr>
          <w:rFonts w:ascii="Rockwell Extra Bold" w:hAnsi="Rockwell Extra Bold" w:cs="Arial"/>
          <w:bCs/>
          <w:caps/>
          <w:sz w:val="22"/>
          <w:szCs w:val="22"/>
        </w:rPr>
      </w:pPr>
    </w:p>
    <w:p w:rsidR="00DB445D" w:rsidRPr="0022407A" w:rsidRDefault="00DB445D" w:rsidP="00DB445D">
      <w:pPr>
        <w:jc w:val="both"/>
        <w:rPr>
          <w:rFonts w:ascii="Rockwell Extra Bold" w:hAnsi="Rockwell Extra Bold" w:cs="Arial"/>
          <w:bCs/>
          <w:caps/>
          <w:sz w:val="22"/>
          <w:szCs w:val="22"/>
        </w:rPr>
      </w:pPr>
      <w:bookmarkStart w:id="0" w:name="_GoBack"/>
      <w:bookmarkEnd w:id="0"/>
      <w:r>
        <w:rPr>
          <w:rFonts w:ascii="Rockwell Extra Bold" w:hAnsi="Rockwell Extra Bold" w:cs="Arial"/>
          <w:bCs/>
          <w:caps/>
          <w:sz w:val="22"/>
          <w:szCs w:val="22"/>
        </w:rPr>
        <w:lastRenderedPageBreak/>
        <w:t>IV.  L</w:t>
      </w:r>
      <w:r w:rsidRPr="0022407A">
        <w:rPr>
          <w:rFonts w:ascii="Rockwell Extra Bold" w:hAnsi="Rockwell Extra Bold" w:cs="Arial"/>
          <w:bCs/>
          <w:caps/>
          <w:sz w:val="22"/>
          <w:szCs w:val="22"/>
        </w:rPr>
        <w:t>eçons apprises et meilleures pratiques </w:t>
      </w:r>
      <w:r>
        <w:rPr>
          <w:rFonts w:ascii="Rockwell Extra Bold" w:hAnsi="Rockwell Extra Bold" w:cs="Arial"/>
          <w:bCs/>
          <w:caps/>
          <w:sz w:val="22"/>
          <w:szCs w:val="22"/>
        </w:rPr>
        <w:t>à capitaliser</w:t>
      </w:r>
    </w:p>
    <w:p w:rsidR="00DB445D" w:rsidRPr="004B399B" w:rsidRDefault="00DB445D" w:rsidP="00DB445D">
      <w:pPr>
        <w:rPr>
          <w:rFonts w:ascii="Arial Narrow" w:hAnsi="Arial Narrow" w:cs="Arial"/>
          <w:color w:val="FF0000"/>
          <w:sz w:val="14"/>
          <w:szCs w:val="22"/>
        </w:rPr>
      </w:pPr>
    </w:p>
    <w:p w:rsidR="00DB445D" w:rsidRPr="0022407A" w:rsidRDefault="00DB445D" w:rsidP="00DB445D">
      <w:pPr>
        <w:jc w:val="both"/>
        <w:rPr>
          <w:rFonts w:ascii="Arial Narrow" w:hAnsi="Arial Narrow" w:cs="Arial"/>
          <w:sz w:val="22"/>
          <w:szCs w:val="22"/>
        </w:rPr>
      </w:pPr>
      <w:r w:rsidRPr="0022407A">
        <w:rPr>
          <w:rFonts w:ascii="Arial Narrow" w:hAnsi="Arial Narrow" w:cs="Arial"/>
          <w:sz w:val="22"/>
          <w:szCs w:val="22"/>
        </w:rPr>
        <w:t>La présente évaluation rapide du Programme a permis de tirer un certain nombre de leçons et des bonnes pratiques qui pourraient être capitalisées par le SNU dans la définition d’une seconde phase de pérennisations des acquis du Programme Conjoint de la Guinée Forestière ou au titre d’interventions conjointes dans d’autres régions du pays.</w:t>
      </w:r>
      <w:r>
        <w:rPr>
          <w:rFonts w:ascii="Arial Narrow" w:hAnsi="Arial Narrow" w:cs="Arial"/>
          <w:sz w:val="22"/>
          <w:szCs w:val="22"/>
        </w:rPr>
        <w:t xml:space="preserve"> Ces leçons et bonnes pratiques se déclinent comme suit :</w:t>
      </w:r>
    </w:p>
    <w:p w:rsidR="00DB445D" w:rsidRPr="004B399B" w:rsidRDefault="00DB445D" w:rsidP="00DB445D">
      <w:pPr>
        <w:rPr>
          <w:rFonts w:ascii="Arial Narrow" w:hAnsi="Arial Narrow" w:cs="Arial"/>
          <w:color w:val="FF0000"/>
          <w:sz w:val="14"/>
          <w:szCs w:val="22"/>
        </w:rPr>
      </w:pPr>
    </w:p>
    <w:p w:rsidR="00DB445D" w:rsidRDefault="00DB445D" w:rsidP="00DB445D">
      <w:pPr>
        <w:numPr>
          <w:ilvl w:val="0"/>
          <w:numId w:val="1"/>
        </w:numPr>
        <w:shd w:val="clear" w:color="auto" w:fill="FFFFFF"/>
        <w:tabs>
          <w:tab w:val="left" w:pos="284"/>
        </w:tabs>
        <w:ind w:left="714" w:hanging="357"/>
        <w:jc w:val="both"/>
        <w:rPr>
          <w:rFonts w:ascii="Arial Narrow" w:hAnsi="Arial Narrow"/>
          <w:b/>
          <w:color w:val="FF0000"/>
          <w:sz w:val="22"/>
          <w:szCs w:val="22"/>
        </w:rPr>
      </w:pPr>
      <w:r w:rsidRPr="0036418C">
        <w:rPr>
          <w:rFonts w:ascii="Arial Narrow" w:hAnsi="Arial Narrow"/>
          <w:b/>
          <w:color w:val="FF0000"/>
          <w:sz w:val="22"/>
          <w:szCs w:val="22"/>
        </w:rPr>
        <w:t>La mise en œuvre de programmes conjoints avec une synergie d’actions de toutes les agences (« </w:t>
      </w:r>
      <w:proofErr w:type="spellStart"/>
      <w:r w:rsidRPr="0036418C">
        <w:rPr>
          <w:rFonts w:ascii="Arial Narrow" w:hAnsi="Arial Narrow"/>
          <w:b/>
          <w:color w:val="FF0000"/>
          <w:sz w:val="22"/>
          <w:szCs w:val="22"/>
        </w:rPr>
        <w:t>delivering</w:t>
      </w:r>
      <w:proofErr w:type="spellEnd"/>
      <w:r w:rsidRPr="0036418C">
        <w:rPr>
          <w:rFonts w:ascii="Arial Narrow" w:hAnsi="Arial Narrow"/>
          <w:b/>
          <w:color w:val="FF0000"/>
          <w:sz w:val="22"/>
          <w:szCs w:val="22"/>
        </w:rPr>
        <w:t xml:space="preserve"> as one ») est un moyen efficace d’obtenir des résultats dans le cadre de la lutte contre la pauvreté</w:t>
      </w:r>
    </w:p>
    <w:p w:rsidR="00DB445D" w:rsidRDefault="00DB445D" w:rsidP="00DB445D">
      <w:pPr>
        <w:shd w:val="clear" w:color="auto" w:fill="FFFFFF"/>
        <w:jc w:val="both"/>
        <w:rPr>
          <w:rFonts w:ascii="Arial Narrow" w:hAnsi="Arial Narrow"/>
          <w:sz w:val="22"/>
          <w:szCs w:val="22"/>
        </w:rPr>
      </w:pPr>
      <w:r w:rsidRPr="00BE4992">
        <w:rPr>
          <w:rStyle w:val="googqs-tidbit1"/>
          <w:rFonts w:ascii="Arial Narrow" w:hAnsi="Arial Narrow"/>
          <w:sz w:val="22"/>
          <w:szCs w:val="22"/>
          <w:specVanish w:val="0"/>
        </w:rPr>
        <w:t xml:space="preserve">Il est évident que l’unité d’action des différentes agences </w:t>
      </w:r>
      <w:r w:rsidRPr="00BE4992">
        <w:rPr>
          <w:rFonts w:ascii="Arial Narrow" w:hAnsi="Arial Narrow"/>
          <w:sz w:val="22"/>
          <w:szCs w:val="22"/>
        </w:rPr>
        <w:t xml:space="preserve">du Système des Nations Unies permet plus d’efficacité.  </w:t>
      </w:r>
      <w:r w:rsidRPr="00BE4992">
        <w:rPr>
          <w:rFonts w:ascii="Arial Narrow" w:hAnsi="Arial Narrow" w:cs="Arial"/>
          <w:sz w:val="22"/>
          <w:szCs w:val="22"/>
        </w:rPr>
        <w:t xml:space="preserve">C’est du reste l’esprit de </w:t>
      </w:r>
      <w:r w:rsidRPr="00553E59">
        <w:rPr>
          <w:rFonts w:ascii="Arial Narrow" w:hAnsi="Arial Narrow" w:cs="Arial"/>
          <w:sz w:val="22"/>
          <w:szCs w:val="22"/>
        </w:rPr>
        <w:t xml:space="preserve">l'initiative pilote « </w:t>
      </w:r>
      <w:proofErr w:type="spellStart"/>
      <w:r w:rsidRPr="00553E59">
        <w:rPr>
          <w:rFonts w:ascii="Arial Narrow" w:hAnsi="Arial Narrow" w:cs="Arial"/>
          <w:sz w:val="22"/>
          <w:szCs w:val="22"/>
        </w:rPr>
        <w:t>Delivering</w:t>
      </w:r>
      <w:proofErr w:type="spellEnd"/>
      <w:r w:rsidRPr="00553E59">
        <w:rPr>
          <w:rFonts w:ascii="Arial Narrow" w:hAnsi="Arial Narrow" w:cs="Arial"/>
          <w:sz w:val="22"/>
          <w:szCs w:val="22"/>
        </w:rPr>
        <w:t xml:space="preserve"> as One » </w:t>
      </w:r>
      <w:r w:rsidRPr="00BE4992">
        <w:rPr>
          <w:rFonts w:ascii="Arial Narrow" w:hAnsi="Arial Narrow" w:cs="Arial"/>
          <w:sz w:val="22"/>
          <w:szCs w:val="22"/>
        </w:rPr>
        <w:t xml:space="preserve">lancée </w:t>
      </w:r>
      <w:r w:rsidRPr="00553E59">
        <w:rPr>
          <w:rFonts w:ascii="Arial Narrow" w:hAnsi="Arial Narrow" w:cs="Arial"/>
          <w:sz w:val="22"/>
          <w:szCs w:val="22"/>
        </w:rPr>
        <w:t xml:space="preserve">en 2007 </w:t>
      </w:r>
      <w:r w:rsidRPr="00BE4992">
        <w:rPr>
          <w:rFonts w:ascii="Arial Narrow" w:hAnsi="Arial Narrow" w:cs="Arial"/>
          <w:sz w:val="22"/>
          <w:szCs w:val="22"/>
        </w:rPr>
        <w:t xml:space="preserve">par le SNU </w:t>
      </w:r>
      <w:r w:rsidRPr="00553E59">
        <w:rPr>
          <w:rFonts w:ascii="Arial Narrow" w:hAnsi="Arial Narrow" w:cs="Arial"/>
          <w:sz w:val="22"/>
          <w:szCs w:val="22"/>
        </w:rPr>
        <w:t>pour répondre aux défis d'un monde changeant et tester comment la famille des Nations Unies peu</w:t>
      </w:r>
      <w:r w:rsidRPr="00BE4992">
        <w:rPr>
          <w:rFonts w:ascii="Arial Narrow" w:hAnsi="Arial Narrow" w:cs="Arial"/>
          <w:sz w:val="22"/>
          <w:szCs w:val="22"/>
        </w:rPr>
        <w:t>t</w:t>
      </w:r>
      <w:r w:rsidRPr="00553E59">
        <w:rPr>
          <w:rFonts w:ascii="Arial Narrow" w:hAnsi="Arial Narrow" w:cs="Arial"/>
          <w:sz w:val="22"/>
          <w:szCs w:val="22"/>
        </w:rPr>
        <w:t xml:space="preserve"> fournir une assistance au développement de manière plus coordonnée.</w:t>
      </w:r>
      <w:r>
        <w:rPr>
          <w:rFonts w:ascii="Arial Narrow" w:hAnsi="Arial Narrow" w:cs="Arial"/>
          <w:sz w:val="22"/>
          <w:szCs w:val="22"/>
        </w:rPr>
        <w:t xml:space="preserve"> </w:t>
      </w:r>
      <w:r w:rsidRPr="00BE4992">
        <w:rPr>
          <w:rFonts w:ascii="Arial Narrow" w:hAnsi="Arial Narrow" w:cs="Arial"/>
          <w:sz w:val="22"/>
          <w:szCs w:val="22"/>
        </w:rPr>
        <w:t xml:space="preserve">Le Programme Conjoint a permis de </w:t>
      </w:r>
      <w:r w:rsidRPr="00553E59">
        <w:rPr>
          <w:rFonts w:ascii="Arial Narrow" w:hAnsi="Arial Narrow" w:cs="Arial"/>
          <w:sz w:val="22"/>
          <w:szCs w:val="22"/>
        </w:rPr>
        <w:t xml:space="preserve">capitaliser sur les forces et les avantages comparatifs des différents </w:t>
      </w:r>
      <w:r w:rsidRPr="00BE4992">
        <w:rPr>
          <w:rFonts w:ascii="Arial Narrow" w:hAnsi="Arial Narrow" w:cs="Arial"/>
          <w:sz w:val="22"/>
          <w:szCs w:val="22"/>
        </w:rPr>
        <w:t xml:space="preserve">agences qui ont ensemble travaillé avec plus de synergie par le biais </w:t>
      </w:r>
      <w:r w:rsidRPr="00553E59">
        <w:rPr>
          <w:rFonts w:ascii="Arial Narrow" w:hAnsi="Arial Narrow" w:cs="Arial"/>
          <w:sz w:val="22"/>
          <w:szCs w:val="22"/>
        </w:rPr>
        <w:t>de pro</w:t>
      </w:r>
      <w:r>
        <w:rPr>
          <w:rFonts w:ascii="Arial Narrow" w:hAnsi="Arial Narrow" w:cs="Arial"/>
          <w:sz w:val="22"/>
          <w:szCs w:val="22"/>
        </w:rPr>
        <w:t xml:space="preserve">jets </w:t>
      </w:r>
      <w:r w:rsidRPr="00553E59">
        <w:rPr>
          <w:rFonts w:ascii="Arial Narrow" w:hAnsi="Arial Narrow" w:cs="Arial"/>
          <w:sz w:val="22"/>
          <w:szCs w:val="22"/>
        </w:rPr>
        <w:t>plus cohérents, des coûts de transaction réduits et une baisse des frais en général pour le système des Nations Unies.</w:t>
      </w:r>
      <w:r w:rsidRPr="00BE4992">
        <w:rPr>
          <w:rFonts w:ascii="Arial Narrow" w:hAnsi="Arial Narrow" w:cs="Arial"/>
          <w:sz w:val="22"/>
          <w:szCs w:val="22"/>
        </w:rPr>
        <w:t xml:space="preserve"> L</w:t>
      </w:r>
      <w:r w:rsidRPr="00BE4992">
        <w:rPr>
          <w:rFonts w:ascii="Arial Narrow" w:hAnsi="Arial Narrow"/>
          <w:sz w:val="22"/>
          <w:szCs w:val="22"/>
        </w:rPr>
        <w:t xml:space="preserve">’unité d’action a permis de </w:t>
      </w:r>
      <w:r w:rsidRPr="00553E59">
        <w:rPr>
          <w:rFonts w:ascii="Arial Narrow" w:hAnsi="Arial Narrow"/>
          <w:sz w:val="22"/>
          <w:szCs w:val="22"/>
        </w:rPr>
        <w:t xml:space="preserve">rendre l’action des Nations Unies sur le terrain plus </w:t>
      </w:r>
      <w:r w:rsidRPr="00BE4992">
        <w:rPr>
          <w:rFonts w:ascii="Arial Narrow" w:hAnsi="Arial Narrow"/>
          <w:sz w:val="22"/>
          <w:szCs w:val="22"/>
        </w:rPr>
        <w:t xml:space="preserve">visible et plus </w:t>
      </w:r>
      <w:r w:rsidRPr="00553E59">
        <w:rPr>
          <w:rFonts w:ascii="Arial Narrow" w:hAnsi="Arial Narrow"/>
          <w:sz w:val="22"/>
          <w:szCs w:val="22"/>
        </w:rPr>
        <w:t>efficace</w:t>
      </w:r>
      <w:r w:rsidRPr="00BE4992">
        <w:rPr>
          <w:rFonts w:ascii="Arial Narrow" w:hAnsi="Arial Narrow"/>
          <w:sz w:val="22"/>
          <w:szCs w:val="22"/>
        </w:rPr>
        <w:t>. Les interventions ont eu plus d’impacts auprès des populations, notamment les plus pauvres et les plus vulnérables.</w:t>
      </w:r>
    </w:p>
    <w:p w:rsidR="00DB445D" w:rsidRPr="004B399B" w:rsidRDefault="00DB445D" w:rsidP="00DB445D">
      <w:pPr>
        <w:shd w:val="clear" w:color="auto" w:fill="FFFFFF"/>
        <w:jc w:val="both"/>
        <w:rPr>
          <w:rFonts w:ascii="Arial Narrow" w:hAnsi="Arial Narrow"/>
          <w:sz w:val="16"/>
          <w:szCs w:val="22"/>
        </w:rPr>
      </w:pPr>
    </w:p>
    <w:p w:rsidR="00DB445D" w:rsidRDefault="00DB445D" w:rsidP="00DB445D">
      <w:pPr>
        <w:numPr>
          <w:ilvl w:val="0"/>
          <w:numId w:val="1"/>
        </w:numPr>
        <w:shd w:val="clear" w:color="auto" w:fill="FFFFFF"/>
        <w:tabs>
          <w:tab w:val="left" w:pos="284"/>
        </w:tabs>
        <w:jc w:val="both"/>
        <w:rPr>
          <w:rFonts w:ascii="Arial Narrow" w:hAnsi="Arial Narrow"/>
          <w:b/>
          <w:color w:val="FF0000"/>
          <w:sz w:val="22"/>
          <w:szCs w:val="22"/>
        </w:rPr>
      </w:pPr>
      <w:r w:rsidRPr="0036418C">
        <w:rPr>
          <w:rFonts w:ascii="Arial Narrow" w:hAnsi="Arial Narrow"/>
          <w:b/>
          <w:color w:val="FF0000"/>
          <w:sz w:val="22"/>
          <w:szCs w:val="22"/>
        </w:rPr>
        <w:t xml:space="preserve">Toutefois, le principe de souveraineté et de visibilité des agences est de nature à réduire de façon substantielle cette efficacité. </w:t>
      </w:r>
    </w:p>
    <w:p w:rsidR="00DB445D" w:rsidRDefault="00DB445D" w:rsidP="00DB445D">
      <w:pPr>
        <w:shd w:val="clear" w:color="auto" w:fill="FFFFFF"/>
        <w:tabs>
          <w:tab w:val="left" w:pos="284"/>
        </w:tabs>
        <w:jc w:val="both"/>
        <w:rPr>
          <w:rFonts w:ascii="Arial Narrow" w:hAnsi="Arial Narrow" w:cs="Arial"/>
          <w:sz w:val="22"/>
          <w:szCs w:val="22"/>
        </w:rPr>
      </w:pPr>
      <w:r w:rsidRPr="0036418C">
        <w:rPr>
          <w:rFonts w:ascii="Arial Narrow" w:hAnsi="Arial Narrow" w:cs="Arial"/>
          <w:sz w:val="22"/>
          <w:szCs w:val="22"/>
        </w:rPr>
        <w:t>En effet, la mise en commun des ressources (panier commun) autour d’objectifs communs clairement définis est la meilleure approche pour bénéficier du maximum d’efficacité</w:t>
      </w:r>
      <w:r>
        <w:rPr>
          <w:rFonts w:ascii="Arial Narrow" w:hAnsi="Arial Narrow" w:cs="Arial"/>
          <w:sz w:val="22"/>
          <w:szCs w:val="22"/>
        </w:rPr>
        <w:t>. Cela n’a pas pu se faire dans la mise en œuvre du Programme Conjoint. Chaque agence, sans doute pour des raisons de souveraineté et de visibilité a financé son PTA. Dans la même logique, il n’a pas été possible de bâtir des PTA réellement basés sur les effets et les produits du Programme. C’est dire que les résultats obtenus auraient été beaucoup plus importants si la programmation était réalisée de façon réellement participative (partenaires locaux du gouvernement et de la société civile), au niveau régional sur la base exclusive des effets et des produits du Programme.</w:t>
      </w:r>
    </w:p>
    <w:p w:rsidR="00DB445D" w:rsidRPr="004B399B" w:rsidRDefault="00DB445D" w:rsidP="00DB445D">
      <w:pPr>
        <w:shd w:val="clear" w:color="auto" w:fill="FFFFFF"/>
        <w:tabs>
          <w:tab w:val="left" w:pos="284"/>
        </w:tabs>
        <w:jc w:val="both"/>
        <w:rPr>
          <w:rFonts w:ascii="Arial Narrow" w:hAnsi="Arial Narrow" w:cs="Arial"/>
          <w:sz w:val="16"/>
          <w:szCs w:val="22"/>
        </w:rPr>
      </w:pPr>
    </w:p>
    <w:p w:rsidR="00DB445D" w:rsidRDefault="00DB445D" w:rsidP="00DB445D">
      <w:pPr>
        <w:numPr>
          <w:ilvl w:val="0"/>
          <w:numId w:val="1"/>
        </w:numPr>
        <w:shd w:val="clear" w:color="auto" w:fill="FFFFFF"/>
        <w:tabs>
          <w:tab w:val="left" w:pos="284"/>
        </w:tabs>
        <w:jc w:val="both"/>
        <w:rPr>
          <w:rFonts w:ascii="Arial Narrow" w:hAnsi="Arial Narrow"/>
          <w:b/>
          <w:color w:val="FF0000"/>
          <w:sz w:val="22"/>
          <w:szCs w:val="22"/>
        </w:rPr>
      </w:pPr>
      <w:r w:rsidRPr="00AE79E7">
        <w:rPr>
          <w:rFonts w:ascii="Arial Narrow" w:hAnsi="Arial Narrow"/>
          <w:b/>
          <w:color w:val="FF0000"/>
          <w:sz w:val="22"/>
          <w:szCs w:val="22"/>
        </w:rPr>
        <w:t>L’alignement d’un tel programme aux priorités régionales est un gage d’adhésion de la partie nationale et des communautés locales</w:t>
      </w:r>
    </w:p>
    <w:p w:rsidR="00DB445D" w:rsidRDefault="00DB445D" w:rsidP="00DB445D">
      <w:pPr>
        <w:shd w:val="clear" w:color="auto" w:fill="FFFFFF"/>
        <w:tabs>
          <w:tab w:val="left" w:pos="284"/>
        </w:tabs>
        <w:jc w:val="both"/>
        <w:rPr>
          <w:rFonts w:ascii="Arial Narrow" w:hAnsi="Arial Narrow" w:cs="Arial"/>
          <w:sz w:val="22"/>
          <w:szCs w:val="22"/>
        </w:rPr>
      </w:pPr>
      <w:r w:rsidRPr="00242E4D">
        <w:rPr>
          <w:rFonts w:ascii="Arial Narrow" w:hAnsi="Arial Narrow" w:cs="Arial"/>
          <w:sz w:val="22"/>
          <w:szCs w:val="22"/>
        </w:rPr>
        <w:t xml:space="preserve">Le programme a pu bénéficier de l’adhésion de la partie gouvernementale et des communautés parce que toutes ses motivations exprimées répondaient à des besoins de la région.  Les effets et produits identifiés dans son cadre logique correspondaient à des besoins réels au niveau local, parfois même à des priorités locales. Aussi, son appropriation par les autorités locales, les cadres et agents des services publics et les communautés a – t – il été immédiat. </w:t>
      </w:r>
    </w:p>
    <w:p w:rsidR="00DB445D" w:rsidRPr="004B399B" w:rsidRDefault="00DB445D" w:rsidP="00DB445D">
      <w:pPr>
        <w:shd w:val="clear" w:color="auto" w:fill="FFFFFF"/>
        <w:tabs>
          <w:tab w:val="left" w:pos="284"/>
        </w:tabs>
        <w:jc w:val="both"/>
        <w:rPr>
          <w:rFonts w:ascii="Arial Narrow" w:hAnsi="Arial Narrow" w:cs="Arial"/>
          <w:sz w:val="14"/>
          <w:szCs w:val="22"/>
        </w:rPr>
      </w:pPr>
    </w:p>
    <w:p w:rsidR="00DB445D" w:rsidRDefault="00DB445D" w:rsidP="00DB445D">
      <w:pPr>
        <w:numPr>
          <w:ilvl w:val="0"/>
          <w:numId w:val="1"/>
        </w:numPr>
        <w:shd w:val="clear" w:color="auto" w:fill="FFFFFF"/>
        <w:tabs>
          <w:tab w:val="left" w:pos="284"/>
        </w:tabs>
        <w:jc w:val="both"/>
        <w:rPr>
          <w:rFonts w:ascii="Arial Narrow" w:hAnsi="Arial Narrow"/>
          <w:b/>
          <w:color w:val="FF0000"/>
          <w:sz w:val="22"/>
          <w:szCs w:val="22"/>
        </w:rPr>
      </w:pPr>
      <w:r w:rsidRPr="001E5906">
        <w:rPr>
          <w:rFonts w:ascii="Arial Narrow" w:hAnsi="Arial Narrow"/>
          <w:b/>
          <w:color w:val="FF0000"/>
          <w:sz w:val="22"/>
          <w:szCs w:val="22"/>
        </w:rPr>
        <w:t>L’implication de bout en bout de  la partie nationale (services déconcentrés) ne suffira jamais à garantir la pérennité des résultats tant que celle –ci n’aura pas son autonomie de fonctionnement financé par l’État </w:t>
      </w:r>
    </w:p>
    <w:p w:rsidR="00DB445D" w:rsidRDefault="00DB445D" w:rsidP="00DB445D">
      <w:pPr>
        <w:shd w:val="clear" w:color="auto" w:fill="FFFFFF"/>
        <w:tabs>
          <w:tab w:val="left" w:pos="284"/>
        </w:tabs>
        <w:jc w:val="both"/>
        <w:rPr>
          <w:rFonts w:ascii="Arial Narrow" w:hAnsi="Arial Narrow"/>
          <w:sz w:val="22"/>
          <w:szCs w:val="22"/>
        </w:rPr>
      </w:pPr>
      <w:r w:rsidRPr="001E5906">
        <w:rPr>
          <w:rFonts w:ascii="Arial Narrow" w:hAnsi="Arial Narrow"/>
          <w:sz w:val="22"/>
          <w:szCs w:val="22"/>
        </w:rPr>
        <w:t xml:space="preserve">Le Programme a tenu à impliquer la partie nationale dans la conception, l’exécution et le suivi de toutes les activités. Ce partenariat avait entre autres motivations, de développer l’appropriation et les capacités techniques nécessaires à ce que les services régionaux soient suffisamment outillés et aptes à prendre la relève à la fin du Programme. Aujourd’hui, si on peut dire avec certitude que la plupart des services régionaux sont capables du point de vue technique de continuer les actions et de pérenniser les acquis, on peut aussi dire que leur fonctionnalité ne leur permet point de jouer ce rôle. En clair, les services de l’État n’ont pas les moyens matériels et financiers requis pour  </w:t>
      </w:r>
      <w:r>
        <w:rPr>
          <w:rFonts w:ascii="Arial Narrow" w:hAnsi="Arial Narrow"/>
          <w:sz w:val="22"/>
          <w:szCs w:val="22"/>
        </w:rPr>
        <w:t xml:space="preserve">prendre la relève </w:t>
      </w:r>
      <w:r w:rsidRPr="001E5906">
        <w:rPr>
          <w:rFonts w:ascii="Arial Narrow" w:hAnsi="Arial Narrow"/>
          <w:sz w:val="22"/>
          <w:szCs w:val="22"/>
        </w:rPr>
        <w:t xml:space="preserve">au Programme dans la continuation des activités et la pérennisation des résultats. </w:t>
      </w:r>
      <w:r>
        <w:rPr>
          <w:rFonts w:ascii="Arial Narrow" w:hAnsi="Arial Narrow"/>
          <w:sz w:val="22"/>
          <w:szCs w:val="22"/>
        </w:rPr>
        <w:t>Ces services ne reçoivent pas régulièrement leur part du budget national. Leur capacité de fonctionnement autonome est donc très faible.</w:t>
      </w:r>
    </w:p>
    <w:p w:rsidR="00DB445D" w:rsidRPr="004B399B" w:rsidRDefault="00DB445D" w:rsidP="00DB445D">
      <w:pPr>
        <w:shd w:val="clear" w:color="auto" w:fill="FFFFFF"/>
        <w:tabs>
          <w:tab w:val="left" w:pos="284"/>
        </w:tabs>
        <w:jc w:val="both"/>
        <w:rPr>
          <w:rFonts w:ascii="Arial Narrow" w:hAnsi="Arial Narrow"/>
          <w:sz w:val="14"/>
          <w:szCs w:val="22"/>
        </w:rPr>
      </w:pPr>
    </w:p>
    <w:p w:rsidR="00DB445D" w:rsidRDefault="00DB445D" w:rsidP="00DB445D">
      <w:pPr>
        <w:numPr>
          <w:ilvl w:val="0"/>
          <w:numId w:val="1"/>
        </w:numPr>
        <w:shd w:val="clear" w:color="auto" w:fill="FFFFFF"/>
        <w:tabs>
          <w:tab w:val="left" w:pos="284"/>
        </w:tabs>
        <w:jc w:val="both"/>
        <w:rPr>
          <w:rFonts w:ascii="Arial Narrow" w:hAnsi="Arial Narrow"/>
          <w:b/>
          <w:color w:val="FF0000"/>
          <w:sz w:val="22"/>
          <w:szCs w:val="22"/>
        </w:rPr>
      </w:pPr>
      <w:r w:rsidRPr="00451D70">
        <w:rPr>
          <w:rFonts w:ascii="Arial Narrow" w:hAnsi="Arial Narrow"/>
          <w:b/>
          <w:color w:val="FF0000"/>
          <w:sz w:val="22"/>
          <w:szCs w:val="22"/>
        </w:rPr>
        <w:t xml:space="preserve">Par conséquent, il est plus qu’indispensable dans la logique de mise en œuvre et de pérennisation des résultats de programmes conjoints d’amener l’État </w:t>
      </w:r>
      <w:proofErr w:type="spellStart"/>
      <w:r w:rsidRPr="00451D70">
        <w:rPr>
          <w:rFonts w:ascii="Arial Narrow" w:hAnsi="Arial Narrow"/>
          <w:b/>
          <w:color w:val="FF0000"/>
          <w:sz w:val="22"/>
          <w:szCs w:val="22"/>
        </w:rPr>
        <w:t>à</w:t>
      </w:r>
      <w:proofErr w:type="spellEnd"/>
      <w:r w:rsidRPr="00451D70">
        <w:rPr>
          <w:rFonts w:ascii="Arial Narrow" w:hAnsi="Arial Narrow"/>
          <w:b/>
          <w:color w:val="FF0000"/>
          <w:sz w:val="22"/>
          <w:szCs w:val="22"/>
        </w:rPr>
        <w:t xml:space="preserve"> non  seulement verser effectivement sa contre – partie mais à assurer les capacités de fonctionnement réel de ses services déconcentré   </w:t>
      </w:r>
    </w:p>
    <w:p w:rsidR="00DB445D" w:rsidRDefault="00DB445D" w:rsidP="00DB445D">
      <w:pPr>
        <w:shd w:val="clear" w:color="auto" w:fill="FFFFFF"/>
        <w:tabs>
          <w:tab w:val="left" w:pos="284"/>
        </w:tabs>
        <w:jc w:val="both"/>
        <w:rPr>
          <w:rFonts w:ascii="Arial Narrow" w:hAnsi="Arial Narrow"/>
          <w:sz w:val="22"/>
          <w:szCs w:val="22"/>
        </w:rPr>
      </w:pPr>
      <w:r>
        <w:rPr>
          <w:rFonts w:ascii="Arial Narrow" w:hAnsi="Arial Narrow"/>
          <w:sz w:val="22"/>
          <w:szCs w:val="22"/>
        </w:rPr>
        <w:t xml:space="preserve">L’État guinéen n’a jamais apporté sa contre – partie financière au Programme Conjoint. </w:t>
      </w:r>
    </w:p>
    <w:p w:rsidR="00DB445D" w:rsidRDefault="00DB445D" w:rsidP="00DB445D">
      <w:pPr>
        <w:shd w:val="clear" w:color="auto" w:fill="FFFFFF"/>
        <w:tabs>
          <w:tab w:val="left" w:pos="284"/>
        </w:tabs>
        <w:jc w:val="both"/>
        <w:rPr>
          <w:rFonts w:ascii="Arial Narrow" w:hAnsi="Arial Narrow"/>
          <w:sz w:val="22"/>
          <w:szCs w:val="22"/>
        </w:rPr>
      </w:pPr>
      <w:r>
        <w:rPr>
          <w:rFonts w:ascii="Arial Narrow" w:hAnsi="Arial Narrow"/>
          <w:sz w:val="22"/>
          <w:szCs w:val="22"/>
        </w:rPr>
        <w:t xml:space="preserve">Cet apport de l’État aurait pu permettre aux services publics de bénéficier tant soit peu de certaines ressources dans le cadre de leur fonctionnement. Il faudrait donc, dans le cadre de la phase de consolidation à venir, </w:t>
      </w:r>
      <w:r>
        <w:rPr>
          <w:rFonts w:ascii="Arial Narrow" w:hAnsi="Arial Narrow"/>
          <w:sz w:val="22"/>
          <w:szCs w:val="22"/>
        </w:rPr>
        <w:lastRenderedPageBreak/>
        <w:t xml:space="preserve">convaincre l’État à mettre en place ces fonds de contre – partie. Par ailleurs, de façon plus générale, rien ne s’oppose à la déconcentration budgétaire en Guinée. Au contraire, le principe est posé chaque année dans la Loi de finance. Il s’agit alors de mener un plaidoyer fort au plus haut niveau  de l’État de façon à ce que ce mécanisme (déconcentration de la gestion du budget) de financement des services déconcentré soit appliqué. </w:t>
      </w:r>
    </w:p>
    <w:p w:rsidR="00DB445D" w:rsidRPr="004B399B" w:rsidRDefault="00DB445D" w:rsidP="00DB445D">
      <w:pPr>
        <w:shd w:val="clear" w:color="auto" w:fill="FFFFFF"/>
        <w:tabs>
          <w:tab w:val="left" w:pos="284"/>
        </w:tabs>
        <w:jc w:val="both"/>
        <w:rPr>
          <w:rFonts w:ascii="Arial Narrow" w:hAnsi="Arial Narrow"/>
          <w:sz w:val="14"/>
          <w:szCs w:val="22"/>
        </w:rPr>
      </w:pPr>
    </w:p>
    <w:p w:rsidR="00DB445D" w:rsidRDefault="00DB445D" w:rsidP="00DB445D">
      <w:pPr>
        <w:numPr>
          <w:ilvl w:val="0"/>
          <w:numId w:val="1"/>
        </w:numPr>
        <w:shd w:val="clear" w:color="auto" w:fill="FFFFFF"/>
        <w:tabs>
          <w:tab w:val="left" w:pos="284"/>
        </w:tabs>
        <w:jc w:val="both"/>
        <w:rPr>
          <w:rFonts w:ascii="Arial Narrow" w:hAnsi="Arial Narrow"/>
          <w:b/>
          <w:color w:val="FF0000"/>
          <w:sz w:val="22"/>
          <w:szCs w:val="22"/>
        </w:rPr>
      </w:pPr>
      <w:r w:rsidRPr="00451D70">
        <w:rPr>
          <w:rFonts w:ascii="Arial Narrow" w:hAnsi="Arial Narrow"/>
          <w:b/>
          <w:color w:val="FF0000"/>
          <w:sz w:val="22"/>
          <w:szCs w:val="22"/>
        </w:rPr>
        <w:t>L’exemple de la santé montre que le résultat est au bout de l’effort </w:t>
      </w:r>
    </w:p>
    <w:p w:rsidR="00DB445D" w:rsidRDefault="00DB445D" w:rsidP="00DB445D">
      <w:pPr>
        <w:shd w:val="clear" w:color="auto" w:fill="FFFFFF"/>
        <w:tabs>
          <w:tab w:val="left" w:pos="284"/>
        </w:tabs>
        <w:jc w:val="both"/>
        <w:rPr>
          <w:rFonts w:ascii="Arial Narrow" w:hAnsi="Arial Narrow"/>
          <w:sz w:val="22"/>
          <w:szCs w:val="22"/>
        </w:rPr>
      </w:pPr>
      <w:r w:rsidRPr="00451D70">
        <w:rPr>
          <w:rFonts w:ascii="Arial Narrow" w:hAnsi="Arial Narrow"/>
          <w:sz w:val="22"/>
          <w:szCs w:val="22"/>
        </w:rPr>
        <w:t>La Guinée Forestière était dans un passé encore récent  une zone régulièrement affectée par le choléra en saison hivernale. Cette année, alo</w:t>
      </w:r>
      <w:r>
        <w:rPr>
          <w:rFonts w:ascii="Arial Narrow" w:hAnsi="Arial Narrow"/>
          <w:sz w:val="22"/>
          <w:szCs w:val="22"/>
        </w:rPr>
        <w:t>rs</w:t>
      </w:r>
      <w:r w:rsidRPr="00451D70">
        <w:rPr>
          <w:rFonts w:ascii="Arial Narrow" w:hAnsi="Arial Narrow"/>
          <w:sz w:val="22"/>
          <w:szCs w:val="22"/>
        </w:rPr>
        <w:t xml:space="preserve"> que la maladie fait des victimes dans d’autres régions, la zone est jusqu’ici épargnée.  Toutes les autorités rencontrées ont expliqué ce résultat par le travail fait en profondeur dans le domaine l’approvisionnement en eau potable, de l’assainissement des villes et dans la lutte contre le péril fécal en zone rural. Le Programme conjoint peut, à juste titre, revendiquer  l’essentiel de ce résultat qui montre qu’avec des projets pertinents, il est possible, en peu de temps,  de gagner d’importantes batailles dans le domaine du développement</w:t>
      </w:r>
      <w:r>
        <w:rPr>
          <w:rFonts w:ascii="Arial Narrow" w:hAnsi="Arial Narrow"/>
          <w:sz w:val="22"/>
          <w:szCs w:val="22"/>
        </w:rPr>
        <w:t>.</w:t>
      </w:r>
    </w:p>
    <w:p w:rsidR="00DB445D" w:rsidRPr="004B399B" w:rsidRDefault="00DB445D" w:rsidP="00DB445D">
      <w:pPr>
        <w:shd w:val="clear" w:color="auto" w:fill="FFFFFF"/>
        <w:tabs>
          <w:tab w:val="left" w:pos="284"/>
        </w:tabs>
        <w:jc w:val="both"/>
        <w:rPr>
          <w:rFonts w:ascii="Arial Narrow" w:hAnsi="Arial Narrow"/>
          <w:sz w:val="14"/>
          <w:szCs w:val="22"/>
        </w:rPr>
      </w:pPr>
    </w:p>
    <w:p w:rsidR="00DB445D" w:rsidRDefault="00DB445D" w:rsidP="00DB445D">
      <w:pPr>
        <w:numPr>
          <w:ilvl w:val="0"/>
          <w:numId w:val="1"/>
        </w:numPr>
        <w:shd w:val="clear" w:color="auto" w:fill="FFFFFF"/>
        <w:tabs>
          <w:tab w:val="left" w:pos="284"/>
        </w:tabs>
        <w:jc w:val="both"/>
        <w:rPr>
          <w:rFonts w:ascii="Arial Narrow" w:hAnsi="Arial Narrow"/>
          <w:color w:val="0000CC"/>
          <w:sz w:val="22"/>
          <w:szCs w:val="22"/>
        </w:rPr>
      </w:pPr>
      <w:r w:rsidRPr="006C472E">
        <w:rPr>
          <w:rFonts w:ascii="Arial Narrow" w:hAnsi="Arial Narrow"/>
          <w:b/>
          <w:color w:val="FF0000"/>
          <w:sz w:val="22"/>
          <w:szCs w:val="22"/>
        </w:rPr>
        <w:t>Des interventions basées sur une approche communautaire permettent d’obtenir des résultats rapides, mais une attention particulière doit être accordée à leur ciblage</w:t>
      </w:r>
      <w:r w:rsidRPr="009F3CFA">
        <w:rPr>
          <w:rFonts w:ascii="Arial Narrow" w:hAnsi="Arial Narrow"/>
          <w:color w:val="0000CC"/>
          <w:sz w:val="22"/>
          <w:szCs w:val="22"/>
        </w:rPr>
        <w:t xml:space="preserve">. </w:t>
      </w:r>
    </w:p>
    <w:p w:rsidR="00DB445D" w:rsidRPr="004B399B" w:rsidRDefault="00DB445D" w:rsidP="00DB445D">
      <w:pPr>
        <w:shd w:val="clear" w:color="auto" w:fill="FFFFFF"/>
        <w:tabs>
          <w:tab w:val="left" w:pos="284"/>
        </w:tabs>
        <w:jc w:val="both"/>
        <w:rPr>
          <w:rFonts w:ascii="Arial Narrow" w:hAnsi="Arial Narrow"/>
          <w:sz w:val="22"/>
          <w:szCs w:val="22"/>
        </w:rPr>
      </w:pPr>
      <w:r w:rsidRPr="004B399B">
        <w:rPr>
          <w:rFonts w:ascii="Arial Narrow" w:hAnsi="Arial Narrow"/>
          <w:sz w:val="22"/>
          <w:szCs w:val="22"/>
        </w:rPr>
        <w:t xml:space="preserve">Par rapports aux aspects institutionnels du programme, </w:t>
      </w:r>
      <w:r>
        <w:rPr>
          <w:rFonts w:ascii="Arial Narrow" w:hAnsi="Arial Narrow"/>
          <w:sz w:val="22"/>
          <w:szCs w:val="22"/>
        </w:rPr>
        <w:t xml:space="preserve">la </w:t>
      </w:r>
      <w:r w:rsidRPr="00FB0D25">
        <w:rPr>
          <w:rFonts w:ascii="Arial Narrow" w:hAnsi="Arial Narrow"/>
          <w:b/>
          <w:i/>
          <w:sz w:val="22"/>
          <w:szCs w:val="22"/>
          <w:u w:val="single"/>
        </w:rPr>
        <w:t>pertinence de l’approche communautaire se vérifie</w:t>
      </w:r>
      <w:r>
        <w:rPr>
          <w:rFonts w:ascii="Arial Narrow" w:hAnsi="Arial Narrow"/>
          <w:sz w:val="22"/>
          <w:szCs w:val="22"/>
        </w:rPr>
        <w:t xml:space="preserve">. En effet, </w:t>
      </w:r>
      <w:r w:rsidRPr="004B399B">
        <w:rPr>
          <w:rFonts w:ascii="Arial Narrow" w:hAnsi="Arial Narrow"/>
          <w:sz w:val="22"/>
          <w:szCs w:val="22"/>
        </w:rPr>
        <w:t xml:space="preserve">il est </w:t>
      </w:r>
      <w:r>
        <w:rPr>
          <w:rFonts w:ascii="Arial Narrow" w:hAnsi="Arial Narrow"/>
          <w:sz w:val="22"/>
          <w:szCs w:val="22"/>
        </w:rPr>
        <w:t xml:space="preserve">nettement apparu qu’il est </w:t>
      </w:r>
      <w:r w:rsidRPr="004B399B">
        <w:rPr>
          <w:rFonts w:ascii="Arial Narrow" w:hAnsi="Arial Narrow"/>
          <w:sz w:val="22"/>
          <w:szCs w:val="22"/>
        </w:rPr>
        <w:t xml:space="preserve">plus facile d’obtenir des résultats plus rapidement avec les organisations communautaires de base ou des collectivités locales. </w:t>
      </w:r>
      <w:r>
        <w:rPr>
          <w:rFonts w:ascii="Arial Narrow" w:hAnsi="Arial Narrow"/>
          <w:sz w:val="22"/>
          <w:szCs w:val="22"/>
        </w:rPr>
        <w:t xml:space="preserve">Mais il est tout aussi vrai qu’il </w:t>
      </w:r>
      <w:r w:rsidRPr="004B399B">
        <w:rPr>
          <w:rFonts w:ascii="Arial Narrow" w:hAnsi="Arial Narrow"/>
          <w:sz w:val="22"/>
          <w:szCs w:val="22"/>
        </w:rPr>
        <w:t xml:space="preserve"> </w:t>
      </w:r>
      <w:r w:rsidRPr="00FB0D25">
        <w:rPr>
          <w:rFonts w:ascii="Arial Narrow" w:hAnsi="Arial Narrow"/>
          <w:b/>
          <w:i/>
          <w:sz w:val="22"/>
          <w:szCs w:val="22"/>
          <w:u w:val="single"/>
        </w:rPr>
        <w:t>est essentiel de bien cibler les OCB ayant un projet associatif</w:t>
      </w:r>
      <w:r w:rsidRPr="004B399B">
        <w:rPr>
          <w:rFonts w:ascii="Arial Narrow" w:hAnsi="Arial Narrow"/>
          <w:sz w:val="22"/>
          <w:szCs w:val="22"/>
        </w:rPr>
        <w:t xml:space="preserve"> effectif et</w:t>
      </w:r>
      <w:r>
        <w:rPr>
          <w:rFonts w:ascii="Arial Narrow" w:hAnsi="Arial Narrow"/>
          <w:sz w:val="22"/>
          <w:szCs w:val="22"/>
        </w:rPr>
        <w:t xml:space="preserve">, si possible </w:t>
      </w:r>
      <w:r w:rsidRPr="004B399B">
        <w:rPr>
          <w:rFonts w:ascii="Arial Narrow" w:hAnsi="Arial Narrow"/>
          <w:sz w:val="22"/>
          <w:szCs w:val="22"/>
        </w:rPr>
        <w:t xml:space="preserve">une expérience antérieure. L’approche communautaire a montré son efficacité dans domaines </w:t>
      </w:r>
      <w:r>
        <w:rPr>
          <w:rFonts w:ascii="Arial Narrow" w:hAnsi="Arial Narrow"/>
          <w:sz w:val="22"/>
          <w:szCs w:val="22"/>
        </w:rPr>
        <w:t>aussi variés que</w:t>
      </w:r>
      <w:r w:rsidRPr="004B399B">
        <w:rPr>
          <w:rFonts w:ascii="Arial Narrow" w:hAnsi="Arial Narrow"/>
          <w:sz w:val="22"/>
          <w:szCs w:val="22"/>
        </w:rPr>
        <w:t xml:space="preserve"> la prévention des épidémies</w:t>
      </w:r>
      <w:r>
        <w:rPr>
          <w:rFonts w:ascii="Arial Narrow" w:hAnsi="Arial Narrow"/>
          <w:sz w:val="22"/>
          <w:szCs w:val="22"/>
        </w:rPr>
        <w:t> ; l’amélioration de la sécurité alimentaire par l’augmentation des revenus générés par les AGR et le microcrédit ; l’autonomisation des femmes à travers l’accroissement de leurs capacités de production, etc.</w:t>
      </w:r>
      <w:r w:rsidRPr="004B399B">
        <w:rPr>
          <w:rFonts w:ascii="Arial Narrow" w:hAnsi="Arial Narrow"/>
          <w:sz w:val="22"/>
          <w:szCs w:val="22"/>
        </w:rPr>
        <w:t xml:space="preserve"> </w:t>
      </w:r>
      <w:r>
        <w:rPr>
          <w:rFonts w:ascii="Arial Narrow" w:hAnsi="Arial Narrow"/>
          <w:sz w:val="22"/>
          <w:szCs w:val="22"/>
        </w:rPr>
        <w:t>Enfin, il faut noter sur ce point que l’</w:t>
      </w:r>
      <w:r w:rsidRPr="004B399B">
        <w:rPr>
          <w:rFonts w:ascii="Arial Narrow" w:hAnsi="Arial Narrow"/>
          <w:sz w:val="22"/>
          <w:szCs w:val="22"/>
        </w:rPr>
        <w:t>accompagnement et le suivi des services techniques sont tout aussi importants</w:t>
      </w:r>
      <w:r>
        <w:rPr>
          <w:rFonts w:ascii="Arial Narrow" w:hAnsi="Arial Narrow"/>
          <w:sz w:val="22"/>
          <w:szCs w:val="22"/>
        </w:rPr>
        <w:t xml:space="preserve"> </w:t>
      </w:r>
      <w:r w:rsidRPr="004B399B">
        <w:rPr>
          <w:rFonts w:ascii="Arial Narrow" w:hAnsi="Arial Narrow"/>
          <w:sz w:val="22"/>
          <w:szCs w:val="22"/>
        </w:rPr>
        <w:t>pour la pérennité des actions communautaire</w:t>
      </w:r>
    </w:p>
    <w:p w:rsidR="00DB445D" w:rsidRPr="004B399B" w:rsidRDefault="00DB445D" w:rsidP="00DB445D">
      <w:pPr>
        <w:rPr>
          <w:rFonts w:ascii="Arial Narrow" w:hAnsi="Arial Narrow" w:cs="Arial"/>
          <w:sz w:val="22"/>
          <w:szCs w:val="22"/>
        </w:rPr>
      </w:pPr>
    </w:p>
    <w:p w:rsidR="00DB445D" w:rsidRPr="004B399B" w:rsidRDefault="00DB445D" w:rsidP="00DB445D">
      <w:pPr>
        <w:rPr>
          <w:rFonts w:ascii="Arial Narrow" w:hAnsi="Arial Narrow"/>
          <w:sz w:val="22"/>
          <w:szCs w:val="22"/>
        </w:rPr>
      </w:pPr>
    </w:p>
    <w:p w:rsidR="00DB445D" w:rsidRPr="004B6F3F" w:rsidRDefault="00DB445D" w:rsidP="00DB445D">
      <w:pPr>
        <w:jc w:val="both"/>
        <w:rPr>
          <w:rFonts w:ascii="Arial Narrow" w:hAnsi="Arial Narrow"/>
          <w:sz w:val="22"/>
          <w:szCs w:val="22"/>
        </w:rPr>
      </w:pPr>
    </w:p>
    <w:p w:rsidR="00DB445D" w:rsidRPr="004B6F3F" w:rsidRDefault="00DB445D" w:rsidP="00DB445D">
      <w:pPr>
        <w:ind w:left="1776"/>
        <w:jc w:val="both"/>
        <w:rPr>
          <w:rFonts w:ascii="Arial Narrow" w:hAnsi="Arial Narrow"/>
          <w:sz w:val="22"/>
          <w:szCs w:val="22"/>
        </w:rPr>
      </w:pPr>
    </w:p>
    <w:p w:rsidR="00DB445D" w:rsidRPr="004B6F3F" w:rsidRDefault="00DB445D" w:rsidP="00DB445D">
      <w:pPr>
        <w:jc w:val="both"/>
        <w:rPr>
          <w:rFonts w:ascii="Arial Narrow" w:hAnsi="Arial Narrow"/>
          <w:sz w:val="22"/>
          <w:szCs w:val="22"/>
          <w:lang w:eastAsia="en-US"/>
        </w:rPr>
      </w:pPr>
    </w:p>
    <w:p w:rsidR="00DB445D" w:rsidRDefault="00DB445D" w:rsidP="00DB445D"/>
    <w:p w:rsidR="00DB445D" w:rsidRPr="004B6F3F" w:rsidRDefault="00DB445D" w:rsidP="00DB445D">
      <w:pPr>
        <w:jc w:val="both"/>
        <w:rPr>
          <w:rFonts w:ascii="Arial Narrow" w:hAnsi="Arial Narrow"/>
          <w:sz w:val="22"/>
          <w:szCs w:val="22"/>
          <w:lang w:eastAsia="en-US"/>
        </w:rPr>
      </w:pPr>
    </w:p>
    <w:p w:rsidR="00DB445D" w:rsidRDefault="00DB445D" w:rsidP="00DB445D">
      <w:pPr>
        <w:spacing w:after="200" w:line="276" w:lineRule="auto"/>
        <w:rPr>
          <w:rFonts w:ascii="Rockwell Extra Bold" w:hAnsi="Rockwell Extra Bold" w:cs="Arial"/>
          <w:bCs/>
          <w:caps/>
          <w:sz w:val="22"/>
          <w:szCs w:val="22"/>
        </w:rPr>
      </w:pPr>
    </w:p>
    <w:p w:rsidR="004F7A1F" w:rsidRDefault="00DB445D" w:rsidP="00DB445D">
      <w:r>
        <w:rPr>
          <w:rFonts w:ascii="Rockwell Extra Bold" w:hAnsi="Rockwell Extra Bold" w:cs="Arial"/>
          <w:bCs/>
          <w:caps/>
          <w:sz w:val="22"/>
          <w:szCs w:val="22"/>
        </w:rPr>
        <w:br w:type="page"/>
      </w:r>
    </w:p>
    <w:sectPr w:rsidR="004F7A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B1"/>
    <w:family w:val="auto"/>
    <w:pitch w:val="variable"/>
    <w:sig w:usb0="00000801" w:usb1="00000000" w:usb2="00000000" w:usb3="00000000" w:csb0="00000020" w:csb1="00000000"/>
  </w:font>
  <w:font w:name="Albertus Extra Bold">
    <w:panose1 w:val="020E0802040304020204"/>
    <w:charset w:val="00"/>
    <w:family w:val="swiss"/>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Rockwell Extra Bold">
    <w:panose1 w:val="02060903040505020403"/>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7pt;height:9.7pt" o:bullet="t">
        <v:imagedata r:id="rId1" o:title="BD21298_"/>
      </v:shape>
    </w:pict>
  </w:numPicBullet>
  <w:abstractNum w:abstractNumId="0">
    <w:nsid w:val="32314D06"/>
    <w:multiLevelType w:val="hybridMultilevel"/>
    <w:tmpl w:val="6388C930"/>
    <w:lvl w:ilvl="0" w:tplc="FA4A9FF0">
      <w:start w:val="1"/>
      <w:numFmt w:val="bullet"/>
      <w:lvlText w:val=""/>
      <w:lvlPicBulletId w:val="0"/>
      <w:lvlJc w:val="left"/>
      <w:pPr>
        <w:ind w:left="720" w:hanging="360"/>
      </w:pPr>
      <w:rPr>
        <w:rFonts w:ascii="Symbol" w:hAnsi="Symbol" w:hint="default"/>
        <w:color w:val="auto"/>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4132E0B"/>
    <w:multiLevelType w:val="hybridMultilevel"/>
    <w:tmpl w:val="2908789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45D"/>
    <w:rsid w:val="004F7A1F"/>
    <w:rsid w:val="00DB445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B75BEB-4BE2-445E-A10C-D4849B0EF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45D"/>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googqs-tidbit1">
    <w:name w:val="goog_qs-tidbit1"/>
    <w:rsid w:val="00DB445D"/>
    <w:rPr>
      <w:vanish w:val="0"/>
      <w:webHidden w:val="0"/>
      <w:specVanish/>
    </w:rPr>
  </w:style>
  <w:style w:type="paragraph" w:styleId="Corpsdetexte2">
    <w:name w:val="Body Text 2"/>
    <w:basedOn w:val="Normal"/>
    <w:link w:val="Corpsdetexte2Car"/>
    <w:uiPriority w:val="99"/>
    <w:semiHidden/>
    <w:unhideWhenUsed/>
    <w:rsid w:val="00DB445D"/>
    <w:pPr>
      <w:spacing w:after="120" w:line="480" w:lineRule="auto"/>
    </w:pPr>
  </w:style>
  <w:style w:type="character" w:customStyle="1" w:styleId="Corpsdetexte2Car">
    <w:name w:val="Corps de texte 2 Car"/>
    <w:basedOn w:val="Policepardfaut"/>
    <w:link w:val="Corpsdetexte2"/>
    <w:uiPriority w:val="99"/>
    <w:semiHidden/>
    <w:rsid w:val="00DB445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emf"/><Relationship Id="rId5" Type="http://schemas.openxmlformats.org/officeDocument/2006/relationships/image" Target="media/image2.emf"/><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1182</Words>
  <Characters>6502</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UNDP - HQ</Company>
  <LinksUpToDate>false</LinksUpToDate>
  <CharactersWithSpaces>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Mariame Barry</dc:creator>
  <cp:keywords/>
  <dc:description/>
  <cp:lastModifiedBy>Mariame Barry</cp:lastModifiedBy>
  <cp:revision>1</cp:revision>
  <dcterms:created xsi:type="dcterms:W3CDTF">2014-08-06T15:46:00Z</dcterms:created>
  <dcterms:modified xsi:type="dcterms:W3CDTF">2014-08-06T15:48:00Z</dcterms:modified>
</cp:coreProperties>
</file>