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CD547" w14:textId="77777777" w:rsidR="00865574" w:rsidRDefault="00654258" w:rsidP="00865574">
      <w:pPr>
        <w:jc w:val="center"/>
        <w:rPr>
          <w:rStyle w:val="BookTitle"/>
        </w:rPr>
      </w:pPr>
      <w:r>
        <w:rPr>
          <w:b/>
          <w:bCs/>
          <w:smallCaps/>
          <w:noProof/>
          <w:spacing w:val="5"/>
          <w:lang w:val="en-US"/>
        </w:rPr>
        <w:drawing>
          <wp:inline distT="0" distB="0" distL="0" distR="0" wp14:anchorId="5711F51E" wp14:editId="66F5705D">
            <wp:extent cx="1078302" cy="1593811"/>
            <wp:effectExtent l="19050" t="0" r="754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0478" cy="1597028"/>
                    </a:xfrm>
                    <a:prstGeom prst="rect">
                      <a:avLst/>
                    </a:prstGeom>
                    <a:noFill/>
                    <a:ln w="9525">
                      <a:noFill/>
                      <a:miter lim="800000"/>
                      <a:headEnd/>
                      <a:tailEnd/>
                    </a:ln>
                  </pic:spPr>
                </pic:pic>
              </a:graphicData>
            </a:graphic>
          </wp:inline>
        </w:drawing>
      </w:r>
    </w:p>
    <w:p w14:paraId="15AEE288" w14:textId="77777777" w:rsidR="00654258" w:rsidRDefault="00654258" w:rsidP="00865574">
      <w:pPr>
        <w:jc w:val="center"/>
        <w:rPr>
          <w:rStyle w:val="BookTitle"/>
        </w:rPr>
      </w:pPr>
    </w:p>
    <w:p w14:paraId="713537CC" w14:textId="77777777" w:rsidR="00DD1340" w:rsidRDefault="00DD1340" w:rsidP="00865574">
      <w:pPr>
        <w:jc w:val="center"/>
        <w:rPr>
          <w:rStyle w:val="BookTitle"/>
        </w:rPr>
      </w:pPr>
    </w:p>
    <w:p w14:paraId="21AA7663" w14:textId="77777777" w:rsidR="00DD1340" w:rsidRDefault="00DD1340" w:rsidP="00865574">
      <w:pPr>
        <w:jc w:val="center"/>
        <w:rPr>
          <w:rStyle w:val="BookTitle"/>
        </w:rPr>
      </w:pPr>
    </w:p>
    <w:p w14:paraId="238C6F63" w14:textId="77777777" w:rsidR="00654258" w:rsidRPr="00DD1340" w:rsidRDefault="00654258" w:rsidP="005622A0">
      <w:pPr>
        <w:pStyle w:val="IntenseQuote"/>
        <w:rPr>
          <w:rStyle w:val="BookTitle"/>
          <w:sz w:val="30"/>
        </w:rPr>
      </w:pPr>
      <w:r w:rsidRPr="00DD1340">
        <w:rPr>
          <w:rStyle w:val="BookTitle"/>
          <w:sz w:val="30"/>
        </w:rPr>
        <w:t>Kingdom of Saudi Arabia</w:t>
      </w:r>
    </w:p>
    <w:p w14:paraId="5D99DE03" w14:textId="77777777" w:rsidR="00654258" w:rsidRDefault="00654258" w:rsidP="00DD1340">
      <w:pPr>
        <w:rPr>
          <w:rStyle w:val="BookTitle"/>
        </w:rPr>
      </w:pPr>
    </w:p>
    <w:p w14:paraId="72E70A01" w14:textId="77777777" w:rsidR="00865574" w:rsidRDefault="00865574" w:rsidP="00865574">
      <w:pPr>
        <w:jc w:val="center"/>
        <w:rPr>
          <w:rStyle w:val="BookTitle"/>
        </w:rPr>
      </w:pPr>
    </w:p>
    <w:p w14:paraId="2477BE4D" w14:textId="77777777" w:rsidR="00865574" w:rsidRDefault="006D51CB" w:rsidP="005622A0">
      <w:pPr>
        <w:pStyle w:val="Caption"/>
        <w:jc w:val="center"/>
        <w:rPr>
          <w:rStyle w:val="BookTitle"/>
        </w:rPr>
      </w:pPr>
      <w:r>
        <w:rPr>
          <w:rStyle w:val="BookTitle"/>
        </w:rPr>
        <w:t>Outcome Evaluation</w:t>
      </w:r>
      <w:r w:rsidR="00654258">
        <w:rPr>
          <w:rStyle w:val="BookTitle"/>
        </w:rPr>
        <w:t xml:space="preserve"> of UNDP Support for:</w:t>
      </w:r>
    </w:p>
    <w:p w14:paraId="20CC6638" w14:textId="77777777" w:rsidR="00D36C70" w:rsidRPr="005622A0" w:rsidRDefault="00D36C70" w:rsidP="005622A0">
      <w:pPr>
        <w:pStyle w:val="Subtitle"/>
        <w:jc w:val="center"/>
        <w:rPr>
          <w:b/>
          <w:sz w:val="28"/>
          <w:szCs w:val="28"/>
        </w:rPr>
      </w:pPr>
      <w:r w:rsidRPr="005622A0">
        <w:rPr>
          <w:b/>
          <w:sz w:val="28"/>
          <w:szCs w:val="28"/>
        </w:rPr>
        <w:t>Social Empowerment and Institutional Strengthening with Emphasis on Youth</w:t>
      </w:r>
    </w:p>
    <w:p w14:paraId="5C7A2871" w14:textId="77777777" w:rsidR="00865574" w:rsidRPr="005622A0" w:rsidRDefault="00654258" w:rsidP="005622A0">
      <w:pPr>
        <w:pStyle w:val="Caption"/>
        <w:jc w:val="center"/>
        <w:rPr>
          <w:rStyle w:val="BookTitle"/>
        </w:rPr>
      </w:pPr>
      <w:r w:rsidRPr="005622A0">
        <w:rPr>
          <w:rStyle w:val="BookTitle"/>
        </w:rPr>
        <w:t xml:space="preserve">Country </w:t>
      </w:r>
      <w:r w:rsidR="00842222" w:rsidRPr="005622A0">
        <w:rPr>
          <w:rStyle w:val="BookTitle"/>
        </w:rPr>
        <w:t>Programme</w:t>
      </w:r>
      <w:r w:rsidR="00D36C70" w:rsidRPr="005622A0">
        <w:rPr>
          <w:rStyle w:val="BookTitle"/>
        </w:rPr>
        <w:t xml:space="preserve"> 2012-2016</w:t>
      </w:r>
    </w:p>
    <w:p w14:paraId="556E566F" w14:textId="77777777" w:rsidR="00865574" w:rsidRDefault="00865574" w:rsidP="00865574">
      <w:pPr>
        <w:jc w:val="center"/>
        <w:rPr>
          <w:rStyle w:val="BookTitle"/>
        </w:rPr>
      </w:pPr>
    </w:p>
    <w:p w14:paraId="04F6C2EF" w14:textId="77777777" w:rsidR="00AA52EB" w:rsidRDefault="00AA52EB" w:rsidP="00DD1340">
      <w:pPr>
        <w:rPr>
          <w:rStyle w:val="BookTitle"/>
        </w:rPr>
      </w:pPr>
    </w:p>
    <w:p w14:paraId="09A0FFCD" w14:textId="77777777" w:rsidR="00AA52EB" w:rsidRDefault="00AA52EB" w:rsidP="00865574">
      <w:pPr>
        <w:jc w:val="center"/>
        <w:rPr>
          <w:rStyle w:val="BookTitle"/>
        </w:rPr>
      </w:pPr>
    </w:p>
    <w:p w14:paraId="00821F10" w14:textId="77777777" w:rsidR="00865574" w:rsidRDefault="00865574" w:rsidP="00865574">
      <w:pPr>
        <w:jc w:val="center"/>
        <w:rPr>
          <w:rStyle w:val="BookTitle"/>
        </w:rPr>
      </w:pPr>
    </w:p>
    <w:p w14:paraId="1AEE5626" w14:textId="77777777" w:rsidR="00865574" w:rsidRDefault="00865574" w:rsidP="00865574">
      <w:pPr>
        <w:pBdr>
          <w:bottom w:val="single" w:sz="6" w:space="1" w:color="auto"/>
        </w:pBdr>
        <w:jc w:val="center"/>
        <w:rPr>
          <w:rStyle w:val="BookTitle"/>
        </w:rPr>
      </w:pPr>
    </w:p>
    <w:p w14:paraId="446B9F29" w14:textId="77777777" w:rsidR="00865574" w:rsidRPr="00935AAE" w:rsidRDefault="00865574" w:rsidP="00AA52EB">
      <w:pPr>
        <w:rPr>
          <w:rStyle w:val="BookTitle"/>
        </w:rPr>
      </w:pPr>
    </w:p>
    <w:p w14:paraId="6FC5C571" w14:textId="77777777" w:rsidR="00865574" w:rsidRPr="00935AAE" w:rsidRDefault="00865574" w:rsidP="005622A0">
      <w:pPr>
        <w:pStyle w:val="Caption"/>
        <w:jc w:val="center"/>
        <w:rPr>
          <w:rStyle w:val="IntenseEmphasis"/>
          <w:i w:val="0"/>
        </w:rPr>
      </w:pPr>
      <w:r w:rsidRPr="00935AAE">
        <w:rPr>
          <w:rStyle w:val="IntenseEmphasis"/>
          <w:i w:val="0"/>
        </w:rPr>
        <w:t>Patricia Alexander</w:t>
      </w:r>
    </w:p>
    <w:p w14:paraId="1134649C" w14:textId="77777777" w:rsidR="00865574" w:rsidRPr="00935AAE" w:rsidRDefault="00865574" w:rsidP="005622A0">
      <w:pPr>
        <w:pStyle w:val="Caption"/>
        <w:jc w:val="center"/>
        <w:rPr>
          <w:rStyle w:val="IntenseEmphasis"/>
          <w:i w:val="0"/>
        </w:rPr>
      </w:pPr>
      <w:r w:rsidRPr="00935AAE">
        <w:rPr>
          <w:rStyle w:val="IntenseEmphasis"/>
          <w:i w:val="0"/>
        </w:rPr>
        <w:t>Consultant</w:t>
      </w:r>
    </w:p>
    <w:p w14:paraId="22045F29" w14:textId="77777777" w:rsidR="00865574" w:rsidRPr="005622A0" w:rsidRDefault="00865574" w:rsidP="005622A0">
      <w:pPr>
        <w:pStyle w:val="Caption"/>
        <w:jc w:val="center"/>
        <w:rPr>
          <w:rStyle w:val="IntenseEmphasis"/>
        </w:rPr>
      </w:pPr>
    </w:p>
    <w:p w14:paraId="1CC35B00" w14:textId="77777777" w:rsidR="00654258" w:rsidRPr="005622A0" w:rsidRDefault="00D36C70" w:rsidP="005622A0">
      <w:pPr>
        <w:pStyle w:val="Caption"/>
        <w:jc w:val="center"/>
        <w:rPr>
          <w:rStyle w:val="IntenseEmphasis"/>
        </w:rPr>
      </w:pPr>
      <w:r w:rsidRPr="005622A0">
        <w:rPr>
          <w:rStyle w:val="IntenseEmphasis"/>
        </w:rPr>
        <w:t xml:space="preserve">[Draft </w:t>
      </w:r>
      <w:r w:rsidR="00935AAE">
        <w:rPr>
          <w:rStyle w:val="IntenseEmphasis"/>
        </w:rPr>
        <w:t xml:space="preserve">24 </w:t>
      </w:r>
      <w:r w:rsidR="00C25559" w:rsidRPr="005622A0">
        <w:rPr>
          <w:rStyle w:val="IntenseEmphasis"/>
        </w:rPr>
        <w:t>July</w:t>
      </w:r>
      <w:r w:rsidRPr="005622A0">
        <w:rPr>
          <w:rStyle w:val="IntenseEmphasis"/>
        </w:rPr>
        <w:t xml:space="preserve"> 2014]</w:t>
      </w:r>
    </w:p>
    <w:p w14:paraId="0D86BDD5" w14:textId="77777777" w:rsidR="00DD1340" w:rsidRPr="00935AAE" w:rsidRDefault="00865574" w:rsidP="005622A0">
      <w:pPr>
        <w:pStyle w:val="Caption"/>
        <w:jc w:val="center"/>
        <w:rPr>
          <w:rStyle w:val="IntenseEmphasis"/>
          <w:i w:val="0"/>
        </w:rPr>
      </w:pPr>
      <w:r w:rsidRPr="00935AAE">
        <w:rPr>
          <w:rStyle w:val="IntenseEmphasis"/>
          <w:i w:val="0"/>
        </w:rPr>
        <w:t>Riyadh</w:t>
      </w:r>
    </w:p>
    <w:p w14:paraId="052D5C04" w14:textId="77777777" w:rsidR="00DD1340" w:rsidRDefault="00DD1340" w:rsidP="005622A0">
      <w:pPr>
        <w:pStyle w:val="Caption"/>
        <w:jc w:val="center"/>
        <w:rPr>
          <w:rStyle w:val="BookTitle"/>
          <w:rFonts w:asciiTheme="majorHAnsi" w:eastAsiaTheme="majorEastAsia" w:hAnsiTheme="majorHAnsi" w:cstheme="majorBidi"/>
          <w:b/>
          <w:bCs/>
          <w:sz w:val="20"/>
        </w:rPr>
      </w:pPr>
      <w:r>
        <w:rPr>
          <w:rStyle w:val="BookTitle"/>
          <w:sz w:val="20"/>
        </w:rPr>
        <w:br w:type="page"/>
      </w:r>
    </w:p>
    <w:p w14:paraId="382FAB71" w14:textId="77777777" w:rsidR="00654258" w:rsidRDefault="00654258" w:rsidP="00654258">
      <w:pPr>
        <w:jc w:val="center"/>
        <w:rPr>
          <w:rStyle w:val="IntenseEmphasis"/>
          <w:sz w:val="30"/>
        </w:rPr>
      </w:pPr>
      <w:r w:rsidRPr="000E2470">
        <w:rPr>
          <w:rStyle w:val="IntenseEmphasis"/>
          <w:sz w:val="30"/>
        </w:rPr>
        <w:lastRenderedPageBreak/>
        <w:t>Select</w:t>
      </w:r>
      <w:r w:rsidR="000E2470">
        <w:rPr>
          <w:rStyle w:val="IntenseEmphasis"/>
          <w:sz w:val="30"/>
        </w:rPr>
        <w:t>ed Indicators for Saudi Arabia</w:t>
      </w:r>
      <w:r w:rsidR="008D4F2E">
        <w:rPr>
          <w:rStyle w:val="IntenseEmphasis"/>
          <w:sz w:val="30"/>
        </w:rPr>
        <w:t xml:space="preserve"> </w:t>
      </w:r>
      <w:r w:rsidR="008D4F2E" w:rsidRPr="008D4F2E">
        <w:rPr>
          <w:rStyle w:val="IntenseEmphasis"/>
          <w:b w:val="0"/>
          <w:sz w:val="14"/>
        </w:rPr>
        <w:t>(HDR unless otherwise indicated)</w:t>
      </w:r>
    </w:p>
    <w:tbl>
      <w:tblPr>
        <w:tblStyle w:val="TableGrid"/>
        <w:tblW w:w="5275" w:type="pct"/>
        <w:jc w:val="center"/>
        <w:tblLayout w:type="fixed"/>
        <w:tblLook w:val="04A0" w:firstRow="1" w:lastRow="0" w:firstColumn="1" w:lastColumn="0" w:noHBand="0" w:noVBand="1"/>
      </w:tblPr>
      <w:tblGrid>
        <w:gridCol w:w="6231"/>
        <w:gridCol w:w="3403"/>
      </w:tblGrid>
      <w:tr w:rsidR="005F0A41" w:rsidRPr="0078340B" w14:paraId="7A1763BF" w14:textId="77777777" w:rsidTr="005F0A41">
        <w:trPr>
          <w:trHeight w:val="111"/>
          <w:jc w:val="center"/>
        </w:trPr>
        <w:tc>
          <w:tcPr>
            <w:tcW w:w="3234" w:type="pct"/>
            <w:shd w:val="clear" w:color="auto" w:fill="auto"/>
          </w:tcPr>
          <w:p w14:paraId="17D0EB6A" w14:textId="77777777" w:rsidR="005F0A41" w:rsidRPr="0078340B" w:rsidRDefault="005F0A41" w:rsidP="006D7727">
            <w:pPr>
              <w:pStyle w:val="Default"/>
              <w:rPr>
                <w:rFonts w:ascii="Sylfaen" w:hAnsi="Sylfaen"/>
                <w:sz w:val="20"/>
                <w:szCs w:val="20"/>
              </w:rPr>
            </w:pPr>
            <w:r>
              <w:rPr>
                <w:rFonts w:ascii="Sylfaen" w:hAnsi="Sylfaen"/>
                <w:sz w:val="20"/>
                <w:szCs w:val="20"/>
              </w:rPr>
              <w:t>Population (all)</w:t>
            </w:r>
          </w:p>
        </w:tc>
        <w:tc>
          <w:tcPr>
            <w:tcW w:w="1766" w:type="pct"/>
            <w:shd w:val="clear" w:color="auto" w:fill="auto"/>
          </w:tcPr>
          <w:p w14:paraId="44E4016C" w14:textId="77777777" w:rsidR="005F0A41" w:rsidRPr="0078340B" w:rsidRDefault="005F0A41" w:rsidP="006D7727">
            <w:pPr>
              <w:ind w:right="6"/>
              <w:jc w:val="center"/>
              <w:rPr>
                <w:rFonts w:cs="Times New Roman"/>
                <w:color w:val="000000"/>
                <w:sz w:val="20"/>
                <w:szCs w:val="20"/>
              </w:rPr>
            </w:pPr>
            <w:r>
              <w:rPr>
                <w:rFonts w:cs="Times New Roman"/>
                <w:sz w:val="20"/>
                <w:szCs w:val="20"/>
              </w:rPr>
              <w:t>30.0</w:t>
            </w:r>
            <w:r w:rsidRPr="0078340B">
              <w:rPr>
                <w:rFonts w:cs="Times New Roman"/>
                <w:sz w:val="20"/>
                <w:szCs w:val="20"/>
              </w:rPr>
              <w:t xml:space="preserve"> million (2014</w:t>
            </w:r>
            <w:r w:rsidRPr="0078340B">
              <w:rPr>
                <w:rFonts w:cs="Times New Roman"/>
                <w:sz w:val="20"/>
                <w:szCs w:val="20"/>
                <w:vertAlign w:val="superscript"/>
              </w:rPr>
              <w:t>a</w:t>
            </w:r>
            <w:r w:rsidRPr="0078340B">
              <w:rPr>
                <w:rFonts w:cs="Times New Roman"/>
                <w:sz w:val="20"/>
                <w:szCs w:val="20"/>
              </w:rPr>
              <w:t>)</w:t>
            </w:r>
          </w:p>
        </w:tc>
      </w:tr>
      <w:tr w:rsidR="005F0A41" w:rsidRPr="0078340B" w14:paraId="1FCF3BA2" w14:textId="77777777" w:rsidTr="005F0A41">
        <w:trPr>
          <w:jc w:val="center"/>
        </w:trPr>
        <w:tc>
          <w:tcPr>
            <w:tcW w:w="3234" w:type="pct"/>
            <w:shd w:val="clear" w:color="auto" w:fill="auto"/>
          </w:tcPr>
          <w:p w14:paraId="6E5A9C95" w14:textId="77777777" w:rsidR="005F0A41" w:rsidRPr="0078340B" w:rsidRDefault="005F0A41" w:rsidP="006D7727">
            <w:pPr>
              <w:spacing w:before="60" w:after="60"/>
              <w:rPr>
                <w:rFonts w:eastAsiaTheme="majorEastAsia" w:cs="Times New Roman"/>
                <w:spacing w:val="5"/>
                <w:kern w:val="28"/>
                <w:sz w:val="20"/>
                <w:szCs w:val="20"/>
              </w:rPr>
            </w:pPr>
            <w:r w:rsidRPr="0078340B">
              <w:rPr>
                <w:rFonts w:eastAsiaTheme="majorEastAsia" w:cs="Times New Roman"/>
                <w:spacing w:val="5"/>
                <w:kern w:val="28"/>
                <w:sz w:val="20"/>
                <w:szCs w:val="20"/>
              </w:rPr>
              <w:t>Saudi/Non-Saudi population</w:t>
            </w:r>
          </w:p>
        </w:tc>
        <w:tc>
          <w:tcPr>
            <w:tcW w:w="1766" w:type="pct"/>
            <w:shd w:val="clear" w:color="auto" w:fill="auto"/>
          </w:tcPr>
          <w:p w14:paraId="2535E642" w14:textId="77777777" w:rsidR="005F0A41" w:rsidRPr="0078340B" w:rsidRDefault="005F0A41" w:rsidP="006D7727">
            <w:pPr>
              <w:spacing w:before="60" w:after="60"/>
              <w:ind w:right="-185"/>
              <w:jc w:val="center"/>
              <w:rPr>
                <w:rFonts w:cs="Times New Roman"/>
                <w:color w:val="000000"/>
                <w:sz w:val="20"/>
                <w:szCs w:val="20"/>
              </w:rPr>
            </w:pPr>
            <w:r w:rsidRPr="0078340B">
              <w:rPr>
                <w:rFonts w:cs="Times New Roman"/>
                <w:color w:val="000000"/>
                <w:sz w:val="20"/>
                <w:szCs w:val="20"/>
              </w:rPr>
              <w:t>20</w:t>
            </w:r>
            <w:r>
              <w:rPr>
                <w:rFonts w:cs="Times New Roman"/>
                <w:color w:val="000000"/>
                <w:sz w:val="20"/>
                <w:szCs w:val="20"/>
              </w:rPr>
              <w:t>.5</w:t>
            </w:r>
            <w:r w:rsidRPr="0078340B">
              <w:rPr>
                <w:rFonts w:cs="Times New Roman"/>
                <w:color w:val="000000"/>
                <w:sz w:val="20"/>
                <w:szCs w:val="20"/>
              </w:rPr>
              <w:t xml:space="preserve"> million  /  9</w:t>
            </w:r>
            <w:r>
              <w:rPr>
                <w:rFonts w:cs="Times New Roman"/>
                <w:color w:val="000000"/>
                <w:sz w:val="20"/>
                <w:szCs w:val="20"/>
              </w:rPr>
              <w:t>.5</w:t>
            </w:r>
            <w:r w:rsidRPr="0078340B">
              <w:rPr>
                <w:rFonts w:cs="Times New Roman"/>
                <w:color w:val="000000"/>
                <w:sz w:val="20"/>
                <w:szCs w:val="20"/>
              </w:rPr>
              <w:t xml:space="preserve"> million </w:t>
            </w:r>
            <w:r w:rsidRPr="0078340B">
              <w:rPr>
                <w:rFonts w:cs="Times New Roman"/>
                <w:color w:val="000000"/>
                <w:sz w:val="20"/>
                <w:szCs w:val="20"/>
                <w:vertAlign w:val="superscript"/>
              </w:rPr>
              <w:t>a</w:t>
            </w:r>
          </w:p>
        </w:tc>
      </w:tr>
      <w:tr w:rsidR="005F0A41" w:rsidRPr="0078340B" w14:paraId="695452F5" w14:textId="77777777" w:rsidTr="005F0A41">
        <w:trPr>
          <w:jc w:val="center"/>
        </w:trPr>
        <w:tc>
          <w:tcPr>
            <w:tcW w:w="3234" w:type="pct"/>
            <w:shd w:val="clear" w:color="auto" w:fill="auto"/>
          </w:tcPr>
          <w:p w14:paraId="6C2F7E88" w14:textId="77777777" w:rsidR="005F0A41" w:rsidRPr="0078340B" w:rsidRDefault="005F0A41" w:rsidP="006D7727">
            <w:pPr>
              <w:spacing w:before="60" w:after="60"/>
              <w:rPr>
                <w:rFonts w:eastAsiaTheme="majorEastAsia" w:cs="Times New Roman"/>
                <w:spacing w:val="5"/>
                <w:kern w:val="28"/>
                <w:sz w:val="20"/>
                <w:szCs w:val="20"/>
              </w:rPr>
            </w:pPr>
            <w:r w:rsidRPr="003C23FA">
              <w:rPr>
                <w:rFonts w:eastAsiaTheme="majorEastAsia" w:cs="Times New Roman"/>
                <w:spacing w:val="5"/>
                <w:kern w:val="28"/>
                <w:sz w:val="20"/>
                <w:szCs w:val="20"/>
              </w:rPr>
              <w:t>Stock of immigrants</w:t>
            </w:r>
            <w:r>
              <w:rPr>
                <w:rFonts w:eastAsiaTheme="majorEastAsia" w:cs="Times New Roman"/>
                <w:spacing w:val="5"/>
                <w:kern w:val="28"/>
                <w:sz w:val="20"/>
                <w:szCs w:val="20"/>
              </w:rPr>
              <w:t xml:space="preserve"> (% of population)</w:t>
            </w:r>
          </w:p>
        </w:tc>
        <w:tc>
          <w:tcPr>
            <w:tcW w:w="1766" w:type="pct"/>
            <w:shd w:val="clear" w:color="auto" w:fill="auto"/>
          </w:tcPr>
          <w:p w14:paraId="75160896" w14:textId="77777777" w:rsidR="005F0A41" w:rsidRPr="0078340B" w:rsidRDefault="005F0A41" w:rsidP="006D7727">
            <w:pPr>
              <w:spacing w:before="60" w:after="60"/>
              <w:ind w:right="-185"/>
              <w:jc w:val="center"/>
              <w:rPr>
                <w:rFonts w:cs="Times New Roman"/>
                <w:color w:val="000000"/>
                <w:sz w:val="20"/>
                <w:szCs w:val="20"/>
              </w:rPr>
            </w:pPr>
            <w:r>
              <w:rPr>
                <w:rFonts w:cs="Times New Roman"/>
                <w:color w:val="000000"/>
                <w:sz w:val="20"/>
                <w:szCs w:val="20"/>
              </w:rPr>
              <w:t>31.4</w:t>
            </w:r>
          </w:p>
        </w:tc>
      </w:tr>
      <w:tr w:rsidR="005F0A41" w:rsidRPr="0078340B" w14:paraId="3C50D863" w14:textId="77777777" w:rsidTr="005F0A41">
        <w:trPr>
          <w:trHeight w:val="247"/>
          <w:jc w:val="center"/>
        </w:trPr>
        <w:tc>
          <w:tcPr>
            <w:tcW w:w="3234" w:type="pct"/>
            <w:shd w:val="clear" w:color="auto" w:fill="auto"/>
          </w:tcPr>
          <w:p w14:paraId="62FF7391" w14:textId="77777777" w:rsidR="005F0A41" w:rsidRPr="0078340B" w:rsidRDefault="005F0A41" w:rsidP="006D7727">
            <w:pPr>
              <w:pStyle w:val="Default"/>
              <w:ind w:right="0"/>
              <w:rPr>
                <w:rFonts w:ascii="Sylfaen" w:hAnsi="Sylfaen"/>
                <w:sz w:val="20"/>
                <w:szCs w:val="20"/>
              </w:rPr>
            </w:pPr>
            <w:r w:rsidRPr="0078340B">
              <w:rPr>
                <w:rFonts w:ascii="Sylfaen" w:hAnsi="Sylfaen"/>
                <w:bCs/>
                <w:sz w:val="20"/>
                <w:szCs w:val="20"/>
              </w:rPr>
              <w:t>A</w:t>
            </w:r>
            <w:r>
              <w:rPr>
                <w:rFonts w:ascii="Sylfaen" w:hAnsi="Sylfaen"/>
                <w:bCs/>
                <w:sz w:val="20"/>
                <w:szCs w:val="20"/>
              </w:rPr>
              <w:t xml:space="preserve">nnual Population Growth Rate % </w:t>
            </w:r>
            <w:r>
              <w:rPr>
                <w:rFonts w:ascii="Sylfaen" w:hAnsi="Sylfaen"/>
                <w:sz w:val="20"/>
                <w:szCs w:val="20"/>
              </w:rPr>
              <w:t>(2000-2005</w:t>
            </w:r>
            <w:r w:rsidRPr="0078340B">
              <w:rPr>
                <w:rFonts w:ascii="Sylfaen" w:hAnsi="Sylfaen"/>
                <w:sz w:val="20"/>
                <w:szCs w:val="20"/>
              </w:rPr>
              <w:t xml:space="preserve"> )</w:t>
            </w:r>
            <w:r>
              <w:rPr>
                <w:rFonts w:ascii="Sylfaen" w:hAnsi="Sylfaen"/>
                <w:sz w:val="20"/>
                <w:szCs w:val="20"/>
              </w:rPr>
              <w:t xml:space="preserve"> / </w:t>
            </w:r>
            <w:r w:rsidRPr="0078340B">
              <w:rPr>
                <w:rFonts w:ascii="Sylfaen" w:hAnsi="Sylfaen"/>
                <w:sz w:val="20"/>
                <w:szCs w:val="20"/>
              </w:rPr>
              <w:t xml:space="preserve"> (2005-2015</w:t>
            </w:r>
            <w:r w:rsidRPr="00271DE0">
              <w:rPr>
                <w:kern w:val="28"/>
                <w:vertAlign w:val="superscript"/>
              </w:rPr>
              <w:t xml:space="preserve"> </w:t>
            </w:r>
            <w:r w:rsidRPr="00D84D58">
              <w:rPr>
                <w:kern w:val="28"/>
                <w:sz w:val="22"/>
                <w:vertAlign w:val="superscript"/>
              </w:rPr>
              <w:t>p</w:t>
            </w:r>
            <w:r w:rsidRPr="0078340B">
              <w:rPr>
                <w:rFonts w:ascii="Sylfaen" w:hAnsi="Sylfaen"/>
                <w:sz w:val="20"/>
                <w:szCs w:val="20"/>
              </w:rPr>
              <w:t>)</w:t>
            </w:r>
          </w:p>
        </w:tc>
        <w:tc>
          <w:tcPr>
            <w:tcW w:w="1766" w:type="pct"/>
            <w:shd w:val="clear" w:color="auto" w:fill="auto"/>
          </w:tcPr>
          <w:p w14:paraId="7D017776" w14:textId="77777777" w:rsidR="005F0A41" w:rsidRPr="0078340B" w:rsidRDefault="005F0A41" w:rsidP="006D7727">
            <w:pPr>
              <w:pStyle w:val="Default"/>
              <w:ind w:right="6"/>
              <w:jc w:val="center"/>
              <w:rPr>
                <w:rFonts w:ascii="Sylfaen" w:hAnsi="Sylfaen"/>
                <w:sz w:val="20"/>
                <w:szCs w:val="20"/>
              </w:rPr>
            </w:pPr>
            <w:r>
              <w:rPr>
                <w:rFonts w:ascii="Sylfaen" w:hAnsi="Sylfaen"/>
                <w:sz w:val="20"/>
                <w:szCs w:val="20"/>
              </w:rPr>
              <w:t>4.1  /  1.8</w:t>
            </w:r>
          </w:p>
        </w:tc>
      </w:tr>
      <w:tr w:rsidR="005F0A41" w:rsidRPr="0078340B" w14:paraId="636257FD" w14:textId="77777777" w:rsidTr="005F0A41">
        <w:trPr>
          <w:trHeight w:val="247"/>
          <w:jc w:val="center"/>
        </w:trPr>
        <w:tc>
          <w:tcPr>
            <w:tcW w:w="3234" w:type="pct"/>
            <w:shd w:val="clear" w:color="auto" w:fill="auto"/>
          </w:tcPr>
          <w:p w14:paraId="048A24D0" w14:textId="77777777" w:rsidR="005F0A41" w:rsidRPr="0078340B" w:rsidRDefault="005F0A41" w:rsidP="006D7727">
            <w:pPr>
              <w:pStyle w:val="Default"/>
              <w:ind w:right="0"/>
              <w:rPr>
                <w:rFonts w:ascii="Sylfaen" w:hAnsi="Sylfaen"/>
                <w:bCs/>
                <w:sz w:val="20"/>
                <w:szCs w:val="20"/>
              </w:rPr>
            </w:pPr>
            <w:r>
              <w:rPr>
                <w:rFonts w:ascii="Sylfaen" w:hAnsi="Sylfaen"/>
                <w:bCs/>
                <w:sz w:val="20"/>
                <w:szCs w:val="20"/>
              </w:rPr>
              <w:t xml:space="preserve">Dependency ratio, </w:t>
            </w:r>
            <w:r w:rsidRPr="00D84D58">
              <w:rPr>
                <w:rFonts w:ascii="Sylfaen" w:hAnsi="Sylfaen"/>
                <w:bCs/>
                <w:sz w:val="20"/>
                <w:szCs w:val="20"/>
              </w:rPr>
              <w:t>Young age (ages 0-14)</w:t>
            </w:r>
            <w:r>
              <w:rPr>
                <w:rFonts w:ascii="Sylfaen" w:hAnsi="Sylfaen"/>
                <w:bCs/>
                <w:sz w:val="20"/>
                <w:szCs w:val="20"/>
              </w:rPr>
              <w:t xml:space="preserve"> / </w:t>
            </w:r>
            <w:r w:rsidRPr="00D84D58">
              <w:rPr>
                <w:rFonts w:ascii="Sylfaen" w:hAnsi="Sylfaen"/>
                <w:bCs/>
                <w:sz w:val="20"/>
                <w:szCs w:val="20"/>
              </w:rPr>
              <w:t>Old age (ages 65 and older)</w:t>
            </w:r>
          </w:p>
        </w:tc>
        <w:tc>
          <w:tcPr>
            <w:tcW w:w="1766" w:type="pct"/>
            <w:shd w:val="clear" w:color="auto" w:fill="auto"/>
          </w:tcPr>
          <w:p w14:paraId="42B2E0AE" w14:textId="77777777" w:rsidR="005F0A41" w:rsidRDefault="005F0A41" w:rsidP="006D7727">
            <w:pPr>
              <w:pStyle w:val="Default"/>
              <w:ind w:right="6"/>
              <w:jc w:val="center"/>
              <w:rPr>
                <w:rFonts w:ascii="Sylfaen" w:hAnsi="Sylfaen"/>
                <w:sz w:val="20"/>
                <w:szCs w:val="20"/>
              </w:rPr>
            </w:pPr>
            <w:r>
              <w:rPr>
                <w:rFonts w:ascii="Sylfaen" w:hAnsi="Sylfaen"/>
                <w:sz w:val="20"/>
                <w:szCs w:val="20"/>
              </w:rPr>
              <w:t>41.2  /  4.4</w:t>
            </w:r>
          </w:p>
        </w:tc>
      </w:tr>
      <w:tr w:rsidR="005F0A41" w:rsidRPr="0078340B" w14:paraId="1287A276" w14:textId="77777777" w:rsidTr="005F0A41">
        <w:trPr>
          <w:trHeight w:val="247"/>
          <w:jc w:val="center"/>
        </w:trPr>
        <w:tc>
          <w:tcPr>
            <w:tcW w:w="3234" w:type="pct"/>
            <w:shd w:val="clear" w:color="auto" w:fill="auto"/>
          </w:tcPr>
          <w:p w14:paraId="4ED66A83" w14:textId="77777777" w:rsidR="005F0A41" w:rsidRDefault="005F0A41" w:rsidP="006D7727">
            <w:pPr>
              <w:pStyle w:val="Default"/>
              <w:ind w:right="0"/>
              <w:rPr>
                <w:rFonts w:ascii="Sylfaen" w:hAnsi="Sylfaen"/>
                <w:bCs/>
                <w:sz w:val="20"/>
                <w:szCs w:val="20"/>
              </w:rPr>
            </w:pPr>
            <w:r w:rsidRPr="0078340B">
              <w:rPr>
                <w:rFonts w:ascii="Sylfaen" w:hAnsi="Sylfaen"/>
                <w:sz w:val="20"/>
                <w:szCs w:val="20"/>
              </w:rPr>
              <w:t xml:space="preserve">Life Expectancy at Birth (years):  </w:t>
            </w:r>
            <w:r>
              <w:rPr>
                <w:rFonts w:ascii="Sylfaen" w:hAnsi="Sylfaen"/>
                <w:sz w:val="20"/>
                <w:szCs w:val="20"/>
              </w:rPr>
              <w:t>All</w:t>
            </w:r>
          </w:p>
        </w:tc>
        <w:tc>
          <w:tcPr>
            <w:tcW w:w="1766" w:type="pct"/>
            <w:shd w:val="clear" w:color="auto" w:fill="auto"/>
          </w:tcPr>
          <w:p w14:paraId="12C1091F" w14:textId="77777777" w:rsidR="005F0A41" w:rsidRDefault="005F0A41" w:rsidP="006D7727">
            <w:pPr>
              <w:pStyle w:val="Default"/>
              <w:ind w:right="6"/>
              <w:jc w:val="center"/>
              <w:rPr>
                <w:rFonts w:ascii="Sylfaen" w:hAnsi="Sylfaen"/>
                <w:sz w:val="20"/>
                <w:szCs w:val="20"/>
              </w:rPr>
            </w:pPr>
            <w:r>
              <w:rPr>
                <w:rFonts w:ascii="Sylfaen" w:hAnsi="Sylfaen"/>
                <w:sz w:val="20"/>
                <w:szCs w:val="20"/>
              </w:rPr>
              <w:t>75.5</w:t>
            </w:r>
          </w:p>
        </w:tc>
      </w:tr>
      <w:tr w:rsidR="005F0A41" w:rsidRPr="0078340B" w14:paraId="549DB511" w14:textId="77777777" w:rsidTr="005F0A41">
        <w:trPr>
          <w:trHeight w:val="297"/>
          <w:jc w:val="center"/>
        </w:trPr>
        <w:tc>
          <w:tcPr>
            <w:tcW w:w="3234" w:type="pct"/>
            <w:shd w:val="clear" w:color="auto" w:fill="auto"/>
          </w:tcPr>
          <w:p w14:paraId="7870452E" w14:textId="77777777" w:rsidR="005F0A41" w:rsidRPr="0078340B" w:rsidRDefault="005F0A41" w:rsidP="006D7727">
            <w:pPr>
              <w:pStyle w:val="Default"/>
              <w:ind w:right="34"/>
              <w:rPr>
                <w:rFonts w:ascii="Sylfaen" w:hAnsi="Sylfaen"/>
                <w:sz w:val="20"/>
                <w:szCs w:val="20"/>
              </w:rPr>
            </w:pPr>
            <w:r w:rsidRPr="0078340B">
              <w:rPr>
                <w:rFonts w:ascii="Sylfaen" w:hAnsi="Sylfaen"/>
                <w:sz w:val="20"/>
                <w:szCs w:val="20"/>
              </w:rPr>
              <w:t>Life Expe</w:t>
            </w:r>
            <w:r>
              <w:rPr>
                <w:rFonts w:ascii="Sylfaen" w:hAnsi="Sylfaen"/>
                <w:sz w:val="20"/>
                <w:szCs w:val="20"/>
              </w:rPr>
              <w:t>ctancy at Birth (years):  Male /</w:t>
            </w:r>
            <w:r w:rsidRPr="0078340B">
              <w:rPr>
                <w:rFonts w:ascii="Sylfaen" w:hAnsi="Sylfaen"/>
                <w:sz w:val="20"/>
                <w:szCs w:val="20"/>
              </w:rPr>
              <w:t xml:space="preserve"> Female</w:t>
            </w:r>
          </w:p>
        </w:tc>
        <w:tc>
          <w:tcPr>
            <w:tcW w:w="1766" w:type="pct"/>
            <w:shd w:val="clear" w:color="auto" w:fill="auto"/>
          </w:tcPr>
          <w:p w14:paraId="061AFE62" w14:textId="77777777" w:rsidR="005F0A41" w:rsidRPr="0078340B" w:rsidRDefault="005F0A41" w:rsidP="006D7727">
            <w:pPr>
              <w:pStyle w:val="Default"/>
              <w:ind w:right="-43"/>
              <w:jc w:val="center"/>
              <w:rPr>
                <w:rFonts w:ascii="Sylfaen" w:hAnsi="Sylfaen"/>
                <w:sz w:val="20"/>
                <w:szCs w:val="20"/>
              </w:rPr>
            </w:pPr>
            <w:r>
              <w:rPr>
                <w:rFonts w:ascii="Sylfaen" w:hAnsi="Sylfaen"/>
                <w:sz w:val="20"/>
                <w:szCs w:val="20"/>
              </w:rPr>
              <w:t>73.9  /  77.6</w:t>
            </w:r>
          </w:p>
        </w:tc>
      </w:tr>
      <w:tr w:rsidR="005F0A41" w:rsidRPr="0078340B" w14:paraId="04874970" w14:textId="77777777" w:rsidTr="005F0A41">
        <w:trPr>
          <w:trHeight w:val="245"/>
          <w:jc w:val="center"/>
        </w:trPr>
        <w:tc>
          <w:tcPr>
            <w:tcW w:w="3234" w:type="pct"/>
            <w:shd w:val="clear" w:color="auto" w:fill="auto"/>
          </w:tcPr>
          <w:p w14:paraId="4138213F" w14:textId="77777777" w:rsidR="005F0A41" w:rsidRPr="0078340B" w:rsidRDefault="005F0A41" w:rsidP="006D7727">
            <w:pPr>
              <w:pStyle w:val="Default"/>
              <w:rPr>
                <w:rFonts w:ascii="Sylfaen" w:hAnsi="Sylfaen"/>
                <w:bCs/>
                <w:sz w:val="20"/>
                <w:szCs w:val="20"/>
              </w:rPr>
            </w:pPr>
            <w:r w:rsidRPr="0078340B">
              <w:rPr>
                <w:rFonts w:ascii="Sylfaen" w:hAnsi="Sylfaen"/>
                <w:bCs/>
                <w:sz w:val="20"/>
                <w:szCs w:val="20"/>
              </w:rPr>
              <w:t>Population ages 0-14 (% of total)</w:t>
            </w:r>
            <w:r>
              <w:rPr>
                <w:rFonts w:ascii="Sylfaen" w:hAnsi="Sylfaen"/>
                <w:bCs/>
                <w:sz w:val="20"/>
                <w:szCs w:val="20"/>
              </w:rPr>
              <w:t xml:space="preserve">, </w:t>
            </w:r>
            <w:r>
              <w:rPr>
                <w:rFonts w:ascii="Sylfaen" w:hAnsi="Sylfaen"/>
                <w:sz w:val="20"/>
                <w:szCs w:val="20"/>
              </w:rPr>
              <w:t xml:space="preserve">(2003)  / </w:t>
            </w:r>
            <w:r w:rsidRPr="0078340B">
              <w:rPr>
                <w:rFonts w:ascii="Sylfaen" w:hAnsi="Sylfaen"/>
                <w:sz w:val="20"/>
                <w:szCs w:val="20"/>
              </w:rPr>
              <w:t xml:space="preserve"> (20</w:t>
            </w:r>
            <w:r>
              <w:rPr>
                <w:rFonts w:ascii="Sylfaen" w:hAnsi="Sylfaen"/>
                <w:sz w:val="20"/>
                <w:szCs w:val="20"/>
              </w:rPr>
              <w:t>1</w:t>
            </w:r>
            <w:r w:rsidRPr="0078340B">
              <w:rPr>
                <w:rFonts w:ascii="Sylfaen" w:hAnsi="Sylfaen"/>
                <w:sz w:val="20"/>
                <w:szCs w:val="20"/>
              </w:rPr>
              <w:t>3)</w:t>
            </w:r>
          </w:p>
        </w:tc>
        <w:tc>
          <w:tcPr>
            <w:tcW w:w="1766" w:type="pct"/>
            <w:shd w:val="clear" w:color="auto" w:fill="auto"/>
          </w:tcPr>
          <w:p w14:paraId="21604016" w14:textId="77777777" w:rsidR="005F0A41" w:rsidRPr="0078340B" w:rsidRDefault="005F0A41" w:rsidP="006D7727">
            <w:pPr>
              <w:pStyle w:val="Default"/>
              <w:ind w:right="-43"/>
              <w:jc w:val="center"/>
              <w:rPr>
                <w:rFonts w:ascii="Sylfaen" w:hAnsi="Sylfaen"/>
                <w:sz w:val="20"/>
                <w:szCs w:val="20"/>
              </w:rPr>
            </w:pPr>
            <w:r>
              <w:rPr>
                <w:rFonts w:ascii="Sylfaen" w:hAnsi="Sylfaen"/>
                <w:sz w:val="20"/>
                <w:szCs w:val="20"/>
              </w:rPr>
              <w:t>35.9</w:t>
            </w:r>
            <w:r w:rsidRPr="0078340B">
              <w:rPr>
                <w:rFonts w:ascii="Sylfaen" w:hAnsi="Sylfaen"/>
                <w:sz w:val="20"/>
                <w:szCs w:val="20"/>
              </w:rPr>
              <w:t xml:space="preserve"> </w:t>
            </w:r>
            <w:r>
              <w:rPr>
                <w:rFonts w:ascii="Sylfaen" w:hAnsi="Sylfaen"/>
                <w:sz w:val="20"/>
                <w:szCs w:val="20"/>
              </w:rPr>
              <w:t xml:space="preserve">  /  </w:t>
            </w:r>
            <w:r w:rsidRPr="0078340B">
              <w:rPr>
                <w:rFonts w:ascii="Sylfaen" w:hAnsi="Sylfaen"/>
                <w:sz w:val="20"/>
                <w:szCs w:val="20"/>
              </w:rPr>
              <w:t>29.0</w:t>
            </w:r>
            <w:r>
              <w:rPr>
                <w:rFonts w:ascii="Sylfaen" w:hAnsi="Sylfaen"/>
                <w:sz w:val="20"/>
                <w:szCs w:val="20"/>
              </w:rPr>
              <w:t xml:space="preserve"> </w:t>
            </w:r>
            <w:r w:rsidRPr="0078340B">
              <w:rPr>
                <w:rFonts w:ascii="Sylfaen" w:hAnsi="Sylfaen"/>
                <w:sz w:val="20"/>
                <w:szCs w:val="20"/>
                <w:vertAlign w:val="superscript"/>
              </w:rPr>
              <w:t>w</w:t>
            </w:r>
          </w:p>
        </w:tc>
      </w:tr>
      <w:tr w:rsidR="005F0A41" w:rsidRPr="0078340B" w14:paraId="3CF4E3EA" w14:textId="77777777" w:rsidTr="005F0A41">
        <w:trPr>
          <w:trHeight w:val="245"/>
          <w:jc w:val="center"/>
        </w:trPr>
        <w:tc>
          <w:tcPr>
            <w:tcW w:w="3234" w:type="pct"/>
            <w:shd w:val="clear" w:color="auto" w:fill="auto"/>
          </w:tcPr>
          <w:p w14:paraId="5518FF10" w14:textId="77777777" w:rsidR="005F0A41" w:rsidRPr="0078340B" w:rsidRDefault="005F0A41" w:rsidP="006D7727">
            <w:pPr>
              <w:pStyle w:val="Default"/>
              <w:ind w:right="34"/>
              <w:rPr>
                <w:rFonts w:ascii="Sylfaen" w:hAnsi="Sylfaen"/>
                <w:sz w:val="20"/>
                <w:szCs w:val="20"/>
              </w:rPr>
            </w:pPr>
            <w:r w:rsidRPr="0078340B">
              <w:rPr>
                <w:rFonts w:ascii="Sylfaen" w:hAnsi="Sylfaen"/>
                <w:bCs/>
                <w:sz w:val="20"/>
                <w:szCs w:val="20"/>
              </w:rPr>
              <w:t>Gross National Income (GNI) per capita (</w:t>
            </w:r>
            <w:r>
              <w:rPr>
                <w:rFonts w:ascii="Sylfaen" w:hAnsi="Sylfaen"/>
                <w:bCs/>
                <w:sz w:val="20"/>
                <w:szCs w:val="20"/>
              </w:rPr>
              <w:t xml:space="preserve">2011 </w:t>
            </w:r>
            <w:r w:rsidRPr="0078340B">
              <w:rPr>
                <w:rFonts w:ascii="Sylfaen" w:hAnsi="Sylfaen"/>
                <w:bCs/>
                <w:sz w:val="20"/>
                <w:szCs w:val="20"/>
              </w:rPr>
              <w:t>PPP US$)</w:t>
            </w:r>
          </w:p>
        </w:tc>
        <w:tc>
          <w:tcPr>
            <w:tcW w:w="1766" w:type="pct"/>
            <w:shd w:val="clear" w:color="auto" w:fill="auto"/>
          </w:tcPr>
          <w:p w14:paraId="3AFDFD8D" w14:textId="77777777" w:rsidR="005F0A41" w:rsidRPr="0078340B" w:rsidRDefault="005F0A41" w:rsidP="006D7727">
            <w:pPr>
              <w:pStyle w:val="Default"/>
              <w:ind w:right="33"/>
              <w:jc w:val="center"/>
              <w:rPr>
                <w:rFonts w:ascii="Sylfaen" w:hAnsi="Sylfaen"/>
                <w:sz w:val="20"/>
                <w:szCs w:val="20"/>
              </w:rPr>
            </w:pPr>
            <w:r>
              <w:rPr>
                <w:rFonts w:ascii="Sylfaen" w:hAnsi="Sylfaen"/>
                <w:sz w:val="20"/>
                <w:szCs w:val="20"/>
              </w:rPr>
              <w:t>52,109</w:t>
            </w:r>
          </w:p>
        </w:tc>
      </w:tr>
      <w:tr w:rsidR="005F0A41" w:rsidRPr="0078340B" w14:paraId="0BB98F83" w14:textId="77777777" w:rsidTr="005F0A41">
        <w:trPr>
          <w:trHeight w:val="245"/>
          <w:jc w:val="center"/>
        </w:trPr>
        <w:tc>
          <w:tcPr>
            <w:tcW w:w="3234" w:type="pct"/>
            <w:shd w:val="clear" w:color="auto" w:fill="auto"/>
          </w:tcPr>
          <w:p w14:paraId="19D84BBF" w14:textId="77777777" w:rsidR="005F0A41" w:rsidRPr="0078340B" w:rsidRDefault="005F0A41" w:rsidP="006D7727">
            <w:pPr>
              <w:pStyle w:val="Default"/>
              <w:ind w:right="34"/>
              <w:rPr>
                <w:rFonts w:ascii="Sylfaen" w:hAnsi="Sylfaen"/>
                <w:bCs/>
                <w:sz w:val="20"/>
                <w:szCs w:val="20"/>
              </w:rPr>
            </w:pPr>
            <w:r>
              <w:rPr>
                <w:rFonts w:ascii="Sylfaen" w:hAnsi="Sylfaen"/>
                <w:bCs/>
                <w:sz w:val="20"/>
                <w:szCs w:val="20"/>
              </w:rPr>
              <w:t>Gross Domestic Product (GDP</w:t>
            </w:r>
            <w:r w:rsidRPr="0078340B">
              <w:rPr>
                <w:rFonts w:ascii="Sylfaen" w:hAnsi="Sylfaen"/>
                <w:bCs/>
                <w:sz w:val="20"/>
                <w:szCs w:val="20"/>
              </w:rPr>
              <w:t>) per capita (</w:t>
            </w:r>
            <w:r>
              <w:rPr>
                <w:rFonts w:ascii="Sylfaen" w:hAnsi="Sylfaen"/>
                <w:bCs/>
                <w:sz w:val="20"/>
                <w:szCs w:val="20"/>
              </w:rPr>
              <w:t xml:space="preserve">2011 </w:t>
            </w:r>
            <w:r w:rsidRPr="0078340B">
              <w:rPr>
                <w:rFonts w:ascii="Sylfaen" w:hAnsi="Sylfaen"/>
                <w:bCs/>
                <w:sz w:val="20"/>
                <w:szCs w:val="20"/>
              </w:rPr>
              <w:t>PPP US$)</w:t>
            </w:r>
          </w:p>
        </w:tc>
        <w:tc>
          <w:tcPr>
            <w:tcW w:w="1766" w:type="pct"/>
            <w:shd w:val="clear" w:color="auto" w:fill="auto"/>
          </w:tcPr>
          <w:p w14:paraId="19DE99A8" w14:textId="77777777" w:rsidR="005F0A41" w:rsidRPr="0078340B" w:rsidRDefault="005F0A41" w:rsidP="006D7727">
            <w:pPr>
              <w:pStyle w:val="Default"/>
              <w:ind w:right="33"/>
              <w:jc w:val="center"/>
              <w:rPr>
                <w:rFonts w:ascii="Sylfaen" w:hAnsi="Sylfaen"/>
                <w:sz w:val="20"/>
                <w:szCs w:val="20"/>
              </w:rPr>
            </w:pPr>
            <w:r>
              <w:rPr>
                <w:rFonts w:ascii="Sylfaen" w:hAnsi="Sylfaen"/>
                <w:sz w:val="20"/>
                <w:szCs w:val="20"/>
              </w:rPr>
              <w:t>50,791</w:t>
            </w:r>
          </w:p>
        </w:tc>
      </w:tr>
      <w:tr w:rsidR="005F0A41" w:rsidRPr="0078340B" w14:paraId="5F30CD7F" w14:textId="77777777" w:rsidTr="005F0A41">
        <w:trPr>
          <w:trHeight w:val="245"/>
          <w:jc w:val="center"/>
        </w:trPr>
        <w:tc>
          <w:tcPr>
            <w:tcW w:w="3234" w:type="pct"/>
            <w:shd w:val="clear" w:color="auto" w:fill="auto"/>
          </w:tcPr>
          <w:p w14:paraId="68C34105" w14:textId="77777777" w:rsidR="005F0A41" w:rsidRPr="0078340B" w:rsidRDefault="005F0A41" w:rsidP="006D7727">
            <w:pPr>
              <w:pStyle w:val="Default"/>
              <w:ind w:right="34"/>
              <w:rPr>
                <w:rFonts w:ascii="Sylfaen" w:hAnsi="Sylfaen"/>
                <w:bCs/>
                <w:sz w:val="20"/>
                <w:szCs w:val="20"/>
              </w:rPr>
            </w:pPr>
            <w:r>
              <w:rPr>
                <w:rFonts w:ascii="Sylfaen" w:hAnsi="Sylfaen"/>
                <w:bCs/>
                <w:sz w:val="20"/>
                <w:szCs w:val="20"/>
              </w:rPr>
              <w:t>Consumer Price Index (2005=100)</w:t>
            </w:r>
          </w:p>
        </w:tc>
        <w:tc>
          <w:tcPr>
            <w:tcW w:w="1766" w:type="pct"/>
            <w:shd w:val="clear" w:color="auto" w:fill="auto"/>
          </w:tcPr>
          <w:p w14:paraId="25A25202" w14:textId="77777777" w:rsidR="005F0A41" w:rsidRPr="0078340B" w:rsidRDefault="005F0A41" w:rsidP="006D7727">
            <w:pPr>
              <w:pStyle w:val="Default"/>
              <w:ind w:right="33"/>
              <w:jc w:val="center"/>
              <w:rPr>
                <w:rFonts w:ascii="Sylfaen" w:hAnsi="Sylfaen"/>
                <w:sz w:val="20"/>
                <w:szCs w:val="20"/>
              </w:rPr>
            </w:pPr>
            <w:r>
              <w:rPr>
                <w:rFonts w:ascii="Sylfaen" w:hAnsi="Sylfaen"/>
                <w:sz w:val="20"/>
                <w:szCs w:val="20"/>
              </w:rPr>
              <w:t>141</w:t>
            </w:r>
          </w:p>
        </w:tc>
      </w:tr>
      <w:tr w:rsidR="005F0A41" w:rsidRPr="0078340B" w14:paraId="7A13979C" w14:textId="77777777" w:rsidTr="005F0A41">
        <w:trPr>
          <w:trHeight w:val="111"/>
          <w:jc w:val="center"/>
        </w:trPr>
        <w:tc>
          <w:tcPr>
            <w:tcW w:w="3234" w:type="pct"/>
            <w:shd w:val="clear" w:color="auto" w:fill="auto"/>
          </w:tcPr>
          <w:p w14:paraId="6E4878DF" w14:textId="77777777" w:rsidR="005F0A41" w:rsidRPr="0078340B" w:rsidRDefault="005F0A41" w:rsidP="006D7727">
            <w:pPr>
              <w:pStyle w:val="Default"/>
              <w:rPr>
                <w:rFonts w:ascii="Sylfaen" w:hAnsi="Sylfaen"/>
                <w:sz w:val="20"/>
                <w:szCs w:val="20"/>
              </w:rPr>
            </w:pPr>
            <w:r w:rsidRPr="0078340B">
              <w:rPr>
                <w:rFonts w:ascii="Sylfaen" w:hAnsi="Sylfaen"/>
                <w:sz w:val="20"/>
                <w:szCs w:val="20"/>
              </w:rPr>
              <w:t>Huma</w:t>
            </w:r>
            <w:r>
              <w:rPr>
                <w:rFonts w:ascii="Sylfaen" w:hAnsi="Sylfaen"/>
                <w:sz w:val="20"/>
                <w:szCs w:val="20"/>
              </w:rPr>
              <w:t>n Development Index (HDI) Rank</w:t>
            </w:r>
          </w:p>
        </w:tc>
        <w:tc>
          <w:tcPr>
            <w:tcW w:w="1766" w:type="pct"/>
            <w:shd w:val="clear" w:color="auto" w:fill="auto"/>
          </w:tcPr>
          <w:p w14:paraId="6D51E6E4" w14:textId="77777777" w:rsidR="005F0A41" w:rsidRPr="003B7429" w:rsidRDefault="00BD3D9E" w:rsidP="006D7727">
            <w:pPr>
              <w:pStyle w:val="Default"/>
              <w:ind w:right="33"/>
              <w:jc w:val="center"/>
              <w:rPr>
                <w:rFonts w:ascii="Sylfaen" w:hAnsi="Sylfaen"/>
                <w:sz w:val="20"/>
                <w:szCs w:val="20"/>
              </w:rPr>
            </w:pPr>
            <w:r>
              <w:rPr>
                <w:rFonts w:ascii="Sylfaen" w:hAnsi="Sylfaen"/>
                <w:sz w:val="20"/>
                <w:szCs w:val="20"/>
              </w:rPr>
              <w:t>34</w:t>
            </w:r>
            <w:r w:rsidR="005F0A41" w:rsidRPr="003B7429">
              <w:rPr>
                <w:rFonts w:ascii="Sylfaen" w:hAnsi="Sylfaen"/>
                <w:sz w:val="20"/>
                <w:szCs w:val="20"/>
              </w:rPr>
              <w:t xml:space="preserve">   (Very high)</w:t>
            </w:r>
          </w:p>
        </w:tc>
      </w:tr>
      <w:tr w:rsidR="005F0A41" w:rsidRPr="0078340B" w14:paraId="320BA816" w14:textId="77777777" w:rsidTr="005F0A41">
        <w:trPr>
          <w:trHeight w:val="111"/>
          <w:jc w:val="center"/>
        </w:trPr>
        <w:tc>
          <w:tcPr>
            <w:tcW w:w="3234" w:type="pct"/>
            <w:shd w:val="clear" w:color="auto" w:fill="auto"/>
          </w:tcPr>
          <w:p w14:paraId="5CAC3355" w14:textId="77777777" w:rsidR="005F0A41" w:rsidRPr="0078340B" w:rsidRDefault="005F0A41" w:rsidP="006D7727">
            <w:pPr>
              <w:pStyle w:val="Default"/>
              <w:rPr>
                <w:rFonts w:ascii="Sylfaen" w:hAnsi="Sylfaen"/>
                <w:sz w:val="20"/>
                <w:szCs w:val="20"/>
              </w:rPr>
            </w:pPr>
            <w:r>
              <w:rPr>
                <w:rFonts w:ascii="Sylfaen" w:hAnsi="Sylfaen"/>
                <w:sz w:val="20"/>
                <w:szCs w:val="20"/>
              </w:rPr>
              <w:t>HDI Value</w:t>
            </w:r>
          </w:p>
        </w:tc>
        <w:tc>
          <w:tcPr>
            <w:tcW w:w="1766" w:type="pct"/>
            <w:shd w:val="clear" w:color="auto" w:fill="auto"/>
          </w:tcPr>
          <w:p w14:paraId="553A20DD" w14:textId="77777777" w:rsidR="005F0A41" w:rsidRPr="003B7429" w:rsidRDefault="005F0A41" w:rsidP="006D7727">
            <w:pPr>
              <w:pStyle w:val="Default"/>
              <w:ind w:right="33"/>
              <w:jc w:val="center"/>
              <w:rPr>
                <w:rFonts w:ascii="Sylfaen" w:hAnsi="Sylfaen"/>
                <w:sz w:val="20"/>
                <w:szCs w:val="20"/>
              </w:rPr>
            </w:pPr>
            <w:r w:rsidRPr="003B7429">
              <w:rPr>
                <w:rFonts w:ascii="Sylfaen" w:hAnsi="Sylfaen"/>
                <w:sz w:val="20"/>
                <w:szCs w:val="20"/>
              </w:rPr>
              <w:t>0.836</w:t>
            </w:r>
          </w:p>
        </w:tc>
      </w:tr>
      <w:tr w:rsidR="005F0A41" w:rsidRPr="0078340B" w14:paraId="001EEF6B" w14:textId="77777777" w:rsidTr="005F0A41">
        <w:trPr>
          <w:trHeight w:val="111"/>
          <w:jc w:val="center"/>
        </w:trPr>
        <w:tc>
          <w:tcPr>
            <w:tcW w:w="3234" w:type="pct"/>
            <w:shd w:val="clear" w:color="auto" w:fill="auto"/>
          </w:tcPr>
          <w:p w14:paraId="043C19C1" w14:textId="77777777" w:rsidR="005F0A41" w:rsidRPr="0078340B" w:rsidRDefault="005F0A41" w:rsidP="006D7727">
            <w:pPr>
              <w:pStyle w:val="Default"/>
              <w:rPr>
                <w:rFonts w:ascii="Sylfaen" w:hAnsi="Sylfaen"/>
                <w:sz w:val="20"/>
                <w:szCs w:val="20"/>
              </w:rPr>
            </w:pPr>
            <w:r w:rsidRPr="0078340B">
              <w:rPr>
                <w:rFonts w:ascii="Sylfaen" w:hAnsi="Sylfaen"/>
                <w:sz w:val="20"/>
                <w:szCs w:val="20"/>
              </w:rPr>
              <w:t>Gend</w:t>
            </w:r>
            <w:r>
              <w:rPr>
                <w:rFonts w:ascii="Sylfaen" w:hAnsi="Sylfaen"/>
                <w:sz w:val="20"/>
                <w:szCs w:val="20"/>
              </w:rPr>
              <w:t>er Inequality Index (GII) Rank  2013  /  2014</w:t>
            </w:r>
          </w:p>
        </w:tc>
        <w:tc>
          <w:tcPr>
            <w:tcW w:w="1766" w:type="pct"/>
            <w:shd w:val="clear" w:color="auto" w:fill="auto"/>
          </w:tcPr>
          <w:p w14:paraId="10B4B8B7" w14:textId="77777777" w:rsidR="005F0A41" w:rsidRPr="0078340B" w:rsidRDefault="005F0A41" w:rsidP="006D7727">
            <w:pPr>
              <w:pStyle w:val="Default"/>
              <w:ind w:right="33"/>
              <w:jc w:val="center"/>
              <w:rPr>
                <w:rFonts w:ascii="Sylfaen" w:hAnsi="Sylfaen"/>
                <w:sz w:val="20"/>
                <w:szCs w:val="20"/>
              </w:rPr>
            </w:pPr>
            <w:r w:rsidRPr="0078340B">
              <w:rPr>
                <w:rFonts w:ascii="Sylfaen" w:hAnsi="Sylfaen"/>
                <w:sz w:val="20"/>
                <w:szCs w:val="20"/>
              </w:rPr>
              <w:t>145</w:t>
            </w:r>
            <w:r>
              <w:rPr>
                <w:rFonts w:ascii="Sylfaen" w:hAnsi="Sylfaen"/>
                <w:sz w:val="20"/>
                <w:szCs w:val="20"/>
              </w:rPr>
              <w:t xml:space="preserve">  /  56</w:t>
            </w:r>
          </w:p>
        </w:tc>
      </w:tr>
      <w:tr w:rsidR="005F0A41" w:rsidRPr="0078340B" w14:paraId="6B72D2A7" w14:textId="77777777" w:rsidTr="005F0A41">
        <w:trPr>
          <w:trHeight w:val="111"/>
          <w:jc w:val="center"/>
        </w:trPr>
        <w:tc>
          <w:tcPr>
            <w:tcW w:w="3234" w:type="pct"/>
            <w:shd w:val="clear" w:color="auto" w:fill="auto"/>
          </w:tcPr>
          <w:p w14:paraId="3DD3926B" w14:textId="77777777" w:rsidR="005F0A41" w:rsidRPr="0078340B" w:rsidRDefault="005F0A41" w:rsidP="006D7727">
            <w:pPr>
              <w:pStyle w:val="Default"/>
              <w:rPr>
                <w:rFonts w:ascii="Sylfaen" w:hAnsi="Sylfaen"/>
                <w:sz w:val="20"/>
                <w:szCs w:val="20"/>
              </w:rPr>
            </w:pPr>
            <w:r w:rsidRPr="0078340B">
              <w:rPr>
                <w:rFonts w:ascii="Sylfaen" w:hAnsi="Sylfaen"/>
                <w:sz w:val="20"/>
                <w:szCs w:val="20"/>
              </w:rPr>
              <w:t>Maternal mortality ratio (MMR)</w:t>
            </w:r>
            <w:r>
              <w:rPr>
                <w:rFonts w:ascii="Sylfaen" w:hAnsi="Sylfaen"/>
                <w:sz w:val="20"/>
                <w:szCs w:val="20"/>
              </w:rPr>
              <w:t xml:space="preserve"> </w:t>
            </w:r>
            <w:r w:rsidRPr="00D0549F">
              <w:rPr>
                <w:rFonts w:ascii="Sylfaen" w:hAnsi="Sylfaen"/>
                <w:sz w:val="16"/>
                <w:szCs w:val="20"/>
              </w:rPr>
              <w:t>per 100,000 live births</w:t>
            </w:r>
          </w:p>
        </w:tc>
        <w:tc>
          <w:tcPr>
            <w:tcW w:w="1766" w:type="pct"/>
            <w:shd w:val="clear" w:color="auto" w:fill="auto"/>
          </w:tcPr>
          <w:p w14:paraId="78A4F5B3" w14:textId="77777777" w:rsidR="005F0A41" w:rsidRPr="0078340B" w:rsidRDefault="005F0A41" w:rsidP="006D7727">
            <w:pPr>
              <w:pStyle w:val="Default"/>
              <w:ind w:right="33"/>
              <w:jc w:val="center"/>
              <w:rPr>
                <w:rFonts w:ascii="Sylfaen" w:hAnsi="Sylfaen"/>
                <w:sz w:val="20"/>
                <w:szCs w:val="20"/>
              </w:rPr>
            </w:pPr>
            <w:r w:rsidRPr="0078340B">
              <w:rPr>
                <w:rFonts w:ascii="Sylfaen" w:hAnsi="Sylfaen"/>
                <w:sz w:val="20"/>
                <w:szCs w:val="20"/>
              </w:rPr>
              <w:t>24</w:t>
            </w:r>
          </w:p>
        </w:tc>
      </w:tr>
      <w:tr w:rsidR="005F0A41" w:rsidRPr="0078340B" w14:paraId="6D279825" w14:textId="77777777" w:rsidTr="005F0A41">
        <w:trPr>
          <w:trHeight w:val="111"/>
          <w:jc w:val="center"/>
        </w:trPr>
        <w:tc>
          <w:tcPr>
            <w:tcW w:w="3234" w:type="pct"/>
            <w:shd w:val="clear" w:color="auto" w:fill="auto"/>
          </w:tcPr>
          <w:p w14:paraId="2F084FF9" w14:textId="77777777" w:rsidR="005F0A41" w:rsidRPr="0078340B" w:rsidRDefault="005F0A41" w:rsidP="006D7727">
            <w:pPr>
              <w:pStyle w:val="Default"/>
              <w:rPr>
                <w:rFonts w:ascii="Sylfaen" w:hAnsi="Sylfaen"/>
                <w:sz w:val="20"/>
                <w:szCs w:val="20"/>
              </w:rPr>
            </w:pPr>
            <w:r>
              <w:rPr>
                <w:rFonts w:ascii="Sylfaen" w:hAnsi="Sylfaen"/>
                <w:sz w:val="20"/>
                <w:szCs w:val="20"/>
              </w:rPr>
              <w:t>Antenatal coverage (% of live births, 2008-2012)</w:t>
            </w:r>
          </w:p>
        </w:tc>
        <w:tc>
          <w:tcPr>
            <w:tcW w:w="1766" w:type="pct"/>
            <w:shd w:val="clear" w:color="auto" w:fill="auto"/>
          </w:tcPr>
          <w:p w14:paraId="6CF0CE4F" w14:textId="77777777" w:rsidR="005F0A41" w:rsidRPr="0078340B" w:rsidRDefault="005F0A41" w:rsidP="006D7727">
            <w:pPr>
              <w:pStyle w:val="Default"/>
              <w:ind w:right="33"/>
              <w:jc w:val="center"/>
              <w:rPr>
                <w:rFonts w:ascii="Sylfaen" w:hAnsi="Sylfaen"/>
                <w:sz w:val="20"/>
                <w:szCs w:val="20"/>
              </w:rPr>
            </w:pPr>
            <w:r>
              <w:rPr>
                <w:rFonts w:ascii="Sylfaen" w:hAnsi="Sylfaen"/>
                <w:sz w:val="20"/>
                <w:szCs w:val="20"/>
              </w:rPr>
              <w:t>97.0</w:t>
            </w:r>
          </w:p>
        </w:tc>
      </w:tr>
      <w:tr w:rsidR="005F0A41" w:rsidRPr="0078340B" w14:paraId="1869FF9A" w14:textId="77777777" w:rsidTr="005F0A41">
        <w:trPr>
          <w:trHeight w:val="111"/>
          <w:jc w:val="center"/>
        </w:trPr>
        <w:tc>
          <w:tcPr>
            <w:tcW w:w="3234" w:type="pct"/>
            <w:shd w:val="clear" w:color="auto" w:fill="auto"/>
          </w:tcPr>
          <w:p w14:paraId="2304AF91" w14:textId="77777777" w:rsidR="005F0A41" w:rsidRPr="0078340B" w:rsidRDefault="005F0A41" w:rsidP="006D7727">
            <w:pPr>
              <w:pStyle w:val="Default"/>
              <w:rPr>
                <w:rFonts w:ascii="Sylfaen" w:hAnsi="Sylfaen"/>
                <w:sz w:val="20"/>
                <w:szCs w:val="20"/>
              </w:rPr>
            </w:pPr>
            <w:r w:rsidRPr="0078340B">
              <w:rPr>
                <w:rFonts w:ascii="Sylfaen" w:hAnsi="Sylfaen"/>
                <w:sz w:val="20"/>
                <w:szCs w:val="20"/>
              </w:rPr>
              <w:t xml:space="preserve">Adolescent </w:t>
            </w:r>
            <w:r>
              <w:rPr>
                <w:rFonts w:ascii="Sylfaen" w:hAnsi="Sylfaen"/>
                <w:sz w:val="20"/>
                <w:szCs w:val="20"/>
              </w:rPr>
              <w:t>birth</w:t>
            </w:r>
            <w:r w:rsidRPr="0078340B">
              <w:rPr>
                <w:rFonts w:ascii="Sylfaen" w:hAnsi="Sylfaen"/>
                <w:sz w:val="20"/>
                <w:szCs w:val="20"/>
              </w:rPr>
              <w:t xml:space="preserve"> rate</w:t>
            </w:r>
            <w:r>
              <w:rPr>
                <w:rFonts w:ascii="Sylfaen" w:hAnsi="Sylfaen"/>
                <w:sz w:val="20"/>
                <w:szCs w:val="20"/>
              </w:rPr>
              <w:t xml:space="preserve"> </w:t>
            </w:r>
            <w:r w:rsidRPr="003B7429">
              <w:rPr>
                <w:rFonts w:ascii="Sylfaen" w:hAnsi="Sylfaen"/>
                <w:sz w:val="16"/>
                <w:szCs w:val="20"/>
              </w:rPr>
              <w:t>(births per 1,000 women aged 15-19)</w:t>
            </w:r>
          </w:p>
        </w:tc>
        <w:tc>
          <w:tcPr>
            <w:tcW w:w="1766" w:type="pct"/>
            <w:shd w:val="clear" w:color="auto" w:fill="auto"/>
          </w:tcPr>
          <w:p w14:paraId="05D0055A" w14:textId="77777777" w:rsidR="005F0A41" w:rsidRPr="0078340B" w:rsidRDefault="005F0A41" w:rsidP="006D7727">
            <w:pPr>
              <w:pStyle w:val="Default"/>
              <w:ind w:right="33"/>
              <w:jc w:val="center"/>
              <w:rPr>
                <w:rFonts w:ascii="Sylfaen" w:hAnsi="Sylfaen"/>
                <w:sz w:val="20"/>
                <w:szCs w:val="20"/>
              </w:rPr>
            </w:pPr>
            <w:r>
              <w:rPr>
                <w:rFonts w:ascii="Sylfaen" w:hAnsi="Sylfaen"/>
                <w:sz w:val="20"/>
                <w:szCs w:val="20"/>
              </w:rPr>
              <w:t>10.2</w:t>
            </w:r>
          </w:p>
        </w:tc>
      </w:tr>
      <w:tr w:rsidR="005F0A41" w:rsidRPr="0078340B" w14:paraId="632B0D33" w14:textId="77777777" w:rsidTr="005F0A41">
        <w:trPr>
          <w:trHeight w:val="111"/>
          <w:jc w:val="center"/>
        </w:trPr>
        <w:tc>
          <w:tcPr>
            <w:tcW w:w="3234" w:type="pct"/>
            <w:shd w:val="clear" w:color="auto" w:fill="auto"/>
          </w:tcPr>
          <w:p w14:paraId="357F695F" w14:textId="77777777" w:rsidR="005F0A41" w:rsidRPr="0078340B" w:rsidRDefault="005F0A41" w:rsidP="006D7727">
            <w:pPr>
              <w:pStyle w:val="Default"/>
              <w:ind w:right="-10"/>
              <w:rPr>
                <w:rFonts w:ascii="Sylfaen" w:hAnsi="Sylfaen"/>
                <w:sz w:val="20"/>
                <w:szCs w:val="20"/>
              </w:rPr>
            </w:pPr>
            <w:r w:rsidRPr="0078340B">
              <w:rPr>
                <w:rFonts w:ascii="Sylfaen" w:hAnsi="Sylfaen"/>
                <w:sz w:val="20"/>
                <w:szCs w:val="20"/>
              </w:rPr>
              <w:t xml:space="preserve">Women, </w:t>
            </w:r>
            <w:r>
              <w:rPr>
                <w:rFonts w:ascii="Sylfaen" w:hAnsi="Sylfaen"/>
                <w:sz w:val="20"/>
                <w:szCs w:val="20"/>
              </w:rPr>
              <w:t xml:space="preserve">share of </w:t>
            </w:r>
            <w:r w:rsidRPr="0078340B">
              <w:rPr>
                <w:rFonts w:ascii="Sylfaen" w:hAnsi="Sylfaen"/>
                <w:sz w:val="20"/>
                <w:szCs w:val="20"/>
              </w:rPr>
              <w:t>seats in national parliament</w:t>
            </w:r>
          </w:p>
        </w:tc>
        <w:tc>
          <w:tcPr>
            <w:tcW w:w="1766" w:type="pct"/>
            <w:shd w:val="clear" w:color="auto" w:fill="auto"/>
          </w:tcPr>
          <w:p w14:paraId="73FA44B7" w14:textId="77777777" w:rsidR="005F0A41" w:rsidRPr="0078340B" w:rsidRDefault="005F0A41" w:rsidP="006D7727">
            <w:pPr>
              <w:pStyle w:val="Default"/>
              <w:ind w:right="0"/>
              <w:jc w:val="center"/>
              <w:rPr>
                <w:rFonts w:ascii="Sylfaen" w:hAnsi="Sylfaen"/>
                <w:sz w:val="20"/>
                <w:szCs w:val="20"/>
              </w:rPr>
            </w:pPr>
            <w:r w:rsidRPr="003B7429">
              <w:rPr>
                <w:rFonts w:ascii="Sylfaen" w:hAnsi="Sylfaen"/>
                <w:sz w:val="20"/>
                <w:szCs w:val="20"/>
              </w:rPr>
              <w:t>19.9</w:t>
            </w:r>
          </w:p>
        </w:tc>
      </w:tr>
      <w:tr w:rsidR="005F0A41" w:rsidRPr="0078340B" w14:paraId="308F8C31" w14:textId="77777777" w:rsidTr="005F0A41">
        <w:trPr>
          <w:trHeight w:val="111"/>
          <w:jc w:val="center"/>
        </w:trPr>
        <w:tc>
          <w:tcPr>
            <w:tcW w:w="3234" w:type="pct"/>
            <w:shd w:val="clear" w:color="auto" w:fill="auto"/>
          </w:tcPr>
          <w:p w14:paraId="05A64CF3" w14:textId="77777777" w:rsidR="005F0A41" w:rsidRPr="0078340B" w:rsidRDefault="005F0A41" w:rsidP="006D7727">
            <w:pPr>
              <w:pStyle w:val="Default"/>
              <w:ind w:right="-10"/>
              <w:rPr>
                <w:rFonts w:ascii="Sylfaen" w:hAnsi="Sylfaen"/>
                <w:sz w:val="20"/>
                <w:szCs w:val="20"/>
              </w:rPr>
            </w:pPr>
            <w:r w:rsidRPr="0078340B">
              <w:rPr>
                <w:rFonts w:ascii="Sylfaen" w:hAnsi="Sylfaen"/>
                <w:sz w:val="20"/>
                <w:szCs w:val="20"/>
              </w:rPr>
              <w:t>Labour force participation rate (LFPR), total</w:t>
            </w:r>
          </w:p>
        </w:tc>
        <w:tc>
          <w:tcPr>
            <w:tcW w:w="1766" w:type="pct"/>
            <w:shd w:val="clear" w:color="auto" w:fill="auto"/>
          </w:tcPr>
          <w:p w14:paraId="57E2BD93" w14:textId="77777777" w:rsidR="005F0A41" w:rsidRPr="0078340B" w:rsidRDefault="005F0A41" w:rsidP="006D7727">
            <w:pPr>
              <w:pStyle w:val="Default"/>
              <w:ind w:right="33"/>
              <w:jc w:val="center"/>
              <w:rPr>
                <w:rFonts w:ascii="Sylfaen" w:hAnsi="Sylfaen"/>
                <w:sz w:val="20"/>
                <w:szCs w:val="20"/>
              </w:rPr>
            </w:pPr>
            <w:r w:rsidRPr="0078340B">
              <w:rPr>
                <w:rFonts w:ascii="Sylfaen" w:hAnsi="Sylfaen"/>
                <w:sz w:val="20"/>
                <w:szCs w:val="20"/>
              </w:rPr>
              <w:t xml:space="preserve">53.9 </w:t>
            </w:r>
            <w:r w:rsidRPr="0078340B">
              <w:rPr>
                <w:rFonts w:ascii="Sylfaen" w:hAnsi="Sylfaen"/>
                <w:sz w:val="20"/>
                <w:szCs w:val="20"/>
                <w:vertAlign w:val="superscript"/>
              </w:rPr>
              <w:t>w</w:t>
            </w:r>
          </w:p>
        </w:tc>
      </w:tr>
      <w:tr w:rsidR="005F0A41" w:rsidRPr="0078340B" w14:paraId="1BD58416" w14:textId="77777777" w:rsidTr="005F0A41">
        <w:trPr>
          <w:trHeight w:val="111"/>
          <w:jc w:val="center"/>
        </w:trPr>
        <w:tc>
          <w:tcPr>
            <w:tcW w:w="3234" w:type="pct"/>
            <w:shd w:val="clear" w:color="auto" w:fill="auto"/>
          </w:tcPr>
          <w:p w14:paraId="0E01FAD6" w14:textId="77777777" w:rsidR="005F0A41" w:rsidRPr="0078340B" w:rsidRDefault="005F0A41" w:rsidP="006D7727">
            <w:pPr>
              <w:pStyle w:val="Default"/>
              <w:ind w:right="-10"/>
              <w:rPr>
                <w:rFonts w:ascii="Sylfaen" w:hAnsi="Sylfaen"/>
                <w:sz w:val="20"/>
                <w:szCs w:val="20"/>
              </w:rPr>
            </w:pPr>
            <w:r w:rsidRPr="0078340B">
              <w:rPr>
                <w:rFonts w:ascii="Sylfaen" w:hAnsi="Sylfaen"/>
                <w:sz w:val="20"/>
                <w:szCs w:val="20"/>
              </w:rPr>
              <w:t xml:space="preserve">LFPR, female  </w:t>
            </w:r>
          </w:p>
        </w:tc>
        <w:tc>
          <w:tcPr>
            <w:tcW w:w="1766" w:type="pct"/>
            <w:shd w:val="clear" w:color="auto" w:fill="auto"/>
          </w:tcPr>
          <w:p w14:paraId="7D009EB5" w14:textId="77777777" w:rsidR="005F0A41" w:rsidRPr="0078340B" w:rsidRDefault="005F0A41" w:rsidP="006D7727">
            <w:pPr>
              <w:pStyle w:val="Default"/>
              <w:ind w:right="33"/>
              <w:jc w:val="center"/>
              <w:rPr>
                <w:rFonts w:ascii="Sylfaen" w:hAnsi="Sylfaen"/>
                <w:sz w:val="20"/>
                <w:szCs w:val="20"/>
              </w:rPr>
            </w:pPr>
            <w:r w:rsidRPr="0078340B">
              <w:rPr>
                <w:rFonts w:ascii="Sylfaen" w:hAnsi="Sylfaen"/>
                <w:sz w:val="20"/>
                <w:szCs w:val="20"/>
              </w:rPr>
              <w:t xml:space="preserve">20.1 </w:t>
            </w:r>
            <w:r w:rsidRPr="0078340B">
              <w:rPr>
                <w:rFonts w:ascii="Sylfaen" w:hAnsi="Sylfaen"/>
                <w:sz w:val="20"/>
                <w:szCs w:val="20"/>
                <w:vertAlign w:val="superscript"/>
              </w:rPr>
              <w:t>w</w:t>
            </w:r>
          </w:p>
        </w:tc>
      </w:tr>
      <w:tr w:rsidR="005F0A41" w:rsidRPr="0078340B" w14:paraId="2108401A" w14:textId="77777777" w:rsidTr="005F0A41">
        <w:trPr>
          <w:trHeight w:val="111"/>
          <w:jc w:val="center"/>
        </w:trPr>
        <w:tc>
          <w:tcPr>
            <w:tcW w:w="3234" w:type="pct"/>
            <w:shd w:val="clear" w:color="auto" w:fill="auto"/>
          </w:tcPr>
          <w:p w14:paraId="6938FD0E" w14:textId="77777777" w:rsidR="005F0A41" w:rsidRPr="0078340B" w:rsidRDefault="005F0A41" w:rsidP="006D7727">
            <w:pPr>
              <w:pStyle w:val="Default"/>
              <w:ind w:right="-10"/>
              <w:rPr>
                <w:rFonts w:ascii="Sylfaen" w:hAnsi="Sylfaen"/>
                <w:sz w:val="20"/>
                <w:szCs w:val="20"/>
              </w:rPr>
            </w:pPr>
            <w:r w:rsidRPr="0078340B">
              <w:rPr>
                <w:rFonts w:ascii="Sylfaen" w:hAnsi="Sylfaen"/>
                <w:sz w:val="20"/>
                <w:szCs w:val="20"/>
              </w:rPr>
              <w:t xml:space="preserve">LFPR, male  </w:t>
            </w:r>
          </w:p>
        </w:tc>
        <w:tc>
          <w:tcPr>
            <w:tcW w:w="1766" w:type="pct"/>
            <w:shd w:val="clear" w:color="auto" w:fill="auto"/>
          </w:tcPr>
          <w:p w14:paraId="4A5103B6" w14:textId="77777777" w:rsidR="005F0A41" w:rsidRPr="0078340B" w:rsidRDefault="005F0A41" w:rsidP="006D7727">
            <w:pPr>
              <w:pStyle w:val="Default"/>
              <w:ind w:right="33"/>
              <w:jc w:val="center"/>
              <w:rPr>
                <w:rFonts w:ascii="Sylfaen" w:hAnsi="Sylfaen"/>
                <w:sz w:val="20"/>
                <w:szCs w:val="20"/>
              </w:rPr>
            </w:pPr>
            <w:r w:rsidRPr="0078340B">
              <w:rPr>
                <w:rFonts w:ascii="Sylfaen" w:hAnsi="Sylfaen"/>
                <w:sz w:val="20"/>
                <w:szCs w:val="20"/>
              </w:rPr>
              <w:t xml:space="preserve">77.3 </w:t>
            </w:r>
            <w:r w:rsidRPr="0078340B">
              <w:rPr>
                <w:rFonts w:ascii="Sylfaen" w:hAnsi="Sylfaen"/>
                <w:sz w:val="20"/>
                <w:szCs w:val="20"/>
                <w:vertAlign w:val="superscript"/>
              </w:rPr>
              <w:t>w</w:t>
            </w:r>
          </w:p>
        </w:tc>
      </w:tr>
      <w:tr w:rsidR="005F0A41" w:rsidRPr="0078340B" w14:paraId="0A94A469" w14:textId="77777777" w:rsidTr="005F0A41">
        <w:trPr>
          <w:trHeight w:val="111"/>
          <w:jc w:val="center"/>
        </w:trPr>
        <w:tc>
          <w:tcPr>
            <w:tcW w:w="3234" w:type="pct"/>
            <w:shd w:val="clear" w:color="auto" w:fill="auto"/>
          </w:tcPr>
          <w:tbl>
            <w:tblPr>
              <w:tblW w:w="6886" w:type="dxa"/>
              <w:tblLayout w:type="fixed"/>
              <w:tblLook w:val="04A0" w:firstRow="1" w:lastRow="0" w:firstColumn="1" w:lastColumn="0" w:noHBand="0" w:noVBand="1"/>
            </w:tblPr>
            <w:tblGrid>
              <w:gridCol w:w="6886"/>
            </w:tblGrid>
            <w:tr w:rsidR="005F0A41" w:rsidRPr="00C04801" w14:paraId="2D340AE6" w14:textId="77777777" w:rsidTr="006D7727">
              <w:trPr>
                <w:trHeight w:val="300"/>
              </w:trPr>
              <w:tc>
                <w:tcPr>
                  <w:tcW w:w="6886" w:type="dxa"/>
                  <w:tcBorders>
                    <w:top w:val="nil"/>
                    <w:left w:val="nil"/>
                    <w:bottom w:val="nil"/>
                    <w:right w:val="nil"/>
                  </w:tcBorders>
                  <w:shd w:val="clear" w:color="auto" w:fill="auto"/>
                  <w:noWrap/>
                  <w:vAlign w:val="bottom"/>
                  <w:hideMark/>
                </w:tcPr>
                <w:p w14:paraId="548FD6E6" w14:textId="77777777" w:rsidR="005F0A41" w:rsidRPr="00C04801" w:rsidRDefault="005F0A41" w:rsidP="006D7727">
                  <w:pPr>
                    <w:spacing w:before="0" w:after="0"/>
                    <w:ind w:right="0" w:hanging="79"/>
                    <w:rPr>
                      <w:rFonts w:eastAsia="Times New Roman" w:cs="Times New Roman"/>
                      <w:color w:val="000000"/>
                      <w:sz w:val="20"/>
                      <w:szCs w:val="20"/>
                      <w:lang w:eastAsia="en-GB"/>
                    </w:rPr>
                  </w:pPr>
                  <w:r w:rsidRPr="0078340B">
                    <w:rPr>
                      <w:rFonts w:eastAsia="Times New Roman" w:cs="Times New Roman"/>
                      <w:color w:val="000000"/>
                      <w:sz w:val="20"/>
                      <w:szCs w:val="20"/>
                      <w:lang w:eastAsia="en-GB"/>
                    </w:rPr>
                    <w:t xml:space="preserve">Ratio, </w:t>
                  </w:r>
                  <w:r w:rsidRPr="00C04801">
                    <w:rPr>
                      <w:rFonts w:eastAsia="Times New Roman" w:cs="Times New Roman"/>
                      <w:color w:val="000000"/>
                      <w:sz w:val="20"/>
                      <w:szCs w:val="20"/>
                      <w:lang w:eastAsia="en-GB"/>
                    </w:rPr>
                    <w:t>female to male</w:t>
                  </w:r>
                  <w:r w:rsidRPr="0078340B">
                    <w:rPr>
                      <w:rFonts w:eastAsia="Times New Roman" w:cs="Times New Roman"/>
                      <w:color w:val="000000"/>
                      <w:sz w:val="20"/>
                      <w:szCs w:val="20"/>
                      <w:lang w:eastAsia="en-GB"/>
                    </w:rPr>
                    <w:t xml:space="preserve"> LFPR </w:t>
                  </w:r>
                  <w:r w:rsidRPr="00C04801">
                    <w:rPr>
                      <w:rFonts w:eastAsia="Times New Roman" w:cs="Times New Roman"/>
                      <w:color w:val="000000"/>
                      <w:sz w:val="20"/>
                      <w:szCs w:val="20"/>
                      <w:lang w:eastAsia="en-GB"/>
                    </w:rPr>
                    <w:t>(%) (national estimate)</w:t>
                  </w:r>
                </w:p>
              </w:tc>
            </w:tr>
          </w:tbl>
          <w:p w14:paraId="4092EF20" w14:textId="77777777" w:rsidR="005F0A41" w:rsidRPr="0078340B" w:rsidRDefault="005F0A41" w:rsidP="006D7727">
            <w:pPr>
              <w:pStyle w:val="Default"/>
              <w:ind w:right="-10"/>
              <w:rPr>
                <w:rFonts w:ascii="Sylfaen" w:hAnsi="Sylfaen"/>
                <w:sz w:val="20"/>
                <w:szCs w:val="20"/>
                <w:lang w:val="en-GB"/>
              </w:rPr>
            </w:pPr>
          </w:p>
        </w:tc>
        <w:tc>
          <w:tcPr>
            <w:tcW w:w="1766" w:type="pct"/>
            <w:shd w:val="clear" w:color="auto" w:fill="auto"/>
          </w:tcPr>
          <w:p w14:paraId="5FEC62BC" w14:textId="77777777" w:rsidR="005F0A41" w:rsidRPr="0078340B" w:rsidRDefault="005F0A41" w:rsidP="006D7727">
            <w:pPr>
              <w:pStyle w:val="Default"/>
              <w:ind w:right="33"/>
              <w:jc w:val="center"/>
              <w:rPr>
                <w:rFonts w:ascii="Sylfaen" w:hAnsi="Sylfaen"/>
                <w:sz w:val="20"/>
                <w:szCs w:val="20"/>
                <w:lang w:val="en-GB"/>
              </w:rPr>
            </w:pPr>
            <w:r w:rsidRPr="0078340B">
              <w:rPr>
                <w:rFonts w:ascii="Sylfaen" w:hAnsi="Sylfaen"/>
                <w:sz w:val="20"/>
                <w:szCs w:val="20"/>
                <w:lang w:val="en-GB"/>
              </w:rPr>
              <w:t xml:space="preserve">77.2 </w:t>
            </w:r>
            <w:r w:rsidRPr="0078340B">
              <w:rPr>
                <w:rFonts w:ascii="Sylfaen" w:hAnsi="Sylfaen"/>
                <w:sz w:val="20"/>
                <w:szCs w:val="20"/>
                <w:vertAlign w:val="superscript"/>
              </w:rPr>
              <w:t>w</w:t>
            </w:r>
          </w:p>
        </w:tc>
      </w:tr>
      <w:tr w:rsidR="005F0A41" w:rsidRPr="0078340B" w14:paraId="05068FD8" w14:textId="77777777" w:rsidTr="005F0A41">
        <w:trPr>
          <w:trHeight w:val="111"/>
          <w:jc w:val="center"/>
        </w:trPr>
        <w:tc>
          <w:tcPr>
            <w:tcW w:w="3234" w:type="pct"/>
            <w:shd w:val="clear" w:color="auto" w:fill="auto"/>
          </w:tcPr>
          <w:p w14:paraId="03740905" w14:textId="77777777" w:rsidR="005F0A41" w:rsidRPr="0078340B" w:rsidRDefault="005F0A41" w:rsidP="006D7727">
            <w:pPr>
              <w:pStyle w:val="Default"/>
              <w:ind w:right="-10"/>
              <w:rPr>
                <w:rFonts w:ascii="Sylfaen" w:hAnsi="Sylfaen"/>
                <w:sz w:val="20"/>
                <w:szCs w:val="20"/>
              </w:rPr>
            </w:pPr>
            <w:r w:rsidRPr="0078340B">
              <w:rPr>
                <w:rFonts w:ascii="Sylfaen" w:eastAsia="Times New Roman" w:hAnsi="Sylfaen"/>
                <w:sz w:val="20"/>
                <w:szCs w:val="20"/>
                <w:lang w:eastAsia="en-GB"/>
              </w:rPr>
              <w:t xml:space="preserve">Ratio, </w:t>
            </w:r>
            <w:r w:rsidRPr="00C04801">
              <w:rPr>
                <w:rFonts w:ascii="Sylfaen" w:eastAsia="Times New Roman" w:hAnsi="Sylfaen"/>
                <w:sz w:val="20"/>
                <w:szCs w:val="20"/>
                <w:lang w:eastAsia="en-GB"/>
              </w:rPr>
              <w:t xml:space="preserve">female to male </w:t>
            </w:r>
            <w:r w:rsidRPr="0078340B">
              <w:rPr>
                <w:rFonts w:ascii="Sylfaen" w:eastAsia="Times New Roman" w:hAnsi="Sylfaen"/>
                <w:sz w:val="20"/>
                <w:szCs w:val="20"/>
                <w:lang w:eastAsia="en-GB"/>
              </w:rPr>
              <w:t xml:space="preserve">LFPR </w:t>
            </w:r>
            <w:r w:rsidRPr="00C04801">
              <w:rPr>
                <w:rFonts w:ascii="Sylfaen" w:eastAsia="Times New Roman" w:hAnsi="Sylfaen"/>
                <w:sz w:val="20"/>
                <w:szCs w:val="20"/>
                <w:lang w:eastAsia="en-GB"/>
              </w:rPr>
              <w:t>(%) (modeled ILO estimate)</w:t>
            </w:r>
          </w:p>
        </w:tc>
        <w:tc>
          <w:tcPr>
            <w:tcW w:w="1766" w:type="pct"/>
            <w:shd w:val="clear" w:color="auto" w:fill="auto"/>
          </w:tcPr>
          <w:p w14:paraId="158AB320" w14:textId="77777777" w:rsidR="005F0A41" w:rsidRPr="0078340B" w:rsidRDefault="005F0A41" w:rsidP="006D7727">
            <w:pPr>
              <w:pStyle w:val="Default"/>
              <w:ind w:right="33"/>
              <w:jc w:val="center"/>
              <w:rPr>
                <w:rFonts w:ascii="Sylfaen" w:hAnsi="Sylfaen"/>
                <w:sz w:val="20"/>
                <w:szCs w:val="20"/>
              </w:rPr>
            </w:pPr>
            <w:r w:rsidRPr="0078340B">
              <w:rPr>
                <w:rFonts w:ascii="Sylfaen" w:hAnsi="Sylfaen"/>
                <w:sz w:val="20"/>
                <w:szCs w:val="20"/>
              </w:rPr>
              <w:t xml:space="preserve">75.5 </w:t>
            </w:r>
            <w:r w:rsidRPr="0078340B">
              <w:rPr>
                <w:rFonts w:ascii="Sylfaen" w:hAnsi="Sylfaen"/>
                <w:sz w:val="20"/>
                <w:szCs w:val="20"/>
                <w:vertAlign w:val="superscript"/>
              </w:rPr>
              <w:t>w</w:t>
            </w:r>
          </w:p>
        </w:tc>
      </w:tr>
      <w:tr w:rsidR="005F0A41" w:rsidRPr="0078340B" w14:paraId="7440E477" w14:textId="77777777" w:rsidTr="005F0A41">
        <w:trPr>
          <w:trHeight w:val="111"/>
          <w:jc w:val="center"/>
        </w:trPr>
        <w:tc>
          <w:tcPr>
            <w:tcW w:w="3234" w:type="pct"/>
            <w:shd w:val="clear" w:color="auto" w:fill="auto"/>
          </w:tcPr>
          <w:p w14:paraId="67C9144D" w14:textId="77777777" w:rsidR="005F0A41" w:rsidRPr="0078340B" w:rsidRDefault="005F0A41" w:rsidP="006D7727">
            <w:pPr>
              <w:pStyle w:val="Default"/>
              <w:rPr>
                <w:rFonts w:ascii="Sylfaen" w:hAnsi="Sylfaen"/>
                <w:sz w:val="20"/>
                <w:szCs w:val="20"/>
              </w:rPr>
            </w:pPr>
            <w:r w:rsidRPr="0078340B">
              <w:rPr>
                <w:rFonts w:ascii="Sylfaen" w:hAnsi="Sylfaen"/>
                <w:sz w:val="20"/>
                <w:szCs w:val="20"/>
              </w:rPr>
              <w:t>Unemployment Rate (% of labor force</w:t>
            </w:r>
            <w:r>
              <w:rPr>
                <w:rFonts w:ascii="Sylfaen" w:hAnsi="Sylfaen"/>
                <w:sz w:val="20"/>
                <w:szCs w:val="20"/>
              </w:rPr>
              <w:t>, 2012</w:t>
            </w:r>
            <w:r w:rsidRPr="0078340B">
              <w:rPr>
                <w:rFonts w:ascii="Sylfaen" w:hAnsi="Sylfaen"/>
                <w:sz w:val="20"/>
                <w:szCs w:val="20"/>
              </w:rPr>
              <w:t xml:space="preserve">) </w:t>
            </w:r>
          </w:p>
        </w:tc>
        <w:tc>
          <w:tcPr>
            <w:tcW w:w="1766" w:type="pct"/>
            <w:shd w:val="clear" w:color="auto" w:fill="auto"/>
          </w:tcPr>
          <w:p w14:paraId="281CCF13" w14:textId="77777777" w:rsidR="005F0A41" w:rsidRPr="0078340B" w:rsidRDefault="005F0A41" w:rsidP="006D7727">
            <w:pPr>
              <w:pStyle w:val="Default"/>
              <w:ind w:right="0"/>
              <w:jc w:val="center"/>
              <w:rPr>
                <w:rFonts w:ascii="Sylfaen" w:hAnsi="Sylfaen"/>
                <w:sz w:val="20"/>
                <w:szCs w:val="20"/>
              </w:rPr>
            </w:pPr>
            <w:r>
              <w:rPr>
                <w:rFonts w:ascii="Sylfaen" w:hAnsi="Sylfaen"/>
                <w:sz w:val="20"/>
                <w:szCs w:val="20"/>
              </w:rPr>
              <w:t xml:space="preserve">5.6 </w:t>
            </w:r>
            <w:r w:rsidRPr="0078340B">
              <w:rPr>
                <w:rFonts w:ascii="Sylfaen" w:hAnsi="Sylfaen"/>
                <w:sz w:val="20"/>
                <w:szCs w:val="20"/>
                <w:vertAlign w:val="superscript"/>
              </w:rPr>
              <w:t>w</w:t>
            </w:r>
          </w:p>
        </w:tc>
      </w:tr>
      <w:tr w:rsidR="005F0A41" w:rsidRPr="0078340B" w14:paraId="5A79B4CF" w14:textId="77777777" w:rsidTr="005F0A41">
        <w:trPr>
          <w:trHeight w:val="111"/>
          <w:jc w:val="center"/>
        </w:trPr>
        <w:tc>
          <w:tcPr>
            <w:tcW w:w="3234" w:type="pct"/>
            <w:shd w:val="clear" w:color="auto" w:fill="auto"/>
          </w:tcPr>
          <w:p w14:paraId="78899DE4" w14:textId="77777777" w:rsidR="005F0A41" w:rsidRPr="0078340B" w:rsidRDefault="005F0A41" w:rsidP="006D7727">
            <w:pPr>
              <w:pStyle w:val="Default"/>
              <w:ind w:right="0"/>
              <w:rPr>
                <w:rFonts w:ascii="Sylfaen" w:hAnsi="Sylfaen"/>
                <w:sz w:val="20"/>
                <w:szCs w:val="20"/>
              </w:rPr>
            </w:pPr>
            <w:r>
              <w:rPr>
                <w:rFonts w:ascii="Sylfaen" w:hAnsi="Sylfaen"/>
                <w:sz w:val="20"/>
                <w:szCs w:val="20"/>
              </w:rPr>
              <w:t>Youth unemployment rate (% age</w:t>
            </w:r>
            <w:r w:rsidRPr="0078340B">
              <w:rPr>
                <w:rFonts w:ascii="Sylfaen" w:hAnsi="Sylfaen"/>
                <w:sz w:val="20"/>
                <w:szCs w:val="20"/>
              </w:rPr>
              <w:t xml:space="preserve"> 15-24</w:t>
            </w:r>
            <w:r>
              <w:rPr>
                <w:rFonts w:ascii="Sylfaen" w:hAnsi="Sylfaen"/>
                <w:sz w:val="20"/>
                <w:szCs w:val="20"/>
              </w:rPr>
              <w:t>)</w:t>
            </w:r>
          </w:p>
        </w:tc>
        <w:tc>
          <w:tcPr>
            <w:tcW w:w="1766" w:type="pct"/>
            <w:shd w:val="clear" w:color="auto" w:fill="auto"/>
          </w:tcPr>
          <w:p w14:paraId="527B2CFD" w14:textId="77777777" w:rsidR="005F0A41" w:rsidRPr="0078340B" w:rsidRDefault="005F0A41" w:rsidP="006D7727">
            <w:pPr>
              <w:pStyle w:val="Default"/>
              <w:ind w:right="0"/>
              <w:jc w:val="center"/>
              <w:rPr>
                <w:rFonts w:ascii="Sylfaen" w:hAnsi="Sylfaen"/>
                <w:sz w:val="20"/>
                <w:szCs w:val="20"/>
              </w:rPr>
            </w:pPr>
            <w:r w:rsidRPr="0078340B">
              <w:rPr>
                <w:rFonts w:ascii="Sylfaen" w:hAnsi="Sylfaen"/>
                <w:sz w:val="20"/>
                <w:szCs w:val="20"/>
              </w:rPr>
              <w:t xml:space="preserve">29.4 </w:t>
            </w:r>
            <w:r w:rsidRPr="0078340B">
              <w:rPr>
                <w:rFonts w:ascii="Sylfaen" w:hAnsi="Sylfaen"/>
                <w:sz w:val="20"/>
                <w:szCs w:val="20"/>
                <w:vertAlign w:val="superscript"/>
              </w:rPr>
              <w:t>i</w:t>
            </w:r>
          </w:p>
        </w:tc>
      </w:tr>
      <w:tr w:rsidR="005F0A41" w:rsidRPr="0078340B" w14:paraId="62163CBF" w14:textId="77777777" w:rsidTr="005F0A41">
        <w:trPr>
          <w:trHeight w:val="111"/>
          <w:jc w:val="center"/>
        </w:trPr>
        <w:tc>
          <w:tcPr>
            <w:tcW w:w="3234" w:type="pct"/>
            <w:shd w:val="clear" w:color="auto" w:fill="auto"/>
          </w:tcPr>
          <w:p w14:paraId="0A1A4D4F" w14:textId="77777777" w:rsidR="005F0A41" w:rsidRPr="0078340B" w:rsidRDefault="005F0A41" w:rsidP="006D7727">
            <w:pPr>
              <w:pStyle w:val="Default"/>
              <w:ind w:right="-10"/>
              <w:rPr>
                <w:rFonts w:ascii="Sylfaen" w:hAnsi="Sylfaen"/>
                <w:sz w:val="20"/>
                <w:szCs w:val="20"/>
              </w:rPr>
            </w:pPr>
            <w:r w:rsidRPr="0078340B">
              <w:rPr>
                <w:rFonts w:ascii="Sylfaen" w:hAnsi="Sylfaen"/>
                <w:sz w:val="20"/>
                <w:szCs w:val="20"/>
              </w:rPr>
              <w:t xml:space="preserve">Female youth unemployment rate </w:t>
            </w:r>
            <w:r>
              <w:rPr>
                <w:rFonts w:ascii="Sylfaen" w:hAnsi="Sylfaen"/>
                <w:sz w:val="20"/>
                <w:szCs w:val="20"/>
              </w:rPr>
              <w:t>(% age</w:t>
            </w:r>
            <w:r w:rsidRPr="0078340B">
              <w:rPr>
                <w:rFonts w:ascii="Sylfaen" w:hAnsi="Sylfaen"/>
                <w:sz w:val="20"/>
                <w:szCs w:val="20"/>
              </w:rPr>
              <w:t xml:space="preserve"> 15-24</w:t>
            </w:r>
            <w:r>
              <w:rPr>
                <w:rFonts w:ascii="Sylfaen" w:hAnsi="Sylfaen"/>
                <w:sz w:val="20"/>
                <w:szCs w:val="20"/>
              </w:rPr>
              <w:t>)</w:t>
            </w:r>
          </w:p>
        </w:tc>
        <w:tc>
          <w:tcPr>
            <w:tcW w:w="1766" w:type="pct"/>
            <w:shd w:val="clear" w:color="auto" w:fill="auto"/>
          </w:tcPr>
          <w:p w14:paraId="2E147697" w14:textId="77777777" w:rsidR="005F0A41" w:rsidRPr="0078340B" w:rsidRDefault="005F0A41" w:rsidP="006D7727">
            <w:pPr>
              <w:pStyle w:val="Default"/>
              <w:ind w:right="0"/>
              <w:jc w:val="center"/>
              <w:rPr>
                <w:rFonts w:ascii="Sylfaen" w:hAnsi="Sylfaen"/>
                <w:sz w:val="20"/>
                <w:szCs w:val="20"/>
              </w:rPr>
            </w:pPr>
            <w:r w:rsidRPr="0078340B">
              <w:rPr>
                <w:rFonts w:ascii="Sylfaen" w:hAnsi="Sylfaen"/>
                <w:sz w:val="20"/>
                <w:szCs w:val="20"/>
              </w:rPr>
              <w:t xml:space="preserve">54.8 </w:t>
            </w:r>
            <w:r w:rsidRPr="0078340B">
              <w:rPr>
                <w:rFonts w:ascii="Sylfaen" w:hAnsi="Sylfaen"/>
                <w:sz w:val="20"/>
                <w:szCs w:val="20"/>
                <w:vertAlign w:val="superscript"/>
              </w:rPr>
              <w:t>i</w:t>
            </w:r>
          </w:p>
        </w:tc>
      </w:tr>
      <w:tr w:rsidR="005F0A41" w:rsidRPr="0078340B" w14:paraId="5A6D2B72" w14:textId="77777777" w:rsidTr="005F0A41">
        <w:trPr>
          <w:trHeight w:val="111"/>
          <w:jc w:val="center"/>
        </w:trPr>
        <w:tc>
          <w:tcPr>
            <w:tcW w:w="3234" w:type="pct"/>
            <w:shd w:val="clear" w:color="auto" w:fill="auto"/>
          </w:tcPr>
          <w:p w14:paraId="0A254694" w14:textId="77777777" w:rsidR="005F0A41" w:rsidRPr="0078340B" w:rsidRDefault="005F0A41" w:rsidP="006D7727">
            <w:pPr>
              <w:pStyle w:val="Default"/>
              <w:ind w:right="-151"/>
              <w:rPr>
                <w:rFonts w:ascii="Sylfaen" w:hAnsi="Sylfaen"/>
                <w:sz w:val="20"/>
                <w:szCs w:val="20"/>
              </w:rPr>
            </w:pPr>
            <w:r w:rsidRPr="0078340B">
              <w:rPr>
                <w:rFonts w:ascii="Sylfaen" w:hAnsi="Sylfaen"/>
                <w:sz w:val="20"/>
                <w:szCs w:val="20"/>
              </w:rPr>
              <w:t xml:space="preserve">Male youth  unemployment rate </w:t>
            </w:r>
            <w:r>
              <w:rPr>
                <w:rFonts w:ascii="Sylfaen" w:hAnsi="Sylfaen"/>
                <w:sz w:val="20"/>
                <w:szCs w:val="20"/>
              </w:rPr>
              <w:t>(% age</w:t>
            </w:r>
            <w:r w:rsidRPr="0078340B">
              <w:rPr>
                <w:rFonts w:ascii="Sylfaen" w:hAnsi="Sylfaen"/>
                <w:sz w:val="20"/>
                <w:szCs w:val="20"/>
              </w:rPr>
              <w:t xml:space="preserve"> 15-24</w:t>
            </w:r>
            <w:r>
              <w:rPr>
                <w:rFonts w:ascii="Sylfaen" w:hAnsi="Sylfaen"/>
                <w:sz w:val="20"/>
                <w:szCs w:val="20"/>
              </w:rPr>
              <w:t>)</w:t>
            </w:r>
          </w:p>
        </w:tc>
        <w:tc>
          <w:tcPr>
            <w:tcW w:w="1766" w:type="pct"/>
            <w:shd w:val="clear" w:color="auto" w:fill="auto"/>
          </w:tcPr>
          <w:p w14:paraId="5311516A" w14:textId="77777777" w:rsidR="005F0A41" w:rsidRPr="0078340B" w:rsidRDefault="005F0A41" w:rsidP="006D7727">
            <w:pPr>
              <w:pStyle w:val="Default"/>
              <w:ind w:right="0"/>
              <w:jc w:val="center"/>
              <w:rPr>
                <w:rFonts w:ascii="Sylfaen" w:hAnsi="Sylfaen"/>
                <w:sz w:val="20"/>
                <w:szCs w:val="20"/>
              </w:rPr>
            </w:pPr>
            <w:r w:rsidRPr="0078340B">
              <w:rPr>
                <w:rFonts w:ascii="Sylfaen" w:hAnsi="Sylfaen"/>
                <w:sz w:val="20"/>
                <w:szCs w:val="20"/>
              </w:rPr>
              <w:t xml:space="preserve">21.0 </w:t>
            </w:r>
            <w:r w:rsidRPr="0078340B">
              <w:rPr>
                <w:rFonts w:ascii="Sylfaen" w:hAnsi="Sylfaen"/>
                <w:sz w:val="20"/>
                <w:szCs w:val="20"/>
                <w:vertAlign w:val="superscript"/>
              </w:rPr>
              <w:t>i</w:t>
            </w:r>
          </w:p>
        </w:tc>
      </w:tr>
      <w:tr w:rsidR="005F0A41" w:rsidRPr="0078340B" w14:paraId="7F505803" w14:textId="77777777" w:rsidTr="005F0A41">
        <w:trPr>
          <w:trHeight w:val="111"/>
          <w:jc w:val="center"/>
        </w:trPr>
        <w:tc>
          <w:tcPr>
            <w:tcW w:w="3234" w:type="pct"/>
            <w:shd w:val="clear" w:color="auto" w:fill="auto"/>
          </w:tcPr>
          <w:p w14:paraId="29288962" w14:textId="77777777" w:rsidR="005F0A41" w:rsidRPr="0078340B" w:rsidRDefault="005F0A41" w:rsidP="006D7727">
            <w:pPr>
              <w:pStyle w:val="Default"/>
              <w:ind w:right="-10"/>
              <w:rPr>
                <w:rFonts w:ascii="Sylfaen" w:hAnsi="Sylfaen"/>
                <w:sz w:val="20"/>
                <w:szCs w:val="20"/>
              </w:rPr>
            </w:pPr>
            <w:r w:rsidRPr="006953E3">
              <w:rPr>
                <w:rFonts w:ascii="Sylfaen" w:hAnsi="Sylfaen"/>
                <w:sz w:val="20"/>
                <w:szCs w:val="20"/>
              </w:rPr>
              <w:t>Estimated GNI per capita</w:t>
            </w:r>
            <w:r>
              <w:rPr>
                <w:rFonts w:ascii="Sylfaen" w:hAnsi="Sylfaen"/>
                <w:sz w:val="20"/>
                <w:szCs w:val="20"/>
              </w:rPr>
              <w:t xml:space="preserve"> </w:t>
            </w:r>
            <w:r w:rsidRPr="0078340B">
              <w:rPr>
                <w:rFonts w:ascii="Sylfaen" w:hAnsi="Sylfaen"/>
                <w:bCs/>
                <w:sz w:val="20"/>
                <w:szCs w:val="20"/>
              </w:rPr>
              <w:t>(</w:t>
            </w:r>
            <w:r>
              <w:rPr>
                <w:rFonts w:ascii="Sylfaen" w:hAnsi="Sylfaen"/>
                <w:bCs/>
                <w:sz w:val="20"/>
                <w:szCs w:val="20"/>
              </w:rPr>
              <w:t xml:space="preserve">2011 </w:t>
            </w:r>
            <w:r w:rsidRPr="0078340B">
              <w:rPr>
                <w:rFonts w:ascii="Sylfaen" w:hAnsi="Sylfaen"/>
                <w:bCs/>
                <w:sz w:val="20"/>
                <w:szCs w:val="20"/>
              </w:rPr>
              <w:t>PPP US$)</w:t>
            </w:r>
            <w:r>
              <w:rPr>
                <w:rFonts w:ascii="Sylfaen" w:hAnsi="Sylfaen"/>
                <w:bCs/>
                <w:sz w:val="20"/>
                <w:szCs w:val="20"/>
              </w:rPr>
              <w:t>,  M  /  F</w:t>
            </w:r>
          </w:p>
        </w:tc>
        <w:tc>
          <w:tcPr>
            <w:tcW w:w="1766" w:type="pct"/>
            <w:shd w:val="clear" w:color="auto" w:fill="auto"/>
          </w:tcPr>
          <w:p w14:paraId="132B4DB2" w14:textId="77777777" w:rsidR="005F0A41" w:rsidRPr="0078340B" w:rsidRDefault="005F0A41" w:rsidP="006D7727">
            <w:pPr>
              <w:pStyle w:val="Default"/>
              <w:ind w:right="0"/>
              <w:jc w:val="center"/>
              <w:rPr>
                <w:rFonts w:ascii="Sylfaen" w:hAnsi="Sylfaen"/>
                <w:sz w:val="20"/>
                <w:szCs w:val="20"/>
              </w:rPr>
            </w:pPr>
            <w:r>
              <w:rPr>
                <w:rFonts w:ascii="Sylfaen" w:hAnsi="Sylfaen"/>
                <w:sz w:val="20"/>
                <w:szCs w:val="20"/>
              </w:rPr>
              <w:t>16,197  /  78,689</w:t>
            </w:r>
          </w:p>
        </w:tc>
      </w:tr>
      <w:tr w:rsidR="005F0A41" w:rsidRPr="0078340B" w14:paraId="0F994623" w14:textId="77777777" w:rsidTr="005F0A41">
        <w:trPr>
          <w:trHeight w:val="245"/>
          <w:jc w:val="center"/>
        </w:trPr>
        <w:tc>
          <w:tcPr>
            <w:tcW w:w="3234" w:type="pct"/>
            <w:shd w:val="clear" w:color="auto" w:fill="auto"/>
          </w:tcPr>
          <w:p w14:paraId="484D6DB1" w14:textId="77777777" w:rsidR="005F0A41" w:rsidRPr="0078340B" w:rsidRDefault="005F0A41" w:rsidP="006D7727">
            <w:pPr>
              <w:pStyle w:val="Default"/>
              <w:ind w:right="0"/>
              <w:rPr>
                <w:rFonts w:ascii="Sylfaen" w:hAnsi="Sylfaen"/>
                <w:sz w:val="20"/>
                <w:szCs w:val="20"/>
              </w:rPr>
            </w:pPr>
            <w:r w:rsidRPr="0078340B">
              <w:rPr>
                <w:rFonts w:ascii="Sylfaen" w:hAnsi="Sylfaen"/>
                <w:bCs/>
                <w:sz w:val="20"/>
                <w:szCs w:val="20"/>
              </w:rPr>
              <w:t xml:space="preserve">Ratio of Estimated Female to Male Earned Income </w:t>
            </w:r>
            <w:r>
              <w:rPr>
                <w:rFonts w:ascii="Sylfaen" w:hAnsi="Sylfaen"/>
                <w:bCs/>
                <w:sz w:val="20"/>
                <w:szCs w:val="20"/>
              </w:rPr>
              <w:t>(GNI per capita)</w:t>
            </w:r>
          </w:p>
        </w:tc>
        <w:tc>
          <w:tcPr>
            <w:tcW w:w="1766" w:type="pct"/>
            <w:shd w:val="clear" w:color="auto" w:fill="auto"/>
          </w:tcPr>
          <w:p w14:paraId="5D75E9DA" w14:textId="77777777" w:rsidR="005F0A41" w:rsidRPr="0078340B" w:rsidRDefault="005F0A41" w:rsidP="006D7727">
            <w:pPr>
              <w:pStyle w:val="Default"/>
              <w:ind w:right="0"/>
              <w:jc w:val="center"/>
              <w:rPr>
                <w:rFonts w:ascii="Sylfaen" w:hAnsi="Sylfaen"/>
                <w:sz w:val="20"/>
                <w:szCs w:val="20"/>
              </w:rPr>
            </w:pPr>
            <w:r>
              <w:rPr>
                <w:rFonts w:ascii="Sylfaen" w:hAnsi="Sylfaen"/>
                <w:sz w:val="20"/>
                <w:szCs w:val="20"/>
              </w:rPr>
              <w:t>0.21</w:t>
            </w:r>
            <w:r w:rsidRPr="005B7434">
              <w:rPr>
                <w:rFonts w:ascii="Sylfaen" w:hAnsi="Sylfaen"/>
                <w:sz w:val="20"/>
                <w:szCs w:val="20"/>
                <w:vertAlign w:val="superscript"/>
              </w:rPr>
              <w:t>h</w:t>
            </w:r>
          </w:p>
        </w:tc>
      </w:tr>
      <w:tr w:rsidR="005F0A41" w:rsidRPr="0078340B" w14:paraId="333691D0" w14:textId="77777777" w:rsidTr="005F0A41">
        <w:trPr>
          <w:trHeight w:val="111"/>
          <w:jc w:val="center"/>
        </w:trPr>
        <w:tc>
          <w:tcPr>
            <w:tcW w:w="3234" w:type="pct"/>
            <w:shd w:val="clear" w:color="auto" w:fill="auto"/>
          </w:tcPr>
          <w:p w14:paraId="06245C73" w14:textId="77777777" w:rsidR="005F0A41" w:rsidRPr="0078340B" w:rsidRDefault="005F0A41" w:rsidP="006D7727">
            <w:pPr>
              <w:pStyle w:val="Default"/>
              <w:rPr>
                <w:rFonts w:ascii="Sylfaen" w:hAnsi="Sylfaen"/>
                <w:sz w:val="20"/>
                <w:szCs w:val="20"/>
              </w:rPr>
            </w:pPr>
            <w:r w:rsidRPr="0078340B">
              <w:rPr>
                <w:rFonts w:ascii="Sylfaen" w:hAnsi="Sylfaen"/>
                <w:sz w:val="20"/>
                <w:szCs w:val="20"/>
              </w:rPr>
              <w:t xml:space="preserve">Health Expenditure </w:t>
            </w:r>
            <w:r>
              <w:rPr>
                <w:rFonts w:ascii="Sylfaen" w:hAnsi="Sylfaen"/>
                <w:sz w:val="20"/>
                <w:szCs w:val="20"/>
              </w:rPr>
              <w:t xml:space="preserve">as % of GDP </w:t>
            </w:r>
          </w:p>
        </w:tc>
        <w:tc>
          <w:tcPr>
            <w:tcW w:w="1766" w:type="pct"/>
            <w:shd w:val="clear" w:color="auto" w:fill="auto"/>
          </w:tcPr>
          <w:p w14:paraId="3BFB4FF1" w14:textId="77777777" w:rsidR="005F0A41" w:rsidRPr="0078340B" w:rsidRDefault="005F0A41" w:rsidP="006D7727">
            <w:pPr>
              <w:pStyle w:val="Default"/>
              <w:ind w:right="0"/>
              <w:jc w:val="center"/>
              <w:rPr>
                <w:rFonts w:ascii="Sylfaen" w:hAnsi="Sylfaen"/>
                <w:sz w:val="20"/>
                <w:szCs w:val="20"/>
              </w:rPr>
            </w:pPr>
            <w:r>
              <w:rPr>
                <w:rFonts w:ascii="Sylfaen" w:hAnsi="Sylfaen"/>
                <w:sz w:val="20"/>
                <w:szCs w:val="20"/>
              </w:rPr>
              <w:t>3.7</w:t>
            </w:r>
          </w:p>
        </w:tc>
      </w:tr>
      <w:tr w:rsidR="005F0A41" w:rsidRPr="0078340B" w14:paraId="7201ED0B" w14:textId="77777777" w:rsidTr="005F0A41">
        <w:trPr>
          <w:trHeight w:val="385"/>
          <w:jc w:val="center"/>
        </w:trPr>
        <w:tc>
          <w:tcPr>
            <w:tcW w:w="3234" w:type="pct"/>
            <w:shd w:val="clear" w:color="auto" w:fill="auto"/>
            <w:vAlign w:val="center"/>
          </w:tcPr>
          <w:p w14:paraId="4F84BA6B" w14:textId="77777777" w:rsidR="005F0A41" w:rsidRPr="005F0A41" w:rsidRDefault="005F0A41" w:rsidP="005F0A41">
            <w:pPr>
              <w:pStyle w:val="Default"/>
              <w:ind w:right="0"/>
              <w:rPr>
                <w:rFonts w:ascii="Sylfaen" w:hAnsi="Sylfaen"/>
                <w:bCs/>
                <w:sz w:val="20"/>
                <w:szCs w:val="20"/>
              </w:rPr>
            </w:pPr>
            <w:r w:rsidRPr="005F0A41">
              <w:rPr>
                <w:rFonts w:ascii="Sylfaen" w:hAnsi="Sylfaen"/>
                <w:bCs/>
                <w:sz w:val="20"/>
                <w:szCs w:val="20"/>
              </w:rPr>
              <w:t>Expenditure on Education as % of GDP</w:t>
            </w:r>
          </w:p>
        </w:tc>
        <w:tc>
          <w:tcPr>
            <w:tcW w:w="1766" w:type="pct"/>
            <w:shd w:val="clear" w:color="auto" w:fill="auto"/>
            <w:vAlign w:val="center"/>
          </w:tcPr>
          <w:p w14:paraId="31F07D41" w14:textId="77777777" w:rsidR="005F0A41" w:rsidRPr="0078340B" w:rsidRDefault="005F0A41" w:rsidP="005F0A41">
            <w:pPr>
              <w:pStyle w:val="Default"/>
              <w:ind w:right="0"/>
              <w:contextualSpacing/>
              <w:jc w:val="center"/>
              <w:rPr>
                <w:rFonts w:ascii="Sylfaen" w:hAnsi="Sylfaen"/>
                <w:sz w:val="20"/>
                <w:szCs w:val="20"/>
              </w:rPr>
            </w:pPr>
            <w:r>
              <w:rPr>
                <w:rFonts w:ascii="Sylfaen" w:hAnsi="Sylfaen"/>
                <w:sz w:val="20"/>
                <w:szCs w:val="20"/>
              </w:rPr>
              <w:t>5.6</w:t>
            </w:r>
          </w:p>
        </w:tc>
      </w:tr>
      <w:tr w:rsidR="005F0A41" w:rsidRPr="0078340B" w14:paraId="19FB9939" w14:textId="77777777" w:rsidTr="005F0A41">
        <w:trPr>
          <w:trHeight w:val="385"/>
          <w:jc w:val="center"/>
        </w:trPr>
        <w:tc>
          <w:tcPr>
            <w:tcW w:w="3234" w:type="pct"/>
            <w:shd w:val="clear" w:color="auto" w:fill="auto"/>
            <w:vAlign w:val="center"/>
          </w:tcPr>
          <w:p w14:paraId="4EEFB54F" w14:textId="77777777" w:rsidR="005F0A41" w:rsidRPr="005F0A41" w:rsidRDefault="005F0A41" w:rsidP="005F0A41">
            <w:pPr>
              <w:pStyle w:val="Default"/>
              <w:ind w:right="0"/>
              <w:rPr>
                <w:rFonts w:ascii="Sylfaen" w:hAnsi="Sylfaen"/>
                <w:bCs/>
                <w:sz w:val="20"/>
                <w:szCs w:val="20"/>
              </w:rPr>
            </w:pPr>
            <w:r w:rsidRPr="005F0A41">
              <w:rPr>
                <w:rFonts w:ascii="Sylfaen" w:hAnsi="Sylfaen"/>
                <w:bCs/>
                <w:sz w:val="20"/>
                <w:szCs w:val="20"/>
              </w:rPr>
              <w:t>Research and development expenditure  as % of GDP</w:t>
            </w:r>
          </w:p>
        </w:tc>
        <w:tc>
          <w:tcPr>
            <w:tcW w:w="1766" w:type="pct"/>
            <w:shd w:val="clear" w:color="auto" w:fill="auto"/>
            <w:vAlign w:val="center"/>
          </w:tcPr>
          <w:p w14:paraId="5D0B6A58" w14:textId="77777777" w:rsidR="005F0A41" w:rsidRDefault="005F0A41" w:rsidP="005F0A41">
            <w:pPr>
              <w:pStyle w:val="Default"/>
              <w:ind w:right="0"/>
              <w:contextualSpacing/>
              <w:jc w:val="center"/>
              <w:rPr>
                <w:rFonts w:ascii="Sylfaen" w:hAnsi="Sylfaen"/>
                <w:sz w:val="20"/>
                <w:szCs w:val="20"/>
              </w:rPr>
            </w:pPr>
            <w:r>
              <w:rPr>
                <w:rFonts w:ascii="Sylfaen" w:hAnsi="Sylfaen"/>
                <w:sz w:val="20"/>
                <w:szCs w:val="20"/>
              </w:rPr>
              <w:t>0.1</w:t>
            </w:r>
          </w:p>
        </w:tc>
      </w:tr>
      <w:tr w:rsidR="005F0A41" w:rsidRPr="0078340B" w14:paraId="1B49C2F1" w14:textId="77777777" w:rsidTr="005F0A41">
        <w:trPr>
          <w:trHeight w:val="385"/>
          <w:jc w:val="center"/>
        </w:trPr>
        <w:tc>
          <w:tcPr>
            <w:tcW w:w="3234" w:type="pct"/>
            <w:shd w:val="clear" w:color="auto" w:fill="auto"/>
            <w:vAlign w:val="center"/>
          </w:tcPr>
          <w:p w14:paraId="6431DEB8" w14:textId="77777777" w:rsidR="005F0A41" w:rsidRPr="003C23FA" w:rsidRDefault="005F0A41" w:rsidP="005F0A41">
            <w:pPr>
              <w:pStyle w:val="Default"/>
              <w:contextualSpacing/>
              <w:rPr>
                <w:rFonts w:ascii="Sylfaen" w:hAnsi="Sylfaen"/>
                <w:sz w:val="20"/>
                <w:szCs w:val="20"/>
              </w:rPr>
            </w:pPr>
            <w:r>
              <w:rPr>
                <w:rFonts w:ascii="Sylfaen" w:hAnsi="Sylfaen"/>
                <w:sz w:val="20"/>
                <w:szCs w:val="20"/>
              </w:rPr>
              <w:t>Internet users (% of population)</w:t>
            </w:r>
          </w:p>
        </w:tc>
        <w:tc>
          <w:tcPr>
            <w:tcW w:w="1766" w:type="pct"/>
            <w:shd w:val="clear" w:color="auto" w:fill="auto"/>
            <w:vAlign w:val="center"/>
          </w:tcPr>
          <w:p w14:paraId="683A2FD4" w14:textId="77777777" w:rsidR="005F0A41" w:rsidRDefault="005F0A41" w:rsidP="005F0A41">
            <w:pPr>
              <w:pStyle w:val="Default"/>
              <w:ind w:right="0"/>
              <w:contextualSpacing/>
              <w:jc w:val="center"/>
              <w:rPr>
                <w:rFonts w:ascii="Sylfaen" w:hAnsi="Sylfaen"/>
                <w:sz w:val="20"/>
                <w:szCs w:val="20"/>
              </w:rPr>
            </w:pPr>
            <w:r>
              <w:rPr>
                <w:rFonts w:ascii="Sylfaen" w:hAnsi="Sylfaen"/>
                <w:sz w:val="20"/>
                <w:szCs w:val="20"/>
              </w:rPr>
              <w:t>54</w:t>
            </w:r>
          </w:p>
        </w:tc>
      </w:tr>
      <w:tr w:rsidR="005F0A41" w:rsidRPr="0078340B" w14:paraId="3D093B2F" w14:textId="77777777" w:rsidTr="005F0A41">
        <w:trPr>
          <w:trHeight w:val="247"/>
          <w:jc w:val="center"/>
        </w:trPr>
        <w:tc>
          <w:tcPr>
            <w:tcW w:w="3234" w:type="pct"/>
            <w:shd w:val="clear" w:color="auto" w:fill="auto"/>
          </w:tcPr>
          <w:p w14:paraId="77C852BE" w14:textId="77777777" w:rsidR="005F0A41" w:rsidRPr="0078340B" w:rsidRDefault="005F0A41" w:rsidP="006D7727">
            <w:pPr>
              <w:pStyle w:val="Default"/>
              <w:rPr>
                <w:rFonts w:ascii="Sylfaen" w:hAnsi="Sylfaen"/>
                <w:sz w:val="20"/>
                <w:szCs w:val="20"/>
              </w:rPr>
            </w:pPr>
            <w:r w:rsidRPr="0078340B">
              <w:rPr>
                <w:rFonts w:ascii="Sylfaen" w:hAnsi="Sylfaen"/>
                <w:sz w:val="20"/>
                <w:szCs w:val="20"/>
              </w:rPr>
              <w:t>Yout</w:t>
            </w:r>
            <w:r>
              <w:rPr>
                <w:rFonts w:ascii="Sylfaen" w:hAnsi="Sylfaen"/>
                <w:sz w:val="20"/>
                <w:szCs w:val="20"/>
              </w:rPr>
              <w:t>h Literacy Rate (% aged 15-24), M  /  F</w:t>
            </w:r>
          </w:p>
        </w:tc>
        <w:tc>
          <w:tcPr>
            <w:tcW w:w="1766" w:type="pct"/>
            <w:shd w:val="clear" w:color="auto" w:fill="auto"/>
          </w:tcPr>
          <w:p w14:paraId="5B1B2FE5" w14:textId="77777777" w:rsidR="005F0A41" w:rsidRPr="0078340B" w:rsidRDefault="005F0A41" w:rsidP="006D7727">
            <w:pPr>
              <w:pStyle w:val="Default"/>
              <w:tabs>
                <w:tab w:val="left" w:pos="2727"/>
              </w:tabs>
              <w:ind w:right="0"/>
              <w:jc w:val="center"/>
              <w:rPr>
                <w:rFonts w:ascii="Sylfaen" w:hAnsi="Sylfaen"/>
                <w:sz w:val="20"/>
                <w:szCs w:val="20"/>
              </w:rPr>
            </w:pPr>
            <w:r>
              <w:rPr>
                <w:rFonts w:ascii="Sylfaen" w:hAnsi="Sylfaen"/>
                <w:sz w:val="20"/>
                <w:szCs w:val="20"/>
              </w:rPr>
              <w:t xml:space="preserve">99  /  99 </w:t>
            </w:r>
            <w:r w:rsidRPr="00873FC3">
              <w:rPr>
                <w:rFonts w:ascii="Sylfaen" w:hAnsi="Sylfaen"/>
                <w:sz w:val="20"/>
                <w:szCs w:val="20"/>
                <w:vertAlign w:val="superscript"/>
              </w:rPr>
              <w:t>w</w:t>
            </w:r>
          </w:p>
        </w:tc>
      </w:tr>
      <w:tr w:rsidR="005F0A41" w:rsidRPr="0078340B" w14:paraId="4315CA0D" w14:textId="77777777" w:rsidTr="005F0A41">
        <w:trPr>
          <w:trHeight w:val="247"/>
          <w:jc w:val="center"/>
        </w:trPr>
        <w:tc>
          <w:tcPr>
            <w:tcW w:w="3234" w:type="pct"/>
            <w:shd w:val="clear" w:color="auto" w:fill="auto"/>
          </w:tcPr>
          <w:p w14:paraId="26304F7F" w14:textId="77777777" w:rsidR="005F0A41" w:rsidRPr="0078340B" w:rsidRDefault="005F0A41" w:rsidP="006D7727">
            <w:pPr>
              <w:pStyle w:val="Default"/>
              <w:rPr>
                <w:rFonts w:ascii="Sylfaen" w:hAnsi="Sylfaen"/>
                <w:sz w:val="20"/>
                <w:szCs w:val="20"/>
              </w:rPr>
            </w:pPr>
            <w:r w:rsidRPr="0078340B">
              <w:rPr>
                <w:rFonts w:ascii="Sylfaen" w:hAnsi="Sylfaen"/>
                <w:sz w:val="20"/>
                <w:szCs w:val="20"/>
              </w:rPr>
              <w:t>Ad</w:t>
            </w:r>
            <w:r>
              <w:rPr>
                <w:rFonts w:ascii="Sylfaen" w:hAnsi="Sylfaen"/>
                <w:sz w:val="20"/>
                <w:szCs w:val="20"/>
              </w:rPr>
              <w:t>ult Literacy Rate (% aged 15&lt;)</w:t>
            </w:r>
          </w:p>
        </w:tc>
        <w:tc>
          <w:tcPr>
            <w:tcW w:w="1766" w:type="pct"/>
            <w:shd w:val="clear" w:color="auto" w:fill="auto"/>
          </w:tcPr>
          <w:p w14:paraId="26667150" w14:textId="77777777" w:rsidR="005F0A41" w:rsidRPr="0078340B" w:rsidRDefault="005F0A41" w:rsidP="006D7727">
            <w:pPr>
              <w:pStyle w:val="Default"/>
              <w:ind w:right="0"/>
              <w:jc w:val="center"/>
              <w:rPr>
                <w:rFonts w:ascii="Sylfaen" w:hAnsi="Sylfaen"/>
                <w:sz w:val="20"/>
                <w:szCs w:val="20"/>
              </w:rPr>
            </w:pPr>
            <w:r>
              <w:rPr>
                <w:rFonts w:ascii="Sylfaen" w:hAnsi="Sylfaen"/>
                <w:sz w:val="20"/>
                <w:szCs w:val="20"/>
              </w:rPr>
              <w:t xml:space="preserve">94 </w:t>
            </w:r>
            <w:r w:rsidRPr="00873FC3">
              <w:rPr>
                <w:rFonts w:ascii="Sylfaen" w:hAnsi="Sylfaen"/>
                <w:sz w:val="20"/>
                <w:szCs w:val="20"/>
                <w:vertAlign w:val="superscript"/>
              </w:rPr>
              <w:t>w</w:t>
            </w:r>
          </w:p>
        </w:tc>
      </w:tr>
      <w:tr w:rsidR="005F0A41" w:rsidRPr="0078340B" w14:paraId="79341127" w14:textId="77777777" w:rsidTr="005F0A41">
        <w:trPr>
          <w:trHeight w:val="247"/>
          <w:jc w:val="center"/>
        </w:trPr>
        <w:tc>
          <w:tcPr>
            <w:tcW w:w="3234" w:type="pct"/>
            <w:shd w:val="clear" w:color="auto" w:fill="auto"/>
          </w:tcPr>
          <w:p w14:paraId="35F53335" w14:textId="77777777" w:rsidR="005F0A41" w:rsidRPr="0078340B" w:rsidRDefault="005F0A41" w:rsidP="006D7727">
            <w:pPr>
              <w:pStyle w:val="Default"/>
              <w:rPr>
                <w:rFonts w:ascii="Sylfaen" w:hAnsi="Sylfaen"/>
                <w:sz w:val="20"/>
                <w:szCs w:val="20"/>
              </w:rPr>
            </w:pPr>
            <w:r>
              <w:rPr>
                <w:rFonts w:ascii="Sylfaen" w:hAnsi="Sylfaen"/>
                <w:sz w:val="20"/>
                <w:szCs w:val="20"/>
              </w:rPr>
              <w:t>Mean years of schooling (persons 25 years and older)</w:t>
            </w:r>
          </w:p>
        </w:tc>
        <w:tc>
          <w:tcPr>
            <w:tcW w:w="1766" w:type="pct"/>
            <w:shd w:val="clear" w:color="auto" w:fill="auto"/>
          </w:tcPr>
          <w:p w14:paraId="1ABA53F8" w14:textId="77777777" w:rsidR="005F0A41" w:rsidRPr="0078340B" w:rsidRDefault="005F0A41" w:rsidP="006D7727">
            <w:pPr>
              <w:pStyle w:val="Default"/>
              <w:ind w:right="0"/>
              <w:jc w:val="center"/>
              <w:rPr>
                <w:rFonts w:ascii="Sylfaen" w:hAnsi="Sylfaen"/>
                <w:sz w:val="20"/>
                <w:szCs w:val="20"/>
              </w:rPr>
            </w:pPr>
            <w:r>
              <w:rPr>
                <w:rFonts w:ascii="Sylfaen" w:hAnsi="Sylfaen"/>
                <w:sz w:val="20"/>
                <w:szCs w:val="20"/>
              </w:rPr>
              <w:t>9.2  /  8.0</w:t>
            </w:r>
          </w:p>
        </w:tc>
      </w:tr>
      <w:tr w:rsidR="005F0A41" w:rsidRPr="0078340B" w14:paraId="1E33C443" w14:textId="77777777" w:rsidTr="005F0A41">
        <w:trPr>
          <w:trHeight w:val="247"/>
          <w:jc w:val="center"/>
        </w:trPr>
        <w:tc>
          <w:tcPr>
            <w:tcW w:w="3234" w:type="pct"/>
            <w:shd w:val="clear" w:color="auto" w:fill="auto"/>
          </w:tcPr>
          <w:p w14:paraId="5D8310FC" w14:textId="77777777" w:rsidR="005F0A41" w:rsidRPr="0078340B" w:rsidRDefault="005F0A41" w:rsidP="006D7727">
            <w:pPr>
              <w:pStyle w:val="Default"/>
              <w:ind w:right="-10"/>
              <w:rPr>
                <w:rFonts w:ascii="Sylfaen" w:hAnsi="Sylfaen"/>
                <w:sz w:val="20"/>
                <w:szCs w:val="20"/>
              </w:rPr>
            </w:pPr>
            <w:r w:rsidRPr="0078340B">
              <w:rPr>
                <w:rFonts w:ascii="Sylfaen" w:hAnsi="Sylfaen"/>
                <w:sz w:val="20"/>
                <w:szCs w:val="20"/>
              </w:rPr>
              <w:t>Youth enrolment in higher education (GER)</w:t>
            </w:r>
          </w:p>
        </w:tc>
        <w:tc>
          <w:tcPr>
            <w:tcW w:w="1766" w:type="pct"/>
            <w:shd w:val="clear" w:color="auto" w:fill="auto"/>
          </w:tcPr>
          <w:p w14:paraId="082F6B4B" w14:textId="77777777" w:rsidR="005F0A41" w:rsidRPr="0078340B" w:rsidRDefault="005F0A41" w:rsidP="006D7727">
            <w:pPr>
              <w:pStyle w:val="Default"/>
              <w:ind w:right="0"/>
              <w:jc w:val="center"/>
              <w:rPr>
                <w:rFonts w:ascii="Sylfaen" w:hAnsi="Sylfaen"/>
                <w:sz w:val="20"/>
                <w:szCs w:val="20"/>
              </w:rPr>
            </w:pPr>
            <w:r w:rsidRPr="0078340B">
              <w:rPr>
                <w:rFonts w:ascii="Sylfaen" w:hAnsi="Sylfaen"/>
                <w:sz w:val="20"/>
                <w:szCs w:val="20"/>
              </w:rPr>
              <w:t>50.9</w:t>
            </w:r>
            <w:r>
              <w:rPr>
                <w:rFonts w:ascii="Sylfaen" w:hAnsi="Sylfaen"/>
                <w:sz w:val="20"/>
                <w:szCs w:val="20"/>
              </w:rPr>
              <w:t xml:space="preserve"> </w:t>
            </w:r>
            <w:r w:rsidRPr="00873FC3">
              <w:rPr>
                <w:rFonts w:ascii="Sylfaen" w:hAnsi="Sylfaen"/>
                <w:sz w:val="20"/>
                <w:szCs w:val="20"/>
                <w:vertAlign w:val="superscript"/>
              </w:rPr>
              <w:t>w</w:t>
            </w:r>
          </w:p>
        </w:tc>
      </w:tr>
      <w:tr w:rsidR="005F0A41" w:rsidRPr="0078340B" w14:paraId="5057E331" w14:textId="77777777" w:rsidTr="005F0A41">
        <w:trPr>
          <w:trHeight w:val="247"/>
          <w:jc w:val="center"/>
        </w:trPr>
        <w:tc>
          <w:tcPr>
            <w:tcW w:w="3234" w:type="pct"/>
            <w:shd w:val="clear" w:color="auto" w:fill="auto"/>
          </w:tcPr>
          <w:p w14:paraId="42FCF1AA" w14:textId="77777777" w:rsidR="005F0A41" w:rsidRPr="0078340B" w:rsidRDefault="005F0A41" w:rsidP="006D7727">
            <w:pPr>
              <w:pStyle w:val="Default"/>
              <w:ind w:right="-10"/>
              <w:rPr>
                <w:rFonts w:ascii="Sylfaen" w:hAnsi="Sylfaen"/>
                <w:sz w:val="20"/>
                <w:szCs w:val="20"/>
              </w:rPr>
            </w:pPr>
            <w:r w:rsidRPr="0078340B">
              <w:rPr>
                <w:rFonts w:ascii="Sylfaen" w:hAnsi="Sylfaen"/>
                <w:sz w:val="20"/>
                <w:szCs w:val="20"/>
              </w:rPr>
              <w:t>Youth enrolment in higher education (GER)</w:t>
            </w:r>
            <w:r>
              <w:rPr>
                <w:rFonts w:ascii="Sylfaen" w:hAnsi="Sylfaen"/>
                <w:sz w:val="20"/>
                <w:szCs w:val="20"/>
              </w:rPr>
              <w:t xml:space="preserve">,  </w:t>
            </w:r>
            <w:r>
              <w:rPr>
                <w:rFonts w:ascii="Sylfaen" w:hAnsi="Sylfaen"/>
                <w:bCs/>
                <w:sz w:val="20"/>
                <w:szCs w:val="20"/>
              </w:rPr>
              <w:t>M  /  F</w:t>
            </w:r>
          </w:p>
        </w:tc>
        <w:tc>
          <w:tcPr>
            <w:tcW w:w="1766" w:type="pct"/>
            <w:shd w:val="clear" w:color="auto" w:fill="auto"/>
          </w:tcPr>
          <w:p w14:paraId="7CCFF0DA" w14:textId="77777777" w:rsidR="005F0A41" w:rsidRPr="0078340B" w:rsidRDefault="005F0A41" w:rsidP="006D7727">
            <w:pPr>
              <w:pStyle w:val="Default"/>
              <w:ind w:right="0"/>
              <w:jc w:val="center"/>
              <w:rPr>
                <w:rFonts w:ascii="Sylfaen" w:hAnsi="Sylfaen"/>
                <w:sz w:val="20"/>
                <w:szCs w:val="20"/>
              </w:rPr>
            </w:pPr>
            <w:r>
              <w:rPr>
                <w:rFonts w:ascii="Sylfaen" w:hAnsi="Sylfaen"/>
                <w:sz w:val="20"/>
                <w:szCs w:val="20"/>
              </w:rPr>
              <w:t xml:space="preserve">M:  </w:t>
            </w:r>
            <w:r w:rsidRPr="0078340B">
              <w:rPr>
                <w:rFonts w:ascii="Sylfaen" w:hAnsi="Sylfaen"/>
                <w:sz w:val="20"/>
                <w:szCs w:val="20"/>
              </w:rPr>
              <w:t>49.5</w:t>
            </w:r>
            <w:r>
              <w:rPr>
                <w:rFonts w:ascii="Sylfaen" w:hAnsi="Sylfaen"/>
                <w:sz w:val="20"/>
                <w:szCs w:val="20"/>
              </w:rPr>
              <w:t xml:space="preserve">  /  F:  </w:t>
            </w:r>
            <w:r w:rsidRPr="0078340B">
              <w:rPr>
                <w:rFonts w:ascii="Sylfaen" w:hAnsi="Sylfaen"/>
                <w:sz w:val="20"/>
                <w:szCs w:val="20"/>
              </w:rPr>
              <w:t>52.5</w:t>
            </w:r>
            <w:r>
              <w:rPr>
                <w:rFonts w:ascii="Sylfaen" w:hAnsi="Sylfaen"/>
                <w:sz w:val="20"/>
                <w:szCs w:val="20"/>
              </w:rPr>
              <w:t xml:space="preserve"> </w:t>
            </w:r>
            <w:r w:rsidRPr="00873FC3">
              <w:rPr>
                <w:rFonts w:ascii="Sylfaen" w:hAnsi="Sylfaen"/>
                <w:sz w:val="20"/>
                <w:szCs w:val="20"/>
                <w:vertAlign w:val="superscript"/>
              </w:rPr>
              <w:t>w</w:t>
            </w:r>
          </w:p>
        </w:tc>
      </w:tr>
      <w:tr w:rsidR="005F0A41" w:rsidRPr="0078340B" w14:paraId="6DA53391" w14:textId="77777777" w:rsidTr="005F0A41">
        <w:trPr>
          <w:trHeight w:val="247"/>
          <w:jc w:val="center"/>
        </w:trPr>
        <w:tc>
          <w:tcPr>
            <w:tcW w:w="3234" w:type="pct"/>
            <w:shd w:val="clear" w:color="auto" w:fill="auto"/>
          </w:tcPr>
          <w:p w14:paraId="56B39C5A" w14:textId="77777777" w:rsidR="005F0A41" w:rsidRPr="0078340B" w:rsidRDefault="005F0A41" w:rsidP="006D7727">
            <w:pPr>
              <w:pStyle w:val="Default"/>
              <w:ind w:right="-10"/>
              <w:rPr>
                <w:rFonts w:ascii="Sylfaen" w:hAnsi="Sylfaen"/>
                <w:sz w:val="20"/>
                <w:szCs w:val="20"/>
              </w:rPr>
            </w:pPr>
            <w:r w:rsidRPr="004B6355">
              <w:rPr>
                <w:rFonts w:ascii="Sylfaen" w:hAnsi="Sylfaen"/>
                <w:sz w:val="20"/>
                <w:szCs w:val="20"/>
              </w:rPr>
              <w:t xml:space="preserve">Population with at least some secondary education </w:t>
            </w:r>
            <w:r w:rsidRPr="004B6355">
              <w:rPr>
                <w:rFonts w:ascii="Sylfaen" w:hAnsi="Sylfaen"/>
                <w:sz w:val="14"/>
                <w:szCs w:val="20"/>
              </w:rPr>
              <w:t>(% aged 25 and above)</w:t>
            </w:r>
          </w:p>
        </w:tc>
        <w:tc>
          <w:tcPr>
            <w:tcW w:w="1766" w:type="pct"/>
            <w:shd w:val="clear" w:color="auto" w:fill="auto"/>
          </w:tcPr>
          <w:p w14:paraId="43820276" w14:textId="77777777" w:rsidR="005F0A41" w:rsidRPr="0078340B" w:rsidRDefault="005F0A41" w:rsidP="006D7727">
            <w:pPr>
              <w:pStyle w:val="Default"/>
              <w:ind w:right="33"/>
              <w:jc w:val="center"/>
              <w:rPr>
                <w:rFonts w:ascii="Sylfaen" w:hAnsi="Sylfaen"/>
                <w:sz w:val="20"/>
                <w:szCs w:val="20"/>
              </w:rPr>
            </w:pPr>
            <w:r>
              <w:rPr>
                <w:rFonts w:ascii="Sylfaen" w:hAnsi="Sylfaen"/>
                <w:sz w:val="20"/>
                <w:szCs w:val="20"/>
              </w:rPr>
              <w:t>M: 70.3  /  F: 60.5</w:t>
            </w:r>
          </w:p>
        </w:tc>
      </w:tr>
    </w:tbl>
    <w:p w14:paraId="75B8458C" w14:textId="77777777" w:rsidR="005F0A41" w:rsidRPr="005B7434" w:rsidRDefault="005F0A41" w:rsidP="005F0A41">
      <w:pPr>
        <w:spacing w:before="0" w:after="0"/>
        <w:contextualSpacing/>
        <w:rPr>
          <w:kern w:val="28"/>
        </w:rPr>
      </w:pPr>
      <w:r w:rsidRPr="007A5328">
        <w:rPr>
          <w:kern w:val="28"/>
          <w:sz w:val="18"/>
        </w:rPr>
        <w:t>Note:</w:t>
      </w:r>
      <w:r>
        <w:rPr>
          <w:kern w:val="28"/>
        </w:rPr>
        <w:t xml:space="preserve">  </w:t>
      </w:r>
      <w:r w:rsidRPr="00271DE0">
        <w:rPr>
          <w:kern w:val="28"/>
          <w:vertAlign w:val="superscript"/>
        </w:rPr>
        <w:t>e</w:t>
      </w:r>
      <w:r>
        <w:rPr>
          <w:kern w:val="28"/>
        </w:rPr>
        <w:t xml:space="preserve"> </w:t>
      </w:r>
      <w:r w:rsidRPr="007A5328">
        <w:rPr>
          <w:kern w:val="28"/>
          <w:sz w:val="18"/>
        </w:rPr>
        <w:t xml:space="preserve">= estimate;  </w:t>
      </w:r>
      <w:r w:rsidRPr="00271DE0">
        <w:rPr>
          <w:kern w:val="28"/>
          <w:vertAlign w:val="superscript"/>
        </w:rPr>
        <w:t>p</w:t>
      </w:r>
      <w:r>
        <w:rPr>
          <w:kern w:val="28"/>
        </w:rPr>
        <w:t xml:space="preserve"> </w:t>
      </w:r>
      <w:r w:rsidRPr="007A5328">
        <w:rPr>
          <w:kern w:val="28"/>
          <w:sz w:val="18"/>
        </w:rPr>
        <w:t>= projected</w:t>
      </w:r>
      <w:r>
        <w:rPr>
          <w:kern w:val="28"/>
          <w:sz w:val="18"/>
        </w:rPr>
        <w:t xml:space="preserve">;  </w:t>
      </w:r>
      <w:r w:rsidRPr="005B7434">
        <w:rPr>
          <w:sz w:val="20"/>
          <w:szCs w:val="20"/>
          <w:vertAlign w:val="superscript"/>
        </w:rPr>
        <w:t>h</w:t>
      </w:r>
      <w:r>
        <w:rPr>
          <w:sz w:val="20"/>
          <w:szCs w:val="20"/>
          <w:vertAlign w:val="superscript"/>
        </w:rPr>
        <w:t xml:space="preserve"> </w:t>
      </w:r>
      <w:r>
        <w:rPr>
          <w:sz w:val="18"/>
          <w:szCs w:val="20"/>
        </w:rPr>
        <w:t>calcul</w:t>
      </w:r>
      <w:r w:rsidRPr="005B7434">
        <w:rPr>
          <w:sz w:val="18"/>
          <w:szCs w:val="20"/>
        </w:rPr>
        <w:t>ated from HDR</w:t>
      </w:r>
      <w:r>
        <w:rPr>
          <w:sz w:val="18"/>
          <w:szCs w:val="20"/>
        </w:rPr>
        <w:t xml:space="preserve"> 2014</w:t>
      </w:r>
      <w:r w:rsidRPr="005B7434">
        <w:rPr>
          <w:sz w:val="18"/>
          <w:szCs w:val="20"/>
        </w:rPr>
        <w:t xml:space="preserve"> Table 5</w:t>
      </w:r>
    </w:p>
    <w:p w14:paraId="39510013" w14:textId="77777777" w:rsidR="001F0CD5" w:rsidRPr="005F0A41" w:rsidRDefault="005F0A41" w:rsidP="005F0A41">
      <w:pPr>
        <w:spacing w:before="0" w:after="0"/>
        <w:ind w:right="-357"/>
        <w:contextualSpacing/>
        <w:rPr>
          <w:kern w:val="28"/>
          <w:sz w:val="18"/>
        </w:rPr>
      </w:pPr>
      <w:r w:rsidRPr="007A5328">
        <w:rPr>
          <w:kern w:val="28"/>
          <w:sz w:val="18"/>
        </w:rPr>
        <w:t>Sources</w:t>
      </w:r>
      <w:r>
        <w:rPr>
          <w:kern w:val="28"/>
          <w:sz w:val="18"/>
        </w:rPr>
        <w:t xml:space="preserve"> UNDP 2014</w:t>
      </w:r>
      <w:r w:rsidRPr="007A5328">
        <w:rPr>
          <w:kern w:val="28"/>
          <w:sz w:val="18"/>
        </w:rPr>
        <w:t xml:space="preserve">, or as indicated; </w:t>
      </w:r>
      <w:r w:rsidRPr="006F4002">
        <w:rPr>
          <w:kern w:val="28"/>
          <w:vertAlign w:val="superscript"/>
        </w:rPr>
        <w:t>a</w:t>
      </w:r>
      <w:r w:rsidRPr="007A4501">
        <w:rPr>
          <w:sz w:val="16"/>
          <w:szCs w:val="20"/>
        </w:rPr>
        <w:t>=</w:t>
      </w:r>
      <w:r w:rsidRPr="007A5328">
        <w:rPr>
          <w:kern w:val="28"/>
          <w:sz w:val="18"/>
        </w:rPr>
        <w:t>current news source</w:t>
      </w:r>
      <w:r>
        <w:rPr>
          <w:kern w:val="28"/>
          <w:sz w:val="18"/>
        </w:rPr>
        <w:t xml:space="preserve">; </w:t>
      </w:r>
      <w:r w:rsidRPr="009660BD">
        <w:rPr>
          <w:kern w:val="28"/>
          <w:vertAlign w:val="superscript"/>
        </w:rPr>
        <w:t>s</w:t>
      </w:r>
      <w:r w:rsidRPr="001C7660">
        <w:rPr>
          <w:sz w:val="14"/>
          <w:szCs w:val="20"/>
        </w:rPr>
        <w:t xml:space="preserve"> </w:t>
      </w:r>
      <w:r w:rsidRPr="007A4501">
        <w:rPr>
          <w:sz w:val="16"/>
          <w:szCs w:val="20"/>
        </w:rPr>
        <w:t xml:space="preserve">= </w:t>
      </w:r>
      <w:r w:rsidRPr="007A4501">
        <w:rPr>
          <w:sz w:val="18"/>
          <w:szCs w:val="20"/>
        </w:rPr>
        <w:t>AYS 2014</w:t>
      </w:r>
      <w:r w:rsidRPr="007A4501">
        <w:rPr>
          <w:sz w:val="16"/>
          <w:szCs w:val="20"/>
        </w:rPr>
        <w:t>;</w:t>
      </w:r>
      <w:r w:rsidRPr="009660BD">
        <w:rPr>
          <w:sz w:val="18"/>
          <w:szCs w:val="20"/>
        </w:rPr>
        <w:t xml:space="preserve"> </w:t>
      </w:r>
      <w:r w:rsidRPr="009660BD">
        <w:rPr>
          <w:sz w:val="18"/>
          <w:szCs w:val="20"/>
          <w:vertAlign w:val="superscript"/>
        </w:rPr>
        <w:t>i</w:t>
      </w:r>
      <w:r w:rsidRPr="009660BD">
        <w:rPr>
          <w:sz w:val="18"/>
          <w:szCs w:val="20"/>
        </w:rPr>
        <w:t xml:space="preserve"> </w:t>
      </w:r>
      <w:r w:rsidRPr="007A4501">
        <w:rPr>
          <w:sz w:val="16"/>
          <w:szCs w:val="20"/>
        </w:rPr>
        <w:t xml:space="preserve">= </w:t>
      </w:r>
      <w:r w:rsidRPr="007A4501">
        <w:rPr>
          <w:sz w:val="18"/>
          <w:szCs w:val="20"/>
        </w:rPr>
        <w:t>ILOSTAT</w:t>
      </w:r>
      <w:r>
        <w:rPr>
          <w:sz w:val="18"/>
          <w:szCs w:val="20"/>
        </w:rPr>
        <w:t>;</w:t>
      </w:r>
      <w:r w:rsidRPr="007A4501">
        <w:rPr>
          <w:sz w:val="18"/>
          <w:szCs w:val="20"/>
        </w:rPr>
        <w:t xml:space="preserve"> </w:t>
      </w:r>
      <w:r w:rsidRPr="007A4501">
        <w:rPr>
          <w:sz w:val="20"/>
          <w:szCs w:val="20"/>
          <w:vertAlign w:val="superscript"/>
        </w:rPr>
        <w:t>w</w:t>
      </w:r>
      <w:r w:rsidRPr="007A4501">
        <w:rPr>
          <w:sz w:val="16"/>
          <w:szCs w:val="20"/>
        </w:rPr>
        <w:t>=</w:t>
      </w:r>
      <w:r w:rsidRPr="007A4501">
        <w:rPr>
          <w:sz w:val="20"/>
          <w:szCs w:val="20"/>
          <w:vertAlign w:val="superscript"/>
        </w:rPr>
        <w:t xml:space="preserve"> </w:t>
      </w:r>
      <w:r w:rsidRPr="007A4501">
        <w:rPr>
          <w:sz w:val="18"/>
          <w:szCs w:val="20"/>
        </w:rPr>
        <w:t>World Bank WDI SA, current</w:t>
      </w:r>
    </w:p>
    <w:p w14:paraId="737CA840" w14:textId="77777777" w:rsidR="001F0CD5" w:rsidRDefault="001F0CD5" w:rsidP="001F0CD5">
      <w:pPr>
        <w:spacing w:before="0" w:after="0"/>
        <w:jc w:val="center"/>
        <w:rPr>
          <w:rFonts w:ascii="Arial" w:hAnsi="Arial" w:cs="Arial"/>
          <w:sz w:val="18"/>
          <w:szCs w:val="18"/>
        </w:rPr>
      </w:pPr>
    </w:p>
    <w:p w14:paraId="104F86CE" w14:textId="77777777" w:rsidR="001F0CD5" w:rsidRPr="007F7192" w:rsidRDefault="001F0CD5" w:rsidP="001F0CD5">
      <w:pPr>
        <w:spacing w:before="0" w:after="0"/>
        <w:jc w:val="center"/>
        <w:rPr>
          <w:rFonts w:ascii="Arial" w:hAnsi="Arial" w:cs="Arial"/>
          <w:sz w:val="18"/>
          <w:szCs w:val="18"/>
        </w:rPr>
      </w:pPr>
      <w:r w:rsidRPr="007F7192">
        <w:rPr>
          <w:rFonts w:ascii="Arial" w:hAnsi="Arial" w:cs="Arial"/>
          <w:sz w:val="18"/>
          <w:szCs w:val="18"/>
        </w:rPr>
        <w:t>Note on currency equivalents:</w:t>
      </w:r>
    </w:p>
    <w:p w14:paraId="55F34182" w14:textId="77777777" w:rsidR="001F0CD5" w:rsidRPr="007F7192" w:rsidRDefault="001F0CD5" w:rsidP="001F0CD5">
      <w:pPr>
        <w:spacing w:before="0"/>
        <w:jc w:val="center"/>
        <w:rPr>
          <w:rFonts w:ascii="Arial" w:hAnsi="Arial" w:cs="Arial"/>
          <w:sz w:val="14"/>
          <w:szCs w:val="18"/>
        </w:rPr>
      </w:pPr>
      <w:r w:rsidRPr="007F7192">
        <w:rPr>
          <w:rFonts w:ascii="Arial" w:hAnsi="Arial" w:cs="Arial"/>
          <w:sz w:val="14"/>
          <w:szCs w:val="18"/>
        </w:rPr>
        <w:t xml:space="preserve">(As </w:t>
      </w:r>
      <w:r w:rsidRPr="001F0CD5">
        <w:rPr>
          <w:rFonts w:ascii="Arial" w:hAnsi="Arial" w:cs="Arial"/>
          <w:sz w:val="14"/>
          <w:szCs w:val="18"/>
        </w:rPr>
        <w:t>of July 2014</w:t>
      </w:r>
      <w:r w:rsidRPr="007F7192">
        <w:rPr>
          <w:rFonts w:ascii="Arial" w:hAnsi="Arial" w:cs="Arial"/>
          <w:sz w:val="14"/>
          <w:szCs w:val="18"/>
        </w:rPr>
        <w:t>)</w:t>
      </w:r>
      <w:r>
        <w:rPr>
          <w:rFonts w:ascii="Arial" w:hAnsi="Arial" w:cs="Arial"/>
          <w:sz w:val="14"/>
          <w:szCs w:val="1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1586"/>
        <w:gridCol w:w="2731"/>
      </w:tblGrid>
      <w:tr w:rsidR="001F0CD5" w:rsidRPr="007F7192" w14:paraId="46DC55C9" w14:textId="77777777" w:rsidTr="009A3CDC">
        <w:trPr>
          <w:jc w:val="center"/>
        </w:trPr>
        <w:tc>
          <w:tcPr>
            <w:tcW w:w="0" w:type="auto"/>
          </w:tcPr>
          <w:p w14:paraId="70250CAA" w14:textId="77777777" w:rsidR="001F0CD5" w:rsidRPr="007F7192" w:rsidRDefault="001F0CD5" w:rsidP="009A3CDC">
            <w:pPr>
              <w:jc w:val="center"/>
              <w:rPr>
                <w:rFonts w:ascii="Arial" w:hAnsi="Arial" w:cs="Arial"/>
                <w:sz w:val="18"/>
                <w:szCs w:val="18"/>
              </w:rPr>
            </w:pPr>
            <w:r w:rsidRPr="007F7192">
              <w:rPr>
                <w:rFonts w:ascii="Arial" w:hAnsi="Arial" w:cs="Arial"/>
                <w:sz w:val="18"/>
                <w:szCs w:val="18"/>
              </w:rPr>
              <w:t xml:space="preserve">1 </w:t>
            </w:r>
            <w:r>
              <w:rPr>
                <w:rFonts w:ascii="Arial" w:hAnsi="Arial" w:cs="Arial"/>
                <w:sz w:val="18"/>
                <w:szCs w:val="18"/>
              </w:rPr>
              <w:t>Saudi riyal</w:t>
            </w:r>
            <w:r w:rsidRPr="007F7192">
              <w:rPr>
                <w:rFonts w:ascii="Arial" w:hAnsi="Arial" w:cs="Arial"/>
                <w:sz w:val="18"/>
                <w:szCs w:val="18"/>
              </w:rPr>
              <w:t xml:space="preserve"> (</w:t>
            </w:r>
            <w:r>
              <w:rPr>
                <w:rFonts w:ascii="Arial" w:hAnsi="Arial" w:cs="Arial"/>
                <w:sz w:val="18"/>
                <w:szCs w:val="18"/>
              </w:rPr>
              <w:t>SR</w:t>
            </w:r>
            <w:r w:rsidRPr="007F7192">
              <w:rPr>
                <w:rFonts w:ascii="Arial" w:hAnsi="Arial" w:cs="Arial"/>
                <w:sz w:val="18"/>
                <w:szCs w:val="18"/>
              </w:rPr>
              <w:t>)</w:t>
            </w:r>
          </w:p>
        </w:tc>
        <w:tc>
          <w:tcPr>
            <w:tcW w:w="0" w:type="auto"/>
          </w:tcPr>
          <w:p w14:paraId="5863B9F0" w14:textId="77777777" w:rsidR="001F0CD5" w:rsidRPr="007F7192" w:rsidRDefault="001F0CD5" w:rsidP="009A3CDC">
            <w:pPr>
              <w:jc w:val="center"/>
              <w:rPr>
                <w:rFonts w:ascii="Arial" w:hAnsi="Arial" w:cs="Arial"/>
                <w:sz w:val="18"/>
                <w:szCs w:val="18"/>
              </w:rPr>
            </w:pPr>
            <w:r w:rsidRPr="007F7192">
              <w:rPr>
                <w:rFonts w:ascii="Arial" w:hAnsi="Arial" w:cs="Arial"/>
                <w:sz w:val="18"/>
                <w:szCs w:val="18"/>
              </w:rPr>
              <w:t>=</w:t>
            </w:r>
          </w:p>
        </w:tc>
        <w:tc>
          <w:tcPr>
            <w:tcW w:w="0" w:type="auto"/>
          </w:tcPr>
          <w:p w14:paraId="04E1007C" w14:textId="77777777" w:rsidR="001F0CD5" w:rsidRPr="007F7192" w:rsidRDefault="001F0CD5" w:rsidP="009A3CDC">
            <w:pPr>
              <w:jc w:val="center"/>
              <w:rPr>
                <w:rFonts w:ascii="Arial" w:hAnsi="Arial" w:cs="Arial"/>
                <w:sz w:val="18"/>
                <w:szCs w:val="18"/>
              </w:rPr>
            </w:pPr>
            <w:r>
              <w:rPr>
                <w:rFonts w:ascii="Arial" w:hAnsi="Arial" w:cs="Arial"/>
                <w:sz w:val="18"/>
                <w:szCs w:val="18"/>
              </w:rPr>
              <w:t>0.196</w:t>
            </w:r>
            <w:r w:rsidRPr="007F7192">
              <w:rPr>
                <w:rFonts w:ascii="Arial" w:hAnsi="Arial" w:cs="Arial"/>
                <w:sz w:val="18"/>
                <w:szCs w:val="18"/>
              </w:rPr>
              <w:t xml:space="preserve"> EUR</w:t>
            </w:r>
          </w:p>
        </w:tc>
      </w:tr>
      <w:tr w:rsidR="001F0CD5" w:rsidRPr="007F7192" w14:paraId="144E5669" w14:textId="77777777" w:rsidTr="009A3CDC">
        <w:trPr>
          <w:jc w:val="center"/>
        </w:trPr>
        <w:tc>
          <w:tcPr>
            <w:tcW w:w="0" w:type="auto"/>
          </w:tcPr>
          <w:p w14:paraId="0DD3D777" w14:textId="77777777" w:rsidR="001F0CD5" w:rsidRPr="007F7192" w:rsidRDefault="001F0CD5" w:rsidP="009A3CDC">
            <w:pPr>
              <w:jc w:val="center"/>
              <w:rPr>
                <w:rFonts w:ascii="Arial" w:hAnsi="Arial" w:cs="Arial"/>
                <w:sz w:val="18"/>
                <w:szCs w:val="18"/>
              </w:rPr>
            </w:pPr>
            <w:r w:rsidRPr="007F7192">
              <w:rPr>
                <w:rFonts w:ascii="Arial" w:hAnsi="Arial" w:cs="Arial"/>
                <w:sz w:val="18"/>
                <w:szCs w:val="18"/>
              </w:rPr>
              <w:t xml:space="preserve">1 </w:t>
            </w:r>
            <w:r>
              <w:rPr>
                <w:rFonts w:ascii="Arial" w:hAnsi="Arial" w:cs="Arial"/>
                <w:sz w:val="18"/>
                <w:szCs w:val="18"/>
              </w:rPr>
              <w:t>riyal</w:t>
            </w:r>
            <w:r w:rsidRPr="007F7192">
              <w:rPr>
                <w:rFonts w:ascii="Arial" w:hAnsi="Arial" w:cs="Arial"/>
                <w:sz w:val="18"/>
                <w:szCs w:val="18"/>
              </w:rPr>
              <w:t xml:space="preserve"> (</w:t>
            </w:r>
            <w:r>
              <w:rPr>
                <w:rFonts w:ascii="Arial" w:hAnsi="Arial" w:cs="Arial"/>
                <w:sz w:val="18"/>
                <w:szCs w:val="18"/>
              </w:rPr>
              <w:t>SR</w:t>
            </w:r>
            <w:r w:rsidRPr="007F7192">
              <w:rPr>
                <w:rFonts w:ascii="Arial" w:hAnsi="Arial" w:cs="Arial"/>
                <w:sz w:val="18"/>
                <w:szCs w:val="18"/>
              </w:rPr>
              <w:t>)</w:t>
            </w:r>
          </w:p>
        </w:tc>
        <w:tc>
          <w:tcPr>
            <w:tcW w:w="0" w:type="auto"/>
          </w:tcPr>
          <w:p w14:paraId="12FDA2BC" w14:textId="77777777" w:rsidR="001F0CD5" w:rsidRPr="007F7192" w:rsidRDefault="001F0CD5" w:rsidP="009A3CDC">
            <w:pPr>
              <w:jc w:val="center"/>
              <w:rPr>
                <w:rFonts w:ascii="Arial" w:hAnsi="Arial" w:cs="Arial"/>
                <w:sz w:val="18"/>
                <w:szCs w:val="18"/>
              </w:rPr>
            </w:pPr>
            <w:r w:rsidRPr="007F7192">
              <w:rPr>
                <w:rFonts w:ascii="Arial" w:hAnsi="Arial" w:cs="Arial"/>
                <w:sz w:val="18"/>
                <w:szCs w:val="18"/>
              </w:rPr>
              <w:t>=</w:t>
            </w:r>
          </w:p>
        </w:tc>
        <w:tc>
          <w:tcPr>
            <w:tcW w:w="0" w:type="auto"/>
          </w:tcPr>
          <w:p w14:paraId="2758CA1C" w14:textId="77777777" w:rsidR="001F0CD5" w:rsidRPr="007F7192" w:rsidRDefault="001F0CD5" w:rsidP="009A3CDC">
            <w:pPr>
              <w:jc w:val="center"/>
              <w:rPr>
                <w:rFonts w:ascii="Arial" w:hAnsi="Arial" w:cs="Arial"/>
                <w:sz w:val="18"/>
                <w:szCs w:val="18"/>
              </w:rPr>
            </w:pPr>
            <w:r>
              <w:rPr>
                <w:rFonts w:ascii="Arial" w:hAnsi="Arial" w:cs="Arial"/>
                <w:sz w:val="18"/>
                <w:szCs w:val="18"/>
              </w:rPr>
              <w:t>0.267</w:t>
            </w:r>
            <w:r w:rsidRPr="007F7192">
              <w:rPr>
                <w:rFonts w:ascii="Arial" w:hAnsi="Arial" w:cs="Arial"/>
                <w:sz w:val="18"/>
                <w:szCs w:val="18"/>
              </w:rPr>
              <w:t xml:space="preserve"> USD</w:t>
            </w:r>
          </w:p>
        </w:tc>
      </w:tr>
      <w:tr w:rsidR="001F0CD5" w:rsidRPr="007F7192" w14:paraId="249652EA" w14:textId="77777777" w:rsidTr="009A3CDC">
        <w:trPr>
          <w:jc w:val="center"/>
        </w:trPr>
        <w:tc>
          <w:tcPr>
            <w:tcW w:w="0" w:type="auto"/>
          </w:tcPr>
          <w:p w14:paraId="1C55C380" w14:textId="77777777" w:rsidR="001F0CD5" w:rsidRPr="007F7192" w:rsidRDefault="001F0CD5" w:rsidP="009A3CDC">
            <w:pPr>
              <w:jc w:val="center"/>
              <w:rPr>
                <w:rFonts w:ascii="Arial" w:hAnsi="Arial" w:cs="Arial"/>
                <w:sz w:val="18"/>
                <w:szCs w:val="18"/>
              </w:rPr>
            </w:pPr>
            <w:r w:rsidRPr="007F7192">
              <w:rPr>
                <w:rFonts w:ascii="Arial" w:hAnsi="Arial" w:cs="Arial"/>
                <w:sz w:val="18"/>
                <w:szCs w:val="18"/>
              </w:rPr>
              <w:t>1 € (EUR)</w:t>
            </w:r>
          </w:p>
        </w:tc>
        <w:tc>
          <w:tcPr>
            <w:tcW w:w="0" w:type="auto"/>
          </w:tcPr>
          <w:p w14:paraId="2139D8AC" w14:textId="77777777" w:rsidR="001F0CD5" w:rsidRPr="007F7192" w:rsidRDefault="001F0CD5" w:rsidP="009A3CDC">
            <w:pPr>
              <w:jc w:val="center"/>
              <w:rPr>
                <w:rFonts w:ascii="Arial" w:hAnsi="Arial" w:cs="Arial"/>
                <w:sz w:val="18"/>
                <w:szCs w:val="18"/>
              </w:rPr>
            </w:pPr>
            <w:r w:rsidRPr="007F7192">
              <w:rPr>
                <w:rFonts w:ascii="Arial" w:hAnsi="Arial" w:cs="Arial"/>
                <w:sz w:val="18"/>
                <w:szCs w:val="18"/>
              </w:rPr>
              <w:t>=</w:t>
            </w:r>
          </w:p>
        </w:tc>
        <w:tc>
          <w:tcPr>
            <w:tcW w:w="0" w:type="auto"/>
          </w:tcPr>
          <w:p w14:paraId="433A09CA" w14:textId="77777777" w:rsidR="001F0CD5" w:rsidRPr="007F7192" w:rsidRDefault="001F0CD5" w:rsidP="009A3CDC">
            <w:pPr>
              <w:jc w:val="center"/>
              <w:rPr>
                <w:rFonts w:ascii="Arial" w:hAnsi="Arial" w:cs="Arial"/>
                <w:sz w:val="18"/>
                <w:szCs w:val="18"/>
              </w:rPr>
            </w:pPr>
            <w:r>
              <w:rPr>
                <w:rFonts w:ascii="Arial" w:hAnsi="Arial" w:cs="Arial"/>
                <w:sz w:val="18"/>
                <w:szCs w:val="18"/>
              </w:rPr>
              <w:t>5.103</w:t>
            </w:r>
            <w:r w:rsidRPr="007F7192">
              <w:rPr>
                <w:rFonts w:ascii="Arial" w:hAnsi="Arial" w:cs="Arial"/>
                <w:sz w:val="18"/>
                <w:szCs w:val="18"/>
              </w:rPr>
              <w:t xml:space="preserve"> </w:t>
            </w:r>
            <w:r>
              <w:rPr>
                <w:rFonts w:ascii="Arial" w:hAnsi="Arial" w:cs="Arial"/>
                <w:sz w:val="18"/>
                <w:szCs w:val="18"/>
              </w:rPr>
              <w:t>riyal</w:t>
            </w:r>
            <w:r w:rsidRPr="007F7192">
              <w:rPr>
                <w:rFonts w:ascii="Arial" w:hAnsi="Arial" w:cs="Arial"/>
                <w:sz w:val="18"/>
                <w:szCs w:val="18"/>
              </w:rPr>
              <w:t xml:space="preserve"> (</w:t>
            </w:r>
            <w:r>
              <w:rPr>
                <w:rFonts w:ascii="Arial" w:hAnsi="Arial" w:cs="Arial"/>
                <w:sz w:val="18"/>
                <w:szCs w:val="18"/>
              </w:rPr>
              <w:t>SR</w:t>
            </w:r>
            <w:r w:rsidRPr="007F7192">
              <w:rPr>
                <w:rFonts w:ascii="Arial" w:hAnsi="Arial" w:cs="Arial"/>
                <w:sz w:val="18"/>
                <w:szCs w:val="18"/>
              </w:rPr>
              <w:t>)</w:t>
            </w:r>
          </w:p>
        </w:tc>
      </w:tr>
      <w:tr w:rsidR="001F0CD5" w:rsidRPr="007F7192" w14:paraId="01ECBA13" w14:textId="77777777" w:rsidTr="009A3CDC">
        <w:trPr>
          <w:jc w:val="center"/>
        </w:trPr>
        <w:tc>
          <w:tcPr>
            <w:tcW w:w="0" w:type="auto"/>
          </w:tcPr>
          <w:p w14:paraId="35F7AE41" w14:textId="77777777" w:rsidR="001F0CD5" w:rsidRPr="007F7192" w:rsidRDefault="001F0CD5" w:rsidP="009A3CDC">
            <w:pPr>
              <w:jc w:val="center"/>
              <w:rPr>
                <w:rFonts w:ascii="Arial" w:hAnsi="Arial" w:cs="Arial"/>
                <w:sz w:val="18"/>
                <w:szCs w:val="18"/>
              </w:rPr>
            </w:pPr>
            <w:r w:rsidRPr="007F7192">
              <w:rPr>
                <w:rFonts w:ascii="Arial" w:hAnsi="Arial" w:cs="Arial"/>
                <w:sz w:val="18"/>
                <w:szCs w:val="18"/>
              </w:rPr>
              <w:t>$1 (USD)</w:t>
            </w:r>
          </w:p>
        </w:tc>
        <w:tc>
          <w:tcPr>
            <w:tcW w:w="0" w:type="auto"/>
          </w:tcPr>
          <w:p w14:paraId="79E4C5E2" w14:textId="77777777" w:rsidR="001F0CD5" w:rsidRPr="007F7192" w:rsidRDefault="001F0CD5" w:rsidP="009A3CDC">
            <w:pPr>
              <w:jc w:val="center"/>
              <w:rPr>
                <w:rFonts w:ascii="Arial" w:hAnsi="Arial" w:cs="Arial"/>
                <w:sz w:val="18"/>
                <w:szCs w:val="18"/>
              </w:rPr>
            </w:pPr>
            <w:r w:rsidRPr="007F7192">
              <w:rPr>
                <w:rFonts w:ascii="Arial" w:hAnsi="Arial" w:cs="Arial"/>
                <w:sz w:val="18"/>
                <w:szCs w:val="18"/>
              </w:rPr>
              <w:t>=</w:t>
            </w:r>
          </w:p>
        </w:tc>
        <w:tc>
          <w:tcPr>
            <w:tcW w:w="0" w:type="auto"/>
          </w:tcPr>
          <w:p w14:paraId="588859E0" w14:textId="77777777" w:rsidR="001F0CD5" w:rsidRPr="007F7192" w:rsidRDefault="001F0CD5" w:rsidP="009A3CDC">
            <w:pPr>
              <w:jc w:val="center"/>
              <w:rPr>
                <w:rFonts w:ascii="Arial" w:hAnsi="Arial" w:cs="Arial"/>
                <w:sz w:val="18"/>
                <w:szCs w:val="18"/>
              </w:rPr>
            </w:pPr>
            <w:r>
              <w:rPr>
                <w:rFonts w:ascii="Arial" w:hAnsi="Arial" w:cs="Arial"/>
                <w:sz w:val="18"/>
                <w:szCs w:val="18"/>
              </w:rPr>
              <w:t>3.75</w:t>
            </w:r>
            <w:r w:rsidRPr="007F7192">
              <w:rPr>
                <w:rFonts w:ascii="Arial" w:hAnsi="Arial" w:cs="Arial"/>
                <w:sz w:val="18"/>
                <w:szCs w:val="18"/>
              </w:rPr>
              <w:t xml:space="preserve"> </w:t>
            </w:r>
            <w:r>
              <w:rPr>
                <w:rFonts w:ascii="Arial" w:hAnsi="Arial" w:cs="Arial"/>
                <w:sz w:val="18"/>
                <w:szCs w:val="18"/>
              </w:rPr>
              <w:t>riyal</w:t>
            </w:r>
            <w:r w:rsidRPr="007F7192">
              <w:rPr>
                <w:rFonts w:ascii="Arial" w:hAnsi="Arial" w:cs="Arial"/>
                <w:sz w:val="18"/>
                <w:szCs w:val="18"/>
              </w:rPr>
              <w:t xml:space="preserve"> (</w:t>
            </w:r>
            <w:r>
              <w:rPr>
                <w:rFonts w:ascii="Arial" w:hAnsi="Arial" w:cs="Arial"/>
                <w:sz w:val="18"/>
                <w:szCs w:val="18"/>
              </w:rPr>
              <w:t>SR</w:t>
            </w:r>
            <w:r w:rsidRPr="007F7192">
              <w:rPr>
                <w:rFonts w:ascii="Arial" w:hAnsi="Arial" w:cs="Arial"/>
                <w:sz w:val="18"/>
                <w:szCs w:val="18"/>
              </w:rPr>
              <w:t>)</w:t>
            </w:r>
          </w:p>
        </w:tc>
      </w:tr>
    </w:tbl>
    <w:p w14:paraId="71AB1A41" w14:textId="77777777" w:rsidR="001F0CD5" w:rsidRDefault="001F0CD5">
      <w:pPr>
        <w:rPr>
          <w:kern w:val="28"/>
          <w:sz w:val="18"/>
        </w:rPr>
      </w:pPr>
      <w:r>
        <w:rPr>
          <w:kern w:val="28"/>
          <w:sz w:val="18"/>
        </w:rPr>
        <w:br w:type="page"/>
      </w:r>
    </w:p>
    <w:p w14:paraId="4C1B2806" w14:textId="77777777" w:rsidR="00F06AC7" w:rsidRPr="005A1E6B" w:rsidRDefault="00F06AC7" w:rsidP="005A1E6B">
      <w:pPr>
        <w:spacing w:before="0" w:after="0"/>
        <w:ind w:right="-23"/>
        <w:rPr>
          <w:kern w:val="28"/>
          <w:sz w:val="18"/>
        </w:rPr>
      </w:pPr>
    </w:p>
    <w:p w14:paraId="48DB5B0D" w14:textId="77777777" w:rsidR="00842222" w:rsidRPr="00D36C70" w:rsidRDefault="00842222" w:rsidP="00842222">
      <w:pPr>
        <w:pStyle w:val="Title"/>
      </w:pPr>
      <w:r>
        <w:t xml:space="preserve">Outcome Evaluation:  </w:t>
      </w:r>
      <w:r w:rsidRPr="00D36C70">
        <w:t>Social Empowerment and Institutional Strengthening with Emphasis on Youth</w:t>
      </w:r>
    </w:p>
    <w:p w14:paraId="2240D8A4" w14:textId="77777777" w:rsidR="004A0A24" w:rsidRDefault="00842222" w:rsidP="00842222">
      <w:pPr>
        <w:pStyle w:val="Subtitle"/>
      </w:pPr>
      <w:r>
        <w:t>UNDP Saudi Arabia, Mid-term CPD 2012-2016</w:t>
      </w:r>
    </w:p>
    <w:sdt>
      <w:sdtPr>
        <w:rPr>
          <w:rFonts w:ascii="Sylfaen" w:eastAsiaTheme="minorHAnsi" w:hAnsi="Sylfaen" w:cstheme="minorBidi"/>
          <w:b w:val="0"/>
          <w:bCs w:val="0"/>
          <w:color w:val="auto"/>
          <w:sz w:val="22"/>
          <w:szCs w:val="22"/>
          <w:lang w:val="en-GB"/>
        </w:rPr>
        <w:id w:val="22483707"/>
        <w:docPartObj>
          <w:docPartGallery w:val="Table of Contents"/>
          <w:docPartUnique/>
        </w:docPartObj>
      </w:sdtPr>
      <w:sdtEndPr/>
      <w:sdtContent>
        <w:p w14:paraId="2CC3DA08" w14:textId="77777777" w:rsidR="00A351AA" w:rsidRDefault="00A351AA">
          <w:pPr>
            <w:pStyle w:val="TOCHeading"/>
          </w:pPr>
          <w:r>
            <w:t>Contents</w:t>
          </w:r>
        </w:p>
        <w:p w14:paraId="1FEEC28A" w14:textId="77777777" w:rsidR="009B4467" w:rsidRDefault="00D209A5">
          <w:pPr>
            <w:pStyle w:val="TOC1"/>
            <w:tabs>
              <w:tab w:val="right" w:leader="dot" w:pos="9132"/>
            </w:tabs>
            <w:rPr>
              <w:rFonts w:asciiTheme="minorHAnsi" w:eastAsiaTheme="minorEastAsia" w:hAnsiTheme="minorHAnsi"/>
              <w:noProof/>
              <w:lang w:eastAsia="en-GB"/>
            </w:rPr>
          </w:pPr>
          <w:r>
            <w:fldChar w:fldCharType="begin"/>
          </w:r>
          <w:r w:rsidR="003E617F">
            <w:instrText xml:space="preserve"> TOC \o "1-4" \h \z \u </w:instrText>
          </w:r>
          <w:r>
            <w:fldChar w:fldCharType="separate"/>
          </w:r>
          <w:hyperlink w:anchor="_Toc399078738" w:history="1">
            <w:r w:rsidR="009B4467" w:rsidRPr="001D60E3">
              <w:rPr>
                <w:rStyle w:val="Hyperlink"/>
                <w:noProof/>
              </w:rPr>
              <w:t>Abbreviations</w:t>
            </w:r>
            <w:r w:rsidR="009B4467">
              <w:rPr>
                <w:noProof/>
                <w:webHidden/>
              </w:rPr>
              <w:tab/>
            </w:r>
            <w:r w:rsidR="009B4467">
              <w:rPr>
                <w:noProof/>
                <w:webHidden/>
              </w:rPr>
              <w:fldChar w:fldCharType="begin"/>
            </w:r>
            <w:r w:rsidR="009B4467">
              <w:rPr>
                <w:noProof/>
                <w:webHidden/>
              </w:rPr>
              <w:instrText xml:space="preserve"> PAGEREF _Toc399078738 \h </w:instrText>
            </w:r>
            <w:r w:rsidR="009B4467">
              <w:rPr>
                <w:noProof/>
                <w:webHidden/>
              </w:rPr>
            </w:r>
            <w:r w:rsidR="009B4467">
              <w:rPr>
                <w:noProof/>
                <w:webHidden/>
              </w:rPr>
              <w:fldChar w:fldCharType="separate"/>
            </w:r>
            <w:r w:rsidR="009B4467">
              <w:rPr>
                <w:noProof/>
                <w:webHidden/>
              </w:rPr>
              <w:t>6</w:t>
            </w:r>
            <w:r w:rsidR="009B4467">
              <w:rPr>
                <w:noProof/>
                <w:webHidden/>
              </w:rPr>
              <w:fldChar w:fldCharType="end"/>
            </w:r>
          </w:hyperlink>
        </w:p>
        <w:p w14:paraId="25A9E4D4" w14:textId="77777777" w:rsidR="009B4467" w:rsidRDefault="00111A09">
          <w:pPr>
            <w:pStyle w:val="TOC1"/>
            <w:tabs>
              <w:tab w:val="right" w:leader="dot" w:pos="9132"/>
            </w:tabs>
            <w:rPr>
              <w:rFonts w:asciiTheme="minorHAnsi" w:eastAsiaTheme="minorEastAsia" w:hAnsiTheme="minorHAnsi"/>
              <w:noProof/>
              <w:lang w:eastAsia="en-GB"/>
            </w:rPr>
          </w:pPr>
          <w:hyperlink w:anchor="_Toc399078739" w:history="1">
            <w:r w:rsidR="009B4467" w:rsidRPr="001D60E3">
              <w:rPr>
                <w:rStyle w:val="Hyperlink"/>
                <w:noProof/>
              </w:rPr>
              <w:t>Executive Summary</w:t>
            </w:r>
            <w:r w:rsidR="009B4467">
              <w:rPr>
                <w:noProof/>
                <w:webHidden/>
              </w:rPr>
              <w:tab/>
            </w:r>
            <w:r w:rsidR="009B4467">
              <w:rPr>
                <w:noProof/>
                <w:webHidden/>
              </w:rPr>
              <w:fldChar w:fldCharType="begin"/>
            </w:r>
            <w:r w:rsidR="009B4467">
              <w:rPr>
                <w:noProof/>
                <w:webHidden/>
              </w:rPr>
              <w:instrText xml:space="preserve"> PAGEREF _Toc399078739 \h </w:instrText>
            </w:r>
            <w:r w:rsidR="009B4467">
              <w:rPr>
                <w:noProof/>
                <w:webHidden/>
              </w:rPr>
            </w:r>
            <w:r w:rsidR="009B4467">
              <w:rPr>
                <w:noProof/>
                <w:webHidden/>
              </w:rPr>
              <w:fldChar w:fldCharType="separate"/>
            </w:r>
            <w:r w:rsidR="009B4467">
              <w:rPr>
                <w:noProof/>
                <w:webHidden/>
              </w:rPr>
              <w:t>7</w:t>
            </w:r>
            <w:r w:rsidR="009B4467">
              <w:rPr>
                <w:noProof/>
                <w:webHidden/>
              </w:rPr>
              <w:fldChar w:fldCharType="end"/>
            </w:r>
          </w:hyperlink>
        </w:p>
        <w:p w14:paraId="01BC5171" w14:textId="77777777" w:rsidR="009B4467" w:rsidRDefault="00111A09">
          <w:pPr>
            <w:pStyle w:val="TOC1"/>
            <w:tabs>
              <w:tab w:val="left" w:pos="440"/>
              <w:tab w:val="right" w:leader="dot" w:pos="9132"/>
            </w:tabs>
            <w:rPr>
              <w:rFonts w:asciiTheme="minorHAnsi" w:eastAsiaTheme="minorEastAsia" w:hAnsiTheme="minorHAnsi"/>
              <w:noProof/>
              <w:lang w:eastAsia="en-GB"/>
            </w:rPr>
          </w:pPr>
          <w:hyperlink w:anchor="_Toc399078740" w:history="1">
            <w:r w:rsidR="009B4467" w:rsidRPr="001D60E3">
              <w:rPr>
                <w:rStyle w:val="Hyperlink"/>
                <w:noProof/>
              </w:rPr>
              <w:t>1</w:t>
            </w:r>
            <w:r w:rsidR="009B4467">
              <w:rPr>
                <w:rFonts w:asciiTheme="minorHAnsi" w:eastAsiaTheme="minorEastAsia" w:hAnsiTheme="minorHAnsi"/>
                <w:noProof/>
                <w:lang w:eastAsia="en-GB"/>
              </w:rPr>
              <w:tab/>
            </w:r>
            <w:r w:rsidR="009B4467" w:rsidRPr="001D60E3">
              <w:rPr>
                <w:rStyle w:val="Hyperlink"/>
                <w:noProof/>
              </w:rPr>
              <w:t>Introduction:  Context of the Country Programme (2012-2016)</w:t>
            </w:r>
            <w:r w:rsidR="009B4467">
              <w:rPr>
                <w:noProof/>
                <w:webHidden/>
              </w:rPr>
              <w:tab/>
            </w:r>
            <w:r w:rsidR="009B4467">
              <w:rPr>
                <w:noProof/>
                <w:webHidden/>
              </w:rPr>
              <w:fldChar w:fldCharType="begin"/>
            </w:r>
            <w:r w:rsidR="009B4467">
              <w:rPr>
                <w:noProof/>
                <w:webHidden/>
              </w:rPr>
              <w:instrText xml:space="preserve"> PAGEREF _Toc399078740 \h </w:instrText>
            </w:r>
            <w:r w:rsidR="009B4467">
              <w:rPr>
                <w:noProof/>
                <w:webHidden/>
              </w:rPr>
            </w:r>
            <w:r w:rsidR="009B4467">
              <w:rPr>
                <w:noProof/>
                <w:webHidden/>
              </w:rPr>
              <w:fldChar w:fldCharType="separate"/>
            </w:r>
            <w:r w:rsidR="009B4467">
              <w:rPr>
                <w:noProof/>
                <w:webHidden/>
              </w:rPr>
              <w:t>13</w:t>
            </w:r>
            <w:r w:rsidR="009B4467">
              <w:rPr>
                <w:noProof/>
                <w:webHidden/>
              </w:rPr>
              <w:fldChar w:fldCharType="end"/>
            </w:r>
          </w:hyperlink>
        </w:p>
        <w:p w14:paraId="308D06E9"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41" w:history="1">
            <w:r w:rsidR="009B4467" w:rsidRPr="001D60E3">
              <w:rPr>
                <w:rStyle w:val="Hyperlink"/>
                <w:noProof/>
              </w:rPr>
              <w:t>1.1</w:t>
            </w:r>
            <w:r w:rsidR="009B4467">
              <w:rPr>
                <w:rFonts w:asciiTheme="minorHAnsi" w:eastAsiaTheme="minorEastAsia" w:hAnsiTheme="minorHAnsi"/>
                <w:noProof/>
                <w:lang w:eastAsia="en-GB"/>
              </w:rPr>
              <w:tab/>
            </w:r>
            <w:r w:rsidR="009B4467" w:rsidRPr="001D60E3">
              <w:rPr>
                <w:rStyle w:val="Hyperlink"/>
                <w:noProof/>
              </w:rPr>
              <w:t>KSA national goals</w:t>
            </w:r>
            <w:r w:rsidR="009B4467">
              <w:rPr>
                <w:noProof/>
                <w:webHidden/>
              </w:rPr>
              <w:tab/>
            </w:r>
            <w:r w:rsidR="009B4467">
              <w:rPr>
                <w:noProof/>
                <w:webHidden/>
              </w:rPr>
              <w:fldChar w:fldCharType="begin"/>
            </w:r>
            <w:r w:rsidR="009B4467">
              <w:rPr>
                <w:noProof/>
                <w:webHidden/>
              </w:rPr>
              <w:instrText xml:space="preserve"> PAGEREF _Toc399078741 \h </w:instrText>
            </w:r>
            <w:r w:rsidR="009B4467">
              <w:rPr>
                <w:noProof/>
                <w:webHidden/>
              </w:rPr>
            </w:r>
            <w:r w:rsidR="009B4467">
              <w:rPr>
                <w:noProof/>
                <w:webHidden/>
              </w:rPr>
              <w:fldChar w:fldCharType="separate"/>
            </w:r>
            <w:r w:rsidR="009B4467">
              <w:rPr>
                <w:noProof/>
                <w:webHidden/>
              </w:rPr>
              <w:t>14</w:t>
            </w:r>
            <w:r w:rsidR="009B4467">
              <w:rPr>
                <w:noProof/>
                <w:webHidden/>
              </w:rPr>
              <w:fldChar w:fldCharType="end"/>
            </w:r>
          </w:hyperlink>
        </w:p>
        <w:p w14:paraId="2D4EEE97"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42" w:history="1">
            <w:r w:rsidR="009B4467" w:rsidRPr="001D60E3">
              <w:rPr>
                <w:rStyle w:val="Hyperlink"/>
                <w:noProof/>
              </w:rPr>
              <w:t>1.2</w:t>
            </w:r>
            <w:r w:rsidR="009B4467">
              <w:rPr>
                <w:rFonts w:asciiTheme="minorHAnsi" w:eastAsiaTheme="minorEastAsia" w:hAnsiTheme="minorHAnsi"/>
                <w:noProof/>
                <w:lang w:eastAsia="en-GB"/>
              </w:rPr>
              <w:tab/>
            </w:r>
            <w:r w:rsidR="009B4467" w:rsidRPr="001D60E3">
              <w:rPr>
                <w:rStyle w:val="Hyperlink"/>
                <w:noProof/>
              </w:rPr>
              <w:t>KSA UNCCSF</w:t>
            </w:r>
            <w:r w:rsidR="009B4467">
              <w:rPr>
                <w:noProof/>
                <w:webHidden/>
              </w:rPr>
              <w:tab/>
            </w:r>
            <w:r w:rsidR="009B4467">
              <w:rPr>
                <w:noProof/>
                <w:webHidden/>
              </w:rPr>
              <w:fldChar w:fldCharType="begin"/>
            </w:r>
            <w:r w:rsidR="009B4467">
              <w:rPr>
                <w:noProof/>
                <w:webHidden/>
              </w:rPr>
              <w:instrText xml:space="preserve"> PAGEREF _Toc399078742 \h </w:instrText>
            </w:r>
            <w:r w:rsidR="009B4467">
              <w:rPr>
                <w:noProof/>
                <w:webHidden/>
              </w:rPr>
            </w:r>
            <w:r w:rsidR="009B4467">
              <w:rPr>
                <w:noProof/>
                <w:webHidden/>
              </w:rPr>
              <w:fldChar w:fldCharType="separate"/>
            </w:r>
            <w:r w:rsidR="009B4467">
              <w:rPr>
                <w:noProof/>
                <w:webHidden/>
              </w:rPr>
              <w:t>14</w:t>
            </w:r>
            <w:r w:rsidR="009B4467">
              <w:rPr>
                <w:noProof/>
                <w:webHidden/>
              </w:rPr>
              <w:fldChar w:fldCharType="end"/>
            </w:r>
          </w:hyperlink>
        </w:p>
        <w:p w14:paraId="4823EE72"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43" w:history="1">
            <w:r w:rsidR="009B4467" w:rsidRPr="001D60E3">
              <w:rPr>
                <w:rStyle w:val="Hyperlink"/>
                <w:noProof/>
              </w:rPr>
              <w:t>1.3</w:t>
            </w:r>
            <w:r w:rsidR="009B4467">
              <w:rPr>
                <w:rFonts w:asciiTheme="minorHAnsi" w:eastAsiaTheme="minorEastAsia" w:hAnsiTheme="minorHAnsi"/>
                <w:noProof/>
                <w:lang w:eastAsia="en-GB"/>
              </w:rPr>
              <w:tab/>
            </w:r>
            <w:r w:rsidR="009B4467" w:rsidRPr="001D60E3">
              <w:rPr>
                <w:rStyle w:val="Hyperlink"/>
                <w:noProof/>
              </w:rPr>
              <w:t>Global UNDP Strategic Plan</w:t>
            </w:r>
            <w:r w:rsidR="009B4467">
              <w:rPr>
                <w:noProof/>
                <w:webHidden/>
              </w:rPr>
              <w:tab/>
            </w:r>
            <w:r w:rsidR="009B4467">
              <w:rPr>
                <w:noProof/>
                <w:webHidden/>
              </w:rPr>
              <w:fldChar w:fldCharType="begin"/>
            </w:r>
            <w:r w:rsidR="009B4467">
              <w:rPr>
                <w:noProof/>
                <w:webHidden/>
              </w:rPr>
              <w:instrText xml:space="preserve"> PAGEREF _Toc399078743 \h </w:instrText>
            </w:r>
            <w:r w:rsidR="009B4467">
              <w:rPr>
                <w:noProof/>
                <w:webHidden/>
              </w:rPr>
            </w:r>
            <w:r w:rsidR="009B4467">
              <w:rPr>
                <w:noProof/>
                <w:webHidden/>
              </w:rPr>
              <w:fldChar w:fldCharType="separate"/>
            </w:r>
            <w:r w:rsidR="009B4467">
              <w:rPr>
                <w:noProof/>
                <w:webHidden/>
              </w:rPr>
              <w:t>14</w:t>
            </w:r>
            <w:r w:rsidR="009B4467">
              <w:rPr>
                <w:noProof/>
                <w:webHidden/>
              </w:rPr>
              <w:fldChar w:fldCharType="end"/>
            </w:r>
          </w:hyperlink>
        </w:p>
        <w:p w14:paraId="257F7238"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44" w:history="1">
            <w:r w:rsidR="009B4467" w:rsidRPr="001D60E3">
              <w:rPr>
                <w:rStyle w:val="Hyperlink"/>
                <w:noProof/>
              </w:rPr>
              <w:t>1.4</w:t>
            </w:r>
            <w:r w:rsidR="009B4467">
              <w:rPr>
                <w:rFonts w:asciiTheme="minorHAnsi" w:eastAsiaTheme="minorEastAsia" w:hAnsiTheme="minorHAnsi"/>
                <w:noProof/>
                <w:lang w:eastAsia="en-GB"/>
              </w:rPr>
              <w:tab/>
            </w:r>
            <w:r w:rsidR="009B4467" w:rsidRPr="001D60E3">
              <w:rPr>
                <w:rStyle w:val="Hyperlink"/>
                <w:noProof/>
              </w:rPr>
              <w:t>UNDP-KSA Country Programme</w:t>
            </w:r>
            <w:r w:rsidR="009B4467">
              <w:rPr>
                <w:noProof/>
                <w:webHidden/>
              </w:rPr>
              <w:tab/>
            </w:r>
            <w:r w:rsidR="009B4467">
              <w:rPr>
                <w:noProof/>
                <w:webHidden/>
              </w:rPr>
              <w:fldChar w:fldCharType="begin"/>
            </w:r>
            <w:r w:rsidR="009B4467">
              <w:rPr>
                <w:noProof/>
                <w:webHidden/>
              </w:rPr>
              <w:instrText xml:space="preserve"> PAGEREF _Toc399078744 \h </w:instrText>
            </w:r>
            <w:r w:rsidR="009B4467">
              <w:rPr>
                <w:noProof/>
                <w:webHidden/>
              </w:rPr>
            </w:r>
            <w:r w:rsidR="009B4467">
              <w:rPr>
                <w:noProof/>
                <w:webHidden/>
              </w:rPr>
              <w:fldChar w:fldCharType="separate"/>
            </w:r>
            <w:r w:rsidR="009B4467">
              <w:rPr>
                <w:noProof/>
                <w:webHidden/>
              </w:rPr>
              <w:t>14</w:t>
            </w:r>
            <w:r w:rsidR="009B4467">
              <w:rPr>
                <w:noProof/>
                <w:webHidden/>
              </w:rPr>
              <w:fldChar w:fldCharType="end"/>
            </w:r>
          </w:hyperlink>
        </w:p>
        <w:p w14:paraId="254D89EA" w14:textId="77777777" w:rsidR="009B4467" w:rsidRDefault="00111A09">
          <w:pPr>
            <w:pStyle w:val="TOC1"/>
            <w:tabs>
              <w:tab w:val="left" w:pos="440"/>
              <w:tab w:val="right" w:leader="dot" w:pos="9132"/>
            </w:tabs>
            <w:rPr>
              <w:rFonts w:asciiTheme="minorHAnsi" w:eastAsiaTheme="minorEastAsia" w:hAnsiTheme="minorHAnsi"/>
              <w:noProof/>
              <w:lang w:eastAsia="en-GB"/>
            </w:rPr>
          </w:pPr>
          <w:hyperlink w:anchor="_Toc399078745" w:history="1">
            <w:r w:rsidR="009B4467" w:rsidRPr="001D60E3">
              <w:rPr>
                <w:rStyle w:val="Hyperlink"/>
                <w:noProof/>
              </w:rPr>
              <w:t>2</w:t>
            </w:r>
            <w:r w:rsidR="009B4467">
              <w:rPr>
                <w:rFonts w:asciiTheme="minorHAnsi" w:eastAsiaTheme="minorEastAsia" w:hAnsiTheme="minorHAnsi"/>
                <w:noProof/>
                <w:lang w:eastAsia="en-GB"/>
              </w:rPr>
              <w:tab/>
            </w:r>
            <w:r w:rsidR="009B4467" w:rsidRPr="001D60E3">
              <w:rPr>
                <w:rStyle w:val="Hyperlink"/>
                <w:noProof/>
              </w:rPr>
              <w:t>Status of the Outcome</w:t>
            </w:r>
            <w:r w:rsidR="009B4467">
              <w:rPr>
                <w:noProof/>
                <w:webHidden/>
              </w:rPr>
              <w:tab/>
            </w:r>
            <w:r w:rsidR="009B4467">
              <w:rPr>
                <w:noProof/>
                <w:webHidden/>
              </w:rPr>
              <w:fldChar w:fldCharType="begin"/>
            </w:r>
            <w:r w:rsidR="009B4467">
              <w:rPr>
                <w:noProof/>
                <w:webHidden/>
              </w:rPr>
              <w:instrText xml:space="preserve"> PAGEREF _Toc399078745 \h </w:instrText>
            </w:r>
            <w:r w:rsidR="009B4467">
              <w:rPr>
                <w:noProof/>
                <w:webHidden/>
              </w:rPr>
            </w:r>
            <w:r w:rsidR="009B4467">
              <w:rPr>
                <w:noProof/>
                <w:webHidden/>
              </w:rPr>
              <w:fldChar w:fldCharType="separate"/>
            </w:r>
            <w:r w:rsidR="009B4467">
              <w:rPr>
                <w:noProof/>
                <w:webHidden/>
              </w:rPr>
              <w:t>15</w:t>
            </w:r>
            <w:r w:rsidR="009B4467">
              <w:rPr>
                <w:noProof/>
                <w:webHidden/>
              </w:rPr>
              <w:fldChar w:fldCharType="end"/>
            </w:r>
          </w:hyperlink>
        </w:p>
        <w:p w14:paraId="2AB098FF"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46" w:history="1">
            <w:r w:rsidR="009B4467" w:rsidRPr="001D60E3">
              <w:rPr>
                <w:rStyle w:val="Hyperlink"/>
                <w:noProof/>
              </w:rPr>
              <w:t>2.1</w:t>
            </w:r>
            <w:r w:rsidR="009B4467">
              <w:rPr>
                <w:rFonts w:asciiTheme="minorHAnsi" w:eastAsiaTheme="minorEastAsia" w:hAnsiTheme="minorHAnsi"/>
                <w:noProof/>
                <w:lang w:eastAsia="en-GB"/>
              </w:rPr>
              <w:tab/>
            </w:r>
            <w:r w:rsidR="009B4467" w:rsidRPr="001D60E3">
              <w:rPr>
                <w:rStyle w:val="Hyperlink"/>
                <w:noProof/>
              </w:rPr>
              <w:t>The demographic setting – youthful population</w:t>
            </w:r>
            <w:r w:rsidR="009B4467">
              <w:rPr>
                <w:noProof/>
                <w:webHidden/>
              </w:rPr>
              <w:tab/>
            </w:r>
            <w:r w:rsidR="009B4467">
              <w:rPr>
                <w:noProof/>
                <w:webHidden/>
              </w:rPr>
              <w:fldChar w:fldCharType="begin"/>
            </w:r>
            <w:r w:rsidR="009B4467">
              <w:rPr>
                <w:noProof/>
                <w:webHidden/>
              </w:rPr>
              <w:instrText xml:space="preserve"> PAGEREF _Toc399078746 \h </w:instrText>
            </w:r>
            <w:r w:rsidR="009B4467">
              <w:rPr>
                <w:noProof/>
                <w:webHidden/>
              </w:rPr>
            </w:r>
            <w:r w:rsidR="009B4467">
              <w:rPr>
                <w:noProof/>
                <w:webHidden/>
              </w:rPr>
              <w:fldChar w:fldCharType="separate"/>
            </w:r>
            <w:r w:rsidR="009B4467">
              <w:rPr>
                <w:noProof/>
                <w:webHidden/>
              </w:rPr>
              <w:t>16</w:t>
            </w:r>
            <w:r w:rsidR="009B4467">
              <w:rPr>
                <w:noProof/>
                <w:webHidden/>
              </w:rPr>
              <w:fldChar w:fldCharType="end"/>
            </w:r>
          </w:hyperlink>
        </w:p>
        <w:p w14:paraId="53EA30F3"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47" w:history="1">
            <w:r w:rsidR="009B4467" w:rsidRPr="001D60E3">
              <w:rPr>
                <w:rStyle w:val="Hyperlink"/>
                <w:noProof/>
              </w:rPr>
              <w:t>3.2</w:t>
            </w:r>
            <w:r w:rsidR="009B4467">
              <w:rPr>
                <w:rFonts w:asciiTheme="minorHAnsi" w:eastAsiaTheme="minorEastAsia" w:hAnsiTheme="minorHAnsi"/>
                <w:noProof/>
                <w:lang w:eastAsia="en-GB"/>
              </w:rPr>
              <w:tab/>
            </w:r>
            <w:r w:rsidR="009B4467" w:rsidRPr="001D60E3">
              <w:rPr>
                <w:rStyle w:val="Hyperlink"/>
                <w:noProof/>
              </w:rPr>
              <w:t>Unemployment among youth</w:t>
            </w:r>
            <w:r w:rsidR="009B4467">
              <w:rPr>
                <w:noProof/>
                <w:webHidden/>
              </w:rPr>
              <w:tab/>
            </w:r>
            <w:r w:rsidR="009B4467">
              <w:rPr>
                <w:noProof/>
                <w:webHidden/>
              </w:rPr>
              <w:fldChar w:fldCharType="begin"/>
            </w:r>
            <w:r w:rsidR="009B4467">
              <w:rPr>
                <w:noProof/>
                <w:webHidden/>
              </w:rPr>
              <w:instrText xml:space="preserve"> PAGEREF _Toc399078747 \h </w:instrText>
            </w:r>
            <w:r w:rsidR="009B4467">
              <w:rPr>
                <w:noProof/>
                <w:webHidden/>
              </w:rPr>
            </w:r>
            <w:r w:rsidR="009B4467">
              <w:rPr>
                <w:noProof/>
                <w:webHidden/>
              </w:rPr>
              <w:fldChar w:fldCharType="separate"/>
            </w:r>
            <w:r w:rsidR="009B4467">
              <w:rPr>
                <w:noProof/>
                <w:webHidden/>
              </w:rPr>
              <w:t>18</w:t>
            </w:r>
            <w:r w:rsidR="009B4467">
              <w:rPr>
                <w:noProof/>
                <w:webHidden/>
              </w:rPr>
              <w:fldChar w:fldCharType="end"/>
            </w:r>
          </w:hyperlink>
        </w:p>
        <w:p w14:paraId="5A64AA99"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48" w:history="1">
            <w:r w:rsidR="009B4467" w:rsidRPr="001D60E3">
              <w:rPr>
                <w:rStyle w:val="Hyperlink"/>
                <w:noProof/>
              </w:rPr>
              <w:t>3.3</w:t>
            </w:r>
            <w:r w:rsidR="009B4467">
              <w:rPr>
                <w:rFonts w:asciiTheme="minorHAnsi" w:eastAsiaTheme="minorEastAsia" w:hAnsiTheme="minorHAnsi"/>
                <w:noProof/>
                <w:lang w:eastAsia="en-GB"/>
              </w:rPr>
              <w:tab/>
            </w:r>
            <w:r w:rsidR="009B4467" w:rsidRPr="001D60E3">
              <w:rPr>
                <w:rStyle w:val="Hyperlink"/>
                <w:noProof/>
              </w:rPr>
              <w:t>Situation of women</w:t>
            </w:r>
            <w:r w:rsidR="009B4467">
              <w:rPr>
                <w:noProof/>
                <w:webHidden/>
              </w:rPr>
              <w:tab/>
            </w:r>
            <w:r w:rsidR="009B4467">
              <w:rPr>
                <w:noProof/>
                <w:webHidden/>
              </w:rPr>
              <w:fldChar w:fldCharType="begin"/>
            </w:r>
            <w:r w:rsidR="009B4467">
              <w:rPr>
                <w:noProof/>
                <w:webHidden/>
              </w:rPr>
              <w:instrText xml:space="preserve"> PAGEREF _Toc399078748 \h </w:instrText>
            </w:r>
            <w:r w:rsidR="009B4467">
              <w:rPr>
                <w:noProof/>
                <w:webHidden/>
              </w:rPr>
            </w:r>
            <w:r w:rsidR="009B4467">
              <w:rPr>
                <w:noProof/>
                <w:webHidden/>
              </w:rPr>
              <w:fldChar w:fldCharType="separate"/>
            </w:r>
            <w:r w:rsidR="009B4467">
              <w:rPr>
                <w:noProof/>
                <w:webHidden/>
              </w:rPr>
              <w:t>20</w:t>
            </w:r>
            <w:r w:rsidR="009B4467">
              <w:rPr>
                <w:noProof/>
                <w:webHidden/>
              </w:rPr>
              <w:fldChar w:fldCharType="end"/>
            </w:r>
          </w:hyperlink>
        </w:p>
        <w:p w14:paraId="62F1A4FE" w14:textId="77777777" w:rsidR="009B4467" w:rsidRDefault="00111A09">
          <w:pPr>
            <w:pStyle w:val="TOC1"/>
            <w:tabs>
              <w:tab w:val="left" w:pos="440"/>
              <w:tab w:val="right" w:leader="dot" w:pos="9132"/>
            </w:tabs>
            <w:rPr>
              <w:rFonts w:asciiTheme="minorHAnsi" w:eastAsiaTheme="minorEastAsia" w:hAnsiTheme="minorHAnsi"/>
              <w:noProof/>
              <w:lang w:eastAsia="en-GB"/>
            </w:rPr>
          </w:pPr>
          <w:hyperlink w:anchor="_Toc399078749" w:history="1">
            <w:r w:rsidR="009B4467" w:rsidRPr="001D60E3">
              <w:rPr>
                <w:rStyle w:val="Hyperlink"/>
                <w:noProof/>
              </w:rPr>
              <w:t>3</w:t>
            </w:r>
            <w:r w:rsidR="009B4467">
              <w:rPr>
                <w:rFonts w:asciiTheme="minorHAnsi" w:eastAsiaTheme="minorEastAsia" w:hAnsiTheme="minorHAnsi"/>
                <w:noProof/>
                <w:lang w:eastAsia="en-GB"/>
              </w:rPr>
              <w:tab/>
            </w:r>
            <w:r w:rsidR="009B4467" w:rsidRPr="001D60E3">
              <w:rPr>
                <w:rStyle w:val="Hyperlink"/>
                <w:noProof/>
              </w:rPr>
              <w:t>Findings of the Outcome Evaluation</w:t>
            </w:r>
            <w:r w:rsidR="009B4467">
              <w:rPr>
                <w:noProof/>
                <w:webHidden/>
              </w:rPr>
              <w:tab/>
            </w:r>
            <w:r w:rsidR="009B4467">
              <w:rPr>
                <w:noProof/>
                <w:webHidden/>
              </w:rPr>
              <w:fldChar w:fldCharType="begin"/>
            </w:r>
            <w:r w:rsidR="009B4467">
              <w:rPr>
                <w:noProof/>
                <w:webHidden/>
              </w:rPr>
              <w:instrText xml:space="preserve"> PAGEREF _Toc399078749 \h </w:instrText>
            </w:r>
            <w:r w:rsidR="009B4467">
              <w:rPr>
                <w:noProof/>
                <w:webHidden/>
              </w:rPr>
            </w:r>
            <w:r w:rsidR="009B4467">
              <w:rPr>
                <w:noProof/>
                <w:webHidden/>
              </w:rPr>
              <w:fldChar w:fldCharType="separate"/>
            </w:r>
            <w:r w:rsidR="009B4467">
              <w:rPr>
                <w:noProof/>
                <w:webHidden/>
              </w:rPr>
              <w:t>22</w:t>
            </w:r>
            <w:r w:rsidR="009B4467">
              <w:rPr>
                <w:noProof/>
                <w:webHidden/>
              </w:rPr>
              <w:fldChar w:fldCharType="end"/>
            </w:r>
          </w:hyperlink>
        </w:p>
        <w:p w14:paraId="6B539650"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50" w:history="1">
            <w:r w:rsidR="009B4467" w:rsidRPr="001D60E3">
              <w:rPr>
                <w:rStyle w:val="Hyperlink"/>
                <w:noProof/>
              </w:rPr>
              <w:t>3.1</w:t>
            </w:r>
            <w:r w:rsidR="009B4467">
              <w:rPr>
                <w:rFonts w:asciiTheme="minorHAnsi" w:eastAsiaTheme="minorEastAsia" w:hAnsiTheme="minorHAnsi"/>
                <w:noProof/>
                <w:lang w:eastAsia="en-GB"/>
              </w:rPr>
              <w:tab/>
            </w:r>
            <w:r w:rsidR="009B4467" w:rsidRPr="001D60E3">
              <w:rPr>
                <w:rStyle w:val="Hyperlink"/>
                <w:noProof/>
              </w:rPr>
              <w:t>Progress towards the Outcome</w:t>
            </w:r>
            <w:r w:rsidR="009B4467">
              <w:rPr>
                <w:noProof/>
                <w:webHidden/>
              </w:rPr>
              <w:tab/>
            </w:r>
            <w:r w:rsidR="009B4467">
              <w:rPr>
                <w:noProof/>
                <w:webHidden/>
              </w:rPr>
              <w:fldChar w:fldCharType="begin"/>
            </w:r>
            <w:r w:rsidR="009B4467">
              <w:rPr>
                <w:noProof/>
                <w:webHidden/>
              </w:rPr>
              <w:instrText xml:space="preserve"> PAGEREF _Toc399078750 \h </w:instrText>
            </w:r>
            <w:r w:rsidR="009B4467">
              <w:rPr>
                <w:noProof/>
                <w:webHidden/>
              </w:rPr>
            </w:r>
            <w:r w:rsidR="009B4467">
              <w:rPr>
                <w:noProof/>
                <w:webHidden/>
              </w:rPr>
              <w:fldChar w:fldCharType="separate"/>
            </w:r>
            <w:r w:rsidR="009B4467">
              <w:rPr>
                <w:noProof/>
                <w:webHidden/>
              </w:rPr>
              <w:t>22</w:t>
            </w:r>
            <w:r w:rsidR="009B4467">
              <w:rPr>
                <w:noProof/>
                <w:webHidden/>
              </w:rPr>
              <w:fldChar w:fldCharType="end"/>
            </w:r>
          </w:hyperlink>
        </w:p>
        <w:p w14:paraId="00BA6670"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51" w:history="1">
            <w:r w:rsidR="009B4467" w:rsidRPr="001D60E3">
              <w:rPr>
                <w:rStyle w:val="Hyperlink"/>
                <w:noProof/>
              </w:rPr>
              <w:t>3.2</w:t>
            </w:r>
            <w:r w:rsidR="009B4467">
              <w:rPr>
                <w:rFonts w:asciiTheme="minorHAnsi" w:eastAsiaTheme="minorEastAsia" w:hAnsiTheme="minorHAnsi"/>
                <w:noProof/>
                <w:lang w:eastAsia="en-GB"/>
              </w:rPr>
              <w:tab/>
            </w:r>
            <w:r w:rsidR="009B4467" w:rsidRPr="001D60E3">
              <w:rPr>
                <w:rStyle w:val="Hyperlink"/>
                <w:noProof/>
              </w:rPr>
              <w:t>Outcome Indicators</w:t>
            </w:r>
            <w:r w:rsidR="009B4467">
              <w:rPr>
                <w:noProof/>
                <w:webHidden/>
              </w:rPr>
              <w:tab/>
            </w:r>
            <w:r w:rsidR="009B4467">
              <w:rPr>
                <w:noProof/>
                <w:webHidden/>
              </w:rPr>
              <w:fldChar w:fldCharType="begin"/>
            </w:r>
            <w:r w:rsidR="009B4467">
              <w:rPr>
                <w:noProof/>
                <w:webHidden/>
              </w:rPr>
              <w:instrText xml:space="preserve"> PAGEREF _Toc399078751 \h </w:instrText>
            </w:r>
            <w:r w:rsidR="009B4467">
              <w:rPr>
                <w:noProof/>
                <w:webHidden/>
              </w:rPr>
            </w:r>
            <w:r w:rsidR="009B4467">
              <w:rPr>
                <w:noProof/>
                <w:webHidden/>
              </w:rPr>
              <w:fldChar w:fldCharType="separate"/>
            </w:r>
            <w:r w:rsidR="009B4467">
              <w:rPr>
                <w:noProof/>
                <w:webHidden/>
              </w:rPr>
              <w:t>22</w:t>
            </w:r>
            <w:r w:rsidR="009B4467">
              <w:rPr>
                <w:noProof/>
                <w:webHidden/>
              </w:rPr>
              <w:fldChar w:fldCharType="end"/>
            </w:r>
          </w:hyperlink>
        </w:p>
        <w:p w14:paraId="09F89568" w14:textId="77777777" w:rsidR="009B4467" w:rsidRDefault="00111A09">
          <w:pPr>
            <w:pStyle w:val="TOC3"/>
            <w:tabs>
              <w:tab w:val="left" w:pos="1320"/>
              <w:tab w:val="right" w:leader="dot" w:pos="9132"/>
            </w:tabs>
            <w:rPr>
              <w:rFonts w:asciiTheme="minorHAnsi" w:eastAsiaTheme="minorEastAsia" w:hAnsiTheme="minorHAnsi"/>
              <w:noProof/>
              <w:lang w:eastAsia="en-GB"/>
            </w:rPr>
          </w:pPr>
          <w:hyperlink w:anchor="_Toc399078752" w:history="1">
            <w:r w:rsidR="009B4467" w:rsidRPr="001D60E3">
              <w:rPr>
                <w:rStyle w:val="Hyperlink"/>
                <w:noProof/>
                <w:lang w:val="en-CA"/>
              </w:rPr>
              <w:t>3.2.1</w:t>
            </w:r>
            <w:r w:rsidR="009B4467">
              <w:rPr>
                <w:rFonts w:asciiTheme="minorHAnsi" w:eastAsiaTheme="minorEastAsia" w:hAnsiTheme="minorHAnsi"/>
                <w:noProof/>
                <w:lang w:eastAsia="en-GB"/>
              </w:rPr>
              <w:tab/>
            </w:r>
            <w:r w:rsidR="009B4467" w:rsidRPr="001D60E3">
              <w:rPr>
                <w:rStyle w:val="Hyperlink"/>
                <w:noProof/>
                <w:lang w:val="en-CA"/>
              </w:rPr>
              <w:t>Enrolment in higher education:  youth, women</w:t>
            </w:r>
            <w:r w:rsidR="009B4467">
              <w:rPr>
                <w:noProof/>
                <w:webHidden/>
              </w:rPr>
              <w:tab/>
            </w:r>
            <w:r w:rsidR="009B4467">
              <w:rPr>
                <w:noProof/>
                <w:webHidden/>
              </w:rPr>
              <w:fldChar w:fldCharType="begin"/>
            </w:r>
            <w:r w:rsidR="009B4467">
              <w:rPr>
                <w:noProof/>
                <w:webHidden/>
              </w:rPr>
              <w:instrText xml:space="preserve"> PAGEREF _Toc399078752 \h </w:instrText>
            </w:r>
            <w:r w:rsidR="009B4467">
              <w:rPr>
                <w:noProof/>
                <w:webHidden/>
              </w:rPr>
            </w:r>
            <w:r w:rsidR="009B4467">
              <w:rPr>
                <w:noProof/>
                <w:webHidden/>
              </w:rPr>
              <w:fldChar w:fldCharType="separate"/>
            </w:r>
            <w:r w:rsidR="009B4467">
              <w:rPr>
                <w:noProof/>
                <w:webHidden/>
              </w:rPr>
              <w:t>25</w:t>
            </w:r>
            <w:r w:rsidR="009B4467">
              <w:rPr>
                <w:noProof/>
                <w:webHidden/>
              </w:rPr>
              <w:fldChar w:fldCharType="end"/>
            </w:r>
          </w:hyperlink>
        </w:p>
        <w:p w14:paraId="20886B89" w14:textId="77777777" w:rsidR="009B4467" w:rsidRDefault="00111A09">
          <w:pPr>
            <w:pStyle w:val="TOC3"/>
            <w:tabs>
              <w:tab w:val="left" w:pos="1320"/>
              <w:tab w:val="right" w:leader="dot" w:pos="9132"/>
            </w:tabs>
            <w:rPr>
              <w:rFonts w:asciiTheme="minorHAnsi" w:eastAsiaTheme="minorEastAsia" w:hAnsiTheme="minorHAnsi"/>
              <w:noProof/>
              <w:lang w:eastAsia="en-GB"/>
            </w:rPr>
          </w:pPr>
          <w:hyperlink w:anchor="_Toc399078753" w:history="1">
            <w:r w:rsidR="009B4467" w:rsidRPr="001D60E3">
              <w:rPr>
                <w:rStyle w:val="Hyperlink"/>
                <w:noProof/>
                <w:lang w:val="en-CA"/>
              </w:rPr>
              <w:t>3.2.2</w:t>
            </w:r>
            <w:r w:rsidR="009B4467">
              <w:rPr>
                <w:rFonts w:asciiTheme="minorHAnsi" w:eastAsiaTheme="minorEastAsia" w:hAnsiTheme="minorHAnsi"/>
                <w:noProof/>
                <w:lang w:eastAsia="en-GB"/>
              </w:rPr>
              <w:tab/>
            </w:r>
            <w:r w:rsidR="009B4467" w:rsidRPr="001D60E3">
              <w:rPr>
                <w:rStyle w:val="Hyperlink"/>
                <w:noProof/>
                <w:lang w:val="en-CA"/>
              </w:rPr>
              <w:t>Unemployment:  youth, women</w:t>
            </w:r>
            <w:r w:rsidR="009B4467">
              <w:rPr>
                <w:noProof/>
                <w:webHidden/>
              </w:rPr>
              <w:tab/>
            </w:r>
            <w:r w:rsidR="009B4467">
              <w:rPr>
                <w:noProof/>
                <w:webHidden/>
              </w:rPr>
              <w:fldChar w:fldCharType="begin"/>
            </w:r>
            <w:r w:rsidR="009B4467">
              <w:rPr>
                <w:noProof/>
                <w:webHidden/>
              </w:rPr>
              <w:instrText xml:space="preserve"> PAGEREF _Toc399078753 \h </w:instrText>
            </w:r>
            <w:r w:rsidR="009B4467">
              <w:rPr>
                <w:noProof/>
                <w:webHidden/>
              </w:rPr>
            </w:r>
            <w:r w:rsidR="009B4467">
              <w:rPr>
                <w:noProof/>
                <w:webHidden/>
              </w:rPr>
              <w:fldChar w:fldCharType="separate"/>
            </w:r>
            <w:r w:rsidR="009B4467">
              <w:rPr>
                <w:noProof/>
                <w:webHidden/>
              </w:rPr>
              <w:t>26</w:t>
            </w:r>
            <w:r w:rsidR="009B4467">
              <w:rPr>
                <w:noProof/>
                <w:webHidden/>
              </w:rPr>
              <w:fldChar w:fldCharType="end"/>
            </w:r>
          </w:hyperlink>
        </w:p>
        <w:p w14:paraId="2C9220F4" w14:textId="77777777" w:rsidR="009B4467" w:rsidRDefault="00111A09">
          <w:pPr>
            <w:pStyle w:val="TOC3"/>
            <w:tabs>
              <w:tab w:val="left" w:pos="1320"/>
              <w:tab w:val="right" w:leader="dot" w:pos="9132"/>
            </w:tabs>
            <w:rPr>
              <w:rFonts w:asciiTheme="minorHAnsi" w:eastAsiaTheme="minorEastAsia" w:hAnsiTheme="minorHAnsi"/>
              <w:noProof/>
              <w:lang w:eastAsia="en-GB"/>
            </w:rPr>
          </w:pPr>
          <w:hyperlink w:anchor="_Toc399078754" w:history="1">
            <w:r w:rsidR="009B4467" w:rsidRPr="001D60E3">
              <w:rPr>
                <w:rStyle w:val="Hyperlink"/>
                <w:noProof/>
                <w:lang w:val="en-CA"/>
              </w:rPr>
              <w:t>3.2.3</w:t>
            </w:r>
            <w:r w:rsidR="009B4467">
              <w:rPr>
                <w:rFonts w:asciiTheme="minorHAnsi" w:eastAsiaTheme="minorEastAsia" w:hAnsiTheme="minorHAnsi"/>
                <w:noProof/>
                <w:lang w:eastAsia="en-GB"/>
              </w:rPr>
              <w:tab/>
            </w:r>
            <w:r w:rsidR="009B4467" w:rsidRPr="001D60E3">
              <w:rPr>
                <w:rStyle w:val="Hyperlink"/>
                <w:noProof/>
                <w:lang w:val="en-CA"/>
              </w:rPr>
              <w:t>Access to social services</w:t>
            </w:r>
            <w:r w:rsidR="009B4467">
              <w:rPr>
                <w:noProof/>
                <w:webHidden/>
              </w:rPr>
              <w:tab/>
            </w:r>
            <w:r w:rsidR="009B4467">
              <w:rPr>
                <w:noProof/>
                <w:webHidden/>
              </w:rPr>
              <w:fldChar w:fldCharType="begin"/>
            </w:r>
            <w:r w:rsidR="009B4467">
              <w:rPr>
                <w:noProof/>
                <w:webHidden/>
              </w:rPr>
              <w:instrText xml:space="preserve"> PAGEREF _Toc399078754 \h </w:instrText>
            </w:r>
            <w:r w:rsidR="009B4467">
              <w:rPr>
                <w:noProof/>
                <w:webHidden/>
              </w:rPr>
            </w:r>
            <w:r w:rsidR="009B4467">
              <w:rPr>
                <w:noProof/>
                <w:webHidden/>
              </w:rPr>
              <w:fldChar w:fldCharType="separate"/>
            </w:r>
            <w:r w:rsidR="009B4467">
              <w:rPr>
                <w:noProof/>
                <w:webHidden/>
              </w:rPr>
              <w:t>27</w:t>
            </w:r>
            <w:r w:rsidR="009B4467">
              <w:rPr>
                <w:noProof/>
                <w:webHidden/>
              </w:rPr>
              <w:fldChar w:fldCharType="end"/>
            </w:r>
          </w:hyperlink>
        </w:p>
        <w:p w14:paraId="7D06F8FB" w14:textId="77777777" w:rsidR="009B4467" w:rsidRDefault="00111A09">
          <w:pPr>
            <w:pStyle w:val="TOC3"/>
            <w:tabs>
              <w:tab w:val="left" w:pos="1320"/>
              <w:tab w:val="right" w:leader="dot" w:pos="9132"/>
            </w:tabs>
            <w:rPr>
              <w:rFonts w:asciiTheme="minorHAnsi" w:eastAsiaTheme="minorEastAsia" w:hAnsiTheme="minorHAnsi"/>
              <w:noProof/>
              <w:lang w:eastAsia="en-GB"/>
            </w:rPr>
          </w:pPr>
          <w:hyperlink w:anchor="_Toc399078755" w:history="1">
            <w:r w:rsidR="009B4467" w:rsidRPr="001D60E3">
              <w:rPr>
                <w:rStyle w:val="Hyperlink"/>
                <w:noProof/>
                <w:lang w:val="en-CA"/>
              </w:rPr>
              <w:t>3.2.4</w:t>
            </w:r>
            <w:r w:rsidR="009B4467">
              <w:rPr>
                <w:rFonts w:asciiTheme="minorHAnsi" w:eastAsiaTheme="minorEastAsia" w:hAnsiTheme="minorHAnsi"/>
                <w:noProof/>
                <w:lang w:eastAsia="en-GB"/>
              </w:rPr>
              <w:tab/>
            </w:r>
            <w:r w:rsidR="009B4467" w:rsidRPr="001D60E3">
              <w:rPr>
                <w:rStyle w:val="Hyperlink"/>
                <w:noProof/>
                <w:lang w:val="en-CA"/>
              </w:rPr>
              <w:t>Capacities to support CSOs and policies to support women’s empowerment</w:t>
            </w:r>
            <w:r w:rsidR="009B4467">
              <w:rPr>
                <w:noProof/>
                <w:webHidden/>
              </w:rPr>
              <w:tab/>
            </w:r>
            <w:r w:rsidR="009B4467">
              <w:rPr>
                <w:noProof/>
                <w:webHidden/>
              </w:rPr>
              <w:fldChar w:fldCharType="begin"/>
            </w:r>
            <w:r w:rsidR="009B4467">
              <w:rPr>
                <w:noProof/>
                <w:webHidden/>
              </w:rPr>
              <w:instrText xml:space="preserve"> PAGEREF _Toc399078755 \h </w:instrText>
            </w:r>
            <w:r w:rsidR="009B4467">
              <w:rPr>
                <w:noProof/>
                <w:webHidden/>
              </w:rPr>
            </w:r>
            <w:r w:rsidR="009B4467">
              <w:rPr>
                <w:noProof/>
                <w:webHidden/>
              </w:rPr>
              <w:fldChar w:fldCharType="separate"/>
            </w:r>
            <w:r w:rsidR="009B4467">
              <w:rPr>
                <w:noProof/>
                <w:webHidden/>
              </w:rPr>
              <w:t>28</w:t>
            </w:r>
            <w:r w:rsidR="009B4467">
              <w:rPr>
                <w:noProof/>
                <w:webHidden/>
              </w:rPr>
              <w:fldChar w:fldCharType="end"/>
            </w:r>
          </w:hyperlink>
        </w:p>
        <w:p w14:paraId="0F8AB08E"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56" w:history="1">
            <w:r w:rsidR="009B4467" w:rsidRPr="001D60E3">
              <w:rPr>
                <w:rStyle w:val="Hyperlink"/>
                <w:noProof/>
              </w:rPr>
              <w:t>3.3</w:t>
            </w:r>
            <w:r w:rsidR="009B4467">
              <w:rPr>
                <w:rFonts w:asciiTheme="minorHAnsi" w:eastAsiaTheme="minorEastAsia" w:hAnsiTheme="minorHAnsi"/>
                <w:noProof/>
                <w:lang w:eastAsia="en-GB"/>
              </w:rPr>
              <w:tab/>
            </w:r>
            <w:r w:rsidR="009B4467" w:rsidRPr="001D60E3">
              <w:rPr>
                <w:rStyle w:val="Hyperlink"/>
                <w:noProof/>
              </w:rPr>
              <w:t>UNDP contributions to the Outcome</w:t>
            </w:r>
            <w:r w:rsidR="009B4467">
              <w:rPr>
                <w:noProof/>
                <w:webHidden/>
              </w:rPr>
              <w:tab/>
            </w:r>
            <w:r w:rsidR="009B4467">
              <w:rPr>
                <w:noProof/>
                <w:webHidden/>
              </w:rPr>
              <w:fldChar w:fldCharType="begin"/>
            </w:r>
            <w:r w:rsidR="009B4467">
              <w:rPr>
                <w:noProof/>
                <w:webHidden/>
              </w:rPr>
              <w:instrText xml:space="preserve"> PAGEREF _Toc399078756 \h </w:instrText>
            </w:r>
            <w:r w:rsidR="009B4467">
              <w:rPr>
                <w:noProof/>
                <w:webHidden/>
              </w:rPr>
            </w:r>
            <w:r w:rsidR="009B4467">
              <w:rPr>
                <w:noProof/>
                <w:webHidden/>
              </w:rPr>
              <w:fldChar w:fldCharType="separate"/>
            </w:r>
            <w:r w:rsidR="009B4467">
              <w:rPr>
                <w:noProof/>
                <w:webHidden/>
              </w:rPr>
              <w:t>29</w:t>
            </w:r>
            <w:r w:rsidR="009B4467">
              <w:rPr>
                <w:noProof/>
                <w:webHidden/>
              </w:rPr>
              <w:fldChar w:fldCharType="end"/>
            </w:r>
          </w:hyperlink>
        </w:p>
        <w:p w14:paraId="56A40117" w14:textId="77777777" w:rsidR="009B4467" w:rsidRDefault="00111A09">
          <w:pPr>
            <w:pStyle w:val="TOC3"/>
            <w:tabs>
              <w:tab w:val="left" w:pos="1320"/>
              <w:tab w:val="right" w:leader="dot" w:pos="9132"/>
            </w:tabs>
            <w:rPr>
              <w:rFonts w:asciiTheme="minorHAnsi" w:eastAsiaTheme="minorEastAsia" w:hAnsiTheme="minorHAnsi"/>
              <w:noProof/>
              <w:lang w:eastAsia="en-GB"/>
            </w:rPr>
          </w:pPr>
          <w:hyperlink w:anchor="_Toc399078757" w:history="1">
            <w:r w:rsidR="009B4467" w:rsidRPr="001D60E3">
              <w:rPr>
                <w:rStyle w:val="Hyperlink"/>
                <w:noProof/>
              </w:rPr>
              <w:t>3.3.1</w:t>
            </w:r>
            <w:r w:rsidR="009B4467">
              <w:rPr>
                <w:rFonts w:asciiTheme="minorHAnsi" w:eastAsiaTheme="minorEastAsia" w:hAnsiTheme="minorHAnsi"/>
                <w:noProof/>
                <w:lang w:eastAsia="en-GB"/>
              </w:rPr>
              <w:tab/>
            </w:r>
            <w:r w:rsidR="009B4467" w:rsidRPr="001D60E3">
              <w:rPr>
                <w:rStyle w:val="Hyperlink"/>
                <w:noProof/>
              </w:rPr>
              <w:t>Youth:  Social empowerment and institutional strengthening</w:t>
            </w:r>
            <w:r w:rsidR="009B4467">
              <w:rPr>
                <w:noProof/>
                <w:webHidden/>
              </w:rPr>
              <w:tab/>
            </w:r>
            <w:r w:rsidR="009B4467">
              <w:rPr>
                <w:noProof/>
                <w:webHidden/>
              </w:rPr>
              <w:fldChar w:fldCharType="begin"/>
            </w:r>
            <w:r w:rsidR="009B4467">
              <w:rPr>
                <w:noProof/>
                <w:webHidden/>
              </w:rPr>
              <w:instrText xml:space="preserve"> PAGEREF _Toc399078757 \h </w:instrText>
            </w:r>
            <w:r w:rsidR="009B4467">
              <w:rPr>
                <w:noProof/>
                <w:webHidden/>
              </w:rPr>
            </w:r>
            <w:r w:rsidR="009B4467">
              <w:rPr>
                <w:noProof/>
                <w:webHidden/>
              </w:rPr>
              <w:fldChar w:fldCharType="separate"/>
            </w:r>
            <w:r w:rsidR="009B4467">
              <w:rPr>
                <w:noProof/>
                <w:webHidden/>
              </w:rPr>
              <w:t>30</w:t>
            </w:r>
            <w:r w:rsidR="009B4467">
              <w:rPr>
                <w:noProof/>
                <w:webHidden/>
              </w:rPr>
              <w:fldChar w:fldCharType="end"/>
            </w:r>
          </w:hyperlink>
        </w:p>
        <w:p w14:paraId="6CCAB076" w14:textId="77777777" w:rsidR="009B4467" w:rsidRDefault="00111A09">
          <w:pPr>
            <w:pStyle w:val="TOC4"/>
            <w:tabs>
              <w:tab w:val="left" w:pos="1540"/>
              <w:tab w:val="right" w:leader="dot" w:pos="9132"/>
            </w:tabs>
            <w:rPr>
              <w:rFonts w:asciiTheme="minorHAnsi" w:eastAsiaTheme="minorEastAsia" w:hAnsiTheme="minorHAnsi"/>
              <w:noProof/>
              <w:lang w:eastAsia="en-GB"/>
            </w:rPr>
          </w:pPr>
          <w:hyperlink w:anchor="_Toc399078758" w:history="1">
            <w:r w:rsidR="009B4467" w:rsidRPr="001D60E3">
              <w:rPr>
                <w:rStyle w:val="Hyperlink"/>
                <w:noProof/>
              </w:rPr>
              <w:t>3.3.1.1</w:t>
            </w:r>
            <w:r w:rsidR="009B4467">
              <w:rPr>
                <w:rFonts w:asciiTheme="minorHAnsi" w:eastAsiaTheme="minorEastAsia" w:hAnsiTheme="minorHAnsi"/>
                <w:noProof/>
                <w:lang w:eastAsia="en-GB"/>
              </w:rPr>
              <w:tab/>
            </w:r>
            <w:r w:rsidR="009B4467" w:rsidRPr="001D60E3">
              <w:rPr>
                <w:rStyle w:val="Hyperlink"/>
                <w:noProof/>
              </w:rPr>
              <w:t>Youth Dialogue Forums</w:t>
            </w:r>
            <w:r w:rsidR="009B4467">
              <w:rPr>
                <w:noProof/>
                <w:webHidden/>
              </w:rPr>
              <w:tab/>
            </w:r>
            <w:r w:rsidR="009B4467">
              <w:rPr>
                <w:noProof/>
                <w:webHidden/>
              </w:rPr>
              <w:fldChar w:fldCharType="begin"/>
            </w:r>
            <w:r w:rsidR="009B4467">
              <w:rPr>
                <w:noProof/>
                <w:webHidden/>
              </w:rPr>
              <w:instrText xml:space="preserve"> PAGEREF _Toc399078758 \h </w:instrText>
            </w:r>
            <w:r w:rsidR="009B4467">
              <w:rPr>
                <w:noProof/>
                <w:webHidden/>
              </w:rPr>
            </w:r>
            <w:r w:rsidR="009B4467">
              <w:rPr>
                <w:noProof/>
                <w:webHidden/>
              </w:rPr>
              <w:fldChar w:fldCharType="separate"/>
            </w:r>
            <w:r w:rsidR="009B4467">
              <w:rPr>
                <w:noProof/>
                <w:webHidden/>
              </w:rPr>
              <w:t>30</w:t>
            </w:r>
            <w:r w:rsidR="009B4467">
              <w:rPr>
                <w:noProof/>
                <w:webHidden/>
              </w:rPr>
              <w:fldChar w:fldCharType="end"/>
            </w:r>
          </w:hyperlink>
        </w:p>
        <w:p w14:paraId="36E0884B" w14:textId="77777777" w:rsidR="009B4467" w:rsidRDefault="00111A09">
          <w:pPr>
            <w:pStyle w:val="TOC4"/>
            <w:tabs>
              <w:tab w:val="left" w:pos="1540"/>
              <w:tab w:val="right" w:leader="dot" w:pos="9132"/>
            </w:tabs>
            <w:rPr>
              <w:rFonts w:asciiTheme="minorHAnsi" w:eastAsiaTheme="minorEastAsia" w:hAnsiTheme="minorHAnsi"/>
              <w:noProof/>
              <w:lang w:eastAsia="en-GB"/>
            </w:rPr>
          </w:pPr>
          <w:hyperlink w:anchor="_Toc399078759" w:history="1">
            <w:r w:rsidR="009B4467" w:rsidRPr="001D60E3">
              <w:rPr>
                <w:rStyle w:val="Hyperlink"/>
                <w:noProof/>
              </w:rPr>
              <w:t>3.3.1.2</w:t>
            </w:r>
            <w:r w:rsidR="009B4467">
              <w:rPr>
                <w:rFonts w:asciiTheme="minorHAnsi" w:eastAsiaTheme="minorEastAsia" w:hAnsiTheme="minorHAnsi"/>
                <w:noProof/>
                <w:lang w:eastAsia="en-GB"/>
              </w:rPr>
              <w:tab/>
            </w:r>
            <w:r w:rsidR="009B4467" w:rsidRPr="001D60E3">
              <w:rPr>
                <w:rStyle w:val="Hyperlink"/>
                <w:noProof/>
              </w:rPr>
              <w:t>Support to Developing National Youth Strategy</w:t>
            </w:r>
            <w:r w:rsidR="009B4467">
              <w:rPr>
                <w:noProof/>
                <w:webHidden/>
              </w:rPr>
              <w:tab/>
            </w:r>
            <w:r w:rsidR="009B4467">
              <w:rPr>
                <w:noProof/>
                <w:webHidden/>
              </w:rPr>
              <w:fldChar w:fldCharType="begin"/>
            </w:r>
            <w:r w:rsidR="009B4467">
              <w:rPr>
                <w:noProof/>
                <w:webHidden/>
              </w:rPr>
              <w:instrText xml:space="preserve"> PAGEREF _Toc399078759 \h </w:instrText>
            </w:r>
            <w:r w:rsidR="009B4467">
              <w:rPr>
                <w:noProof/>
                <w:webHidden/>
              </w:rPr>
            </w:r>
            <w:r w:rsidR="009B4467">
              <w:rPr>
                <w:noProof/>
                <w:webHidden/>
              </w:rPr>
              <w:fldChar w:fldCharType="separate"/>
            </w:r>
            <w:r w:rsidR="009B4467">
              <w:rPr>
                <w:noProof/>
                <w:webHidden/>
              </w:rPr>
              <w:t>31</w:t>
            </w:r>
            <w:r w:rsidR="009B4467">
              <w:rPr>
                <w:noProof/>
                <w:webHidden/>
              </w:rPr>
              <w:fldChar w:fldCharType="end"/>
            </w:r>
          </w:hyperlink>
        </w:p>
        <w:p w14:paraId="5ED96E99" w14:textId="77777777" w:rsidR="009B4467" w:rsidRDefault="00111A09">
          <w:pPr>
            <w:pStyle w:val="TOC4"/>
            <w:tabs>
              <w:tab w:val="left" w:pos="1540"/>
              <w:tab w:val="right" w:leader="dot" w:pos="9132"/>
            </w:tabs>
            <w:rPr>
              <w:rFonts w:asciiTheme="minorHAnsi" w:eastAsiaTheme="minorEastAsia" w:hAnsiTheme="minorHAnsi"/>
              <w:noProof/>
              <w:lang w:eastAsia="en-GB"/>
            </w:rPr>
          </w:pPr>
          <w:hyperlink w:anchor="_Toc399078760" w:history="1">
            <w:r w:rsidR="009B4467" w:rsidRPr="001D60E3">
              <w:rPr>
                <w:rStyle w:val="Hyperlink"/>
                <w:noProof/>
              </w:rPr>
              <w:t>3.3.1.3</w:t>
            </w:r>
            <w:r w:rsidR="009B4467">
              <w:rPr>
                <w:rFonts w:asciiTheme="minorHAnsi" w:eastAsiaTheme="minorEastAsia" w:hAnsiTheme="minorHAnsi"/>
                <w:noProof/>
                <w:lang w:eastAsia="en-GB"/>
              </w:rPr>
              <w:tab/>
            </w:r>
            <w:r w:rsidR="009B4467" w:rsidRPr="001D60E3">
              <w:rPr>
                <w:rStyle w:val="Hyperlink"/>
                <w:noProof/>
              </w:rPr>
              <w:t>Capacity Development of Princess Al Anood Center for Youth Development (Warif)</w:t>
            </w:r>
            <w:r w:rsidR="009B4467">
              <w:rPr>
                <w:noProof/>
                <w:webHidden/>
              </w:rPr>
              <w:tab/>
            </w:r>
            <w:r w:rsidR="009B4467">
              <w:rPr>
                <w:noProof/>
                <w:webHidden/>
              </w:rPr>
              <w:fldChar w:fldCharType="begin"/>
            </w:r>
            <w:r w:rsidR="009B4467">
              <w:rPr>
                <w:noProof/>
                <w:webHidden/>
              </w:rPr>
              <w:instrText xml:space="preserve"> PAGEREF _Toc399078760 \h </w:instrText>
            </w:r>
            <w:r w:rsidR="009B4467">
              <w:rPr>
                <w:noProof/>
                <w:webHidden/>
              </w:rPr>
            </w:r>
            <w:r w:rsidR="009B4467">
              <w:rPr>
                <w:noProof/>
                <w:webHidden/>
              </w:rPr>
              <w:fldChar w:fldCharType="separate"/>
            </w:r>
            <w:r w:rsidR="009B4467">
              <w:rPr>
                <w:noProof/>
                <w:webHidden/>
              </w:rPr>
              <w:t>32</w:t>
            </w:r>
            <w:r w:rsidR="009B4467">
              <w:rPr>
                <w:noProof/>
                <w:webHidden/>
              </w:rPr>
              <w:fldChar w:fldCharType="end"/>
            </w:r>
          </w:hyperlink>
        </w:p>
        <w:p w14:paraId="5674DD1D" w14:textId="77777777" w:rsidR="009B4467" w:rsidRDefault="00111A09">
          <w:pPr>
            <w:pStyle w:val="TOC3"/>
            <w:tabs>
              <w:tab w:val="left" w:pos="1320"/>
              <w:tab w:val="right" w:leader="dot" w:pos="9132"/>
            </w:tabs>
            <w:rPr>
              <w:rFonts w:asciiTheme="minorHAnsi" w:eastAsiaTheme="minorEastAsia" w:hAnsiTheme="minorHAnsi"/>
              <w:noProof/>
              <w:lang w:eastAsia="en-GB"/>
            </w:rPr>
          </w:pPr>
          <w:hyperlink w:anchor="_Toc399078761" w:history="1">
            <w:r w:rsidR="009B4467" w:rsidRPr="001D60E3">
              <w:rPr>
                <w:rStyle w:val="Hyperlink"/>
                <w:noProof/>
              </w:rPr>
              <w:t>3.3.2</w:t>
            </w:r>
            <w:r w:rsidR="009B4467">
              <w:rPr>
                <w:rFonts w:asciiTheme="minorHAnsi" w:eastAsiaTheme="minorEastAsia" w:hAnsiTheme="minorHAnsi"/>
                <w:noProof/>
                <w:lang w:eastAsia="en-GB"/>
              </w:rPr>
              <w:tab/>
            </w:r>
            <w:r w:rsidR="009B4467" w:rsidRPr="001D60E3">
              <w:rPr>
                <w:rStyle w:val="Hyperlink"/>
                <w:noProof/>
              </w:rPr>
              <w:t>Women:  Capacity of CSOs and policies to support women’s empowerment</w:t>
            </w:r>
            <w:r w:rsidR="009B4467">
              <w:rPr>
                <w:noProof/>
                <w:webHidden/>
              </w:rPr>
              <w:tab/>
            </w:r>
            <w:r w:rsidR="009B4467">
              <w:rPr>
                <w:noProof/>
                <w:webHidden/>
              </w:rPr>
              <w:fldChar w:fldCharType="begin"/>
            </w:r>
            <w:r w:rsidR="009B4467">
              <w:rPr>
                <w:noProof/>
                <w:webHidden/>
              </w:rPr>
              <w:instrText xml:space="preserve"> PAGEREF _Toc399078761 \h </w:instrText>
            </w:r>
            <w:r w:rsidR="009B4467">
              <w:rPr>
                <w:noProof/>
                <w:webHidden/>
              </w:rPr>
            </w:r>
            <w:r w:rsidR="009B4467">
              <w:rPr>
                <w:noProof/>
                <w:webHidden/>
              </w:rPr>
              <w:fldChar w:fldCharType="separate"/>
            </w:r>
            <w:r w:rsidR="009B4467">
              <w:rPr>
                <w:noProof/>
                <w:webHidden/>
              </w:rPr>
              <w:t>34</w:t>
            </w:r>
            <w:r w:rsidR="009B4467">
              <w:rPr>
                <w:noProof/>
                <w:webHidden/>
              </w:rPr>
              <w:fldChar w:fldCharType="end"/>
            </w:r>
          </w:hyperlink>
        </w:p>
        <w:p w14:paraId="5C539333" w14:textId="77777777" w:rsidR="009B4467" w:rsidRDefault="00111A09">
          <w:pPr>
            <w:pStyle w:val="TOC1"/>
            <w:tabs>
              <w:tab w:val="left" w:pos="440"/>
              <w:tab w:val="right" w:leader="dot" w:pos="9132"/>
            </w:tabs>
            <w:rPr>
              <w:rFonts w:asciiTheme="minorHAnsi" w:eastAsiaTheme="minorEastAsia" w:hAnsiTheme="minorHAnsi"/>
              <w:noProof/>
              <w:lang w:eastAsia="en-GB"/>
            </w:rPr>
          </w:pPr>
          <w:hyperlink w:anchor="_Toc399078762" w:history="1">
            <w:r w:rsidR="009B4467" w:rsidRPr="001D60E3">
              <w:rPr>
                <w:rStyle w:val="Hyperlink"/>
                <w:noProof/>
              </w:rPr>
              <w:t>4</w:t>
            </w:r>
            <w:r w:rsidR="009B4467">
              <w:rPr>
                <w:rFonts w:asciiTheme="minorHAnsi" w:eastAsiaTheme="minorEastAsia" w:hAnsiTheme="minorHAnsi"/>
                <w:noProof/>
                <w:lang w:eastAsia="en-GB"/>
              </w:rPr>
              <w:tab/>
            </w:r>
            <w:r w:rsidR="009B4467" w:rsidRPr="001D60E3">
              <w:rPr>
                <w:rStyle w:val="Hyperlink"/>
                <w:noProof/>
              </w:rPr>
              <w:t>Factors affecting the Outcome</w:t>
            </w:r>
            <w:r w:rsidR="009B4467">
              <w:rPr>
                <w:noProof/>
                <w:webHidden/>
              </w:rPr>
              <w:tab/>
            </w:r>
            <w:r w:rsidR="009B4467">
              <w:rPr>
                <w:noProof/>
                <w:webHidden/>
              </w:rPr>
              <w:fldChar w:fldCharType="begin"/>
            </w:r>
            <w:r w:rsidR="009B4467">
              <w:rPr>
                <w:noProof/>
                <w:webHidden/>
              </w:rPr>
              <w:instrText xml:space="preserve"> PAGEREF _Toc399078762 \h </w:instrText>
            </w:r>
            <w:r w:rsidR="009B4467">
              <w:rPr>
                <w:noProof/>
                <w:webHidden/>
              </w:rPr>
            </w:r>
            <w:r w:rsidR="009B4467">
              <w:rPr>
                <w:noProof/>
                <w:webHidden/>
              </w:rPr>
              <w:fldChar w:fldCharType="separate"/>
            </w:r>
            <w:r w:rsidR="009B4467">
              <w:rPr>
                <w:noProof/>
                <w:webHidden/>
              </w:rPr>
              <w:t>38</w:t>
            </w:r>
            <w:r w:rsidR="009B4467">
              <w:rPr>
                <w:noProof/>
                <w:webHidden/>
              </w:rPr>
              <w:fldChar w:fldCharType="end"/>
            </w:r>
          </w:hyperlink>
        </w:p>
        <w:p w14:paraId="0D42FA6D"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63" w:history="1">
            <w:r w:rsidR="009B4467" w:rsidRPr="001D60E3">
              <w:rPr>
                <w:rStyle w:val="Hyperlink"/>
                <w:noProof/>
              </w:rPr>
              <w:t>4.1</w:t>
            </w:r>
            <w:r w:rsidR="009B4467">
              <w:rPr>
                <w:rFonts w:asciiTheme="minorHAnsi" w:eastAsiaTheme="minorEastAsia" w:hAnsiTheme="minorHAnsi"/>
                <w:noProof/>
                <w:lang w:eastAsia="en-GB"/>
              </w:rPr>
              <w:tab/>
            </w:r>
            <w:r w:rsidR="009B4467" w:rsidRPr="001D60E3">
              <w:rPr>
                <w:rStyle w:val="Hyperlink"/>
                <w:noProof/>
              </w:rPr>
              <w:t>Mandate limitations and new precedents</w:t>
            </w:r>
            <w:r w:rsidR="009B4467">
              <w:rPr>
                <w:noProof/>
                <w:webHidden/>
              </w:rPr>
              <w:tab/>
            </w:r>
            <w:r w:rsidR="009B4467">
              <w:rPr>
                <w:noProof/>
                <w:webHidden/>
              </w:rPr>
              <w:fldChar w:fldCharType="begin"/>
            </w:r>
            <w:r w:rsidR="009B4467">
              <w:rPr>
                <w:noProof/>
                <w:webHidden/>
              </w:rPr>
              <w:instrText xml:space="preserve"> PAGEREF _Toc399078763 \h </w:instrText>
            </w:r>
            <w:r w:rsidR="009B4467">
              <w:rPr>
                <w:noProof/>
                <w:webHidden/>
              </w:rPr>
            </w:r>
            <w:r w:rsidR="009B4467">
              <w:rPr>
                <w:noProof/>
                <w:webHidden/>
              </w:rPr>
              <w:fldChar w:fldCharType="separate"/>
            </w:r>
            <w:r w:rsidR="009B4467">
              <w:rPr>
                <w:noProof/>
                <w:webHidden/>
              </w:rPr>
              <w:t>38</w:t>
            </w:r>
            <w:r w:rsidR="009B4467">
              <w:rPr>
                <w:noProof/>
                <w:webHidden/>
              </w:rPr>
              <w:fldChar w:fldCharType="end"/>
            </w:r>
          </w:hyperlink>
        </w:p>
        <w:p w14:paraId="5D8DD47A"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64" w:history="1">
            <w:r w:rsidR="009B4467" w:rsidRPr="001D60E3">
              <w:rPr>
                <w:rStyle w:val="Hyperlink"/>
                <w:noProof/>
              </w:rPr>
              <w:t>4.2</w:t>
            </w:r>
            <w:r w:rsidR="009B4467">
              <w:rPr>
                <w:rFonts w:asciiTheme="minorHAnsi" w:eastAsiaTheme="minorEastAsia" w:hAnsiTheme="minorHAnsi"/>
                <w:noProof/>
                <w:lang w:eastAsia="en-GB"/>
              </w:rPr>
              <w:tab/>
            </w:r>
            <w:r w:rsidR="009B4467" w:rsidRPr="001D60E3">
              <w:rPr>
                <w:rStyle w:val="Hyperlink"/>
                <w:noProof/>
              </w:rPr>
              <w:t>Stepping away from “path dependency”</w:t>
            </w:r>
            <w:r w:rsidR="009B4467">
              <w:rPr>
                <w:noProof/>
                <w:webHidden/>
              </w:rPr>
              <w:tab/>
            </w:r>
            <w:r w:rsidR="009B4467">
              <w:rPr>
                <w:noProof/>
                <w:webHidden/>
              </w:rPr>
              <w:fldChar w:fldCharType="begin"/>
            </w:r>
            <w:r w:rsidR="009B4467">
              <w:rPr>
                <w:noProof/>
                <w:webHidden/>
              </w:rPr>
              <w:instrText xml:space="preserve"> PAGEREF _Toc399078764 \h </w:instrText>
            </w:r>
            <w:r w:rsidR="009B4467">
              <w:rPr>
                <w:noProof/>
                <w:webHidden/>
              </w:rPr>
            </w:r>
            <w:r w:rsidR="009B4467">
              <w:rPr>
                <w:noProof/>
                <w:webHidden/>
              </w:rPr>
              <w:fldChar w:fldCharType="separate"/>
            </w:r>
            <w:r w:rsidR="009B4467">
              <w:rPr>
                <w:noProof/>
                <w:webHidden/>
              </w:rPr>
              <w:t>38</w:t>
            </w:r>
            <w:r w:rsidR="009B4467">
              <w:rPr>
                <w:noProof/>
                <w:webHidden/>
              </w:rPr>
              <w:fldChar w:fldCharType="end"/>
            </w:r>
          </w:hyperlink>
        </w:p>
        <w:p w14:paraId="251D44F5"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65" w:history="1">
            <w:r w:rsidR="009B4467" w:rsidRPr="001D60E3">
              <w:rPr>
                <w:rStyle w:val="Hyperlink"/>
                <w:noProof/>
              </w:rPr>
              <w:t>4.3</w:t>
            </w:r>
            <w:r w:rsidR="009B4467">
              <w:rPr>
                <w:rFonts w:asciiTheme="minorHAnsi" w:eastAsiaTheme="minorEastAsia" w:hAnsiTheme="minorHAnsi"/>
                <w:noProof/>
                <w:lang w:eastAsia="en-GB"/>
              </w:rPr>
              <w:tab/>
            </w:r>
            <w:r w:rsidR="009B4467" w:rsidRPr="001D60E3">
              <w:rPr>
                <w:rStyle w:val="Hyperlink"/>
                <w:noProof/>
              </w:rPr>
              <w:t>Labour force participation rates</w:t>
            </w:r>
            <w:r w:rsidR="009B4467">
              <w:rPr>
                <w:noProof/>
                <w:webHidden/>
              </w:rPr>
              <w:tab/>
            </w:r>
            <w:r w:rsidR="009B4467">
              <w:rPr>
                <w:noProof/>
                <w:webHidden/>
              </w:rPr>
              <w:fldChar w:fldCharType="begin"/>
            </w:r>
            <w:r w:rsidR="009B4467">
              <w:rPr>
                <w:noProof/>
                <w:webHidden/>
              </w:rPr>
              <w:instrText xml:space="preserve"> PAGEREF _Toc399078765 \h </w:instrText>
            </w:r>
            <w:r w:rsidR="009B4467">
              <w:rPr>
                <w:noProof/>
                <w:webHidden/>
              </w:rPr>
            </w:r>
            <w:r w:rsidR="009B4467">
              <w:rPr>
                <w:noProof/>
                <w:webHidden/>
              </w:rPr>
              <w:fldChar w:fldCharType="separate"/>
            </w:r>
            <w:r w:rsidR="009B4467">
              <w:rPr>
                <w:noProof/>
                <w:webHidden/>
              </w:rPr>
              <w:t>38</w:t>
            </w:r>
            <w:r w:rsidR="009B4467">
              <w:rPr>
                <w:noProof/>
                <w:webHidden/>
              </w:rPr>
              <w:fldChar w:fldCharType="end"/>
            </w:r>
          </w:hyperlink>
        </w:p>
        <w:p w14:paraId="6EEB2F69" w14:textId="77777777" w:rsidR="009B4467" w:rsidRDefault="00111A09">
          <w:pPr>
            <w:pStyle w:val="TOC1"/>
            <w:tabs>
              <w:tab w:val="left" w:pos="440"/>
              <w:tab w:val="right" w:leader="dot" w:pos="9132"/>
            </w:tabs>
            <w:rPr>
              <w:rFonts w:asciiTheme="minorHAnsi" w:eastAsiaTheme="minorEastAsia" w:hAnsiTheme="minorHAnsi"/>
              <w:noProof/>
              <w:lang w:eastAsia="en-GB"/>
            </w:rPr>
          </w:pPr>
          <w:hyperlink w:anchor="_Toc399078766" w:history="1">
            <w:r w:rsidR="009B4467" w:rsidRPr="001D60E3">
              <w:rPr>
                <w:rStyle w:val="Hyperlink"/>
                <w:noProof/>
              </w:rPr>
              <w:t>5</w:t>
            </w:r>
            <w:r w:rsidR="009B4467">
              <w:rPr>
                <w:rFonts w:asciiTheme="minorHAnsi" w:eastAsiaTheme="minorEastAsia" w:hAnsiTheme="minorHAnsi"/>
                <w:noProof/>
                <w:lang w:eastAsia="en-GB"/>
              </w:rPr>
              <w:tab/>
            </w:r>
            <w:r w:rsidR="009B4467" w:rsidRPr="001D60E3">
              <w:rPr>
                <w:rStyle w:val="Hyperlink"/>
                <w:noProof/>
              </w:rPr>
              <w:t>Assessment of the partnership strategy</w:t>
            </w:r>
            <w:r w:rsidR="009B4467">
              <w:rPr>
                <w:noProof/>
                <w:webHidden/>
              </w:rPr>
              <w:tab/>
            </w:r>
            <w:r w:rsidR="009B4467">
              <w:rPr>
                <w:noProof/>
                <w:webHidden/>
              </w:rPr>
              <w:fldChar w:fldCharType="begin"/>
            </w:r>
            <w:r w:rsidR="009B4467">
              <w:rPr>
                <w:noProof/>
                <w:webHidden/>
              </w:rPr>
              <w:instrText xml:space="preserve"> PAGEREF _Toc399078766 \h </w:instrText>
            </w:r>
            <w:r w:rsidR="009B4467">
              <w:rPr>
                <w:noProof/>
                <w:webHidden/>
              </w:rPr>
            </w:r>
            <w:r w:rsidR="009B4467">
              <w:rPr>
                <w:noProof/>
                <w:webHidden/>
              </w:rPr>
              <w:fldChar w:fldCharType="separate"/>
            </w:r>
            <w:r w:rsidR="009B4467">
              <w:rPr>
                <w:noProof/>
                <w:webHidden/>
              </w:rPr>
              <w:t>39</w:t>
            </w:r>
            <w:r w:rsidR="009B4467">
              <w:rPr>
                <w:noProof/>
                <w:webHidden/>
              </w:rPr>
              <w:fldChar w:fldCharType="end"/>
            </w:r>
          </w:hyperlink>
        </w:p>
        <w:p w14:paraId="4F86C921" w14:textId="77777777" w:rsidR="009B4467" w:rsidRDefault="00111A09">
          <w:pPr>
            <w:pStyle w:val="TOC1"/>
            <w:tabs>
              <w:tab w:val="left" w:pos="440"/>
              <w:tab w:val="right" w:leader="dot" w:pos="9132"/>
            </w:tabs>
            <w:rPr>
              <w:rFonts w:asciiTheme="minorHAnsi" w:eastAsiaTheme="minorEastAsia" w:hAnsiTheme="minorHAnsi"/>
              <w:noProof/>
              <w:lang w:eastAsia="en-GB"/>
            </w:rPr>
          </w:pPr>
          <w:hyperlink w:anchor="_Toc399078767" w:history="1">
            <w:r w:rsidR="009B4467" w:rsidRPr="001D60E3">
              <w:rPr>
                <w:rStyle w:val="Hyperlink"/>
                <w:noProof/>
              </w:rPr>
              <w:t>6</w:t>
            </w:r>
            <w:r w:rsidR="009B4467">
              <w:rPr>
                <w:rFonts w:asciiTheme="minorHAnsi" w:eastAsiaTheme="minorEastAsia" w:hAnsiTheme="minorHAnsi"/>
                <w:noProof/>
                <w:lang w:eastAsia="en-GB"/>
              </w:rPr>
              <w:tab/>
            </w:r>
            <w:r w:rsidR="009B4467" w:rsidRPr="001D60E3">
              <w:rPr>
                <w:rStyle w:val="Hyperlink"/>
                <w:noProof/>
              </w:rPr>
              <w:t>Conclusions and Recommendations</w:t>
            </w:r>
            <w:r w:rsidR="009B4467">
              <w:rPr>
                <w:noProof/>
                <w:webHidden/>
              </w:rPr>
              <w:tab/>
            </w:r>
            <w:r w:rsidR="009B4467">
              <w:rPr>
                <w:noProof/>
                <w:webHidden/>
              </w:rPr>
              <w:fldChar w:fldCharType="begin"/>
            </w:r>
            <w:r w:rsidR="009B4467">
              <w:rPr>
                <w:noProof/>
                <w:webHidden/>
              </w:rPr>
              <w:instrText xml:space="preserve"> PAGEREF _Toc399078767 \h </w:instrText>
            </w:r>
            <w:r w:rsidR="009B4467">
              <w:rPr>
                <w:noProof/>
                <w:webHidden/>
              </w:rPr>
            </w:r>
            <w:r w:rsidR="009B4467">
              <w:rPr>
                <w:noProof/>
                <w:webHidden/>
              </w:rPr>
              <w:fldChar w:fldCharType="separate"/>
            </w:r>
            <w:r w:rsidR="009B4467">
              <w:rPr>
                <w:noProof/>
                <w:webHidden/>
              </w:rPr>
              <w:t>40</w:t>
            </w:r>
            <w:r w:rsidR="009B4467">
              <w:rPr>
                <w:noProof/>
                <w:webHidden/>
              </w:rPr>
              <w:fldChar w:fldCharType="end"/>
            </w:r>
          </w:hyperlink>
        </w:p>
        <w:p w14:paraId="00DEC5BE"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68" w:history="1">
            <w:r w:rsidR="009B4467" w:rsidRPr="001D60E3">
              <w:rPr>
                <w:rStyle w:val="Hyperlink"/>
                <w:noProof/>
              </w:rPr>
              <w:t>6.1</w:t>
            </w:r>
            <w:r w:rsidR="009B4467">
              <w:rPr>
                <w:rFonts w:asciiTheme="minorHAnsi" w:eastAsiaTheme="minorEastAsia" w:hAnsiTheme="minorHAnsi"/>
                <w:noProof/>
                <w:lang w:eastAsia="en-GB"/>
              </w:rPr>
              <w:tab/>
            </w:r>
            <w:r w:rsidR="009B4467" w:rsidRPr="001D60E3">
              <w:rPr>
                <w:rStyle w:val="Hyperlink"/>
                <w:noProof/>
              </w:rPr>
              <w:t>Context:  High-human-development NCC, new focus</w:t>
            </w:r>
            <w:r w:rsidR="009B4467">
              <w:rPr>
                <w:noProof/>
                <w:webHidden/>
              </w:rPr>
              <w:tab/>
            </w:r>
            <w:r w:rsidR="009B4467">
              <w:rPr>
                <w:noProof/>
                <w:webHidden/>
              </w:rPr>
              <w:fldChar w:fldCharType="begin"/>
            </w:r>
            <w:r w:rsidR="009B4467">
              <w:rPr>
                <w:noProof/>
                <w:webHidden/>
              </w:rPr>
              <w:instrText xml:space="preserve"> PAGEREF _Toc399078768 \h </w:instrText>
            </w:r>
            <w:r w:rsidR="009B4467">
              <w:rPr>
                <w:noProof/>
                <w:webHidden/>
              </w:rPr>
            </w:r>
            <w:r w:rsidR="009B4467">
              <w:rPr>
                <w:noProof/>
                <w:webHidden/>
              </w:rPr>
              <w:fldChar w:fldCharType="separate"/>
            </w:r>
            <w:r w:rsidR="009B4467">
              <w:rPr>
                <w:noProof/>
                <w:webHidden/>
              </w:rPr>
              <w:t>40</w:t>
            </w:r>
            <w:r w:rsidR="009B4467">
              <w:rPr>
                <w:noProof/>
                <w:webHidden/>
              </w:rPr>
              <w:fldChar w:fldCharType="end"/>
            </w:r>
          </w:hyperlink>
        </w:p>
        <w:p w14:paraId="7D54B9D3" w14:textId="77777777" w:rsidR="009B4467" w:rsidRDefault="00111A09">
          <w:pPr>
            <w:pStyle w:val="TOC4"/>
            <w:tabs>
              <w:tab w:val="left" w:pos="1100"/>
              <w:tab w:val="right" w:leader="dot" w:pos="9132"/>
            </w:tabs>
            <w:rPr>
              <w:rFonts w:asciiTheme="minorHAnsi" w:eastAsiaTheme="minorEastAsia" w:hAnsiTheme="minorHAnsi"/>
              <w:noProof/>
              <w:lang w:eastAsia="en-GB"/>
            </w:rPr>
          </w:pPr>
          <w:hyperlink w:anchor="_Toc399078769" w:history="1">
            <w:r w:rsidR="009B4467" w:rsidRPr="001D60E3">
              <w:rPr>
                <w:rStyle w:val="Hyperlink"/>
                <w:noProof/>
              </w:rPr>
              <w:t>i)</w:t>
            </w:r>
            <w:r w:rsidR="009B4467">
              <w:rPr>
                <w:rFonts w:asciiTheme="minorHAnsi" w:eastAsiaTheme="minorEastAsia" w:hAnsiTheme="minorHAnsi"/>
                <w:noProof/>
                <w:lang w:eastAsia="en-GB"/>
              </w:rPr>
              <w:tab/>
            </w:r>
            <w:r w:rsidR="009B4467" w:rsidRPr="001D60E3">
              <w:rPr>
                <w:rStyle w:val="Hyperlink"/>
                <w:noProof/>
              </w:rPr>
              <w:t>Overall Programme:  component outputs contribute significantly to the Outcome</w:t>
            </w:r>
            <w:r w:rsidR="009B4467">
              <w:rPr>
                <w:noProof/>
                <w:webHidden/>
              </w:rPr>
              <w:tab/>
            </w:r>
            <w:r w:rsidR="009B4467">
              <w:rPr>
                <w:noProof/>
                <w:webHidden/>
              </w:rPr>
              <w:fldChar w:fldCharType="begin"/>
            </w:r>
            <w:r w:rsidR="009B4467">
              <w:rPr>
                <w:noProof/>
                <w:webHidden/>
              </w:rPr>
              <w:instrText xml:space="preserve"> PAGEREF _Toc399078769 \h </w:instrText>
            </w:r>
            <w:r w:rsidR="009B4467">
              <w:rPr>
                <w:noProof/>
                <w:webHidden/>
              </w:rPr>
            </w:r>
            <w:r w:rsidR="009B4467">
              <w:rPr>
                <w:noProof/>
                <w:webHidden/>
              </w:rPr>
              <w:fldChar w:fldCharType="separate"/>
            </w:r>
            <w:r w:rsidR="009B4467">
              <w:rPr>
                <w:noProof/>
                <w:webHidden/>
              </w:rPr>
              <w:t>41</w:t>
            </w:r>
            <w:r w:rsidR="009B4467">
              <w:rPr>
                <w:noProof/>
                <w:webHidden/>
              </w:rPr>
              <w:fldChar w:fldCharType="end"/>
            </w:r>
          </w:hyperlink>
        </w:p>
        <w:p w14:paraId="3669CF83" w14:textId="77777777" w:rsidR="009B4467" w:rsidRDefault="00111A09">
          <w:pPr>
            <w:pStyle w:val="TOC4"/>
            <w:tabs>
              <w:tab w:val="left" w:pos="1100"/>
              <w:tab w:val="right" w:leader="dot" w:pos="9132"/>
            </w:tabs>
            <w:rPr>
              <w:rFonts w:asciiTheme="minorHAnsi" w:eastAsiaTheme="minorEastAsia" w:hAnsiTheme="minorHAnsi"/>
              <w:noProof/>
              <w:lang w:eastAsia="en-GB"/>
            </w:rPr>
          </w:pPr>
          <w:hyperlink w:anchor="_Toc399078770" w:history="1">
            <w:r w:rsidR="009B4467" w:rsidRPr="001D60E3">
              <w:rPr>
                <w:rStyle w:val="Hyperlink"/>
                <w:noProof/>
              </w:rPr>
              <w:t>ii)</w:t>
            </w:r>
            <w:r w:rsidR="009B4467">
              <w:rPr>
                <w:rFonts w:asciiTheme="minorHAnsi" w:eastAsiaTheme="minorEastAsia" w:hAnsiTheme="minorHAnsi"/>
                <w:noProof/>
                <w:lang w:eastAsia="en-GB"/>
              </w:rPr>
              <w:tab/>
            </w:r>
            <w:r w:rsidR="009B4467" w:rsidRPr="001D60E3">
              <w:rPr>
                <w:rStyle w:val="Hyperlink"/>
                <w:noProof/>
              </w:rPr>
              <w:t>Success calls for new partnerships and institutional capacity development focus</w:t>
            </w:r>
            <w:r w:rsidR="009B4467">
              <w:rPr>
                <w:noProof/>
                <w:webHidden/>
              </w:rPr>
              <w:tab/>
            </w:r>
            <w:r w:rsidR="009B4467">
              <w:rPr>
                <w:noProof/>
                <w:webHidden/>
              </w:rPr>
              <w:fldChar w:fldCharType="begin"/>
            </w:r>
            <w:r w:rsidR="009B4467">
              <w:rPr>
                <w:noProof/>
                <w:webHidden/>
              </w:rPr>
              <w:instrText xml:space="preserve"> PAGEREF _Toc399078770 \h </w:instrText>
            </w:r>
            <w:r w:rsidR="009B4467">
              <w:rPr>
                <w:noProof/>
                <w:webHidden/>
              </w:rPr>
            </w:r>
            <w:r w:rsidR="009B4467">
              <w:rPr>
                <w:noProof/>
                <w:webHidden/>
              </w:rPr>
              <w:fldChar w:fldCharType="separate"/>
            </w:r>
            <w:r w:rsidR="009B4467">
              <w:rPr>
                <w:noProof/>
                <w:webHidden/>
              </w:rPr>
              <w:t>41</w:t>
            </w:r>
            <w:r w:rsidR="009B4467">
              <w:rPr>
                <w:noProof/>
                <w:webHidden/>
              </w:rPr>
              <w:fldChar w:fldCharType="end"/>
            </w:r>
          </w:hyperlink>
        </w:p>
        <w:p w14:paraId="144A9D59"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71" w:history="1">
            <w:r w:rsidR="009B4467" w:rsidRPr="001D60E3">
              <w:rPr>
                <w:rStyle w:val="Hyperlink"/>
                <w:noProof/>
              </w:rPr>
              <w:t>6.2</w:t>
            </w:r>
            <w:r w:rsidR="009B4467">
              <w:rPr>
                <w:rFonts w:asciiTheme="minorHAnsi" w:eastAsiaTheme="minorEastAsia" w:hAnsiTheme="minorHAnsi"/>
                <w:noProof/>
                <w:lang w:eastAsia="en-GB"/>
              </w:rPr>
              <w:tab/>
            </w:r>
            <w:r w:rsidR="009B4467" w:rsidRPr="001D60E3">
              <w:rPr>
                <w:rStyle w:val="Hyperlink"/>
                <w:noProof/>
              </w:rPr>
              <w:t>Meeting the youth challenge</w:t>
            </w:r>
            <w:r w:rsidR="009B4467">
              <w:rPr>
                <w:noProof/>
                <w:webHidden/>
              </w:rPr>
              <w:tab/>
            </w:r>
            <w:r w:rsidR="009B4467">
              <w:rPr>
                <w:noProof/>
                <w:webHidden/>
              </w:rPr>
              <w:fldChar w:fldCharType="begin"/>
            </w:r>
            <w:r w:rsidR="009B4467">
              <w:rPr>
                <w:noProof/>
                <w:webHidden/>
              </w:rPr>
              <w:instrText xml:space="preserve"> PAGEREF _Toc399078771 \h </w:instrText>
            </w:r>
            <w:r w:rsidR="009B4467">
              <w:rPr>
                <w:noProof/>
                <w:webHidden/>
              </w:rPr>
            </w:r>
            <w:r w:rsidR="009B4467">
              <w:rPr>
                <w:noProof/>
                <w:webHidden/>
              </w:rPr>
              <w:fldChar w:fldCharType="separate"/>
            </w:r>
            <w:r w:rsidR="009B4467">
              <w:rPr>
                <w:noProof/>
                <w:webHidden/>
              </w:rPr>
              <w:t>42</w:t>
            </w:r>
            <w:r w:rsidR="009B4467">
              <w:rPr>
                <w:noProof/>
                <w:webHidden/>
              </w:rPr>
              <w:fldChar w:fldCharType="end"/>
            </w:r>
          </w:hyperlink>
        </w:p>
        <w:p w14:paraId="0D83211F" w14:textId="77777777" w:rsidR="009B4467" w:rsidRDefault="00111A09">
          <w:pPr>
            <w:pStyle w:val="TOC4"/>
            <w:tabs>
              <w:tab w:val="left" w:pos="1320"/>
              <w:tab w:val="right" w:leader="dot" w:pos="9132"/>
            </w:tabs>
            <w:rPr>
              <w:rFonts w:asciiTheme="minorHAnsi" w:eastAsiaTheme="minorEastAsia" w:hAnsiTheme="minorHAnsi"/>
              <w:noProof/>
              <w:lang w:eastAsia="en-GB"/>
            </w:rPr>
          </w:pPr>
          <w:hyperlink w:anchor="_Toc399078772" w:history="1">
            <w:r w:rsidR="009B4467" w:rsidRPr="001D60E3">
              <w:rPr>
                <w:rStyle w:val="Hyperlink"/>
                <w:noProof/>
              </w:rPr>
              <w:t>iii)</w:t>
            </w:r>
            <w:r w:rsidR="009B4467">
              <w:rPr>
                <w:rFonts w:asciiTheme="minorHAnsi" w:eastAsiaTheme="minorEastAsia" w:hAnsiTheme="minorHAnsi"/>
                <w:noProof/>
                <w:lang w:eastAsia="en-GB"/>
              </w:rPr>
              <w:tab/>
            </w:r>
            <w:r w:rsidR="009B4467" w:rsidRPr="001D60E3">
              <w:rPr>
                <w:rStyle w:val="Hyperlink"/>
                <w:noProof/>
              </w:rPr>
              <w:t>Outcomes for youth development and participation – on target and ready to expand</w:t>
            </w:r>
            <w:r w:rsidR="009B4467">
              <w:rPr>
                <w:noProof/>
                <w:webHidden/>
              </w:rPr>
              <w:tab/>
            </w:r>
            <w:r w:rsidR="009B4467">
              <w:rPr>
                <w:noProof/>
                <w:webHidden/>
              </w:rPr>
              <w:fldChar w:fldCharType="begin"/>
            </w:r>
            <w:r w:rsidR="009B4467">
              <w:rPr>
                <w:noProof/>
                <w:webHidden/>
              </w:rPr>
              <w:instrText xml:space="preserve"> PAGEREF _Toc399078772 \h </w:instrText>
            </w:r>
            <w:r w:rsidR="009B4467">
              <w:rPr>
                <w:noProof/>
                <w:webHidden/>
              </w:rPr>
            </w:r>
            <w:r w:rsidR="009B4467">
              <w:rPr>
                <w:noProof/>
                <w:webHidden/>
              </w:rPr>
              <w:fldChar w:fldCharType="separate"/>
            </w:r>
            <w:r w:rsidR="009B4467">
              <w:rPr>
                <w:noProof/>
                <w:webHidden/>
              </w:rPr>
              <w:t>42</w:t>
            </w:r>
            <w:r w:rsidR="009B4467">
              <w:rPr>
                <w:noProof/>
                <w:webHidden/>
              </w:rPr>
              <w:fldChar w:fldCharType="end"/>
            </w:r>
          </w:hyperlink>
        </w:p>
        <w:p w14:paraId="7A9A682B" w14:textId="77777777" w:rsidR="009B4467" w:rsidRDefault="00111A09">
          <w:pPr>
            <w:pStyle w:val="TOC4"/>
            <w:tabs>
              <w:tab w:val="left" w:pos="1320"/>
              <w:tab w:val="right" w:leader="dot" w:pos="9132"/>
            </w:tabs>
            <w:rPr>
              <w:rFonts w:asciiTheme="minorHAnsi" w:eastAsiaTheme="minorEastAsia" w:hAnsiTheme="minorHAnsi"/>
              <w:noProof/>
              <w:lang w:eastAsia="en-GB"/>
            </w:rPr>
          </w:pPr>
          <w:hyperlink w:anchor="_Toc399078773" w:history="1">
            <w:r w:rsidR="009B4467" w:rsidRPr="001D60E3">
              <w:rPr>
                <w:rStyle w:val="Hyperlink"/>
                <w:noProof/>
              </w:rPr>
              <w:t>iv)</w:t>
            </w:r>
            <w:r w:rsidR="009B4467">
              <w:rPr>
                <w:rFonts w:asciiTheme="minorHAnsi" w:eastAsiaTheme="minorEastAsia" w:hAnsiTheme="minorHAnsi"/>
                <w:noProof/>
                <w:lang w:eastAsia="en-GB"/>
              </w:rPr>
              <w:tab/>
            </w:r>
            <w:r w:rsidR="009B4467" w:rsidRPr="001D60E3">
              <w:rPr>
                <w:rStyle w:val="Hyperlink"/>
                <w:noProof/>
              </w:rPr>
              <w:t>Outcomes for women’s empowerment – potential for pairing</w:t>
            </w:r>
            <w:r w:rsidR="009B4467">
              <w:rPr>
                <w:noProof/>
                <w:webHidden/>
              </w:rPr>
              <w:tab/>
            </w:r>
            <w:r w:rsidR="009B4467">
              <w:rPr>
                <w:noProof/>
                <w:webHidden/>
              </w:rPr>
              <w:fldChar w:fldCharType="begin"/>
            </w:r>
            <w:r w:rsidR="009B4467">
              <w:rPr>
                <w:noProof/>
                <w:webHidden/>
              </w:rPr>
              <w:instrText xml:space="preserve"> PAGEREF _Toc399078773 \h </w:instrText>
            </w:r>
            <w:r w:rsidR="009B4467">
              <w:rPr>
                <w:noProof/>
                <w:webHidden/>
              </w:rPr>
            </w:r>
            <w:r w:rsidR="009B4467">
              <w:rPr>
                <w:noProof/>
                <w:webHidden/>
              </w:rPr>
              <w:fldChar w:fldCharType="separate"/>
            </w:r>
            <w:r w:rsidR="009B4467">
              <w:rPr>
                <w:noProof/>
                <w:webHidden/>
              </w:rPr>
              <w:t>42</w:t>
            </w:r>
            <w:r w:rsidR="009B4467">
              <w:rPr>
                <w:noProof/>
                <w:webHidden/>
              </w:rPr>
              <w:fldChar w:fldCharType="end"/>
            </w:r>
          </w:hyperlink>
        </w:p>
        <w:p w14:paraId="109B2585"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74" w:history="1">
            <w:r w:rsidR="009B4467" w:rsidRPr="001D60E3">
              <w:rPr>
                <w:rStyle w:val="Hyperlink"/>
                <w:noProof/>
              </w:rPr>
              <w:t>6.3</w:t>
            </w:r>
            <w:r w:rsidR="009B4467">
              <w:rPr>
                <w:rFonts w:asciiTheme="minorHAnsi" w:eastAsiaTheme="minorEastAsia" w:hAnsiTheme="minorHAnsi"/>
                <w:noProof/>
                <w:lang w:eastAsia="en-GB"/>
              </w:rPr>
              <w:tab/>
            </w:r>
            <w:r w:rsidR="009B4467" w:rsidRPr="001D60E3">
              <w:rPr>
                <w:rStyle w:val="Hyperlink"/>
                <w:noProof/>
              </w:rPr>
              <w:t>Employment focus:  Addressing the “Missing middle”</w:t>
            </w:r>
            <w:r w:rsidR="009B4467">
              <w:rPr>
                <w:noProof/>
                <w:webHidden/>
              </w:rPr>
              <w:tab/>
            </w:r>
            <w:r w:rsidR="009B4467">
              <w:rPr>
                <w:noProof/>
                <w:webHidden/>
              </w:rPr>
              <w:fldChar w:fldCharType="begin"/>
            </w:r>
            <w:r w:rsidR="009B4467">
              <w:rPr>
                <w:noProof/>
                <w:webHidden/>
              </w:rPr>
              <w:instrText xml:space="preserve"> PAGEREF _Toc399078774 \h </w:instrText>
            </w:r>
            <w:r w:rsidR="009B4467">
              <w:rPr>
                <w:noProof/>
                <w:webHidden/>
              </w:rPr>
            </w:r>
            <w:r w:rsidR="009B4467">
              <w:rPr>
                <w:noProof/>
                <w:webHidden/>
              </w:rPr>
              <w:fldChar w:fldCharType="separate"/>
            </w:r>
            <w:r w:rsidR="009B4467">
              <w:rPr>
                <w:noProof/>
                <w:webHidden/>
              </w:rPr>
              <w:t>43</w:t>
            </w:r>
            <w:r w:rsidR="009B4467">
              <w:rPr>
                <w:noProof/>
                <w:webHidden/>
              </w:rPr>
              <w:fldChar w:fldCharType="end"/>
            </w:r>
          </w:hyperlink>
        </w:p>
        <w:p w14:paraId="2AFB2860" w14:textId="77777777" w:rsidR="009B4467" w:rsidRDefault="00111A09">
          <w:pPr>
            <w:pStyle w:val="TOC4"/>
            <w:tabs>
              <w:tab w:val="left" w:pos="1100"/>
              <w:tab w:val="right" w:leader="dot" w:pos="9132"/>
            </w:tabs>
            <w:rPr>
              <w:rFonts w:asciiTheme="minorHAnsi" w:eastAsiaTheme="minorEastAsia" w:hAnsiTheme="minorHAnsi"/>
              <w:noProof/>
              <w:lang w:eastAsia="en-GB"/>
            </w:rPr>
          </w:pPr>
          <w:hyperlink w:anchor="_Toc399078775" w:history="1">
            <w:r w:rsidR="009B4467" w:rsidRPr="001D60E3">
              <w:rPr>
                <w:rStyle w:val="Hyperlink"/>
                <w:noProof/>
              </w:rPr>
              <w:t>v)</w:t>
            </w:r>
            <w:r w:rsidR="009B4467">
              <w:rPr>
                <w:rFonts w:asciiTheme="minorHAnsi" w:eastAsiaTheme="minorEastAsia" w:hAnsiTheme="minorHAnsi"/>
                <w:noProof/>
                <w:lang w:eastAsia="en-GB"/>
              </w:rPr>
              <w:tab/>
            </w:r>
            <w:r w:rsidR="009B4467" w:rsidRPr="001D60E3">
              <w:rPr>
                <w:rStyle w:val="Hyperlink"/>
                <w:noProof/>
              </w:rPr>
              <w:t>Resources for SME can support youth and women’s employment</w:t>
            </w:r>
            <w:r w:rsidR="009B4467">
              <w:rPr>
                <w:noProof/>
                <w:webHidden/>
              </w:rPr>
              <w:tab/>
            </w:r>
            <w:r w:rsidR="009B4467">
              <w:rPr>
                <w:noProof/>
                <w:webHidden/>
              </w:rPr>
              <w:fldChar w:fldCharType="begin"/>
            </w:r>
            <w:r w:rsidR="009B4467">
              <w:rPr>
                <w:noProof/>
                <w:webHidden/>
              </w:rPr>
              <w:instrText xml:space="preserve"> PAGEREF _Toc399078775 \h </w:instrText>
            </w:r>
            <w:r w:rsidR="009B4467">
              <w:rPr>
                <w:noProof/>
                <w:webHidden/>
              </w:rPr>
            </w:r>
            <w:r w:rsidR="009B4467">
              <w:rPr>
                <w:noProof/>
                <w:webHidden/>
              </w:rPr>
              <w:fldChar w:fldCharType="separate"/>
            </w:r>
            <w:r w:rsidR="009B4467">
              <w:rPr>
                <w:noProof/>
                <w:webHidden/>
              </w:rPr>
              <w:t>43</w:t>
            </w:r>
            <w:r w:rsidR="009B4467">
              <w:rPr>
                <w:noProof/>
                <w:webHidden/>
              </w:rPr>
              <w:fldChar w:fldCharType="end"/>
            </w:r>
          </w:hyperlink>
        </w:p>
        <w:p w14:paraId="0048A22D" w14:textId="77777777" w:rsidR="009B4467" w:rsidRDefault="00111A09">
          <w:pPr>
            <w:pStyle w:val="TOC4"/>
            <w:tabs>
              <w:tab w:val="left" w:pos="1320"/>
              <w:tab w:val="right" w:leader="dot" w:pos="9132"/>
            </w:tabs>
            <w:rPr>
              <w:rFonts w:asciiTheme="minorHAnsi" w:eastAsiaTheme="minorEastAsia" w:hAnsiTheme="minorHAnsi"/>
              <w:noProof/>
              <w:lang w:eastAsia="en-GB"/>
            </w:rPr>
          </w:pPr>
          <w:hyperlink w:anchor="_Toc399078776" w:history="1">
            <w:r w:rsidR="009B4467" w:rsidRPr="001D60E3">
              <w:rPr>
                <w:rStyle w:val="Hyperlink"/>
                <w:noProof/>
              </w:rPr>
              <w:t>vi)</w:t>
            </w:r>
            <w:r w:rsidR="009B4467">
              <w:rPr>
                <w:rFonts w:asciiTheme="minorHAnsi" w:eastAsiaTheme="minorEastAsia" w:hAnsiTheme="minorHAnsi"/>
                <w:noProof/>
                <w:lang w:eastAsia="en-GB"/>
              </w:rPr>
              <w:tab/>
            </w:r>
            <w:r w:rsidR="009B4467" w:rsidRPr="001D60E3">
              <w:rPr>
                <w:rStyle w:val="Hyperlink"/>
                <w:noProof/>
              </w:rPr>
              <w:t>Bridging the data gap</w:t>
            </w:r>
            <w:r w:rsidR="009B4467">
              <w:rPr>
                <w:noProof/>
                <w:webHidden/>
              </w:rPr>
              <w:tab/>
            </w:r>
            <w:r w:rsidR="009B4467">
              <w:rPr>
                <w:noProof/>
                <w:webHidden/>
              </w:rPr>
              <w:fldChar w:fldCharType="begin"/>
            </w:r>
            <w:r w:rsidR="009B4467">
              <w:rPr>
                <w:noProof/>
                <w:webHidden/>
              </w:rPr>
              <w:instrText xml:space="preserve"> PAGEREF _Toc399078776 \h </w:instrText>
            </w:r>
            <w:r w:rsidR="009B4467">
              <w:rPr>
                <w:noProof/>
                <w:webHidden/>
              </w:rPr>
            </w:r>
            <w:r w:rsidR="009B4467">
              <w:rPr>
                <w:noProof/>
                <w:webHidden/>
              </w:rPr>
              <w:fldChar w:fldCharType="separate"/>
            </w:r>
            <w:r w:rsidR="009B4467">
              <w:rPr>
                <w:noProof/>
                <w:webHidden/>
              </w:rPr>
              <w:t>44</w:t>
            </w:r>
            <w:r w:rsidR="009B4467">
              <w:rPr>
                <w:noProof/>
                <w:webHidden/>
              </w:rPr>
              <w:fldChar w:fldCharType="end"/>
            </w:r>
          </w:hyperlink>
        </w:p>
        <w:p w14:paraId="7D824DC5" w14:textId="77777777" w:rsidR="009B4467" w:rsidRDefault="00111A09">
          <w:pPr>
            <w:pStyle w:val="TOC2"/>
            <w:tabs>
              <w:tab w:val="left" w:pos="880"/>
              <w:tab w:val="right" w:leader="dot" w:pos="9132"/>
            </w:tabs>
            <w:rPr>
              <w:rFonts w:asciiTheme="minorHAnsi" w:eastAsiaTheme="minorEastAsia" w:hAnsiTheme="minorHAnsi"/>
              <w:noProof/>
              <w:lang w:eastAsia="en-GB"/>
            </w:rPr>
          </w:pPr>
          <w:hyperlink w:anchor="_Toc399078777" w:history="1">
            <w:r w:rsidR="009B4467" w:rsidRPr="001D60E3">
              <w:rPr>
                <w:rStyle w:val="Hyperlink"/>
                <w:noProof/>
              </w:rPr>
              <w:t>6.4</w:t>
            </w:r>
            <w:r w:rsidR="009B4467">
              <w:rPr>
                <w:rFonts w:asciiTheme="minorHAnsi" w:eastAsiaTheme="minorEastAsia" w:hAnsiTheme="minorHAnsi"/>
                <w:noProof/>
                <w:lang w:eastAsia="en-GB"/>
              </w:rPr>
              <w:tab/>
            </w:r>
            <w:r w:rsidR="009B4467" w:rsidRPr="001D60E3">
              <w:rPr>
                <w:rStyle w:val="Hyperlink"/>
                <w:noProof/>
              </w:rPr>
              <w:t>Recommendations</w:t>
            </w:r>
            <w:r w:rsidR="009B4467">
              <w:rPr>
                <w:noProof/>
                <w:webHidden/>
              </w:rPr>
              <w:tab/>
            </w:r>
            <w:r w:rsidR="009B4467">
              <w:rPr>
                <w:noProof/>
                <w:webHidden/>
              </w:rPr>
              <w:fldChar w:fldCharType="begin"/>
            </w:r>
            <w:r w:rsidR="009B4467">
              <w:rPr>
                <w:noProof/>
                <w:webHidden/>
              </w:rPr>
              <w:instrText xml:space="preserve"> PAGEREF _Toc399078777 \h </w:instrText>
            </w:r>
            <w:r w:rsidR="009B4467">
              <w:rPr>
                <w:noProof/>
                <w:webHidden/>
              </w:rPr>
            </w:r>
            <w:r w:rsidR="009B4467">
              <w:rPr>
                <w:noProof/>
                <w:webHidden/>
              </w:rPr>
              <w:fldChar w:fldCharType="separate"/>
            </w:r>
            <w:r w:rsidR="009B4467">
              <w:rPr>
                <w:noProof/>
                <w:webHidden/>
              </w:rPr>
              <w:t>44</w:t>
            </w:r>
            <w:r w:rsidR="009B4467">
              <w:rPr>
                <w:noProof/>
                <w:webHidden/>
              </w:rPr>
              <w:fldChar w:fldCharType="end"/>
            </w:r>
          </w:hyperlink>
        </w:p>
        <w:p w14:paraId="0AEE6BF7" w14:textId="77777777" w:rsidR="009B4467" w:rsidRDefault="00111A09">
          <w:pPr>
            <w:pStyle w:val="TOC3"/>
            <w:tabs>
              <w:tab w:val="left" w:pos="1320"/>
              <w:tab w:val="right" w:leader="dot" w:pos="9132"/>
            </w:tabs>
            <w:rPr>
              <w:rFonts w:asciiTheme="minorHAnsi" w:eastAsiaTheme="minorEastAsia" w:hAnsiTheme="minorHAnsi"/>
              <w:noProof/>
              <w:lang w:eastAsia="en-GB"/>
            </w:rPr>
          </w:pPr>
          <w:hyperlink w:anchor="_Toc399078778" w:history="1">
            <w:r w:rsidR="009B4467" w:rsidRPr="001D60E3">
              <w:rPr>
                <w:rStyle w:val="Hyperlink"/>
                <w:noProof/>
              </w:rPr>
              <w:t>6.4.1</w:t>
            </w:r>
            <w:r w:rsidR="009B4467">
              <w:rPr>
                <w:rFonts w:asciiTheme="minorHAnsi" w:eastAsiaTheme="minorEastAsia" w:hAnsiTheme="minorHAnsi"/>
                <w:noProof/>
                <w:lang w:eastAsia="en-GB"/>
              </w:rPr>
              <w:tab/>
            </w:r>
            <w:r w:rsidR="009B4467" w:rsidRPr="001D60E3">
              <w:rPr>
                <w:rStyle w:val="Hyperlink"/>
                <w:noProof/>
              </w:rPr>
              <w:t>Policy and partnership level recommendations</w:t>
            </w:r>
            <w:r w:rsidR="009B4467">
              <w:rPr>
                <w:noProof/>
                <w:webHidden/>
              </w:rPr>
              <w:tab/>
            </w:r>
            <w:r w:rsidR="009B4467">
              <w:rPr>
                <w:noProof/>
                <w:webHidden/>
              </w:rPr>
              <w:fldChar w:fldCharType="begin"/>
            </w:r>
            <w:r w:rsidR="009B4467">
              <w:rPr>
                <w:noProof/>
                <w:webHidden/>
              </w:rPr>
              <w:instrText xml:space="preserve"> PAGEREF _Toc399078778 \h </w:instrText>
            </w:r>
            <w:r w:rsidR="009B4467">
              <w:rPr>
                <w:noProof/>
                <w:webHidden/>
              </w:rPr>
            </w:r>
            <w:r w:rsidR="009B4467">
              <w:rPr>
                <w:noProof/>
                <w:webHidden/>
              </w:rPr>
              <w:fldChar w:fldCharType="separate"/>
            </w:r>
            <w:r w:rsidR="009B4467">
              <w:rPr>
                <w:noProof/>
                <w:webHidden/>
              </w:rPr>
              <w:t>44</w:t>
            </w:r>
            <w:r w:rsidR="009B4467">
              <w:rPr>
                <w:noProof/>
                <w:webHidden/>
              </w:rPr>
              <w:fldChar w:fldCharType="end"/>
            </w:r>
          </w:hyperlink>
        </w:p>
        <w:p w14:paraId="77B0AC15" w14:textId="77777777" w:rsidR="009B4467" w:rsidRDefault="00111A09">
          <w:pPr>
            <w:pStyle w:val="TOC4"/>
            <w:tabs>
              <w:tab w:val="left" w:pos="1100"/>
              <w:tab w:val="right" w:leader="dot" w:pos="9132"/>
            </w:tabs>
            <w:rPr>
              <w:rFonts w:asciiTheme="minorHAnsi" w:eastAsiaTheme="minorEastAsia" w:hAnsiTheme="minorHAnsi"/>
              <w:noProof/>
              <w:lang w:eastAsia="en-GB"/>
            </w:rPr>
          </w:pPr>
          <w:hyperlink w:anchor="_Toc399078779" w:history="1">
            <w:r w:rsidR="009B4467" w:rsidRPr="001D60E3">
              <w:rPr>
                <w:rStyle w:val="Hyperlink"/>
                <w:noProof/>
              </w:rPr>
              <w:t>i)</w:t>
            </w:r>
            <w:r w:rsidR="009B4467">
              <w:rPr>
                <w:rFonts w:asciiTheme="minorHAnsi" w:eastAsiaTheme="minorEastAsia" w:hAnsiTheme="minorHAnsi"/>
                <w:noProof/>
                <w:lang w:eastAsia="en-GB"/>
              </w:rPr>
              <w:tab/>
            </w:r>
            <w:r w:rsidR="009B4467" w:rsidRPr="001D60E3">
              <w:rPr>
                <w:rStyle w:val="Hyperlink"/>
                <w:noProof/>
              </w:rPr>
              <w:t>Partnership strategy.</w:t>
            </w:r>
            <w:r w:rsidR="009B4467">
              <w:rPr>
                <w:noProof/>
                <w:webHidden/>
              </w:rPr>
              <w:tab/>
            </w:r>
            <w:r w:rsidR="009B4467">
              <w:rPr>
                <w:noProof/>
                <w:webHidden/>
              </w:rPr>
              <w:fldChar w:fldCharType="begin"/>
            </w:r>
            <w:r w:rsidR="009B4467">
              <w:rPr>
                <w:noProof/>
                <w:webHidden/>
              </w:rPr>
              <w:instrText xml:space="preserve"> PAGEREF _Toc399078779 \h </w:instrText>
            </w:r>
            <w:r w:rsidR="009B4467">
              <w:rPr>
                <w:noProof/>
                <w:webHidden/>
              </w:rPr>
            </w:r>
            <w:r w:rsidR="009B4467">
              <w:rPr>
                <w:noProof/>
                <w:webHidden/>
              </w:rPr>
              <w:fldChar w:fldCharType="separate"/>
            </w:r>
            <w:r w:rsidR="009B4467">
              <w:rPr>
                <w:noProof/>
                <w:webHidden/>
              </w:rPr>
              <w:t>44</w:t>
            </w:r>
            <w:r w:rsidR="009B4467">
              <w:rPr>
                <w:noProof/>
                <w:webHidden/>
              </w:rPr>
              <w:fldChar w:fldCharType="end"/>
            </w:r>
          </w:hyperlink>
        </w:p>
        <w:p w14:paraId="4FC69B29" w14:textId="77777777" w:rsidR="009B4467" w:rsidRDefault="00111A09">
          <w:pPr>
            <w:pStyle w:val="TOC4"/>
            <w:tabs>
              <w:tab w:val="left" w:pos="1100"/>
              <w:tab w:val="right" w:leader="dot" w:pos="9132"/>
            </w:tabs>
            <w:rPr>
              <w:rFonts w:asciiTheme="minorHAnsi" w:eastAsiaTheme="minorEastAsia" w:hAnsiTheme="minorHAnsi"/>
              <w:noProof/>
              <w:lang w:eastAsia="en-GB"/>
            </w:rPr>
          </w:pPr>
          <w:hyperlink w:anchor="_Toc399078780" w:history="1">
            <w:r w:rsidR="009B4467" w:rsidRPr="001D60E3">
              <w:rPr>
                <w:rStyle w:val="Hyperlink"/>
                <w:noProof/>
              </w:rPr>
              <w:t>ii)</w:t>
            </w:r>
            <w:r w:rsidR="009B4467">
              <w:rPr>
                <w:rFonts w:asciiTheme="minorHAnsi" w:eastAsiaTheme="minorEastAsia" w:hAnsiTheme="minorHAnsi"/>
                <w:noProof/>
                <w:lang w:eastAsia="en-GB"/>
              </w:rPr>
              <w:tab/>
            </w:r>
            <w:r w:rsidR="009B4467" w:rsidRPr="001D60E3">
              <w:rPr>
                <w:rStyle w:val="Hyperlink"/>
                <w:noProof/>
              </w:rPr>
              <w:t>Realignment</w:t>
            </w:r>
            <w:r w:rsidR="009B4467">
              <w:rPr>
                <w:noProof/>
                <w:webHidden/>
              </w:rPr>
              <w:tab/>
            </w:r>
            <w:r w:rsidR="009B4467">
              <w:rPr>
                <w:noProof/>
                <w:webHidden/>
              </w:rPr>
              <w:fldChar w:fldCharType="begin"/>
            </w:r>
            <w:r w:rsidR="009B4467">
              <w:rPr>
                <w:noProof/>
                <w:webHidden/>
              </w:rPr>
              <w:instrText xml:space="preserve"> PAGEREF _Toc399078780 \h </w:instrText>
            </w:r>
            <w:r w:rsidR="009B4467">
              <w:rPr>
                <w:noProof/>
                <w:webHidden/>
              </w:rPr>
            </w:r>
            <w:r w:rsidR="009B4467">
              <w:rPr>
                <w:noProof/>
                <w:webHidden/>
              </w:rPr>
              <w:fldChar w:fldCharType="separate"/>
            </w:r>
            <w:r w:rsidR="009B4467">
              <w:rPr>
                <w:noProof/>
                <w:webHidden/>
              </w:rPr>
              <w:t>44</w:t>
            </w:r>
            <w:r w:rsidR="009B4467">
              <w:rPr>
                <w:noProof/>
                <w:webHidden/>
              </w:rPr>
              <w:fldChar w:fldCharType="end"/>
            </w:r>
          </w:hyperlink>
        </w:p>
        <w:p w14:paraId="113B65B7" w14:textId="77777777" w:rsidR="009B4467" w:rsidRDefault="00111A09">
          <w:pPr>
            <w:pStyle w:val="TOC3"/>
            <w:tabs>
              <w:tab w:val="left" w:pos="1320"/>
              <w:tab w:val="right" w:leader="dot" w:pos="9132"/>
            </w:tabs>
            <w:rPr>
              <w:rFonts w:asciiTheme="minorHAnsi" w:eastAsiaTheme="minorEastAsia" w:hAnsiTheme="minorHAnsi"/>
              <w:noProof/>
              <w:lang w:eastAsia="en-GB"/>
            </w:rPr>
          </w:pPr>
          <w:hyperlink w:anchor="_Toc399078781" w:history="1">
            <w:r w:rsidR="009B4467" w:rsidRPr="001D60E3">
              <w:rPr>
                <w:rStyle w:val="Hyperlink"/>
                <w:noProof/>
              </w:rPr>
              <w:t>6.4.2</w:t>
            </w:r>
            <w:r w:rsidR="009B4467">
              <w:rPr>
                <w:rFonts w:asciiTheme="minorHAnsi" w:eastAsiaTheme="minorEastAsia" w:hAnsiTheme="minorHAnsi"/>
                <w:noProof/>
                <w:lang w:eastAsia="en-GB"/>
              </w:rPr>
              <w:tab/>
            </w:r>
            <w:r w:rsidR="009B4467" w:rsidRPr="001D60E3">
              <w:rPr>
                <w:rStyle w:val="Hyperlink"/>
                <w:noProof/>
              </w:rPr>
              <w:t>Output level recommendations</w:t>
            </w:r>
            <w:r w:rsidR="009B4467">
              <w:rPr>
                <w:noProof/>
                <w:webHidden/>
              </w:rPr>
              <w:tab/>
            </w:r>
            <w:r w:rsidR="009B4467">
              <w:rPr>
                <w:noProof/>
                <w:webHidden/>
              </w:rPr>
              <w:fldChar w:fldCharType="begin"/>
            </w:r>
            <w:r w:rsidR="009B4467">
              <w:rPr>
                <w:noProof/>
                <w:webHidden/>
              </w:rPr>
              <w:instrText xml:space="preserve"> PAGEREF _Toc399078781 \h </w:instrText>
            </w:r>
            <w:r w:rsidR="009B4467">
              <w:rPr>
                <w:noProof/>
                <w:webHidden/>
              </w:rPr>
            </w:r>
            <w:r w:rsidR="009B4467">
              <w:rPr>
                <w:noProof/>
                <w:webHidden/>
              </w:rPr>
              <w:fldChar w:fldCharType="separate"/>
            </w:r>
            <w:r w:rsidR="009B4467">
              <w:rPr>
                <w:noProof/>
                <w:webHidden/>
              </w:rPr>
              <w:t>45</w:t>
            </w:r>
            <w:r w:rsidR="009B4467">
              <w:rPr>
                <w:noProof/>
                <w:webHidden/>
              </w:rPr>
              <w:fldChar w:fldCharType="end"/>
            </w:r>
          </w:hyperlink>
        </w:p>
        <w:p w14:paraId="2EB9CD96" w14:textId="77777777" w:rsidR="009B4467" w:rsidRDefault="00111A09">
          <w:pPr>
            <w:pStyle w:val="TOC4"/>
            <w:tabs>
              <w:tab w:val="left" w:pos="1320"/>
              <w:tab w:val="right" w:leader="dot" w:pos="9132"/>
            </w:tabs>
            <w:rPr>
              <w:rFonts w:asciiTheme="minorHAnsi" w:eastAsiaTheme="minorEastAsia" w:hAnsiTheme="minorHAnsi"/>
              <w:noProof/>
              <w:lang w:eastAsia="en-GB"/>
            </w:rPr>
          </w:pPr>
          <w:hyperlink w:anchor="_Toc399078782" w:history="1">
            <w:r w:rsidR="009B4467" w:rsidRPr="001D60E3">
              <w:rPr>
                <w:rStyle w:val="Hyperlink"/>
                <w:noProof/>
              </w:rPr>
              <w:t>iii)</w:t>
            </w:r>
            <w:r w:rsidR="009B4467">
              <w:rPr>
                <w:rFonts w:asciiTheme="minorHAnsi" w:eastAsiaTheme="minorEastAsia" w:hAnsiTheme="minorHAnsi"/>
                <w:noProof/>
                <w:lang w:eastAsia="en-GB"/>
              </w:rPr>
              <w:tab/>
            </w:r>
            <w:r w:rsidR="009B4467" w:rsidRPr="001D60E3">
              <w:rPr>
                <w:rStyle w:val="Hyperlink"/>
                <w:noProof/>
              </w:rPr>
              <w:t>SME forum initiative.</w:t>
            </w:r>
            <w:r w:rsidR="009B4467">
              <w:rPr>
                <w:noProof/>
                <w:webHidden/>
              </w:rPr>
              <w:tab/>
            </w:r>
            <w:r w:rsidR="009B4467">
              <w:rPr>
                <w:noProof/>
                <w:webHidden/>
              </w:rPr>
              <w:fldChar w:fldCharType="begin"/>
            </w:r>
            <w:r w:rsidR="009B4467">
              <w:rPr>
                <w:noProof/>
                <w:webHidden/>
              </w:rPr>
              <w:instrText xml:space="preserve"> PAGEREF _Toc399078782 \h </w:instrText>
            </w:r>
            <w:r w:rsidR="009B4467">
              <w:rPr>
                <w:noProof/>
                <w:webHidden/>
              </w:rPr>
            </w:r>
            <w:r w:rsidR="009B4467">
              <w:rPr>
                <w:noProof/>
                <w:webHidden/>
              </w:rPr>
              <w:fldChar w:fldCharType="separate"/>
            </w:r>
            <w:r w:rsidR="009B4467">
              <w:rPr>
                <w:noProof/>
                <w:webHidden/>
              </w:rPr>
              <w:t>45</w:t>
            </w:r>
            <w:r w:rsidR="009B4467">
              <w:rPr>
                <w:noProof/>
                <w:webHidden/>
              </w:rPr>
              <w:fldChar w:fldCharType="end"/>
            </w:r>
          </w:hyperlink>
        </w:p>
        <w:p w14:paraId="2910BE7F" w14:textId="77777777" w:rsidR="009B4467" w:rsidRDefault="00111A09">
          <w:pPr>
            <w:pStyle w:val="TOC4"/>
            <w:tabs>
              <w:tab w:val="left" w:pos="1320"/>
              <w:tab w:val="right" w:leader="dot" w:pos="9132"/>
            </w:tabs>
            <w:rPr>
              <w:rFonts w:asciiTheme="minorHAnsi" w:eastAsiaTheme="minorEastAsia" w:hAnsiTheme="minorHAnsi"/>
              <w:noProof/>
              <w:lang w:eastAsia="en-GB"/>
            </w:rPr>
          </w:pPr>
          <w:hyperlink w:anchor="_Toc399078783" w:history="1">
            <w:r w:rsidR="009B4467" w:rsidRPr="001D60E3">
              <w:rPr>
                <w:rStyle w:val="Hyperlink"/>
                <w:noProof/>
              </w:rPr>
              <w:t>iv)</w:t>
            </w:r>
            <w:r w:rsidR="009B4467">
              <w:rPr>
                <w:rFonts w:asciiTheme="minorHAnsi" w:eastAsiaTheme="minorEastAsia" w:hAnsiTheme="minorHAnsi"/>
                <w:noProof/>
                <w:lang w:eastAsia="en-GB"/>
              </w:rPr>
              <w:tab/>
            </w:r>
            <w:r w:rsidR="009B4467" w:rsidRPr="001D60E3">
              <w:rPr>
                <w:rStyle w:val="Hyperlink"/>
                <w:noProof/>
              </w:rPr>
              <w:t>Identify pools of loanable funds.</w:t>
            </w:r>
            <w:r w:rsidR="009B4467">
              <w:rPr>
                <w:noProof/>
                <w:webHidden/>
              </w:rPr>
              <w:tab/>
            </w:r>
            <w:r w:rsidR="009B4467">
              <w:rPr>
                <w:noProof/>
                <w:webHidden/>
              </w:rPr>
              <w:fldChar w:fldCharType="begin"/>
            </w:r>
            <w:r w:rsidR="009B4467">
              <w:rPr>
                <w:noProof/>
                <w:webHidden/>
              </w:rPr>
              <w:instrText xml:space="preserve"> PAGEREF _Toc399078783 \h </w:instrText>
            </w:r>
            <w:r w:rsidR="009B4467">
              <w:rPr>
                <w:noProof/>
                <w:webHidden/>
              </w:rPr>
            </w:r>
            <w:r w:rsidR="009B4467">
              <w:rPr>
                <w:noProof/>
                <w:webHidden/>
              </w:rPr>
              <w:fldChar w:fldCharType="separate"/>
            </w:r>
            <w:r w:rsidR="009B4467">
              <w:rPr>
                <w:noProof/>
                <w:webHidden/>
              </w:rPr>
              <w:t>45</w:t>
            </w:r>
            <w:r w:rsidR="009B4467">
              <w:rPr>
                <w:noProof/>
                <w:webHidden/>
              </w:rPr>
              <w:fldChar w:fldCharType="end"/>
            </w:r>
          </w:hyperlink>
        </w:p>
        <w:p w14:paraId="0268E129" w14:textId="77777777" w:rsidR="009B4467" w:rsidRDefault="00111A09">
          <w:pPr>
            <w:pStyle w:val="TOC4"/>
            <w:tabs>
              <w:tab w:val="left" w:pos="1100"/>
              <w:tab w:val="right" w:leader="dot" w:pos="9132"/>
            </w:tabs>
            <w:rPr>
              <w:rFonts w:asciiTheme="minorHAnsi" w:eastAsiaTheme="minorEastAsia" w:hAnsiTheme="minorHAnsi"/>
              <w:noProof/>
              <w:lang w:eastAsia="en-GB"/>
            </w:rPr>
          </w:pPr>
          <w:hyperlink w:anchor="_Toc399078784" w:history="1">
            <w:r w:rsidR="009B4467" w:rsidRPr="001D60E3">
              <w:rPr>
                <w:rStyle w:val="Hyperlink"/>
                <w:noProof/>
              </w:rPr>
              <w:t>v)</w:t>
            </w:r>
            <w:r w:rsidR="009B4467">
              <w:rPr>
                <w:rFonts w:asciiTheme="minorHAnsi" w:eastAsiaTheme="minorEastAsia" w:hAnsiTheme="minorHAnsi"/>
                <w:noProof/>
                <w:lang w:eastAsia="en-GB"/>
              </w:rPr>
              <w:tab/>
            </w:r>
            <w:r w:rsidR="009B4467" w:rsidRPr="001D60E3">
              <w:rPr>
                <w:rStyle w:val="Hyperlink"/>
                <w:noProof/>
              </w:rPr>
              <w:t>Showcase successes on cross-cutting issues</w:t>
            </w:r>
            <w:r w:rsidR="009B4467">
              <w:rPr>
                <w:noProof/>
                <w:webHidden/>
              </w:rPr>
              <w:tab/>
            </w:r>
            <w:r w:rsidR="009B4467">
              <w:rPr>
                <w:noProof/>
                <w:webHidden/>
              </w:rPr>
              <w:fldChar w:fldCharType="begin"/>
            </w:r>
            <w:r w:rsidR="009B4467">
              <w:rPr>
                <w:noProof/>
                <w:webHidden/>
              </w:rPr>
              <w:instrText xml:space="preserve"> PAGEREF _Toc399078784 \h </w:instrText>
            </w:r>
            <w:r w:rsidR="009B4467">
              <w:rPr>
                <w:noProof/>
                <w:webHidden/>
              </w:rPr>
            </w:r>
            <w:r w:rsidR="009B4467">
              <w:rPr>
                <w:noProof/>
                <w:webHidden/>
              </w:rPr>
              <w:fldChar w:fldCharType="separate"/>
            </w:r>
            <w:r w:rsidR="009B4467">
              <w:rPr>
                <w:noProof/>
                <w:webHidden/>
              </w:rPr>
              <w:t>45</w:t>
            </w:r>
            <w:r w:rsidR="009B4467">
              <w:rPr>
                <w:noProof/>
                <w:webHidden/>
              </w:rPr>
              <w:fldChar w:fldCharType="end"/>
            </w:r>
          </w:hyperlink>
        </w:p>
        <w:p w14:paraId="0C929F44" w14:textId="77777777" w:rsidR="009B4467" w:rsidRDefault="00111A09">
          <w:pPr>
            <w:pStyle w:val="TOC1"/>
            <w:tabs>
              <w:tab w:val="right" w:leader="dot" w:pos="9132"/>
            </w:tabs>
            <w:rPr>
              <w:rFonts w:asciiTheme="minorHAnsi" w:eastAsiaTheme="minorEastAsia" w:hAnsiTheme="minorHAnsi"/>
              <w:noProof/>
              <w:lang w:eastAsia="en-GB"/>
            </w:rPr>
          </w:pPr>
          <w:hyperlink w:anchor="_Toc399078785" w:history="1">
            <w:r w:rsidR="009B4467" w:rsidRPr="001D60E3">
              <w:rPr>
                <w:rStyle w:val="Hyperlink"/>
                <w:noProof/>
              </w:rPr>
              <w:t>Annex 1. Note on Methodology</w:t>
            </w:r>
            <w:r w:rsidR="009B4467">
              <w:rPr>
                <w:noProof/>
                <w:webHidden/>
              </w:rPr>
              <w:tab/>
            </w:r>
            <w:r w:rsidR="009B4467">
              <w:rPr>
                <w:noProof/>
                <w:webHidden/>
              </w:rPr>
              <w:fldChar w:fldCharType="begin"/>
            </w:r>
            <w:r w:rsidR="009B4467">
              <w:rPr>
                <w:noProof/>
                <w:webHidden/>
              </w:rPr>
              <w:instrText xml:space="preserve"> PAGEREF _Toc399078785 \h </w:instrText>
            </w:r>
            <w:r w:rsidR="009B4467">
              <w:rPr>
                <w:noProof/>
                <w:webHidden/>
              </w:rPr>
            </w:r>
            <w:r w:rsidR="009B4467">
              <w:rPr>
                <w:noProof/>
                <w:webHidden/>
              </w:rPr>
              <w:fldChar w:fldCharType="separate"/>
            </w:r>
            <w:r w:rsidR="009B4467">
              <w:rPr>
                <w:noProof/>
                <w:webHidden/>
              </w:rPr>
              <w:t>46</w:t>
            </w:r>
            <w:r w:rsidR="009B4467">
              <w:rPr>
                <w:noProof/>
                <w:webHidden/>
              </w:rPr>
              <w:fldChar w:fldCharType="end"/>
            </w:r>
          </w:hyperlink>
        </w:p>
        <w:p w14:paraId="6FF49E1D" w14:textId="77777777" w:rsidR="009B4467" w:rsidRDefault="00111A09">
          <w:pPr>
            <w:pStyle w:val="TOC1"/>
            <w:tabs>
              <w:tab w:val="right" w:leader="dot" w:pos="9132"/>
            </w:tabs>
            <w:rPr>
              <w:rFonts w:asciiTheme="minorHAnsi" w:eastAsiaTheme="minorEastAsia" w:hAnsiTheme="minorHAnsi"/>
              <w:noProof/>
              <w:lang w:eastAsia="en-GB"/>
            </w:rPr>
          </w:pPr>
          <w:hyperlink w:anchor="_Toc399078786" w:history="1">
            <w:r w:rsidR="009B4467" w:rsidRPr="001D60E3">
              <w:rPr>
                <w:rStyle w:val="Hyperlink"/>
                <w:noProof/>
              </w:rPr>
              <w:t>Annex 2. Terms of Reference, Outcome Evaluation</w:t>
            </w:r>
            <w:r w:rsidR="009B4467">
              <w:rPr>
                <w:noProof/>
                <w:webHidden/>
              </w:rPr>
              <w:tab/>
            </w:r>
            <w:r w:rsidR="009B4467">
              <w:rPr>
                <w:noProof/>
                <w:webHidden/>
              </w:rPr>
              <w:fldChar w:fldCharType="begin"/>
            </w:r>
            <w:r w:rsidR="009B4467">
              <w:rPr>
                <w:noProof/>
                <w:webHidden/>
              </w:rPr>
              <w:instrText xml:space="preserve"> PAGEREF _Toc399078786 \h </w:instrText>
            </w:r>
            <w:r w:rsidR="009B4467">
              <w:rPr>
                <w:noProof/>
                <w:webHidden/>
              </w:rPr>
            </w:r>
            <w:r w:rsidR="009B4467">
              <w:rPr>
                <w:noProof/>
                <w:webHidden/>
              </w:rPr>
              <w:fldChar w:fldCharType="separate"/>
            </w:r>
            <w:r w:rsidR="009B4467">
              <w:rPr>
                <w:noProof/>
                <w:webHidden/>
              </w:rPr>
              <w:t>48</w:t>
            </w:r>
            <w:r w:rsidR="009B4467">
              <w:rPr>
                <w:noProof/>
                <w:webHidden/>
              </w:rPr>
              <w:fldChar w:fldCharType="end"/>
            </w:r>
          </w:hyperlink>
        </w:p>
        <w:p w14:paraId="1662A807" w14:textId="77777777" w:rsidR="009B4467" w:rsidRDefault="00111A09">
          <w:pPr>
            <w:pStyle w:val="TOC1"/>
            <w:tabs>
              <w:tab w:val="right" w:leader="dot" w:pos="9132"/>
            </w:tabs>
            <w:rPr>
              <w:rFonts w:asciiTheme="minorHAnsi" w:eastAsiaTheme="minorEastAsia" w:hAnsiTheme="minorHAnsi"/>
              <w:noProof/>
              <w:lang w:eastAsia="en-GB"/>
            </w:rPr>
          </w:pPr>
          <w:hyperlink w:anchor="_Toc399078787" w:history="1">
            <w:r w:rsidR="009B4467" w:rsidRPr="001D60E3">
              <w:rPr>
                <w:rStyle w:val="Hyperlink"/>
                <w:noProof/>
              </w:rPr>
              <w:t>Annex 3. UNDP projects (2011-2016) under Outcome 1, annotated</w:t>
            </w:r>
            <w:r w:rsidR="009B4467">
              <w:rPr>
                <w:noProof/>
                <w:webHidden/>
              </w:rPr>
              <w:tab/>
            </w:r>
            <w:r w:rsidR="009B4467">
              <w:rPr>
                <w:noProof/>
                <w:webHidden/>
              </w:rPr>
              <w:fldChar w:fldCharType="begin"/>
            </w:r>
            <w:r w:rsidR="009B4467">
              <w:rPr>
                <w:noProof/>
                <w:webHidden/>
              </w:rPr>
              <w:instrText xml:space="preserve"> PAGEREF _Toc399078787 \h </w:instrText>
            </w:r>
            <w:r w:rsidR="009B4467">
              <w:rPr>
                <w:noProof/>
                <w:webHidden/>
              </w:rPr>
            </w:r>
            <w:r w:rsidR="009B4467">
              <w:rPr>
                <w:noProof/>
                <w:webHidden/>
              </w:rPr>
              <w:fldChar w:fldCharType="separate"/>
            </w:r>
            <w:r w:rsidR="009B4467">
              <w:rPr>
                <w:noProof/>
                <w:webHidden/>
              </w:rPr>
              <w:t>54</w:t>
            </w:r>
            <w:r w:rsidR="009B4467">
              <w:rPr>
                <w:noProof/>
                <w:webHidden/>
              </w:rPr>
              <w:fldChar w:fldCharType="end"/>
            </w:r>
          </w:hyperlink>
        </w:p>
        <w:p w14:paraId="61D4D5A7" w14:textId="77777777" w:rsidR="009B4467" w:rsidRDefault="00111A09">
          <w:pPr>
            <w:pStyle w:val="TOC1"/>
            <w:tabs>
              <w:tab w:val="right" w:leader="dot" w:pos="9132"/>
            </w:tabs>
            <w:rPr>
              <w:rFonts w:asciiTheme="minorHAnsi" w:eastAsiaTheme="minorEastAsia" w:hAnsiTheme="minorHAnsi"/>
              <w:noProof/>
              <w:lang w:eastAsia="en-GB"/>
            </w:rPr>
          </w:pPr>
          <w:hyperlink w:anchor="_Toc399078788" w:history="1">
            <w:r w:rsidR="009B4467" w:rsidRPr="001D60E3">
              <w:rPr>
                <w:rStyle w:val="Hyperlink"/>
                <w:noProof/>
              </w:rPr>
              <w:t>Annex 4. Persons met, selected key informants</w:t>
            </w:r>
            <w:r w:rsidR="009B4467">
              <w:rPr>
                <w:noProof/>
                <w:webHidden/>
              </w:rPr>
              <w:tab/>
            </w:r>
            <w:r w:rsidR="009B4467">
              <w:rPr>
                <w:noProof/>
                <w:webHidden/>
              </w:rPr>
              <w:fldChar w:fldCharType="begin"/>
            </w:r>
            <w:r w:rsidR="009B4467">
              <w:rPr>
                <w:noProof/>
                <w:webHidden/>
              </w:rPr>
              <w:instrText xml:space="preserve"> PAGEREF _Toc399078788 \h </w:instrText>
            </w:r>
            <w:r w:rsidR="009B4467">
              <w:rPr>
                <w:noProof/>
                <w:webHidden/>
              </w:rPr>
            </w:r>
            <w:r w:rsidR="009B4467">
              <w:rPr>
                <w:noProof/>
                <w:webHidden/>
              </w:rPr>
              <w:fldChar w:fldCharType="separate"/>
            </w:r>
            <w:r w:rsidR="009B4467">
              <w:rPr>
                <w:noProof/>
                <w:webHidden/>
              </w:rPr>
              <w:t>55</w:t>
            </w:r>
            <w:r w:rsidR="009B4467">
              <w:rPr>
                <w:noProof/>
                <w:webHidden/>
              </w:rPr>
              <w:fldChar w:fldCharType="end"/>
            </w:r>
          </w:hyperlink>
        </w:p>
        <w:p w14:paraId="3D1561F4" w14:textId="77777777" w:rsidR="009B4467" w:rsidRDefault="00111A09">
          <w:pPr>
            <w:pStyle w:val="TOC1"/>
            <w:tabs>
              <w:tab w:val="right" w:leader="dot" w:pos="9132"/>
            </w:tabs>
            <w:rPr>
              <w:rFonts w:asciiTheme="minorHAnsi" w:eastAsiaTheme="minorEastAsia" w:hAnsiTheme="minorHAnsi"/>
              <w:noProof/>
              <w:lang w:eastAsia="en-GB"/>
            </w:rPr>
          </w:pPr>
          <w:hyperlink w:anchor="_Toc399078789" w:history="1">
            <w:r w:rsidR="009B4467" w:rsidRPr="001D60E3">
              <w:rPr>
                <w:rStyle w:val="Hyperlink"/>
                <w:noProof/>
              </w:rPr>
              <w:t>Annex 5.  Selected documents reviewed</w:t>
            </w:r>
            <w:r w:rsidR="009B4467">
              <w:rPr>
                <w:noProof/>
                <w:webHidden/>
              </w:rPr>
              <w:tab/>
            </w:r>
            <w:r w:rsidR="009B4467">
              <w:rPr>
                <w:noProof/>
                <w:webHidden/>
              </w:rPr>
              <w:fldChar w:fldCharType="begin"/>
            </w:r>
            <w:r w:rsidR="009B4467">
              <w:rPr>
                <w:noProof/>
                <w:webHidden/>
              </w:rPr>
              <w:instrText xml:space="preserve"> PAGEREF _Toc399078789 \h </w:instrText>
            </w:r>
            <w:r w:rsidR="009B4467">
              <w:rPr>
                <w:noProof/>
                <w:webHidden/>
              </w:rPr>
            </w:r>
            <w:r w:rsidR="009B4467">
              <w:rPr>
                <w:noProof/>
                <w:webHidden/>
              </w:rPr>
              <w:fldChar w:fldCharType="separate"/>
            </w:r>
            <w:r w:rsidR="009B4467">
              <w:rPr>
                <w:noProof/>
                <w:webHidden/>
              </w:rPr>
              <w:t>55</w:t>
            </w:r>
            <w:r w:rsidR="009B4467">
              <w:rPr>
                <w:noProof/>
                <w:webHidden/>
              </w:rPr>
              <w:fldChar w:fldCharType="end"/>
            </w:r>
          </w:hyperlink>
        </w:p>
        <w:p w14:paraId="785B91E6" w14:textId="77777777" w:rsidR="009B4467" w:rsidRDefault="00111A09">
          <w:pPr>
            <w:pStyle w:val="TOC2"/>
            <w:tabs>
              <w:tab w:val="right" w:leader="dot" w:pos="9132"/>
            </w:tabs>
            <w:rPr>
              <w:rFonts w:asciiTheme="minorHAnsi" w:eastAsiaTheme="minorEastAsia" w:hAnsiTheme="minorHAnsi"/>
              <w:noProof/>
              <w:lang w:eastAsia="en-GB"/>
            </w:rPr>
          </w:pPr>
          <w:hyperlink w:anchor="_Toc399078790" w:history="1">
            <w:r w:rsidR="009B4467" w:rsidRPr="001D60E3">
              <w:rPr>
                <w:rStyle w:val="Hyperlink"/>
                <w:noProof/>
              </w:rPr>
              <w:t>Government Plans</w:t>
            </w:r>
            <w:r w:rsidR="009B4467">
              <w:rPr>
                <w:noProof/>
                <w:webHidden/>
              </w:rPr>
              <w:tab/>
            </w:r>
            <w:r w:rsidR="009B4467">
              <w:rPr>
                <w:noProof/>
                <w:webHidden/>
              </w:rPr>
              <w:fldChar w:fldCharType="begin"/>
            </w:r>
            <w:r w:rsidR="009B4467">
              <w:rPr>
                <w:noProof/>
                <w:webHidden/>
              </w:rPr>
              <w:instrText xml:space="preserve"> PAGEREF _Toc399078790 \h </w:instrText>
            </w:r>
            <w:r w:rsidR="009B4467">
              <w:rPr>
                <w:noProof/>
                <w:webHidden/>
              </w:rPr>
            </w:r>
            <w:r w:rsidR="009B4467">
              <w:rPr>
                <w:noProof/>
                <w:webHidden/>
              </w:rPr>
              <w:fldChar w:fldCharType="separate"/>
            </w:r>
            <w:r w:rsidR="009B4467">
              <w:rPr>
                <w:noProof/>
                <w:webHidden/>
              </w:rPr>
              <w:t>55</w:t>
            </w:r>
            <w:r w:rsidR="009B4467">
              <w:rPr>
                <w:noProof/>
                <w:webHidden/>
              </w:rPr>
              <w:fldChar w:fldCharType="end"/>
            </w:r>
          </w:hyperlink>
        </w:p>
        <w:p w14:paraId="6BF91099" w14:textId="77777777" w:rsidR="009B4467" w:rsidRDefault="00111A09">
          <w:pPr>
            <w:pStyle w:val="TOC2"/>
            <w:tabs>
              <w:tab w:val="right" w:leader="dot" w:pos="9132"/>
            </w:tabs>
            <w:rPr>
              <w:rFonts w:asciiTheme="minorHAnsi" w:eastAsiaTheme="minorEastAsia" w:hAnsiTheme="minorHAnsi"/>
              <w:noProof/>
              <w:lang w:eastAsia="en-GB"/>
            </w:rPr>
          </w:pPr>
          <w:hyperlink w:anchor="_Toc399078791" w:history="1">
            <w:r w:rsidR="009B4467" w:rsidRPr="001D60E3">
              <w:rPr>
                <w:rStyle w:val="Hyperlink"/>
                <w:noProof/>
              </w:rPr>
              <w:t>UNDP programme materials</w:t>
            </w:r>
            <w:r w:rsidR="009B4467">
              <w:rPr>
                <w:noProof/>
                <w:webHidden/>
              </w:rPr>
              <w:tab/>
            </w:r>
            <w:r w:rsidR="009B4467">
              <w:rPr>
                <w:noProof/>
                <w:webHidden/>
              </w:rPr>
              <w:fldChar w:fldCharType="begin"/>
            </w:r>
            <w:r w:rsidR="009B4467">
              <w:rPr>
                <w:noProof/>
                <w:webHidden/>
              </w:rPr>
              <w:instrText xml:space="preserve"> PAGEREF _Toc399078791 \h </w:instrText>
            </w:r>
            <w:r w:rsidR="009B4467">
              <w:rPr>
                <w:noProof/>
                <w:webHidden/>
              </w:rPr>
            </w:r>
            <w:r w:rsidR="009B4467">
              <w:rPr>
                <w:noProof/>
                <w:webHidden/>
              </w:rPr>
              <w:fldChar w:fldCharType="separate"/>
            </w:r>
            <w:r w:rsidR="009B4467">
              <w:rPr>
                <w:noProof/>
                <w:webHidden/>
              </w:rPr>
              <w:t>55</w:t>
            </w:r>
            <w:r w:rsidR="009B4467">
              <w:rPr>
                <w:noProof/>
                <w:webHidden/>
              </w:rPr>
              <w:fldChar w:fldCharType="end"/>
            </w:r>
          </w:hyperlink>
        </w:p>
        <w:p w14:paraId="4CFEBB16" w14:textId="77777777" w:rsidR="009B4467" w:rsidRDefault="00111A09">
          <w:pPr>
            <w:pStyle w:val="TOC1"/>
            <w:tabs>
              <w:tab w:val="right" w:leader="dot" w:pos="9132"/>
            </w:tabs>
            <w:rPr>
              <w:rFonts w:asciiTheme="minorHAnsi" w:eastAsiaTheme="minorEastAsia" w:hAnsiTheme="minorHAnsi"/>
              <w:noProof/>
              <w:lang w:eastAsia="en-GB"/>
            </w:rPr>
          </w:pPr>
          <w:hyperlink w:anchor="_Toc399078792" w:history="1">
            <w:r w:rsidR="009B4467" w:rsidRPr="001D60E3">
              <w:rPr>
                <w:rStyle w:val="Hyperlink"/>
                <w:noProof/>
              </w:rPr>
              <w:t>Annex 6.  Biography of the Evaluator</w:t>
            </w:r>
            <w:r w:rsidR="009B4467">
              <w:rPr>
                <w:noProof/>
                <w:webHidden/>
              </w:rPr>
              <w:tab/>
            </w:r>
            <w:r w:rsidR="009B4467">
              <w:rPr>
                <w:noProof/>
                <w:webHidden/>
              </w:rPr>
              <w:fldChar w:fldCharType="begin"/>
            </w:r>
            <w:r w:rsidR="009B4467">
              <w:rPr>
                <w:noProof/>
                <w:webHidden/>
              </w:rPr>
              <w:instrText xml:space="preserve"> PAGEREF _Toc399078792 \h </w:instrText>
            </w:r>
            <w:r w:rsidR="009B4467">
              <w:rPr>
                <w:noProof/>
                <w:webHidden/>
              </w:rPr>
            </w:r>
            <w:r w:rsidR="009B4467">
              <w:rPr>
                <w:noProof/>
                <w:webHidden/>
              </w:rPr>
              <w:fldChar w:fldCharType="separate"/>
            </w:r>
            <w:r w:rsidR="009B4467">
              <w:rPr>
                <w:noProof/>
                <w:webHidden/>
              </w:rPr>
              <w:t>56</w:t>
            </w:r>
            <w:r w:rsidR="009B4467">
              <w:rPr>
                <w:noProof/>
                <w:webHidden/>
              </w:rPr>
              <w:fldChar w:fldCharType="end"/>
            </w:r>
          </w:hyperlink>
        </w:p>
        <w:p w14:paraId="635C1E6C" w14:textId="77777777" w:rsidR="009B4467" w:rsidRDefault="00111A09">
          <w:pPr>
            <w:pStyle w:val="TOC1"/>
            <w:tabs>
              <w:tab w:val="right" w:leader="dot" w:pos="9132"/>
            </w:tabs>
            <w:rPr>
              <w:rFonts w:asciiTheme="minorHAnsi" w:eastAsiaTheme="minorEastAsia" w:hAnsiTheme="minorHAnsi"/>
              <w:noProof/>
              <w:lang w:eastAsia="en-GB"/>
            </w:rPr>
          </w:pPr>
          <w:hyperlink w:anchor="_Toc399078793" w:history="1">
            <w:r w:rsidR="009B4467" w:rsidRPr="001D60E3">
              <w:rPr>
                <w:rStyle w:val="Hyperlink"/>
                <w:noProof/>
              </w:rPr>
              <w:t>Annex 7.  United Nations Evaluation Group Code of Conduct for Evaluation in the UN System</w:t>
            </w:r>
            <w:r w:rsidR="009B4467">
              <w:rPr>
                <w:noProof/>
                <w:webHidden/>
              </w:rPr>
              <w:tab/>
            </w:r>
            <w:r w:rsidR="009B4467">
              <w:rPr>
                <w:noProof/>
                <w:webHidden/>
              </w:rPr>
              <w:fldChar w:fldCharType="begin"/>
            </w:r>
            <w:r w:rsidR="009B4467">
              <w:rPr>
                <w:noProof/>
                <w:webHidden/>
              </w:rPr>
              <w:instrText xml:space="preserve"> PAGEREF _Toc399078793 \h </w:instrText>
            </w:r>
            <w:r w:rsidR="009B4467">
              <w:rPr>
                <w:noProof/>
                <w:webHidden/>
              </w:rPr>
            </w:r>
            <w:r w:rsidR="009B4467">
              <w:rPr>
                <w:noProof/>
                <w:webHidden/>
              </w:rPr>
              <w:fldChar w:fldCharType="separate"/>
            </w:r>
            <w:r w:rsidR="009B4467">
              <w:rPr>
                <w:noProof/>
                <w:webHidden/>
              </w:rPr>
              <w:t>57</w:t>
            </w:r>
            <w:r w:rsidR="009B4467">
              <w:rPr>
                <w:noProof/>
                <w:webHidden/>
              </w:rPr>
              <w:fldChar w:fldCharType="end"/>
            </w:r>
          </w:hyperlink>
        </w:p>
        <w:p w14:paraId="6007F07F" w14:textId="77777777" w:rsidR="009B4467" w:rsidRDefault="00111A09">
          <w:pPr>
            <w:pStyle w:val="TOC1"/>
            <w:tabs>
              <w:tab w:val="right" w:leader="dot" w:pos="9132"/>
            </w:tabs>
            <w:rPr>
              <w:rFonts w:asciiTheme="minorHAnsi" w:eastAsiaTheme="minorEastAsia" w:hAnsiTheme="minorHAnsi"/>
              <w:noProof/>
              <w:lang w:eastAsia="en-GB"/>
            </w:rPr>
          </w:pPr>
          <w:hyperlink w:anchor="_Toc399078794" w:history="1">
            <w:r w:rsidR="009B4467" w:rsidRPr="001D60E3">
              <w:rPr>
                <w:rStyle w:val="Hyperlink"/>
                <w:noProof/>
              </w:rPr>
              <w:t>Annex 8. Evaluation Matrix</w:t>
            </w:r>
            <w:r w:rsidR="009B4467">
              <w:rPr>
                <w:noProof/>
                <w:webHidden/>
              </w:rPr>
              <w:tab/>
            </w:r>
            <w:r w:rsidR="009B4467">
              <w:rPr>
                <w:noProof/>
                <w:webHidden/>
              </w:rPr>
              <w:fldChar w:fldCharType="begin"/>
            </w:r>
            <w:r w:rsidR="009B4467">
              <w:rPr>
                <w:noProof/>
                <w:webHidden/>
              </w:rPr>
              <w:instrText xml:space="preserve"> PAGEREF _Toc399078794 \h </w:instrText>
            </w:r>
            <w:r w:rsidR="009B4467">
              <w:rPr>
                <w:noProof/>
                <w:webHidden/>
              </w:rPr>
            </w:r>
            <w:r w:rsidR="009B4467">
              <w:rPr>
                <w:noProof/>
                <w:webHidden/>
              </w:rPr>
              <w:fldChar w:fldCharType="separate"/>
            </w:r>
            <w:r w:rsidR="009B4467">
              <w:rPr>
                <w:noProof/>
                <w:webHidden/>
              </w:rPr>
              <w:t>58</w:t>
            </w:r>
            <w:r w:rsidR="009B4467">
              <w:rPr>
                <w:noProof/>
                <w:webHidden/>
              </w:rPr>
              <w:fldChar w:fldCharType="end"/>
            </w:r>
          </w:hyperlink>
        </w:p>
        <w:p w14:paraId="2BA21B1E" w14:textId="77777777" w:rsidR="009B4467" w:rsidRDefault="00111A09">
          <w:pPr>
            <w:pStyle w:val="TOC1"/>
            <w:tabs>
              <w:tab w:val="right" w:leader="dot" w:pos="9132"/>
            </w:tabs>
            <w:rPr>
              <w:rFonts w:asciiTheme="minorHAnsi" w:eastAsiaTheme="minorEastAsia" w:hAnsiTheme="minorHAnsi"/>
              <w:noProof/>
              <w:lang w:eastAsia="en-GB"/>
            </w:rPr>
          </w:pPr>
          <w:hyperlink w:anchor="_Toc399078795" w:history="1">
            <w:r w:rsidR="009B4467" w:rsidRPr="001D60E3">
              <w:rPr>
                <w:rStyle w:val="Hyperlink"/>
                <w:noProof/>
              </w:rPr>
              <w:t>References</w:t>
            </w:r>
            <w:r w:rsidR="009B4467">
              <w:rPr>
                <w:noProof/>
                <w:webHidden/>
              </w:rPr>
              <w:tab/>
            </w:r>
            <w:r w:rsidR="009B4467">
              <w:rPr>
                <w:noProof/>
                <w:webHidden/>
              </w:rPr>
              <w:fldChar w:fldCharType="begin"/>
            </w:r>
            <w:r w:rsidR="009B4467">
              <w:rPr>
                <w:noProof/>
                <w:webHidden/>
              </w:rPr>
              <w:instrText xml:space="preserve"> PAGEREF _Toc399078795 \h </w:instrText>
            </w:r>
            <w:r w:rsidR="009B4467">
              <w:rPr>
                <w:noProof/>
                <w:webHidden/>
              </w:rPr>
            </w:r>
            <w:r w:rsidR="009B4467">
              <w:rPr>
                <w:noProof/>
                <w:webHidden/>
              </w:rPr>
              <w:fldChar w:fldCharType="separate"/>
            </w:r>
            <w:r w:rsidR="009B4467">
              <w:rPr>
                <w:noProof/>
                <w:webHidden/>
              </w:rPr>
              <w:t>63</w:t>
            </w:r>
            <w:r w:rsidR="009B4467">
              <w:rPr>
                <w:noProof/>
                <w:webHidden/>
              </w:rPr>
              <w:fldChar w:fldCharType="end"/>
            </w:r>
          </w:hyperlink>
        </w:p>
        <w:p w14:paraId="5A23461C" w14:textId="77777777" w:rsidR="00A351AA" w:rsidRDefault="00D209A5">
          <w:r>
            <w:fldChar w:fldCharType="end"/>
          </w:r>
        </w:p>
      </w:sdtContent>
    </w:sdt>
    <w:p w14:paraId="1645870D" w14:textId="77777777" w:rsidR="00E41BFC" w:rsidRDefault="00E41BFC" w:rsidP="00E41BFC">
      <w:r>
        <w:t xml:space="preserve"> </w:t>
      </w:r>
    </w:p>
    <w:p w14:paraId="045AC043" w14:textId="77777777" w:rsidR="00770977" w:rsidRDefault="00770977">
      <w:pPr>
        <w:rPr>
          <w:rFonts w:asciiTheme="majorHAnsi" w:eastAsiaTheme="majorEastAsia" w:hAnsiTheme="majorHAnsi" w:cstheme="majorBidi"/>
          <w:b/>
          <w:bCs/>
          <w:color w:val="365F91" w:themeColor="accent1" w:themeShade="BF"/>
          <w:sz w:val="28"/>
          <w:szCs w:val="28"/>
        </w:rPr>
      </w:pPr>
      <w:r>
        <w:br w:type="page"/>
      </w:r>
    </w:p>
    <w:p w14:paraId="288E8935" w14:textId="77777777" w:rsidR="003B614C" w:rsidRDefault="003B614C" w:rsidP="00AA52EB">
      <w:pPr>
        <w:pStyle w:val="Heading1"/>
        <w:jc w:val="center"/>
      </w:pPr>
      <w:bookmarkStart w:id="0" w:name="_Toc399078738"/>
      <w:r w:rsidRPr="005C55C3">
        <w:t>Abbreviations</w:t>
      </w:r>
      <w:bookmarkEnd w:id="0"/>
    </w:p>
    <w:p w14:paraId="7F3278F0" w14:textId="77777777" w:rsidR="00770977" w:rsidRPr="00770977" w:rsidRDefault="00770977" w:rsidP="00770977"/>
    <w:tbl>
      <w:tblPr>
        <w:tblStyle w:val="TableGrid"/>
        <w:tblW w:w="0" w:type="auto"/>
        <w:jc w:val="center"/>
        <w:tblLook w:val="04A0" w:firstRow="1" w:lastRow="0" w:firstColumn="1" w:lastColumn="0" w:noHBand="0" w:noVBand="1"/>
      </w:tblPr>
      <w:tblGrid>
        <w:gridCol w:w="2193"/>
        <w:gridCol w:w="6097"/>
      </w:tblGrid>
      <w:tr w:rsidR="00D47C0C" w:rsidRPr="00AA52EB" w14:paraId="3B6ADD49" w14:textId="77777777" w:rsidTr="00AA52EB">
        <w:trPr>
          <w:jc w:val="center"/>
        </w:trPr>
        <w:tc>
          <w:tcPr>
            <w:tcW w:w="0" w:type="auto"/>
          </w:tcPr>
          <w:p w14:paraId="4E56825A" w14:textId="77777777" w:rsidR="00D47C0C" w:rsidRPr="00AA52EB" w:rsidRDefault="001C7660" w:rsidP="003B614C">
            <w:pPr>
              <w:rPr>
                <w:sz w:val="20"/>
              </w:rPr>
            </w:pPr>
            <w:r>
              <w:rPr>
                <w:sz w:val="20"/>
              </w:rPr>
              <w:t>AYS</w:t>
            </w:r>
          </w:p>
        </w:tc>
        <w:tc>
          <w:tcPr>
            <w:tcW w:w="0" w:type="auto"/>
          </w:tcPr>
          <w:p w14:paraId="67D39793" w14:textId="77777777" w:rsidR="00D47C0C" w:rsidRPr="00AA52EB" w:rsidRDefault="001C7660" w:rsidP="003B614C">
            <w:pPr>
              <w:rPr>
                <w:sz w:val="20"/>
              </w:rPr>
            </w:pPr>
            <w:r>
              <w:rPr>
                <w:sz w:val="20"/>
              </w:rPr>
              <w:t xml:space="preserve">Arab Youth Survey </w:t>
            </w:r>
          </w:p>
        </w:tc>
      </w:tr>
      <w:tr w:rsidR="00D47C0C" w:rsidRPr="00AA52EB" w14:paraId="1FE3823C" w14:textId="77777777" w:rsidTr="00AA52EB">
        <w:trPr>
          <w:jc w:val="center"/>
        </w:trPr>
        <w:tc>
          <w:tcPr>
            <w:tcW w:w="0" w:type="auto"/>
          </w:tcPr>
          <w:p w14:paraId="0DB80F2A" w14:textId="77777777" w:rsidR="00D47C0C" w:rsidRPr="00AA52EB" w:rsidRDefault="00D47C0C" w:rsidP="003B614C">
            <w:pPr>
              <w:rPr>
                <w:sz w:val="20"/>
              </w:rPr>
            </w:pPr>
            <w:r w:rsidRPr="00AA52EB">
              <w:rPr>
                <w:sz w:val="20"/>
              </w:rPr>
              <w:t xml:space="preserve">CDSI </w:t>
            </w:r>
          </w:p>
        </w:tc>
        <w:tc>
          <w:tcPr>
            <w:tcW w:w="0" w:type="auto"/>
          </w:tcPr>
          <w:p w14:paraId="692A8955" w14:textId="77777777" w:rsidR="00D47C0C" w:rsidRPr="00AA52EB" w:rsidRDefault="00D47C0C" w:rsidP="003B614C">
            <w:pPr>
              <w:rPr>
                <w:sz w:val="20"/>
              </w:rPr>
            </w:pPr>
            <w:r w:rsidRPr="00AA52EB">
              <w:rPr>
                <w:sz w:val="20"/>
              </w:rPr>
              <w:t>Central Department of Statistics and Information</w:t>
            </w:r>
          </w:p>
        </w:tc>
      </w:tr>
      <w:tr w:rsidR="005445E1" w:rsidRPr="00AA52EB" w14:paraId="6D26CE7D" w14:textId="77777777" w:rsidTr="00AA52EB">
        <w:trPr>
          <w:jc w:val="center"/>
        </w:trPr>
        <w:tc>
          <w:tcPr>
            <w:tcW w:w="0" w:type="auto"/>
          </w:tcPr>
          <w:p w14:paraId="7607F10A" w14:textId="77777777" w:rsidR="005445E1" w:rsidRPr="00AA52EB" w:rsidRDefault="005445E1" w:rsidP="003B614C">
            <w:pPr>
              <w:rPr>
                <w:sz w:val="20"/>
              </w:rPr>
            </w:pPr>
            <w:r>
              <w:rPr>
                <w:sz w:val="20"/>
              </w:rPr>
              <w:t xml:space="preserve">CO </w:t>
            </w:r>
          </w:p>
        </w:tc>
        <w:tc>
          <w:tcPr>
            <w:tcW w:w="0" w:type="auto"/>
          </w:tcPr>
          <w:p w14:paraId="29B70425" w14:textId="77777777" w:rsidR="005445E1" w:rsidRPr="00AA52EB" w:rsidRDefault="005445E1" w:rsidP="003B614C">
            <w:pPr>
              <w:rPr>
                <w:sz w:val="20"/>
              </w:rPr>
            </w:pPr>
            <w:r>
              <w:rPr>
                <w:sz w:val="20"/>
              </w:rPr>
              <w:t>country office</w:t>
            </w:r>
          </w:p>
        </w:tc>
      </w:tr>
      <w:tr w:rsidR="00D47C0C" w:rsidRPr="00AA52EB" w14:paraId="6D205C8C" w14:textId="77777777" w:rsidTr="00AA52EB">
        <w:trPr>
          <w:jc w:val="center"/>
        </w:trPr>
        <w:tc>
          <w:tcPr>
            <w:tcW w:w="0" w:type="auto"/>
          </w:tcPr>
          <w:p w14:paraId="04CC8374" w14:textId="77777777" w:rsidR="00D47C0C" w:rsidRPr="00AA52EB" w:rsidRDefault="00D47C0C" w:rsidP="003B614C">
            <w:pPr>
              <w:rPr>
                <w:sz w:val="20"/>
              </w:rPr>
            </w:pPr>
            <w:r w:rsidRPr="00AA52EB">
              <w:rPr>
                <w:sz w:val="20"/>
              </w:rPr>
              <w:t>CP</w:t>
            </w:r>
          </w:p>
        </w:tc>
        <w:tc>
          <w:tcPr>
            <w:tcW w:w="0" w:type="auto"/>
          </w:tcPr>
          <w:p w14:paraId="34DBBE4D" w14:textId="77777777" w:rsidR="00D47C0C" w:rsidRPr="00AA52EB" w:rsidRDefault="00D47C0C" w:rsidP="00695460">
            <w:pPr>
              <w:rPr>
                <w:sz w:val="20"/>
              </w:rPr>
            </w:pPr>
            <w:r w:rsidRPr="00AA52EB">
              <w:rPr>
                <w:sz w:val="20"/>
              </w:rPr>
              <w:t xml:space="preserve">country programme </w:t>
            </w:r>
          </w:p>
        </w:tc>
      </w:tr>
      <w:tr w:rsidR="00D47C0C" w:rsidRPr="00AA52EB" w14:paraId="792938A4" w14:textId="77777777" w:rsidTr="00AA52EB">
        <w:trPr>
          <w:jc w:val="center"/>
        </w:trPr>
        <w:tc>
          <w:tcPr>
            <w:tcW w:w="0" w:type="auto"/>
          </w:tcPr>
          <w:p w14:paraId="0D8B5921" w14:textId="77777777" w:rsidR="00D47C0C" w:rsidRPr="00AA52EB" w:rsidRDefault="00D47C0C" w:rsidP="003B614C">
            <w:pPr>
              <w:rPr>
                <w:sz w:val="20"/>
              </w:rPr>
            </w:pPr>
            <w:r w:rsidRPr="00AA52EB">
              <w:rPr>
                <w:sz w:val="20"/>
              </w:rPr>
              <w:t>CPD</w:t>
            </w:r>
          </w:p>
        </w:tc>
        <w:tc>
          <w:tcPr>
            <w:tcW w:w="0" w:type="auto"/>
          </w:tcPr>
          <w:p w14:paraId="35E6FA9D" w14:textId="77777777" w:rsidR="00D47C0C" w:rsidRPr="00AA52EB" w:rsidRDefault="00D47C0C" w:rsidP="003B614C">
            <w:pPr>
              <w:rPr>
                <w:sz w:val="20"/>
              </w:rPr>
            </w:pPr>
            <w:r w:rsidRPr="00AA52EB">
              <w:rPr>
                <w:sz w:val="20"/>
              </w:rPr>
              <w:t>Country Programme Document</w:t>
            </w:r>
          </w:p>
        </w:tc>
      </w:tr>
      <w:tr w:rsidR="00814F82" w:rsidRPr="00AA52EB" w14:paraId="50513975" w14:textId="77777777" w:rsidTr="00AA52EB">
        <w:trPr>
          <w:jc w:val="center"/>
        </w:trPr>
        <w:tc>
          <w:tcPr>
            <w:tcW w:w="0" w:type="auto"/>
          </w:tcPr>
          <w:p w14:paraId="3D6EE317" w14:textId="77777777" w:rsidR="00814F82" w:rsidRPr="00AA52EB" w:rsidRDefault="00814F82" w:rsidP="003B614C">
            <w:pPr>
              <w:rPr>
                <w:sz w:val="20"/>
              </w:rPr>
            </w:pPr>
            <w:r>
              <w:rPr>
                <w:sz w:val="20"/>
              </w:rPr>
              <w:t>CSR</w:t>
            </w:r>
          </w:p>
        </w:tc>
        <w:tc>
          <w:tcPr>
            <w:tcW w:w="0" w:type="auto"/>
          </w:tcPr>
          <w:p w14:paraId="620AB867" w14:textId="77777777" w:rsidR="00814F82" w:rsidRDefault="00814F82" w:rsidP="003B614C">
            <w:pPr>
              <w:rPr>
                <w:sz w:val="20"/>
              </w:rPr>
            </w:pPr>
            <w:r>
              <w:rPr>
                <w:sz w:val="20"/>
              </w:rPr>
              <w:t>corporate social responsibility</w:t>
            </w:r>
          </w:p>
        </w:tc>
      </w:tr>
      <w:tr w:rsidR="00384A01" w:rsidRPr="00AA52EB" w14:paraId="746DA361" w14:textId="77777777" w:rsidTr="00AA52EB">
        <w:trPr>
          <w:jc w:val="center"/>
        </w:trPr>
        <w:tc>
          <w:tcPr>
            <w:tcW w:w="0" w:type="auto"/>
          </w:tcPr>
          <w:p w14:paraId="571628E0" w14:textId="77777777" w:rsidR="00384A01" w:rsidRDefault="00384A01" w:rsidP="003B614C">
            <w:pPr>
              <w:rPr>
                <w:sz w:val="20"/>
              </w:rPr>
            </w:pPr>
            <w:r>
              <w:rPr>
                <w:sz w:val="20"/>
              </w:rPr>
              <w:t>CT</w:t>
            </w:r>
          </w:p>
        </w:tc>
        <w:tc>
          <w:tcPr>
            <w:tcW w:w="0" w:type="auto"/>
          </w:tcPr>
          <w:p w14:paraId="082AFE62" w14:textId="77777777" w:rsidR="00384A01" w:rsidRDefault="00384A01" w:rsidP="00384A01">
            <w:pPr>
              <w:rPr>
                <w:sz w:val="20"/>
              </w:rPr>
            </w:pPr>
            <w:r>
              <w:rPr>
                <w:sz w:val="20"/>
              </w:rPr>
              <w:t xml:space="preserve">(UN) country team </w:t>
            </w:r>
          </w:p>
        </w:tc>
      </w:tr>
      <w:tr w:rsidR="00C03DAE" w:rsidRPr="00AA52EB" w14:paraId="19431953" w14:textId="77777777" w:rsidTr="00AA52EB">
        <w:trPr>
          <w:jc w:val="center"/>
        </w:trPr>
        <w:tc>
          <w:tcPr>
            <w:tcW w:w="0" w:type="auto"/>
          </w:tcPr>
          <w:p w14:paraId="2D21BFC5" w14:textId="77777777" w:rsidR="00C03DAE" w:rsidRDefault="00C03DAE" w:rsidP="003B614C">
            <w:pPr>
              <w:rPr>
                <w:sz w:val="20"/>
              </w:rPr>
            </w:pPr>
            <w:r>
              <w:rPr>
                <w:sz w:val="20"/>
              </w:rPr>
              <w:t xml:space="preserve">DGTTF  </w:t>
            </w:r>
          </w:p>
        </w:tc>
        <w:tc>
          <w:tcPr>
            <w:tcW w:w="0" w:type="auto"/>
          </w:tcPr>
          <w:p w14:paraId="02C6A20A" w14:textId="77777777" w:rsidR="00C03DAE" w:rsidRDefault="00C03DAE" w:rsidP="00384A01">
            <w:pPr>
              <w:rPr>
                <w:sz w:val="20"/>
              </w:rPr>
            </w:pPr>
            <w:r>
              <w:rPr>
                <w:sz w:val="20"/>
              </w:rPr>
              <w:t>Democratic Governance Thematic Trust Fund (UNDP)</w:t>
            </w:r>
          </w:p>
        </w:tc>
      </w:tr>
      <w:tr w:rsidR="00D47C0C" w:rsidRPr="00AA52EB" w14:paraId="71D7E67E" w14:textId="77777777" w:rsidTr="00AA52EB">
        <w:trPr>
          <w:jc w:val="center"/>
        </w:trPr>
        <w:tc>
          <w:tcPr>
            <w:tcW w:w="0" w:type="auto"/>
          </w:tcPr>
          <w:p w14:paraId="3E2F47C4" w14:textId="77777777" w:rsidR="00D47C0C" w:rsidRPr="00AA52EB" w:rsidRDefault="00D47C0C" w:rsidP="003B614C">
            <w:pPr>
              <w:rPr>
                <w:sz w:val="20"/>
              </w:rPr>
            </w:pPr>
            <w:r w:rsidRPr="00AA52EB">
              <w:rPr>
                <w:sz w:val="20"/>
              </w:rPr>
              <w:t>EO</w:t>
            </w:r>
          </w:p>
        </w:tc>
        <w:tc>
          <w:tcPr>
            <w:tcW w:w="0" w:type="auto"/>
          </w:tcPr>
          <w:p w14:paraId="36E1070A" w14:textId="77777777" w:rsidR="00D47C0C" w:rsidRPr="00AA52EB" w:rsidRDefault="00572B7D" w:rsidP="003B614C">
            <w:pPr>
              <w:rPr>
                <w:sz w:val="20"/>
              </w:rPr>
            </w:pPr>
            <w:r>
              <w:rPr>
                <w:sz w:val="20"/>
              </w:rPr>
              <w:t xml:space="preserve">(UN) </w:t>
            </w:r>
            <w:r w:rsidR="00D47C0C" w:rsidRPr="00AA52EB">
              <w:rPr>
                <w:sz w:val="20"/>
              </w:rPr>
              <w:t>Evaluation Office</w:t>
            </w:r>
          </w:p>
        </w:tc>
      </w:tr>
      <w:tr w:rsidR="00A54892" w:rsidRPr="00AA52EB" w14:paraId="0EAD8F51" w14:textId="77777777" w:rsidTr="00AA52EB">
        <w:trPr>
          <w:jc w:val="center"/>
        </w:trPr>
        <w:tc>
          <w:tcPr>
            <w:tcW w:w="0" w:type="auto"/>
          </w:tcPr>
          <w:p w14:paraId="02B26424" w14:textId="77777777" w:rsidR="00A54892" w:rsidRPr="00AA52EB" w:rsidRDefault="00A54892" w:rsidP="003B614C">
            <w:pPr>
              <w:rPr>
                <w:sz w:val="20"/>
              </w:rPr>
            </w:pPr>
            <w:r>
              <w:rPr>
                <w:sz w:val="20"/>
              </w:rPr>
              <w:t>GDP</w:t>
            </w:r>
          </w:p>
        </w:tc>
        <w:tc>
          <w:tcPr>
            <w:tcW w:w="0" w:type="auto"/>
          </w:tcPr>
          <w:p w14:paraId="10B87001" w14:textId="77777777" w:rsidR="00A54892" w:rsidRDefault="00A54892" w:rsidP="003B614C">
            <w:pPr>
              <w:rPr>
                <w:sz w:val="20"/>
              </w:rPr>
            </w:pPr>
            <w:r>
              <w:rPr>
                <w:sz w:val="20"/>
              </w:rPr>
              <w:t>gross domestic product</w:t>
            </w:r>
          </w:p>
        </w:tc>
      </w:tr>
      <w:tr w:rsidR="007A5328" w:rsidRPr="00AA52EB" w14:paraId="12A9C00A" w14:textId="77777777" w:rsidTr="00AA52EB">
        <w:trPr>
          <w:jc w:val="center"/>
        </w:trPr>
        <w:tc>
          <w:tcPr>
            <w:tcW w:w="0" w:type="auto"/>
          </w:tcPr>
          <w:p w14:paraId="335FBC57" w14:textId="77777777" w:rsidR="007A5328" w:rsidRPr="00AA52EB" w:rsidRDefault="007A5328" w:rsidP="003B614C">
            <w:pPr>
              <w:rPr>
                <w:sz w:val="20"/>
              </w:rPr>
            </w:pPr>
            <w:r>
              <w:rPr>
                <w:sz w:val="20"/>
              </w:rPr>
              <w:t>GPYW</w:t>
            </w:r>
          </w:p>
        </w:tc>
        <w:tc>
          <w:tcPr>
            <w:tcW w:w="0" w:type="auto"/>
          </w:tcPr>
          <w:p w14:paraId="7AC92BFF" w14:textId="77777777" w:rsidR="007A5328" w:rsidRDefault="007A5328" w:rsidP="003B614C">
            <w:pPr>
              <w:rPr>
                <w:sz w:val="20"/>
              </w:rPr>
            </w:pPr>
            <w:r>
              <w:rPr>
                <w:sz w:val="20"/>
              </w:rPr>
              <w:t>General Presidency for Youth Welfare</w:t>
            </w:r>
          </w:p>
        </w:tc>
      </w:tr>
      <w:tr w:rsidR="00A54892" w:rsidRPr="00AA52EB" w14:paraId="770435CB" w14:textId="77777777" w:rsidTr="00AA52EB">
        <w:trPr>
          <w:jc w:val="center"/>
        </w:trPr>
        <w:tc>
          <w:tcPr>
            <w:tcW w:w="0" w:type="auto"/>
          </w:tcPr>
          <w:p w14:paraId="1538F06A" w14:textId="77777777" w:rsidR="00A54892" w:rsidRDefault="00A54892" w:rsidP="003B614C">
            <w:pPr>
              <w:rPr>
                <w:sz w:val="20"/>
              </w:rPr>
            </w:pPr>
            <w:r>
              <w:rPr>
                <w:sz w:val="20"/>
              </w:rPr>
              <w:t>HDI</w:t>
            </w:r>
          </w:p>
        </w:tc>
        <w:tc>
          <w:tcPr>
            <w:tcW w:w="0" w:type="auto"/>
          </w:tcPr>
          <w:p w14:paraId="446BCF80" w14:textId="77777777" w:rsidR="00A54892" w:rsidRDefault="00A54892" w:rsidP="003B614C">
            <w:pPr>
              <w:rPr>
                <w:sz w:val="20"/>
              </w:rPr>
            </w:pPr>
            <w:r>
              <w:rPr>
                <w:sz w:val="20"/>
              </w:rPr>
              <w:t>Human Development Index</w:t>
            </w:r>
          </w:p>
        </w:tc>
      </w:tr>
      <w:tr w:rsidR="0012292B" w:rsidRPr="00AA52EB" w14:paraId="00442D60" w14:textId="77777777" w:rsidTr="00AA52EB">
        <w:trPr>
          <w:jc w:val="center"/>
        </w:trPr>
        <w:tc>
          <w:tcPr>
            <w:tcW w:w="0" w:type="auto"/>
          </w:tcPr>
          <w:p w14:paraId="779093D8" w14:textId="77777777" w:rsidR="0012292B" w:rsidRPr="00AA52EB" w:rsidRDefault="0012292B" w:rsidP="003B614C">
            <w:pPr>
              <w:rPr>
                <w:sz w:val="20"/>
              </w:rPr>
            </w:pPr>
            <w:r w:rsidRPr="00AA52EB">
              <w:rPr>
                <w:sz w:val="20"/>
              </w:rPr>
              <w:t>HDR</w:t>
            </w:r>
          </w:p>
        </w:tc>
        <w:tc>
          <w:tcPr>
            <w:tcW w:w="0" w:type="auto"/>
          </w:tcPr>
          <w:p w14:paraId="0084C347" w14:textId="77777777" w:rsidR="0012292B" w:rsidRPr="00AA52EB" w:rsidRDefault="0012292B" w:rsidP="003B614C">
            <w:pPr>
              <w:rPr>
                <w:sz w:val="20"/>
              </w:rPr>
            </w:pPr>
            <w:r w:rsidRPr="00AA52EB">
              <w:rPr>
                <w:sz w:val="20"/>
              </w:rPr>
              <w:t>Human Development Report (UNDP)</w:t>
            </w:r>
          </w:p>
        </w:tc>
      </w:tr>
      <w:tr w:rsidR="00A54892" w:rsidRPr="00AA52EB" w14:paraId="54AC708B" w14:textId="77777777" w:rsidTr="00AA52EB">
        <w:trPr>
          <w:jc w:val="center"/>
        </w:trPr>
        <w:tc>
          <w:tcPr>
            <w:tcW w:w="0" w:type="auto"/>
          </w:tcPr>
          <w:p w14:paraId="528D604A" w14:textId="77777777" w:rsidR="00A54892" w:rsidRPr="00AA52EB" w:rsidRDefault="00A54892" w:rsidP="003B614C">
            <w:pPr>
              <w:rPr>
                <w:sz w:val="20"/>
              </w:rPr>
            </w:pPr>
            <w:r>
              <w:rPr>
                <w:sz w:val="20"/>
              </w:rPr>
              <w:t>IFC</w:t>
            </w:r>
          </w:p>
        </w:tc>
        <w:tc>
          <w:tcPr>
            <w:tcW w:w="0" w:type="auto"/>
          </w:tcPr>
          <w:p w14:paraId="14B3E6DD" w14:textId="77777777" w:rsidR="00A54892" w:rsidRPr="00AA52EB" w:rsidRDefault="00A54892" w:rsidP="003B614C">
            <w:pPr>
              <w:rPr>
                <w:sz w:val="20"/>
              </w:rPr>
            </w:pPr>
            <w:r>
              <w:rPr>
                <w:sz w:val="20"/>
              </w:rPr>
              <w:t>International Finance Corporation (WB)</w:t>
            </w:r>
          </w:p>
        </w:tc>
      </w:tr>
      <w:tr w:rsidR="0067260C" w:rsidRPr="00AA52EB" w14:paraId="1CDA9FE8" w14:textId="77777777" w:rsidTr="00AA52EB">
        <w:trPr>
          <w:jc w:val="center"/>
        </w:trPr>
        <w:tc>
          <w:tcPr>
            <w:tcW w:w="0" w:type="auto"/>
          </w:tcPr>
          <w:p w14:paraId="7666708A" w14:textId="77777777" w:rsidR="0067260C" w:rsidRPr="00AA52EB" w:rsidRDefault="0067260C" w:rsidP="003B614C">
            <w:pPr>
              <w:rPr>
                <w:sz w:val="20"/>
              </w:rPr>
            </w:pPr>
            <w:r>
              <w:rPr>
                <w:sz w:val="20"/>
              </w:rPr>
              <w:t>ILO</w:t>
            </w:r>
          </w:p>
        </w:tc>
        <w:tc>
          <w:tcPr>
            <w:tcW w:w="0" w:type="auto"/>
          </w:tcPr>
          <w:p w14:paraId="52F85B7D" w14:textId="77777777" w:rsidR="0067260C" w:rsidRPr="00AA52EB" w:rsidRDefault="0067260C" w:rsidP="003B614C">
            <w:pPr>
              <w:rPr>
                <w:sz w:val="20"/>
              </w:rPr>
            </w:pPr>
            <w:r>
              <w:rPr>
                <w:sz w:val="20"/>
              </w:rPr>
              <w:t>International Labour Organization</w:t>
            </w:r>
          </w:p>
        </w:tc>
      </w:tr>
      <w:tr w:rsidR="00D47C0C" w:rsidRPr="00AA52EB" w14:paraId="583A4517" w14:textId="77777777" w:rsidTr="00AA52EB">
        <w:trPr>
          <w:jc w:val="center"/>
        </w:trPr>
        <w:tc>
          <w:tcPr>
            <w:tcW w:w="0" w:type="auto"/>
          </w:tcPr>
          <w:p w14:paraId="0A35446D" w14:textId="77777777" w:rsidR="00D47C0C" w:rsidRPr="00AA52EB" w:rsidRDefault="00D47C0C" w:rsidP="003B614C">
            <w:pPr>
              <w:rPr>
                <w:sz w:val="20"/>
              </w:rPr>
            </w:pPr>
            <w:r w:rsidRPr="00AA52EB">
              <w:rPr>
                <w:sz w:val="20"/>
              </w:rPr>
              <w:t>KSA</w:t>
            </w:r>
          </w:p>
        </w:tc>
        <w:tc>
          <w:tcPr>
            <w:tcW w:w="0" w:type="auto"/>
          </w:tcPr>
          <w:p w14:paraId="388EC577" w14:textId="77777777" w:rsidR="00D47C0C" w:rsidRPr="00AA52EB" w:rsidRDefault="00D47C0C" w:rsidP="003B614C">
            <w:pPr>
              <w:rPr>
                <w:sz w:val="20"/>
              </w:rPr>
            </w:pPr>
            <w:r w:rsidRPr="00AA52EB">
              <w:rPr>
                <w:sz w:val="20"/>
              </w:rPr>
              <w:t>Kingdom of Saudi Arabia</w:t>
            </w:r>
          </w:p>
        </w:tc>
      </w:tr>
      <w:tr w:rsidR="00F35208" w:rsidRPr="00AA52EB" w14:paraId="152D898A" w14:textId="77777777" w:rsidTr="00AA52EB">
        <w:trPr>
          <w:jc w:val="center"/>
        </w:trPr>
        <w:tc>
          <w:tcPr>
            <w:tcW w:w="0" w:type="auto"/>
          </w:tcPr>
          <w:p w14:paraId="4E795B8C" w14:textId="77777777" w:rsidR="00F35208" w:rsidRPr="00F35208" w:rsidRDefault="00F35208" w:rsidP="003B614C">
            <w:pPr>
              <w:rPr>
                <w:sz w:val="20"/>
                <w:szCs w:val="20"/>
              </w:rPr>
            </w:pPr>
            <w:r w:rsidRPr="00F35208">
              <w:rPr>
                <w:sz w:val="20"/>
                <w:szCs w:val="20"/>
              </w:rPr>
              <w:t>KACND</w:t>
            </w:r>
          </w:p>
        </w:tc>
        <w:tc>
          <w:tcPr>
            <w:tcW w:w="0" w:type="auto"/>
          </w:tcPr>
          <w:p w14:paraId="20B9DBAF" w14:textId="77777777" w:rsidR="00F35208" w:rsidRPr="00F35208" w:rsidRDefault="00F35208" w:rsidP="00F35208">
            <w:pPr>
              <w:rPr>
                <w:sz w:val="20"/>
                <w:szCs w:val="20"/>
              </w:rPr>
            </w:pPr>
            <w:r w:rsidRPr="00F35208">
              <w:rPr>
                <w:sz w:val="20"/>
                <w:szCs w:val="20"/>
              </w:rPr>
              <w:t xml:space="preserve">King Abdulaziz Center for National Dialogue </w:t>
            </w:r>
          </w:p>
        </w:tc>
      </w:tr>
      <w:tr w:rsidR="00472B1D" w:rsidRPr="00AA52EB" w14:paraId="755A3459" w14:textId="77777777" w:rsidTr="00AA52EB">
        <w:trPr>
          <w:jc w:val="center"/>
        </w:trPr>
        <w:tc>
          <w:tcPr>
            <w:tcW w:w="0" w:type="auto"/>
          </w:tcPr>
          <w:p w14:paraId="0F02391F" w14:textId="77777777" w:rsidR="00472B1D" w:rsidRPr="00AA52EB" w:rsidRDefault="00472B1D" w:rsidP="003B614C">
            <w:pPr>
              <w:rPr>
                <w:sz w:val="20"/>
              </w:rPr>
            </w:pPr>
            <w:r>
              <w:rPr>
                <w:sz w:val="20"/>
              </w:rPr>
              <w:t xml:space="preserve">M&amp;E </w:t>
            </w:r>
          </w:p>
        </w:tc>
        <w:tc>
          <w:tcPr>
            <w:tcW w:w="0" w:type="auto"/>
          </w:tcPr>
          <w:p w14:paraId="63560066" w14:textId="77777777" w:rsidR="00472B1D" w:rsidRPr="00AA52EB" w:rsidRDefault="00472B1D" w:rsidP="003B614C">
            <w:pPr>
              <w:rPr>
                <w:sz w:val="20"/>
              </w:rPr>
            </w:pPr>
            <w:r>
              <w:rPr>
                <w:sz w:val="20"/>
              </w:rPr>
              <w:t>monitoring and evaluation</w:t>
            </w:r>
          </w:p>
        </w:tc>
      </w:tr>
      <w:tr w:rsidR="00AA52EB" w:rsidRPr="00AA52EB" w14:paraId="0B69B131" w14:textId="77777777" w:rsidTr="00AA52EB">
        <w:trPr>
          <w:jc w:val="center"/>
        </w:trPr>
        <w:tc>
          <w:tcPr>
            <w:tcW w:w="0" w:type="auto"/>
          </w:tcPr>
          <w:p w14:paraId="20973EBC" w14:textId="77777777" w:rsidR="00AA52EB" w:rsidRPr="00AA52EB" w:rsidRDefault="00AA52EB" w:rsidP="003B614C">
            <w:pPr>
              <w:rPr>
                <w:sz w:val="20"/>
              </w:rPr>
            </w:pPr>
            <w:r w:rsidRPr="00AA52EB">
              <w:rPr>
                <w:sz w:val="20"/>
              </w:rPr>
              <w:t>M</w:t>
            </w:r>
            <w:r w:rsidR="00E324FE">
              <w:rPr>
                <w:sz w:val="20"/>
              </w:rPr>
              <w:t>O</w:t>
            </w:r>
            <w:r w:rsidRPr="00AA52EB">
              <w:rPr>
                <w:sz w:val="20"/>
              </w:rPr>
              <w:t>EP</w:t>
            </w:r>
          </w:p>
        </w:tc>
        <w:tc>
          <w:tcPr>
            <w:tcW w:w="0" w:type="auto"/>
          </w:tcPr>
          <w:p w14:paraId="654E6446" w14:textId="77777777" w:rsidR="00AA52EB" w:rsidRPr="00AA52EB" w:rsidRDefault="00AA52EB" w:rsidP="003B614C">
            <w:pPr>
              <w:rPr>
                <w:sz w:val="20"/>
              </w:rPr>
            </w:pPr>
            <w:r w:rsidRPr="00AA52EB">
              <w:rPr>
                <w:sz w:val="20"/>
              </w:rPr>
              <w:t>Ministry of Economy and Planning</w:t>
            </w:r>
          </w:p>
        </w:tc>
      </w:tr>
      <w:tr w:rsidR="00FB25B5" w:rsidRPr="00AA52EB" w14:paraId="07773BF8" w14:textId="77777777" w:rsidTr="00AA52EB">
        <w:trPr>
          <w:jc w:val="center"/>
        </w:trPr>
        <w:tc>
          <w:tcPr>
            <w:tcW w:w="0" w:type="auto"/>
          </w:tcPr>
          <w:p w14:paraId="70BF5D85" w14:textId="77777777" w:rsidR="00FB25B5" w:rsidRPr="00AA52EB" w:rsidRDefault="00FB25B5" w:rsidP="003B614C">
            <w:pPr>
              <w:rPr>
                <w:sz w:val="20"/>
              </w:rPr>
            </w:pPr>
            <w:r>
              <w:rPr>
                <w:sz w:val="20"/>
              </w:rPr>
              <w:t>MENA</w:t>
            </w:r>
          </w:p>
        </w:tc>
        <w:tc>
          <w:tcPr>
            <w:tcW w:w="0" w:type="auto"/>
          </w:tcPr>
          <w:p w14:paraId="7873A469" w14:textId="77777777" w:rsidR="00FB25B5" w:rsidRPr="00AA52EB" w:rsidRDefault="00FB25B5" w:rsidP="003B614C">
            <w:pPr>
              <w:rPr>
                <w:sz w:val="20"/>
              </w:rPr>
            </w:pPr>
            <w:r>
              <w:rPr>
                <w:sz w:val="20"/>
              </w:rPr>
              <w:t>Middle East North Africa</w:t>
            </w:r>
          </w:p>
        </w:tc>
      </w:tr>
      <w:tr w:rsidR="00472B1D" w:rsidRPr="00AA52EB" w14:paraId="04D38815" w14:textId="77777777" w:rsidTr="00AA52EB">
        <w:trPr>
          <w:jc w:val="center"/>
        </w:trPr>
        <w:tc>
          <w:tcPr>
            <w:tcW w:w="0" w:type="auto"/>
          </w:tcPr>
          <w:p w14:paraId="04445B42" w14:textId="77777777" w:rsidR="00472B1D" w:rsidRDefault="00472B1D" w:rsidP="003B614C">
            <w:pPr>
              <w:rPr>
                <w:sz w:val="20"/>
              </w:rPr>
            </w:pPr>
            <w:r>
              <w:rPr>
                <w:sz w:val="20"/>
              </w:rPr>
              <w:t xml:space="preserve">MOFA </w:t>
            </w:r>
          </w:p>
        </w:tc>
        <w:tc>
          <w:tcPr>
            <w:tcW w:w="0" w:type="auto"/>
          </w:tcPr>
          <w:p w14:paraId="4D6DB55D" w14:textId="77777777" w:rsidR="00472B1D" w:rsidRDefault="00472B1D" w:rsidP="003B614C">
            <w:pPr>
              <w:rPr>
                <w:sz w:val="20"/>
              </w:rPr>
            </w:pPr>
            <w:r>
              <w:rPr>
                <w:sz w:val="20"/>
              </w:rPr>
              <w:t>Ministry of Foreign Affairs</w:t>
            </w:r>
          </w:p>
        </w:tc>
      </w:tr>
      <w:tr w:rsidR="00E324FE" w:rsidRPr="00AA52EB" w14:paraId="045949D6" w14:textId="77777777" w:rsidTr="00AA52EB">
        <w:trPr>
          <w:jc w:val="center"/>
        </w:trPr>
        <w:tc>
          <w:tcPr>
            <w:tcW w:w="0" w:type="auto"/>
          </w:tcPr>
          <w:p w14:paraId="42183232" w14:textId="77777777" w:rsidR="00E324FE" w:rsidRDefault="00E324FE" w:rsidP="003B614C">
            <w:pPr>
              <w:rPr>
                <w:sz w:val="20"/>
              </w:rPr>
            </w:pPr>
            <w:r>
              <w:rPr>
                <w:sz w:val="20"/>
              </w:rPr>
              <w:t xml:space="preserve">MSME </w:t>
            </w:r>
          </w:p>
        </w:tc>
        <w:tc>
          <w:tcPr>
            <w:tcW w:w="0" w:type="auto"/>
          </w:tcPr>
          <w:p w14:paraId="354A7438" w14:textId="77777777" w:rsidR="00E324FE" w:rsidRDefault="00E324FE" w:rsidP="003B614C">
            <w:pPr>
              <w:rPr>
                <w:sz w:val="20"/>
              </w:rPr>
            </w:pPr>
            <w:r>
              <w:rPr>
                <w:sz w:val="20"/>
              </w:rPr>
              <w:t>micro, small and medium-size enterprise</w:t>
            </w:r>
          </w:p>
        </w:tc>
      </w:tr>
      <w:tr w:rsidR="00E324FE" w:rsidRPr="00AA52EB" w14:paraId="317C0C9F" w14:textId="77777777" w:rsidTr="00AA52EB">
        <w:trPr>
          <w:jc w:val="center"/>
        </w:trPr>
        <w:tc>
          <w:tcPr>
            <w:tcW w:w="0" w:type="auto"/>
          </w:tcPr>
          <w:p w14:paraId="707240C6" w14:textId="77777777" w:rsidR="00E324FE" w:rsidRPr="00AA52EB" w:rsidRDefault="00E324FE" w:rsidP="00E324FE">
            <w:pPr>
              <w:rPr>
                <w:sz w:val="20"/>
              </w:rPr>
            </w:pPr>
            <w:r>
              <w:rPr>
                <w:sz w:val="20"/>
              </w:rPr>
              <w:t xml:space="preserve">NCC </w:t>
            </w:r>
          </w:p>
        </w:tc>
        <w:tc>
          <w:tcPr>
            <w:tcW w:w="0" w:type="auto"/>
          </w:tcPr>
          <w:p w14:paraId="6A2BE84F" w14:textId="77777777" w:rsidR="00E324FE" w:rsidRPr="00AA52EB" w:rsidRDefault="00E324FE" w:rsidP="00E324FE">
            <w:pPr>
              <w:rPr>
                <w:sz w:val="20"/>
              </w:rPr>
            </w:pPr>
            <w:r>
              <w:rPr>
                <w:sz w:val="20"/>
              </w:rPr>
              <w:t>net contributing country</w:t>
            </w:r>
          </w:p>
        </w:tc>
      </w:tr>
      <w:tr w:rsidR="00E324FE" w:rsidRPr="00AA52EB" w14:paraId="6D66DCB6" w14:textId="77777777" w:rsidTr="00AA52EB">
        <w:trPr>
          <w:jc w:val="center"/>
        </w:trPr>
        <w:tc>
          <w:tcPr>
            <w:tcW w:w="0" w:type="auto"/>
          </w:tcPr>
          <w:p w14:paraId="7EFCF524" w14:textId="77777777" w:rsidR="00E324FE" w:rsidRPr="00AA52EB" w:rsidRDefault="00E324FE" w:rsidP="00E324FE">
            <w:pPr>
              <w:rPr>
                <w:sz w:val="20"/>
              </w:rPr>
            </w:pPr>
            <w:r w:rsidRPr="00AA52EB">
              <w:rPr>
                <w:sz w:val="20"/>
              </w:rPr>
              <w:t>NDP</w:t>
            </w:r>
          </w:p>
        </w:tc>
        <w:tc>
          <w:tcPr>
            <w:tcW w:w="0" w:type="auto"/>
          </w:tcPr>
          <w:p w14:paraId="49556DEC" w14:textId="77777777" w:rsidR="00E324FE" w:rsidRPr="00AA52EB" w:rsidRDefault="00E324FE" w:rsidP="00E324FE">
            <w:pPr>
              <w:rPr>
                <w:sz w:val="20"/>
              </w:rPr>
            </w:pPr>
            <w:r w:rsidRPr="00AA52EB">
              <w:rPr>
                <w:sz w:val="20"/>
              </w:rPr>
              <w:t>National Development Plan</w:t>
            </w:r>
          </w:p>
        </w:tc>
      </w:tr>
      <w:tr w:rsidR="00E324FE" w:rsidRPr="00AA52EB" w14:paraId="2F95E752" w14:textId="77777777" w:rsidTr="00AA52EB">
        <w:trPr>
          <w:jc w:val="center"/>
        </w:trPr>
        <w:tc>
          <w:tcPr>
            <w:tcW w:w="0" w:type="auto"/>
          </w:tcPr>
          <w:p w14:paraId="1E2E1420" w14:textId="77777777" w:rsidR="00E324FE" w:rsidRPr="00AA52EB" w:rsidRDefault="00E324FE" w:rsidP="00E324FE">
            <w:pPr>
              <w:rPr>
                <w:sz w:val="20"/>
              </w:rPr>
            </w:pPr>
            <w:r>
              <w:rPr>
                <w:sz w:val="20"/>
              </w:rPr>
              <w:t>NIM</w:t>
            </w:r>
          </w:p>
        </w:tc>
        <w:tc>
          <w:tcPr>
            <w:tcW w:w="0" w:type="auto"/>
          </w:tcPr>
          <w:p w14:paraId="68C6D994" w14:textId="77777777" w:rsidR="00E324FE" w:rsidRPr="00AA52EB" w:rsidRDefault="00E324FE" w:rsidP="00E324FE">
            <w:pPr>
              <w:rPr>
                <w:sz w:val="20"/>
              </w:rPr>
            </w:pPr>
            <w:r>
              <w:rPr>
                <w:sz w:val="20"/>
              </w:rPr>
              <w:t>national implementation model</w:t>
            </w:r>
          </w:p>
        </w:tc>
      </w:tr>
      <w:tr w:rsidR="00E324FE" w:rsidRPr="00AA52EB" w14:paraId="47D56F9F" w14:textId="77777777" w:rsidTr="00AA52EB">
        <w:trPr>
          <w:jc w:val="center"/>
        </w:trPr>
        <w:tc>
          <w:tcPr>
            <w:tcW w:w="0" w:type="auto"/>
          </w:tcPr>
          <w:p w14:paraId="24D8057D" w14:textId="77777777" w:rsidR="00E324FE" w:rsidRDefault="00E324FE" w:rsidP="00E324FE">
            <w:pPr>
              <w:rPr>
                <w:sz w:val="20"/>
              </w:rPr>
            </w:pPr>
            <w:r>
              <w:rPr>
                <w:sz w:val="20"/>
              </w:rPr>
              <w:t xml:space="preserve">NYS </w:t>
            </w:r>
          </w:p>
        </w:tc>
        <w:tc>
          <w:tcPr>
            <w:tcW w:w="0" w:type="auto"/>
          </w:tcPr>
          <w:p w14:paraId="0E5757F1" w14:textId="77777777" w:rsidR="00E324FE" w:rsidRDefault="00E324FE" w:rsidP="00E324FE">
            <w:pPr>
              <w:rPr>
                <w:sz w:val="20"/>
              </w:rPr>
            </w:pPr>
            <w:r>
              <w:rPr>
                <w:sz w:val="20"/>
              </w:rPr>
              <w:t>National Youth Strategy</w:t>
            </w:r>
          </w:p>
        </w:tc>
      </w:tr>
      <w:tr w:rsidR="00E324FE" w:rsidRPr="00472B1D" w14:paraId="75D1D977" w14:textId="77777777" w:rsidTr="00AA52EB">
        <w:trPr>
          <w:jc w:val="center"/>
        </w:trPr>
        <w:tc>
          <w:tcPr>
            <w:tcW w:w="0" w:type="auto"/>
          </w:tcPr>
          <w:p w14:paraId="62281401" w14:textId="77777777" w:rsidR="00E324FE" w:rsidRPr="00AA52EB" w:rsidRDefault="00E324FE" w:rsidP="00E324FE">
            <w:pPr>
              <w:rPr>
                <w:sz w:val="20"/>
              </w:rPr>
            </w:pPr>
            <w:r w:rsidRPr="00472B1D">
              <w:rPr>
                <w:sz w:val="20"/>
              </w:rPr>
              <w:t>PJCRS</w:t>
            </w:r>
          </w:p>
        </w:tc>
        <w:tc>
          <w:tcPr>
            <w:tcW w:w="0" w:type="auto"/>
          </w:tcPr>
          <w:p w14:paraId="3694641F" w14:textId="77777777" w:rsidR="00E324FE" w:rsidRPr="00AA52EB" w:rsidRDefault="00E324FE" w:rsidP="00E324FE">
            <w:pPr>
              <w:ind w:right="-72"/>
              <w:rPr>
                <w:sz w:val="20"/>
              </w:rPr>
            </w:pPr>
            <w:r w:rsidRPr="00472B1D">
              <w:rPr>
                <w:sz w:val="20"/>
              </w:rPr>
              <w:t>Princess Jawahir bint Nayef Centre for Women’s Research and Studies</w:t>
            </w:r>
          </w:p>
        </w:tc>
      </w:tr>
      <w:tr w:rsidR="00E324FE" w:rsidRPr="00AA52EB" w14:paraId="5EFA2C36" w14:textId="77777777" w:rsidTr="00AA52EB">
        <w:trPr>
          <w:jc w:val="center"/>
        </w:trPr>
        <w:tc>
          <w:tcPr>
            <w:tcW w:w="0" w:type="auto"/>
          </w:tcPr>
          <w:p w14:paraId="0E90B321" w14:textId="77777777" w:rsidR="00E324FE" w:rsidRDefault="00E324FE" w:rsidP="00E324FE">
            <w:pPr>
              <w:rPr>
                <w:sz w:val="20"/>
              </w:rPr>
            </w:pPr>
            <w:r>
              <w:rPr>
                <w:sz w:val="20"/>
              </w:rPr>
              <w:t>PPP</w:t>
            </w:r>
          </w:p>
        </w:tc>
        <w:tc>
          <w:tcPr>
            <w:tcW w:w="0" w:type="auto"/>
          </w:tcPr>
          <w:p w14:paraId="6034A711" w14:textId="77777777" w:rsidR="00E324FE" w:rsidRDefault="00E324FE" w:rsidP="00E324FE">
            <w:pPr>
              <w:rPr>
                <w:sz w:val="20"/>
              </w:rPr>
            </w:pPr>
            <w:r>
              <w:rPr>
                <w:sz w:val="20"/>
              </w:rPr>
              <w:t>public-private partnership</w:t>
            </w:r>
          </w:p>
        </w:tc>
      </w:tr>
      <w:tr w:rsidR="00E324FE" w:rsidRPr="00AA52EB" w14:paraId="71DC6A48" w14:textId="77777777" w:rsidTr="00AA52EB">
        <w:trPr>
          <w:jc w:val="center"/>
        </w:trPr>
        <w:tc>
          <w:tcPr>
            <w:tcW w:w="0" w:type="auto"/>
          </w:tcPr>
          <w:p w14:paraId="3E7F092E" w14:textId="77777777" w:rsidR="00E324FE" w:rsidRPr="00AA52EB" w:rsidRDefault="00E324FE" w:rsidP="00E324FE">
            <w:pPr>
              <w:rPr>
                <w:sz w:val="20"/>
              </w:rPr>
            </w:pPr>
            <w:r>
              <w:rPr>
                <w:sz w:val="20"/>
              </w:rPr>
              <w:t>RRF</w:t>
            </w:r>
          </w:p>
        </w:tc>
        <w:tc>
          <w:tcPr>
            <w:tcW w:w="0" w:type="auto"/>
          </w:tcPr>
          <w:p w14:paraId="2A900354" w14:textId="77777777" w:rsidR="00E324FE" w:rsidRPr="00AA52EB" w:rsidRDefault="00E324FE" w:rsidP="00E324FE">
            <w:pPr>
              <w:rPr>
                <w:sz w:val="20"/>
              </w:rPr>
            </w:pPr>
            <w:r>
              <w:rPr>
                <w:sz w:val="20"/>
              </w:rPr>
              <w:t>results and resources framework</w:t>
            </w:r>
          </w:p>
        </w:tc>
      </w:tr>
      <w:tr w:rsidR="00E324FE" w:rsidRPr="00AA52EB" w14:paraId="2D982972" w14:textId="77777777" w:rsidTr="00AA52EB">
        <w:trPr>
          <w:jc w:val="center"/>
        </w:trPr>
        <w:tc>
          <w:tcPr>
            <w:tcW w:w="0" w:type="auto"/>
          </w:tcPr>
          <w:p w14:paraId="2FE631E9" w14:textId="77777777" w:rsidR="00E324FE" w:rsidRPr="00AA52EB" w:rsidRDefault="00E324FE" w:rsidP="00E324FE">
            <w:pPr>
              <w:rPr>
                <w:sz w:val="20"/>
              </w:rPr>
            </w:pPr>
            <w:r w:rsidRPr="00AA52EB">
              <w:rPr>
                <w:sz w:val="20"/>
              </w:rPr>
              <w:t xml:space="preserve">SA </w:t>
            </w:r>
          </w:p>
        </w:tc>
        <w:tc>
          <w:tcPr>
            <w:tcW w:w="0" w:type="auto"/>
          </w:tcPr>
          <w:p w14:paraId="2D1584E6" w14:textId="77777777" w:rsidR="00E324FE" w:rsidRPr="00AA52EB" w:rsidRDefault="00E324FE" w:rsidP="00E324FE">
            <w:pPr>
              <w:rPr>
                <w:sz w:val="20"/>
              </w:rPr>
            </w:pPr>
            <w:r w:rsidRPr="00AA52EB">
              <w:rPr>
                <w:sz w:val="20"/>
              </w:rPr>
              <w:t>Saudi Arabia</w:t>
            </w:r>
          </w:p>
        </w:tc>
      </w:tr>
      <w:tr w:rsidR="00E324FE" w:rsidRPr="00AA52EB" w14:paraId="506BA2F1" w14:textId="77777777" w:rsidTr="00AA52EB">
        <w:trPr>
          <w:jc w:val="center"/>
        </w:trPr>
        <w:tc>
          <w:tcPr>
            <w:tcW w:w="0" w:type="auto"/>
          </w:tcPr>
          <w:p w14:paraId="417AD59A" w14:textId="77777777" w:rsidR="00E324FE" w:rsidRPr="00AA52EB" w:rsidRDefault="00E324FE" w:rsidP="00E324FE">
            <w:pPr>
              <w:rPr>
                <w:sz w:val="20"/>
              </w:rPr>
            </w:pPr>
            <w:r w:rsidRPr="00AA52EB">
              <w:rPr>
                <w:sz w:val="20"/>
              </w:rPr>
              <w:t xml:space="preserve">SME </w:t>
            </w:r>
          </w:p>
        </w:tc>
        <w:tc>
          <w:tcPr>
            <w:tcW w:w="0" w:type="auto"/>
          </w:tcPr>
          <w:p w14:paraId="206150F6" w14:textId="77777777" w:rsidR="00E324FE" w:rsidRPr="00AA52EB" w:rsidRDefault="00E324FE" w:rsidP="00E324FE">
            <w:pPr>
              <w:rPr>
                <w:sz w:val="20"/>
              </w:rPr>
            </w:pPr>
            <w:r w:rsidRPr="00AA52EB">
              <w:rPr>
                <w:sz w:val="20"/>
              </w:rPr>
              <w:t>small and medium enterprise</w:t>
            </w:r>
          </w:p>
        </w:tc>
      </w:tr>
      <w:tr w:rsidR="00E324FE" w:rsidRPr="00AA52EB" w14:paraId="0C50E580" w14:textId="77777777" w:rsidTr="00AA52EB">
        <w:trPr>
          <w:jc w:val="center"/>
        </w:trPr>
        <w:tc>
          <w:tcPr>
            <w:tcW w:w="0" w:type="auto"/>
          </w:tcPr>
          <w:p w14:paraId="4C56CC85" w14:textId="77777777" w:rsidR="00E324FE" w:rsidRPr="00AA52EB" w:rsidRDefault="00E324FE" w:rsidP="00E324FE">
            <w:pPr>
              <w:rPr>
                <w:sz w:val="20"/>
              </w:rPr>
            </w:pPr>
            <w:r w:rsidRPr="00AA52EB">
              <w:rPr>
                <w:sz w:val="20"/>
              </w:rPr>
              <w:t>SR</w:t>
            </w:r>
          </w:p>
        </w:tc>
        <w:tc>
          <w:tcPr>
            <w:tcW w:w="0" w:type="auto"/>
          </w:tcPr>
          <w:p w14:paraId="38F0E368" w14:textId="77777777" w:rsidR="00E324FE" w:rsidRPr="00AA52EB" w:rsidRDefault="00E324FE" w:rsidP="00E324FE">
            <w:pPr>
              <w:rPr>
                <w:sz w:val="20"/>
              </w:rPr>
            </w:pPr>
            <w:r w:rsidRPr="00AA52EB">
              <w:rPr>
                <w:sz w:val="20"/>
              </w:rPr>
              <w:t>Saudi riyal</w:t>
            </w:r>
          </w:p>
        </w:tc>
      </w:tr>
      <w:tr w:rsidR="00E324FE" w:rsidRPr="00AA52EB" w14:paraId="1F8241AB" w14:textId="77777777" w:rsidTr="00AA52EB">
        <w:trPr>
          <w:jc w:val="center"/>
        </w:trPr>
        <w:tc>
          <w:tcPr>
            <w:tcW w:w="0" w:type="auto"/>
          </w:tcPr>
          <w:p w14:paraId="16811560" w14:textId="77777777" w:rsidR="00E324FE" w:rsidRPr="00AA52EB" w:rsidRDefault="00E324FE" w:rsidP="00E324FE">
            <w:pPr>
              <w:rPr>
                <w:sz w:val="20"/>
              </w:rPr>
            </w:pPr>
            <w:r w:rsidRPr="00AA52EB">
              <w:rPr>
                <w:sz w:val="20"/>
              </w:rPr>
              <w:t>UN</w:t>
            </w:r>
          </w:p>
        </w:tc>
        <w:tc>
          <w:tcPr>
            <w:tcW w:w="0" w:type="auto"/>
          </w:tcPr>
          <w:p w14:paraId="711DCE5A" w14:textId="77777777" w:rsidR="00E324FE" w:rsidRPr="00AA52EB" w:rsidRDefault="00E324FE" w:rsidP="00E324FE">
            <w:pPr>
              <w:rPr>
                <w:sz w:val="20"/>
              </w:rPr>
            </w:pPr>
            <w:r w:rsidRPr="00AA52EB">
              <w:rPr>
                <w:sz w:val="20"/>
              </w:rPr>
              <w:t>United Nations</w:t>
            </w:r>
          </w:p>
        </w:tc>
      </w:tr>
      <w:tr w:rsidR="00A54892" w:rsidRPr="00AA52EB" w14:paraId="57C4E558" w14:textId="77777777" w:rsidTr="00AA52EB">
        <w:trPr>
          <w:jc w:val="center"/>
        </w:trPr>
        <w:tc>
          <w:tcPr>
            <w:tcW w:w="0" w:type="auto"/>
          </w:tcPr>
          <w:p w14:paraId="631DF10B" w14:textId="77777777" w:rsidR="00A54892" w:rsidRPr="00AA52EB" w:rsidRDefault="00024DF2" w:rsidP="00E324FE">
            <w:pPr>
              <w:rPr>
                <w:sz w:val="20"/>
              </w:rPr>
            </w:pPr>
            <w:r>
              <w:rPr>
                <w:sz w:val="20"/>
              </w:rPr>
              <w:t>UNCDF</w:t>
            </w:r>
          </w:p>
        </w:tc>
        <w:tc>
          <w:tcPr>
            <w:tcW w:w="0" w:type="auto"/>
          </w:tcPr>
          <w:p w14:paraId="0EB52E7B" w14:textId="77777777" w:rsidR="00A54892" w:rsidRPr="00AA52EB" w:rsidRDefault="00024DF2" w:rsidP="00E324FE">
            <w:pPr>
              <w:rPr>
                <w:sz w:val="20"/>
              </w:rPr>
            </w:pPr>
            <w:r>
              <w:rPr>
                <w:sz w:val="20"/>
              </w:rPr>
              <w:t>United Nations Capital Development Fund</w:t>
            </w:r>
          </w:p>
        </w:tc>
      </w:tr>
      <w:tr w:rsidR="00E324FE" w:rsidRPr="00AA52EB" w14:paraId="3027A017" w14:textId="77777777" w:rsidTr="00AA52EB">
        <w:trPr>
          <w:jc w:val="center"/>
        </w:trPr>
        <w:tc>
          <w:tcPr>
            <w:tcW w:w="0" w:type="auto"/>
          </w:tcPr>
          <w:p w14:paraId="379F57CE" w14:textId="77777777" w:rsidR="00E324FE" w:rsidRPr="00AA52EB" w:rsidRDefault="00E324FE" w:rsidP="00E324FE">
            <w:pPr>
              <w:rPr>
                <w:sz w:val="20"/>
              </w:rPr>
            </w:pPr>
            <w:r>
              <w:rPr>
                <w:sz w:val="20"/>
              </w:rPr>
              <w:t>UNDG</w:t>
            </w:r>
          </w:p>
        </w:tc>
        <w:tc>
          <w:tcPr>
            <w:tcW w:w="0" w:type="auto"/>
          </w:tcPr>
          <w:p w14:paraId="76F856D2" w14:textId="77777777" w:rsidR="00E324FE" w:rsidRPr="00AA52EB" w:rsidRDefault="00E324FE" w:rsidP="00E324FE">
            <w:pPr>
              <w:rPr>
                <w:sz w:val="20"/>
              </w:rPr>
            </w:pPr>
            <w:r>
              <w:rPr>
                <w:sz w:val="20"/>
              </w:rPr>
              <w:t xml:space="preserve">UN Development Group </w:t>
            </w:r>
          </w:p>
        </w:tc>
      </w:tr>
      <w:tr w:rsidR="00E324FE" w:rsidRPr="00AA52EB" w14:paraId="453E8F95" w14:textId="77777777" w:rsidTr="00AA52EB">
        <w:trPr>
          <w:jc w:val="center"/>
        </w:trPr>
        <w:tc>
          <w:tcPr>
            <w:tcW w:w="0" w:type="auto"/>
          </w:tcPr>
          <w:p w14:paraId="7B35581C" w14:textId="77777777" w:rsidR="00E324FE" w:rsidRPr="00AA52EB" w:rsidRDefault="00E324FE" w:rsidP="00E324FE">
            <w:pPr>
              <w:rPr>
                <w:sz w:val="20"/>
              </w:rPr>
            </w:pPr>
            <w:r w:rsidRPr="00AA52EB">
              <w:rPr>
                <w:sz w:val="20"/>
              </w:rPr>
              <w:t xml:space="preserve">UNDP </w:t>
            </w:r>
          </w:p>
        </w:tc>
        <w:tc>
          <w:tcPr>
            <w:tcW w:w="0" w:type="auto"/>
          </w:tcPr>
          <w:p w14:paraId="48822E7F" w14:textId="77777777" w:rsidR="00E324FE" w:rsidRPr="00AA52EB" w:rsidRDefault="00E324FE" w:rsidP="00E324FE">
            <w:pPr>
              <w:rPr>
                <w:sz w:val="20"/>
              </w:rPr>
            </w:pPr>
            <w:r w:rsidRPr="00AA52EB">
              <w:rPr>
                <w:sz w:val="20"/>
              </w:rPr>
              <w:t xml:space="preserve">United Nations Development Programme </w:t>
            </w:r>
          </w:p>
        </w:tc>
      </w:tr>
      <w:tr w:rsidR="00A54892" w:rsidRPr="00AA52EB" w14:paraId="20CC6CC6" w14:textId="77777777" w:rsidTr="00AA52EB">
        <w:trPr>
          <w:jc w:val="center"/>
        </w:trPr>
        <w:tc>
          <w:tcPr>
            <w:tcW w:w="0" w:type="auto"/>
          </w:tcPr>
          <w:p w14:paraId="0C1731FB" w14:textId="77777777" w:rsidR="00A54892" w:rsidRPr="00AA52EB" w:rsidRDefault="00A54892" w:rsidP="00E324FE">
            <w:pPr>
              <w:rPr>
                <w:sz w:val="20"/>
              </w:rPr>
            </w:pPr>
            <w:r>
              <w:rPr>
                <w:sz w:val="20"/>
              </w:rPr>
              <w:t xml:space="preserve">UNICEF </w:t>
            </w:r>
          </w:p>
        </w:tc>
        <w:tc>
          <w:tcPr>
            <w:tcW w:w="0" w:type="auto"/>
          </w:tcPr>
          <w:p w14:paraId="70E51E68" w14:textId="77777777" w:rsidR="00A54892" w:rsidRPr="00AA52EB" w:rsidRDefault="00A54892" w:rsidP="00E324FE">
            <w:pPr>
              <w:rPr>
                <w:sz w:val="20"/>
              </w:rPr>
            </w:pPr>
            <w:r>
              <w:rPr>
                <w:sz w:val="20"/>
              </w:rPr>
              <w:t>United Nations Children’s Fund</w:t>
            </w:r>
          </w:p>
        </w:tc>
      </w:tr>
      <w:tr w:rsidR="00E324FE" w:rsidRPr="00AA52EB" w14:paraId="1E38EE5D" w14:textId="77777777" w:rsidTr="00AA52EB">
        <w:trPr>
          <w:jc w:val="center"/>
        </w:trPr>
        <w:tc>
          <w:tcPr>
            <w:tcW w:w="0" w:type="auto"/>
          </w:tcPr>
          <w:p w14:paraId="5D75BE78" w14:textId="77777777" w:rsidR="00E324FE" w:rsidRPr="00AA52EB" w:rsidRDefault="00E324FE" w:rsidP="00E324FE">
            <w:pPr>
              <w:rPr>
                <w:sz w:val="20"/>
              </w:rPr>
            </w:pPr>
            <w:r w:rsidRPr="00AA52EB">
              <w:rPr>
                <w:sz w:val="20"/>
              </w:rPr>
              <w:t>USD</w:t>
            </w:r>
          </w:p>
        </w:tc>
        <w:tc>
          <w:tcPr>
            <w:tcW w:w="0" w:type="auto"/>
          </w:tcPr>
          <w:p w14:paraId="0918F9EF" w14:textId="77777777" w:rsidR="00E324FE" w:rsidRPr="00AA52EB" w:rsidRDefault="00E324FE" w:rsidP="00E324FE">
            <w:pPr>
              <w:rPr>
                <w:sz w:val="20"/>
              </w:rPr>
            </w:pPr>
            <w:r w:rsidRPr="00AA52EB">
              <w:rPr>
                <w:sz w:val="20"/>
              </w:rPr>
              <w:t>United States dollars</w:t>
            </w:r>
          </w:p>
        </w:tc>
      </w:tr>
      <w:tr w:rsidR="00E324FE" w:rsidRPr="00AA52EB" w14:paraId="24FF8481" w14:textId="77777777" w:rsidTr="00AA52EB">
        <w:trPr>
          <w:jc w:val="center"/>
        </w:trPr>
        <w:tc>
          <w:tcPr>
            <w:tcW w:w="0" w:type="auto"/>
          </w:tcPr>
          <w:p w14:paraId="091D2388" w14:textId="77777777" w:rsidR="00E324FE" w:rsidRPr="00AA52EB" w:rsidRDefault="00E324FE" w:rsidP="00E324FE">
            <w:pPr>
              <w:rPr>
                <w:sz w:val="20"/>
              </w:rPr>
            </w:pPr>
            <w:r w:rsidRPr="00AA52EB">
              <w:rPr>
                <w:sz w:val="20"/>
              </w:rPr>
              <w:t>WB</w:t>
            </w:r>
          </w:p>
        </w:tc>
        <w:tc>
          <w:tcPr>
            <w:tcW w:w="0" w:type="auto"/>
          </w:tcPr>
          <w:p w14:paraId="3DE8BF4B" w14:textId="77777777" w:rsidR="00E324FE" w:rsidRPr="00AA52EB" w:rsidRDefault="00E324FE" w:rsidP="00E324FE">
            <w:pPr>
              <w:rPr>
                <w:sz w:val="20"/>
              </w:rPr>
            </w:pPr>
            <w:r w:rsidRPr="00AA52EB">
              <w:rPr>
                <w:sz w:val="20"/>
              </w:rPr>
              <w:t>World Bank</w:t>
            </w:r>
          </w:p>
        </w:tc>
      </w:tr>
      <w:tr w:rsidR="00E324FE" w:rsidRPr="00AA52EB" w14:paraId="191D5A38" w14:textId="77777777" w:rsidTr="00AA52EB">
        <w:trPr>
          <w:jc w:val="center"/>
        </w:trPr>
        <w:tc>
          <w:tcPr>
            <w:tcW w:w="0" w:type="auto"/>
          </w:tcPr>
          <w:p w14:paraId="798AFDAF" w14:textId="77777777" w:rsidR="00E324FE" w:rsidRPr="00AA52EB" w:rsidRDefault="00E324FE" w:rsidP="00E324FE">
            <w:pPr>
              <w:rPr>
                <w:sz w:val="20"/>
              </w:rPr>
            </w:pPr>
            <w:r w:rsidRPr="00AA52EB">
              <w:rPr>
                <w:sz w:val="20"/>
              </w:rPr>
              <w:t>WDI</w:t>
            </w:r>
          </w:p>
        </w:tc>
        <w:tc>
          <w:tcPr>
            <w:tcW w:w="0" w:type="auto"/>
          </w:tcPr>
          <w:p w14:paraId="643324F3" w14:textId="77777777" w:rsidR="00E324FE" w:rsidRPr="00AA52EB" w:rsidRDefault="00E324FE" w:rsidP="00E324FE">
            <w:pPr>
              <w:rPr>
                <w:sz w:val="20"/>
              </w:rPr>
            </w:pPr>
            <w:r w:rsidRPr="00AA52EB">
              <w:rPr>
                <w:sz w:val="20"/>
              </w:rPr>
              <w:t>World Development Indicators</w:t>
            </w:r>
          </w:p>
        </w:tc>
      </w:tr>
      <w:tr w:rsidR="008B6D1F" w:rsidRPr="00AA52EB" w14:paraId="25AA29DE" w14:textId="77777777" w:rsidTr="00AA52EB">
        <w:trPr>
          <w:jc w:val="center"/>
        </w:trPr>
        <w:tc>
          <w:tcPr>
            <w:tcW w:w="0" w:type="auto"/>
          </w:tcPr>
          <w:p w14:paraId="161AC4F4" w14:textId="77777777" w:rsidR="008B6D1F" w:rsidRPr="00AA52EB" w:rsidRDefault="008B6D1F" w:rsidP="00E324FE">
            <w:pPr>
              <w:rPr>
                <w:sz w:val="20"/>
              </w:rPr>
            </w:pPr>
            <w:r>
              <w:rPr>
                <w:sz w:val="20"/>
              </w:rPr>
              <w:t xml:space="preserve">YDF </w:t>
            </w:r>
          </w:p>
        </w:tc>
        <w:tc>
          <w:tcPr>
            <w:tcW w:w="0" w:type="auto"/>
          </w:tcPr>
          <w:p w14:paraId="1C02775F" w14:textId="77777777" w:rsidR="008B6D1F" w:rsidRPr="00AA52EB" w:rsidRDefault="008B6D1F" w:rsidP="00E324FE">
            <w:pPr>
              <w:rPr>
                <w:sz w:val="20"/>
              </w:rPr>
            </w:pPr>
            <w:r>
              <w:rPr>
                <w:sz w:val="20"/>
              </w:rPr>
              <w:t>Youth Dialogue Forum</w:t>
            </w:r>
          </w:p>
        </w:tc>
      </w:tr>
    </w:tbl>
    <w:p w14:paraId="0C14DF86" w14:textId="77777777" w:rsidR="005D5EFF" w:rsidRPr="007F7192" w:rsidRDefault="005D5EFF" w:rsidP="00112AF3">
      <w:pPr>
        <w:spacing w:after="0"/>
        <w:jc w:val="center"/>
        <w:rPr>
          <w:rFonts w:ascii="Arial" w:hAnsi="Arial" w:cs="Arial"/>
          <w:sz w:val="18"/>
          <w:szCs w:val="18"/>
        </w:rPr>
      </w:pPr>
      <w:r w:rsidRPr="00E324FE">
        <w:rPr>
          <w:rFonts w:ascii="Arial" w:hAnsi="Arial" w:cs="Arial"/>
          <w:sz w:val="16"/>
          <w:szCs w:val="18"/>
        </w:rPr>
        <w:t>Note on currency equivalents</w:t>
      </w:r>
    </w:p>
    <w:p w14:paraId="17CFE229" w14:textId="77777777" w:rsidR="00E324FE" w:rsidRPr="00112AF3" w:rsidRDefault="00E324FE" w:rsidP="00112AF3">
      <w:pPr>
        <w:spacing w:before="0"/>
        <w:ind w:left="360"/>
        <w:jc w:val="center"/>
        <w:rPr>
          <w:rFonts w:ascii="Arial" w:hAnsi="Arial" w:cs="Arial"/>
          <w:sz w:val="14"/>
          <w:szCs w:val="18"/>
        </w:rPr>
      </w:pPr>
      <w:bookmarkStart w:id="1" w:name="_Toc324775650"/>
      <w:r w:rsidRPr="00112AF3">
        <w:rPr>
          <w:rFonts w:ascii="Arial" w:hAnsi="Arial" w:cs="Arial"/>
          <w:sz w:val="14"/>
          <w:szCs w:val="18"/>
        </w:rPr>
        <w:t xml:space="preserve">(As of July 2014)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1586"/>
        <w:gridCol w:w="2731"/>
      </w:tblGrid>
      <w:tr w:rsidR="00E324FE" w:rsidRPr="007F7192" w14:paraId="579888A2" w14:textId="77777777" w:rsidTr="00A54892">
        <w:trPr>
          <w:jc w:val="center"/>
        </w:trPr>
        <w:tc>
          <w:tcPr>
            <w:tcW w:w="0" w:type="auto"/>
          </w:tcPr>
          <w:p w14:paraId="1D240781" w14:textId="77777777" w:rsidR="00E324FE" w:rsidRPr="007F7192" w:rsidRDefault="00E324FE" w:rsidP="00A54892">
            <w:pPr>
              <w:jc w:val="center"/>
              <w:rPr>
                <w:rFonts w:ascii="Arial" w:hAnsi="Arial" w:cs="Arial"/>
                <w:sz w:val="18"/>
                <w:szCs w:val="18"/>
              </w:rPr>
            </w:pPr>
            <w:r w:rsidRPr="007F7192">
              <w:rPr>
                <w:rFonts w:ascii="Arial" w:hAnsi="Arial" w:cs="Arial"/>
                <w:sz w:val="18"/>
                <w:szCs w:val="18"/>
              </w:rPr>
              <w:t xml:space="preserve">1 </w:t>
            </w:r>
            <w:r>
              <w:rPr>
                <w:rFonts w:ascii="Arial" w:hAnsi="Arial" w:cs="Arial"/>
                <w:sz w:val="18"/>
                <w:szCs w:val="18"/>
              </w:rPr>
              <w:t>Saudi riyal</w:t>
            </w:r>
            <w:r w:rsidRPr="007F7192">
              <w:rPr>
                <w:rFonts w:ascii="Arial" w:hAnsi="Arial" w:cs="Arial"/>
                <w:sz w:val="18"/>
                <w:szCs w:val="18"/>
              </w:rPr>
              <w:t xml:space="preserve"> (</w:t>
            </w:r>
            <w:r>
              <w:rPr>
                <w:rFonts w:ascii="Arial" w:hAnsi="Arial" w:cs="Arial"/>
                <w:sz w:val="18"/>
                <w:szCs w:val="18"/>
              </w:rPr>
              <w:t>SR</w:t>
            </w:r>
            <w:r w:rsidRPr="007F7192">
              <w:rPr>
                <w:rFonts w:ascii="Arial" w:hAnsi="Arial" w:cs="Arial"/>
                <w:sz w:val="18"/>
                <w:szCs w:val="18"/>
              </w:rPr>
              <w:t>)</w:t>
            </w:r>
          </w:p>
        </w:tc>
        <w:tc>
          <w:tcPr>
            <w:tcW w:w="0" w:type="auto"/>
          </w:tcPr>
          <w:p w14:paraId="0A4093B8" w14:textId="77777777" w:rsidR="00E324FE" w:rsidRPr="007F7192" w:rsidRDefault="00E324FE" w:rsidP="00A54892">
            <w:pPr>
              <w:jc w:val="center"/>
              <w:rPr>
                <w:rFonts w:ascii="Arial" w:hAnsi="Arial" w:cs="Arial"/>
                <w:sz w:val="18"/>
                <w:szCs w:val="18"/>
              </w:rPr>
            </w:pPr>
            <w:r w:rsidRPr="007F7192">
              <w:rPr>
                <w:rFonts w:ascii="Arial" w:hAnsi="Arial" w:cs="Arial"/>
                <w:sz w:val="18"/>
                <w:szCs w:val="18"/>
              </w:rPr>
              <w:t>=</w:t>
            </w:r>
          </w:p>
        </w:tc>
        <w:tc>
          <w:tcPr>
            <w:tcW w:w="0" w:type="auto"/>
          </w:tcPr>
          <w:p w14:paraId="6A6FA1A1" w14:textId="77777777" w:rsidR="00E324FE" w:rsidRPr="007F7192" w:rsidRDefault="00E324FE" w:rsidP="00A54892">
            <w:pPr>
              <w:jc w:val="center"/>
              <w:rPr>
                <w:rFonts w:ascii="Arial" w:hAnsi="Arial" w:cs="Arial"/>
                <w:sz w:val="18"/>
                <w:szCs w:val="18"/>
              </w:rPr>
            </w:pPr>
            <w:r>
              <w:rPr>
                <w:rFonts w:ascii="Arial" w:hAnsi="Arial" w:cs="Arial"/>
                <w:sz w:val="18"/>
                <w:szCs w:val="18"/>
              </w:rPr>
              <w:t>0.196</w:t>
            </w:r>
            <w:r w:rsidRPr="007F7192">
              <w:rPr>
                <w:rFonts w:ascii="Arial" w:hAnsi="Arial" w:cs="Arial"/>
                <w:sz w:val="18"/>
                <w:szCs w:val="18"/>
              </w:rPr>
              <w:t xml:space="preserve"> EUR</w:t>
            </w:r>
          </w:p>
        </w:tc>
      </w:tr>
      <w:tr w:rsidR="00E324FE" w:rsidRPr="007F7192" w14:paraId="6B72DC83" w14:textId="77777777" w:rsidTr="00A54892">
        <w:trPr>
          <w:jc w:val="center"/>
        </w:trPr>
        <w:tc>
          <w:tcPr>
            <w:tcW w:w="0" w:type="auto"/>
          </w:tcPr>
          <w:p w14:paraId="11BEA551" w14:textId="77777777" w:rsidR="00E324FE" w:rsidRPr="007F7192" w:rsidRDefault="00E324FE" w:rsidP="00A54892">
            <w:pPr>
              <w:jc w:val="center"/>
              <w:rPr>
                <w:rFonts w:ascii="Arial" w:hAnsi="Arial" w:cs="Arial"/>
                <w:sz w:val="18"/>
                <w:szCs w:val="18"/>
              </w:rPr>
            </w:pPr>
            <w:r w:rsidRPr="007F7192">
              <w:rPr>
                <w:rFonts w:ascii="Arial" w:hAnsi="Arial" w:cs="Arial"/>
                <w:sz w:val="18"/>
                <w:szCs w:val="18"/>
              </w:rPr>
              <w:t xml:space="preserve">1 </w:t>
            </w:r>
            <w:r>
              <w:rPr>
                <w:rFonts w:ascii="Arial" w:hAnsi="Arial" w:cs="Arial"/>
                <w:sz w:val="18"/>
                <w:szCs w:val="18"/>
              </w:rPr>
              <w:t>riyal</w:t>
            </w:r>
            <w:r w:rsidRPr="007F7192">
              <w:rPr>
                <w:rFonts w:ascii="Arial" w:hAnsi="Arial" w:cs="Arial"/>
                <w:sz w:val="18"/>
                <w:szCs w:val="18"/>
              </w:rPr>
              <w:t xml:space="preserve"> (</w:t>
            </w:r>
            <w:r>
              <w:rPr>
                <w:rFonts w:ascii="Arial" w:hAnsi="Arial" w:cs="Arial"/>
                <w:sz w:val="18"/>
                <w:szCs w:val="18"/>
              </w:rPr>
              <w:t>SR</w:t>
            </w:r>
            <w:r w:rsidRPr="007F7192">
              <w:rPr>
                <w:rFonts w:ascii="Arial" w:hAnsi="Arial" w:cs="Arial"/>
                <w:sz w:val="18"/>
                <w:szCs w:val="18"/>
              </w:rPr>
              <w:t>)</w:t>
            </w:r>
          </w:p>
        </w:tc>
        <w:tc>
          <w:tcPr>
            <w:tcW w:w="0" w:type="auto"/>
          </w:tcPr>
          <w:p w14:paraId="59D8CE92" w14:textId="77777777" w:rsidR="00E324FE" w:rsidRPr="007F7192" w:rsidRDefault="00E324FE" w:rsidP="00A54892">
            <w:pPr>
              <w:jc w:val="center"/>
              <w:rPr>
                <w:rFonts w:ascii="Arial" w:hAnsi="Arial" w:cs="Arial"/>
                <w:sz w:val="18"/>
                <w:szCs w:val="18"/>
              </w:rPr>
            </w:pPr>
            <w:r w:rsidRPr="007F7192">
              <w:rPr>
                <w:rFonts w:ascii="Arial" w:hAnsi="Arial" w:cs="Arial"/>
                <w:sz w:val="18"/>
                <w:szCs w:val="18"/>
              </w:rPr>
              <w:t>=</w:t>
            </w:r>
          </w:p>
        </w:tc>
        <w:tc>
          <w:tcPr>
            <w:tcW w:w="0" w:type="auto"/>
          </w:tcPr>
          <w:p w14:paraId="6D798F14" w14:textId="77777777" w:rsidR="00E324FE" w:rsidRPr="007F7192" w:rsidRDefault="00E324FE" w:rsidP="00A54892">
            <w:pPr>
              <w:jc w:val="center"/>
              <w:rPr>
                <w:rFonts w:ascii="Arial" w:hAnsi="Arial" w:cs="Arial"/>
                <w:sz w:val="18"/>
                <w:szCs w:val="18"/>
              </w:rPr>
            </w:pPr>
            <w:r>
              <w:rPr>
                <w:rFonts w:ascii="Arial" w:hAnsi="Arial" w:cs="Arial"/>
                <w:sz w:val="18"/>
                <w:szCs w:val="18"/>
              </w:rPr>
              <w:t>0.267</w:t>
            </w:r>
            <w:r w:rsidRPr="007F7192">
              <w:rPr>
                <w:rFonts w:ascii="Arial" w:hAnsi="Arial" w:cs="Arial"/>
                <w:sz w:val="18"/>
                <w:szCs w:val="18"/>
              </w:rPr>
              <w:t xml:space="preserve"> USD</w:t>
            </w:r>
          </w:p>
        </w:tc>
      </w:tr>
      <w:tr w:rsidR="00E324FE" w:rsidRPr="007F7192" w14:paraId="428315D9" w14:textId="77777777" w:rsidTr="00A54892">
        <w:trPr>
          <w:jc w:val="center"/>
        </w:trPr>
        <w:tc>
          <w:tcPr>
            <w:tcW w:w="0" w:type="auto"/>
          </w:tcPr>
          <w:p w14:paraId="30827D4F" w14:textId="77777777" w:rsidR="00E324FE" w:rsidRPr="007F7192" w:rsidRDefault="00E324FE" w:rsidP="00A54892">
            <w:pPr>
              <w:jc w:val="center"/>
              <w:rPr>
                <w:rFonts w:ascii="Arial" w:hAnsi="Arial" w:cs="Arial"/>
                <w:sz w:val="18"/>
                <w:szCs w:val="18"/>
              </w:rPr>
            </w:pPr>
            <w:r w:rsidRPr="007F7192">
              <w:rPr>
                <w:rFonts w:ascii="Arial" w:hAnsi="Arial" w:cs="Arial"/>
                <w:sz w:val="18"/>
                <w:szCs w:val="18"/>
              </w:rPr>
              <w:t>1 € (EUR)</w:t>
            </w:r>
          </w:p>
        </w:tc>
        <w:tc>
          <w:tcPr>
            <w:tcW w:w="0" w:type="auto"/>
          </w:tcPr>
          <w:p w14:paraId="190E12F2" w14:textId="77777777" w:rsidR="00E324FE" w:rsidRPr="007F7192" w:rsidRDefault="00E324FE" w:rsidP="00A54892">
            <w:pPr>
              <w:jc w:val="center"/>
              <w:rPr>
                <w:rFonts w:ascii="Arial" w:hAnsi="Arial" w:cs="Arial"/>
                <w:sz w:val="18"/>
                <w:szCs w:val="18"/>
              </w:rPr>
            </w:pPr>
            <w:r w:rsidRPr="007F7192">
              <w:rPr>
                <w:rFonts w:ascii="Arial" w:hAnsi="Arial" w:cs="Arial"/>
                <w:sz w:val="18"/>
                <w:szCs w:val="18"/>
              </w:rPr>
              <w:t>=</w:t>
            </w:r>
          </w:p>
        </w:tc>
        <w:tc>
          <w:tcPr>
            <w:tcW w:w="0" w:type="auto"/>
          </w:tcPr>
          <w:p w14:paraId="4BF9A02F" w14:textId="77777777" w:rsidR="00E324FE" w:rsidRPr="007F7192" w:rsidRDefault="00E324FE" w:rsidP="00A54892">
            <w:pPr>
              <w:jc w:val="center"/>
              <w:rPr>
                <w:rFonts w:ascii="Arial" w:hAnsi="Arial" w:cs="Arial"/>
                <w:sz w:val="18"/>
                <w:szCs w:val="18"/>
              </w:rPr>
            </w:pPr>
            <w:r>
              <w:rPr>
                <w:rFonts w:ascii="Arial" w:hAnsi="Arial" w:cs="Arial"/>
                <w:sz w:val="18"/>
                <w:szCs w:val="18"/>
              </w:rPr>
              <w:t>5.103</w:t>
            </w:r>
            <w:r w:rsidRPr="007F7192">
              <w:rPr>
                <w:rFonts w:ascii="Arial" w:hAnsi="Arial" w:cs="Arial"/>
                <w:sz w:val="18"/>
                <w:szCs w:val="18"/>
              </w:rPr>
              <w:t xml:space="preserve"> </w:t>
            </w:r>
            <w:r>
              <w:rPr>
                <w:rFonts w:ascii="Arial" w:hAnsi="Arial" w:cs="Arial"/>
                <w:sz w:val="18"/>
                <w:szCs w:val="18"/>
              </w:rPr>
              <w:t>riyal</w:t>
            </w:r>
            <w:r w:rsidRPr="007F7192">
              <w:rPr>
                <w:rFonts w:ascii="Arial" w:hAnsi="Arial" w:cs="Arial"/>
                <w:sz w:val="18"/>
                <w:szCs w:val="18"/>
              </w:rPr>
              <w:t xml:space="preserve"> (</w:t>
            </w:r>
            <w:r>
              <w:rPr>
                <w:rFonts w:ascii="Arial" w:hAnsi="Arial" w:cs="Arial"/>
                <w:sz w:val="18"/>
                <w:szCs w:val="18"/>
              </w:rPr>
              <w:t>SR</w:t>
            </w:r>
            <w:r w:rsidRPr="007F7192">
              <w:rPr>
                <w:rFonts w:ascii="Arial" w:hAnsi="Arial" w:cs="Arial"/>
                <w:sz w:val="18"/>
                <w:szCs w:val="18"/>
              </w:rPr>
              <w:t>)</w:t>
            </w:r>
          </w:p>
        </w:tc>
      </w:tr>
      <w:tr w:rsidR="00E324FE" w:rsidRPr="007F7192" w14:paraId="00839922" w14:textId="77777777" w:rsidTr="00A54892">
        <w:trPr>
          <w:jc w:val="center"/>
        </w:trPr>
        <w:tc>
          <w:tcPr>
            <w:tcW w:w="0" w:type="auto"/>
          </w:tcPr>
          <w:p w14:paraId="39E9F974" w14:textId="77777777" w:rsidR="00E324FE" w:rsidRPr="007F7192" w:rsidRDefault="00E324FE" w:rsidP="00A54892">
            <w:pPr>
              <w:jc w:val="center"/>
              <w:rPr>
                <w:rFonts w:ascii="Arial" w:hAnsi="Arial" w:cs="Arial"/>
                <w:sz w:val="18"/>
                <w:szCs w:val="18"/>
              </w:rPr>
            </w:pPr>
            <w:r w:rsidRPr="007F7192">
              <w:rPr>
                <w:rFonts w:ascii="Arial" w:hAnsi="Arial" w:cs="Arial"/>
                <w:sz w:val="18"/>
                <w:szCs w:val="18"/>
              </w:rPr>
              <w:t>$1 (USD)</w:t>
            </w:r>
          </w:p>
        </w:tc>
        <w:tc>
          <w:tcPr>
            <w:tcW w:w="0" w:type="auto"/>
          </w:tcPr>
          <w:p w14:paraId="6013A5E3" w14:textId="77777777" w:rsidR="00E324FE" w:rsidRPr="007F7192" w:rsidRDefault="00E324FE" w:rsidP="00A54892">
            <w:pPr>
              <w:jc w:val="center"/>
              <w:rPr>
                <w:rFonts w:ascii="Arial" w:hAnsi="Arial" w:cs="Arial"/>
                <w:sz w:val="18"/>
                <w:szCs w:val="18"/>
              </w:rPr>
            </w:pPr>
            <w:r w:rsidRPr="007F7192">
              <w:rPr>
                <w:rFonts w:ascii="Arial" w:hAnsi="Arial" w:cs="Arial"/>
                <w:sz w:val="18"/>
                <w:szCs w:val="18"/>
              </w:rPr>
              <w:t>=</w:t>
            </w:r>
          </w:p>
        </w:tc>
        <w:tc>
          <w:tcPr>
            <w:tcW w:w="0" w:type="auto"/>
          </w:tcPr>
          <w:p w14:paraId="6CCFF1FE" w14:textId="77777777" w:rsidR="00E324FE" w:rsidRPr="007F7192" w:rsidRDefault="00E324FE" w:rsidP="00A54892">
            <w:pPr>
              <w:jc w:val="center"/>
              <w:rPr>
                <w:rFonts w:ascii="Arial" w:hAnsi="Arial" w:cs="Arial"/>
                <w:sz w:val="18"/>
                <w:szCs w:val="18"/>
              </w:rPr>
            </w:pPr>
            <w:r>
              <w:rPr>
                <w:rFonts w:ascii="Arial" w:hAnsi="Arial" w:cs="Arial"/>
                <w:sz w:val="18"/>
                <w:szCs w:val="18"/>
              </w:rPr>
              <w:t>3.75</w:t>
            </w:r>
            <w:r w:rsidRPr="007F7192">
              <w:rPr>
                <w:rFonts w:ascii="Arial" w:hAnsi="Arial" w:cs="Arial"/>
                <w:sz w:val="18"/>
                <w:szCs w:val="18"/>
              </w:rPr>
              <w:t xml:space="preserve"> </w:t>
            </w:r>
            <w:r>
              <w:rPr>
                <w:rFonts w:ascii="Arial" w:hAnsi="Arial" w:cs="Arial"/>
                <w:sz w:val="18"/>
                <w:szCs w:val="18"/>
              </w:rPr>
              <w:t>riyal</w:t>
            </w:r>
            <w:r w:rsidRPr="007F7192">
              <w:rPr>
                <w:rFonts w:ascii="Arial" w:hAnsi="Arial" w:cs="Arial"/>
                <w:sz w:val="18"/>
                <w:szCs w:val="18"/>
              </w:rPr>
              <w:t xml:space="preserve"> (</w:t>
            </w:r>
            <w:r>
              <w:rPr>
                <w:rFonts w:ascii="Arial" w:hAnsi="Arial" w:cs="Arial"/>
                <w:sz w:val="18"/>
                <w:szCs w:val="18"/>
              </w:rPr>
              <w:t>SR</w:t>
            </w:r>
            <w:r w:rsidRPr="007F7192">
              <w:rPr>
                <w:rFonts w:ascii="Arial" w:hAnsi="Arial" w:cs="Arial"/>
                <w:sz w:val="18"/>
                <w:szCs w:val="18"/>
              </w:rPr>
              <w:t>)</w:t>
            </w:r>
          </w:p>
        </w:tc>
      </w:tr>
    </w:tbl>
    <w:p w14:paraId="53966A91" w14:textId="77777777" w:rsidR="00506274" w:rsidRDefault="00506274" w:rsidP="00E878BB">
      <w:pPr>
        <w:pStyle w:val="Heading1"/>
        <w:ind w:left="360"/>
      </w:pPr>
      <w:bookmarkStart w:id="2" w:name="_Toc399078739"/>
      <w:r>
        <w:t>Executive Summary</w:t>
      </w:r>
      <w:bookmarkEnd w:id="1"/>
      <w:bookmarkEnd w:id="2"/>
    </w:p>
    <w:p w14:paraId="4C8325E0" w14:textId="77777777" w:rsidR="000E7611" w:rsidRDefault="00506274" w:rsidP="001E50C9">
      <w:pPr>
        <w:pStyle w:val="ListParagraph"/>
        <w:ind w:left="0" w:right="70"/>
        <w:contextualSpacing w:val="0"/>
      </w:pPr>
      <w:r w:rsidRPr="00082C71">
        <w:t xml:space="preserve">This </w:t>
      </w:r>
      <w:r w:rsidR="004B3728" w:rsidRPr="00082C71">
        <w:t xml:space="preserve">Report </w:t>
      </w:r>
      <w:r w:rsidRPr="00082C71">
        <w:t xml:space="preserve">presents an Outcome Evaluation focusing on the </w:t>
      </w:r>
      <w:r w:rsidR="00224568">
        <w:t>result</w:t>
      </w:r>
      <w:r w:rsidR="000E7611">
        <w:t>, “</w:t>
      </w:r>
      <w:r w:rsidR="00842222" w:rsidRPr="000E7611">
        <w:t>Social Empowerment and Institutional Strengthening with Emphasis on Youth</w:t>
      </w:r>
      <w:r w:rsidR="000E2470">
        <w:t xml:space="preserve">”, </w:t>
      </w:r>
      <w:r w:rsidR="000E7611">
        <w:t>articulated in the Country Programme Document (CPD)</w:t>
      </w:r>
      <w:r w:rsidRPr="00082C71">
        <w:t xml:space="preserve"> </w:t>
      </w:r>
      <w:r w:rsidR="009964DC">
        <w:t xml:space="preserve">2012-2016.  This is the first Outcome </w:t>
      </w:r>
      <w:r w:rsidR="000E7611">
        <w:t xml:space="preserve">Evaluation </w:t>
      </w:r>
      <w:r w:rsidR="00CA0FE1">
        <w:t xml:space="preserve">under this CPD, </w:t>
      </w:r>
      <w:r w:rsidR="009964DC">
        <w:t xml:space="preserve">and </w:t>
      </w:r>
      <w:r w:rsidR="000E7611">
        <w:t xml:space="preserve">takes place </w:t>
      </w:r>
      <w:r w:rsidR="00CA0FE1">
        <w:t>at</w:t>
      </w:r>
      <w:r w:rsidR="000E7611">
        <w:t xml:space="preserve"> the mid-term point of the </w:t>
      </w:r>
      <w:r w:rsidR="00067794">
        <w:t>Country Programme.</w:t>
      </w:r>
    </w:p>
    <w:p w14:paraId="5E50E893" w14:textId="77777777" w:rsidR="00F367ED" w:rsidRDefault="000E2470" w:rsidP="001E50C9">
      <w:pPr>
        <w:pStyle w:val="ListParagraph"/>
        <w:ind w:left="0" w:right="70"/>
        <w:contextualSpacing w:val="0"/>
        <w:rPr>
          <w:bCs/>
        </w:rPr>
      </w:pPr>
      <w:r>
        <w:rPr>
          <w:bCs/>
        </w:rPr>
        <w:t xml:space="preserve">The CPD contains </w:t>
      </w:r>
      <w:r w:rsidRPr="009A6850">
        <w:rPr>
          <w:bCs/>
        </w:rPr>
        <w:t>three outcomes</w:t>
      </w:r>
      <w:r>
        <w:rPr>
          <w:bCs/>
        </w:rPr>
        <w:t xml:space="preserve">, identified as: </w:t>
      </w:r>
    </w:p>
    <w:p w14:paraId="60F74650" w14:textId="77777777" w:rsidR="00F367ED" w:rsidRDefault="00F367ED" w:rsidP="00853381">
      <w:pPr>
        <w:pStyle w:val="ListParagraph"/>
        <w:numPr>
          <w:ilvl w:val="0"/>
          <w:numId w:val="33"/>
        </w:numPr>
        <w:spacing w:before="0" w:after="0"/>
        <w:ind w:left="714" w:right="68" w:hanging="357"/>
        <w:rPr>
          <w:bCs/>
        </w:rPr>
      </w:pPr>
      <w:r>
        <w:rPr>
          <w:bCs/>
        </w:rPr>
        <w:t>Socio-economic and institutional reform</w:t>
      </w:r>
    </w:p>
    <w:p w14:paraId="09514F05" w14:textId="77777777" w:rsidR="00F367ED" w:rsidRDefault="00F367ED" w:rsidP="00853381">
      <w:pPr>
        <w:pStyle w:val="ListParagraph"/>
        <w:numPr>
          <w:ilvl w:val="0"/>
          <w:numId w:val="33"/>
        </w:numPr>
        <w:spacing w:before="0" w:after="0"/>
        <w:ind w:left="714" w:right="68" w:hanging="357"/>
        <w:rPr>
          <w:bCs/>
        </w:rPr>
      </w:pPr>
      <w:r>
        <w:rPr>
          <w:bCs/>
        </w:rPr>
        <w:t>Environmental sustainability</w:t>
      </w:r>
    </w:p>
    <w:p w14:paraId="0F513222" w14:textId="77777777" w:rsidR="00F367ED" w:rsidRDefault="00F367ED" w:rsidP="00853381">
      <w:pPr>
        <w:pStyle w:val="ListParagraph"/>
        <w:numPr>
          <w:ilvl w:val="0"/>
          <w:numId w:val="33"/>
        </w:numPr>
        <w:spacing w:before="0" w:after="0"/>
        <w:ind w:left="714" w:right="68" w:hanging="357"/>
        <w:rPr>
          <w:bCs/>
        </w:rPr>
      </w:pPr>
      <w:r>
        <w:rPr>
          <w:bCs/>
        </w:rPr>
        <w:t xml:space="preserve">Sustainable </w:t>
      </w:r>
      <w:r w:rsidR="000E2470">
        <w:rPr>
          <w:bCs/>
        </w:rPr>
        <w:t xml:space="preserve">development.  </w:t>
      </w:r>
    </w:p>
    <w:p w14:paraId="38FD087C" w14:textId="77777777" w:rsidR="00D80FDC" w:rsidRDefault="00AD1348" w:rsidP="00F367ED">
      <w:pPr>
        <w:ind w:right="70"/>
        <w:rPr>
          <w:bCs/>
        </w:rPr>
      </w:pPr>
      <w:r>
        <w:rPr>
          <w:bCs/>
        </w:rPr>
        <w:t>T</w:t>
      </w:r>
      <w:r w:rsidR="000E2470" w:rsidRPr="00F367ED">
        <w:rPr>
          <w:bCs/>
        </w:rPr>
        <w:t>hree cross-cutting priorities</w:t>
      </w:r>
      <w:r>
        <w:rPr>
          <w:bCs/>
        </w:rPr>
        <w:t xml:space="preserve"> are also identified</w:t>
      </w:r>
      <w:r w:rsidR="000E2470" w:rsidRPr="00F367ED">
        <w:rPr>
          <w:bCs/>
        </w:rPr>
        <w:t>: capacity development; global partnerships and gender mainstreaming</w:t>
      </w:r>
      <w:r w:rsidR="004B3728">
        <w:rPr>
          <w:bCs/>
        </w:rPr>
        <w:t xml:space="preserve"> – and are incorporated into the assessment.</w:t>
      </w:r>
      <w:r w:rsidR="0033761C" w:rsidRPr="00F367ED">
        <w:rPr>
          <w:bCs/>
        </w:rPr>
        <w:t xml:space="preserve"> </w:t>
      </w:r>
    </w:p>
    <w:p w14:paraId="5E3B577C" w14:textId="77777777" w:rsidR="00224568" w:rsidRDefault="00916F13" w:rsidP="00224568">
      <w:pPr>
        <w:spacing w:after="0"/>
        <w:ind w:right="-74"/>
        <w:rPr>
          <w:rFonts w:cstheme="majorBidi"/>
        </w:rPr>
      </w:pPr>
      <w:r w:rsidRPr="00F518FF">
        <w:rPr>
          <w:rFonts w:cstheme="majorBidi"/>
        </w:rPr>
        <w:t>Outcome 1 was formulated in the light of lessons learned and several reviews</w:t>
      </w:r>
      <w:r>
        <w:rPr>
          <w:rFonts w:cstheme="majorBidi"/>
        </w:rPr>
        <w:t xml:space="preserve"> of</w:t>
      </w:r>
      <w:r w:rsidRPr="00F518FF">
        <w:rPr>
          <w:rFonts w:cstheme="majorBidi"/>
        </w:rPr>
        <w:t xml:space="preserve"> UNDP’s support to </w:t>
      </w:r>
      <w:r w:rsidR="00224568">
        <w:rPr>
          <w:rFonts w:cstheme="majorBidi"/>
        </w:rPr>
        <w:t>KSA</w:t>
      </w:r>
      <w:r w:rsidR="00AC6BC7">
        <w:rPr>
          <w:rFonts w:cstheme="majorBidi"/>
        </w:rPr>
        <w:t xml:space="preserve"> which</w:t>
      </w:r>
      <w:r w:rsidR="00224568">
        <w:rPr>
          <w:rFonts w:cstheme="majorBidi"/>
        </w:rPr>
        <w:t xml:space="preserve"> endorsed UNDP’s characteristic contributions</w:t>
      </w:r>
      <w:r>
        <w:rPr>
          <w:rFonts w:cstheme="majorBidi"/>
        </w:rPr>
        <w:t xml:space="preserve">:  </w:t>
      </w:r>
    </w:p>
    <w:p w14:paraId="2598131B" w14:textId="77777777" w:rsidR="00224568" w:rsidRPr="00224568" w:rsidRDefault="00916F13" w:rsidP="00224568">
      <w:pPr>
        <w:pStyle w:val="ListParagraph"/>
        <w:numPr>
          <w:ilvl w:val="0"/>
          <w:numId w:val="36"/>
        </w:numPr>
        <w:spacing w:before="0" w:after="0"/>
        <w:ind w:left="714" w:right="-74" w:hanging="357"/>
      </w:pPr>
      <w:r w:rsidRPr="00224568">
        <w:rPr>
          <w:bCs/>
        </w:rPr>
        <w:t>refocusing policies from GDP to a human development orientation</w:t>
      </w:r>
    </w:p>
    <w:p w14:paraId="5621AB3B" w14:textId="77777777" w:rsidR="00224568" w:rsidRPr="00224568" w:rsidRDefault="00224568" w:rsidP="00224568">
      <w:pPr>
        <w:pStyle w:val="ListParagraph"/>
        <w:numPr>
          <w:ilvl w:val="0"/>
          <w:numId w:val="36"/>
        </w:numPr>
        <w:ind w:right="-72"/>
      </w:pPr>
      <w:r>
        <w:rPr>
          <w:bCs/>
        </w:rPr>
        <w:t xml:space="preserve">supporting </w:t>
      </w:r>
      <w:r w:rsidR="00916F13" w:rsidRPr="00224568">
        <w:rPr>
          <w:bCs/>
        </w:rPr>
        <w:t xml:space="preserve">policies that embraced the HD concept and MDG platform, and </w:t>
      </w:r>
    </w:p>
    <w:p w14:paraId="64B2C7A7" w14:textId="77777777" w:rsidR="00224568" w:rsidRPr="00224568" w:rsidRDefault="00224568" w:rsidP="00224568">
      <w:pPr>
        <w:pStyle w:val="ListParagraph"/>
        <w:numPr>
          <w:ilvl w:val="0"/>
          <w:numId w:val="36"/>
        </w:numPr>
        <w:ind w:right="-72"/>
      </w:pPr>
      <w:r>
        <w:rPr>
          <w:bCs/>
        </w:rPr>
        <w:t xml:space="preserve">maximising its </w:t>
      </w:r>
      <w:r w:rsidR="00916F13" w:rsidRPr="00224568">
        <w:rPr>
          <w:bCs/>
        </w:rPr>
        <w:t xml:space="preserve">demonstrated strengths in institutional capacity development.  </w:t>
      </w:r>
    </w:p>
    <w:p w14:paraId="39A24DFA" w14:textId="77777777" w:rsidR="00916F13" w:rsidRDefault="001749AD" w:rsidP="00224568">
      <w:pPr>
        <w:ind w:right="-72"/>
      </w:pPr>
      <w:r>
        <w:rPr>
          <w:bCs/>
        </w:rPr>
        <w:t xml:space="preserve">In these reviews </w:t>
      </w:r>
      <w:r w:rsidR="00916F13" w:rsidRPr="00224568">
        <w:rPr>
          <w:bCs/>
        </w:rPr>
        <w:t xml:space="preserve">UNDP was called on to increase support to </w:t>
      </w:r>
      <w:r>
        <w:rPr>
          <w:bCs/>
        </w:rPr>
        <w:t xml:space="preserve">the </w:t>
      </w:r>
      <w:r w:rsidR="00916F13" w:rsidRPr="00224568">
        <w:rPr>
          <w:bCs/>
        </w:rPr>
        <w:t>volunteer</w:t>
      </w:r>
      <w:r>
        <w:rPr>
          <w:bCs/>
        </w:rPr>
        <w:t>ing work</w:t>
      </w:r>
      <w:r w:rsidR="00916F13" w:rsidRPr="00224568">
        <w:rPr>
          <w:bCs/>
        </w:rPr>
        <w:t xml:space="preserve"> of government partners </w:t>
      </w:r>
      <w:r>
        <w:rPr>
          <w:bCs/>
        </w:rPr>
        <w:t>such as</w:t>
      </w:r>
      <w:r w:rsidR="00916F13" w:rsidRPr="00224568">
        <w:rPr>
          <w:bCs/>
        </w:rPr>
        <w:t xml:space="preserve"> CSOs.  Pointing to UNDP’s wealth of development experience, reviewers called for an exploration of new partnership strategies, and underscored the agency’s focus on sustainability of results.  </w:t>
      </w:r>
    </w:p>
    <w:p w14:paraId="22963069" w14:textId="77777777" w:rsidR="00626F5C" w:rsidRDefault="00626F5C" w:rsidP="00626F5C">
      <w:pPr>
        <w:ind w:right="119"/>
        <w:rPr>
          <w:rFonts w:cs="Times New Roman"/>
          <w:color w:val="000000"/>
          <w:szCs w:val="18"/>
        </w:rPr>
      </w:pPr>
      <w:r>
        <w:rPr>
          <w:rFonts w:cs="Times New Roman"/>
          <w:color w:val="000000"/>
          <w:szCs w:val="18"/>
        </w:rPr>
        <w:t xml:space="preserve">Outcome 1 is closely aligned with the strategic directions of the government and the UN system globally and within KSA; specifically the </w:t>
      </w:r>
      <w:r w:rsidR="001749AD">
        <w:rPr>
          <w:rFonts w:cs="Times New Roman"/>
          <w:color w:val="000000"/>
          <w:szCs w:val="18"/>
        </w:rPr>
        <w:t xml:space="preserve">government’s </w:t>
      </w:r>
      <w:r>
        <w:rPr>
          <w:rFonts w:cs="Times New Roman"/>
          <w:color w:val="000000"/>
          <w:szCs w:val="18"/>
        </w:rPr>
        <w:t>9</w:t>
      </w:r>
      <w:r w:rsidRPr="00626F5C">
        <w:rPr>
          <w:rFonts w:cs="Times New Roman"/>
          <w:color w:val="000000"/>
          <w:szCs w:val="18"/>
          <w:vertAlign w:val="superscript"/>
        </w:rPr>
        <w:t>th</w:t>
      </w:r>
      <w:r>
        <w:rPr>
          <w:rFonts w:cs="Times New Roman"/>
          <w:color w:val="000000"/>
          <w:szCs w:val="18"/>
        </w:rPr>
        <w:t xml:space="preserve"> NDP, the UN Common Country Strategic Framework</w:t>
      </w:r>
      <w:r w:rsidR="001749AD">
        <w:rPr>
          <w:rFonts w:cs="Times New Roman"/>
          <w:color w:val="000000"/>
          <w:szCs w:val="18"/>
        </w:rPr>
        <w:t xml:space="preserve"> for</w:t>
      </w:r>
      <w:r>
        <w:rPr>
          <w:rFonts w:cs="Times New Roman"/>
          <w:color w:val="000000"/>
          <w:szCs w:val="18"/>
        </w:rPr>
        <w:t xml:space="preserve"> KSA, and the UNDP Global Strategic Plan.</w:t>
      </w:r>
    </w:p>
    <w:p w14:paraId="76CBF5A5" w14:textId="77777777" w:rsidR="00626F5C" w:rsidRPr="00892ED0" w:rsidRDefault="006D0968" w:rsidP="00F367ED">
      <w:pPr>
        <w:ind w:right="70"/>
      </w:pPr>
      <w:r>
        <w:t xml:space="preserve">The ability </w:t>
      </w:r>
      <w:r w:rsidRPr="00017257">
        <w:t>to address education and</w:t>
      </w:r>
      <w:r>
        <w:t xml:space="preserve"> employment needs for its youth will</w:t>
      </w:r>
      <w:r w:rsidRPr="00017257">
        <w:t xml:space="preserve"> define </w:t>
      </w:r>
      <w:r>
        <w:t xml:space="preserve">the sustainability of development in KSA. </w:t>
      </w:r>
      <w:r w:rsidR="00892ED0">
        <w:t xml:space="preserve"> </w:t>
      </w:r>
      <w:r>
        <w:rPr>
          <w:color w:val="000000"/>
        </w:rPr>
        <w:t>The CPD</w:t>
      </w:r>
      <w:r w:rsidR="005C3B5C">
        <w:rPr>
          <w:color w:val="000000"/>
        </w:rPr>
        <w:t xml:space="preserve"> noted</w:t>
      </w:r>
      <w:r>
        <w:rPr>
          <w:color w:val="000000"/>
        </w:rPr>
        <w:t xml:space="preserve"> the importance of broadening </w:t>
      </w:r>
      <w:r w:rsidRPr="00434FB3">
        <w:rPr>
          <w:color w:val="000000"/>
        </w:rPr>
        <w:t xml:space="preserve">opportunities </w:t>
      </w:r>
      <w:r>
        <w:rPr>
          <w:color w:val="000000"/>
        </w:rPr>
        <w:t>to meet the</w:t>
      </w:r>
      <w:r w:rsidRPr="00434FB3">
        <w:rPr>
          <w:color w:val="000000"/>
        </w:rPr>
        <w:t xml:space="preserve"> expanding role of youth in economic life</w:t>
      </w:r>
      <w:r>
        <w:rPr>
          <w:color w:val="000000"/>
        </w:rPr>
        <w:t>, and call</w:t>
      </w:r>
      <w:r w:rsidR="005C3B5C">
        <w:rPr>
          <w:color w:val="000000"/>
        </w:rPr>
        <w:t>ed</w:t>
      </w:r>
      <w:r>
        <w:rPr>
          <w:color w:val="000000"/>
        </w:rPr>
        <w:t xml:space="preserve"> for an emphasis on </w:t>
      </w:r>
      <w:r w:rsidR="005C3B5C">
        <w:rPr>
          <w:color w:val="000000"/>
        </w:rPr>
        <w:t xml:space="preserve">institutional </w:t>
      </w:r>
      <w:r w:rsidRPr="00434FB3">
        <w:rPr>
          <w:color w:val="000000"/>
        </w:rPr>
        <w:t xml:space="preserve">capacity </w:t>
      </w:r>
      <w:r w:rsidR="005C3B5C">
        <w:rPr>
          <w:color w:val="000000"/>
        </w:rPr>
        <w:t xml:space="preserve">building for inclusive </w:t>
      </w:r>
      <w:r w:rsidRPr="00434FB3">
        <w:rPr>
          <w:color w:val="000000"/>
        </w:rPr>
        <w:t>development</w:t>
      </w:r>
      <w:r w:rsidR="005C3B5C">
        <w:rPr>
          <w:color w:val="000000"/>
        </w:rPr>
        <w:t xml:space="preserve">.  The Programme was open to </w:t>
      </w:r>
      <w:r w:rsidRPr="00434FB3">
        <w:rPr>
          <w:color w:val="000000"/>
        </w:rPr>
        <w:t xml:space="preserve">the role of </w:t>
      </w:r>
      <w:r>
        <w:rPr>
          <w:color w:val="000000"/>
        </w:rPr>
        <w:t xml:space="preserve">the </w:t>
      </w:r>
      <w:r w:rsidRPr="00434FB3">
        <w:rPr>
          <w:color w:val="000000"/>
        </w:rPr>
        <w:t>private sector in development</w:t>
      </w:r>
      <w:r w:rsidR="006335F3">
        <w:rPr>
          <w:color w:val="000000"/>
        </w:rPr>
        <w:t xml:space="preserve"> and</w:t>
      </w:r>
      <w:r w:rsidRPr="00434FB3">
        <w:rPr>
          <w:color w:val="000000"/>
        </w:rPr>
        <w:t xml:space="preserve"> </w:t>
      </w:r>
      <w:r w:rsidR="006335F3">
        <w:rPr>
          <w:color w:val="000000"/>
        </w:rPr>
        <w:t xml:space="preserve">to </w:t>
      </w:r>
      <w:r w:rsidRPr="00434FB3">
        <w:rPr>
          <w:color w:val="000000"/>
        </w:rPr>
        <w:t>public-private partnerships</w:t>
      </w:r>
      <w:r w:rsidR="006335F3">
        <w:rPr>
          <w:color w:val="000000"/>
        </w:rPr>
        <w:t>, particularly for</w:t>
      </w:r>
      <w:r w:rsidRPr="00434FB3">
        <w:rPr>
          <w:color w:val="000000"/>
        </w:rPr>
        <w:t xml:space="preserve"> expanding </w:t>
      </w:r>
      <w:r w:rsidR="005C3B5C">
        <w:rPr>
          <w:color w:val="000000"/>
        </w:rPr>
        <w:t xml:space="preserve">employment opportunities for </w:t>
      </w:r>
      <w:r w:rsidRPr="00434FB3">
        <w:rPr>
          <w:color w:val="000000"/>
        </w:rPr>
        <w:t xml:space="preserve">women </w:t>
      </w:r>
      <w:r w:rsidR="005C3B5C">
        <w:rPr>
          <w:color w:val="000000"/>
        </w:rPr>
        <w:t>and youth</w:t>
      </w:r>
      <w:r w:rsidR="00F00082">
        <w:rPr>
          <w:color w:val="000000"/>
        </w:rPr>
        <w:t>, and to support for</w:t>
      </w:r>
      <w:r w:rsidR="005C3B5C">
        <w:rPr>
          <w:color w:val="000000"/>
        </w:rPr>
        <w:t xml:space="preserve"> women’s </w:t>
      </w:r>
      <w:r w:rsidRPr="00434FB3">
        <w:rPr>
          <w:color w:val="000000"/>
        </w:rPr>
        <w:t>p</w:t>
      </w:r>
      <w:r w:rsidR="005C3B5C">
        <w:rPr>
          <w:color w:val="000000"/>
        </w:rPr>
        <w:t>a</w:t>
      </w:r>
      <w:r w:rsidR="00F00082">
        <w:rPr>
          <w:color w:val="000000"/>
        </w:rPr>
        <w:t>rticipation in decision-making</w:t>
      </w:r>
      <w:r>
        <w:t>.</w:t>
      </w:r>
    </w:p>
    <w:p w14:paraId="099BC26A" w14:textId="77777777" w:rsidR="005C3B5C" w:rsidRDefault="005C3B5C" w:rsidP="00A25E56">
      <w:pPr>
        <w:ind w:right="-72"/>
      </w:pPr>
      <w:r>
        <w:t xml:space="preserve">The </w:t>
      </w:r>
      <w:r w:rsidR="004B3728">
        <w:t>CPD</w:t>
      </w:r>
      <w:r>
        <w:t xml:space="preserve"> proposed </w:t>
      </w:r>
      <w:r w:rsidR="00892ED0">
        <w:t xml:space="preserve">to </w:t>
      </w:r>
      <w:r>
        <w:t xml:space="preserve">support capacity development for </w:t>
      </w:r>
      <w:r w:rsidR="00892ED0">
        <w:rPr>
          <w:bCs/>
        </w:rPr>
        <w:t>charitable</w:t>
      </w:r>
      <w:r w:rsidR="00892ED0" w:rsidRPr="00434FB3">
        <w:rPr>
          <w:bCs/>
        </w:rPr>
        <w:t xml:space="preserve"> </w:t>
      </w:r>
      <w:r>
        <w:rPr>
          <w:bCs/>
        </w:rPr>
        <w:t xml:space="preserve">CSOs </w:t>
      </w:r>
      <w:r>
        <w:t>and public institutions in specific areas of concern such as youth and women’s empowerment.</w:t>
      </w:r>
      <w:r w:rsidRPr="005C3B5C">
        <w:t xml:space="preserve"> </w:t>
      </w:r>
      <w:r>
        <w:t xml:space="preserve">  Support would be explored for systemic and institutional capacities to address issues of human security for empowerment of vulnerable communities</w:t>
      </w:r>
      <w:r w:rsidRPr="005C3B5C">
        <w:t xml:space="preserve"> </w:t>
      </w:r>
      <w:r>
        <w:t>in alignment with government frameworks.</w:t>
      </w:r>
    </w:p>
    <w:p w14:paraId="377E1F92" w14:textId="77777777" w:rsidR="001E0FD7" w:rsidRDefault="00916F13" w:rsidP="001F7327">
      <w:pPr>
        <w:ind w:right="-23"/>
      </w:pPr>
      <w:r>
        <w:t>The Outcome Evaluation sets the CPD in the context of a demographic imperative.  T</w:t>
      </w:r>
      <w:r w:rsidR="001F7327">
        <w:t>he Middle East</w:t>
      </w:r>
      <w:r w:rsidR="001F7327" w:rsidRPr="002009FA">
        <w:t xml:space="preserve"> is experiencing an unprecedented "youth bulge."   With over 30 percent of its population between the ages of 15 and 29, rep</w:t>
      </w:r>
      <w:r w:rsidR="001F7327">
        <w:t>resenting over 100 million young people</w:t>
      </w:r>
      <w:r w:rsidR="001F7327" w:rsidRPr="002009FA">
        <w:t>, this is the highest proportion of youth to adults in the region’s history.</w:t>
      </w:r>
      <w:r w:rsidR="001F7327">
        <w:t xml:space="preserve">  In Saudi Arabia, </w:t>
      </w:r>
      <w:r w:rsidR="001E0FD7">
        <w:t>similarly, high numbers of w</w:t>
      </w:r>
      <w:r w:rsidR="001F7327">
        <w:t xml:space="preserve">orking-age young people </w:t>
      </w:r>
      <w:r w:rsidR="001E0FD7">
        <w:t>offer the country a “window of opportunity” – to raise incomes and investment – in the near term, before this young cohort itself begins to age.</w:t>
      </w:r>
    </w:p>
    <w:p w14:paraId="7C8DED51" w14:textId="77777777" w:rsidR="004B3728" w:rsidRDefault="001E0FD7" w:rsidP="001F7327">
      <w:pPr>
        <w:ind w:right="-23"/>
      </w:pPr>
      <w:r>
        <w:t>The very</w:t>
      </w:r>
      <w:r w:rsidR="001F7327">
        <w:t xml:space="preserve"> rapid change, </w:t>
      </w:r>
      <w:r w:rsidR="00CB33AE">
        <w:t>which</w:t>
      </w:r>
      <w:r>
        <w:t xml:space="preserve"> for Saudi Arabia</w:t>
      </w:r>
      <w:r w:rsidR="001F7327">
        <w:t xml:space="preserve"> has </w:t>
      </w:r>
      <w:r>
        <w:t xml:space="preserve">taken place just in the past 20 years, has </w:t>
      </w:r>
      <w:r w:rsidR="001F7327">
        <w:t xml:space="preserve">put youth issues high on the agenda.  Young people want a modern education that will equip them to join the work force, they are concerned about family formation and housing, and they are interested in contributing to their local and broader communities.  </w:t>
      </w:r>
    </w:p>
    <w:p w14:paraId="6BD62EFD" w14:textId="77777777" w:rsidR="001F7327" w:rsidRDefault="001F7327" w:rsidP="001F7327">
      <w:pPr>
        <w:ind w:right="-23"/>
      </w:pPr>
      <w:r>
        <w:t xml:space="preserve">A persisting mismatch of education content and </w:t>
      </w:r>
      <w:r w:rsidR="00CB33AE">
        <w:t>demand</w:t>
      </w:r>
      <w:r>
        <w:t xml:space="preserve"> in the labour market poses an acute difficulty.  Saudi Arabia, like its neighbours, experiences high youth unemployment.  The Middle East and North Africa (MENA) region is burdened by rates that are almost double the global average.  This is particularly marked for women.  Unemployment rates for men are about 22 percent; for women the rate is above 40 percent, or three times the global average.  The Saudi rate is comparable for young men, at 21.0 percent; however for young women unemployment reached 54.8 percent in the </w:t>
      </w:r>
      <w:r w:rsidR="001749AD">
        <w:t>CPD</w:t>
      </w:r>
      <w:r>
        <w:t xml:space="preserve"> period.</w:t>
      </w:r>
    </w:p>
    <w:p w14:paraId="12D595C7" w14:textId="77777777" w:rsidR="00916F13" w:rsidRDefault="00916F13" w:rsidP="00916F13">
      <w:pPr>
        <w:ind w:right="-23"/>
      </w:pPr>
      <w:r w:rsidRPr="00876980">
        <w:t xml:space="preserve">Over one million Saudi women find themselves unable to enter the labour market </w:t>
      </w:r>
      <w:r>
        <w:t>because of a</w:t>
      </w:r>
      <w:r w:rsidRPr="00876980">
        <w:t xml:space="preserve"> lack of education or appropriate skills</w:t>
      </w:r>
      <w:r>
        <w:t>.  Women need</w:t>
      </w:r>
      <w:r w:rsidRPr="00876980">
        <w:t xml:space="preserve"> livelihood skills </w:t>
      </w:r>
      <w:r>
        <w:t>and employment support, particularly d</w:t>
      </w:r>
      <w:r w:rsidRPr="00876980">
        <w:t>iversification of female employment opportunities in economic sectors other than education</w:t>
      </w:r>
      <w:r>
        <w:t xml:space="preserve">.  </w:t>
      </w:r>
      <w:r>
        <w:rPr>
          <w:color w:val="000000"/>
        </w:rPr>
        <w:t xml:space="preserve">Recent policy changes have created openings in employment and </w:t>
      </w:r>
      <w:r w:rsidR="004B3728">
        <w:rPr>
          <w:color w:val="000000"/>
        </w:rPr>
        <w:t>public life</w:t>
      </w:r>
      <w:r>
        <w:rPr>
          <w:color w:val="000000"/>
        </w:rPr>
        <w:t>.  Women are able to vote and to stan</w:t>
      </w:r>
      <w:r w:rsidR="004B3728">
        <w:rPr>
          <w:color w:val="000000"/>
        </w:rPr>
        <w:t>d for office in local elections</w:t>
      </w:r>
      <w:r>
        <w:rPr>
          <w:color w:val="000000"/>
        </w:rPr>
        <w:t xml:space="preserve"> </w:t>
      </w:r>
      <w:r w:rsidR="004B3728">
        <w:rPr>
          <w:color w:val="000000"/>
        </w:rPr>
        <w:t>and</w:t>
      </w:r>
      <w:r>
        <w:rPr>
          <w:color w:val="000000"/>
        </w:rPr>
        <w:t xml:space="preserve"> the first-ever appointments to the Shura Council</w:t>
      </w:r>
      <w:r w:rsidR="004B3728">
        <w:rPr>
          <w:color w:val="000000"/>
        </w:rPr>
        <w:t xml:space="preserve"> have been made</w:t>
      </w:r>
      <w:r>
        <w:rPr>
          <w:color w:val="000000"/>
        </w:rPr>
        <w:t xml:space="preserve">.  The CPD planned to support women’s participation in decision-making through CSOs active in women’s empowerment, </w:t>
      </w:r>
      <w:r w:rsidR="008426A1">
        <w:rPr>
          <w:color w:val="000000"/>
        </w:rPr>
        <w:t>in light of</w:t>
      </w:r>
      <w:r>
        <w:rPr>
          <w:color w:val="000000"/>
        </w:rPr>
        <w:t xml:space="preserve"> upcoming </w:t>
      </w:r>
      <w:r w:rsidRPr="00D567C7">
        <w:t>municipal elections</w:t>
      </w:r>
      <w:r>
        <w:t xml:space="preserve"> set for 2015.</w:t>
      </w:r>
    </w:p>
    <w:p w14:paraId="26DF9C21" w14:textId="77777777" w:rsidR="004B3728" w:rsidRDefault="004B3728" w:rsidP="00916F13">
      <w:pPr>
        <w:ind w:right="-23"/>
      </w:pPr>
      <w:r>
        <w:t xml:space="preserve">Considering progress towards the Outcomes:  in the short period of the mid-term, indicators are that enrolment in higher education has risen markedly for both women and men; unemployment has stagnated in the case of young men and has risen considerably for young women.  </w:t>
      </w:r>
      <w:r w:rsidR="008B6D1F">
        <w:t>Indicators of institutional capacity development show uneven results, noted in the Conclusions and Recommendations.</w:t>
      </w:r>
    </w:p>
    <w:p w14:paraId="6B75779A" w14:textId="03C2E72F" w:rsidR="00F00082" w:rsidRDefault="00F00082" w:rsidP="00F00082">
      <w:pPr>
        <w:ind w:right="-23"/>
      </w:pPr>
      <w:r>
        <w:t>UNDP contributed to four projects in support of Outcome 1:</w:t>
      </w:r>
    </w:p>
    <w:p w14:paraId="147A3214" w14:textId="7C53E9F1" w:rsidR="00F00082" w:rsidRPr="00536CE9" w:rsidRDefault="00F00082" w:rsidP="008068CB">
      <w:pPr>
        <w:pStyle w:val="CommentText"/>
        <w:numPr>
          <w:ilvl w:val="0"/>
          <w:numId w:val="37"/>
        </w:numPr>
        <w:ind w:right="70"/>
      </w:pPr>
      <w:r>
        <w:rPr>
          <w:color w:val="000000"/>
        </w:rPr>
        <w:t xml:space="preserve">Youth </w:t>
      </w:r>
      <w:r w:rsidR="00536CE9">
        <w:rPr>
          <w:color w:val="000000"/>
        </w:rPr>
        <w:t>Exchange programme for MOFA:</w:t>
      </w:r>
      <w:r w:rsidR="00536CE9">
        <w:t xml:space="preserve"> (Saudi International Youth Dialogue Forum)</w:t>
      </w:r>
      <w:r w:rsidRPr="008068CB">
        <w:rPr>
          <w:color w:val="000000"/>
        </w:rPr>
        <w:t xml:space="preserve"> </w:t>
      </w:r>
      <w:r w:rsidR="00D25D56" w:rsidRPr="008068CB">
        <w:rPr>
          <w:color w:val="000000"/>
        </w:rPr>
        <w:t xml:space="preserve">Cooperation with MOFA </w:t>
      </w:r>
      <w:r w:rsidRPr="008068CB">
        <w:rPr>
          <w:color w:val="000000"/>
        </w:rPr>
        <w:t xml:space="preserve">to promote youth participation in global dialogue and partnerships. </w:t>
      </w:r>
    </w:p>
    <w:p w14:paraId="2EDFE8BB" w14:textId="77777777" w:rsidR="00F00082" w:rsidRDefault="004A6B7D" w:rsidP="00F00082">
      <w:pPr>
        <w:pStyle w:val="ListParagraph"/>
        <w:numPr>
          <w:ilvl w:val="0"/>
          <w:numId w:val="37"/>
        </w:numPr>
        <w:ind w:right="70"/>
        <w:rPr>
          <w:color w:val="000000"/>
        </w:rPr>
      </w:pPr>
      <w:r>
        <w:t xml:space="preserve">Support to </w:t>
      </w:r>
      <w:r w:rsidR="000C651E">
        <w:t xml:space="preserve">MOEP for </w:t>
      </w:r>
      <w:r>
        <w:t xml:space="preserve">the preparation of the first-ever National Youth Strategy (NYS), to address “the design of </w:t>
      </w:r>
      <w:r w:rsidRPr="00017257">
        <w:t xml:space="preserve">effective </w:t>
      </w:r>
      <w:r>
        <w:t xml:space="preserve">labour policies, </w:t>
      </w:r>
      <w:r w:rsidRPr="00473D72">
        <w:rPr>
          <w:color w:val="000000"/>
        </w:rPr>
        <w:t xml:space="preserve">public-private partnerships, </w:t>
      </w:r>
      <w:r w:rsidRPr="00017257">
        <w:t>education system</w:t>
      </w:r>
      <w:r>
        <w:t>s</w:t>
      </w:r>
      <w:r w:rsidRPr="00017257">
        <w:t xml:space="preserve"> </w:t>
      </w:r>
      <w:r>
        <w:t xml:space="preserve">and </w:t>
      </w:r>
      <w:r w:rsidRPr="00473D72">
        <w:rPr>
          <w:color w:val="000000"/>
        </w:rPr>
        <w:t xml:space="preserve">new universities specialized in domains aligned with global trends.” This Strategy is expected to be released imminently.  </w:t>
      </w:r>
    </w:p>
    <w:p w14:paraId="5EF02200" w14:textId="77777777" w:rsidR="00853381" w:rsidRPr="00B3195A" w:rsidRDefault="00853381" w:rsidP="00853381">
      <w:pPr>
        <w:pStyle w:val="ListParagraph"/>
        <w:numPr>
          <w:ilvl w:val="0"/>
          <w:numId w:val="37"/>
        </w:numPr>
        <w:ind w:right="70"/>
        <w:rPr>
          <w:color w:val="000000"/>
        </w:rPr>
      </w:pPr>
      <w:r>
        <w:t>Capacity Development of Princess Al Anood Center for Youth Development (Warif) to support volunteering activity by young women and men.</w:t>
      </w:r>
    </w:p>
    <w:p w14:paraId="3D55528F" w14:textId="77777777" w:rsidR="00853381" w:rsidRPr="00E44450" w:rsidRDefault="00853381" w:rsidP="00853381">
      <w:pPr>
        <w:pStyle w:val="ListParagraph"/>
        <w:numPr>
          <w:ilvl w:val="0"/>
          <w:numId w:val="37"/>
        </w:numPr>
        <w:ind w:right="70"/>
        <w:rPr>
          <w:color w:val="000000"/>
        </w:rPr>
      </w:pPr>
      <w:r>
        <w:t xml:space="preserve">Women Empowerment in Saudi Arabia:  support to the Prince Sultan Fund and Princess Jawahir Center for Women Empowerment under its aegis (PSF/PJC).  </w:t>
      </w:r>
    </w:p>
    <w:p w14:paraId="0D4D1BC2" w14:textId="3BD33F68" w:rsidR="00853381" w:rsidRPr="00E44450" w:rsidRDefault="00853381" w:rsidP="00853381">
      <w:pPr>
        <w:ind w:right="68"/>
        <w:rPr>
          <w:szCs w:val="28"/>
          <w:lang w:bidi="ar-EG"/>
        </w:rPr>
      </w:pPr>
      <w:r w:rsidRPr="008C5279">
        <w:rPr>
          <w:b/>
          <w:szCs w:val="28"/>
          <w:lang w:bidi="ar-EG"/>
        </w:rPr>
        <w:t>1.</w:t>
      </w:r>
      <w:r>
        <w:rPr>
          <w:szCs w:val="28"/>
          <w:lang w:bidi="ar-EG"/>
        </w:rPr>
        <w:t xml:space="preserve"> </w:t>
      </w:r>
      <w:r w:rsidRPr="00E44450">
        <w:rPr>
          <w:szCs w:val="28"/>
          <w:lang w:bidi="ar-EG"/>
        </w:rPr>
        <w:t xml:space="preserve">The </w:t>
      </w:r>
      <w:r w:rsidRPr="0082186E">
        <w:rPr>
          <w:b/>
          <w:color w:val="000000"/>
        </w:rPr>
        <w:t>Youth Dialogue Forums</w:t>
      </w:r>
      <w:r w:rsidRPr="00E44450">
        <w:rPr>
          <w:szCs w:val="28"/>
          <w:lang w:bidi="ar-EG"/>
        </w:rPr>
        <w:t xml:space="preserve"> </w:t>
      </w:r>
      <w:r>
        <w:rPr>
          <w:szCs w:val="28"/>
          <w:lang w:bidi="ar-EG"/>
        </w:rPr>
        <w:t xml:space="preserve">(YDF) </w:t>
      </w:r>
      <w:r w:rsidRPr="00E44450">
        <w:rPr>
          <w:szCs w:val="28"/>
          <w:lang w:bidi="ar-EG"/>
        </w:rPr>
        <w:t xml:space="preserve">have been an undoubted success.  </w:t>
      </w:r>
      <w:r>
        <w:rPr>
          <w:szCs w:val="28"/>
          <w:lang w:bidi="ar-EG"/>
        </w:rPr>
        <w:t xml:space="preserve">Drawing on UNDP’s pool of consultant expertise they prepared an integrated programme for cultural, scientific and knowledge-exchange dialogue between national youth delegations.  </w:t>
      </w:r>
      <w:r w:rsidRPr="00E44450">
        <w:rPr>
          <w:szCs w:val="28"/>
          <w:lang w:bidi="ar-EG"/>
        </w:rPr>
        <w:t xml:space="preserve">They have contributed at the policy level to the participation of a stellar group of young women and men in </w:t>
      </w:r>
      <w:r w:rsidR="002B0BED">
        <w:rPr>
          <w:szCs w:val="28"/>
          <w:lang w:bidi="ar-EG"/>
        </w:rPr>
        <w:t>tripartite</w:t>
      </w:r>
      <w:r w:rsidRPr="00E44450">
        <w:rPr>
          <w:szCs w:val="28"/>
          <w:lang w:bidi="ar-EG"/>
        </w:rPr>
        <w:t xml:space="preserve"> dialogue, and have developed the capacities of these participants as potential leaders at local and even grander scales.</w:t>
      </w:r>
      <w:r w:rsidR="00A038FC">
        <w:rPr>
          <w:szCs w:val="28"/>
          <w:lang w:bidi="ar-EG"/>
        </w:rPr>
        <w:t xml:space="preserve">  The next stage for the forums is to graduate to more institutionalized participation in existing high-level global and regional forums, as parallel youth events.</w:t>
      </w:r>
    </w:p>
    <w:p w14:paraId="622E92DA" w14:textId="00B73A60" w:rsidR="00853381" w:rsidRDefault="00853381" w:rsidP="00853381">
      <w:pPr>
        <w:ind w:right="68"/>
        <w:rPr>
          <w:szCs w:val="28"/>
          <w:lang w:bidi="ar-EG"/>
        </w:rPr>
      </w:pPr>
      <w:r>
        <w:rPr>
          <w:szCs w:val="28"/>
          <w:lang w:bidi="ar-EG"/>
        </w:rPr>
        <w:t>The</w:t>
      </w:r>
      <w:r w:rsidRPr="00E44450">
        <w:rPr>
          <w:szCs w:val="28"/>
          <w:lang w:bidi="ar-EG"/>
        </w:rPr>
        <w:t xml:space="preserve"> </w:t>
      </w:r>
      <w:r>
        <w:rPr>
          <w:szCs w:val="28"/>
          <w:lang w:bidi="ar-EG"/>
        </w:rPr>
        <w:t xml:space="preserve">very </w:t>
      </w:r>
      <w:r w:rsidRPr="00E44450">
        <w:rPr>
          <w:szCs w:val="28"/>
          <w:lang w:bidi="ar-EG"/>
        </w:rPr>
        <w:t xml:space="preserve">success </w:t>
      </w:r>
      <w:r>
        <w:rPr>
          <w:szCs w:val="28"/>
          <w:lang w:bidi="ar-EG"/>
        </w:rPr>
        <w:t xml:space="preserve">of YDF is likely to require </w:t>
      </w:r>
      <w:r w:rsidRPr="00E44450">
        <w:rPr>
          <w:szCs w:val="28"/>
          <w:lang w:bidi="ar-EG"/>
        </w:rPr>
        <w:t xml:space="preserve">adjustments in order to sustain </w:t>
      </w:r>
      <w:r w:rsidR="00A038FC">
        <w:rPr>
          <w:szCs w:val="28"/>
          <w:lang w:bidi="ar-EG"/>
        </w:rPr>
        <w:t>its</w:t>
      </w:r>
      <w:r w:rsidRPr="00E44450">
        <w:rPr>
          <w:szCs w:val="28"/>
          <w:lang w:bidi="ar-EG"/>
        </w:rPr>
        <w:t xml:space="preserve"> future.  The project has been coordinated with a high level of effort on the part of </w:t>
      </w:r>
      <w:r w:rsidR="002B0BED">
        <w:rPr>
          <w:szCs w:val="28"/>
          <w:lang w:bidi="ar-EG"/>
        </w:rPr>
        <w:t xml:space="preserve">MOFA </w:t>
      </w:r>
      <w:r w:rsidR="00A038FC">
        <w:rPr>
          <w:szCs w:val="28"/>
          <w:lang w:bidi="ar-EG"/>
        </w:rPr>
        <w:t xml:space="preserve">and </w:t>
      </w:r>
      <w:r w:rsidRPr="00E44450">
        <w:rPr>
          <w:szCs w:val="28"/>
          <w:lang w:bidi="ar-EG"/>
        </w:rPr>
        <w:t xml:space="preserve">UNDP staff members.  As new leadership capacity has been developed among youth participants, the level of UNDP hands-on management is expected to be reduced.  Further, </w:t>
      </w:r>
      <w:r w:rsidR="008B6D1F">
        <w:rPr>
          <w:szCs w:val="28"/>
          <w:lang w:bidi="ar-EG"/>
        </w:rPr>
        <w:t>with YDF’s expansion</w:t>
      </w:r>
      <w:r w:rsidRPr="00E44450">
        <w:rPr>
          <w:szCs w:val="28"/>
          <w:lang w:bidi="ar-EG"/>
        </w:rPr>
        <w:t>, the cadre of volunteer coordinators is</w:t>
      </w:r>
      <w:r w:rsidR="00A038FC">
        <w:rPr>
          <w:szCs w:val="28"/>
          <w:lang w:bidi="ar-EG"/>
        </w:rPr>
        <w:t xml:space="preserve"> at risk of being over-extended</w:t>
      </w:r>
      <w:r w:rsidRPr="00E44450">
        <w:rPr>
          <w:szCs w:val="28"/>
          <w:lang w:bidi="ar-EG"/>
        </w:rPr>
        <w:t xml:space="preserve">.  Government will be well rewarded if it can now assign staff </w:t>
      </w:r>
      <w:r w:rsidR="00A038FC" w:rsidRPr="00E44450">
        <w:rPr>
          <w:szCs w:val="28"/>
          <w:lang w:bidi="ar-EG"/>
        </w:rPr>
        <w:t xml:space="preserve">personnel </w:t>
      </w:r>
      <w:r w:rsidRPr="00E44450">
        <w:rPr>
          <w:szCs w:val="28"/>
          <w:lang w:bidi="ar-EG"/>
        </w:rPr>
        <w:t xml:space="preserve">or contracted parties who can devote concerted time and resources to the programme. </w:t>
      </w:r>
    </w:p>
    <w:p w14:paraId="2FC4A9EF" w14:textId="77777777" w:rsidR="00853381" w:rsidRDefault="00853381" w:rsidP="00853381">
      <w:pPr>
        <w:ind w:right="68"/>
        <w:rPr>
          <w:szCs w:val="28"/>
          <w:lang w:bidi="ar-EG"/>
        </w:rPr>
      </w:pPr>
      <w:r w:rsidRPr="008C5279">
        <w:rPr>
          <w:b/>
          <w:szCs w:val="28"/>
          <w:lang w:bidi="ar-EG"/>
        </w:rPr>
        <w:t>2.</w:t>
      </w:r>
      <w:r>
        <w:rPr>
          <w:szCs w:val="28"/>
          <w:lang w:bidi="ar-EG"/>
        </w:rPr>
        <w:t xml:space="preserve"> </w:t>
      </w:r>
      <w:r w:rsidR="008B6D1F" w:rsidRPr="008B6D1F">
        <w:rPr>
          <w:szCs w:val="28"/>
          <w:lang w:bidi="ar-EG"/>
        </w:rPr>
        <w:t>The</w:t>
      </w:r>
      <w:r w:rsidR="008B6D1F">
        <w:rPr>
          <w:b/>
          <w:szCs w:val="28"/>
          <w:lang w:bidi="ar-EG"/>
        </w:rPr>
        <w:t xml:space="preserve"> </w:t>
      </w:r>
      <w:r w:rsidRPr="0082186E">
        <w:rPr>
          <w:b/>
        </w:rPr>
        <w:t>National Youth Strategy</w:t>
      </w:r>
      <w:r>
        <w:t xml:space="preserve"> </w:t>
      </w:r>
      <w:r w:rsidR="008B6D1F">
        <w:t xml:space="preserve">project </w:t>
      </w:r>
      <w:r>
        <w:t>worked with the General Presidency for Youth Welfare (GPYW), and a task force to conduct comp</w:t>
      </w:r>
      <w:r w:rsidR="008B6D1F">
        <w:t>rehensive studies and surveys of</w:t>
      </w:r>
      <w:r>
        <w:t xml:space="preserve"> Saudi youth.  </w:t>
      </w:r>
      <w:r w:rsidR="008B6D1F">
        <w:t>Through</w:t>
      </w:r>
      <w:r>
        <w:t xml:space="preserve"> the King Abdulaziz Cente</w:t>
      </w:r>
      <w:r w:rsidR="008B6D1F">
        <w:t xml:space="preserve">r for National Dialogue (KACND), </w:t>
      </w:r>
      <w:r>
        <w:t xml:space="preserve">42 consultation forums reached more than 7000 young </w:t>
      </w:r>
      <w:r w:rsidR="008B6D1F">
        <w:t>women and men</w:t>
      </w:r>
      <w:r>
        <w:t xml:space="preserve"> throughout the Kingdom.  On the basis of these consultations, the country’s historic first NYS has been drawn up, reviewed by all ministries and levels of government, and referred to the Committee for Youth, Family and Social Affairs</w:t>
      </w:r>
      <w:r w:rsidR="00AA4EDC">
        <w:t xml:space="preserve"> in the Shura Council</w:t>
      </w:r>
      <w:r>
        <w:t xml:space="preserve">.  It is now at the last stage of final approval by the Royal Court.  </w:t>
      </w:r>
    </w:p>
    <w:p w14:paraId="26B80F84" w14:textId="77777777" w:rsidR="00853381" w:rsidRPr="005D5784" w:rsidRDefault="00853381" w:rsidP="00853381">
      <w:pPr>
        <w:ind w:right="-23"/>
      </w:pPr>
      <w:r>
        <w:t xml:space="preserve">The coming period will be important for the launch and dissemination of the NYS.  There is potential for the </w:t>
      </w:r>
      <w:r w:rsidR="008B6D1F">
        <w:t>NYS</w:t>
      </w:r>
      <w:r>
        <w:t xml:space="preserve"> to act as a catalyst to open new areas of support to organizations working with young men and women in the areas of challenge identified in this phase.</w:t>
      </w:r>
    </w:p>
    <w:p w14:paraId="7E37FEAF" w14:textId="77777777" w:rsidR="00853381" w:rsidRDefault="00853381" w:rsidP="00853381">
      <w:pPr>
        <w:ind w:right="-72"/>
      </w:pPr>
      <w:r w:rsidRPr="008C5279">
        <w:rPr>
          <w:b/>
          <w:szCs w:val="28"/>
          <w:lang w:bidi="ar-EG"/>
        </w:rPr>
        <w:t xml:space="preserve">3. </w:t>
      </w:r>
      <w:r w:rsidRPr="008C5279">
        <w:rPr>
          <w:b/>
        </w:rPr>
        <w:t>Capacity Development of Princess Al Anood Center for Youth Development (Warif</w:t>
      </w:r>
      <w:r>
        <w:t xml:space="preserve">).  </w:t>
      </w:r>
      <w:r w:rsidRPr="00DD5FF5">
        <w:rPr>
          <w:rFonts w:cs="Times New Roman"/>
        </w:rPr>
        <w:t xml:space="preserve">Under </w:t>
      </w:r>
      <w:r>
        <w:rPr>
          <w:rFonts w:cs="Times New Roman"/>
        </w:rPr>
        <w:t xml:space="preserve">the aegis of the </w:t>
      </w:r>
      <w:r w:rsidRPr="00DD5FF5">
        <w:rPr>
          <w:rFonts w:cs="Times New Roman"/>
        </w:rPr>
        <w:t>Princess Al Anood Foundation</w:t>
      </w:r>
      <w:r>
        <w:rPr>
          <w:rFonts w:cs="Times New Roman"/>
        </w:rPr>
        <w:t xml:space="preserve">, within </w:t>
      </w:r>
      <w:r>
        <w:t xml:space="preserve">a brief period Warif has developed a vibrant programme that cooperates with a large number of partner and spin-off specialized groups.  It aims </w:t>
      </w:r>
      <w:r w:rsidR="000C651E">
        <w:t xml:space="preserve">to focus on leadership and capacity development, and </w:t>
      </w:r>
      <w:r>
        <w:t>to spread the word about the role youth can play i</w:t>
      </w:r>
      <w:r w:rsidR="000C651E">
        <w:t>n society through volunteering.</w:t>
      </w:r>
    </w:p>
    <w:p w14:paraId="45328792" w14:textId="77777777" w:rsidR="00853381" w:rsidRDefault="00853381" w:rsidP="00853381">
      <w:pPr>
        <w:ind w:right="-72"/>
      </w:pPr>
      <w:r>
        <w:t xml:space="preserve">Electing to be present in small centres, this NGO has expanded outside Riyadh to 11 provincial towns.  Through separate volunteer groups for women and men, it has rapidly gained acceptance.  Warif’s Volunteers Forum brought together 52 TOT trainers from across Saudi Arabia, women and men in equal numbers, for courses on “the power of volunteering”.  Warif runs an ongoing series of workshops on topics that </w:t>
      </w:r>
      <w:r w:rsidRPr="000C651E">
        <w:t>preoccupy young people, on numerous topics such as life and career skills and community support.</w:t>
      </w:r>
      <w:r w:rsidR="008461F6" w:rsidRPr="000C651E">
        <w:t xml:space="preserve">  </w:t>
      </w:r>
    </w:p>
    <w:p w14:paraId="3E87B997" w14:textId="77777777" w:rsidR="00853381" w:rsidRDefault="00853381" w:rsidP="00853381">
      <w:pPr>
        <w:ind w:right="-72"/>
      </w:pPr>
      <w:r>
        <w:t xml:space="preserve">Warif managing staff have found that their women members are proving to be among the best leadership candidates, that volunteering can open avenues to a wider world, and </w:t>
      </w:r>
      <w:r w:rsidR="008B6D1F">
        <w:t xml:space="preserve">that </w:t>
      </w:r>
      <w:r>
        <w:t>building the organization has expanded the vision of its young membership.</w:t>
      </w:r>
    </w:p>
    <w:p w14:paraId="77E7AF9E" w14:textId="6474FDB6" w:rsidR="00853381" w:rsidRDefault="00853381" w:rsidP="00853381">
      <w:pPr>
        <w:ind w:right="-72"/>
      </w:pPr>
      <w:r>
        <w:t xml:space="preserve">With a </w:t>
      </w:r>
      <w:r w:rsidR="00B740F9">
        <w:t>controlled</w:t>
      </w:r>
      <w:r>
        <w:t xml:space="preserve"> budget and a staff made up almost entirely of volunteers, Warif remains an organization with “a massive mandate and limited resources”.  Unlike other NGOs, however, Warif managers believe that they may have a sustainable future.  The foundation supporting the organization have been open to proposals to expand their assistance. </w:t>
      </w:r>
      <w:r w:rsidR="00B740F9">
        <w:t xml:space="preserve"> The Ministry of Labour is also providing support.</w:t>
      </w:r>
      <w:r>
        <w:t xml:space="preserve"> </w:t>
      </w:r>
    </w:p>
    <w:p w14:paraId="0E493178" w14:textId="77777777" w:rsidR="00853381" w:rsidRDefault="00853381" w:rsidP="00853381">
      <w:pPr>
        <w:ind w:right="70"/>
      </w:pPr>
      <w:r w:rsidRPr="00B02067">
        <w:rPr>
          <w:b/>
        </w:rPr>
        <w:t>4. Women Empowerment</w:t>
      </w:r>
      <w:r>
        <w:rPr>
          <w:b/>
        </w:rPr>
        <w:t xml:space="preserve"> (WE)</w:t>
      </w:r>
      <w:r w:rsidRPr="00B02067">
        <w:rPr>
          <w:b/>
        </w:rPr>
        <w:t xml:space="preserve">:  Prince Sultan Fund and Princess Jawahir Center for Women Empowerment (PSF/PJC).  </w:t>
      </w:r>
      <w:r>
        <w:t>The project marked the first time UNDP has worked with an NGO/CSO</w:t>
      </w:r>
      <w:r w:rsidR="008B6D1F">
        <w:rPr>
          <w:rStyle w:val="FootnoteReference"/>
        </w:rPr>
        <w:footnoteReference w:id="1"/>
      </w:r>
      <w:r>
        <w:t xml:space="preserve"> as its implementing partner.  (WE was launched earlier than Warif, above.) </w:t>
      </w:r>
      <w:r w:rsidRPr="00E62E59">
        <w:t>The Women’s Empowerment project produced impressive results with extremely limited funding.</w:t>
      </w:r>
      <w:r>
        <w:t xml:space="preserve">  </w:t>
      </w:r>
      <w:r w:rsidR="00496F68">
        <w:t>Resources did not permit adequate capacity development to move the partners towards sustainability; nor could the outreach to small entrepreneurs attain desired targets.</w:t>
      </w:r>
    </w:p>
    <w:p w14:paraId="28FB7FD1" w14:textId="77777777" w:rsidR="00853381" w:rsidRDefault="00853381" w:rsidP="00853381">
      <w:pPr>
        <w:ind w:right="70"/>
      </w:pPr>
      <w:r>
        <w:t>WE was financed under a grant from the UNDP Democratic Governance Thematic Trust Fund (DGTTF).  Although the original plans called for large components of the project to train women entrepreneurs in several regions of KSA, as well as leadership certification and media awareness programmes, additional PSF funding was not realized.</w:t>
      </w:r>
    </w:p>
    <w:p w14:paraId="536349BE" w14:textId="77777777" w:rsidR="00853381" w:rsidRDefault="00853381" w:rsidP="00853381">
      <w:pPr>
        <w:ind w:right="70"/>
      </w:pPr>
      <w:r>
        <w:t xml:space="preserve">PSF/PJC conducted workshops for entrepreneurs and supported pioneering approaches to better business services.  The project embraced the challenge of giving women visibility: e.g. in a context where many women’s businesses operate from home, the project helped them use Internet resources to build their profiles in professional fields.  </w:t>
      </w:r>
    </w:p>
    <w:p w14:paraId="2310EF8B" w14:textId="77777777" w:rsidR="00853381" w:rsidRDefault="00853381" w:rsidP="00853381">
      <w:pPr>
        <w:ind w:right="70"/>
      </w:pPr>
      <w:r>
        <w:t xml:space="preserve">Despite a shortfall in projected resources from contributing NGO funds, the project completed strategic plans for both the PJC and a dedicated research centre, and realised an example of primary research of high quality.  The research demonstrated relatively </w:t>
      </w:r>
      <w:r w:rsidR="00496F68">
        <w:t>broad public</w:t>
      </w:r>
      <w:r>
        <w:t xml:space="preserve"> awareness of new provisions for women’s participation in the Shura and municip</w:t>
      </w:r>
      <w:r w:rsidR="00496F68">
        <w:t>al councils.  The study provided timely</w:t>
      </w:r>
      <w:r>
        <w:t xml:space="preserve"> evidence that these measures to bring women into the political sphere are accepted by Saudi women and men, and a majority of respondents are confident that women’s participation will enrich</w:t>
      </w:r>
      <w:r w:rsidR="00496F68">
        <w:t xml:space="preserve"> public assemblies</w:t>
      </w:r>
      <w:r>
        <w:t>.</w:t>
      </w:r>
    </w:p>
    <w:p w14:paraId="5BC26217" w14:textId="77777777" w:rsidR="00853381" w:rsidRDefault="00853381" w:rsidP="00A25E56">
      <w:pPr>
        <w:ind w:right="-72"/>
      </w:pPr>
      <w:r>
        <w:t>The Women Empowerment project initiated several a</w:t>
      </w:r>
      <w:r w:rsidRPr="004F3F1C">
        <w:t>cti</w:t>
      </w:r>
      <w:r w:rsidR="008B6D1F">
        <w:t>vities that bear carry-over</w:t>
      </w:r>
      <w:r>
        <w:t xml:space="preserve"> </w:t>
      </w:r>
      <w:r w:rsidRPr="004F3F1C">
        <w:t>to a better-resourced project</w:t>
      </w:r>
      <w:r>
        <w:t>.  A viable project could be linked to public-private initiatives with greater leverage to launch resource centres in regions of the country beyond Eastern Province.  The WE project demonstrated a large, un-met need to create safe spaces for women entrepreneur</w:t>
      </w:r>
      <w:r w:rsidRPr="007F0F76">
        <w:t xml:space="preserve"> </w:t>
      </w:r>
      <w:r>
        <w:t>training, business incubators</w:t>
      </w:r>
      <w:r w:rsidRPr="007F0F76">
        <w:t xml:space="preserve"> </w:t>
      </w:r>
      <w:r>
        <w:t xml:space="preserve">and support for scaling up from micro to SME status.  The outreach achieved by WE opened exchanges with business leaders on the need for </w:t>
      </w:r>
      <w:r w:rsidR="008B6D1F">
        <w:t>up-</w:t>
      </w:r>
      <w:r>
        <w:t>scaling, and the challenge represented by the lack of systematic centres of information on financial and other services at the micro or SME level.  Recent policy initiatives on women’s economic and political participation raise the need for education of women voters and candidates and a range of research on the factors shaping pubic choice.</w:t>
      </w:r>
    </w:p>
    <w:p w14:paraId="4B39E7D8" w14:textId="77777777" w:rsidR="009F0AC4" w:rsidRPr="000C651E" w:rsidRDefault="009F0AC4" w:rsidP="009F0AC4">
      <w:pPr>
        <w:ind w:right="68"/>
        <w:rPr>
          <w:szCs w:val="28"/>
          <w:lang w:bidi="ar-EG"/>
        </w:rPr>
      </w:pPr>
      <w:r w:rsidRPr="000C651E">
        <w:rPr>
          <w:szCs w:val="28"/>
          <w:lang w:bidi="ar-EG"/>
        </w:rPr>
        <w:t xml:space="preserve">The Outcome </w:t>
      </w:r>
      <w:r w:rsidR="008B6D1F" w:rsidRPr="000C651E">
        <w:rPr>
          <w:szCs w:val="28"/>
          <w:lang w:bidi="ar-EG"/>
        </w:rPr>
        <w:t>Evaluation Report drew several C</w:t>
      </w:r>
      <w:r w:rsidRPr="000C651E">
        <w:rPr>
          <w:szCs w:val="28"/>
          <w:lang w:bidi="ar-EG"/>
        </w:rPr>
        <w:t xml:space="preserve">onclusions </w:t>
      </w:r>
      <w:r w:rsidR="006A35B9" w:rsidRPr="000C651E">
        <w:rPr>
          <w:szCs w:val="28"/>
          <w:lang w:bidi="ar-EG"/>
        </w:rPr>
        <w:t xml:space="preserve">at this mid-term of the Country Programme, </w:t>
      </w:r>
      <w:r w:rsidRPr="000C651E">
        <w:rPr>
          <w:szCs w:val="28"/>
          <w:lang w:bidi="ar-EG"/>
        </w:rPr>
        <w:t>based on a synthesis of the findings of the mission discussions and review of documents.</w:t>
      </w:r>
    </w:p>
    <w:p w14:paraId="07801AFF" w14:textId="77777777" w:rsidR="00B95A7A" w:rsidRPr="000C651E" w:rsidRDefault="00B95A7A" w:rsidP="00B95A7A">
      <w:pPr>
        <w:pStyle w:val="ListParagraph"/>
        <w:numPr>
          <w:ilvl w:val="0"/>
          <w:numId w:val="38"/>
        </w:numPr>
        <w:ind w:right="-46"/>
        <w:contextualSpacing w:val="0"/>
      </w:pPr>
      <w:bookmarkStart w:id="3" w:name="_Toc394230279"/>
      <w:r w:rsidRPr="000C651E">
        <w:t>Overall Programme:  component outputs contribute</w:t>
      </w:r>
      <w:r w:rsidR="0060782B" w:rsidRPr="000C651E">
        <w:t>d</w:t>
      </w:r>
      <w:r w:rsidRPr="000C651E">
        <w:t xml:space="preserve"> significantly to the Outcome</w:t>
      </w:r>
      <w:bookmarkEnd w:id="3"/>
      <w:r w:rsidRPr="000C651E">
        <w:t xml:space="preserve">, having paid close attention to capacity development of management partners and to gender parity, and have supported policy development in the area of the National Youth Strategy.  </w:t>
      </w:r>
    </w:p>
    <w:p w14:paraId="58984DBA" w14:textId="77777777" w:rsidR="00B95A7A" w:rsidRPr="000C651E" w:rsidRDefault="0060782B" w:rsidP="00B95A7A">
      <w:pPr>
        <w:pStyle w:val="ListParagraph"/>
        <w:numPr>
          <w:ilvl w:val="0"/>
          <w:numId w:val="38"/>
        </w:numPr>
        <w:ind w:right="95"/>
        <w:contextualSpacing w:val="0"/>
      </w:pPr>
      <w:bookmarkStart w:id="4" w:name="_Toc394230280"/>
      <w:r w:rsidRPr="000C651E">
        <w:t xml:space="preserve">Further </w:t>
      </w:r>
      <w:r w:rsidR="00EF0ADA" w:rsidRPr="000C651E">
        <w:t>s</w:t>
      </w:r>
      <w:r w:rsidR="00B95A7A" w:rsidRPr="000C651E">
        <w:t xml:space="preserve">uccess calls for new partnerships and </w:t>
      </w:r>
      <w:r w:rsidR="00496F68" w:rsidRPr="000C651E">
        <w:t xml:space="preserve">strengthened </w:t>
      </w:r>
      <w:r w:rsidR="00B95A7A" w:rsidRPr="000C651E">
        <w:t>institutional capacity development focus</w:t>
      </w:r>
      <w:bookmarkEnd w:id="4"/>
      <w:r w:rsidR="00B95A7A" w:rsidRPr="000C651E">
        <w:t>, particularly for CSOs,</w:t>
      </w:r>
      <w:r w:rsidR="00B95A7A" w:rsidRPr="000C651E">
        <w:rPr>
          <w:i/>
        </w:rPr>
        <w:t xml:space="preserve"> </w:t>
      </w:r>
      <w:r w:rsidR="00B95A7A" w:rsidRPr="000C651E">
        <w:t xml:space="preserve">in the overall assignment of resources and priorities, within the </w:t>
      </w:r>
      <w:r w:rsidR="00496F68" w:rsidRPr="000C651E">
        <w:t xml:space="preserve">current </w:t>
      </w:r>
      <w:r w:rsidR="00B95A7A" w:rsidRPr="000C651E">
        <w:t>CPD and for future programming.</w:t>
      </w:r>
    </w:p>
    <w:p w14:paraId="65EAAF09" w14:textId="77777777" w:rsidR="00B95A7A" w:rsidRPr="000C651E" w:rsidRDefault="00B95A7A" w:rsidP="00B95A7A">
      <w:pPr>
        <w:pStyle w:val="ListParagraph"/>
        <w:numPr>
          <w:ilvl w:val="0"/>
          <w:numId w:val="38"/>
        </w:numPr>
        <w:ind w:right="95"/>
        <w:contextualSpacing w:val="0"/>
      </w:pPr>
      <w:bookmarkStart w:id="5" w:name="_Toc394230282"/>
      <w:r w:rsidRPr="000C651E">
        <w:t>Outcomes for youth development and participation are on target and have reached critical turning points.</w:t>
      </w:r>
      <w:bookmarkEnd w:id="5"/>
      <w:r w:rsidRPr="000C651E">
        <w:t xml:space="preserve">  In the case of volunteering and the dissemination of the upcoming National Youth Strategy, the partnership is well placed to </w:t>
      </w:r>
      <w:r w:rsidR="00EF0ADA" w:rsidRPr="000C651E">
        <w:t>increase</w:t>
      </w:r>
      <w:r w:rsidRPr="000C651E">
        <w:t xml:space="preserve"> the leverage </w:t>
      </w:r>
      <w:r w:rsidR="00EF0ADA" w:rsidRPr="000C651E">
        <w:t xml:space="preserve">of </w:t>
      </w:r>
      <w:r w:rsidRPr="000C651E">
        <w:t>the</w:t>
      </w:r>
      <w:r w:rsidR="00496F68" w:rsidRPr="000C651E">
        <w:t xml:space="preserve"> Country Programme</w:t>
      </w:r>
      <w:r w:rsidR="00F804E4" w:rsidRPr="000C651E">
        <w:t xml:space="preserve"> (CP)</w:t>
      </w:r>
      <w:r w:rsidR="00EF0ADA" w:rsidRPr="000C651E">
        <w:t xml:space="preserve">: </w:t>
      </w:r>
      <w:r w:rsidRPr="000C651E">
        <w:t xml:space="preserve"> to reach broader groups of youth through </w:t>
      </w:r>
      <w:r w:rsidR="00F804E4" w:rsidRPr="000C651E">
        <w:t xml:space="preserve">public agencies and </w:t>
      </w:r>
      <w:r w:rsidRPr="000C651E">
        <w:t>CSOs that provide employment support, such as business and career development centres</w:t>
      </w:r>
    </w:p>
    <w:p w14:paraId="7749DDA2" w14:textId="77777777" w:rsidR="00B95A7A" w:rsidRPr="000C651E" w:rsidRDefault="00B95A7A" w:rsidP="00B95A7A">
      <w:pPr>
        <w:pStyle w:val="ListParagraph"/>
        <w:numPr>
          <w:ilvl w:val="0"/>
          <w:numId w:val="38"/>
        </w:numPr>
        <w:ind w:right="95"/>
        <w:contextualSpacing w:val="0"/>
      </w:pPr>
      <w:bookmarkStart w:id="6" w:name="_Toc394230283"/>
      <w:r w:rsidRPr="000C651E">
        <w:t>Outcomes for women’s empowerment demonstrate a potential for pairing</w:t>
      </w:r>
      <w:bookmarkEnd w:id="6"/>
      <w:r w:rsidRPr="000C651E">
        <w:t xml:space="preserve"> with government and NGO partners.  All the projects reviewed consistently accorded strong emphasis to gender equality and women’s empowerment.  The CP is in a position to address youth and women’s empowerment issues through imaginative partnerships around employment and</w:t>
      </w:r>
      <w:r w:rsidR="00EF0ADA" w:rsidRPr="000C651E">
        <w:t xml:space="preserve"> citizen education</w:t>
      </w:r>
      <w:r w:rsidRPr="000C651E">
        <w:t>.</w:t>
      </w:r>
      <w:bookmarkStart w:id="7" w:name="_Toc394230285"/>
    </w:p>
    <w:p w14:paraId="67C8893C" w14:textId="77777777" w:rsidR="00B95A7A" w:rsidRPr="000C651E" w:rsidRDefault="00882812" w:rsidP="00B95A7A">
      <w:pPr>
        <w:pStyle w:val="ListParagraph"/>
        <w:numPr>
          <w:ilvl w:val="0"/>
          <w:numId w:val="38"/>
        </w:numPr>
        <w:ind w:right="95"/>
        <w:contextualSpacing w:val="0"/>
      </w:pPr>
      <w:r w:rsidRPr="000C651E">
        <w:t>Targets for employment support have not yet had adequate resources to carry out catalytic institutional development.  Well-directed r</w:t>
      </w:r>
      <w:r w:rsidR="00B95A7A" w:rsidRPr="000C651E">
        <w:t>esources for SME can support youth and women’s employment</w:t>
      </w:r>
      <w:bookmarkEnd w:id="7"/>
      <w:r w:rsidR="00B95A7A" w:rsidRPr="000C651E">
        <w:t xml:space="preserve">.  </w:t>
      </w:r>
      <w:r w:rsidRPr="000C651E">
        <w:t>It is apparent that</w:t>
      </w:r>
      <w:r w:rsidR="00B95A7A" w:rsidRPr="000C651E">
        <w:t xml:space="preserve"> thousands of women and young people are ready to scale their micro-enterprises up to SME size, but are blocked at the point of financing and business services.  SME is the job-creating sector of the economy.  Youth and women entrepreneurs will benefit greatly from resource centres that offer business practice knowledge products and services at affordable fees.  </w:t>
      </w:r>
    </w:p>
    <w:p w14:paraId="1345A688" w14:textId="77777777" w:rsidR="00B95A7A" w:rsidRPr="000C651E" w:rsidRDefault="00B95A7A" w:rsidP="00B95A7A">
      <w:pPr>
        <w:pStyle w:val="ListParagraph"/>
        <w:numPr>
          <w:ilvl w:val="0"/>
          <w:numId w:val="38"/>
        </w:numPr>
        <w:ind w:right="-72"/>
      </w:pPr>
      <w:r w:rsidRPr="000C651E">
        <w:t xml:space="preserve">Bridging the data gap:  Actors in the small finance sector – both lenders and clients – </w:t>
      </w:r>
      <w:r w:rsidR="00723E0A" w:rsidRPr="000C651E">
        <w:t>have no resource for</w:t>
      </w:r>
      <w:r w:rsidRPr="000C651E">
        <w:t xml:space="preserve"> up-to-date, detailed information on </w:t>
      </w:r>
      <w:r w:rsidR="00723E0A" w:rsidRPr="000C651E">
        <w:t>existing</w:t>
      </w:r>
      <w:r w:rsidRPr="000C651E">
        <w:t xml:space="preserve"> funds and services.  The growth of the SME sector is hampered by this.  Thousands of micro- and small-scale entrepreneurs and many more </w:t>
      </w:r>
      <w:r w:rsidR="00F804E4" w:rsidRPr="000C651E">
        <w:t xml:space="preserve">job-seekers </w:t>
      </w:r>
      <w:r w:rsidRPr="000C651E">
        <w:t xml:space="preserve">need a </w:t>
      </w:r>
      <w:r w:rsidR="00723E0A" w:rsidRPr="000C651E">
        <w:t>means</w:t>
      </w:r>
      <w:r w:rsidRPr="000C651E">
        <w:t xml:space="preserve"> to access market information</w:t>
      </w:r>
      <w:r w:rsidR="00723E0A" w:rsidRPr="000C651E">
        <w:t xml:space="preserve"> and financing</w:t>
      </w:r>
      <w:r w:rsidRPr="000C651E">
        <w:t xml:space="preserve"> or business services.  </w:t>
      </w:r>
      <w:r w:rsidR="00723E0A" w:rsidRPr="000C651E">
        <w:t>Enabling agents</w:t>
      </w:r>
      <w:r w:rsidRPr="000C651E">
        <w:t xml:space="preserve"> </w:t>
      </w:r>
      <w:r w:rsidR="00723E0A" w:rsidRPr="000C651E">
        <w:t>mobilizing</w:t>
      </w:r>
      <w:r w:rsidRPr="000C651E">
        <w:t xml:space="preserve"> and lending micro and SME funds to share information effectively will result in better service to the job creation objective.</w:t>
      </w:r>
    </w:p>
    <w:p w14:paraId="721259D0" w14:textId="77777777" w:rsidR="00AC6BC7" w:rsidRPr="000C651E" w:rsidRDefault="00AC6BC7" w:rsidP="00AC6BC7">
      <w:pPr>
        <w:ind w:right="-72"/>
        <w:rPr>
          <w:b/>
        </w:rPr>
      </w:pPr>
      <w:r w:rsidRPr="000C651E">
        <w:rPr>
          <w:b/>
        </w:rPr>
        <w:t>Recommendations</w:t>
      </w:r>
    </w:p>
    <w:p w14:paraId="450C796C" w14:textId="77777777" w:rsidR="00AC6BC7" w:rsidRPr="000C651E" w:rsidRDefault="00327A55" w:rsidP="00AC6BC7">
      <w:pPr>
        <w:ind w:right="70"/>
      </w:pPr>
      <w:r w:rsidRPr="000C651E">
        <w:t>Based on these C</w:t>
      </w:r>
      <w:r w:rsidR="00AC6BC7" w:rsidRPr="000C651E">
        <w:t xml:space="preserve">onclusions, the Report makes </w:t>
      </w:r>
      <w:r w:rsidR="00F804E4" w:rsidRPr="000C651E">
        <w:t>five</w:t>
      </w:r>
      <w:r w:rsidR="00AC6BC7" w:rsidRPr="000C651E">
        <w:t xml:space="preserve"> Recommendations.  These are divided into </w:t>
      </w:r>
      <w:r w:rsidR="00F804E4" w:rsidRPr="000C651E">
        <w:t>those</w:t>
      </w:r>
      <w:r w:rsidR="00AC6BC7" w:rsidRPr="000C651E">
        <w:t xml:space="preserve"> relevant at the level of policy and partnership, and those </w:t>
      </w:r>
      <w:r w:rsidRPr="000C651E">
        <w:t>directed</w:t>
      </w:r>
      <w:r w:rsidR="00AC6BC7" w:rsidRPr="000C651E">
        <w:t xml:space="preserve"> at the level of outputs.  They are suggested as potential </w:t>
      </w:r>
      <w:r w:rsidR="00F804E4" w:rsidRPr="000C651E">
        <w:t>modifications</w:t>
      </w:r>
      <w:r w:rsidR="00AC6BC7" w:rsidRPr="000C651E">
        <w:t xml:space="preserve"> that might ideally be incorporated into the current CPD, and in some cases could be more broadly developed for the next programming term.</w:t>
      </w:r>
    </w:p>
    <w:p w14:paraId="0A9AFDA1" w14:textId="77777777" w:rsidR="00AC6BC7" w:rsidRPr="000C651E" w:rsidRDefault="00AC6BC7" w:rsidP="00AC6BC7">
      <w:pPr>
        <w:rPr>
          <w:b/>
        </w:rPr>
      </w:pPr>
      <w:r w:rsidRPr="000C651E">
        <w:rPr>
          <w:b/>
        </w:rPr>
        <w:t>Policy and partnership level recommendations</w:t>
      </w:r>
    </w:p>
    <w:p w14:paraId="7700B159" w14:textId="77777777" w:rsidR="00AC6BC7" w:rsidRPr="000C651E" w:rsidRDefault="00AC6BC7" w:rsidP="00AC6BC7">
      <w:pPr>
        <w:pStyle w:val="ListParagraph"/>
        <w:numPr>
          <w:ilvl w:val="0"/>
          <w:numId w:val="39"/>
        </w:numPr>
        <w:rPr>
          <w:b/>
        </w:rPr>
      </w:pPr>
      <w:r w:rsidRPr="000C651E">
        <w:rPr>
          <w:b/>
        </w:rPr>
        <w:t>Partnership strategy</w:t>
      </w:r>
    </w:p>
    <w:p w14:paraId="70A09572" w14:textId="4D591940" w:rsidR="00AC6BC7" w:rsidRDefault="00AC6BC7" w:rsidP="00AC6BC7">
      <w:pPr>
        <w:ind w:right="-72"/>
      </w:pPr>
      <w:r w:rsidRPr="000C651E">
        <w:rPr>
          <w:i/>
        </w:rPr>
        <w:t xml:space="preserve">Carry out, with government, a re-examination of </w:t>
      </w:r>
      <w:r w:rsidR="00723E0A" w:rsidRPr="000C651E">
        <w:rPr>
          <w:i/>
        </w:rPr>
        <w:t xml:space="preserve">partnership </w:t>
      </w:r>
      <w:r w:rsidRPr="000C651E">
        <w:rPr>
          <w:i/>
        </w:rPr>
        <w:t>potential for the CPD</w:t>
      </w:r>
      <w:r w:rsidRPr="000C651E">
        <w:t xml:space="preserve">.  </w:t>
      </w:r>
      <w:r w:rsidR="00473D92" w:rsidRPr="000C651E">
        <w:t xml:space="preserve">A </w:t>
      </w:r>
      <w:r w:rsidRPr="000C651E">
        <w:t xml:space="preserve">re-examination </w:t>
      </w:r>
      <w:r w:rsidR="00473D92" w:rsidRPr="000C651E">
        <w:t xml:space="preserve">is needed </w:t>
      </w:r>
      <w:r w:rsidRPr="000C651E">
        <w:t>to find champions within government who can host innovative partnerships with private sector, public-private and CSO initiatives that focus on employment creation and youth and women empowerment.  Potential partners may include min</w:t>
      </w:r>
      <w:r>
        <w:t xml:space="preserve">istries participating as pillars of the upcoming National Youth Strategy and related </w:t>
      </w:r>
      <w:r w:rsidR="008068CB">
        <w:t>CSOs</w:t>
      </w:r>
      <w:r w:rsidR="00B740F9">
        <w:t>, chambers of commerce and the Council of Saudi Chambers</w:t>
      </w:r>
      <w:r>
        <w:t>.</w:t>
      </w:r>
    </w:p>
    <w:p w14:paraId="5B9228D4" w14:textId="77777777" w:rsidR="00AC6BC7" w:rsidRPr="0018440F" w:rsidRDefault="00AC6BC7" w:rsidP="00AC6BC7">
      <w:pPr>
        <w:pStyle w:val="ListParagraph"/>
        <w:numPr>
          <w:ilvl w:val="0"/>
          <w:numId w:val="39"/>
        </w:numPr>
        <w:rPr>
          <w:b/>
        </w:rPr>
      </w:pPr>
      <w:r w:rsidRPr="0018440F">
        <w:rPr>
          <w:b/>
        </w:rPr>
        <w:t xml:space="preserve">Realignment  </w:t>
      </w:r>
    </w:p>
    <w:p w14:paraId="113534F2" w14:textId="77777777" w:rsidR="00AC6BC7" w:rsidRPr="000C651E" w:rsidRDefault="00AC6BC7" w:rsidP="00B95A7A">
      <w:pPr>
        <w:ind w:right="-72"/>
      </w:pPr>
      <w:r>
        <w:t xml:space="preserve">Through Recommendation 1 and other means, work with government to channel resources which have already produced excellent results on the </w:t>
      </w:r>
      <w:r w:rsidRPr="000C651E">
        <w:t xml:space="preserve">Outcome, </w:t>
      </w:r>
      <w:r w:rsidR="00473D92" w:rsidRPr="000C651E">
        <w:rPr>
          <w:i/>
        </w:rPr>
        <w:t>realigning</w:t>
      </w:r>
      <w:r w:rsidRPr="000C651E">
        <w:t xml:space="preserve"> </w:t>
      </w:r>
      <w:r w:rsidRPr="000C651E">
        <w:rPr>
          <w:i/>
        </w:rPr>
        <w:t>resources for the remaining period to scale up to more catalytic mechanisms</w:t>
      </w:r>
      <w:r w:rsidRPr="000C651E">
        <w:t xml:space="preserve">.  Some projects such as the Youth Dialogue Forums will be sustainable through regular government and partner funding routes.  Partnership with UNDP in this area could be used to build the institutional capacity of youth employment and empowerment CSOs, where funding could establish “social observatory” or “incubator” knowledge centres that would reach larger numbers of young women and men.  Some projects such as PSF have begun to produce research on current issues that fill a knowledge gap (public opinion formation on participation; “election literacy”); finding ways to pair charities with government and private sector partners will ensure that such knowledge centres survive.  </w:t>
      </w:r>
    </w:p>
    <w:p w14:paraId="413CD8EB" w14:textId="77777777" w:rsidR="00AC6BC7" w:rsidRPr="000C651E" w:rsidRDefault="00AC6BC7" w:rsidP="00B95A7A">
      <w:pPr>
        <w:ind w:right="70"/>
      </w:pPr>
      <w:r w:rsidRPr="000C651E">
        <w:t xml:space="preserve">Centres such as these </w:t>
      </w:r>
      <w:r w:rsidR="00730420" w:rsidRPr="000C651E">
        <w:t>contain</w:t>
      </w:r>
      <w:r w:rsidRPr="000C651E">
        <w:t xml:space="preserve"> the seeds of institutional capacity development with leverage to expand social engagement (such as volunteering) and participation.</w:t>
      </w:r>
    </w:p>
    <w:p w14:paraId="565A8144" w14:textId="77777777" w:rsidR="00AC6BC7" w:rsidRPr="004D64BC" w:rsidRDefault="00AC6BC7" w:rsidP="00AC6BC7">
      <w:pPr>
        <w:rPr>
          <w:b/>
        </w:rPr>
      </w:pPr>
      <w:r w:rsidRPr="000C651E">
        <w:rPr>
          <w:b/>
        </w:rPr>
        <w:t>Output level recommendations</w:t>
      </w:r>
    </w:p>
    <w:p w14:paraId="691DFBFF" w14:textId="77777777" w:rsidR="00AC6BC7" w:rsidRPr="0018440F" w:rsidRDefault="00AC6BC7" w:rsidP="00AC6BC7">
      <w:pPr>
        <w:pStyle w:val="ListParagraph"/>
        <w:numPr>
          <w:ilvl w:val="0"/>
          <w:numId w:val="39"/>
        </w:numPr>
        <w:rPr>
          <w:b/>
        </w:rPr>
      </w:pPr>
      <w:r w:rsidRPr="0018440F">
        <w:rPr>
          <w:b/>
        </w:rPr>
        <w:t xml:space="preserve">SME forum initiative.  </w:t>
      </w:r>
    </w:p>
    <w:p w14:paraId="3E594DDD" w14:textId="77777777" w:rsidR="00AC6BC7" w:rsidRPr="000C651E" w:rsidRDefault="00AC6BC7" w:rsidP="00AC6BC7">
      <w:pPr>
        <w:ind w:right="-72"/>
      </w:pPr>
      <w:r w:rsidRPr="000C651E">
        <w:rPr>
          <w:i/>
        </w:rPr>
        <w:t>Explore the possibility of creating a forum for all agencies, public and private sector, which act in the field of micro and SME finance</w:t>
      </w:r>
      <w:r w:rsidRPr="000C651E">
        <w:t xml:space="preserve">, to launch a mechanism for the reporting and exchange of data on micro and SME credit, finance, insurance and other instruments vital to the SME sector.  Such an initiative, to bring together those who are creating funds and lending, could take a first step towards building a reporting centre for data, information and communication.  </w:t>
      </w:r>
    </w:p>
    <w:p w14:paraId="030CE42A" w14:textId="77777777" w:rsidR="00AC6BC7" w:rsidRPr="000C651E" w:rsidRDefault="00556903" w:rsidP="00AC6BC7">
      <w:pPr>
        <w:pStyle w:val="ListParagraph"/>
        <w:numPr>
          <w:ilvl w:val="0"/>
          <w:numId w:val="39"/>
        </w:numPr>
        <w:rPr>
          <w:b/>
        </w:rPr>
      </w:pPr>
      <w:r w:rsidRPr="000C651E">
        <w:rPr>
          <w:b/>
        </w:rPr>
        <w:t>Identify p</w:t>
      </w:r>
      <w:r w:rsidR="00AC6BC7" w:rsidRPr="000C651E">
        <w:rPr>
          <w:b/>
        </w:rPr>
        <w:t xml:space="preserve">ools of loanable funds.  </w:t>
      </w:r>
    </w:p>
    <w:p w14:paraId="2099E0AC" w14:textId="77777777" w:rsidR="00AC6BC7" w:rsidRDefault="00AC6BC7" w:rsidP="00AC6BC7">
      <w:pPr>
        <w:ind w:right="-72"/>
      </w:pPr>
      <w:r w:rsidRPr="000C651E">
        <w:rPr>
          <w:i/>
        </w:rPr>
        <w:t xml:space="preserve">Explore with the finance agencies of government initiatives </w:t>
      </w:r>
      <w:r w:rsidR="00556903" w:rsidRPr="000C651E">
        <w:rPr>
          <w:i/>
        </w:rPr>
        <w:t>to</w:t>
      </w:r>
      <w:r w:rsidRPr="000C651E">
        <w:rPr>
          <w:i/>
        </w:rPr>
        <w:t xml:space="preserve"> draw a portrait of the fi</w:t>
      </w:r>
      <w:r w:rsidR="00556903" w:rsidRPr="000C651E">
        <w:rPr>
          <w:i/>
        </w:rPr>
        <w:t xml:space="preserve">nancial sector with respect to micro and </w:t>
      </w:r>
      <w:r w:rsidRPr="000C651E">
        <w:rPr>
          <w:i/>
        </w:rPr>
        <w:t>SME financing</w:t>
      </w:r>
      <w:r w:rsidR="00473D92" w:rsidRPr="000C651E">
        <w:rPr>
          <w:i/>
        </w:rPr>
        <w:t>.</w:t>
      </w:r>
      <w:r w:rsidRPr="000C651E">
        <w:t xml:space="preserve"> </w:t>
      </w:r>
      <w:r w:rsidR="00473D92" w:rsidRPr="000C651E">
        <w:t xml:space="preserve"> Employment targets are in need of</w:t>
      </w:r>
      <w:r w:rsidRPr="000C651E">
        <w:t xml:space="preserve"> an action-oriented analysis and recommendations as to how pools of loanable funds could potentially be mobilized </w:t>
      </w:r>
      <w:r w:rsidR="00473D92" w:rsidRPr="000C651E">
        <w:t>to</w:t>
      </w:r>
      <w:r w:rsidRPr="000C651E">
        <w:t xml:space="preserve"> develo</w:t>
      </w:r>
      <w:r w:rsidR="00473D92" w:rsidRPr="000C651E">
        <w:t>p</w:t>
      </w:r>
      <w:r w:rsidRPr="000C651E">
        <w:t xml:space="preserve"> the SME sector.  Explore with other UN institutions the state of knowledge of this sector.  Important actors in the UN global team are UNCDF, the WB Group including IFC, IMF research units, and specialized agencies in small</w:t>
      </w:r>
      <w:r>
        <w:t xml:space="preserve"> business such as UNIDO and UNCTAD.  Exploration of the scope of the sector in SME activity could open the way to new partnerships </w:t>
      </w:r>
      <w:r w:rsidR="00556903">
        <w:t>for incorporation</w:t>
      </w:r>
      <w:r>
        <w:t xml:space="preserve"> into future CPs.</w:t>
      </w:r>
    </w:p>
    <w:p w14:paraId="4A4CEFEB" w14:textId="77777777" w:rsidR="00AC6BC7" w:rsidRPr="000C651E" w:rsidRDefault="00AC6BC7" w:rsidP="00AC6BC7">
      <w:pPr>
        <w:pStyle w:val="ListParagraph"/>
        <w:numPr>
          <w:ilvl w:val="0"/>
          <w:numId w:val="39"/>
        </w:numPr>
        <w:rPr>
          <w:b/>
        </w:rPr>
      </w:pPr>
      <w:r w:rsidRPr="000C651E">
        <w:rPr>
          <w:b/>
        </w:rPr>
        <w:t>Showcase successes on cross-cutting issues</w:t>
      </w:r>
    </w:p>
    <w:p w14:paraId="049CD527" w14:textId="77777777" w:rsidR="00AC6BC7" w:rsidRDefault="00730420" w:rsidP="00730420">
      <w:pPr>
        <w:ind w:right="-72"/>
      </w:pPr>
      <w:r w:rsidRPr="000C651E">
        <w:rPr>
          <w:i/>
        </w:rPr>
        <w:t>Project documents should highlight</w:t>
      </w:r>
      <w:r w:rsidR="00AC6BC7" w:rsidRPr="000C651E">
        <w:rPr>
          <w:i/>
        </w:rPr>
        <w:t xml:space="preserve"> targets and indicators for cross-cutting issues</w:t>
      </w:r>
      <w:r w:rsidR="00AC6BC7" w:rsidRPr="000C651E">
        <w:t xml:space="preserve"> such as gender outputs, capacity development and broader partnerships.  The CP has performed faultlessly in ensuring gender equality i</w:t>
      </w:r>
      <w:r w:rsidRPr="000C651E">
        <w:t>n every project under Outcome 1,</w:t>
      </w:r>
      <w:r w:rsidR="00AC6BC7" w:rsidRPr="000C651E">
        <w:t xml:space="preserve"> has launched several new </w:t>
      </w:r>
      <w:r w:rsidRPr="000C651E">
        <w:t xml:space="preserve">partnership forms, </w:t>
      </w:r>
      <w:r w:rsidR="00AC6BC7" w:rsidRPr="000C651E">
        <w:t xml:space="preserve">and </w:t>
      </w:r>
      <w:r w:rsidRPr="000C651E">
        <w:t xml:space="preserve">has </w:t>
      </w:r>
      <w:r w:rsidR="00AC6BC7" w:rsidRPr="000C651E">
        <w:t xml:space="preserve">begun capacity development within all of these.  </w:t>
      </w:r>
      <w:r w:rsidRPr="000C651E">
        <w:t>Showcasing</w:t>
      </w:r>
      <w:r w:rsidR="00AC6BC7" w:rsidRPr="000C651E">
        <w:t xml:space="preserve"> these </w:t>
      </w:r>
      <w:r w:rsidRPr="000C651E">
        <w:t xml:space="preserve">targets and indicators </w:t>
      </w:r>
      <w:r w:rsidR="00AC6BC7" w:rsidRPr="000C651E">
        <w:t>will raise</w:t>
      </w:r>
      <w:r w:rsidR="00AC6BC7">
        <w:t xml:space="preserve"> the visibility of successes and increase motivation for partners.</w:t>
      </w:r>
      <w:r>
        <w:t xml:space="preserve">  Some </w:t>
      </w:r>
      <w:r w:rsidR="00BA311D">
        <w:t xml:space="preserve">less informative </w:t>
      </w:r>
      <w:r>
        <w:t>indicators may be dropped,</w:t>
      </w:r>
      <w:r w:rsidR="00191174">
        <w:t xml:space="preserve"> in favour of suggested feasible</w:t>
      </w:r>
      <w:r w:rsidR="00AC6BC7">
        <w:t xml:space="preserve"> indicators (such as additional employment and CSO capacity development indicators).  </w:t>
      </w:r>
    </w:p>
    <w:p w14:paraId="0FA9F749" w14:textId="77777777" w:rsidR="00191174" w:rsidRDefault="00191174" w:rsidP="00AC6BC7">
      <w:pPr>
        <w:pStyle w:val="Default"/>
        <w:spacing w:before="120" w:after="120"/>
        <w:ind w:right="68"/>
        <w:rPr>
          <w:rFonts w:ascii="Sylfaen" w:hAnsi="Sylfaen"/>
          <w:sz w:val="22"/>
          <w:lang w:val="en-GB"/>
        </w:rPr>
      </w:pPr>
    </w:p>
    <w:p w14:paraId="06807541" w14:textId="77777777" w:rsidR="00262AA3" w:rsidRPr="000C651E" w:rsidRDefault="00BA311D" w:rsidP="00262AA3">
      <w:pPr>
        <w:ind w:right="-72"/>
        <w:rPr>
          <w:i/>
        </w:rPr>
      </w:pPr>
      <w:r w:rsidRPr="000C651E">
        <w:t>At this mid-term point, t</w:t>
      </w:r>
      <w:r w:rsidR="00262AA3" w:rsidRPr="000C651E">
        <w:t xml:space="preserve">he CP on the Outcome “Social Empowerment and Institutional Strengthening with Emphasis on Youth” has successfully delivered contributions through its outputs.  </w:t>
      </w:r>
      <w:r w:rsidRPr="000C651E">
        <w:t xml:space="preserve">Significantly, </w:t>
      </w:r>
      <w:r w:rsidR="00262AA3" w:rsidRPr="000C651E">
        <w:t xml:space="preserve">all four programme components have reached pivotal points and will benefit from careful consideration of the Programme’s focus today, as well as </w:t>
      </w:r>
      <w:r w:rsidRPr="000C651E">
        <w:t xml:space="preserve">in </w:t>
      </w:r>
      <w:r w:rsidR="00262AA3" w:rsidRPr="000C651E">
        <w:t xml:space="preserve">the design for the next CPD in two years’ time.  The most important area of consideration should be </w:t>
      </w:r>
      <w:r w:rsidR="00262AA3" w:rsidRPr="000C651E">
        <w:rPr>
          <w:i/>
        </w:rPr>
        <w:t>updating the ability of the CP to partner for the “social empowerment” and “institutional strengthening” dimensions of the Output.</w:t>
      </w:r>
    </w:p>
    <w:p w14:paraId="091EE7E7" w14:textId="77777777" w:rsidR="00416673" w:rsidRDefault="00262AA3" w:rsidP="00262AA3">
      <w:pPr>
        <w:ind w:right="-72"/>
      </w:pPr>
      <w:r w:rsidRPr="000C651E">
        <w:t xml:space="preserve">This consideration need not be delayed to the next CPD.  Where a project has reached a turning point, government and UNDP may be able to realign partnerships and/or resources.  Through such realignment, where possible some existing projects will be able to transform in such a way as to reach broader segments of youth, including vulnerable groups.  Bringing in additional partners to project activities can enhance the social engagement of youth in areas such as employment and electoral readiness, and give both public sector </w:t>
      </w:r>
      <w:r w:rsidR="00BA311D" w:rsidRPr="000C651E">
        <w:t xml:space="preserve">entities </w:t>
      </w:r>
      <w:r w:rsidRPr="000C651E">
        <w:t>and CSOs in these fields increased effectiveness and impact.</w:t>
      </w:r>
    </w:p>
    <w:p w14:paraId="01B33F9F" w14:textId="77777777" w:rsidR="00416673" w:rsidRDefault="00416673">
      <w:r>
        <w:br w:type="page"/>
      </w:r>
    </w:p>
    <w:p w14:paraId="549C5ACD" w14:textId="77777777" w:rsidR="003B614C" w:rsidRPr="005C55C3" w:rsidRDefault="003B614C" w:rsidP="00E878BB">
      <w:pPr>
        <w:pStyle w:val="Heading1"/>
        <w:numPr>
          <w:ilvl w:val="0"/>
          <w:numId w:val="30"/>
        </w:numPr>
      </w:pPr>
      <w:bookmarkStart w:id="8" w:name="_Toc399078740"/>
      <w:r w:rsidRPr="005C55C3">
        <w:t>Introduction</w:t>
      </w:r>
      <w:r w:rsidR="006672C6">
        <w:t xml:space="preserve">:  Context of the Country Programme </w:t>
      </w:r>
      <w:r w:rsidR="006672C6" w:rsidRPr="006672C6">
        <w:rPr>
          <w:sz w:val="20"/>
        </w:rPr>
        <w:t>(2012-201</w:t>
      </w:r>
      <w:r w:rsidR="008B4F24">
        <w:rPr>
          <w:sz w:val="20"/>
        </w:rPr>
        <w:t>6</w:t>
      </w:r>
      <w:r w:rsidR="006672C6" w:rsidRPr="006672C6">
        <w:rPr>
          <w:sz w:val="20"/>
        </w:rPr>
        <w:t>)</w:t>
      </w:r>
      <w:bookmarkEnd w:id="8"/>
    </w:p>
    <w:p w14:paraId="0D54527B" w14:textId="77777777" w:rsidR="00A33048" w:rsidRDefault="004A0A24" w:rsidP="00ED325C">
      <w:pPr>
        <w:ind w:right="-23"/>
      </w:pPr>
      <w:r>
        <w:t>This</w:t>
      </w:r>
      <w:r w:rsidR="00416673">
        <w:t xml:space="preserve"> R</w:t>
      </w:r>
      <w:r w:rsidR="00D47C0C">
        <w:t xml:space="preserve">eport presents an </w:t>
      </w:r>
      <w:r w:rsidR="0092249E">
        <w:t>Outcome E</w:t>
      </w:r>
      <w:r w:rsidR="00D47C0C">
        <w:t xml:space="preserve">valuation </w:t>
      </w:r>
      <w:r w:rsidR="0092249E">
        <w:t xml:space="preserve">focusing </w:t>
      </w:r>
      <w:r w:rsidR="00AF2B9F">
        <w:t>on</w:t>
      </w:r>
      <w:r w:rsidR="00653FBD">
        <w:t xml:space="preserve"> </w:t>
      </w:r>
      <w:r w:rsidR="00A54892">
        <w:t>the Country Programme (CP)</w:t>
      </w:r>
      <w:r w:rsidR="00653FBD">
        <w:t xml:space="preserve"> Outcome 1,</w:t>
      </w:r>
      <w:r w:rsidR="00AF2B9F">
        <w:rPr>
          <w:i/>
        </w:rPr>
        <w:t xml:space="preserve"> “</w:t>
      </w:r>
      <w:r w:rsidR="00AF2B9F" w:rsidRPr="00AF2B9F">
        <w:rPr>
          <w:i/>
        </w:rPr>
        <w:t>Social</w:t>
      </w:r>
      <w:r w:rsidR="00D5724F" w:rsidRPr="00AF2B9F">
        <w:rPr>
          <w:i/>
        </w:rPr>
        <w:t xml:space="preserve"> Empowerment and Institutional Strengthening with Emphasis on Youth</w:t>
      </w:r>
      <w:r w:rsidR="00AF2B9F">
        <w:rPr>
          <w:i/>
        </w:rPr>
        <w:t>”</w:t>
      </w:r>
      <w:r w:rsidR="00D5724F">
        <w:t>.</w:t>
      </w:r>
      <w:r w:rsidR="008B4F24">
        <w:t xml:space="preserve">  </w:t>
      </w:r>
    </w:p>
    <w:p w14:paraId="76ECE14B" w14:textId="77777777" w:rsidR="00E878BB" w:rsidRPr="00E878BB" w:rsidRDefault="00E878BB" w:rsidP="00E878BB">
      <w:pPr>
        <w:pStyle w:val="ListParagraph"/>
        <w:ind w:left="0" w:right="68"/>
        <w:contextualSpacing w:val="0"/>
        <w:rPr>
          <w:rFonts w:cstheme="majorBidi"/>
          <w:szCs w:val="24"/>
        </w:rPr>
      </w:pPr>
      <w:r>
        <w:rPr>
          <w:rFonts w:cstheme="majorBidi"/>
          <w:szCs w:val="24"/>
        </w:rPr>
        <w:t xml:space="preserve">The terms of reference (TORs) of the assignment state that the </w:t>
      </w:r>
      <w:r w:rsidRPr="00E878BB">
        <w:rPr>
          <w:rFonts w:cstheme="majorBidi"/>
          <w:szCs w:val="24"/>
        </w:rPr>
        <w:t xml:space="preserve">objective of the </w:t>
      </w:r>
      <w:r>
        <w:rPr>
          <w:rFonts w:cstheme="majorBidi"/>
          <w:szCs w:val="24"/>
        </w:rPr>
        <w:t xml:space="preserve">Outcome Evaluation </w:t>
      </w:r>
      <w:r w:rsidRPr="00E878BB">
        <w:rPr>
          <w:rFonts w:cstheme="majorBidi"/>
          <w:szCs w:val="24"/>
        </w:rPr>
        <w:t xml:space="preserve">is to assess how the outputs of projects </w:t>
      </w:r>
      <w:r>
        <w:rPr>
          <w:rFonts w:cstheme="majorBidi"/>
          <w:szCs w:val="24"/>
        </w:rPr>
        <w:t xml:space="preserve">implemented under the </w:t>
      </w:r>
      <w:r w:rsidR="00A54892">
        <w:rPr>
          <w:rFonts w:cstheme="majorBidi"/>
          <w:szCs w:val="24"/>
        </w:rPr>
        <w:t>CP</w:t>
      </w:r>
      <w:r>
        <w:rPr>
          <w:rFonts w:cstheme="majorBidi"/>
          <w:szCs w:val="24"/>
        </w:rPr>
        <w:t xml:space="preserve"> </w:t>
      </w:r>
      <w:r w:rsidRPr="00E878BB">
        <w:rPr>
          <w:rFonts w:cstheme="majorBidi"/>
          <w:szCs w:val="24"/>
        </w:rPr>
        <w:t xml:space="preserve">have </w:t>
      </w:r>
      <w:r>
        <w:rPr>
          <w:rFonts w:cstheme="majorBidi"/>
          <w:szCs w:val="24"/>
        </w:rPr>
        <w:t xml:space="preserve">to date </w:t>
      </w:r>
      <w:r w:rsidRPr="00E878BB">
        <w:rPr>
          <w:rFonts w:cstheme="majorBidi"/>
          <w:szCs w:val="24"/>
        </w:rPr>
        <w:t>contributed to the change of the Outcome</w:t>
      </w:r>
      <w:r>
        <w:rPr>
          <w:rFonts w:cstheme="majorBidi"/>
          <w:szCs w:val="24"/>
        </w:rPr>
        <w:t xml:space="preserve">, and they note that the Outcome Evaluation has been </w:t>
      </w:r>
      <w:r w:rsidRPr="00E878BB">
        <w:rPr>
          <w:rFonts w:cstheme="majorBidi"/>
          <w:szCs w:val="24"/>
        </w:rPr>
        <w:t xml:space="preserve">strategically placed at </w:t>
      </w:r>
      <w:r>
        <w:rPr>
          <w:rFonts w:cstheme="majorBidi"/>
          <w:szCs w:val="24"/>
        </w:rPr>
        <w:t>the mid-term</w:t>
      </w:r>
      <w:r w:rsidRPr="00E878BB">
        <w:rPr>
          <w:rFonts w:cstheme="majorBidi"/>
          <w:szCs w:val="24"/>
        </w:rPr>
        <w:t xml:space="preserve"> </w:t>
      </w:r>
      <w:r>
        <w:rPr>
          <w:rFonts w:cstheme="majorBidi"/>
          <w:szCs w:val="24"/>
        </w:rPr>
        <w:t>“</w:t>
      </w:r>
      <w:r w:rsidRPr="00E878BB">
        <w:rPr>
          <w:rFonts w:cstheme="majorBidi"/>
          <w:szCs w:val="24"/>
        </w:rPr>
        <w:t>in order to promote needed adjustments, identify lessons learned and draw up a sustainability plan for the continuing projects</w:t>
      </w:r>
      <w:r>
        <w:rPr>
          <w:rFonts w:cstheme="majorBidi"/>
          <w:szCs w:val="24"/>
        </w:rPr>
        <w:t>”</w:t>
      </w:r>
      <w:r w:rsidRPr="00E878BB">
        <w:rPr>
          <w:rFonts w:cstheme="majorBidi"/>
          <w:szCs w:val="24"/>
        </w:rPr>
        <w:t>.</w:t>
      </w:r>
    </w:p>
    <w:p w14:paraId="788BE551" w14:textId="77777777" w:rsidR="00E878BB" w:rsidRPr="00E878BB" w:rsidRDefault="00E878BB" w:rsidP="00E878BB">
      <w:pPr>
        <w:pStyle w:val="ListParagraph"/>
        <w:ind w:right="68"/>
        <w:contextualSpacing w:val="0"/>
        <w:rPr>
          <w:rFonts w:cstheme="majorBidi"/>
          <w:szCs w:val="24"/>
        </w:rPr>
      </w:pPr>
      <w:r w:rsidRPr="00E878BB">
        <w:rPr>
          <w:rFonts w:cstheme="majorBidi"/>
          <w:szCs w:val="24"/>
        </w:rPr>
        <w:t xml:space="preserve">In other words, </w:t>
      </w:r>
      <w:r w:rsidR="0033761C">
        <w:rPr>
          <w:rFonts w:cstheme="majorBidi"/>
          <w:szCs w:val="24"/>
        </w:rPr>
        <w:t xml:space="preserve">[the objective is] </w:t>
      </w:r>
      <w:r w:rsidRPr="00E878BB">
        <w:rPr>
          <w:rFonts w:cstheme="majorBidi"/>
          <w:szCs w:val="24"/>
        </w:rPr>
        <w:t>to evaluate how the outputs (projects) related to this outcome are contributing to its achievement. That is, how UNDP technical and advisory support provided to the partners through these relevant projects will assist in fulfilling the Government’s Vision and Mandates and sustaining their functions and activities primarily through Saudi recruited nationals and personnel and thereby contributing to Saudi determination of its economic and social policies and strategies to the maximum possible extent</w:t>
      </w:r>
      <w:r>
        <w:rPr>
          <w:rFonts w:cstheme="majorBidi"/>
          <w:szCs w:val="24"/>
        </w:rPr>
        <w:t xml:space="preserve"> (from the TORs, appended as Annex 2)</w:t>
      </w:r>
      <w:r w:rsidRPr="00E878BB">
        <w:rPr>
          <w:rFonts w:cstheme="majorBidi"/>
          <w:szCs w:val="24"/>
        </w:rPr>
        <w:t>.</w:t>
      </w:r>
    </w:p>
    <w:p w14:paraId="29E943FF" w14:textId="77777777" w:rsidR="00A33048" w:rsidRDefault="00A33048" w:rsidP="00C9153E">
      <w:pPr>
        <w:ind w:right="-72"/>
      </w:pPr>
      <w:r w:rsidRPr="005C55C3">
        <w:t xml:space="preserve">This </w:t>
      </w:r>
      <w:r w:rsidR="00653FBD" w:rsidRPr="005C55C3">
        <w:t xml:space="preserve">Outcome Evaluation </w:t>
      </w:r>
      <w:r w:rsidRPr="005C55C3">
        <w:t xml:space="preserve">will provide </w:t>
      </w:r>
      <w:r>
        <w:t xml:space="preserve">an assessment of </w:t>
      </w:r>
      <w:r w:rsidRPr="005C55C3">
        <w:t xml:space="preserve">(i) the </w:t>
      </w:r>
      <w:r w:rsidR="00E878BB">
        <w:t xml:space="preserve">status of the Outcome at the mid-point of the CP term, (ii) the </w:t>
      </w:r>
      <w:r w:rsidRPr="005C55C3">
        <w:t>contributions UNDP has made</w:t>
      </w:r>
      <w:r w:rsidR="00E878BB">
        <w:t xml:space="preserve"> with its partners</w:t>
      </w:r>
      <w:r w:rsidRPr="005C55C3">
        <w:t xml:space="preserve"> to </w:t>
      </w:r>
      <w:r>
        <w:t>social empowerment and institutional strengthening</w:t>
      </w:r>
      <w:r w:rsidR="00E878BB">
        <w:t xml:space="preserve"> with particular emphasis on young people</w:t>
      </w:r>
      <w:r w:rsidRPr="005C55C3">
        <w:t>, (ii) whether the UNDP strategy has been effective, and (iii) whether some adjustments are needed so that UNDP can stay relevant in the field in future.</w:t>
      </w:r>
      <w:r>
        <w:t xml:space="preserve">  The report is organized as follows:  this Introduction</w:t>
      </w:r>
      <w:r w:rsidR="00777D06">
        <w:t xml:space="preserve">, Chapter 1, </w:t>
      </w:r>
      <w:r w:rsidR="00E878BB">
        <w:t>provides the context in which the CPD was designed</w:t>
      </w:r>
      <w:r w:rsidR="00A54892">
        <w:t>,</w:t>
      </w:r>
      <w:r w:rsidR="00E878BB">
        <w:t xml:space="preserve"> </w:t>
      </w:r>
      <w:r w:rsidR="00A54892">
        <w:t>including</w:t>
      </w:r>
      <w:r w:rsidR="00E878BB">
        <w:t xml:space="preserve"> the </w:t>
      </w:r>
      <w:r w:rsidR="00A54892">
        <w:t>strategic orientations of government and the UN partners with which it is aligned.  Chapter 2 examines the status of the Outcome and the challenges which</w:t>
      </w:r>
      <w:r w:rsidR="00E878BB">
        <w:t xml:space="preserve"> </w:t>
      </w:r>
      <w:r w:rsidR="00A54892">
        <w:t xml:space="preserve">the CP </w:t>
      </w:r>
      <w:r w:rsidR="00E878BB">
        <w:t xml:space="preserve">proposed to address.  </w:t>
      </w:r>
      <w:r>
        <w:t xml:space="preserve">Chapter </w:t>
      </w:r>
      <w:r w:rsidR="00A54892">
        <w:t>3 presents the findings of the Outcome Evaluation, including progress made towards achievement of the Outcome, based on the indicators identified in the Country Programme Document (CPD).  It sets out the contributions made by UNDP to these achievements.</w:t>
      </w:r>
      <w:r>
        <w:t xml:space="preserve">  Chapter </w:t>
      </w:r>
      <w:r w:rsidR="00A54892">
        <w:t>4</w:t>
      </w:r>
      <w:r>
        <w:t xml:space="preserve"> </w:t>
      </w:r>
      <w:r w:rsidR="00A54892">
        <w:t xml:space="preserve">takes note of other factors outside the Programme that may have affected results.  Chapter 5 revisits the partnership strategy through which the CP is implemented, taking note of adjustments that can be made within the framework of the UNDP-KSA mandate.  Finally, </w:t>
      </w:r>
      <w:r>
        <w:t xml:space="preserve">Chapter </w:t>
      </w:r>
      <w:r w:rsidR="00777D06">
        <w:t>6 presents</w:t>
      </w:r>
      <w:r>
        <w:t xml:space="preserve"> </w:t>
      </w:r>
      <w:r w:rsidR="00777D06">
        <w:t>conclusions</w:t>
      </w:r>
      <w:r>
        <w:t xml:space="preserve"> and recommendations for </w:t>
      </w:r>
      <w:r w:rsidR="00A54892">
        <w:t xml:space="preserve">undertaking any </w:t>
      </w:r>
      <w:r w:rsidR="00777D06">
        <w:t xml:space="preserve">mid-term review as needed and </w:t>
      </w:r>
      <w:r w:rsidR="00A54892">
        <w:t xml:space="preserve">suggestions with a view </w:t>
      </w:r>
      <w:r w:rsidR="00777D06">
        <w:t xml:space="preserve">towards </w:t>
      </w:r>
      <w:r>
        <w:t>the future cooperation programme.</w:t>
      </w:r>
    </w:p>
    <w:p w14:paraId="74E252F1" w14:textId="77777777" w:rsidR="00A33048" w:rsidRDefault="00A33048" w:rsidP="00A33048">
      <w:r>
        <w:t xml:space="preserve">The Annexes and References are ordered as follows:  </w:t>
      </w:r>
    </w:p>
    <w:p w14:paraId="2994E86E" w14:textId="77777777" w:rsidR="00A33048" w:rsidRDefault="00D80FDC" w:rsidP="00A33048">
      <w:pPr>
        <w:spacing w:before="0" w:after="0"/>
      </w:pPr>
      <w:r>
        <w:t>Annex 1</w:t>
      </w:r>
      <w:r w:rsidR="00A33048">
        <w:t>.  Note on Methodology</w:t>
      </w:r>
    </w:p>
    <w:p w14:paraId="50A5879F" w14:textId="77777777" w:rsidR="00A33048" w:rsidRDefault="00D80FDC" w:rsidP="00A33048">
      <w:pPr>
        <w:spacing w:before="0" w:after="0"/>
      </w:pPr>
      <w:r>
        <w:t>Annex 2</w:t>
      </w:r>
      <w:r w:rsidR="00A33048">
        <w:t xml:space="preserve">.  Terms of Reference of the Assignment </w:t>
      </w:r>
    </w:p>
    <w:p w14:paraId="7950B96C" w14:textId="77777777" w:rsidR="00A33048" w:rsidRPr="005C55C3" w:rsidRDefault="00D80FDC" w:rsidP="00A33048">
      <w:pPr>
        <w:spacing w:before="0" w:after="0"/>
      </w:pPr>
      <w:r>
        <w:t>Annex 3</w:t>
      </w:r>
      <w:r w:rsidR="00A33048">
        <w:t>.  Persons Met</w:t>
      </w:r>
    </w:p>
    <w:p w14:paraId="28E65C32" w14:textId="77777777" w:rsidR="00A33048" w:rsidRDefault="00D80FDC" w:rsidP="00A33048">
      <w:pPr>
        <w:spacing w:before="0" w:after="0"/>
      </w:pPr>
      <w:r>
        <w:t>Annex 4</w:t>
      </w:r>
      <w:r w:rsidR="00A33048">
        <w:t>.  Selected Documents Reviewed</w:t>
      </w:r>
    </w:p>
    <w:p w14:paraId="286BBCA9" w14:textId="77777777" w:rsidR="00A33048" w:rsidRDefault="00D80FDC" w:rsidP="00A33048">
      <w:pPr>
        <w:spacing w:before="0" w:after="0"/>
      </w:pPr>
      <w:r>
        <w:t>Annex 5</w:t>
      </w:r>
      <w:r w:rsidR="00A33048">
        <w:t>.  Biography of the Evaluator</w:t>
      </w:r>
    </w:p>
    <w:p w14:paraId="483178B5" w14:textId="77777777" w:rsidR="00A33048" w:rsidRDefault="00D80FDC" w:rsidP="00A33048">
      <w:pPr>
        <w:spacing w:before="0" w:after="0"/>
      </w:pPr>
      <w:r>
        <w:t>Annex 6</w:t>
      </w:r>
      <w:r w:rsidR="00A33048">
        <w:t>.  Code of Conduct of the Evaluator</w:t>
      </w:r>
    </w:p>
    <w:p w14:paraId="2CF0A560" w14:textId="77777777" w:rsidR="00A33048" w:rsidRDefault="00A33048" w:rsidP="00A33048">
      <w:pPr>
        <w:spacing w:before="0" w:after="0"/>
      </w:pPr>
      <w:r>
        <w:t>References</w:t>
      </w:r>
    </w:p>
    <w:p w14:paraId="270523C0" w14:textId="77777777" w:rsidR="00A33048" w:rsidRDefault="00A33048" w:rsidP="00ED325C">
      <w:pPr>
        <w:ind w:right="-23"/>
      </w:pPr>
    </w:p>
    <w:p w14:paraId="0B39485B" w14:textId="77777777" w:rsidR="00ED325C" w:rsidRDefault="00ED325C" w:rsidP="00ED325C">
      <w:pPr>
        <w:ind w:right="-23"/>
      </w:pPr>
      <w:r>
        <w:t xml:space="preserve">Outcome </w:t>
      </w:r>
      <w:r w:rsidR="001E0FD7">
        <w:t xml:space="preserve">1 </w:t>
      </w:r>
      <w:r>
        <w:t>is situated within</w:t>
      </w:r>
      <w:r w:rsidR="00F92327">
        <w:t xml:space="preserve"> KSA national goals – </w:t>
      </w:r>
      <w:r>
        <w:t xml:space="preserve">the strategic planning </w:t>
      </w:r>
      <w:r w:rsidR="00F92327">
        <w:t>frameworks o</w:t>
      </w:r>
      <w:r w:rsidR="00653FBD">
        <w:t xml:space="preserve">f the Kingdom of Saudi Arabia; as well as </w:t>
      </w:r>
      <w:r w:rsidR="00F92327">
        <w:t>the KSA United Nations Common Count</w:t>
      </w:r>
      <w:r w:rsidR="004D0DB1">
        <w:t>ry Strategic Framework (UNCCSF) and</w:t>
      </w:r>
      <w:r w:rsidR="00F92327">
        <w:t xml:space="preserve"> the global UNDP Strategic Plan.</w:t>
      </w:r>
      <w:r w:rsidR="00653FBD">
        <w:t xml:space="preserve">  These statements of goals and objectives are reiterated briefly in </w:t>
      </w:r>
      <w:r w:rsidR="004D0DB1">
        <w:t xml:space="preserve">this </w:t>
      </w:r>
      <w:r w:rsidR="001E0FD7">
        <w:t>Chapter</w:t>
      </w:r>
      <w:r w:rsidR="004D0DB1">
        <w:t>, followed by a review of the Outcome as articulated in the CPD.</w:t>
      </w:r>
    </w:p>
    <w:p w14:paraId="2F99891A" w14:textId="77777777" w:rsidR="00ED325C" w:rsidRDefault="00F92327" w:rsidP="00E878BB">
      <w:pPr>
        <w:pStyle w:val="Heading2"/>
        <w:numPr>
          <w:ilvl w:val="1"/>
          <w:numId w:val="31"/>
        </w:numPr>
      </w:pPr>
      <w:bookmarkStart w:id="9" w:name="_Toc399078741"/>
      <w:r>
        <w:t>KSA national goals</w:t>
      </w:r>
      <w:bookmarkEnd w:id="9"/>
    </w:p>
    <w:p w14:paraId="302D6D35" w14:textId="77777777" w:rsidR="00F92327" w:rsidRPr="00F92327" w:rsidRDefault="00AF2B9F" w:rsidP="00F92327">
      <w:pPr>
        <w:ind w:right="119"/>
      </w:pPr>
      <w:r>
        <w:rPr>
          <w:rFonts w:cs="Times New Roman"/>
          <w:color w:val="000000"/>
          <w:szCs w:val="18"/>
        </w:rPr>
        <w:t>The Outcome</w:t>
      </w:r>
      <w:r w:rsidR="00702464">
        <w:rPr>
          <w:rFonts w:cs="Times New Roman"/>
          <w:color w:val="000000"/>
          <w:szCs w:val="18"/>
        </w:rPr>
        <w:t xml:space="preserve"> </w:t>
      </w:r>
      <w:r w:rsidR="00702464">
        <w:rPr>
          <w:i/>
        </w:rPr>
        <w:t>“</w:t>
      </w:r>
      <w:r w:rsidR="00702464" w:rsidRPr="00AF2B9F">
        <w:rPr>
          <w:i/>
        </w:rPr>
        <w:t>Social Empowerment and Institutional Strengthening with Emphasis on Youth</w:t>
      </w:r>
      <w:r w:rsidR="00702464">
        <w:rPr>
          <w:i/>
        </w:rPr>
        <w:t>”</w:t>
      </w:r>
      <w:r w:rsidR="00702464">
        <w:t xml:space="preserve"> is </w:t>
      </w:r>
      <w:r w:rsidR="00F367ED">
        <w:t xml:space="preserve">aligned with </w:t>
      </w:r>
      <w:r w:rsidR="00702464">
        <w:t>the Kingdom’s 9</w:t>
      </w:r>
      <w:r w:rsidR="00702464" w:rsidRPr="00702464">
        <w:rPr>
          <w:vertAlign w:val="superscript"/>
        </w:rPr>
        <w:t>th</w:t>
      </w:r>
      <w:r w:rsidR="00702464">
        <w:t xml:space="preserve"> </w:t>
      </w:r>
      <w:r w:rsidR="00F92327" w:rsidRPr="00F92327">
        <w:rPr>
          <w:rFonts w:cs="Times New Roman"/>
          <w:color w:val="000000"/>
          <w:szCs w:val="18"/>
        </w:rPr>
        <w:t>National Development Plan</w:t>
      </w:r>
      <w:r w:rsidR="00702464">
        <w:rPr>
          <w:rFonts w:cs="Times New Roman"/>
          <w:color w:val="000000"/>
          <w:szCs w:val="18"/>
        </w:rPr>
        <w:t xml:space="preserve"> objectives;</w:t>
      </w:r>
      <w:r w:rsidR="004D0DB1">
        <w:rPr>
          <w:rFonts w:cs="Times New Roman"/>
          <w:color w:val="000000"/>
          <w:szCs w:val="18"/>
        </w:rPr>
        <w:t xml:space="preserve"> specifically, </w:t>
      </w:r>
      <w:r w:rsidR="00F367ED">
        <w:rPr>
          <w:rFonts w:cs="Times New Roman"/>
          <w:color w:val="000000"/>
          <w:szCs w:val="18"/>
        </w:rPr>
        <w:t>it works in support of</w:t>
      </w:r>
      <w:r w:rsidR="00F92327" w:rsidRPr="00F92327">
        <w:rPr>
          <w:rFonts w:cs="Times New Roman"/>
          <w:color w:val="000000"/>
          <w:szCs w:val="18"/>
        </w:rPr>
        <w:t xml:space="preserve"> Objective </w:t>
      </w:r>
      <w:r w:rsidR="004D0DB1">
        <w:rPr>
          <w:rFonts w:cs="Times New Roman"/>
          <w:color w:val="000000"/>
          <w:szCs w:val="18"/>
        </w:rPr>
        <w:t xml:space="preserve">6:  </w:t>
      </w:r>
      <w:r w:rsidR="00F92327" w:rsidRPr="00F92327">
        <w:rPr>
          <w:rFonts w:cs="Times New Roman"/>
          <w:color w:val="000000"/>
          <w:szCs w:val="18"/>
        </w:rPr>
        <w:t>Improved living standards and quality of life; Objective 5</w:t>
      </w:r>
      <w:r w:rsidR="004D0DB1">
        <w:rPr>
          <w:rFonts w:cs="Times New Roman"/>
          <w:color w:val="000000"/>
          <w:szCs w:val="18"/>
        </w:rPr>
        <w:t xml:space="preserve">: </w:t>
      </w:r>
      <w:r w:rsidR="00F92327" w:rsidRPr="00F92327">
        <w:rPr>
          <w:rFonts w:cs="Times New Roman"/>
          <w:color w:val="000000"/>
          <w:szCs w:val="18"/>
        </w:rPr>
        <w:t xml:space="preserve"> Human development with focus on youth and women; </w:t>
      </w:r>
      <w:r w:rsidR="00702464">
        <w:rPr>
          <w:rFonts w:cs="Times New Roman"/>
          <w:color w:val="000000"/>
          <w:szCs w:val="18"/>
        </w:rPr>
        <w:t xml:space="preserve">and </w:t>
      </w:r>
      <w:r w:rsidR="004D0DB1">
        <w:rPr>
          <w:rFonts w:cs="Times New Roman"/>
          <w:color w:val="000000"/>
          <w:szCs w:val="18"/>
        </w:rPr>
        <w:t xml:space="preserve">Objective 11: </w:t>
      </w:r>
      <w:r w:rsidR="00F92327" w:rsidRPr="00F92327">
        <w:rPr>
          <w:rFonts w:cs="Times New Roman"/>
          <w:color w:val="000000"/>
          <w:szCs w:val="18"/>
        </w:rPr>
        <w:t xml:space="preserve"> Support </w:t>
      </w:r>
      <w:r w:rsidR="00702464">
        <w:rPr>
          <w:rFonts w:cs="Times New Roman"/>
          <w:color w:val="000000"/>
          <w:szCs w:val="18"/>
        </w:rPr>
        <w:t xml:space="preserve">to </w:t>
      </w:r>
      <w:r w:rsidR="00F92327" w:rsidRPr="00F92327">
        <w:rPr>
          <w:rFonts w:cs="Times New Roman"/>
          <w:color w:val="000000"/>
          <w:szCs w:val="18"/>
        </w:rPr>
        <w:t>civil society institutions for development goals.</w:t>
      </w:r>
    </w:p>
    <w:p w14:paraId="59C35E06" w14:textId="77777777" w:rsidR="00F92327" w:rsidRDefault="00F92327" w:rsidP="00E878BB">
      <w:pPr>
        <w:pStyle w:val="Heading2"/>
        <w:numPr>
          <w:ilvl w:val="1"/>
          <w:numId w:val="31"/>
        </w:numPr>
      </w:pPr>
      <w:bookmarkStart w:id="10" w:name="_Toc399078742"/>
      <w:r>
        <w:t>KSA UNCCSF</w:t>
      </w:r>
      <w:bookmarkEnd w:id="10"/>
    </w:p>
    <w:p w14:paraId="36FAE8DE" w14:textId="77777777" w:rsidR="00AF2B9F" w:rsidRDefault="002C0C6C" w:rsidP="00F92327">
      <w:pPr>
        <w:autoSpaceDE w:val="0"/>
        <w:autoSpaceDN w:val="0"/>
        <w:adjustRightInd w:val="0"/>
        <w:spacing w:before="0" w:after="0"/>
        <w:ind w:right="0"/>
        <w:rPr>
          <w:rFonts w:cs="Times New Roman"/>
          <w:bCs/>
          <w:color w:val="000000"/>
          <w:szCs w:val="18"/>
        </w:rPr>
      </w:pPr>
      <w:r>
        <w:rPr>
          <w:rFonts w:cs="Times New Roman"/>
          <w:bCs/>
          <w:color w:val="000000"/>
          <w:szCs w:val="18"/>
        </w:rPr>
        <w:t xml:space="preserve">In the </w:t>
      </w:r>
      <w:r w:rsidR="004D0DB1">
        <w:rPr>
          <w:rFonts w:cs="Times New Roman"/>
          <w:bCs/>
          <w:color w:val="000000"/>
          <w:szCs w:val="18"/>
        </w:rPr>
        <w:t>blueprint guiding</w:t>
      </w:r>
      <w:r>
        <w:rPr>
          <w:rFonts w:cs="Times New Roman"/>
          <w:bCs/>
          <w:color w:val="000000"/>
          <w:szCs w:val="18"/>
        </w:rPr>
        <w:t xml:space="preserve"> the United Nations country team in KSA, the Outcome </w:t>
      </w:r>
      <w:r>
        <w:rPr>
          <w:i/>
        </w:rPr>
        <w:t>“</w:t>
      </w:r>
      <w:r w:rsidRPr="00AF2B9F">
        <w:rPr>
          <w:i/>
        </w:rPr>
        <w:t>Social Empowerment and Institutional Strengthening with Emphasis on Youth</w:t>
      </w:r>
      <w:r>
        <w:rPr>
          <w:i/>
        </w:rPr>
        <w:t>”</w:t>
      </w:r>
      <w:r>
        <w:t xml:space="preserve"> is situated within the </w:t>
      </w:r>
      <w:r w:rsidR="00F92327" w:rsidRPr="00F92327">
        <w:rPr>
          <w:rFonts w:cs="Times New Roman"/>
          <w:bCs/>
          <w:color w:val="000000"/>
          <w:szCs w:val="18"/>
        </w:rPr>
        <w:t>United Nations Common Country Strategic Framework (UNCCSF)</w:t>
      </w:r>
      <w:r w:rsidR="00847922">
        <w:rPr>
          <w:rFonts w:cs="Times New Roman"/>
          <w:bCs/>
          <w:color w:val="000000"/>
          <w:szCs w:val="18"/>
        </w:rPr>
        <w:t>, governing all UN organizations in KSA</w:t>
      </w:r>
      <w:r>
        <w:rPr>
          <w:rFonts w:cs="Times New Roman"/>
          <w:bCs/>
          <w:color w:val="000000"/>
          <w:szCs w:val="18"/>
        </w:rPr>
        <w:t xml:space="preserve">.  </w:t>
      </w:r>
      <w:r w:rsidR="00606FBC">
        <w:rPr>
          <w:rFonts w:cs="Times New Roman"/>
          <w:bCs/>
          <w:color w:val="000000"/>
          <w:szCs w:val="18"/>
        </w:rPr>
        <w:t>T</w:t>
      </w:r>
      <w:r>
        <w:rPr>
          <w:rFonts w:cs="Times New Roman"/>
          <w:bCs/>
          <w:color w:val="000000"/>
          <w:szCs w:val="18"/>
        </w:rPr>
        <w:t xml:space="preserve">he Framework spells out </w:t>
      </w:r>
      <w:r w:rsidR="00606FBC">
        <w:rPr>
          <w:rFonts w:cs="Times New Roman"/>
          <w:bCs/>
          <w:color w:val="000000"/>
          <w:szCs w:val="18"/>
        </w:rPr>
        <w:t>five results/</w:t>
      </w:r>
      <w:r>
        <w:rPr>
          <w:rFonts w:cs="Times New Roman"/>
          <w:bCs/>
          <w:color w:val="000000"/>
          <w:szCs w:val="18"/>
        </w:rPr>
        <w:t xml:space="preserve">outcomes, as follows:  </w:t>
      </w:r>
      <w:r w:rsidR="00F92327" w:rsidRPr="00F92327">
        <w:rPr>
          <w:rFonts w:cs="Times New Roman"/>
          <w:bCs/>
          <w:color w:val="000000"/>
          <w:szCs w:val="18"/>
        </w:rPr>
        <w:t xml:space="preserve"> </w:t>
      </w:r>
    </w:p>
    <w:p w14:paraId="52C45A93" w14:textId="77777777" w:rsidR="00F367ED" w:rsidRDefault="00F367ED" w:rsidP="00F367ED">
      <w:pPr>
        <w:pStyle w:val="ListParagraph"/>
        <w:numPr>
          <w:ilvl w:val="0"/>
          <w:numId w:val="35"/>
        </w:numPr>
        <w:ind w:right="-46"/>
      </w:pPr>
      <w:r w:rsidRPr="00975A17">
        <w:rPr>
          <w:b/>
          <w:bCs/>
        </w:rPr>
        <w:t>Effective and Accountable Governance</w:t>
      </w:r>
      <w:r>
        <w:t xml:space="preserve">: Enhanced participation, accountability, transparency, and justice. </w:t>
      </w:r>
    </w:p>
    <w:p w14:paraId="51D38FA5" w14:textId="77777777" w:rsidR="00F367ED" w:rsidRDefault="00F367ED" w:rsidP="00F367ED">
      <w:pPr>
        <w:pStyle w:val="ListParagraph"/>
        <w:numPr>
          <w:ilvl w:val="0"/>
          <w:numId w:val="35"/>
        </w:numPr>
        <w:ind w:right="-46"/>
      </w:pPr>
      <w:r w:rsidRPr="00975A17">
        <w:rPr>
          <w:b/>
          <w:bCs/>
        </w:rPr>
        <w:t>Inclusive Growth and Employment</w:t>
      </w:r>
      <w:r>
        <w:t xml:space="preserve">:  Expanding non-oil growth opportunities and addressing those marginalized in the workforce - youth, women and migrant workers </w:t>
      </w:r>
    </w:p>
    <w:p w14:paraId="3C3A8967" w14:textId="77777777" w:rsidR="00F367ED" w:rsidRDefault="00F367ED" w:rsidP="00F367ED">
      <w:pPr>
        <w:pStyle w:val="ListParagraph"/>
        <w:numPr>
          <w:ilvl w:val="0"/>
          <w:numId w:val="35"/>
        </w:numPr>
        <w:ind w:right="-46"/>
      </w:pPr>
      <w:r w:rsidRPr="00975A17">
        <w:rPr>
          <w:b/>
          <w:bCs/>
        </w:rPr>
        <w:t>Social Protection and Services</w:t>
      </w:r>
      <w:r>
        <w:t xml:space="preserve">: Enhanced quality of education, health, social services. </w:t>
      </w:r>
    </w:p>
    <w:p w14:paraId="2CB613CE" w14:textId="77777777" w:rsidR="00F367ED" w:rsidRDefault="00F367ED" w:rsidP="00F367ED">
      <w:pPr>
        <w:pStyle w:val="ListParagraph"/>
        <w:numPr>
          <w:ilvl w:val="0"/>
          <w:numId w:val="35"/>
        </w:numPr>
        <w:ind w:right="-46"/>
      </w:pPr>
      <w:r w:rsidRPr="00975A17">
        <w:rPr>
          <w:b/>
          <w:bCs/>
        </w:rPr>
        <w:t>Sustainability of Natural Resources and Environment</w:t>
      </w:r>
      <w:r>
        <w:t xml:space="preserve">: Expanding energy efficiency, green economy approaches, mitigating climate change, and water conservation. </w:t>
      </w:r>
    </w:p>
    <w:p w14:paraId="60228214" w14:textId="77777777" w:rsidR="00F367ED" w:rsidRDefault="00F367ED" w:rsidP="00F367ED">
      <w:pPr>
        <w:pStyle w:val="ListParagraph"/>
        <w:numPr>
          <w:ilvl w:val="0"/>
          <w:numId w:val="35"/>
        </w:numPr>
        <w:ind w:right="-46"/>
      </w:pPr>
      <w:r w:rsidRPr="00975A17">
        <w:rPr>
          <w:b/>
          <w:bCs/>
        </w:rPr>
        <w:t>Global Partnerships and South-South Cooperation</w:t>
      </w:r>
      <w:r>
        <w:t>:  Enhanced linkages between UN initiatives and Saudi Arabia’s growing global role on development and humanitarian issues</w:t>
      </w:r>
      <w:r w:rsidR="00606FBC">
        <w:rPr>
          <w:rFonts w:cs="Times New Roman"/>
          <w:color w:val="000000"/>
          <w:szCs w:val="18"/>
        </w:rPr>
        <w:t xml:space="preserve"> </w:t>
      </w:r>
      <w:r w:rsidR="00606FBC">
        <w:rPr>
          <w:rFonts w:cs="Times New Roman"/>
          <w:color w:val="000000"/>
          <w:szCs w:val="18"/>
        </w:rPr>
        <w:fldChar w:fldCharType="begin"/>
      </w:r>
      <w:r w:rsidR="00606FBC">
        <w:rPr>
          <w:rFonts w:cs="Times New Roman"/>
          <w:color w:val="000000"/>
          <w:szCs w:val="18"/>
        </w:rPr>
        <w:instrText xml:space="preserve"> ADDIN EN.CITE &lt;EndNote&gt;&lt;Cite&gt;&lt;Author&gt;UNDP-KSA&lt;/Author&gt;&lt;Year&gt;2012&lt;/Year&gt;&lt;RecNum&gt;248&lt;/RecNum&gt;&lt;Suffix&gt;`, p. 3&lt;/Suffix&gt;&lt;DisplayText&gt;(UNDP-KSA 2012, p. 3)&lt;/DisplayText&gt;&lt;record&gt;&lt;rec-number&gt;248&lt;/rec-number&gt;&lt;foreign-keys&gt;&lt;key app="EN" db-id="5a0wsfarrxszvze9rr65r5a3vr95ffwx90f9" timestamp="1406157235"&gt;248&lt;/key&gt;&lt;/foreign-keys&gt;&lt;ref-type name="Report"&gt;27&lt;/ref-type&gt;&lt;contributors&gt;&lt;authors&gt;&lt;author&gt;UNDP-KSA&lt;/author&gt;&lt;/authors&gt;&lt;/contributors&gt;&lt;titles&gt;&lt;title&gt;United Nations Common Country Strategic Framework (UNCCSF) Kingdom of Saudi Arabia 2012-2016&lt;/title&gt;&lt;/titles&gt;&lt;dates&gt;&lt;year&gt;2012&lt;/year&gt;&lt;/dates&gt;&lt;pub-location&gt;Riyadh&lt;/pub-location&gt;&lt;publisher&gt;UNDG&lt;/publisher&gt;&lt;urls&gt;&lt;related-urls&gt;&lt;url&gt;http://www.undg.org/docs/12689/Saudia-Arabia---CCSF.pdf&lt;/url&gt;&lt;/related-urls&gt;&lt;/urls&gt;&lt;research-notes&gt;has 35 pp; remove from ref format&amp;#xD;&lt;/research-notes&gt;&lt;/record&gt;&lt;/Cite&gt;&lt;/EndNote&gt;</w:instrText>
      </w:r>
      <w:r w:rsidR="00606FBC">
        <w:rPr>
          <w:rFonts w:cs="Times New Roman"/>
          <w:color w:val="000000"/>
          <w:szCs w:val="18"/>
        </w:rPr>
        <w:fldChar w:fldCharType="separate"/>
      </w:r>
      <w:r w:rsidR="00606FBC">
        <w:rPr>
          <w:rFonts w:cs="Times New Roman"/>
          <w:noProof/>
          <w:color w:val="000000"/>
          <w:szCs w:val="18"/>
        </w:rPr>
        <w:t>(</w:t>
      </w:r>
      <w:hyperlink w:anchor="_ENREF_17" w:tooltip="UNDP-KSA, 2012 #248" w:history="1">
        <w:r w:rsidR="00EB16D2">
          <w:rPr>
            <w:rFonts w:cs="Times New Roman"/>
            <w:noProof/>
            <w:color w:val="000000"/>
            <w:szCs w:val="18"/>
          </w:rPr>
          <w:t>UNDP-KSA 2012, p. 3</w:t>
        </w:r>
      </w:hyperlink>
      <w:r w:rsidR="00606FBC">
        <w:rPr>
          <w:rFonts w:cs="Times New Roman"/>
          <w:noProof/>
          <w:color w:val="000000"/>
          <w:szCs w:val="18"/>
        </w:rPr>
        <w:t>)</w:t>
      </w:r>
      <w:r w:rsidR="00606FBC">
        <w:rPr>
          <w:rFonts w:cs="Times New Roman"/>
          <w:color w:val="000000"/>
          <w:szCs w:val="18"/>
        </w:rPr>
        <w:fldChar w:fldCharType="end"/>
      </w:r>
      <w:r>
        <w:t>.</w:t>
      </w:r>
    </w:p>
    <w:p w14:paraId="26E5149B" w14:textId="77777777" w:rsidR="00F367ED" w:rsidRPr="00F367ED" w:rsidRDefault="00626F5C" w:rsidP="00F367ED">
      <w:pPr>
        <w:autoSpaceDE w:val="0"/>
        <w:autoSpaceDN w:val="0"/>
        <w:adjustRightInd w:val="0"/>
        <w:spacing w:before="0" w:after="0"/>
        <w:ind w:right="0"/>
        <w:rPr>
          <w:rFonts w:cs="Times New Roman"/>
          <w:color w:val="000000"/>
          <w:szCs w:val="18"/>
        </w:rPr>
      </w:pPr>
      <w:r>
        <w:rPr>
          <w:rFonts w:cs="Times New Roman"/>
          <w:color w:val="000000"/>
          <w:szCs w:val="18"/>
        </w:rPr>
        <w:t xml:space="preserve">For the UN Country Team, </w:t>
      </w:r>
      <w:r w:rsidR="00F367ED">
        <w:rPr>
          <w:rFonts w:cs="Times New Roman"/>
          <w:color w:val="000000"/>
          <w:szCs w:val="18"/>
        </w:rPr>
        <w:t>UNDP</w:t>
      </w:r>
      <w:r w:rsidR="00606FBC">
        <w:rPr>
          <w:rFonts w:cs="Times New Roman"/>
          <w:color w:val="000000"/>
          <w:szCs w:val="18"/>
        </w:rPr>
        <w:t xml:space="preserve"> is identified as lead agency in all but No. 3.  Within the CPD, it is readily apparent that Output 1 is taken up as part of the agency’s responsibilities under </w:t>
      </w:r>
      <w:r>
        <w:rPr>
          <w:rFonts w:cs="Times New Roman"/>
          <w:color w:val="000000"/>
          <w:szCs w:val="18"/>
        </w:rPr>
        <w:t xml:space="preserve">UNCCSF </w:t>
      </w:r>
      <w:r w:rsidR="00606FBC">
        <w:rPr>
          <w:rFonts w:cs="Times New Roman"/>
          <w:color w:val="000000"/>
          <w:szCs w:val="18"/>
        </w:rPr>
        <w:t>results 1, 2, and 5, which are addressed specifically to governance and participation, inclusion of women, youth and the vulnerable or marginalized sectors, and the expansion of South-South linkages.</w:t>
      </w:r>
    </w:p>
    <w:p w14:paraId="3D5441E5" w14:textId="77777777" w:rsidR="00F92327" w:rsidRPr="00AF2B9F" w:rsidRDefault="00F92327" w:rsidP="00E878BB">
      <w:pPr>
        <w:pStyle w:val="Heading2"/>
        <w:numPr>
          <w:ilvl w:val="1"/>
          <w:numId w:val="31"/>
        </w:numPr>
      </w:pPr>
      <w:bookmarkStart w:id="11" w:name="_Toc399078743"/>
      <w:r>
        <w:t>Global UNDP Strategic Plan</w:t>
      </w:r>
      <w:bookmarkEnd w:id="11"/>
      <w:r w:rsidRPr="005D21BF">
        <w:t xml:space="preserve"> </w:t>
      </w:r>
    </w:p>
    <w:p w14:paraId="6470C1E2" w14:textId="77777777" w:rsidR="00AF2B9F" w:rsidRDefault="00AF2B9F" w:rsidP="00AF2B9F">
      <w:pPr>
        <w:ind w:right="119"/>
        <w:rPr>
          <w:rFonts w:cs="Times New Roman"/>
          <w:color w:val="000000"/>
          <w:szCs w:val="18"/>
        </w:rPr>
      </w:pPr>
      <w:r w:rsidRPr="00AF2B9F">
        <w:rPr>
          <w:rFonts w:cs="Times New Roman"/>
          <w:bCs/>
          <w:color w:val="000000"/>
          <w:szCs w:val="18"/>
        </w:rPr>
        <w:t xml:space="preserve">The associated UNDP Global Strategic Plan </w:t>
      </w:r>
      <w:r w:rsidR="00847922">
        <w:rPr>
          <w:rFonts w:cs="Times New Roman"/>
          <w:bCs/>
          <w:color w:val="000000"/>
          <w:szCs w:val="18"/>
        </w:rPr>
        <w:t>‘</w:t>
      </w:r>
      <w:r w:rsidRPr="00AF2B9F">
        <w:rPr>
          <w:rFonts w:cs="Times New Roman"/>
          <w:bCs/>
          <w:color w:val="000000"/>
          <w:szCs w:val="18"/>
        </w:rPr>
        <w:t>focus areas</w:t>
      </w:r>
      <w:r w:rsidR="00847922">
        <w:rPr>
          <w:rFonts w:cs="Times New Roman"/>
          <w:bCs/>
          <w:color w:val="000000"/>
          <w:szCs w:val="18"/>
        </w:rPr>
        <w:t>’ that are</w:t>
      </w:r>
      <w:r w:rsidRPr="00AF2B9F">
        <w:rPr>
          <w:rFonts w:cs="Times New Roman"/>
          <w:bCs/>
          <w:color w:val="000000"/>
          <w:szCs w:val="18"/>
        </w:rPr>
        <w:t xml:space="preserve"> noted in the CPD highlight </w:t>
      </w:r>
      <w:r w:rsidRPr="00AF2B9F">
        <w:rPr>
          <w:rFonts w:cs="Times New Roman"/>
          <w:bCs/>
          <w:i/>
          <w:color w:val="000000"/>
          <w:szCs w:val="18"/>
        </w:rPr>
        <w:t>p</w:t>
      </w:r>
      <w:r w:rsidRPr="00AF2B9F">
        <w:rPr>
          <w:rFonts w:cs="Times New Roman"/>
          <w:i/>
          <w:color w:val="000000"/>
          <w:szCs w:val="18"/>
        </w:rPr>
        <w:t>overty reduction</w:t>
      </w:r>
      <w:r w:rsidRPr="00AF2B9F">
        <w:rPr>
          <w:rFonts w:cs="Times New Roman"/>
          <w:color w:val="000000"/>
          <w:szCs w:val="18"/>
        </w:rPr>
        <w:t xml:space="preserve"> and the achievement of </w:t>
      </w:r>
      <w:r w:rsidRPr="00AF2B9F">
        <w:rPr>
          <w:rFonts w:cs="Times New Roman"/>
          <w:i/>
          <w:color w:val="000000"/>
          <w:szCs w:val="18"/>
        </w:rPr>
        <w:t>Millennium Development Goals</w:t>
      </w:r>
      <w:r w:rsidR="005D21BF">
        <w:rPr>
          <w:rFonts w:cs="Times New Roman"/>
          <w:i/>
          <w:color w:val="000000"/>
          <w:szCs w:val="18"/>
        </w:rPr>
        <w:t xml:space="preserve"> (MDGs)</w:t>
      </w:r>
      <w:r w:rsidRPr="00AF2B9F">
        <w:rPr>
          <w:rFonts w:cs="Times New Roman"/>
          <w:color w:val="000000"/>
          <w:szCs w:val="18"/>
        </w:rPr>
        <w:t>; these include the goal of gender equality and the empowerment of women</w:t>
      </w:r>
      <w:r>
        <w:rPr>
          <w:rFonts w:cs="Times New Roman"/>
          <w:color w:val="000000"/>
          <w:szCs w:val="18"/>
        </w:rPr>
        <w:t xml:space="preserve"> </w:t>
      </w:r>
      <w:r>
        <w:rPr>
          <w:rFonts w:cs="Times New Roman"/>
          <w:color w:val="000000"/>
          <w:szCs w:val="18"/>
        </w:rPr>
        <w:fldChar w:fldCharType="begin"/>
      </w:r>
      <w:r w:rsidR="00706CFB">
        <w:rPr>
          <w:rFonts w:cs="Times New Roman"/>
          <w:color w:val="000000"/>
          <w:szCs w:val="18"/>
        </w:rPr>
        <w:instrText xml:space="preserve"> ADDIN EN.CITE &lt;EndNote&gt;&lt;Cite&gt;&lt;Author&gt;UNDP Saudi Arabia&lt;/Author&gt;&lt;Year&gt;2011&lt;/Year&gt;&lt;RecNum&gt;237&lt;/RecNum&gt;&lt;Suffix&gt;`, p. 7&lt;/Suffix&gt;&lt;DisplayText&gt;(UNDP Saudi Arabia 2011a, p. 7)&lt;/DisplayText&gt;&lt;record&gt;&lt;rec-number&gt;237&lt;/rec-number&gt;&lt;foreign-keys&gt;&lt;key app="EN" db-id="5a0wsfarrxszvze9rr65r5a3vr95ffwx90f9" timestamp="1404933244"&gt;237&lt;/key&gt;&lt;/foreign-keys&gt;&lt;ref-type name="Report"&gt;27&lt;/ref-type&gt;&lt;contributors&gt;&lt;authors&gt;&lt;author&gt;UNDP Saudi Arabia,&lt;/author&gt;&lt;/authors&gt;&lt;/contributors&gt;&lt;titles&gt;&lt;title&gt;Country Programme Document for Saudi Arabia (2012-2016)&lt;/title&gt;&lt;/titles&gt;&lt;dates&gt;&lt;year&gt;2011&lt;/year&gt;&lt;pub-dates&gt;&lt;date&gt;June 2011&lt;/date&gt;&lt;/pub-dates&gt;&lt;/dates&gt;&lt;pub-location&gt;Riyadh&lt;/pub-location&gt;&lt;publisher&gt;UNDP, KSA&lt;/publisher&gt;&lt;urls&gt;&lt;/urls&gt;&lt;/record&gt;&lt;/Cite&gt;&lt;/EndNote&gt;</w:instrText>
      </w:r>
      <w:r>
        <w:rPr>
          <w:rFonts w:cs="Times New Roman"/>
          <w:color w:val="000000"/>
          <w:szCs w:val="18"/>
        </w:rPr>
        <w:fldChar w:fldCharType="separate"/>
      </w:r>
      <w:r w:rsidR="00706CFB">
        <w:rPr>
          <w:rFonts w:cs="Times New Roman"/>
          <w:noProof/>
          <w:color w:val="000000"/>
          <w:szCs w:val="18"/>
        </w:rPr>
        <w:t>(</w:t>
      </w:r>
      <w:hyperlink w:anchor="_ENREF_22" w:tooltip="UNDP Saudi Arabia, 2011 #237" w:history="1">
        <w:r w:rsidR="00EB16D2">
          <w:rPr>
            <w:rFonts w:cs="Times New Roman"/>
            <w:noProof/>
            <w:color w:val="000000"/>
            <w:szCs w:val="18"/>
          </w:rPr>
          <w:t>UNDP Saudi Arabia 2011a, p. 7</w:t>
        </w:r>
      </w:hyperlink>
      <w:r w:rsidR="00706CFB">
        <w:rPr>
          <w:rFonts w:cs="Times New Roman"/>
          <w:noProof/>
          <w:color w:val="000000"/>
          <w:szCs w:val="18"/>
        </w:rPr>
        <w:t>)</w:t>
      </w:r>
      <w:r>
        <w:rPr>
          <w:rFonts w:cs="Times New Roman"/>
          <w:color w:val="000000"/>
          <w:szCs w:val="18"/>
        </w:rPr>
        <w:fldChar w:fldCharType="end"/>
      </w:r>
      <w:r w:rsidRPr="00AF2B9F">
        <w:rPr>
          <w:rFonts w:cs="Times New Roman"/>
          <w:color w:val="000000"/>
          <w:szCs w:val="18"/>
        </w:rPr>
        <w:t>.</w:t>
      </w:r>
      <w:r>
        <w:rPr>
          <w:rFonts w:cs="Times New Roman"/>
          <w:color w:val="000000"/>
          <w:szCs w:val="18"/>
        </w:rPr>
        <w:t xml:space="preserve">  </w:t>
      </w:r>
      <w:r w:rsidR="005D21BF">
        <w:rPr>
          <w:rFonts w:cs="Times New Roman"/>
          <w:color w:val="000000"/>
          <w:szCs w:val="18"/>
        </w:rPr>
        <w:t xml:space="preserve">While not noted specifically in the CPD, MDGs concerning improved access to education, access to social services and access to employment are also focus areas of the UNDP Global Strategic Plan. </w:t>
      </w:r>
    </w:p>
    <w:p w14:paraId="54CAF72F" w14:textId="77777777" w:rsidR="00847922" w:rsidRPr="00AF2B9F" w:rsidRDefault="00847922" w:rsidP="00AF2B9F">
      <w:pPr>
        <w:ind w:right="119"/>
        <w:rPr>
          <w:rFonts w:cs="Times New Roman"/>
          <w:color w:val="000000"/>
          <w:szCs w:val="18"/>
        </w:rPr>
      </w:pPr>
      <w:r>
        <w:rPr>
          <w:rFonts w:cs="Times New Roman"/>
          <w:color w:val="000000"/>
          <w:szCs w:val="18"/>
        </w:rPr>
        <w:t>Outcome 1 is therefore seen to be closely aligned with the strategic directions of the government and the UN system globally and within KSA.</w:t>
      </w:r>
    </w:p>
    <w:p w14:paraId="09799820" w14:textId="77777777" w:rsidR="00AF2B9F" w:rsidRPr="00AF2B9F" w:rsidRDefault="00AF2B9F" w:rsidP="00E878BB">
      <w:pPr>
        <w:pStyle w:val="Heading2"/>
        <w:numPr>
          <w:ilvl w:val="1"/>
          <w:numId w:val="31"/>
        </w:numPr>
      </w:pPr>
      <w:bookmarkStart w:id="12" w:name="_Toc399078744"/>
      <w:r w:rsidRPr="005D21BF">
        <w:t>UNDP-KSA Country Programme</w:t>
      </w:r>
      <w:bookmarkEnd w:id="12"/>
      <w:r w:rsidRPr="005D21BF">
        <w:t xml:space="preserve"> </w:t>
      </w:r>
    </w:p>
    <w:p w14:paraId="18CDB322" w14:textId="77777777" w:rsidR="00AF2B9F" w:rsidRDefault="00847922" w:rsidP="005738FE">
      <w:pPr>
        <w:ind w:right="119"/>
        <w:rPr>
          <w:bCs/>
        </w:rPr>
      </w:pPr>
      <w:r>
        <w:t>To restate and expand, therefore:  e</w:t>
      </w:r>
      <w:r w:rsidR="005D21BF">
        <w:t>xamining as a whole t</w:t>
      </w:r>
      <w:r w:rsidR="00AF2B9F">
        <w:t>he UNDP-KSA Country Programme (CP) for the period 2012-2016</w:t>
      </w:r>
      <w:r w:rsidR="005D21BF">
        <w:t>, this programme</w:t>
      </w:r>
      <w:r w:rsidR="00AF2B9F">
        <w:rPr>
          <w:bCs/>
        </w:rPr>
        <w:t xml:space="preserve"> is aligned to the </w:t>
      </w:r>
      <w:r w:rsidR="005D21BF">
        <w:rPr>
          <w:bCs/>
        </w:rPr>
        <w:t>KSA National Development Plan and to</w:t>
      </w:r>
      <w:r w:rsidR="00AF2B9F">
        <w:rPr>
          <w:bCs/>
        </w:rPr>
        <w:t xml:space="preserve"> </w:t>
      </w:r>
      <w:r w:rsidR="005D21BF">
        <w:rPr>
          <w:bCs/>
        </w:rPr>
        <w:t xml:space="preserve">the </w:t>
      </w:r>
      <w:r w:rsidR="00AF2B9F">
        <w:rPr>
          <w:bCs/>
        </w:rPr>
        <w:t>UNDP Strategic Plan</w:t>
      </w:r>
      <w:r>
        <w:rPr>
          <w:bCs/>
        </w:rPr>
        <w:t xml:space="preserve"> and Country Team framework.  It is further</w:t>
      </w:r>
      <w:r w:rsidR="005D21BF">
        <w:rPr>
          <w:bCs/>
        </w:rPr>
        <w:t xml:space="preserve"> informed by </w:t>
      </w:r>
      <w:r w:rsidR="00AF2B9F">
        <w:rPr>
          <w:bCs/>
        </w:rPr>
        <w:t>evaluation recommendations arising from preceding programmes</w:t>
      </w:r>
      <w:r>
        <w:rPr>
          <w:bCs/>
        </w:rPr>
        <w:t>, as noted in the following paragraphs. The CP Document (“the D</w:t>
      </w:r>
      <w:r w:rsidR="00AF2B9F">
        <w:rPr>
          <w:bCs/>
        </w:rPr>
        <w:t xml:space="preserve">ocument” or CPD) </w:t>
      </w:r>
      <w:r w:rsidR="005D21BF">
        <w:rPr>
          <w:bCs/>
        </w:rPr>
        <w:t>builds in</w:t>
      </w:r>
      <w:r w:rsidR="00AF2B9F">
        <w:rPr>
          <w:bCs/>
        </w:rPr>
        <w:t xml:space="preserve"> </w:t>
      </w:r>
      <w:r w:rsidR="00AF2B9F" w:rsidRPr="009A6850">
        <w:rPr>
          <w:bCs/>
        </w:rPr>
        <w:t xml:space="preserve">three </w:t>
      </w:r>
      <w:r w:rsidR="005D21BF">
        <w:rPr>
          <w:bCs/>
        </w:rPr>
        <w:t>over-arching O</w:t>
      </w:r>
      <w:r w:rsidR="00AF2B9F" w:rsidRPr="009A6850">
        <w:rPr>
          <w:bCs/>
        </w:rPr>
        <w:t>utcomes</w:t>
      </w:r>
      <w:r w:rsidR="005D21BF">
        <w:rPr>
          <w:bCs/>
        </w:rPr>
        <w:t>,</w:t>
      </w:r>
      <w:r w:rsidR="00AF2B9F">
        <w:rPr>
          <w:bCs/>
        </w:rPr>
        <w:t xml:space="preserve"> </w:t>
      </w:r>
      <w:r w:rsidR="005E22E3">
        <w:rPr>
          <w:bCs/>
        </w:rPr>
        <w:t>addressing</w:t>
      </w:r>
      <w:r w:rsidR="00AF2B9F">
        <w:rPr>
          <w:bCs/>
        </w:rPr>
        <w:t xml:space="preserve"> </w:t>
      </w:r>
      <w:r w:rsidR="005D21BF">
        <w:rPr>
          <w:bCs/>
        </w:rPr>
        <w:t xml:space="preserve">(1) </w:t>
      </w:r>
      <w:r w:rsidR="00AF2B9F">
        <w:rPr>
          <w:bCs/>
        </w:rPr>
        <w:t xml:space="preserve">socio-economic and institutional reform; </w:t>
      </w:r>
      <w:r w:rsidR="005D21BF">
        <w:rPr>
          <w:bCs/>
        </w:rPr>
        <w:t xml:space="preserve">(2) </w:t>
      </w:r>
      <w:r w:rsidR="00AF2B9F">
        <w:rPr>
          <w:bCs/>
        </w:rPr>
        <w:t xml:space="preserve">environmental sustainability; and </w:t>
      </w:r>
      <w:r w:rsidR="005D21BF">
        <w:rPr>
          <w:bCs/>
        </w:rPr>
        <w:t xml:space="preserve">(3) </w:t>
      </w:r>
      <w:r w:rsidR="00AF2B9F">
        <w:rPr>
          <w:bCs/>
        </w:rPr>
        <w:t xml:space="preserve">sustainable development; </w:t>
      </w:r>
      <w:r w:rsidR="005D21BF">
        <w:rPr>
          <w:bCs/>
        </w:rPr>
        <w:t>it sets out</w:t>
      </w:r>
      <w:r w:rsidR="00AF2B9F">
        <w:rPr>
          <w:bCs/>
        </w:rPr>
        <w:t xml:space="preserve"> three cross-cutting priorities: capacity development, global partnerships and gender mainstreaming.  In all areas</w:t>
      </w:r>
      <w:r w:rsidR="005D21BF">
        <w:rPr>
          <w:bCs/>
        </w:rPr>
        <w:t xml:space="preserve"> of programme work </w:t>
      </w:r>
      <w:r w:rsidR="00AF2B9F">
        <w:rPr>
          <w:bCs/>
        </w:rPr>
        <w:t xml:space="preserve">UNDP </w:t>
      </w:r>
      <w:r w:rsidR="005D21BF">
        <w:rPr>
          <w:bCs/>
        </w:rPr>
        <w:t xml:space="preserve">may act as a </w:t>
      </w:r>
      <w:r w:rsidR="00AF2B9F">
        <w:rPr>
          <w:bCs/>
        </w:rPr>
        <w:t>pa</w:t>
      </w:r>
      <w:r w:rsidR="005D21BF">
        <w:rPr>
          <w:bCs/>
        </w:rPr>
        <w:t>rtner</w:t>
      </w:r>
      <w:r w:rsidR="00AF2B9F">
        <w:rPr>
          <w:bCs/>
        </w:rPr>
        <w:t xml:space="preserve"> with </w:t>
      </w:r>
      <w:r w:rsidR="005D21BF">
        <w:rPr>
          <w:bCs/>
        </w:rPr>
        <w:t xml:space="preserve">UN </w:t>
      </w:r>
      <w:r w:rsidR="00AF2B9F">
        <w:rPr>
          <w:bCs/>
        </w:rPr>
        <w:t>specialized agencies and centres of excellence such as DESA, FAO, ILO, OHCHR, etc.</w:t>
      </w:r>
    </w:p>
    <w:p w14:paraId="265DD8F9" w14:textId="77777777" w:rsidR="005E22E3" w:rsidRDefault="002C0C6C" w:rsidP="005738FE">
      <w:pPr>
        <w:autoSpaceDE w:val="0"/>
        <w:autoSpaceDN w:val="0"/>
        <w:adjustRightInd w:val="0"/>
        <w:ind w:right="0"/>
        <w:rPr>
          <w:rFonts w:cs="Times New Roman"/>
          <w:bCs/>
          <w:color w:val="000000"/>
          <w:szCs w:val="18"/>
        </w:rPr>
      </w:pPr>
      <w:r w:rsidRPr="00F92327">
        <w:rPr>
          <w:rFonts w:cs="Times New Roman"/>
          <w:bCs/>
          <w:color w:val="000000"/>
          <w:szCs w:val="18"/>
        </w:rPr>
        <w:t>Outcome indicator</w:t>
      </w:r>
      <w:r>
        <w:rPr>
          <w:rFonts w:cs="Times New Roman"/>
          <w:bCs/>
          <w:color w:val="000000"/>
          <w:szCs w:val="18"/>
        </w:rPr>
        <w:t xml:space="preserve">s suggested </w:t>
      </w:r>
      <w:r w:rsidR="005D21BF">
        <w:rPr>
          <w:rFonts w:cs="Times New Roman"/>
          <w:bCs/>
          <w:color w:val="000000"/>
          <w:szCs w:val="18"/>
        </w:rPr>
        <w:t>by</w:t>
      </w:r>
      <w:r>
        <w:rPr>
          <w:rFonts w:cs="Times New Roman"/>
          <w:bCs/>
          <w:color w:val="000000"/>
          <w:szCs w:val="18"/>
        </w:rPr>
        <w:t xml:space="preserve"> the CPD </w:t>
      </w:r>
      <w:r w:rsidR="00025089">
        <w:rPr>
          <w:rFonts w:cs="Times New Roman"/>
          <w:bCs/>
          <w:color w:val="000000"/>
          <w:szCs w:val="18"/>
        </w:rPr>
        <w:t xml:space="preserve">under Outcome 1 </w:t>
      </w:r>
      <w:r>
        <w:rPr>
          <w:rFonts w:cs="Times New Roman"/>
          <w:bCs/>
          <w:color w:val="000000"/>
          <w:szCs w:val="18"/>
        </w:rPr>
        <w:t>include</w:t>
      </w:r>
      <w:r w:rsidRPr="00F92327">
        <w:rPr>
          <w:rFonts w:cs="Times New Roman"/>
          <w:bCs/>
          <w:color w:val="000000"/>
          <w:szCs w:val="18"/>
        </w:rPr>
        <w:t xml:space="preserve">: </w:t>
      </w:r>
    </w:p>
    <w:p w14:paraId="79599614" w14:textId="77777777" w:rsidR="005E22E3" w:rsidRDefault="002C0C6C" w:rsidP="00F82BDC">
      <w:pPr>
        <w:pStyle w:val="ListParagraph"/>
        <w:numPr>
          <w:ilvl w:val="0"/>
          <w:numId w:val="4"/>
        </w:numPr>
        <w:autoSpaceDE w:val="0"/>
        <w:autoSpaceDN w:val="0"/>
        <w:adjustRightInd w:val="0"/>
        <w:ind w:right="0"/>
        <w:rPr>
          <w:rFonts w:cs="Times New Roman"/>
          <w:color w:val="000000"/>
          <w:szCs w:val="18"/>
        </w:rPr>
      </w:pPr>
      <w:r w:rsidRPr="005E22E3">
        <w:rPr>
          <w:rFonts w:cs="Times New Roman"/>
          <w:bCs/>
          <w:color w:val="000000"/>
          <w:szCs w:val="18"/>
        </w:rPr>
        <w:t>the p</w:t>
      </w:r>
      <w:r w:rsidRPr="005E22E3">
        <w:rPr>
          <w:rFonts w:cs="Times New Roman"/>
          <w:color w:val="000000"/>
          <w:szCs w:val="18"/>
        </w:rPr>
        <w:t>ercentage of youth and female enrolment in higher ed</w:t>
      </w:r>
      <w:r w:rsidR="005E22E3">
        <w:rPr>
          <w:rFonts w:cs="Times New Roman"/>
          <w:color w:val="000000"/>
          <w:szCs w:val="18"/>
        </w:rPr>
        <w:t>ucation</w:t>
      </w:r>
    </w:p>
    <w:p w14:paraId="7CDF845C" w14:textId="77777777" w:rsidR="005E22E3" w:rsidRDefault="002C0C6C" w:rsidP="00F82BDC">
      <w:pPr>
        <w:pStyle w:val="ListParagraph"/>
        <w:numPr>
          <w:ilvl w:val="0"/>
          <w:numId w:val="4"/>
        </w:numPr>
        <w:autoSpaceDE w:val="0"/>
        <w:autoSpaceDN w:val="0"/>
        <w:adjustRightInd w:val="0"/>
        <w:ind w:right="0"/>
        <w:rPr>
          <w:rFonts w:cs="Times New Roman"/>
          <w:color w:val="000000"/>
          <w:szCs w:val="18"/>
        </w:rPr>
      </w:pPr>
      <w:r w:rsidRPr="005E22E3">
        <w:rPr>
          <w:rFonts w:cs="Times New Roman"/>
          <w:color w:val="000000"/>
          <w:szCs w:val="18"/>
        </w:rPr>
        <w:t>the percentage of</w:t>
      </w:r>
      <w:r w:rsidR="005E22E3">
        <w:rPr>
          <w:rFonts w:cs="Times New Roman"/>
          <w:color w:val="000000"/>
          <w:szCs w:val="18"/>
        </w:rPr>
        <w:t xml:space="preserve"> youth and female unemployment</w:t>
      </w:r>
    </w:p>
    <w:p w14:paraId="25E5AA72" w14:textId="77777777" w:rsidR="002C0C6C" w:rsidRPr="005E22E3" w:rsidRDefault="002C0C6C" w:rsidP="00F82BDC">
      <w:pPr>
        <w:pStyle w:val="ListParagraph"/>
        <w:numPr>
          <w:ilvl w:val="0"/>
          <w:numId w:val="4"/>
        </w:numPr>
        <w:autoSpaceDE w:val="0"/>
        <w:autoSpaceDN w:val="0"/>
        <w:adjustRightInd w:val="0"/>
        <w:ind w:right="0"/>
        <w:rPr>
          <w:rFonts w:cs="Times New Roman"/>
          <w:color w:val="000000"/>
          <w:szCs w:val="18"/>
        </w:rPr>
      </w:pPr>
      <w:r w:rsidRPr="005E22E3">
        <w:rPr>
          <w:rFonts w:cs="Times New Roman"/>
          <w:color w:val="000000"/>
          <w:szCs w:val="18"/>
        </w:rPr>
        <w:t>the percentage of poor having sustainable access to social services</w:t>
      </w:r>
      <w:r w:rsidR="00AC3D74" w:rsidRPr="005E22E3">
        <w:rPr>
          <w:rFonts w:cs="Times New Roman"/>
          <w:color w:val="000000"/>
          <w:szCs w:val="18"/>
        </w:rPr>
        <w:t xml:space="preserve"> (see </w:t>
      </w:r>
      <w:r w:rsidR="00C9720B" w:rsidRPr="005E22E3">
        <w:rPr>
          <w:rFonts w:cs="Times New Roman"/>
          <w:i/>
          <w:color w:val="000000"/>
          <w:szCs w:val="18"/>
        </w:rPr>
        <w:t>Selected Indicators of Saudi Arabia</w:t>
      </w:r>
      <w:r w:rsidR="00C9720B" w:rsidRPr="005E22E3">
        <w:rPr>
          <w:rFonts w:cs="Times New Roman"/>
          <w:color w:val="000000"/>
          <w:szCs w:val="18"/>
        </w:rPr>
        <w:t>, p. 2 of this Report)</w:t>
      </w:r>
      <w:r w:rsidRPr="005E22E3">
        <w:rPr>
          <w:rFonts w:cs="Times New Roman"/>
          <w:color w:val="000000"/>
          <w:szCs w:val="18"/>
        </w:rPr>
        <w:t xml:space="preserve">. </w:t>
      </w:r>
    </w:p>
    <w:p w14:paraId="76C895FA" w14:textId="77777777" w:rsidR="00434FB3" w:rsidRPr="006672C6" w:rsidRDefault="00434FB3" w:rsidP="005738FE">
      <w:pPr>
        <w:autoSpaceDE w:val="0"/>
        <w:autoSpaceDN w:val="0"/>
        <w:adjustRightInd w:val="0"/>
        <w:ind w:right="0"/>
      </w:pPr>
      <w:r w:rsidRPr="006672C6">
        <w:t xml:space="preserve">During the mid-term of the </w:t>
      </w:r>
      <w:r w:rsidR="001B660D">
        <w:t>prior</w:t>
      </w:r>
      <w:r w:rsidRPr="006672C6">
        <w:t xml:space="preserve"> CPD (2007-2011), an Outcome Evaluation reviewing Development Policy found that UNDP had played a positive role in focusing on the sustainability of results in its support for strategic development planning.  That Evaluation recommended that future country programmes place emphasis on the </w:t>
      </w:r>
      <w:r w:rsidRPr="006672C6">
        <w:rPr>
          <w:i/>
        </w:rPr>
        <w:t>social, environmental and economic</w:t>
      </w:r>
      <w:r w:rsidRPr="006672C6">
        <w:t xml:space="preserve"> pillars within the human development framework </w:t>
      </w:r>
      <w:r w:rsidRPr="006672C6">
        <w:fldChar w:fldCharType="begin"/>
      </w:r>
      <w:r w:rsidR="00104BAD">
        <w:instrText xml:space="preserve"> ADDIN EN.CITE &lt;EndNote&gt;&lt;Cite&gt;&lt;Author&gt;UNDP-KSA&lt;/Author&gt;&lt;Year&gt;2010&lt;/Year&gt;&lt;RecNum&gt;221&lt;/RecNum&gt;&lt;DisplayText&gt;(UNDP-KSA 2010)&lt;/DisplayText&gt;&lt;record&gt;&lt;rec-number&gt;221&lt;/rec-number&gt;&lt;foreign-keys&gt;&lt;key app="EN" db-id="5a0wsfarrxszvze9rr65r5a3vr95ffwx90f9" timestamp="1404025861"&gt;221&lt;/key&gt;&lt;/foreign-keys&gt;&lt;ref-type name="Report"&gt;27&lt;/ref-type&gt;&lt;contributors&gt;&lt;authors&gt;&lt;author&gt;UNDP-KSA&lt;/author&gt;&lt;/authors&gt;&lt;/contributors&gt;&lt;titles&gt;&lt;title&gt;Outcome Evaluation of UNDP Support for National Strategies Reflecting Vision 2025 in Terms of Pro-poor and Sustainable Development policies, enhancing the Labour Sector and the Cost Effective Delivery of Public Services &lt;/title&gt;&lt;/titles&gt;&lt;dates&gt;&lt;year&gt;2010&lt;/year&gt;&lt;/dates&gt;&lt;pub-location&gt;Riyadh&lt;/pub-location&gt;&lt;publisher&gt;UNDP&lt;/publisher&gt;&lt;urls&gt;&lt;related-urls&gt;&lt;url&gt;http://erc.undp.org/evaluationadmin/manageevaluation/viewevaluationdetail.html?evalid=4051&lt;/url&gt;&lt;/related-urls&gt;&lt;/urls&gt;&lt;research-notes&gt;has 46 pp; remove from format&lt;/research-notes&gt;&lt;/record&gt;&lt;/Cite&gt;&lt;/EndNote&gt;</w:instrText>
      </w:r>
      <w:r w:rsidRPr="006672C6">
        <w:fldChar w:fldCharType="separate"/>
      </w:r>
      <w:r w:rsidRPr="006672C6">
        <w:rPr>
          <w:noProof/>
        </w:rPr>
        <w:t>(</w:t>
      </w:r>
      <w:hyperlink w:anchor="_ENREF_16" w:tooltip="UNDP-KSA, 2010 #221" w:history="1">
        <w:r w:rsidR="00EB16D2" w:rsidRPr="006672C6">
          <w:rPr>
            <w:noProof/>
          </w:rPr>
          <w:t>UNDP-KSA 2010</w:t>
        </w:r>
      </w:hyperlink>
      <w:r w:rsidRPr="006672C6">
        <w:rPr>
          <w:noProof/>
        </w:rPr>
        <w:t>)</w:t>
      </w:r>
      <w:r w:rsidRPr="006672C6">
        <w:fldChar w:fldCharType="end"/>
      </w:r>
      <w:r w:rsidRPr="006672C6">
        <w:t>.  At the same time, the government’s 9</w:t>
      </w:r>
      <w:r w:rsidRPr="006672C6">
        <w:rPr>
          <w:vertAlign w:val="superscript"/>
        </w:rPr>
        <w:t>th</w:t>
      </w:r>
      <w:r w:rsidRPr="006672C6">
        <w:t xml:space="preserve"> National Development Plan (NDP 2010-2014) makes social empowerment a top priority.  The 9</w:t>
      </w:r>
      <w:r w:rsidRPr="006672C6">
        <w:rPr>
          <w:vertAlign w:val="superscript"/>
        </w:rPr>
        <w:t>th</w:t>
      </w:r>
      <w:r w:rsidRPr="006672C6">
        <w:t xml:space="preserve"> NDP calls for “</w:t>
      </w:r>
      <w:r w:rsidRPr="006672C6">
        <w:rPr>
          <w:rFonts w:cs="Times New Roman"/>
        </w:rPr>
        <w:t>Supporting and developing participation of youth in development, and enabling them to contribute</w:t>
      </w:r>
      <w:r>
        <w:rPr>
          <w:rFonts w:cs="Times New Roman"/>
        </w:rPr>
        <w:t xml:space="preserve"> actively to social development,</w:t>
      </w:r>
      <w:r w:rsidRPr="006672C6">
        <w:rPr>
          <w:rFonts w:cs="Times New Roman"/>
        </w:rPr>
        <w:t>”</w:t>
      </w:r>
      <w:r w:rsidRPr="006672C6">
        <w:t xml:space="preserve"> </w:t>
      </w:r>
      <w:r>
        <w:t>as well as “developing and promoting the active participation of women in the Kingdom’s development”.</w:t>
      </w:r>
    </w:p>
    <w:p w14:paraId="082E8B5D" w14:textId="77777777" w:rsidR="00434FB3" w:rsidRDefault="005E22E3" w:rsidP="005E22E3">
      <w:pPr>
        <w:ind w:right="-306"/>
      </w:pPr>
      <w:r>
        <w:t xml:space="preserve">As the Document explains, </w:t>
      </w:r>
      <w:r w:rsidR="00434FB3">
        <w:t xml:space="preserve">the </w:t>
      </w:r>
      <w:r w:rsidR="008B4F24">
        <w:t xml:space="preserve">ability </w:t>
      </w:r>
      <w:r w:rsidR="008B4F24" w:rsidRPr="00017257">
        <w:t>to address education and</w:t>
      </w:r>
      <w:r w:rsidR="008B4F24">
        <w:t xml:space="preserve"> employment needs for its youth will</w:t>
      </w:r>
      <w:r w:rsidR="008B4F24" w:rsidRPr="00017257">
        <w:t xml:space="preserve"> define </w:t>
      </w:r>
      <w:r w:rsidR="008B4F24">
        <w:t xml:space="preserve">the sustainability of development in KSA. </w:t>
      </w:r>
      <w:r w:rsidR="00581BDA">
        <w:t>In this sense, the c</w:t>
      </w:r>
      <w:r w:rsidR="008B4F24">
        <w:t xml:space="preserve">ooperation </w:t>
      </w:r>
      <w:r w:rsidR="00581BDA">
        <w:t xml:space="preserve">efforts of UNDP </w:t>
      </w:r>
      <w:r w:rsidR="00434FB3">
        <w:t xml:space="preserve">in the </w:t>
      </w:r>
      <w:r>
        <w:t xml:space="preserve">Country Programme </w:t>
      </w:r>
      <w:r w:rsidR="007C4B40">
        <w:t>will</w:t>
      </w:r>
      <w:r w:rsidR="00434FB3">
        <w:t xml:space="preserve"> focus</w:t>
      </w:r>
      <w:r w:rsidR="007C4B40">
        <w:t>, among other things,</w:t>
      </w:r>
      <w:r w:rsidR="008B4F24">
        <w:t xml:space="preserve"> on capacities to design and implement </w:t>
      </w:r>
      <w:r w:rsidR="00434FB3">
        <w:t xml:space="preserve">the </w:t>
      </w:r>
      <w:r w:rsidR="008B4F24">
        <w:t>first-ever National Youth Strategy</w:t>
      </w:r>
      <w:r w:rsidR="007C4B40">
        <w:t xml:space="preserve"> (NY</w:t>
      </w:r>
      <w:r w:rsidR="00581BDA">
        <w:t xml:space="preserve">S).  The </w:t>
      </w:r>
      <w:r w:rsidR="007C4B40">
        <w:t>NYS</w:t>
      </w:r>
      <w:r w:rsidR="00581BDA">
        <w:t xml:space="preserve"> </w:t>
      </w:r>
      <w:r w:rsidR="00434FB3">
        <w:t xml:space="preserve">will deal with “the design of </w:t>
      </w:r>
      <w:r w:rsidR="008B4F24" w:rsidRPr="00017257">
        <w:t xml:space="preserve">effective </w:t>
      </w:r>
      <w:r w:rsidR="00434FB3">
        <w:t>labour</w:t>
      </w:r>
      <w:r w:rsidR="008B4F24">
        <w:t xml:space="preserve"> policies, </w:t>
      </w:r>
      <w:r w:rsidR="008B4F24" w:rsidRPr="00434FB3">
        <w:rPr>
          <w:color w:val="000000"/>
        </w:rPr>
        <w:t xml:space="preserve">public-private partnerships, </w:t>
      </w:r>
      <w:r w:rsidR="008B4F24" w:rsidRPr="00017257">
        <w:t>education system</w:t>
      </w:r>
      <w:r w:rsidR="008B4F24">
        <w:t>s</w:t>
      </w:r>
      <w:r w:rsidR="008B4F24" w:rsidRPr="00017257">
        <w:t xml:space="preserve"> </w:t>
      </w:r>
      <w:r w:rsidR="008B4F24">
        <w:t xml:space="preserve">and </w:t>
      </w:r>
      <w:r w:rsidR="008B4F24" w:rsidRPr="00434FB3">
        <w:rPr>
          <w:color w:val="000000"/>
        </w:rPr>
        <w:t>new universities specialized</w:t>
      </w:r>
      <w:r w:rsidR="00434FB3">
        <w:rPr>
          <w:color w:val="000000"/>
        </w:rPr>
        <w:t xml:space="preserve"> i</w:t>
      </w:r>
      <w:r w:rsidR="008B4F24" w:rsidRPr="00434FB3">
        <w:rPr>
          <w:color w:val="000000"/>
        </w:rPr>
        <w:t>n domains aligned with global trends.</w:t>
      </w:r>
      <w:r w:rsidR="00434FB3">
        <w:rPr>
          <w:color w:val="000000"/>
        </w:rPr>
        <w:t xml:space="preserve">”  This part of the programme will make </w:t>
      </w:r>
      <w:r w:rsidR="008B4F24" w:rsidRPr="00434FB3">
        <w:rPr>
          <w:color w:val="000000"/>
        </w:rPr>
        <w:t xml:space="preserve">use of global partnerships to share best practices. </w:t>
      </w:r>
      <w:r w:rsidR="00434FB3">
        <w:rPr>
          <w:color w:val="000000"/>
        </w:rPr>
        <w:t xml:space="preserve">The </w:t>
      </w:r>
      <w:r w:rsidR="007C4B40">
        <w:rPr>
          <w:color w:val="000000"/>
        </w:rPr>
        <w:t>CPD</w:t>
      </w:r>
      <w:r w:rsidR="00434FB3">
        <w:rPr>
          <w:color w:val="000000"/>
        </w:rPr>
        <w:t xml:space="preserve"> notes the importance of </w:t>
      </w:r>
      <w:r w:rsidR="007C4B40">
        <w:rPr>
          <w:color w:val="000000"/>
        </w:rPr>
        <w:t>broadening</w:t>
      </w:r>
      <w:r w:rsidR="00434FB3">
        <w:rPr>
          <w:color w:val="000000"/>
        </w:rPr>
        <w:t xml:space="preserve"> </w:t>
      </w:r>
      <w:r w:rsidR="008B4F24" w:rsidRPr="00434FB3">
        <w:rPr>
          <w:color w:val="000000"/>
        </w:rPr>
        <w:t xml:space="preserve">access to effective education opportunities </w:t>
      </w:r>
      <w:r w:rsidR="007C4B40">
        <w:rPr>
          <w:color w:val="000000"/>
        </w:rPr>
        <w:t>to meet the</w:t>
      </w:r>
      <w:r w:rsidR="008B4F24" w:rsidRPr="00434FB3">
        <w:rPr>
          <w:color w:val="000000"/>
        </w:rPr>
        <w:t xml:space="preserve"> expanding role of youth in economic life</w:t>
      </w:r>
      <w:r w:rsidR="00434FB3">
        <w:rPr>
          <w:color w:val="000000"/>
        </w:rPr>
        <w:t xml:space="preserve">, and calls for an emphasis on </w:t>
      </w:r>
      <w:r w:rsidR="008B4F24" w:rsidRPr="00434FB3">
        <w:rPr>
          <w:color w:val="000000"/>
        </w:rPr>
        <w:t>capacity development for economic and social development</w:t>
      </w:r>
      <w:r w:rsidR="00434FB3">
        <w:rPr>
          <w:color w:val="000000"/>
        </w:rPr>
        <w:t>, as well as</w:t>
      </w:r>
      <w:r w:rsidR="008B4F24" w:rsidRPr="00434FB3">
        <w:rPr>
          <w:color w:val="000000"/>
        </w:rPr>
        <w:t xml:space="preserve"> strengthening the role of </w:t>
      </w:r>
      <w:r w:rsidR="00434FB3">
        <w:rPr>
          <w:color w:val="000000"/>
        </w:rPr>
        <w:t xml:space="preserve">the </w:t>
      </w:r>
      <w:r w:rsidR="008B4F24" w:rsidRPr="00434FB3">
        <w:rPr>
          <w:color w:val="000000"/>
        </w:rPr>
        <w:t>private sector in development</w:t>
      </w:r>
      <w:r w:rsidR="007C4B40">
        <w:rPr>
          <w:color w:val="000000"/>
        </w:rPr>
        <w:t>;</w:t>
      </w:r>
      <w:r w:rsidR="008B4F24" w:rsidRPr="00434FB3">
        <w:rPr>
          <w:color w:val="000000"/>
        </w:rPr>
        <w:t xml:space="preserve"> </w:t>
      </w:r>
      <w:r w:rsidR="007C4B40">
        <w:rPr>
          <w:color w:val="000000"/>
        </w:rPr>
        <w:t xml:space="preserve">further opening to </w:t>
      </w:r>
      <w:r w:rsidR="008B4F24" w:rsidRPr="00434FB3">
        <w:rPr>
          <w:color w:val="000000"/>
        </w:rPr>
        <w:t>public-private partnerships in the education systems</w:t>
      </w:r>
      <w:r w:rsidR="007C4B40">
        <w:rPr>
          <w:color w:val="000000"/>
        </w:rPr>
        <w:t>;</w:t>
      </w:r>
      <w:r w:rsidR="008B4F24" w:rsidRPr="00434FB3">
        <w:rPr>
          <w:color w:val="000000"/>
        </w:rPr>
        <w:t xml:space="preserve"> and expanding </w:t>
      </w:r>
      <w:r w:rsidR="00434FB3">
        <w:rPr>
          <w:color w:val="000000"/>
        </w:rPr>
        <w:t xml:space="preserve">the </w:t>
      </w:r>
      <w:r w:rsidR="008B4F24" w:rsidRPr="00434FB3">
        <w:rPr>
          <w:color w:val="000000"/>
        </w:rPr>
        <w:t xml:space="preserve">role of women in employment. Support will also be explored in areas of social protection such as measures to combat abuse against women and related issues, as well as increasing participation in decision-making such as </w:t>
      </w:r>
      <w:r w:rsidR="008B4F24" w:rsidRPr="00D567C7">
        <w:t>municipal elections</w:t>
      </w:r>
      <w:r w:rsidR="00434FB3">
        <w:t xml:space="preserve"> (UNDP 2012, p. 3)</w:t>
      </w:r>
      <w:r w:rsidR="008B4F24">
        <w:t xml:space="preserve">. </w:t>
      </w:r>
    </w:p>
    <w:p w14:paraId="7CA525DB" w14:textId="77777777" w:rsidR="008B4F24" w:rsidRPr="00434FB3" w:rsidRDefault="00434FB3" w:rsidP="001B660D">
      <w:pPr>
        <w:ind w:right="-23"/>
        <w:rPr>
          <w:bCs/>
          <w:iCs/>
        </w:rPr>
      </w:pPr>
      <w:r>
        <w:t xml:space="preserve">Further, explaining planned assistance to developing </w:t>
      </w:r>
      <w:r w:rsidRPr="00434FB3">
        <w:t xml:space="preserve">the </w:t>
      </w:r>
      <w:r w:rsidRPr="00434FB3">
        <w:rPr>
          <w:bCs/>
        </w:rPr>
        <w:t xml:space="preserve">capacities of </w:t>
      </w:r>
      <w:r>
        <w:rPr>
          <w:bCs/>
        </w:rPr>
        <w:t>charitable</w:t>
      </w:r>
      <w:r w:rsidRPr="00434FB3">
        <w:rPr>
          <w:bCs/>
        </w:rPr>
        <w:t xml:space="preserve"> societies and social institutions </w:t>
      </w:r>
      <w:r>
        <w:rPr>
          <w:bCs/>
        </w:rPr>
        <w:t>assisting</w:t>
      </w:r>
      <w:r w:rsidRPr="00434FB3">
        <w:rPr>
          <w:bCs/>
        </w:rPr>
        <w:t xml:space="preserve"> the poor and persons </w:t>
      </w:r>
      <w:r>
        <w:rPr>
          <w:bCs/>
        </w:rPr>
        <w:t>with</w:t>
      </w:r>
      <w:r w:rsidRPr="00434FB3">
        <w:rPr>
          <w:bCs/>
        </w:rPr>
        <w:t xml:space="preserve"> special needs</w:t>
      </w:r>
      <w:r>
        <w:rPr>
          <w:bCs/>
        </w:rPr>
        <w:t xml:space="preserve">, </w:t>
      </w:r>
      <w:r w:rsidR="007C4B40">
        <w:rPr>
          <w:bCs/>
        </w:rPr>
        <w:t>the CPD</w:t>
      </w:r>
      <w:r>
        <w:rPr>
          <w:bCs/>
        </w:rPr>
        <w:t xml:space="preserve"> notes</w:t>
      </w:r>
      <w:r w:rsidRPr="00434FB3">
        <w:t>:</w:t>
      </w:r>
      <w:r>
        <w:t xml:space="preserve"> </w:t>
      </w:r>
      <w:r w:rsidRPr="00434FB3">
        <w:rPr>
          <w:bCs/>
          <w:i/>
          <w:iCs/>
        </w:rPr>
        <w:t xml:space="preserve"> </w:t>
      </w:r>
      <w:r>
        <w:rPr>
          <w:bCs/>
          <w:i/>
          <w:iCs/>
        </w:rPr>
        <w:t>“</w:t>
      </w:r>
      <w:r w:rsidR="008B4F24">
        <w:t>There are vulnerable groups in KSA who face issues of exclusion and difficulties in accessing social services and protections including income poor, disabled citizens, resident workers and the elderly. Support will be explored for systemic and institutional capacities to address issues of human security for empowerment of vulnerable communities and to support povert</w:t>
      </w:r>
      <w:r>
        <w:t>y reduction activities in least-</w:t>
      </w:r>
      <w:r w:rsidR="008B4F24">
        <w:t>developed countries through global partnerships.</w:t>
      </w:r>
      <w:r w:rsidR="007C4B40">
        <w:t xml:space="preserve">” </w:t>
      </w:r>
      <w:r>
        <w:t xml:space="preserve"> It states that s</w:t>
      </w:r>
      <w:r w:rsidR="008B4F24">
        <w:t xml:space="preserve">upport will be </w:t>
      </w:r>
      <w:r w:rsidR="007C4B40">
        <w:t>considered</w:t>
      </w:r>
      <w:r w:rsidR="008B4F24">
        <w:t xml:space="preserve"> to develop</w:t>
      </w:r>
      <w:r>
        <w:t xml:space="preserve"> the institutional capacities of public institutions in specific areas of concern such as youth development, including capacity development for </w:t>
      </w:r>
      <w:r>
        <w:rPr>
          <w:bCs/>
        </w:rPr>
        <w:t xml:space="preserve">charitable </w:t>
      </w:r>
      <w:r>
        <w:t>and social societies in alignment with government frameworks (UNDP 2012, p. 3).</w:t>
      </w:r>
    </w:p>
    <w:p w14:paraId="66AA2FCD" w14:textId="77777777" w:rsidR="000E5662" w:rsidRDefault="002C443A" w:rsidP="00E878BB">
      <w:pPr>
        <w:pStyle w:val="Heading1"/>
        <w:numPr>
          <w:ilvl w:val="0"/>
          <w:numId w:val="31"/>
        </w:numPr>
      </w:pPr>
      <w:bookmarkStart w:id="13" w:name="_Toc399078745"/>
      <w:r>
        <w:t>Status</w:t>
      </w:r>
      <w:r w:rsidR="005D21BF">
        <w:t xml:space="preserve"> of the Outcome</w:t>
      </w:r>
      <w:bookmarkEnd w:id="13"/>
      <w:r w:rsidR="005D21BF">
        <w:t xml:space="preserve"> </w:t>
      </w:r>
    </w:p>
    <w:p w14:paraId="29F8C562" w14:textId="77777777" w:rsidR="00025089" w:rsidRDefault="00025089" w:rsidP="00025089">
      <w:pPr>
        <w:ind w:right="-306"/>
      </w:pPr>
      <w:r>
        <w:rPr>
          <w:color w:val="000000"/>
        </w:rPr>
        <w:t xml:space="preserve">The present report is concerned with Outcome 1:  </w:t>
      </w:r>
      <w:r w:rsidRPr="008B4F24">
        <w:rPr>
          <w:bCs/>
          <w:iCs/>
        </w:rPr>
        <w:t>Social Empowerment and Institutional Strengthening with Emphasis on Youth</w:t>
      </w:r>
      <w:r>
        <w:rPr>
          <w:bCs/>
          <w:iCs/>
        </w:rPr>
        <w:t xml:space="preserve">.  This Outcome is explained in the document (CPD) in two parts, </w:t>
      </w:r>
      <w:r w:rsidRPr="00434FB3">
        <w:rPr>
          <w:bCs/>
          <w:i/>
          <w:iCs/>
        </w:rPr>
        <w:t>viz</w:t>
      </w:r>
      <w:r>
        <w:rPr>
          <w:bCs/>
          <w:iCs/>
        </w:rPr>
        <w:t xml:space="preserve">:  (i) the </w:t>
      </w:r>
      <w:r w:rsidRPr="00434FB3">
        <w:rPr>
          <w:bCs/>
          <w:iCs/>
        </w:rPr>
        <w:t xml:space="preserve">development of manpower and youth, and (ii) </w:t>
      </w:r>
      <w:r w:rsidRPr="00434FB3">
        <w:rPr>
          <w:bCs/>
        </w:rPr>
        <w:t>deve</w:t>
      </w:r>
      <w:r>
        <w:rPr>
          <w:bCs/>
        </w:rPr>
        <w:t>loping the capacities of charitable</w:t>
      </w:r>
      <w:r w:rsidRPr="00434FB3">
        <w:rPr>
          <w:bCs/>
        </w:rPr>
        <w:t xml:space="preserve"> societies and social institutions concerned with issues of the poor and persons </w:t>
      </w:r>
      <w:r>
        <w:rPr>
          <w:bCs/>
        </w:rPr>
        <w:t>with</w:t>
      </w:r>
      <w:r w:rsidRPr="00434FB3">
        <w:rPr>
          <w:bCs/>
        </w:rPr>
        <w:t xml:space="preserve"> special needs</w:t>
      </w:r>
      <w:r>
        <w:t xml:space="preserve"> </w:t>
      </w:r>
      <w:r>
        <w:fldChar w:fldCharType="begin"/>
      </w:r>
      <w:r>
        <w:instrText xml:space="preserve"> ADDIN EN.CITE &lt;EndNote&gt;&lt;Cite&gt;&lt;Author&gt;UNDP&lt;/Author&gt;&lt;Year&gt;2012&lt;/Year&gt;&lt;RecNum&gt;236&lt;/RecNum&gt;&lt;DisplayText&gt;(UNDP 2012)&lt;/DisplayText&gt;&lt;record&gt;&lt;rec-number&gt;236&lt;/rec-number&gt;&lt;foreign-keys&gt;&lt;key app="EN" db-id="5a0wsfarrxszvze9rr65r5a3vr95ffwx90f9" timestamp="1404923935"&gt;236&lt;/key&gt;&lt;/foreign-keys&gt;&lt;ref-type name="Report"&gt;27&lt;/ref-type&gt;&lt;contributors&gt;&lt;authors&gt;&lt;author&gt;UNDP &lt;/author&gt;&lt;/authors&gt;&lt;/contributors&gt;&lt;titles&gt;&lt;title&gt;Country programme: Saudi Arabia (2012-16)&lt;/title&gt;&lt;/titles&gt;&lt;dates&gt;&lt;year&gt;2012&lt;/year&gt;&lt;pub-dates&gt;&lt;date&gt;January 2012&lt;/date&gt;&lt;/pub-dates&gt;&lt;/dates&gt;&lt;pub-location&gt;New York&lt;/pub-location&gt;&lt;publisher&gt;United Nations Development Programme&lt;/publisher&gt;&lt;urls&gt;&lt;related-urls&gt;&lt;url&gt;http://www.undp.org.sa/sa/documents/home/newsletter22011.pdf&lt;/url&gt;&lt;/related-urls&gt;&lt;/urls&gt;&lt;/record&gt;&lt;/Cite&gt;&lt;/EndNote&gt;</w:instrText>
      </w:r>
      <w:r>
        <w:fldChar w:fldCharType="separate"/>
      </w:r>
      <w:r>
        <w:rPr>
          <w:noProof/>
        </w:rPr>
        <w:t>(</w:t>
      </w:r>
      <w:hyperlink w:anchor="_ENREF_19" w:tooltip="UNDP, 2012 #236" w:history="1">
        <w:r w:rsidR="00EB16D2">
          <w:rPr>
            <w:noProof/>
          </w:rPr>
          <w:t>UNDP 2012</w:t>
        </w:r>
      </w:hyperlink>
      <w:r>
        <w:rPr>
          <w:noProof/>
        </w:rPr>
        <w:t>)</w:t>
      </w:r>
      <w:r>
        <w:fldChar w:fldCharType="end"/>
      </w:r>
      <w:r>
        <w:t>.</w:t>
      </w:r>
    </w:p>
    <w:p w14:paraId="47B90862" w14:textId="77777777" w:rsidR="00D57EF8" w:rsidRDefault="00625759" w:rsidP="00625759">
      <w:pPr>
        <w:ind w:right="-23"/>
      </w:pPr>
      <w:r w:rsidRPr="000E5662">
        <w:t xml:space="preserve">In this report, and in line with the Terms of Reference </w:t>
      </w:r>
      <w:r>
        <w:t>for</w:t>
      </w:r>
      <w:r w:rsidRPr="000E5662">
        <w:t xml:space="preserve"> the Outcome</w:t>
      </w:r>
      <w:r>
        <w:t xml:space="preserve"> Evaluation (</w:t>
      </w:r>
      <w:r w:rsidR="008B703A">
        <w:t xml:space="preserve">appended as Annex </w:t>
      </w:r>
      <w:r w:rsidR="008B703A" w:rsidRPr="00D57EF8">
        <w:t>2</w:t>
      </w:r>
      <w:r>
        <w:t xml:space="preserve">), four projects </w:t>
      </w:r>
      <w:r w:rsidR="008B703A">
        <w:t xml:space="preserve">under the CPD </w:t>
      </w:r>
      <w:r>
        <w:t xml:space="preserve">were examined </w:t>
      </w:r>
      <w:r w:rsidR="008B703A">
        <w:t xml:space="preserve">to monitor achievements as of 2014 against the benchmarks set for the mid and end term as stated in the CPD for 2012-2016, and </w:t>
      </w:r>
      <w:r>
        <w:t>to help gauge UNDP’s contributions to</w:t>
      </w:r>
      <w:r w:rsidR="00D57EF8">
        <w:t xml:space="preserve"> the status of this Outcome.</w:t>
      </w:r>
    </w:p>
    <w:p w14:paraId="208371E4" w14:textId="77777777" w:rsidR="00025089" w:rsidRDefault="00025089" w:rsidP="00625759">
      <w:pPr>
        <w:ind w:right="-23"/>
      </w:pPr>
      <w:r>
        <w:t>This assessment begins with an overview of the indicators for youth, education and employment, and the situation of women, reviewing the baseline and changes taking place.  Two years represent a brief period, indicator reporting lags, and the overview extends to a slightly longer period for which data are available.</w:t>
      </w:r>
    </w:p>
    <w:p w14:paraId="6DB50CF2" w14:textId="77777777" w:rsidR="002C443A" w:rsidRDefault="002C443A" w:rsidP="00E878BB">
      <w:pPr>
        <w:pStyle w:val="Heading2"/>
        <w:numPr>
          <w:ilvl w:val="1"/>
          <w:numId w:val="31"/>
        </w:numPr>
      </w:pPr>
      <w:bookmarkStart w:id="14" w:name="_Toc399078746"/>
      <w:r>
        <w:t>The demographic setting – youthful population</w:t>
      </w:r>
      <w:bookmarkEnd w:id="14"/>
      <w:r>
        <w:t xml:space="preserve"> </w:t>
      </w:r>
    </w:p>
    <w:p w14:paraId="55BE86F1" w14:textId="77777777" w:rsidR="00880653" w:rsidRDefault="00B92243" w:rsidP="002009FA">
      <w:pPr>
        <w:ind w:right="119"/>
      </w:pPr>
      <w:r>
        <w:t>At the start of</w:t>
      </w:r>
      <w:r w:rsidR="0073515B">
        <w:t xml:space="preserve"> the </w:t>
      </w:r>
      <w:r w:rsidR="00D06612">
        <w:t>period</w:t>
      </w:r>
      <w:r w:rsidR="0073515B">
        <w:t xml:space="preserve"> </w:t>
      </w:r>
      <w:r w:rsidR="0037591D">
        <w:t>examined under</w:t>
      </w:r>
      <w:r w:rsidR="0073515B">
        <w:t xml:space="preserve"> the present Outcome Evaluation, </w:t>
      </w:r>
      <w:r w:rsidR="00D06612">
        <w:t xml:space="preserve">the </w:t>
      </w:r>
      <w:r w:rsidR="005622A0">
        <w:t xml:space="preserve">population </w:t>
      </w:r>
      <w:r w:rsidR="00025089">
        <w:t xml:space="preserve">profile </w:t>
      </w:r>
      <w:r w:rsidR="005622A0">
        <w:t xml:space="preserve">of the </w:t>
      </w:r>
      <w:r w:rsidR="00D06612">
        <w:t xml:space="preserve">Kingdom of Saudi Arabia </w:t>
      </w:r>
      <w:r w:rsidR="00025089">
        <w:t>showed</w:t>
      </w:r>
      <w:r w:rsidR="005622A0">
        <w:t xml:space="preserve"> high proportions of young people</w:t>
      </w:r>
      <w:r w:rsidR="00D06612">
        <w:t xml:space="preserve">.  The demographics of the population of KSA </w:t>
      </w:r>
      <w:r w:rsidR="006C7962">
        <w:t>bear</w:t>
      </w:r>
      <w:r w:rsidR="00D06612">
        <w:t xml:space="preserve"> similarities </w:t>
      </w:r>
      <w:r w:rsidR="00D57EF8">
        <w:t>with</w:t>
      </w:r>
      <w:r w:rsidR="00D06612">
        <w:t xml:space="preserve"> other populations in the region, while at the same time displaying characteristics specific to the Kingdom and less evident in other countries.</w:t>
      </w:r>
      <w:r w:rsidR="00367992">
        <w:t xml:space="preserve"> </w:t>
      </w:r>
    </w:p>
    <w:p w14:paraId="094B9C1A" w14:textId="77777777" w:rsidR="002009FA" w:rsidRPr="002009FA" w:rsidRDefault="002009FA" w:rsidP="002009FA">
      <w:pPr>
        <w:ind w:right="119"/>
      </w:pPr>
      <w:r>
        <w:t xml:space="preserve">Throughout the Middle East demographics have pointed the way to an on-going focus on youth.  </w:t>
      </w:r>
      <w:r w:rsidR="00060FEB">
        <w:t>The Middle East</w:t>
      </w:r>
      <w:r w:rsidRPr="002009FA">
        <w:t xml:space="preserve"> is experiencing an unprecedented "youth bulge."   With over 30 percent of its population between the ages of 15 and 29, rep</w:t>
      </w:r>
      <w:r w:rsidR="00D57EF8">
        <w:t>resenting over 100 million young people</w:t>
      </w:r>
      <w:r w:rsidRPr="002009FA">
        <w:t>, this is the highest proportion of youth to adults in the region’s history.</w:t>
      </w:r>
    </w:p>
    <w:p w14:paraId="34B04F0A" w14:textId="77777777" w:rsidR="00D06612" w:rsidRDefault="00D57EF8" w:rsidP="002009FA">
      <w:pPr>
        <w:ind w:right="119"/>
      </w:pPr>
      <w:r>
        <w:t xml:space="preserve">The figure below illustrates the size and pattern of the youth bulge for Saudi Arabia, one of nine countries compared in a study published in 2011.  </w:t>
      </w:r>
      <w:r w:rsidR="00D06612">
        <w:t xml:space="preserve">Figure 3.1 </w:t>
      </w:r>
      <w:r>
        <w:t>is</w:t>
      </w:r>
      <w:r w:rsidR="00D06612">
        <w:t xml:space="preserve"> a population profile of Saudi Arabia.  The resident population of the Kingdom, 26.2 million at the </w:t>
      </w:r>
      <w:r>
        <w:t>date</w:t>
      </w:r>
      <w:r w:rsidR="00D06612">
        <w:t xml:space="preserve"> of publication, is shown by percent of the total population, in 5-year age groups, with males indicated on the left-hand-side of the pyramid and females on the right-hand side </w:t>
      </w:r>
      <w:r w:rsidR="00D06612">
        <w:fldChar w:fldCharType="begin"/>
      </w:r>
      <w:r w:rsidR="007B27A5">
        <w:instrText xml:space="preserve"> ADDIN EN.CITE &lt;EndNote&gt;&lt;Cite&gt;&lt;Author&gt;Assaad&lt;/Author&gt;&lt;Year&gt;2011&lt;/Year&gt;&lt;RecNum&gt;217&lt;/RecNum&gt;&lt;DisplayText&gt;(Assaad et al 2011)&lt;/DisplayText&gt;&lt;record&gt;&lt;rec-number&gt;217&lt;/rec-number&gt;&lt;foreign-keys&gt;&lt;key app="EN" db-id="5a0wsfarrxszvze9rr65r5a3vr95ffwx90f9" timestamp="1403964649"&gt;217&lt;/key&gt;&lt;/foreign-keys&gt;&lt;ref-type name="Report"&gt;27&lt;/ref-type&gt;&lt;contributors&gt;&lt;authors&gt;&lt;author&gt;Ragui Assaad&lt;/author&gt;&lt;author&gt;Alicia Parlapiano&lt;/author&gt;&lt;author&gt;Laura Stanton&lt;/author&gt;&lt;/authors&gt;&lt;/contributors&gt;&lt;titles&gt;&lt;title&gt;Youth movement&lt;/title&gt;&lt;/titles&gt;&lt;dates&gt;&lt;year&gt;2011&lt;/year&gt;&lt;/dates&gt;&lt;pub-location&gt;Washington DC&lt;/pub-location&gt;&lt;publisher&gt;The Washington Post&lt;/publisher&gt;&lt;urls&gt;&lt;related-urls&gt;&lt;url&gt;http://www.washingtonpost.com/wp-srv/special/world/middle-east-youth-population/&lt;/url&gt;&lt;/related-urls&gt;&lt;/urls&gt;&lt;research-notes&gt;SOURCES: Ragui Assaad, University of Minnesota; Population Reference Bureau; U.S. Census Bureau, Population Division; NATO Parliamentary Assembly. GRAPHIC: Alicia Parlapiano and Laura Stanton/The Washington Post - February 15, 2011.&lt;/research-notes&gt;&lt;/record&gt;&lt;/Cite&gt;&lt;/EndNote&gt;</w:instrText>
      </w:r>
      <w:r w:rsidR="00D06612">
        <w:fldChar w:fldCharType="separate"/>
      </w:r>
      <w:r w:rsidR="007B27A5">
        <w:rPr>
          <w:noProof/>
        </w:rPr>
        <w:t>(</w:t>
      </w:r>
      <w:hyperlink w:anchor="_ENREF_3" w:tooltip="Assaad, 2011 #217" w:history="1">
        <w:r w:rsidR="00EB16D2">
          <w:rPr>
            <w:noProof/>
          </w:rPr>
          <w:t>Assaad et al 2011</w:t>
        </w:r>
      </w:hyperlink>
      <w:r w:rsidR="007B27A5">
        <w:rPr>
          <w:noProof/>
        </w:rPr>
        <w:t>)</w:t>
      </w:r>
      <w:r w:rsidR="00D06612">
        <w:fldChar w:fldCharType="end"/>
      </w:r>
      <w:r w:rsidR="00E878BB">
        <w:t>.</w:t>
      </w:r>
      <w:r w:rsidR="00E878BB">
        <w:rPr>
          <w:rStyle w:val="FootnoteReference"/>
        </w:rPr>
        <w:footnoteReference w:id="2"/>
      </w:r>
      <w:r w:rsidR="00E878BB">
        <w:t xml:space="preserve"> </w:t>
      </w:r>
    </w:p>
    <w:p w14:paraId="6AD4F1F2" w14:textId="77777777" w:rsidR="00E83AF2" w:rsidRDefault="00E83AF2" w:rsidP="00E83AF2">
      <w:pPr>
        <w:pStyle w:val="Caption"/>
      </w:pPr>
      <w:bookmarkStart w:id="15" w:name="_Toc393874244"/>
      <w:r>
        <w:t xml:space="preserve">Figure </w:t>
      </w:r>
      <w:r w:rsidR="00D06612">
        <w:t>3.</w:t>
      </w:r>
      <w:r w:rsidR="00706CFB">
        <w:fldChar w:fldCharType="begin"/>
      </w:r>
      <w:r w:rsidR="00706CFB">
        <w:instrText xml:space="preserve"> SEQ Figure \* ARABIC </w:instrText>
      </w:r>
      <w:r w:rsidR="00706CFB">
        <w:fldChar w:fldCharType="separate"/>
      </w:r>
      <w:r w:rsidR="00706CFB">
        <w:rPr>
          <w:noProof/>
        </w:rPr>
        <w:t>1</w:t>
      </w:r>
      <w:r w:rsidR="00706CFB">
        <w:fldChar w:fldCharType="end"/>
      </w:r>
      <w:r>
        <w:t xml:space="preserve">  </w:t>
      </w:r>
      <w:r w:rsidRPr="00385D98">
        <w:t xml:space="preserve">Saudi Arabia </w:t>
      </w:r>
      <w:r w:rsidR="005D21BF">
        <w:t>population profile, age-sex distribution</w:t>
      </w:r>
      <w:bookmarkEnd w:id="15"/>
    </w:p>
    <w:p w14:paraId="0652BD6A" w14:textId="77777777" w:rsidR="005D21BF" w:rsidRPr="005D21BF" w:rsidRDefault="00D06612" w:rsidP="005D21BF">
      <w:r w:rsidRPr="00D06612">
        <w:rPr>
          <w:noProof/>
          <w:lang w:val="en-US"/>
        </w:rPr>
        <w:drawing>
          <wp:inline distT="0" distB="0" distL="0" distR="0" wp14:anchorId="70E49246" wp14:editId="0BCC7641">
            <wp:extent cx="5617845" cy="3035935"/>
            <wp:effectExtent l="0" t="0" r="1905" b="0"/>
            <wp:docPr id="18" name="Picture 18" descr="C:\Users\Patricia\Documents\Countries\Saudi Arabia\Photos\popsaudiara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Documents\Countries\Saudi Arabia\Photos\popsaudiarab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7845" cy="3035935"/>
                    </a:xfrm>
                    <a:prstGeom prst="rect">
                      <a:avLst/>
                    </a:prstGeom>
                    <a:noFill/>
                    <a:ln>
                      <a:noFill/>
                    </a:ln>
                  </pic:spPr>
                </pic:pic>
              </a:graphicData>
            </a:graphic>
          </wp:inline>
        </w:drawing>
      </w:r>
    </w:p>
    <w:p w14:paraId="2F393F96" w14:textId="77777777" w:rsidR="00D06612" w:rsidRDefault="00D06612" w:rsidP="00EB274C"/>
    <w:p w14:paraId="42491A2F" w14:textId="77777777" w:rsidR="003F3931" w:rsidRPr="003F3931" w:rsidRDefault="005622A0" w:rsidP="003F3931">
      <w:pPr>
        <w:ind w:right="-23"/>
      </w:pPr>
      <w:r>
        <w:t xml:space="preserve">The population shown in the graph is </w:t>
      </w:r>
      <w:r w:rsidR="007A5B0C">
        <w:t>of the “</w:t>
      </w:r>
      <w:r w:rsidR="007A5B0C" w:rsidRPr="007A5B0C">
        <w:t>expansive</w:t>
      </w:r>
      <w:r w:rsidR="007A5B0C">
        <w:t>” type</w:t>
      </w:r>
      <w:r w:rsidR="007A5B0C" w:rsidRPr="007A5B0C">
        <w:t xml:space="preserve">:  </w:t>
      </w:r>
      <w:r w:rsidR="007A5B0C">
        <w:t>the classic triangular shape with a</w:t>
      </w:r>
      <w:r w:rsidR="007A5B0C" w:rsidRPr="007A5B0C">
        <w:t xml:space="preserve"> wide base indicates </w:t>
      </w:r>
      <w:r w:rsidR="007A5B0C">
        <w:t xml:space="preserve">a </w:t>
      </w:r>
      <w:r w:rsidR="007A5B0C" w:rsidRPr="007A5B0C">
        <w:t xml:space="preserve">high birth rate; </w:t>
      </w:r>
      <w:r w:rsidR="007A5B0C">
        <w:t xml:space="preserve">the </w:t>
      </w:r>
      <w:r w:rsidR="007A5B0C" w:rsidRPr="007A5B0C">
        <w:t xml:space="preserve">narrow top indicates </w:t>
      </w:r>
      <w:r w:rsidR="007A5B0C">
        <w:t xml:space="preserve">a </w:t>
      </w:r>
      <w:r w:rsidR="007A5B0C" w:rsidRPr="007A5B0C">
        <w:t>high death rate.</w:t>
      </w:r>
      <w:r w:rsidR="004E13B4">
        <w:t xml:space="preserve">  </w:t>
      </w:r>
      <w:r w:rsidR="003F3931">
        <w:t>More than half the population are under 25; in 2013 (the most current year for which data are available), 20 percent of the population were between 15 and 24 years of age.  Those age 15-29 are discussed more specifically below.</w:t>
      </w:r>
    </w:p>
    <w:p w14:paraId="097E5BDD" w14:textId="77777777" w:rsidR="004E13B4" w:rsidRPr="004E13B4" w:rsidRDefault="004E13B4" w:rsidP="003F3931">
      <w:pPr>
        <w:ind w:right="-23"/>
      </w:pPr>
      <w:r>
        <w:t>As countries develop better health services and experience higher life expectancy, the population period takes on a “</w:t>
      </w:r>
      <w:r w:rsidRPr="004E13B4">
        <w:t>stationary</w:t>
      </w:r>
      <w:r>
        <w:t>” form</w:t>
      </w:r>
      <w:r w:rsidRPr="004E13B4">
        <w:t xml:space="preserve">:  </w:t>
      </w:r>
      <w:r>
        <w:t>a half-</w:t>
      </w:r>
      <w:r w:rsidRPr="004E13B4">
        <w:t>ellipse shape</w:t>
      </w:r>
      <w:r>
        <w:t xml:space="preserve"> having a</w:t>
      </w:r>
      <w:r w:rsidRPr="004E13B4">
        <w:t xml:space="preserve"> base </w:t>
      </w:r>
      <w:r>
        <w:t xml:space="preserve">of </w:t>
      </w:r>
      <w:r w:rsidRPr="004E13B4">
        <w:t xml:space="preserve">similar width to </w:t>
      </w:r>
      <w:r>
        <w:t>that of the reproductive-</w:t>
      </w:r>
      <w:r w:rsidRPr="004E13B4">
        <w:t xml:space="preserve"> age </w:t>
      </w:r>
      <w:r>
        <w:t>population.  This shape is characteristic of countries with a high standard of living.</w:t>
      </w:r>
      <w:r w:rsidR="0069117F" w:rsidRPr="0069117F">
        <w:t xml:space="preserve"> </w:t>
      </w:r>
      <w:r w:rsidR="0069117F">
        <w:t xml:space="preserve"> In the past decade in Saudi Arabia the birth rate has declined with greater urbanization and higher incomes.  The cohorts under 15 years of age repre</w:t>
      </w:r>
      <w:r w:rsidR="00252C78">
        <w:t>sent a smaller share than their</w:t>
      </w:r>
      <w:r w:rsidR="0069117F">
        <w:t xml:space="preserve"> older siblings making up the “youth bulge”.</w:t>
      </w:r>
    </w:p>
    <w:p w14:paraId="4F96D825" w14:textId="77777777" w:rsidR="00060FEB" w:rsidRDefault="007A5B0C" w:rsidP="00252C78">
      <w:pPr>
        <w:ind w:right="-23"/>
      </w:pPr>
      <w:r>
        <w:t xml:space="preserve">The population of KSA is skewed on the male side, indicating the high numbers of male expatriate workers resident in the country.  </w:t>
      </w:r>
      <w:r w:rsidR="00FB25B5">
        <w:t xml:space="preserve">(The population census covers citizens and non-citizens resident in the Kingdom.) </w:t>
      </w:r>
      <w:r w:rsidR="00252C78">
        <w:t xml:space="preserve"> In t</w:t>
      </w:r>
      <w:r w:rsidR="00252C78" w:rsidRPr="00252C78">
        <w:t>he</w:t>
      </w:r>
      <w:r w:rsidR="00252C78">
        <w:t xml:space="preserve"> Gulf</w:t>
      </w:r>
      <w:r w:rsidR="00252C78" w:rsidRPr="00252C78">
        <w:t xml:space="preserve"> region as a whole</w:t>
      </w:r>
      <w:r w:rsidR="00252C78">
        <w:t>, on</w:t>
      </w:r>
      <w:r w:rsidR="00252C78" w:rsidRPr="00252C78">
        <w:t xml:space="preserve"> ave</w:t>
      </w:r>
      <w:r w:rsidR="00252C78">
        <w:t>rage 53.4 percent</w:t>
      </w:r>
      <w:r w:rsidR="00252C78" w:rsidRPr="00252C78">
        <w:t xml:space="preserve"> of </w:t>
      </w:r>
      <w:r w:rsidR="00252C78">
        <w:t xml:space="preserve">residents are </w:t>
      </w:r>
      <w:r w:rsidR="00252C78" w:rsidRPr="00252C78">
        <w:t xml:space="preserve">expatriates compared </w:t>
      </w:r>
      <w:r w:rsidR="00252C78">
        <w:t>to an average of 9.5 percent</w:t>
      </w:r>
      <w:r w:rsidR="00252C78" w:rsidRPr="00252C78">
        <w:t xml:space="preserve"> in the </w:t>
      </w:r>
      <w:r w:rsidR="00252C78">
        <w:t xml:space="preserve">Middle East North Africa (MENA) </w:t>
      </w:r>
      <w:r w:rsidR="00252C78" w:rsidRPr="00252C78">
        <w:t xml:space="preserve">region. None of the </w:t>
      </w:r>
      <w:r w:rsidR="00252C78">
        <w:t>Gulf countries has</w:t>
      </w:r>
      <w:r w:rsidR="00252C78" w:rsidRPr="00252C78">
        <w:t xml:space="preserve"> a negative net immigration rate which indicates that there is always a higher rate of expatriates entering than </w:t>
      </w:r>
      <w:r w:rsidR="00252C78">
        <w:t xml:space="preserve">leaving the region </w:t>
      </w:r>
      <w:r w:rsidR="00252C78">
        <w:fldChar w:fldCharType="begin"/>
      </w:r>
      <w:r w:rsidR="00252C78">
        <w:instrText xml:space="preserve"> ADDIN EN.CITE &lt;EndNote&gt;&lt;Cite&gt;&lt;Author&gt;Raghu&lt;/Author&gt;&lt;Year&gt;2012&lt;/Year&gt;&lt;RecNum&gt;213&lt;/RecNum&gt;&lt;DisplayText&gt;(Raghu 2012)&lt;/DisplayText&gt;&lt;record&gt;&lt;rec-number&gt;213&lt;/rec-number&gt;&lt;foreign-keys&gt;&lt;key app="EN" db-id="5a0wsfarrxszvze9rr65r5a3vr95ffwx90f9" timestamp="1403891337"&gt;213&lt;/key&gt;&lt;/foreign-keys&gt;&lt;ref-type name="Report"&gt;27&lt;/ref-type&gt;&lt;contributors&gt;&lt;authors&gt;&lt;author&gt;M.R. Raghu&lt;/author&gt;&lt;/authors&gt;&lt;/contributors&gt;&lt;titles&gt;&lt;title&gt;GCC Demographic Shift:  Intergenerational risk-transfer at play&lt;/title&gt;&lt;/titles&gt;&lt;dates&gt;&lt;year&gt;2012&lt;/year&gt;&lt;/dates&gt;&lt;pub-location&gt;Safat, Kuwait&lt;/pub-location&gt;&lt;publisher&gt;Kuwait Financial Centre “Markaz”&lt;/publisher&gt;&lt;urls&gt;&lt;related-urls&gt;&lt;url&gt;http://www.markaz.com/DesktopModules/CRD/Attachments/DemographicsResearch-MarkazResearch-June%202012.pdf&lt;/url&gt;&lt;/related-urls&gt;&lt;/urls&gt;&lt;research-notes&gt;&lt;style face="normal" font="default" size="14"&gt;note 3 &amp;quot;expansive&amp;quot;&amp;#xD; Smaller old-age population and the number of people in each age group increases as we move down the population pyramid &amp;#xD;&lt;/style&gt;&lt;style face="normal" font="default" size="100%"&gt;see https://docs.google.com/presentation/d/1EiXYhoPe68z9jgXNtcqHp3ryYm1T0N493Gkjq51Jt0U/embed#slide=id.i0&lt;/style&gt;&lt;/research-notes&gt;&lt;/record&gt;&lt;/Cite&gt;&lt;/EndNote&gt;</w:instrText>
      </w:r>
      <w:r w:rsidR="00252C78">
        <w:fldChar w:fldCharType="separate"/>
      </w:r>
      <w:r w:rsidR="00252C78">
        <w:rPr>
          <w:noProof/>
        </w:rPr>
        <w:t>(</w:t>
      </w:r>
      <w:hyperlink w:anchor="_ENREF_13" w:tooltip="Raghu, 2012 #213" w:history="1">
        <w:r w:rsidR="00EB16D2">
          <w:rPr>
            <w:noProof/>
          </w:rPr>
          <w:t>Raghu 2012</w:t>
        </w:r>
      </w:hyperlink>
      <w:r w:rsidR="00252C78">
        <w:rPr>
          <w:noProof/>
        </w:rPr>
        <w:t>)</w:t>
      </w:r>
      <w:r w:rsidR="00252C78">
        <w:fldChar w:fldCharType="end"/>
      </w:r>
      <w:r w:rsidR="00252C78">
        <w:t>.</w:t>
      </w:r>
    </w:p>
    <w:p w14:paraId="68EED962" w14:textId="77777777" w:rsidR="00FB25B5" w:rsidRDefault="004E13B4" w:rsidP="0069117F">
      <w:pPr>
        <w:ind w:right="-23"/>
      </w:pPr>
      <w:r>
        <w:t xml:space="preserve">In the current period, young </w:t>
      </w:r>
      <w:r w:rsidR="00AD3487">
        <w:t>people</w:t>
      </w:r>
      <w:r>
        <w:t xml:space="preserve"> age </w:t>
      </w:r>
      <w:r w:rsidR="00AD3487">
        <w:t xml:space="preserve">15-29 make up more than 30 percent of the population.  In comparison with other countries in the </w:t>
      </w:r>
      <w:r w:rsidR="00252C78" w:rsidRPr="00252C78">
        <w:t xml:space="preserve">MENA </w:t>
      </w:r>
      <w:r w:rsidR="00AD3487">
        <w:t xml:space="preserve">region, </w:t>
      </w:r>
      <w:r w:rsidR="00D57EF8">
        <w:t xml:space="preserve">in Saudi Arabia </w:t>
      </w:r>
      <w:r w:rsidR="00FB25B5">
        <w:t>this growth in the share represented by young people has been very rapid.  In the period between 1990 and 2011, the share of youth in this age group</w:t>
      </w:r>
      <w:r w:rsidR="00D57EF8">
        <w:t xml:space="preserve"> in KSA</w:t>
      </w:r>
      <w:r w:rsidR="00FB25B5">
        <w:t>, as shown in Figure 3.2, initially the lowest in the countries illustrated, moved from the lowest (at less than 22 percent) t</w:t>
      </w:r>
      <w:r w:rsidR="00D57EF8">
        <w:t>o the highest, with Syria, at 30</w:t>
      </w:r>
      <w:r w:rsidR="00FB25B5">
        <w:t xml:space="preserve"> percent. </w:t>
      </w:r>
    </w:p>
    <w:p w14:paraId="2E166B8E" w14:textId="77777777" w:rsidR="00FB25B5" w:rsidRDefault="00FB25B5" w:rsidP="00FB25B5">
      <w:pPr>
        <w:pStyle w:val="Caption"/>
      </w:pPr>
      <w:r>
        <w:t>Figure 3.2</w:t>
      </w:r>
      <w:r w:rsidR="00252C78">
        <w:t xml:space="preserve"> </w:t>
      </w:r>
      <w:r>
        <w:t>Youth population</w:t>
      </w:r>
      <w:r w:rsidR="005738FE">
        <w:t xml:space="preserve"> share, MENA region:</w:t>
      </w:r>
      <w:r>
        <w:t xml:space="preserve"> change over two decades</w:t>
      </w:r>
    </w:p>
    <w:p w14:paraId="2D28F018" w14:textId="77777777" w:rsidR="00FB25B5" w:rsidRDefault="00FB25B5" w:rsidP="00EB274C">
      <w:r w:rsidRPr="00FB25B5">
        <w:rPr>
          <w:noProof/>
          <w:lang w:val="en-US"/>
        </w:rPr>
        <w:drawing>
          <wp:inline distT="0" distB="0" distL="0" distR="0" wp14:anchorId="3DE1419A" wp14:editId="059E8E4F">
            <wp:extent cx="5771164" cy="4743170"/>
            <wp:effectExtent l="0" t="0" r="1270" b="635"/>
            <wp:docPr id="1026" name="Picture 2" descr="http://www.saudigazette.com.sa/myfiles/Images/2014/01/28/ec07_big.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saudigazette.com.sa/myfiles/Images/2014/01/28/ec07_big.jpg"/>
                    <pic:cNvPicPr>
                      <a:picLocks noGrp="1"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90598" cy="4759142"/>
                    </a:xfrm>
                    <a:prstGeom prst="rect">
                      <a:avLst/>
                    </a:prstGeom>
                    <a:noFill/>
                    <a:extLst/>
                  </pic:spPr>
                </pic:pic>
              </a:graphicData>
            </a:graphic>
          </wp:inline>
        </w:drawing>
      </w:r>
    </w:p>
    <w:p w14:paraId="168F8377" w14:textId="77777777" w:rsidR="00B5397E" w:rsidRPr="00B5397E" w:rsidRDefault="00B5397E" w:rsidP="00391055">
      <w:pPr>
        <w:pStyle w:val="NormalWeb"/>
        <w:shd w:val="clear" w:color="auto" w:fill="FFFFFF"/>
        <w:spacing w:before="0" w:beforeAutospacing="0" w:after="0" w:afterAutospacing="0" w:line="216" w:lineRule="atLeast"/>
        <w:rPr>
          <w:rFonts w:ascii="Sylfaen" w:hAnsi="Sylfaen" w:cs="Arial"/>
          <w:sz w:val="22"/>
          <w:szCs w:val="22"/>
        </w:rPr>
      </w:pPr>
      <w:r>
        <w:rPr>
          <w:rFonts w:ascii="Sylfaen" w:hAnsi="Sylfaen" w:cs="Arial"/>
          <w:sz w:val="22"/>
          <w:szCs w:val="22"/>
        </w:rPr>
        <w:t xml:space="preserve">The youth bulge can be viewed as </w:t>
      </w:r>
      <w:r w:rsidRPr="00B5397E">
        <w:rPr>
          <w:rStyle w:val="Strong"/>
          <w:rFonts w:ascii="Sylfaen" w:hAnsi="Sylfaen" w:cs="Arial"/>
          <w:b w:val="0"/>
          <w:sz w:val="22"/>
          <w:szCs w:val="22"/>
        </w:rPr>
        <w:t>a demographic gift</w:t>
      </w:r>
      <w:r w:rsidR="002826D9">
        <w:rPr>
          <w:rStyle w:val="Strong"/>
          <w:rFonts w:ascii="Sylfaen" w:hAnsi="Sylfaen" w:cs="Arial"/>
          <w:b w:val="0"/>
          <w:sz w:val="22"/>
          <w:szCs w:val="22"/>
        </w:rPr>
        <w:t xml:space="preserve">.  It is evident that Saudi Arabia has for the moment </w:t>
      </w:r>
      <w:r w:rsidR="002826D9" w:rsidRPr="00B5397E">
        <w:rPr>
          <w:rFonts w:ascii="Sylfaen" w:hAnsi="Sylfaen" w:cs="Arial"/>
          <w:sz w:val="22"/>
          <w:szCs w:val="22"/>
        </w:rPr>
        <w:t>a large working-age population</w:t>
      </w:r>
      <w:r w:rsidR="002826D9">
        <w:rPr>
          <w:rFonts w:ascii="Sylfaen" w:hAnsi="Sylfaen" w:cs="Arial"/>
          <w:sz w:val="22"/>
          <w:szCs w:val="22"/>
        </w:rPr>
        <w:t xml:space="preserve">.  With smaller age cohorts coming behind and a narrow top portion of the pyramid, KSA </w:t>
      </w:r>
      <w:r w:rsidR="00A85BDF">
        <w:rPr>
          <w:rFonts w:ascii="Sylfaen" w:hAnsi="Sylfaen" w:cs="Arial"/>
          <w:sz w:val="22"/>
          <w:szCs w:val="22"/>
        </w:rPr>
        <w:t>enjoys</w:t>
      </w:r>
      <w:r w:rsidR="002826D9">
        <w:rPr>
          <w:rFonts w:ascii="Sylfaen" w:hAnsi="Sylfaen" w:cs="Arial"/>
          <w:sz w:val="22"/>
          <w:szCs w:val="22"/>
        </w:rPr>
        <w:t xml:space="preserve"> a low dependency ratio – a </w:t>
      </w:r>
      <w:r w:rsidRPr="00B5397E">
        <w:rPr>
          <w:rFonts w:ascii="Sylfaen" w:hAnsi="Sylfaen" w:cs="Arial"/>
          <w:sz w:val="22"/>
          <w:szCs w:val="22"/>
        </w:rPr>
        <w:t xml:space="preserve">demographic </w:t>
      </w:r>
      <w:r w:rsidR="002826D9">
        <w:rPr>
          <w:rFonts w:ascii="Sylfaen" w:hAnsi="Sylfaen" w:cs="Arial"/>
          <w:sz w:val="22"/>
          <w:szCs w:val="22"/>
        </w:rPr>
        <w:t>“</w:t>
      </w:r>
      <w:r w:rsidRPr="00B5397E">
        <w:rPr>
          <w:rFonts w:ascii="Sylfaen" w:hAnsi="Sylfaen" w:cs="Arial"/>
          <w:sz w:val="22"/>
          <w:szCs w:val="22"/>
        </w:rPr>
        <w:t>window of opportunity</w:t>
      </w:r>
      <w:r w:rsidR="002826D9">
        <w:rPr>
          <w:rFonts w:ascii="Sylfaen" w:hAnsi="Sylfaen" w:cs="Arial"/>
          <w:sz w:val="22"/>
          <w:szCs w:val="22"/>
        </w:rPr>
        <w:t>”.</w:t>
      </w:r>
      <w:r w:rsidR="002826D9">
        <w:rPr>
          <w:rStyle w:val="FootnoteReference"/>
          <w:rFonts w:ascii="Sylfaen" w:hAnsi="Sylfaen" w:cs="Arial"/>
          <w:sz w:val="22"/>
          <w:szCs w:val="22"/>
        </w:rPr>
        <w:footnoteReference w:id="3"/>
      </w:r>
      <w:r w:rsidR="002826D9">
        <w:rPr>
          <w:rFonts w:ascii="Sylfaen" w:hAnsi="Sylfaen" w:cs="Arial"/>
          <w:sz w:val="22"/>
          <w:szCs w:val="22"/>
        </w:rPr>
        <w:t xml:space="preserve">  </w:t>
      </w:r>
      <w:r w:rsidR="00A85BDF">
        <w:rPr>
          <w:rFonts w:ascii="Sylfaen" w:hAnsi="Sylfaen" w:cs="Arial"/>
          <w:sz w:val="22"/>
          <w:szCs w:val="22"/>
        </w:rPr>
        <w:t>Having</w:t>
      </w:r>
      <w:r w:rsidR="002826D9">
        <w:rPr>
          <w:rFonts w:ascii="Sylfaen" w:hAnsi="Sylfaen" w:cs="Arial"/>
          <w:sz w:val="22"/>
          <w:szCs w:val="22"/>
        </w:rPr>
        <w:t xml:space="preserve"> a </w:t>
      </w:r>
      <w:r w:rsidRPr="00B5397E">
        <w:rPr>
          <w:rFonts w:ascii="Sylfaen" w:hAnsi="Sylfaen" w:cs="Arial"/>
          <w:sz w:val="22"/>
          <w:szCs w:val="22"/>
        </w:rPr>
        <w:t xml:space="preserve">large pool of young workers can enable </w:t>
      </w:r>
      <w:r w:rsidR="002826D9">
        <w:rPr>
          <w:rFonts w:ascii="Sylfaen" w:hAnsi="Sylfaen" w:cs="Arial"/>
          <w:sz w:val="22"/>
          <w:szCs w:val="22"/>
        </w:rPr>
        <w:t>an economy</w:t>
      </w:r>
      <w:r w:rsidRPr="00B5397E">
        <w:rPr>
          <w:rFonts w:ascii="Sylfaen" w:hAnsi="Sylfaen" w:cs="Arial"/>
          <w:sz w:val="22"/>
          <w:szCs w:val="22"/>
        </w:rPr>
        <w:t xml:space="preserve"> to bolster savings and investments. However, </w:t>
      </w:r>
      <w:r w:rsidR="002826D9">
        <w:rPr>
          <w:rFonts w:ascii="Sylfaen" w:hAnsi="Sylfaen" w:cs="Arial"/>
          <w:sz w:val="22"/>
          <w:szCs w:val="22"/>
        </w:rPr>
        <w:t>such an economy</w:t>
      </w:r>
      <w:r w:rsidRPr="00B5397E">
        <w:rPr>
          <w:rFonts w:ascii="Sylfaen" w:hAnsi="Sylfaen" w:cs="Arial"/>
          <w:sz w:val="22"/>
          <w:szCs w:val="22"/>
        </w:rPr>
        <w:t xml:space="preserve"> </w:t>
      </w:r>
      <w:r w:rsidR="002826D9">
        <w:rPr>
          <w:rFonts w:ascii="Sylfaen" w:hAnsi="Sylfaen" w:cs="Arial"/>
          <w:sz w:val="22"/>
          <w:szCs w:val="22"/>
        </w:rPr>
        <w:t>“</w:t>
      </w:r>
      <w:r w:rsidRPr="00B5397E">
        <w:rPr>
          <w:rFonts w:ascii="Sylfaen" w:hAnsi="Sylfaen" w:cs="Arial"/>
          <w:sz w:val="22"/>
          <w:szCs w:val="22"/>
        </w:rPr>
        <w:t>has a narrow window of opportunity to capitalize on its large youthful workforce before it starts to age. By implementing sound economic and social policies, countries can take advantage of the youth bulge and translate it into a dividend that promises bett</w:t>
      </w:r>
      <w:r w:rsidR="00391055">
        <w:rPr>
          <w:rFonts w:ascii="Sylfaen" w:hAnsi="Sylfaen" w:cs="Arial"/>
          <w:sz w:val="22"/>
          <w:szCs w:val="22"/>
        </w:rPr>
        <w:t xml:space="preserve">er economic and social outcomes </w:t>
      </w:r>
      <w:r w:rsidR="00391055">
        <w:rPr>
          <w:rFonts w:ascii="Sylfaen" w:hAnsi="Sylfaen" w:cs="Arial"/>
          <w:sz w:val="22"/>
          <w:szCs w:val="22"/>
        </w:rPr>
        <w:fldChar w:fldCharType="begin"/>
      </w:r>
      <w:r w:rsidR="00391055">
        <w:rPr>
          <w:rFonts w:ascii="Sylfaen" w:hAnsi="Sylfaen" w:cs="Arial"/>
          <w:sz w:val="22"/>
          <w:szCs w:val="22"/>
        </w:rPr>
        <w:instrText xml:space="preserve"> ADDIN EN.CITE &lt;EndNote&gt;&lt;Cite&gt;&lt;Author&gt;Chaoul&lt;/Author&gt;&lt;Year&gt;2013&lt;/Year&gt;&lt;RecNum&gt;10&lt;/RecNum&gt;&lt;DisplayText&gt;(Chaoul 2013)&lt;/DisplayText&gt;&lt;record&gt;&lt;rec-number&gt;10&lt;/rec-number&gt;&lt;foreign-keys&gt;&lt;key app="EN" db-id="5a0wsfarrxszvze9rr65r5a3vr95ffwx90f9" timestamp="1403784520"&gt;10&lt;/key&gt;&lt;/foreign-keys&gt;&lt;ref-type name="Report"&gt;27&lt;/ref-type&gt;&lt;contributors&gt;&lt;authors&gt;&lt;author&gt;Henri J. Chaoul&lt;/author&gt;&lt;/authors&gt;&lt;/contributors&gt;&lt;titles&gt;&lt;title&gt;Arab Youth Unemployment&lt;/title&gt;&lt;/titles&gt;&lt;pages&gt;12&lt;/pages&gt;&lt;dates&gt;&lt;year&gt;2013&lt;/year&gt;&lt;pub-dates&gt;&lt;date&gt;20 November&lt;/date&gt;&lt;/pub-dates&gt;&lt;/dates&gt;&lt;pub-location&gt;Jeddah&lt;/pub-location&gt;&lt;publisher&gt;Alkhabeer Capital&lt;/publisher&gt;&lt;urls&gt;&lt;related-urls&gt;&lt;url&gt;http://www.alkhabeer.com/sites/default/files/Arab%20Youth%20Unemployment%20-%20English.pdf&lt;/url&gt;&lt;/related-urls&gt;&lt;/urls&gt;&lt;/record&gt;&lt;/Cite&gt;&lt;/EndNote&gt;</w:instrText>
      </w:r>
      <w:r w:rsidR="00391055">
        <w:rPr>
          <w:rFonts w:ascii="Sylfaen" w:hAnsi="Sylfaen" w:cs="Arial"/>
          <w:sz w:val="22"/>
          <w:szCs w:val="22"/>
        </w:rPr>
        <w:fldChar w:fldCharType="separate"/>
      </w:r>
      <w:r w:rsidR="00391055">
        <w:rPr>
          <w:rFonts w:ascii="Sylfaen" w:hAnsi="Sylfaen" w:cs="Arial"/>
          <w:noProof/>
          <w:sz w:val="22"/>
          <w:szCs w:val="22"/>
        </w:rPr>
        <w:t>(</w:t>
      </w:r>
      <w:hyperlink w:anchor="_ENREF_4" w:tooltip="Chaoul, 2013 #10" w:history="1">
        <w:r w:rsidR="00EB16D2">
          <w:rPr>
            <w:rFonts w:ascii="Sylfaen" w:hAnsi="Sylfaen" w:cs="Arial"/>
            <w:noProof/>
            <w:sz w:val="22"/>
            <w:szCs w:val="22"/>
          </w:rPr>
          <w:t>Chaoul 2013</w:t>
        </w:r>
      </w:hyperlink>
      <w:r w:rsidR="00391055">
        <w:rPr>
          <w:rFonts w:ascii="Sylfaen" w:hAnsi="Sylfaen" w:cs="Arial"/>
          <w:noProof/>
          <w:sz w:val="22"/>
          <w:szCs w:val="22"/>
        </w:rPr>
        <w:t>)</w:t>
      </w:r>
      <w:r w:rsidR="00391055">
        <w:rPr>
          <w:rFonts w:ascii="Sylfaen" w:hAnsi="Sylfaen" w:cs="Arial"/>
          <w:sz w:val="22"/>
          <w:szCs w:val="22"/>
        </w:rPr>
        <w:fldChar w:fldCharType="end"/>
      </w:r>
      <w:r w:rsidR="002826D9">
        <w:rPr>
          <w:rFonts w:ascii="Sylfaen" w:hAnsi="Sylfaen" w:cs="Arial"/>
          <w:sz w:val="22"/>
          <w:szCs w:val="22"/>
        </w:rPr>
        <w:t>”.</w:t>
      </w:r>
    </w:p>
    <w:p w14:paraId="1AB32F4B" w14:textId="77777777" w:rsidR="00B5397E" w:rsidRPr="00B5397E" w:rsidRDefault="00B5397E" w:rsidP="00BB1132">
      <w:pPr>
        <w:pStyle w:val="Heading5"/>
      </w:pPr>
    </w:p>
    <w:p w14:paraId="672A1986" w14:textId="77777777" w:rsidR="00FB25B5" w:rsidRDefault="00FB25B5" w:rsidP="00BB1132">
      <w:pPr>
        <w:pStyle w:val="Heading5"/>
        <w:rPr>
          <w:lang w:val="en-CA"/>
        </w:rPr>
      </w:pPr>
      <w:r>
        <w:rPr>
          <w:lang w:val="en-CA"/>
        </w:rPr>
        <w:t>Needs of youth – many and varied concerns</w:t>
      </w:r>
    </w:p>
    <w:p w14:paraId="55221C3E" w14:textId="77777777" w:rsidR="00414F5D" w:rsidRDefault="00A85BDF" w:rsidP="00414F5D">
      <w:pPr>
        <w:ind w:right="-23"/>
      </w:pPr>
      <w:r>
        <w:t>The</w:t>
      </w:r>
      <w:r w:rsidR="00414F5D">
        <w:t xml:space="preserve"> extremely rapid </w:t>
      </w:r>
      <w:r>
        <w:t xml:space="preserve">growth in numbers of young people </w:t>
      </w:r>
      <w:r w:rsidR="00414F5D">
        <w:t xml:space="preserve">has put youth issues high on the agenda for KSA.  Figure </w:t>
      </w:r>
      <w:r>
        <w:t xml:space="preserve">3.2 above </w:t>
      </w:r>
      <w:r w:rsidR="00414F5D">
        <w:t xml:space="preserve">highlights the critical need for policies that address a range of concerns.  Young people are not only anxious to have the kind of education that will inform them about the world’s technologies and culture, and will equip them to cope with employment and society.  They are concerned about the pressures of embarking on family formation, finding housing and providing a start </w:t>
      </w:r>
      <w:r w:rsidR="00D57EF8">
        <w:t>in life for</w:t>
      </w:r>
      <w:r w:rsidR="00414F5D">
        <w:t xml:space="preserve"> their own children.  They want to explore ways of contributing to their local and broader communities.</w:t>
      </w:r>
    </w:p>
    <w:p w14:paraId="18A26C50" w14:textId="77777777" w:rsidR="00414F5D" w:rsidRDefault="00414F5D" w:rsidP="00414F5D">
      <w:pPr>
        <w:ind w:right="-23"/>
        <w:rPr>
          <w:lang w:val="en-CA"/>
        </w:rPr>
      </w:pPr>
      <w:r>
        <w:rPr>
          <w:lang w:val="en-CA"/>
        </w:rPr>
        <w:t xml:space="preserve">As </w:t>
      </w:r>
      <w:r w:rsidR="00A85BDF">
        <w:rPr>
          <w:lang w:val="en-CA"/>
        </w:rPr>
        <w:t>we have seen</w:t>
      </w:r>
      <w:r>
        <w:rPr>
          <w:lang w:val="en-CA"/>
        </w:rPr>
        <w:t xml:space="preserve">, the CPD </w:t>
      </w:r>
      <w:r w:rsidR="00A85BDF">
        <w:rPr>
          <w:lang w:val="en-CA"/>
        </w:rPr>
        <w:t>underscored these points, stating:</w:t>
      </w:r>
      <w:r>
        <w:rPr>
          <w:lang w:val="en-CA"/>
        </w:rPr>
        <w:t xml:space="preserve"> </w:t>
      </w:r>
      <w:r w:rsidRPr="00AD3487">
        <w:rPr>
          <w:lang w:val="en-CA"/>
        </w:rPr>
        <w:t>“The ability to address education and employment needs for its youth will define the sustainability of development in KSA.”</w:t>
      </w:r>
      <w:r>
        <w:rPr>
          <w:lang w:val="en-CA"/>
        </w:rPr>
        <w:t xml:space="preserve">  </w:t>
      </w:r>
    </w:p>
    <w:p w14:paraId="2A220138" w14:textId="77777777" w:rsidR="000A2735" w:rsidRDefault="000A2735" w:rsidP="00E878BB">
      <w:pPr>
        <w:pStyle w:val="Heading2"/>
        <w:numPr>
          <w:ilvl w:val="1"/>
          <w:numId w:val="29"/>
        </w:numPr>
      </w:pPr>
      <w:bookmarkStart w:id="16" w:name="_Toc399078747"/>
      <w:r>
        <w:t>Unemployment among youth</w:t>
      </w:r>
      <w:bookmarkEnd w:id="16"/>
    </w:p>
    <w:p w14:paraId="7595981C" w14:textId="77777777" w:rsidR="00414F5D" w:rsidRDefault="00414F5D" w:rsidP="00414F5D">
      <w:pPr>
        <w:ind w:right="-23"/>
      </w:pPr>
      <w:r>
        <w:t>Like its neighbours, Saudi Arabia identifies employment creation as a focus of strategic planning</w:t>
      </w:r>
      <w:r w:rsidR="00D57EF8">
        <w:t xml:space="preserve"> for development</w:t>
      </w:r>
      <w:r>
        <w:t xml:space="preserve">.  </w:t>
      </w:r>
      <w:r w:rsidR="00D57EF8">
        <w:t>In company with other countries</w:t>
      </w:r>
      <w:r>
        <w:t>, t</w:t>
      </w:r>
      <w:r w:rsidRPr="00414F5D">
        <w:t xml:space="preserve">he youth population as a proportion to overall population has increased over the past decade for most Arab countries. </w:t>
      </w:r>
      <w:r w:rsidR="00D57EF8">
        <w:t xml:space="preserve">All face intense pressure on the labour market’s ability to absorb new entrants.  </w:t>
      </w:r>
      <w:r w:rsidR="00BE5E3E">
        <w:t>According</w:t>
      </w:r>
      <w:r w:rsidR="00904E0E">
        <w:t xml:space="preserve"> to the IMF:</w:t>
      </w:r>
    </w:p>
    <w:p w14:paraId="06F9510D" w14:textId="77777777" w:rsidR="005738FE" w:rsidRDefault="008F138D" w:rsidP="005738FE">
      <w:pPr>
        <w:autoSpaceDE w:val="0"/>
        <w:autoSpaceDN w:val="0"/>
        <w:adjustRightInd w:val="0"/>
        <w:ind w:left="720" w:right="0"/>
      </w:pPr>
      <w:r>
        <w:t>The</w:t>
      </w:r>
      <w:r w:rsidR="00414F5D">
        <w:t xml:space="preserve"> </w:t>
      </w:r>
      <w:r w:rsidR="00414F5D" w:rsidRPr="00414F5D">
        <w:t>labour force in the Arab region has grown at an annual rate of about 2.7% over the past decade, outpacing the global average, and the trend is expected to continue in the coming decade, with roughly 10.7 million new entrants entering the workforce every year. Low infant mortality and high birth rates have resulted in a sizeable rise in the number of youth vying for jobs.</w:t>
      </w:r>
      <w:r w:rsidR="002826D9">
        <w:t>.</w:t>
      </w:r>
      <w:r w:rsidR="00414F5D" w:rsidRPr="00414F5D">
        <w:t>.</w:t>
      </w:r>
      <w:r w:rsidR="002826D9">
        <w:t xml:space="preserve"> </w:t>
      </w:r>
      <w:r w:rsidR="00414F5D" w:rsidRPr="00414F5D">
        <w:t xml:space="preserve"> Each year, increasingly educated young job seekers in the age cohort of 15-29 years enter the labour market aspiring for high quality jobs. These </w:t>
      </w:r>
      <w:r w:rsidRPr="00414F5D">
        <w:t>expectations</w:t>
      </w:r>
      <w:r w:rsidR="00414F5D" w:rsidRPr="00414F5D">
        <w:t>, however, are not being met fully as governments have failed to create sufficient quality jobs even during the economic boom. As a result, youth unemployment in the Arab nations, according to a UN International Labour Organization (ILO) report, stood at around 23.2% in 2012, compared to the world average of 13.9%</w:t>
      </w:r>
      <w:r>
        <w:t xml:space="preserve">.  </w:t>
      </w:r>
    </w:p>
    <w:p w14:paraId="25A72256" w14:textId="77777777" w:rsidR="00414F5D" w:rsidRDefault="008F138D" w:rsidP="005738FE">
      <w:pPr>
        <w:autoSpaceDE w:val="0"/>
        <w:autoSpaceDN w:val="0"/>
        <w:adjustRightInd w:val="0"/>
        <w:ind w:left="720" w:right="0"/>
      </w:pPr>
      <w:r w:rsidRPr="008F138D">
        <w:t>Governments across the Arab region have invested heavily in education, and the past decade has witnessed a rapid expansion of primary, secondary and tertiary education, yet it is widely regarded that the quality of human capital being produced in such courses does not adequately match the needs of the labour market. As a result, job readiness suffers and unemployment amongst the educated remains at elevated levels.</w:t>
      </w:r>
      <w:r w:rsidR="00414F5D">
        <w:t xml:space="preserve"> </w:t>
      </w:r>
      <w:r w:rsidR="00414F5D">
        <w:fldChar w:fldCharType="begin"/>
      </w:r>
      <w:r w:rsidR="00414F5D">
        <w:instrText xml:space="preserve"> ADDIN EN.CITE &lt;EndNote&gt;&lt;Cite&gt;&lt;Author&gt;Chaoul&lt;/Author&gt;&lt;Year&gt;2013&lt;/Year&gt;&lt;RecNum&gt;10&lt;/RecNum&gt;&lt;DisplayText&gt;(Chaoul 2013)&lt;/DisplayText&gt;&lt;record&gt;&lt;rec-number&gt;10&lt;/rec-number&gt;&lt;foreign-keys&gt;&lt;key app="EN" db-id="5a0wsfarrxszvze9rr65r5a3vr95ffwx90f9" timestamp="1403784520"&gt;10&lt;/key&gt;&lt;/foreign-keys&gt;&lt;ref-type name="Report"&gt;27&lt;/ref-type&gt;&lt;contributors&gt;&lt;authors&gt;&lt;author&gt;Henri J. Chaoul&lt;/author&gt;&lt;/authors&gt;&lt;/contributors&gt;&lt;titles&gt;&lt;title&gt;Arab Youth Unemployment&lt;/title&gt;&lt;/titles&gt;&lt;pages&gt;12&lt;/pages&gt;&lt;dates&gt;&lt;year&gt;2013&lt;/year&gt;&lt;pub-dates&gt;&lt;date&gt;20 November&lt;/date&gt;&lt;/pub-dates&gt;&lt;/dates&gt;&lt;pub-location&gt;Jeddah&lt;/pub-location&gt;&lt;publisher&gt;Alkhabeer Capital&lt;/publisher&gt;&lt;urls&gt;&lt;related-urls&gt;&lt;url&gt;http://www.alkhabeer.com/sites/default/files/Arab%20Youth%20Unemployment%20-%20English.pdf&lt;/url&gt;&lt;/related-urls&gt;&lt;/urls&gt;&lt;/record&gt;&lt;/Cite&gt;&lt;/EndNote&gt;</w:instrText>
      </w:r>
      <w:r w:rsidR="00414F5D">
        <w:fldChar w:fldCharType="separate"/>
      </w:r>
      <w:r w:rsidR="00414F5D">
        <w:t>(</w:t>
      </w:r>
      <w:hyperlink w:anchor="_ENREF_4" w:tooltip="Chaoul, 2013 #10" w:history="1">
        <w:r w:rsidR="00EB16D2">
          <w:t>Chaoul 2013</w:t>
        </w:r>
      </w:hyperlink>
      <w:r w:rsidR="00414F5D">
        <w:t>)</w:t>
      </w:r>
      <w:r w:rsidR="00414F5D">
        <w:fldChar w:fldCharType="end"/>
      </w:r>
      <w:r>
        <w:t>.</w:t>
      </w:r>
    </w:p>
    <w:p w14:paraId="17DD0314" w14:textId="77777777" w:rsidR="008F138D" w:rsidRDefault="008F138D" w:rsidP="00F177E6">
      <w:pPr>
        <w:autoSpaceDE w:val="0"/>
        <w:autoSpaceDN w:val="0"/>
        <w:adjustRightInd w:val="0"/>
        <w:ind w:right="-23"/>
      </w:pPr>
      <w:r>
        <w:t xml:space="preserve">The mismatch of education content and the jobs on offer in the labour market </w:t>
      </w:r>
      <w:r w:rsidR="00BE5E3E">
        <w:t>poses</w:t>
      </w:r>
      <w:r>
        <w:t xml:space="preserve"> an acute difficulty for Saudi Arabia.  </w:t>
      </w:r>
      <w:r w:rsidR="005738FE">
        <w:t xml:space="preserve">The CPD cited high levels of youth unemployment as a baseline concern.  </w:t>
      </w:r>
      <w:r w:rsidR="00A67C48">
        <w:t>The 9</w:t>
      </w:r>
      <w:r w:rsidR="00A67C48" w:rsidRPr="00A67C48">
        <w:rPr>
          <w:vertAlign w:val="superscript"/>
        </w:rPr>
        <w:t>th</w:t>
      </w:r>
      <w:r w:rsidR="00A67C48">
        <w:t xml:space="preserve"> NDP cited as a focal objective, “to develop </w:t>
      </w:r>
      <w:r w:rsidR="00A67C48" w:rsidRPr="00A67C48">
        <w:t>the productive and creative capacities of citizens, provide them with rewarding employment opportunities,</w:t>
      </w:r>
      <w:r w:rsidR="00A67C48">
        <w:t xml:space="preserve"> </w:t>
      </w:r>
      <w:r w:rsidR="00A67C48" w:rsidRPr="00A67C48">
        <w:t>broaden their participation in various economic activities, and take all</w:t>
      </w:r>
      <w:r w:rsidR="00A67C48">
        <w:t xml:space="preserve"> </w:t>
      </w:r>
      <w:r w:rsidR="00A67C48" w:rsidRPr="00A67C48">
        <w:t>possible measures to reduce unemployment, particularly among young</w:t>
      </w:r>
      <w:r w:rsidR="00A67C48">
        <w:t xml:space="preserve"> </w:t>
      </w:r>
      <w:r w:rsidR="00A67C48" w:rsidRPr="00A67C48">
        <w:t>males and females</w:t>
      </w:r>
      <w:r w:rsidR="00A67C48">
        <w:t xml:space="preserve"> </w:t>
      </w:r>
      <w:r w:rsidR="00A67C48">
        <w:fldChar w:fldCharType="begin">
          <w:fldData xml:space="preserve">PEVuZE5vdGU+PENpdGU+PEF1dGhvcj5NaW5pc3RyeSBvZiBFY29ub215IGFuZCBQbGFubmluZzwv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</w:fldData>
        </w:fldChar>
      </w:r>
      <w:r w:rsidR="00A67C48">
        <w:instrText xml:space="preserve"> ADDIN EN.CITE </w:instrText>
      </w:r>
      <w:r w:rsidR="00A67C48">
        <w:fldChar w:fldCharType="begin">
          <w:fldData xml:space="preserve">PEVuZE5vdGU+PENpdGU+PEF1dGhvcj5NaW5pc3RyeSBvZiBFY29ub215IGFuZCBQbGFubmluZzwv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</w:fldData>
        </w:fldChar>
      </w:r>
      <w:r w:rsidR="00A67C48">
        <w:instrText xml:space="preserve"> ADDIN EN.CITE.DATA </w:instrText>
      </w:r>
      <w:r w:rsidR="00A67C48">
        <w:fldChar w:fldCharType="end"/>
      </w:r>
      <w:r w:rsidR="00A67C48">
        <w:fldChar w:fldCharType="separate"/>
      </w:r>
      <w:r w:rsidR="00A67C48">
        <w:rPr>
          <w:noProof/>
        </w:rPr>
        <w:t>(</w:t>
      </w:r>
      <w:hyperlink w:anchor="_ENREF_10" w:tooltip="Ministry of Economy and Planning, 2010 #23" w:history="1">
        <w:r w:rsidR="00EB16D2">
          <w:rPr>
            <w:noProof/>
          </w:rPr>
          <w:t>Ministry of Economy and Planning 2010, p. 30</w:t>
        </w:r>
      </w:hyperlink>
      <w:r w:rsidR="00A67C48">
        <w:rPr>
          <w:noProof/>
        </w:rPr>
        <w:t>)</w:t>
      </w:r>
      <w:r w:rsidR="00A67C48">
        <w:fldChar w:fldCharType="end"/>
      </w:r>
      <w:r w:rsidR="00A67C48" w:rsidRPr="00A67C48">
        <w:t>.</w:t>
      </w:r>
      <w:r w:rsidR="00A67C48">
        <w:t xml:space="preserve">”  Government is struggling with the baseline </w:t>
      </w:r>
      <w:r w:rsidR="00BE5E3E">
        <w:t xml:space="preserve">which shows </w:t>
      </w:r>
      <w:r w:rsidR="00A67C48">
        <w:t>that a</w:t>
      </w:r>
      <w:r>
        <w:t xml:space="preserve">t present, </w:t>
      </w:r>
      <w:r w:rsidR="00AB6329">
        <w:t xml:space="preserve">of those with post-secondary education (university and technical diplomas), 43 percent remain jobless.  </w:t>
      </w:r>
      <w:r w:rsidR="00C42C97">
        <w:t>Among youth as a group,</w:t>
      </w:r>
      <w:r w:rsidR="00F177E6">
        <w:t xml:space="preserve"> </w:t>
      </w:r>
      <w:r w:rsidR="00C42C97">
        <w:t xml:space="preserve">28.5 percent are unemployed.  </w:t>
      </w:r>
    </w:p>
    <w:p w14:paraId="14CBD4D5" w14:textId="77777777" w:rsidR="00F177E6" w:rsidRDefault="00F177E6" w:rsidP="00BB1132">
      <w:pPr>
        <w:pStyle w:val="Heading5"/>
      </w:pPr>
      <w:r>
        <w:t>Unemployment, regional baseline</w:t>
      </w:r>
    </w:p>
    <w:p w14:paraId="6AB0BC8E" w14:textId="77777777" w:rsidR="0067260C" w:rsidRDefault="00F177E6" w:rsidP="00F177E6">
      <w:pPr>
        <w:autoSpaceDE w:val="0"/>
        <w:autoSpaceDN w:val="0"/>
        <w:adjustRightInd w:val="0"/>
        <w:ind w:right="-23"/>
      </w:pPr>
      <w:r>
        <w:t xml:space="preserve">Throughout the world, youth unemployment is a concern, and the MENA region experiences this concern most critically.  The ILO </w:t>
      </w:r>
      <w:r w:rsidR="0067260C">
        <w:t xml:space="preserve">addressed world-wide concern about youth employment in a special report issued at the start of the CPD term.  Noting that the global financial crisis had created adverse conditions in labour markets everywhere, the report </w:t>
      </w:r>
      <w:r w:rsidR="00BE5E3E">
        <w:t>affirmed</w:t>
      </w:r>
      <w:r w:rsidR="0067260C">
        <w:t xml:space="preserve"> that some young people become discouraged and drop out entirely.  </w:t>
      </w:r>
      <w:r w:rsidR="005004CF">
        <w:t xml:space="preserve">The chart below, </w:t>
      </w:r>
      <w:r w:rsidR="00137F71">
        <w:t>taken from the ILO report, shows youth unemployment rates globally and for nine regions of the world (Fi</w:t>
      </w:r>
      <w:r w:rsidR="00BE5E3E">
        <w:t>gure 3.3</w:t>
      </w:r>
      <w:r w:rsidR="00137F71">
        <w:t xml:space="preserve">).  It </w:t>
      </w:r>
      <w:r w:rsidR="00BE5E3E">
        <w:t>presents</w:t>
      </w:r>
      <w:r w:rsidR="00137F71">
        <w:t xml:space="preserve"> rates separately for women and men, and provides an adjusted rate to take into consideration </w:t>
      </w:r>
      <w:r w:rsidR="00BE5E3E">
        <w:t>what would be an even</w:t>
      </w:r>
      <w:r w:rsidR="00137F71">
        <w:t xml:space="preserve"> higher rate if discouraged workers </w:t>
      </w:r>
      <w:r w:rsidR="00BE5E3E">
        <w:t>were</w:t>
      </w:r>
      <w:r w:rsidR="00137F71">
        <w:t xml:space="preserve"> included.  The Figure shows that the global rate of youth unemployment was approximately 12 percent and 13 percent for ma</w:t>
      </w:r>
      <w:r w:rsidR="00BE5E3E">
        <w:t xml:space="preserve">les and females, respectively </w:t>
      </w:r>
      <w:r w:rsidR="00BE5E3E">
        <w:fldChar w:fldCharType="begin"/>
      </w:r>
      <w:r w:rsidR="00BE5E3E">
        <w:instrText xml:space="preserve"> ADDIN EN.CITE &lt;EndNote&gt;&lt;Cite&gt;&lt;Author&gt;ILO&lt;/Author&gt;&lt;Year&gt;2014&lt;/Year&gt;&lt;RecNum&gt;241&lt;/RecNum&gt;&lt;DisplayText&gt;(ILO 2014)&lt;/DisplayText&gt;&lt;record&gt;&lt;rec-number&gt;241&lt;/rec-number&gt;&lt;foreign-keys&gt;&lt;key app="EN" db-id="5a0wsfarrxszvze9rr65r5a3vr95ffwx90f9" timestamp="1405122603"&gt;241&lt;/key&gt;&lt;/foreign-keys&gt;&lt;ref-type name="Online Database"&gt;45&lt;/ref-type&gt;&lt;contributors&gt;&lt;authors&gt;&lt;author&gt;ILO&lt;/author&gt;&lt;/authors&gt;&lt;/contributors&gt;&lt;titles&gt;&lt;title&gt;ILO Statistics and databases&lt;/title&gt;&lt;/titles&gt;&lt;dates&gt;&lt;year&gt;2014&lt;/year&gt;&lt;pub-dates&gt;&lt;date&gt;11 July 2014&lt;/date&gt;&lt;/pub-dates&gt;&lt;/dates&gt;&lt;pub-location&gt;Geneva&lt;/pub-location&gt;&lt;publisher&gt;International Labour Organization&lt;/publisher&gt;&lt;urls&gt;&lt;related-urls&gt;&lt;url&gt;http://www.ilo.org/global/statistics-and-databases/lang--en/index.htm&lt;/url&gt;&lt;/related-urls&gt;&lt;/urls&gt;&lt;research-notes&gt;http://www.ilo.org/ilostat/faces/home/statisticaldata/data_by_country/country-details/indicator-details?country=SAU&amp;amp;subject=UNE&amp;amp;indicator=UNE_DEAP_SEX_AGE_RT&amp;amp;datasetCode=YI&amp;amp;collectionCode=YI&amp;amp;_afrLoop=1926917413003070#%40%3Findicator%3DUNE_DEAP_SEX_AGE_RT%26subject%3DUNE%26_afrLoop%3D1926917413003070%26datasetCode%3DYI%26collectionCode%3DYI%26country%3DSAU%26_adf.ctrl-state%3D16ny21pser_139&lt;/research-notes&gt;&lt;/record&gt;&lt;/Cite&gt;&lt;/EndNote&gt;</w:instrText>
      </w:r>
      <w:r w:rsidR="00BE5E3E">
        <w:fldChar w:fldCharType="separate"/>
      </w:r>
      <w:r w:rsidR="00BE5E3E">
        <w:rPr>
          <w:noProof/>
        </w:rPr>
        <w:t>(</w:t>
      </w:r>
      <w:hyperlink w:anchor="_ENREF_9" w:tooltip="ILO, 2014 #241" w:history="1">
        <w:r w:rsidR="00EB16D2">
          <w:rPr>
            <w:noProof/>
          </w:rPr>
          <w:t>ILO 2014</w:t>
        </w:r>
      </w:hyperlink>
      <w:r w:rsidR="00BE5E3E">
        <w:rPr>
          <w:noProof/>
        </w:rPr>
        <w:t>)</w:t>
      </w:r>
      <w:r w:rsidR="00BE5E3E">
        <w:fldChar w:fldCharType="end"/>
      </w:r>
      <w:r w:rsidR="00BE5E3E">
        <w:t>.</w:t>
      </w:r>
    </w:p>
    <w:p w14:paraId="193E70E0" w14:textId="77777777" w:rsidR="00F177E6" w:rsidRDefault="00A33048" w:rsidP="00A33048">
      <w:pPr>
        <w:autoSpaceDE w:val="0"/>
        <w:autoSpaceDN w:val="0"/>
        <w:adjustRightInd w:val="0"/>
        <w:ind w:right="-23"/>
      </w:pPr>
      <w:r>
        <w:t>Standing out among all regions, the Middle East and North Africa, shown separately, are burdened by rates that are almost double the global average.  This is particularly marked for women.  Unemployment rates for men are about 22 percent; for women the rate is above 40 percent, or three times the global average.</w:t>
      </w:r>
    </w:p>
    <w:p w14:paraId="0B7CFA53" w14:textId="77777777" w:rsidR="008F138D" w:rsidRPr="000A2735" w:rsidRDefault="00BE5E3E" w:rsidP="00A33048">
      <w:pPr>
        <w:pStyle w:val="Caption"/>
      </w:pPr>
      <w:r>
        <w:t>Figure 3.3</w:t>
      </w:r>
      <w:r w:rsidR="00A33048">
        <w:t xml:space="preserve"> Youth unemployment rate, global and regional; by sex</w:t>
      </w:r>
    </w:p>
    <w:p w14:paraId="549BF76D" w14:textId="77777777" w:rsidR="00EB40F1" w:rsidRDefault="00414F5D">
      <w:r w:rsidRPr="00414F5D">
        <w:rPr>
          <w:noProof/>
          <w:lang w:val="en-US"/>
        </w:rPr>
        <w:drawing>
          <wp:inline distT="0" distB="0" distL="0" distR="0" wp14:anchorId="2EC62C9D" wp14:editId="03AA5A8E">
            <wp:extent cx="6016625" cy="38696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16625" cy="3869690"/>
                    </a:xfrm>
                    <a:prstGeom prst="rect">
                      <a:avLst/>
                    </a:prstGeom>
                  </pic:spPr>
                </pic:pic>
              </a:graphicData>
            </a:graphic>
          </wp:inline>
        </w:drawing>
      </w:r>
    </w:p>
    <w:p w14:paraId="7E6FF00E" w14:textId="77777777" w:rsidR="00EB40F1" w:rsidRPr="00BE5E3E" w:rsidRDefault="00BE5E3E" w:rsidP="00BE5E3E">
      <w:pPr>
        <w:ind w:left="720"/>
        <w:rPr>
          <w:sz w:val="16"/>
        </w:rPr>
      </w:pPr>
      <w:r w:rsidRPr="00BE5E3E">
        <w:rPr>
          <w:sz w:val="16"/>
        </w:rPr>
        <w:t>Source:  ILO 2014</w:t>
      </w:r>
    </w:p>
    <w:p w14:paraId="275932A9" w14:textId="77777777" w:rsidR="00BE5E3E" w:rsidRDefault="000D2DF2" w:rsidP="008C3549">
      <w:pPr>
        <w:ind w:right="-72"/>
      </w:pPr>
      <w:r>
        <w:t>Unemployment data are released with some lag; current data for KSA show the rate for 2013.</w:t>
      </w:r>
      <w:r w:rsidR="001F7327">
        <w:t xml:space="preserve">  Overall, youth unemployment was at 29.4 percent. For young men this amounted to 21.0 percent of those willing and able to work, and for young women the rate was a staggering 54.8 percent. </w:t>
      </w:r>
      <w:r>
        <w:t xml:space="preserve"> </w:t>
      </w:r>
      <w:r w:rsidR="001E0FD7">
        <w:t>Chapter</w:t>
      </w:r>
      <w:r>
        <w:t xml:space="preserve"> 4, Findings of the Outcome Evaluation, discusses the status of unemployment indicators a</w:t>
      </w:r>
      <w:r w:rsidR="00BE5E3E">
        <w:t>t the mid-term point of the CPD</w:t>
      </w:r>
      <w:r>
        <w:t xml:space="preserve">.  </w:t>
      </w:r>
      <w:r w:rsidR="00060FEB">
        <w:t xml:space="preserve">As discussed in </w:t>
      </w:r>
      <w:r w:rsidR="001E0FD7">
        <w:t>Chapter</w:t>
      </w:r>
      <w:r w:rsidR="00060FEB">
        <w:t xml:space="preserve"> 4, progress has been limited and uneven.</w:t>
      </w:r>
    </w:p>
    <w:p w14:paraId="23F954B0" w14:textId="77777777" w:rsidR="00D06612" w:rsidRDefault="00E878BB" w:rsidP="00E878BB">
      <w:pPr>
        <w:pStyle w:val="Heading2"/>
        <w:numPr>
          <w:ilvl w:val="1"/>
          <w:numId w:val="28"/>
        </w:numPr>
      </w:pPr>
      <w:bookmarkStart w:id="17" w:name="_Toc399078748"/>
      <w:r>
        <w:t>Situation of w</w:t>
      </w:r>
      <w:r w:rsidR="00EB40F1">
        <w:t>omen</w:t>
      </w:r>
      <w:bookmarkEnd w:id="17"/>
    </w:p>
    <w:p w14:paraId="2F32AEDE" w14:textId="77777777" w:rsidR="00C454CE" w:rsidRPr="00C454CE" w:rsidRDefault="00EB40F1" w:rsidP="008C3549">
      <w:pPr>
        <w:ind w:right="-23"/>
      </w:pPr>
      <w:r w:rsidRPr="00876980">
        <w:t xml:space="preserve">The CPD overall objectives </w:t>
      </w:r>
      <w:r w:rsidR="002F497F">
        <w:t>include</w:t>
      </w:r>
      <w:r w:rsidRPr="00876980">
        <w:t xml:space="preserve"> improving standards of living and promoting a high quality of life by reducing unemployment rates.</w:t>
      </w:r>
      <w:r w:rsidR="00C454CE">
        <w:t xml:space="preserve">  The baseline at the time of preparing the CPD included a high level of unemployment of women, particularly rural and young women.  At that time, as well, the number and capacity of CSOs engaged </w:t>
      </w:r>
      <w:r w:rsidR="00C454CE" w:rsidRPr="00C454CE">
        <w:t xml:space="preserve">in </w:t>
      </w:r>
      <w:r w:rsidR="000D2DF2">
        <w:t>enhancing</w:t>
      </w:r>
      <w:r w:rsidR="00C454CE" w:rsidRPr="00C454CE">
        <w:t xml:space="preserve"> women’s role in economic and public life was modest.</w:t>
      </w:r>
    </w:p>
    <w:p w14:paraId="466B46B3" w14:textId="77777777" w:rsidR="00D724F4" w:rsidRDefault="00C454CE" w:rsidP="008C3549">
      <w:pPr>
        <w:ind w:right="119"/>
      </w:pPr>
      <w:r>
        <w:t xml:space="preserve">The situation of women was described by the project document </w:t>
      </w:r>
      <w:r w:rsidR="000D2DF2">
        <w:t>addressing</w:t>
      </w:r>
      <w:r>
        <w:t xml:space="preserve"> support to women’s employment.  It stated that </w:t>
      </w:r>
      <w:r w:rsidR="000D2DF2">
        <w:t>“</w:t>
      </w:r>
      <w:r w:rsidR="00EB40F1" w:rsidRPr="00876980">
        <w:t>raising the skill level and developing manpower (in this instance women capacity)</w:t>
      </w:r>
      <w:r w:rsidR="000D2DF2">
        <w:t>”</w:t>
      </w:r>
      <w:r w:rsidR="00EB40F1" w:rsidRPr="00876980">
        <w:t xml:space="preserve"> </w:t>
      </w:r>
      <w:r>
        <w:t>was</w:t>
      </w:r>
      <w:r w:rsidR="00EB40F1" w:rsidRPr="00876980">
        <w:t xml:space="preserve"> of central concern.  </w:t>
      </w:r>
      <w:r w:rsidR="00167A4C">
        <w:t>As the</w:t>
      </w:r>
      <w:r w:rsidR="00876980" w:rsidRPr="00876980">
        <w:t xml:space="preserve"> CPD underlines</w:t>
      </w:r>
      <w:r w:rsidR="00167A4C">
        <w:t>,</w:t>
      </w:r>
      <w:r w:rsidR="00876980" w:rsidRPr="00876980">
        <w:t xml:space="preserve"> </w:t>
      </w:r>
      <w:r w:rsidR="000D2DF2">
        <w:t>promoting</w:t>
      </w:r>
      <w:r w:rsidR="00876980" w:rsidRPr="00876980">
        <w:t xml:space="preserve"> the </w:t>
      </w:r>
      <w:r>
        <w:t>effective participation of w</w:t>
      </w:r>
      <w:r w:rsidR="00876980" w:rsidRPr="00876980">
        <w:t>omen in Saudi Arabia’s development is clearly stated in the c</w:t>
      </w:r>
      <w:r w:rsidR="004E58B9">
        <w:t>ountry’s 9th NDP.  The NDP noted</w:t>
      </w:r>
      <w:r w:rsidR="00876980" w:rsidRPr="00876980">
        <w:t xml:space="preserve"> that despite progress in their health and education, participation of women in economic activity is still limited, compared with the total number of women of working age or the total labour force.</w:t>
      </w:r>
      <w:r w:rsidR="00D724F4">
        <w:t xml:space="preserve">  </w:t>
      </w:r>
    </w:p>
    <w:p w14:paraId="1C8428E1" w14:textId="77777777" w:rsidR="00706CFB" w:rsidRDefault="00706CFB" w:rsidP="008C3549">
      <w:pPr>
        <w:ind w:right="119"/>
      </w:pPr>
      <w:r>
        <w:t>At the time of designing the project document, t</w:t>
      </w:r>
      <w:r w:rsidR="00876980" w:rsidRPr="00876980">
        <w:t xml:space="preserve">he ratio of </w:t>
      </w:r>
      <w:r w:rsidR="00876980" w:rsidRPr="00AB3969">
        <w:rPr>
          <w:i/>
        </w:rPr>
        <w:t>working</w:t>
      </w:r>
      <w:r w:rsidR="00876980" w:rsidRPr="00876980">
        <w:t xml:space="preserve"> Saudi women</w:t>
      </w:r>
      <w:r w:rsidR="00167A4C">
        <w:t xml:space="preserve"> </w:t>
      </w:r>
      <w:r w:rsidR="00876980" w:rsidRPr="00876980">
        <w:t xml:space="preserve">to </w:t>
      </w:r>
      <w:r w:rsidR="00876980" w:rsidRPr="00AB3969">
        <w:rPr>
          <w:i/>
        </w:rPr>
        <w:t>total</w:t>
      </w:r>
      <w:r w:rsidR="00876980" w:rsidRPr="00876980">
        <w:t xml:space="preserve"> Saudi women </w:t>
      </w:r>
      <w:r w:rsidR="00167A4C" w:rsidRPr="00876980">
        <w:t xml:space="preserve">of working age (15 years and older) </w:t>
      </w:r>
      <w:r w:rsidR="00876980" w:rsidRPr="00876980">
        <w:t xml:space="preserve">in 2008 </w:t>
      </w:r>
      <w:r w:rsidR="00167A4C" w:rsidRPr="008214AE">
        <w:t>was</w:t>
      </w:r>
      <w:r w:rsidR="00876980" w:rsidRPr="008214AE">
        <w:t xml:space="preserve"> 8.4%, and their participation in the labour</w:t>
      </w:r>
      <w:r w:rsidR="00C454CE" w:rsidRPr="008214AE">
        <w:t xml:space="preserve"> force</w:t>
      </w:r>
      <w:r w:rsidR="00BD5CD8" w:rsidRPr="008214AE">
        <w:t>, or LFPR,</w:t>
      </w:r>
      <w:r w:rsidR="00C454CE" w:rsidRPr="008214AE">
        <w:t xml:space="preserve"> </w:t>
      </w:r>
      <w:r w:rsidR="00167A4C" w:rsidRPr="008214AE">
        <w:t>was</w:t>
      </w:r>
      <w:r w:rsidR="00C454CE" w:rsidRPr="008214AE">
        <w:t xml:space="preserve"> </w:t>
      </w:r>
      <w:r>
        <w:t xml:space="preserve">estimated at </w:t>
      </w:r>
      <w:r w:rsidR="00C454CE" w:rsidRPr="008214AE">
        <w:t>11</w:t>
      </w:r>
      <w:r w:rsidR="00876980" w:rsidRPr="008214AE">
        <w:t>.5%</w:t>
      </w:r>
      <w:r w:rsidR="00167A4C" w:rsidRPr="008214AE">
        <w:t xml:space="preserve"> (</w:t>
      </w:r>
      <w:r w:rsidR="00BD5CD8" w:rsidRPr="008214AE">
        <w:t>the LFPR</w:t>
      </w:r>
      <w:r w:rsidR="00167A4C" w:rsidRPr="008214AE">
        <w:t xml:space="preserve"> is</w:t>
      </w:r>
      <w:r w:rsidR="00BD5CD8" w:rsidRPr="008214AE">
        <w:t xml:space="preserve"> </w:t>
      </w:r>
      <w:r w:rsidR="00167A4C" w:rsidRPr="008214AE">
        <w:t xml:space="preserve">the </w:t>
      </w:r>
      <w:r w:rsidR="00BD5CD8" w:rsidRPr="008214AE">
        <w:t xml:space="preserve">sum of all persons </w:t>
      </w:r>
      <w:r w:rsidR="00167A4C" w:rsidRPr="008214AE">
        <w:t>working and actively seeking work</w:t>
      </w:r>
      <w:r w:rsidR="00167A4C">
        <w:t>)</w:t>
      </w:r>
      <w:r w:rsidR="00876980" w:rsidRPr="00876980">
        <w:t>.</w:t>
      </w:r>
      <w:r w:rsidR="00BD5CD8">
        <w:rPr>
          <w:rStyle w:val="FootnoteReference"/>
        </w:rPr>
        <w:footnoteReference w:id="4"/>
      </w:r>
      <w:r w:rsidR="00876980" w:rsidRPr="00876980">
        <w:t xml:space="preserve"> </w:t>
      </w:r>
      <w:r w:rsidR="008214AE">
        <w:t xml:space="preserve"> </w:t>
      </w:r>
      <w:r w:rsidR="00876980" w:rsidRPr="00876980">
        <w:t>This remains one of the lowest rates in the region</w:t>
      </w:r>
      <w:r>
        <w:t xml:space="preserve"> </w:t>
      </w:r>
      <w:r>
        <w:fldChar w:fldCharType="begin"/>
      </w:r>
      <w:r>
        <w:instrText xml:space="preserve"> ADDIN EN.CITE &lt;EndNote&gt;&lt;Cite&gt;&lt;Author&gt;UNDP Saudi Arabia&lt;/Author&gt;&lt;Year&gt;2011&lt;/Year&gt;&lt;RecNum&gt;256&lt;/RecNum&gt;&lt;DisplayText&gt;(UNDP Saudi Arabia 2011b)&lt;/DisplayText&gt;&lt;record&gt;&lt;rec-number&gt;256&lt;/rec-number&gt;&lt;foreign-keys&gt;&lt;key app="EN" db-id="5a0wsfarrxszvze9rr65r5a3vr95ffwx90f9" timestamp="1407360955"&gt;256&lt;/key&gt;&lt;/foreign-keys&gt;&lt;ref-type name="Report"&gt;27&lt;/ref-type&gt;&lt;contributors&gt;&lt;authors&gt;&lt;author&gt;UNDP Saudi Arabia,&lt;/author&gt;&lt;/authors&gt;&lt;/contributors&gt;&lt;titles&gt;&lt;title&gt;Project Document:  Women Empowerment in Saudi Arabia&lt;/title&gt;&lt;/titles&gt;&lt;dates&gt;&lt;year&gt;2011&lt;/year&gt;&lt;/dates&gt;&lt;pub-location&gt;Riyadh&lt;/pub-location&gt;&lt;publisher&gt;UNDP KSA&lt;/publisher&gt;&lt;urls&gt;&lt;/urls&gt;&lt;/record&gt;&lt;/Cite&gt;&lt;/EndNote&gt;</w:instrText>
      </w:r>
      <w:r>
        <w:fldChar w:fldCharType="separate"/>
      </w:r>
      <w:r>
        <w:rPr>
          <w:noProof/>
        </w:rPr>
        <w:t>(</w:t>
      </w:r>
      <w:hyperlink w:anchor="_ENREF_23" w:tooltip="UNDP Saudi Arabia, 2011 #256" w:history="1">
        <w:r w:rsidR="00EB16D2">
          <w:rPr>
            <w:noProof/>
          </w:rPr>
          <w:t>UNDP Saudi Arabia 2011b</w:t>
        </w:r>
      </w:hyperlink>
      <w:r>
        <w:rPr>
          <w:noProof/>
        </w:rPr>
        <w:t>)</w:t>
      </w:r>
      <w:r>
        <w:fldChar w:fldCharType="end"/>
      </w:r>
      <w:r w:rsidR="008214AE">
        <w:t>.</w:t>
      </w:r>
      <w:r>
        <w:t xml:space="preserve">  What is troubling is that this rate has changed little.  Since the development of the CPD, observers have noted that these participation rates are slow to change in much of the MENA region </w:t>
      </w:r>
      <w:r>
        <w:fldChar w:fldCharType="begin"/>
      </w:r>
      <w:r>
        <w:instrText xml:space="preserve"> ADDIN EN.CITE &lt;EndNote&gt;&lt;Cite&gt;&lt;Author&gt;World Bank&lt;/Author&gt;&lt;Year&gt;2013&lt;/Year&gt;&lt;RecNum&gt;255&lt;/RecNum&gt;&lt;DisplayText&gt;(World Bank 2013)&lt;/DisplayText&gt;&lt;record&gt;&lt;rec-number&gt;255&lt;/rec-number&gt;&lt;foreign-keys&gt;&lt;key app="EN" db-id="5a0wsfarrxszvze9rr65r5a3vr95ffwx90f9" timestamp="1407360283"&gt;255&lt;/key&gt;&lt;/foreign-keys&gt;&lt;ref-type name="Report"&gt;27&lt;/ref-type&gt;&lt;contributors&gt;&lt;authors&gt;&lt;author&gt;World Bank,&lt;/author&gt;&lt;/authors&gt;&lt;/contributors&gt;&lt;titles&gt;&lt;title&gt;Opening Doors:  Gender Equality and Development in the Middle East and North Africa&lt;/title&gt;&lt;/titles&gt;&lt;dates&gt;&lt;year&gt;2013&lt;/year&gt;&lt;/dates&gt;&lt;pub-location&gt;Washington DC&lt;/pub-location&gt;&lt;publisher&gt;World Bank&lt;/publisher&gt;&lt;urls&gt;&lt;related-urls&gt;&lt;url&gt;http://www-wds.worldbank.org/external/default/WDSContentServer/WDSP/IB/2013/02/07/000356161_20130207123902/Rendered/PDF/751810PUB0EPI002060130Opening0doors.pdf&lt;/url&gt;&lt;/related-urls&gt;&lt;/urls&gt;&lt;electronic-resource-num&gt;10.1596/978-0-8213-9763-3&lt;/electronic-resource-num&gt;&lt;research-notes&gt;Quicknote version by Tara Vishwanath&amp;#xD;https://openknowledge.worldbank.org/bitstream/handle/10986/10844/677410BRI00PUB020120Box367893B0QN60.pdf?sequence=1 &lt;/research-notes&gt;&lt;/record&gt;&lt;/Cite&gt;&lt;/EndNote&gt;</w:instrText>
      </w:r>
      <w:r>
        <w:fldChar w:fldCharType="separate"/>
      </w:r>
      <w:r>
        <w:rPr>
          <w:noProof/>
        </w:rPr>
        <w:t>(</w:t>
      </w:r>
      <w:hyperlink w:anchor="_ENREF_25" w:tooltip="World Bank, 2013 #255" w:history="1">
        <w:r w:rsidR="00EB16D2">
          <w:rPr>
            <w:noProof/>
          </w:rPr>
          <w:t>World Bank 2013</w:t>
        </w:r>
      </w:hyperlink>
      <w:r>
        <w:rPr>
          <w:noProof/>
        </w:rPr>
        <w:t>)</w:t>
      </w:r>
      <w:r>
        <w:fldChar w:fldCharType="end"/>
      </w:r>
      <w:r>
        <w:t>.  Figure 3.3 shows recent data available for KSA labour force participation rates; as the data table indicates, there has been very little movement over a five-year period.</w:t>
      </w:r>
    </w:p>
    <w:p w14:paraId="15211024" w14:textId="77777777" w:rsidR="00706CFB" w:rsidRDefault="00706CFB" w:rsidP="00706CFB">
      <w:pPr>
        <w:pStyle w:val="Caption"/>
      </w:pPr>
      <w:r>
        <w:t>Figure 3.3 Labour force participation rates 2008-2012, by sex</w:t>
      </w:r>
    </w:p>
    <w:p w14:paraId="3074E4BC" w14:textId="77777777" w:rsidR="00E66130" w:rsidRDefault="00E66130" w:rsidP="008214AE">
      <w:pPr>
        <w:ind w:right="119"/>
        <w:jc w:val="center"/>
      </w:pPr>
      <w:r>
        <w:rPr>
          <w:noProof/>
          <w:lang w:val="en-US"/>
        </w:rPr>
        <w:drawing>
          <wp:inline distT="0" distB="0" distL="0" distR="0" wp14:anchorId="3960B30F" wp14:editId="4DC20623">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77C7DB" w14:textId="77777777" w:rsidR="00E66130" w:rsidRPr="00706CFB" w:rsidRDefault="00706CFB" w:rsidP="00706CFB">
      <w:pPr>
        <w:ind w:left="1440" w:right="119"/>
        <w:rPr>
          <w:sz w:val="16"/>
        </w:rPr>
      </w:pPr>
      <w:r w:rsidRPr="00706CFB">
        <w:rPr>
          <w:sz w:val="16"/>
        </w:rPr>
        <w:t>Source:  WB 2014 (WDI)</w:t>
      </w:r>
    </w:p>
    <w:p w14:paraId="013AE1F2" w14:textId="77777777" w:rsidR="00706CFB" w:rsidRDefault="00706CFB" w:rsidP="008214AE">
      <w:pPr>
        <w:ind w:right="119"/>
      </w:pPr>
      <w:r>
        <w:t>The ratio of the female to male LFPR</w:t>
      </w:r>
      <w:r w:rsidR="00AB3969">
        <w:t>s</w:t>
      </w:r>
      <w:r>
        <w:t xml:space="preserve">, likewise has hardly shifted.  As the table below shows, </w:t>
      </w:r>
      <w:r w:rsidR="00956A36">
        <w:t xml:space="preserve">the ratio of </w:t>
      </w:r>
      <w:r w:rsidR="00BC4194">
        <w:t>females</w:t>
      </w:r>
      <w:r w:rsidR="00956A36">
        <w:t xml:space="preserve"> who are active in the labour force, compared with males, has hovered below 25 percent over the five-year period.</w:t>
      </w:r>
    </w:p>
    <w:p w14:paraId="4AFABC08" w14:textId="77777777" w:rsidR="00706CFB" w:rsidRDefault="00956A36" w:rsidP="00956A36">
      <w:pPr>
        <w:pStyle w:val="Caption"/>
      </w:pPr>
      <w:r>
        <w:t xml:space="preserve">Table 3.2 </w:t>
      </w:r>
      <w:r w:rsidR="00706CFB">
        <w:t>Ratio of female to male labour force participation, 2008-2012</w:t>
      </w:r>
      <w:r>
        <w:t>. %</w:t>
      </w:r>
      <w:r w:rsidR="00706CFB">
        <w:t>.</w:t>
      </w:r>
    </w:p>
    <w:tbl>
      <w:tblPr>
        <w:tblW w:w="0" w:type="auto"/>
        <w:jc w:val="center"/>
        <w:tblLook w:val="04A0" w:firstRow="1" w:lastRow="0" w:firstColumn="1" w:lastColumn="0" w:noHBand="0" w:noVBand="1"/>
      </w:tblPr>
      <w:tblGrid>
        <w:gridCol w:w="1079"/>
        <w:gridCol w:w="663"/>
        <w:gridCol w:w="663"/>
        <w:gridCol w:w="663"/>
        <w:gridCol w:w="663"/>
        <w:gridCol w:w="663"/>
      </w:tblGrid>
      <w:tr w:rsidR="00706CFB" w:rsidRPr="00706CFB" w14:paraId="4188B873" w14:textId="77777777" w:rsidTr="00706CF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C64D0" w14:textId="77777777" w:rsidR="00706CFB" w:rsidRPr="00706CFB" w:rsidRDefault="00706CFB" w:rsidP="00706CFB">
            <w:pPr>
              <w:spacing w:before="0" w:after="0"/>
              <w:ind w:right="0"/>
              <w:rPr>
                <w:rFonts w:ascii="Calibri" w:eastAsia="Times New Roman" w:hAnsi="Calibri" w:cs="Times New Roman"/>
                <w:color w:val="000000"/>
                <w:lang w:eastAsia="en-GB"/>
              </w:rPr>
            </w:pPr>
            <w:r w:rsidRPr="00706CFB">
              <w:rPr>
                <w:rFonts w:ascii="Calibri" w:eastAsia="Times New Roman" w:hAnsi="Calibri" w:cs="Times New Roman"/>
                <w:color w:val="000000"/>
                <w:lang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843FB3" w14:textId="77777777" w:rsidR="00706CFB" w:rsidRPr="00706CFB" w:rsidRDefault="00706CFB" w:rsidP="00706CFB">
            <w:pPr>
              <w:spacing w:before="0" w:after="0"/>
              <w:ind w:right="0"/>
              <w:jc w:val="right"/>
              <w:rPr>
                <w:rFonts w:ascii="Calibri" w:eastAsia="Times New Roman" w:hAnsi="Calibri" w:cs="Times New Roman"/>
                <w:color w:val="000000"/>
                <w:lang w:eastAsia="en-GB"/>
              </w:rPr>
            </w:pPr>
            <w:r w:rsidRPr="00706CFB">
              <w:rPr>
                <w:rFonts w:ascii="Calibri" w:eastAsia="Times New Roman" w:hAnsi="Calibri" w:cs="Times New Roman"/>
                <w:color w:val="000000"/>
                <w:lang w:eastAsia="en-GB"/>
              </w:rPr>
              <w:t>2008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8CA273" w14:textId="77777777" w:rsidR="00706CFB" w:rsidRPr="00706CFB" w:rsidRDefault="00706CFB" w:rsidP="00706CFB">
            <w:pPr>
              <w:spacing w:before="0" w:after="0"/>
              <w:ind w:right="0"/>
              <w:jc w:val="right"/>
              <w:rPr>
                <w:rFonts w:ascii="Calibri" w:eastAsia="Times New Roman" w:hAnsi="Calibri" w:cs="Times New Roman"/>
                <w:color w:val="000000"/>
                <w:lang w:eastAsia="en-GB"/>
              </w:rPr>
            </w:pPr>
            <w:r w:rsidRPr="00706CFB">
              <w:rPr>
                <w:rFonts w:ascii="Calibri" w:eastAsia="Times New Roman" w:hAnsi="Calibri" w:cs="Times New Roman"/>
                <w:color w:val="000000"/>
                <w:lang w:eastAsia="en-GB"/>
              </w:rPr>
              <w:t>2009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40E93F" w14:textId="77777777" w:rsidR="00706CFB" w:rsidRPr="00706CFB" w:rsidRDefault="00706CFB" w:rsidP="00706CFB">
            <w:pPr>
              <w:spacing w:before="0" w:after="0"/>
              <w:ind w:right="0"/>
              <w:jc w:val="right"/>
              <w:rPr>
                <w:rFonts w:ascii="Calibri" w:eastAsia="Times New Roman" w:hAnsi="Calibri" w:cs="Times New Roman"/>
                <w:color w:val="000000"/>
                <w:lang w:eastAsia="en-GB"/>
              </w:rPr>
            </w:pPr>
            <w:r w:rsidRPr="00706CFB">
              <w:rPr>
                <w:rFonts w:ascii="Calibri" w:eastAsia="Times New Roman" w:hAnsi="Calibri" w:cs="Times New Roman"/>
                <w:color w:val="000000"/>
                <w:lang w:eastAsia="en-GB"/>
              </w:rPr>
              <w:t>2010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540FD10" w14:textId="77777777" w:rsidR="00706CFB" w:rsidRPr="00706CFB" w:rsidRDefault="00706CFB" w:rsidP="00706CFB">
            <w:pPr>
              <w:spacing w:before="0" w:after="0"/>
              <w:ind w:right="0"/>
              <w:jc w:val="right"/>
              <w:rPr>
                <w:rFonts w:ascii="Calibri" w:eastAsia="Times New Roman" w:hAnsi="Calibri" w:cs="Times New Roman"/>
                <w:color w:val="000000"/>
                <w:lang w:eastAsia="en-GB"/>
              </w:rPr>
            </w:pPr>
            <w:r w:rsidRPr="00706CFB">
              <w:rPr>
                <w:rFonts w:ascii="Calibri" w:eastAsia="Times New Roman" w:hAnsi="Calibri" w:cs="Times New Roman"/>
                <w:color w:val="000000"/>
                <w:lang w:eastAsia="en-GB"/>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392D3A" w14:textId="77777777" w:rsidR="00706CFB" w:rsidRPr="00706CFB" w:rsidRDefault="00706CFB" w:rsidP="00706CFB">
            <w:pPr>
              <w:spacing w:before="0" w:after="0"/>
              <w:ind w:right="0"/>
              <w:jc w:val="right"/>
              <w:rPr>
                <w:rFonts w:ascii="Calibri" w:eastAsia="Times New Roman" w:hAnsi="Calibri" w:cs="Times New Roman"/>
                <w:color w:val="000000"/>
                <w:lang w:eastAsia="en-GB"/>
              </w:rPr>
            </w:pPr>
            <w:r w:rsidRPr="00706CFB">
              <w:rPr>
                <w:rFonts w:ascii="Calibri" w:eastAsia="Times New Roman" w:hAnsi="Calibri" w:cs="Times New Roman"/>
                <w:color w:val="000000"/>
                <w:lang w:eastAsia="en-GB"/>
              </w:rPr>
              <w:t>2012</w:t>
            </w:r>
          </w:p>
        </w:tc>
      </w:tr>
      <w:tr w:rsidR="00706CFB" w:rsidRPr="00706CFB" w14:paraId="2E81BEDD" w14:textId="77777777" w:rsidTr="00706CF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18FE54" w14:textId="77777777" w:rsidR="00706CFB" w:rsidRPr="00706CFB" w:rsidRDefault="00706CFB" w:rsidP="00706CFB">
            <w:pPr>
              <w:spacing w:before="0" w:after="0"/>
              <w:ind w:right="0"/>
              <w:rPr>
                <w:rFonts w:ascii="Calibri" w:eastAsia="Times New Roman" w:hAnsi="Calibri" w:cs="Times New Roman"/>
                <w:color w:val="000000"/>
                <w:lang w:eastAsia="en-GB"/>
              </w:rPr>
            </w:pPr>
            <w:r w:rsidRPr="00706CFB">
              <w:rPr>
                <w:rFonts w:ascii="Calibri" w:eastAsia="Times New Roman" w:hAnsi="Calibri" w:cs="Times New Roman"/>
                <w:color w:val="000000"/>
                <w:lang w:eastAsia="en-GB"/>
              </w:rPr>
              <w:t>Ratio F:M</w:t>
            </w:r>
          </w:p>
        </w:tc>
        <w:tc>
          <w:tcPr>
            <w:tcW w:w="0" w:type="auto"/>
            <w:tcBorders>
              <w:top w:val="nil"/>
              <w:left w:val="nil"/>
              <w:bottom w:val="single" w:sz="4" w:space="0" w:color="auto"/>
              <w:right w:val="single" w:sz="4" w:space="0" w:color="auto"/>
            </w:tcBorders>
            <w:shd w:val="clear" w:color="auto" w:fill="auto"/>
            <w:noWrap/>
            <w:vAlign w:val="bottom"/>
            <w:hideMark/>
          </w:tcPr>
          <w:p w14:paraId="1AE19B3C" w14:textId="77777777" w:rsidR="00706CFB" w:rsidRPr="00706CFB" w:rsidRDefault="00956A36" w:rsidP="00706CFB">
            <w:pPr>
              <w:spacing w:before="0" w:after="0"/>
              <w:ind w:right="0"/>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24.2</w:t>
            </w:r>
          </w:p>
        </w:tc>
        <w:tc>
          <w:tcPr>
            <w:tcW w:w="0" w:type="auto"/>
            <w:tcBorders>
              <w:top w:val="nil"/>
              <w:left w:val="nil"/>
              <w:bottom w:val="single" w:sz="4" w:space="0" w:color="auto"/>
              <w:right w:val="single" w:sz="4" w:space="0" w:color="auto"/>
            </w:tcBorders>
            <w:shd w:val="clear" w:color="auto" w:fill="auto"/>
            <w:noWrap/>
            <w:vAlign w:val="bottom"/>
            <w:hideMark/>
          </w:tcPr>
          <w:p w14:paraId="5C0D018C" w14:textId="77777777" w:rsidR="00706CFB" w:rsidRPr="00706CFB" w:rsidRDefault="00956A36" w:rsidP="00706CFB">
            <w:pPr>
              <w:spacing w:before="0" w:after="0"/>
              <w:ind w:right="0"/>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23.8</w:t>
            </w:r>
          </w:p>
        </w:tc>
        <w:tc>
          <w:tcPr>
            <w:tcW w:w="0" w:type="auto"/>
            <w:tcBorders>
              <w:top w:val="nil"/>
              <w:left w:val="nil"/>
              <w:bottom w:val="single" w:sz="4" w:space="0" w:color="auto"/>
              <w:right w:val="single" w:sz="4" w:space="0" w:color="auto"/>
            </w:tcBorders>
            <w:shd w:val="clear" w:color="auto" w:fill="auto"/>
            <w:noWrap/>
            <w:vAlign w:val="bottom"/>
            <w:hideMark/>
          </w:tcPr>
          <w:p w14:paraId="7A012CE6" w14:textId="77777777" w:rsidR="00706CFB" w:rsidRPr="00706CFB" w:rsidRDefault="00956A36" w:rsidP="00706CFB">
            <w:pPr>
              <w:spacing w:before="0" w:after="0"/>
              <w:ind w:right="0"/>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24.1</w:t>
            </w:r>
          </w:p>
        </w:tc>
        <w:tc>
          <w:tcPr>
            <w:tcW w:w="0" w:type="auto"/>
            <w:tcBorders>
              <w:top w:val="nil"/>
              <w:left w:val="nil"/>
              <w:bottom w:val="single" w:sz="4" w:space="0" w:color="auto"/>
              <w:right w:val="single" w:sz="4" w:space="0" w:color="auto"/>
            </w:tcBorders>
            <w:shd w:val="clear" w:color="auto" w:fill="auto"/>
            <w:noWrap/>
            <w:vAlign w:val="bottom"/>
            <w:hideMark/>
          </w:tcPr>
          <w:p w14:paraId="1A2479FB" w14:textId="77777777" w:rsidR="00706CFB" w:rsidRPr="00706CFB" w:rsidRDefault="00956A36" w:rsidP="00706CFB">
            <w:pPr>
              <w:spacing w:before="0" w:after="0"/>
              <w:ind w:right="0"/>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24.5</w:t>
            </w:r>
          </w:p>
        </w:tc>
        <w:tc>
          <w:tcPr>
            <w:tcW w:w="0" w:type="auto"/>
            <w:tcBorders>
              <w:top w:val="nil"/>
              <w:left w:val="nil"/>
              <w:bottom w:val="single" w:sz="4" w:space="0" w:color="auto"/>
              <w:right w:val="single" w:sz="4" w:space="0" w:color="auto"/>
            </w:tcBorders>
            <w:shd w:val="clear" w:color="auto" w:fill="auto"/>
            <w:noWrap/>
            <w:vAlign w:val="bottom"/>
            <w:hideMark/>
          </w:tcPr>
          <w:p w14:paraId="04684091" w14:textId="77777777" w:rsidR="00706CFB" w:rsidRPr="00706CFB" w:rsidRDefault="00956A36" w:rsidP="00706CFB">
            <w:pPr>
              <w:spacing w:before="0" w:after="0"/>
              <w:ind w:right="0"/>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24.7</w:t>
            </w:r>
          </w:p>
        </w:tc>
      </w:tr>
    </w:tbl>
    <w:p w14:paraId="4283E300" w14:textId="77777777" w:rsidR="00706CFB" w:rsidRPr="00706CFB" w:rsidRDefault="00706CFB" w:rsidP="00706CFB">
      <w:pPr>
        <w:ind w:left="2880" w:right="119"/>
        <w:rPr>
          <w:sz w:val="16"/>
        </w:rPr>
      </w:pPr>
      <w:r w:rsidRPr="00706CFB">
        <w:rPr>
          <w:sz w:val="16"/>
        </w:rPr>
        <w:t>Source:  WB 2014 (WDI)</w:t>
      </w:r>
    </w:p>
    <w:p w14:paraId="58A8521D" w14:textId="77777777" w:rsidR="00706CFB" w:rsidRDefault="00706CFB" w:rsidP="008214AE">
      <w:pPr>
        <w:ind w:right="119"/>
      </w:pPr>
    </w:p>
    <w:p w14:paraId="4C62F794" w14:textId="77777777" w:rsidR="008214AE" w:rsidRDefault="00EB16D2" w:rsidP="008214AE">
      <w:pPr>
        <w:ind w:right="119"/>
      </w:pPr>
      <w:r>
        <w:t xml:space="preserve">Project documents noted that </w:t>
      </w:r>
      <w:r w:rsidR="00AB3969">
        <w:t xml:space="preserve">women without their secondary graduation diploma had little chance of being employed:  fewer than 3 percent had a job.  </w:t>
      </w:r>
      <w:r w:rsidR="008214AE" w:rsidRPr="00876980">
        <w:t xml:space="preserve"> </w:t>
      </w:r>
      <w:r w:rsidR="008214AE">
        <w:t>In sharp contrast, t</w:t>
      </w:r>
      <w:r w:rsidR="008214AE" w:rsidRPr="00876980">
        <w:t>he vast majority of employed women are educated:  more than 97% o</w:t>
      </w:r>
      <w:r w:rsidR="00AB3969">
        <w:t>f employed women hold a diploma</w:t>
      </w:r>
      <w:r w:rsidR="008214AE" w:rsidRPr="00876980">
        <w:t xml:space="preserve"> </w:t>
      </w:r>
      <w:r w:rsidR="008214AE" w:rsidRPr="00AB3969">
        <w:t>(</w:t>
      </w:r>
      <w:r w:rsidR="00AB3969" w:rsidRPr="00AB3969">
        <w:t>UNDP Saudi Arabia, 2011b, p. 1</w:t>
      </w:r>
      <w:r w:rsidR="008214AE" w:rsidRPr="00AB3969">
        <w:t>)</w:t>
      </w:r>
      <w:r w:rsidR="00AB3969" w:rsidRPr="00AB3969">
        <w:t>.</w:t>
      </w:r>
    </w:p>
    <w:p w14:paraId="0BC0C8D4" w14:textId="77777777" w:rsidR="008214AE" w:rsidRDefault="008214AE" w:rsidP="008C3549">
      <w:pPr>
        <w:ind w:right="119"/>
      </w:pPr>
    </w:p>
    <w:p w14:paraId="7DE51B3E" w14:textId="77777777" w:rsidR="00CC3C1A" w:rsidRPr="00ED7D31" w:rsidRDefault="00CC3C1A" w:rsidP="00CC3C1A">
      <w:pPr>
        <w:ind w:right="-72"/>
      </w:pPr>
      <w:r>
        <w:t xml:space="preserve">A growing number of analysts of the MENA region contend that if greater shares of the female population can be assisted to </w:t>
      </w:r>
      <w:r w:rsidRPr="00ED7D31">
        <w:t>partic</w:t>
      </w:r>
      <w:r>
        <w:t>ipate</w:t>
      </w:r>
      <w:r w:rsidRPr="00ED7D31">
        <w:t xml:space="preserve"> in </w:t>
      </w:r>
      <w:r>
        <w:t xml:space="preserve">the paid </w:t>
      </w:r>
      <w:r w:rsidRPr="00ED7D31">
        <w:t>labour force, greater growth and productivity</w:t>
      </w:r>
      <w:r>
        <w:t xml:space="preserve"> along with better human development results</w:t>
      </w:r>
      <w:r w:rsidRPr="00ED7D31">
        <w:t xml:space="preserve"> </w:t>
      </w:r>
      <w:r>
        <w:t>can be</w:t>
      </w:r>
      <w:r w:rsidRPr="00ED7D31">
        <w:t xml:space="preserve"> realized</w:t>
      </w:r>
      <w:r>
        <w:t xml:space="preserve"> (</w:t>
      </w:r>
      <w:r w:rsidRPr="00ED7D31">
        <w:t>WB 2004 and 2012</w:t>
      </w:r>
      <w:r>
        <w:t>).</w:t>
      </w:r>
    </w:p>
    <w:p w14:paraId="59531C7F" w14:textId="77777777" w:rsidR="00EB40F1" w:rsidRPr="00876980" w:rsidRDefault="00EB40F1" w:rsidP="008C3549">
      <w:pPr>
        <w:ind w:right="-23"/>
      </w:pPr>
      <w:r w:rsidRPr="00876980">
        <w:t>According to UNESCO data at the time of CPD writing, 20.6 percent of Saudi women over the age of 15 were illiterate.  Generally, only 3% of these women</w:t>
      </w:r>
      <w:r w:rsidR="00876980" w:rsidRPr="00876980">
        <w:t>, many of whom reside in rural areas,</w:t>
      </w:r>
      <w:r w:rsidRPr="00876980">
        <w:t xml:space="preserve"> are able to find employment.</w:t>
      </w:r>
      <w:r w:rsidR="00876980" w:rsidRPr="00876980">
        <w:t xml:space="preserve"> Thus, over one million Saudi women find themselves unable to enter the labour market </w:t>
      </w:r>
      <w:r w:rsidR="00747782">
        <w:t>because of a</w:t>
      </w:r>
      <w:r w:rsidR="00876980" w:rsidRPr="00876980">
        <w:t xml:space="preserve"> lack of education or appropriate skills</w:t>
      </w:r>
      <w:r w:rsidR="00747782">
        <w:t xml:space="preserve">.  This challenge highlights the </w:t>
      </w:r>
      <w:r w:rsidR="00876980" w:rsidRPr="00876980">
        <w:t xml:space="preserve">need to provide assistance and skills to ensure a livelihood to </w:t>
      </w:r>
      <w:r w:rsidR="00747782">
        <w:t>a greater number</w:t>
      </w:r>
      <w:r w:rsidR="00876980" w:rsidRPr="00876980">
        <w:t xml:space="preserve"> of these women and their families.</w:t>
      </w:r>
    </w:p>
    <w:p w14:paraId="64792175" w14:textId="77777777" w:rsidR="009C5885" w:rsidRDefault="00EB40F1" w:rsidP="00167A4C">
      <w:pPr>
        <w:autoSpaceDE w:val="0"/>
        <w:autoSpaceDN w:val="0"/>
        <w:adjustRightInd w:val="0"/>
        <w:spacing w:after="0"/>
        <w:ind w:right="0"/>
      </w:pPr>
      <w:r w:rsidRPr="00876980">
        <w:t>Diversification of female employment require</w:t>
      </w:r>
      <w:r w:rsidR="00167A4C">
        <w:t>s</w:t>
      </w:r>
      <w:r w:rsidRPr="00876980">
        <w:t xml:space="preserve"> </w:t>
      </w:r>
    </w:p>
    <w:p w14:paraId="16055FDF" w14:textId="77777777" w:rsidR="009C5885" w:rsidRDefault="00EB40F1" w:rsidP="00167A4C">
      <w:pPr>
        <w:pStyle w:val="ListParagraph"/>
        <w:numPr>
          <w:ilvl w:val="0"/>
          <w:numId w:val="5"/>
        </w:numPr>
        <w:autoSpaceDE w:val="0"/>
        <w:autoSpaceDN w:val="0"/>
        <w:adjustRightInd w:val="0"/>
        <w:spacing w:before="0"/>
        <w:ind w:left="1077" w:right="0" w:hanging="357"/>
      </w:pPr>
      <w:r w:rsidRPr="00876980">
        <w:t>expansion of employment opportunities for females in economic sectors other than education</w:t>
      </w:r>
      <w:r w:rsidR="004E2C04">
        <w:t xml:space="preserve"> and </w:t>
      </w:r>
    </w:p>
    <w:p w14:paraId="673BA3BC" w14:textId="77777777" w:rsidR="00EB40F1" w:rsidRDefault="00EB40F1" w:rsidP="00F82BDC">
      <w:pPr>
        <w:pStyle w:val="ListParagraph"/>
        <w:numPr>
          <w:ilvl w:val="0"/>
          <w:numId w:val="5"/>
        </w:numPr>
        <w:autoSpaceDE w:val="0"/>
        <w:autoSpaceDN w:val="0"/>
        <w:adjustRightInd w:val="0"/>
        <w:ind w:right="0"/>
      </w:pPr>
      <w:r w:rsidRPr="00876980">
        <w:t xml:space="preserve">ensuring that female graduates of all educational </w:t>
      </w:r>
      <w:r w:rsidR="00167A4C">
        <w:t>levels</w:t>
      </w:r>
      <w:r w:rsidRPr="00876980">
        <w:t xml:space="preserve"> have the competencies needed for competition;</w:t>
      </w:r>
      <w:r w:rsidR="00E31985">
        <w:t xml:space="preserve"> i.e. </w:t>
      </w:r>
      <w:r w:rsidRPr="00876980">
        <w:t xml:space="preserve">changes in the structure of </w:t>
      </w:r>
      <w:r w:rsidR="009C5885">
        <w:t>curricula</w:t>
      </w:r>
      <w:r w:rsidR="004E2C04">
        <w:t xml:space="preserve"> in</w:t>
      </w:r>
      <w:r w:rsidRPr="00876980">
        <w:t xml:space="preserve"> higher education. </w:t>
      </w:r>
    </w:p>
    <w:p w14:paraId="76054633" w14:textId="77777777" w:rsidR="008C3549" w:rsidRDefault="008C3549" w:rsidP="008C3549">
      <w:pPr>
        <w:autoSpaceDE w:val="0"/>
        <w:autoSpaceDN w:val="0"/>
        <w:adjustRightInd w:val="0"/>
        <w:ind w:right="0"/>
      </w:pPr>
      <w:r>
        <w:t xml:space="preserve">Beyond employment issues, the CPD also opened the way to exploring a broader range of social protection concerns, </w:t>
      </w:r>
      <w:r>
        <w:rPr>
          <w:color w:val="000000"/>
        </w:rPr>
        <w:t xml:space="preserve">such as measures to combat abuse against women and related issues.  </w:t>
      </w:r>
      <w:r w:rsidR="00541B0B">
        <w:rPr>
          <w:color w:val="000000"/>
        </w:rPr>
        <w:t xml:space="preserve">It also raised the matter of new possibilities for women created by recent policy changes.  With women able to vote and stand for office in local elections, and a first group of women appointed to the advisory Shura Council, it </w:t>
      </w:r>
      <w:r w:rsidR="00122360">
        <w:rPr>
          <w:color w:val="000000"/>
        </w:rPr>
        <w:t xml:space="preserve">affirmed that within the framework of the Country Programme UNDP would </w:t>
      </w:r>
      <w:r w:rsidR="003322D7">
        <w:rPr>
          <w:color w:val="000000"/>
        </w:rPr>
        <w:t xml:space="preserve">explore </w:t>
      </w:r>
      <w:r w:rsidR="00122360">
        <w:rPr>
          <w:color w:val="000000"/>
        </w:rPr>
        <w:t>support for</w:t>
      </w:r>
      <w:r w:rsidR="003322D7">
        <w:rPr>
          <w:color w:val="000000"/>
        </w:rPr>
        <w:t xml:space="preserve"> </w:t>
      </w:r>
      <w:r w:rsidR="00541B0B">
        <w:rPr>
          <w:color w:val="000000"/>
        </w:rPr>
        <w:t xml:space="preserve">increasing </w:t>
      </w:r>
      <w:r w:rsidR="003322D7">
        <w:rPr>
          <w:color w:val="000000"/>
        </w:rPr>
        <w:t xml:space="preserve">female </w:t>
      </w:r>
      <w:r w:rsidR="00541B0B">
        <w:rPr>
          <w:color w:val="000000"/>
        </w:rPr>
        <w:t>participation in decision-making</w:t>
      </w:r>
      <w:r w:rsidR="003322D7">
        <w:rPr>
          <w:color w:val="000000"/>
        </w:rPr>
        <w:t>, giving the example of upcoming</w:t>
      </w:r>
      <w:r w:rsidR="00541B0B">
        <w:rPr>
          <w:color w:val="000000"/>
        </w:rPr>
        <w:t xml:space="preserve"> </w:t>
      </w:r>
      <w:r w:rsidR="00541B0B" w:rsidRPr="00D567C7">
        <w:t>municipal elections</w:t>
      </w:r>
      <w:r w:rsidR="00122360">
        <w:t xml:space="preserve"> (set for 2015)</w:t>
      </w:r>
      <w:r w:rsidR="00541B0B">
        <w:t>.</w:t>
      </w:r>
      <w:r w:rsidR="00122360">
        <w:t xml:space="preserve">  </w:t>
      </w:r>
    </w:p>
    <w:p w14:paraId="436309BD" w14:textId="77777777" w:rsidR="00122360" w:rsidRDefault="00122360" w:rsidP="008C3549">
      <w:pPr>
        <w:autoSpaceDE w:val="0"/>
        <w:autoSpaceDN w:val="0"/>
        <w:adjustRightInd w:val="0"/>
        <w:ind w:right="0"/>
      </w:pPr>
      <w:r>
        <w:t xml:space="preserve">The means of providing programme support focused on providing assistance to civil society organisations (CSOs) that are active in women’s empowerment issues.  The statement of the baseline for this area acknowledged the modest role played by existing CSOs </w:t>
      </w:r>
      <w:r w:rsidRPr="001C1138">
        <w:t>in developing women’s role in economic and public life</w:t>
      </w:r>
      <w:r>
        <w:t xml:space="preserve">.  The </w:t>
      </w:r>
      <w:r w:rsidR="00DD3D6B">
        <w:t xml:space="preserve">targets for UNDP’s contributions </w:t>
      </w:r>
      <w:r w:rsidR="0084111D">
        <w:t>were also modest, calling for developing capacity among selected CSOs to work for women’s empowerment goals, support for continuing policy measures in these areas</w:t>
      </w:r>
      <w:r w:rsidR="00E80597">
        <w:t xml:space="preserve"> (UNDP KSA 2011).</w:t>
      </w:r>
    </w:p>
    <w:p w14:paraId="49797133" w14:textId="77777777" w:rsidR="00C17F2D" w:rsidRDefault="00C17F2D" w:rsidP="00E878BB">
      <w:pPr>
        <w:pStyle w:val="Heading1"/>
        <w:numPr>
          <w:ilvl w:val="0"/>
          <w:numId w:val="31"/>
        </w:numPr>
      </w:pPr>
      <w:bookmarkStart w:id="18" w:name="_Toc399078749"/>
      <w:r>
        <w:t xml:space="preserve">Findings </w:t>
      </w:r>
      <w:r w:rsidR="00955B86">
        <w:t>of the Outcome Evaluation</w:t>
      </w:r>
      <w:bookmarkEnd w:id="18"/>
    </w:p>
    <w:p w14:paraId="52F88DB0" w14:textId="77777777" w:rsidR="00C17F2D" w:rsidRDefault="00C17F2D" w:rsidP="00E878BB">
      <w:pPr>
        <w:pStyle w:val="Heading2"/>
        <w:numPr>
          <w:ilvl w:val="1"/>
          <w:numId w:val="31"/>
        </w:numPr>
      </w:pPr>
      <w:bookmarkStart w:id="19" w:name="_Toc399078750"/>
      <w:r>
        <w:t xml:space="preserve">Progress </w:t>
      </w:r>
      <w:r w:rsidR="00124802">
        <w:t>towards the Outcome</w:t>
      </w:r>
      <w:bookmarkEnd w:id="19"/>
    </w:p>
    <w:p w14:paraId="246082D0" w14:textId="77777777" w:rsidR="00DC7EAF" w:rsidRDefault="003E0833" w:rsidP="00DC7EAF">
      <w:pPr>
        <w:ind w:right="-72"/>
        <w:rPr>
          <w:rFonts w:cstheme="majorBidi"/>
        </w:rPr>
      </w:pPr>
      <w:r>
        <w:t xml:space="preserve">As indicated in </w:t>
      </w:r>
      <w:r w:rsidR="00BE30FA">
        <w:t>t</w:t>
      </w:r>
      <w:r w:rsidR="00DC7EAF">
        <w:t xml:space="preserve">he </w:t>
      </w:r>
      <w:r>
        <w:t>TORs,</w:t>
      </w:r>
      <w:r w:rsidR="00DC7EAF">
        <w:t xml:space="preserve"> the consultant </w:t>
      </w:r>
      <w:r>
        <w:rPr>
          <w:rFonts w:cstheme="majorBidi"/>
        </w:rPr>
        <w:t>reviewed</w:t>
      </w:r>
      <w:r w:rsidR="00DC7EAF" w:rsidRPr="00DC7EAF">
        <w:rPr>
          <w:rFonts w:cstheme="majorBidi"/>
        </w:rPr>
        <w:t xml:space="preserve"> the </w:t>
      </w:r>
      <w:r w:rsidR="002B0595" w:rsidRPr="00DC7EAF">
        <w:rPr>
          <w:rFonts w:cstheme="majorBidi"/>
        </w:rPr>
        <w:t>formulation</w:t>
      </w:r>
      <w:r w:rsidR="002B0595">
        <w:rPr>
          <w:rFonts w:cstheme="majorBidi"/>
        </w:rPr>
        <w:t xml:space="preserve"> of the</w:t>
      </w:r>
      <w:r w:rsidR="002B0595" w:rsidRPr="00DC7EAF">
        <w:rPr>
          <w:rFonts w:cstheme="majorBidi"/>
        </w:rPr>
        <w:t xml:space="preserve"> </w:t>
      </w:r>
      <w:r w:rsidR="00DC7EAF" w:rsidRPr="00DC7EAF">
        <w:rPr>
          <w:rFonts w:cstheme="majorBidi"/>
        </w:rPr>
        <w:t>outcome itself</w:t>
      </w:r>
      <w:r w:rsidR="002B0595">
        <w:rPr>
          <w:rFonts w:cstheme="majorBidi"/>
        </w:rPr>
        <w:t xml:space="preserve">, and examined </w:t>
      </w:r>
      <w:r w:rsidR="00DC7EAF" w:rsidRPr="00DC7EAF">
        <w:rPr>
          <w:rFonts w:cstheme="majorBidi"/>
        </w:rPr>
        <w:t>whether or not individual outputs are effective in contributing to outcomes, drawing the link between UNDP outputs and outcomes.</w:t>
      </w:r>
      <w:r w:rsidR="00BE30FA">
        <w:rPr>
          <w:rFonts w:cstheme="majorBidi"/>
        </w:rPr>
        <w:t xml:space="preserve">  This section examines the formulation of Outcome 1, the selection of indicators for the Outcome, and the contributions that UNDP-KSA has made to progress towards the Outcome at this mid-term of the CPD.  </w:t>
      </w:r>
    </w:p>
    <w:p w14:paraId="2587324A" w14:textId="77777777" w:rsidR="00BE30FA" w:rsidRDefault="00BE30FA" w:rsidP="00DC7EAF">
      <w:pPr>
        <w:ind w:right="-72"/>
        <w:rPr>
          <w:rFonts w:cstheme="majorBidi"/>
        </w:rPr>
      </w:pPr>
      <w:r>
        <w:rPr>
          <w:rFonts w:cstheme="majorBidi"/>
        </w:rPr>
        <w:t>In situating its formulation of Outcome 1, the CPD referred to lessons learned in past cooperation, citing several reviews of the previous programme document (2007-2011).  Key elements of these reviews included:</w:t>
      </w:r>
    </w:p>
    <w:p w14:paraId="4EA11AB9" w14:textId="77777777" w:rsidR="00BE30FA" w:rsidRPr="00840DED" w:rsidRDefault="00BE30FA" w:rsidP="00840DED">
      <w:pPr>
        <w:ind w:right="-215"/>
        <w:rPr>
          <w:rFonts w:cstheme="majorBidi"/>
        </w:rPr>
      </w:pPr>
      <w:r>
        <w:rPr>
          <w:bCs/>
        </w:rPr>
        <w:t xml:space="preserve">A global UNDP evaluation on Capacity Development for Policy and Planning was undertaken with a Saudi Arabia case study finding that UNDP played a </w:t>
      </w:r>
      <w:r w:rsidRPr="00DC7EAF">
        <w:rPr>
          <w:color w:val="000000"/>
        </w:rPr>
        <w:t>crucial</w:t>
      </w:r>
      <w:r>
        <w:rPr>
          <w:bCs/>
        </w:rPr>
        <w:t xml:space="preserve"> role in </w:t>
      </w:r>
      <w:r w:rsidRPr="00BE30FA">
        <w:rPr>
          <w:bCs/>
          <w:i/>
        </w:rPr>
        <w:t>refocusing policie</w:t>
      </w:r>
      <w:r w:rsidR="005D2A9D">
        <w:rPr>
          <w:bCs/>
          <w:i/>
        </w:rPr>
        <w:t xml:space="preserve">s from GDP to human development </w:t>
      </w:r>
      <w:r w:rsidRPr="00BE30FA">
        <w:rPr>
          <w:bCs/>
          <w:i/>
        </w:rPr>
        <w:t>orientation</w:t>
      </w:r>
      <w:r w:rsidRPr="00DC7EAF">
        <w:rPr>
          <w:color w:val="000000"/>
        </w:rPr>
        <w:t>.</w:t>
      </w:r>
      <w:r>
        <w:rPr>
          <w:bCs/>
        </w:rPr>
        <w:t xml:space="preserve"> Cooperation resulted in policies that </w:t>
      </w:r>
      <w:r w:rsidRPr="00BE30FA">
        <w:rPr>
          <w:bCs/>
          <w:i/>
        </w:rPr>
        <w:t>embraced the HD concept and MDG platform</w:t>
      </w:r>
      <w:r>
        <w:rPr>
          <w:bCs/>
        </w:rPr>
        <w:t xml:space="preserve">… It found </w:t>
      </w:r>
      <w:r w:rsidRPr="00BE30FA">
        <w:rPr>
          <w:bCs/>
          <w:i/>
        </w:rPr>
        <w:t>greater depth needed in supporting volunteering in the context of charity societies and institutions</w:t>
      </w:r>
      <w:r>
        <w:rPr>
          <w:bCs/>
        </w:rPr>
        <w:t xml:space="preserve">. The wealth of UN/UNDP development experience had not been fully mobilized, with a need for </w:t>
      </w:r>
      <w:r w:rsidRPr="00BE30FA">
        <w:rPr>
          <w:bCs/>
          <w:i/>
        </w:rPr>
        <w:t>new partnership strategies</w:t>
      </w:r>
      <w:r w:rsidR="00840DED">
        <w:rPr>
          <w:bCs/>
        </w:rPr>
        <w:t xml:space="preserve">… </w:t>
      </w:r>
      <w:r w:rsidR="00840DED">
        <w:rPr>
          <w:color w:val="000000"/>
        </w:rPr>
        <w:t xml:space="preserve">An Outcome Evaluation on Development Policy </w:t>
      </w:r>
      <w:r w:rsidR="00840DED">
        <w:rPr>
          <w:bCs/>
        </w:rPr>
        <w:t xml:space="preserve">found </w:t>
      </w:r>
      <w:r w:rsidR="00916F13">
        <w:rPr>
          <w:bCs/>
          <w:i/>
        </w:rPr>
        <w:t>UNDP’</w:t>
      </w:r>
      <w:r w:rsidR="00840DED" w:rsidRPr="005D2A9D">
        <w:rPr>
          <w:bCs/>
          <w:i/>
        </w:rPr>
        <w:t>s positive role in shifting focus towards sustainability of results and recommended future focus on social, environment and economic pillars of sustainable development</w:t>
      </w:r>
      <w:r w:rsidR="00840DED">
        <w:rPr>
          <w:bCs/>
        </w:rPr>
        <w:t xml:space="preserve">. Increased emphasis was advised for results-based management and </w:t>
      </w:r>
      <w:r w:rsidR="00840DED" w:rsidRPr="005D2A9D">
        <w:rPr>
          <w:bCs/>
          <w:i/>
        </w:rPr>
        <w:t>connecting partners to global partnerships</w:t>
      </w:r>
      <w:r w:rsidR="00840DED">
        <w:rPr>
          <w:rFonts w:cstheme="majorBidi"/>
        </w:rPr>
        <w:t xml:space="preserve"> </w:t>
      </w:r>
      <w:r>
        <w:rPr>
          <w:bCs/>
        </w:rPr>
        <w:t>(UNDP 2012, p. 2; emphasis added).</w:t>
      </w:r>
    </w:p>
    <w:p w14:paraId="158AFCE2" w14:textId="77777777" w:rsidR="00DC7EAF" w:rsidRPr="00DC7EAF" w:rsidRDefault="00840DED" w:rsidP="005B27AD">
      <w:pPr>
        <w:pStyle w:val="ListParagraph"/>
        <w:ind w:left="0" w:right="70"/>
      </w:pPr>
      <w:r>
        <w:rPr>
          <w:bCs/>
        </w:rPr>
        <w:t xml:space="preserve">In the light of past experience and the findings of </w:t>
      </w:r>
      <w:r w:rsidR="005D2A9D">
        <w:rPr>
          <w:bCs/>
        </w:rPr>
        <w:t>reviewers, the CPD took as its first Outcome:  “</w:t>
      </w:r>
      <w:r w:rsidR="005D2A9D" w:rsidRPr="005D2A9D">
        <w:rPr>
          <w:bCs/>
          <w:iCs/>
        </w:rPr>
        <w:t>Social Empowerment and Institutional Strengthening with Emphasis on Youth</w:t>
      </w:r>
      <w:r w:rsidR="005D2A9D">
        <w:rPr>
          <w:bCs/>
          <w:iCs/>
        </w:rPr>
        <w:t>”.  This statement as one component of a broad shift, from GDP to a human development orientation, MDG support and the social pillars of sustainability – articulates well and succinctly the focus of the Programme.</w:t>
      </w:r>
      <w:r w:rsidR="005D2A9D">
        <w:rPr>
          <w:rStyle w:val="FootnoteReference"/>
          <w:bCs/>
          <w:iCs/>
        </w:rPr>
        <w:footnoteReference w:id="5"/>
      </w:r>
      <w:r w:rsidR="005B27AD">
        <w:rPr>
          <w:bCs/>
          <w:iCs/>
        </w:rPr>
        <w:t xml:space="preserve">  In a later </w:t>
      </w:r>
      <w:r w:rsidR="00B10BA9">
        <w:rPr>
          <w:bCs/>
          <w:iCs/>
        </w:rPr>
        <w:t>sub-</w:t>
      </w:r>
      <w:r w:rsidR="005B27AD">
        <w:rPr>
          <w:bCs/>
          <w:iCs/>
        </w:rPr>
        <w:t xml:space="preserve">section (4.3) the effectiveness of outputs supported to contribute to this Outcome is discussed.  </w:t>
      </w:r>
      <w:r w:rsidR="00B10BA9">
        <w:rPr>
          <w:bCs/>
          <w:iCs/>
        </w:rPr>
        <w:t>Prior to this, t</w:t>
      </w:r>
      <w:r w:rsidR="005B27AD">
        <w:rPr>
          <w:bCs/>
          <w:iCs/>
        </w:rPr>
        <w:t xml:space="preserve">he following </w:t>
      </w:r>
      <w:r w:rsidR="00B10BA9">
        <w:rPr>
          <w:bCs/>
          <w:iCs/>
        </w:rPr>
        <w:t>discussion</w:t>
      </w:r>
      <w:r w:rsidR="005B27AD">
        <w:rPr>
          <w:bCs/>
          <w:iCs/>
        </w:rPr>
        <w:t xml:space="preserve"> focuses on the indicators selected to track progress in the course of the </w:t>
      </w:r>
      <w:r w:rsidR="00B10BA9">
        <w:rPr>
          <w:bCs/>
          <w:iCs/>
        </w:rPr>
        <w:t>Country P</w:t>
      </w:r>
      <w:r w:rsidR="005B27AD">
        <w:rPr>
          <w:bCs/>
          <w:iCs/>
        </w:rPr>
        <w:t>rogramme.</w:t>
      </w:r>
    </w:p>
    <w:p w14:paraId="10141D22" w14:textId="77777777" w:rsidR="006C7084" w:rsidRDefault="00980442" w:rsidP="00E878BB">
      <w:pPr>
        <w:pStyle w:val="Heading2"/>
        <w:numPr>
          <w:ilvl w:val="1"/>
          <w:numId w:val="31"/>
        </w:numPr>
        <w:ind w:right="-72"/>
      </w:pPr>
      <w:bookmarkStart w:id="20" w:name="_Toc399078751"/>
      <w:r w:rsidRPr="004E2C04">
        <w:t xml:space="preserve">Outcome </w:t>
      </w:r>
      <w:r w:rsidR="006C7084" w:rsidRPr="00C73AF9">
        <w:t>Indicators</w:t>
      </w:r>
      <w:bookmarkEnd w:id="20"/>
    </w:p>
    <w:p w14:paraId="6EAE4936" w14:textId="77777777" w:rsidR="00001B60" w:rsidRDefault="00DB3342" w:rsidP="00DB3342">
      <w:pPr>
        <w:ind w:right="-215"/>
        <w:rPr>
          <w:rFonts w:cstheme="majorBidi"/>
        </w:rPr>
      </w:pPr>
      <w:r w:rsidRPr="00FC7507">
        <w:t>The Mission TORs require that the consultant</w:t>
      </w:r>
      <w:r w:rsidR="00FC7507" w:rsidRPr="00FC7507">
        <w:t xml:space="preserve"> not only “</w:t>
      </w:r>
      <w:r w:rsidRPr="00FC7507">
        <w:t>investigate the pre-selected outcome indicators</w:t>
      </w:r>
      <w:r w:rsidR="00FC7507" w:rsidRPr="00FC7507">
        <w:t>”</w:t>
      </w:r>
      <w:r w:rsidRPr="00FC7507">
        <w:t>,</w:t>
      </w:r>
      <w:r w:rsidR="00FC7507" w:rsidRPr="00FC7507">
        <w:t xml:space="preserve"> but also</w:t>
      </w:r>
      <w:r w:rsidRPr="00FC7507">
        <w:t xml:space="preserve"> </w:t>
      </w:r>
      <w:r w:rsidR="00FC7507" w:rsidRPr="00FC7507">
        <w:t>“</w:t>
      </w:r>
      <w:r w:rsidRPr="00FC7507">
        <w:t>go beyond these to explore other possible outcome indicators, and determine whether the indicators have actually been continuously tracked</w:t>
      </w:r>
      <w:r w:rsidR="00FC7507" w:rsidRPr="00FC7507">
        <w:rPr>
          <w:rFonts w:cstheme="majorBidi"/>
        </w:rPr>
        <w:t xml:space="preserve">”. </w:t>
      </w:r>
      <w:r w:rsidR="00001B60">
        <w:rPr>
          <w:rFonts w:cstheme="majorBidi"/>
        </w:rPr>
        <w:t xml:space="preserve"> This section examines the indicators selected by the Programme, and </w:t>
      </w:r>
      <w:r w:rsidR="00001B60" w:rsidRPr="00001B60">
        <w:rPr>
          <w:rFonts w:cstheme="majorBidi"/>
        </w:rPr>
        <w:t>discusses several additional</w:t>
      </w:r>
      <w:r w:rsidR="007D2B61">
        <w:rPr>
          <w:rFonts w:cstheme="majorBidi"/>
        </w:rPr>
        <w:t xml:space="preserve"> ones that could become of use to monitoring progress under the CPD.</w:t>
      </w:r>
    </w:p>
    <w:p w14:paraId="2F3B8EBC" w14:textId="77777777" w:rsidR="00DC7EAF" w:rsidRDefault="00FC7507" w:rsidP="00DB3342">
      <w:pPr>
        <w:ind w:right="-215"/>
        <w:rPr>
          <w:rFonts w:cstheme="majorBidi"/>
        </w:rPr>
      </w:pPr>
      <w:r w:rsidRPr="00FC7507">
        <w:rPr>
          <w:rFonts w:cstheme="majorBidi"/>
        </w:rPr>
        <w:t xml:space="preserve"> </w:t>
      </w:r>
      <w:r>
        <w:rPr>
          <w:rFonts w:cstheme="majorBidi"/>
        </w:rPr>
        <w:t xml:space="preserve">The identification of </w:t>
      </w:r>
      <w:r w:rsidRPr="00FC7507">
        <w:rPr>
          <w:rFonts w:cstheme="majorBidi"/>
        </w:rPr>
        <w:t>Outcome indic</w:t>
      </w:r>
      <w:r w:rsidR="00EB4719">
        <w:rPr>
          <w:rFonts w:cstheme="majorBidi"/>
        </w:rPr>
        <w:t>ators represents a perennial challenge</w:t>
      </w:r>
      <w:r>
        <w:rPr>
          <w:rFonts w:cstheme="majorBidi"/>
        </w:rPr>
        <w:t xml:space="preserve"> for programme designers, particularly if special circumstances surround data availability.  In the case of Saudi Arabia, despite the presence of excellent national statistical </w:t>
      </w:r>
      <w:r w:rsidR="00EB4719">
        <w:rPr>
          <w:rFonts w:cstheme="majorBidi"/>
        </w:rPr>
        <w:t>agencies</w:t>
      </w:r>
      <w:r>
        <w:rPr>
          <w:rFonts w:cstheme="majorBidi"/>
        </w:rPr>
        <w:t xml:space="preserve">, some of the social issues </w:t>
      </w:r>
      <w:r w:rsidR="00EB4719">
        <w:rPr>
          <w:rFonts w:cstheme="majorBidi"/>
        </w:rPr>
        <w:t xml:space="preserve">in the current CPD </w:t>
      </w:r>
      <w:r>
        <w:rPr>
          <w:rFonts w:cstheme="majorBidi"/>
        </w:rPr>
        <w:t xml:space="preserve">are </w:t>
      </w:r>
      <w:r w:rsidR="00EB4719">
        <w:rPr>
          <w:rFonts w:cstheme="majorBidi"/>
        </w:rPr>
        <w:t>more recent elements in</w:t>
      </w:r>
      <w:r>
        <w:rPr>
          <w:rFonts w:cstheme="majorBidi"/>
        </w:rPr>
        <w:t xml:space="preserve"> the country’s agenda.  </w:t>
      </w:r>
      <w:r w:rsidR="00B10BA9">
        <w:rPr>
          <w:rFonts w:cstheme="majorBidi"/>
        </w:rPr>
        <w:t>As we have noted in the preceding sub-section</w:t>
      </w:r>
      <w:r w:rsidR="00001B60">
        <w:rPr>
          <w:rFonts w:cstheme="majorBidi"/>
        </w:rPr>
        <w:t xml:space="preserve">, the shift to a greater emphasis on social issues </w:t>
      </w:r>
      <w:r w:rsidR="00D81FEF">
        <w:rPr>
          <w:rFonts w:cstheme="majorBidi"/>
        </w:rPr>
        <w:t>puts</w:t>
      </w:r>
      <w:r w:rsidR="00001B60">
        <w:rPr>
          <w:rFonts w:cstheme="majorBidi"/>
        </w:rPr>
        <w:t xml:space="preserve"> </w:t>
      </w:r>
      <w:r w:rsidR="00D81FEF">
        <w:rPr>
          <w:rFonts w:cstheme="majorBidi"/>
        </w:rPr>
        <w:t xml:space="preserve">under the lens </w:t>
      </w:r>
      <w:r w:rsidR="00001B60">
        <w:rPr>
          <w:rFonts w:cstheme="majorBidi"/>
        </w:rPr>
        <w:t xml:space="preserve">some </w:t>
      </w:r>
      <w:r w:rsidR="00EB4719">
        <w:rPr>
          <w:rFonts w:cstheme="majorBidi"/>
        </w:rPr>
        <w:t xml:space="preserve">constituents </w:t>
      </w:r>
      <w:r w:rsidR="00001B60">
        <w:rPr>
          <w:rFonts w:cstheme="majorBidi"/>
        </w:rPr>
        <w:t>which may not have been tracked under earlier CPDs.</w:t>
      </w:r>
    </w:p>
    <w:p w14:paraId="1ADF8E5A" w14:textId="77777777" w:rsidR="00077C70" w:rsidRDefault="004E2C04" w:rsidP="00E80597">
      <w:pPr>
        <w:pStyle w:val="Default"/>
        <w:spacing w:before="120" w:after="120"/>
        <w:ind w:right="-74"/>
        <w:rPr>
          <w:rFonts w:ascii="Sylfaen" w:hAnsi="Sylfaen"/>
          <w:sz w:val="22"/>
          <w:szCs w:val="22"/>
        </w:rPr>
      </w:pPr>
      <w:r w:rsidRPr="004E2C04">
        <w:rPr>
          <w:rFonts w:ascii="Sylfaen" w:hAnsi="Sylfaen"/>
          <w:sz w:val="22"/>
          <w:szCs w:val="22"/>
        </w:rPr>
        <w:t xml:space="preserve">The CPD identified </w:t>
      </w:r>
      <w:r w:rsidR="00D34862">
        <w:rPr>
          <w:rFonts w:ascii="Sylfaen" w:hAnsi="Sylfaen"/>
          <w:sz w:val="22"/>
          <w:szCs w:val="22"/>
        </w:rPr>
        <w:t xml:space="preserve">four </w:t>
      </w:r>
      <w:r w:rsidRPr="004E2C04">
        <w:rPr>
          <w:rFonts w:ascii="Sylfaen" w:hAnsi="Sylfaen"/>
          <w:sz w:val="22"/>
          <w:szCs w:val="22"/>
        </w:rPr>
        <w:t xml:space="preserve">indicators that would assist in identifying progress towards Outcome 1.  These were:  </w:t>
      </w:r>
    </w:p>
    <w:p w14:paraId="0D64D430" w14:textId="77777777" w:rsidR="00077C70" w:rsidRDefault="004E2C04" w:rsidP="00F82BDC">
      <w:pPr>
        <w:pStyle w:val="Default"/>
        <w:numPr>
          <w:ilvl w:val="0"/>
          <w:numId w:val="15"/>
        </w:numPr>
        <w:spacing w:before="60" w:after="60"/>
        <w:ind w:left="1077" w:right="-74" w:hanging="357"/>
        <w:rPr>
          <w:rFonts w:ascii="Sylfaen" w:hAnsi="Sylfaen"/>
          <w:sz w:val="22"/>
          <w:szCs w:val="22"/>
        </w:rPr>
      </w:pPr>
      <w:r w:rsidRPr="004E2C04">
        <w:rPr>
          <w:rFonts w:ascii="Sylfaen" w:hAnsi="Sylfaen"/>
          <w:sz w:val="22"/>
          <w:szCs w:val="22"/>
        </w:rPr>
        <w:t>the percentage of youth and female</w:t>
      </w:r>
      <w:r w:rsidR="00077C70">
        <w:rPr>
          <w:rFonts w:ascii="Sylfaen" w:hAnsi="Sylfaen"/>
          <w:sz w:val="22"/>
          <w:szCs w:val="22"/>
        </w:rPr>
        <w:t xml:space="preserve"> enrolment in higher education</w:t>
      </w:r>
    </w:p>
    <w:p w14:paraId="702CDF78" w14:textId="77777777" w:rsidR="00077C70" w:rsidRDefault="004E2C04" w:rsidP="00F82BDC">
      <w:pPr>
        <w:pStyle w:val="Default"/>
        <w:numPr>
          <w:ilvl w:val="0"/>
          <w:numId w:val="15"/>
        </w:numPr>
        <w:spacing w:before="60" w:after="60"/>
        <w:ind w:left="1077" w:right="-74" w:hanging="357"/>
        <w:rPr>
          <w:rFonts w:ascii="Sylfaen" w:hAnsi="Sylfaen"/>
          <w:sz w:val="22"/>
          <w:szCs w:val="22"/>
        </w:rPr>
      </w:pPr>
      <w:r w:rsidRPr="004E2C04">
        <w:rPr>
          <w:rFonts w:ascii="Sylfaen" w:hAnsi="Sylfaen"/>
          <w:sz w:val="22"/>
          <w:szCs w:val="22"/>
        </w:rPr>
        <w:t>the percentage of</w:t>
      </w:r>
      <w:r w:rsidR="00077C70">
        <w:rPr>
          <w:rFonts w:ascii="Sylfaen" w:hAnsi="Sylfaen"/>
          <w:sz w:val="22"/>
          <w:szCs w:val="22"/>
        </w:rPr>
        <w:t xml:space="preserve"> youth and female unemployment</w:t>
      </w:r>
    </w:p>
    <w:p w14:paraId="0485FAFB" w14:textId="77777777" w:rsidR="00077C70" w:rsidRDefault="004E2C04" w:rsidP="00F82BDC">
      <w:pPr>
        <w:pStyle w:val="Default"/>
        <w:numPr>
          <w:ilvl w:val="0"/>
          <w:numId w:val="15"/>
        </w:numPr>
        <w:spacing w:before="60" w:after="60"/>
        <w:ind w:left="1077" w:right="-74" w:hanging="357"/>
        <w:rPr>
          <w:rFonts w:ascii="Sylfaen" w:hAnsi="Sylfaen"/>
          <w:sz w:val="22"/>
          <w:szCs w:val="22"/>
        </w:rPr>
      </w:pPr>
      <w:r w:rsidRPr="004E2C04">
        <w:rPr>
          <w:rFonts w:ascii="Sylfaen" w:hAnsi="Sylfaen"/>
          <w:sz w:val="22"/>
          <w:szCs w:val="22"/>
        </w:rPr>
        <w:t>the percentage of poor with sustainable access t</w:t>
      </w:r>
      <w:r w:rsidR="00077C70">
        <w:rPr>
          <w:rFonts w:ascii="Sylfaen" w:hAnsi="Sylfaen"/>
          <w:sz w:val="22"/>
          <w:szCs w:val="22"/>
        </w:rPr>
        <w:t>o social services</w:t>
      </w:r>
    </w:p>
    <w:p w14:paraId="22FA1061" w14:textId="77777777" w:rsidR="004E2C04" w:rsidRDefault="005758D8" w:rsidP="00F82BDC">
      <w:pPr>
        <w:pStyle w:val="Default"/>
        <w:numPr>
          <w:ilvl w:val="0"/>
          <w:numId w:val="15"/>
        </w:numPr>
        <w:spacing w:before="60" w:after="60"/>
        <w:ind w:left="1077" w:right="-74" w:hanging="357"/>
        <w:rPr>
          <w:rFonts w:ascii="Sylfaen" w:hAnsi="Sylfaen"/>
          <w:sz w:val="22"/>
          <w:szCs w:val="22"/>
        </w:rPr>
      </w:pPr>
      <w:r>
        <w:rPr>
          <w:rFonts w:ascii="Sylfaen" w:hAnsi="Sylfaen"/>
          <w:sz w:val="22"/>
          <w:szCs w:val="22"/>
        </w:rPr>
        <w:t xml:space="preserve">an </w:t>
      </w:r>
      <w:r w:rsidR="004E2C04" w:rsidRPr="004E2C04">
        <w:rPr>
          <w:rFonts w:ascii="Sylfaen" w:hAnsi="Sylfaen"/>
          <w:sz w:val="22"/>
          <w:szCs w:val="22"/>
        </w:rPr>
        <w:t xml:space="preserve">enhanced capacity of </w:t>
      </w:r>
      <w:r>
        <w:rPr>
          <w:rFonts w:ascii="Sylfaen" w:hAnsi="Sylfaen"/>
          <w:sz w:val="22"/>
          <w:szCs w:val="22"/>
        </w:rPr>
        <w:t xml:space="preserve">[selected] </w:t>
      </w:r>
      <w:r w:rsidR="004E2C04" w:rsidRPr="004E2C04">
        <w:rPr>
          <w:rFonts w:ascii="Sylfaen" w:hAnsi="Sylfaen"/>
          <w:sz w:val="22"/>
          <w:szCs w:val="22"/>
        </w:rPr>
        <w:t xml:space="preserve">CSOs to provide women empowerment opportunities, </w:t>
      </w:r>
      <w:r w:rsidR="004E2C04">
        <w:rPr>
          <w:rFonts w:ascii="Sylfaen" w:hAnsi="Sylfaen"/>
          <w:sz w:val="22"/>
          <w:szCs w:val="22"/>
        </w:rPr>
        <w:t xml:space="preserve">and </w:t>
      </w:r>
      <w:r w:rsidR="004E2C04" w:rsidRPr="004E2C04">
        <w:rPr>
          <w:rFonts w:ascii="Sylfaen" w:hAnsi="Sylfaen"/>
          <w:sz w:val="22"/>
          <w:szCs w:val="22"/>
        </w:rPr>
        <w:t>new policies to support women</w:t>
      </w:r>
      <w:r w:rsidR="004E2C04">
        <w:rPr>
          <w:rFonts w:ascii="Sylfaen" w:hAnsi="Sylfaen"/>
          <w:sz w:val="22"/>
          <w:szCs w:val="22"/>
        </w:rPr>
        <w:t>’s</w:t>
      </w:r>
      <w:r w:rsidR="004E2C04" w:rsidRPr="004E2C04">
        <w:rPr>
          <w:rFonts w:ascii="Sylfaen" w:hAnsi="Sylfaen"/>
          <w:sz w:val="22"/>
          <w:szCs w:val="22"/>
        </w:rPr>
        <w:t xml:space="preserve"> empowerment</w:t>
      </w:r>
      <w:r w:rsidR="004E2C04">
        <w:rPr>
          <w:rFonts w:ascii="Sylfaen" w:hAnsi="Sylfaen"/>
          <w:sz w:val="22"/>
          <w:szCs w:val="22"/>
        </w:rPr>
        <w:t xml:space="preserve"> (UNDP KSA 2011, p. 7).</w:t>
      </w:r>
      <w:r w:rsidR="004E2C04" w:rsidRPr="004E2C04">
        <w:rPr>
          <w:rFonts w:ascii="Sylfaen" w:hAnsi="Sylfaen"/>
          <w:sz w:val="22"/>
          <w:szCs w:val="22"/>
        </w:rPr>
        <w:t xml:space="preserve"> </w:t>
      </w:r>
    </w:p>
    <w:p w14:paraId="6E531E9F" w14:textId="77777777" w:rsidR="00FC7507" w:rsidRDefault="00077C70" w:rsidP="00077C70">
      <w:pPr>
        <w:pStyle w:val="Default"/>
        <w:spacing w:before="120" w:after="120"/>
        <w:ind w:right="-74"/>
        <w:rPr>
          <w:rFonts w:ascii="Sylfaen" w:hAnsi="Sylfaen"/>
          <w:sz w:val="22"/>
          <w:szCs w:val="22"/>
        </w:rPr>
      </w:pPr>
      <w:r>
        <w:rPr>
          <w:rFonts w:ascii="Sylfaen" w:hAnsi="Sylfaen"/>
          <w:sz w:val="22"/>
          <w:szCs w:val="22"/>
        </w:rPr>
        <w:t xml:space="preserve">These indicators were introduced in </w:t>
      </w:r>
      <w:r w:rsidR="00D81FEF">
        <w:rPr>
          <w:rFonts w:ascii="Sylfaen" w:hAnsi="Sylfaen"/>
          <w:sz w:val="22"/>
          <w:szCs w:val="22"/>
        </w:rPr>
        <w:t>Chapter 2</w:t>
      </w:r>
      <w:r>
        <w:rPr>
          <w:rFonts w:ascii="Sylfaen" w:hAnsi="Sylfaen"/>
          <w:sz w:val="22"/>
          <w:szCs w:val="22"/>
        </w:rPr>
        <w:t xml:space="preserve">.  In that </w:t>
      </w:r>
      <w:r w:rsidR="00D81FEF">
        <w:rPr>
          <w:rFonts w:ascii="Sylfaen" w:hAnsi="Sylfaen"/>
          <w:sz w:val="22"/>
          <w:szCs w:val="22"/>
        </w:rPr>
        <w:t>chapter</w:t>
      </w:r>
      <w:r>
        <w:rPr>
          <w:rFonts w:ascii="Sylfaen" w:hAnsi="Sylfaen"/>
          <w:sz w:val="22"/>
          <w:szCs w:val="22"/>
        </w:rPr>
        <w:t xml:space="preserve"> a brief outline of the baseline status was given.  The present sub-section revisits the Outcome 1 indicators in greater detail and presents the available evidence to update them from their status in 2012 at the beginning of the CPD period.  </w:t>
      </w:r>
    </w:p>
    <w:p w14:paraId="05CA9B3F" w14:textId="77777777" w:rsidR="00F61A8D" w:rsidRDefault="00F61A8D" w:rsidP="00F61A8D">
      <w:pPr>
        <w:pStyle w:val="Heading5"/>
      </w:pPr>
      <w:r>
        <w:t>Choice of indicators</w:t>
      </w:r>
    </w:p>
    <w:p w14:paraId="48B27F80" w14:textId="77777777" w:rsidR="0011543F" w:rsidRDefault="0011543F" w:rsidP="00077C70">
      <w:pPr>
        <w:pStyle w:val="Default"/>
        <w:spacing w:before="120" w:after="120"/>
        <w:ind w:right="-74"/>
        <w:rPr>
          <w:rFonts w:ascii="Sylfaen" w:hAnsi="Sylfaen"/>
          <w:sz w:val="22"/>
          <w:szCs w:val="22"/>
        </w:rPr>
      </w:pPr>
      <w:r>
        <w:rPr>
          <w:rFonts w:ascii="Sylfaen" w:hAnsi="Sylfaen"/>
          <w:sz w:val="22"/>
          <w:szCs w:val="22"/>
        </w:rPr>
        <w:t xml:space="preserve">It is commonly understood that indicators should respond to the criteria </w:t>
      </w:r>
      <w:r w:rsidR="00115EC2">
        <w:rPr>
          <w:rFonts w:ascii="Sylfaen" w:hAnsi="Sylfaen"/>
          <w:sz w:val="22"/>
          <w:szCs w:val="22"/>
        </w:rPr>
        <w:t>recalled by</w:t>
      </w:r>
      <w:r>
        <w:rPr>
          <w:rFonts w:ascii="Sylfaen" w:hAnsi="Sylfaen"/>
          <w:sz w:val="22"/>
          <w:szCs w:val="22"/>
        </w:rPr>
        <w:t xml:space="preserve"> the </w:t>
      </w:r>
      <w:r w:rsidR="00115EC2">
        <w:rPr>
          <w:rFonts w:ascii="Sylfaen" w:hAnsi="Sylfaen"/>
          <w:sz w:val="22"/>
          <w:szCs w:val="22"/>
        </w:rPr>
        <w:t xml:space="preserve">acronym </w:t>
      </w:r>
      <w:r>
        <w:rPr>
          <w:rFonts w:ascii="Sylfaen" w:hAnsi="Sylfaen"/>
          <w:sz w:val="22"/>
          <w:szCs w:val="22"/>
        </w:rPr>
        <w:t xml:space="preserve">“SMART”.  That is, they should be </w:t>
      </w:r>
      <w:r w:rsidRPr="00115EC2">
        <w:rPr>
          <w:rFonts w:ascii="Sylfaen" w:hAnsi="Sylfaen"/>
          <w:b/>
          <w:sz w:val="22"/>
          <w:szCs w:val="22"/>
          <w:u w:val="single"/>
        </w:rPr>
        <w:t>s</w:t>
      </w:r>
      <w:r>
        <w:rPr>
          <w:rFonts w:ascii="Sylfaen" w:hAnsi="Sylfaen"/>
          <w:sz w:val="22"/>
          <w:szCs w:val="22"/>
        </w:rPr>
        <w:t xml:space="preserve">pecific, </w:t>
      </w:r>
      <w:r w:rsidRPr="00115EC2">
        <w:rPr>
          <w:rFonts w:ascii="Sylfaen" w:hAnsi="Sylfaen"/>
          <w:b/>
          <w:sz w:val="22"/>
          <w:szCs w:val="22"/>
          <w:u w:val="single"/>
        </w:rPr>
        <w:t>m</w:t>
      </w:r>
      <w:r>
        <w:rPr>
          <w:rFonts w:ascii="Sylfaen" w:hAnsi="Sylfaen"/>
          <w:sz w:val="22"/>
          <w:szCs w:val="22"/>
        </w:rPr>
        <w:t xml:space="preserve">easurable, </w:t>
      </w:r>
      <w:r w:rsidRPr="00115EC2">
        <w:rPr>
          <w:rFonts w:ascii="Sylfaen" w:hAnsi="Sylfaen"/>
          <w:b/>
          <w:sz w:val="22"/>
          <w:szCs w:val="22"/>
          <w:u w:val="single"/>
        </w:rPr>
        <w:t>a</w:t>
      </w:r>
      <w:r>
        <w:rPr>
          <w:rFonts w:ascii="Sylfaen" w:hAnsi="Sylfaen"/>
          <w:sz w:val="22"/>
          <w:szCs w:val="22"/>
        </w:rPr>
        <w:t xml:space="preserve">ppropriate, </w:t>
      </w:r>
      <w:r w:rsidRPr="00115EC2">
        <w:rPr>
          <w:rFonts w:ascii="Sylfaen" w:hAnsi="Sylfaen"/>
          <w:b/>
          <w:sz w:val="22"/>
          <w:szCs w:val="22"/>
          <w:u w:val="single"/>
        </w:rPr>
        <w:t>r</w:t>
      </w:r>
      <w:r>
        <w:rPr>
          <w:rFonts w:ascii="Sylfaen" w:hAnsi="Sylfaen"/>
          <w:sz w:val="22"/>
          <w:szCs w:val="22"/>
        </w:rPr>
        <w:t>elevant</w:t>
      </w:r>
      <w:r w:rsidR="0024257F">
        <w:rPr>
          <w:rFonts w:ascii="Sylfaen" w:hAnsi="Sylfaen"/>
          <w:sz w:val="22"/>
          <w:szCs w:val="22"/>
        </w:rPr>
        <w:t>,</w:t>
      </w:r>
      <w:r>
        <w:rPr>
          <w:rFonts w:ascii="Sylfaen" w:hAnsi="Sylfaen"/>
          <w:sz w:val="22"/>
          <w:szCs w:val="22"/>
        </w:rPr>
        <w:t xml:space="preserve"> and </w:t>
      </w:r>
      <w:r w:rsidRPr="00115EC2">
        <w:rPr>
          <w:rFonts w:ascii="Sylfaen" w:hAnsi="Sylfaen"/>
          <w:b/>
          <w:sz w:val="22"/>
          <w:szCs w:val="22"/>
          <w:u w:val="single"/>
        </w:rPr>
        <w:t>t</w:t>
      </w:r>
      <w:r>
        <w:rPr>
          <w:rFonts w:ascii="Sylfaen" w:hAnsi="Sylfaen"/>
          <w:sz w:val="22"/>
          <w:szCs w:val="22"/>
        </w:rPr>
        <w:t xml:space="preserve">ime bound.  This discussion pays attention particularly to </w:t>
      </w:r>
      <w:r w:rsidR="00115EC2">
        <w:rPr>
          <w:rFonts w:ascii="Sylfaen" w:hAnsi="Sylfaen"/>
          <w:sz w:val="22"/>
          <w:szCs w:val="22"/>
        </w:rPr>
        <w:t xml:space="preserve">the criterion </w:t>
      </w:r>
      <w:r>
        <w:rPr>
          <w:rFonts w:ascii="Sylfaen" w:hAnsi="Sylfaen"/>
          <w:sz w:val="22"/>
          <w:szCs w:val="22"/>
        </w:rPr>
        <w:t>“measurable”</w:t>
      </w:r>
      <w:r w:rsidR="00115EC2">
        <w:rPr>
          <w:rFonts w:ascii="Sylfaen" w:hAnsi="Sylfaen"/>
          <w:sz w:val="22"/>
          <w:szCs w:val="22"/>
        </w:rPr>
        <w:t xml:space="preserve">: </w:t>
      </w:r>
      <w:r>
        <w:rPr>
          <w:rFonts w:ascii="Sylfaen" w:hAnsi="Sylfaen"/>
          <w:sz w:val="22"/>
          <w:szCs w:val="22"/>
        </w:rPr>
        <w:t xml:space="preserve"> an indicator should be defined in a way that makes it operational –</w:t>
      </w:r>
      <w:r w:rsidRPr="0011543F">
        <w:rPr>
          <w:rFonts w:ascii="Sylfaen" w:hAnsi="Sylfaen"/>
          <w:sz w:val="22"/>
          <w:szCs w:val="22"/>
        </w:rPr>
        <w:t xml:space="preserve"> </w:t>
      </w:r>
      <w:r>
        <w:rPr>
          <w:rFonts w:ascii="Sylfaen" w:hAnsi="Sylfaen"/>
          <w:sz w:val="22"/>
          <w:szCs w:val="22"/>
        </w:rPr>
        <w:t xml:space="preserve">amenable to a researcher actually going out and finding or measuring it.  This is </w:t>
      </w:r>
      <w:r w:rsidR="00115EC2">
        <w:rPr>
          <w:rFonts w:ascii="Sylfaen" w:hAnsi="Sylfaen"/>
          <w:sz w:val="22"/>
          <w:szCs w:val="22"/>
        </w:rPr>
        <w:t>required</w:t>
      </w:r>
      <w:r>
        <w:rPr>
          <w:rFonts w:ascii="Sylfaen" w:hAnsi="Sylfaen"/>
          <w:sz w:val="22"/>
          <w:szCs w:val="22"/>
        </w:rPr>
        <w:t xml:space="preserve"> of qualitative as well as quantitative indicators.  That is, a measurable or operational indicator might be one that asks:  How do people (women and men) feel about the participation of women in the Shura Council and local elections? (An illustration of how this question was made operational in </w:t>
      </w:r>
      <w:r w:rsidR="00D16B18">
        <w:rPr>
          <w:rFonts w:ascii="Sylfaen" w:hAnsi="Sylfaen"/>
          <w:sz w:val="22"/>
          <w:szCs w:val="22"/>
        </w:rPr>
        <w:t xml:space="preserve">the </w:t>
      </w:r>
      <w:r>
        <w:rPr>
          <w:rFonts w:ascii="Sylfaen" w:hAnsi="Sylfaen"/>
          <w:sz w:val="22"/>
          <w:szCs w:val="22"/>
        </w:rPr>
        <w:t>Eastern Province is given in</w:t>
      </w:r>
      <w:r w:rsidR="00D81FEF">
        <w:rPr>
          <w:rFonts w:ascii="Sylfaen" w:hAnsi="Sylfaen"/>
          <w:sz w:val="22"/>
          <w:szCs w:val="22"/>
        </w:rPr>
        <w:t xml:space="preserve"> 3.3.2</w:t>
      </w:r>
      <w:r>
        <w:rPr>
          <w:rFonts w:ascii="Sylfaen" w:hAnsi="Sylfaen"/>
          <w:sz w:val="22"/>
          <w:szCs w:val="22"/>
        </w:rPr>
        <w:t>.)</w:t>
      </w:r>
    </w:p>
    <w:p w14:paraId="02D23383" w14:textId="77777777" w:rsidR="00077C70" w:rsidRDefault="00FC7507" w:rsidP="00077C70">
      <w:pPr>
        <w:pStyle w:val="Default"/>
        <w:spacing w:before="120" w:after="120"/>
        <w:ind w:right="-74"/>
        <w:rPr>
          <w:rFonts w:ascii="Sylfaen" w:hAnsi="Sylfaen"/>
          <w:sz w:val="22"/>
          <w:szCs w:val="22"/>
        </w:rPr>
      </w:pPr>
      <w:r>
        <w:rPr>
          <w:rFonts w:ascii="Sylfaen" w:hAnsi="Sylfaen"/>
          <w:sz w:val="22"/>
          <w:szCs w:val="22"/>
        </w:rPr>
        <w:t xml:space="preserve">Indicators (i) and (ii) focusing on education and employment are clear and readily available from international data bases to which KSA agencies report.   They are well defined in the </w:t>
      </w:r>
      <w:r w:rsidR="0055450E">
        <w:rPr>
          <w:rFonts w:ascii="Sylfaen" w:hAnsi="Sylfaen"/>
          <w:sz w:val="22"/>
          <w:szCs w:val="22"/>
        </w:rPr>
        <w:t xml:space="preserve">national and </w:t>
      </w:r>
      <w:r>
        <w:rPr>
          <w:rFonts w:ascii="Sylfaen" w:hAnsi="Sylfaen"/>
          <w:sz w:val="22"/>
          <w:szCs w:val="22"/>
        </w:rPr>
        <w:t>international sources.  Nevertheless, i</w:t>
      </w:r>
      <w:r w:rsidR="00077C70">
        <w:rPr>
          <w:rFonts w:ascii="Sylfaen" w:hAnsi="Sylfaen"/>
          <w:sz w:val="22"/>
          <w:szCs w:val="22"/>
        </w:rPr>
        <w:t>t should be emphasized that most indicators are released with a lag of some time, necessitated by the months required for collection, compiling, analysis and reporting or publication.</w:t>
      </w:r>
      <w:r>
        <w:rPr>
          <w:rFonts w:ascii="Sylfaen" w:hAnsi="Sylfaen"/>
          <w:sz w:val="22"/>
          <w:szCs w:val="22"/>
        </w:rPr>
        <w:t xml:space="preserve">  Therefore, for a mid-term evaluation covering a two-year period, it is to be expected that </w:t>
      </w:r>
      <w:r w:rsidR="0055450E">
        <w:rPr>
          <w:rFonts w:ascii="Sylfaen" w:hAnsi="Sylfaen"/>
          <w:sz w:val="22"/>
          <w:szCs w:val="22"/>
        </w:rPr>
        <w:t xml:space="preserve">data may be available to indicate a </w:t>
      </w:r>
      <w:r w:rsidR="005758D8">
        <w:rPr>
          <w:rFonts w:ascii="Sylfaen" w:hAnsi="Sylfaen"/>
          <w:sz w:val="22"/>
          <w:szCs w:val="22"/>
        </w:rPr>
        <w:t>recent</w:t>
      </w:r>
      <w:r w:rsidR="0055450E">
        <w:rPr>
          <w:rFonts w:ascii="Sylfaen" w:hAnsi="Sylfaen"/>
          <w:sz w:val="22"/>
          <w:szCs w:val="22"/>
        </w:rPr>
        <w:t xml:space="preserve"> trend, but may not make possible a definitive assessment of results.</w:t>
      </w:r>
      <w:r w:rsidR="00B82EF7">
        <w:rPr>
          <w:rFonts w:ascii="Sylfaen" w:hAnsi="Sylfaen"/>
          <w:sz w:val="22"/>
          <w:szCs w:val="22"/>
        </w:rPr>
        <w:t xml:space="preserve">  Results on these indicators are discussed in the following sections.  On the whole, these indicators appear to serve well as proxies </w:t>
      </w:r>
      <w:r w:rsidR="001F7AEE">
        <w:rPr>
          <w:rFonts w:ascii="Sylfaen" w:hAnsi="Sylfaen"/>
          <w:sz w:val="22"/>
          <w:szCs w:val="22"/>
        </w:rPr>
        <w:t xml:space="preserve">to </w:t>
      </w:r>
      <w:r w:rsidR="00B82EF7">
        <w:rPr>
          <w:rFonts w:ascii="Sylfaen" w:hAnsi="Sylfaen"/>
          <w:sz w:val="22"/>
          <w:szCs w:val="22"/>
        </w:rPr>
        <w:t xml:space="preserve">represent changes in </w:t>
      </w:r>
      <w:r w:rsidR="005758D8">
        <w:rPr>
          <w:rFonts w:ascii="Sylfaen" w:hAnsi="Sylfaen"/>
          <w:sz w:val="22"/>
          <w:szCs w:val="22"/>
        </w:rPr>
        <w:t xml:space="preserve">opportunities available to young people, and to women in particular.  </w:t>
      </w:r>
      <w:r w:rsidR="001F7AEE">
        <w:rPr>
          <w:rFonts w:ascii="Sylfaen" w:hAnsi="Sylfaen"/>
          <w:sz w:val="22"/>
          <w:szCs w:val="22"/>
        </w:rPr>
        <w:t>Furthermore, as standard indicators used by international statistical agencies monitoring labour and development issues, they are not only available but also comparable with other countries in the region and worldwide.</w:t>
      </w:r>
    </w:p>
    <w:p w14:paraId="550ECC2E" w14:textId="77777777" w:rsidR="001F7AEE" w:rsidRDefault="001F7AEE" w:rsidP="00077C70">
      <w:pPr>
        <w:pStyle w:val="Default"/>
        <w:spacing w:before="120" w:after="120"/>
        <w:ind w:right="-74"/>
        <w:rPr>
          <w:rFonts w:ascii="Sylfaen" w:hAnsi="Sylfaen"/>
          <w:sz w:val="22"/>
          <w:szCs w:val="22"/>
        </w:rPr>
      </w:pPr>
      <w:r>
        <w:rPr>
          <w:rFonts w:ascii="Sylfaen" w:hAnsi="Sylfaen"/>
          <w:sz w:val="22"/>
          <w:szCs w:val="22"/>
        </w:rPr>
        <w:t xml:space="preserve">In addition, it is suggested in the relevant paragraphs that, with the emphasis in the CPD and UN programming overall on the MDG agenda, some additional indicators could be proposed.  These can be expected to be increasingly valuable to the post-MDG period, and to the government’s increasing concern to monitor social issues and participation in public choice by wider shares of the population.  </w:t>
      </w:r>
    </w:p>
    <w:p w14:paraId="33BBE545" w14:textId="77777777" w:rsidR="001F7AEE" w:rsidRDefault="001C2AF9" w:rsidP="00077C70">
      <w:pPr>
        <w:pStyle w:val="Default"/>
        <w:spacing w:before="120" w:after="120"/>
        <w:ind w:right="-74"/>
        <w:rPr>
          <w:rFonts w:ascii="Sylfaen" w:hAnsi="Sylfaen"/>
          <w:sz w:val="22"/>
          <w:szCs w:val="22"/>
        </w:rPr>
      </w:pPr>
      <w:r>
        <w:rPr>
          <w:rFonts w:ascii="Sylfaen" w:hAnsi="Sylfaen"/>
          <w:sz w:val="22"/>
          <w:szCs w:val="22"/>
        </w:rPr>
        <w:t>Among the most universally monitored indicators, readily available on ILO, WB and the UN DESA site for MDGs are:</w:t>
      </w:r>
    </w:p>
    <w:p w14:paraId="4A574967" w14:textId="77777777" w:rsidR="001C2AF9" w:rsidRDefault="0024257F" w:rsidP="00F82BDC">
      <w:pPr>
        <w:pStyle w:val="Default"/>
        <w:numPr>
          <w:ilvl w:val="0"/>
          <w:numId w:val="16"/>
        </w:numPr>
        <w:spacing w:before="120" w:after="120"/>
        <w:ind w:right="-74"/>
        <w:rPr>
          <w:rFonts w:ascii="Sylfaen" w:hAnsi="Sylfaen"/>
          <w:sz w:val="22"/>
          <w:szCs w:val="22"/>
        </w:rPr>
      </w:pPr>
      <w:r>
        <w:rPr>
          <w:rFonts w:ascii="Sylfaen" w:hAnsi="Sylfaen"/>
          <w:sz w:val="22"/>
          <w:szCs w:val="22"/>
        </w:rPr>
        <w:t>Labour</w:t>
      </w:r>
      <w:r w:rsidR="001C2AF9">
        <w:rPr>
          <w:rFonts w:ascii="Sylfaen" w:hAnsi="Sylfaen"/>
          <w:sz w:val="22"/>
          <w:szCs w:val="22"/>
        </w:rPr>
        <w:t xml:space="preserve"> force participation rate, by sex (that is, among those of working age, what percentage are working or seeking work?)</w:t>
      </w:r>
    </w:p>
    <w:p w14:paraId="11A7DD3F" w14:textId="77777777" w:rsidR="001C2AF9" w:rsidRDefault="0024257F" w:rsidP="00F82BDC">
      <w:pPr>
        <w:pStyle w:val="Default"/>
        <w:numPr>
          <w:ilvl w:val="0"/>
          <w:numId w:val="16"/>
        </w:numPr>
        <w:spacing w:before="120" w:after="120"/>
        <w:ind w:right="-74"/>
        <w:rPr>
          <w:rFonts w:ascii="Sylfaen" w:hAnsi="Sylfaen"/>
          <w:sz w:val="22"/>
          <w:szCs w:val="22"/>
        </w:rPr>
      </w:pPr>
      <w:r>
        <w:rPr>
          <w:rFonts w:ascii="Sylfaen" w:hAnsi="Sylfaen"/>
          <w:sz w:val="22"/>
          <w:szCs w:val="22"/>
        </w:rPr>
        <w:t>The</w:t>
      </w:r>
      <w:r w:rsidR="001C2AF9">
        <w:rPr>
          <w:rFonts w:ascii="Sylfaen" w:hAnsi="Sylfaen"/>
          <w:sz w:val="22"/>
          <w:szCs w:val="22"/>
        </w:rPr>
        <w:t xml:space="preserve"> share of women in employment (that is, among those employed, what percent are female?)</w:t>
      </w:r>
    </w:p>
    <w:p w14:paraId="6FDF71C8" w14:textId="77777777" w:rsidR="001C2AF9" w:rsidRDefault="00B82EF7" w:rsidP="001C2AF9">
      <w:pPr>
        <w:pStyle w:val="Default"/>
        <w:spacing w:before="60" w:after="60"/>
        <w:ind w:right="-74"/>
        <w:rPr>
          <w:rFonts w:ascii="Sylfaen" w:hAnsi="Sylfaen"/>
          <w:sz w:val="22"/>
          <w:szCs w:val="22"/>
        </w:rPr>
      </w:pPr>
      <w:r>
        <w:rPr>
          <w:rFonts w:ascii="Sylfaen" w:hAnsi="Sylfaen"/>
          <w:sz w:val="22"/>
          <w:szCs w:val="22"/>
        </w:rPr>
        <w:t xml:space="preserve">For indicators (iii) and (iv), </w:t>
      </w:r>
      <w:r w:rsidR="001C2AF9">
        <w:rPr>
          <w:rFonts w:ascii="Sylfaen" w:hAnsi="Sylfaen"/>
          <w:sz w:val="22"/>
          <w:szCs w:val="22"/>
        </w:rPr>
        <w:t xml:space="preserve">some difficulties are apparent in definitions and data availability.  </w:t>
      </w:r>
      <w:r w:rsidR="0011543F">
        <w:rPr>
          <w:rFonts w:ascii="Sylfaen" w:hAnsi="Sylfaen"/>
          <w:sz w:val="22"/>
          <w:szCs w:val="22"/>
        </w:rPr>
        <w:t>It will be useful to the Programme to discuss t</w:t>
      </w:r>
      <w:r w:rsidR="001C2AF9">
        <w:rPr>
          <w:rFonts w:ascii="Sylfaen" w:hAnsi="Sylfaen"/>
          <w:sz w:val="22"/>
          <w:szCs w:val="22"/>
        </w:rPr>
        <w:t xml:space="preserve">hese issues within the current CPD </w:t>
      </w:r>
      <w:r w:rsidR="0011543F">
        <w:rPr>
          <w:rFonts w:ascii="Sylfaen" w:hAnsi="Sylfaen"/>
          <w:sz w:val="22"/>
          <w:szCs w:val="22"/>
        </w:rPr>
        <w:t xml:space="preserve">term in the country office </w:t>
      </w:r>
      <w:r w:rsidR="001C2AF9">
        <w:rPr>
          <w:rFonts w:ascii="Sylfaen" w:hAnsi="Sylfaen"/>
          <w:sz w:val="22"/>
          <w:szCs w:val="22"/>
        </w:rPr>
        <w:t>and with government.  Indicator (iii) “</w:t>
      </w:r>
      <w:r w:rsidR="001C2AF9" w:rsidRPr="004E2C04">
        <w:rPr>
          <w:rFonts w:ascii="Sylfaen" w:hAnsi="Sylfaen"/>
          <w:sz w:val="22"/>
          <w:szCs w:val="22"/>
        </w:rPr>
        <w:t>the percentage of poor with sustainable access t</w:t>
      </w:r>
      <w:r w:rsidR="001C2AF9">
        <w:rPr>
          <w:rFonts w:ascii="Sylfaen" w:hAnsi="Sylfaen"/>
          <w:sz w:val="22"/>
          <w:szCs w:val="22"/>
        </w:rPr>
        <w:t>o social services” is not defined in the CPD</w:t>
      </w:r>
      <w:r w:rsidR="00BC2588">
        <w:rPr>
          <w:rFonts w:ascii="Sylfaen" w:hAnsi="Sylfaen"/>
          <w:sz w:val="22"/>
          <w:szCs w:val="22"/>
        </w:rPr>
        <w:t xml:space="preserve"> results and resources framework (RRF)</w:t>
      </w:r>
      <w:r w:rsidR="001C2AF9">
        <w:rPr>
          <w:rFonts w:ascii="Sylfaen" w:hAnsi="Sylfaen"/>
          <w:sz w:val="22"/>
          <w:szCs w:val="22"/>
        </w:rPr>
        <w:t xml:space="preserve">.  How should “access” be defined, which social services should be given priority, and </w:t>
      </w:r>
      <w:r w:rsidR="0011543F">
        <w:rPr>
          <w:rFonts w:ascii="Sylfaen" w:hAnsi="Sylfaen"/>
          <w:sz w:val="22"/>
          <w:szCs w:val="22"/>
        </w:rPr>
        <w:t>which</w:t>
      </w:r>
      <w:r w:rsidR="001C2AF9">
        <w:rPr>
          <w:rFonts w:ascii="Sylfaen" w:hAnsi="Sylfaen"/>
          <w:sz w:val="22"/>
          <w:szCs w:val="22"/>
        </w:rPr>
        <w:t xml:space="preserve"> population </w:t>
      </w:r>
      <w:r w:rsidR="0011543F">
        <w:rPr>
          <w:rFonts w:ascii="Sylfaen" w:hAnsi="Sylfaen"/>
          <w:sz w:val="22"/>
          <w:szCs w:val="22"/>
        </w:rPr>
        <w:t>strata</w:t>
      </w:r>
      <w:r w:rsidR="001C2AF9">
        <w:rPr>
          <w:rFonts w:ascii="Sylfaen" w:hAnsi="Sylfaen"/>
          <w:sz w:val="22"/>
          <w:szCs w:val="22"/>
        </w:rPr>
        <w:t xml:space="preserve"> </w:t>
      </w:r>
      <w:r w:rsidR="0011543F">
        <w:rPr>
          <w:rFonts w:ascii="Sylfaen" w:hAnsi="Sylfaen"/>
          <w:sz w:val="22"/>
          <w:szCs w:val="22"/>
        </w:rPr>
        <w:t xml:space="preserve">or groups </w:t>
      </w:r>
      <w:r w:rsidR="001C2AF9">
        <w:rPr>
          <w:rFonts w:ascii="Sylfaen" w:hAnsi="Sylfaen"/>
          <w:sz w:val="22"/>
          <w:szCs w:val="22"/>
        </w:rPr>
        <w:t xml:space="preserve">should be the focus of monitoring (urban, rural, income-related, </w:t>
      </w:r>
      <w:r w:rsidR="0011543F">
        <w:rPr>
          <w:rFonts w:ascii="Sylfaen" w:hAnsi="Sylfaen"/>
          <w:sz w:val="22"/>
          <w:szCs w:val="22"/>
        </w:rPr>
        <w:t xml:space="preserve">gender, age, </w:t>
      </w:r>
      <w:r w:rsidR="001C2AF9">
        <w:rPr>
          <w:rFonts w:ascii="Sylfaen" w:hAnsi="Sylfaen"/>
          <w:sz w:val="22"/>
          <w:szCs w:val="22"/>
        </w:rPr>
        <w:t>vulnerable</w:t>
      </w:r>
      <w:r w:rsidR="0011543F">
        <w:rPr>
          <w:rFonts w:ascii="Sylfaen" w:hAnsi="Sylfaen"/>
          <w:sz w:val="22"/>
          <w:szCs w:val="22"/>
        </w:rPr>
        <w:t xml:space="preserve"> groups</w:t>
      </w:r>
      <w:r w:rsidR="001C2AF9">
        <w:rPr>
          <w:rFonts w:ascii="Sylfaen" w:hAnsi="Sylfaen"/>
          <w:sz w:val="22"/>
          <w:szCs w:val="22"/>
        </w:rPr>
        <w:t>)?</w:t>
      </w:r>
    </w:p>
    <w:p w14:paraId="6A1CF2D3" w14:textId="77777777" w:rsidR="00D16B18" w:rsidRPr="00D607E7" w:rsidRDefault="00D16B18" w:rsidP="001C2AF9">
      <w:pPr>
        <w:pStyle w:val="Default"/>
        <w:spacing w:before="60" w:after="60"/>
        <w:ind w:right="-74"/>
        <w:rPr>
          <w:rFonts w:ascii="Sylfaen" w:hAnsi="Sylfaen"/>
          <w:sz w:val="22"/>
          <w:szCs w:val="22"/>
        </w:rPr>
      </w:pPr>
      <w:r>
        <w:rPr>
          <w:rFonts w:ascii="Sylfaen" w:hAnsi="Sylfaen"/>
          <w:sz w:val="22"/>
          <w:szCs w:val="22"/>
        </w:rPr>
        <w:t>Some MDG indicators linking to service delivery include, under Goal 5</w:t>
      </w:r>
      <w:r w:rsidR="00D607E7">
        <w:rPr>
          <w:rFonts w:ascii="Sylfaen" w:hAnsi="Sylfaen"/>
          <w:sz w:val="22"/>
          <w:szCs w:val="22"/>
        </w:rPr>
        <w:t xml:space="preserve"> (Improve maternal health)</w:t>
      </w:r>
      <w:r>
        <w:rPr>
          <w:rFonts w:ascii="Sylfaen" w:hAnsi="Sylfaen"/>
          <w:sz w:val="22"/>
          <w:szCs w:val="22"/>
        </w:rPr>
        <w:t xml:space="preserve">, </w:t>
      </w:r>
      <w:r w:rsidR="00D607E7">
        <w:rPr>
          <w:rFonts w:ascii="Sylfaen" w:hAnsi="Sylfaen"/>
          <w:sz w:val="22"/>
          <w:szCs w:val="22"/>
        </w:rPr>
        <w:t>Indicator 5.5</w:t>
      </w:r>
      <w:r>
        <w:rPr>
          <w:rFonts w:ascii="Sylfaen" w:hAnsi="Sylfaen"/>
          <w:sz w:val="22"/>
          <w:szCs w:val="22"/>
        </w:rPr>
        <w:t xml:space="preserve">:  </w:t>
      </w:r>
      <w:r w:rsidR="00D607E7" w:rsidRPr="00D607E7">
        <w:rPr>
          <w:rFonts w:ascii="Sylfaen" w:hAnsi="Sylfaen"/>
          <w:sz w:val="22"/>
          <w:szCs w:val="22"/>
        </w:rPr>
        <w:t>“</w:t>
      </w:r>
      <w:r w:rsidR="00D607E7" w:rsidRPr="00D607E7">
        <w:rPr>
          <w:rStyle w:val="apple-converted-space"/>
          <w:rFonts w:ascii="Sylfaen" w:hAnsi="Sylfaen"/>
          <w:sz w:val="22"/>
          <w:szCs w:val="22"/>
        </w:rPr>
        <w:t>Antenatal</w:t>
      </w:r>
      <w:r w:rsidR="00D607E7" w:rsidRPr="00D607E7">
        <w:rPr>
          <w:rFonts w:ascii="Sylfaen" w:hAnsi="Sylfaen"/>
          <w:sz w:val="22"/>
          <w:szCs w:val="22"/>
        </w:rPr>
        <w:t xml:space="preserve"> care coverage (at least one visit and at least four visits)”.</w:t>
      </w:r>
      <w:r w:rsidR="00D607E7">
        <w:rPr>
          <w:rFonts w:ascii="Sylfaen" w:hAnsi="Sylfaen"/>
          <w:sz w:val="22"/>
          <w:szCs w:val="22"/>
        </w:rPr>
        <w:t xml:space="preserve">  This indicator is partially monitored in Saudi Arabia, and could be improved in quality by:  ensuring reporting of both components of the indicator (one visit and four visits); and facilitating disaggregation of the data by region and by urban/semi-urban/rural residence.  Indicators on maternal health issues are valuable because results do not focus on medical or scientific components; rather, they reveal the extent to which a society implements social measures to extend access and quality of services to the most vulnerable regions and communities.</w:t>
      </w:r>
    </w:p>
    <w:p w14:paraId="739C7B84" w14:textId="77777777" w:rsidR="001C2AF9" w:rsidRDefault="001C2AF9" w:rsidP="001C2AF9">
      <w:pPr>
        <w:pStyle w:val="Default"/>
        <w:spacing w:before="60" w:after="60"/>
        <w:ind w:right="-74"/>
        <w:rPr>
          <w:rFonts w:ascii="Sylfaen" w:hAnsi="Sylfaen"/>
          <w:sz w:val="22"/>
          <w:szCs w:val="22"/>
        </w:rPr>
      </w:pPr>
      <w:r>
        <w:rPr>
          <w:rFonts w:ascii="Sylfaen" w:hAnsi="Sylfaen"/>
          <w:sz w:val="22"/>
          <w:szCs w:val="22"/>
        </w:rPr>
        <w:t xml:space="preserve"> It would be </w:t>
      </w:r>
      <w:r w:rsidR="00D16B18">
        <w:rPr>
          <w:rFonts w:ascii="Sylfaen" w:hAnsi="Sylfaen"/>
          <w:sz w:val="22"/>
          <w:szCs w:val="22"/>
        </w:rPr>
        <w:t>helpful</w:t>
      </w:r>
      <w:r>
        <w:rPr>
          <w:rFonts w:ascii="Sylfaen" w:hAnsi="Sylfaen"/>
          <w:sz w:val="22"/>
          <w:szCs w:val="22"/>
        </w:rPr>
        <w:t xml:space="preserve"> to review </w:t>
      </w:r>
      <w:r w:rsidR="00315426">
        <w:rPr>
          <w:rFonts w:ascii="Sylfaen" w:hAnsi="Sylfaen"/>
          <w:sz w:val="22"/>
          <w:szCs w:val="22"/>
        </w:rPr>
        <w:t>possible</w:t>
      </w:r>
      <w:r>
        <w:rPr>
          <w:rFonts w:ascii="Sylfaen" w:hAnsi="Sylfaen"/>
          <w:sz w:val="22"/>
          <w:szCs w:val="22"/>
        </w:rPr>
        <w:t xml:space="preserve"> </w:t>
      </w:r>
      <w:r w:rsidR="00315426">
        <w:rPr>
          <w:rFonts w:ascii="Sylfaen" w:hAnsi="Sylfaen"/>
          <w:sz w:val="22"/>
          <w:szCs w:val="22"/>
        </w:rPr>
        <w:t xml:space="preserve">candidates for </w:t>
      </w:r>
      <w:r>
        <w:rPr>
          <w:rFonts w:ascii="Sylfaen" w:hAnsi="Sylfaen"/>
          <w:sz w:val="22"/>
          <w:szCs w:val="22"/>
        </w:rPr>
        <w:t>indicator</w:t>
      </w:r>
      <w:r w:rsidR="00315426">
        <w:rPr>
          <w:rFonts w:ascii="Sylfaen" w:hAnsi="Sylfaen"/>
          <w:sz w:val="22"/>
          <w:szCs w:val="22"/>
        </w:rPr>
        <w:t xml:space="preserve"> (iii)</w:t>
      </w:r>
      <w:r>
        <w:rPr>
          <w:rFonts w:ascii="Sylfaen" w:hAnsi="Sylfaen"/>
          <w:sz w:val="22"/>
          <w:szCs w:val="22"/>
        </w:rPr>
        <w:t xml:space="preserve"> with national entities such as the Urban Observatory (which is an outstanding repository of resources on social monitoring).  One or more indicators could reasonably be selected to represent the </w:t>
      </w:r>
      <w:r w:rsidR="00D16B18">
        <w:rPr>
          <w:rFonts w:ascii="Sylfaen" w:hAnsi="Sylfaen"/>
          <w:sz w:val="22"/>
          <w:szCs w:val="22"/>
        </w:rPr>
        <w:t>CP</w:t>
      </w:r>
      <w:r>
        <w:rPr>
          <w:rFonts w:ascii="Sylfaen" w:hAnsi="Sylfaen"/>
          <w:sz w:val="22"/>
          <w:szCs w:val="22"/>
        </w:rPr>
        <w:t xml:space="preserve"> and government’s </w:t>
      </w:r>
      <w:r w:rsidR="0024257F">
        <w:rPr>
          <w:rFonts w:ascii="Sylfaen" w:hAnsi="Sylfaen"/>
          <w:sz w:val="22"/>
          <w:szCs w:val="22"/>
        </w:rPr>
        <w:t>continuing</w:t>
      </w:r>
      <w:r w:rsidR="00315426">
        <w:rPr>
          <w:rFonts w:ascii="Sylfaen" w:hAnsi="Sylfaen"/>
          <w:sz w:val="22"/>
          <w:szCs w:val="22"/>
        </w:rPr>
        <w:t xml:space="preserve"> </w:t>
      </w:r>
      <w:r>
        <w:rPr>
          <w:rFonts w:ascii="Sylfaen" w:hAnsi="Sylfaen"/>
          <w:sz w:val="22"/>
          <w:szCs w:val="22"/>
        </w:rPr>
        <w:t>concern with inclusiveness.</w:t>
      </w:r>
    </w:p>
    <w:p w14:paraId="553B6240" w14:textId="77777777" w:rsidR="008947CC" w:rsidRDefault="001C2AF9" w:rsidP="001F7AEE">
      <w:pPr>
        <w:pStyle w:val="Default"/>
        <w:spacing w:before="120" w:after="120"/>
        <w:ind w:right="-74"/>
        <w:rPr>
          <w:rFonts w:ascii="Sylfaen" w:hAnsi="Sylfaen"/>
          <w:sz w:val="22"/>
          <w:szCs w:val="22"/>
        </w:rPr>
      </w:pPr>
      <w:r>
        <w:rPr>
          <w:rFonts w:ascii="Sylfaen" w:hAnsi="Sylfaen"/>
          <w:sz w:val="22"/>
          <w:szCs w:val="22"/>
        </w:rPr>
        <w:t xml:space="preserve">Similarly, indicator (iv) “an </w:t>
      </w:r>
      <w:r w:rsidRPr="004E2C04">
        <w:rPr>
          <w:rFonts w:ascii="Sylfaen" w:hAnsi="Sylfaen"/>
          <w:sz w:val="22"/>
          <w:szCs w:val="22"/>
        </w:rPr>
        <w:t xml:space="preserve">enhanced capacity of </w:t>
      </w:r>
      <w:r>
        <w:rPr>
          <w:rFonts w:ascii="Sylfaen" w:hAnsi="Sylfaen"/>
          <w:sz w:val="22"/>
          <w:szCs w:val="22"/>
        </w:rPr>
        <w:t xml:space="preserve">[selected] </w:t>
      </w:r>
      <w:r w:rsidRPr="004E2C04">
        <w:rPr>
          <w:rFonts w:ascii="Sylfaen" w:hAnsi="Sylfaen"/>
          <w:sz w:val="22"/>
          <w:szCs w:val="22"/>
        </w:rPr>
        <w:t xml:space="preserve">CSOs to provide women empowerment opportunities, </w:t>
      </w:r>
      <w:r>
        <w:rPr>
          <w:rFonts w:ascii="Sylfaen" w:hAnsi="Sylfaen"/>
          <w:sz w:val="22"/>
          <w:szCs w:val="22"/>
        </w:rPr>
        <w:t xml:space="preserve">and </w:t>
      </w:r>
      <w:r w:rsidRPr="004E2C04">
        <w:rPr>
          <w:rFonts w:ascii="Sylfaen" w:hAnsi="Sylfaen"/>
          <w:sz w:val="22"/>
          <w:szCs w:val="22"/>
        </w:rPr>
        <w:t>new policies to support women</w:t>
      </w:r>
      <w:r>
        <w:rPr>
          <w:rFonts w:ascii="Sylfaen" w:hAnsi="Sylfaen"/>
          <w:sz w:val="22"/>
          <w:szCs w:val="22"/>
        </w:rPr>
        <w:t>’s</w:t>
      </w:r>
      <w:r w:rsidRPr="004E2C04">
        <w:rPr>
          <w:rFonts w:ascii="Sylfaen" w:hAnsi="Sylfaen"/>
          <w:sz w:val="22"/>
          <w:szCs w:val="22"/>
        </w:rPr>
        <w:t xml:space="preserve"> empowerment</w:t>
      </w:r>
      <w:r>
        <w:rPr>
          <w:rFonts w:ascii="Sylfaen" w:hAnsi="Sylfaen"/>
          <w:sz w:val="22"/>
          <w:szCs w:val="22"/>
        </w:rPr>
        <w:t>” is not defined and has not been made “operational’ in the RRF.</w:t>
      </w:r>
      <w:r w:rsidR="00D16B18">
        <w:rPr>
          <w:rFonts w:ascii="Sylfaen" w:hAnsi="Sylfaen"/>
          <w:sz w:val="22"/>
          <w:szCs w:val="22"/>
        </w:rPr>
        <w:t xml:space="preserve">  </w:t>
      </w:r>
      <w:r w:rsidR="00F24C54">
        <w:rPr>
          <w:rFonts w:ascii="Sylfaen" w:hAnsi="Sylfaen"/>
          <w:sz w:val="22"/>
          <w:szCs w:val="22"/>
        </w:rPr>
        <w:t xml:space="preserve">Nevertheless, within the project outputs attention was paid to indicators of CSO capacity development.  </w:t>
      </w:r>
      <w:r w:rsidR="00315426">
        <w:rPr>
          <w:rFonts w:ascii="Sylfaen" w:hAnsi="Sylfaen"/>
          <w:sz w:val="22"/>
          <w:szCs w:val="22"/>
        </w:rPr>
        <w:t>In order to make this indicator “work”</w:t>
      </w:r>
      <w:r w:rsidR="008947CC">
        <w:rPr>
          <w:rFonts w:ascii="Sylfaen" w:hAnsi="Sylfaen"/>
          <w:sz w:val="22"/>
          <w:szCs w:val="22"/>
        </w:rPr>
        <w:t xml:space="preserve">, selected project indicators could be articulated appropriately for the objectives of CPD Outcome 1.  </w:t>
      </w:r>
      <w:r w:rsidR="003C79EB">
        <w:rPr>
          <w:rFonts w:ascii="Sylfaen" w:hAnsi="Sylfaen"/>
          <w:sz w:val="22"/>
          <w:szCs w:val="22"/>
        </w:rPr>
        <w:t>Several e</w:t>
      </w:r>
      <w:r w:rsidR="008947CC">
        <w:rPr>
          <w:rFonts w:ascii="Sylfaen" w:hAnsi="Sylfaen"/>
          <w:sz w:val="22"/>
          <w:szCs w:val="22"/>
        </w:rPr>
        <w:t xml:space="preserve">xamples drawn from </w:t>
      </w:r>
      <w:r w:rsidR="003C79EB">
        <w:rPr>
          <w:rFonts w:ascii="Sylfaen" w:hAnsi="Sylfaen"/>
          <w:sz w:val="22"/>
          <w:szCs w:val="22"/>
        </w:rPr>
        <w:t>three</w:t>
      </w:r>
      <w:r w:rsidR="008947CC">
        <w:rPr>
          <w:rFonts w:ascii="Sylfaen" w:hAnsi="Sylfaen"/>
          <w:sz w:val="22"/>
          <w:szCs w:val="22"/>
        </w:rPr>
        <w:t xml:space="preserve"> Project Documents are shown in the table below.</w:t>
      </w:r>
      <w:r w:rsidR="003C79EB">
        <w:rPr>
          <w:rFonts w:ascii="Sylfaen" w:hAnsi="Sylfaen"/>
          <w:sz w:val="22"/>
          <w:szCs w:val="22"/>
        </w:rPr>
        <w:t xml:space="preserve">  In the case of Warif, the indicators and targets presented in the Project Document are already articulated in a specific and measurable form.  In all cases, indicators and targets should be disaggregated by sex wherever possible.  Indeed, in the projects visited by the mission, all outputs took care to involve equal numbers of women and men.  With the excellent results of the CPD projects, it is vital to include gender parity as a target indicator – which can then be picked up by monitoring and Outcome Evaluation exercises in future.</w:t>
      </w:r>
    </w:p>
    <w:p w14:paraId="62350F49" w14:textId="77777777" w:rsidR="008947CC" w:rsidRDefault="00260BDA" w:rsidP="008947CC">
      <w:pPr>
        <w:pStyle w:val="Caption"/>
      </w:pPr>
      <w:r>
        <w:t>Table 4.2</w:t>
      </w:r>
      <w:r w:rsidR="008947CC">
        <w:t xml:space="preserve"> Measu</w:t>
      </w:r>
      <w:r w:rsidR="00D81FEF">
        <w:t>rable (Operational) Indicators D</w:t>
      </w:r>
      <w:r w:rsidR="008947CC">
        <w:t xml:space="preserve">eveloped from </w:t>
      </w:r>
      <w:r w:rsidR="00115EC2">
        <w:t xml:space="preserve">CPD </w:t>
      </w:r>
      <w:r w:rsidR="008947CC">
        <w:t>Project Documents</w:t>
      </w:r>
    </w:p>
    <w:tbl>
      <w:tblPr>
        <w:tblStyle w:val="TableGrid"/>
        <w:tblW w:w="0" w:type="auto"/>
        <w:tblLayout w:type="fixed"/>
        <w:tblLook w:val="04A0" w:firstRow="1" w:lastRow="0" w:firstColumn="1" w:lastColumn="0" w:noHBand="0" w:noVBand="1"/>
      </w:tblPr>
      <w:tblGrid>
        <w:gridCol w:w="1838"/>
        <w:gridCol w:w="2693"/>
        <w:gridCol w:w="2368"/>
        <w:gridCol w:w="2233"/>
      </w:tblGrid>
      <w:tr w:rsidR="00C7081E" w:rsidRPr="008947CC" w14:paraId="739CC00E" w14:textId="77777777" w:rsidTr="00332152">
        <w:tc>
          <w:tcPr>
            <w:tcW w:w="1838" w:type="dxa"/>
            <w:shd w:val="clear" w:color="auto" w:fill="D9D9D9" w:themeFill="background1" w:themeFillShade="D9"/>
          </w:tcPr>
          <w:p w14:paraId="28983BC9" w14:textId="77777777" w:rsidR="008947CC" w:rsidRPr="008947CC" w:rsidRDefault="008947CC" w:rsidP="00D81FEF">
            <w:pPr>
              <w:ind w:right="34"/>
              <w:jc w:val="center"/>
              <w:rPr>
                <w:rFonts w:ascii="Arial Narrow" w:hAnsi="Arial Narrow"/>
                <w:sz w:val="18"/>
                <w:szCs w:val="18"/>
              </w:rPr>
            </w:pPr>
            <w:r w:rsidRPr="008947CC">
              <w:rPr>
                <w:rFonts w:ascii="Arial Narrow" w:hAnsi="Arial Narrow"/>
                <w:sz w:val="18"/>
                <w:szCs w:val="18"/>
              </w:rPr>
              <w:t>Project</w:t>
            </w:r>
          </w:p>
        </w:tc>
        <w:tc>
          <w:tcPr>
            <w:tcW w:w="2693" w:type="dxa"/>
            <w:shd w:val="clear" w:color="auto" w:fill="D9D9D9" w:themeFill="background1" w:themeFillShade="D9"/>
          </w:tcPr>
          <w:p w14:paraId="733A66CF" w14:textId="77777777" w:rsidR="008947CC" w:rsidRPr="008947CC" w:rsidRDefault="008947CC" w:rsidP="00C7081E">
            <w:pPr>
              <w:ind w:right="0"/>
              <w:jc w:val="center"/>
              <w:rPr>
                <w:rFonts w:ascii="Arial Narrow" w:hAnsi="Arial Narrow"/>
                <w:sz w:val="18"/>
                <w:szCs w:val="18"/>
              </w:rPr>
            </w:pPr>
            <w:r w:rsidRPr="008947CC">
              <w:rPr>
                <w:rFonts w:ascii="Arial Narrow" w:hAnsi="Arial Narrow"/>
                <w:sz w:val="18"/>
                <w:szCs w:val="18"/>
              </w:rPr>
              <w:t>Intended Results</w:t>
            </w:r>
            <w:r w:rsidR="00260BDA">
              <w:rPr>
                <w:rFonts w:ascii="Arial Narrow" w:hAnsi="Arial Narrow"/>
                <w:sz w:val="18"/>
                <w:szCs w:val="18"/>
              </w:rPr>
              <w:t xml:space="preserve"> – from Project Document</w:t>
            </w:r>
          </w:p>
        </w:tc>
        <w:tc>
          <w:tcPr>
            <w:tcW w:w="2368" w:type="dxa"/>
            <w:shd w:val="clear" w:color="auto" w:fill="D9D9D9" w:themeFill="background1" w:themeFillShade="D9"/>
          </w:tcPr>
          <w:p w14:paraId="2286F668" w14:textId="77777777" w:rsidR="008947CC" w:rsidRPr="008947CC" w:rsidRDefault="008947CC" w:rsidP="00C7081E">
            <w:pPr>
              <w:ind w:right="-46"/>
              <w:jc w:val="center"/>
              <w:rPr>
                <w:rFonts w:ascii="Arial Narrow" w:hAnsi="Arial Narrow"/>
                <w:sz w:val="18"/>
                <w:szCs w:val="18"/>
              </w:rPr>
            </w:pPr>
            <w:r>
              <w:rPr>
                <w:rFonts w:ascii="Arial Narrow" w:hAnsi="Arial Narrow"/>
                <w:sz w:val="18"/>
                <w:szCs w:val="18"/>
              </w:rPr>
              <w:t xml:space="preserve">Articulated as SMART </w:t>
            </w:r>
            <w:r w:rsidR="003469DC">
              <w:rPr>
                <w:rFonts w:ascii="Arial Narrow" w:hAnsi="Arial Narrow"/>
                <w:sz w:val="18"/>
                <w:szCs w:val="18"/>
              </w:rPr>
              <w:t xml:space="preserve">target &amp; </w:t>
            </w:r>
            <w:r>
              <w:rPr>
                <w:rFonts w:ascii="Arial Narrow" w:hAnsi="Arial Narrow"/>
                <w:sz w:val="18"/>
                <w:szCs w:val="18"/>
              </w:rPr>
              <w:t>indicator for Project</w:t>
            </w:r>
          </w:p>
        </w:tc>
        <w:tc>
          <w:tcPr>
            <w:tcW w:w="2233" w:type="dxa"/>
            <w:shd w:val="clear" w:color="auto" w:fill="D9D9D9" w:themeFill="background1" w:themeFillShade="D9"/>
          </w:tcPr>
          <w:p w14:paraId="2EA7BA24" w14:textId="77777777" w:rsidR="008947CC" w:rsidRPr="008947CC" w:rsidRDefault="008947CC" w:rsidP="00C7081E">
            <w:pPr>
              <w:ind w:right="0"/>
              <w:jc w:val="center"/>
              <w:rPr>
                <w:rFonts w:ascii="Arial Narrow" w:hAnsi="Arial Narrow"/>
                <w:sz w:val="18"/>
                <w:szCs w:val="18"/>
              </w:rPr>
            </w:pPr>
            <w:r>
              <w:rPr>
                <w:rFonts w:ascii="Arial Narrow" w:hAnsi="Arial Narrow"/>
                <w:sz w:val="18"/>
                <w:szCs w:val="18"/>
              </w:rPr>
              <w:t xml:space="preserve">Articulated as SMART </w:t>
            </w:r>
            <w:r w:rsidR="003469DC">
              <w:rPr>
                <w:rFonts w:ascii="Arial Narrow" w:hAnsi="Arial Narrow"/>
                <w:sz w:val="18"/>
                <w:szCs w:val="18"/>
              </w:rPr>
              <w:t xml:space="preserve">target &amp; </w:t>
            </w:r>
            <w:r>
              <w:rPr>
                <w:rFonts w:ascii="Arial Narrow" w:hAnsi="Arial Narrow"/>
                <w:sz w:val="18"/>
                <w:szCs w:val="18"/>
              </w:rPr>
              <w:t>indicator for CPD</w:t>
            </w:r>
          </w:p>
        </w:tc>
      </w:tr>
      <w:tr w:rsidR="00C7081E" w:rsidRPr="008947CC" w14:paraId="1B1B74E5" w14:textId="77777777" w:rsidTr="00332152">
        <w:tc>
          <w:tcPr>
            <w:tcW w:w="1838" w:type="dxa"/>
          </w:tcPr>
          <w:p w14:paraId="5F80D624" w14:textId="77777777" w:rsidR="00C7081E" w:rsidRPr="008947CC" w:rsidRDefault="00C7081E" w:rsidP="00C7081E">
            <w:pPr>
              <w:ind w:right="0"/>
              <w:jc w:val="center"/>
              <w:rPr>
                <w:rFonts w:ascii="Arial Narrow" w:hAnsi="Arial Narrow"/>
                <w:sz w:val="18"/>
                <w:szCs w:val="18"/>
              </w:rPr>
            </w:pPr>
            <w:r>
              <w:rPr>
                <w:rFonts w:ascii="Arial Narrow" w:hAnsi="Arial Narrow"/>
                <w:sz w:val="18"/>
                <w:szCs w:val="18"/>
              </w:rPr>
              <w:t>(1)</w:t>
            </w:r>
          </w:p>
        </w:tc>
        <w:tc>
          <w:tcPr>
            <w:tcW w:w="2693" w:type="dxa"/>
          </w:tcPr>
          <w:p w14:paraId="6CA4030F" w14:textId="77777777" w:rsidR="00C7081E" w:rsidRPr="008947CC" w:rsidRDefault="00C7081E" w:rsidP="00C7081E">
            <w:pPr>
              <w:ind w:right="0"/>
              <w:jc w:val="center"/>
              <w:rPr>
                <w:rFonts w:ascii="Arial Narrow" w:hAnsi="Arial Narrow"/>
                <w:sz w:val="18"/>
                <w:szCs w:val="18"/>
              </w:rPr>
            </w:pPr>
            <w:r>
              <w:rPr>
                <w:rFonts w:ascii="Arial Narrow" w:hAnsi="Arial Narrow"/>
                <w:sz w:val="18"/>
                <w:szCs w:val="18"/>
              </w:rPr>
              <w:t>(2)</w:t>
            </w:r>
          </w:p>
        </w:tc>
        <w:tc>
          <w:tcPr>
            <w:tcW w:w="2368" w:type="dxa"/>
          </w:tcPr>
          <w:p w14:paraId="6B164A70" w14:textId="77777777" w:rsidR="00C7081E" w:rsidRDefault="00C7081E" w:rsidP="00C7081E">
            <w:pPr>
              <w:ind w:right="-46"/>
              <w:jc w:val="center"/>
              <w:rPr>
                <w:rFonts w:ascii="Arial Narrow" w:hAnsi="Arial Narrow"/>
                <w:sz w:val="18"/>
                <w:szCs w:val="18"/>
              </w:rPr>
            </w:pPr>
            <w:r>
              <w:rPr>
                <w:rFonts w:ascii="Arial Narrow" w:hAnsi="Arial Narrow"/>
                <w:sz w:val="18"/>
                <w:szCs w:val="18"/>
              </w:rPr>
              <w:t>(3)</w:t>
            </w:r>
          </w:p>
        </w:tc>
        <w:tc>
          <w:tcPr>
            <w:tcW w:w="2233" w:type="dxa"/>
          </w:tcPr>
          <w:p w14:paraId="51328B6B" w14:textId="77777777" w:rsidR="00C7081E" w:rsidRDefault="00C7081E" w:rsidP="00C7081E">
            <w:pPr>
              <w:ind w:right="0"/>
              <w:jc w:val="center"/>
              <w:rPr>
                <w:rFonts w:ascii="Arial Narrow" w:hAnsi="Arial Narrow"/>
                <w:sz w:val="18"/>
                <w:szCs w:val="18"/>
              </w:rPr>
            </w:pPr>
            <w:r>
              <w:rPr>
                <w:rFonts w:ascii="Arial Narrow" w:hAnsi="Arial Narrow"/>
                <w:sz w:val="18"/>
                <w:szCs w:val="18"/>
              </w:rPr>
              <w:t>(4)</w:t>
            </w:r>
          </w:p>
        </w:tc>
      </w:tr>
      <w:tr w:rsidR="00332152" w:rsidRPr="008947CC" w14:paraId="4A072235" w14:textId="77777777" w:rsidTr="003C79EB">
        <w:tc>
          <w:tcPr>
            <w:tcW w:w="1838" w:type="dxa"/>
            <w:vAlign w:val="center"/>
          </w:tcPr>
          <w:p w14:paraId="076033AF" w14:textId="77777777" w:rsidR="008947CC" w:rsidRPr="008947CC" w:rsidRDefault="008947CC" w:rsidP="00332152">
            <w:pPr>
              <w:ind w:right="-81"/>
              <w:jc w:val="center"/>
              <w:rPr>
                <w:rFonts w:ascii="Arial Narrow" w:hAnsi="Arial Narrow"/>
                <w:sz w:val="18"/>
                <w:szCs w:val="18"/>
              </w:rPr>
            </w:pPr>
            <w:r>
              <w:rPr>
                <w:rFonts w:ascii="Arial Narrow" w:hAnsi="Arial Narrow"/>
                <w:sz w:val="18"/>
                <w:szCs w:val="18"/>
              </w:rPr>
              <w:t>National Youth Strategy</w:t>
            </w:r>
          </w:p>
        </w:tc>
        <w:tc>
          <w:tcPr>
            <w:tcW w:w="2693" w:type="dxa"/>
            <w:vAlign w:val="center"/>
          </w:tcPr>
          <w:p w14:paraId="10AB86C9" w14:textId="77777777" w:rsidR="008947CC" w:rsidRPr="008947CC" w:rsidRDefault="00266790" w:rsidP="003C79EB">
            <w:pPr>
              <w:ind w:right="0"/>
              <w:rPr>
                <w:rFonts w:ascii="Arial Narrow" w:hAnsi="Arial Narrow"/>
                <w:sz w:val="18"/>
                <w:szCs w:val="18"/>
              </w:rPr>
            </w:pPr>
            <w:r>
              <w:rPr>
                <w:rFonts w:ascii="Arial Narrow" w:hAnsi="Arial Narrow"/>
                <w:sz w:val="18"/>
                <w:szCs w:val="18"/>
              </w:rPr>
              <w:t xml:space="preserve">National youth strategy </w:t>
            </w:r>
            <w:r w:rsidR="00115EC2">
              <w:rPr>
                <w:rFonts w:ascii="Arial Narrow" w:hAnsi="Arial Narrow"/>
                <w:sz w:val="18"/>
                <w:szCs w:val="18"/>
              </w:rPr>
              <w:t>and corresponding action plan adopted by Government and stakeholders</w:t>
            </w:r>
          </w:p>
        </w:tc>
        <w:tc>
          <w:tcPr>
            <w:tcW w:w="2368" w:type="dxa"/>
          </w:tcPr>
          <w:p w14:paraId="1F5E8811" w14:textId="77777777" w:rsidR="008947CC" w:rsidRDefault="005C4180" w:rsidP="008947CC">
            <w:pPr>
              <w:ind w:right="-46"/>
              <w:rPr>
                <w:rFonts w:ascii="Arial Narrow" w:hAnsi="Arial Narrow"/>
                <w:sz w:val="18"/>
                <w:szCs w:val="18"/>
              </w:rPr>
            </w:pPr>
            <w:r>
              <w:rPr>
                <w:rFonts w:ascii="Arial Narrow" w:hAnsi="Arial Narrow"/>
                <w:sz w:val="18"/>
                <w:szCs w:val="18"/>
              </w:rPr>
              <w:t>-Series of consultative workshops provide feedback to revise NYS</w:t>
            </w:r>
          </w:p>
          <w:p w14:paraId="0896ACC0" w14:textId="77777777" w:rsidR="005C4180" w:rsidRDefault="005C4180" w:rsidP="008947CC">
            <w:pPr>
              <w:ind w:right="-46"/>
              <w:rPr>
                <w:rFonts w:ascii="Arial Narrow" w:hAnsi="Arial Narrow"/>
                <w:sz w:val="18"/>
                <w:szCs w:val="18"/>
              </w:rPr>
            </w:pPr>
            <w:r>
              <w:rPr>
                <w:rFonts w:ascii="Arial Narrow" w:hAnsi="Arial Narrow"/>
                <w:sz w:val="18"/>
                <w:szCs w:val="18"/>
              </w:rPr>
              <w:t>-with xx% female participation</w:t>
            </w:r>
          </w:p>
          <w:p w14:paraId="176DFA8C" w14:textId="77777777" w:rsidR="005C4180" w:rsidRPr="008947CC" w:rsidRDefault="005C4180" w:rsidP="00332152">
            <w:pPr>
              <w:ind w:right="-46"/>
              <w:rPr>
                <w:rFonts w:ascii="Arial Narrow" w:hAnsi="Arial Narrow"/>
                <w:sz w:val="18"/>
                <w:szCs w:val="18"/>
              </w:rPr>
            </w:pPr>
            <w:r>
              <w:rPr>
                <w:rFonts w:ascii="Arial Narrow" w:hAnsi="Arial Narrow"/>
                <w:sz w:val="18"/>
                <w:szCs w:val="18"/>
              </w:rPr>
              <w:t>-</w:t>
            </w:r>
            <w:r w:rsidR="00332152">
              <w:rPr>
                <w:rFonts w:ascii="Arial Narrow" w:hAnsi="Arial Narrow"/>
                <w:sz w:val="18"/>
                <w:szCs w:val="18"/>
              </w:rPr>
              <w:t>g</w:t>
            </w:r>
            <w:r>
              <w:rPr>
                <w:rFonts w:ascii="Arial Narrow" w:hAnsi="Arial Narrow"/>
                <w:sz w:val="18"/>
                <w:szCs w:val="18"/>
              </w:rPr>
              <w:t xml:space="preserve">overnment </w:t>
            </w:r>
            <w:r w:rsidR="00332152">
              <w:rPr>
                <w:rFonts w:ascii="Arial Narrow" w:hAnsi="Arial Narrow"/>
                <w:sz w:val="18"/>
                <w:szCs w:val="18"/>
              </w:rPr>
              <w:t xml:space="preserve">partner </w:t>
            </w:r>
            <w:r>
              <w:rPr>
                <w:rFonts w:ascii="Arial Narrow" w:hAnsi="Arial Narrow"/>
                <w:sz w:val="18"/>
                <w:szCs w:val="18"/>
              </w:rPr>
              <w:t>staff prepare implementation and M&amp;E plans</w:t>
            </w:r>
          </w:p>
        </w:tc>
        <w:tc>
          <w:tcPr>
            <w:tcW w:w="2233" w:type="dxa"/>
          </w:tcPr>
          <w:p w14:paraId="71319A8F" w14:textId="77777777" w:rsidR="005C4180" w:rsidRDefault="005C4180" w:rsidP="008947CC">
            <w:pPr>
              <w:ind w:right="0"/>
              <w:rPr>
                <w:rFonts w:ascii="Arial Narrow" w:hAnsi="Arial Narrow"/>
                <w:sz w:val="18"/>
                <w:szCs w:val="18"/>
              </w:rPr>
            </w:pPr>
            <w:r>
              <w:rPr>
                <w:rFonts w:ascii="Arial Narrow" w:hAnsi="Arial Narrow"/>
                <w:sz w:val="18"/>
                <w:szCs w:val="18"/>
              </w:rPr>
              <w:t>Ministry staff develop capacity &amp; carry out targeted tasks</w:t>
            </w:r>
          </w:p>
          <w:p w14:paraId="170347A7" w14:textId="77777777" w:rsidR="005C4180" w:rsidRDefault="005C4180" w:rsidP="005C4180">
            <w:pPr>
              <w:ind w:right="0"/>
              <w:rPr>
                <w:rFonts w:ascii="Arial Narrow" w:hAnsi="Arial Narrow"/>
                <w:sz w:val="18"/>
                <w:szCs w:val="18"/>
              </w:rPr>
            </w:pPr>
            <w:r>
              <w:rPr>
                <w:rFonts w:ascii="Arial Narrow" w:hAnsi="Arial Narrow"/>
                <w:sz w:val="18"/>
                <w:szCs w:val="18"/>
              </w:rPr>
              <w:t>-conduct consultative process at targeted participation level (sex and regional targets)</w:t>
            </w:r>
          </w:p>
          <w:p w14:paraId="73E09420" w14:textId="77777777" w:rsidR="005C4180" w:rsidRDefault="005C4180" w:rsidP="005C4180">
            <w:pPr>
              <w:ind w:right="0"/>
              <w:rPr>
                <w:rFonts w:ascii="Arial Narrow" w:hAnsi="Arial Narrow"/>
                <w:sz w:val="18"/>
                <w:szCs w:val="18"/>
              </w:rPr>
            </w:pPr>
            <w:r>
              <w:rPr>
                <w:rFonts w:ascii="Arial Narrow" w:hAnsi="Arial Narrow"/>
                <w:sz w:val="18"/>
                <w:szCs w:val="18"/>
              </w:rPr>
              <w:t>-draft NYS</w:t>
            </w:r>
          </w:p>
          <w:p w14:paraId="099F9440" w14:textId="77777777" w:rsidR="008947CC" w:rsidRPr="008947CC" w:rsidRDefault="005C4180" w:rsidP="005C4180">
            <w:pPr>
              <w:ind w:right="0"/>
              <w:rPr>
                <w:rFonts w:ascii="Arial Narrow" w:hAnsi="Arial Narrow"/>
                <w:sz w:val="18"/>
                <w:szCs w:val="18"/>
              </w:rPr>
            </w:pPr>
            <w:r>
              <w:rPr>
                <w:rFonts w:ascii="Arial Narrow" w:hAnsi="Arial Narrow"/>
                <w:sz w:val="18"/>
                <w:szCs w:val="18"/>
              </w:rPr>
              <w:t xml:space="preserve">-drive </w:t>
            </w:r>
          </w:p>
        </w:tc>
      </w:tr>
      <w:tr w:rsidR="00332152" w:rsidRPr="008947CC" w14:paraId="6F0A1431" w14:textId="77777777" w:rsidTr="00332152">
        <w:tc>
          <w:tcPr>
            <w:tcW w:w="1838" w:type="dxa"/>
            <w:vAlign w:val="center"/>
          </w:tcPr>
          <w:p w14:paraId="0EB8259F" w14:textId="77777777" w:rsidR="00332152" w:rsidRPr="008947CC" w:rsidRDefault="00332152" w:rsidP="00332152">
            <w:pPr>
              <w:ind w:right="34"/>
              <w:jc w:val="center"/>
              <w:rPr>
                <w:rFonts w:ascii="Arial Narrow" w:hAnsi="Arial Narrow"/>
                <w:sz w:val="18"/>
                <w:szCs w:val="18"/>
              </w:rPr>
            </w:pPr>
            <w:r>
              <w:rPr>
                <w:rFonts w:ascii="Arial Narrow" w:hAnsi="Arial Narrow"/>
                <w:sz w:val="18"/>
                <w:szCs w:val="18"/>
              </w:rPr>
              <w:t>Warif</w:t>
            </w:r>
          </w:p>
        </w:tc>
        <w:tc>
          <w:tcPr>
            <w:tcW w:w="2693" w:type="dxa"/>
            <w:vAlign w:val="center"/>
          </w:tcPr>
          <w:p w14:paraId="4987FA7C" w14:textId="77777777" w:rsidR="00332152" w:rsidRPr="00332152" w:rsidRDefault="00332152" w:rsidP="00332152">
            <w:pPr>
              <w:autoSpaceDE w:val="0"/>
              <w:autoSpaceDN w:val="0"/>
              <w:adjustRightInd w:val="0"/>
              <w:ind w:right="0"/>
              <w:rPr>
                <w:rFonts w:ascii="Arial Narrow" w:hAnsi="Arial Narrow" w:cs="Times New Roman"/>
                <w:sz w:val="18"/>
                <w:szCs w:val="18"/>
              </w:rPr>
            </w:pPr>
            <w:r w:rsidRPr="00332152">
              <w:rPr>
                <w:rFonts w:ascii="Arial Narrow" w:hAnsi="Arial Narrow" w:cs="Times New Roman"/>
                <w:sz w:val="18"/>
                <w:szCs w:val="18"/>
              </w:rPr>
              <w:t>At least three themes targeted in</w:t>
            </w:r>
          </w:p>
          <w:p w14:paraId="00A149F5" w14:textId="77777777" w:rsidR="00332152" w:rsidRPr="00332152" w:rsidRDefault="00332152" w:rsidP="00332152">
            <w:pPr>
              <w:autoSpaceDE w:val="0"/>
              <w:autoSpaceDN w:val="0"/>
              <w:adjustRightInd w:val="0"/>
              <w:ind w:right="0"/>
              <w:rPr>
                <w:rFonts w:ascii="Arial Narrow" w:hAnsi="Arial Narrow" w:cs="Times New Roman"/>
                <w:sz w:val="18"/>
                <w:szCs w:val="18"/>
              </w:rPr>
            </w:pPr>
            <w:r w:rsidRPr="00332152">
              <w:rPr>
                <w:rFonts w:ascii="Arial Narrow" w:hAnsi="Arial Narrow" w:cs="Times New Roman"/>
                <w:sz w:val="18"/>
                <w:szCs w:val="18"/>
              </w:rPr>
              <w:t>the capacity development</w:t>
            </w:r>
          </w:p>
          <w:p w14:paraId="469EE67D" w14:textId="77777777" w:rsidR="00332152" w:rsidRDefault="00332152" w:rsidP="00332152">
            <w:pPr>
              <w:autoSpaceDE w:val="0"/>
              <w:autoSpaceDN w:val="0"/>
              <w:adjustRightInd w:val="0"/>
              <w:ind w:right="0"/>
              <w:rPr>
                <w:rFonts w:ascii="Arial Narrow" w:hAnsi="Arial Narrow" w:cs="Times New Roman"/>
                <w:sz w:val="18"/>
                <w:szCs w:val="18"/>
              </w:rPr>
            </w:pPr>
            <w:r w:rsidRPr="00332152">
              <w:rPr>
                <w:rFonts w:ascii="Arial Narrow" w:hAnsi="Arial Narrow" w:cs="Times New Roman"/>
                <w:sz w:val="18"/>
                <w:szCs w:val="18"/>
              </w:rPr>
              <w:t>programme for potential focus of Warif</w:t>
            </w:r>
          </w:p>
          <w:p w14:paraId="58FD22E0" w14:textId="77777777" w:rsidR="003C79EB" w:rsidRPr="00332152" w:rsidRDefault="003C79EB" w:rsidP="00332152">
            <w:pPr>
              <w:autoSpaceDE w:val="0"/>
              <w:autoSpaceDN w:val="0"/>
              <w:adjustRightInd w:val="0"/>
              <w:ind w:right="0"/>
              <w:rPr>
                <w:rFonts w:ascii="Arial Narrow" w:hAnsi="Arial Narrow" w:cs="Times New Roman"/>
                <w:sz w:val="18"/>
                <w:szCs w:val="18"/>
              </w:rPr>
            </w:pPr>
          </w:p>
          <w:p w14:paraId="022FCC09" w14:textId="77777777" w:rsidR="00332152" w:rsidRPr="00332152" w:rsidRDefault="00332152" w:rsidP="00332152">
            <w:pPr>
              <w:autoSpaceDE w:val="0"/>
              <w:autoSpaceDN w:val="0"/>
              <w:adjustRightInd w:val="0"/>
              <w:ind w:right="0"/>
              <w:rPr>
                <w:rFonts w:ascii="Arial Narrow" w:hAnsi="Arial Narrow" w:cs="Times New Roman"/>
                <w:sz w:val="18"/>
                <w:szCs w:val="18"/>
              </w:rPr>
            </w:pPr>
            <w:r w:rsidRPr="00332152">
              <w:rPr>
                <w:rFonts w:ascii="Arial Narrow" w:hAnsi="Arial Narrow" w:cs="Times New Roman"/>
                <w:sz w:val="18"/>
                <w:szCs w:val="18"/>
              </w:rPr>
              <w:t xml:space="preserve">Domestic volunteerism niches </w:t>
            </w:r>
          </w:p>
          <w:p w14:paraId="7EB334E1" w14:textId="77777777" w:rsidR="00332152" w:rsidRDefault="00332152" w:rsidP="00332152">
            <w:pPr>
              <w:ind w:right="0"/>
              <w:rPr>
                <w:rFonts w:ascii="Arial Narrow" w:hAnsi="Arial Narrow"/>
                <w:sz w:val="18"/>
                <w:szCs w:val="18"/>
              </w:rPr>
            </w:pPr>
            <w:r w:rsidRPr="00332152">
              <w:rPr>
                <w:rFonts w:ascii="Arial Narrow" w:hAnsi="Arial Narrow" w:cs="Times New Roman"/>
                <w:sz w:val="18"/>
                <w:szCs w:val="18"/>
              </w:rPr>
              <w:t>explored with at least three lessons</w:t>
            </w:r>
          </w:p>
          <w:p w14:paraId="3C00A41C" w14:textId="77777777" w:rsidR="00332152" w:rsidRDefault="00332152" w:rsidP="00332152">
            <w:pPr>
              <w:rPr>
                <w:rFonts w:ascii="Arial Narrow" w:hAnsi="Arial Narrow"/>
                <w:sz w:val="18"/>
                <w:szCs w:val="18"/>
              </w:rPr>
            </w:pPr>
          </w:p>
          <w:p w14:paraId="7FA4A733" w14:textId="77777777" w:rsidR="00332152" w:rsidRPr="00332152" w:rsidRDefault="00332152" w:rsidP="00332152">
            <w:pPr>
              <w:tabs>
                <w:tab w:val="left" w:pos="1956"/>
              </w:tabs>
              <w:rPr>
                <w:rFonts w:ascii="Arial Narrow" w:hAnsi="Arial Narrow"/>
                <w:sz w:val="18"/>
                <w:szCs w:val="18"/>
              </w:rPr>
            </w:pPr>
            <w:r>
              <w:rPr>
                <w:rFonts w:ascii="Arial Narrow" w:hAnsi="Arial Narrow"/>
                <w:sz w:val="18"/>
                <w:szCs w:val="18"/>
              </w:rPr>
              <w:tab/>
            </w:r>
          </w:p>
        </w:tc>
        <w:tc>
          <w:tcPr>
            <w:tcW w:w="2368" w:type="dxa"/>
          </w:tcPr>
          <w:p w14:paraId="6AAF5858" w14:textId="77777777" w:rsidR="00332152" w:rsidRPr="00332152" w:rsidRDefault="00332152" w:rsidP="00332152">
            <w:pPr>
              <w:autoSpaceDE w:val="0"/>
              <w:autoSpaceDN w:val="0"/>
              <w:adjustRightInd w:val="0"/>
              <w:ind w:right="0"/>
              <w:rPr>
                <w:rFonts w:ascii="Arial Narrow" w:hAnsi="Arial Narrow" w:cs="Times New Roman"/>
                <w:sz w:val="18"/>
                <w:szCs w:val="18"/>
              </w:rPr>
            </w:pPr>
            <w:r w:rsidRPr="00332152">
              <w:rPr>
                <w:rFonts w:ascii="Arial Narrow" w:hAnsi="Arial Narrow" w:cs="Times New Roman"/>
                <w:sz w:val="18"/>
                <w:szCs w:val="18"/>
              </w:rPr>
              <w:t>At least three themes targeted in</w:t>
            </w:r>
            <w:r>
              <w:rPr>
                <w:rFonts w:ascii="Arial Narrow" w:hAnsi="Arial Narrow" w:cs="Times New Roman"/>
                <w:sz w:val="18"/>
                <w:szCs w:val="18"/>
              </w:rPr>
              <w:t xml:space="preserve"> </w:t>
            </w:r>
            <w:r w:rsidRPr="00332152">
              <w:rPr>
                <w:rFonts w:ascii="Arial Narrow" w:hAnsi="Arial Narrow" w:cs="Times New Roman"/>
                <w:sz w:val="18"/>
                <w:szCs w:val="18"/>
              </w:rPr>
              <w:t>the capacity development</w:t>
            </w:r>
          </w:p>
          <w:p w14:paraId="63DD1BE2" w14:textId="77777777" w:rsidR="00332152" w:rsidRDefault="00332152" w:rsidP="00332152">
            <w:pPr>
              <w:autoSpaceDE w:val="0"/>
              <w:autoSpaceDN w:val="0"/>
              <w:adjustRightInd w:val="0"/>
              <w:ind w:right="0"/>
              <w:rPr>
                <w:rFonts w:ascii="Arial Narrow" w:hAnsi="Arial Narrow" w:cs="Times New Roman"/>
                <w:sz w:val="18"/>
                <w:szCs w:val="18"/>
              </w:rPr>
            </w:pPr>
            <w:r w:rsidRPr="00332152">
              <w:rPr>
                <w:rFonts w:ascii="Arial Narrow" w:hAnsi="Arial Narrow" w:cs="Times New Roman"/>
                <w:sz w:val="18"/>
                <w:szCs w:val="18"/>
              </w:rPr>
              <w:t>programme for potential focus of Warif</w:t>
            </w:r>
          </w:p>
          <w:p w14:paraId="348386DE" w14:textId="77777777" w:rsidR="00332152" w:rsidRPr="00332152" w:rsidRDefault="00332152" w:rsidP="00332152">
            <w:pPr>
              <w:autoSpaceDE w:val="0"/>
              <w:autoSpaceDN w:val="0"/>
              <w:adjustRightInd w:val="0"/>
              <w:ind w:right="0"/>
              <w:rPr>
                <w:rFonts w:ascii="Arial Narrow" w:hAnsi="Arial Narrow" w:cs="Times New Roman"/>
                <w:sz w:val="18"/>
                <w:szCs w:val="18"/>
              </w:rPr>
            </w:pPr>
            <w:r>
              <w:rPr>
                <w:rFonts w:ascii="Arial Narrow" w:hAnsi="Arial Narrow" w:cs="Times New Roman"/>
                <w:sz w:val="18"/>
                <w:szCs w:val="18"/>
              </w:rPr>
              <w:t>- with gender, regional participation targets</w:t>
            </w:r>
          </w:p>
          <w:p w14:paraId="34D9BD5A" w14:textId="77777777" w:rsidR="00332152" w:rsidRPr="00332152" w:rsidRDefault="00332152" w:rsidP="00332152">
            <w:pPr>
              <w:autoSpaceDE w:val="0"/>
              <w:autoSpaceDN w:val="0"/>
              <w:adjustRightInd w:val="0"/>
              <w:ind w:right="0"/>
              <w:rPr>
                <w:rFonts w:ascii="Arial Narrow" w:hAnsi="Arial Narrow" w:cs="Times New Roman"/>
                <w:sz w:val="18"/>
                <w:szCs w:val="18"/>
              </w:rPr>
            </w:pPr>
            <w:r w:rsidRPr="00332152">
              <w:rPr>
                <w:rFonts w:ascii="Arial Narrow" w:hAnsi="Arial Narrow" w:cs="Times New Roman"/>
                <w:sz w:val="18"/>
                <w:szCs w:val="18"/>
              </w:rPr>
              <w:t xml:space="preserve">Domestic volunteerism niches </w:t>
            </w:r>
          </w:p>
          <w:p w14:paraId="20420335" w14:textId="77777777" w:rsidR="00332152" w:rsidRPr="008947CC" w:rsidRDefault="00332152" w:rsidP="00332152">
            <w:pPr>
              <w:ind w:right="0"/>
              <w:rPr>
                <w:rFonts w:ascii="Arial Narrow" w:hAnsi="Arial Narrow"/>
                <w:sz w:val="18"/>
                <w:szCs w:val="18"/>
              </w:rPr>
            </w:pPr>
            <w:r w:rsidRPr="00332152">
              <w:rPr>
                <w:rFonts w:ascii="Arial Narrow" w:hAnsi="Arial Narrow" w:cs="Times New Roman"/>
                <w:sz w:val="18"/>
                <w:szCs w:val="18"/>
              </w:rPr>
              <w:t>explored with at least three lessons</w:t>
            </w:r>
          </w:p>
        </w:tc>
        <w:tc>
          <w:tcPr>
            <w:tcW w:w="2233" w:type="dxa"/>
          </w:tcPr>
          <w:p w14:paraId="1F81D61B" w14:textId="77777777" w:rsidR="00332152" w:rsidRDefault="00332152" w:rsidP="00332152">
            <w:pPr>
              <w:ind w:right="0"/>
              <w:rPr>
                <w:rFonts w:ascii="Arial Narrow" w:hAnsi="Arial Narrow"/>
                <w:sz w:val="18"/>
                <w:szCs w:val="18"/>
              </w:rPr>
            </w:pPr>
            <w:r>
              <w:rPr>
                <w:rFonts w:ascii="Arial Narrow" w:hAnsi="Arial Narrow"/>
                <w:sz w:val="18"/>
                <w:szCs w:val="18"/>
              </w:rPr>
              <w:t>Selected CSOs develop capacity and prepare:  e.g.</w:t>
            </w:r>
          </w:p>
          <w:p w14:paraId="52FF9915" w14:textId="77777777" w:rsidR="00332152" w:rsidRDefault="00332152" w:rsidP="00332152">
            <w:pPr>
              <w:ind w:right="0"/>
              <w:rPr>
                <w:rFonts w:ascii="Arial Narrow" w:hAnsi="Arial Narrow"/>
                <w:sz w:val="18"/>
                <w:szCs w:val="18"/>
              </w:rPr>
            </w:pPr>
            <w:r>
              <w:rPr>
                <w:rFonts w:ascii="Arial Narrow" w:hAnsi="Arial Narrow"/>
                <w:sz w:val="18"/>
                <w:szCs w:val="18"/>
              </w:rPr>
              <w:t xml:space="preserve"> -thematic programme</w:t>
            </w:r>
          </w:p>
          <w:p w14:paraId="32A09B36" w14:textId="77777777" w:rsidR="00332152" w:rsidRDefault="00332152" w:rsidP="00332152">
            <w:pPr>
              <w:ind w:right="0"/>
              <w:rPr>
                <w:rFonts w:ascii="Arial Narrow" w:hAnsi="Arial Narrow"/>
                <w:sz w:val="18"/>
                <w:szCs w:val="18"/>
              </w:rPr>
            </w:pPr>
            <w:r>
              <w:rPr>
                <w:rFonts w:ascii="Arial Narrow" w:hAnsi="Arial Narrow"/>
                <w:sz w:val="18"/>
                <w:szCs w:val="18"/>
              </w:rPr>
              <w:t>- M&amp;E framework</w:t>
            </w:r>
          </w:p>
          <w:p w14:paraId="566F45A0" w14:textId="77777777" w:rsidR="00332152" w:rsidRDefault="00332152" w:rsidP="00332152">
            <w:pPr>
              <w:ind w:right="0"/>
              <w:rPr>
                <w:rFonts w:ascii="Arial Narrow" w:hAnsi="Arial Narrow"/>
                <w:sz w:val="18"/>
                <w:szCs w:val="18"/>
              </w:rPr>
            </w:pPr>
            <w:r>
              <w:rPr>
                <w:rFonts w:ascii="Arial Narrow" w:hAnsi="Arial Narrow"/>
                <w:sz w:val="18"/>
                <w:szCs w:val="18"/>
              </w:rPr>
              <w:t>-detailed implementation plan</w:t>
            </w:r>
          </w:p>
          <w:p w14:paraId="05CEF142" w14:textId="77777777" w:rsidR="00332152" w:rsidRPr="008947CC" w:rsidRDefault="00332152" w:rsidP="00332152">
            <w:pPr>
              <w:ind w:right="0"/>
              <w:rPr>
                <w:rFonts w:ascii="Arial Narrow" w:hAnsi="Arial Narrow"/>
                <w:sz w:val="18"/>
                <w:szCs w:val="18"/>
              </w:rPr>
            </w:pPr>
            <w:r>
              <w:rPr>
                <w:rFonts w:ascii="Arial Narrow" w:hAnsi="Arial Narrow"/>
                <w:sz w:val="18"/>
                <w:szCs w:val="18"/>
              </w:rPr>
              <w:t>-all with identified gender, regional participation targets</w:t>
            </w:r>
          </w:p>
        </w:tc>
      </w:tr>
      <w:tr w:rsidR="00332152" w:rsidRPr="008947CC" w14:paraId="3D413AF5" w14:textId="77777777" w:rsidTr="003C79EB">
        <w:tc>
          <w:tcPr>
            <w:tcW w:w="1838" w:type="dxa"/>
            <w:vMerge w:val="restart"/>
            <w:vAlign w:val="center"/>
          </w:tcPr>
          <w:p w14:paraId="70B583E0" w14:textId="77777777" w:rsidR="00332152" w:rsidRPr="008947CC" w:rsidRDefault="00332152" w:rsidP="003C79EB">
            <w:pPr>
              <w:ind w:right="34"/>
              <w:jc w:val="center"/>
              <w:rPr>
                <w:rFonts w:ascii="Arial Narrow" w:hAnsi="Arial Narrow"/>
                <w:sz w:val="18"/>
                <w:szCs w:val="18"/>
              </w:rPr>
            </w:pPr>
            <w:r w:rsidRPr="008947CC">
              <w:rPr>
                <w:rFonts w:ascii="Arial Narrow" w:hAnsi="Arial Narrow"/>
                <w:sz w:val="18"/>
                <w:szCs w:val="18"/>
              </w:rPr>
              <w:t>Women’s Empowerment</w:t>
            </w:r>
          </w:p>
        </w:tc>
        <w:tc>
          <w:tcPr>
            <w:tcW w:w="2693" w:type="dxa"/>
            <w:vAlign w:val="center"/>
          </w:tcPr>
          <w:p w14:paraId="7E910DC0" w14:textId="77777777" w:rsidR="00332152" w:rsidRPr="008947CC" w:rsidRDefault="00332152" w:rsidP="00332152">
            <w:pPr>
              <w:spacing w:before="40" w:after="40"/>
              <w:ind w:right="0"/>
              <w:rPr>
                <w:rFonts w:ascii="Arial Narrow" w:hAnsi="Arial Narrow"/>
                <w:sz w:val="18"/>
                <w:szCs w:val="18"/>
              </w:rPr>
            </w:pPr>
            <w:r w:rsidRPr="008947CC">
              <w:rPr>
                <w:rFonts w:ascii="Arial Narrow" w:hAnsi="Arial Narrow" w:cs="Arial"/>
                <w:sz w:val="18"/>
                <w:szCs w:val="18"/>
              </w:rPr>
              <w:t>Improved institutional and individual capacities of PSF/PJC.</w:t>
            </w:r>
          </w:p>
        </w:tc>
        <w:tc>
          <w:tcPr>
            <w:tcW w:w="2368" w:type="dxa"/>
            <w:vAlign w:val="center"/>
          </w:tcPr>
          <w:p w14:paraId="1DC975D0" w14:textId="77777777" w:rsidR="00332152" w:rsidRDefault="00332152" w:rsidP="00332152">
            <w:pPr>
              <w:spacing w:before="40" w:after="40"/>
              <w:ind w:right="-46"/>
              <w:rPr>
                <w:rFonts w:ascii="Arial Narrow" w:hAnsi="Arial Narrow"/>
                <w:sz w:val="18"/>
                <w:szCs w:val="18"/>
              </w:rPr>
            </w:pPr>
            <w:r>
              <w:rPr>
                <w:rFonts w:ascii="Arial Narrow" w:hAnsi="Arial Narrow"/>
                <w:sz w:val="18"/>
                <w:szCs w:val="18"/>
              </w:rPr>
              <w:t xml:space="preserve">Selected leadership staff of PSF… carry out (e.g.) </w:t>
            </w:r>
          </w:p>
          <w:p w14:paraId="54B9782A" w14:textId="77777777" w:rsidR="00332152" w:rsidRDefault="00332152" w:rsidP="00332152">
            <w:pPr>
              <w:spacing w:before="40" w:after="40"/>
              <w:ind w:right="-46"/>
              <w:rPr>
                <w:rFonts w:ascii="Arial Narrow" w:hAnsi="Arial Narrow"/>
                <w:sz w:val="18"/>
                <w:szCs w:val="18"/>
              </w:rPr>
            </w:pPr>
            <w:r>
              <w:rPr>
                <w:rFonts w:ascii="Arial Narrow" w:hAnsi="Arial Narrow"/>
                <w:sz w:val="18"/>
                <w:szCs w:val="18"/>
              </w:rPr>
              <w:t xml:space="preserve">-TOT at local level; </w:t>
            </w:r>
          </w:p>
          <w:p w14:paraId="6A43C7A9" w14:textId="77777777" w:rsidR="00332152" w:rsidRPr="008947CC" w:rsidRDefault="00332152" w:rsidP="00332152">
            <w:pPr>
              <w:spacing w:before="40" w:after="40"/>
              <w:ind w:right="-46"/>
              <w:rPr>
                <w:rFonts w:ascii="Arial Narrow" w:hAnsi="Arial Narrow"/>
                <w:sz w:val="18"/>
                <w:szCs w:val="18"/>
              </w:rPr>
            </w:pPr>
            <w:r>
              <w:rPr>
                <w:rFonts w:ascii="Arial Narrow" w:hAnsi="Arial Narrow"/>
                <w:sz w:val="18"/>
                <w:szCs w:val="18"/>
              </w:rPr>
              <w:t>-capacity assessment of staff in branch offices</w:t>
            </w:r>
          </w:p>
        </w:tc>
        <w:tc>
          <w:tcPr>
            <w:tcW w:w="2233" w:type="dxa"/>
          </w:tcPr>
          <w:p w14:paraId="454F8785" w14:textId="77777777" w:rsidR="00332152" w:rsidRDefault="00332152" w:rsidP="00332152">
            <w:pPr>
              <w:spacing w:before="40" w:after="40"/>
              <w:ind w:right="0"/>
              <w:rPr>
                <w:rFonts w:ascii="Arial Narrow" w:hAnsi="Arial Narrow"/>
                <w:sz w:val="18"/>
                <w:szCs w:val="18"/>
              </w:rPr>
            </w:pPr>
            <w:r>
              <w:rPr>
                <w:rFonts w:ascii="Arial Narrow" w:hAnsi="Arial Narrow"/>
                <w:sz w:val="18"/>
                <w:szCs w:val="18"/>
              </w:rPr>
              <w:t xml:space="preserve">Staff of selected CSOs take steps </w:t>
            </w:r>
          </w:p>
          <w:p w14:paraId="170ECD17" w14:textId="77777777" w:rsidR="00332152" w:rsidRDefault="00332152" w:rsidP="00332152">
            <w:pPr>
              <w:spacing w:before="40" w:after="40"/>
              <w:ind w:right="0"/>
              <w:rPr>
                <w:rFonts w:ascii="Arial Narrow" w:hAnsi="Arial Narrow"/>
                <w:sz w:val="18"/>
                <w:szCs w:val="18"/>
              </w:rPr>
            </w:pPr>
            <w:r>
              <w:rPr>
                <w:rFonts w:ascii="Arial Narrow" w:hAnsi="Arial Narrow"/>
                <w:sz w:val="18"/>
                <w:szCs w:val="18"/>
              </w:rPr>
              <w:t xml:space="preserve">-to consolidate their management skills; </w:t>
            </w:r>
          </w:p>
          <w:p w14:paraId="2DDEA1AE" w14:textId="77777777" w:rsidR="00332152" w:rsidRDefault="00332152" w:rsidP="00332152">
            <w:pPr>
              <w:spacing w:before="40" w:after="40"/>
              <w:ind w:right="0"/>
              <w:rPr>
                <w:rFonts w:ascii="Arial Narrow" w:hAnsi="Arial Narrow"/>
                <w:sz w:val="18"/>
                <w:szCs w:val="18"/>
              </w:rPr>
            </w:pPr>
            <w:r>
              <w:rPr>
                <w:rFonts w:ascii="Arial Narrow" w:hAnsi="Arial Narrow"/>
                <w:sz w:val="18"/>
                <w:szCs w:val="18"/>
              </w:rPr>
              <w:t xml:space="preserve">-to propose policies (e.g. to Shura women members); </w:t>
            </w:r>
          </w:p>
          <w:p w14:paraId="50ED5E23" w14:textId="77777777" w:rsidR="00332152" w:rsidRPr="008947CC" w:rsidRDefault="00332152" w:rsidP="00332152">
            <w:pPr>
              <w:spacing w:before="40" w:after="40"/>
              <w:ind w:right="0"/>
              <w:rPr>
                <w:rFonts w:ascii="Arial Narrow" w:hAnsi="Arial Narrow"/>
                <w:sz w:val="18"/>
                <w:szCs w:val="18"/>
              </w:rPr>
            </w:pPr>
            <w:r>
              <w:rPr>
                <w:rFonts w:ascii="Arial Narrow" w:hAnsi="Arial Narrow"/>
                <w:sz w:val="18"/>
                <w:szCs w:val="18"/>
              </w:rPr>
              <w:t>-to plan actions to assist women candidates’ “election literacy”</w:t>
            </w:r>
          </w:p>
        </w:tc>
      </w:tr>
      <w:tr w:rsidR="00332152" w:rsidRPr="00260BDA" w14:paraId="74A7B4D1" w14:textId="77777777" w:rsidTr="00332152">
        <w:tc>
          <w:tcPr>
            <w:tcW w:w="1838" w:type="dxa"/>
            <w:vMerge/>
          </w:tcPr>
          <w:p w14:paraId="0A7FA578" w14:textId="77777777" w:rsidR="00332152" w:rsidRPr="008947CC" w:rsidRDefault="00332152" w:rsidP="00332152">
            <w:pPr>
              <w:rPr>
                <w:rFonts w:ascii="Arial Narrow" w:hAnsi="Arial Narrow"/>
                <w:sz w:val="18"/>
                <w:szCs w:val="18"/>
              </w:rPr>
            </w:pPr>
          </w:p>
        </w:tc>
        <w:tc>
          <w:tcPr>
            <w:tcW w:w="2693" w:type="dxa"/>
          </w:tcPr>
          <w:p w14:paraId="5DFBA59D" w14:textId="77777777" w:rsidR="00332152" w:rsidRDefault="00332152" w:rsidP="00332152">
            <w:pPr>
              <w:spacing w:before="40" w:after="40"/>
              <w:ind w:right="0"/>
              <w:rPr>
                <w:rFonts w:ascii="Arial Narrow" w:hAnsi="Arial Narrow" w:cs="Arial"/>
                <w:sz w:val="18"/>
                <w:szCs w:val="20"/>
              </w:rPr>
            </w:pPr>
            <w:r w:rsidRPr="008947CC">
              <w:rPr>
                <w:rFonts w:ascii="Arial Narrow" w:hAnsi="Arial Narrow" w:cs="Arial"/>
                <w:sz w:val="18"/>
                <w:szCs w:val="20"/>
              </w:rPr>
              <w:t>Assisting entrepreneurs to establish their businesses on scientific grounds.</w:t>
            </w:r>
          </w:p>
          <w:p w14:paraId="1A0D5AA5" w14:textId="77777777" w:rsidR="00332152" w:rsidRPr="008947CC" w:rsidRDefault="00332152" w:rsidP="00332152">
            <w:pPr>
              <w:spacing w:before="40" w:after="40"/>
              <w:ind w:right="0"/>
              <w:rPr>
                <w:rFonts w:ascii="Arial Narrow" w:hAnsi="Arial Narrow" w:cs="Arial"/>
                <w:sz w:val="18"/>
                <w:szCs w:val="20"/>
              </w:rPr>
            </w:pPr>
            <w:r w:rsidRPr="00AF584E">
              <w:rPr>
                <w:rFonts w:ascii="Arial Narrow" w:hAnsi="Arial Narrow" w:cs="Arial"/>
                <w:sz w:val="18"/>
                <w:szCs w:val="20"/>
              </w:rPr>
              <w:t>Increased awareness, understanding and take-up of micro credit and micro finance and how to access it among the low income rural and urban women.</w:t>
            </w:r>
          </w:p>
        </w:tc>
        <w:tc>
          <w:tcPr>
            <w:tcW w:w="2368" w:type="dxa"/>
          </w:tcPr>
          <w:p w14:paraId="0D5B20EB" w14:textId="77777777" w:rsidR="00332152" w:rsidRDefault="00332152" w:rsidP="00332152">
            <w:pPr>
              <w:spacing w:before="40" w:after="40"/>
              <w:ind w:right="-46"/>
              <w:rPr>
                <w:rFonts w:ascii="Arial Narrow" w:hAnsi="Arial Narrow"/>
                <w:sz w:val="18"/>
                <w:szCs w:val="18"/>
              </w:rPr>
            </w:pPr>
            <w:r>
              <w:rPr>
                <w:rFonts w:ascii="Arial Narrow" w:hAnsi="Arial Narrow"/>
                <w:sz w:val="18"/>
                <w:szCs w:val="18"/>
              </w:rPr>
              <w:t>-[stated</w:t>
            </w:r>
            <w:r w:rsidR="003C79EB">
              <w:rPr>
                <w:rFonts w:ascii="Arial Narrow" w:hAnsi="Arial Narrow"/>
                <w:sz w:val="18"/>
                <w:szCs w:val="18"/>
              </w:rPr>
              <w:t xml:space="preserve"> target</w:t>
            </w:r>
            <w:r>
              <w:rPr>
                <w:rFonts w:ascii="Arial Narrow" w:hAnsi="Arial Narrow"/>
                <w:sz w:val="18"/>
                <w:szCs w:val="18"/>
              </w:rPr>
              <w:t xml:space="preserve"> #</w:t>
            </w:r>
            <w:r w:rsidR="003C79EB">
              <w:rPr>
                <w:rFonts w:ascii="Arial Narrow" w:hAnsi="Arial Narrow"/>
                <w:sz w:val="18"/>
                <w:szCs w:val="18"/>
              </w:rPr>
              <w:t xml:space="preserve"> of</w:t>
            </w:r>
            <w:r>
              <w:rPr>
                <w:rFonts w:ascii="Arial Narrow" w:hAnsi="Arial Narrow"/>
                <w:sz w:val="18"/>
                <w:szCs w:val="18"/>
              </w:rPr>
              <w:t xml:space="preserve">] women entrepreneurs attend CSO training and make business plan/other plan </w:t>
            </w:r>
          </w:p>
          <w:p w14:paraId="7C0A9AF4" w14:textId="77777777" w:rsidR="00332152" w:rsidRPr="00260BDA" w:rsidRDefault="00332152" w:rsidP="00332152">
            <w:pPr>
              <w:spacing w:before="40" w:after="40"/>
              <w:ind w:right="-46"/>
              <w:rPr>
                <w:rFonts w:ascii="Arial Narrow" w:hAnsi="Arial Narrow"/>
                <w:sz w:val="18"/>
                <w:szCs w:val="18"/>
              </w:rPr>
            </w:pPr>
            <w:r w:rsidRPr="00260BDA">
              <w:rPr>
                <w:rFonts w:ascii="Arial Narrow" w:hAnsi="Arial Narrow"/>
                <w:sz w:val="18"/>
                <w:szCs w:val="18"/>
              </w:rPr>
              <w:t xml:space="preserve">-female micro-finance female partners start up as </w:t>
            </w:r>
            <w:r>
              <w:rPr>
                <w:rFonts w:ascii="Arial Narrow" w:hAnsi="Arial Narrow"/>
                <w:sz w:val="18"/>
                <w:szCs w:val="18"/>
              </w:rPr>
              <w:t>result of participation in business centre</w:t>
            </w:r>
          </w:p>
        </w:tc>
        <w:tc>
          <w:tcPr>
            <w:tcW w:w="2233" w:type="dxa"/>
          </w:tcPr>
          <w:p w14:paraId="3DE77CB3" w14:textId="77777777" w:rsidR="00332152" w:rsidRPr="00260BDA" w:rsidRDefault="00332152" w:rsidP="00332152">
            <w:pPr>
              <w:spacing w:before="40" w:after="40"/>
              <w:ind w:right="0"/>
              <w:rPr>
                <w:rFonts w:ascii="Arial Narrow" w:hAnsi="Arial Narrow"/>
                <w:sz w:val="18"/>
                <w:szCs w:val="18"/>
              </w:rPr>
            </w:pPr>
            <w:r>
              <w:rPr>
                <w:rFonts w:ascii="Arial Narrow" w:hAnsi="Arial Narrow"/>
                <w:sz w:val="18"/>
                <w:szCs w:val="18"/>
              </w:rPr>
              <w:t xml:space="preserve">Identified women’s business incubators enable [reported / increased number of] women to start/ scale up MSMEs (micro, small or medium enterprises) </w:t>
            </w:r>
          </w:p>
        </w:tc>
      </w:tr>
    </w:tbl>
    <w:p w14:paraId="60D0B54D" w14:textId="77777777" w:rsidR="008947CC" w:rsidRPr="00C7081E" w:rsidRDefault="00260BDA" w:rsidP="008947CC">
      <w:pPr>
        <w:rPr>
          <w:sz w:val="18"/>
        </w:rPr>
      </w:pPr>
      <w:r w:rsidRPr="00C7081E">
        <w:rPr>
          <w:sz w:val="18"/>
        </w:rPr>
        <w:t xml:space="preserve">Source:  Developed on basis of Project Documents </w:t>
      </w:r>
      <w:r w:rsidR="00C7081E" w:rsidRPr="00C7081E">
        <w:rPr>
          <w:sz w:val="18"/>
        </w:rPr>
        <w:t xml:space="preserve">(columns 1- 3) </w:t>
      </w:r>
      <w:r w:rsidRPr="00C7081E">
        <w:rPr>
          <w:sz w:val="18"/>
        </w:rPr>
        <w:t>and CPD 2012</w:t>
      </w:r>
    </w:p>
    <w:p w14:paraId="41C84315" w14:textId="77777777" w:rsidR="00260BDA" w:rsidRDefault="00260BDA" w:rsidP="008947CC"/>
    <w:p w14:paraId="3AC25CFD" w14:textId="77777777" w:rsidR="001F7AEE" w:rsidRDefault="003C79EB" w:rsidP="001F7AEE">
      <w:pPr>
        <w:pStyle w:val="Default"/>
        <w:spacing w:before="120" w:after="120"/>
        <w:ind w:right="-74"/>
        <w:rPr>
          <w:rFonts w:ascii="Sylfaen" w:hAnsi="Sylfaen"/>
          <w:sz w:val="22"/>
          <w:szCs w:val="22"/>
        </w:rPr>
      </w:pPr>
      <w:r>
        <w:rPr>
          <w:rFonts w:ascii="Sylfaen" w:hAnsi="Sylfaen"/>
          <w:sz w:val="22"/>
          <w:szCs w:val="22"/>
        </w:rPr>
        <w:t>Further, in the light of the recent changes in policies regarding women’s participation, it is</w:t>
      </w:r>
      <w:r w:rsidR="00315426">
        <w:rPr>
          <w:rFonts w:ascii="Sylfaen" w:hAnsi="Sylfaen"/>
          <w:sz w:val="22"/>
          <w:szCs w:val="22"/>
        </w:rPr>
        <w:t xml:space="preserve"> s</w:t>
      </w:r>
      <w:r w:rsidR="001F7AEE">
        <w:rPr>
          <w:rFonts w:ascii="Sylfaen" w:hAnsi="Sylfaen"/>
          <w:sz w:val="22"/>
          <w:szCs w:val="22"/>
        </w:rPr>
        <w:t xml:space="preserve">uggested </w:t>
      </w:r>
      <w:r>
        <w:rPr>
          <w:rFonts w:ascii="Sylfaen" w:hAnsi="Sylfaen"/>
          <w:sz w:val="22"/>
          <w:szCs w:val="22"/>
        </w:rPr>
        <w:t>that the internationally reported indicator</w:t>
      </w:r>
      <w:r w:rsidR="001F7AEE">
        <w:rPr>
          <w:rFonts w:ascii="Sylfaen" w:hAnsi="Sylfaen"/>
          <w:sz w:val="22"/>
          <w:szCs w:val="22"/>
        </w:rPr>
        <w:t xml:space="preserve">:  </w:t>
      </w:r>
      <w:r>
        <w:rPr>
          <w:rFonts w:ascii="Sylfaen" w:hAnsi="Sylfaen"/>
          <w:sz w:val="22"/>
          <w:szCs w:val="22"/>
        </w:rPr>
        <w:t>“</w:t>
      </w:r>
      <w:r w:rsidR="001F7AEE">
        <w:rPr>
          <w:rFonts w:ascii="Sylfaen" w:hAnsi="Sylfaen"/>
          <w:sz w:val="22"/>
          <w:szCs w:val="22"/>
        </w:rPr>
        <w:t>seats in national an</w:t>
      </w:r>
      <w:r>
        <w:rPr>
          <w:rFonts w:ascii="Sylfaen" w:hAnsi="Sylfaen"/>
          <w:sz w:val="22"/>
          <w:szCs w:val="22"/>
        </w:rPr>
        <w:t>d municipal assemblies, by sex” be included in the baseline and reporting documents.  Saudi Arabia will be reporting important changes in the data in this area, and it will be useful to showcase these results.</w:t>
      </w:r>
    </w:p>
    <w:p w14:paraId="4D762004" w14:textId="77777777" w:rsidR="003C79EB" w:rsidRDefault="003C79EB" w:rsidP="001F7AEE">
      <w:pPr>
        <w:pStyle w:val="Default"/>
        <w:spacing w:before="120" w:after="120"/>
        <w:ind w:right="-74"/>
        <w:rPr>
          <w:rFonts w:ascii="Sylfaen" w:hAnsi="Sylfaen"/>
          <w:sz w:val="22"/>
          <w:szCs w:val="22"/>
        </w:rPr>
      </w:pPr>
      <w:r>
        <w:rPr>
          <w:rFonts w:ascii="Sylfaen" w:hAnsi="Sylfaen"/>
          <w:sz w:val="22"/>
          <w:szCs w:val="22"/>
        </w:rPr>
        <w:t xml:space="preserve">The following sub-sections discuss progress towards Outcome1 on the basis of the selected CPD indicators and some additional suggested indicators.   </w:t>
      </w:r>
    </w:p>
    <w:p w14:paraId="47B70595" w14:textId="77777777" w:rsidR="006C7084" w:rsidRDefault="00B16181" w:rsidP="00E878BB">
      <w:pPr>
        <w:pStyle w:val="Heading3"/>
        <w:numPr>
          <w:ilvl w:val="2"/>
          <w:numId w:val="31"/>
        </w:numPr>
        <w:rPr>
          <w:lang w:val="en-CA"/>
        </w:rPr>
      </w:pPr>
      <w:r w:rsidRPr="00B16181">
        <w:rPr>
          <w:lang w:val="en-CA"/>
        </w:rPr>
        <w:t xml:space="preserve"> </w:t>
      </w:r>
      <w:bookmarkStart w:id="21" w:name="_Toc399078752"/>
      <w:r w:rsidR="004E2C04">
        <w:rPr>
          <w:lang w:val="en-CA"/>
        </w:rPr>
        <w:t>Enrolment in higher education:  youth, women</w:t>
      </w:r>
      <w:bookmarkEnd w:id="21"/>
    </w:p>
    <w:p w14:paraId="535DED95" w14:textId="77777777" w:rsidR="00E449FD" w:rsidRDefault="00E449FD" w:rsidP="00E449FD">
      <w:pPr>
        <w:ind w:right="119"/>
        <w:rPr>
          <w:lang w:val="en-CA"/>
        </w:rPr>
      </w:pPr>
      <w:r>
        <w:rPr>
          <w:lang w:val="en-CA"/>
        </w:rPr>
        <w:t>According to global data bases to which the KSA government reports</w:t>
      </w:r>
      <w:r w:rsidR="006F449D">
        <w:rPr>
          <w:lang w:val="en-CA"/>
        </w:rPr>
        <w:t xml:space="preserve">, </w:t>
      </w:r>
      <w:r>
        <w:rPr>
          <w:lang w:val="en-CA"/>
        </w:rPr>
        <w:t xml:space="preserve">it is apparent that </w:t>
      </w:r>
      <w:r w:rsidR="006F449D">
        <w:rPr>
          <w:lang w:val="en-CA"/>
        </w:rPr>
        <w:t xml:space="preserve">the period of the CPD </w:t>
      </w:r>
      <w:r>
        <w:rPr>
          <w:lang w:val="en-CA"/>
        </w:rPr>
        <w:t>witnessed</w:t>
      </w:r>
      <w:r w:rsidR="006F449D">
        <w:rPr>
          <w:lang w:val="en-CA"/>
        </w:rPr>
        <w:t xml:space="preserve"> </w:t>
      </w:r>
      <w:r w:rsidR="00077C70">
        <w:rPr>
          <w:lang w:val="en-CA"/>
        </w:rPr>
        <w:t>significant</w:t>
      </w:r>
      <w:r w:rsidR="006F449D">
        <w:rPr>
          <w:lang w:val="en-CA"/>
        </w:rPr>
        <w:t xml:space="preserve"> increases in the numbers of young </w:t>
      </w:r>
      <w:r>
        <w:rPr>
          <w:lang w:val="en-CA"/>
        </w:rPr>
        <w:t>persons</w:t>
      </w:r>
      <w:r w:rsidR="006F449D">
        <w:rPr>
          <w:lang w:val="en-CA"/>
        </w:rPr>
        <w:t>, both women and men, enrolled in institutions of higher learning (</w:t>
      </w:r>
      <w:r>
        <w:rPr>
          <w:lang w:val="en-CA"/>
        </w:rPr>
        <w:t>universities</w:t>
      </w:r>
      <w:r w:rsidR="006F449D">
        <w:rPr>
          <w:lang w:val="en-CA"/>
        </w:rPr>
        <w:t>, technical and vocational schools)</w:t>
      </w:r>
      <w:r>
        <w:rPr>
          <w:lang w:val="en-CA"/>
        </w:rPr>
        <w:t>.  Figure 4.1 shows the gross enrolment ratio (GER)</w:t>
      </w:r>
      <w:r>
        <w:rPr>
          <w:rStyle w:val="FootnoteReference"/>
          <w:lang w:val="en-CA"/>
        </w:rPr>
        <w:footnoteReference w:id="6"/>
      </w:r>
      <w:r>
        <w:rPr>
          <w:lang w:val="en-CA"/>
        </w:rPr>
        <w:t xml:space="preserve"> overall, and disaggregated by sex, for the years from 2009 at the beginning of the CPD to 2012, the latest year for which data are available </w:t>
      </w:r>
      <w:r>
        <w:rPr>
          <w:lang w:val="en-CA"/>
        </w:rPr>
        <w:fldChar w:fldCharType="begin"/>
      </w:r>
      <w:r w:rsidR="00965B91">
        <w:rPr>
          <w:lang w:val="en-CA"/>
        </w:rPr>
        <w:instrText xml:space="preserve"> ADDIN EN.CITE &lt;EndNote&gt;&lt;Cite&gt;&lt;Author&gt;World Bank&lt;/Author&gt;&lt;Year&gt;2014&lt;/Year&gt;&lt;RecNum&gt;238&lt;/RecNum&gt;&lt;Suffix&gt;`, from KSA reporting&lt;/Suffix&gt;&lt;DisplayText&gt;(World Bank 2014, from KSA reporting)&lt;/DisplayText&gt;&lt;record&gt;&lt;rec-number&gt;238&lt;/rec-number&gt;&lt;foreign-keys&gt;&lt;key app="EN" db-id="5a0wsfarrxszvze9rr65r5a3vr95ffwx90f9" timestamp="1405093875"&gt;238&lt;/key&gt;&lt;/foreign-keys&gt;&lt;ref-type name="Online Database"&gt;45&lt;/ref-type&gt;&lt;contributors&gt;&lt;authors&gt;&lt;author&gt;World Bank,&lt;/author&gt;&lt;/authors&gt;&lt;/contributors&gt;&lt;titles&gt;&lt;title&gt;World Development Indicators, Saudi Arabia&lt;/title&gt;&lt;/titles&gt;&lt;dates&gt;&lt;year&gt;2014&lt;/year&gt;&lt;pub-dates&gt;&lt;date&gt;10 July 2014&lt;/date&gt;&lt;/pub-dates&gt;&lt;/dates&gt;&lt;pub-location&gt;Washington DC&lt;/pub-location&gt;&lt;publisher&gt;The World Bank&lt;/publisher&gt;&lt;urls&gt;&lt;related-urls&gt;&lt;url&gt;http://data.worldbank.org/country/saudi-arabia&lt;/url&gt;&lt;/related-urls&gt;&lt;/urls&gt;&lt;/record&gt;&lt;/Cite&gt;&lt;/EndNote&gt;</w:instrText>
      </w:r>
      <w:r>
        <w:rPr>
          <w:lang w:val="en-CA"/>
        </w:rPr>
        <w:fldChar w:fldCharType="separate"/>
      </w:r>
      <w:r w:rsidR="00965B91">
        <w:rPr>
          <w:noProof/>
          <w:lang w:val="en-CA"/>
        </w:rPr>
        <w:t>(</w:t>
      </w:r>
      <w:hyperlink w:anchor="_ENREF_26" w:tooltip="World Bank, 2014 #238" w:history="1">
        <w:r w:rsidR="00EB16D2">
          <w:rPr>
            <w:noProof/>
            <w:lang w:val="en-CA"/>
          </w:rPr>
          <w:t>World Bank 2014, from KSA reporting</w:t>
        </w:r>
      </w:hyperlink>
      <w:r w:rsidR="00965B91">
        <w:rPr>
          <w:noProof/>
          <w:lang w:val="en-CA"/>
        </w:rPr>
        <w:t>)</w:t>
      </w:r>
      <w:r>
        <w:rPr>
          <w:lang w:val="en-CA"/>
        </w:rPr>
        <w:fldChar w:fldCharType="end"/>
      </w:r>
      <w:r>
        <w:rPr>
          <w:lang w:val="en-CA"/>
        </w:rPr>
        <w:t>.  The tertiary schooling GER for Saudi Arabia rose from 31 percent of those in the post-secondary five-year age group in 2009, to an impressive 51 percent by 2012.</w:t>
      </w:r>
    </w:p>
    <w:p w14:paraId="55705FC5" w14:textId="77777777" w:rsidR="00E449FD" w:rsidRDefault="00E449FD" w:rsidP="00E449FD">
      <w:pPr>
        <w:pStyle w:val="Caption"/>
        <w:rPr>
          <w:lang w:val="en-CA"/>
        </w:rPr>
      </w:pPr>
      <w:r>
        <w:rPr>
          <w:lang w:val="en-CA"/>
        </w:rPr>
        <w:t xml:space="preserve">Figure 4.1 Enrolment in higher education, by sex, 2009-2012 </w:t>
      </w:r>
    </w:p>
    <w:p w14:paraId="5316DEF5" w14:textId="77777777" w:rsidR="00E449FD" w:rsidRPr="00E449FD" w:rsidRDefault="00E449FD" w:rsidP="00E449FD">
      <w:pPr>
        <w:jc w:val="center"/>
        <w:rPr>
          <w:lang w:val="en-CA"/>
        </w:rPr>
      </w:pPr>
      <w:r>
        <w:rPr>
          <w:noProof/>
          <w:lang w:val="en-US"/>
        </w:rPr>
        <w:drawing>
          <wp:inline distT="0" distB="0" distL="0" distR="0" wp14:anchorId="277255B1" wp14:editId="684E2D22">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744767" w14:textId="77777777" w:rsidR="006F449D" w:rsidRPr="00E449FD" w:rsidRDefault="00E449FD" w:rsidP="004E2C04">
      <w:pPr>
        <w:rPr>
          <w:sz w:val="18"/>
          <w:szCs w:val="18"/>
          <w:lang w:val="en-CA"/>
        </w:rPr>
      </w:pPr>
      <w:r w:rsidRPr="00E449FD">
        <w:rPr>
          <w:sz w:val="18"/>
          <w:szCs w:val="18"/>
          <w:lang w:val="en-CA"/>
        </w:rPr>
        <w:t>Source:  WDI (WB 2014)</w:t>
      </w:r>
    </w:p>
    <w:p w14:paraId="1AE41190" w14:textId="77777777" w:rsidR="00C61A0E" w:rsidRDefault="007D6A5F" w:rsidP="00CF2D9C">
      <w:pPr>
        <w:ind w:right="-23"/>
        <w:rPr>
          <w:lang w:val="en-CA"/>
        </w:rPr>
      </w:pPr>
      <w:r>
        <w:rPr>
          <w:lang w:val="en-CA"/>
        </w:rPr>
        <w:t>Of particular interest is the tertiary GER for women, which rose from 35 percent in 2009 to almost 53 percent in 2012</w:t>
      </w:r>
      <w:r w:rsidR="00C61A0E">
        <w:rPr>
          <w:lang w:val="en-CA"/>
        </w:rPr>
        <w:t xml:space="preserve">.  The share of women represents </w:t>
      </w:r>
      <w:r>
        <w:rPr>
          <w:lang w:val="en-CA"/>
        </w:rPr>
        <w:t xml:space="preserve">a higher ratio than that of men, which </w:t>
      </w:r>
      <w:r w:rsidR="00C61A0E">
        <w:rPr>
          <w:lang w:val="en-CA"/>
        </w:rPr>
        <w:t>reached</w:t>
      </w:r>
      <w:r>
        <w:rPr>
          <w:lang w:val="en-CA"/>
        </w:rPr>
        <w:t xml:space="preserve"> just under 50 percent </w:t>
      </w:r>
      <w:r w:rsidR="00C61A0E">
        <w:rPr>
          <w:lang w:val="en-CA"/>
        </w:rPr>
        <w:t xml:space="preserve">of males </w:t>
      </w:r>
      <w:r>
        <w:rPr>
          <w:lang w:val="en-CA"/>
        </w:rPr>
        <w:t xml:space="preserve">in 2012.  </w:t>
      </w:r>
      <w:r w:rsidR="00C61A0E">
        <w:rPr>
          <w:lang w:val="en-CA"/>
        </w:rPr>
        <w:t>Two points</w:t>
      </w:r>
      <w:r>
        <w:rPr>
          <w:lang w:val="en-CA"/>
        </w:rPr>
        <w:t xml:space="preserve"> should be noted</w:t>
      </w:r>
      <w:r w:rsidR="00C61A0E">
        <w:rPr>
          <w:lang w:val="en-CA"/>
        </w:rPr>
        <w:t>:</w:t>
      </w:r>
    </w:p>
    <w:p w14:paraId="3A827E4E" w14:textId="77777777" w:rsidR="007D6A5F" w:rsidRDefault="00C61A0E" w:rsidP="00F82BDC">
      <w:pPr>
        <w:pStyle w:val="ListParagraph"/>
        <w:numPr>
          <w:ilvl w:val="0"/>
          <w:numId w:val="6"/>
        </w:numPr>
        <w:ind w:right="-23"/>
        <w:rPr>
          <w:lang w:val="en-CA"/>
        </w:rPr>
      </w:pPr>
      <w:r>
        <w:rPr>
          <w:lang w:val="en-CA"/>
        </w:rPr>
        <w:t>S</w:t>
      </w:r>
      <w:r w:rsidR="007D6A5F" w:rsidRPr="00C61A0E">
        <w:rPr>
          <w:lang w:val="en-CA"/>
        </w:rPr>
        <w:t xml:space="preserve">ome of the difference is accounted for by the greater chances of males leaving secondary school to find employment as compared with the chances for females.  In the labour market conditions faced by young women, they may be more likely than young men to pursue a higher-education diploma to increase their chances of finding suitable employment.  In the case of women, higher education is more likely to provide skills that can be used to start a home-based business such as remote-location </w:t>
      </w:r>
      <w:r w:rsidR="001A03A7" w:rsidRPr="00C61A0E">
        <w:rPr>
          <w:lang w:val="en-CA"/>
        </w:rPr>
        <w:t>computerized</w:t>
      </w:r>
      <w:r w:rsidR="007D6A5F" w:rsidRPr="00C61A0E">
        <w:rPr>
          <w:lang w:val="en-CA"/>
        </w:rPr>
        <w:t xml:space="preserve"> applications.</w:t>
      </w:r>
    </w:p>
    <w:p w14:paraId="3B344AA2" w14:textId="77777777" w:rsidR="00C61A0E" w:rsidRPr="00C61A0E" w:rsidRDefault="0087030B" w:rsidP="00F82BDC">
      <w:pPr>
        <w:pStyle w:val="ListParagraph"/>
        <w:numPr>
          <w:ilvl w:val="0"/>
          <w:numId w:val="6"/>
        </w:numPr>
        <w:ind w:right="-23"/>
        <w:rPr>
          <w:lang w:val="en-CA"/>
        </w:rPr>
      </w:pPr>
      <w:r>
        <w:rPr>
          <w:lang w:val="en-CA"/>
        </w:rPr>
        <w:t>As explained in the footnote, t</w:t>
      </w:r>
      <w:r w:rsidR="00C61A0E">
        <w:rPr>
          <w:lang w:val="en-CA"/>
        </w:rPr>
        <w:t xml:space="preserve">he GER represents “gross” enrolment; this means that </w:t>
      </w:r>
      <w:r w:rsidR="002B1820">
        <w:rPr>
          <w:lang w:val="en-CA"/>
        </w:rPr>
        <w:t xml:space="preserve">both women and men above and below the age group (the five years </w:t>
      </w:r>
      <w:r>
        <w:rPr>
          <w:lang w:val="en-CA"/>
        </w:rPr>
        <w:t>following the</w:t>
      </w:r>
      <w:r w:rsidR="002B1820">
        <w:rPr>
          <w:lang w:val="en-CA"/>
        </w:rPr>
        <w:t xml:space="preserve"> secondary school</w:t>
      </w:r>
      <w:r>
        <w:rPr>
          <w:lang w:val="en-CA"/>
        </w:rPr>
        <w:t xml:space="preserve"> age group</w:t>
      </w:r>
      <w:r w:rsidR="002B1820">
        <w:rPr>
          <w:lang w:val="en-CA"/>
        </w:rPr>
        <w:t xml:space="preserve">) are included.  The </w:t>
      </w:r>
      <w:r>
        <w:rPr>
          <w:lang w:val="en-CA"/>
        </w:rPr>
        <w:t>data may reflect large</w:t>
      </w:r>
      <w:r w:rsidR="002B1820">
        <w:rPr>
          <w:lang w:val="en-CA"/>
        </w:rPr>
        <w:t xml:space="preserve"> numbers of women returning to higher education after failing to find employment, whether or not they hold diplomas.</w:t>
      </w:r>
    </w:p>
    <w:p w14:paraId="601FE997" w14:textId="77777777" w:rsidR="006F449D" w:rsidRDefault="002B1820" w:rsidP="00CF2D9C">
      <w:pPr>
        <w:ind w:right="-23"/>
        <w:rPr>
          <w:lang w:val="en-CA"/>
        </w:rPr>
      </w:pPr>
      <w:r>
        <w:rPr>
          <w:lang w:val="en-CA"/>
        </w:rPr>
        <w:t>The data show that in these four years prior to the CPD</w:t>
      </w:r>
      <w:r w:rsidR="007D6A5F">
        <w:rPr>
          <w:lang w:val="en-CA"/>
        </w:rPr>
        <w:t xml:space="preserve"> the attraction of post-secondary education </w:t>
      </w:r>
      <w:r w:rsidR="0087030B">
        <w:rPr>
          <w:lang w:val="en-CA"/>
        </w:rPr>
        <w:t>became more</w:t>
      </w:r>
      <w:r w:rsidR="007D6A5F">
        <w:rPr>
          <w:lang w:val="en-CA"/>
        </w:rPr>
        <w:t xml:space="preserve"> apparent to males as well.  Their rate of participation in higher education </w:t>
      </w:r>
      <w:r w:rsidR="00CF2D9C">
        <w:rPr>
          <w:lang w:val="en-CA"/>
        </w:rPr>
        <w:t>rose by 79 percent:  more than the increase for females and for the population as a whole.</w:t>
      </w:r>
      <w:r w:rsidR="005B7626">
        <w:rPr>
          <w:lang w:val="en-CA"/>
        </w:rPr>
        <w:t xml:space="preserve">  Table 4.1 gives the total increase in tertiary enrolment ratios</w:t>
      </w:r>
      <w:r>
        <w:rPr>
          <w:lang w:val="en-CA"/>
        </w:rPr>
        <w:t xml:space="preserve"> (i.e. shares of the population)</w:t>
      </w:r>
      <w:r w:rsidR="005B7626">
        <w:rPr>
          <w:lang w:val="en-CA"/>
        </w:rPr>
        <w:t xml:space="preserve">, and the increase for females and males.  </w:t>
      </w:r>
      <w:r>
        <w:rPr>
          <w:lang w:val="en-CA"/>
        </w:rPr>
        <w:t>(That is, the data in Table 4.1 show:  the ratio of females in tertiary schools to all females in the age group; of males in tertiary schooling to all males in the age group, and the ratio for both combined to all persons in the age group.  These are the data from the start and end points of Figure 4.1:  2009 to 2012.)</w:t>
      </w:r>
    </w:p>
    <w:p w14:paraId="43511D4C" w14:textId="77777777" w:rsidR="001A03A7" w:rsidRDefault="001A03A7" w:rsidP="001A03A7">
      <w:pPr>
        <w:pStyle w:val="Caption"/>
        <w:rPr>
          <w:lang w:val="en-CA"/>
        </w:rPr>
      </w:pPr>
      <w:r>
        <w:rPr>
          <w:lang w:val="en-CA"/>
        </w:rPr>
        <w:t>Table 4.1 Tertiary enrolment, by sex, 2009-2012</w:t>
      </w:r>
    </w:p>
    <w:tbl>
      <w:tblPr>
        <w:tblW w:w="3843" w:type="dxa"/>
        <w:jc w:val="center"/>
        <w:tblLook w:val="04A0" w:firstRow="1" w:lastRow="0" w:firstColumn="1" w:lastColumn="0" w:noHBand="0" w:noVBand="1"/>
      </w:tblPr>
      <w:tblGrid>
        <w:gridCol w:w="960"/>
        <w:gridCol w:w="960"/>
        <w:gridCol w:w="960"/>
        <w:gridCol w:w="963"/>
      </w:tblGrid>
      <w:tr w:rsidR="007D6A5F" w:rsidRPr="007D6A5F" w14:paraId="6BED9D21" w14:textId="77777777" w:rsidTr="007D6A5F">
        <w:trPr>
          <w:trHeight w:val="300"/>
          <w:jc w:val="center"/>
        </w:trPr>
        <w:tc>
          <w:tcPr>
            <w:tcW w:w="3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DC57A" w14:textId="77777777" w:rsidR="007D6A5F" w:rsidRPr="007D6A5F" w:rsidRDefault="007D6A5F" w:rsidP="007D6A5F">
            <w:pPr>
              <w:spacing w:before="0" w:after="0"/>
              <w:ind w:right="0"/>
              <w:jc w:val="center"/>
              <w:rPr>
                <w:rFonts w:ascii="Calibri" w:eastAsia="Times New Roman" w:hAnsi="Calibri" w:cs="Times New Roman"/>
                <w:color w:val="000000"/>
                <w:lang w:eastAsia="en-GB"/>
              </w:rPr>
            </w:pPr>
            <w:r w:rsidRPr="007D6A5F">
              <w:rPr>
                <w:rFonts w:ascii="Calibri" w:eastAsia="Times New Roman" w:hAnsi="Calibri" w:cs="Times New Roman"/>
                <w:color w:val="000000"/>
                <w:lang w:eastAsia="en-GB"/>
              </w:rPr>
              <w:t> </w:t>
            </w:r>
            <w:r>
              <w:rPr>
                <w:rFonts w:ascii="Calibri" w:eastAsia="Times New Roman" w:hAnsi="Calibri" w:cs="Times New Roman"/>
                <w:color w:val="000000"/>
                <w:lang w:eastAsia="en-GB"/>
              </w:rPr>
              <w:t>Increase in tertiary enrolment (%)</w:t>
            </w:r>
          </w:p>
        </w:tc>
      </w:tr>
      <w:tr w:rsidR="007D6A5F" w:rsidRPr="007D6A5F" w14:paraId="616A178B" w14:textId="77777777" w:rsidTr="007D6A5F">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1E397" w14:textId="77777777" w:rsidR="007D6A5F" w:rsidRPr="007D6A5F" w:rsidRDefault="007D6A5F" w:rsidP="007D6A5F">
            <w:pPr>
              <w:spacing w:before="0" w:after="0"/>
              <w:ind w:right="0"/>
              <w:rPr>
                <w:rFonts w:ascii="Calibri" w:eastAsia="Times New Roman" w:hAnsi="Calibri" w:cs="Times New Roman"/>
                <w:color w:val="000000"/>
                <w:lang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474E135" w14:textId="77777777" w:rsidR="007D6A5F" w:rsidRPr="007D6A5F" w:rsidRDefault="007D6A5F" w:rsidP="007D6A5F">
            <w:pPr>
              <w:spacing w:before="0" w:after="0"/>
              <w:ind w:right="0"/>
              <w:jc w:val="right"/>
              <w:rPr>
                <w:rFonts w:ascii="Calibri" w:eastAsia="Times New Roman" w:hAnsi="Calibri" w:cs="Times New Roman"/>
                <w:color w:val="000000"/>
                <w:lang w:eastAsia="en-GB"/>
              </w:rPr>
            </w:pPr>
            <w:r w:rsidRPr="007D6A5F">
              <w:rPr>
                <w:rFonts w:ascii="Calibri" w:eastAsia="Times New Roman" w:hAnsi="Calibri" w:cs="Times New Roman"/>
                <w:color w:val="000000"/>
                <w:lang w:eastAsia="en-GB"/>
              </w:rPr>
              <w:t>2009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2F0A7C9" w14:textId="77777777" w:rsidR="007D6A5F" w:rsidRPr="007D6A5F" w:rsidRDefault="007D6A5F" w:rsidP="007D6A5F">
            <w:pPr>
              <w:spacing w:before="0" w:after="0"/>
              <w:ind w:right="0"/>
              <w:jc w:val="right"/>
              <w:rPr>
                <w:rFonts w:ascii="Calibri" w:eastAsia="Times New Roman" w:hAnsi="Calibri" w:cs="Times New Roman"/>
                <w:color w:val="000000"/>
                <w:lang w:eastAsia="en-GB"/>
              </w:rPr>
            </w:pPr>
            <w:r w:rsidRPr="007D6A5F">
              <w:rPr>
                <w:rFonts w:ascii="Calibri" w:eastAsia="Times New Roman" w:hAnsi="Calibri" w:cs="Times New Roman"/>
                <w:color w:val="000000"/>
                <w:lang w:eastAsia="en-GB"/>
              </w:rPr>
              <w:t>2012</w:t>
            </w: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1561BBB0" w14:textId="77777777" w:rsidR="007D6A5F" w:rsidRPr="007D6A5F" w:rsidRDefault="007D6A5F" w:rsidP="007D6A5F">
            <w:pPr>
              <w:spacing w:before="0" w:after="0"/>
              <w:ind w:right="0"/>
              <w:jc w:val="center"/>
              <w:rPr>
                <w:rFonts w:ascii="Calibri" w:eastAsia="Times New Roman" w:hAnsi="Calibri" w:cs="Times New Roman"/>
                <w:color w:val="000000"/>
                <w:lang w:eastAsia="en-GB"/>
              </w:rPr>
            </w:pPr>
            <w:r w:rsidRPr="007D6A5F">
              <w:rPr>
                <w:rFonts w:ascii="Calibri" w:eastAsia="Times New Roman" w:hAnsi="Calibri" w:cs="Times New Roman"/>
                <w:color w:val="000000"/>
                <w:lang w:eastAsia="en-GB"/>
              </w:rPr>
              <w:t>increase</w:t>
            </w:r>
          </w:p>
        </w:tc>
      </w:tr>
      <w:tr w:rsidR="007D6A5F" w:rsidRPr="007D6A5F" w14:paraId="34FD7C7F" w14:textId="77777777" w:rsidTr="007D6A5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1609B6" w14:textId="77777777" w:rsidR="007D6A5F" w:rsidRPr="007D6A5F" w:rsidRDefault="007D6A5F" w:rsidP="007D6A5F">
            <w:pPr>
              <w:spacing w:before="0" w:after="0"/>
              <w:ind w:right="0"/>
              <w:rPr>
                <w:rFonts w:ascii="Calibri" w:eastAsia="Times New Roman" w:hAnsi="Calibri" w:cs="Times New Roman"/>
                <w:color w:val="000000"/>
                <w:lang w:eastAsia="en-GB"/>
              </w:rPr>
            </w:pPr>
            <w:r w:rsidRPr="007D6A5F">
              <w:rPr>
                <w:rFonts w:ascii="Calibri" w:eastAsia="Times New Roman" w:hAnsi="Calibri" w:cs="Times New Roman"/>
                <w:color w:val="000000"/>
                <w:lang w:eastAsia="en-GB"/>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6E7F5944" w14:textId="77777777" w:rsidR="007D6A5F" w:rsidRPr="007D6A5F" w:rsidRDefault="007D6A5F" w:rsidP="007D6A5F">
            <w:pPr>
              <w:spacing w:before="0" w:after="0"/>
              <w:ind w:right="0"/>
              <w:jc w:val="right"/>
              <w:rPr>
                <w:rFonts w:ascii="Calibri" w:eastAsia="Times New Roman" w:hAnsi="Calibri" w:cs="Times New Roman"/>
                <w:color w:val="000000"/>
                <w:lang w:eastAsia="en-GB"/>
              </w:rPr>
            </w:pPr>
            <w:r w:rsidRPr="007D6A5F">
              <w:rPr>
                <w:rFonts w:ascii="Calibri" w:eastAsia="Times New Roman" w:hAnsi="Calibri" w:cs="Times New Roman"/>
                <w:color w:val="000000"/>
                <w:lang w:eastAsia="en-GB"/>
              </w:rPr>
              <w:t>31.3</w:t>
            </w:r>
          </w:p>
        </w:tc>
        <w:tc>
          <w:tcPr>
            <w:tcW w:w="960" w:type="dxa"/>
            <w:tcBorders>
              <w:top w:val="nil"/>
              <w:left w:val="nil"/>
              <w:bottom w:val="single" w:sz="4" w:space="0" w:color="auto"/>
              <w:right w:val="single" w:sz="4" w:space="0" w:color="auto"/>
            </w:tcBorders>
            <w:shd w:val="clear" w:color="auto" w:fill="auto"/>
            <w:noWrap/>
            <w:vAlign w:val="bottom"/>
            <w:hideMark/>
          </w:tcPr>
          <w:p w14:paraId="269070DA" w14:textId="77777777" w:rsidR="007D6A5F" w:rsidRPr="007D6A5F" w:rsidRDefault="007D6A5F" w:rsidP="007D6A5F">
            <w:pPr>
              <w:spacing w:before="0" w:after="0"/>
              <w:ind w:right="0"/>
              <w:jc w:val="right"/>
              <w:rPr>
                <w:rFonts w:ascii="Calibri" w:eastAsia="Times New Roman" w:hAnsi="Calibri" w:cs="Times New Roman"/>
                <w:color w:val="000000"/>
                <w:lang w:eastAsia="en-GB"/>
              </w:rPr>
            </w:pPr>
            <w:r w:rsidRPr="007D6A5F">
              <w:rPr>
                <w:rFonts w:ascii="Calibri" w:eastAsia="Times New Roman" w:hAnsi="Calibri" w:cs="Times New Roman"/>
                <w:color w:val="000000"/>
                <w:lang w:eastAsia="en-GB"/>
              </w:rPr>
              <w:t>50.9</w:t>
            </w:r>
          </w:p>
        </w:tc>
        <w:tc>
          <w:tcPr>
            <w:tcW w:w="963" w:type="dxa"/>
            <w:tcBorders>
              <w:top w:val="nil"/>
              <w:left w:val="nil"/>
              <w:bottom w:val="single" w:sz="4" w:space="0" w:color="auto"/>
              <w:right w:val="single" w:sz="4" w:space="0" w:color="auto"/>
            </w:tcBorders>
            <w:shd w:val="clear" w:color="auto" w:fill="auto"/>
            <w:noWrap/>
            <w:vAlign w:val="bottom"/>
            <w:hideMark/>
          </w:tcPr>
          <w:p w14:paraId="0E462B72" w14:textId="77777777" w:rsidR="007D6A5F" w:rsidRPr="007D6A5F" w:rsidRDefault="007D6A5F" w:rsidP="007D6A5F">
            <w:pPr>
              <w:spacing w:before="0" w:after="0"/>
              <w:ind w:right="0"/>
              <w:jc w:val="right"/>
              <w:rPr>
                <w:rFonts w:ascii="Calibri" w:eastAsia="Times New Roman" w:hAnsi="Calibri" w:cs="Times New Roman"/>
                <w:color w:val="000000"/>
                <w:lang w:eastAsia="en-GB"/>
              </w:rPr>
            </w:pPr>
            <w:r w:rsidRPr="007D6A5F">
              <w:rPr>
                <w:rFonts w:ascii="Calibri" w:eastAsia="Times New Roman" w:hAnsi="Calibri" w:cs="Times New Roman"/>
                <w:color w:val="000000"/>
                <w:lang w:eastAsia="en-GB"/>
              </w:rPr>
              <w:t>62.8%</w:t>
            </w:r>
          </w:p>
        </w:tc>
      </w:tr>
      <w:tr w:rsidR="007D6A5F" w:rsidRPr="007D6A5F" w14:paraId="4B155239" w14:textId="77777777" w:rsidTr="007D6A5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9DE3EF" w14:textId="77777777" w:rsidR="007D6A5F" w:rsidRPr="007D6A5F" w:rsidRDefault="007D6A5F" w:rsidP="007D6A5F">
            <w:pPr>
              <w:spacing w:before="0" w:after="0"/>
              <w:ind w:right="0"/>
              <w:rPr>
                <w:rFonts w:ascii="Calibri" w:eastAsia="Times New Roman" w:hAnsi="Calibri" w:cs="Times New Roman"/>
                <w:color w:val="000000"/>
                <w:lang w:eastAsia="en-GB"/>
              </w:rPr>
            </w:pPr>
            <w:r w:rsidRPr="007D6A5F">
              <w:rPr>
                <w:rFonts w:ascii="Calibri" w:eastAsia="Times New Roman" w:hAnsi="Calibri" w:cs="Times New Roman"/>
                <w:color w:val="000000"/>
                <w:lang w:eastAsia="en-GB"/>
              </w:rPr>
              <w:t>Female</w:t>
            </w:r>
          </w:p>
        </w:tc>
        <w:tc>
          <w:tcPr>
            <w:tcW w:w="960" w:type="dxa"/>
            <w:tcBorders>
              <w:top w:val="nil"/>
              <w:left w:val="nil"/>
              <w:bottom w:val="single" w:sz="4" w:space="0" w:color="auto"/>
              <w:right w:val="single" w:sz="4" w:space="0" w:color="auto"/>
            </w:tcBorders>
            <w:shd w:val="clear" w:color="auto" w:fill="auto"/>
            <w:noWrap/>
            <w:vAlign w:val="bottom"/>
            <w:hideMark/>
          </w:tcPr>
          <w:p w14:paraId="733E32D2" w14:textId="77777777" w:rsidR="007D6A5F" w:rsidRPr="007D6A5F" w:rsidRDefault="007D6A5F" w:rsidP="007D6A5F">
            <w:pPr>
              <w:spacing w:before="0" w:after="0"/>
              <w:ind w:right="0"/>
              <w:jc w:val="right"/>
              <w:rPr>
                <w:rFonts w:ascii="Calibri" w:eastAsia="Times New Roman" w:hAnsi="Calibri" w:cs="Times New Roman"/>
                <w:color w:val="000000"/>
                <w:lang w:eastAsia="en-GB"/>
              </w:rPr>
            </w:pPr>
            <w:r w:rsidRPr="007D6A5F">
              <w:rPr>
                <w:rFonts w:ascii="Calibri" w:eastAsia="Times New Roman" w:hAnsi="Calibri" w:cs="Times New Roman"/>
                <w:color w:val="000000"/>
                <w:lang w:eastAsia="en-GB"/>
              </w:rPr>
              <w:t>35.1</w:t>
            </w:r>
          </w:p>
        </w:tc>
        <w:tc>
          <w:tcPr>
            <w:tcW w:w="960" w:type="dxa"/>
            <w:tcBorders>
              <w:top w:val="nil"/>
              <w:left w:val="nil"/>
              <w:bottom w:val="single" w:sz="4" w:space="0" w:color="auto"/>
              <w:right w:val="single" w:sz="4" w:space="0" w:color="auto"/>
            </w:tcBorders>
            <w:shd w:val="clear" w:color="auto" w:fill="auto"/>
            <w:noWrap/>
            <w:vAlign w:val="bottom"/>
            <w:hideMark/>
          </w:tcPr>
          <w:p w14:paraId="34308AD1" w14:textId="77777777" w:rsidR="007D6A5F" w:rsidRPr="007D6A5F" w:rsidRDefault="007D6A5F" w:rsidP="007D6A5F">
            <w:pPr>
              <w:spacing w:before="0" w:after="0"/>
              <w:ind w:right="0"/>
              <w:jc w:val="right"/>
              <w:rPr>
                <w:rFonts w:ascii="Calibri" w:eastAsia="Times New Roman" w:hAnsi="Calibri" w:cs="Times New Roman"/>
                <w:color w:val="000000"/>
                <w:lang w:eastAsia="en-GB"/>
              </w:rPr>
            </w:pPr>
            <w:r w:rsidRPr="007D6A5F">
              <w:rPr>
                <w:rFonts w:ascii="Calibri" w:eastAsia="Times New Roman" w:hAnsi="Calibri" w:cs="Times New Roman"/>
                <w:color w:val="000000"/>
                <w:lang w:eastAsia="en-GB"/>
              </w:rPr>
              <w:t>52.5</w:t>
            </w:r>
          </w:p>
        </w:tc>
        <w:tc>
          <w:tcPr>
            <w:tcW w:w="963" w:type="dxa"/>
            <w:tcBorders>
              <w:top w:val="nil"/>
              <w:left w:val="nil"/>
              <w:bottom w:val="single" w:sz="4" w:space="0" w:color="auto"/>
              <w:right w:val="single" w:sz="4" w:space="0" w:color="auto"/>
            </w:tcBorders>
            <w:shd w:val="clear" w:color="auto" w:fill="auto"/>
            <w:noWrap/>
            <w:vAlign w:val="bottom"/>
            <w:hideMark/>
          </w:tcPr>
          <w:p w14:paraId="454A3663" w14:textId="77777777" w:rsidR="007D6A5F" w:rsidRPr="007D6A5F" w:rsidRDefault="007D6A5F" w:rsidP="007D6A5F">
            <w:pPr>
              <w:spacing w:before="0" w:after="0"/>
              <w:ind w:right="0"/>
              <w:jc w:val="right"/>
              <w:rPr>
                <w:rFonts w:ascii="Calibri" w:eastAsia="Times New Roman" w:hAnsi="Calibri" w:cs="Times New Roman"/>
                <w:color w:val="000000"/>
                <w:lang w:eastAsia="en-GB"/>
              </w:rPr>
            </w:pPr>
            <w:r w:rsidRPr="007D6A5F">
              <w:rPr>
                <w:rFonts w:ascii="Calibri" w:eastAsia="Times New Roman" w:hAnsi="Calibri" w:cs="Times New Roman"/>
                <w:color w:val="000000"/>
                <w:lang w:eastAsia="en-GB"/>
              </w:rPr>
              <w:t>49.5%</w:t>
            </w:r>
          </w:p>
        </w:tc>
      </w:tr>
      <w:tr w:rsidR="007D6A5F" w:rsidRPr="007D6A5F" w14:paraId="64CDBBBC" w14:textId="77777777" w:rsidTr="007D6A5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0041E2" w14:textId="77777777" w:rsidR="007D6A5F" w:rsidRPr="007D6A5F" w:rsidRDefault="007D6A5F" w:rsidP="007D6A5F">
            <w:pPr>
              <w:spacing w:before="0" w:after="0"/>
              <w:ind w:right="0"/>
              <w:rPr>
                <w:rFonts w:ascii="Calibri" w:eastAsia="Times New Roman" w:hAnsi="Calibri" w:cs="Times New Roman"/>
                <w:color w:val="000000"/>
                <w:lang w:eastAsia="en-GB"/>
              </w:rPr>
            </w:pPr>
            <w:r w:rsidRPr="007D6A5F">
              <w:rPr>
                <w:rFonts w:ascii="Calibri" w:eastAsia="Times New Roman" w:hAnsi="Calibri" w:cs="Times New Roman"/>
                <w:color w:val="000000"/>
                <w:lang w:eastAsia="en-GB"/>
              </w:rPr>
              <w:t>Male</w:t>
            </w:r>
          </w:p>
        </w:tc>
        <w:tc>
          <w:tcPr>
            <w:tcW w:w="960" w:type="dxa"/>
            <w:tcBorders>
              <w:top w:val="nil"/>
              <w:left w:val="nil"/>
              <w:bottom w:val="single" w:sz="4" w:space="0" w:color="auto"/>
              <w:right w:val="single" w:sz="4" w:space="0" w:color="auto"/>
            </w:tcBorders>
            <w:shd w:val="clear" w:color="auto" w:fill="auto"/>
            <w:noWrap/>
            <w:vAlign w:val="bottom"/>
            <w:hideMark/>
          </w:tcPr>
          <w:p w14:paraId="00EC212B" w14:textId="77777777" w:rsidR="007D6A5F" w:rsidRPr="007D6A5F" w:rsidRDefault="007D6A5F" w:rsidP="007D6A5F">
            <w:pPr>
              <w:spacing w:before="0" w:after="0"/>
              <w:ind w:right="0"/>
              <w:jc w:val="right"/>
              <w:rPr>
                <w:rFonts w:ascii="Calibri" w:eastAsia="Times New Roman" w:hAnsi="Calibri" w:cs="Times New Roman"/>
                <w:color w:val="000000"/>
                <w:lang w:eastAsia="en-GB"/>
              </w:rPr>
            </w:pPr>
            <w:r w:rsidRPr="007D6A5F">
              <w:rPr>
                <w:rFonts w:ascii="Calibri" w:eastAsia="Times New Roman" w:hAnsi="Calibri" w:cs="Times New Roman"/>
                <w:color w:val="000000"/>
                <w:lang w:eastAsia="en-GB"/>
              </w:rPr>
              <w:t>27.6</w:t>
            </w:r>
          </w:p>
        </w:tc>
        <w:tc>
          <w:tcPr>
            <w:tcW w:w="960" w:type="dxa"/>
            <w:tcBorders>
              <w:top w:val="nil"/>
              <w:left w:val="nil"/>
              <w:bottom w:val="single" w:sz="4" w:space="0" w:color="auto"/>
              <w:right w:val="single" w:sz="4" w:space="0" w:color="auto"/>
            </w:tcBorders>
            <w:shd w:val="clear" w:color="auto" w:fill="auto"/>
            <w:noWrap/>
            <w:vAlign w:val="bottom"/>
            <w:hideMark/>
          </w:tcPr>
          <w:p w14:paraId="7DC12C95" w14:textId="77777777" w:rsidR="007D6A5F" w:rsidRPr="007D6A5F" w:rsidRDefault="007D6A5F" w:rsidP="007D6A5F">
            <w:pPr>
              <w:spacing w:before="0" w:after="0"/>
              <w:ind w:right="0"/>
              <w:jc w:val="right"/>
              <w:rPr>
                <w:rFonts w:ascii="Calibri" w:eastAsia="Times New Roman" w:hAnsi="Calibri" w:cs="Times New Roman"/>
                <w:color w:val="000000"/>
                <w:lang w:eastAsia="en-GB"/>
              </w:rPr>
            </w:pPr>
            <w:r w:rsidRPr="007D6A5F">
              <w:rPr>
                <w:rFonts w:ascii="Calibri" w:eastAsia="Times New Roman" w:hAnsi="Calibri" w:cs="Times New Roman"/>
                <w:color w:val="000000"/>
                <w:lang w:eastAsia="en-GB"/>
              </w:rPr>
              <w:t>49.5</w:t>
            </w:r>
          </w:p>
        </w:tc>
        <w:tc>
          <w:tcPr>
            <w:tcW w:w="963" w:type="dxa"/>
            <w:tcBorders>
              <w:top w:val="nil"/>
              <w:left w:val="nil"/>
              <w:bottom w:val="single" w:sz="4" w:space="0" w:color="auto"/>
              <w:right w:val="single" w:sz="4" w:space="0" w:color="auto"/>
            </w:tcBorders>
            <w:shd w:val="clear" w:color="auto" w:fill="auto"/>
            <w:noWrap/>
            <w:vAlign w:val="bottom"/>
            <w:hideMark/>
          </w:tcPr>
          <w:p w14:paraId="76D858A5" w14:textId="77777777" w:rsidR="007D6A5F" w:rsidRPr="007D6A5F" w:rsidRDefault="007D6A5F" w:rsidP="007D6A5F">
            <w:pPr>
              <w:spacing w:before="0" w:after="0"/>
              <w:ind w:right="0"/>
              <w:jc w:val="right"/>
              <w:rPr>
                <w:rFonts w:ascii="Calibri" w:eastAsia="Times New Roman" w:hAnsi="Calibri" w:cs="Times New Roman"/>
                <w:color w:val="000000"/>
                <w:lang w:eastAsia="en-GB"/>
              </w:rPr>
            </w:pPr>
            <w:r w:rsidRPr="007D6A5F">
              <w:rPr>
                <w:rFonts w:ascii="Calibri" w:eastAsia="Times New Roman" w:hAnsi="Calibri" w:cs="Times New Roman"/>
                <w:color w:val="000000"/>
                <w:lang w:eastAsia="en-GB"/>
              </w:rPr>
              <w:t>79.0%</w:t>
            </w:r>
          </w:p>
        </w:tc>
      </w:tr>
    </w:tbl>
    <w:p w14:paraId="43A7F6A2" w14:textId="77777777" w:rsidR="00B949DD" w:rsidRPr="00E449FD" w:rsidRDefault="00B949DD" w:rsidP="00B949DD">
      <w:pPr>
        <w:ind w:left="2880"/>
        <w:rPr>
          <w:sz w:val="18"/>
          <w:szCs w:val="18"/>
          <w:lang w:val="en-CA"/>
        </w:rPr>
      </w:pPr>
      <w:r w:rsidRPr="00E449FD">
        <w:rPr>
          <w:sz w:val="18"/>
          <w:szCs w:val="18"/>
          <w:lang w:val="en-CA"/>
        </w:rPr>
        <w:t>Source:  WDI (WB 2014)</w:t>
      </w:r>
    </w:p>
    <w:p w14:paraId="1DAD8ECD" w14:textId="77777777" w:rsidR="004E2C04" w:rsidRDefault="004E2C04" w:rsidP="00E878BB">
      <w:pPr>
        <w:pStyle w:val="Heading3"/>
        <w:numPr>
          <w:ilvl w:val="2"/>
          <w:numId w:val="31"/>
        </w:numPr>
        <w:rPr>
          <w:lang w:val="en-CA"/>
        </w:rPr>
      </w:pPr>
      <w:bookmarkStart w:id="22" w:name="_Toc399078753"/>
      <w:r w:rsidRPr="004E2C04">
        <w:rPr>
          <w:lang w:val="en-CA"/>
        </w:rPr>
        <w:t>Unemployment</w:t>
      </w:r>
      <w:r>
        <w:rPr>
          <w:lang w:val="en-CA"/>
        </w:rPr>
        <w:t>:  youth, women</w:t>
      </w:r>
      <w:bookmarkEnd w:id="22"/>
    </w:p>
    <w:p w14:paraId="264C222B" w14:textId="77777777" w:rsidR="00904E0E" w:rsidRDefault="00904E0E" w:rsidP="00904E0E">
      <w:pPr>
        <w:ind w:right="-23"/>
        <w:rPr>
          <w:lang w:val="en-CA"/>
        </w:rPr>
      </w:pPr>
      <w:r>
        <w:rPr>
          <w:lang w:val="en-CA"/>
        </w:rPr>
        <w:t xml:space="preserve">In section 3.2, the high unemployment rates in MENA countries – leading all regions of the world – were shown.  The rate for young people (age 15-24), is about 22 percent for men and 40 percent for women.  </w:t>
      </w:r>
    </w:p>
    <w:p w14:paraId="51C7A157" w14:textId="77777777" w:rsidR="005B7626" w:rsidRDefault="00904E0E" w:rsidP="00904E0E">
      <w:pPr>
        <w:ind w:right="-23"/>
        <w:rPr>
          <w:lang w:val="en-CA"/>
        </w:rPr>
      </w:pPr>
      <w:r>
        <w:t xml:space="preserve">In Saudi Arabia the situation has in turn been among the most serious, exceeding regional rates significantly.  In the period of the past and current CPD, youth </w:t>
      </w:r>
      <w:r>
        <w:rPr>
          <w:lang w:val="en-CA"/>
        </w:rPr>
        <w:t>unemployment</w:t>
      </w:r>
      <w:r w:rsidR="005B7626">
        <w:rPr>
          <w:lang w:val="en-CA"/>
        </w:rPr>
        <w:t xml:space="preserve"> rates </w:t>
      </w:r>
      <w:r>
        <w:rPr>
          <w:lang w:val="en-CA"/>
        </w:rPr>
        <w:t>have remained stubbornly high.</w:t>
      </w:r>
      <w:r w:rsidR="005D4E92">
        <w:rPr>
          <w:lang w:val="en-CA"/>
        </w:rPr>
        <w:t xml:space="preserve"> </w:t>
      </w:r>
      <w:r w:rsidR="00540683">
        <w:rPr>
          <w:lang w:val="en-CA"/>
        </w:rPr>
        <w:t xml:space="preserve"> Prior to the global financial crisis</w:t>
      </w:r>
      <w:r w:rsidR="00D92DE3">
        <w:rPr>
          <w:lang w:val="en-CA"/>
        </w:rPr>
        <w:t xml:space="preserve"> of 2008</w:t>
      </w:r>
      <w:r w:rsidR="00540683">
        <w:rPr>
          <w:lang w:val="en-CA"/>
        </w:rPr>
        <w:t>, unemployment among young people 15-24 years of age was</w:t>
      </w:r>
      <w:r w:rsidR="00587CEA">
        <w:rPr>
          <w:lang w:val="en-CA"/>
        </w:rPr>
        <w:t xml:space="preserve"> as high as 34 percent in 2006</w:t>
      </w:r>
      <w:r w:rsidR="005D4E92">
        <w:rPr>
          <w:lang w:val="en-CA"/>
        </w:rPr>
        <w:t xml:space="preserve"> </w:t>
      </w:r>
      <w:r w:rsidR="005D4E92">
        <w:rPr>
          <w:lang w:val="en-CA"/>
        </w:rPr>
        <w:fldChar w:fldCharType="begin"/>
      </w:r>
      <w:r w:rsidR="006C6485">
        <w:rPr>
          <w:lang w:val="en-CA"/>
        </w:rPr>
        <w:instrText xml:space="preserve"> ADDIN EN.CITE &lt;EndNote&gt;&lt;Cite&gt;&lt;Author&gt;ILO&lt;/Author&gt;&lt;Year&gt;2014&lt;/Year&gt;&lt;RecNum&gt;241&lt;/RecNum&gt;&lt;Suffix&gt;`, based on SA government reporting&lt;/Suffix&gt;&lt;DisplayText&gt;(ILO 2014, based on SA government reporting)&lt;/DisplayText&gt;&lt;record&gt;&lt;rec-number&gt;241&lt;/rec-number&gt;&lt;foreign-keys&gt;&lt;key app="EN" db-id="5a0wsfarrxszvze9rr65r5a3vr95ffwx90f9" timestamp="1405122603"&gt;241&lt;/key&gt;&lt;/foreign-keys&gt;&lt;ref-type name="Online Database"&gt;45&lt;/ref-type&gt;&lt;contributors&gt;&lt;authors&gt;&lt;author&gt;ILO&lt;/author&gt;&lt;/authors&gt;&lt;/contributors&gt;&lt;titles&gt;&lt;title&gt;ILO Statistics and databases&lt;/title&gt;&lt;/titles&gt;&lt;dates&gt;&lt;year&gt;2014&lt;/year&gt;&lt;pub-dates&gt;&lt;date&gt;11 July 2014&lt;/date&gt;&lt;/pub-dates&gt;&lt;/dates&gt;&lt;pub-location&gt;Geneva&lt;/pub-location&gt;&lt;publisher&gt;International Labour Organization&lt;/publisher&gt;&lt;urls&gt;&lt;related-urls&gt;&lt;url&gt;http://www.ilo.org/global/statistics-and-databases/lang--en/index.htm&lt;/url&gt;&lt;/related-urls&gt;&lt;/urls&gt;&lt;research-notes&gt;http://www.ilo.org/ilostat/faces/home/statisticaldata/data_by_country/country-details/indicator-details?country=SAU&amp;amp;subject=UNE&amp;amp;indicator=UNE_DEAP_SEX_AGE_RT&amp;amp;datasetCode=YI&amp;amp;collectionCode=YI&amp;amp;_afrLoop=1926917413003070#%40%3Findicator%3DUNE_DEAP_SEX_AGE_RT%26subject%3DUNE%26_afrLoop%3D1926917413003070%26datasetCode%3DYI%26collectionCode%3DYI%26country%3DSAU%26_adf.ctrl-state%3D16ny21pser_139&lt;/research-notes&gt;&lt;/record&gt;&lt;/Cite&gt;&lt;/EndNote&gt;</w:instrText>
      </w:r>
      <w:r w:rsidR="005D4E92">
        <w:rPr>
          <w:lang w:val="en-CA"/>
        </w:rPr>
        <w:fldChar w:fldCharType="separate"/>
      </w:r>
      <w:r w:rsidR="006C6485">
        <w:rPr>
          <w:noProof/>
          <w:lang w:val="en-CA"/>
        </w:rPr>
        <w:t>(</w:t>
      </w:r>
      <w:hyperlink w:anchor="_ENREF_9" w:tooltip="ILO, 2014 #241" w:history="1">
        <w:r w:rsidR="00EB16D2">
          <w:rPr>
            <w:noProof/>
            <w:lang w:val="en-CA"/>
          </w:rPr>
          <w:t>ILO 2014, based on SA government reporting</w:t>
        </w:r>
      </w:hyperlink>
      <w:r w:rsidR="006C6485">
        <w:rPr>
          <w:noProof/>
          <w:lang w:val="en-CA"/>
        </w:rPr>
        <w:t>)</w:t>
      </w:r>
      <w:r w:rsidR="005D4E92">
        <w:rPr>
          <w:lang w:val="en-CA"/>
        </w:rPr>
        <w:fldChar w:fldCharType="end"/>
      </w:r>
      <w:r w:rsidR="00587CEA">
        <w:rPr>
          <w:lang w:val="en-CA"/>
        </w:rPr>
        <w:t xml:space="preserve">.  </w:t>
      </w:r>
      <w:r w:rsidR="00D92DE3">
        <w:rPr>
          <w:lang w:val="en-CA"/>
        </w:rPr>
        <w:t xml:space="preserve">The rate has remained stubbornly high since the </w:t>
      </w:r>
      <w:r w:rsidR="00E949F1">
        <w:rPr>
          <w:lang w:val="en-CA"/>
        </w:rPr>
        <w:t xml:space="preserve">2008 </w:t>
      </w:r>
      <w:r w:rsidR="00D92DE3">
        <w:rPr>
          <w:lang w:val="en-CA"/>
        </w:rPr>
        <w:t>crisis.</w:t>
      </w:r>
    </w:p>
    <w:p w14:paraId="728558A6" w14:textId="77777777" w:rsidR="00904E0E" w:rsidRDefault="00904E0E" w:rsidP="00904E0E">
      <w:pPr>
        <w:pStyle w:val="Caption"/>
        <w:rPr>
          <w:lang w:val="en-CA"/>
        </w:rPr>
      </w:pPr>
      <w:r>
        <w:rPr>
          <w:lang w:val="en-CA"/>
        </w:rPr>
        <w:t>Figure 4.2 Youth unemployment</w:t>
      </w:r>
      <w:r w:rsidR="008F06FF">
        <w:rPr>
          <w:lang w:val="en-CA"/>
        </w:rPr>
        <w:t xml:space="preserve"> rate</w:t>
      </w:r>
      <w:r w:rsidR="008F302D">
        <w:rPr>
          <w:lang w:val="en-CA"/>
        </w:rPr>
        <w:t xml:space="preserve"> (15-24 years of age)</w:t>
      </w:r>
      <w:r>
        <w:rPr>
          <w:lang w:val="en-CA"/>
        </w:rPr>
        <w:t>, 2006-2013, by sex</w:t>
      </w:r>
    </w:p>
    <w:p w14:paraId="00A6D48A" w14:textId="77777777" w:rsidR="00904E0E" w:rsidRDefault="00904E0E" w:rsidP="00904E0E">
      <w:pPr>
        <w:jc w:val="center"/>
        <w:rPr>
          <w:lang w:val="en-CA"/>
        </w:rPr>
      </w:pPr>
      <w:r>
        <w:rPr>
          <w:noProof/>
          <w:lang w:val="en-US"/>
        </w:rPr>
        <w:drawing>
          <wp:inline distT="0" distB="0" distL="0" distR="0" wp14:anchorId="1A265648" wp14:editId="4BC8D555">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346BE8" w14:textId="77777777" w:rsidR="00904E0E" w:rsidRDefault="00904E0E" w:rsidP="006C6485">
      <w:pPr>
        <w:ind w:right="-23"/>
        <w:rPr>
          <w:sz w:val="18"/>
          <w:lang w:val="en-CA"/>
        </w:rPr>
      </w:pPr>
      <w:r w:rsidRPr="005D4E92">
        <w:rPr>
          <w:sz w:val="18"/>
          <w:lang w:val="en-CA"/>
        </w:rPr>
        <w:t xml:space="preserve">Source:  ILO </w:t>
      </w:r>
      <w:r w:rsidR="00F7692D">
        <w:rPr>
          <w:sz w:val="18"/>
          <w:lang w:val="en-CA"/>
        </w:rPr>
        <w:t>2014.  (</w:t>
      </w:r>
      <w:r w:rsidR="0024257F" w:rsidRPr="00F7692D">
        <w:rPr>
          <w:sz w:val="18"/>
          <w:vertAlign w:val="superscript"/>
          <w:lang w:val="en-CA"/>
        </w:rPr>
        <w:t>e</w:t>
      </w:r>
      <w:r w:rsidR="0024257F">
        <w:rPr>
          <w:sz w:val="18"/>
          <w:lang w:val="en-CA"/>
        </w:rPr>
        <w:t xml:space="preserve"> Note</w:t>
      </w:r>
      <w:r w:rsidR="00F7692D">
        <w:rPr>
          <w:sz w:val="18"/>
          <w:lang w:val="en-CA"/>
        </w:rPr>
        <w:t>:  Data for 2010 are estimated at a mid-point because of a reporting gap</w:t>
      </w:r>
      <w:r w:rsidR="00336408">
        <w:rPr>
          <w:sz w:val="18"/>
          <w:lang w:val="en-CA"/>
        </w:rPr>
        <w:t xml:space="preserve"> for that year</w:t>
      </w:r>
      <w:r w:rsidR="00F7692D">
        <w:rPr>
          <w:sz w:val="18"/>
          <w:lang w:val="en-CA"/>
        </w:rPr>
        <w:t>.)</w:t>
      </w:r>
    </w:p>
    <w:p w14:paraId="451C587B" w14:textId="77777777" w:rsidR="007F4C3E" w:rsidRDefault="007F4C3E" w:rsidP="00336408">
      <w:pPr>
        <w:ind w:right="-23"/>
        <w:rPr>
          <w:lang w:val="en-CA"/>
        </w:rPr>
      </w:pPr>
      <w:r>
        <w:rPr>
          <w:lang w:val="en-CA"/>
        </w:rPr>
        <w:t>The meaning of the term “unemployment” in labour statistics terms should be underscored here.  The “unemployed” are persons who are “in the labour force”</w:t>
      </w:r>
      <w:r w:rsidR="0089370F">
        <w:rPr>
          <w:lang w:val="en-CA"/>
        </w:rPr>
        <w:t xml:space="preserve"> </w:t>
      </w:r>
      <w:r w:rsidR="0089370F" w:rsidRPr="00077C70">
        <w:rPr>
          <w:i/>
          <w:lang w:val="en-CA"/>
        </w:rPr>
        <w:t>and</w:t>
      </w:r>
      <w:r w:rsidR="0089370F">
        <w:rPr>
          <w:lang w:val="en-CA"/>
        </w:rPr>
        <w:t xml:space="preserve"> </w:t>
      </w:r>
      <w:r>
        <w:rPr>
          <w:lang w:val="en-CA"/>
        </w:rPr>
        <w:t xml:space="preserve">are </w:t>
      </w:r>
      <w:r w:rsidR="0089370F">
        <w:rPr>
          <w:lang w:val="en-CA"/>
        </w:rPr>
        <w:t xml:space="preserve">“actively </w:t>
      </w:r>
      <w:r>
        <w:rPr>
          <w:lang w:val="en-CA"/>
        </w:rPr>
        <w:t>seeking work</w:t>
      </w:r>
      <w:r w:rsidR="0089370F">
        <w:rPr>
          <w:lang w:val="en-CA"/>
        </w:rPr>
        <w:t>”</w:t>
      </w:r>
      <w:r w:rsidR="00077C70">
        <w:rPr>
          <w:lang w:val="en-CA"/>
        </w:rPr>
        <w:t xml:space="preserve">, </w:t>
      </w:r>
      <w:r w:rsidR="00077C70" w:rsidRPr="00077C70">
        <w:rPr>
          <w:i/>
          <w:lang w:val="en-CA"/>
        </w:rPr>
        <w:t>and</w:t>
      </w:r>
      <w:r w:rsidR="00077C70">
        <w:rPr>
          <w:lang w:val="en-CA"/>
        </w:rPr>
        <w:t xml:space="preserve"> have not found work</w:t>
      </w:r>
      <w:r w:rsidR="0089370F">
        <w:rPr>
          <w:lang w:val="en-CA"/>
        </w:rPr>
        <w:t xml:space="preserve">.  They </w:t>
      </w:r>
      <w:r>
        <w:rPr>
          <w:lang w:val="en-CA"/>
        </w:rPr>
        <w:t xml:space="preserve">are not in school, not </w:t>
      </w:r>
      <w:r w:rsidR="0089370F">
        <w:rPr>
          <w:lang w:val="en-CA"/>
        </w:rPr>
        <w:t xml:space="preserve">persons who are </w:t>
      </w:r>
      <w:r>
        <w:rPr>
          <w:lang w:val="en-CA"/>
        </w:rPr>
        <w:t xml:space="preserve">ill, and </w:t>
      </w:r>
      <w:r w:rsidR="0089370F">
        <w:rPr>
          <w:lang w:val="en-CA"/>
        </w:rPr>
        <w:t xml:space="preserve">they are </w:t>
      </w:r>
      <w:r>
        <w:rPr>
          <w:lang w:val="en-CA"/>
        </w:rPr>
        <w:t xml:space="preserve">not </w:t>
      </w:r>
      <w:r w:rsidR="0089370F">
        <w:rPr>
          <w:lang w:val="en-CA"/>
        </w:rPr>
        <w:t xml:space="preserve">persons who have been </w:t>
      </w:r>
      <w:r>
        <w:rPr>
          <w:lang w:val="en-CA"/>
        </w:rPr>
        <w:t>disqualified from the definition of labour force members by identifying themselves</w:t>
      </w:r>
      <w:r w:rsidR="0089370F">
        <w:rPr>
          <w:lang w:val="en-CA"/>
        </w:rPr>
        <w:t xml:space="preserve"> in a survey</w:t>
      </w:r>
      <w:r>
        <w:rPr>
          <w:lang w:val="en-CA"/>
        </w:rPr>
        <w:t xml:space="preserve"> as unpaid household workers (“housewives”).</w:t>
      </w:r>
    </w:p>
    <w:p w14:paraId="6B7B4AAC" w14:textId="77777777" w:rsidR="004C682C" w:rsidRDefault="004C682C" w:rsidP="00336408">
      <w:pPr>
        <w:ind w:right="-23"/>
        <w:rPr>
          <w:lang w:val="en-CA"/>
        </w:rPr>
      </w:pPr>
      <w:r w:rsidRPr="004C682C">
        <w:rPr>
          <w:lang w:val="en-CA"/>
        </w:rPr>
        <w:t xml:space="preserve">The </w:t>
      </w:r>
      <w:r w:rsidR="00F7692D">
        <w:rPr>
          <w:lang w:val="en-CA"/>
        </w:rPr>
        <w:t xml:space="preserve">rate for </w:t>
      </w:r>
      <w:r w:rsidR="0022332D">
        <w:rPr>
          <w:lang w:val="en-CA"/>
        </w:rPr>
        <w:t xml:space="preserve">unemployed </w:t>
      </w:r>
      <w:r w:rsidR="00F7692D">
        <w:rPr>
          <w:lang w:val="en-CA"/>
        </w:rPr>
        <w:t>youth as a whole has stayed at or near 29 percent</w:t>
      </w:r>
      <w:r w:rsidR="00E949F1">
        <w:rPr>
          <w:lang w:val="en-CA"/>
        </w:rPr>
        <w:t xml:space="preserve"> since 2006</w:t>
      </w:r>
      <w:r w:rsidR="00F7692D">
        <w:rPr>
          <w:lang w:val="en-CA"/>
        </w:rPr>
        <w:t xml:space="preserve">.  As Figure 4.2 shows, there is an important difference in unemployment rates when the total is broken down by sex.  While jobless rates have fallen for young men since the 2006 high, the rates for young women have climbed almost without respite.  From a pre-crisis rate of 47 percent, unemployment for young women has risen to almost 57 percent in 2012, the start of the current CPD period.  </w:t>
      </w:r>
      <w:r w:rsidR="00336408">
        <w:rPr>
          <w:lang w:val="en-CA"/>
        </w:rPr>
        <w:t>Data appear to show a decline of under 2 percentage points for 2013; it is impossible to say at this time whether this represents the beginning of a recovery of employment for young women.</w:t>
      </w:r>
    </w:p>
    <w:p w14:paraId="73ECA4DD" w14:textId="77777777" w:rsidR="00840701" w:rsidRPr="004C682C" w:rsidRDefault="00840701" w:rsidP="00336408">
      <w:pPr>
        <w:ind w:right="-23"/>
        <w:rPr>
          <w:lang w:val="en-CA"/>
        </w:rPr>
      </w:pPr>
      <w:r>
        <w:rPr>
          <w:lang w:val="en-CA"/>
        </w:rPr>
        <w:t>Some observers argue that there may be evidence of improvements for women in the</w:t>
      </w:r>
      <w:r w:rsidR="00077C70">
        <w:rPr>
          <w:lang w:val="en-CA"/>
        </w:rPr>
        <w:t xml:space="preserve"> labour market</w:t>
      </w:r>
      <w:r>
        <w:rPr>
          <w:lang w:val="en-CA"/>
        </w:rPr>
        <w:t xml:space="preserve">.  In 2012, employment specialist Khalid AlKhudair argued that the increase in unemployment for women (of all ages) was “driven by </w:t>
      </w:r>
      <w:r w:rsidRPr="00840701">
        <w:rPr>
          <w:lang w:val="en-CA"/>
        </w:rPr>
        <w:t>the fact that more women are entering the workforce</w:t>
      </w:r>
      <w:r>
        <w:rPr>
          <w:lang w:val="en-CA"/>
        </w:rPr>
        <w:t xml:space="preserve">” </w:t>
      </w:r>
      <w:r>
        <w:rPr>
          <w:lang w:val="en-CA"/>
        </w:rPr>
        <w:fldChar w:fldCharType="begin"/>
      </w:r>
      <w:r w:rsidR="00CC3C1A">
        <w:rPr>
          <w:lang w:val="en-CA"/>
        </w:rPr>
        <w:instrText xml:space="preserve"> ADDIN EN.CITE &lt;EndNote&gt;&lt;Cite&gt;&lt;Author&gt;Curley&lt;/Author&gt;&lt;Year&gt;2013&lt;/Year&gt;&lt;RecNum&gt;242&lt;/RecNum&gt;&lt;DisplayText&gt;(Curley 2013)&lt;/DisplayText&gt;&lt;record&gt;&lt;rec-number&gt;242&lt;/rec-number&gt;&lt;foreign-keys&gt;&lt;key app="EN" db-id="5a0wsfarrxszvze9rr65r5a3vr95ffwx90f9" timestamp="1405126012"&gt;242&lt;/key&gt;&lt;/foreign-keys&gt;&lt;ref-type name="Electronic Article"&gt;43&lt;/ref-type&gt;&lt;contributors&gt;&lt;authors&gt;&lt;author&gt;Nina Curley&lt;/author&gt;&lt;/authors&gt;&lt;/contributors&gt;&lt;titles&gt;&lt;title&gt;Why last year&amp;apos;s rise in unemployment for Saudi women might be a positive trend&lt;/title&gt;&lt;/titles&gt;&lt;dates&gt;&lt;year&gt;2013&lt;/year&gt;&lt;pub-dates&gt;&lt;date&gt;15 May 2013&lt;/date&gt;&lt;/pub-dates&gt;&lt;/dates&gt;&lt;pub-location&gt;Electronic article &lt;/pub-location&gt;&lt;publisher&gt;Wamda&lt;/publisher&gt;&lt;urls&gt;&lt;related-urls&gt;&lt;url&gt;http://www.wamda.com/2013/05/unemployment-rises-for-saudi-women&lt;/url&gt;&lt;/related-urls&gt;&lt;/urls&gt;&lt;/record&gt;&lt;/Cite&gt;&lt;/EndNote&gt;</w:instrText>
      </w:r>
      <w:r>
        <w:rPr>
          <w:lang w:val="en-CA"/>
        </w:rPr>
        <w:fldChar w:fldCharType="separate"/>
      </w:r>
      <w:r>
        <w:rPr>
          <w:noProof/>
          <w:lang w:val="en-CA"/>
        </w:rPr>
        <w:t>(</w:t>
      </w:r>
      <w:hyperlink w:anchor="_ENREF_5" w:tooltip="Curley, 2013 #242" w:history="1">
        <w:r w:rsidR="00EB16D2">
          <w:rPr>
            <w:noProof/>
            <w:lang w:val="en-CA"/>
          </w:rPr>
          <w:t>Curley 2013</w:t>
        </w:r>
      </w:hyperlink>
      <w:r>
        <w:rPr>
          <w:noProof/>
          <w:lang w:val="en-CA"/>
        </w:rPr>
        <w:t>)</w:t>
      </w:r>
      <w:r>
        <w:rPr>
          <w:lang w:val="en-CA"/>
        </w:rPr>
        <w:fldChar w:fldCharType="end"/>
      </w:r>
      <w:r w:rsidR="00A54CA1">
        <w:rPr>
          <w:lang w:val="en-CA"/>
        </w:rPr>
        <w:t>.  That is, with more women looking for work rather than staying out of the labour market, the unemployment rate may rise.  AlKhudair points to high rates of young women graduating with university degrees, and predicts that more of them will win jobs in leadership positions.</w:t>
      </w:r>
    </w:p>
    <w:p w14:paraId="587DA034" w14:textId="77777777" w:rsidR="004E2C04" w:rsidRDefault="004E2C04" w:rsidP="00E878BB">
      <w:pPr>
        <w:pStyle w:val="Heading3"/>
        <w:numPr>
          <w:ilvl w:val="2"/>
          <w:numId w:val="31"/>
        </w:numPr>
        <w:rPr>
          <w:lang w:val="en-CA"/>
        </w:rPr>
      </w:pPr>
      <w:bookmarkStart w:id="23" w:name="_Toc399078754"/>
      <w:r>
        <w:rPr>
          <w:lang w:val="en-CA"/>
        </w:rPr>
        <w:t>Access to social services</w:t>
      </w:r>
      <w:bookmarkEnd w:id="23"/>
    </w:p>
    <w:p w14:paraId="6677D6B6" w14:textId="77777777" w:rsidR="00CE1E8C" w:rsidRDefault="000D2F98" w:rsidP="00CE1E8C">
      <w:pPr>
        <w:pStyle w:val="Default"/>
        <w:ind w:right="68"/>
        <w:rPr>
          <w:rFonts w:ascii="Sylfaen" w:hAnsi="Sylfaen"/>
          <w:sz w:val="22"/>
          <w:lang w:val="en-GB"/>
        </w:rPr>
      </w:pPr>
      <w:r w:rsidRPr="000D2F98">
        <w:rPr>
          <w:rFonts w:ascii="Sylfaen" w:hAnsi="Sylfaen"/>
          <w:sz w:val="22"/>
        </w:rPr>
        <w:t xml:space="preserve">The CPD </w:t>
      </w:r>
      <w:r w:rsidR="004D06D9">
        <w:rPr>
          <w:rFonts w:ascii="Sylfaen" w:hAnsi="Sylfaen"/>
          <w:sz w:val="22"/>
        </w:rPr>
        <w:t>provided for an Outcome 1:  “</w:t>
      </w:r>
      <w:r>
        <w:rPr>
          <w:rFonts w:ascii="Sylfaen" w:hAnsi="Sylfaen"/>
          <w:sz w:val="22"/>
        </w:rPr>
        <w:t xml:space="preserve">the </w:t>
      </w:r>
      <w:r w:rsidRPr="000D2F98">
        <w:rPr>
          <w:rFonts w:ascii="Sylfaen" w:hAnsi="Sylfaen"/>
          <w:sz w:val="22"/>
          <w:lang w:val="en-GB"/>
        </w:rPr>
        <w:t>percentage of the poor having sustainable access to social services</w:t>
      </w:r>
      <w:r w:rsidR="004D06D9">
        <w:rPr>
          <w:rFonts w:ascii="Sylfaen" w:hAnsi="Sylfaen"/>
          <w:sz w:val="22"/>
          <w:lang w:val="en-GB"/>
        </w:rPr>
        <w:t>”</w:t>
      </w:r>
      <w:r w:rsidRPr="000D2F98">
        <w:rPr>
          <w:rFonts w:ascii="Sylfaen" w:hAnsi="Sylfaen"/>
          <w:sz w:val="22"/>
          <w:lang w:val="en-GB"/>
        </w:rPr>
        <w:t xml:space="preserve">. </w:t>
      </w:r>
      <w:r w:rsidR="003C79EB">
        <w:rPr>
          <w:rFonts w:ascii="Sylfaen" w:hAnsi="Sylfaen"/>
          <w:sz w:val="22"/>
          <w:lang w:val="en-GB"/>
        </w:rPr>
        <w:t xml:space="preserve">The preceding sub-section 4.1 discussed </w:t>
      </w:r>
      <w:r w:rsidR="00104BAD">
        <w:rPr>
          <w:rFonts w:ascii="Sylfaen" w:hAnsi="Sylfaen"/>
          <w:sz w:val="22"/>
          <w:lang w:val="en-GB"/>
        </w:rPr>
        <w:t>challenges in</w:t>
      </w:r>
      <w:r w:rsidR="005D6C88">
        <w:rPr>
          <w:rFonts w:ascii="Sylfaen" w:hAnsi="Sylfaen"/>
          <w:sz w:val="22"/>
          <w:lang w:val="en-GB"/>
        </w:rPr>
        <w:t xml:space="preserve"> defining this indicator </w:t>
      </w:r>
      <w:r w:rsidR="00104BAD">
        <w:rPr>
          <w:rFonts w:ascii="Sylfaen" w:hAnsi="Sylfaen"/>
          <w:sz w:val="22"/>
          <w:lang w:val="en-GB"/>
        </w:rPr>
        <w:t>in the original CPD, noted by this report</w:t>
      </w:r>
      <w:r w:rsidR="005D6C88">
        <w:rPr>
          <w:rFonts w:ascii="Sylfaen" w:hAnsi="Sylfaen"/>
          <w:sz w:val="22"/>
          <w:lang w:val="en-GB"/>
        </w:rPr>
        <w:t>.</w:t>
      </w:r>
      <w:r w:rsidR="00104BAD">
        <w:rPr>
          <w:rFonts w:ascii="Sylfaen" w:hAnsi="Sylfaen"/>
          <w:sz w:val="22"/>
          <w:lang w:val="en-GB"/>
        </w:rPr>
        <w:t xml:space="preserve"> </w:t>
      </w:r>
      <w:r w:rsidR="005D6C88">
        <w:rPr>
          <w:rFonts w:ascii="Sylfaen" w:hAnsi="Sylfaen"/>
          <w:sz w:val="22"/>
          <w:lang w:val="en-GB"/>
        </w:rPr>
        <w:t xml:space="preserve"> </w:t>
      </w:r>
      <w:r w:rsidR="00104BAD">
        <w:rPr>
          <w:rFonts w:ascii="Sylfaen" w:hAnsi="Sylfaen"/>
          <w:sz w:val="22"/>
          <w:lang w:val="en-GB"/>
        </w:rPr>
        <w:t>Some guidance in meeting this challenge can be found in t</w:t>
      </w:r>
      <w:r w:rsidR="00ED6313">
        <w:rPr>
          <w:rFonts w:ascii="Sylfaen" w:hAnsi="Sylfaen"/>
          <w:sz w:val="22"/>
          <w:lang w:val="en-GB"/>
        </w:rPr>
        <w:t>he UN Common Country Strategic Framework (UNCCSF)</w:t>
      </w:r>
      <w:r w:rsidR="00104BAD">
        <w:rPr>
          <w:rFonts w:ascii="Sylfaen" w:hAnsi="Sylfaen"/>
          <w:sz w:val="22"/>
          <w:lang w:val="en-GB"/>
        </w:rPr>
        <w:t>.  The Framework</w:t>
      </w:r>
      <w:r w:rsidR="00ED6313">
        <w:rPr>
          <w:rFonts w:ascii="Sylfaen" w:hAnsi="Sylfaen"/>
          <w:sz w:val="22"/>
          <w:lang w:val="en-GB"/>
        </w:rPr>
        <w:t xml:space="preserve"> calls for five areas of focus, which include </w:t>
      </w:r>
    </w:p>
    <w:p w14:paraId="1E74EC92" w14:textId="77777777" w:rsidR="00CE1E8C" w:rsidRDefault="00CE1E8C" w:rsidP="00F82BDC">
      <w:pPr>
        <w:pStyle w:val="Default"/>
        <w:numPr>
          <w:ilvl w:val="0"/>
          <w:numId w:val="17"/>
        </w:numPr>
        <w:ind w:right="68"/>
        <w:rPr>
          <w:rFonts w:ascii="Sylfaen" w:hAnsi="Sylfaen"/>
          <w:sz w:val="22"/>
          <w:lang w:val="en-GB"/>
        </w:rPr>
      </w:pPr>
      <w:r>
        <w:rPr>
          <w:rFonts w:ascii="Sylfaen" w:hAnsi="Sylfaen"/>
          <w:sz w:val="22"/>
          <w:lang w:val="en-GB"/>
        </w:rPr>
        <w:t xml:space="preserve">No. 2: </w:t>
      </w:r>
      <w:r w:rsidRPr="00CE1E8C">
        <w:rPr>
          <w:rFonts w:ascii="Sylfaen" w:hAnsi="Sylfaen"/>
          <w:sz w:val="22"/>
          <w:lang w:val="en-GB"/>
        </w:rPr>
        <w:t>Inclusive Growth and Employment:</w:t>
      </w:r>
      <w:r>
        <w:rPr>
          <w:rFonts w:ascii="Sylfaen" w:hAnsi="Sylfaen"/>
          <w:sz w:val="22"/>
          <w:lang w:val="en-GB"/>
        </w:rPr>
        <w:t xml:space="preserve">  </w:t>
      </w:r>
      <w:r w:rsidRPr="00CE1E8C">
        <w:rPr>
          <w:rFonts w:ascii="Sylfaen" w:hAnsi="Sylfaen"/>
          <w:sz w:val="22"/>
          <w:lang w:val="en-GB"/>
        </w:rPr>
        <w:t>Expanding non-oil growth opportunities and addressing those marginalized in the workforce - youth, women and migrant workers</w:t>
      </w:r>
      <w:r>
        <w:rPr>
          <w:rFonts w:ascii="Sylfaen" w:hAnsi="Sylfaen"/>
          <w:sz w:val="22"/>
          <w:lang w:val="en-GB"/>
        </w:rPr>
        <w:t xml:space="preserve">; and </w:t>
      </w:r>
    </w:p>
    <w:p w14:paraId="06A45876" w14:textId="77777777" w:rsidR="000D2F98" w:rsidRDefault="00ED6313" w:rsidP="00F82BDC">
      <w:pPr>
        <w:pStyle w:val="Default"/>
        <w:numPr>
          <w:ilvl w:val="0"/>
          <w:numId w:val="17"/>
        </w:numPr>
        <w:ind w:right="68"/>
        <w:rPr>
          <w:rFonts w:ascii="Sylfaen" w:hAnsi="Sylfaen"/>
          <w:sz w:val="22"/>
          <w:lang w:val="en-GB"/>
        </w:rPr>
      </w:pPr>
      <w:r>
        <w:rPr>
          <w:rFonts w:ascii="Sylfaen" w:hAnsi="Sylfaen"/>
          <w:sz w:val="22"/>
          <w:lang w:val="en-GB"/>
        </w:rPr>
        <w:t>No. 3:</w:t>
      </w:r>
      <w:r w:rsidRPr="00ED6313">
        <w:rPr>
          <w:rFonts w:ascii="Sylfaen" w:hAnsi="Sylfaen"/>
          <w:sz w:val="22"/>
          <w:lang w:val="en-GB"/>
        </w:rPr>
        <w:t xml:space="preserve"> </w:t>
      </w:r>
      <w:r w:rsidR="00104BAD" w:rsidRPr="00104BAD">
        <w:rPr>
          <w:rFonts w:ascii="Sylfaen" w:hAnsi="Sylfaen"/>
          <w:sz w:val="22"/>
          <w:lang w:val="en-GB"/>
        </w:rPr>
        <w:t>Social Protection and Services:</w:t>
      </w:r>
      <w:r w:rsidR="00104BAD">
        <w:rPr>
          <w:rFonts w:ascii="Sylfaen" w:hAnsi="Sylfaen"/>
          <w:sz w:val="22"/>
          <w:lang w:val="en-GB"/>
        </w:rPr>
        <w:t xml:space="preserve">  </w:t>
      </w:r>
      <w:r w:rsidRPr="00ED6313">
        <w:rPr>
          <w:rFonts w:ascii="Sylfaen" w:hAnsi="Sylfaen"/>
          <w:sz w:val="22"/>
          <w:lang w:val="en-GB"/>
        </w:rPr>
        <w:t>Enhanc</w:t>
      </w:r>
      <w:r>
        <w:rPr>
          <w:rFonts w:ascii="Sylfaen" w:hAnsi="Sylfaen"/>
          <w:sz w:val="22"/>
          <w:lang w:val="en-GB"/>
        </w:rPr>
        <w:t>ed quality of education, health and</w:t>
      </w:r>
      <w:r w:rsidRPr="00ED6313">
        <w:rPr>
          <w:rFonts w:ascii="Sylfaen" w:hAnsi="Sylfaen"/>
          <w:sz w:val="22"/>
          <w:lang w:val="en-GB"/>
        </w:rPr>
        <w:t xml:space="preserve"> social services</w:t>
      </w:r>
      <w:r w:rsidR="00104BAD">
        <w:rPr>
          <w:rFonts w:ascii="Sylfaen" w:hAnsi="Sylfaen"/>
          <w:sz w:val="22"/>
          <w:lang w:val="en-GB"/>
        </w:rPr>
        <w:t xml:space="preserve"> </w:t>
      </w:r>
      <w:r w:rsidR="00104BAD">
        <w:rPr>
          <w:rFonts w:ascii="Sylfaen" w:hAnsi="Sylfaen"/>
          <w:sz w:val="22"/>
          <w:lang w:val="en-GB"/>
        </w:rPr>
        <w:fldChar w:fldCharType="begin"/>
      </w:r>
      <w:r w:rsidR="00104BAD">
        <w:rPr>
          <w:rFonts w:ascii="Sylfaen" w:hAnsi="Sylfaen"/>
          <w:sz w:val="22"/>
          <w:lang w:val="en-GB"/>
        </w:rPr>
        <w:instrText xml:space="preserve"> ADDIN EN.CITE &lt;EndNote&gt;&lt;Cite&gt;&lt;Author&gt;UNDP-KSA&lt;/Author&gt;&lt;Year&gt;2012&lt;/Year&gt;&lt;RecNum&gt;248&lt;/RecNum&gt;&lt;Suffix&gt;`, p. 3&lt;/Suffix&gt;&lt;DisplayText&gt;(UNDP-KSA 2012, p. 3)&lt;/DisplayText&gt;&lt;record&gt;&lt;rec-number&gt;248&lt;/rec-number&gt;&lt;foreign-keys&gt;&lt;key app="EN" db-id="5a0wsfarrxszvze9rr65r5a3vr95ffwx90f9" timestamp="1406157235"&gt;248&lt;/key&gt;&lt;/foreign-keys&gt;&lt;ref-type name="Report"&gt;27&lt;/ref-type&gt;&lt;contributors&gt;&lt;authors&gt;&lt;author&gt;UNDP-KSA&lt;/author&gt;&lt;/authors&gt;&lt;/contributors&gt;&lt;titles&gt;&lt;title&gt;United Nations Common Country Strategic Framework (UNCCSF) Kingdom of Saudi Arabia 2012-2016&lt;/title&gt;&lt;/titles&gt;&lt;dates&gt;&lt;year&gt;2012&lt;/year&gt;&lt;/dates&gt;&lt;pub-location&gt;Riyadh&lt;/pub-location&gt;&lt;publisher&gt;UNDG&lt;/publisher&gt;&lt;urls&gt;&lt;related-urls&gt;&lt;url&gt;http://www.undg.org/docs/12689/Saudia-Arabia---CCSF.pdf&lt;/url&gt;&lt;/related-urls&gt;&lt;/urls&gt;&lt;research-notes&gt;has 35 pp; remove from ref format&amp;#xD;&lt;/research-notes&gt;&lt;/record&gt;&lt;/Cite&gt;&lt;/EndNote&gt;</w:instrText>
      </w:r>
      <w:r w:rsidR="00104BAD">
        <w:rPr>
          <w:rFonts w:ascii="Sylfaen" w:hAnsi="Sylfaen"/>
          <w:sz w:val="22"/>
          <w:lang w:val="en-GB"/>
        </w:rPr>
        <w:fldChar w:fldCharType="separate"/>
      </w:r>
      <w:r w:rsidR="00104BAD">
        <w:rPr>
          <w:rFonts w:ascii="Sylfaen" w:hAnsi="Sylfaen"/>
          <w:noProof/>
          <w:sz w:val="22"/>
          <w:lang w:val="en-GB"/>
        </w:rPr>
        <w:t>(</w:t>
      </w:r>
      <w:hyperlink w:anchor="_ENREF_17" w:tooltip="UNDP-KSA, 2012 #248" w:history="1">
        <w:r w:rsidR="00EB16D2">
          <w:rPr>
            <w:rFonts w:ascii="Sylfaen" w:hAnsi="Sylfaen"/>
            <w:noProof/>
            <w:sz w:val="22"/>
            <w:lang w:val="en-GB"/>
          </w:rPr>
          <w:t>UNDP-KSA 2012, p. 3</w:t>
        </w:r>
      </w:hyperlink>
      <w:r w:rsidR="00104BAD">
        <w:rPr>
          <w:rFonts w:ascii="Sylfaen" w:hAnsi="Sylfaen"/>
          <w:noProof/>
          <w:sz w:val="22"/>
          <w:lang w:val="en-GB"/>
        </w:rPr>
        <w:t>)</w:t>
      </w:r>
      <w:r w:rsidR="00104BAD">
        <w:rPr>
          <w:rFonts w:ascii="Sylfaen" w:hAnsi="Sylfaen"/>
          <w:sz w:val="22"/>
          <w:lang w:val="en-GB"/>
        </w:rPr>
        <w:fldChar w:fldCharType="end"/>
      </w:r>
      <w:r w:rsidR="00CE1E8C">
        <w:rPr>
          <w:rFonts w:ascii="Sylfaen" w:hAnsi="Sylfaen"/>
          <w:sz w:val="22"/>
          <w:lang w:val="en-GB"/>
        </w:rPr>
        <w:t>.</w:t>
      </w:r>
    </w:p>
    <w:p w14:paraId="69E25BEA" w14:textId="77777777" w:rsidR="00CE1E8C" w:rsidRDefault="00BF12FB" w:rsidP="0099175C">
      <w:pPr>
        <w:pStyle w:val="Default"/>
        <w:spacing w:before="120" w:after="120"/>
        <w:ind w:right="68"/>
        <w:rPr>
          <w:rFonts w:ascii="Sylfaen" w:hAnsi="Sylfaen"/>
          <w:sz w:val="22"/>
          <w:lang w:val="en-GB"/>
        </w:rPr>
      </w:pPr>
      <w:r>
        <w:rPr>
          <w:rFonts w:ascii="Sylfaen" w:hAnsi="Sylfaen"/>
          <w:sz w:val="22"/>
          <w:lang w:val="en-GB"/>
        </w:rPr>
        <w:t xml:space="preserve">These areas of focus are further developed as key Results.  In the area of social protection and services, the Framework </w:t>
      </w:r>
      <w:r w:rsidR="00E60D19">
        <w:rPr>
          <w:rFonts w:ascii="Sylfaen" w:hAnsi="Sylfaen"/>
          <w:sz w:val="22"/>
          <w:lang w:val="en-GB"/>
        </w:rPr>
        <w:t>indicates</w:t>
      </w:r>
      <w:r>
        <w:rPr>
          <w:rFonts w:ascii="Sylfaen" w:hAnsi="Sylfaen"/>
          <w:sz w:val="22"/>
          <w:lang w:val="en-GB"/>
        </w:rPr>
        <w:t xml:space="preserve"> that </w:t>
      </w:r>
      <w:r w:rsidR="00E60D19">
        <w:rPr>
          <w:rFonts w:ascii="Sylfaen" w:hAnsi="Sylfaen"/>
          <w:sz w:val="22"/>
          <w:lang w:val="en-GB"/>
        </w:rPr>
        <w:t xml:space="preserve">with the cooperative efforts of the UN Country Team and the government </w:t>
      </w:r>
      <w:r>
        <w:rPr>
          <w:rFonts w:ascii="Sylfaen" w:hAnsi="Sylfaen"/>
          <w:sz w:val="22"/>
          <w:lang w:val="en-GB"/>
        </w:rPr>
        <w:t xml:space="preserve">over the course of </w:t>
      </w:r>
      <w:r w:rsidR="00E60D19">
        <w:rPr>
          <w:rFonts w:ascii="Sylfaen" w:hAnsi="Sylfaen"/>
          <w:sz w:val="22"/>
          <w:lang w:val="en-GB"/>
        </w:rPr>
        <w:t>the UNCCSF</w:t>
      </w:r>
      <w:r>
        <w:rPr>
          <w:rFonts w:ascii="Sylfaen" w:hAnsi="Sylfaen"/>
          <w:sz w:val="22"/>
          <w:lang w:val="en-GB"/>
        </w:rPr>
        <w:t xml:space="preserve"> term</w:t>
      </w:r>
      <w:r w:rsidR="00E60D19">
        <w:rPr>
          <w:rFonts w:ascii="Sylfaen" w:hAnsi="Sylfaen"/>
          <w:sz w:val="22"/>
          <w:lang w:val="en-GB"/>
        </w:rPr>
        <w:t>, the Kingdom</w:t>
      </w:r>
      <w:r w:rsidR="00E60D19" w:rsidRPr="00BF12FB">
        <w:rPr>
          <w:rFonts w:ascii="Sylfaen" w:hAnsi="Sylfaen"/>
          <w:sz w:val="22"/>
          <w:lang w:val="en-GB"/>
        </w:rPr>
        <w:t xml:space="preserve"> </w:t>
      </w:r>
      <w:r>
        <w:rPr>
          <w:rFonts w:ascii="Sylfaen" w:hAnsi="Sylfaen"/>
          <w:sz w:val="22"/>
          <w:lang w:val="en-GB"/>
        </w:rPr>
        <w:t>will have</w:t>
      </w:r>
      <w:r w:rsidRPr="00BF12FB">
        <w:rPr>
          <w:rFonts w:ascii="Sylfaen" w:hAnsi="Sylfaen"/>
          <w:sz w:val="22"/>
          <w:lang w:val="en-GB"/>
        </w:rPr>
        <w:t xml:space="preserve"> institutionalised improved social protection and poverty alleviation mechanisms for vulnerable people at n</w:t>
      </w:r>
      <w:r w:rsidR="00E60D19">
        <w:rPr>
          <w:rFonts w:ascii="Sylfaen" w:hAnsi="Sylfaen"/>
          <w:sz w:val="22"/>
          <w:lang w:val="en-GB"/>
        </w:rPr>
        <w:t>ational and sub-national levels.  As well,</w:t>
      </w:r>
      <w:r>
        <w:rPr>
          <w:rFonts w:ascii="Sylfaen" w:hAnsi="Sylfaen"/>
          <w:sz w:val="22"/>
          <w:lang w:val="en-GB"/>
        </w:rPr>
        <w:t xml:space="preserve"> the </w:t>
      </w:r>
      <w:r w:rsidR="00E60D19">
        <w:rPr>
          <w:rFonts w:ascii="Sylfaen" w:hAnsi="Sylfaen"/>
          <w:sz w:val="22"/>
          <w:lang w:val="en-GB"/>
        </w:rPr>
        <w:t>Kingdom</w:t>
      </w:r>
      <w:r>
        <w:rPr>
          <w:rFonts w:ascii="Sylfaen" w:hAnsi="Sylfaen"/>
          <w:sz w:val="22"/>
          <w:lang w:val="en-GB"/>
        </w:rPr>
        <w:t xml:space="preserve"> will be</w:t>
      </w:r>
      <w:r w:rsidRPr="00BF12FB">
        <w:rPr>
          <w:rFonts w:ascii="Sylfaen" w:hAnsi="Sylfaen"/>
          <w:sz w:val="22"/>
          <w:lang w:val="en-GB"/>
        </w:rPr>
        <w:t xml:space="preserve"> providing equitable delivery of quality social services for all people.</w:t>
      </w:r>
      <w:r w:rsidR="00372663">
        <w:rPr>
          <w:rFonts w:ascii="Sylfaen" w:hAnsi="Sylfaen"/>
          <w:sz w:val="22"/>
          <w:lang w:val="en-GB"/>
        </w:rPr>
        <w:t xml:space="preserve">  The lead agency under Result 2 is UNDP, while p</w:t>
      </w:r>
      <w:r w:rsidR="00372663" w:rsidRPr="00372663">
        <w:rPr>
          <w:rFonts w:ascii="Sylfaen" w:hAnsi="Sylfaen"/>
          <w:sz w:val="22"/>
          <w:lang w:val="en-GB"/>
        </w:rPr>
        <w:t>artner agencies are expected to include UNDESA, UNWTO, WTO, UNCTAD, ILO and ITU.</w:t>
      </w:r>
      <w:r w:rsidR="00372663">
        <w:rPr>
          <w:rFonts w:ascii="Sylfaen" w:hAnsi="Sylfaen"/>
          <w:sz w:val="22"/>
          <w:lang w:val="en-GB"/>
        </w:rPr>
        <w:t xml:space="preserve">  The key UNCT partners under Result 3 are UNICEF and WHO.  This is therefore not an area in which UNDP plays the lead role within the Country Team.  </w:t>
      </w:r>
    </w:p>
    <w:p w14:paraId="2BED10ED" w14:textId="77777777" w:rsidR="00372663" w:rsidRDefault="0099175C" w:rsidP="0099175C">
      <w:pPr>
        <w:pStyle w:val="Default"/>
        <w:spacing w:before="120" w:after="120"/>
        <w:ind w:right="68"/>
        <w:rPr>
          <w:rFonts w:ascii="Sylfaen" w:hAnsi="Sylfaen"/>
          <w:sz w:val="22"/>
          <w:lang w:val="en-GB"/>
        </w:rPr>
      </w:pPr>
      <w:r>
        <w:rPr>
          <w:rFonts w:ascii="Sylfaen" w:hAnsi="Sylfaen"/>
          <w:sz w:val="22"/>
          <w:lang w:val="en-GB"/>
        </w:rPr>
        <w:t>Certain indicators are suggested by the Framework to mo</w:t>
      </w:r>
      <w:r w:rsidR="008C1AB9">
        <w:rPr>
          <w:rFonts w:ascii="Sylfaen" w:hAnsi="Sylfaen"/>
          <w:sz w:val="22"/>
          <w:lang w:val="en-GB"/>
        </w:rPr>
        <w:t xml:space="preserve">nitor access to social services: </w:t>
      </w:r>
      <w:r>
        <w:rPr>
          <w:rFonts w:ascii="Sylfaen" w:hAnsi="Sylfaen"/>
          <w:sz w:val="22"/>
          <w:lang w:val="en-GB"/>
        </w:rPr>
        <w:t xml:space="preserve"> the financing of an</w:t>
      </w:r>
      <w:r w:rsidRPr="0099175C">
        <w:rPr>
          <w:rFonts w:ascii="Sylfaen" w:hAnsi="Sylfaen"/>
          <w:sz w:val="22"/>
          <w:lang w:val="en-GB"/>
        </w:rPr>
        <w:t xml:space="preserve"> equitable, effective health and population system</w:t>
      </w:r>
      <w:r>
        <w:rPr>
          <w:rFonts w:ascii="Sylfaen" w:hAnsi="Sylfaen"/>
          <w:sz w:val="22"/>
          <w:lang w:val="en-GB"/>
        </w:rPr>
        <w:t>, strengthening government capacity to deliver health services, and raising awareness among young women and men on healthy lifestyles (UNDP-KSA 2012, p. 32 ff.).  Operational, SMART indicators can certainly be derived from these Output statements; however, in general they fall more comfortably under the rubric of other agencies, such as UNICEF and WHO, where projects specifically addressed to social services are housed.</w:t>
      </w:r>
    </w:p>
    <w:p w14:paraId="40AF23AC" w14:textId="77777777" w:rsidR="006C6485" w:rsidRDefault="0099175C" w:rsidP="0099175C">
      <w:pPr>
        <w:pStyle w:val="Default"/>
        <w:spacing w:before="120" w:after="120"/>
        <w:ind w:right="68"/>
        <w:rPr>
          <w:rFonts w:ascii="Sylfaen" w:hAnsi="Sylfaen"/>
          <w:sz w:val="22"/>
          <w:lang w:val="en-GB"/>
        </w:rPr>
      </w:pPr>
      <w:r>
        <w:rPr>
          <w:rFonts w:ascii="Sylfaen" w:hAnsi="Sylfaen"/>
          <w:sz w:val="22"/>
          <w:lang w:val="en-GB"/>
        </w:rPr>
        <w:t>It is suggested that the CPD indicator</w:t>
      </w:r>
      <w:r>
        <w:rPr>
          <w:rFonts w:ascii="Sylfaen" w:hAnsi="Sylfaen"/>
          <w:sz w:val="22"/>
        </w:rPr>
        <w:t xml:space="preserve"> “the </w:t>
      </w:r>
      <w:r w:rsidRPr="000D2F98">
        <w:rPr>
          <w:rFonts w:ascii="Sylfaen" w:hAnsi="Sylfaen"/>
          <w:sz w:val="22"/>
          <w:lang w:val="en-GB"/>
        </w:rPr>
        <w:t>percentage of the poor having sustainable access to social services</w:t>
      </w:r>
      <w:r>
        <w:rPr>
          <w:rFonts w:ascii="Sylfaen" w:hAnsi="Sylfaen"/>
          <w:sz w:val="22"/>
          <w:lang w:val="en-GB"/>
        </w:rPr>
        <w:t xml:space="preserve">” be dropped as such, and that other indicators as proposed in this report (such as additional employment and CSO capacity development indicators) take its place.  In this way the emphasis within the CPD on institutional capacity development, specifically to assist charitable and social societies, can be highlighted.  The inclusion of indicators focusing on capacity development and CSOs aligns well with the strengths of UNDP and with its role within the Common Country Strategic Framework.  </w:t>
      </w:r>
    </w:p>
    <w:p w14:paraId="19F85394" w14:textId="77777777" w:rsidR="0099175C" w:rsidRPr="0099175C" w:rsidRDefault="0099175C" w:rsidP="0099175C">
      <w:pPr>
        <w:pStyle w:val="Default"/>
        <w:spacing w:before="120" w:after="120"/>
        <w:ind w:right="68"/>
        <w:rPr>
          <w:rFonts w:ascii="Sylfaen" w:hAnsi="Sylfaen"/>
          <w:sz w:val="22"/>
          <w:lang w:val="en-GB"/>
        </w:rPr>
      </w:pPr>
      <w:r>
        <w:rPr>
          <w:rFonts w:ascii="Sylfaen" w:hAnsi="Sylfaen"/>
          <w:sz w:val="22"/>
          <w:lang w:val="en-GB"/>
        </w:rPr>
        <w:t xml:space="preserve">Particular areas of UNDP support to capacity development and inclusion are also discussed in the following sub-section concerning women’s empowerment – and are further addressed in </w:t>
      </w:r>
      <w:r w:rsidR="001E0FD7">
        <w:rPr>
          <w:rFonts w:ascii="Sylfaen" w:hAnsi="Sylfaen"/>
          <w:sz w:val="22"/>
          <w:lang w:val="en-GB"/>
        </w:rPr>
        <w:t>Chapter</w:t>
      </w:r>
      <w:r>
        <w:rPr>
          <w:rFonts w:ascii="Sylfaen" w:hAnsi="Sylfaen"/>
          <w:sz w:val="22"/>
          <w:lang w:val="en-GB"/>
        </w:rPr>
        <w:t xml:space="preserve"> 5, UNDP contributions to the Outcome.</w:t>
      </w:r>
    </w:p>
    <w:p w14:paraId="66AB234A" w14:textId="77777777" w:rsidR="004E2C04" w:rsidRDefault="0099175C" w:rsidP="00E878BB">
      <w:pPr>
        <w:pStyle w:val="Heading3"/>
        <w:numPr>
          <w:ilvl w:val="2"/>
          <w:numId w:val="31"/>
        </w:numPr>
        <w:rPr>
          <w:lang w:val="en-CA"/>
        </w:rPr>
      </w:pPr>
      <w:bookmarkStart w:id="24" w:name="_Toc399078755"/>
      <w:r>
        <w:rPr>
          <w:lang w:val="en-CA"/>
        </w:rPr>
        <w:t>Capacities to support CSOs and p</w:t>
      </w:r>
      <w:r w:rsidR="004E2C04">
        <w:rPr>
          <w:lang w:val="en-CA"/>
        </w:rPr>
        <w:t>olicies to support women’s empowerment</w:t>
      </w:r>
      <w:bookmarkEnd w:id="24"/>
      <w:r w:rsidR="004E2C04">
        <w:rPr>
          <w:lang w:val="en-CA"/>
        </w:rPr>
        <w:t xml:space="preserve"> </w:t>
      </w:r>
    </w:p>
    <w:p w14:paraId="4E75B582" w14:textId="77777777" w:rsidR="00F81700" w:rsidRPr="00F81700" w:rsidRDefault="00F81700" w:rsidP="00F81700">
      <w:pPr>
        <w:autoSpaceDE w:val="0"/>
        <w:autoSpaceDN w:val="0"/>
        <w:adjustRightInd w:val="0"/>
        <w:ind w:right="0"/>
        <w:rPr>
          <w:lang w:val="en-CA"/>
        </w:rPr>
      </w:pPr>
      <w:r>
        <w:rPr>
          <w:lang w:val="en-CA"/>
        </w:rPr>
        <w:t xml:space="preserve">In the current CPD period several policy changes have been made indicating </w:t>
      </w:r>
      <w:r w:rsidRPr="00F81700">
        <w:rPr>
          <w:lang w:val="en-CA"/>
        </w:rPr>
        <w:t xml:space="preserve">a trend toward women's empowerment that </w:t>
      </w:r>
      <w:r w:rsidR="00D81FEF">
        <w:rPr>
          <w:lang w:val="en-CA"/>
        </w:rPr>
        <w:t>has benefited by</w:t>
      </w:r>
      <w:r w:rsidRPr="00F81700">
        <w:rPr>
          <w:lang w:val="en-CA"/>
        </w:rPr>
        <w:t xml:space="preserve"> </w:t>
      </w:r>
      <w:r>
        <w:rPr>
          <w:lang w:val="en-CA"/>
        </w:rPr>
        <w:t xml:space="preserve">the </w:t>
      </w:r>
      <w:r w:rsidRPr="00F81700">
        <w:rPr>
          <w:lang w:val="en-CA"/>
        </w:rPr>
        <w:t>King</w:t>
      </w:r>
      <w:r w:rsidR="00D81FEF">
        <w:rPr>
          <w:lang w:val="en-CA"/>
        </w:rPr>
        <w:t>’s leadership</w:t>
      </w:r>
      <w:r w:rsidRPr="00F81700">
        <w:rPr>
          <w:lang w:val="en-CA"/>
        </w:rPr>
        <w:t>.</w:t>
      </w:r>
      <w:r>
        <w:rPr>
          <w:lang w:val="en-CA"/>
        </w:rPr>
        <w:t xml:space="preserve">  An anchor in these changes was </w:t>
      </w:r>
      <w:r w:rsidRPr="00F81700">
        <w:rPr>
          <w:lang w:val="en-CA"/>
        </w:rPr>
        <w:t>Decree No. 62</w:t>
      </w:r>
      <w:r>
        <w:rPr>
          <w:lang w:val="en-CA"/>
        </w:rPr>
        <w:t xml:space="preserve"> of </w:t>
      </w:r>
      <w:r w:rsidRPr="00F81700">
        <w:rPr>
          <w:lang w:val="en-CA"/>
        </w:rPr>
        <w:t>the Council of Ministers</w:t>
      </w:r>
      <w:r>
        <w:rPr>
          <w:lang w:val="en-CA"/>
        </w:rPr>
        <w:t xml:space="preserve"> which</w:t>
      </w:r>
      <w:r w:rsidRPr="00F81700">
        <w:rPr>
          <w:lang w:val="en-CA"/>
        </w:rPr>
        <w:t xml:space="preserve"> provide</w:t>
      </w:r>
      <w:r>
        <w:rPr>
          <w:lang w:val="en-CA"/>
        </w:rPr>
        <w:t>s</w:t>
      </w:r>
      <w:r w:rsidRPr="00F81700">
        <w:rPr>
          <w:lang w:val="en-CA"/>
        </w:rPr>
        <w:t xml:space="preserve"> formal procedures for regulating female employment in the government and private sectors</w:t>
      </w:r>
      <w:r>
        <w:rPr>
          <w:lang w:val="en-CA"/>
        </w:rPr>
        <w:t>.  T</w:t>
      </w:r>
      <w:r w:rsidRPr="00F81700">
        <w:rPr>
          <w:lang w:val="en-CA"/>
        </w:rPr>
        <w:t>his includes establishing a permanent high commission for women's affairs</w:t>
      </w:r>
      <w:r>
        <w:rPr>
          <w:lang w:val="en-CA"/>
        </w:rPr>
        <w:t>.  The Decree calls</w:t>
      </w:r>
      <w:r w:rsidRPr="00F81700">
        <w:rPr>
          <w:lang w:val="en-CA"/>
        </w:rPr>
        <w:t xml:space="preserve"> for official actions to promote female employment and help women achieve equal rights and opportunities. </w:t>
      </w:r>
      <w:r>
        <w:rPr>
          <w:lang w:val="en-CA"/>
        </w:rPr>
        <w:t xml:space="preserve"> In the aftermath of the Decree, the country has seen</w:t>
      </w:r>
      <w:r w:rsidRPr="00F81700">
        <w:rPr>
          <w:lang w:val="en-CA"/>
        </w:rPr>
        <w:t xml:space="preserve"> rising number</w:t>
      </w:r>
      <w:r>
        <w:rPr>
          <w:lang w:val="en-CA"/>
        </w:rPr>
        <w:t>s</w:t>
      </w:r>
      <w:r w:rsidRPr="00F81700">
        <w:rPr>
          <w:lang w:val="en-CA"/>
        </w:rPr>
        <w:t xml:space="preserve"> of women in business and the workplace, </w:t>
      </w:r>
      <w:r>
        <w:rPr>
          <w:lang w:val="en-CA"/>
        </w:rPr>
        <w:t xml:space="preserve">and observers have noted </w:t>
      </w:r>
      <w:r w:rsidRPr="00F81700">
        <w:rPr>
          <w:lang w:val="en-CA"/>
        </w:rPr>
        <w:t>their strong academic achi</w:t>
      </w:r>
      <w:r>
        <w:rPr>
          <w:lang w:val="en-CA"/>
        </w:rPr>
        <w:t>evement and high levels of enro</w:t>
      </w:r>
      <w:r w:rsidRPr="00F81700">
        <w:rPr>
          <w:lang w:val="en-CA"/>
        </w:rPr>
        <w:t>lment in hi</w:t>
      </w:r>
      <w:r>
        <w:rPr>
          <w:lang w:val="en-CA"/>
        </w:rPr>
        <w:t xml:space="preserve">gher education </w:t>
      </w:r>
      <w:r>
        <w:rPr>
          <w:lang w:val="en-CA"/>
        </w:rPr>
        <w:fldChar w:fldCharType="begin"/>
      </w:r>
      <w:r>
        <w:rPr>
          <w:lang w:val="en-CA"/>
        </w:rPr>
        <w:instrText xml:space="preserve"> ADDIN EN.CITE &lt;EndNote&gt;&lt;Cite&gt;&lt;Author&gt;DeLong-Bas&lt;/Author&gt;&lt;Year&gt;2011&lt;/Year&gt;&lt;RecNum&gt;245&lt;/RecNum&gt;&lt;DisplayText&gt;(DeLong-Bas 2011)&lt;/DisplayText&gt;&lt;record&gt;&lt;rec-number&gt;245&lt;/rec-number&gt;&lt;foreign-keys&gt;&lt;key app="EN" db-id="5a0wsfarrxszvze9rr65r5a3vr95ffwx90f9" timestamp="1405203241"&gt;245&lt;/key&gt;&lt;/foreign-keys&gt;&lt;ref-type name="Electronic Article"&gt;43&lt;/ref-type&gt;&lt;contributors&gt;&lt;authors&gt;&lt;author&gt;Natana J. DeLong-Bas&lt;/author&gt;&lt;/authors&gt;&lt;/contributors&gt;&lt;titles&gt;&lt;title&gt;Saudi Arabia: Challenges for the 21st Century&lt;/title&gt;&lt;/titles&gt;&lt;dates&gt;&lt;year&gt;2011&lt;/year&gt;&lt;/dates&gt;&lt;publisher&gt;Oxford Islamic Studies Online&lt;/publisher&gt;&lt;urls&gt;&lt;related-urls&gt;&lt;url&gt;http://www.oxfordislamicstudies.com/Public/focus/essay1009_saudi_arabia.html&lt;/url&gt;&lt;/related-urls&gt;&lt;/urls&gt;&lt;research-notes&gt;see also http://www.oxfordislamicstudies.com/Public/focus/essay1107_women.html Women, Islam, and the Twenty-first Century, c 2007, same author&lt;/research-notes&gt;&lt;/record&gt;&lt;/Cite&gt;&lt;/EndNote&gt;</w:instrText>
      </w:r>
      <w:r>
        <w:rPr>
          <w:lang w:val="en-CA"/>
        </w:rPr>
        <w:fldChar w:fldCharType="separate"/>
      </w:r>
      <w:r>
        <w:rPr>
          <w:noProof/>
          <w:lang w:val="en-CA"/>
        </w:rPr>
        <w:t>(</w:t>
      </w:r>
      <w:hyperlink w:anchor="_ENREF_6" w:tooltip="DeLong-Bas, 2011 #245" w:history="1">
        <w:r w:rsidR="00EB16D2">
          <w:rPr>
            <w:noProof/>
            <w:lang w:val="en-CA"/>
          </w:rPr>
          <w:t>DeLong-Bas 2011</w:t>
        </w:r>
      </w:hyperlink>
      <w:r>
        <w:rPr>
          <w:noProof/>
          <w:lang w:val="en-CA"/>
        </w:rPr>
        <w:t>)</w:t>
      </w:r>
      <w:r>
        <w:rPr>
          <w:lang w:val="en-CA"/>
        </w:rPr>
        <w:fldChar w:fldCharType="end"/>
      </w:r>
      <w:r>
        <w:rPr>
          <w:lang w:val="en-CA"/>
        </w:rPr>
        <w:t>.</w:t>
      </w:r>
    </w:p>
    <w:p w14:paraId="14C11E16" w14:textId="77777777" w:rsidR="00A30B78" w:rsidRDefault="00A30B78" w:rsidP="00A30B78">
      <w:pPr>
        <w:ind w:right="-23"/>
        <w:rPr>
          <w:lang w:val="en-CA"/>
        </w:rPr>
      </w:pPr>
      <w:r>
        <w:rPr>
          <w:lang w:val="en-CA"/>
        </w:rPr>
        <w:t xml:space="preserve">The employment specialist mentioned in the foregoing section pointed </w:t>
      </w:r>
      <w:r w:rsidR="00F81700">
        <w:rPr>
          <w:lang w:val="en-CA"/>
        </w:rPr>
        <w:t xml:space="preserve">to these </w:t>
      </w:r>
      <w:r>
        <w:rPr>
          <w:lang w:val="en-CA"/>
        </w:rPr>
        <w:t>government policies that are supportive of women’s employment.  “</w:t>
      </w:r>
      <w:r w:rsidRPr="00A30B78">
        <w:rPr>
          <w:lang w:val="en-CA"/>
        </w:rPr>
        <w:t>With new laws in place to encourage equal opportunities for women in the labo</w:t>
      </w:r>
      <w:r>
        <w:rPr>
          <w:lang w:val="en-CA"/>
        </w:rPr>
        <w:t>u</w:t>
      </w:r>
      <w:r w:rsidRPr="00A30B78">
        <w:rPr>
          <w:lang w:val="en-CA"/>
        </w:rPr>
        <w:t>r market, the future is bright."</w:t>
      </w:r>
      <w:r>
        <w:rPr>
          <w:lang w:val="en-CA"/>
        </w:rPr>
        <w:t xml:space="preserve"> (AlKhudair, in Curley 2013).  </w:t>
      </w:r>
      <w:r w:rsidR="0049362B">
        <w:rPr>
          <w:lang w:val="en-CA"/>
        </w:rPr>
        <w:t xml:space="preserve">Restrictions on women’s employment have been lifted in areas of commerce such as women’s clothing and some furniture retailers.  In 2014, after the lifting of a ban that prevented women law graduates from practising, the first female-run law firm opened.  </w:t>
      </w:r>
    </w:p>
    <w:p w14:paraId="4FABEE02" w14:textId="77777777" w:rsidR="0049362B" w:rsidRDefault="0049362B" w:rsidP="0049362B">
      <w:pPr>
        <w:autoSpaceDE w:val="0"/>
        <w:autoSpaceDN w:val="0"/>
        <w:adjustRightInd w:val="0"/>
        <w:spacing w:before="0" w:after="0"/>
        <w:ind w:right="0"/>
        <w:rPr>
          <w:lang w:val="en-CA"/>
        </w:rPr>
      </w:pPr>
      <w:r>
        <w:rPr>
          <w:lang w:val="en-CA"/>
        </w:rPr>
        <w:t xml:space="preserve">Other laws are expanding the sphere of women’s rights and participation.  In 2013, 30 women were appointed to the Shura Council.  Women have gained the right to vote and to stand for municipal election, and the first candidates will stand in local voting in 2015.  From 2020 </w:t>
      </w:r>
      <w:r w:rsidRPr="0049362B">
        <w:rPr>
          <w:lang w:val="en-CA"/>
        </w:rPr>
        <w:t>identity cards will be mandatory rather than optional for women, who until 2001 were required simply to be listed on their male guardian’s card.</w:t>
      </w:r>
      <w:r>
        <w:rPr>
          <w:lang w:val="en-CA"/>
        </w:rPr>
        <w:t xml:space="preserve">  New laws have</w:t>
      </w:r>
      <w:r w:rsidR="00F81700">
        <w:rPr>
          <w:lang w:val="en-CA"/>
        </w:rPr>
        <w:t xml:space="preserve"> criminalised domestic violence </w:t>
      </w:r>
      <w:r w:rsidR="00F81700">
        <w:rPr>
          <w:lang w:val="en-CA"/>
        </w:rPr>
        <w:fldChar w:fldCharType="begin"/>
      </w:r>
      <w:r w:rsidR="006D7727">
        <w:rPr>
          <w:lang w:val="en-CA"/>
        </w:rPr>
        <w:instrText xml:space="preserve"> ADDIN EN.CITE &lt;EndNote&gt;&lt;Cite&gt;&lt;Author&gt;Economist&lt;/Author&gt;&lt;Year&gt;2014&lt;/Year&gt;&lt;RecNum&gt;243&lt;/RecNum&gt;&lt;DisplayText&gt;(Economist 2014)&lt;/DisplayText&gt;&lt;record&gt;&lt;rec-number&gt;243&lt;/rec-number&gt;&lt;foreign-keys&gt;&lt;key app="EN" db-id="5a0wsfarrxszvze9rr65r5a3vr95ffwx90f9" timestamp="1405129185"&gt;243&lt;/key&gt;&lt;/foreign-keys&gt;&lt;ref-type name="Magazine Article"&gt;19&lt;/ref-type&gt;&lt;contributors&gt;&lt;authors&gt;&lt;author&gt;Economist&lt;/author&gt;&lt;/authors&gt;&lt;/contributors&gt;&lt;titles&gt;&lt;title&gt;Women in Saudi Arabia Unshackling themselves:  Saudi women are gaining ground, slowly&lt;/title&gt;&lt;secondary-title&gt;The Economist&lt;/secondary-title&gt;&lt;/titles&gt;&lt;dates&gt;&lt;year&gt;2014&lt;/year&gt;&lt;pub-dates&gt;&lt;date&gt;17 May 2014&lt;/date&gt;&lt;/pub-dates&gt;&lt;/dates&gt;&lt;pub-location&gt;London&lt;/pub-location&gt;&lt;urls&gt;&lt;related-urls&gt;&lt;url&gt;http://www.economist.com/news/middle-east-and-africa/21602249-saudi-women-are-gaining-ground-slowly-unshackling-themselves&lt;/url&gt;&lt;/related-urls&gt;&lt;/urls&gt;&lt;/record&gt;&lt;/Cite&gt;&lt;/EndNote&gt;</w:instrText>
      </w:r>
      <w:r w:rsidR="00F81700">
        <w:rPr>
          <w:lang w:val="en-CA"/>
        </w:rPr>
        <w:fldChar w:fldCharType="separate"/>
      </w:r>
      <w:r w:rsidR="00F81700">
        <w:rPr>
          <w:noProof/>
          <w:lang w:val="en-CA"/>
        </w:rPr>
        <w:t>(</w:t>
      </w:r>
      <w:hyperlink w:anchor="_ENREF_7" w:tooltip="Economist, 2014 #243" w:history="1">
        <w:r w:rsidR="00EB16D2">
          <w:rPr>
            <w:noProof/>
            <w:lang w:val="en-CA"/>
          </w:rPr>
          <w:t>Economist 2014</w:t>
        </w:r>
      </w:hyperlink>
      <w:r w:rsidR="00F81700">
        <w:rPr>
          <w:noProof/>
          <w:lang w:val="en-CA"/>
        </w:rPr>
        <w:t>)</w:t>
      </w:r>
      <w:r w:rsidR="00F81700">
        <w:rPr>
          <w:lang w:val="en-CA"/>
        </w:rPr>
        <w:fldChar w:fldCharType="end"/>
      </w:r>
      <w:r w:rsidR="00F81700">
        <w:rPr>
          <w:lang w:val="en-CA"/>
        </w:rPr>
        <w:t>.</w:t>
      </w:r>
    </w:p>
    <w:p w14:paraId="11D6AF87" w14:textId="77777777" w:rsidR="004E2C04" w:rsidRDefault="004E2C04" w:rsidP="004E2C04">
      <w:pPr>
        <w:pStyle w:val="Default"/>
      </w:pPr>
    </w:p>
    <w:p w14:paraId="741877A0" w14:textId="77777777" w:rsidR="0057599E" w:rsidRDefault="0057599E" w:rsidP="00E878BB">
      <w:pPr>
        <w:pStyle w:val="Heading2"/>
        <w:numPr>
          <w:ilvl w:val="1"/>
          <w:numId w:val="31"/>
        </w:numPr>
        <w:ind w:right="-23"/>
      </w:pPr>
      <w:bookmarkStart w:id="25" w:name="_Toc399078756"/>
      <w:r>
        <w:t>UNDP contributions to the Outcome</w:t>
      </w:r>
      <w:bookmarkEnd w:id="25"/>
    </w:p>
    <w:p w14:paraId="69B22E0F" w14:textId="77777777" w:rsidR="00347356" w:rsidRDefault="003D050C" w:rsidP="00593076">
      <w:pPr>
        <w:ind w:right="70"/>
      </w:pPr>
      <w:r w:rsidRPr="003D050C">
        <w:t>UNDG</w:t>
      </w:r>
      <w:r w:rsidR="00FA69BB" w:rsidRPr="003D050C">
        <w:t xml:space="preserve"> Outcome Evaluation guidelines note that Outcomes are influenced by a full range of UNDP activities (projects, programmes, non-project activities and “soft” assistance within and outside of projects) as well as the activities of other development actors.  </w:t>
      </w:r>
      <w:r w:rsidRPr="003D050C">
        <w:t xml:space="preserve">Additional factors, outside these activities, may affect the Outcome, and these should also be addressed.  Such additional factors are discussed in </w:t>
      </w:r>
      <w:r w:rsidR="001E0FD7">
        <w:t>Chapter</w:t>
      </w:r>
      <w:r w:rsidRPr="003D050C">
        <w:t xml:space="preserve"> 5.</w:t>
      </w:r>
    </w:p>
    <w:p w14:paraId="739DD5E1" w14:textId="77777777" w:rsidR="00A25E56" w:rsidRPr="003D050C" w:rsidRDefault="00A25E56" w:rsidP="00593076">
      <w:pPr>
        <w:ind w:right="70"/>
      </w:pPr>
      <w:r>
        <w:t>One 2010 Outcome Evaluation has observed that it may be, “</w:t>
      </w:r>
      <w:r w:rsidRPr="00593076">
        <w:t xml:space="preserve">comparatively easy to indicate very positive indirect consequences for the outcomes of any initiatives by [the agency] concerned. However, the direct influences are less apparent...” </w:t>
      </w:r>
      <w:r w:rsidRPr="00593076">
        <w:fldChar w:fldCharType="begin"/>
      </w:r>
      <w:r w:rsidRPr="00593076">
        <w:instrText xml:space="preserve"> ADDIN EN.CITE &lt;EndNote&gt;&lt;Cite&gt;&lt;Author&gt;UNDP Consultant&lt;/Author&gt;&lt;Year&gt;2010&lt;/Year&gt;&lt;RecNum&gt;35&lt;/RecNum&gt;&lt;DisplayText&gt;(UNDP Consultant 2010)&lt;/DisplayText&gt;&lt;record&gt;&lt;rec-number&gt;35&lt;/rec-number&gt;&lt;foreign-keys&gt;&lt;key app="EN" db-id="5a0wsfarrxszvze9rr65r5a3vr95ffwx90f9" timestamp="1403860689"&gt;35&lt;/key&gt;&lt;/foreign-keys&gt;&lt;ref-type name="Report"&gt;27&lt;/ref-type&gt;&lt;contributors&gt;&lt;authors&gt;&lt;author&gt;UNDP Consultant,&lt;/author&gt;&lt;/authors&gt;&lt;/contributors&gt;&lt;titles&gt;&lt;title&gt;Outcome Evaluation of UNDP Support for National Strategies Reflecting Vision 2025 in terms of Pro-poor and Sustainable Development policies, enhancing the Labour Sector and the Cost Effective Delivery of Public Services&lt;/title&gt;&lt;/titles&gt;&lt;dates&gt;&lt;year&gt;2010&lt;/year&gt;&lt;/dates&gt;&lt;pub-location&gt;Riyadh&lt;/pub-location&gt;&lt;publisher&gt;UNDP Saudi Arabia&lt;/publisher&gt;&lt;urls&gt;&lt;related-urls&gt;&lt;url&gt;http://erc.undp.org/evaluationadmin/manageevaluation/viewevaluationdetail.html?evalid=4051&lt;/url&gt;&lt;/related-urls&gt;&lt;/urls&gt;&lt;/record&gt;&lt;/Cite&gt;&lt;/EndNote&gt;</w:instrText>
      </w:r>
      <w:r w:rsidRPr="00593076">
        <w:fldChar w:fldCharType="separate"/>
      </w:r>
      <w:r w:rsidRPr="00593076">
        <w:t>(</w:t>
      </w:r>
      <w:hyperlink w:anchor="_ENREF_20" w:tooltip="UNDP Consultant, 2010 #35" w:history="1">
        <w:r w:rsidR="00EB16D2" w:rsidRPr="00593076">
          <w:t>UNDP Consultant 2010</w:t>
        </w:r>
      </w:hyperlink>
      <w:r w:rsidRPr="00593076">
        <w:t>)</w:t>
      </w:r>
      <w:r w:rsidRPr="00593076">
        <w:fldChar w:fldCharType="end"/>
      </w:r>
      <w:r w:rsidRPr="00593076">
        <w:t xml:space="preserve">.  </w:t>
      </w:r>
      <w:r w:rsidR="002F2FDD" w:rsidRPr="00593076">
        <w:t>That is, over the course of the two years of the CPD, changes have taken place in several of the social indicators tracked, by, for example, the UNDP Human Development Report (some excerpts of which are used in the Key Indicators table on p. 2).  No UN agency, nor the UN Country Team as a whole, would try to attribute any set proportion of such changes to the Team’s work.  Many actors in the country (and some outside factors) had a hand in bringing about change.</w:t>
      </w:r>
    </w:p>
    <w:p w14:paraId="0923102D" w14:textId="77777777" w:rsidR="00347356" w:rsidRDefault="00347356" w:rsidP="00347356">
      <w:pPr>
        <w:ind w:right="70"/>
      </w:pPr>
      <w:r>
        <w:t>Outputs, as distinct from Outcomes, fall under the responsibility of the programme, should be deliverable by UNDP, and should be achieved within the time-frame of the programme.</w:t>
      </w:r>
      <w:r>
        <w:rPr>
          <w:rStyle w:val="FootnoteReference"/>
        </w:rPr>
        <w:footnoteReference w:id="7"/>
      </w:r>
      <w:r>
        <w:t xml:space="preserve">  Nevertheless, the outputs are neither the measure nor the guarantee of the achievement of an Outcome, since the contribution of a wider group of partners is usually essential (UNDP 2007).  </w:t>
      </w:r>
    </w:p>
    <w:p w14:paraId="21305681" w14:textId="77777777" w:rsidR="002F2FDD" w:rsidRDefault="002F2FDD" w:rsidP="002F2FDD">
      <w:pPr>
        <w:ind w:right="-23"/>
      </w:pPr>
      <w:r w:rsidRPr="003D050C">
        <w:t xml:space="preserve">The present sub-section focuses more directly on </w:t>
      </w:r>
      <w:r>
        <w:t>how the support provided by UNDP played a role in progress towards Outcome 1 results, “Social Empowerment and Institutional Strengthening with Emphasis on Youth”.  As the TORs state, the Evaluation Report should help its audience determine</w:t>
      </w:r>
      <w:r w:rsidRPr="003D050C">
        <w:t xml:space="preserve"> whether </w:t>
      </w:r>
      <w:r w:rsidRPr="00DC7EAF">
        <w:t>individual</w:t>
      </w:r>
      <w:r w:rsidRPr="003D050C">
        <w:t xml:space="preserve"> outputs </w:t>
      </w:r>
      <w:r>
        <w:t>have been</w:t>
      </w:r>
      <w:r w:rsidRPr="003D050C">
        <w:t xml:space="preserve"> effective </w:t>
      </w:r>
      <w:r>
        <w:t xml:space="preserve">to date </w:t>
      </w:r>
      <w:r w:rsidRPr="003D050C">
        <w:t>in contributing to Outcome</w:t>
      </w:r>
      <w:r>
        <w:t xml:space="preserve">s.  </w:t>
      </w:r>
    </w:p>
    <w:p w14:paraId="567369A1" w14:textId="77777777" w:rsidR="006B5B54" w:rsidRDefault="006B5B54" w:rsidP="006B5B54">
      <w:pPr>
        <w:ind w:right="-23"/>
      </w:pPr>
      <w:r>
        <w:t xml:space="preserve">UNDP contributed to four projects in support of Outcome 1.  The outputs and observed results of these projects are discussed in the </w:t>
      </w:r>
      <w:r w:rsidR="00C9153E">
        <w:t>present</w:t>
      </w:r>
      <w:r>
        <w:t xml:space="preserve"> section.  On the whole, UNDP’s contribution has been directed at </w:t>
      </w:r>
      <w:r w:rsidR="00CC0F57">
        <w:t>capacity development</w:t>
      </w:r>
      <w:r>
        <w:t xml:space="preserve"> and assisting organizations to mentor new leaders and participants.</w:t>
      </w:r>
    </w:p>
    <w:p w14:paraId="24A82C5E" w14:textId="77777777" w:rsidR="001F0CD5" w:rsidRDefault="003D050C" w:rsidP="001F0CD5">
      <w:pPr>
        <w:ind w:right="-23"/>
      </w:pPr>
      <w:r>
        <w:t xml:space="preserve">Annex 3 shows an annotated, indicative list of projects expected to be carried out under the CPD.  It can be seen from this list that two projects which were not reviewed, tentatively titled: “Youth Empowerment” and </w:t>
      </w:r>
      <w:r w:rsidR="001F0CD5">
        <w:t>“</w:t>
      </w:r>
      <w:r>
        <w:t xml:space="preserve">Small and Medium Enterprises”, were not retained in the Programme, </w:t>
      </w:r>
      <w:r w:rsidR="001F0CD5">
        <w:t>but instead</w:t>
      </w:r>
      <w:r>
        <w:t xml:space="preserve"> were replaced by the “Youth Dialogue Forums”, representing an approximately equivalent use of financial resources.  The emphasis on youth exchange programmes, a keen interest of government as discussed in </w:t>
      </w:r>
      <w:r w:rsidR="001F0CD5">
        <w:t>the CPD (“</w:t>
      </w:r>
      <w:r w:rsidR="001F0CD5" w:rsidRPr="001F0CD5">
        <w:t>use of global partnerships to share best practices and youth exchanges through South-South dialogues”, UNDP-KSA 2012, p. 4), and also in the UNCCSF (“The UN will facilitate youth exchanges between Saudi Arabia and other developing and developed countries to learn of economic diversification models and youth employment successes”</w:t>
      </w:r>
      <w:r w:rsidR="001F0CD5">
        <w:t xml:space="preserve"> p. 14</w:t>
      </w:r>
      <w:r w:rsidR="001F0CD5" w:rsidRPr="001F0CD5">
        <w:t>)</w:t>
      </w:r>
      <w:r w:rsidR="001F0CD5">
        <w:t>.</w:t>
      </w:r>
    </w:p>
    <w:p w14:paraId="62BAD4AF" w14:textId="77777777" w:rsidR="00CC0F57" w:rsidRPr="001F0CD5" w:rsidRDefault="00CC0F57" w:rsidP="001F0CD5">
      <w:pPr>
        <w:ind w:right="-23"/>
      </w:pPr>
      <w:r>
        <w:t>The four projects visited by the mission are reviewed below, specifically as to how these projects – specifically UNDP’s assistance to them – contributed to the Outcome.</w:t>
      </w:r>
    </w:p>
    <w:p w14:paraId="347E22CE" w14:textId="77777777" w:rsidR="004E2C04" w:rsidRDefault="004E2C04" w:rsidP="00E878BB">
      <w:pPr>
        <w:pStyle w:val="Heading3"/>
        <w:numPr>
          <w:ilvl w:val="2"/>
          <w:numId w:val="31"/>
        </w:numPr>
        <w:ind w:right="-23"/>
      </w:pPr>
      <w:bookmarkStart w:id="26" w:name="_Toc399078757"/>
      <w:r>
        <w:t>Youth:  Social empowerment and institutional strengthening</w:t>
      </w:r>
      <w:bookmarkEnd w:id="26"/>
    </w:p>
    <w:p w14:paraId="6609FB85" w14:textId="77777777" w:rsidR="0057599E" w:rsidRDefault="0057599E" w:rsidP="00E878BB">
      <w:pPr>
        <w:pStyle w:val="Heading4"/>
        <w:numPr>
          <w:ilvl w:val="3"/>
          <w:numId w:val="31"/>
        </w:numPr>
        <w:ind w:right="-23"/>
      </w:pPr>
      <w:bookmarkStart w:id="27" w:name="_Toc399078758"/>
      <w:r>
        <w:t>Youth Dialogue Forums</w:t>
      </w:r>
      <w:bookmarkEnd w:id="27"/>
    </w:p>
    <w:p w14:paraId="2803107C" w14:textId="77777777" w:rsidR="008E30B6" w:rsidRDefault="008E30B6" w:rsidP="008E30B6">
      <w:pPr>
        <w:ind w:right="-23"/>
      </w:pPr>
      <w:r>
        <w:t>The five-year project, “Youth Exchange Visit Program” (2010-2015) is an on-going partnership of UNDP with the Ministry of Foreign Affairs (MOFA).  It is a contribution to widening youth participation in national development and improving diplomatic relations with other states to exchange experience and experiments for the benefit of youth (project document – PD).</w:t>
      </w:r>
    </w:p>
    <w:p w14:paraId="189C1F7E" w14:textId="77777777" w:rsidR="008E30B6" w:rsidRDefault="008E30B6" w:rsidP="008E30B6">
      <w:pPr>
        <w:ind w:right="-23"/>
      </w:pPr>
      <w:r>
        <w:t xml:space="preserve">The project targets Saudi youth participation in </w:t>
      </w:r>
      <w:r w:rsidR="00CD7403">
        <w:t>“</w:t>
      </w:r>
      <w:r>
        <w:t xml:space="preserve">youth </w:t>
      </w:r>
      <w:r w:rsidR="00CD7403">
        <w:t xml:space="preserve">dialogue </w:t>
      </w:r>
      <w:r>
        <w:t>forums</w:t>
      </w:r>
      <w:r w:rsidR="00CD7403">
        <w:t>”</w:t>
      </w:r>
      <w:r>
        <w:t xml:space="preserve"> and the development of the leadership skills of these young persons.  Equal participation of young women and men is a basic tenet of the dialogue exchanges.  </w:t>
      </w:r>
    </w:p>
    <w:p w14:paraId="3870F253" w14:textId="77777777" w:rsidR="008E30B6" w:rsidRPr="008E30B6" w:rsidRDefault="008E30B6" w:rsidP="008E30B6">
      <w:pPr>
        <w:ind w:right="-23"/>
        <w:rPr>
          <w:szCs w:val="28"/>
          <w:lang w:bidi="ar-EG"/>
        </w:rPr>
      </w:pPr>
      <w:r w:rsidRPr="008E30B6">
        <w:rPr>
          <w:szCs w:val="28"/>
          <w:lang w:bidi="ar-EG"/>
        </w:rPr>
        <w:t xml:space="preserve">The project aims at benefiting from </w:t>
      </w:r>
      <w:r>
        <w:rPr>
          <w:szCs w:val="28"/>
          <w:lang w:bidi="ar-EG"/>
        </w:rPr>
        <w:t>MOFA’s</w:t>
      </w:r>
      <w:r w:rsidRPr="008E30B6">
        <w:rPr>
          <w:szCs w:val="28"/>
          <w:lang w:bidi="ar-EG"/>
        </w:rPr>
        <w:t xml:space="preserve"> accomplishments in the diplomatic </w:t>
      </w:r>
      <w:r w:rsidR="001F0CD5">
        <w:rPr>
          <w:szCs w:val="28"/>
          <w:lang w:bidi="ar-EG"/>
        </w:rPr>
        <w:t>field</w:t>
      </w:r>
      <w:r w:rsidRPr="008E30B6">
        <w:rPr>
          <w:szCs w:val="28"/>
          <w:lang w:bidi="ar-EG"/>
        </w:rPr>
        <w:t xml:space="preserve"> and achieving KSA's vision </w:t>
      </w:r>
      <w:r>
        <w:rPr>
          <w:szCs w:val="28"/>
          <w:lang w:bidi="ar-EG"/>
        </w:rPr>
        <w:t>to</w:t>
      </w:r>
      <w:r w:rsidRPr="008E30B6">
        <w:rPr>
          <w:szCs w:val="28"/>
          <w:lang w:bidi="ar-EG"/>
        </w:rPr>
        <w:t xml:space="preserve"> </w:t>
      </w:r>
      <w:r>
        <w:rPr>
          <w:szCs w:val="28"/>
          <w:lang w:bidi="ar-EG"/>
        </w:rPr>
        <w:t>strengthen</w:t>
      </w:r>
      <w:r w:rsidRPr="008E30B6">
        <w:rPr>
          <w:szCs w:val="28"/>
          <w:lang w:bidi="ar-EG"/>
        </w:rPr>
        <w:t xml:space="preserve"> </w:t>
      </w:r>
      <w:r>
        <w:rPr>
          <w:szCs w:val="28"/>
          <w:lang w:bidi="ar-EG"/>
        </w:rPr>
        <w:t xml:space="preserve">a culture of </w:t>
      </w:r>
      <w:r w:rsidRPr="008E30B6">
        <w:rPr>
          <w:szCs w:val="28"/>
          <w:lang w:bidi="ar-EG"/>
        </w:rPr>
        <w:t xml:space="preserve">dialogue </w:t>
      </w:r>
      <w:r>
        <w:rPr>
          <w:szCs w:val="28"/>
          <w:lang w:bidi="ar-EG"/>
        </w:rPr>
        <w:t>between</w:t>
      </w:r>
      <w:r w:rsidRPr="008E30B6">
        <w:rPr>
          <w:szCs w:val="28"/>
          <w:lang w:bidi="ar-EG"/>
        </w:rPr>
        <w:t xml:space="preserve"> nations in various areas. </w:t>
      </w:r>
      <w:r>
        <w:rPr>
          <w:szCs w:val="28"/>
          <w:lang w:bidi="ar-EG"/>
        </w:rPr>
        <w:t xml:space="preserve"> It also</w:t>
      </w:r>
      <w:r w:rsidRPr="008E30B6">
        <w:rPr>
          <w:szCs w:val="28"/>
          <w:lang w:bidi="ar-EG"/>
        </w:rPr>
        <w:t xml:space="preserve"> seeks to:</w:t>
      </w:r>
    </w:p>
    <w:p w14:paraId="600D33EA" w14:textId="77777777" w:rsidR="008E30B6" w:rsidRPr="008E30B6" w:rsidRDefault="008E30B6" w:rsidP="00F82BDC">
      <w:pPr>
        <w:pStyle w:val="ListParagraph"/>
        <w:numPr>
          <w:ilvl w:val="0"/>
          <w:numId w:val="3"/>
        </w:numPr>
        <w:spacing w:before="0" w:after="200" w:line="276" w:lineRule="auto"/>
        <w:ind w:right="-23"/>
        <w:rPr>
          <w:szCs w:val="28"/>
          <w:lang w:bidi="ar-EG"/>
        </w:rPr>
      </w:pPr>
      <w:r w:rsidRPr="008E30B6">
        <w:rPr>
          <w:szCs w:val="28"/>
          <w:lang w:bidi="ar-EG"/>
        </w:rPr>
        <w:t xml:space="preserve">Increase Saudi youth participation in youth forums and </w:t>
      </w:r>
      <w:r>
        <w:rPr>
          <w:szCs w:val="28"/>
          <w:lang w:bidi="ar-EG"/>
        </w:rPr>
        <w:t>develop</w:t>
      </w:r>
      <w:r w:rsidRPr="008E30B6">
        <w:rPr>
          <w:szCs w:val="28"/>
          <w:lang w:bidi="ar-EG"/>
        </w:rPr>
        <w:t xml:space="preserve"> their leadership and dialogue capacities.</w:t>
      </w:r>
    </w:p>
    <w:p w14:paraId="758D8912" w14:textId="77777777" w:rsidR="008E30B6" w:rsidRPr="008E30B6" w:rsidRDefault="008E30B6" w:rsidP="00F82BDC">
      <w:pPr>
        <w:pStyle w:val="ListParagraph"/>
        <w:numPr>
          <w:ilvl w:val="0"/>
          <w:numId w:val="3"/>
        </w:numPr>
        <w:spacing w:before="0" w:after="200" w:line="276" w:lineRule="auto"/>
        <w:ind w:right="-23"/>
        <w:rPr>
          <w:szCs w:val="28"/>
          <w:lang w:bidi="ar-EG"/>
        </w:rPr>
      </w:pPr>
      <w:r w:rsidRPr="008E30B6">
        <w:rPr>
          <w:szCs w:val="28"/>
          <w:lang w:bidi="ar-EG"/>
        </w:rPr>
        <w:t>Encourage youth to participate in the national development process.</w:t>
      </w:r>
    </w:p>
    <w:p w14:paraId="51D07B69" w14:textId="77777777" w:rsidR="008E30B6" w:rsidRPr="008E30B6" w:rsidRDefault="008E30B6" w:rsidP="00F82BDC">
      <w:pPr>
        <w:pStyle w:val="ListParagraph"/>
        <w:numPr>
          <w:ilvl w:val="0"/>
          <w:numId w:val="3"/>
        </w:numPr>
        <w:spacing w:before="0" w:after="200" w:line="276" w:lineRule="auto"/>
        <w:ind w:right="-23"/>
        <w:rPr>
          <w:szCs w:val="28"/>
          <w:lang w:bidi="ar-EG"/>
        </w:rPr>
      </w:pPr>
      <w:r w:rsidRPr="008E30B6">
        <w:rPr>
          <w:szCs w:val="28"/>
          <w:lang w:bidi="ar-EG"/>
        </w:rPr>
        <w:t xml:space="preserve">Benefit from the experiences of other countries with the aim </w:t>
      </w:r>
      <w:r>
        <w:rPr>
          <w:szCs w:val="28"/>
          <w:lang w:bidi="ar-EG"/>
        </w:rPr>
        <w:t>of improving</w:t>
      </w:r>
      <w:r w:rsidRPr="008E30B6">
        <w:rPr>
          <w:szCs w:val="28"/>
          <w:lang w:bidi="ar-EG"/>
        </w:rPr>
        <w:t xml:space="preserve"> youth leadership skills.</w:t>
      </w:r>
    </w:p>
    <w:p w14:paraId="461B5F5C" w14:textId="77777777" w:rsidR="008E30B6" w:rsidRPr="008E30B6" w:rsidRDefault="008E30B6" w:rsidP="00F82BDC">
      <w:pPr>
        <w:pStyle w:val="ListParagraph"/>
        <w:numPr>
          <w:ilvl w:val="0"/>
          <w:numId w:val="3"/>
        </w:numPr>
        <w:spacing w:before="0" w:after="200" w:line="276" w:lineRule="auto"/>
        <w:ind w:right="-23"/>
        <w:rPr>
          <w:szCs w:val="28"/>
          <w:lang w:bidi="ar-EG"/>
        </w:rPr>
      </w:pPr>
      <w:r w:rsidRPr="008E30B6">
        <w:rPr>
          <w:szCs w:val="28"/>
          <w:lang w:bidi="ar-EG"/>
        </w:rPr>
        <w:t xml:space="preserve">Increase the level and quality of youth participation in </w:t>
      </w:r>
      <w:r>
        <w:rPr>
          <w:szCs w:val="28"/>
          <w:lang w:bidi="ar-EG"/>
        </w:rPr>
        <w:t>local communities</w:t>
      </w:r>
      <w:r w:rsidRPr="008E30B6">
        <w:rPr>
          <w:szCs w:val="28"/>
          <w:lang w:bidi="ar-EG"/>
        </w:rPr>
        <w:t>.</w:t>
      </w:r>
    </w:p>
    <w:p w14:paraId="23261BB3" w14:textId="77777777" w:rsidR="004D70F4" w:rsidRDefault="004D70F4" w:rsidP="004D70F4">
      <w:pPr>
        <w:pStyle w:val="Heading5"/>
      </w:pPr>
      <w:r>
        <w:t xml:space="preserve">Results </w:t>
      </w:r>
    </w:p>
    <w:p w14:paraId="08015C40" w14:textId="77777777" w:rsidR="00E00FB9" w:rsidRDefault="00E00FB9" w:rsidP="0069083A">
      <w:pPr>
        <w:pStyle w:val="ListParagraph"/>
        <w:ind w:left="0" w:right="68"/>
        <w:contextualSpacing w:val="0"/>
        <w:rPr>
          <w:szCs w:val="28"/>
          <w:lang w:bidi="ar-EG"/>
        </w:rPr>
      </w:pPr>
      <w:r>
        <w:rPr>
          <w:szCs w:val="28"/>
          <w:lang w:bidi="ar-EG"/>
        </w:rPr>
        <w:t>In its first year, the project drew on UNDP expertise to prepare an integrated programme for cultural, scientific and knowledge-exchange dialogue between participating n</w:t>
      </w:r>
      <w:r w:rsidR="000D0529">
        <w:rPr>
          <w:szCs w:val="28"/>
          <w:lang w:bidi="ar-EG"/>
        </w:rPr>
        <w:t xml:space="preserve">ational youth delegations.  </w:t>
      </w:r>
      <w:r>
        <w:rPr>
          <w:szCs w:val="28"/>
          <w:lang w:bidi="ar-EG"/>
        </w:rPr>
        <w:t xml:space="preserve">By 2014 the project had conducted a series of visits that have involved six partner countries:  </w:t>
      </w:r>
      <w:r w:rsidRPr="00E00FB9">
        <w:rPr>
          <w:szCs w:val="28"/>
          <w:lang w:bidi="ar-EG"/>
        </w:rPr>
        <w:t>Brazil</w:t>
      </w:r>
      <w:r>
        <w:rPr>
          <w:szCs w:val="28"/>
          <w:lang w:bidi="ar-EG"/>
        </w:rPr>
        <w:t>,</w:t>
      </w:r>
      <w:r w:rsidRPr="00E00FB9">
        <w:rPr>
          <w:szCs w:val="28"/>
          <w:lang w:bidi="ar-EG"/>
        </w:rPr>
        <w:t xml:space="preserve"> </w:t>
      </w:r>
      <w:r w:rsidR="007E1508" w:rsidRPr="00E00FB9">
        <w:rPr>
          <w:szCs w:val="28"/>
          <w:lang w:bidi="ar-EG"/>
        </w:rPr>
        <w:t>China (</w:t>
      </w:r>
      <w:r>
        <w:rPr>
          <w:szCs w:val="28"/>
          <w:lang w:bidi="ar-EG"/>
        </w:rPr>
        <w:t>3 rounds</w:t>
      </w:r>
      <w:r w:rsidR="000D0529">
        <w:rPr>
          <w:szCs w:val="28"/>
          <w:lang w:bidi="ar-EG"/>
        </w:rPr>
        <w:t>, with the 2</w:t>
      </w:r>
      <w:r w:rsidR="000D0529" w:rsidRPr="000D0529">
        <w:rPr>
          <w:szCs w:val="28"/>
          <w:vertAlign w:val="superscript"/>
          <w:lang w:bidi="ar-EG"/>
        </w:rPr>
        <w:t>nd</w:t>
      </w:r>
      <w:r w:rsidR="000D0529">
        <w:rPr>
          <w:szCs w:val="28"/>
          <w:lang w:bidi="ar-EG"/>
        </w:rPr>
        <w:t xml:space="preserve"> round held in Saudi Arabia</w:t>
      </w:r>
      <w:r w:rsidR="007E1508" w:rsidRPr="00E00FB9">
        <w:rPr>
          <w:szCs w:val="28"/>
          <w:lang w:bidi="ar-EG"/>
        </w:rPr>
        <w:t>)</w:t>
      </w:r>
      <w:r>
        <w:rPr>
          <w:szCs w:val="28"/>
          <w:lang w:bidi="ar-EG"/>
        </w:rPr>
        <w:t>, Germany,</w:t>
      </w:r>
      <w:r w:rsidRPr="00E00FB9">
        <w:rPr>
          <w:szCs w:val="28"/>
          <w:lang w:bidi="ar-EG"/>
        </w:rPr>
        <w:t xml:space="preserve"> </w:t>
      </w:r>
      <w:r w:rsidR="007E1508" w:rsidRPr="00E00FB9">
        <w:rPr>
          <w:szCs w:val="28"/>
          <w:lang w:bidi="ar-EG"/>
        </w:rPr>
        <w:t>India</w:t>
      </w:r>
      <w:r>
        <w:rPr>
          <w:szCs w:val="28"/>
          <w:lang w:bidi="ar-EG"/>
        </w:rPr>
        <w:t xml:space="preserve">, South Korea, </w:t>
      </w:r>
      <w:r w:rsidRPr="00E00FB9">
        <w:rPr>
          <w:szCs w:val="28"/>
          <w:lang w:bidi="ar-EG"/>
        </w:rPr>
        <w:t>Spain</w:t>
      </w:r>
      <w:r>
        <w:rPr>
          <w:szCs w:val="28"/>
          <w:lang w:bidi="ar-EG"/>
        </w:rPr>
        <w:t xml:space="preserve"> and </w:t>
      </w:r>
      <w:r w:rsidRPr="00E00FB9">
        <w:rPr>
          <w:szCs w:val="28"/>
          <w:lang w:bidi="ar-EG"/>
        </w:rPr>
        <w:t>Tanzania</w:t>
      </w:r>
      <w:r>
        <w:rPr>
          <w:szCs w:val="28"/>
          <w:lang w:bidi="ar-EG"/>
        </w:rPr>
        <w:t xml:space="preserve">.  Participants are between 17 and </w:t>
      </w:r>
      <w:r w:rsidRPr="000D0529">
        <w:rPr>
          <w:szCs w:val="28"/>
          <w:lang w:bidi="ar-EG"/>
        </w:rPr>
        <w:t>27</w:t>
      </w:r>
      <w:r>
        <w:rPr>
          <w:szCs w:val="28"/>
          <w:lang w:bidi="ar-EG"/>
        </w:rPr>
        <w:t xml:space="preserve"> years of age; </w:t>
      </w:r>
      <w:r w:rsidR="000D0529">
        <w:rPr>
          <w:szCs w:val="28"/>
          <w:lang w:bidi="ar-EG"/>
        </w:rPr>
        <w:t xml:space="preserve">the Saudi Arabia </w:t>
      </w:r>
      <w:r>
        <w:rPr>
          <w:szCs w:val="28"/>
          <w:lang w:bidi="ar-EG"/>
        </w:rPr>
        <w:t>country group</w:t>
      </w:r>
      <w:r w:rsidR="000D0529">
        <w:rPr>
          <w:szCs w:val="28"/>
          <w:lang w:bidi="ar-EG"/>
        </w:rPr>
        <w:t>s</w:t>
      </w:r>
      <w:r>
        <w:rPr>
          <w:szCs w:val="28"/>
          <w:lang w:bidi="ar-EG"/>
        </w:rPr>
        <w:t xml:space="preserve"> </w:t>
      </w:r>
      <w:r w:rsidR="000D0529">
        <w:rPr>
          <w:szCs w:val="28"/>
          <w:lang w:bidi="ar-EG"/>
        </w:rPr>
        <w:t>have been</w:t>
      </w:r>
      <w:r>
        <w:rPr>
          <w:szCs w:val="28"/>
          <w:lang w:bidi="ar-EG"/>
        </w:rPr>
        <w:t xml:space="preserve"> composed of </w:t>
      </w:r>
      <w:r w:rsidR="000D0529">
        <w:rPr>
          <w:szCs w:val="28"/>
          <w:lang w:bidi="ar-EG"/>
        </w:rPr>
        <w:t xml:space="preserve">20-26 Saudi youth, with </w:t>
      </w:r>
      <w:r w:rsidR="0069083A">
        <w:rPr>
          <w:szCs w:val="28"/>
          <w:lang w:bidi="ar-EG"/>
        </w:rPr>
        <w:t>equal numbers of women and men.</w:t>
      </w:r>
      <w:r w:rsidR="000D0529">
        <w:rPr>
          <w:szCs w:val="28"/>
          <w:lang w:bidi="ar-EG"/>
        </w:rPr>
        <w:t xml:space="preserve">  (The gender breakdown of partner country groups may vary, depending on the country’s capacity to create a team with equal numbers of women and men.)</w:t>
      </w:r>
    </w:p>
    <w:p w14:paraId="373CBBE6" w14:textId="77777777" w:rsidR="000D0529" w:rsidRDefault="0069083A" w:rsidP="0069083A">
      <w:pPr>
        <w:pStyle w:val="ListParagraph"/>
        <w:ind w:left="0" w:right="68"/>
        <w:contextualSpacing w:val="0"/>
        <w:rPr>
          <w:szCs w:val="28"/>
          <w:lang w:bidi="ar-EG"/>
        </w:rPr>
      </w:pPr>
      <w:r>
        <w:rPr>
          <w:szCs w:val="28"/>
          <w:lang w:bidi="ar-EG"/>
        </w:rPr>
        <w:t xml:space="preserve">Each dialogue visit takes up a theme, and visits are organized around these themes.  Themes have ranged widely from issues of </w:t>
      </w:r>
      <w:r w:rsidR="000D0529">
        <w:rPr>
          <w:szCs w:val="28"/>
          <w:lang w:bidi="ar-EG"/>
        </w:rPr>
        <w:t>trade, slums management, and architectural identity, to renewable energy, ICT for development, medical research, e-education and smart cities</w:t>
      </w:r>
      <w:r>
        <w:rPr>
          <w:szCs w:val="28"/>
          <w:lang w:bidi="ar-EG"/>
        </w:rPr>
        <w:t xml:space="preserve">, and the preservation of biological diversity.  Participants meet national specialists and visit sites that are key to the dialogue theme.  Discussions among participants have been completely untrammelled by </w:t>
      </w:r>
      <w:r w:rsidR="00CD7403">
        <w:rPr>
          <w:szCs w:val="28"/>
          <w:lang w:bidi="ar-EG"/>
        </w:rPr>
        <w:t xml:space="preserve">direction from officials, and have produced creative and original exchanges and proposals.  Each dialogue forum in its final days prepares two proposals in the form of letters:  a “bilateral letter” to </w:t>
      </w:r>
      <w:r w:rsidR="000D0529">
        <w:rPr>
          <w:szCs w:val="28"/>
          <w:lang w:bidi="ar-EG"/>
        </w:rPr>
        <w:t xml:space="preserve">the </w:t>
      </w:r>
      <w:r w:rsidR="00CD7403">
        <w:rPr>
          <w:szCs w:val="28"/>
          <w:lang w:bidi="ar-EG"/>
        </w:rPr>
        <w:t>government on each side, and a “multilateral letter”, which is transmitted to a</w:t>
      </w:r>
      <w:r w:rsidR="000D0529">
        <w:rPr>
          <w:szCs w:val="28"/>
          <w:lang w:bidi="ar-EG"/>
        </w:rPr>
        <w:t xml:space="preserve">n international agency.  Although the young people are free to address the multilateral letter to any international </w:t>
      </w:r>
      <w:r w:rsidR="00CD7403">
        <w:rPr>
          <w:szCs w:val="28"/>
          <w:lang w:bidi="ar-EG"/>
        </w:rPr>
        <w:t xml:space="preserve">agency </w:t>
      </w:r>
      <w:r w:rsidR="000D0529">
        <w:rPr>
          <w:szCs w:val="28"/>
          <w:lang w:bidi="ar-EG"/>
        </w:rPr>
        <w:t xml:space="preserve">of their choice, they have tended to favour the UN.  </w:t>
      </w:r>
    </w:p>
    <w:p w14:paraId="30012652" w14:textId="77777777" w:rsidR="0069083A" w:rsidRDefault="00CD7403" w:rsidP="0069083A">
      <w:pPr>
        <w:pStyle w:val="ListParagraph"/>
        <w:ind w:left="0" w:right="68"/>
        <w:contextualSpacing w:val="0"/>
        <w:rPr>
          <w:szCs w:val="28"/>
          <w:lang w:bidi="ar-EG"/>
        </w:rPr>
      </w:pPr>
      <w:r>
        <w:rPr>
          <w:szCs w:val="28"/>
          <w:lang w:bidi="ar-EG"/>
        </w:rPr>
        <w:t>The letters propose joint initiatives for follow-up between the addressee agency and youth of the national partner delegations.</w:t>
      </w:r>
    </w:p>
    <w:p w14:paraId="3727E15F" w14:textId="77777777" w:rsidR="00CD7403" w:rsidRDefault="00CD7403" w:rsidP="0069083A">
      <w:pPr>
        <w:pStyle w:val="ListParagraph"/>
        <w:ind w:left="0" w:right="68"/>
        <w:contextualSpacing w:val="0"/>
        <w:rPr>
          <w:szCs w:val="28"/>
          <w:lang w:bidi="ar-EG"/>
        </w:rPr>
      </w:pPr>
      <w:r>
        <w:rPr>
          <w:szCs w:val="28"/>
          <w:lang w:bidi="ar-EG"/>
        </w:rPr>
        <w:t xml:space="preserve">A major goal and output of each forum is the development of some delegation members as coordinators and leaders for future forums.  To date a pool of young leaders has been formed by the programme, and the forums have been progressively organized and led by alumni participants from earlier rounds.  </w:t>
      </w:r>
      <w:r w:rsidR="007E411A">
        <w:rPr>
          <w:szCs w:val="28"/>
          <w:lang w:bidi="ar-EG"/>
        </w:rPr>
        <w:t>The programme’s cohort of young leaders has implemented numerous follow-up platforms such as social networking channels, in-country reunions and panels, and e-portals to discuss future themes and initiatives.</w:t>
      </w:r>
    </w:p>
    <w:p w14:paraId="0FFDBB3A" w14:textId="76B5704A" w:rsidR="007E1508" w:rsidRDefault="001E16F1" w:rsidP="007E1508">
      <w:pPr>
        <w:pStyle w:val="ListParagraph"/>
        <w:ind w:left="0" w:right="68"/>
        <w:contextualSpacing w:val="0"/>
        <w:rPr>
          <w:szCs w:val="28"/>
          <w:lang w:bidi="ar-EG"/>
        </w:rPr>
      </w:pPr>
      <w:r>
        <w:rPr>
          <w:szCs w:val="28"/>
          <w:lang w:bidi="ar-EG"/>
        </w:rPr>
        <w:t xml:space="preserve">The next stage for the forums is to graduate to more institutionalized participation in existing high-level global and regional forums, as parallel youth events.  In 2014 the project has organized youth participation in a “Y-20” event linked to the G20 meeting.  Scheduled and proposed dialogues in this sense include UN-ECOSOC’s </w:t>
      </w:r>
      <w:r w:rsidR="007E1508">
        <w:rPr>
          <w:szCs w:val="28"/>
          <w:lang w:bidi="ar-EG"/>
        </w:rPr>
        <w:t xml:space="preserve">Forum on </w:t>
      </w:r>
      <w:r>
        <w:rPr>
          <w:szCs w:val="28"/>
          <w:lang w:bidi="ar-EG"/>
        </w:rPr>
        <w:t xml:space="preserve">Youth </w:t>
      </w:r>
      <w:r w:rsidR="007E1508">
        <w:rPr>
          <w:szCs w:val="28"/>
          <w:lang w:bidi="ar-EG"/>
        </w:rPr>
        <w:t>2014 (2 June 2014, New York:  #Youth2015):  “</w:t>
      </w:r>
      <w:r w:rsidR="007E1508" w:rsidRPr="007E1508">
        <w:rPr>
          <w:szCs w:val="28"/>
          <w:lang w:bidi="ar-EG"/>
        </w:rPr>
        <w:t>To provide a platform for young people to engage in a dialogue with Member States on how they could be included in shaping the post-2015 and sustainable development agenda</w:t>
      </w:r>
      <w:r w:rsidR="007E1508">
        <w:rPr>
          <w:szCs w:val="28"/>
          <w:lang w:bidi="ar-EG"/>
        </w:rPr>
        <w:t xml:space="preserve">” </w:t>
      </w:r>
      <w:r w:rsidR="00A244B1">
        <w:rPr>
          <w:szCs w:val="28"/>
          <w:lang w:bidi="ar-EG"/>
        </w:rPr>
        <w:fldChar w:fldCharType="begin"/>
      </w:r>
      <w:r w:rsidR="00A244B1">
        <w:rPr>
          <w:szCs w:val="28"/>
          <w:lang w:bidi="ar-EG"/>
        </w:rPr>
        <w:instrText xml:space="preserve"> ADDIN EN.CITE &lt;EndNote&gt;&lt;Cite&gt;&lt;Author&gt;ECOSOC&lt;/Author&gt;&lt;Year&gt;2014&lt;/Year&gt;&lt;RecNum&gt;244&lt;/RecNum&gt;&lt;DisplayText&gt;(ECOSOC 2014)&lt;/DisplayText&gt;&lt;record&gt;&lt;rec-number&gt;244&lt;/rec-number&gt;&lt;foreign-keys&gt;&lt;key app="EN" db-id="5a0wsfarrxszvze9rr65r5a3vr95ffwx90f9" timestamp="1405196830"&gt;244&lt;/key&gt;&lt;/foreign-keys&gt;&lt;ref-type name="Government Document"&gt;46&lt;/ref-type&gt;&lt;contributors&gt;&lt;authors&gt;&lt;author&gt;ECOSOC&lt;/author&gt;&lt;/authors&gt;&lt;secondary-authors&gt;&lt;author&gt;ECOSOC&lt;/author&gt;&lt;/secondary-authors&gt;&lt;/contributors&gt;&lt;titles&gt;&lt;title&gt;ECOSOC Forum on Youth 2014:  &amp;quot;#Youth2015: Realizing the Future They Want” 2-3 June 2014 &lt;/title&gt;&lt;/titles&gt;&lt;dates&gt;&lt;year&gt;2014&lt;/year&gt;&lt;/dates&gt;&lt;pub-location&gt;New York&lt;/pub-location&gt;&lt;publisher&gt;United Nations Economic and Social Council&lt;/publisher&gt;&lt;urls&gt;&lt;related-urls&gt;&lt;url&gt;http://www.un.org/en/ecosoc/youth2014/pdf/background_note.pdf&lt;/url&gt;&lt;/related-urls&gt;&lt;/urls&gt;&lt;/record&gt;&lt;/Cite&gt;&lt;/EndNote&gt;</w:instrText>
      </w:r>
      <w:r w:rsidR="00A244B1">
        <w:rPr>
          <w:szCs w:val="28"/>
          <w:lang w:bidi="ar-EG"/>
        </w:rPr>
        <w:fldChar w:fldCharType="separate"/>
      </w:r>
      <w:r w:rsidR="00A244B1">
        <w:rPr>
          <w:noProof/>
          <w:szCs w:val="28"/>
          <w:lang w:bidi="ar-EG"/>
        </w:rPr>
        <w:t>(</w:t>
      </w:r>
      <w:hyperlink w:anchor="_ENREF_8" w:tooltip="ECOSOC, 2014 #244" w:history="1">
        <w:r w:rsidR="00EB16D2">
          <w:rPr>
            <w:noProof/>
            <w:szCs w:val="28"/>
            <w:lang w:bidi="ar-EG"/>
          </w:rPr>
          <w:t>ECOSOC 2014</w:t>
        </w:r>
      </w:hyperlink>
      <w:r w:rsidR="00A244B1">
        <w:rPr>
          <w:noProof/>
          <w:szCs w:val="28"/>
          <w:lang w:bidi="ar-EG"/>
        </w:rPr>
        <w:t>)</w:t>
      </w:r>
      <w:r w:rsidR="00A244B1">
        <w:rPr>
          <w:szCs w:val="28"/>
          <w:lang w:bidi="ar-EG"/>
        </w:rPr>
        <w:fldChar w:fldCharType="end"/>
      </w:r>
      <w:r w:rsidR="00A244B1">
        <w:rPr>
          <w:szCs w:val="28"/>
          <w:lang w:bidi="ar-EG"/>
        </w:rPr>
        <w:t xml:space="preserve">.  Others include the </w:t>
      </w:r>
      <w:r w:rsidR="000D0529">
        <w:rPr>
          <w:szCs w:val="28"/>
          <w:lang w:bidi="ar-EG"/>
        </w:rPr>
        <w:t xml:space="preserve">Baku World Forum of </w:t>
      </w:r>
      <w:r w:rsidR="00A244B1">
        <w:rPr>
          <w:szCs w:val="28"/>
          <w:lang w:bidi="ar-EG"/>
        </w:rPr>
        <w:t>Young Scientists, Azerbaijan</w:t>
      </w:r>
      <w:r w:rsidR="000D0529">
        <w:rPr>
          <w:szCs w:val="28"/>
          <w:lang w:bidi="ar-EG"/>
        </w:rPr>
        <w:t xml:space="preserve"> (May 2014).</w:t>
      </w:r>
      <w:r w:rsidR="00A244B1">
        <w:rPr>
          <w:szCs w:val="28"/>
          <w:lang w:bidi="ar-EG"/>
        </w:rPr>
        <w:t xml:space="preserve">  </w:t>
      </w:r>
    </w:p>
    <w:p w14:paraId="14045F03" w14:textId="00E22D5F" w:rsidR="00A40AF3" w:rsidRDefault="001E16F1" w:rsidP="0069083A">
      <w:pPr>
        <w:pStyle w:val="ListParagraph"/>
        <w:ind w:left="0" w:right="68"/>
        <w:contextualSpacing w:val="0"/>
        <w:rPr>
          <w:szCs w:val="28"/>
          <w:lang w:bidi="ar-EG"/>
        </w:rPr>
      </w:pPr>
      <w:r>
        <w:rPr>
          <w:szCs w:val="28"/>
          <w:lang w:bidi="ar-EG"/>
        </w:rPr>
        <w:t>The dialogue forums</w:t>
      </w:r>
      <w:r w:rsidR="007E411A">
        <w:rPr>
          <w:szCs w:val="28"/>
          <w:lang w:bidi="ar-EG"/>
        </w:rPr>
        <w:t xml:space="preserve"> have been an undoubted success.  </w:t>
      </w:r>
      <w:r w:rsidR="00A40AF3">
        <w:rPr>
          <w:szCs w:val="28"/>
          <w:lang w:bidi="ar-EG"/>
        </w:rPr>
        <w:t xml:space="preserve">They have contributed at the policy level to the participation of a stellar group of young women and men in </w:t>
      </w:r>
      <w:r w:rsidR="00B740F9">
        <w:rPr>
          <w:szCs w:val="28"/>
          <w:lang w:bidi="ar-EG"/>
        </w:rPr>
        <w:t>tripartite</w:t>
      </w:r>
      <w:r w:rsidR="00A40AF3">
        <w:rPr>
          <w:szCs w:val="28"/>
          <w:lang w:bidi="ar-EG"/>
        </w:rPr>
        <w:t xml:space="preserve"> dialogue, and have developed the capacities of these participants as potential leaders at local and even grander scales.</w:t>
      </w:r>
    </w:p>
    <w:p w14:paraId="06BDBFC0" w14:textId="77777777" w:rsidR="001E16F1" w:rsidRDefault="007E411A" w:rsidP="0069083A">
      <w:pPr>
        <w:pStyle w:val="ListParagraph"/>
        <w:ind w:left="0" w:right="68"/>
        <w:contextualSpacing w:val="0"/>
        <w:rPr>
          <w:szCs w:val="28"/>
          <w:lang w:bidi="ar-EG"/>
        </w:rPr>
      </w:pPr>
      <w:r>
        <w:rPr>
          <w:szCs w:val="28"/>
          <w:lang w:bidi="ar-EG"/>
        </w:rPr>
        <w:t xml:space="preserve">That success at the same time signals adjustments that are in order to sustain </w:t>
      </w:r>
      <w:r w:rsidR="00E05510">
        <w:rPr>
          <w:szCs w:val="28"/>
          <w:lang w:bidi="ar-EG"/>
        </w:rPr>
        <w:t xml:space="preserve">the </w:t>
      </w:r>
      <w:r>
        <w:rPr>
          <w:szCs w:val="28"/>
          <w:lang w:bidi="ar-EG"/>
        </w:rPr>
        <w:t xml:space="preserve">future </w:t>
      </w:r>
      <w:r w:rsidR="004D70F4">
        <w:rPr>
          <w:szCs w:val="28"/>
          <w:lang w:bidi="ar-EG"/>
        </w:rPr>
        <w:t xml:space="preserve">of the </w:t>
      </w:r>
      <w:r w:rsidR="00E05510">
        <w:rPr>
          <w:szCs w:val="28"/>
          <w:lang w:bidi="ar-EG"/>
        </w:rPr>
        <w:t>dialogue</w:t>
      </w:r>
      <w:r w:rsidR="004D70F4">
        <w:rPr>
          <w:szCs w:val="28"/>
          <w:lang w:bidi="ar-EG"/>
        </w:rPr>
        <w:t xml:space="preserve"> forum programme.  The project has been coordinated with a high level of effort on the part of UNDP staff members.  </w:t>
      </w:r>
      <w:r w:rsidR="00CC3C1A">
        <w:rPr>
          <w:szCs w:val="28"/>
          <w:lang w:bidi="ar-EG"/>
        </w:rPr>
        <w:t xml:space="preserve">As new leadership capacity has been developed among youth participants, the level of UNDP hands-on management </w:t>
      </w:r>
      <w:r w:rsidR="00A40AF3">
        <w:rPr>
          <w:szCs w:val="28"/>
          <w:lang w:bidi="ar-EG"/>
        </w:rPr>
        <w:t>is expected</w:t>
      </w:r>
      <w:r w:rsidR="00CC3C1A">
        <w:rPr>
          <w:szCs w:val="28"/>
          <w:lang w:bidi="ar-EG"/>
        </w:rPr>
        <w:t xml:space="preserve"> to be reduced.  Further, as the institutional youth dialogue programmes have expanded, the cadre of volunteer coordinators is at risk of being over-extended, and burn-out is a constant concern.  </w:t>
      </w:r>
      <w:r w:rsidR="004D70F4">
        <w:rPr>
          <w:szCs w:val="28"/>
          <w:lang w:bidi="ar-EG"/>
        </w:rPr>
        <w:t xml:space="preserve">Government will be well rewarded </w:t>
      </w:r>
      <w:r w:rsidR="00CC3C1A">
        <w:rPr>
          <w:szCs w:val="28"/>
          <w:lang w:bidi="ar-EG"/>
        </w:rPr>
        <w:t>if it can now assign personnel from</w:t>
      </w:r>
      <w:r w:rsidR="004D70F4">
        <w:rPr>
          <w:szCs w:val="28"/>
          <w:lang w:bidi="ar-EG"/>
        </w:rPr>
        <w:t xml:space="preserve"> its own staff or contracted </w:t>
      </w:r>
      <w:r w:rsidR="00CC3C1A">
        <w:rPr>
          <w:szCs w:val="28"/>
          <w:lang w:bidi="ar-EG"/>
        </w:rPr>
        <w:t>parties</w:t>
      </w:r>
      <w:r w:rsidR="004D70F4">
        <w:rPr>
          <w:szCs w:val="28"/>
          <w:lang w:bidi="ar-EG"/>
        </w:rPr>
        <w:t xml:space="preserve"> who can devote concerted time and resources to the p</w:t>
      </w:r>
      <w:r w:rsidR="00CC3C1A">
        <w:rPr>
          <w:szCs w:val="28"/>
          <w:lang w:bidi="ar-EG"/>
        </w:rPr>
        <w:t xml:space="preserve">rogramme. </w:t>
      </w:r>
    </w:p>
    <w:p w14:paraId="3871CB11" w14:textId="72A5F141" w:rsidR="00E92F13" w:rsidRPr="004D70F4" w:rsidRDefault="00E92F13" w:rsidP="001D1E48">
      <w:pPr>
        <w:ind w:right="-23"/>
        <w:rPr>
          <w:i/>
          <w:szCs w:val="28"/>
          <w:lang w:bidi="ar-EG"/>
        </w:rPr>
      </w:pPr>
      <w:r>
        <w:rPr>
          <w:szCs w:val="28"/>
          <w:lang w:bidi="ar-EG"/>
        </w:rPr>
        <w:t>The capacities developed by this project, within the partner ministry and cooperating agencies, and among the graduates of the forums, could provide a basis for designing successive waves of youth programmes.  There is potential here</w:t>
      </w:r>
      <w:r w:rsidR="001D1E48">
        <w:rPr>
          <w:szCs w:val="28"/>
          <w:lang w:bidi="ar-EG"/>
        </w:rPr>
        <w:t xml:space="preserve"> for broader out</w:t>
      </w:r>
      <w:r>
        <w:rPr>
          <w:szCs w:val="28"/>
          <w:lang w:bidi="ar-EG"/>
        </w:rPr>
        <w:t xml:space="preserve">reach </w:t>
      </w:r>
      <w:r w:rsidR="001D1E48">
        <w:rPr>
          <w:szCs w:val="28"/>
          <w:lang w:bidi="ar-EG"/>
        </w:rPr>
        <w:t xml:space="preserve">and conceptual guidance for capacity development of </w:t>
      </w:r>
      <w:r>
        <w:rPr>
          <w:szCs w:val="28"/>
          <w:lang w:bidi="ar-EG"/>
        </w:rPr>
        <w:t xml:space="preserve">CSOs </w:t>
      </w:r>
      <w:r w:rsidR="001D1E48">
        <w:rPr>
          <w:szCs w:val="28"/>
          <w:lang w:bidi="ar-EG"/>
        </w:rPr>
        <w:t>that will support</w:t>
      </w:r>
      <w:r>
        <w:rPr>
          <w:szCs w:val="28"/>
          <w:lang w:bidi="ar-EG"/>
        </w:rPr>
        <w:t xml:space="preserve"> young men and women in under-served districts, and </w:t>
      </w:r>
      <w:r w:rsidR="00B740F9">
        <w:rPr>
          <w:szCs w:val="28"/>
          <w:lang w:bidi="ar-EG"/>
        </w:rPr>
        <w:t xml:space="preserve">to additional </w:t>
      </w:r>
      <w:r>
        <w:rPr>
          <w:szCs w:val="28"/>
          <w:lang w:bidi="ar-EG"/>
        </w:rPr>
        <w:t>more vulnerable communities.</w:t>
      </w:r>
    </w:p>
    <w:p w14:paraId="00882C5D" w14:textId="77777777" w:rsidR="0057599E" w:rsidRDefault="0057599E" w:rsidP="00E878BB">
      <w:pPr>
        <w:pStyle w:val="Heading4"/>
        <w:numPr>
          <w:ilvl w:val="3"/>
          <w:numId w:val="31"/>
        </w:numPr>
        <w:ind w:right="-23"/>
      </w:pPr>
      <w:bookmarkStart w:id="28" w:name="_Toc399078759"/>
      <w:r>
        <w:t>Support to Developing National Youth Strategy</w:t>
      </w:r>
      <w:bookmarkEnd w:id="28"/>
    </w:p>
    <w:p w14:paraId="031A8F74" w14:textId="77777777" w:rsidR="005D5784" w:rsidRDefault="005D5784" w:rsidP="00EB274B">
      <w:pPr>
        <w:ind w:right="-23"/>
      </w:pPr>
      <w:r>
        <w:t xml:space="preserve">In </w:t>
      </w:r>
      <w:r w:rsidR="00EB274B">
        <w:t>2009, the Ministry of Economy and Planning</w:t>
      </w:r>
      <w:r w:rsidR="000F2EAB">
        <w:t xml:space="preserve"> (MOEP)</w:t>
      </w:r>
      <w:r w:rsidR="00EB274B">
        <w:t xml:space="preserve"> of KSA agreed with UNDP on a project entitled “Support to Developing a National Youth Strategy” in the Kingdom.  The project was inscribed under the CPD Outcome stated as:  “Enhanced participation of youth in national development through national strategies, policies and programmes targeting them”.</w:t>
      </w:r>
    </w:p>
    <w:p w14:paraId="2CFE1A4D" w14:textId="77777777" w:rsidR="00EB274B" w:rsidRDefault="00EB274B" w:rsidP="00EB274B">
      <w:pPr>
        <w:ind w:right="-23"/>
      </w:pPr>
      <w:r>
        <w:t xml:space="preserve">The expected output of the project was summarized as:  “Strategy for youth development produced and related programmes developed and implemented”.  The project, initially planned for an 18-month </w:t>
      </w:r>
      <w:r w:rsidR="000F2EAB">
        <w:t>term</w:t>
      </w:r>
      <w:r>
        <w:t xml:space="preserve"> from August 2009 to January 2011, aimed at enhancing the participation of youth in national development processes, through the formulation and adoption of the first ever “National Youth Strategy”, which </w:t>
      </w:r>
      <w:r w:rsidR="000F2EAB">
        <w:t>would</w:t>
      </w:r>
      <w:r>
        <w:t xml:space="preserve"> cover a wide range of socio-economic and recreational dimensions of interest to all partners and stakeholders.  A revision </w:t>
      </w:r>
      <w:r w:rsidR="000F2EAB">
        <w:t>to timetables</w:t>
      </w:r>
      <w:r>
        <w:t xml:space="preserve"> and a substantive project revision extended activities to the end of 2014.  </w:t>
      </w:r>
    </w:p>
    <w:p w14:paraId="2B43D40D" w14:textId="77777777" w:rsidR="000F2EAB" w:rsidRDefault="000F2EAB" w:rsidP="00EB274B">
      <w:pPr>
        <w:ind w:right="-23"/>
      </w:pPr>
      <w:r>
        <w:t>In the project document (PD) the partners proposed to provide the needed technical and advisory support to staff in the MOEP for all aspects of development of the national youth strategy (NYS).  Among the components planned were extensive surveying and analysis of youth concerns and aspirations, broad discussion of the findings in a series of workshops and seminars, and incorporation of the results of these discussions to develop programmes to address the issues raised.</w:t>
      </w:r>
    </w:p>
    <w:p w14:paraId="642ABA45" w14:textId="77777777" w:rsidR="000F2EAB" w:rsidRDefault="000F2EAB" w:rsidP="00EB274B">
      <w:pPr>
        <w:ind w:right="-23"/>
      </w:pPr>
      <w:r>
        <w:t xml:space="preserve">The project also would endeavour to strengthen the capacities of the stakeholders taking part, </w:t>
      </w:r>
      <w:r w:rsidR="007036CE">
        <w:t>in the</w:t>
      </w:r>
      <w:r w:rsidR="005326BC">
        <w:t xml:space="preserve"> formulation, implementation and monitoring and evaluation</w:t>
      </w:r>
      <w:r w:rsidR="007036CE">
        <w:t xml:space="preserve"> </w:t>
      </w:r>
      <w:r w:rsidR="005326BC">
        <w:t>(</w:t>
      </w:r>
      <w:r w:rsidR="007036CE">
        <w:t>M&amp;E</w:t>
      </w:r>
      <w:r w:rsidR="005326BC">
        <w:t>)</w:t>
      </w:r>
      <w:r w:rsidR="007036CE">
        <w:t xml:space="preserve"> phases.</w:t>
      </w:r>
    </w:p>
    <w:p w14:paraId="5638CC75" w14:textId="77777777" w:rsidR="007036CE" w:rsidRDefault="007036CE" w:rsidP="00EB274B">
      <w:pPr>
        <w:ind w:right="-23"/>
      </w:pPr>
      <w:r>
        <w:t>Specified results of the project are to be the new NYS and the development and implementation of related programmes.</w:t>
      </w:r>
    </w:p>
    <w:p w14:paraId="5C088F80" w14:textId="77777777" w:rsidR="007036CE" w:rsidRDefault="007036CE" w:rsidP="007036CE">
      <w:pPr>
        <w:pStyle w:val="Heading5"/>
      </w:pPr>
      <w:r>
        <w:t xml:space="preserve">Results </w:t>
      </w:r>
    </w:p>
    <w:p w14:paraId="4F760A06" w14:textId="4FAD57B6" w:rsidR="00EA261F" w:rsidRDefault="007036CE" w:rsidP="007036CE">
      <w:pPr>
        <w:ind w:right="-23"/>
      </w:pPr>
      <w:r>
        <w:t>A</w:t>
      </w:r>
      <w:r w:rsidR="008068CB">
        <w:t>t its outset</w:t>
      </w:r>
      <w:r>
        <w:t xml:space="preserve">, </w:t>
      </w:r>
      <w:r w:rsidR="00CC6921">
        <w:t xml:space="preserve">the project had </w:t>
      </w:r>
      <w:r w:rsidR="000D0529">
        <w:t>worked with</w:t>
      </w:r>
      <w:r w:rsidR="00CC6921">
        <w:t xml:space="preserve"> the General Presidency for Youth Welfare (GPYW), and a task force to conduct comprehensive studies and surveys on Saudi youth.  </w:t>
      </w:r>
      <w:r w:rsidR="00642C17">
        <w:t>Initially, it</w:t>
      </w:r>
      <w:r w:rsidR="00CC6921">
        <w:t xml:space="preserve"> worked with </w:t>
      </w:r>
      <w:r w:rsidR="000D0529">
        <w:t xml:space="preserve">the </w:t>
      </w:r>
      <w:r w:rsidR="00642C17">
        <w:t>King Abdulaziz Center</w:t>
      </w:r>
      <w:r w:rsidR="000D0529">
        <w:t xml:space="preserve"> for National Dialogue (KACND) </w:t>
      </w:r>
      <w:r w:rsidR="00CC6921">
        <w:t xml:space="preserve">to complete </w:t>
      </w:r>
      <w:r>
        <w:t xml:space="preserve">an ambitious programme of consultations with young people.  </w:t>
      </w:r>
      <w:r w:rsidR="00EA261F">
        <w:t xml:space="preserve">The </w:t>
      </w:r>
      <w:r w:rsidR="000D0529">
        <w:t xml:space="preserve">KACND </w:t>
      </w:r>
      <w:r w:rsidR="005A34A2">
        <w:t xml:space="preserve">convened </w:t>
      </w:r>
      <w:r>
        <w:t xml:space="preserve">42 consultation forums, </w:t>
      </w:r>
      <w:r w:rsidR="005A34A2">
        <w:t>which reached</w:t>
      </w:r>
      <w:r>
        <w:t xml:space="preserve"> more than 7000 young people, female and male, throughout the Kingdom.  On the basis of these consultations, the </w:t>
      </w:r>
      <w:r w:rsidR="00CC6921">
        <w:t xml:space="preserve">country’s historic first </w:t>
      </w:r>
      <w:r>
        <w:t xml:space="preserve">NYS has been drawn up, reviewed by all </w:t>
      </w:r>
      <w:r w:rsidR="000A37FC">
        <w:t xml:space="preserve">ministries and </w:t>
      </w:r>
      <w:r>
        <w:t>levels of government</w:t>
      </w:r>
      <w:r w:rsidR="000A37FC">
        <w:t xml:space="preserve"> and revised</w:t>
      </w:r>
      <w:r w:rsidR="000C7615">
        <w:t xml:space="preserve">.  It has been reviewed by the Shura Council and subsequently referred to the Committee for Youth, Family and Social Affairs.  It is now </w:t>
      </w:r>
      <w:r>
        <w:t xml:space="preserve">at the last stage of final approval by the Royal Court.  </w:t>
      </w:r>
    </w:p>
    <w:p w14:paraId="7E6B70ED" w14:textId="77777777" w:rsidR="00EA261F" w:rsidRDefault="00EA261F" w:rsidP="007036CE">
      <w:pPr>
        <w:ind w:right="-23"/>
      </w:pPr>
      <w:r>
        <w:t xml:space="preserve">The NYS was </w:t>
      </w:r>
      <w:r w:rsidR="00642C17">
        <w:t xml:space="preserve">drafted under the auspices of a Technical Advisory Committee comprised of ministries including: Planning, Interior, Education, Higher Education, GPYW, Culture &amp; Media, Social Affairs, Health, CIT, general commission for survey, youth representatives and UNDP.  </w:t>
      </w:r>
      <w:r>
        <w:t xml:space="preserve">With this expertise and on the basis of the </w:t>
      </w:r>
      <w:r w:rsidR="000A37FC">
        <w:t xml:space="preserve">consultations, the strategy for youth development will </w:t>
      </w:r>
      <w:r w:rsidR="00642C17">
        <w:t xml:space="preserve">encompass </w:t>
      </w:r>
      <w:r w:rsidR="000A37FC">
        <w:t xml:space="preserve">eight pillars and </w:t>
      </w:r>
      <w:r w:rsidR="000C7615">
        <w:t xml:space="preserve">will </w:t>
      </w:r>
      <w:r w:rsidR="000A37FC">
        <w:t>be rolled out with the support of the related ministries and departments.  These include agencies concerned with education, health, employment, ICT, citizenship, sport and recreation, culture and media, social partic</w:t>
      </w:r>
      <w:r w:rsidR="0031101A">
        <w:t xml:space="preserve">ipation, and the family.  (The pillar concerning the family </w:t>
      </w:r>
      <w:r w:rsidR="000A37FC">
        <w:t>was added as a result of the youth and expert consultations.)</w:t>
      </w:r>
    </w:p>
    <w:p w14:paraId="7AD831C0" w14:textId="77777777" w:rsidR="005D5784" w:rsidRDefault="007036CE" w:rsidP="007036CE">
      <w:pPr>
        <w:ind w:right="-23"/>
      </w:pPr>
      <w:r>
        <w:t>The project staff are planning for the launch of the NYS over the last two quarters of 2014.  They are also working on a detailed M&amp;E plan for the implementation of NYS-related projects.</w:t>
      </w:r>
    </w:p>
    <w:p w14:paraId="52F9841E" w14:textId="11C13A8F" w:rsidR="000C05D2" w:rsidRDefault="000C05D2" w:rsidP="007036CE">
      <w:pPr>
        <w:ind w:right="-23"/>
      </w:pPr>
      <w:r>
        <w:t>Staff of MOEP in discussions with the mission judged that working with UNDP on the youth development strategy had enabled them to recruit top-notch regional specialists for the programme.  Because of the quality of its work the programme identified three vital areas of challenge for Saudi Arabia and its youth population:  (1) the challenge posed by education – the quality of education as a whole, and of higher education in particular; enhancing the quality of IT used in educational applications;  (2) employment and literacy</w:t>
      </w:r>
      <w:r w:rsidR="008068CB">
        <w:t>/skills</w:t>
      </w:r>
      <w:r>
        <w:t xml:space="preserve"> issues; this awareness has led to a proposal to establish a Human Development Fund within Saudi Arabia; and (3) leisure time and sports – how to engage the full potential of youth and raise achievements in this area.  The GPYW holds the responsibility for issue (3).  It has sponsored the development of a vast sports and recreation facility in Jeddah and proposes to establish 11 additional facilities across the country.</w:t>
      </w:r>
    </w:p>
    <w:p w14:paraId="494E45FE" w14:textId="77777777" w:rsidR="0031101A" w:rsidRPr="005D5784" w:rsidRDefault="0031101A" w:rsidP="007036CE">
      <w:pPr>
        <w:ind w:right="-23"/>
      </w:pPr>
      <w:r>
        <w:t>The coming period will be important for the launch and dissemination of the NYS.  There is potential for the Strategy to act as a catalyst to open new areas of support to organizations working with young men and women in the three areas of challenge identified in this phase.</w:t>
      </w:r>
    </w:p>
    <w:p w14:paraId="5AE00BF8" w14:textId="77777777" w:rsidR="0057599E" w:rsidRDefault="004A6B7D" w:rsidP="00E878BB">
      <w:pPr>
        <w:pStyle w:val="Heading4"/>
        <w:numPr>
          <w:ilvl w:val="3"/>
          <w:numId w:val="31"/>
        </w:numPr>
        <w:ind w:right="-23"/>
      </w:pPr>
      <w:bookmarkStart w:id="29" w:name="_Toc399078760"/>
      <w:r>
        <w:t>Capacity Development of Princess Al Anood Center for Youth Development (Warif)</w:t>
      </w:r>
      <w:bookmarkEnd w:id="29"/>
      <w:r>
        <w:t xml:space="preserve"> </w:t>
      </w:r>
    </w:p>
    <w:p w14:paraId="60381C1B" w14:textId="77777777" w:rsidR="004346E8" w:rsidRDefault="00C20AC9" w:rsidP="00C9153E">
      <w:pPr>
        <w:autoSpaceDE w:val="0"/>
        <w:autoSpaceDN w:val="0"/>
        <w:adjustRightInd w:val="0"/>
        <w:spacing w:before="0" w:after="0"/>
        <w:ind w:right="0"/>
        <w:rPr>
          <w:rFonts w:cs="Times New Roman"/>
        </w:rPr>
      </w:pPr>
      <w:r>
        <w:t xml:space="preserve">The project, </w:t>
      </w:r>
      <w:r w:rsidR="009B748B">
        <w:t xml:space="preserve">Capacity Development </w:t>
      </w:r>
      <w:r>
        <w:t>of Princess Al Anood Cente</w:t>
      </w:r>
      <w:r w:rsidR="009B748B">
        <w:t xml:space="preserve">r for Youth Development (Warif), </w:t>
      </w:r>
      <w:r>
        <w:t>was signed in 2012 and was originally slated to run for one year</w:t>
      </w:r>
      <w:r w:rsidR="009B748B">
        <w:t xml:space="preserve"> (mid-2012-2013)</w:t>
      </w:r>
      <w:r>
        <w:t xml:space="preserve">.  </w:t>
      </w:r>
      <w:r w:rsidR="00C9153E">
        <w:t xml:space="preserve">The CPD Outcome was stated as:  </w:t>
      </w:r>
      <w:r w:rsidR="00C9153E" w:rsidRPr="00C9153E">
        <w:t>“</w:t>
      </w:r>
      <w:r w:rsidR="00C9153E" w:rsidRPr="00C9153E">
        <w:rPr>
          <w:rFonts w:cs="Times New Roman"/>
        </w:rPr>
        <w:t>Effective Strategies and Institutions for Social Empowerment o</w:t>
      </w:r>
      <w:r w:rsidR="00C9153E">
        <w:rPr>
          <w:rFonts w:cs="Times New Roman"/>
        </w:rPr>
        <w:t>f</w:t>
      </w:r>
      <w:r w:rsidR="00C9153E" w:rsidRPr="00C9153E">
        <w:rPr>
          <w:rFonts w:cs="Times New Roman"/>
        </w:rPr>
        <w:t xml:space="preserve"> Youth, Women and the Poor”.</w:t>
      </w:r>
      <w:r w:rsidR="00C9153E">
        <w:rPr>
          <w:rFonts w:cs="Times New Roman"/>
        </w:rPr>
        <w:t xml:space="preserve">  </w:t>
      </w:r>
    </w:p>
    <w:p w14:paraId="639B310A" w14:textId="77777777" w:rsidR="00C20AC9" w:rsidRDefault="009B748B" w:rsidP="00C20AC9">
      <w:pPr>
        <w:ind w:right="-72"/>
        <w:rPr>
          <w:rFonts w:cs="Times New Roman"/>
        </w:rPr>
      </w:pPr>
      <w:r>
        <w:t xml:space="preserve">(Following delays in start-up and some project activities it was renewed for a further year.)  </w:t>
      </w:r>
      <w:r w:rsidR="00C20AC9">
        <w:t xml:space="preserve">It is the second UNDP cooperation </w:t>
      </w:r>
      <w:r w:rsidR="00665781">
        <w:t xml:space="preserve">project </w:t>
      </w:r>
      <w:r w:rsidR="00C20AC9">
        <w:t xml:space="preserve">with an NGO (coming after the Prince Sultan Fund project for women’s empowerment, see following section).  Like the NYS project, its rationale rested on the view shared by the Princess Al Anood Foundation and UNDP </w:t>
      </w:r>
      <w:r w:rsidR="00C20AC9" w:rsidRPr="00C20AC9">
        <w:t>that y</w:t>
      </w:r>
      <w:r w:rsidR="00C20AC9" w:rsidRPr="00C20AC9">
        <w:rPr>
          <w:rFonts w:cs="Times New Roman"/>
        </w:rPr>
        <w:t>outh participation is crucial to sustain national development results, and</w:t>
      </w:r>
      <w:r w:rsidR="00C20AC9">
        <w:rPr>
          <w:rFonts w:cs="Times New Roman"/>
        </w:rPr>
        <w:t xml:space="preserve"> can best do so when it is</w:t>
      </w:r>
      <w:r w:rsidR="00C20AC9" w:rsidRPr="00C20AC9">
        <w:rPr>
          <w:rFonts w:cs="Times New Roman"/>
        </w:rPr>
        <w:t xml:space="preserve"> both inclusive and participatory.</w:t>
      </w:r>
      <w:r w:rsidR="00C20AC9">
        <w:rPr>
          <w:rFonts w:cs="Times New Roman"/>
        </w:rPr>
        <w:t xml:space="preserve">  </w:t>
      </w:r>
      <w:r w:rsidR="00C20AC9" w:rsidRPr="00C20AC9">
        <w:rPr>
          <w:rFonts w:cs="Times New Roman"/>
        </w:rPr>
        <w:t xml:space="preserve">The project </w:t>
      </w:r>
      <w:r w:rsidR="00C20AC9">
        <w:rPr>
          <w:rFonts w:cs="Times New Roman"/>
        </w:rPr>
        <w:t>was</w:t>
      </w:r>
      <w:r w:rsidR="00E75878">
        <w:rPr>
          <w:rFonts w:cs="Times New Roman"/>
        </w:rPr>
        <w:t xml:space="preserve"> envisaged to comple</w:t>
      </w:r>
      <w:r w:rsidR="00C20AC9" w:rsidRPr="00C20AC9">
        <w:rPr>
          <w:rFonts w:cs="Times New Roman"/>
        </w:rPr>
        <w:t>ment</w:t>
      </w:r>
      <w:r w:rsidR="00C20AC9">
        <w:rPr>
          <w:rFonts w:cs="Times New Roman"/>
        </w:rPr>
        <w:t xml:space="preserve"> </w:t>
      </w:r>
      <w:r w:rsidR="00C20AC9" w:rsidRPr="00C20AC9">
        <w:rPr>
          <w:rFonts w:cs="Times New Roman"/>
        </w:rPr>
        <w:t xml:space="preserve">recent public-sector </w:t>
      </w:r>
      <w:r w:rsidR="00C20AC9">
        <w:rPr>
          <w:rFonts w:cs="Times New Roman"/>
        </w:rPr>
        <w:t>strategic approaches to issues of youth participation in development,</w:t>
      </w:r>
      <w:r w:rsidR="00C20AC9" w:rsidRPr="00C20AC9">
        <w:rPr>
          <w:rFonts w:cs="Times New Roman"/>
        </w:rPr>
        <w:t xml:space="preserve"> which are mainly UNDP-supported. The project embraces three key outputs: </w:t>
      </w:r>
    </w:p>
    <w:p w14:paraId="53B548CA" w14:textId="77777777" w:rsidR="00C20AC9" w:rsidRDefault="00C20AC9" w:rsidP="005F6CE3">
      <w:pPr>
        <w:ind w:left="720" w:right="-72"/>
        <w:rPr>
          <w:rFonts w:cs="Times New Roman"/>
        </w:rPr>
      </w:pPr>
      <w:r w:rsidRPr="00C20AC9">
        <w:rPr>
          <w:rFonts w:cs="Times New Roman"/>
        </w:rPr>
        <w:t xml:space="preserve">1) </w:t>
      </w:r>
      <w:r w:rsidR="00A95153">
        <w:rPr>
          <w:rFonts w:cs="Times New Roman"/>
        </w:rPr>
        <w:t>Supporting</w:t>
      </w:r>
      <w:r>
        <w:rPr>
          <w:rFonts w:cs="Times New Roman"/>
        </w:rPr>
        <w:t xml:space="preserve"> </w:t>
      </w:r>
      <w:r w:rsidRPr="00C20AC9">
        <w:rPr>
          <w:rFonts w:cs="Times New Roman"/>
        </w:rPr>
        <w:t>Warif</w:t>
      </w:r>
      <w:r>
        <w:rPr>
          <w:rFonts w:cs="Times New Roman"/>
        </w:rPr>
        <w:t>’</w:t>
      </w:r>
      <w:r w:rsidRPr="00C20AC9">
        <w:rPr>
          <w:rFonts w:cs="Times New Roman"/>
        </w:rPr>
        <w:t>s institutional capacity</w:t>
      </w:r>
      <w:r>
        <w:rPr>
          <w:rFonts w:cs="Times New Roman"/>
        </w:rPr>
        <w:t xml:space="preserve"> </w:t>
      </w:r>
      <w:r w:rsidRPr="00C20AC9">
        <w:rPr>
          <w:rFonts w:cs="Times New Roman"/>
        </w:rPr>
        <w:t xml:space="preserve">to deliver the organization’s mandate </w:t>
      </w:r>
      <w:r>
        <w:rPr>
          <w:rFonts w:cs="Times New Roman"/>
        </w:rPr>
        <w:t>to promote</w:t>
      </w:r>
      <w:r w:rsidRPr="00C20AC9">
        <w:rPr>
          <w:rFonts w:cs="Times New Roman"/>
        </w:rPr>
        <w:t xml:space="preserve"> </w:t>
      </w:r>
      <w:r>
        <w:rPr>
          <w:rFonts w:cs="Times New Roman"/>
        </w:rPr>
        <w:t>“</w:t>
      </w:r>
      <w:r w:rsidRPr="00C20AC9">
        <w:rPr>
          <w:rFonts w:cs="Times New Roman"/>
        </w:rPr>
        <w:t>volunteerism</w:t>
      </w:r>
      <w:r>
        <w:rPr>
          <w:rFonts w:cs="Times New Roman"/>
        </w:rPr>
        <w:t>”</w:t>
      </w:r>
      <w:r w:rsidRPr="00C20AC9">
        <w:rPr>
          <w:rFonts w:cs="Times New Roman"/>
        </w:rPr>
        <w:t xml:space="preserve"> </w:t>
      </w:r>
      <w:r w:rsidR="005051AA">
        <w:rPr>
          <w:rFonts w:cs="Times New Roman"/>
        </w:rPr>
        <w:t xml:space="preserve">(or volunteering), </w:t>
      </w:r>
      <w:r w:rsidRPr="00C20AC9">
        <w:rPr>
          <w:rFonts w:cs="Times New Roman"/>
        </w:rPr>
        <w:t>particular</w:t>
      </w:r>
      <w:r>
        <w:rPr>
          <w:rFonts w:cs="Times New Roman"/>
        </w:rPr>
        <w:t>ly</w:t>
      </w:r>
      <w:r w:rsidRPr="00C20AC9">
        <w:rPr>
          <w:rFonts w:cs="Times New Roman"/>
        </w:rPr>
        <w:t xml:space="preserve"> </w:t>
      </w:r>
      <w:r>
        <w:rPr>
          <w:rFonts w:cs="Times New Roman"/>
        </w:rPr>
        <w:t xml:space="preserve">by </w:t>
      </w:r>
      <w:r w:rsidR="00A95153">
        <w:rPr>
          <w:rFonts w:cs="Times New Roman"/>
        </w:rPr>
        <w:t>youth</w:t>
      </w:r>
    </w:p>
    <w:p w14:paraId="6CB64665" w14:textId="77777777" w:rsidR="00A95153" w:rsidRDefault="00C20AC9" w:rsidP="005F6CE3">
      <w:pPr>
        <w:ind w:left="720" w:right="-72"/>
        <w:rPr>
          <w:rFonts w:cs="Times New Roman"/>
        </w:rPr>
      </w:pPr>
      <w:r w:rsidRPr="00C20AC9">
        <w:rPr>
          <w:rFonts w:cs="Times New Roman"/>
        </w:rPr>
        <w:t xml:space="preserve">2) </w:t>
      </w:r>
      <w:r w:rsidR="00A95153">
        <w:rPr>
          <w:rFonts w:cs="Times New Roman"/>
        </w:rPr>
        <w:t>Exploration to</w:t>
      </w:r>
      <w:r w:rsidR="005051AA">
        <w:rPr>
          <w:rFonts w:cs="Times New Roman"/>
        </w:rPr>
        <w:t xml:space="preserve"> identify </w:t>
      </w:r>
      <w:r w:rsidR="005051AA" w:rsidRPr="00C20AC9">
        <w:rPr>
          <w:rFonts w:cs="Times New Roman"/>
        </w:rPr>
        <w:t xml:space="preserve">niches </w:t>
      </w:r>
      <w:r w:rsidR="00DA7738">
        <w:rPr>
          <w:rFonts w:cs="Times New Roman"/>
        </w:rPr>
        <w:t>in volunteering</w:t>
      </w:r>
      <w:r w:rsidR="005051AA">
        <w:rPr>
          <w:rFonts w:cs="Times New Roman"/>
        </w:rPr>
        <w:t xml:space="preserve">, </w:t>
      </w:r>
      <w:r w:rsidRPr="00C20AC9">
        <w:rPr>
          <w:rFonts w:cs="Times New Roman"/>
        </w:rPr>
        <w:t>verified in a national forum to reach a</w:t>
      </w:r>
      <w:r w:rsidR="005051AA">
        <w:rPr>
          <w:rFonts w:cs="Times New Roman"/>
        </w:rPr>
        <w:t xml:space="preserve"> </w:t>
      </w:r>
      <w:r w:rsidR="00DA7738">
        <w:rPr>
          <w:rFonts w:cs="Times New Roman"/>
        </w:rPr>
        <w:t>wide-ranging consensus</w:t>
      </w:r>
    </w:p>
    <w:p w14:paraId="27B788CE" w14:textId="77777777" w:rsidR="00C20AC9" w:rsidRDefault="00C20AC9" w:rsidP="005F6CE3">
      <w:pPr>
        <w:ind w:left="720" w:right="-72"/>
        <w:rPr>
          <w:rFonts w:cs="Times New Roman"/>
        </w:rPr>
      </w:pPr>
      <w:r w:rsidRPr="00C20AC9">
        <w:rPr>
          <w:rFonts w:cs="Times New Roman"/>
        </w:rPr>
        <w:t xml:space="preserve">3) </w:t>
      </w:r>
      <w:r w:rsidR="00A95153">
        <w:rPr>
          <w:rFonts w:cs="Times New Roman"/>
        </w:rPr>
        <w:t>D</w:t>
      </w:r>
      <w:r w:rsidR="005051AA">
        <w:rPr>
          <w:rFonts w:cs="Times New Roman"/>
        </w:rPr>
        <w:t>evelop</w:t>
      </w:r>
      <w:r w:rsidR="00A95153">
        <w:rPr>
          <w:rFonts w:cs="Times New Roman"/>
        </w:rPr>
        <w:t>ment of</w:t>
      </w:r>
      <w:r w:rsidR="005051AA">
        <w:rPr>
          <w:rFonts w:cs="Times New Roman"/>
        </w:rPr>
        <w:t xml:space="preserve"> an </w:t>
      </w:r>
      <w:r w:rsidRPr="00C20AC9">
        <w:rPr>
          <w:rFonts w:cs="Times New Roman"/>
        </w:rPr>
        <w:t>outreach prototype program</w:t>
      </w:r>
      <w:r w:rsidR="005051AA">
        <w:rPr>
          <w:rFonts w:cs="Times New Roman"/>
        </w:rPr>
        <w:t>me</w:t>
      </w:r>
      <w:r w:rsidRPr="00C20AC9">
        <w:rPr>
          <w:rFonts w:cs="Times New Roman"/>
        </w:rPr>
        <w:t>.</w:t>
      </w:r>
    </w:p>
    <w:p w14:paraId="470800E8" w14:textId="77777777" w:rsidR="0020429D" w:rsidRDefault="00DD5FF5" w:rsidP="00DA7738">
      <w:pPr>
        <w:autoSpaceDE w:val="0"/>
        <w:autoSpaceDN w:val="0"/>
        <w:adjustRightInd w:val="0"/>
        <w:ind w:right="0"/>
        <w:rPr>
          <w:rFonts w:cs="Times New Roman"/>
        </w:rPr>
      </w:pPr>
      <w:r>
        <w:rPr>
          <w:rFonts w:cs="Times New Roman"/>
        </w:rPr>
        <w:t>At the time of designing the cooperative project</w:t>
      </w:r>
      <w:r w:rsidRPr="00DD5FF5">
        <w:rPr>
          <w:rFonts w:cs="Times New Roman"/>
        </w:rPr>
        <w:t xml:space="preserve">, Saudi Arabia </w:t>
      </w:r>
      <w:r w:rsidR="008D0961">
        <w:rPr>
          <w:rFonts w:cs="Times New Roman"/>
        </w:rPr>
        <w:t>was achieving significant</w:t>
      </w:r>
      <w:r w:rsidRPr="00DD5FF5">
        <w:rPr>
          <w:rFonts w:cs="Times New Roman"/>
        </w:rPr>
        <w:t xml:space="preserve"> socio-economic development </w:t>
      </w:r>
      <w:r w:rsidR="00B50709">
        <w:rPr>
          <w:rFonts w:cs="Times New Roman"/>
        </w:rPr>
        <w:t xml:space="preserve">and public opinion leaders were speaking to the importance of engaging the </w:t>
      </w:r>
      <w:r w:rsidR="008D0961">
        <w:rPr>
          <w:rFonts w:cs="Times New Roman"/>
        </w:rPr>
        <w:t>burgeoning</w:t>
      </w:r>
      <w:r w:rsidR="00B50709">
        <w:rPr>
          <w:rFonts w:cs="Times New Roman"/>
        </w:rPr>
        <w:t xml:space="preserve"> youth cohort in </w:t>
      </w:r>
      <w:r w:rsidR="008D0961">
        <w:rPr>
          <w:rFonts w:cs="Times New Roman"/>
        </w:rPr>
        <w:t>all aspects of the development process</w:t>
      </w:r>
      <w:r w:rsidRPr="00DD5FF5">
        <w:rPr>
          <w:rFonts w:cs="Times New Roman"/>
        </w:rPr>
        <w:t xml:space="preserve">. </w:t>
      </w:r>
      <w:r w:rsidR="00B50709">
        <w:rPr>
          <w:rFonts w:cs="Times New Roman"/>
        </w:rPr>
        <w:t>By 2010 those</w:t>
      </w:r>
      <w:r w:rsidRPr="00DD5FF5">
        <w:rPr>
          <w:rFonts w:cs="Times New Roman"/>
        </w:rPr>
        <w:t xml:space="preserve"> in the age group 15-24</w:t>
      </w:r>
      <w:r w:rsidR="00B50709">
        <w:rPr>
          <w:rFonts w:cs="Times New Roman"/>
        </w:rPr>
        <w:t xml:space="preserve"> years made up</w:t>
      </w:r>
      <w:r w:rsidRPr="00DD5FF5">
        <w:rPr>
          <w:rFonts w:cs="Times New Roman"/>
        </w:rPr>
        <w:t xml:space="preserve"> 3.9 million </w:t>
      </w:r>
      <w:r w:rsidR="00B50709">
        <w:rPr>
          <w:rFonts w:cs="Times New Roman"/>
        </w:rPr>
        <w:t xml:space="preserve">in </w:t>
      </w:r>
      <w:r w:rsidRPr="00DD5FF5">
        <w:rPr>
          <w:rFonts w:cs="Times New Roman"/>
        </w:rPr>
        <w:t>a total</w:t>
      </w:r>
      <w:r w:rsidR="00B50709">
        <w:rPr>
          <w:rFonts w:cs="Times New Roman"/>
        </w:rPr>
        <w:t xml:space="preserve"> population of 23.7 million, and this </w:t>
      </w:r>
      <w:r w:rsidR="00DB0027">
        <w:rPr>
          <w:rFonts w:cs="Times New Roman"/>
        </w:rPr>
        <w:t xml:space="preserve">statistic </w:t>
      </w:r>
      <w:r w:rsidR="00B50709">
        <w:rPr>
          <w:rFonts w:cs="Times New Roman"/>
        </w:rPr>
        <w:t xml:space="preserve">was a key </w:t>
      </w:r>
      <w:r w:rsidR="00DB0027">
        <w:rPr>
          <w:rFonts w:cs="Times New Roman"/>
        </w:rPr>
        <w:t xml:space="preserve">feature </w:t>
      </w:r>
      <w:r w:rsidR="00B50709">
        <w:rPr>
          <w:rFonts w:cs="Times New Roman"/>
        </w:rPr>
        <w:t>in the 9</w:t>
      </w:r>
      <w:r w:rsidR="00B50709" w:rsidRPr="00B50709">
        <w:rPr>
          <w:rFonts w:cs="Times New Roman"/>
          <w:vertAlign w:val="superscript"/>
        </w:rPr>
        <w:t>th</w:t>
      </w:r>
      <w:r w:rsidR="00B50709">
        <w:rPr>
          <w:rFonts w:cs="Times New Roman"/>
        </w:rPr>
        <w:t xml:space="preserve"> </w:t>
      </w:r>
      <w:r w:rsidRPr="00DD5FF5">
        <w:rPr>
          <w:rFonts w:cs="Times New Roman"/>
        </w:rPr>
        <w:t>National Development</w:t>
      </w:r>
      <w:r w:rsidR="00B50709">
        <w:rPr>
          <w:rFonts w:cs="Times New Roman"/>
        </w:rPr>
        <w:t xml:space="preserve"> </w:t>
      </w:r>
      <w:r w:rsidRPr="00DD5FF5">
        <w:rPr>
          <w:rFonts w:cs="Times New Roman"/>
        </w:rPr>
        <w:t xml:space="preserve">Plan (2010-14). </w:t>
      </w:r>
      <w:r w:rsidR="00DB0027">
        <w:rPr>
          <w:rFonts w:cs="Times New Roman"/>
        </w:rPr>
        <w:t xml:space="preserve"> As noted earlier, the NDP stated </w:t>
      </w:r>
      <w:r w:rsidRPr="00DD5FF5">
        <w:rPr>
          <w:rFonts w:cs="Times New Roman"/>
        </w:rPr>
        <w:t>that full participation of youth in the</w:t>
      </w:r>
      <w:r w:rsidR="00DB0027">
        <w:rPr>
          <w:rFonts w:cs="Times New Roman"/>
        </w:rPr>
        <w:t xml:space="preserve"> </w:t>
      </w:r>
      <w:r w:rsidRPr="00DD5FF5">
        <w:rPr>
          <w:rFonts w:cs="Times New Roman"/>
        </w:rPr>
        <w:t xml:space="preserve">development processes is the only possible means to ensure sustainability of development results, on the one hand, and to realize inclusive growth that benefits </w:t>
      </w:r>
      <w:r w:rsidR="00DB0027">
        <w:rPr>
          <w:rFonts w:cs="Times New Roman"/>
        </w:rPr>
        <w:t xml:space="preserve">the whole </w:t>
      </w:r>
      <w:r w:rsidRPr="00DD5FF5">
        <w:rPr>
          <w:rFonts w:cs="Times New Roman"/>
        </w:rPr>
        <w:t>population in an equitable and meaningful manner.</w:t>
      </w:r>
    </w:p>
    <w:p w14:paraId="1917955B" w14:textId="77777777" w:rsidR="0020429D" w:rsidRDefault="00B51316" w:rsidP="00DA7738">
      <w:pPr>
        <w:autoSpaceDE w:val="0"/>
        <w:autoSpaceDN w:val="0"/>
        <w:adjustRightInd w:val="0"/>
        <w:ind w:right="0"/>
        <w:rPr>
          <w:rFonts w:cs="Times New Roman"/>
        </w:rPr>
      </w:pPr>
      <w:r>
        <w:rPr>
          <w:rFonts w:cs="Times New Roman"/>
        </w:rPr>
        <w:t>The Warif project was conceived in parallel with the development of a National Youth Strategy in the public sector.  Several CSOs expressed interest in sustaining this momentum and using their ability to reach young people through their grass-roots links.</w:t>
      </w:r>
    </w:p>
    <w:p w14:paraId="38C98C11" w14:textId="77777777" w:rsidR="00DA7738" w:rsidRDefault="00DD5FF5" w:rsidP="00DA7738">
      <w:pPr>
        <w:autoSpaceDE w:val="0"/>
        <w:autoSpaceDN w:val="0"/>
        <w:adjustRightInd w:val="0"/>
        <w:ind w:right="0"/>
        <w:rPr>
          <w:rFonts w:cs="Times New Roman"/>
        </w:rPr>
      </w:pPr>
      <w:r w:rsidRPr="00DD5FF5">
        <w:rPr>
          <w:rFonts w:cs="Times New Roman"/>
        </w:rPr>
        <w:t xml:space="preserve">In this context, Princess Al Anood Center for Youth Development (Warif), under </w:t>
      </w:r>
      <w:r w:rsidR="00DA7738">
        <w:rPr>
          <w:rFonts w:cs="Times New Roman"/>
        </w:rPr>
        <w:t xml:space="preserve">the aegis of the </w:t>
      </w:r>
      <w:r w:rsidRPr="00DD5FF5">
        <w:rPr>
          <w:rFonts w:cs="Times New Roman"/>
        </w:rPr>
        <w:t xml:space="preserve">Princess Al Anood Foundation, has </w:t>
      </w:r>
      <w:r w:rsidR="00DA7738">
        <w:rPr>
          <w:rFonts w:cs="Times New Roman"/>
        </w:rPr>
        <w:t>a</w:t>
      </w:r>
      <w:r w:rsidRPr="00DD5FF5">
        <w:rPr>
          <w:rFonts w:cs="Times New Roman"/>
        </w:rPr>
        <w:t xml:space="preserve"> mandate </w:t>
      </w:r>
      <w:r w:rsidR="00DA7738">
        <w:rPr>
          <w:rFonts w:cs="Times New Roman"/>
        </w:rPr>
        <w:t>to empower</w:t>
      </w:r>
      <w:r w:rsidRPr="00DD5FF5">
        <w:rPr>
          <w:rFonts w:cs="Times New Roman"/>
        </w:rPr>
        <w:t xml:space="preserve"> youth</w:t>
      </w:r>
      <w:r w:rsidR="00DA7738">
        <w:rPr>
          <w:rFonts w:cs="Times New Roman"/>
        </w:rPr>
        <w:t xml:space="preserve"> </w:t>
      </w:r>
      <w:r w:rsidRPr="00DD5FF5">
        <w:rPr>
          <w:rFonts w:cs="Times New Roman"/>
        </w:rPr>
        <w:t xml:space="preserve">to fully participate in </w:t>
      </w:r>
      <w:r w:rsidR="00DA7738">
        <w:rPr>
          <w:rFonts w:cs="Times New Roman"/>
        </w:rPr>
        <w:t xml:space="preserve">community </w:t>
      </w:r>
      <w:r w:rsidRPr="00DD5FF5">
        <w:rPr>
          <w:rFonts w:cs="Times New Roman"/>
        </w:rPr>
        <w:t xml:space="preserve">development </w:t>
      </w:r>
      <w:r w:rsidR="00DA7738">
        <w:rPr>
          <w:rFonts w:cs="Times New Roman"/>
        </w:rPr>
        <w:t>through voluntary work</w:t>
      </w:r>
      <w:r w:rsidRPr="00DD5FF5">
        <w:rPr>
          <w:rFonts w:cs="Times New Roman"/>
        </w:rPr>
        <w:t xml:space="preserve">, </w:t>
      </w:r>
      <w:r w:rsidR="00DA7738">
        <w:rPr>
          <w:rFonts w:cs="Times New Roman"/>
        </w:rPr>
        <w:t>a concept that has strong roots in Saudi</w:t>
      </w:r>
      <w:r w:rsidRPr="00DD5FF5">
        <w:rPr>
          <w:rFonts w:cs="Times New Roman"/>
        </w:rPr>
        <w:t xml:space="preserve"> national and traditional norms. Warif sought UNDP’s support </w:t>
      </w:r>
      <w:r w:rsidR="00DA7738">
        <w:rPr>
          <w:rFonts w:cs="Times New Roman"/>
        </w:rPr>
        <w:t>for</w:t>
      </w:r>
      <w:r w:rsidRPr="00DD5FF5">
        <w:rPr>
          <w:rFonts w:cs="Times New Roman"/>
        </w:rPr>
        <w:t xml:space="preserve"> individ</w:t>
      </w:r>
      <w:r w:rsidR="00DA7738">
        <w:rPr>
          <w:rFonts w:cs="Times New Roman"/>
        </w:rPr>
        <w:t xml:space="preserve">ual and institutional capacity development and to explore </w:t>
      </w:r>
      <w:r w:rsidRPr="00DD5FF5">
        <w:rPr>
          <w:rFonts w:cs="Times New Roman"/>
        </w:rPr>
        <w:t>new niches</w:t>
      </w:r>
      <w:r w:rsidR="00DA7738">
        <w:rPr>
          <w:rFonts w:cs="Times New Roman"/>
        </w:rPr>
        <w:t xml:space="preserve"> for young volunteers</w:t>
      </w:r>
      <w:r w:rsidRPr="00DD5FF5">
        <w:rPr>
          <w:rFonts w:cs="Times New Roman"/>
        </w:rPr>
        <w:t>.</w:t>
      </w:r>
    </w:p>
    <w:p w14:paraId="270F3102" w14:textId="77777777" w:rsidR="00DD5FF5" w:rsidRPr="00DD5FF5" w:rsidRDefault="00DA7738" w:rsidP="00935B27">
      <w:pPr>
        <w:autoSpaceDE w:val="0"/>
        <w:autoSpaceDN w:val="0"/>
        <w:adjustRightInd w:val="0"/>
        <w:ind w:right="0"/>
        <w:rPr>
          <w:rFonts w:cs="Times New Roman"/>
        </w:rPr>
      </w:pPr>
      <w:r>
        <w:rPr>
          <w:rFonts w:cs="Times New Roman"/>
        </w:rPr>
        <w:t>As noted earlier,</w:t>
      </w:r>
      <w:r w:rsidR="00DD5FF5" w:rsidRPr="00DD5FF5">
        <w:rPr>
          <w:rFonts w:cs="Times New Roman"/>
        </w:rPr>
        <w:t xml:space="preserve"> </w:t>
      </w:r>
      <w:r>
        <w:rPr>
          <w:rFonts w:cs="Times New Roman"/>
        </w:rPr>
        <w:t xml:space="preserve">the youth </w:t>
      </w:r>
      <w:r w:rsidR="00DD5FF5" w:rsidRPr="00DD5FF5">
        <w:rPr>
          <w:rFonts w:cs="Times New Roman"/>
        </w:rPr>
        <w:t xml:space="preserve">unemployment rate is high </w:t>
      </w:r>
      <w:r w:rsidR="00935B27">
        <w:rPr>
          <w:rFonts w:cs="Times New Roman"/>
        </w:rPr>
        <w:t>(about 30 percent in 2012</w:t>
      </w:r>
      <w:r w:rsidR="00BE7956">
        <w:rPr>
          <w:rFonts w:cs="Times New Roman"/>
        </w:rPr>
        <w:t>, and over 50 percent for young women</w:t>
      </w:r>
      <w:r w:rsidR="00935B27">
        <w:rPr>
          <w:rFonts w:cs="Times New Roman"/>
        </w:rPr>
        <w:t xml:space="preserve">), and </w:t>
      </w:r>
      <w:r w:rsidR="00DD5FF5" w:rsidRPr="00DD5FF5">
        <w:rPr>
          <w:rFonts w:cs="Times New Roman"/>
        </w:rPr>
        <w:t>studies show that</w:t>
      </w:r>
      <w:r w:rsidR="00935B27">
        <w:rPr>
          <w:rFonts w:cs="Times New Roman"/>
        </w:rPr>
        <w:t xml:space="preserve"> </w:t>
      </w:r>
      <w:r w:rsidR="00DD5FF5" w:rsidRPr="00DD5FF5">
        <w:rPr>
          <w:rFonts w:cs="Times New Roman"/>
        </w:rPr>
        <w:t xml:space="preserve">youth </w:t>
      </w:r>
      <w:r w:rsidR="00935B27">
        <w:rPr>
          <w:rFonts w:cs="Times New Roman"/>
        </w:rPr>
        <w:t xml:space="preserve">find it difficult to cope </w:t>
      </w:r>
      <w:r w:rsidR="00DD5FF5" w:rsidRPr="00DD5FF5">
        <w:rPr>
          <w:rFonts w:cs="Times New Roman"/>
        </w:rPr>
        <w:t xml:space="preserve">with </w:t>
      </w:r>
      <w:r w:rsidR="00935B27">
        <w:rPr>
          <w:rFonts w:cs="Times New Roman"/>
        </w:rPr>
        <w:t xml:space="preserve">excessive </w:t>
      </w:r>
      <w:r w:rsidR="00DD5FF5" w:rsidRPr="00DD5FF5">
        <w:rPr>
          <w:rFonts w:cs="Times New Roman"/>
        </w:rPr>
        <w:t>free</w:t>
      </w:r>
      <w:r w:rsidR="00935B27">
        <w:rPr>
          <w:rFonts w:cs="Times New Roman"/>
        </w:rPr>
        <w:t xml:space="preserve"> </w:t>
      </w:r>
      <w:r w:rsidR="00DD5FF5" w:rsidRPr="00DD5FF5">
        <w:rPr>
          <w:rFonts w:cs="Times New Roman"/>
        </w:rPr>
        <w:t xml:space="preserve">time. </w:t>
      </w:r>
      <w:r w:rsidR="00935B27">
        <w:rPr>
          <w:rFonts w:cs="Times New Roman"/>
        </w:rPr>
        <w:t xml:space="preserve"> At the same time</w:t>
      </w:r>
      <w:r w:rsidR="00DD5FF5" w:rsidRPr="00DD5FF5">
        <w:rPr>
          <w:rFonts w:cs="Times New Roman"/>
        </w:rPr>
        <w:t xml:space="preserve">, with the growth of </w:t>
      </w:r>
      <w:r w:rsidR="00935B27">
        <w:rPr>
          <w:rFonts w:cs="Times New Roman"/>
        </w:rPr>
        <w:t xml:space="preserve">the </w:t>
      </w:r>
      <w:r w:rsidR="00DD5FF5" w:rsidRPr="00DD5FF5">
        <w:rPr>
          <w:rFonts w:cs="Times New Roman"/>
        </w:rPr>
        <w:t>Saudi economy and population,</w:t>
      </w:r>
      <w:r w:rsidR="00935B27">
        <w:rPr>
          <w:rFonts w:cs="Times New Roman"/>
        </w:rPr>
        <w:t xml:space="preserve"> it is clear that government will not be able to provide for </w:t>
      </w:r>
      <w:r w:rsidR="00DD5FF5" w:rsidRPr="00DD5FF5">
        <w:rPr>
          <w:rFonts w:cs="Times New Roman"/>
        </w:rPr>
        <w:t xml:space="preserve">some social and economic needs </w:t>
      </w:r>
      <w:r w:rsidR="00935B27">
        <w:rPr>
          <w:rFonts w:cs="Times New Roman"/>
        </w:rPr>
        <w:t>of communities and individuals</w:t>
      </w:r>
      <w:r w:rsidR="00DD5FF5" w:rsidRPr="00DD5FF5">
        <w:rPr>
          <w:rFonts w:cs="Times New Roman"/>
        </w:rPr>
        <w:t>.</w:t>
      </w:r>
      <w:r w:rsidR="00935B27">
        <w:rPr>
          <w:rFonts w:cs="Times New Roman"/>
        </w:rPr>
        <w:t xml:space="preserve">  Voluntary service can help bridge </w:t>
      </w:r>
      <w:r w:rsidR="00DD5FF5" w:rsidRPr="00DD5FF5">
        <w:rPr>
          <w:rFonts w:cs="Times New Roman"/>
        </w:rPr>
        <w:t>this gap.</w:t>
      </w:r>
    </w:p>
    <w:p w14:paraId="0CD7E27C" w14:textId="77777777" w:rsidR="00DA3EDE" w:rsidRPr="00DD5FF5" w:rsidRDefault="00C449D3" w:rsidP="00DA3EDE">
      <w:pPr>
        <w:autoSpaceDE w:val="0"/>
        <w:autoSpaceDN w:val="0"/>
        <w:adjustRightInd w:val="0"/>
        <w:spacing w:before="0" w:after="0"/>
        <w:ind w:right="0"/>
        <w:rPr>
          <w:rFonts w:cs="Times New Roman"/>
        </w:rPr>
      </w:pPr>
      <w:r>
        <w:rPr>
          <w:rFonts w:cs="Times New Roman"/>
        </w:rPr>
        <w:t xml:space="preserve">Volunteering brings </w:t>
      </w:r>
      <w:r w:rsidR="00DD5FF5" w:rsidRPr="00DD5FF5">
        <w:rPr>
          <w:rFonts w:cs="Times New Roman"/>
        </w:rPr>
        <w:t>benefits to individual and communities</w:t>
      </w:r>
      <w:r>
        <w:rPr>
          <w:rFonts w:cs="Times New Roman"/>
        </w:rPr>
        <w:t>.  It</w:t>
      </w:r>
      <w:r w:rsidR="00DD5FF5" w:rsidRPr="00DD5FF5">
        <w:rPr>
          <w:rFonts w:cs="Times New Roman"/>
        </w:rPr>
        <w:t xml:space="preserve"> can increas</w:t>
      </w:r>
      <w:r>
        <w:rPr>
          <w:rFonts w:cs="Times New Roman"/>
        </w:rPr>
        <w:t>e skills and knowledge, promote cooperation, encourage participation and contribute</w:t>
      </w:r>
      <w:r w:rsidR="00DD5FF5" w:rsidRPr="00DD5FF5">
        <w:rPr>
          <w:rFonts w:cs="Times New Roman"/>
        </w:rPr>
        <w:t xml:space="preserve"> to well-being.</w:t>
      </w:r>
      <w:r>
        <w:rPr>
          <w:rFonts w:cs="Times New Roman"/>
        </w:rPr>
        <w:t xml:space="preserve">  This </w:t>
      </w:r>
      <w:r w:rsidR="00DA3EDE">
        <w:rPr>
          <w:rFonts w:cs="Times New Roman"/>
        </w:rPr>
        <w:t xml:space="preserve">concept of benefits complements UNDP’s approach to human development: </w:t>
      </w:r>
      <w:r w:rsidR="00DA3EDE" w:rsidRPr="00DD5FF5">
        <w:rPr>
          <w:rFonts w:cs="Times New Roman"/>
        </w:rPr>
        <w:t>beyond basic needs</w:t>
      </w:r>
      <w:r w:rsidR="00DA3EDE">
        <w:rPr>
          <w:rFonts w:cs="Times New Roman"/>
        </w:rPr>
        <w:t xml:space="preserve">, </w:t>
      </w:r>
      <w:r w:rsidR="00DA3EDE" w:rsidRPr="00DD5FF5">
        <w:rPr>
          <w:rFonts w:cs="Times New Roman"/>
        </w:rPr>
        <w:t>expanding people’s freedoms</w:t>
      </w:r>
      <w:r w:rsidR="00DA3EDE">
        <w:rPr>
          <w:rFonts w:cs="Times New Roman"/>
        </w:rPr>
        <w:t xml:space="preserve"> </w:t>
      </w:r>
      <w:r w:rsidR="00DA3EDE" w:rsidRPr="00DD5FF5">
        <w:rPr>
          <w:rFonts w:cs="Times New Roman"/>
        </w:rPr>
        <w:t>and choices and increasing their capabilities to lead lives that they value.</w:t>
      </w:r>
      <w:r w:rsidR="00DA3EDE" w:rsidRPr="00DA3EDE">
        <w:rPr>
          <w:rFonts w:cs="Times New Roman"/>
        </w:rPr>
        <w:t xml:space="preserve"> </w:t>
      </w:r>
      <w:r w:rsidR="00DA3EDE">
        <w:rPr>
          <w:rFonts w:cs="Times New Roman"/>
        </w:rPr>
        <w:t xml:space="preserve"> </w:t>
      </w:r>
      <w:r w:rsidR="00DA3EDE" w:rsidRPr="00DD5FF5">
        <w:rPr>
          <w:rFonts w:cs="Times New Roman"/>
        </w:rPr>
        <w:t>To achieve human development, education,</w:t>
      </w:r>
      <w:r w:rsidR="00DA3EDE">
        <w:rPr>
          <w:rFonts w:cs="Times New Roman"/>
        </w:rPr>
        <w:t xml:space="preserve"> </w:t>
      </w:r>
      <w:r w:rsidR="00DA3EDE" w:rsidRPr="00DD5FF5">
        <w:rPr>
          <w:rFonts w:cs="Times New Roman"/>
        </w:rPr>
        <w:t>health and decent work can be combined with non-material attainments such as</w:t>
      </w:r>
      <w:r w:rsidR="00DA3EDE">
        <w:rPr>
          <w:rFonts w:cs="Times New Roman"/>
        </w:rPr>
        <w:t xml:space="preserve"> </w:t>
      </w:r>
      <w:r w:rsidR="00DA3EDE" w:rsidRPr="00DD5FF5">
        <w:rPr>
          <w:rFonts w:cs="Times New Roman"/>
        </w:rPr>
        <w:t>empowerment and citizen</w:t>
      </w:r>
      <w:r w:rsidR="00DA3EDE">
        <w:rPr>
          <w:rFonts w:cs="Times New Roman"/>
        </w:rPr>
        <w:t>ship, of which volunteering</w:t>
      </w:r>
      <w:r w:rsidR="00DA3EDE" w:rsidRPr="00DD5FF5">
        <w:rPr>
          <w:rFonts w:cs="Times New Roman"/>
        </w:rPr>
        <w:t xml:space="preserve"> is a strong expression.</w:t>
      </w:r>
    </w:p>
    <w:p w14:paraId="511870D5" w14:textId="77777777" w:rsidR="00DD5FF5" w:rsidRDefault="00DD5FF5" w:rsidP="00DA3EDE">
      <w:pPr>
        <w:autoSpaceDE w:val="0"/>
        <w:autoSpaceDN w:val="0"/>
        <w:adjustRightInd w:val="0"/>
        <w:spacing w:before="0" w:after="0"/>
        <w:ind w:right="0"/>
        <w:rPr>
          <w:rFonts w:cs="Times New Roman"/>
        </w:rPr>
      </w:pPr>
      <w:bookmarkStart w:id="30" w:name="_GoBack"/>
      <w:bookmarkEnd w:id="30"/>
    </w:p>
    <w:p w14:paraId="31AD87A7" w14:textId="77777777" w:rsidR="005051AA" w:rsidRPr="00C20AC9" w:rsidRDefault="00C21F26" w:rsidP="00C21F26">
      <w:pPr>
        <w:pStyle w:val="Heading5"/>
        <w:rPr>
          <w:rFonts w:ascii="Sylfaen" w:hAnsi="Sylfaen"/>
        </w:rPr>
      </w:pPr>
      <w:r>
        <w:t>Strategy of the Warif project</w:t>
      </w:r>
    </w:p>
    <w:p w14:paraId="6939D733" w14:textId="77777777" w:rsidR="00553DF3" w:rsidRDefault="00553DF3" w:rsidP="00553DF3">
      <w:pPr>
        <w:ind w:right="-72"/>
        <w:rPr>
          <w:rFonts w:cs="Times New Roman"/>
        </w:rPr>
      </w:pPr>
      <w:r>
        <w:t xml:space="preserve">Warif proposed to </w:t>
      </w:r>
      <w:r w:rsidRPr="00553DF3">
        <w:rPr>
          <w:rFonts w:cs="Times New Roman"/>
        </w:rPr>
        <w:t xml:space="preserve">build on </w:t>
      </w:r>
      <w:r w:rsidR="00DA3EDE">
        <w:rPr>
          <w:rFonts w:cs="Times New Roman"/>
        </w:rPr>
        <w:t>its own</w:t>
      </w:r>
      <w:r>
        <w:rPr>
          <w:rFonts w:cs="Times New Roman"/>
        </w:rPr>
        <w:t xml:space="preserve"> </w:t>
      </w:r>
      <w:r w:rsidRPr="00553DF3">
        <w:rPr>
          <w:rFonts w:cs="Times New Roman"/>
        </w:rPr>
        <w:t xml:space="preserve">institutional strengths </w:t>
      </w:r>
      <w:r>
        <w:rPr>
          <w:rFonts w:cs="Times New Roman"/>
        </w:rPr>
        <w:t xml:space="preserve">and </w:t>
      </w:r>
      <w:r w:rsidR="00DA3EDE">
        <w:rPr>
          <w:rFonts w:cs="Times New Roman"/>
        </w:rPr>
        <w:t xml:space="preserve">those of </w:t>
      </w:r>
      <w:r>
        <w:rPr>
          <w:rFonts w:cs="Times New Roman"/>
        </w:rPr>
        <w:t>UNDP.</w:t>
      </w:r>
      <w:r w:rsidR="00E75878">
        <w:rPr>
          <w:rFonts w:cs="Times New Roman"/>
        </w:rPr>
        <w:t xml:space="preserve">  A</w:t>
      </w:r>
      <w:r>
        <w:rPr>
          <w:rFonts w:cs="Times New Roman"/>
        </w:rPr>
        <w:t xml:space="preserve">lready </w:t>
      </w:r>
      <w:r w:rsidR="00E75878">
        <w:rPr>
          <w:rFonts w:cs="Times New Roman"/>
        </w:rPr>
        <w:t xml:space="preserve">existing as </w:t>
      </w:r>
      <w:r>
        <w:rPr>
          <w:rFonts w:cs="Times New Roman"/>
        </w:rPr>
        <w:t xml:space="preserve">a national NGO </w:t>
      </w:r>
      <w:r w:rsidRPr="00553DF3">
        <w:rPr>
          <w:rFonts w:cs="Times New Roman"/>
        </w:rPr>
        <w:t xml:space="preserve">with a mandate to </w:t>
      </w:r>
      <w:r w:rsidR="005F6CE3">
        <w:rPr>
          <w:rFonts w:cs="Times New Roman"/>
        </w:rPr>
        <w:t xml:space="preserve">encourage </w:t>
      </w:r>
      <w:r>
        <w:rPr>
          <w:rFonts w:cs="Times New Roman"/>
        </w:rPr>
        <w:t>young people</w:t>
      </w:r>
      <w:r w:rsidR="005F6CE3">
        <w:rPr>
          <w:rFonts w:cs="Times New Roman"/>
        </w:rPr>
        <w:t xml:space="preserve"> in volunteering</w:t>
      </w:r>
      <w:r>
        <w:rPr>
          <w:rFonts w:cs="Times New Roman"/>
        </w:rPr>
        <w:t>,</w:t>
      </w:r>
      <w:r w:rsidRPr="00553DF3">
        <w:rPr>
          <w:rFonts w:cs="Times New Roman"/>
        </w:rPr>
        <w:t xml:space="preserve"> </w:t>
      </w:r>
      <w:r w:rsidR="00B31EDA">
        <w:rPr>
          <w:rFonts w:cs="Times New Roman"/>
        </w:rPr>
        <w:t xml:space="preserve">Warif explicitly embraced </w:t>
      </w:r>
      <w:r>
        <w:rPr>
          <w:rFonts w:cs="Times New Roman"/>
        </w:rPr>
        <w:t xml:space="preserve">a </w:t>
      </w:r>
      <w:r w:rsidRPr="00553DF3">
        <w:rPr>
          <w:rFonts w:cs="Times New Roman"/>
        </w:rPr>
        <w:t>socially</w:t>
      </w:r>
      <w:r>
        <w:rPr>
          <w:rFonts w:cs="Times New Roman"/>
        </w:rPr>
        <w:t xml:space="preserve"> </w:t>
      </w:r>
      <w:r w:rsidRPr="00553DF3">
        <w:rPr>
          <w:rFonts w:cs="Times New Roman"/>
        </w:rPr>
        <w:t xml:space="preserve">inclusive </w:t>
      </w:r>
      <w:r>
        <w:rPr>
          <w:rFonts w:cs="Times New Roman"/>
        </w:rPr>
        <w:t xml:space="preserve">vision of </w:t>
      </w:r>
      <w:r w:rsidRPr="00553DF3">
        <w:rPr>
          <w:rFonts w:cs="Times New Roman"/>
        </w:rPr>
        <w:t>development</w:t>
      </w:r>
      <w:r>
        <w:rPr>
          <w:rFonts w:cs="Times New Roman"/>
        </w:rPr>
        <w:t xml:space="preserve">.  </w:t>
      </w:r>
      <w:r w:rsidR="00B31EDA">
        <w:rPr>
          <w:rFonts w:cs="Times New Roman"/>
        </w:rPr>
        <w:t>It</w:t>
      </w:r>
      <w:r w:rsidR="005F6CE3">
        <w:rPr>
          <w:rFonts w:cs="Times New Roman"/>
        </w:rPr>
        <w:t xml:space="preserve"> saw </w:t>
      </w:r>
      <w:r>
        <w:rPr>
          <w:rFonts w:cs="Times New Roman"/>
        </w:rPr>
        <w:t>UNDP as a natural partner</w:t>
      </w:r>
      <w:r w:rsidRPr="00553DF3">
        <w:rPr>
          <w:rFonts w:cs="Times New Roman"/>
        </w:rPr>
        <w:t xml:space="preserve"> </w:t>
      </w:r>
      <w:r w:rsidR="005F6CE3">
        <w:rPr>
          <w:rFonts w:cs="Times New Roman"/>
        </w:rPr>
        <w:t xml:space="preserve">based on its </w:t>
      </w:r>
      <w:r>
        <w:rPr>
          <w:rFonts w:cs="Times New Roman"/>
        </w:rPr>
        <w:t>worldwide experience</w:t>
      </w:r>
      <w:r w:rsidRPr="00553DF3">
        <w:rPr>
          <w:rFonts w:cs="Times New Roman"/>
        </w:rPr>
        <w:t xml:space="preserve"> in</w:t>
      </w:r>
      <w:r>
        <w:rPr>
          <w:rFonts w:cs="Times New Roman"/>
        </w:rPr>
        <w:t xml:space="preserve"> developing national capacities</w:t>
      </w:r>
      <w:r w:rsidR="00B31EDA">
        <w:rPr>
          <w:rFonts w:cs="Times New Roman"/>
        </w:rPr>
        <w:t xml:space="preserve">: </w:t>
      </w:r>
      <w:r w:rsidR="005F6CE3">
        <w:rPr>
          <w:rFonts w:cs="Times New Roman"/>
        </w:rPr>
        <w:t xml:space="preserve"> for sustainable </w:t>
      </w:r>
      <w:r w:rsidRPr="00553DF3">
        <w:rPr>
          <w:rFonts w:cs="Times New Roman"/>
        </w:rPr>
        <w:t>and efficient institutions</w:t>
      </w:r>
      <w:r w:rsidR="005F6CE3">
        <w:rPr>
          <w:rFonts w:cs="Times New Roman"/>
        </w:rPr>
        <w:t xml:space="preserve"> and</w:t>
      </w:r>
      <w:r>
        <w:rPr>
          <w:rFonts w:cs="Times New Roman"/>
        </w:rPr>
        <w:t xml:space="preserve"> </w:t>
      </w:r>
      <w:r w:rsidR="00B31EDA">
        <w:rPr>
          <w:rFonts w:cs="Times New Roman"/>
        </w:rPr>
        <w:t xml:space="preserve">in the </w:t>
      </w:r>
      <w:r>
        <w:rPr>
          <w:rFonts w:cs="Times New Roman"/>
        </w:rPr>
        <w:t>delivery of</w:t>
      </w:r>
      <w:r w:rsidRPr="00553DF3">
        <w:rPr>
          <w:rFonts w:cs="Times New Roman"/>
        </w:rPr>
        <w:t xml:space="preserve"> n</w:t>
      </w:r>
      <w:r w:rsidR="00C21F26">
        <w:rPr>
          <w:rFonts w:cs="Times New Roman"/>
        </w:rPr>
        <w:t xml:space="preserve">ational development priorities.  </w:t>
      </w:r>
      <w:r w:rsidR="005F6CE3">
        <w:rPr>
          <w:rFonts w:cs="Times New Roman"/>
        </w:rPr>
        <w:t xml:space="preserve">The project </w:t>
      </w:r>
      <w:r w:rsidR="00B31EDA">
        <w:rPr>
          <w:rFonts w:cs="Times New Roman"/>
        </w:rPr>
        <w:t>drew on</w:t>
      </w:r>
      <w:r w:rsidR="005F6CE3">
        <w:rPr>
          <w:rFonts w:cs="Times New Roman"/>
        </w:rPr>
        <w:t xml:space="preserve"> UNDP’s</w:t>
      </w:r>
      <w:r w:rsidR="00C21F26">
        <w:rPr>
          <w:rFonts w:cs="Times New Roman"/>
        </w:rPr>
        <w:t xml:space="preserve"> </w:t>
      </w:r>
      <w:r w:rsidRPr="00553DF3">
        <w:rPr>
          <w:rFonts w:cs="Times New Roman"/>
        </w:rPr>
        <w:t>capability to mobilize technical and subs</w:t>
      </w:r>
      <w:r w:rsidR="00C21F26">
        <w:rPr>
          <w:rFonts w:cs="Times New Roman"/>
        </w:rPr>
        <w:t>tantive assistance from the UN s</w:t>
      </w:r>
      <w:r w:rsidRPr="00553DF3">
        <w:rPr>
          <w:rFonts w:cs="Times New Roman"/>
        </w:rPr>
        <w:t>ystem (</w:t>
      </w:r>
      <w:r w:rsidR="00C21F26">
        <w:rPr>
          <w:rFonts w:cs="Times New Roman"/>
        </w:rPr>
        <w:t xml:space="preserve">in this case </w:t>
      </w:r>
      <w:r w:rsidRPr="00553DF3">
        <w:rPr>
          <w:rFonts w:cs="Times New Roman"/>
        </w:rPr>
        <w:t>UNV) to</w:t>
      </w:r>
      <w:r w:rsidR="00C21F26">
        <w:rPr>
          <w:rFonts w:cs="Times New Roman"/>
        </w:rPr>
        <w:t xml:space="preserve"> ensure that the results of Warif</w:t>
      </w:r>
      <w:r w:rsidRPr="00553DF3">
        <w:rPr>
          <w:rFonts w:cs="Times New Roman"/>
        </w:rPr>
        <w:t xml:space="preserve">’s work </w:t>
      </w:r>
      <w:r w:rsidR="00C21F26">
        <w:rPr>
          <w:rFonts w:cs="Times New Roman"/>
        </w:rPr>
        <w:t>would be</w:t>
      </w:r>
      <w:r w:rsidRPr="00553DF3">
        <w:rPr>
          <w:rFonts w:cs="Times New Roman"/>
        </w:rPr>
        <w:t xml:space="preserve"> in line with the best international</w:t>
      </w:r>
      <w:r w:rsidR="00C21F26">
        <w:rPr>
          <w:rFonts w:cs="Times New Roman"/>
        </w:rPr>
        <w:t xml:space="preserve"> </w:t>
      </w:r>
      <w:r w:rsidRPr="00553DF3">
        <w:rPr>
          <w:rFonts w:cs="Times New Roman"/>
        </w:rPr>
        <w:t>practices.</w:t>
      </w:r>
    </w:p>
    <w:p w14:paraId="6B01AEF2" w14:textId="77777777" w:rsidR="009A3CDC" w:rsidRDefault="00E75878" w:rsidP="00553DF3">
      <w:pPr>
        <w:ind w:right="-72"/>
      </w:pPr>
      <w:r>
        <w:t>The project document (PD) was</w:t>
      </w:r>
      <w:r w:rsidR="0033627D">
        <w:t xml:space="preserve"> prepared in 2012 when Warif had marked its first year of oper</w:t>
      </w:r>
      <w:r w:rsidR="009A3CDC">
        <w:t>ations, finding itself with a vast mandate and very limited human resources.</w:t>
      </w:r>
      <w:r w:rsidR="0033627D">
        <w:t xml:space="preserve"> The </w:t>
      </w:r>
      <w:r w:rsidR="009A3CDC">
        <w:t>RRF envisioned an ambitious programme for the initial one-year term available.  However, start-up was delayed and UNDP responded flexibly:  the project was extended to a second year.</w:t>
      </w:r>
      <w:r w:rsidR="006E7CD3">
        <w:t xml:space="preserve">  UNDP assisted Warif </w:t>
      </w:r>
      <w:r w:rsidR="00BF0674">
        <w:t xml:space="preserve">to develop its capacity-development-based approach, and to identify potential consultants through the global UN Volunteers (UNV) pool of talent.  Warif staff built on their learning during the difficult start-up period to identify their needs and make the consultant selection themselves from the short list provided by UNDP.  Following a successful planning stage with the UNV consultant, </w:t>
      </w:r>
      <w:r w:rsidR="00114FC9">
        <w:t xml:space="preserve">the organization is now </w:t>
      </w:r>
      <w:r w:rsidR="004B764D">
        <w:t>expanding its activities (including “Warif radio”), developing its detailed M&amp;E plan for implementation, producing manuals for each of its departments to develop a corporate memory and “how to” library, and preparing to share its experience with national and international partners.</w:t>
      </w:r>
    </w:p>
    <w:p w14:paraId="3AA15793" w14:textId="77777777" w:rsidR="006E7CD3" w:rsidRDefault="006E7CD3" w:rsidP="006E7CD3">
      <w:pPr>
        <w:pStyle w:val="Heading5"/>
      </w:pPr>
      <w:r>
        <w:t>Results</w:t>
      </w:r>
    </w:p>
    <w:p w14:paraId="5AA97E57" w14:textId="77777777" w:rsidR="00B56FC7" w:rsidRDefault="009A3CDC" w:rsidP="00553DF3">
      <w:pPr>
        <w:ind w:right="-72"/>
      </w:pPr>
      <w:r>
        <w:t xml:space="preserve">In the brief working time to date Warif has developed a vibrant programme that cooperates with a large number of partner and spin-off </w:t>
      </w:r>
      <w:r w:rsidR="004B764D">
        <w:t xml:space="preserve">specialized </w:t>
      </w:r>
      <w:r>
        <w:t xml:space="preserve">volunteer groups.  </w:t>
      </w:r>
      <w:r w:rsidR="00B56FC7">
        <w:t xml:space="preserve">It aims to spread the word about the role youth can play in society through volunteering.  </w:t>
      </w:r>
    </w:p>
    <w:p w14:paraId="3360A493" w14:textId="77777777" w:rsidR="00B31EDA" w:rsidRDefault="009A3CDC" w:rsidP="00553DF3">
      <w:pPr>
        <w:ind w:right="-72"/>
      </w:pPr>
      <w:r>
        <w:t xml:space="preserve">Electing to be present in small centres, it has expanded outside Riyadh to 11 provincial towns.  It organizes separate volunteer groups for women and men.  Encountering resistance in outlying centres to female participation, it opted to launch activities with children for its female volunteers, and rapidly gained acceptance.  </w:t>
      </w:r>
      <w:r w:rsidR="00B56FC7">
        <w:t>The programme has run a Volunteers Forum that brought together 52 volunteerism trainers from across Saudi Arabia, women and men in equal numbers, for a course on “the power of volunteering”.</w:t>
      </w:r>
      <w:r w:rsidR="009424D2">
        <w:t xml:space="preserve">  In the past year Warif has run workshops on topics that preoccupy young people, such as “Job 101”, a workshop similar to a guidance class, on life skills including how to choose a career line; and “Job 102”, how to succeed in your job once you’ve got it.</w:t>
      </w:r>
    </w:p>
    <w:p w14:paraId="1D96747F" w14:textId="77777777" w:rsidR="009424D2" w:rsidRDefault="009424D2" w:rsidP="00553DF3">
      <w:pPr>
        <w:ind w:right="-72"/>
      </w:pPr>
      <w:r>
        <w:t>In discussions with Warif managing staff, the mission heard how women are proving to be among the best leadership candidates, how some volunteers have found encounters with the UN system (such as an introduction to an international court in Geneva) an opening to a wider world than school life had offered, and how the world of volunteering has expanded the vision of its young membership.</w:t>
      </w:r>
    </w:p>
    <w:p w14:paraId="2FFFDE7D" w14:textId="750AFC8D" w:rsidR="006E7CD3" w:rsidRDefault="006E7CD3" w:rsidP="00553DF3">
      <w:pPr>
        <w:ind w:right="-72"/>
      </w:pPr>
      <w:r>
        <w:t>With a</w:t>
      </w:r>
      <w:r w:rsidR="008068CB">
        <w:t xml:space="preserve"> project</w:t>
      </w:r>
      <w:r>
        <w:t xml:space="preserve"> budget of $150,000 and a staff made up almost entirely of volunteers, it is clear that Warif remains an organization with “a massive mandate and limited resources”.  Unlike other NGOs, however, Warif managers believe that they may have a sustainable future.  The foundations supporting the organization have been open to proposals to expand their assistance.  </w:t>
      </w:r>
    </w:p>
    <w:p w14:paraId="06073DA7" w14:textId="77777777" w:rsidR="00C20AC9" w:rsidRDefault="004B764D" w:rsidP="004B764D">
      <w:pPr>
        <w:ind w:right="-72"/>
      </w:pPr>
      <w:r>
        <w:t>The relatively positive outlook for Warif may seem a dream scenario for other NGOs.  In the following paragraphs we look at the situation of the first experience of partnering between UNDP and a local NGO.</w:t>
      </w:r>
    </w:p>
    <w:p w14:paraId="5ED4D3C8" w14:textId="77777777" w:rsidR="00464502" w:rsidRPr="00464502" w:rsidRDefault="00464502" w:rsidP="00464502"/>
    <w:p w14:paraId="25CD8EA1" w14:textId="77777777" w:rsidR="004E2C04" w:rsidRPr="004E2C04" w:rsidRDefault="004E2C04" w:rsidP="00E878BB">
      <w:pPr>
        <w:pStyle w:val="Heading3"/>
        <w:numPr>
          <w:ilvl w:val="2"/>
          <w:numId w:val="31"/>
        </w:numPr>
        <w:spacing w:before="120" w:after="120"/>
        <w:ind w:right="-23"/>
      </w:pPr>
      <w:bookmarkStart w:id="31" w:name="_Toc399078761"/>
      <w:r>
        <w:t>Women:  Capacity of CSOs and policies to support women’s empowerment</w:t>
      </w:r>
      <w:bookmarkEnd w:id="31"/>
    </w:p>
    <w:p w14:paraId="59E56A56" w14:textId="77777777" w:rsidR="004E2C04" w:rsidRDefault="00BA401F" w:rsidP="00E75878">
      <w:pPr>
        <w:ind w:right="-72"/>
      </w:pPr>
      <w:r>
        <w:t xml:space="preserve">The project “Women Empowerment in Saudi Arabia” </w:t>
      </w:r>
      <w:r w:rsidR="00B22E3B">
        <w:t xml:space="preserve">(WE) </w:t>
      </w:r>
      <w:r>
        <w:t>was signed in 2011 between UNDP and an NGO, the Prince Sultan Fund</w:t>
      </w:r>
      <w:r w:rsidR="009D19C7">
        <w:t xml:space="preserve"> (PSF)</w:t>
      </w:r>
      <w:r>
        <w:t>.  This marked the first time UNDP has worked with an NGO as its implementing partner.</w:t>
      </w:r>
    </w:p>
    <w:p w14:paraId="512D59C1" w14:textId="77777777" w:rsidR="00BA401F" w:rsidRDefault="00BA401F" w:rsidP="00E75878">
      <w:pPr>
        <w:ind w:right="-72"/>
      </w:pPr>
      <w:r>
        <w:t xml:space="preserve">The project </w:t>
      </w:r>
      <w:r w:rsidR="005A5C35">
        <w:t>came</w:t>
      </w:r>
      <w:r>
        <w:t xml:space="preserve"> under the rubric of the CPD Outcome,</w:t>
      </w:r>
      <w:r w:rsidR="00C9153E">
        <w:t xml:space="preserve"> stated in a condensed version as:  </w:t>
      </w:r>
      <w:r>
        <w:t xml:space="preserve"> “Enhancing the Role of Women and Youth in National Development”.  It was originally slated to run for two years, and targeted doubling the number of women entrepreneurs assisted by the Princess Jawahir Center for Women Empowerment (PJC)</w:t>
      </w:r>
      <w:r w:rsidR="009D19C7">
        <w:t>, which is supported by PSF</w:t>
      </w:r>
      <w:r w:rsidR="00540FEE">
        <w:t xml:space="preserve">.  </w:t>
      </w:r>
      <w:r w:rsidR="009D19C7">
        <w:t>Its</w:t>
      </w:r>
      <w:r w:rsidR="00540FEE">
        <w:t xml:space="preserve"> geographic area of operation was the Eastern Province.</w:t>
      </w:r>
    </w:p>
    <w:p w14:paraId="53D92C43" w14:textId="77777777" w:rsidR="00B22E3B" w:rsidRDefault="00B22E3B" w:rsidP="00B22E3B">
      <w:pPr>
        <w:autoSpaceDE w:val="0"/>
        <w:autoSpaceDN w:val="0"/>
        <w:adjustRightInd w:val="0"/>
        <w:ind w:right="0"/>
      </w:pPr>
      <w:r>
        <w:t xml:space="preserve">The WE project was well defined in the PD.  It articulated its </w:t>
      </w:r>
      <w:r w:rsidRPr="0045322E">
        <w:rPr>
          <w:i/>
        </w:rPr>
        <w:t>target</w:t>
      </w:r>
      <w:r>
        <w:t xml:space="preserve"> result as: </w:t>
      </w:r>
      <w:r w:rsidRPr="001C1138">
        <w:rPr>
          <w:b/>
          <w:bCs/>
        </w:rPr>
        <w:t xml:space="preserve"> </w:t>
      </w:r>
      <w:r>
        <w:rPr>
          <w:b/>
          <w:bCs/>
        </w:rPr>
        <w:t>“</w:t>
      </w:r>
      <w:r w:rsidRPr="001C1138">
        <w:t xml:space="preserve">Increased number of women able to participate in </w:t>
      </w:r>
      <w:r>
        <w:t xml:space="preserve">the mainstream economy”.  The </w:t>
      </w:r>
      <w:r w:rsidRPr="0045322E">
        <w:rPr>
          <w:i/>
        </w:rPr>
        <w:t>indicator</w:t>
      </w:r>
      <w:r>
        <w:t xml:space="preserve"> of this result was:  “</w:t>
      </w:r>
      <w:r w:rsidRPr="001C1138">
        <w:t>Enhanced capacity of CSOs to provide women empowerment opportunities, new policies to support women empowerment</w:t>
      </w:r>
      <w:r>
        <w:t xml:space="preserve">”. </w:t>
      </w:r>
    </w:p>
    <w:p w14:paraId="4D83D670" w14:textId="77777777" w:rsidR="00540FEE" w:rsidRDefault="00540FEE" w:rsidP="00540FEE">
      <w:pPr>
        <w:ind w:right="-72"/>
      </w:pPr>
      <w:r>
        <w:t xml:space="preserve">In describing the </w:t>
      </w:r>
      <w:r w:rsidRPr="0045322E">
        <w:rPr>
          <w:i/>
        </w:rPr>
        <w:t>baseline</w:t>
      </w:r>
      <w:r>
        <w:t xml:space="preserve"> for women’s employment support networks, the PD noted that the </w:t>
      </w:r>
      <w:r w:rsidR="00F16EFA">
        <w:t>Eastern provincial region lacks</w:t>
      </w:r>
      <w:r>
        <w:t xml:space="preserve"> a number of key resources.  </w:t>
      </w:r>
      <w:r w:rsidR="00522837">
        <w:t>It</w:t>
      </w:r>
      <w:r>
        <w:t xml:space="preserve"> singled out the need for a </w:t>
      </w:r>
      <w:r w:rsidRPr="00540FEE">
        <w:t xml:space="preserve">core </w:t>
      </w:r>
      <w:r w:rsidR="00522837">
        <w:t>group of t</w:t>
      </w:r>
      <w:r w:rsidRPr="00540FEE">
        <w:t xml:space="preserve">rainers, customized training materials, mentorship programmes and platforms for sharing relevant knowledge and experience.  </w:t>
      </w:r>
      <w:r w:rsidR="00522837">
        <w:t>It</w:t>
      </w:r>
      <w:r w:rsidRPr="00540FEE">
        <w:t xml:space="preserve"> also underscored the need to develop the capacity of </w:t>
      </w:r>
      <w:r w:rsidR="00522837">
        <w:t>Saudi w</w:t>
      </w:r>
      <w:r w:rsidRPr="00540FEE">
        <w:t xml:space="preserve">omen entrepreneurs in </w:t>
      </w:r>
      <w:r w:rsidR="00D41B8B">
        <w:t xml:space="preserve">the </w:t>
      </w:r>
      <w:r w:rsidRPr="00540FEE">
        <w:t xml:space="preserve">practical </w:t>
      </w:r>
      <w:r w:rsidR="00D41B8B" w:rsidRPr="00540FEE">
        <w:t xml:space="preserve">operations </w:t>
      </w:r>
      <w:r w:rsidR="00D41B8B">
        <w:t xml:space="preserve">of </w:t>
      </w:r>
      <w:r w:rsidRPr="00540FEE">
        <w:t>business</w:t>
      </w:r>
      <w:r w:rsidR="00522837">
        <w:t>es</w:t>
      </w:r>
      <w:r w:rsidRPr="00540FEE">
        <w:t xml:space="preserve">. </w:t>
      </w:r>
    </w:p>
    <w:p w14:paraId="55C66732" w14:textId="77777777" w:rsidR="00D41B8B" w:rsidRDefault="008C4174" w:rsidP="00540FEE">
      <w:pPr>
        <w:ind w:right="-72"/>
      </w:pPr>
      <w:r>
        <w:t>The project planned to strengthen PSF/PJC in its capacities to resource and deliver services to women entrepreneurs, through a number of training programmes and the development of knowledge products, resource manuals and other materials.  It also planned to provide essential legal and market consultation services to assist selected entrepreneurs</w:t>
      </w:r>
      <w:r w:rsidR="00C22B34">
        <w:t>.</w:t>
      </w:r>
    </w:p>
    <w:p w14:paraId="3771C135" w14:textId="77777777" w:rsidR="0031101A" w:rsidRDefault="0031101A" w:rsidP="00540FEE">
      <w:pPr>
        <w:ind w:right="-72"/>
      </w:pPr>
      <w:r>
        <w:t>The WE project through PSF was able to conduct training workshops for entrepreneurs and to pioneer approaches to providing better business services.  The project has embraced the challenge of giving women visibility.  For example, in a context where many women’s businesses operate from home, the project helped them use Internet resources to build their profiles in their professional field.  Even the most talented professional, managers explained, needs to raise her</w:t>
      </w:r>
      <w:r w:rsidRPr="0031101A">
        <w:t xml:space="preserve"> </w:t>
      </w:r>
      <w:r>
        <w:t>visibility to be recognized in her area and to reach clients.</w:t>
      </w:r>
    </w:p>
    <w:p w14:paraId="617053AC" w14:textId="5BBF5B10" w:rsidR="00EE10B9" w:rsidRDefault="00EE10B9" w:rsidP="000056B7">
      <w:pPr>
        <w:pStyle w:val="Heading5"/>
        <w:spacing w:before="120" w:after="120"/>
      </w:pPr>
      <w:r>
        <w:t>Impact of women’s trainings</w:t>
      </w:r>
    </w:p>
    <w:p w14:paraId="7E7EB376" w14:textId="5F5082AF" w:rsidR="000056B7" w:rsidRPr="000056B7" w:rsidRDefault="00515C0E" w:rsidP="009D0E0C">
      <w:pPr>
        <w:pStyle w:val="Word4095Nul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Sylfaen" w:eastAsiaTheme="minorHAnsi" w:hAnsi="Sylfaen" w:cstheme="minorBidi"/>
          <w:sz w:val="22"/>
          <w:szCs w:val="22"/>
          <w:lang w:val="en-GB"/>
        </w:rPr>
      </w:pPr>
      <w:r w:rsidRPr="000056B7">
        <w:rPr>
          <w:rFonts w:ascii="Sylfaen" w:eastAsiaTheme="minorHAnsi" w:hAnsi="Sylfaen" w:cstheme="minorBidi"/>
          <w:sz w:val="22"/>
          <w:szCs w:val="22"/>
          <w:lang w:val="en-GB"/>
        </w:rPr>
        <w:t xml:space="preserve">Overall, project staff felt strongly that the WE project had contributed to increased </w:t>
      </w:r>
      <w:r w:rsidR="00EE10B9" w:rsidRPr="000056B7">
        <w:rPr>
          <w:rFonts w:ascii="Sylfaen" w:eastAsiaTheme="minorHAnsi" w:hAnsi="Sylfaen" w:cstheme="minorBidi"/>
          <w:sz w:val="22"/>
          <w:szCs w:val="22"/>
          <w:lang w:val="en-GB"/>
        </w:rPr>
        <w:t>empowerment of women on personal, organizational and economic levels.</w:t>
      </w:r>
      <w:r w:rsidRPr="000056B7">
        <w:rPr>
          <w:rFonts w:ascii="Sylfaen" w:eastAsiaTheme="minorHAnsi" w:hAnsi="Sylfaen" w:cstheme="minorBidi"/>
          <w:sz w:val="22"/>
          <w:szCs w:val="22"/>
          <w:lang w:val="en-GB"/>
        </w:rPr>
        <w:t xml:space="preserve"> </w:t>
      </w:r>
      <w:r w:rsidR="000056B7">
        <w:rPr>
          <w:rFonts w:ascii="Sylfaen" w:eastAsiaTheme="minorHAnsi" w:hAnsi="Sylfaen" w:cstheme="minorBidi"/>
          <w:sz w:val="22"/>
          <w:szCs w:val="22"/>
          <w:lang w:val="en-GB"/>
        </w:rPr>
        <w:t xml:space="preserve">It had also helped PSF strengthen its own role in supporting objectives of empowering women. </w:t>
      </w:r>
      <w:r w:rsidRPr="000056B7">
        <w:rPr>
          <w:rFonts w:ascii="Sylfaen" w:eastAsiaTheme="minorHAnsi" w:hAnsi="Sylfaen" w:cstheme="minorBidi"/>
          <w:sz w:val="22"/>
          <w:szCs w:val="22"/>
          <w:lang w:val="en-GB"/>
        </w:rPr>
        <w:t xml:space="preserve"> In concrete ways, routine administrative systems were improved, for example by developing an internal filing system to enable the staff to work more effectively. Materials were prepared to support SME stakeholders with high-quality programmes designed for use by trainers, mentors, and consultants</w:t>
      </w:r>
      <w:r w:rsidR="00C038D2" w:rsidRPr="000056B7">
        <w:rPr>
          <w:rFonts w:ascii="Sylfaen" w:eastAsiaTheme="minorHAnsi" w:hAnsi="Sylfaen" w:cstheme="minorBidi"/>
          <w:sz w:val="22"/>
          <w:szCs w:val="22"/>
          <w:lang w:val="en-GB"/>
        </w:rPr>
        <w:t>.</w:t>
      </w:r>
      <w:r w:rsidR="00C038D2" w:rsidRPr="00C038D2">
        <w:rPr>
          <w:rFonts w:ascii="Sylfaen" w:eastAsiaTheme="minorHAnsi" w:hAnsi="Sylfaen" w:cstheme="minorBidi"/>
          <w:sz w:val="22"/>
          <w:szCs w:val="22"/>
          <w:lang w:val="en-GB"/>
        </w:rPr>
        <w:t xml:space="preserve"> The training sessions contributed significantly to empowering and guiding staff members and building their self-confidence. A consultant mission provided PSJ with a manual for further training sessions and a list of skills that employees need to improve upon</w:t>
      </w:r>
      <w:r w:rsidR="00C038D2" w:rsidRPr="000056B7">
        <w:rPr>
          <w:rFonts w:ascii="Sylfaen" w:eastAsiaTheme="minorHAnsi" w:hAnsi="Sylfaen" w:cstheme="minorBidi"/>
          <w:sz w:val="22"/>
          <w:szCs w:val="22"/>
          <w:lang w:val="en-GB"/>
        </w:rPr>
        <w:t xml:space="preserve">. </w:t>
      </w:r>
      <w:r w:rsidR="00013FAF" w:rsidRPr="000056B7">
        <w:rPr>
          <w:rFonts w:ascii="Sylfaen" w:eastAsiaTheme="minorHAnsi" w:hAnsi="Sylfaen" w:cstheme="minorBidi"/>
          <w:sz w:val="22"/>
          <w:szCs w:val="22"/>
          <w:lang w:val="en-GB"/>
        </w:rPr>
        <w:t xml:space="preserve">PSF was able to make tremendous </w:t>
      </w:r>
      <w:r w:rsidR="00013FAF">
        <w:rPr>
          <w:rFonts w:ascii="Sylfaen" w:eastAsiaTheme="minorHAnsi" w:hAnsi="Sylfaen" w:cstheme="minorBidi"/>
          <w:sz w:val="22"/>
          <w:szCs w:val="22"/>
          <w:lang w:val="en-GB"/>
        </w:rPr>
        <w:t xml:space="preserve">efforts through the assistance provided, </w:t>
      </w:r>
      <w:r w:rsidR="00013FAF" w:rsidRPr="00013FAF">
        <w:rPr>
          <w:rFonts w:ascii="Sylfaen" w:eastAsiaTheme="minorHAnsi" w:hAnsi="Sylfaen" w:cstheme="minorBidi"/>
          <w:sz w:val="22"/>
          <w:szCs w:val="22"/>
          <w:lang w:val="en-GB"/>
        </w:rPr>
        <w:t>to build, develop, and harness capacities for its staff, underst</w:t>
      </w:r>
      <w:r w:rsidR="00013FAF" w:rsidRPr="000056B7">
        <w:rPr>
          <w:rFonts w:ascii="Sylfaen" w:eastAsiaTheme="minorHAnsi" w:hAnsi="Sylfaen" w:cstheme="minorBidi"/>
          <w:sz w:val="22"/>
          <w:szCs w:val="22"/>
          <w:lang w:val="en-GB"/>
        </w:rPr>
        <w:t>anding the value of skilled and well trained employees to achieve targets</w:t>
      </w:r>
      <w:r w:rsidR="00013FAF" w:rsidRPr="006E0517">
        <w:rPr>
          <w:rFonts w:ascii="Sylfaen" w:eastAsiaTheme="minorHAnsi" w:hAnsi="Sylfaen" w:cstheme="minorBidi"/>
          <w:sz w:val="22"/>
          <w:szCs w:val="22"/>
          <w:lang w:val="en-GB"/>
        </w:rPr>
        <w:t xml:space="preserve">. </w:t>
      </w:r>
      <w:r w:rsidR="00013FAF">
        <w:rPr>
          <w:rFonts w:ascii="Sylfaen" w:eastAsiaTheme="minorHAnsi" w:hAnsi="Sylfaen" w:cstheme="minorBidi"/>
          <w:sz w:val="22"/>
          <w:szCs w:val="22"/>
          <w:lang w:val="en-GB"/>
        </w:rPr>
        <w:t xml:space="preserve"> It has specifically visualized targeting youth, understanding the role of this key demographic group.  It </w:t>
      </w:r>
      <w:r w:rsidR="00013FAF" w:rsidRPr="000056B7">
        <w:rPr>
          <w:rFonts w:ascii="Sylfaen" w:eastAsiaTheme="minorHAnsi" w:hAnsi="Sylfaen" w:cstheme="minorBidi"/>
          <w:sz w:val="22"/>
          <w:szCs w:val="22"/>
          <w:lang w:val="en-GB"/>
        </w:rPr>
        <w:t>plans</w:t>
      </w:r>
      <w:r w:rsidR="006E0517" w:rsidRPr="000056B7">
        <w:rPr>
          <w:rFonts w:ascii="Sylfaen" w:eastAsiaTheme="minorHAnsi" w:hAnsi="Sylfaen" w:cstheme="minorBidi"/>
          <w:sz w:val="22"/>
          <w:szCs w:val="22"/>
          <w:lang w:val="en-GB"/>
        </w:rPr>
        <w:t xml:space="preserve"> to build a consultation centre that will provide guidance for careers, academic options and networking with universities at home and abroad.</w:t>
      </w:r>
      <w:r w:rsidR="000056B7" w:rsidRPr="000056B7">
        <w:rPr>
          <w:rFonts w:ascii="Sylfaen" w:eastAsiaTheme="minorHAnsi" w:hAnsi="Sylfaen" w:cstheme="minorBidi"/>
          <w:sz w:val="22"/>
          <w:szCs w:val="22"/>
          <w:lang w:val="en-GB"/>
        </w:rPr>
        <w:t xml:space="preserve">  Such centres should provide for trainers who are equipped to train other females on how to run small businesses and penetrate the job market in the special conditions of a male dominated workforce. </w:t>
      </w:r>
    </w:p>
    <w:p w14:paraId="5A740A7E" w14:textId="28B3D062" w:rsidR="00C038D2" w:rsidRPr="000056B7" w:rsidRDefault="00CC3C1A" w:rsidP="009D0E0C">
      <w:pPr>
        <w:pStyle w:val="BodyTextIndent"/>
        <w:widowControl w:val="0"/>
        <w:spacing w:before="120" w:after="120"/>
        <w:ind w:firstLine="0"/>
        <w:jc w:val="left"/>
        <w:rPr>
          <w:rFonts w:ascii="Sylfaen" w:eastAsiaTheme="minorHAnsi" w:hAnsi="Sylfaen" w:cstheme="minorBidi"/>
          <w:noProof w:val="0"/>
          <w:sz w:val="22"/>
          <w:szCs w:val="22"/>
          <w:lang w:val="en-GB"/>
        </w:rPr>
      </w:pPr>
      <w:r w:rsidRPr="000056B7">
        <w:rPr>
          <w:rFonts w:ascii="Sylfaen" w:eastAsiaTheme="minorHAnsi" w:hAnsi="Sylfaen" w:cstheme="minorBidi"/>
          <w:noProof w:val="0"/>
          <w:sz w:val="22"/>
          <w:szCs w:val="22"/>
          <w:lang w:val="en-GB"/>
        </w:rPr>
        <w:t>Ultimately, the project was unable to access funding adequate to carry out some of its planned activities</w:t>
      </w:r>
      <w:r w:rsidR="00C56EE7" w:rsidRPr="000056B7">
        <w:rPr>
          <w:rFonts w:ascii="Sylfaen" w:eastAsiaTheme="minorHAnsi" w:hAnsi="Sylfaen" w:cstheme="minorBidi"/>
          <w:noProof w:val="0"/>
          <w:sz w:val="22"/>
          <w:szCs w:val="22"/>
          <w:lang w:val="en-GB"/>
        </w:rPr>
        <w:t xml:space="preserve"> in employment generation</w:t>
      </w:r>
      <w:r w:rsidRPr="000056B7">
        <w:rPr>
          <w:rFonts w:ascii="Sylfaen" w:eastAsiaTheme="minorHAnsi" w:hAnsi="Sylfaen" w:cstheme="minorBidi"/>
          <w:noProof w:val="0"/>
          <w:sz w:val="22"/>
          <w:szCs w:val="22"/>
          <w:lang w:val="en-GB"/>
        </w:rPr>
        <w:t>.</w:t>
      </w:r>
      <w:r w:rsidR="00C038D2" w:rsidRPr="000056B7">
        <w:rPr>
          <w:rFonts w:ascii="Sylfaen" w:eastAsiaTheme="minorHAnsi" w:hAnsi="Sylfaen" w:cstheme="minorBidi"/>
          <w:noProof w:val="0"/>
          <w:sz w:val="22"/>
          <w:szCs w:val="22"/>
          <w:lang w:val="en-GB"/>
        </w:rPr>
        <w:t xml:space="preserve">  Project staff felt that the SME programme in particular, because of the severe limitations of resources available, had not met the expectations of participants or the aspirations of organizers.</w:t>
      </w:r>
      <w:r w:rsidR="000056B7" w:rsidRPr="000056B7">
        <w:rPr>
          <w:rFonts w:ascii="Sylfaen" w:eastAsiaTheme="minorHAnsi" w:hAnsi="Sylfaen" w:cstheme="minorBidi"/>
          <w:noProof w:val="0"/>
          <w:sz w:val="22"/>
          <w:szCs w:val="22"/>
          <w:lang w:val="en-GB"/>
        </w:rPr>
        <w:t xml:space="preserve"> </w:t>
      </w:r>
    </w:p>
    <w:p w14:paraId="220DD224" w14:textId="77777777" w:rsidR="00CC3C1A" w:rsidRDefault="00CC3C1A" w:rsidP="00540FEE">
      <w:pPr>
        <w:ind w:right="-72"/>
      </w:pPr>
      <w:r w:rsidRPr="000056B7">
        <w:t xml:space="preserve">  </w:t>
      </w:r>
      <w:r w:rsidRPr="000056B7">
        <w:rPr>
          <w:i/>
        </w:rPr>
        <w:t>Activities that should be carried over to a</w:t>
      </w:r>
      <w:r w:rsidRPr="008E2DAC">
        <w:rPr>
          <w:i/>
        </w:rPr>
        <w:t xml:space="preserve"> better-resourced project include:</w:t>
      </w:r>
      <w:r>
        <w:t xml:space="preserve">  </w:t>
      </w:r>
    </w:p>
    <w:p w14:paraId="07437849" w14:textId="77777777" w:rsidR="00CC3C1A" w:rsidRDefault="00CC3C1A" w:rsidP="00F82BDC">
      <w:pPr>
        <w:pStyle w:val="ListParagraph"/>
        <w:numPr>
          <w:ilvl w:val="0"/>
          <w:numId w:val="19"/>
        </w:numPr>
        <w:ind w:right="-72"/>
      </w:pPr>
      <w:r>
        <w:t>Expanded training for women entrepreneurs, drawing on experienced business/ management experts familiar with the Saudi context</w:t>
      </w:r>
    </w:p>
    <w:p w14:paraId="426A4DC1" w14:textId="77777777" w:rsidR="00CC3C1A" w:rsidRDefault="00CC3C1A" w:rsidP="00F82BDC">
      <w:pPr>
        <w:pStyle w:val="ListParagraph"/>
        <w:numPr>
          <w:ilvl w:val="0"/>
          <w:numId w:val="19"/>
        </w:numPr>
        <w:ind w:right="-72"/>
      </w:pPr>
      <w:r>
        <w:t>Creation of safe spaces for business incubators to advise and support women to manage scaling up from micro to SME status</w:t>
      </w:r>
    </w:p>
    <w:p w14:paraId="0335B8AA" w14:textId="77777777" w:rsidR="00CC3C1A" w:rsidRDefault="00CC3C1A" w:rsidP="00F82BDC">
      <w:pPr>
        <w:pStyle w:val="ListParagraph"/>
        <w:numPr>
          <w:ilvl w:val="0"/>
          <w:numId w:val="19"/>
        </w:numPr>
        <w:ind w:right="-72"/>
      </w:pPr>
      <w:r>
        <w:t>Mobilizing of loanable funds at a higher scale, beyond micro-finance</w:t>
      </w:r>
    </w:p>
    <w:p w14:paraId="3EF9F32D" w14:textId="77777777" w:rsidR="00CC3C1A" w:rsidRDefault="00CC3C1A" w:rsidP="00F82BDC">
      <w:pPr>
        <w:pStyle w:val="ListParagraph"/>
        <w:numPr>
          <w:ilvl w:val="0"/>
          <w:numId w:val="19"/>
        </w:numPr>
        <w:ind w:right="-72"/>
      </w:pPr>
      <w:r>
        <w:t>Generating an exchange of information among micro and SME financial actors, through a national conference/workshop reaching most of the major actors in this lending sector.</w:t>
      </w:r>
    </w:p>
    <w:p w14:paraId="15F2DFA4" w14:textId="77777777" w:rsidR="009D19C7" w:rsidRDefault="009D19C7" w:rsidP="009D19C7">
      <w:pPr>
        <w:pStyle w:val="Heading5"/>
      </w:pPr>
      <w:r>
        <w:t>Women’s participation in public spheres</w:t>
      </w:r>
    </w:p>
    <w:p w14:paraId="217A5C57" w14:textId="77777777" w:rsidR="00C22B34" w:rsidRDefault="00C22B34" w:rsidP="00540FEE">
      <w:pPr>
        <w:ind w:right="-72"/>
      </w:pPr>
      <w:r>
        <w:t>The project also addressed the need to assist women in the area of leadership and participation in the public sphere</w:t>
      </w:r>
      <w:r w:rsidR="00F16EFA">
        <w:t>, particularly in the light</w:t>
      </w:r>
      <w:r>
        <w:t xml:space="preserve"> of </w:t>
      </w:r>
      <w:r w:rsidR="00F16EFA">
        <w:t xml:space="preserve">women’s accession to </w:t>
      </w:r>
      <w:r>
        <w:t xml:space="preserve">local elections </w:t>
      </w:r>
      <w:r w:rsidR="00DD726F">
        <w:t xml:space="preserve">and </w:t>
      </w:r>
      <w:r>
        <w:t xml:space="preserve">Shura Council representation.  As noted earlier, recent legislation </w:t>
      </w:r>
      <w:r w:rsidR="00F7219F">
        <w:t>of KSA</w:t>
      </w:r>
      <w:r>
        <w:t xml:space="preserve"> </w:t>
      </w:r>
      <w:r w:rsidR="00F7219F">
        <w:t>provides</w:t>
      </w:r>
      <w:r>
        <w:t xml:space="preserve"> for the participation of </w:t>
      </w:r>
      <w:r w:rsidR="00F7219F">
        <w:t xml:space="preserve">30 women in the advisory Shura Council.  Women have gained the right to vote </w:t>
      </w:r>
      <w:r w:rsidR="00DD726F">
        <w:t xml:space="preserve">and to stand for municipal elections, scheduled for 2015.  </w:t>
      </w:r>
    </w:p>
    <w:p w14:paraId="6E352D33" w14:textId="77777777" w:rsidR="009D19C7" w:rsidRPr="00540FEE" w:rsidRDefault="009D19C7" w:rsidP="00540FEE">
      <w:pPr>
        <w:ind w:right="-72"/>
      </w:pPr>
      <w:r>
        <w:t xml:space="preserve">The project assisted </w:t>
      </w:r>
      <w:r w:rsidR="00472B1D">
        <w:t>the research centre within PJC to compile and analyse a survey of more than 1000 women and 200 men.  The survey examined the attitudes of women and men to women’s participation in Shura and municipal councils.  In parallel, the project developed a strategic plan for further development of the research centre – the Princess Jawahir bint Nayef Centre for Women’s Research and Studies (PJCRS)</w:t>
      </w:r>
      <w:r w:rsidR="00522837">
        <w:t>.</w:t>
      </w:r>
    </w:p>
    <w:p w14:paraId="0913F531" w14:textId="77777777" w:rsidR="004E2C04" w:rsidRDefault="00522837" w:rsidP="0057599E">
      <w:pPr>
        <w:ind w:right="-23"/>
        <w:rPr>
          <w:rFonts w:asciiTheme="majorHAnsi" w:eastAsiaTheme="majorEastAsia" w:hAnsiTheme="majorHAnsi" w:cstheme="majorBidi"/>
          <w:color w:val="365F91" w:themeColor="accent1" w:themeShade="BF"/>
        </w:rPr>
      </w:pPr>
      <w:r w:rsidRPr="00522837">
        <w:rPr>
          <w:rFonts w:asciiTheme="majorHAnsi" w:eastAsiaTheme="majorEastAsia" w:hAnsiTheme="majorHAnsi" w:cstheme="majorBidi"/>
          <w:color w:val="365F91" w:themeColor="accent1" w:themeShade="BF"/>
        </w:rPr>
        <w:t xml:space="preserve">Results </w:t>
      </w:r>
    </w:p>
    <w:p w14:paraId="5DB20F6C" w14:textId="77777777" w:rsidR="00FA69BB" w:rsidRDefault="004B764D" w:rsidP="00FA69BB">
      <w:pPr>
        <w:pStyle w:val="Default"/>
        <w:spacing w:before="120" w:after="120"/>
        <w:ind w:right="-74"/>
        <w:rPr>
          <w:rFonts w:ascii="Sylfaen" w:hAnsi="Sylfaen" w:cstheme="minorBidi"/>
          <w:color w:val="auto"/>
          <w:sz w:val="22"/>
          <w:szCs w:val="22"/>
        </w:rPr>
      </w:pPr>
      <w:r>
        <w:rPr>
          <w:rFonts w:ascii="Sylfaen" w:hAnsi="Sylfaen" w:cstheme="minorBidi"/>
          <w:color w:val="auto"/>
          <w:sz w:val="22"/>
          <w:szCs w:val="22"/>
        </w:rPr>
        <w:t>Looking at UNDP’s contributions in the field of women’s empowerment, i</w:t>
      </w:r>
      <w:r w:rsidR="00FA69BB" w:rsidRPr="00060F52">
        <w:rPr>
          <w:rFonts w:ascii="Sylfaen" w:hAnsi="Sylfaen" w:cstheme="minorBidi"/>
          <w:color w:val="auto"/>
          <w:sz w:val="22"/>
          <w:szCs w:val="22"/>
        </w:rPr>
        <w:t>n the area of policy the CPD explicitly targets an increase in the number of women who will be enabled to participate in the mainstream economy, and “new policies to support broader results”</w:t>
      </w:r>
      <w:r w:rsidR="00FA69BB">
        <w:rPr>
          <w:rFonts w:ascii="Sylfaen" w:hAnsi="Sylfaen" w:cstheme="minorBidi"/>
          <w:color w:val="auto"/>
          <w:sz w:val="22"/>
          <w:szCs w:val="22"/>
        </w:rPr>
        <w:t>.</w:t>
      </w:r>
      <w:r w:rsidR="00FA69BB" w:rsidRPr="00060F52">
        <w:rPr>
          <w:rFonts w:ascii="Sylfaen" w:hAnsi="Sylfaen" w:cstheme="minorBidi"/>
          <w:color w:val="auto"/>
          <w:sz w:val="22"/>
          <w:szCs w:val="22"/>
        </w:rPr>
        <w:t xml:space="preserve"> Indicative outputs linked to this target include</w:t>
      </w:r>
      <w:r w:rsidR="00FA69BB">
        <w:rPr>
          <w:rFonts w:ascii="Sylfaen" w:hAnsi="Sylfaen" w:cstheme="minorBidi"/>
          <w:color w:val="auto"/>
          <w:sz w:val="22"/>
          <w:szCs w:val="22"/>
        </w:rPr>
        <w:t>d</w:t>
      </w:r>
      <w:r w:rsidR="00FA69BB" w:rsidRPr="00060F52">
        <w:rPr>
          <w:rFonts w:ascii="Sylfaen" w:hAnsi="Sylfaen" w:cstheme="minorBidi"/>
          <w:color w:val="auto"/>
          <w:sz w:val="22"/>
          <w:szCs w:val="22"/>
        </w:rPr>
        <w:t xml:space="preserve"> enhanced </w:t>
      </w:r>
      <w:r w:rsidR="00FA69BB" w:rsidRPr="008D0464">
        <w:rPr>
          <w:rFonts w:ascii="Sylfaen" w:hAnsi="Sylfaen" w:cstheme="minorBidi"/>
          <w:i/>
          <w:color w:val="auto"/>
          <w:sz w:val="22"/>
          <w:szCs w:val="22"/>
        </w:rPr>
        <w:t>policies</w:t>
      </w:r>
      <w:r w:rsidR="00FA69BB" w:rsidRPr="00060F52">
        <w:rPr>
          <w:rFonts w:ascii="Sylfaen" w:hAnsi="Sylfaen" w:cstheme="minorBidi"/>
          <w:color w:val="auto"/>
          <w:sz w:val="22"/>
          <w:szCs w:val="22"/>
        </w:rPr>
        <w:t xml:space="preserve"> and enhanced </w:t>
      </w:r>
      <w:r w:rsidR="00FA69BB" w:rsidRPr="008D0464">
        <w:rPr>
          <w:rFonts w:ascii="Sylfaen" w:hAnsi="Sylfaen" w:cstheme="minorBidi"/>
          <w:i/>
          <w:color w:val="auto"/>
          <w:sz w:val="22"/>
          <w:szCs w:val="22"/>
        </w:rPr>
        <w:t>capacities of CSOs</w:t>
      </w:r>
      <w:r w:rsidR="00FA69BB" w:rsidRPr="00060F52">
        <w:rPr>
          <w:rFonts w:ascii="Sylfaen" w:hAnsi="Sylfaen" w:cstheme="minorBidi"/>
          <w:color w:val="auto"/>
          <w:sz w:val="22"/>
          <w:szCs w:val="22"/>
        </w:rPr>
        <w:t xml:space="preserve"> in the </w:t>
      </w:r>
      <w:r w:rsidR="00FA69BB">
        <w:rPr>
          <w:rFonts w:ascii="Sylfaen" w:hAnsi="Sylfaen" w:cstheme="minorBidi"/>
          <w:color w:val="auto"/>
          <w:sz w:val="22"/>
          <w:szCs w:val="22"/>
        </w:rPr>
        <w:t>extensive</w:t>
      </w:r>
      <w:r w:rsidR="00FA69BB" w:rsidRPr="00060F52">
        <w:rPr>
          <w:rFonts w:ascii="Sylfaen" w:hAnsi="Sylfaen" w:cstheme="minorBidi"/>
          <w:color w:val="auto"/>
          <w:sz w:val="22"/>
          <w:szCs w:val="22"/>
        </w:rPr>
        <w:t xml:space="preserve"> </w:t>
      </w:r>
      <w:r w:rsidR="00FA69BB">
        <w:rPr>
          <w:rFonts w:ascii="Sylfaen" w:hAnsi="Sylfaen" w:cstheme="minorBidi"/>
          <w:color w:val="auto"/>
          <w:sz w:val="22"/>
          <w:szCs w:val="22"/>
        </w:rPr>
        <w:t>field</w:t>
      </w:r>
      <w:r w:rsidR="00FA69BB" w:rsidRPr="00060F52">
        <w:rPr>
          <w:rFonts w:ascii="Sylfaen" w:hAnsi="Sylfaen" w:cstheme="minorBidi"/>
          <w:color w:val="auto"/>
          <w:sz w:val="22"/>
          <w:szCs w:val="22"/>
        </w:rPr>
        <w:t xml:space="preserve"> of “women empowerment”.  The CPD notes that the </w:t>
      </w:r>
      <w:r>
        <w:rPr>
          <w:rFonts w:ascii="Sylfaen" w:hAnsi="Sylfaen" w:cstheme="minorBidi"/>
          <w:color w:val="auto"/>
          <w:sz w:val="22"/>
          <w:szCs w:val="22"/>
        </w:rPr>
        <w:t>scope</w:t>
      </w:r>
      <w:r w:rsidR="00FA69BB" w:rsidRPr="00060F52">
        <w:rPr>
          <w:rFonts w:ascii="Sylfaen" w:hAnsi="Sylfaen" w:cstheme="minorBidi"/>
          <w:color w:val="auto"/>
          <w:sz w:val="22"/>
          <w:szCs w:val="22"/>
        </w:rPr>
        <w:t xml:space="preserve"> accorded to CSOs in developing women’s role in economic and public life</w:t>
      </w:r>
      <w:r w:rsidR="00FA69BB" w:rsidRPr="008D0464">
        <w:rPr>
          <w:rFonts w:ascii="Sylfaen" w:hAnsi="Sylfaen" w:cstheme="minorBidi"/>
          <w:color w:val="auto"/>
          <w:sz w:val="22"/>
          <w:szCs w:val="22"/>
        </w:rPr>
        <w:t xml:space="preserve">, </w:t>
      </w:r>
      <w:r w:rsidR="00FA69BB" w:rsidRPr="008D0464">
        <w:rPr>
          <w:rFonts w:ascii="Sylfaen" w:hAnsi="Sylfaen"/>
          <w:sz w:val="22"/>
          <w:szCs w:val="22"/>
        </w:rPr>
        <w:t>at the time of drafting the baseline, was “modest”</w:t>
      </w:r>
      <w:r w:rsidR="00FA69BB" w:rsidRPr="008D0464">
        <w:rPr>
          <w:rFonts w:ascii="Sylfaen" w:hAnsi="Sylfaen" w:cstheme="minorBidi"/>
          <w:color w:val="auto"/>
          <w:sz w:val="22"/>
          <w:szCs w:val="22"/>
        </w:rPr>
        <w:t xml:space="preserve"> (UNDP 2011, p. 7).  </w:t>
      </w:r>
    </w:p>
    <w:p w14:paraId="13068C09" w14:textId="77777777" w:rsidR="004B764D" w:rsidRDefault="004B764D" w:rsidP="00FA69BB">
      <w:pPr>
        <w:pStyle w:val="Default"/>
        <w:spacing w:before="120" w:after="120"/>
        <w:ind w:right="-74"/>
        <w:rPr>
          <w:rFonts w:ascii="Sylfaen" w:hAnsi="Sylfaen" w:cstheme="minorBidi"/>
          <w:color w:val="auto"/>
          <w:sz w:val="22"/>
          <w:szCs w:val="22"/>
        </w:rPr>
      </w:pPr>
      <w:r>
        <w:rPr>
          <w:rFonts w:ascii="Sylfaen" w:hAnsi="Sylfaen" w:cstheme="minorBidi"/>
          <w:color w:val="auto"/>
          <w:sz w:val="22"/>
          <w:szCs w:val="22"/>
        </w:rPr>
        <w:t>In the original PD for the Prince Sultan Fund project, it was expected that some or all of the required financing would be provided by PSF.  Ultimately, however, UNDP-KSA successfully applied for a grant under the Democratic Governance Thematic Trust Fund (DGTTF)</w:t>
      </w:r>
      <w:r w:rsidR="00414933">
        <w:rPr>
          <w:rFonts w:ascii="Sylfaen" w:hAnsi="Sylfaen" w:cstheme="minorBidi"/>
          <w:color w:val="auto"/>
          <w:sz w:val="22"/>
          <w:szCs w:val="22"/>
        </w:rPr>
        <w:t xml:space="preserve">.  Although the original plans called for large components of the project to train women entrepreneurs in several regions of KSA, </w:t>
      </w:r>
      <w:r w:rsidR="002F2715">
        <w:rPr>
          <w:rFonts w:ascii="Sylfaen" w:hAnsi="Sylfaen" w:cstheme="minorBidi"/>
          <w:color w:val="auto"/>
          <w:sz w:val="22"/>
          <w:szCs w:val="22"/>
        </w:rPr>
        <w:t>as well as leadership certification and training and media awareness programmes, additional funding was not realized.</w:t>
      </w:r>
    </w:p>
    <w:p w14:paraId="7D36FB06" w14:textId="77777777" w:rsidR="00541D41" w:rsidRDefault="00522837" w:rsidP="00612623">
      <w:pPr>
        <w:ind w:right="70"/>
      </w:pPr>
      <w:r w:rsidRPr="00541D41">
        <w:rPr>
          <w:i/>
        </w:rPr>
        <w:t xml:space="preserve">The Women’s Empowerment project </w:t>
      </w:r>
      <w:r w:rsidR="00612623" w:rsidRPr="00541D41">
        <w:rPr>
          <w:i/>
        </w:rPr>
        <w:t>produced impressive results with extremely limited funding.</w:t>
      </w:r>
      <w:r w:rsidR="00612623">
        <w:t xml:space="preserve">  </w:t>
      </w:r>
      <w:r w:rsidR="00D25B91">
        <w:t xml:space="preserve">Despite a shortfall in projected resources from contributing NGO funds, the project conducted a number of TOT (training of trainers) programmes, completed strategic plans for both the PJC and PJCRS, and realised an example of primary research of high quality.  </w:t>
      </w:r>
    </w:p>
    <w:p w14:paraId="41491981" w14:textId="77777777" w:rsidR="005424AD" w:rsidRDefault="00D25B91" w:rsidP="00612623">
      <w:pPr>
        <w:ind w:right="70"/>
      </w:pPr>
      <w:r>
        <w:t xml:space="preserve">The research, which provides a baseline for public opinion on a significant issue – women’s political participation – is one of the first studies of its kind.  </w:t>
      </w:r>
      <w:r w:rsidR="008036E7">
        <w:t xml:space="preserve">Issues of women’s economic and political empowerment are often difficult to discuss in media and other public domains.  It is common to encounter arguments that Saudi Arabia citizens are satisfied with traditional options and do not look forward to changes in existing norms.  The research conducted by </w:t>
      </w:r>
      <w:r w:rsidR="005424AD">
        <w:t xml:space="preserve">PJCRS </w:t>
      </w:r>
      <w:r w:rsidR="008036E7">
        <w:t xml:space="preserve">provides evidence </w:t>
      </w:r>
      <w:r w:rsidR="005424AD">
        <w:t xml:space="preserve">that new measures to bring women into the political sphere are accepted by Saudi people.  What is more, a majority of respondents are confident that women’s participation will enrich political instances.  One finding is illustrated in Figure 4.3.  As the chart indicates, women in particular express strong concurrence with women’s participation, and confidence in their abilities </w:t>
      </w:r>
      <w:r w:rsidR="005424AD">
        <w:fldChar w:fldCharType="begin"/>
      </w:r>
      <w:r w:rsidR="005424AD">
        <w:instrText xml:space="preserve"> ADDIN EN.CITE &lt;EndNote&gt;&lt;Cite&gt;&lt;Author&gt;Osman&lt;/Author&gt;&lt;Year&gt;2013&lt;/Year&gt;&lt;RecNum&gt;246&lt;/RecNum&gt;&lt;DisplayText&gt;(Osman 2013)&lt;/DisplayText&gt;&lt;record&gt;&lt;rec-number&gt;246&lt;/rec-number&gt;&lt;foreign-keys&gt;&lt;key app="EN" db-id="5a0wsfarrxszvze9rr65r5a3vr95ffwx90f9" timestamp="1405211490"&gt;246&lt;/key&gt;&lt;/foreign-keys&gt;&lt;ref-type name="Report"&gt;27&lt;/ref-type&gt;&lt;contributors&gt;&lt;authors&gt;&lt;author&gt;Ghada Osman&lt;/author&gt;&lt;/authors&gt;&lt;/contributors&gt;&lt;titles&gt;&lt;title&gt;Analysis and findings of Questionnaire designed by Prince Sultan fund for Women on the appointment of Women in the Shura Council and municipalities&lt;/title&gt;&lt;/titles&gt;&lt;dates&gt;&lt;year&gt;2013&lt;/year&gt;&lt;/dates&gt;&lt;pub-location&gt;Riyadh&lt;/pub-location&gt;&lt;publisher&gt;UNDP-KSA&lt;/publisher&gt;&lt;urls&gt;&lt;/urls&gt;&lt;/record&gt;&lt;/Cite&gt;&lt;/EndNote&gt;</w:instrText>
      </w:r>
      <w:r w:rsidR="005424AD">
        <w:fldChar w:fldCharType="separate"/>
      </w:r>
      <w:r w:rsidR="005424AD">
        <w:rPr>
          <w:noProof/>
        </w:rPr>
        <w:t>(</w:t>
      </w:r>
      <w:hyperlink w:anchor="_ENREF_12" w:tooltip="Osman, 2013 #246" w:history="1">
        <w:r w:rsidR="00EB16D2">
          <w:rPr>
            <w:noProof/>
          </w:rPr>
          <w:t>Osman 2013</w:t>
        </w:r>
      </w:hyperlink>
      <w:r w:rsidR="005424AD">
        <w:rPr>
          <w:noProof/>
        </w:rPr>
        <w:t>)</w:t>
      </w:r>
      <w:r w:rsidR="005424AD">
        <w:fldChar w:fldCharType="end"/>
      </w:r>
      <w:r w:rsidR="005424AD">
        <w:t xml:space="preserve">.  </w:t>
      </w:r>
    </w:p>
    <w:p w14:paraId="2C643B50" w14:textId="77777777" w:rsidR="005424AD" w:rsidRDefault="005424AD" w:rsidP="005424AD">
      <w:pPr>
        <w:pStyle w:val="Caption"/>
      </w:pPr>
      <w:r>
        <w:t>Figure 4.3 Survey responses, women’s political participation</w:t>
      </w:r>
    </w:p>
    <w:p w14:paraId="1C44308D" w14:textId="77777777" w:rsidR="005424AD" w:rsidRPr="005424AD" w:rsidRDefault="005424AD" w:rsidP="00B732DC">
      <w:pPr>
        <w:jc w:val="center"/>
      </w:pPr>
      <w:r>
        <w:rPr>
          <w:noProof/>
          <w:lang w:val="en-US"/>
        </w:rPr>
        <w:drawing>
          <wp:inline distT="0" distB="0" distL="0" distR="0" wp14:anchorId="72ACFB29" wp14:editId="712C5990">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074572" w14:textId="77777777" w:rsidR="005424AD" w:rsidRPr="005424AD" w:rsidRDefault="005424AD" w:rsidP="005424AD">
      <w:pPr>
        <w:rPr>
          <w:sz w:val="18"/>
        </w:rPr>
      </w:pPr>
      <w:r w:rsidRPr="005424AD">
        <w:rPr>
          <w:sz w:val="18"/>
        </w:rPr>
        <w:t>Source:  Analysis and findings of PSF questionnaire on appointments of women, PSF 2013</w:t>
      </w:r>
    </w:p>
    <w:p w14:paraId="55001768" w14:textId="77777777" w:rsidR="005424AD" w:rsidRPr="005424AD" w:rsidRDefault="005424AD" w:rsidP="005424AD"/>
    <w:p w14:paraId="7F8EC752" w14:textId="77777777" w:rsidR="008036E7" w:rsidRDefault="005424AD" w:rsidP="00612623">
      <w:pPr>
        <w:ind w:right="70"/>
      </w:pPr>
      <w:r>
        <w:t>In other parts of the study, both women and men feel that commitment to social activism</w:t>
      </w:r>
      <w:r w:rsidR="000F063D">
        <w:t xml:space="preserve"> takes first place as</w:t>
      </w:r>
      <w:r>
        <w:t xml:space="preserve"> an important qualification for political candidates.  For women respondents, active support of women’s empowerment </w:t>
      </w:r>
      <w:r w:rsidR="000F063D">
        <w:t>provides</w:t>
      </w:r>
      <w:r>
        <w:t xml:space="preserve"> an additionally strong qualification.</w:t>
      </w:r>
    </w:p>
    <w:p w14:paraId="23818D20" w14:textId="77777777" w:rsidR="00541D41" w:rsidRDefault="005424AD" w:rsidP="00541D41">
      <w:pPr>
        <w:ind w:right="70"/>
      </w:pPr>
      <w:r>
        <w:t xml:space="preserve">The Women’s Empowerment project addressed current </w:t>
      </w:r>
      <w:r w:rsidR="00532207">
        <w:t xml:space="preserve">policy and public choice </w:t>
      </w:r>
      <w:r>
        <w:t xml:space="preserve">issues important to the development and participation of two target groups in the NDS and the UNDP CPD – women and youth.  </w:t>
      </w:r>
      <w:r w:rsidR="00541D41">
        <w:t xml:space="preserve">It is clear that UNDP’s contribution to these results was vital and highly appreciated.  UNDP helped identify some of the consultant support needed by the project, </w:t>
      </w:r>
      <w:r w:rsidR="008E2DAC">
        <w:t>and maintained close links with the project management.  This close relationship was consistently highlighted by the staff in meetings with the mission.</w:t>
      </w:r>
    </w:p>
    <w:p w14:paraId="6868DEF6" w14:textId="01976881" w:rsidR="00EE10B9" w:rsidRPr="00E20B27" w:rsidRDefault="00EE10B9" w:rsidP="00EE10B9">
      <w:pPr>
        <w:pStyle w:val="Word4095Nul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ylfaen" w:eastAsiaTheme="minorHAnsi" w:hAnsi="Sylfaen" w:cstheme="minorBidi"/>
          <w:sz w:val="22"/>
          <w:szCs w:val="22"/>
          <w:lang w:val="en-GB"/>
        </w:rPr>
      </w:pPr>
      <w:r w:rsidRPr="00E20B27">
        <w:rPr>
          <w:rFonts w:ascii="Sylfaen" w:eastAsiaTheme="minorHAnsi" w:hAnsi="Sylfaen" w:cstheme="minorBidi"/>
          <w:sz w:val="22"/>
          <w:szCs w:val="22"/>
          <w:lang w:val="en-GB"/>
        </w:rPr>
        <w:t xml:space="preserve">Moreover, the UNDP worked with us to disseminate and analyze a survey on women’s political participation in the </w:t>
      </w:r>
      <w:r w:rsidR="00E20B27" w:rsidRPr="00E20B27">
        <w:rPr>
          <w:rFonts w:ascii="Sylfaen" w:eastAsiaTheme="minorHAnsi" w:hAnsi="Sylfaen" w:cstheme="minorBidi"/>
          <w:sz w:val="22"/>
          <w:szCs w:val="22"/>
          <w:lang w:val="en-GB"/>
        </w:rPr>
        <w:t>Shura</w:t>
      </w:r>
      <w:r w:rsidRPr="00E20B27">
        <w:rPr>
          <w:rFonts w:ascii="Sylfaen" w:eastAsiaTheme="minorHAnsi" w:hAnsi="Sylfaen" w:cstheme="minorBidi"/>
          <w:sz w:val="22"/>
          <w:szCs w:val="22"/>
          <w:lang w:val="en-GB"/>
        </w:rPr>
        <w:t xml:space="preserve"> Council and other municipality councils. </w:t>
      </w:r>
      <w:r w:rsidR="00E20B27" w:rsidRPr="00E20B27">
        <w:rPr>
          <w:rFonts w:ascii="Sylfaen" w:eastAsiaTheme="minorHAnsi" w:hAnsi="Sylfaen" w:cstheme="minorBidi"/>
          <w:sz w:val="22"/>
          <w:szCs w:val="22"/>
          <w:lang w:val="en-GB"/>
        </w:rPr>
        <w:t>…</w:t>
      </w:r>
      <w:r w:rsidRPr="00E20B27">
        <w:rPr>
          <w:rFonts w:ascii="Sylfaen" w:eastAsiaTheme="minorHAnsi" w:hAnsi="Sylfaen" w:cstheme="minorBidi"/>
          <w:sz w:val="22"/>
          <w:szCs w:val="22"/>
          <w:lang w:val="en-GB"/>
        </w:rPr>
        <w:t xml:space="preserve"> A strategic goal that has transpired from this mission is to develop a potential research center. </w:t>
      </w:r>
    </w:p>
    <w:p w14:paraId="3C0FD3AD" w14:textId="7D75A35F" w:rsidR="00522837" w:rsidRDefault="005424AD" w:rsidP="00CE45DD">
      <w:pPr>
        <w:ind w:right="70"/>
      </w:pPr>
      <w:r>
        <w:t xml:space="preserve">To date, </w:t>
      </w:r>
      <w:r w:rsidR="00E20B27">
        <w:t xml:space="preserve">the WE </w:t>
      </w:r>
      <w:r>
        <w:t>project has not as yet been accorded funding from a department of government.  It will be valuable for the objectives of the government and the UN in Saudi Arabia to identify a government agency that can provide significant support to an ongoing element of the project or a successor partnership.</w:t>
      </w:r>
    </w:p>
    <w:p w14:paraId="46385F86" w14:textId="0C9DD227" w:rsidR="00CC3C1A" w:rsidRPr="008E2DAC" w:rsidRDefault="00CC3C1A" w:rsidP="008E2DAC">
      <w:pPr>
        <w:rPr>
          <w:i/>
        </w:rPr>
      </w:pPr>
      <w:r w:rsidRPr="008E2DAC">
        <w:rPr>
          <w:i/>
        </w:rPr>
        <w:t xml:space="preserve">Activities of this project component </w:t>
      </w:r>
      <w:r w:rsidR="00E20B27">
        <w:rPr>
          <w:i/>
        </w:rPr>
        <w:t xml:space="preserve">– political empowerment – </w:t>
      </w:r>
      <w:r w:rsidRPr="008E2DAC">
        <w:rPr>
          <w:i/>
        </w:rPr>
        <w:t>that require sustained support include:</w:t>
      </w:r>
    </w:p>
    <w:p w14:paraId="7BB5830C" w14:textId="77777777" w:rsidR="00CC3C1A" w:rsidRDefault="00532207" w:rsidP="00F82BDC">
      <w:pPr>
        <w:pStyle w:val="ListParagraph"/>
        <w:numPr>
          <w:ilvl w:val="0"/>
          <w:numId w:val="20"/>
        </w:numPr>
        <w:ind w:right="70"/>
      </w:pPr>
      <w:r>
        <w:t>“E</w:t>
      </w:r>
      <w:r w:rsidR="00CC3C1A">
        <w:t>lection literacy” training for women candidates and voters</w:t>
      </w:r>
    </w:p>
    <w:p w14:paraId="7D716EB9" w14:textId="77777777" w:rsidR="00CC3C1A" w:rsidRDefault="00532207" w:rsidP="00F82BDC">
      <w:pPr>
        <w:pStyle w:val="ListParagraph"/>
        <w:numPr>
          <w:ilvl w:val="0"/>
          <w:numId w:val="20"/>
        </w:numPr>
        <w:ind w:right="70"/>
      </w:pPr>
      <w:r>
        <w:t>Dissemination</w:t>
      </w:r>
      <w:r w:rsidR="00CC3C1A">
        <w:t xml:space="preserve"> of the project’s survey results, gathering of feedback and design of a continuing research plan on women’s political participation.</w:t>
      </w:r>
    </w:p>
    <w:p w14:paraId="03B1A9B8" w14:textId="77777777" w:rsidR="00A74D0E" w:rsidRDefault="00532207" w:rsidP="00532207">
      <w:pPr>
        <w:ind w:right="70"/>
      </w:pPr>
      <w:r>
        <w:t xml:space="preserve">The UN-supported </w:t>
      </w:r>
      <w:r w:rsidR="00A74D0E">
        <w:t>partnership “BRIDGE” has worked in newly developing electoral processes throughout the GCC and MENA countries, particularly where “electoral literacy” is developing rapidly.</w:t>
      </w:r>
      <w:r w:rsidR="00A74D0E" w:rsidRPr="00A74D0E">
        <w:rPr>
          <w:b/>
          <w:bCs/>
        </w:rPr>
        <w:t xml:space="preserve"> </w:t>
      </w:r>
      <w:r w:rsidR="00A74D0E">
        <w:rPr>
          <w:b/>
          <w:bCs/>
        </w:rPr>
        <w:t xml:space="preserve"> </w:t>
      </w:r>
      <w:r w:rsidR="00A74D0E" w:rsidRPr="00A74D0E">
        <w:rPr>
          <w:b/>
          <w:bCs/>
        </w:rPr>
        <w:t>BRIDGE</w:t>
      </w:r>
      <w:r w:rsidR="00A74D0E" w:rsidRPr="00A74D0E">
        <w:t> stands for Building Resources in Democracy, Governance and Elections</w:t>
      </w:r>
      <w:r w:rsidR="00A74D0E">
        <w:t>.</w:t>
      </w:r>
      <w:r w:rsidR="00A74D0E">
        <w:rPr>
          <w:rStyle w:val="FootnoteReference"/>
        </w:rPr>
        <w:footnoteReference w:id="8"/>
      </w:r>
      <w:r w:rsidR="00A74D0E">
        <w:t xml:space="preserve">  </w:t>
      </w:r>
      <w:r w:rsidR="00593076">
        <w:t xml:space="preserve">The intergovernmental and UN-linked agency provides </w:t>
      </w:r>
      <w:r w:rsidR="00A74D0E" w:rsidRPr="00A74D0E">
        <w:t>a modular professional development program</w:t>
      </w:r>
      <w:r w:rsidR="00A74D0E">
        <w:t>me</w:t>
      </w:r>
      <w:r w:rsidR="00A74D0E" w:rsidRPr="00A74D0E">
        <w:t xml:space="preserve"> with a particular focus on electoral processes.  </w:t>
      </w:r>
    </w:p>
    <w:p w14:paraId="4D29D800" w14:textId="09691531" w:rsidR="00B3477A" w:rsidRDefault="00B3477A" w:rsidP="00532207">
      <w:pPr>
        <w:ind w:right="70"/>
      </w:pPr>
      <w:r>
        <w:t xml:space="preserve">In sum, the WE project strengthened the </w:t>
      </w:r>
      <w:r w:rsidRPr="009D0E0C">
        <w:rPr>
          <w:i/>
        </w:rPr>
        <w:t>institutional capacities</w:t>
      </w:r>
      <w:r>
        <w:t xml:space="preserve"> of PSF, in practical, administrative ways, in building the skills of staff, </w:t>
      </w:r>
      <w:r w:rsidR="00D15D78">
        <w:t xml:space="preserve">and </w:t>
      </w:r>
      <w:r>
        <w:t>in engaging with research specialists</w:t>
      </w:r>
      <w:r w:rsidR="009D0E0C">
        <w:t xml:space="preserve">.  It also improved the institutional capacities of PSF to </w:t>
      </w:r>
      <w:r>
        <w:t>deliver needed support to a range of women professionals and entrepreneurs</w:t>
      </w:r>
      <w:r w:rsidR="009D0E0C">
        <w:t>, although the degree of institutional strengthening was limited by the resources made available</w:t>
      </w:r>
      <w:r>
        <w:t>.</w:t>
      </w:r>
    </w:p>
    <w:p w14:paraId="51C8AAB8" w14:textId="77777777" w:rsidR="00124802" w:rsidRDefault="00124802" w:rsidP="0008508C">
      <w:pPr>
        <w:pStyle w:val="Heading1"/>
        <w:numPr>
          <w:ilvl w:val="0"/>
          <w:numId w:val="31"/>
        </w:numPr>
      </w:pPr>
      <w:bookmarkStart w:id="32" w:name="_Toc399078762"/>
      <w:r>
        <w:t>Factors affecting the Outcome</w:t>
      </w:r>
      <w:bookmarkEnd w:id="32"/>
    </w:p>
    <w:p w14:paraId="1A4A3B80" w14:textId="77777777" w:rsidR="002F2715" w:rsidRPr="00CC3C1A" w:rsidRDefault="00CC3C1A" w:rsidP="00CC3C1A">
      <w:pPr>
        <w:ind w:right="70"/>
        <w:rPr>
          <w:vertAlign w:val="subscript"/>
        </w:rPr>
      </w:pPr>
      <w:r>
        <w:t xml:space="preserve">Any Outcome Evaluation should pay attention to external, </w:t>
      </w:r>
      <w:r w:rsidR="002F2715" w:rsidRPr="00CC3C1A">
        <w:t xml:space="preserve">underlying factors </w:t>
      </w:r>
      <w:r>
        <w:t xml:space="preserve">that may influence progress towards the Outcome </w:t>
      </w:r>
      <w:r w:rsidR="00AD64A1">
        <w:t xml:space="preserve">although they remain </w:t>
      </w:r>
      <w:r w:rsidR="002F2715" w:rsidRPr="00CC3C1A">
        <w:t xml:space="preserve">beyond UNDP’s control. </w:t>
      </w:r>
      <w:r>
        <w:t xml:space="preserve"> Recognition of such factors can help to pinpoint possible </w:t>
      </w:r>
      <w:r w:rsidR="002F2715" w:rsidRPr="00CC3C1A">
        <w:t xml:space="preserve">design </w:t>
      </w:r>
      <w:r>
        <w:t xml:space="preserve">or </w:t>
      </w:r>
      <w:r w:rsidRPr="00CC3C1A">
        <w:t xml:space="preserve">implementation </w:t>
      </w:r>
      <w:r w:rsidR="002F2715" w:rsidRPr="00CC3C1A">
        <w:t>issues</w:t>
      </w:r>
      <w:r>
        <w:t xml:space="preserve"> that may be susceptible to review during the CPD term and for future reference. Within the programme itself such issues may extend to </w:t>
      </w:r>
      <w:r w:rsidR="002F2715" w:rsidRPr="00CC3C1A">
        <w:t>the degree of stakeholder and partner involvement in the completion of the outputs</w:t>
      </w:r>
      <w:r>
        <w:t xml:space="preserve"> as well as the management of processes.</w:t>
      </w:r>
    </w:p>
    <w:p w14:paraId="2CD94B22" w14:textId="77777777" w:rsidR="00CC3C1A" w:rsidRDefault="00CC3C1A" w:rsidP="0008508C">
      <w:pPr>
        <w:pStyle w:val="Heading2"/>
        <w:numPr>
          <w:ilvl w:val="1"/>
          <w:numId w:val="31"/>
        </w:numPr>
      </w:pPr>
      <w:bookmarkStart w:id="33" w:name="_Toc399078763"/>
      <w:r>
        <w:t>Mandate limitations and new precedents</w:t>
      </w:r>
      <w:bookmarkEnd w:id="33"/>
    </w:p>
    <w:p w14:paraId="27242295" w14:textId="77777777" w:rsidR="00CC3C1A" w:rsidRPr="00CC3C1A" w:rsidRDefault="00CC3C1A" w:rsidP="00CC3C1A">
      <w:pPr>
        <w:ind w:right="70"/>
      </w:pPr>
      <w:r>
        <w:t xml:space="preserve">In </w:t>
      </w:r>
      <w:r w:rsidR="001E0FD7">
        <w:t>Chapter</w:t>
      </w:r>
      <w:r>
        <w:t xml:space="preserve"> 6, Assessment </w:t>
      </w:r>
      <w:r w:rsidR="00A516FE">
        <w:t>of the partnership strategy, this</w:t>
      </w:r>
      <w:r>
        <w:t xml:space="preserve"> Report refers to the restricted mandate of UNDP.  Unlike some agencies such as UNICEF, UNDP is limited in the status of partners with whom it may work.  </w:t>
      </w:r>
      <w:r w:rsidR="00FB4159">
        <w:t>It is possible to foresee</w:t>
      </w:r>
      <w:r>
        <w:t xml:space="preserve"> an inherent strain in the ambitious adoption of a new focus on social outcomes if the Programme is not </w:t>
      </w:r>
      <w:r w:rsidR="00FB4159">
        <w:t xml:space="preserve">over time </w:t>
      </w:r>
      <w:r>
        <w:t>paired with a broader range of public sector entities, who themselves could extend the working relationship to CSOs and corporate social responsibility actors.</w:t>
      </w:r>
    </w:p>
    <w:p w14:paraId="304F6FB1" w14:textId="77777777" w:rsidR="00CC3C1A" w:rsidRDefault="00CC3C1A" w:rsidP="0008508C">
      <w:pPr>
        <w:pStyle w:val="Heading2"/>
        <w:numPr>
          <w:ilvl w:val="1"/>
          <w:numId w:val="31"/>
        </w:numPr>
      </w:pPr>
      <w:bookmarkStart w:id="34" w:name="_Toc399078764"/>
      <w:r>
        <w:t>Stepping away from “path dependency”</w:t>
      </w:r>
      <w:bookmarkEnd w:id="34"/>
    </w:p>
    <w:p w14:paraId="727CB0AA" w14:textId="77777777" w:rsidR="00CC3C1A" w:rsidRDefault="00CC3C1A" w:rsidP="00CC3C1A">
      <w:pPr>
        <w:ind w:right="-72"/>
      </w:pPr>
      <w:r>
        <w:t xml:space="preserve">Sociologists have long observed that it is easier to keep moving along the known path than to step out into unfamiliar territory.  In the case of the Saudi Arabia CPD, much that is new is demanded of partners, in a national community that has been comfortable with traditional patterns and roles.  Nevertheless, in meetings of the mission with key informants, constant reference was made to regional and national forces impelling change.  Numerous informants referred to ripple effects of the “Arab spring”, felt from every part of the region.  Similarly, the social pressures of the burgeoning youth population, coupled with mismatched education, conservative attitudes to work ethics, reluctance to hire women and social disapproval of female participation in the public sphere – coming together create an extremely challenging environment for precisely those elements of the Country Programme that characterize its fresh approach.  </w:t>
      </w:r>
    </w:p>
    <w:p w14:paraId="34926205" w14:textId="77777777" w:rsidR="00424539" w:rsidRDefault="00424539" w:rsidP="0008508C">
      <w:pPr>
        <w:pStyle w:val="Heading2"/>
        <w:numPr>
          <w:ilvl w:val="1"/>
          <w:numId w:val="31"/>
        </w:numPr>
      </w:pPr>
      <w:bookmarkStart w:id="35" w:name="_Toc399078765"/>
      <w:r>
        <w:t>Labour force participation rates</w:t>
      </w:r>
      <w:bookmarkEnd w:id="35"/>
      <w:r>
        <w:t xml:space="preserve"> </w:t>
      </w:r>
    </w:p>
    <w:p w14:paraId="6EC721D2" w14:textId="77777777" w:rsidR="00CC3C1A" w:rsidRDefault="00CC3C1A" w:rsidP="00CE45DD">
      <w:pPr>
        <w:ind w:right="-72"/>
      </w:pPr>
      <w:r>
        <w:t>An Outcome Evaluation at the starting date of the current CPD highlighted the issue of low labour force participation rates and their likely impact on GDP growth</w:t>
      </w:r>
      <w:r w:rsidR="009F4227">
        <w:t xml:space="preserve"> </w:t>
      </w:r>
      <w:r w:rsidR="009F4227">
        <w:fldChar w:fldCharType="begin"/>
      </w:r>
      <w:r w:rsidR="006F5851">
        <w:instrText xml:space="preserve"> ADDIN EN.CITE &lt;EndNote&gt;&lt;Cite&gt;&lt;Author&gt;Alexander&lt;/Author&gt;&lt;Year&gt;2012&lt;/Year&gt;&lt;RecNum&gt;250&lt;/RecNum&gt;&lt;DisplayText&gt;(Alexander 2012a)&lt;/DisplayText&gt;&lt;record&gt;&lt;rec-number&gt;250&lt;/rec-number&gt;&lt;foreign-keys&gt;&lt;key app="EN" db-id="5a0wsfarrxszvze9rr65r5a3vr95ffwx90f9" timestamp="1406323505"&gt;250&lt;/key&gt;&lt;/foreign-keys&gt;&lt;ref-type name="Report"&gt;27&lt;/ref-type&gt;&lt;contributors&gt;&lt;authors&gt;&lt;author&gt;Alexander, Patricia&lt;/author&gt;&lt;/authors&gt;&lt;/contributors&gt;&lt;titles&gt;&lt;title&gt;Outcome Evaluation of UNDP support for Economic Diversification for Tourism, International Trade and FDI.  Country Programme 2007-2011&lt;/title&gt;&lt;secondary-title&gt;Management of globalization to support the poor&lt;/secondary-title&gt;&lt;/titles&gt;&lt;dates&gt;&lt;year&gt;2012&lt;/year&gt;&lt;/dates&gt;&lt;pub-location&gt;Riyadh&lt;/pub-location&gt;&lt;publisher&gt;UNDP-KSA&lt;/publisher&gt;&lt;urls&gt;&lt;related-urls&gt;&lt;url&gt;http://erc.undp.org/evaluationadmin/manageevaluation/viewevaluationdetail.html?evalid=5750&lt;/url&gt;&lt;/related-urls&gt;&lt;/urls&gt;&lt;research-notes&gt;Mngmt response:  http://erc.undp.org/evaluationadmin/manageresponse/view.html?evaluationid=5750&lt;/research-notes&gt;&lt;/record&gt;&lt;/Cite&gt;&lt;/EndNote&gt;</w:instrText>
      </w:r>
      <w:r w:rsidR="009F4227">
        <w:fldChar w:fldCharType="separate"/>
      </w:r>
      <w:r w:rsidR="00593076">
        <w:rPr>
          <w:noProof/>
        </w:rPr>
        <w:t>(</w:t>
      </w:r>
      <w:hyperlink w:anchor="_ENREF_1" w:tooltip="Alexander, 2012 #250" w:history="1">
        <w:r w:rsidR="00EB16D2">
          <w:rPr>
            <w:noProof/>
          </w:rPr>
          <w:t>Alexander 2012a</w:t>
        </w:r>
      </w:hyperlink>
      <w:r w:rsidR="00593076">
        <w:rPr>
          <w:noProof/>
        </w:rPr>
        <w:t>)</w:t>
      </w:r>
      <w:r w:rsidR="009F4227">
        <w:fldChar w:fldCharType="end"/>
      </w:r>
      <w:r w:rsidR="009F4227">
        <w:t>.  Unemployment rates for those with only secondary education or less are significantly higher.  However for many young people, and for women in particular, possession of a diploma does not in any way ensure access to suitable employment.  Some graduates may become discouraged after an extended job search and may drop out of the market.</w:t>
      </w:r>
    </w:p>
    <w:p w14:paraId="6869647B" w14:textId="77777777" w:rsidR="00B8272C" w:rsidRDefault="00424539" w:rsidP="00CE45DD">
      <w:pPr>
        <w:ind w:right="-72"/>
        <w:rPr>
          <w:lang w:val="en-CA"/>
        </w:rPr>
      </w:pPr>
      <w:r>
        <w:t xml:space="preserve">Education </w:t>
      </w:r>
      <w:r w:rsidR="00CC3C1A">
        <w:t xml:space="preserve">levels </w:t>
      </w:r>
      <w:r>
        <w:t>have improved markedly over the past two decades, with the gender gap closing significantly.  However, these gains in education have not been reflected in equivalent entry by women into the paid labour force.  The l</w:t>
      </w:r>
      <w:r w:rsidR="00B8272C">
        <w:t xml:space="preserve">abour force participation rate </w:t>
      </w:r>
      <w:r>
        <w:t xml:space="preserve">for women has remained </w:t>
      </w:r>
      <w:r w:rsidR="00B8272C">
        <w:t>at 17</w:t>
      </w:r>
      <w:r w:rsidR="00B21D3E">
        <w:t xml:space="preserve"> percent</w:t>
      </w:r>
      <w:r w:rsidR="00B8272C">
        <w:t xml:space="preserve"> for </w:t>
      </w:r>
      <w:r>
        <w:t xml:space="preserve">the </w:t>
      </w:r>
      <w:r w:rsidR="00B8272C">
        <w:t xml:space="preserve">last 20 years, </w:t>
      </w:r>
      <w:r>
        <w:t xml:space="preserve">while that of men has stayed steady </w:t>
      </w:r>
      <w:r w:rsidR="00B8272C">
        <w:t>at 75</w:t>
      </w:r>
      <w:r>
        <w:t xml:space="preserve"> </w:t>
      </w:r>
      <w:r w:rsidR="00CC3C1A">
        <w:t xml:space="preserve">percent (WB </w:t>
      </w:r>
      <w:r w:rsidR="00B8272C">
        <w:t>WDI)</w:t>
      </w:r>
      <w:r w:rsidR="00B21D3E">
        <w:t xml:space="preserve">.  In the </w:t>
      </w:r>
      <w:r w:rsidR="00B21D3E" w:rsidRPr="000A2E17">
        <w:rPr>
          <w:caps/>
        </w:rPr>
        <w:t xml:space="preserve">MENA </w:t>
      </w:r>
      <w:r w:rsidR="00B21D3E">
        <w:t xml:space="preserve">region as a whole, </w:t>
      </w:r>
      <w:r w:rsidR="00B8272C">
        <w:t xml:space="preserve"> </w:t>
      </w:r>
      <w:r w:rsidR="00B8272C" w:rsidRPr="000A2E17">
        <w:t>female labo</w:t>
      </w:r>
      <w:r w:rsidR="00B8272C">
        <w:t>u</w:t>
      </w:r>
      <w:r w:rsidR="00B8272C" w:rsidRPr="000A2E17">
        <w:t>r force participation rates at 25 percent are half the world average and the lowest among other regions</w:t>
      </w:r>
      <w:r w:rsidR="00B8272C">
        <w:t xml:space="preserve"> </w:t>
      </w:r>
      <w:r w:rsidR="00D209A5">
        <w:rPr>
          <w:lang w:val="en-CA"/>
        </w:rPr>
        <w:fldChar w:fldCharType="begin"/>
      </w:r>
      <w:r w:rsidR="006F5851">
        <w:rPr>
          <w:lang w:val="en-CA"/>
        </w:rPr>
        <w:instrText xml:space="preserve"> ADDIN EN.CITE &lt;EndNote&gt;&lt;Cite&gt;&lt;Author&gt;Vishwanath&lt;/Author&gt;&lt;Year&gt;2012&lt;/Year&gt;&lt;RecNum&gt;26&lt;/RecNum&gt;&lt;DisplayText&gt;(Vishwanath 2012)&lt;/DisplayText&gt;&lt;record&gt;&lt;rec-number&gt;26&lt;/rec-number&gt;&lt;foreign-keys&gt;&lt;key app="EN" db-id="5a0wsfarrxszvze9rr65r5a3vr95ffwx90f9" timestamp="1403860689"&gt;26&lt;/key&gt;&lt;/foreign-keys&gt;&lt;ref-type name="Electronic Article"&gt;43&lt;/ref-type&gt;&lt;contributors&gt;&lt;authors&gt;&lt;author&gt;Tara Vishwanath&lt;/author&gt;&lt;/authors&gt;&lt;/contributors&gt;&lt;titles&gt;&lt;title&gt;Alert! Arab world women at bottom of global workforce participation&lt;/title&gt;&lt;tertiary-title&gt;Voices and Views:  Middle East and North Africa&lt;/tertiary-title&gt;&lt;/titles&gt;&lt;section&gt; 03/08/2012&lt;/section&gt;&lt;dates&gt;&lt;year&gt;2012&lt;/year&gt;&lt;/dates&gt;&lt;pub-location&gt;Washington DC&lt;/pub-location&gt;&lt;publisher&gt;The World Bank&lt;/publisher&gt;&lt;urls&gt;&lt;related-urls&gt;&lt;url&gt;http://blogs.worldbank.org/arabvoices/alert-arab-world-women-bottom-global-workforce-participation&lt;/url&gt;&lt;/related-urls&gt;&lt;/urls&gt;&lt;/record&gt;&lt;/Cite&gt;&lt;/EndNote&gt;</w:instrText>
      </w:r>
      <w:r w:rsidR="00D209A5">
        <w:rPr>
          <w:lang w:val="en-CA"/>
        </w:rPr>
        <w:fldChar w:fldCharType="separate"/>
      </w:r>
      <w:r w:rsidR="000E2470">
        <w:rPr>
          <w:noProof/>
          <w:lang w:val="en-CA"/>
        </w:rPr>
        <w:t>(</w:t>
      </w:r>
      <w:hyperlink w:anchor="_ENREF_24" w:tooltip="Vishwanath, 2012 #26" w:history="1">
        <w:r w:rsidR="00EB16D2">
          <w:rPr>
            <w:noProof/>
            <w:lang w:val="en-CA"/>
          </w:rPr>
          <w:t>Vishwanath 2012</w:t>
        </w:r>
      </w:hyperlink>
      <w:r w:rsidR="000E2470">
        <w:rPr>
          <w:noProof/>
          <w:lang w:val="en-CA"/>
        </w:rPr>
        <w:t>)</w:t>
      </w:r>
      <w:r w:rsidR="00D209A5">
        <w:rPr>
          <w:lang w:val="en-CA"/>
        </w:rPr>
        <w:fldChar w:fldCharType="end"/>
      </w:r>
      <w:r w:rsidR="00B21D3E">
        <w:rPr>
          <w:lang w:val="en-CA"/>
        </w:rPr>
        <w:t xml:space="preserve">.  The World Bank in a major study in 2004 contended that the </w:t>
      </w:r>
      <w:r w:rsidR="00B8272C">
        <w:t xml:space="preserve">MENA </w:t>
      </w:r>
      <w:r w:rsidR="00B21D3E">
        <w:t>region is losing out on productivity and</w:t>
      </w:r>
      <w:r w:rsidR="00B8272C">
        <w:t xml:space="preserve"> economic growth</w:t>
      </w:r>
      <w:r w:rsidR="00B21D3E">
        <w:t xml:space="preserve"> as a result of this stay-away.  </w:t>
      </w:r>
      <w:r w:rsidR="00B8272C">
        <w:rPr>
          <w:lang w:val="en-CA"/>
        </w:rPr>
        <w:t>Per capita income in the Middle East and North Africa could have grown substantially more</w:t>
      </w:r>
      <w:r w:rsidR="00B21D3E">
        <w:rPr>
          <w:lang w:val="en-CA"/>
        </w:rPr>
        <w:t>, it stated,</w:t>
      </w:r>
      <w:r w:rsidR="00B8272C">
        <w:rPr>
          <w:lang w:val="en-CA"/>
        </w:rPr>
        <w:t xml:space="preserve"> had women had greater access to economic opportunity.  </w:t>
      </w:r>
    </w:p>
    <w:p w14:paraId="2E40B1CE" w14:textId="77777777" w:rsidR="00B8272C" w:rsidRDefault="00B8272C" w:rsidP="00CE45DD">
      <w:pPr>
        <w:ind w:left="720" w:right="-72"/>
        <w:rPr>
          <w:lang w:val="en-CA"/>
        </w:rPr>
      </w:pPr>
      <w:r>
        <w:rPr>
          <w:lang w:val="en-CA"/>
        </w:rPr>
        <w:t xml:space="preserve">In a global economy that values mental power, the </w:t>
      </w:r>
      <w:r w:rsidR="00B21D3E">
        <w:rPr>
          <w:lang w:val="en-CA"/>
        </w:rPr>
        <w:t xml:space="preserve">[MENA] </w:t>
      </w:r>
      <w:r>
        <w:rPr>
          <w:lang w:val="en-CA"/>
        </w:rPr>
        <w:t xml:space="preserve">region's new comparative advantage could well be its large, educated and, increasingly, female workforce.  Economic growth relies increasingly on a country's quality of human resources, and women remain a largely untapped resource.  Therefore, gender issues need to be viewed as central in policy design and implementation.  Gender equality is not only for the sake of women.  It promotes growth and aids the welfare of society in general </w:t>
      </w:r>
      <w:r w:rsidR="00D209A5">
        <w:rPr>
          <w:lang w:val="en-CA"/>
        </w:rPr>
        <w:fldChar w:fldCharType="begin"/>
      </w:r>
      <w:r w:rsidR="006D7727">
        <w:rPr>
          <w:lang w:val="en-CA"/>
        </w:rPr>
        <w:instrText xml:space="preserve"> ADDIN EN.CITE &lt;EndNote&gt;&lt;Cite&gt;&lt;Author&gt;World Bank staff&lt;/Author&gt;&lt;Year&gt;2004&lt;/Year&gt;&lt;RecNum&gt;27&lt;/RecNum&gt;&lt;Suffix&gt;`, p. 83&lt;/Suffix&gt;&lt;DisplayText&gt;(World Bank staff 2004, p. 83)&lt;/DisplayText&gt;&lt;record&gt;&lt;rec-number&gt;27&lt;/rec-number&gt;&lt;foreign-keys&gt;&lt;key app="EN" db-id="5a0wsfarrxszvze9rr65r5a3vr95ffwx90f9" timestamp="1403860689"&gt;27&lt;/key&gt;&lt;/foreign-keys&gt;&lt;ref-type name="Report"&gt;27&lt;/ref-type&gt;&lt;contributors&gt;&lt;authors&gt;&lt;author&gt;World Bank staff,&lt;/author&gt;&lt;/authors&gt;&lt;/contributors&gt;&lt;titles&gt;&lt;title&gt;Gender and Development in the Middle East and North Africa: Women in the Public Sphere&lt;/title&gt;&lt;/titles&gt;&lt;pages&gt;221&lt;/pages&gt;&lt;dates&gt;&lt;year&gt;2004&lt;/year&gt;&lt;/dates&gt;&lt;pub-location&gt;Washington, DC&lt;/pub-location&gt;&lt;publisher&gt;World Bank&lt;/publisher&gt;&lt;urls&gt;&lt;related-urls&gt;&lt;url&gt;http://web.worldbank.org/WBSITE/EXTERNAL/COUNTRIES/MENAEXT/0,,contentMDK:20261828~pagePK:146736~piPK:146830~theSitePK:256299,00.html&lt;/url&gt;&lt;/related-urls&gt;&lt;/urls&gt;&lt;research-notes&gt;http://go.worldbank.org/ENRPGWBY40  permanent url&lt;/research-notes&gt;&lt;/record&gt;&lt;/Cite&gt;&lt;/EndNote&gt;</w:instrText>
      </w:r>
      <w:r w:rsidR="00D209A5">
        <w:rPr>
          <w:lang w:val="en-CA"/>
        </w:rPr>
        <w:fldChar w:fldCharType="separate"/>
      </w:r>
      <w:r w:rsidR="000E2470">
        <w:rPr>
          <w:noProof/>
          <w:lang w:val="en-CA"/>
        </w:rPr>
        <w:t>(</w:t>
      </w:r>
      <w:hyperlink w:anchor="_ENREF_27" w:tooltip="World Bank staff, 2004 #27" w:history="1">
        <w:r w:rsidR="00EB16D2">
          <w:rPr>
            <w:noProof/>
            <w:lang w:val="en-CA"/>
          </w:rPr>
          <w:t>World Bank staff 2004, p. 83</w:t>
        </w:r>
      </w:hyperlink>
      <w:r w:rsidR="000E2470">
        <w:rPr>
          <w:noProof/>
          <w:lang w:val="en-CA"/>
        </w:rPr>
        <w:t>)</w:t>
      </w:r>
      <w:r w:rsidR="00D209A5">
        <w:rPr>
          <w:lang w:val="en-CA"/>
        </w:rPr>
        <w:fldChar w:fldCharType="end"/>
      </w:r>
      <w:r w:rsidR="00B21D3E">
        <w:rPr>
          <w:lang w:val="en-CA"/>
        </w:rPr>
        <w:t>.</w:t>
      </w:r>
    </w:p>
    <w:p w14:paraId="02F1EDA1" w14:textId="77777777" w:rsidR="000B1F07" w:rsidRDefault="00B21D3E" w:rsidP="00CE45DD">
      <w:pPr>
        <w:ind w:right="-72"/>
      </w:pPr>
      <w:r>
        <w:t xml:space="preserve">The current national development plan calls for greater participation of women in all aspects of development.  </w:t>
      </w:r>
      <w:r w:rsidR="00CC3C1A">
        <w:t xml:space="preserve">As </w:t>
      </w:r>
      <w:r w:rsidR="001E0FD7">
        <w:t>Chapter</w:t>
      </w:r>
      <w:r w:rsidR="00CC3C1A">
        <w:t xml:space="preserve"> 3 on Status of the Outcome suggested, t</w:t>
      </w:r>
      <w:r>
        <w:t>he education-labour market gap may be about to change.</w:t>
      </w:r>
    </w:p>
    <w:p w14:paraId="1635D909" w14:textId="77777777" w:rsidR="00124802" w:rsidRDefault="00124802" w:rsidP="004628F0">
      <w:pPr>
        <w:pStyle w:val="Heading1"/>
        <w:numPr>
          <w:ilvl w:val="0"/>
          <w:numId w:val="31"/>
        </w:numPr>
      </w:pPr>
      <w:bookmarkStart w:id="36" w:name="_Toc399078766"/>
      <w:r>
        <w:t>Assessment of the partnership strategy</w:t>
      </w:r>
      <w:bookmarkEnd w:id="36"/>
      <w:r>
        <w:t xml:space="preserve"> </w:t>
      </w:r>
    </w:p>
    <w:p w14:paraId="2AD3F3CF" w14:textId="77777777" w:rsidR="006910FA" w:rsidRPr="006910FA" w:rsidRDefault="006910FA" w:rsidP="006910FA">
      <w:pPr>
        <w:ind w:right="-72"/>
      </w:pPr>
      <w:r>
        <w:t xml:space="preserve">An assessment of the partnership strategy should discuss whether </w:t>
      </w:r>
      <w:r w:rsidRPr="006910FA">
        <w:t>UNDP’s handling of this aspect was appropriate and effective.  Th</w:t>
      </w:r>
      <w:r>
        <w:t xml:space="preserve">e consultant looked at the origins of the partnerships, and the respective roles of UNDP and its partners, the contributions of the partner relationships to the Outcome, and </w:t>
      </w:r>
      <w:r w:rsidRPr="006910FA">
        <w:t xml:space="preserve">the level of participation </w:t>
      </w:r>
      <w:r>
        <w:t>of stakeholders.  The assessment also takes note of</w:t>
      </w:r>
      <w:r w:rsidRPr="006910FA">
        <w:t xml:space="preserve"> the key beneficiari</w:t>
      </w:r>
      <w:r>
        <w:t>es, focusing on their perceptions of UNDP’s contribution in the partnership to the achievement of their own project goals.</w:t>
      </w:r>
    </w:p>
    <w:p w14:paraId="203D05E5" w14:textId="77777777" w:rsidR="002F2715" w:rsidRDefault="002F2715" w:rsidP="002F2715">
      <w:pPr>
        <w:ind w:right="-72"/>
      </w:pPr>
      <w:r>
        <w:t>As this report has already noted, a</w:t>
      </w:r>
      <w:r w:rsidRPr="002F2715">
        <w:t xml:space="preserve"> global UNDP evaluation on Capacity Development for Policy and </w:t>
      </w:r>
      <w:r>
        <w:t>Planning that included</w:t>
      </w:r>
      <w:r w:rsidRPr="002F2715">
        <w:t xml:space="preserve"> a Saudi Arabia case study </w:t>
      </w:r>
      <w:r>
        <w:t>found</w:t>
      </w:r>
      <w:r w:rsidRPr="002F2715">
        <w:t xml:space="preserve"> that UNDP </w:t>
      </w:r>
      <w:r>
        <w:t xml:space="preserve">could play a greater role </w:t>
      </w:r>
      <w:r w:rsidRPr="002F2715">
        <w:t xml:space="preserve">in supporting </w:t>
      </w:r>
      <w:r>
        <w:t>“</w:t>
      </w:r>
      <w:r w:rsidRPr="002F2715">
        <w:t>charity societies and institutions. The wealth of UN/UNDP development experience had not been fully mobilized, with a need</w:t>
      </w:r>
      <w:r>
        <w:t xml:space="preserve"> for new partnership strategies” (UNDP 2012, pp 2-3).  </w:t>
      </w:r>
    </w:p>
    <w:p w14:paraId="6017F6C9" w14:textId="77777777" w:rsidR="002F2715" w:rsidRDefault="002F2715" w:rsidP="000D214A">
      <w:pPr>
        <w:ind w:right="-72"/>
      </w:pPr>
      <w:r>
        <w:t xml:space="preserve">In designing and implementing the Country Programme, UNDP is partnering first with government, and for the first time with CSOs/NGOs.  </w:t>
      </w:r>
      <w:r w:rsidR="000D214A">
        <w:t>With the shift in emphasis in the CPD from an economic to a sustainability and social focus, CSOs are a natural partner.  The CPD explicitly directed programming to “</w:t>
      </w:r>
      <w:r w:rsidR="000D214A" w:rsidRPr="000D214A">
        <w:rPr>
          <w:bCs/>
        </w:rPr>
        <w:t>charity societies and social institutions concerned with the issues of the poor and persons of special needs</w:t>
      </w:r>
      <w:r w:rsidR="000D214A">
        <w:rPr>
          <w:bCs/>
        </w:rPr>
        <w:t xml:space="preserve">” (UNDP 2012, p. 3).  This led </w:t>
      </w:r>
      <w:r w:rsidR="000D214A">
        <w:t xml:space="preserve">inevitably to pioneering relationships with youth and women’s CSOs.  </w:t>
      </w:r>
      <w:r w:rsidR="003A570B">
        <w:t xml:space="preserve">At the same time, UNDP’s main and mandated partner is government.  In the current Country Programme the partner ministries have been Foreign Affairs and Economy and Planning.  Government-financed projects represent more than 96 percent of the Programme by funding allocation, while CSO partnerships account for under 4 percent (see Annex 3 for project budget totals).  </w:t>
      </w:r>
    </w:p>
    <w:p w14:paraId="126359A2" w14:textId="77777777" w:rsidR="003A570B" w:rsidRDefault="003A570B" w:rsidP="000D214A">
      <w:pPr>
        <w:ind w:right="-72"/>
      </w:pPr>
      <w:r>
        <w:t xml:space="preserve">While the CSO partnerships represent a very small share of the Programme by value, for the CSO partners their cooperation with UNDP is of enormous significance.  In the case of the Women’s Empowerment project, the contribution from </w:t>
      </w:r>
      <w:r w:rsidR="006910FA">
        <w:t xml:space="preserve">UNDP through </w:t>
      </w:r>
      <w:r>
        <w:t xml:space="preserve">the DGTTF </w:t>
      </w:r>
      <w:r w:rsidR="006910FA">
        <w:t xml:space="preserve">constituted the entire budget for the planned outputs.  Unfortunately, trust fund financing is a one-off, windfall resource.  In the case of the Warif youth project, donations from its parent foundation similarly support the entire budget.  While this donor is likely to continue to support Warif, one fact is common to both CSOs:  these organizations are running almost entirely on volunteer support.  Funding is allocated in large measure to consultant and travel costs.  The contributions of volunteering are laudable, and the CPD takes up the country concern to develop this form of social responsibility.  That said, it is difficult to run an organization without some significant level of core staffing and expenditures supported by sustainable financing.  </w:t>
      </w:r>
    </w:p>
    <w:p w14:paraId="087262D0" w14:textId="77777777" w:rsidR="006910FA" w:rsidRDefault="006910FA" w:rsidP="000D214A">
      <w:pPr>
        <w:ind w:right="-72"/>
      </w:pPr>
      <w:r>
        <w:t xml:space="preserve">Turning to UNDP’s traditional partners, KSA government agencies, it is clear from key informant interviews as well as programme documentation that </w:t>
      </w:r>
      <w:r w:rsidRPr="0049128E">
        <w:rPr>
          <w:i/>
        </w:rPr>
        <w:t>the ongoing partnership works effectively and is deeply appreciated by government.</w:t>
      </w:r>
      <w:r>
        <w:t xml:space="preserve">  As a net contributing country, KSA finances project activities and manages the programme under NIM mechanisms (national implementation).  </w:t>
      </w:r>
    </w:p>
    <w:p w14:paraId="27457991" w14:textId="77777777" w:rsidR="00E35511" w:rsidRDefault="00E35511" w:rsidP="000D214A">
      <w:pPr>
        <w:ind w:right="-72"/>
      </w:pPr>
      <w:r>
        <w:t xml:space="preserve">The Country Programme outputs under Outcome 1 have reached several thousand youth, among others, through the National Youth Strategy project, and several hundred through the Youth Dialogue Forums.  The CSO projects Warif and PSF-Women’s empowerment have probably reached many scores or hundreds of participants (and perhaps thousands through Warif radio).  </w:t>
      </w:r>
    </w:p>
    <w:p w14:paraId="2F556567" w14:textId="77777777" w:rsidR="00E35511" w:rsidRDefault="00E35511" w:rsidP="000D214A">
      <w:pPr>
        <w:ind w:right="-72"/>
      </w:pPr>
      <w:r w:rsidRPr="0049128E">
        <w:rPr>
          <w:i/>
        </w:rPr>
        <w:t>For both government and UNDP, cognizant of the shared desire to take advantage of UNDP’s demonstrated comparative advantage in institutional capacity development, it will be important to step up the level and leverage of partnership</w:t>
      </w:r>
      <w:r>
        <w:t xml:space="preserve">.  A wider </w:t>
      </w:r>
      <w:r w:rsidR="005E4792">
        <w:t>pool of partner ministries could be drawn in; for example, where both the 9</w:t>
      </w:r>
      <w:r w:rsidR="005E4792" w:rsidRPr="005E4792">
        <w:rPr>
          <w:vertAlign w:val="superscript"/>
        </w:rPr>
        <w:t>th</w:t>
      </w:r>
      <w:r w:rsidR="005E4792">
        <w:t xml:space="preserve"> </w:t>
      </w:r>
      <w:r w:rsidR="001A4662">
        <w:t>NDP and the CPD call for significant expansion of employment, support to CSOs that support employment creation, and MSE support – it may be helpful to develop an ongoing partnership with ministries such as Labour and related agencies in the public sector.  With the emphasis in the same basic documents on the urgent need to better align education and youth aspirations for meaningful participation and careers, it would be helpful to work with Education and related ministries and departments.</w:t>
      </w:r>
    </w:p>
    <w:p w14:paraId="7A1FDCF5" w14:textId="77777777" w:rsidR="001A4662" w:rsidRDefault="001A4662" w:rsidP="000D214A">
      <w:pPr>
        <w:ind w:right="-72"/>
      </w:pPr>
      <w:r>
        <w:t xml:space="preserve">Finally, given the realities of UNDP’s restricted mandate vis-á-vis private sector entities, paired with the avowed objective of supporting CSO capacities, </w:t>
      </w:r>
      <w:r w:rsidR="00A76753">
        <w:t xml:space="preserve">it would be valuable to ask government to </w:t>
      </w:r>
      <w:r w:rsidR="00A76753" w:rsidRPr="0049128E">
        <w:rPr>
          <w:i/>
        </w:rPr>
        <w:t>open the way to creating mechanisms through which government itself can bring CSOs into the working partnership.</w:t>
      </w:r>
      <w:r w:rsidR="00A76753">
        <w:t xml:space="preserve">  One experimental route could be requesting (through the government partner) the partnership of one or more corporate social responsibility programmes – so as to access sustainable and serious funding for women’s enterprise and youth employment CSOs.  </w:t>
      </w:r>
    </w:p>
    <w:p w14:paraId="336C9A37" w14:textId="77777777" w:rsidR="00867E49" w:rsidRDefault="003F0C51" w:rsidP="00E878BB">
      <w:pPr>
        <w:pStyle w:val="Heading1"/>
        <w:numPr>
          <w:ilvl w:val="0"/>
          <w:numId w:val="31"/>
        </w:numPr>
      </w:pPr>
      <w:bookmarkStart w:id="37" w:name="_Toc399078767"/>
      <w:r>
        <w:t>Conclusions</w:t>
      </w:r>
      <w:r w:rsidR="00C201DE">
        <w:t xml:space="preserve"> and </w:t>
      </w:r>
      <w:r w:rsidR="00124802">
        <w:t>Recommendations</w:t>
      </w:r>
      <w:bookmarkEnd w:id="37"/>
      <w:r w:rsidR="00124802">
        <w:t xml:space="preserve"> </w:t>
      </w:r>
    </w:p>
    <w:p w14:paraId="68650985" w14:textId="77777777" w:rsidR="00867E49" w:rsidRDefault="00867E49" w:rsidP="00867E49">
      <w:pPr>
        <w:ind w:right="-72"/>
      </w:pPr>
      <w:r>
        <w:t xml:space="preserve">The Conclusions in this report are based on three major resources:  </w:t>
      </w:r>
    </w:p>
    <w:p w14:paraId="072B0F7B" w14:textId="77777777" w:rsidR="00867E49" w:rsidRDefault="00867E49" w:rsidP="00867E49">
      <w:pPr>
        <w:ind w:left="720" w:right="-72"/>
      </w:pPr>
      <w:r>
        <w:t>(1) A review of documentation pertaining to the government strategy, UN and UNDP strategic frameworks and projects under Outcome 1 of the Country Programme</w:t>
      </w:r>
    </w:p>
    <w:p w14:paraId="19FDA532" w14:textId="77777777" w:rsidR="00867E49" w:rsidRDefault="00867E49" w:rsidP="00867E49">
      <w:pPr>
        <w:ind w:left="720" w:right="-72"/>
      </w:pPr>
      <w:r>
        <w:t>(2) Discussions with key informants during the two-week review mission of 23 June – 3 July</w:t>
      </w:r>
    </w:p>
    <w:p w14:paraId="32B73BE4" w14:textId="77777777" w:rsidR="00867E49" w:rsidRDefault="00867E49" w:rsidP="00867E49">
      <w:pPr>
        <w:ind w:left="720" w:right="-72"/>
      </w:pPr>
      <w:r>
        <w:t>(3) Statistical and other data on the status of indicators relevant to the Outcome:  “</w:t>
      </w:r>
      <w:r w:rsidRPr="002E4FD7">
        <w:t>Social Empowerment and Institutional Strengthening with Emphasis on Youth”</w:t>
      </w:r>
      <w:r>
        <w:t xml:space="preserve"> – drawn from both project materials, and independent review of on-line databases. </w:t>
      </w:r>
    </w:p>
    <w:p w14:paraId="3A8173AB" w14:textId="77777777" w:rsidR="00867E49" w:rsidRDefault="00867E49" w:rsidP="00867E49">
      <w:pPr>
        <w:ind w:right="-72"/>
        <w:rPr>
          <w:lang w:val="en-CA"/>
        </w:rPr>
      </w:pPr>
      <w:r>
        <w:t xml:space="preserve">As we have noted in earlier reports, </w:t>
      </w:r>
      <w:r w:rsidRPr="002B3DEF">
        <w:rPr>
          <w:lang w:val="en-CA"/>
        </w:rPr>
        <w:t xml:space="preserve">conclusions </w:t>
      </w:r>
      <w:r>
        <w:rPr>
          <w:lang w:val="en-CA"/>
        </w:rPr>
        <w:t xml:space="preserve">should be presented in such a way as to go beyond findings:  conclusions </w:t>
      </w:r>
      <w:r w:rsidRPr="002B3DEF">
        <w:rPr>
          <w:lang w:val="en-CA"/>
        </w:rPr>
        <w:t>are interpretations that give meaning to the findings based on a synthesis</w:t>
      </w:r>
      <w:r>
        <w:rPr>
          <w:lang w:val="en-CA"/>
        </w:rPr>
        <w:t xml:space="preserve"> and reasoned judgement </w:t>
      </w:r>
      <w:r w:rsidRPr="002B3DEF">
        <w:rPr>
          <w:lang w:val="en-CA"/>
        </w:rPr>
        <w:t>–</w:t>
      </w:r>
      <w:r>
        <w:rPr>
          <w:lang w:val="en-CA"/>
        </w:rPr>
        <w:t xml:space="preserve"> </w:t>
      </w:r>
      <w:r w:rsidRPr="002B3DEF">
        <w:rPr>
          <w:lang w:val="en-CA"/>
        </w:rPr>
        <w:t xml:space="preserve">set in the specific circumstances of the </w:t>
      </w:r>
      <w:r>
        <w:rPr>
          <w:lang w:val="en-CA"/>
        </w:rPr>
        <w:t>CPD</w:t>
      </w:r>
      <w:r w:rsidRPr="002B3DEF">
        <w:rPr>
          <w:lang w:val="en-CA"/>
        </w:rPr>
        <w:t xml:space="preserve"> </w:t>
      </w:r>
      <w:r w:rsidRPr="002B3DEF">
        <w:rPr>
          <w:lang w:val="en-CA"/>
        </w:rPr>
        <w:fldChar w:fldCharType="begin"/>
      </w:r>
      <w:r w:rsidR="006D7727">
        <w:rPr>
          <w:lang w:val="en-CA"/>
        </w:rPr>
        <w:instrText xml:space="preserve"> ADDIN EN.CITE &lt;EndNote&gt;&lt;Cite&gt;&lt;Author&gt;UNDP&lt;/Author&gt;&lt;Year&gt;2009&lt;/Year&gt;&lt;RecNum&gt;34&lt;/RecNum&gt;&lt;Suffix&gt;`, p. 179&lt;/Suffix&gt;&lt;DisplayText&gt;(UNDP 2009, p. 179)&lt;/DisplayText&gt;&lt;record&gt;&lt;rec-number&gt;34&lt;/rec-number&gt;&lt;foreign-keys&gt;&lt;key app="EN" db-id="5a0wsfarrxszvze9rr65r5a3vr95ffwx90f9" timestamp="1403860689"&gt;34&lt;/key&gt;&lt;/foreign-keys&gt;&lt;ref-type name="Report"&gt;27&lt;/ref-type&gt;&lt;contributors&gt;&lt;authors&gt;&lt;author&gt;UNDP&lt;/author&gt;&lt;/authors&gt;&lt;/contributors&gt;&lt;titles&gt;&lt;title&gt;Handbook on Planning, Monitoring and Evaluating for Development Results&lt;/title&gt;&lt;/titles&gt;&lt;pages&gt;232&lt;/pages&gt;&lt;dates&gt;&lt;year&gt;2009&lt;/year&gt;&lt;/dates&gt;&lt;pub-location&gt;New York&lt;/pub-location&gt;&lt;publisher&gt;United Nations Development Programme&lt;/publisher&gt;&lt;urls&gt;&lt;related-urls&gt;&lt;url&gt;http://web.undp.org/evaluation/handbook/documents/english/pme-handbook.pdf&lt;/url&gt;&lt;/related-urls&gt;&lt;/urls&gt;&lt;/record&gt;&lt;/Cite&gt;&lt;/EndNote&gt;</w:instrText>
      </w:r>
      <w:r w:rsidRPr="002B3DEF">
        <w:rPr>
          <w:lang w:val="en-CA"/>
        </w:rPr>
        <w:fldChar w:fldCharType="separate"/>
      </w:r>
      <w:r>
        <w:rPr>
          <w:noProof/>
          <w:lang w:val="en-CA"/>
        </w:rPr>
        <w:t>(</w:t>
      </w:r>
      <w:hyperlink w:anchor="_ENREF_18" w:tooltip="UNDP, 2009 #34" w:history="1">
        <w:r w:rsidR="00EB16D2">
          <w:rPr>
            <w:noProof/>
            <w:lang w:val="en-CA"/>
          </w:rPr>
          <w:t>UNDP 2009, p. 179</w:t>
        </w:r>
      </w:hyperlink>
      <w:r>
        <w:rPr>
          <w:noProof/>
          <w:lang w:val="en-CA"/>
        </w:rPr>
        <w:t>)</w:t>
      </w:r>
      <w:r w:rsidRPr="002B3DEF">
        <w:rPr>
          <w:lang w:val="en-CA"/>
        </w:rPr>
        <w:fldChar w:fldCharType="end"/>
      </w:r>
      <w:r w:rsidRPr="002B3DEF">
        <w:rPr>
          <w:lang w:val="en-CA"/>
        </w:rPr>
        <w:t>.</w:t>
      </w:r>
    </w:p>
    <w:p w14:paraId="133F38CC" w14:textId="77777777" w:rsidR="00422F02" w:rsidRDefault="00422F02" w:rsidP="00E878BB">
      <w:pPr>
        <w:pStyle w:val="Heading2"/>
        <w:numPr>
          <w:ilvl w:val="1"/>
          <w:numId w:val="31"/>
        </w:numPr>
        <w:ind w:right="-72"/>
      </w:pPr>
      <w:bookmarkStart w:id="38" w:name="_Toc325940195"/>
      <w:bookmarkStart w:id="39" w:name="_Toc399078768"/>
      <w:r>
        <w:t xml:space="preserve">Context:  </w:t>
      </w:r>
      <w:r w:rsidRPr="00DA7619">
        <w:t>High-human-development NCC</w:t>
      </w:r>
      <w:bookmarkEnd w:id="38"/>
      <w:r>
        <w:t>, new focus</w:t>
      </w:r>
      <w:bookmarkEnd w:id="39"/>
    </w:p>
    <w:p w14:paraId="7B729D22" w14:textId="77777777" w:rsidR="00422F02" w:rsidRDefault="00422F02" w:rsidP="00422F02">
      <w:pPr>
        <w:ind w:right="-72"/>
      </w:pPr>
      <w:r>
        <w:t>Evaluations in the past have observed the high potential for UNDP cooperation with NCC countries, particularly since ownership by government and an effective direction of effort is assured:</w:t>
      </w:r>
    </w:p>
    <w:p w14:paraId="770315F0" w14:textId="77777777" w:rsidR="00422F02" w:rsidRDefault="00422F02" w:rsidP="00422F02">
      <w:pPr>
        <w:ind w:left="720" w:right="-72"/>
      </w:pPr>
      <w:r w:rsidRPr="00DA7619">
        <w:t xml:space="preserve">The evaluation of UNDP cooperation with NCC countries in the Arab region made clear the high regard in which these countries hold their partnership with </w:t>
      </w:r>
      <w:r w:rsidR="00FE2FAD">
        <w:t xml:space="preserve">UNDP </w:t>
      </w:r>
      <w:r w:rsidR="00FE2FAD">
        <w:fldChar w:fldCharType="begin"/>
      </w:r>
      <w:r w:rsidR="00EB16D2">
        <w:instrText xml:space="preserve"> ADDIN EN.CITE &lt;EndNote&gt;&lt;Cite&gt;&lt;Author&gt;UNDP Evaluation Office&lt;/Author&gt;&lt;Year&gt;2008&lt;/Year&gt;&lt;RecNum&gt;37&lt;/RecNum&gt;&lt;Prefix&gt;see`, e.g. &lt;/Prefix&gt;&lt;DisplayText&gt;(see, e.g. UNDP Evaluation Office 2008)&lt;/DisplayText&gt;&lt;record&gt;&lt;rec-number&gt;37&lt;/rec-number&gt;&lt;foreign-keys&gt;&lt;key app="EN" db-id="5a0wsfarrxszvze9rr65r5a3vr95ffwx90f9" timestamp="1403860799"&gt;37&lt;/key&gt;&lt;/foreign-keys&gt;&lt;ref-type name="Report"&gt;27&lt;/ref-type&gt;&lt;contributors&gt;&lt;authors&gt;&lt;author&gt;UNDP Evaluation Office,&lt;/author&gt;&lt;/authors&gt;&lt;tertiary-authors&gt;&lt;author&gt;United Nations Development Programme,&lt;/author&gt;&lt;/tertiary-authors&gt;&lt;/contributors&gt;&lt;titles&gt;&lt;title&gt;Evaluation of the Role of UNDP in the Net Contributor Countries of the Arab Region &lt;/title&gt;&lt;/titles&gt;&lt;pages&gt;93&lt;/pages&gt;&lt;dates&gt;&lt;year&gt;2008&lt;/year&gt;&lt;pub-dates&gt;&lt;date&gt;May&lt;/date&gt;&lt;/pub-dates&gt;&lt;/dates&gt;&lt;pub-location&gt;New York&lt;/pub-location&gt;&lt;publisher&gt;United Nations Development Office&lt;/publisher&gt;&lt;isbn&gt;DP/2008/26&lt;/isbn&gt;&lt;urls&gt;&lt;related-urls&gt;&lt;url&gt;http://web.undp.org/evaluation/documents/thematic/ncc/NCC.pdf&lt;/url&gt;&lt;/related-urls&gt;&lt;/urls&gt;&lt;research-notes&gt;2008/18  Report of UNDP Executive Bd and UNFPA ExBd&amp;#xD;Evaluation of net contributor countries in the Arab region&amp;#xD;The Executive Board&amp;#xD;1. Takes note of the evaluation of UNDP in the net contributor countries of the Arab region&amp;#xD;(DP/2008/26), its corrigenda ((DP/2008/26/Corr.1 and DP/2008/26/Corr.2) and the management&amp;#xD;response to that evaluation (DP/2008/27);&amp;#xD;2. Requests UNDP to include the Board in its consultations concerning the review and&amp;#xD;development of criteria for continued UNDP presence in a net contributor country;&amp;#xD;3. Urges UNDP to give high priority to strengthening its support to net contributor countries in&amp;#xD;the area of capacity development, based on national priorities and systems, in order to strengthen&amp;#xD;the sustainability of its programming.&lt;/research-notes&gt;&lt;/record&gt;&lt;/Cite&gt;&lt;/EndNote&gt;</w:instrText>
      </w:r>
      <w:r w:rsidR="00FE2FAD">
        <w:fldChar w:fldCharType="separate"/>
      </w:r>
      <w:r w:rsidR="00FE2FAD">
        <w:rPr>
          <w:noProof/>
        </w:rPr>
        <w:t>(</w:t>
      </w:r>
      <w:hyperlink w:anchor="_ENREF_21" w:tooltip="UNDP Evaluation Office, 2008 #37" w:history="1">
        <w:r w:rsidR="00EB16D2">
          <w:rPr>
            <w:noProof/>
          </w:rPr>
          <w:t>see, e.g. UNDP Evaluation Office 2008</w:t>
        </w:r>
      </w:hyperlink>
      <w:r w:rsidR="00FE2FAD">
        <w:rPr>
          <w:noProof/>
        </w:rPr>
        <w:t>)</w:t>
      </w:r>
      <w:r w:rsidR="00FE2FAD">
        <w:fldChar w:fldCharType="end"/>
      </w:r>
      <w:r w:rsidRPr="00DA7619">
        <w:t xml:space="preserve">.  </w:t>
      </w:r>
      <w:r>
        <w:t>In the c</w:t>
      </w:r>
      <w:r w:rsidRPr="00DA7619">
        <w:t xml:space="preserve">ase of </w:t>
      </w:r>
      <w:r>
        <w:t>K</w:t>
      </w:r>
      <w:r w:rsidRPr="00DA7619">
        <w:t xml:space="preserve">SA </w:t>
      </w:r>
      <w:r>
        <w:t xml:space="preserve">this cooperation modality and approach are arguably </w:t>
      </w:r>
      <w:r w:rsidRPr="00DA7619">
        <w:t>all the more</w:t>
      </w:r>
      <w:r>
        <w:t xml:space="preserve"> effective</w:t>
      </w:r>
      <w:r w:rsidRPr="00DA7619">
        <w:t>, since government is able to finance a large programme, and is clear as to its objectives and needs</w:t>
      </w:r>
      <w:r>
        <w:t xml:space="preserve">.  Ownership by government is ensured, and the role of UNDP is one of facilitating access to the best possible resources </w:t>
      </w:r>
      <w:r>
        <w:fldChar w:fldCharType="begin"/>
      </w:r>
      <w:r w:rsidR="006F5851">
        <w:instrText xml:space="preserve"> ADDIN EN.CITE &lt;EndNote&gt;&lt;Cite&gt;&lt;Author&gt;Alexander&lt;/Author&gt;&lt;Year&gt;2012&lt;/Year&gt;&lt;RecNum&gt;249&lt;/RecNum&gt;&lt;Suffix&gt;`, p. 36&lt;/Suffix&gt;&lt;DisplayText&gt;(Alexander 2012b, p. 36)&lt;/DisplayText&gt;&lt;record&gt;&lt;rec-number&gt;249&lt;/rec-number&gt;&lt;foreign-keys&gt;&lt;key app="EN" db-id="5a0wsfarrxszvze9rr65r5a3vr95ffwx90f9" timestamp="1406230115"&gt;249&lt;/key&gt;&lt;/foreign-keys&gt;&lt;ref-type name="Report"&gt;27&lt;/ref-type&gt;&lt;contributors&gt;&lt;authors&gt;&lt;author&gt;Alexander, Patricia&lt;/author&gt;&lt;/authors&gt;&lt;/contributors&gt;&lt;titles&gt;&lt;title&gt;Outcome evaluation of UNDP support for public sector performance, Country Programme 2007-2011&lt;/title&gt;&lt;/titles&gt;&lt;dates&gt;&lt;year&gt;2012&lt;/year&gt;&lt;/dates&gt;&lt;pub-location&gt;Riyadh&lt;/pub-location&gt;&lt;publisher&gt;UNDP-KSA&lt;/publisher&gt;&lt;urls&gt;&lt;related-urls&gt;&lt;url&gt;http://erc.undp.org/evaluationadmin/manageevaluation/viewevaluationdetail.html?evalid=5752&lt;/url&gt;&lt;/related-urls&gt;&lt;/urls&gt;&lt;/record&gt;&lt;/Cite&gt;&lt;/EndNote&gt;</w:instrText>
      </w:r>
      <w:r>
        <w:fldChar w:fldCharType="separate"/>
      </w:r>
      <w:r w:rsidR="00593076">
        <w:rPr>
          <w:noProof/>
        </w:rPr>
        <w:t>(</w:t>
      </w:r>
      <w:hyperlink w:anchor="_ENREF_2" w:tooltip="Alexander, 2012 #249" w:history="1">
        <w:r w:rsidR="00EB16D2">
          <w:rPr>
            <w:noProof/>
          </w:rPr>
          <w:t>Alexander 2012b, p. 36</w:t>
        </w:r>
      </w:hyperlink>
      <w:r w:rsidR="00593076">
        <w:rPr>
          <w:noProof/>
        </w:rPr>
        <w:t>)</w:t>
      </w:r>
      <w:r>
        <w:fldChar w:fldCharType="end"/>
      </w:r>
      <w:r>
        <w:t xml:space="preserve">. </w:t>
      </w:r>
    </w:p>
    <w:p w14:paraId="4C6D8A4E" w14:textId="77777777" w:rsidR="00422F02" w:rsidRPr="008D4F2E" w:rsidRDefault="00800F24" w:rsidP="00422F02">
      <w:pPr>
        <w:ind w:right="-72"/>
      </w:pPr>
      <w:r>
        <w:t xml:space="preserve">In drafting </w:t>
      </w:r>
      <w:r w:rsidR="00FE2FAD">
        <w:t xml:space="preserve">the current CPD in 2012, </w:t>
      </w:r>
      <w:r>
        <w:t xml:space="preserve">UNDP drew on a series of reviews of its previous Country Programme, a global review of NCC cooperative work including a case study of Saudi Arabia, and an Outcome Evaluation of cooperation specifically in development policy areas.  </w:t>
      </w:r>
      <w:r w:rsidR="005E345A">
        <w:t xml:space="preserve">The findings of these assessments pointed towards </w:t>
      </w:r>
      <w:r w:rsidR="005E345A" w:rsidRPr="008D4F2E">
        <w:t xml:space="preserve">an </w:t>
      </w:r>
      <w:r w:rsidR="005E345A" w:rsidRPr="008D4F2E">
        <w:rPr>
          <w:i/>
        </w:rPr>
        <w:t>augmented emphasis</w:t>
      </w:r>
      <w:r w:rsidR="005E345A" w:rsidRPr="008D4F2E">
        <w:t xml:space="preserve"> in the new CPD on:</w:t>
      </w:r>
    </w:p>
    <w:p w14:paraId="215F9E64" w14:textId="77777777" w:rsidR="005E345A" w:rsidRPr="008D4F2E" w:rsidRDefault="005E345A" w:rsidP="00F82BDC">
      <w:pPr>
        <w:pStyle w:val="ListParagraph"/>
        <w:numPr>
          <w:ilvl w:val="0"/>
          <w:numId w:val="21"/>
        </w:numPr>
        <w:ind w:right="-72"/>
      </w:pPr>
      <w:r w:rsidRPr="008D4F2E">
        <w:t>UNDP’s policy focus on the human development orientation</w:t>
      </w:r>
    </w:p>
    <w:p w14:paraId="6C4C23D0" w14:textId="77777777" w:rsidR="005E345A" w:rsidRPr="008D4F2E" w:rsidRDefault="005E345A" w:rsidP="00F82BDC">
      <w:pPr>
        <w:pStyle w:val="ListParagraph"/>
        <w:numPr>
          <w:ilvl w:val="0"/>
          <w:numId w:val="21"/>
        </w:numPr>
        <w:ind w:right="-72"/>
      </w:pPr>
      <w:r w:rsidRPr="008D4F2E">
        <w:t>Shifting the cooperation focus towards sustainability of results</w:t>
      </w:r>
    </w:p>
    <w:p w14:paraId="4006D953" w14:textId="77777777" w:rsidR="005E345A" w:rsidRPr="008D4F2E" w:rsidRDefault="005E345A" w:rsidP="00F82BDC">
      <w:pPr>
        <w:pStyle w:val="ListParagraph"/>
        <w:numPr>
          <w:ilvl w:val="0"/>
          <w:numId w:val="21"/>
        </w:numPr>
        <w:ind w:right="-72"/>
      </w:pPr>
      <w:r w:rsidRPr="008D4F2E">
        <w:t>Supporting human-development</w:t>
      </w:r>
      <w:r w:rsidR="005E31DB" w:rsidRPr="008D4F2E">
        <w:t>-</w:t>
      </w:r>
      <w:r w:rsidRPr="008D4F2E">
        <w:t>oriented institutions /CSOs</w:t>
      </w:r>
      <w:r w:rsidR="00033F01" w:rsidRPr="008D4F2E">
        <w:t xml:space="preserve"> (“greater depth in supporting volunteering”)</w:t>
      </w:r>
    </w:p>
    <w:p w14:paraId="61CC1B3E" w14:textId="77777777" w:rsidR="005E345A" w:rsidRPr="008D4F2E" w:rsidRDefault="005E345A" w:rsidP="00F82BDC">
      <w:pPr>
        <w:pStyle w:val="ListParagraph"/>
        <w:numPr>
          <w:ilvl w:val="0"/>
          <w:numId w:val="21"/>
        </w:numPr>
        <w:ind w:right="-72"/>
      </w:pPr>
      <w:r w:rsidRPr="008D4F2E">
        <w:t>Mobilizing UN/UNDP development experience to find new partnership strategies</w:t>
      </w:r>
    </w:p>
    <w:p w14:paraId="6E3E0E69" w14:textId="77777777" w:rsidR="00033F01" w:rsidRPr="008D4F2E" w:rsidRDefault="00033F01" w:rsidP="00033F01">
      <w:pPr>
        <w:ind w:right="-72"/>
      </w:pPr>
      <w:r w:rsidRPr="008D4F2E">
        <w:t>T</w:t>
      </w:r>
      <w:r w:rsidR="004566D0" w:rsidRPr="008D4F2E">
        <w:t xml:space="preserve">he CPD drew on these findings to programme a greater focus on </w:t>
      </w:r>
      <w:r w:rsidRPr="008D4F2E">
        <w:t xml:space="preserve">sustainable, human-development oriented policy support and stronger partnerships with </w:t>
      </w:r>
      <w:r w:rsidR="004566D0" w:rsidRPr="008D4F2E">
        <w:t>champions of social engagement.  UNDP was aligned with government strategies in sharpening this focus.  Of the thirteen objectives of 9</w:t>
      </w:r>
      <w:r w:rsidR="004566D0" w:rsidRPr="008D4F2E">
        <w:rPr>
          <w:vertAlign w:val="superscript"/>
        </w:rPr>
        <w:t>th</w:t>
      </w:r>
      <w:r w:rsidR="004566D0" w:rsidRPr="008D4F2E">
        <w:t xml:space="preserve"> NDP, more than half </w:t>
      </w:r>
      <w:r w:rsidR="005E31DB" w:rsidRPr="008D4F2E">
        <w:t xml:space="preserve">emphasized social goals and the support of new partnerships to reach these goals.  These included </w:t>
      </w:r>
    </w:p>
    <w:p w14:paraId="5DBBB9C5" w14:textId="77777777" w:rsidR="005E31DB" w:rsidRPr="008D4F2E" w:rsidRDefault="005E31DB" w:rsidP="00F82BDC">
      <w:pPr>
        <w:pStyle w:val="ListParagraph"/>
        <w:numPr>
          <w:ilvl w:val="0"/>
          <w:numId w:val="22"/>
        </w:numPr>
        <w:ind w:right="-72"/>
      </w:pPr>
      <w:r w:rsidRPr="008D4F2E">
        <w:t xml:space="preserve">Working through public-private partnerships and with the private sector </w:t>
      </w:r>
    </w:p>
    <w:p w14:paraId="05D29C80" w14:textId="77777777" w:rsidR="005E31DB" w:rsidRPr="008D4F2E" w:rsidRDefault="005E31DB" w:rsidP="00F82BDC">
      <w:pPr>
        <w:pStyle w:val="ListParagraph"/>
        <w:numPr>
          <w:ilvl w:val="0"/>
          <w:numId w:val="22"/>
        </w:numPr>
        <w:ind w:right="-72"/>
      </w:pPr>
      <w:r w:rsidRPr="008D4F2E">
        <w:t xml:space="preserve">Supporting CSOs </w:t>
      </w:r>
    </w:p>
    <w:p w14:paraId="7BCA9D7C" w14:textId="77777777" w:rsidR="005E31DB" w:rsidRDefault="005E31DB" w:rsidP="00F82BDC">
      <w:pPr>
        <w:pStyle w:val="ListParagraph"/>
        <w:numPr>
          <w:ilvl w:val="0"/>
          <w:numId w:val="22"/>
        </w:numPr>
        <w:ind w:right="-72"/>
      </w:pPr>
      <w:r w:rsidRPr="008D4F2E">
        <w:t>Developing SMEs and the enabling framework to help them</w:t>
      </w:r>
      <w:r>
        <w:t xml:space="preserve"> grow.</w:t>
      </w:r>
    </w:p>
    <w:p w14:paraId="270886B9" w14:textId="77777777" w:rsidR="00593076" w:rsidRDefault="00593076" w:rsidP="00593076">
      <w:pPr>
        <w:pStyle w:val="Heading4"/>
        <w:numPr>
          <w:ilvl w:val="0"/>
          <w:numId w:val="25"/>
        </w:numPr>
      </w:pPr>
      <w:bookmarkStart w:id="40" w:name="_Toc399078769"/>
      <w:r>
        <w:t xml:space="preserve">Overall Programme:  </w:t>
      </w:r>
      <w:r w:rsidR="0049128E">
        <w:t>component outputs contribute significantly to the Outcome</w:t>
      </w:r>
      <w:bookmarkEnd w:id="40"/>
    </w:p>
    <w:p w14:paraId="0D25379C" w14:textId="77777777" w:rsidR="0049128E" w:rsidRDefault="005E31DB" w:rsidP="005E31DB">
      <w:pPr>
        <w:ind w:right="-72"/>
      </w:pPr>
      <w:r>
        <w:t xml:space="preserve">Assessing the implementation of the CPD at its mid-way point, it </w:t>
      </w:r>
      <w:r w:rsidRPr="008D4F2E">
        <w:t xml:space="preserve">is clear that </w:t>
      </w:r>
      <w:r w:rsidRPr="008D4F2E">
        <w:rPr>
          <w:i/>
        </w:rPr>
        <w:t>component parts</w:t>
      </w:r>
      <w:r w:rsidRPr="008D4F2E">
        <w:t xml:space="preserve"> of the outputs under Outcome 1 have adhered to the orientation indicated by the CPD and the national strategies with which it is aligned.  </w:t>
      </w:r>
      <w:r w:rsidR="009F244C" w:rsidRPr="008D4F2E">
        <w:t xml:space="preserve">That is, they have paid close attention to </w:t>
      </w:r>
      <w:r w:rsidR="00A73596" w:rsidRPr="008D4F2E">
        <w:t xml:space="preserve">capacity development of management partners </w:t>
      </w:r>
      <w:r w:rsidR="009F244C" w:rsidRPr="008D4F2E">
        <w:t>and to</w:t>
      </w:r>
      <w:r w:rsidR="00A73596" w:rsidRPr="008D4F2E">
        <w:t xml:space="preserve"> gender parity in most activities</w:t>
      </w:r>
      <w:r w:rsidR="009F244C" w:rsidRPr="008D4F2E">
        <w:t xml:space="preserve">.  </w:t>
      </w:r>
      <w:r w:rsidR="00A73596" w:rsidRPr="008D4F2E">
        <w:t>They have supported policy development in the area of the National Youth Strategy.</w:t>
      </w:r>
      <w:r w:rsidR="00A73596">
        <w:t xml:space="preserve">  </w:t>
      </w:r>
    </w:p>
    <w:p w14:paraId="67D30B53" w14:textId="77777777" w:rsidR="0049128E" w:rsidRDefault="0049128E" w:rsidP="0049128E">
      <w:pPr>
        <w:pStyle w:val="Heading4"/>
        <w:numPr>
          <w:ilvl w:val="0"/>
          <w:numId w:val="25"/>
        </w:numPr>
      </w:pPr>
      <w:bookmarkStart w:id="41" w:name="_Toc399078770"/>
      <w:r>
        <w:t>Success calls for new partnerships and institutional capacity development focus</w:t>
      </w:r>
      <w:bookmarkEnd w:id="41"/>
    </w:p>
    <w:p w14:paraId="26665D13" w14:textId="77777777" w:rsidR="005E31DB" w:rsidRPr="008D4F2E" w:rsidRDefault="0049128E" w:rsidP="005E31DB">
      <w:pPr>
        <w:ind w:right="-72"/>
      </w:pPr>
      <w:r>
        <w:t>The Report considers that</w:t>
      </w:r>
      <w:r w:rsidR="005E31DB" w:rsidRPr="0049128E">
        <w:t xml:space="preserve"> in the overall assignment of resources and </w:t>
      </w:r>
      <w:r w:rsidR="005E31DB" w:rsidRPr="008D4F2E">
        <w:t>priorities</w:t>
      </w:r>
      <w:r w:rsidR="005E31DB" w:rsidRPr="008D4F2E">
        <w:rPr>
          <w:i/>
        </w:rPr>
        <w:t xml:space="preserve">, the Programme risks losing focus </w:t>
      </w:r>
      <w:r w:rsidR="00F662AA" w:rsidRPr="008D4F2E">
        <w:rPr>
          <w:i/>
        </w:rPr>
        <w:t>on institutional capacity development</w:t>
      </w:r>
      <w:r w:rsidR="009F244C" w:rsidRPr="008D4F2E">
        <w:rPr>
          <w:i/>
        </w:rPr>
        <w:t>, particularly for CSOs,</w:t>
      </w:r>
      <w:r w:rsidR="00F662AA" w:rsidRPr="008D4F2E">
        <w:rPr>
          <w:i/>
        </w:rPr>
        <w:t xml:space="preserve"> </w:t>
      </w:r>
      <w:r w:rsidR="005E31DB" w:rsidRPr="008D4F2E">
        <w:rPr>
          <w:i/>
        </w:rPr>
        <w:t>and missing the opportunity to develop new partnerships</w:t>
      </w:r>
      <w:r w:rsidR="005E31DB" w:rsidRPr="008D4F2E">
        <w:t>.</w:t>
      </w:r>
      <w:r w:rsidR="009F244C" w:rsidRPr="008D4F2E">
        <w:t xml:space="preserve">  There remains time in the CPD to review this emphasis and reorient it to some extent.</w:t>
      </w:r>
    </w:p>
    <w:p w14:paraId="400D6749" w14:textId="77777777" w:rsidR="00A25E56" w:rsidRPr="008D4F2E" w:rsidRDefault="00A25E56" w:rsidP="00C441E0">
      <w:pPr>
        <w:ind w:right="-72"/>
      </w:pPr>
      <w:r w:rsidRPr="008D4F2E">
        <w:t>In drawing out this point, it is useful to refer back to t</w:t>
      </w:r>
      <w:r w:rsidR="00C441E0" w:rsidRPr="008D4F2E">
        <w:t xml:space="preserve">he TORs for </w:t>
      </w:r>
      <w:r w:rsidRPr="008D4F2E">
        <w:t>this</w:t>
      </w:r>
      <w:r w:rsidR="00C441E0" w:rsidRPr="008D4F2E">
        <w:t xml:space="preserve"> Outcome Evaluation</w:t>
      </w:r>
      <w:r w:rsidRPr="008D4F2E">
        <w:t xml:space="preserve">, concerning the objective of the Report:  </w:t>
      </w:r>
    </w:p>
    <w:p w14:paraId="5D403D00" w14:textId="77777777" w:rsidR="00C441E0" w:rsidRPr="00C441E0" w:rsidRDefault="00C441E0" w:rsidP="00A25E56">
      <w:pPr>
        <w:ind w:left="720" w:right="-72"/>
      </w:pPr>
      <w:r w:rsidRPr="008D4F2E">
        <w:t>The objective of the outcome evaluation is to assess how the outputs of the above mentioned projects have contributed to the change of the outcome: “Social Empowerment and Institutional Strengthening with Emphasis on Youth”.  The evaluation of this outcome was strategically placed at this particular time in order to promote needed adjustments, identify lessons learned and draw up a sustainability plan for the continuing projects</w:t>
      </w:r>
      <w:r w:rsidRPr="00C441E0">
        <w:t>.</w:t>
      </w:r>
    </w:p>
    <w:p w14:paraId="04710EE8" w14:textId="77777777" w:rsidR="001E12FC" w:rsidRPr="008D4F2E" w:rsidRDefault="005E31DB" w:rsidP="005E31DB">
      <w:pPr>
        <w:ind w:right="-72"/>
      </w:pPr>
      <w:r>
        <w:t xml:space="preserve">All the projects examined have </w:t>
      </w:r>
      <w:r w:rsidR="00A25E56">
        <w:t xml:space="preserve">contributed to concerns of youth.  They have carried out activities employing a </w:t>
      </w:r>
      <w:r>
        <w:t xml:space="preserve">human development policy orientation, </w:t>
      </w:r>
      <w:r w:rsidR="00A25E56" w:rsidRPr="008D4F2E">
        <w:t xml:space="preserve">engaging in </w:t>
      </w:r>
      <w:r w:rsidRPr="008D4F2E">
        <w:t xml:space="preserve">capacity development, and </w:t>
      </w:r>
      <w:r w:rsidR="00A25E56" w:rsidRPr="008D4F2E">
        <w:t xml:space="preserve">supporting </w:t>
      </w:r>
      <w:r w:rsidRPr="008D4F2E">
        <w:t xml:space="preserve">youth and women empowerment.  </w:t>
      </w:r>
      <w:r w:rsidR="001E12FC" w:rsidRPr="008D4F2E">
        <w:t xml:space="preserve">Nevertheless, the shares of energies and resources that have gone </w:t>
      </w:r>
      <w:r w:rsidR="00A25E56" w:rsidRPr="008D4F2E">
        <w:t xml:space="preserve">primarily </w:t>
      </w:r>
      <w:r w:rsidR="001E12FC" w:rsidRPr="008D4F2E">
        <w:t>to scaling up institutional capacity development and innovative partnership have been limited.  (As noted in the body of the Report, institutional capacity development to public-private partnerships or CSOs has not reached 4 percent of Programme expenditures.)  It would seem that the Programme and government alongside it have had difficulty identifying</w:t>
      </w:r>
      <w:r w:rsidR="00217D9A" w:rsidRPr="008D4F2E">
        <w:t>, within the framework of the UNDP-KSA cooperation mandate,</w:t>
      </w:r>
      <w:r w:rsidR="001E12FC" w:rsidRPr="008D4F2E">
        <w:t xml:space="preserve"> </w:t>
      </w:r>
      <w:r w:rsidR="00217D9A" w:rsidRPr="008D4F2E">
        <w:t xml:space="preserve">champions of the shifts in emphasis called for.  </w:t>
      </w:r>
    </w:p>
    <w:p w14:paraId="00558EF6" w14:textId="77777777" w:rsidR="00217D9A" w:rsidRDefault="00E13A3B" w:rsidP="005E31DB">
      <w:pPr>
        <w:ind w:right="-72"/>
      </w:pPr>
      <w:r w:rsidRPr="008D4F2E">
        <w:t xml:space="preserve">Nevertheless, the seeds of innovative partnerships </w:t>
      </w:r>
      <w:r w:rsidR="00A25E56" w:rsidRPr="008D4F2E">
        <w:t xml:space="preserve">and new forms of institutional capacity development </w:t>
      </w:r>
      <w:r w:rsidRPr="008D4F2E">
        <w:t>have been nurtured in the Programme to date, and are present in the CPD as it stands.  They are also present in the 9</w:t>
      </w:r>
      <w:r w:rsidRPr="008D4F2E">
        <w:rPr>
          <w:vertAlign w:val="superscript"/>
        </w:rPr>
        <w:t>th</w:t>
      </w:r>
      <w:r w:rsidRPr="008D4F2E">
        <w:t xml:space="preserve"> NDP; it will be important to link the present</w:t>
      </w:r>
      <w:r>
        <w:t xml:space="preserve"> Outcome Evaluation to the guidance of the 10</w:t>
      </w:r>
      <w:r w:rsidRPr="00E13A3B">
        <w:rPr>
          <w:vertAlign w:val="superscript"/>
        </w:rPr>
        <w:t>th</w:t>
      </w:r>
      <w:r>
        <w:t xml:space="preserve"> NDP and the NYS, both of which are expected to be released shortly.</w:t>
      </w:r>
    </w:p>
    <w:p w14:paraId="6D5A1B14" w14:textId="77777777" w:rsidR="009A76C3" w:rsidRPr="008D4F2E" w:rsidRDefault="0075449D" w:rsidP="005E31DB">
      <w:pPr>
        <w:ind w:right="-72"/>
      </w:pPr>
      <w:r>
        <w:t xml:space="preserve">The CPD </w:t>
      </w:r>
      <w:r w:rsidR="009A76C3">
        <w:t xml:space="preserve">originally </w:t>
      </w:r>
      <w:r>
        <w:t xml:space="preserve">projected partnership with the Ministry of Labour and with CSOs that have an orientation to youth employment solutions.  The Outcome Evaluation mission learned as well of the existence of a large number of corporate social </w:t>
      </w:r>
      <w:r w:rsidRPr="008D4F2E">
        <w:t xml:space="preserve">responsibility (CSR) and NGO initiatives that already support employment creation for women and youth.  </w:t>
      </w:r>
      <w:r w:rsidR="009A76C3" w:rsidRPr="008D4F2E">
        <w:t xml:space="preserve">It seems well within the framework of the CPD and the cooperation mandate to re-examine the potential partners who could further champion the core direction of this CPD Outcome.  </w:t>
      </w:r>
    </w:p>
    <w:p w14:paraId="34CDB272" w14:textId="77777777" w:rsidR="004A7C27" w:rsidRPr="008D4F2E" w:rsidRDefault="004A7C27" w:rsidP="005E31DB">
      <w:pPr>
        <w:ind w:right="-72"/>
      </w:pPr>
    </w:p>
    <w:p w14:paraId="5243A218" w14:textId="77777777" w:rsidR="00AF6C21" w:rsidRPr="008D4F2E" w:rsidRDefault="00AF6C21" w:rsidP="00FC6E4D">
      <w:pPr>
        <w:pStyle w:val="Heading2"/>
        <w:numPr>
          <w:ilvl w:val="1"/>
          <w:numId w:val="31"/>
        </w:numPr>
      </w:pPr>
      <w:bookmarkStart w:id="42" w:name="_Toc399078771"/>
      <w:r w:rsidRPr="008D4F2E">
        <w:t>Meeting the youth challenge</w:t>
      </w:r>
      <w:bookmarkEnd w:id="42"/>
    </w:p>
    <w:p w14:paraId="07AE5507" w14:textId="77777777" w:rsidR="0049128E" w:rsidRDefault="0049128E" w:rsidP="0049128E">
      <w:pPr>
        <w:ind w:right="-72"/>
      </w:pPr>
      <w:r w:rsidRPr="008D4F2E">
        <w:t>The CPD Output 1 projects are clearly focused on meeting the challenges presented by the demographic portrait of Saudi Arabia, which shows a “youth bulge” among the largest in the region.  Outputs in all cases are directed toward involving young women and men in policy discussion, project management and activities for social engagement.  In almost all projects reviewed, the active leadership staff acknowledged the risks ever-present in an environment of conservative public opinion and uneven awareness of national policy objectives.  At the</w:t>
      </w:r>
      <w:r>
        <w:t xml:space="preserve"> same time, all interviewees explicitly recognized the pressures surrounding youth concerns within the region that are felt in every country, including KSA.</w:t>
      </w:r>
    </w:p>
    <w:p w14:paraId="4600AD02" w14:textId="77777777" w:rsidR="004A7C27" w:rsidRPr="008D4F2E" w:rsidRDefault="004A7C27" w:rsidP="0049128E">
      <w:pPr>
        <w:pStyle w:val="Heading4"/>
        <w:numPr>
          <w:ilvl w:val="0"/>
          <w:numId w:val="25"/>
        </w:numPr>
      </w:pPr>
      <w:bookmarkStart w:id="43" w:name="_Toc399078772"/>
      <w:r>
        <w:t>Outcomes for youth development and participation</w:t>
      </w:r>
      <w:r w:rsidR="0049128E">
        <w:t xml:space="preserve"> </w:t>
      </w:r>
      <w:r>
        <w:t xml:space="preserve">– on target and </w:t>
      </w:r>
      <w:r w:rsidRPr="008D4F2E">
        <w:t>ready to expand</w:t>
      </w:r>
      <w:bookmarkEnd w:id="43"/>
    </w:p>
    <w:p w14:paraId="22F9F9CC" w14:textId="77777777" w:rsidR="004A7C27" w:rsidRPr="008D4F2E" w:rsidRDefault="0049128E" w:rsidP="00C441E0">
      <w:pPr>
        <w:ind w:right="-72"/>
      </w:pPr>
      <w:r w:rsidRPr="008D4F2E">
        <w:t xml:space="preserve">The three youth-oriented </w:t>
      </w:r>
      <w:r w:rsidR="004A7C27" w:rsidRPr="008D4F2E">
        <w:t>projects have reached critical points in their development.  In all cases they</w:t>
      </w:r>
      <w:r w:rsidRPr="008D4F2E">
        <w:t xml:space="preserve"> have contributed to the social empowerment of youth Outcome, reaching both young women and young men.  It seems evident that the partnerships developed through these outputs are ready to be expanded.  In the case of volunteering and the dissemination of the upcoming National Youth Strategy, the partnership is well placed to raise the leverage the CPD can offer to </w:t>
      </w:r>
      <w:r w:rsidRPr="008D4F2E">
        <w:rPr>
          <w:i/>
        </w:rPr>
        <w:t>reach broader groups of youth through CSOs that provide employment support</w:t>
      </w:r>
      <w:r w:rsidRPr="008D4F2E">
        <w:t>, such as business and career development centres.</w:t>
      </w:r>
    </w:p>
    <w:p w14:paraId="6AF0D94E" w14:textId="77777777" w:rsidR="00AF6C21" w:rsidRPr="008D4F2E" w:rsidRDefault="00AF6C21" w:rsidP="0049128E">
      <w:pPr>
        <w:pStyle w:val="Heading4"/>
        <w:numPr>
          <w:ilvl w:val="0"/>
          <w:numId w:val="25"/>
        </w:numPr>
      </w:pPr>
      <w:bookmarkStart w:id="44" w:name="_Toc399078773"/>
      <w:r w:rsidRPr="008D4F2E">
        <w:t>Outcomes for women’s empowerment – potential for pairing</w:t>
      </w:r>
      <w:bookmarkEnd w:id="44"/>
      <w:r w:rsidRPr="008D4F2E">
        <w:t xml:space="preserve"> </w:t>
      </w:r>
    </w:p>
    <w:p w14:paraId="34CD6924" w14:textId="77777777" w:rsidR="0049128E" w:rsidRDefault="0049128E" w:rsidP="0049128E">
      <w:pPr>
        <w:ind w:right="70"/>
      </w:pPr>
      <w:r>
        <w:t xml:space="preserve">The consultant found that all the projects reviewed consistently accorded strong emphasis to </w:t>
      </w:r>
      <w:r w:rsidR="001B786B">
        <w:t>gender equality and women’s empowerment.  The instinct for gender equality seems to be genuine among engaged youth.  Women’s empowerment is not only the central focus of one of the four projects reviewed under the Outcome, it is also a cross-cutting theme of the CPD.  UNDP’s work has been successful within the outputs.</w:t>
      </w:r>
    </w:p>
    <w:p w14:paraId="474761D2" w14:textId="77777777" w:rsidR="001B786B" w:rsidRPr="008D4F2E" w:rsidRDefault="001B786B" w:rsidP="0049128E">
      <w:pPr>
        <w:ind w:right="70"/>
      </w:pPr>
      <w:r>
        <w:t xml:space="preserve">As noted earlier, it is useful </w:t>
      </w:r>
      <w:r w:rsidRPr="008D4F2E">
        <w:t>to review the allocation of resources (both financial and human) and the priorities under Outcome 1.  Given the potential for all the projects to support women’s leadership and empowerment potential, the CPD is in a position to address youth and women’s empowerment issues through imaginative partnerships around employment and careers activities, as has been underscored in Conclusion (iii) above.  The same concerns are also addressed in (v) below.</w:t>
      </w:r>
    </w:p>
    <w:p w14:paraId="188083AB" w14:textId="77777777" w:rsidR="00653FF8" w:rsidRDefault="001B786B" w:rsidP="0049128E">
      <w:pPr>
        <w:ind w:right="70"/>
      </w:pPr>
      <w:r w:rsidRPr="008D4F2E">
        <w:t>Beyond employment, however, KSA has made significant changes in the opportunities for women to participate in public life.  Some of these changes have already taken their place in the international gazette</w:t>
      </w:r>
      <w:r w:rsidR="007B4340" w:rsidRPr="008D4F2E">
        <w:t xml:space="preserve">.  </w:t>
      </w:r>
      <w:r w:rsidRPr="008D4F2E">
        <w:t xml:space="preserve">KSA’s </w:t>
      </w:r>
      <w:r w:rsidR="007B4340" w:rsidRPr="008D4F2E">
        <w:t>standing for the indicator</w:t>
      </w:r>
      <w:r w:rsidRPr="008D4F2E">
        <w:t xml:space="preserve"> “</w:t>
      </w:r>
      <w:r w:rsidR="007B4340" w:rsidRPr="008D4F2E">
        <w:t xml:space="preserve">share of seats in parliament: % held by women” has moved from 0 to 19.9 percent in the 2014 HDR </w:t>
      </w:r>
      <w:r w:rsidR="00653FF8" w:rsidRPr="008D4F2E">
        <w:t>– bringing the Kingdom above the Arab States regional average (of 13.8 percent), and within the range of its co-members of the ‘Very high human development’ group (</w:t>
      </w:r>
      <w:r w:rsidR="002D79E1" w:rsidRPr="008D4F2E">
        <w:t>for</w:t>
      </w:r>
      <w:r w:rsidR="00653FF8" w:rsidRPr="008D4F2E">
        <w:t xml:space="preserve"> which the average is 26.7 percent).</w:t>
      </w:r>
      <w:r w:rsidR="00653FF8">
        <w:t xml:space="preserve"> </w:t>
      </w:r>
      <w:r w:rsidR="00653FF8">
        <w:rPr>
          <w:rStyle w:val="FootnoteReference"/>
        </w:rPr>
        <w:footnoteReference w:id="9"/>
      </w:r>
      <w:r w:rsidR="00653FF8">
        <w:t xml:space="preserve"> </w:t>
      </w:r>
    </w:p>
    <w:p w14:paraId="1547EA73" w14:textId="77777777" w:rsidR="001B786B" w:rsidRPr="008D4F2E" w:rsidRDefault="00653FF8" w:rsidP="0049128E">
      <w:pPr>
        <w:ind w:right="70"/>
      </w:pPr>
      <w:r>
        <w:t xml:space="preserve">This is a significant development in the </w:t>
      </w:r>
      <w:r w:rsidR="008D4F2E">
        <w:t xml:space="preserve">period </w:t>
      </w:r>
      <w:r w:rsidR="008D4F2E" w:rsidRPr="008D4F2E">
        <w:t>between</w:t>
      </w:r>
      <w:r w:rsidRPr="008D4F2E">
        <w:t xml:space="preserve"> two HDRs </w:t>
      </w:r>
      <w:r w:rsidRPr="008D4F2E">
        <w:fldChar w:fldCharType="begin"/>
      </w:r>
      <w:r w:rsidR="0076057B" w:rsidRPr="008D4F2E">
        <w:instrText xml:space="preserve"> ADDIN EN.CITE &lt;EndNote&gt;&lt;Cite&gt;&lt;Author&gt;UN Development Programme (UNDP)&lt;/Author&gt;&lt;Year&gt;2014&lt;/Year&gt;&lt;RecNum&gt;251&lt;/RecNum&gt;&lt;Suffix&gt;`, Table 4`, p. 172&lt;/Suffix&gt;&lt;DisplayText&gt;(UN Development Programme (UNDP) 2014, Table 4, p. 172)&lt;/DisplayText&gt;&lt;record&gt;&lt;rec-number&gt;251&lt;/rec-number&gt;&lt;foreign-keys&gt;&lt;key app="EN" db-id="5a0wsfarrxszvze9rr65r5a3vr95ffwx90f9" timestamp="1406334547"&gt;251&lt;/key&gt;&lt;/foreign-keys&gt;&lt;ref-type name="Report"&gt;27&lt;/ref-type&gt;&lt;contributors&gt;&lt;authors&gt;&lt;author&gt;UN Development Programme (UNDP),&lt;/author&gt;&lt;/authors&gt;&lt;tertiary-authors&gt;&lt;author&gt;United Nations Development Programme,&lt;/author&gt;&lt;/tertiary-authors&gt;&lt;/contributors&gt;&lt;titles&gt;&lt;title&gt;Human Development Report 2014 - Sustaining Human Progress:  Reducing Vulnerabilities and Building Resilience&lt;/title&gt;&lt;/titles&gt;&lt;dates&gt;&lt;year&gt;2014&lt;/year&gt;&lt;/dates&gt;&lt;pub-location&gt;New York&lt;/pub-location&gt;&lt;publisher&gt;United Nations Development Programme&lt;/publisher&gt;&lt;urls&gt;&lt;related-urls&gt;&lt;url&gt;http://hdr.undp.org/sites/default/files/hdr14-report-en-1.pdf&lt;/url&gt;&lt;/related-urls&gt;&lt;/urls&gt;&lt;research-notes&gt;Tables  http://hdr.undp.org/en/data  full report at URL, below&lt;/research-notes&gt;&lt;/record&gt;&lt;/Cite&gt;&lt;/EndNote&gt;</w:instrText>
      </w:r>
      <w:r w:rsidRPr="008D4F2E">
        <w:fldChar w:fldCharType="separate"/>
      </w:r>
      <w:r w:rsidRPr="008D4F2E">
        <w:rPr>
          <w:noProof/>
        </w:rPr>
        <w:t>(</w:t>
      </w:r>
      <w:hyperlink w:anchor="_ENREF_15" w:tooltip="UN Development Programme (UNDP), 2014 #251" w:history="1">
        <w:r w:rsidR="00EB16D2" w:rsidRPr="008D4F2E">
          <w:rPr>
            <w:noProof/>
          </w:rPr>
          <w:t>UN Development Programme (UNDP) 2014, Table 4, p. 172</w:t>
        </w:r>
      </w:hyperlink>
      <w:r w:rsidRPr="008D4F2E">
        <w:rPr>
          <w:noProof/>
        </w:rPr>
        <w:t>)</w:t>
      </w:r>
      <w:r w:rsidRPr="008D4F2E">
        <w:fldChar w:fldCharType="end"/>
      </w:r>
      <w:r w:rsidRPr="008D4F2E">
        <w:t xml:space="preserve">.  </w:t>
      </w:r>
      <w:r w:rsidR="007B4340" w:rsidRPr="008D4F2E">
        <w:fldChar w:fldCharType="begin"/>
      </w:r>
      <w:r w:rsidR="0076057B" w:rsidRPr="008D4F2E">
        <w:instrText xml:space="preserve"> ADDIN EN.CITE &lt;EndNote&gt;&lt;Cite&gt;&lt;Author&gt;UN Development Programme (UNDP)&lt;/Author&gt;&lt;Year&gt;2013&lt;/Year&gt;&lt;RecNum&gt;222&lt;/RecNum&gt;&lt;Prefix&gt;And see &lt;/Prefix&gt;&lt;Suffix&gt;`, Table 4`, p. 156.&lt;/Suffix&gt;&lt;DisplayText&gt;(And see UN Development Programme (UNDP) 2013, Table 4, p. 156.)&lt;/DisplayText&gt;&lt;record&gt;&lt;rec-number&gt;222&lt;/rec-number&gt;&lt;foreign-keys&gt;&lt;key app="EN" db-id="5a0wsfarrxszvze9rr65r5a3vr95ffwx90f9" timestamp="1404027243"&gt;222&lt;/key&gt;&lt;/foreign-keys&gt;&lt;ref-type name="Report"&gt;27&lt;/ref-type&gt;&lt;contributors&gt;&lt;authors&gt;&lt;author&gt;UN Development Programme (UNDP),&lt;/author&gt;&lt;/authors&gt;&lt;/contributors&gt;&lt;titles&gt;&lt;title&gt;Human Development Report 2013 - The Rise of the South: Human Progress in a Diverse World&lt;/title&gt;&lt;/titles&gt;&lt;dates&gt;&lt;year&gt;2013&lt;/year&gt;&lt;pub-dates&gt;&lt;date&gt;19 March 2013&lt;/date&gt;&lt;/pub-dates&gt;&lt;/dates&gt;&lt;pub-location&gt;New York&lt;/pub-location&gt;&lt;publisher&gt;United Nations Development Programme,&lt;/publisher&gt;&lt;urls&gt;&lt;related-urls&gt;&lt;url&gt;http://hdr.undp.org/sites/default/files/reports/14/hdr2013_en_complete.pdf&lt;/url&gt;&lt;/related-urls&gt;&lt;/urls&gt;&lt;research-notes&gt;How to cite:&amp;#xD;&amp;#xD;http://www.refworld.org/docid/514850672.html  refworld&amp;#xD;ISBN 978-92-1-126340-4&lt;/research-notes&gt;&lt;/record&gt;&lt;/Cite&gt;&lt;/EndNote&gt;</w:instrText>
      </w:r>
      <w:r w:rsidR="007B4340" w:rsidRPr="008D4F2E">
        <w:fldChar w:fldCharType="separate"/>
      </w:r>
      <w:r w:rsidRPr="008D4F2E">
        <w:rPr>
          <w:noProof/>
        </w:rPr>
        <w:t>(</w:t>
      </w:r>
      <w:hyperlink w:anchor="_ENREF_14" w:tooltip="UN Development Programme (UNDP), 2013 #222" w:history="1">
        <w:r w:rsidR="00EB16D2" w:rsidRPr="008D4F2E">
          <w:rPr>
            <w:noProof/>
          </w:rPr>
          <w:t>And see UN Development Programme (UNDP) 2013, Table 4, p. 156.</w:t>
        </w:r>
      </w:hyperlink>
      <w:r w:rsidRPr="008D4F2E">
        <w:rPr>
          <w:noProof/>
        </w:rPr>
        <w:t>)</w:t>
      </w:r>
      <w:r w:rsidR="007B4340" w:rsidRPr="008D4F2E">
        <w:fldChar w:fldCharType="end"/>
      </w:r>
      <w:r w:rsidRPr="008D4F2E">
        <w:t xml:space="preserve"> </w:t>
      </w:r>
    </w:p>
    <w:p w14:paraId="02FA0184" w14:textId="77777777" w:rsidR="000B1CA6" w:rsidRPr="008D4F2E" w:rsidRDefault="002D79E1" w:rsidP="0049128E">
      <w:pPr>
        <w:ind w:right="70"/>
      </w:pPr>
      <w:r w:rsidRPr="008D4F2E">
        <w:t>The UNDP</w:t>
      </w:r>
      <w:r w:rsidR="009B5485" w:rsidRPr="008D4F2E">
        <w:t>-</w:t>
      </w:r>
      <w:r w:rsidRPr="008D4F2E">
        <w:t xml:space="preserve">KSA Country Programme is well placed to recognize this important change through an expansion of the </w:t>
      </w:r>
      <w:r w:rsidR="000B1CA6" w:rsidRPr="008D4F2E">
        <w:t xml:space="preserve">Output </w:t>
      </w:r>
      <w:r w:rsidRPr="008D4F2E">
        <w:t xml:space="preserve">components that address </w:t>
      </w:r>
      <w:r w:rsidR="00B57DF8" w:rsidRPr="008D4F2E">
        <w:t>“</w:t>
      </w:r>
      <w:r w:rsidRPr="008D4F2E">
        <w:t xml:space="preserve">social empowerment and institutional strengthening. </w:t>
      </w:r>
      <w:r w:rsidR="000B1CA6" w:rsidRPr="008D4F2E">
        <w:t xml:space="preserve">  </w:t>
      </w:r>
      <w:r w:rsidR="005D76D1" w:rsidRPr="008D4F2E">
        <w:t>New access to the Shura Council and municipal elections carry</w:t>
      </w:r>
      <w:r w:rsidR="000B1CA6" w:rsidRPr="008D4F2E">
        <w:t xml:space="preserve"> both opportunities and responsibilities.  Many scores of </w:t>
      </w:r>
      <w:r w:rsidR="00A438B6" w:rsidRPr="008D4F2E">
        <w:t xml:space="preserve">women </w:t>
      </w:r>
      <w:r w:rsidR="000B1CA6" w:rsidRPr="008D4F2E">
        <w:t xml:space="preserve">candidates and even millions of women voters will be </w:t>
      </w:r>
      <w:r w:rsidR="005D76D1" w:rsidRPr="008D4F2E">
        <w:t>unfamiliar with</w:t>
      </w:r>
      <w:r w:rsidR="000B1CA6" w:rsidRPr="008D4F2E">
        <w:t xml:space="preserve"> the world of electoral </w:t>
      </w:r>
      <w:r w:rsidR="005D76D1" w:rsidRPr="008D4F2E">
        <w:t xml:space="preserve">institutions.  Support for the acquisition of “election literacy” is a familiar element in UNDP programmes in the Arab States region.  </w:t>
      </w:r>
    </w:p>
    <w:p w14:paraId="4C18E039" w14:textId="77777777" w:rsidR="002D79E1" w:rsidRPr="0049128E" w:rsidRDefault="002D79E1" w:rsidP="009B5485">
      <w:pPr>
        <w:ind w:right="-214"/>
      </w:pPr>
      <w:r w:rsidRPr="008D4F2E">
        <w:t xml:space="preserve">Several government and non-government partners already engaged through the activities of the CP </w:t>
      </w:r>
      <w:r w:rsidR="009B5485" w:rsidRPr="008D4F2E">
        <w:t>will be able</w:t>
      </w:r>
      <w:r w:rsidRPr="008D4F2E">
        <w:t xml:space="preserve"> to explore linkages with such UN-supported capacity development partnerships as BRIDGE, mentioned in sub-section 4.3.2.</w:t>
      </w:r>
    </w:p>
    <w:p w14:paraId="715EB82F" w14:textId="77777777" w:rsidR="009A76C3" w:rsidRPr="008D4F2E" w:rsidRDefault="0016600D" w:rsidP="00FC6E4D">
      <w:pPr>
        <w:pStyle w:val="Heading2"/>
        <w:numPr>
          <w:ilvl w:val="1"/>
          <w:numId w:val="31"/>
        </w:numPr>
      </w:pPr>
      <w:bookmarkStart w:id="45" w:name="_Toc399078774"/>
      <w:r w:rsidRPr="008D4F2E">
        <w:t xml:space="preserve">Employment focus:  </w:t>
      </w:r>
      <w:r w:rsidR="00A907E2" w:rsidRPr="008D4F2E">
        <w:t>Addressing the “Missing middle”</w:t>
      </w:r>
      <w:bookmarkEnd w:id="45"/>
    </w:p>
    <w:p w14:paraId="59CCCCDF" w14:textId="77777777" w:rsidR="0049128E" w:rsidRPr="008D4F2E" w:rsidRDefault="0049128E" w:rsidP="0049128E">
      <w:pPr>
        <w:ind w:right="-72"/>
      </w:pPr>
      <w:r w:rsidRPr="008D4F2E">
        <w:t>The CPD and government strategic planning place great emphasis on employment creation for</w:t>
      </w:r>
      <w:r>
        <w:t xml:space="preserve"> youth and women, particularly through releasing the potential of the SME sector and public-private partnerships.  It is apparent that a host of actors are active in Saudi Arabia in these sectors.  However, the experience </w:t>
      </w:r>
      <w:r w:rsidRPr="008D4F2E">
        <w:t>of the informants and documentation seen by the mission is that these actors are plagued by an obstacle to their expansion.  It is difficult for this sector to access financing and services that are vital to their survival or could help them scale up to a sustainable volume of operations.</w:t>
      </w:r>
    </w:p>
    <w:p w14:paraId="20DC7323" w14:textId="77777777" w:rsidR="008600B1" w:rsidRPr="008D4F2E" w:rsidRDefault="008600B1" w:rsidP="0049128E">
      <w:pPr>
        <w:pStyle w:val="Heading4"/>
        <w:numPr>
          <w:ilvl w:val="0"/>
          <w:numId w:val="25"/>
        </w:numPr>
      </w:pPr>
      <w:bookmarkStart w:id="46" w:name="_Toc399078775"/>
      <w:r w:rsidRPr="008D4F2E">
        <w:t xml:space="preserve">Resources for SME </w:t>
      </w:r>
      <w:r w:rsidR="00ED5E1E" w:rsidRPr="008D4F2E">
        <w:t xml:space="preserve">can </w:t>
      </w:r>
      <w:r w:rsidR="0049128E" w:rsidRPr="008D4F2E">
        <w:t>support</w:t>
      </w:r>
      <w:r w:rsidRPr="008D4F2E">
        <w:t xml:space="preserve"> youth and women’s employment</w:t>
      </w:r>
      <w:bookmarkEnd w:id="46"/>
    </w:p>
    <w:p w14:paraId="4439BD50" w14:textId="77777777" w:rsidR="001A55F3" w:rsidRPr="008D4F2E" w:rsidRDefault="001A55F3" w:rsidP="0016600D">
      <w:pPr>
        <w:ind w:right="-72"/>
      </w:pPr>
      <w:r w:rsidRPr="008D4F2E">
        <w:t xml:space="preserve">The problem of finance and services for the SME sector is common to most regions and countries.  It has been called the dilemma of the “missing middle”.  </w:t>
      </w:r>
      <w:r w:rsidR="00D6075D" w:rsidRPr="008D4F2E">
        <w:t>While many micro-finance institutions (MFIs) exist to provide micro-loans to family-based enterprises, and big business has no difficulty in finding financing from the banks, there are too few lenders for SMEs.  This is an acute problem in Saudi Arabia, where thousands of women and young people are ready to scale their micro-enterprises up to SME size, but they are blocked at the point of financing and business services.</w:t>
      </w:r>
    </w:p>
    <w:p w14:paraId="7620775B" w14:textId="77777777" w:rsidR="006D2DEE" w:rsidRPr="008D4F2E" w:rsidRDefault="00D6075D" w:rsidP="0016600D">
      <w:pPr>
        <w:ind w:right="-72"/>
      </w:pPr>
      <w:r w:rsidRPr="008D4F2E">
        <w:t>Critically for Saudi Arabia, SME i</w:t>
      </w:r>
      <w:r w:rsidR="009961A0" w:rsidRPr="008D4F2E">
        <w:t>s</w:t>
      </w:r>
      <w:r w:rsidRPr="008D4F2E">
        <w:t xml:space="preserve"> the</w:t>
      </w:r>
      <w:r w:rsidR="009961A0" w:rsidRPr="008D4F2E">
        <w:t xml:space="preserve"> job-creating sector</w:t>
      </w:r>
      <w:r w:rsidRPr="008D4F2E">
        <w:t xml:space="preserve"> of the economy.  SMEs are labour intensive; riyal for riyal, more </w:t>
      </w:r>
      <w:r w:rsidR="008600B1" w:rsidRPr="008D4F2E">
        <w:t>jobs are created by small and medium-sized businesses</w:t>
      </w:r>
      <w:r w:rsidR="008600B1">
        <w:t xml:space="preserve"> than are created at either the micro, family-based scale, or by big businesses which tend to be more capital intensive.  </w:t>
      </w:r>
      <w:r w:rsidR="006D2DEE">
        <w:t xml:space="preserve">Developing SMEs also means that many entrants to the job market who are not themselves entrepreneurs will be able to </w:t>
      </w:r>
      <w:r w:rsidR="006D2DEE" w:rsidRPr="008D4F2E">
        <w:t>find stable jobs with formal contracts and more benefits than informal employment can provide.</w:t>
      </w:r>
    </w:p>
    <w:p w14:paraId="568FE155" w14:textId="77777777" w:rsidR="00487460" w:rsidRPr="008D4F2E" w:rsidRDefault="008600B1" w:rsidP="0016600D">
      <w:pPr>
        <w:ind w:right="-72"/>
      </w:pPr>
      <w:r w:rsidRPr="008D4F2E">
        <w:t>But scaling up to the SME le</w:t>
      </w:r>
      <w:r w:rsidR="006D2DEE" w:rsidRPr="008D4F2E">
        <w:t xml:space="preserve">vel means becoming professional:  using the banking system, preparing accounts, professionalizing HR practices and using market knowledge.  </w:t>
      </w:r>
      <w:r w:rsidR="00487460" w:rsidRPr="008D4F2E">
        <w:t xml:space="preserve">Learning these professional skills is crucial to enable an entrepreneur to operate as a small business.  Youth and women entrepreneurs will benefit greatly from resource centres that offer business practice knowledge products and services at affordable fees.  </w:t>
      </w:r>
    </w:p>
    <w:p w14:paraId="68C45CB5" w14:textId="77777777" w:rsidR="008600B1" w:rsidRPr="008D4F2E" w:rsidRDefault="006D2DEE" w:rsidP="008600B1">
      <w:pPr>
        <w:ind w:right="-72"/>
      </w:pPr>
      <w:r w:rsidRPr="008D4F2E">
        <w:t>Support to SMEs means support to employment; putting support into practice is on the development agenda.</w:t>
      </w:r>
      <w:r w:rsidR="00487460" w:rsidRPr="008D4F2E">
        <w:t xml:space="preserve">  </w:t>
      </w:r>
      <w:r w:rsidR="008600B1" w:rsidRPr="008D4F2E">
        <w:t>The CPD has been designed to work in the area of support to SME-linked initiatives, and could make use of the coming period to explore initiatives in this field.</w:t>
      </w:r>
    </w:p>
    <w:p w14:paraId="50257BFF" w14:textId="77777777" w:rsidR="0016600D" w:rsidRPr="008D4F2E" w:rsidRDefault="008600B1" w:rsidP="0008508C">
      <w:pPr>
        <w:pStyle w:val="Heading4"/>
        <w:numPr>
          <w:ilvl w:val="0"/>
          <w:numId w:val="25"/>
        </w:numPr>
      </w:pPr>
      <w:bookmarkStart w:id="47" w:name="_Toc399078776"/>
      <w:r w:rsidRPr="008D4F2E">
        <w:t>Bridging the data gap</w:t>
      </w:r>
      <w:bookmarkEnd w:id="47"/>
    </w:p>
    <w:p w14:paraId="4912C339" w14:textId="77777777" w:rsidR="008600B1" w:rsidRPr="008D4F2E" w:rsidRDefault="008600B1" w:rsidP="008600B1">
      <w:pPr>
        <w:ind w:right="-72"/>
      </w:pPr>
      <w:r w:rsidRPr="008D4F2E">
        <w:t xml:space="preserve">At present many actors in the small finance sector – both lenders and clients – find it impossible to get up-to-date, detailed information on what funds and services exist.  The growth of the SME sector is hampered by this.  Thousands of micro- and small-scale entrepreneurs and many more of the unemployed need a resource to access financing and find market information or business services.  </w:t>
      </w:r>
    </w:p>
    <w:p w14:paraId="6FD83686" w14:textId="77777777" w:rsidR="008600B1" w:rsidRDefault="00344AB1" w:rsidP="008600B1">
      <w:pPr>
        <w:ind w:right="-72"/>
      </w:pPr>
      <w:r w:rsidRPr="008D4F2E">
        <w:t>In the field of micro and small finance, t</w:t>
      </w:r>
      <w:r w:rsidR="008600B1" w:rsidRPr="008D4F2E">
        <w:t>he global data centre of excellence is the “MixMarket</w:t>
      </w:r>
      <w:r w:rsidR="008600B1" w:rsidRPr="007C7BC6">
        <w:t>” site</w:t>
      </w:r>
      <w:r w:rsidR="008600B1">
        <w:t xml:space="preserve">:  </w:t>
      </w:r>
      <w:hyperlink r:id="rId16" w:history="1">
        <w:r w:rsidR="008600B1" w:rsidRPr="00E80E82">
          <w:rPr>
            <w:rStyle w:val="Hyperlink"/>
          </w:rPr>
          <w:t>http://www.mixmarket.org/</w:t>
        </w:r>
      </w:hyperlink>
      <w:r w:rsidR="008600B1">
        <w:t xml:space="preserve"> .  This global resource provides current data to </w:t>
      </w:r>
      <w:r w:rsidR="00C97424">
        <w:t xml:space="preserve">actors in </w:t>
      </w:r>
      <w:r w:rsidR="008600B1">
        <w:t>micro</w:t>
      </w:r>
      <w:r w:rsidR="00E151F5">
        <w:t>,</w:t>
      </w:r>
      <w:r w:rsidR="008600B1">
        <w:t xml:space="preserve"> small </w:t>
      </w:r>
      <w:r w:rsidR="00E151F5">
        <w:t xml:space="preserve">and medium-sized </w:t>
      </w:r>
      <w:r w:rsidR="008600B1">
        <w:t xml:space="preserve">enterprises </w:t>
      </w:r>
      <w:r w:rsidR="00E151F5">
        <w:t xml:space="preserve">(MSME) </w:t>
      </w:r>
      <w:r w:rsidR="008600B1">
        <w:t xml:space="preserve">in almost every country of the world.  Funders, entrepreneurs, </w:t>
      </w:r>
      <w:r w:rsidR="00E151F5">
        <w:t>MSME</w:t>
      </w:r>
      <w:r w:rsidR="008600B1">
        <w:t xml:space="preserve"> </w:t>
      </w:r>
      <w:r w:rsidR="008600B1" w:rsidRPr="007C7BC6">
        <w:t>borrowers</w:t>
      </w:r>
      <w:r w:rsidR="008600B1">
        <w:t xml:space="preserve">, and </w:t>
      </w:r>
      <w:r w:rsidR="008600B1" w:rsidRPr="007C7BC6">
        <w:t>innovators</w:t>
      </w:r>
      <w:r w:rsidR="008600B1">
        <w:t xml:space="preserve"> of every s</w:t>
      </w:r>
      <w:r w:rsidR="00C97424">
        <w:t>tripe use the</w:t>
      </w:r>
      <w:r w:rsidR="008600B1">
        <w:t xml:space="preserve"> site.  </w:t>
      </w:r>
      <w:r w:rsidR="00C97424">
        <w:t xml:space="preserve">To date, </w:t>
      </w:r>
      <w:r w:rsidR="008600B1">
        <w:t xml:space="preserve">Saudi Arabia is minimally represented on the MixMarket site.  Only half a dozen funds and a handful of reports are displayed </w:t>
      </w:r>
      <w:r w:rsidR="008600B1">
        <w:fldChar w:fldCharType="begin"/>
      </w:r>
      <w:r w:rsidR="008600B1">
        <w:instrText xml:space="preserve"> ADDIN EN.CITE &lt;EndNote&gt;&lt;Cite&gt;&lt;Author&gt;Mixmarket&lt;/Author&gt;&lt;Year&gt;2014&lt;/Year&gt;&lt;RecNum&gt;7&lt;/RecNum&gt;&lt;DisplayText&gt;(Mixmarket 2014)&lt;/DisplayText&gt;&lt;record&gt;&lt;rec-number&gt;7&lt;/rec-number&gt;&lt;foreign-keys&gt;&lt;key app="EN" db-id="5a0wsfarrxszvze9rr65r5a3vr95ffwx90f9" timestamp="1403778777"&gt;7&lt;/key&gt;&lt;/foreign-keys&gt;&lt;ref-type name="Online Database"&gt;45&lt;/ref-type&gt;&lt;contributors&gt;&lt;authors&gt;&lt;author&gt;Mixmarket&lt;/author&gt;&lt;/authors&gt;&lt;/contributors&gt;&lt;titles&gt;&lt;title&gt;MFI Report, Bab Rizq Jameel - KSA&lt;/title&gt;&lt;secondary-title&gt;Mixmarket&lt;/secondary-title&gt;&lt;/titles&gt;&lt;dates&gt;&lt;year&gt;2014&lt;/year&gt;&lt;pub-dates&gt;&lt;date&gt;26 June 2014&lt;/date&gt;&lt;/pub-dates&gt;&lt;/dates&gt;&lt;publisher&gt;MIX Publications&lt;/publisher&gt;&lt;urls&gt;&lt;related-urls&gt;&lt;url&gt;http://www.mixmarket.org/mfi/country/Saudi%20Arabia&lt;/url&gt;&lt;/related-urls&gt;&lt;/urls&gt;&lt;/record&gt;&lt;/Cite&gt;&lt;/EndNote&gt;</w:instrText>
      </w:r>
      <w:r w:rsidR="008600B1">
        <w:fldChar w:fldCharType="separate"/>
      </w:r>
      <w:r w:rsidR="008600B1">
        <w:rPr>
          <w:noProof/>
        </w:rPr>
        <w:t>(</w:t>
      </w:r>
      <w:hyperlink w:anchor="_ENREF_11" w:tooltip="Mixmarket, 2014 #7" w:history="1">
        <w:r w:rsidR="00EB16D2">
          <w:rPr>
            <w:noProof/>
          </w:rPr>
          <w:t>Mixmarket 2014</w:t>
        </w:r>
      </w:hyperlink>
      <w:r w:rsidR="008600B1">
        <w:rPr>
          <w:noProof/>
        </w:rPr>
        <w:t>)</w:t>
      </w:r>
      <w:r w:rsidR="008600B1">
        <w:fldChar w:fldCharType="end"/>
      </w:r>
      <w:r w:rsidR="008600B1">
        <w:t xml:space="preserve">.  </w:t>
      </w:r>
    </w:p>
    <w:p w14:paraId="54B0A432" w14:textId="77777777" w:rsidR="00C97424" w:rsidRPr="008D4F2E" w:rsidRDefault="008600B1" w:rsidP="008600B1">
      <w:pPr>
        <w:ind w:right="-72"/>
      </w:pPr>
      <w:r>
        <w:t xml:space="preserve">In discussions with SME </w:t>
      </w:r>
      <w:r w:rsidRPr="008D4F2E">
        <w:t xml:space="preserve">entrepreneurs, the mission found that thousands of women and young entrepreneurs are thirsting for market </w:t>
      </w:r>
      <w:r w:rsidR="00C97424" w:rsidRPr="008D4F2E">
        <w:t>information</w:t>
      </w:r>
      <w:r w:rsidRPr="008D4F2E">
        <w:t xml:space="preserve">, business services and technical know-how.  </w:t>
      </w:r>
      <w:r w:rsidR="00E151F5" w:rsidRPr="008D4F2E">
        <w:t xml:space="preserve">At the same time hundreds if not more agencies are operating in the realm of micro or small finance.  </w:t>
      </w:r>
      <w:r w:rsidR="00C97424" w:rsidRPr="008D4F2E">
        <w:t>Every respondent interviewed had anecdotal knowledge of the existence of financial actors; for example, they were aware than many Saudi Arabia companies are active in lending via their corporate social responsibility (CSR) programmes</w:t>
      </w:r>
      <w:r w:rsidR="00C97424">
        <w:t xml:space="preserve">.  Still, none of them knew any way an entrepreneur or government, UN or NGO partner could </w:t>
      </w:r>
      <w:r w:rsidR="00C97424" w:rsidRPr="008D4F2E">
        <w:t xml:space="preserve">access systematic information about such CSR programmes.  </w:t>
      </w:r>
    </w:p>
    <w:p w14:paraId="1797F333" w14:textId="77777777" w:rsidR="008600B1" w:rsidRPr="008D4F2E" w:rsidRDefault="00E151F5" w:rsidP="008600B1">
      <w:pPr>
        <w:ind w:right="-72"/>
      </w:pPr>
      <w:r w:rsidRPr="008D4F2E">
        <w:t xml:space="preserve">Any initiative that enables those active in assembling and lending micro and SME funds </w:t>
      </w:r>
      <w:r w:rsidR="00C97424" w:rsidRPr="008D4F2E">
        <w:t xml:space="preserve">to share information effectively </w:t>
      </w:r>
      <w:r w:rsidRPr="008D4F2E">
        <w:t>will result in better service to the job creation objective.</w:t>
      </w:r>
    </w:p>
    <w:p w14:paraId="3B59A79F" w14:textId="77777777" w:rsidR="009A76C3" w:rsidRPr="008D4F2E" w:rsidRDefault="009A76C3" w:rsidP="00FC6E4D">
      <w:pPr>
        <w:pStyle w:val="Heading2"/>
        <w:numPr>
          <w:ilvl w:val="1"/>
          <w:numId w:val="31"/>
        </w:numPr>
      </w:pPr>
      <w:bookmarkStart w:id="48" w:name="_Toc399078777"/>
      <w:r w:rsidRPr="008D4F2E">
        <w:t>Recommendations</w:t>
      </w:r>
      <w:bookmarkEnd w:id="48"/>
    </w:p>
    <w:p w14:paraId="79804C29" w14:textId="77777777" w:rsidR="00E4126C" w:rsidRPr="008D4F2E" w:rsidRDefault="00E4126C" w:rsidP="00FC6E4D">
      <w:pPr>
        <w:pStyle w:val="Heading3"/>
        <w:numPr>
          <w:ilvl w:val="2"/>
          <w:numId w:val="31"/>
        </w:numPr>
      </w:pPr>
      <w:bookmarkStart w:id="49" w:name="_Toc399078778"/>
      <w:r w:rsidRPr="008D4F2E">
        <w:t>Policy and partnership level</w:t>
      </w:r>
      <w:r w:rsidR="004A7C27" w:rsidRPr="008D4F2E">
        <w:t xml:space="preserve"> recommendations</w:t>
      </w:r>
      <w:bookmarkEnd w:id="49"/>
    </w:p>
    <w:p w14:paraId="49F6B316" w14:textId="77777777" w:rsidR="004A7C27" w:rsidRPr="008D4F2E" w:rsidRDefault="0016600D" w:rsidP="004A7C27">
      <w:pPr>
        <w:pStyle w:val="Heading4"/>
        <w:numPr>
          <w:ilvl w:val="0"/>
          <w:numId w:val="24"/>
        </w:numPr>
      </w:pPr>
      <w:bookmarkStart w:id="50" w:name="_Toc399078779"/>
      <w:r w:rsidRPr="008D4F2E">
        <w:t>Partnership strategy.</w:t>
      </w:r>
      <w:bookmarkEnd w:id="50"/>
      <w:r w:rsidRPr="008D4F2E">
        <w:t xml:space="preserve">  </w:t>
      </w:r>
    </w:p>
    <w:p w14:paraId="184125F1" w14:textId="77777777" w:rsidR="009A76C3" w:rsidRPr="008D4F2E" w:rsidRDefault="009A76C3" w:rsidP="005E31DB">
      <w:pPr>
        <w:ind w:right="-72"/>
      </w:pPr>
      <w:r w:rsidRPr="008D4F2E">
        <w:rPr>
          <w:i/>
        </w:rPr>
        <w:t>Carry out, w</w:t>
      </w:r>
      <w:r w:rsidR="00C546DE" w:rsidRPr="008D4F2E">
        <w:rPr>
          <w:i/>
        </w:rPr>
        <w:t>ith</w:t>
      </w:r>
      <w:r w:rsidRPr="008D4F2E">
        <w:rPr>
          <w:i/>
        </w:rPr>
        <w:t xml:space="preserve"> government, a re-examination of potential partners for the CPD</w:t>
      </w:r>
      <w:r w:rsidRPr="008D4F2E">
        <w:t>.  The objective of this re-examination should be to find champions within government who can host innovative partnerships with private sector, public-private and CSO initiatives that focus on employment creation and youth and women empowerment.</w:t>
      </w:r>
      <w:r w:rsidR="00EF0512" w:rsidRPr="008D4F2E">
        <w:t xml:space="preserve">  Potential partners may include ministries participating as pillars of the upcoming National Youth Strategy and related CSOs.</w:t>
      </w:r>
    </w:p>
    <w:p w14:paraId="165944F4" w14:textId="77777777" w:rsidR="004A7C27" w:rsidRPr="008D4F2E" w:rsidRDefault="00A5377A" w:rsidP="004A7C27">
      <w:pPr>
        <w:pStyle w:val="Heading4"/>
        <w:numPr>
          <w:ilvl w:val="0"/>
          <w:numId w:val="24"/>
        </w:numPr>
      </w:pPr>
      <w:bookmarkStart w:id="51" w:name="_Toc399078780"/>
      <w:r w:rsidRPr="008D4F2E">
        <w:t>Re</w:t>
      </w:r>
      <w:r w:rsidR="0016600D" w:rsidRPr="008D4F2E">
        <w:t>align</w:t>
      </w:r>
      <w:r w:rsidRPr="008D4F2E">
        <w:t>ment</w:t>
      </w:r>
      <w:bookmarkEnd w:id="51"/>
      <w:r w:rsidR="0016600D" w:rsidRPr="008D4F2E">
        <w:t xml:space="preserve">  </w:t>
      </w:r>
    </w:p>
    <w:p w14:paraId="79B6F32B" w14:textId="77777777" w:rsidR="00EC3654" w:rsidRPr="008D4F2E" w:rsidRDefault="0016600D" w:rsidP="00EC3654">
      <w:r>
        <w:t>Through</w:t>
      </w:r>
      <w:r w:rsidR="00C546DE">
        <w:t xml:space="preserve"> </w:t>
      </w:r>
      <w:r w:rsidR="00C546DE" w:rsidRPr="008D4F2E">
        <w:t>R</w:t>
      </w:r>
      <w:r w:rsidRPr="008D4F2E">
        <w:t xml:space="preserve">ecommendation 1 and other means, work with government to channel resources which have </w:t>
      </w:r>
      <w:r w:rsidR="00C546DE" w:rsidRPr="008D4F2E">
        <w:t xml:space="preserve">already </w:t>
      </w:r>
      <w:r w:rsidRPr="008D4F2E">
        <w:t>produced excellent results on the Outcome</w:t>
      </w:r>
      <w:r w:rsidR="00C546DE" w:rsidRPr="008D4F2E">
        <w:t xml:space="preserve">, using </w:t>
      </w:r>
      <w:r w:rsidR="00C546DE" w:rsidRPr="008D4F2E">
        <w:rPr>
          <w:i/>
        </w:rPr>
        <w:t>resources for the remaining period</w:t>
      </w:r>
      <w:r w:rsidRPr="008D4F2E">
        <w:rPr>
          <w:i/>
        </w:rPr>
        <w:t xml:space="preserve"> to scale up to more catalytic </w:t>
      </w:r>
      <w:r w:rsidR="00C546DE" w:rsidRPr="008D4F2E">
        <w:rPr>
          <w:i/>
        </w:rPr>
        <w:t>mechanisms</w:t>
      </w:r>
      <w:r w:rsidR="00C546DE" w:rsidRPr="008D4F2E">
        <w:t xml:space="preserve">.  Some projects such as the Youth Dialogue Forums will be sustainable through regular government and partner funding routes.  Partnership with UNDP in this area could be used to build the institutional capacity of youth employment and empowerment CSOs, where funding could establish “social observatory” or “incubator” knowledge centres that would reach larger numbers of young women and men.  Some projects such as PSF have begun to produce research on current issues that fill a knowledge gap (public opinion formation on participation; “election literacy”); finding ways to pair charities with government and private sector partners will ensure that such knowledge centres survive.  </w:t>
      </w:r>
    </w:p>
    <w:p w14:paraId="7A9BB11A" w14:textId="77777777" w:rsidR="0016600D" w:rsidRPr="008D4F2E" w:rsidRDefault="00EC3654" w:rsidP="00EC3654">
      <w:r w:rsidRPr="008D4F2E">
        <w:t>C</w:t>
      </w:r>
      <w:r w:rsidR="00C546DE" w:rsidRPr="008D4F2E">
        <w:t xml:space="preserve">entres </w:t>
      </w:r>
      <w:r w:rsidRPr="008D4F2E">
        <w:t>such as these harbour</w:t>
      </w:r>
      <w:r w:rsidR="00C546DE" w:rsidRPr="008D4F2E">
        <w:t xml:space="preserve"> the seeds of </w:t>
      </w:r>
      <w:r w:rsidRPr="008D4F2E">
        <w:t>institutional capacity development with leverage to expand social engagement (such as volunteering) and participation.</w:t>
      </w:r>
    </w:p>
    <w:p w14:paraId="41E635A5" w14:textId="77777777" w:rsidR="004A7C27" w:rsidRPr="008D4F2E" w:rsidRDefault="004A7C27" w:rsidP="00FC6E4D">
      <w:pPr>
        <w:pStyle w:val="Heading3"/>
        <w:numPr>
          <w:ilvl w:val="2"/>
          <w:numId w:val="31"/>
        </w:numPr>
      </w:pPr>
      <w:bookmarkStart w:id="52" w:name="_Toc399078781"/>
      <w:r w:rsidRPr="008D4F2E">
        <w:t>Output level recommendations</w:t>
      </w:r>
      <w:bookmarkEnd w:id="52"/>
    </w:p>
    <w:p w14:paraId="37A4D6E1" w14:textId="77777777" w:rsidR="004A7C27" w:rsidRPr="008D4F2E" w:rsidRDefault="00DD5459" w:rsidP="004A7C27">
      <w:pPr>
        <w:pStyle w:val="Heading4"/>
        <w:numPr>
          <w:ilvl w:val="0"/>
          <w:numId w:val="24"/>
        </w:numPr>
      </w:pPr>
      <w:bookmarkStart w:id="53" w:name="_Toc399078782"/>
      <w:r w:rsidRPr="008D4F2E">
        <w:t>SME forum initiative.</w:t>
      </w:r>
      <w:bookmarkEnd w:id="53"/>
      <w:r w:rsidRPr="008D4F2E">
        <w:t xml:space="preserve">  </w:t>
      </w:r>
    </w:p>
    <w:p w14:paraId="49D44AB5" w14:textId="77777777" w:rsidR="00DD5459" w:rsidRDefault="00A907E2" w:rsidP="007C7BC6">
      <w:pPr>
        <w:ind w:right="-72"/>
      </w:pPr>
      <w:r w:rsidRPr="008D4F2E">
        <w:rPr>
          <w:i/>
        </w:rPr>
        <w:t>Explore the possibility of creating a forum for all agencies, public and private sector, which act in the field of micro and SME finance</w:t>
      </w:r>
      <w:r w:rsidRPr="008D4F2E">
        <w:t>, to launch a mechanism for the reporting and exchange of data on micro and SME credit, finance, insurance and other instruments vital to the SME sector</w:t>
      </w:r>
      <w:r w:rsidR="007C7BC6" w:rsidRPr="008D4F2E">
        <w:t>.  Such an i</w:t>
      </w:r>
      <w:r w:rsidR="00E151F5" w:rsidRPr="008D4F2E">
        <w:t>nitiative</w:t>
      </w:r>
      <w:r w:rsidR="007C7BC6" w:rsidRPr="008D4F2E">
        <w:t>,</w:t>
      </w:r>
      <w:r w:rsidR="00E151F5" w:rsidRPr="008D4F2E">
        <w:t xml:space="preserve"> to bring </w:t>
      </w:r>
      <w:r w:rsidR="007C7BC6" w:rsidRPr="008D4F2E">
        <w:t xml:space="preserve">together </w:t>
      </w:r>
      <w:r w:rsidR="00E151F5" w:rsidRPr="008D4F2E">
        <w:t xml:space="preserve">those </w:t>
      </w:r>
      <w:r w:rsidR="007C7BC6" w:rsidRPr="008D4F2E">
        <w:t xml:space="preserve">who are </w:t>
      </w:r>
      <w:r w:rsidR="00E151F5" w:rsidRPr="008D4F2E">
        <w:t>creating funds and lending</w:t>
      </w:r>
      <w:r w:rsidR="007C7BC6" w:rsidRPr="008D4F2E">
        <w:t>, could take a first step towards b</w:t>
      </w:r>
      <w:r w:rsidR="00E151F5" w:rsidRPr="008D4F2E">
        <w:t>uild</w:t>
      </w:r>
      <w:r w:rsidR="007C7BC6" w:rsidRPr="008D4F2E">
        <w:t>ing</w:t>
      </w:r>
      <w:r w:rsidR="00E151F5" w:rsidRPr="008D4F2E">
        <w:t xml:space="preserve"> a reporting centre </w:t>
      </w:r>
      <w:r w:rsidR="007C7BC6" w:rsidRPr="008D4F2E">
        <w:t>for data, information and communication.</w:t>
      </w:r>
      <w:r w:rsidR="007C7BC6">
        <w:t xml:space="preserve">  </w:t>
      </w:r>
    </w:p>
    <w:p w14:paraId="7042DAD7" w14:textId="77777777" w:rsidR="004A7C27" w:rsidRDefault="00C86C35" w:rsidP="004A7C27">
      <w:pPr>
        <w:pStyle w:val="Heading4"/>
        <w:numPr>
          <w:ilvl w:val="0"/>
          <w:numId w:val="24"/>
        </w:numPr>
      </w:pPr>
      <w:bookmarkStart w:id="54" w:name="_Toc399078783"/>
      <w:r>
        <w:t>Identify p</w:t>
      </w:r>
      <w:r w:rsidR="00E151F5" w:rsidRPr="00E151F5">
        <w:t>ools of loanable funds</w:t>
      </w:r>
      <w:r w:rsidR="00E151F5">
        <w:t>.</w:t>
      </w:r>
      <w:bookmarkEnd w:id="54"/>
      <w:r w:rsidR="00E151F5">
        <w:t xml:space="preserve">  </w:t>
      </w:r>
    </w:p>
    <w:p w14:paraId="4FD2692F" w14:textId="77777777" w:rsidR="00E151F5" w:rsidRDefault="00E151F5" w:rsidP="007C7BC6">
      <w:pPr>
        <w:ind w:right="-72"/>
      </w:pPr>
      <w:r w:rsidRPr="00A7375C">
        <w:rPr>
          <w:i/>
        </w:rPr>
        <w:t xml:space="preserve">Explore with the finance agencies of government initiatives that </w:t>
      </w:r>
      <w:r w:rsidRPr="008D4F2E">
        <w:rPr>
          <w:i/>
        </w:rPr>
        <w:t>could draw up a portrait of the financial sector with respect to MSME financing</w:t>
      </w:r>
      <w:r w:rsidRPr="008D4F2E">
        <w:t xml:space="preserve"> with a view to contributing an action-oriented analysis and recommendations as to how pools of loanable funds could potentially be mobilized to the benefit of developing the SME sector.  Explore with other UN institutions the state of knowledge of this sector.  Important actors in the UN global team are </w:t>
      </w:r>
      <w:r w:rsidR="00DC0E71" w:rsidRPr="008D4F2E">
        <w:t xml:space="preserve">UNCDF, </w:t>
      </w:r>
      <w:r w:rsidRPr="008D4F2E">
        <w:t xml:space="preserve">the WB Group including </w:t>
      </w:r>
      <w:r w:rsidR="00DC0E71" w:rsidRPr="008D4F2E">
        <w:t>IFC, IMF research units, and specialized agencies in small business such as UNIDO and UNCTAD.  Exploration of the scope of the sector in SME activity could open the way to new partnerships which could be designed into future CPs.</w:t>
      </w:r>
    </w:p>
    <w:p w14:paraId="561A0C4F" w14:textId="77777777" w:rsidR="00A7375C" w:rsidRDefault="00C546DE" w:rsidP="00A7375C">
      <w:pPr>
        <w:pStyle w:val="Heading4"/>
        <w:numPr>
          <w:ilvl w:val="0"/>
          <w:numId w:val="24"/>
        </w:numPr>
      </w:pPr>
      <w:bookmarkStart w:id="55" w:name="_Toc399078784"/>
      <w:r w:rsidRPr="00C546DE">
        <w:t xml:space="preserve">Showcase </w:t>
      </w:r>
      <w:r w:rsidR="00EF0512">
        <w:t>successes</w:t>
      </w:r>
      <w:r w:rsidR="00A7375C">
        <w:t xml:space="preserve"> on cross-cutting issues</w:t>
      </w:r>
      <w:bookmarkEnd w:id="55"/>
    </w:p>
    <w:p w14:paraId="4057238B" w14:textId="77777777" w:rsidR="00A907E2" w:rsidRDefault="00A7375C" w:rsidP="005E31DB">
      <w:pPr>
        <w:ind w:right="-72"/>
      </w:pPr>
      <w:r w:rsidRPr="00EF0512">
        <w:rPr>
          <w:i/>
        </w:rPr>
        <w:t>In project design and RRFs, wherever possible show the targets and indicators for cross-cutting issues</w:t>
      </w:r>
      <w:r>
        <w:t xml:space="preserve"> such as gender</w:t>
      </w:r>
      <w:r w:rsidR="00EF0512">
        <w:t xml:space="preserve"> outputs, capacity development and broader partnerships.  The CP has performed faultlessly in ensuring gender equality in every project under Outcome 1.  It has also launched several new style partnerships and begun capacity development within all of these.  Including specific targets for these results will raise the visibility of these successes and increase motivation for partners.</w:t>
      </w:r>
    </w:p>
    <w:p w14:paraId="69FB5419" w14:textId="77777777" w:rsidR="00C56EE7" w:rsidRDefault="00C56EE7" w:rsidP="005E31DB">
      <w:pPr>
        <w:ind w:right="-72"/>
      </w:pPr>
    </w:p>
    <w:p w14:paraId="69D643A8" w14:textId="77777777" w:rsidR="00A6178E" w:rsidRPr="008D4F2E" w:rsidRDefault="00C56EE7" w:rsidP="00C56EE7">
      <w:pPr>
        <w:ind w:right="-72"/>
        <w:rPr>
          <w:i/>
        </w:rPr>
      </w:pPr>
      <w:r>
        <w:t>The CP on the Outcome “</w:t>
      </w:r>
      <w:r w:rsidRPr="005622A0">
        <w:t>Social Empowerment and Institutional Strengthening with Emphasis on Youth</w:t>
      </w:r>
      <w:r>
        <w:t>” has successfully delivered contributions through its outputs to this mid-term of the Programme.  At this time all four programme compone</w:t>
      </w:r>
      <w:r w:rsidR="00A16C29">
        <w:t xml:space="preserve">nts have reached pivotal points and will benefit from careful consideration of the Programme’s focus </w:t>
      </w:r>
      <w:r w:rsidR="00A6178E">
        <w:t>today, as well as</w:t>
      </w:r>
      <w:r w:rsidR="00A16C29">
        <w:t xml:space="preserve"> the design for the next CPD in two years’ time. </w:t>
      </w:r>
      <w:r w:rsidR="0039223B">
        <w:t xml:space="preserve"> </w:t>
      </w:r>
      <w:r w:rsidR="00A6178E">
        <w:t xml:space="preserve">The most important area of consideration </w:t>
      </w:r>
      <w:r w:rsidR="00A6178E" w:rsidRPr="008D4F2E">
        <w:t xml:space="preserve">should be </w:t>
      </w:r>
      <w:r w:rsidR="00A6178E" w:rsidRPr="008D4F2E">
        <w:rPr>
          <w:i/>
        </w:rPr>
        <w:t>updating the ability of the CP to partner for the “social empowerment” and “institutional strengthening” dimensions of the Output.</w:t>
      </w:r>
    </w:p>
    <w:p w14:paraId="5BEE788B" w14:textId="77777777" w:rsidR="00C56EE7" w:rsidRDefault="0039223B" w:rsidP="00C56EE7">
      <w:pPr>
        <w:ind w:right="-72"/>
      </w:pPr>
      <w:r w:rsidRPr="008D4F2E">
        <w:t xml:space="preserve">This consideration need not be delayed to the next CPD.  Where a project has reached a turning point, government and UNDP may be able to realign partnerships and/or resources.  Through such realignment, where possible some existing projects will be able to transform </w:t>
      </w:r>
      <w:r w:rsidR="005276C8" w:rsidRPr="008D4F2E">
        <w:t>in such a way</w:t>
      </w:r>
      <w:r w:rsidRPr="008D4F2E">
        <w:t xml:space="preserve"> as to reach broader segments of youth, including vulnerable groups.  Bringing in additional partners to project activities can enhance the social engagement of youth in areas such as employment and electoral readiness, and give </w:t>
      </w:r>
      <w:r w:rsidR="005276C8" w:rsidRPr="008D4F2E">
        <w:t xml:space="preserve">both public sector and </w:t>
      </w:r>
      <w:r w:rsidRPr="008D4F2E">
        <w:t>CSOs in these fields increased effectiveness and impact.</w:t>
      </w:r>
    </w:p>
    <w:p w14:paraId="669357A4" w14:textId="77777777" w:rsidR="00C56EE7" w:rsidRDefault="00C56EE7" w:rsidP="005E31DB">
      <w:pPr>
        <w:ind w:right="-72"/>
      </w:pPr>
    </w:p>
    <w:p w14:paraId="3D96250A" w14:textId="77777777" w:rsidR="009A76C3" w:rsidRDefault="009A76C3" w:rsidP="005E31DB">
      <w:pPr>
        <w:ind w:right="-72"/>
      </w:pPr>
    </w:p>
    <w:p w14:paraId="4417D124" w14:textId="77777777" w:rsidR="009A76C3" w:rsidRDefault="009A76C3" w:rsidP="005E31DB">
      <w:pPr>
        <w:ind w:right="-72"/>
      </w:pPr>
    </w:p>
    <w:p w14:paraId="60BF2A1E" w14:textId="77777777" w:rsidR="00422F02" w:rsidRDefault="00422F02" w:rsidP="00422F02">
      <w:pPr>
        <w:ind w:left="720" w:right="-72"/>
      </w:pPr>
    </w:p>
    <w:p w14:paraId="20BFAB26" w14:textId="77777777" w:rsidR="00422F02" w:rsidRPr="00422F02" w:rsidRDefault="00422F02" w:rsidP="00422F02"/>
    <w:p w14:paraId="74159A02" w14:textId="77777777" w:rsidR="00CC3C1A" w:rsidRDefault="00CC3C1A" w:rsidP="00203967"/>
    <w:p w14:paraId="7BC22A52" w14:textId="77777777" w:rsidR="002E0D48" w:rsidRDefault="002E0D48" w:rsidP="002E0D48">
      <w:pPr>
        <w:spacing w:before="240" w:after="240"/>
      </w:pPr>
    </w:p>
    <w:p w14:paraId="62DE85B2" w14:textId="77777777" w:rsidR="009E67CD" w:rsidRDefault="0035349E" w:rsidP="009E67CD">
      <w:pPr>
        <w:pStyle w:val="Heading1"/>
      </w:pPr>
      <w:bookmarkStart w:id="56" w:name="_Toc399078785"/>
      <w:r>
        <w:t>Annex 1</w:t>
      </w:r>
      <w:r w:rsidR="009E67CD">
        <w:t>. Note on Methodology</w:t>
      </w:r>
      <w:bookmarkEnd w:id="56"/>
    </w:p>
    <w:p w14:paraId="0DBBEBE3" w14:textId="77777777" w:rsidR="00135409" w:rsidRPr="00135409" w:rsidRDefault="00135409" w:rsidP="00C7159B">
      <w:pPr>
        <w:ind w:right="-23"/>
        <w:jc w:val="both"/>
        <w:rPr>
          <w:rFonts w:asciiTheme="majorBidi" w:hAnsiTheme="majorBidi" w:cstheme="majorBidi"/>
          <w:b/>
          <w:bCs/>
        </w:rPr>
      </w:pPr>
      <w:r w:rsidRPr="00135409">
        <w:rPr>
          <w:rFonts w:asciiTheme="majorBidi" w:hAnsiTheme="majorBidi" w:cstheme="majorBidi"/>
          <w:b/>
          <w:bCs/>
        </w:rPr>
        <w:t>Objective of the evaluation</w:t>
      </w:r>
    </w:p>
    <w:p w14:paraId="7D551E5B" w14:textId="77777777" w:rsidR="00135409" w:rsidRDefault="00135409" w:rsidP="00C7159B">
      <w:pPr>
        <w:ind w:right="-23"/>
      </w:pPr>
      <w:r>
        <w:t>As detailed in the Terms of Re</w:t>
      </w:r>
      <w:r w:rsidR="0035349E">
        <w:t xml:space="preserve">ference (TORs), </w:t>
      </w:r>
      <w:r w:rsidR="00CC3C1A">
        <w:t>appended</w:t>
      </w:r>
      <w:r w:rsidR="0035349E">
        <w:t xml:space="preserve"> in Annex 2</w:t>
      </w:r>
      <w:r>
        <w:t>, t</w:t>
      </w:r>
      <w:r w:rsidRPr="00025E88">
        <w:t xml:space="preserve">he </w:t>
      </w:r>
      <w:r w:rsidR="0035349E">
        <w:t xml:space="preserve">task of the </w:t>
      </w:r>
      <w:r w:rsidR="003D3919" w:rsidRPr="00025E88">
        <w:t xml:space="preserve">Outcome Evaluation </w:t>
      </w:r>
      <w:r>
        <w:t>was to</w:t>
      </w:r>
      <w:r w:rsidRPr="00025E88">
        <w:t xml:space="preserve"> </w:t>
      </w:r>
      <w:r>
        <w:t>analyse the Outcome in the sense of assessing what progress had</w:t>
      </w:r>
      <w:r w:rsidRPr="00025E88">
        <w:t xml:space="preserve"> been made towards </w:t>
      </w:r>
      <w:r w:rsidR="00CC3C1A">
        <w:t xml:space="preserve">its </w:t>
      </w:r>
      <w:r w:rsidRPr="00025E88">
        <w:t xml:space="preserve">achievement (including contributing factors and constraints), the relevance of and progress made in terms of the UNDP outputs (including an analysis of both project activities and soft-assistance activities), and what contribution UNDP has made/is making to the progress </w:t>
      </w:r>
      <w:r>
        <w:t>towards the achievement of the O</w:t>
      </w:r>
      <w:r w:rsidRPr="00025E88">
        <w:t xml:space="preserve">utcome (including an analysis of the partnership strategy). </w:t>
      </w:r>
    </w:p>
    <w:p w14:paraId="457A806B" w14:textId="77777777" w:rsidR="00135409" w:rsidRPr="00025E88" w:rsidRDefault="00135409" w:rsidP="00C7159B">
      <w:pPr>
        <w:ind w:right="-23"/>
      </w:pPr>
      <w:r w:rsidRPr="00025E88">
        <w:t>The results of the outcome evaluation</w:t>
      </w:r>
      <w:r w:rsidR="00876471">
        <w:t xml:space="preserve"> should </w:t>
      </w:r>
      <w:r w:rsidR="00374816">
        <w:t>help</w:t>
      </w:r>
      <w:r w:rsidR="00876471">
        <w:t xml:space="preserve"> provide direction or focus for </w:t>
      </w:r>
      <w:r w:rsidR="00C7159B">
        <w:t xml:space="preserve">the ongoing </w:t>
      </w:r>
      <w:r>
        <w:t>Country Programme (</w:t>
      </w:r>
      <w:r w:rsidR="00C7159B">
        <w:t>2012-2016</w:t>
      </w:r>
      <w:r>
        <w:t>)</w:t>
      </w:r>
      <w:r w:rsidRPr="00025E88">
        <w:t xml:space="preserve"> and future programming of a similar nature.</w:t>
      </w:r>
    </w:p>
    <w:p w14:paraId="079D705A" w14:textId="77777777" w:rsidR="00135409" w:rsidRPr="00876471" w:rsidRDefault="00135409" w:rsidP="00C7159B">
      <w:pPr>
        <w:ind w:right="-23"/>
        <w:rPr>
          <w:rFonts w:asciiTheme="majorBidi" w:hAnsiTheme="majorBidi" w:cstheme="majorBidi"/>
          <w:b/>
          <w:bCs/>
        </w:rPr>
      </w:pPr>
      <w:r w:rsidRPr="00876471">
        <w:rPr>
          <w:rFonts w:asciiTheme="majorBidi" w:hAnsiTheme="majorBidi" w:cstheme="majorBidi"/>
          <w:b/>
          <w:bCs/>
        </w:rPr>
        <w:t>Scope of the evaluation</w:t>
      </w:r>
    </w:p>
    <w:p w14:paraId="3DEBDA41" w14:textId="77777777" w:rsidR="00135409" w:rsidRPr="00CC3C1A" w:rsidRDefault="00A22281" w:rsidP="00CC3C1A">
      <w:pPr>
        <w:ind w:right="-23"/>
        <w:rPr>
          <w:b/>
          <w:bCs/>
          <w:iCs/>
          <w:u w:val="single"/>
        </w:rPr>
      </w:pPr>
      <w:r>
        <w:t>The</w:t>
      </w:r>
      <w:r w:rsidR="00135409" w:rsidRPr="00025E88">
        <w:t xml:space="preserve"> evaluation </w:t>
      </w:r>
      <w:r>
        <w:t>examined</w:t>
      </w:r>
      <w:r w:rsidR="00135409" w:rsidRPr="00025E88">
        <w:t xml:space="preserve"> the relevance and contributions of UNDP project activities and </w:t>
      </w:r>
      <w:r w:rsidR="00135409">
        <w:t>upstream policy advice</w:t>
      </w:r>
      <w:r w:rsidR="00135409" w:rsidRPr="00025E88">
        <w:t xml:space="preserve"> efforts with regard to the outcome. Specifically, the outcome evaluation </w:t>
      </w:r>
      <w:r>
        <w:t xml:space="preserve">addressed the question:  </w:t>
      </w:r>
      <w:r w:rsidR="00135409" w:rsidRPr="007F5432">
        <w:rPr>
          <w:color w:val="000000" w:themeColor="text1"/>
        </w:rPr>
        <w:t>How</w:t>
      </w:r>
      <w:r w:rsidR="00135409">
        <w:rPr>
          <w:color w:val="000000" w:themeColor="text1"/>
        </w:rPr>
        <w:t xml:space="preserve"> did UNDP outputs contribute to </w:t>
      </w:r>
      <w:r w:rsidR="00CC3C1A" w:rsidRPr="00CC3C1A">
        <w:rPr>
          <w:bCs/>
          <w:iCs/>
        </w:rPr>
        <w:t>Social Empowerment and Institutional Strengthening with Emphasis on Youth</w:t>
      </w:r>
      <w:r w:rsidR="00135409">
        <w:rPr>
          <w:color w:val="000000" w:themeColor="text1"/>
        </w:rPr>
        <w:t>?</w:t>
      </w:r>
    </w:p>
    <w:p w14:paraId="1C20B3E0" w14:textId="77777777" w:rsidR="003D3919" w:rsidRDefault="00176183" w:rsidP="00C7159B">
      <w:pPr>
        <w:ind w:right="-23"/>
      </w:pPr>
      <w:r>
        <w:t xml:space="preserve">To do so, it assessed the role of UNDP outputs with respect to the question of their continuing relevance to the Outcome concerned; to progress of the outputs by the end of the CP period; and to other </w:t>
      </w:r>
      <w:r w:rsidRPr="00025E88">
        <w:t>factors (positive and negative) that affect</w:t>
      </w:r>
      <w:r w:rsidR="003D3919">
        <w:t>ed</w:t>
      </w:r>
      <w:r w:rsidRPr="00025E88">
        <w:t xml:space="preserve"> th</w:t>
      </w:r>
      <w:r w:rsidR="003D3919">
        <w:t xml:space="preserve">e accomplishment of the outputs.  Further, it looked at </w:t>
      </w:r>
      <w:r w:rsidRPr="00025E88">
        <w:t>UNDP’s ability to advocate best practices and desired goals</w:t>
      </w:r>
      <w:r w:rsidR="003D3919">
        <w:t>,</w:t>
      </w:r>
      <w:r w:rsidRPr="00025E88">
        <w:t xml:space="preserve"> and to influence national </w:t>
      </w:r>
      <w:r>
        <w:t xml:space="preserve">and local </w:t>
      </w:r>
      <w:r w:rsidRPr="00025E88">
        <w:t>policies on sustainable development.</w:t>
      </w:r>
      <w:r w:rsidR="003D3919">
        <w:t xml:space="preserve"> </w:t>
      </w:r>
    </w:p>
    <w:p w14:paraId="2DA15E0F" w14:textId="77777777" w:rsidR="00176183" w:rsidRDefault="00176183" w:rsidP="00C7159B">
      <w:pPr>
        <w:ind w:right="-23"/>
        <w:jc w:val="both"/>
        <w:rPr>
          <w:b/>
        </w:rPr>
      </w:pPr>
      <w:r w:rsidRPr="003D3919">
        <w:rPr>
          <w:b/>
        </w:rPr>
        <w:t>Output-outcome link</w:t>
      </w:r>
    </w:p>
    <w:p w14:paraId="22A23C71" w14:textId="77777777" w:rsidR="003D3919" w:rsidRDefault="003D3919" w:rsidP="00C7159B">
      <w:pPr>
        <w:ind w:right="-23"/>
      </w:pPr>
      <w:r>
        <w:t>The Evaluation mission was asked to assess: w</w:t>
      </w:r>
      <w:r w:rsidR="00176183" w:rsidRPr="00025E88">
        <w:t xml:space="preserve">hether UNDP’s outputs </w:t>
      </w:r>
      <w:r>
        <w:t>could</w:t>
      </w:r>
      <w:r w:rsidR="00176183" w:rsidRPr="00025E88">
        <w:t xml:space="preserve"> be credibly linked to the achievement of the </w:t>
      </w:r>
      <w:r w:rsidRPr="00025E88">
        <w:t>Outcome</w:t>
      </w:r>
      <w:r w:rsidR="00176183" w:rsidRPr="00025E88">
        <w:t>;</w:t>
      </w:r>
      <w:r>
        <w:t xml:space="preserve"> </w:t>
      </w:r>
      <w:r w:rsidR="00176183" w:rsidRPr="00025E88">
        <w:t>the role of UNDP soft-assistance activities</w:t>
      </w:r>
      <w:r>
        <w:t>; and whether UNDP’s partnership strategy had</w:t>
      </w:r>
      <w:r w:rsidR="00176183" w:rsidRPr="00025E88">
        <w:t xml:space="preserve"> been appropriate and effective</w:t>
      </w:r>
      <w:r>
        <w:t xml:space="preserve">; and whether </w:t>
      </w:r>
      <w:r w:rsidRPr="00025E88">
        <w:t>UNDP interventions</w:t>
      </w:r>
      <w:r>
        <w:t xml:space="preserve"> could be expected to be sustainable.</w:t>
      </w:r>
    </w:p>
    <w:p w14:paraId="44F59078" w14:textId="77777777" w:rsidR="00FE2148" w:rsidRDefault="00FE2148" w:rsidP="00C7159B">
      <w:pPr>
        <w:ind w:right="-23"/>
        <w:jc w:val="both"/>
        <w:rPr>
          <w:b/>
        </w:rPr>
      </w:pPr>
      <w:r>
        <w:rPr>
          <w:b/>
        </w:rPr>
        <w:t>Evaluation approach</w:t>
      </w:r>
    </w:p>
    <w:p w14:paraId="1BB42822" w14:textId="77777777" w:rsidR="00FE2148" w:rsidRPr="00025E88" w:rsidRDefault="00FE2148" w:rsidP="00C7159B">
      <w:pPr>
        <w:ind w:right="-23"/>
      </w:pPr>
      <w:r>
        <w:t>O</w:t>
      </w:r>
      <w:r w:rsidRPr="00025E88">
        <w:t xml:space="preserve">verall guidance </w:t>
      </w:r>
      <w:r>
        <w:t>was taken from</w:t>
      </w:r>
      <w:r w:rsidRPr="00025E88">
        <w:t xml:space="preserve"> </w:t>
      </w:r>
      <w:r w:rsidRPr="00FE2148">
        <w:t>the UNDP Guidelines for Outcome Evaluators</w:t>
      </w:r>
      <w:r>
        <w:t xml:space="preserve">, as well as documents noted in the References </w:t>
      </w:r>
      <w:r w:rsidR="001E0FD7">
        <w:t>Chapter</w:t>
      </w:r>
      <w:r>
        <w:t xml:space="preserve">:  </w:t>
      </w:r>
      <w:r w:rsidR="00FF57BE">
        <w:t>the UNDP Technical Note, “</w:t>
      </w:r>
      <w:r w:rsidR="00FF57BE" w:rsidRPr="008B25CB">
        <w:rPr>
          <w:rFonts w:ascii="Times New Roman" w:hAnsi="Times New Roman" w:cs="Times New Roman"/>
        </w:rPr>
        <w:t>Knowing the What and the How</w:t>
      </w:r>
      <w:r w:rsidR="00FF57BE">
        <w:rPr>
          <w:rFonts w:ascii="Times New Roman" w:hAnsi="Times New Roman" w:cs="Times New Roman"/>
        </w:rPr>
        <w:t xml:space="preserve">” (see UNDP 2007), the </w:t>
      </w:r>
      <w:r w:rsidR="00FF57BE">
        <w:t>Handbook on Planning, Monitoring and Evaluating for Development Results (UNDP 2009), and other Outcome Evaluations prepared earlier for</w:t>
      </w:r>
      <w:r w:rsidR="008167FE">
        <w:t xml:space="preserve"> the UNDP KSA 2007-2011 </w:t>
      </w:r>
      <w:r w:rsidR="00FF57BE">
        <w:t>CP.</w:t>
      </w:r>
    </w:p>
    <w:p w14:paraId="69746057" w14:textId="77777777" w:rsidR="00FE2148" w:rsidRDefault="00FE2148" w:rsidP="00C7159B">
      <w:pPr>
        <w:ind w:right="-23"/>
      </w:pPr>
      <w:r w:rsidRPr="00025E88">
        <w:t>Specifically, during the out</w:t>
      </w:r>
      <w:r w:rsidR="008167FE">
        <w:t>come evaluation, the evaluator applied</w:t>
      </w:r>
      <w:r w:rsidRPr="00025E88">
        <w:t xml:space="preserve"> the following approaches for data collection and analysis: (i) desk review of existing documents and materials, (ii) interviews with partners and stakeholders</w:t>
      </w:r>
      <w:r>
        <w:t>, and (iii</w:t>
      </w:r>
      <w:r w:rsidRPr="00025E88">
        <w:t xml:space="preserve">) briefing and debriefing sessions with UNDP and the government, as well as with </w:t>
      </w:r>
      <w:r>
        <w:t>other partners</w:t>
      </w:r>
      <w:r w:rsidRPr="00025E88">
        <w:t>.</w:t>
      </w:r>
    </w:p>
    <w:p w14:paraId="30A0C817" w14:textId="77777777" w:rsidR="00E75878" w:rsidRDefault="00CC3C1A" w:rsidP="00FC1714">
      <w:r>
        <w:t>Key p</w:t>
      </w:r>
      <w:r w:rsidR="008167FE">
        <w:t xml:space="preserve">ersons met and consulted are listed in Annex </w:t>
      </w:r>
      <w:r w:rsidR="00FC1714">
        <w:t>4.</w:t>
      </w:r>
    </w:p>
    <w:p w14:paraId="2328F612" w14:textId="77777777" w:rsidR="00E75878" w:rsidRDefault="00E75878">
      <w:r>
        <w:br w:type="page"/>
      </w:r>
    </w:p>
    <w:p w14:paraId="7574D09A" w14:textId="77777777" w:rsidR="009E67CD" w:rsidRDefault="009E67CD" w:rsidP="009E67CD">
      <w:pPr>
        <w:pStyle w:val="Heading1"/>
      </w:pPr>
      <w:bookmarkStart w:id="57" w:name="_Toc399078786"/>
      <w:r>
        <w:t xml:space="preserve">Annex </w:t>
      </w:r>
      <w:r w:rsidR="004F2BF6">
        <w:t>2</w:t>
      </w:r>
      <w:r w:rsidR="00C7159B">
        <w:t>. Terms of Reference, Outcome</w:t>
      </w:r>
      <w:r w:rsidR="004A1B0E">
        <w:t xml:space="preserve"> Evaluation</w:t>
      </w:r>
      <w:bookmarkEnd w:id="57"/>
    </w:p>
    <w:p w14:paraId="1D738967" w14:textId="77777777" w:rsidR="007021EA" w:rsidRPr="00D711D7" w:rsidRDefault="00D711D7" w:rsidP="00D711D7">
      <w:pPr>
        <w:ind w:right="-214"/>
        <w:rPr>
          <w:i/>
        </w:rPr>
      </w:pPr>
      <w:r w:rsidRPr="00D711D7">
        <w:rPr>
          <w:i/>
        </w:rPr>
        <w:t>[</w:t>
      </w:r>
      <w:r>
        <w:rPr>
          <w:i/>
        </w:rPr>
        <w:t>Author’s N</w:t>
      </w:r>
      <w:r w:rsidR="007021EA" w:rsidRPr="00D711D7">
        <w:rPr>
          <w:i/>
        </w:rPr>
        <w:t xml:space="preserve">ote:  the Terms of Reference (TORs) covered the evaluation of Outcome </w:t>
      </w:r>
      <w:r w:rsidR="00C7159B" w:rsidRPr="00D711D7">
        <w:rPr>
          <w:i/>
        </w:rPr>
        <w:t>1</w:t>
      </w:r>
      <w:r w:rsidR="007021EA" w:rsidRPr="00D711D7">
        <w:rPr>
          <w:i/>
        </w:rPr>
        <w:t>.</w:t>
      </w:r>
      <w:r w:rsidRPr="00D711D7">
        <w:rPr>
          <w:i/>
        </w:rPr>
        <w:t>]</w:t>
      </w:r>
      <w:r w:rsidR="007021EA" w:rsidRPr="00D711D7">
        <w:rPr>
          <w:i/>
        </w:rPr>
        <w:t xml:space="preserve">  </w:t>
      </w:r>
    </w:p>
    <w:p w14:paraId="746AE5CB" w14:textId="77777777" w:rsidR="00D711D7" w:rsidRPr="00E84479" w:rsidRDefault="00D711D7" w:rsidP="00D711D7">
      <w:pPr>
        <w:ind w:right="-214"/>
        <w:jc w:val="center"/>
        <w:rPr>
          <w:rFonts w:asciiTheme="majorBidi" w:hAnsiTheme="majorBidi" w:cstheme="majorBidi"/>
          <w:b/>
          <w:bCs/>
          <w:sz w:val="24"/>
          <w:szCs w:val="24"/>
        </w:rPr>
      </w:pPr>
      <w:r w:rsidRPr="00E84479">
        <w:rPr>
          <w:rFonts w:asciiTheme="majorBidi" w:hAnsiTheme="majorBidi" w:cstheme="majorBidi"/>
          <w:b/>
          <w:bCs/>
          <w:sz w:val="24"/>
          <w:szCs w:val="24"/>
        </w:rPr>
        <w:t>Terms of reference</w:t>
      </w:r>
    </w:p>
    <w:p w14:paraId="43FE917C" w14:textId="77777777" w:rsidR="00D711D7" w:rsidRPr="00E84479" w:rsidRDefault="00D711D7" w:rsidP="00D711D7">
      <w:pPr>
        <w:ind w:right="-214"/>
        <w:jc w:val="center"/>
        <w:rPr>
          <w:rFonts w:asciiTheme="majorBidi" w:hAnsiTheme="majorBidi" w:cstheme="majorBidi"/>
          <w:sz w:val="24"/>
          <w:szCs w:val="24"/>
        </w:rPr>
      </w:pPr>
      <w:r w:rsidRPr="00E84479">
        <w:rPr>
          <w:rFonts w:asciiTheme="majorBidi" w:hAnsiTheme="majorBidi" w:cstheme="majorBidi"/>
          <w:sz w:val="24"/>
          <w:szCs w:val="24"/>
        </w:rPr>
        <w:t>Medium-term five year planning outcome evaluation</w:t>
      </w:r>
    </w:p>
    <w:p w14:paraId="18201BE3" w14:textId="77777777" w:rsidR="00D711D7" w:rsidRPr="00E84479" w:rsidRDefault="00D711D7" w:rsidP="00D711D7">
      <w:pPr>
        <w:ind w:right="-214"/>
        <w:jc w:val="center"/>
        <w:rPr>
          <w:rFonts w:asciiTheme="majorBidi" w:hAnsiTheme="majorBidi" w:cstheme="majorBidi"/>
          <w:sz w:val="24"/>
          <w:szCs w:val="24"/>
        </w:rPr>
      </w:pPr>
      <w:r w:rsidRPr="00E84479">
        <w:rPr>
          <w:rFonts w:asciiTheme="majorBidi" w:hAnsiTheme="majorBidi" w:cstheme="majorBidi"/>
          <w:sz w:val="24"/>
          <w:szCs w:val="24"/>
        </w:rPr>
        <w:t>Outcome: Social Empowerment and Institutional Strengthening with Emphasis on Youth</w:t>
      </w:r>
    </w:p>
    <w:p w14:paraId="22DAA524" w14:textId="77777777" w:rsidR="00D711D7" w:rsidRPr="00E84479" w:rsidRDefault="00D711D7" w:rsidP="00D711D7">
      <w:pPr>
        <w:ind w:right="-214"/>
        <w:jc w:val="center"/>
        <w:rPr>
          <w:rFonts w:asciiTheme="majorBidi" w:hAnsiTheme="majorBidi" w:cstheme="majorBidi"/>
          <w:b/>
          <w:bCs/>
          <w:sz w:val="24"/>
          <w:szCs w:val="24"/>
        </w:rPr>
      </w:pPr>
      <w:r w:rsidRPr="00E84479">
        <w:rPr>
          <w:rFonts w:asciiTheme="majorBidi" w:hAnsiTheme="majorBidi" w:cstheme="majorBidi"/>
          <w:b/>
          <w:bCs/>
          <w:sz w:val="24"/>
          <w:szCs w:val="24"/>
        </w:rPr>
        <w:t>UNDP – Saudi Arabia</w:t>
      </w:r>
    </w:p>
    <w:p w14:paraId="38FE091B" w14:textId="77777777" w:rsidR="00D711D7" w:rsidRPr="00E84479" w:rsidRDefault="00D711D7" w:rsidP="00D711D7">
      <w:pPr>
        <w:ind w:right="-214"/>
        <w:rPr>
          <w:rFonts w:asciiTheme="majorBidi" w:hAnsiTheme="majorBidi" w:cstheme="majorBidi"/>
          <w:sz w:val="24"/>
          <w:szCs w:val="24"/>
        </w:rPr>
      </w:pPr>
      <w:r w:rsidRPr="00E84479">
        <w:rPr>
          <w:rFonts w:asciiTheme="majorBidi" w:hAnsiTheme="majorBidi" w:cstheme="majorBidi"/>
          <w:b/>
          <w:bCs/>
          <w:sz w:val="24"/>
          <w:szCs w:val="24"/>
          <w:u w:val="single"/>
        </w:rPr>
        <w:t xml:space="preserve">Type of Contract: </w:t>
      </w:r>
      <w:r w:rsidRPr="00E84479">
        <w:rPr>
          <w:rFonts w:asciiTheme="majorBidi" w:hAnsiTheme="majorBidi" w:cstheme="majorBidi"/>
          <w:sz w:val="24"/>
          <w:szCs w:val="24"/>
        </w:rPr>
        <w:t>IC</w:t>
      </w:r>
    </w:p>
    <w:p w14:paraId="04B01F0A" w14:textId="77777777" w:rsidR="00D711D7" w:rsidRPr="00E84479" w:rsidRDefault="00D711D7" w:rsidP="00D711D7">
      <w:pPr>
        <w:ind w:right="-214"/>
        <w:rPr>
          <w:rFonts w:asciiTheme="majorBidi" w:hAnsiTheme="majorBidi" w:cstheme="majorBidi"/>
          <w:b/>
          <w:bCs/>
          <w:sz w:val="24"/>
          <w:szCs w:val="24"/>
          <w:u w:val="single"/>
        </w:rPr>
      </w:pPr>
      <w:r w:rsidRPr="00E84479">
        <w:rPr>
          <w:rFonts w:asciiTheme="majorBidi" w:hAnsiTheme="majorBidi" w:cstheme="majorBidi"/>
          <w:b/>
          <w:bCs/>
          <w:sz w:val="24"/>
          <w:szCs w:val="24"/>
          <w:u w:val="single"/>
        </w:rPr>
        <w:t xml:space="preserve">Mission Duration: </w:t>
      </w:r>
      <w:r w:rsidRPr="00E84479">
        <w:rPr>
          <w:rFonts w:asciiTheme="majorBidi" w:hAnsiTheme="majorBidi" w:cstheme="majorBidi"/>
          <w:sz w:val="24"/>
          <w:szCs w:val="24"/>
        </w:rPr>
        <w:t>15 Working days</w:t>
      </w:r>
    </w:p>
    <w:p w14:paraId="73A36805" w14:textId="77777777" w:rsidR="00D711D7" w:rsidRPr="00E84479" w:rsidRDefault="00D711D7" w:rsidP="00D711D7">
      <w:pPr>
        <w:ind w:right="-214"/>
        <w:rPr>
          <w:rFonts w:asciiTheme="majorBidi" w:hAnsiTheme="majorBidi" w:cstheme="majorBidi"/>
          <w:sz w:val="24"/>
          <w:szCs w:val="24"/>
        </w:rPr>
      </w:pPr>
      <w:r w:rsidRPr="00E84479">
        <w:rPr>
          <w:rFonts w:asciiTheme="majorBidi" w:hAnsiTheme="majorBidi" w:cstheme="majorBidi"/>
          <w:b/>
          <w:bCs/>
          <w:sz w:val="24"/>
          <w:szCs w:val="24"/>
          <w:u w:val="single"/>
        </w:rPr>
        <w:t>Duty Station:</w:t>
      </w:r>
      <w:r w:rsidRPr="00E84479">
        <w:rPr>
          <w:rFonts w:asciiTheme="majorBidi" w:hAnsiTheme="majorBidi" w:cstheme="majorBidi"/>
          <w:sz w:val="24"/>
          <w:szCs w:val="24"/>
        </w:rPr>
        <w:t xml:space="preserve"> Riyadh, Kingdom of Saudi Arabia </w:t>
      </w:r>
    </w:p>
    <w:p w14:paraId="5EDA7A28" w14:textId="77777777" w:rsidR="00D711D7" w:rsidRPr="00E84479" w:rsidRDefault="00D711D7" w:rsidP="00D711D7">
      <w:pPr>
        <w:ind w:right="-214"/>
        <w:rPr>
          <w:rFonts w:asciiTheme="majorBidi" w:hAnsiTheme="majorBidi" w:cstheme="majorBidi"/>
          <w:b/>
          <w:bCs/>
          <w:sz w:val="24"/>
          <w:szCs w:val="24"/>
          <w:u w:val="single"/>
        </w:rPr>
      </w:pPr>
      <w:r w:rsidRPr="00E84479">
        <w:rPr>
          <w:rFonts w:asciiTheme="majorBidi" w:hAnsiTheme="majorBidi" w:cstheme="majorBidi"/>
          <w:b/>
          <w:bCs/>
          <w:sz w:val="24"/>
          <w:szCs w:val="24"/>
          <w:u w:val="single"/>
        </w:rPr>
        <w:t xml:space="preserve">Availability date: </w:t>
      </w:r>
      <w:r w:rsidRPr="00E84479">
        <w:rPr>
          <w:rFonts w:asciiTheme="majorBidi" w:hAnsiTheme="majorBidi" w:cstheme="majorBidi"/>
          <w:sz w:val="24"/>
          <w:szCs w:val="24"/>
        </w:rPr>
        <w:t>April - May 2014</w:t>
      </w:r>
    </w:p>
    <w:p w14:paraId="7E8D318F" w14:textId="77777777" w:rsidR="00D711D7" w:rsidRPr="00E84479" w:rsidRDefault="00D711D7" w:rsidP="00F82BDC">
      <w:pPr>
        <w:pStyle w:val="ListParagraph"/>
        <w:numPr>
          <w:ilvl w:val="0"/>
          <w:numId w:val="8"/>
        </w:numPr>
        <w:ind w:left="0" w:right="-214"/>
        <w:rPr>
          <w:rFonts w:asciiTheme="majorBidi" w:hAnsiTheme="majorBidi" w:cstheme="majorBidi"/>
          <w:b/>
          <w:bCs/>
          <w:sz w:val="24"/>
          <w:szCs w:val="24"/>
          <w:u w:val="single"/>
        </w:rPr>
      </w:pPr>
      <w:r w:rsidRPr="00E84479">
        <w:rPr>
          <w:rFonts w:asciiTheme="majorBidi" w:hAnsiTheme="majorBidi" w:cstheme="majorBidi"/>
          <w:b/>
          <w:bCs/>
          <w:sz w:val="24"/>
          <w:szCs w:val="24"/>
          <w:u w:val="single"/>
        </w:rPr>
        <w:t>Background</w:t>
      </w:r>
    </w:p>
    <w:p w14:paraId="09B343C6" w14:textId="77777777" w:rsidR="00D711D7" w:rsidRPr="00E84479" w:rsidRDefault="00D711D7" w:rsidP="00D711D7">
      <w:pPr>
        <w:pStyle w:val="ListParagraph"/>
        <w:ind w:left="0" w:right="-214"/>
        <w:rPr>
          <w:rFonts w:asciiTheme="majorBidi" w:hAnsiTheme="majorBidi" w:cstheme="majorBidi"/>
          <w:sz w:val="24"/>
          <w:szCs w:val="24"/>
        </w:rPr>
      </w:pPr>
    </w:p>
    <w:p w14:paraId="3D3BAA1E" w14:textId="77777777" w:rsidR="00D711D7" w:rsidRPr="00E84479" w:rsidRDefault="00D711D7" w:rsidP="00D711D7">
      <w:pPr>
        <w:pStyle w:val="ListParagraph"/>
        <w:ind w:left="0" w:right="-214"/>
        <w:jc w:val="both"/>
        <w:rPr>
          <w:rFonts w:asciiTheme="majorBidi" w:hAnsiTheme="majorBidi" w:cstheme="majorBidi"/>
          <w:sz w:val="24"/>
          <w:szCs w:val="24"/>
        </w:rPr>
      </w:pPr>
      <w:r w:rsidRPr="00E84479">
        <w:rPr>
          <w:rFonts w:asciiTheme="majorBidi" w:hAnsiTheme="majorBidi" w:cstheme="majorBidi"/>
          <w:sz w:val="24"/>
          <w:szCs w:val="24"/>
        </w:rPr>
        <w:t>Social empowerment is a top priority in the National Development Plan. Youth are more than 50% of the population, with 21% between 15-24 years and 30% youth unemployment (2005/06), with need for enhanced education and employment policies. KSA continues to face challenges in implementing its Saudization policy of shifting employment opportunities from foreign migrants, up to 60% of total workforce, to the youth. As per NDP, while the majority of university graduates, 61% are from humanities/literature with 85% of female labor in the education sector, 6.1% in health/social area and 4.4% in public administration. Female employment is low despite rise from 5% in 1990 to 19% in 2010. Illiteracy is also higher for women (28.9%) than for men (11.1%). Other vulnerable groups include rural communities, disabled, elderly, and migrant workers who face challenges in accessing social protections.</w:t>
      </w:r>
    </w:p>
    <w:p w14:paraId="34FA1AAA" w14:textId="77777777" w:rsidR="00D711D7" w:rsidRPr="00E84479" w:rsidRDefault="00D711D7" w:rsidP="00D711D7">
      <w:pPr>
        <w:pStyle w:val="ListParagraph"/>
        <w:ind w:left="0" w:right="-214"/>
        <w:jc w:val="both"/>
        <w:rPr>
          <w:rFonts w:asciiTheme="majorBidi" w:hAnsiTheme="majorBidi" w:cstheme="majorBidi"/>
          <w:sz w:val="24"/>
          <w:szCs w:val="24"/>
        </w:rPr>
      </w:pPr>
    </w:p>
    <w:p w14:paraId="79DDB675" w14:textId="77777777" w:rsidR="00D711D7" w:rsidRPr="00E84479" w:rsidRDefault="00D711D7" w:rsidP="00D711D7">
      <w:pPr>
        <w:pStyle w:val="ListParagraph"/>
        <w:ind w:left="0" w:right="-214"/>
        <w:jc w:val="both"/>
        <w:rPr>
          <w:rFonts w:asciiTheme="majorBidi" w:hAnsiTheme="majorBidi" w:cstheme="majorBidi"/>
          <w:sz w:val="24"/>
          <w:szCs w:val="24"/>
        </w:rPr>
      </w:pPr>
      <w:r w:rsidRPr="00E84479">
        <w:rPr>
          <w:rFonts w:asciiTheme="majorBidi" w:hAnsiTheme="majorBidi" w:cstheme="majorBidi"/>
          <w:sz w:val="24"/>
          <w:szCs w:val="24"/>
        </w:rPr>
        <w:t xml:space="preserve">An Outcome Evaluation on Development Policy found UNDPs positive role in shifting focus towards sustainability of results and recommended future focus on social, environment and economic pillars of sustainable development. Increased emphasis was advised for results-based management and connecting partners to global partnerships. </w:t>
      </w:r>
    </w:p>
    <w:p w14:paraId="49ADAA61" w14:textId="77777777" w:rsidR="00D711D7" w:rsidRPr="00E84479" w:rsidRDefault="00D711D7" w:rsidP="00D711D7">
      <w:pPr>
        <w:pStyle w:val="ListParagraph"/>
        <w:ind w:left="0" w:right="-214"/>
        <w:rPr>
          <w:rFonts w:asciiTheme="majorBidi" w:hAnsiTheme="majorBidi" w:cstheme="majorBidi"/>
          <w:sz w:val="24"/>
          <w:szCs w:val="24"/>
        </w:rPr>
      </w:pPr>
    </w:p>
    <w:p w14:paraId="266E1917" w14:textId="77777777" w:rsidR="00D711D7" w:rsidRPr="00E84479" w:rsidRDefault="00D711D7" w:rsidP="00D711D7">
      <w:pPr>
        <w:pStyle w:val="ListParagraph"/>
        <w:ind w:left="0" w:right="-214"/>
        <w:jc w:val="both"/>
        <w:rPr>
          <w:rFonts w:asciiTheme="majorBidi" w:hAnsiTheme="majorBidi" w:cstheme="majorBidi"/>
          <w:sz w:val="24"/>
          <w:szCs w:val="24"/>
        </w:rPr>
      </w:pPr>
      <w:r w:rsidRPr="00E84479">
        <w:rPr>
          <w:rFonts w:asciiTheme="majorBidi" w:hAnsiTheme="majorBidi" w:cstheme="majorBidi"/>
          <w:sz w:val="24"/>
          <w:szCs w:val="24"/>
        </w:rPr>
        <w:t xml:space="preserve">The first Outcome for this KSA Country Programme relates to </w:t>
      </w:r>
      <w:r w:rsidRPr="00E84479">
        <w:rPr>
          <w:rFonts w:asciiTheme="majorBidi" w:hAnsiTheme="majorBidi" w:cstheme="majorBidi"/>
          <w:b/>
          <w:bCs/>
          <w:sz w:val="24"/>
          <w:szCs w:val="24"/>
        </w:rPr>
        <w:t>Social Empowerment and Institutional Strengthening with Emphasis on Youth</w:t>
      </w:r>
      <w:r w:rsidRPr="00E84479">
        <w:rPr>
          <w:rFonts w:asciiTheme="majorBidi" w:hAnsiTheme="majorBidi" w:cstheme="majorBidi"/>
          <w:sz w:val="24"/>
          <w:szCs w:val="24"/>
        </w:rPr>
        <w:t xml:space="preserve">. The ability to address education and employment needs for its youth will define the sustainability of development in KSA. Cooperation focuses on capacities to design and implement first-ever National Youth Strategy covering effective labor policies, public-private partnerships, education systems and new universities specialized on domains aligned with global trends. This includes use of global partnerships to share best practices. A need also exists for expansion of access to effective education opportunities for expanding role of the youth in economic life. Support will be explored for capacity development for economic and social development And strengthening the role of private sector in development along with public-private partnerships in the education systems and expanding role of women in employment. Support will also be explored in areas of social protection such as measures to combat abuse against women and related issues, as well as increasing participation in decision-making such as municipal elections. </w:t>
      </w:r>
    </w:p>
    <w:p w14:paraId="68C556A1" w14:textId="77777777" w:rsidR="00D711D7" w:rsidRPr="00E84479" w:rsidRDefault="00D711D7" w:rsidP="00D711D7">
      <w:pPr>
        <w:pStyle w:val="ListParagraph"/>
        <w:ind w:left="0" w:right="-214"/>
        <w:jc w:val="both"/>
        <w:rPr>
          <w:rFonts w:asciiTheme="majorBidi" w:hAnsiTheme="majorBidi" w:cstheme="majorBidi"/>
          <w:sz w:val="24"/>
          <w:szCs w:val="24"/>
        </w:rPr>
      </w:pPr>
    </w:p>
    <w:p w14:paraId="75993F11" w14:textId="77777777" w:rsidR="00D711D7" w:rsidRPr="00E84479" w:rsidRDefault="00D711D7" w:rsidP="00D711D7">
      <w:pPr>
        <w:pStyle w:val="ListParagraph"/>
        <w:ind w:left="0" w:right="-214"/>
        <w:jc w:val="both"/>
        <w:rPr>
          <w:rFonts w:asciiTheme="majorBidi" w:hAnsiTheme="majorBidi" w:cstheme="majorBidi"/>
          <w:sz w:val="24"/>
          <w:szCs w:val="24"/>
        </w:rPr>
      </w:pPr>
      <w:r w:rsidRPr="00E84479">
        <w:rPr>
          <w:rFonts w:asciiTheme="majorBidi" w:hAnsiTheme="majorBidi" w:cstheme="majorBidi"/>
          <w:sz w:val="24"/>
          <w:szCs w:val="24"/>
        </w:rPr>
        <w:t>Capacities of the Charity Societies and Social Institutions concerned with the Issues of the Poor and Persons of Special Needs: There are vulnerable groups in KSA who face issues of exclusion and difficulties in accessing social services and protections including income poor, disabled citizens, resident workers and the elderly. Support will be explored for systemic and institutional capacities to address issues of human security for empowerment of vulnerable communities and to support poverty reduction activities in least developed countries through global partnerships. Support will be explored to develop institutional capacities of public institutions in specific areas of concern such as youth development, support of the charity and social societies and building their capacities within the framework of the Government.</w:t>
      </w:r>
    </w:p>
    <w:p w14:paraId="1315748D" w14:textId="77777777" w:rsidR="00D711D7" w:rsidRPr="00E84479" w:rsidRDefault="00D711D7" w:rsidP="00D711D7">
      <w:pPr>
        <w:pStyle w:val="ListParagraph"/>
        <w:ind w:left="0" w:right="-214"/>
        <w:rPr>
          <w:rFonts w:asciiTheme="majorBidi" w:hAnsiTheme="majorBidi" w:cstheme="majorBidi"/>
          <w:sz w:val="24"/>
          <w:szCs w:val="24"/>
        </w:rPr>
      </w:pPr>
    </w:p>
    <w:p w14:paraId="392504FD" w14:textId="77777777" w:rsidR="00D711D7" w:rsidRPr="00E84479" w:rsidRDefault="00D711D7" w:rsidP="00D711D7">
      <w:pPr>
        <w:pStyle w:val="ListParagraph"/>
        <w:ind w:left="0" w:right="-214"/>
        <w:jc w:val="both"/>
        <w:rPr>
          <w:rFonts w:asciiTheme="majorBidi" w:hAnsiTheme="majorBidi" w:cstheme="majorBidi"/>
          <w:sz w:val="24"/>
          <w:szCs w:val="24"/>
        </w:rPr>
      </w:pPr>
      <w:r w:rsidRPr="00E84479">
        <w:rPr>
          <w:rFonts w:asciiTheme="majorBidi" w:hAnsiTheme="majorBidi" w:cstheme="majorBidi"/>
          <w:sz w:val="24"/>
          <w:szCs w:val="24"/>
        </w:rPr>
        <w:t xml:space="preserve">As KSA CO prepares for its first planned outcome evaluation for the Country Programme Document (2012 – 2016), the targeted outcome is, indeed, </w:t>
      </w:r>
      <w:r w:rsidRPr="00E84479">
        <w:rPr>
          <w:rFonts w:asciiTheme="majorBidi" w:hAnsiTheme="majorBidi" w:cstheme="majorBidi"/>
          <w:b/>
          <w:bCs/>
          <w:sz w:val="24"/>
          <w:szCs w:val="24"/>
        </w:rPr>
        <w:t>Social Empowerment and Institutional Strengthening with Emphasis on Youth</w:t>
      </w:r>
      <w:r w:rsidRPr="00E84479">
        <w:rPr>
          <w:rFonts w:asciiTheme="majorBidi" w:hAnsiTheme="majorBidi" w:cstheme="majorBidi"/>
          <w:sz w:val="24"/>
          <w:szCs w:val="24"/>
        </w:rPr>
        <w:t xml:space="preserve"> and as such, an evaluation of above mentioned outcome is scheduled to be held in 2014.</w:t>
      </w:r>
    </w:p>
    <w:p w14:paraId="5C3D277D" w14:textId="77777777" w:rsidR="00D711D7" w:rsidRPr="00E84479" w:rsidRDefault="00D711D7" w:rsidP="00D711D7">
      <w:pPr>
        <w:pStyle w:val="ListParagraph"/>
        <w:ind w:left="0" w:right="-214"/>
        <w:rPr>
          <w:rFonts w:asciiTheme="majorBidi" w:hAnsiTheme="majorBidi" w:cstheme="majorBidi"/>
          <w:sz w:val="24"/>
          <w:szCs w:val="24"/>
        </w:rPr>
      </w:pPr>
    </w:p>
    <w:p w14:paraId="3120CE7D" w14:textId="77777777" w:rsidR="00D711D7" w:rsidRPr="00E84479" w:rsidRDefault="00D711D7" w:rsidP="00F82BDC">
      <w:pPr>
        <w:pStyle w:val="ListParagraph"/>
        <w:numPr>
          <w:ilvl w:val="0"/>
          <w:numId w:val="8"/>
        </w:numPr>
        <w:ind w:left="0" w:right="-214"/>
        <w:rPr>
          <w:rFonts w:asciiTheme="majorBidi" w:hAnsiTheme="majorBidi" w:cstheme="majorBidi"/>
          <w:b/>
          <w:bCs/>
          <w:sz w:val="24"/>
          <w:szCs w:val="24"/>
          <w:u w:val="single"/>
        </w:rPr>
      </w:pPr>
      <w:r w:rsidRPr="00E84479">
        <w:rPr>
          <w:rFonts w:asciiTheme="majorBidi" w:hAnsiTheme="majorBidi" w:cstheme="majorBidi"/>
          <w:b/>
          <w:bCs/>
          <w:sz w:val="24"/>
          <w:szCs w:val="24"/>
          <w:u w:val="single"/>
        </w:rPr>
        <w:t xml:space="preserve">Mission objective </w:t>
      </w:r>
    </w:p>
    <w:p w14:paraId="529E5059" w14:textId="77777777" w:rsidR="00D711D7" w:rsidRPr="00E84479" w:rsidRDefault="00D711D7" w:rsidP="00D711D7">
      <w:pPr>
        <w:pStyle w:val="ListParagraph"/>
        <w:ind w:left="0" w:right="-214"/>
        <w:rPr>
          <w:rFonts w:asciiTheme="majorBidi" w:hAnsiTheme="majorBidi" w:cstheme="majorBidi"/>
          <w:b/>
          <w:bCs/>
          <w:sz w:val="24"/>
          <w:szCs w:val="24"/>
          <w:u w:val="single"/>
        </w:rPr>
      </w:pPr>
    </w:p>
    <w:p w14:paraId="1E7D565A" w14:textId="77777777" w:rsidR="00D711D7" w:rsidRPr="00E84479" w:rsidRDefault="00D711D7" w:rsidP="00D711D7">
      <w:pPr>
        <w:pStyle w:val="ListParagraph"/>
        <w:ind w:left="0" w:right="-214"/>
        <w:jc w:val="both"/>
        <w:rPr>
          <w:rFonts w:asciiTheme="majorBidi" w:hAnsiTheme="majorBidi" w:cstheme="majorBidi"/>
          <w:sz w:val="24"/>
          <w:szCs w:val="24"/>
        </w:rPr>
      </w:pPr>
      <w:r w:rsidRPr="00E84479">
        <w:rPr>
          <w:rFonts w:asciiTheme="majorBidi" w:hAnsiTheme="majorBidi" w:cstheme="majorBidi"/>
          <w:sz w:val="24"/>
          <w:szCs w:val="24"/>
        </w:rPr>
        <w:t>The objective of the outcome evaluation is to assess how the outputs of the above mentioned projects have contributed to the change of the outcome: “Social Empowerment and Institutional Strengthening with Emphasis on Youth”.  The evaluation of this outcome was strategically placed at this particular time in order to promote needed adjustments, identify lessons learned and draw up a sustainability plan for the continuing projects.</w:t>
      </w:r>
    </w:p>
    <w:p w14:paraId="49668360" w14:textId="77777777" w:rsidR="00D711D7" w:rsidRPr="00E84479" w:rsidRDefault="00D711D7" w:rsidP="00D711D7">
      <w:pPr>
        <w:pStyle w:val="ListParagraph"/>
        <w:ind w:left="0" w:right="-214"/>
        <w:jc w:val="both"/>
        <w:rPr>
          <w:rFonts w:asciiTheme="majorBidi" w:hAnsiTheme="majorBidi" w:cstheme="majorBidi"/>
          <w:sz w:val="24"/>
          <w:szCs w:val="24"/>
        </w:rPr>
      </w:pPr>
    </w:p>
    <w:p w14:paraId="7CCADB0E" w14:textId="77777777" w:rsidR="00D711D7" w:rsidRPr="00E84479" w:rsidRDefault="00D711D7" w:rsidP="00D711D7">
      <w:pPr>
        <w:pStyle w:val="ListParagraph"/>
        <w:ind w:left="0" w:right="-214"/>
        <w:jc w:val="both"/>
        <w:rPr>
          <w:rFonts w:asciiTheme="majorBidi" w:hAnsiTheme="majorBidi" w:cstheme="majorBidi"/>
          <w:sz w:val="24"/>
          <w:szCs w:val="24"/>
        </w:rPr>
      </w:pPr>
      <w:r w:rsidRPr="00E84479">
        <w:rPr>
          <w:rFonts w:asciiTheme="majorBidi" w:hAnsiTheme="majorBidi" w:cstheme="majorBidi"/>
          <w:sz w:val="24"/>
          <w:szCs w:val="24"/>
        </w:rPr>
        <w:t>In other words, to evaluate how the outputs (projects) related to this outcome are contributing to its achievement. That is, how UNDP technical and advisory support provided to the partners through these relevant projects will assist in fulfilling the Government’s Vision and Mandates and sustaining their functions and activities primarily through Saudi recruited nationals and personnel and thereby contributing to Saudi determination of its economic and social policies and strategies to the maximum possible extent.</w:t>
      </w:r>
    </w:p>
    <w:p w14:paraId="0D42987B" w14:textId="77777777" w:rsidR="00D711D7" w:rsidRPr="00E84479" w:rsidRDefault="00D711D7" w:rsidP="00D711D7">
      <w:pPr>
        <w:pStyle w:val="ListParagraph"/>
        <w:ind w:left="0" w:right="-214"/>
        <w:jc w:val="both"/>
        <w:rPr>
          <w:rFonts w:asciiTheme="majorBidi" w:hAnsiTheme="majorBidi" w:cstheme="majorBidi"/>
          <w:sz w:val="24"/>
          <w:szCs w:val="24"/>
        </w:rPr>
      </w:pPr>
    </w:p>
    <w:p w14:paraId="4EE06BD8" w14:textId="77777777" w:rsidR="00D711D7" w:rsidRPr="00E84479" w:rsidRDefault="00D711D7" w:rsidP="00F82BDC">
      <w:pPr>
        <w:pStyle w:val="ListParagraph"/>
        <w:numPr>
          <w:ilvl w:val="0"/>
          <w:numId w:val="8"/>
        </w:numPr>
        <w:ind w:left="0" w:right="-214"/>
        <w:rPr>
          <w:rFonts w:asciiTheme="majorBidi" w:hAnsiTheme="majorBidi" w:cstheme="majorBidi"/>
          <w:b/>
          <w:bCs/>
          <w:sz w:val="24"/>
          <w:szCs w:val="24"/>
          <w:u w:val="single"/>
        </w:rPr>
      </w:pPr>
      <w:r w:rsidRPr="00E84479">
        <w:rPr>
          <w:rFonts w:asciiTheme="majorBidi" w:hAnsiTheme="majorBidi" w:cstheme="majorBidi"/>
          <w:b/>
          <w:bCs/>
          <w:sz w:val="24"/>
          <w:szCs w:val="24"/>
          <w:u w:val="single"/>
        </w:rPr>
        <w:t>Scope of the Outcome Evaluation Mission:</w:t>
      </w:r>
    </w:p>
    <w:p w14:paraId="12960A0C" w14:textId="77777777" w:rsidR="00D711D7" w:rsidRPr="00E84479" w:rsidRDefault="00D711D7" w:rsidP="00D711D7">
      <w:pPr>
        <w:pStyle w:val="ListParagraph"/>
        <w:ind w:left="0" w:right="-214"/>
        <w:jc w:val="both"/>
        <w:rPr>
          <w:rFonts w:asciiTheme="majorBidi" w:hAnsiTheme="majorBidi" w:cstheme="majorBidi"/>
          <w:sz w:val="24"/>
          <w:szCs w:val="24"/>
        </w:rPr>
      </w:pPr>
    </w:p>
    <w:p w14:paraId="210C3A44" w14:textId="77777777" w:rsidR="00D711D7" w:rsidRPr="00E84479" w:rsidRDefault="00D711D7" w:rsidP="00D711D7">
      <w:pPr>
        <w:pStyle w:val="ListParagraph"/>
        <w:ind w:left="0" w:right="-214"/>
        <w:jc w:val="both"/>
        <w:rPr>
          <w:rFonts w:asciiTheme="majorBidi" w:hAnsiTheme="majorBidi" w:cstheme="majorBidi"/>
          <w:sz w:val="24"/>
          <w:szCs w:val="24"/>
        </w:rPr>
      </w:pPr>
      <w:r w:rsidRPr="00E84479">
        <w:rPr>
          <w:rFonts w:asciiTheme="majorBidi" w:hAnsiTheme="majorBidi" w:cstheme="majorBidi"/>
          <w:sz w:val="24"/>
          <w:szCs w:val="24"/>
        </w:rPr>
        <w:t>The outcome evaluation will include four standard categories of analysis (i.e. an assessment of progress towards the outcome, an assessment of the factors affecting the outcome, an assessment of key UNDP contributions to outcome, and an assessment of the partnership strategy used). The scope of the evaluation will be determined by the following questions:</w:t>
      </w:r>
    </w:p>
    <w:p w14:paraId="6D23F640" w14:textId="77777777" w:rsidR="00D711D7" w:rsidRPr="00E84479" w:rsidRDefault="00D711D7" w:rsidP="00D711D7">
      <w:pPr>
        <w:pStyle w:val="ListParagraph"/>
        <w:ind w:left="0" w:right="-214"/>
        <w:jc w:val="both"/>
        <w:rPr>
          <w:rFonts w:asciiTheme="majorBidi" w:hAnsiTheme="majorBidi" w:cstheme="majorBidi"/>
          <w:sz w:val="24"/>
          <w:szCs w:val="24"/>
        </w:rPr>
      </w:pPr>
    </w:p>
    <w:p w14:paraId="17AAF442" w14:textId="77777777" w:rsidR="00D711D7" w:rsidRPr="00E84479" w:rsidRDefault="00D711D7" w:rsidP="00D711D7">
      <w:pPr>
        <w:pStyle w:val="ListParagraph"/>
        <w:ind w:left="0" w:right="-214"/>
        <w:jc w:val="both"/>
        <w:rPr>
          <w:rFonts w:asciiTheme="majorBidi" w:hAnsiTheme="majorBidi" w:cstheme="majorBidi"/>
          <w:sz w:val="24"/>
          <w:szCs w:val="24"/>
        </w:rPr>
      </w:pPr>
      <w:r w:rsidRPr="00E84479">
        <w:rPr>
          <w:rFonts w:asciiTheme="majorBidi" w:hAnsiTheme="majorBidi" w:cstheme="majorBidi"/>
          <w:bCs/>
          <w:i/>
          <w:iCs/>
          <w:sz w:val="24"/>
          <w:szCs w:val="24"/>
        </w:rPr>
        <w:t>Outcome status:</w:t>
      </w:r>
      <w:r w:rsidRPr="00E84479">
        <w:rPr>
          <w:rFonts w:asciiTheme="majorBidi" w:hAnsiTheme="majorBidi" w:cstheme="majorBidi"/>
          <w:sz w:val="24"/>
          <w:szCs w:val="24"/>
        </w:rPr>
        <w:t xml:space="preserve"> W</w:t>
      </w:r>
      <w:r w:rsidRPr="00E84479">
        <w:rPr>
          <w:rFonts w:asciiTheme="majorBidi" w:hAnsiTheme="majorBidi" w:cstheme="majorBidi"/>
          <w:bCs/>
          <w:sz w:val="24"/>
          <w:szCs w:val="24"/>
        </w:rPr>
        <w:t xml:space="preserve">hat were the </w:t>
      </w:r>
      <w:r w:rsidRPr="00E84479">
        <w:rPr>
          <w:rFonts w:asciiTheme="majorBidi" w:hAnsiTheme="majorBidi" w:cstheme="majorBidi"/>
          <w:sz w:val="24"/>
          <w:szCs w:val="24"/>
        </w:rPr>
        <w:t>origin</w:t>
      </w:r>
      <w:r w:rsidRPr="00E84479">
        <w:rPr>
          <w:rFonts w:asciiTheme="majorBidi" w:hAnsiTheme="majorBidi" w:cstheme="majorBidi"/>
          <w:bCs/>
          <w:sz w:val="24"/>
          <w:szCs w:val="24"/>
        </w:rPr>
        <w:t xml:space="preserve"> of the outcome and its constituent interventions? </w:t>
      </w:r>
      <w:r w:rsidRPr="00E84479">
        <w:rPr>
          <w:rFonts w:asciiTheme="majorBidi" w:hAnsiTheme="majorBidi" w:cstheme="majorBidi"/>
          <w:sz w:val="24"/>
          <w:szCs w:val="24"/>
        </w:rPr>
        <w:t>How were the past experience, findings and recommendations of previous evaluations, dialogue with stakeholders used in design of outputs? What was the adequacy of background work</w:t>
      </w:r>
      <w:r w:rsidRPr="00E84479">
        <w:rPr>
          <w:rFonts w:asciiTheme="majorBidi" w:hAnsiTheme="majorBidi" w:cstheme="majorBidi"/>
          <w:bCs/>
          <w:sz w:val="24"/>
          <w:szCs w:val="24"/>
        </w:rPr>
        <w:t xml:space="preserve"> carried out? Has</w:t>
      </w:r>
      <w:r w:rsidRPr="00E84479">
        <w:rPr>
          <w:rFonts w:asciiTheme="majorBidi" w:hAnsiTheme="majorBidi" w:cstheme="majorBidi"/>
          <w:sz w:val="24"/>
          <w:szCs w:val="24"/>
        </w:rPr>
        <w:t xml:space="preserve"> the outcome been achieved and, if not, is there any progress made towards its achievement</w:t>
      </w:r>
      <w:r w:rsidRPr="00E84479">
        <w:rPr>
          <w:rFonts w:asciiTheme="majorBidi" w:hAnsiTheme="majorBidi" w:cstheme="majorBidi"/>
          <w:bCs/>
          <w:sz w:val="24"/>
          <w:szCs w:val="24"/>
        </w:rPr>
        <w:t xml:space="preserve">? What is the balance effort needed and the suitability of pursuing the achievement of the outcome?  What </w:t>
      </w:r>
      <w:r w:rsidRPr="00E84479">
        <w:rPr>
          <w:rFonts w:asciiTheme="majorBidi" w:hAnsiTheme="majorBidi" w:cstheme="majorBidi"/>
          <w:sz w:val="24"/>
          <w:szCs w:val="24"/>
        </w:rPr>
        <w:t>innovative approaches were tried and capacities developed through UNDP assistance?</w:t>
      </w:r>
    </w:p>
    <w:p w14:paraId="146936F6" w14:textId="77777777" w:rsidR="00D711D7" w:rsidRPr="00E84479" w:rsidRDefault="00D711D7" w:rsidP="00D711D7">
      <w:pPr>
        <w:ind w:right="-214"/>
        <w:jc w:val="both"/>
        <w:rPr>
          <w:rFonts w:asciiTheme="majorBidi" w:hAnsiTheme="majorBidi" w:cstheme="majorBidi"/>
          <w:sz w:val="24"/>
          <w:szCs w:val="24"/>
        </w:rPr>
      </w:pPr>
      <w:r w:rsidRPr="00E84479">
        <w:rPr>
          <w:rFonts w:asciiTheme="majorBidi" w:hAnsiTheme="majorBidi" w:cstheme="majorBidi"/>
          <w:bCs/>
          <w:i/>
          <w:iCs/>
          <w:sz w:val="24"/>
          <w:szCs w:val="24"/>
        </w:rPr>
        <w:t>Underlying factors:</w:t>
      </w:r>
      <w:r w:rsidRPr="00E84479">
        <w:rPr>
          <w:rFonts w:asciiTheme="majorBidi" w:hAnsiTheme="majorBidi" w:cstheme="majorBidi"/>
          <w:sz w:val="24"/>
          <w:szCs w:val="24"/>
        </w:rPr>
        <w:t xml:space="preserve"> What are the underlying factors beyond UNDP’s control that influenced the outcome? What were the key assumptions made, internal and external factors? What are the substantive design issues from the key implementation and/or management capacities to issues including the timeliness of outputs, the degree of stakeholder and partner involvement in the completion of the outputs, and how processes were managed / carried out? </w:t>
      </w:r>
    </w:p>
    <w:p w14:paraId="236E2A93" w14:textId="77777777" w:rsidR="00D711D7" w:rsidRPr="00E84479" w:rsidRDefault="00D711D7" w:rsidP="00D711D7">
      <w:pPr>
        <w:pStyle w:val="ListParagraph"/>
        <w:ind w:left="0" w:right="-214"/>
        <w:jc w:val="both"/>
        <w:rPr>
          <w:rFonts w:asciiTheme="majorBidi" w:hAnsiTheme="majorBidi" w:cstheme="majorBidi"/>
          <w:sz w:val="24"/>
          <w:szCs w:val="24"/>
        </w:rPr>
      </w:pPr>
      <w:r w:rsidRPr="00E84479">
        <w:rPr>
          <w:rFonts w:asciiTheme="majorBidi" w:hAnsiTheme="majorBidi" w:cstheme="majorBidi"/>
          <w:bCs/>
          <w:i/>
          <w:iCs/>
          <w:sz w:val="24"/>
          <w:szCs w:val="24"/>
        </w:rPr>
        <w:t xml:space="preserve"> UNDP contribution: </w:t>
      </w:r>
      <w:r w:rsidRPr="00E84479">
        <w:rPr>
          <w:rFonts w:asciiTheme="majorBidi" w:hAnsiTheme="majorBidi" w:cstheme="majorBidi"/>
          <w:sz w:val="24"/>
          <w:szCs w:val="24"/>
        </w:rPr>
        <w:t>What is the relevance of the outcome and the constituent components specifically for UNDP assistance? Can UNDP funded constituent outputs and other interventions—including the outputs, programmes, projects and soft and hard assistance—be credibly linked to achievement of the outcome?</w:t>
      </w:r>
    </w:p>
    <w:p w14:paraId="54640D83" w14:textId="77777777" w:rsidR="00D711D7" w:rsidRPr="00E84479" w:rsidRDefault="00D711D7" w:rsidP="00D711D7">
      <w:pPr>
        <w:pStyle w:val="ListParagraph"/>
        <w:ind w:left="0" w:right="-214"/>
        <w:jc w:val="both"/>
        <w:rPr>
          <w:rFonts w:asciiTheme="majorBidi" w:hAnsiTheme="majorBidi" w:cstheme="majorBidi"/>
          <w:sz w:val="24"/>
          <w:szCs w:val="24"/>
        </w:rPr>
      </w:pPr>
    </w:p>
    <w:p w14:paraId="1D6738B4" w14:textId="77777777" w:rsidR="00D711D7" w:rsidRPr="00E84479" w:rsidRDefault="00D711D7" w:rsidP="00D711D7">
      <w:pPr>
        <w:pStyle w:val="ListParagraph"/>
        <w:ind w:left="0" w:right="-214"/>
        <w:jc w:val="both"/>
        <w:rPr>
          <w:rFonts w:asciiTheme="majorBidi" w:hAnsiTheme="majorBidi" w:cstheme="majorBidi"/>
          <w:sz w:val="24"/>
          <w:szCs w:val="24"/>
        </w:rPr>
      </w:pPr>
      <w:r w:rsidRPr="00E84479">
        <w:rPr>
          <w:rFonts w:asciiTheme="majorBidi" w:hAnsiTheme="majorBidi" w:cstheme="majorBidi"/>
          <w:bCs/>
          <w:i/>
          <w:iCs/>
          <w:sz w:val="24"/>
          <w:szCs w:val="24"/>
        </w:rPr>
        <w:t>Partnership strategy</w:t>
      </w:r>
      <w:r w:rsidRPr="00E84479">
        <w:rPr>
          <w:rFonts w:asciiTheme="majorBidi" w:hAnsiTheme="majorBidi" w:cstheme="majorBidi"/>
          <w:sz w:val="24"/>
          <w:szCs w:val="24"/>
        </w:rPr>
        <w:t xml:space="preserve">: Was UNDP’s partnership strategy appropriate and effective? What were the partnerships formed? How did partnerships arise? What was the role of UNDP? How did the partnership contribute to the achievement of the outcome? How did they function and sustain? What was the level of the participation of stakeholders? Who were the key beneficiaries and their major perceptions? </w:t>
      </w:r>
    </w:p>
    <w:p w14:paraId="1BF70A44" w14:textId="77777777" w:rsidR="00D711D7" w:rsidRPr="00E84479" w:rsidRDefault="00D711D7" w:rsidP="00D711D7">
      <w:pPr>
        <w:pStyle w:val="ListParagraph"/>
        <w:ind w:left="0" w:right="-214"/>
        <w:jc w:val="both"/>
        <w:rPr>
          <w:rFonts w:asciiTheme="majorBidi" w:hAnsiTheme="majorBidi" w:cstheme="majorBidi"/>
          <w:sz w:val="24"/>
          <w:szCs w:val="24"/>
        </w:rPr>
      </w:pPr>
    </w:p>
    <w:p w14:paraId="6F518102" w14:textId="77777777" w:rsidR="00D711D7" w:rsidRPr="00E84479" w:rsidRDefault="00D711D7" w:rsidP="00F82BDC">
      <w:pPr>
        <w:pStyle w:val="ListParagraph"/>
        <w:numPr>
          <w:ilvl w:val="0"/>
          <w:numId w:val="8"/>
        </w:numPr>
        <w:ind w:left="0" w:right="-214"/>
        <w:rPr>
          <w:rFonts w:asciiTheme="majorBidi" w:hAnsiTheme="majorBidi" w:cstheme="majorBidi"/>
          <w:b/>
          <w:bCs/>
          <w:sz w:val="24"/>
          <w:szCs w:val="24"/>
          <w:u w:val="single"/>
        </w:rPr>
      </w:pPr>
      <w:r w:rsidRPr="00E84479">
        <w:rPr>
          <w:rFonts w:asciiTheme="majorBidi" w:hAnsiTheme="majorBidi" w:cstheme="majorBidi"/>
          <w:b/>
          <w:bCs/>
          <w:sz w:val="24"/>
          <w:szCs w:val="24"/>
          <w:u w:val="single"/>
        </w:rPr>
        <w:t>Output</w:t>
      </w:r>
    </w:p>
    <w:p w14:paraId="24CF0D4F" w14:textId="77777777" w:rsidR="00D711D7" w:rsidRPr="00E84479" w:rsidRDefault="00D711D7" w:rsidP="00D711D7">
      <w:pPr>
        <w:pStyle w:val="ListParagraph"/>
        <w:ind w:left="0" w:right="-214"/>
        <w:rPr>
          <w:rFonts w:asciiTheme="majorBidi" w:hAnsiTheme="majorBidi" w:cstheme="majorBidi"/>
          <w:b/>
          <w:bCs/>
          <w:sz w:val="24"/>
          <w:szCs w:val="24"/>
          <w:u w:val="single"/>
        </w:rPr>
      </w:pPr>
    </w:p>
    <w:p w14:paraId="363E529C" w14:textId="77777777" w:rsidR="00D711D7" w:rsidRPr="00E84479" w:rsidRDefault="00D711D7" w:rsidP="00F82BDC">
      <w:pPr>
        <w:pStyle w:val="ListParagraph"/>
        <w:numPr>
          <w:ilvl w:val="0"/>
          <w:numId w:val="9"/>
        </w:numPr>
        <w:ind w:left="0" w:right="-214"/>
        <w:jc w:val="both"/>
        <w:rPr>
          <w:rFonts w:asciiTheme="majorBidi" w:hAnsiTheme="majorBidi" w:cstheme="majorBidi"/>
          <w:sz w:val="24"/>
          <w:szCs w:val="24"/>
        </w:rPr>
      </w:pPr>
      <w:r w:rsidRPr="00E84479">
        <w:rPr>
          <w:rFonts w:asciiTheme="majorBidi" w:hAnsiTheme="majorBidi" w:cstheme="majorBidi"/>
          <w:sz w:val="24"/>
          <w:szCs w:val="24"/>
        </w:rPr>
        <w:t>Draft report</w:t>
      </w:r>
    </w:p>
    <w:p w14:paraId="0FF40C62" w14:textId="77777777" w:rsidR="00D711D7" w:rsidRPr="00E84479" w:rsidRDefault="00D711D7" w:rsidP="00F82BDC">
      <w:pPr>
        <w:pStyle w:val="ListParagraph"/>
        <w:numPr>
          <w:ilvl w:val="0"/>
          <w:numId w:val="9"/>
        </w:numPr>
        <w:ind w:left="0" w:right="-214"/>
        <w:jc w:val="both"/>
        <w:rPr>
          <w:rFonts w:asciiTheme="majorBidi" w:hAnsiTheme="majorBidi" w:cstheme="majorBidi"/>
          <w:sz w:val="24"/>
          <w:szCs w:val="24"/>
        </w:rPr>
      </w:pPr>
      <w:r w:rsidRPr="00E84479">
        <w:rPr>
          <w:rFonts w:asciiTheme="majorBidi" w:hAnsiTheme="majorBidi" w:cstheme="majorBidi"/>
          <w:sz w:val="24"/>
          <w:szCs w:val="24"/>
        </w:rPr>
        <w:t xml:space="preserve">Final Report which includes: </w:t>
      </w:r>
    </w:p>
    <w:p w14:paraId="208BB9AF" w14:textId="77777777" w:rsidR="00D711D7" w:rsidRPr="00E84479" w:rsidRDefault="00D711D7" w:rsidP="00F82BDC">
      <w:pPr>
        <w:pStyle w:val="ListParagraph"/>
        <w:numPr>
          <w:ilvl w:val="1"/>
          <w:numId w:val="9"/>
        </w:numPr>
        <w:ind w:left="0" w:right="-214"/>
        <w:jc w:val="both"/>
        <w:rPr>
          <w:rFonts w:asciiTheme="majorBidi" w:hAnsiTheme="majorBidi" w:cstheme="majorBidi"/>
          <w:sz w:val="24"/>
          <w:szCs w:val="24"/>
        </w:rPr>
      </w:pPr>
      <w:r w:rsidRPr="00E84479">
        <w:rPr>
          <w:rFonts w:asciiTheme="majorBidi" w:hAnsiTheme="majorBidi" w:cstheme="majorBidi"/>
          <w:sz w:val="24"/>
          <w:szCs w:val="24"/>
        </w:rPr>
        <w:t>Assessment of progress made towards the intended outcome</w:t>
      </w:r>
    </w:p>
    <w:p w14:paraId="2B5F3D40" w14:textId="77777777" w:rsidR="00D711D7" w:rsidRPr="00E84479" w:rsidRDefault="00D711D7" w:rsidP="00F82BDC">
      <w:pPr>
        <w:pStyle w:val="ListParagraph"/>
        <w:numPr>
          <w:ilvl w:val="1"/>
          <w:numId w:val="9"/>
        </w:numPr>
        <w:ind w:left="0" w:right="-214"/>
        <w:jc w:val="both"/>
        <w:rPr>
          <w:rFonts w:asciiTheme="majorBidi" w:hAnsiTheme="majorBidi" w:cstheme="majorBidi"/>
          <w:sz w:val="24"/>
          <w:szCs w:val="24"/>
        </w:rPr>
      </w:pPr>
      <w:r w:rsidRPr="00E84479">
        <w:rPr>
          <w:rFonts w:asciiTheme="majorBidi" w:hAnsiTheme="majorBidi" w:cstheme="majorBidi"/>
          <w:sz w:val="24"/>
          <w:szCs w:val="24"/>
        </w:rPr>
        <w:t>Assessment of progress towards outputs</w:t>
      </w:r>
    </w:p>
    <w:p w14:paraId="7FBD8F72" w14:textId="77777777" w:rsidR="00D711D7" w:rsidRPr="00E84479" w:rsidRDefault="00D711D7" w:rsidP="00F82BDC">
      <w:pPr>
        <w:pStyle w:val="ListParagraph"/>
        <w:numPr>
          <w:ilvl w:val="1"/>
          <w:numId w:val="9"/>
        </w:numPr>
        <w:ind w:left="0" w:right="-214"/>
        <w:jc w:val="both"/>
        <w:rPr>
          <w:rFonts w:asciiTheme="majorBidi" w:hAnsiTheme="majorBidi" w:cstheme="majorBidi"/>
          <w:sz w:val="24"/>
          <w:szCs w:val="24"/>
        </w:rPr>
      </w:pPr>
      <w:r w:rsidRPr="00E84479">
        <w:rPr>
          <w:rFonts w:asciiTheme="majorBidi" w:hAnsiTheme="majorBidi" w:cstheme="majorBidi"/>
          <w:sz w:val="24"/>
          <w:szCs w:val="24"/>
        </w:rPr>
        <w:t>Lessons learned concerning best / or less ideal practices in producing outputs and achieving the outcome</w:t>
      </w:r>
    </w:p>
    <w:p w14:paraId="26350865" w14:textId="77777777" w:rsidR="00D711D7" w:rsidRPr="00E84479" w:rsidRDefault="00D711D7" w:rsidP="00F82BDC">
      <w:pPr>
        <w:pStyle w:val="ListParagraph"/>
        <w:numPr>
          <w:ilvl w:val="1"/>
          <w:numId w:val="9"/>
        </w:numPr>
        <w:ind w:left="0" w:right="-214"/>
        <w:jc w:val="both"/>
        <w:rPr>
          <w:rFonts w:asciiTheme="majorBidi" w:hAnsiTheme="majorBidi" w:cstheme="majorBidi"/>
          <w:sz w:val="24"/>
          <w:szCs w:val="24"/>
        </w:rPr>
      </w:pPr>
      <w:r w:rsidRPr="00E84479">
        <w:rPr>
          <w:rFonts w:asciiTheme="majorBidi" w:hAnsiTheme="majorBidi" w:cstheme="majorBidi"/>
          <w:sz w:val="24"/>
          <w:szCs w:val="24"/>
        </w:rPr>
        <w:t>Strategies and recommendations for continued UNDP assistance towards the achievement of the outcome</w:t>
      </w:r>
    </w:p>
    <w:p w14:paraId="5B8FC775" w14:textId="77777777" w:rsidR="00D711D7" w:rsidRPr="00E84479" w:rsidRDefault="00D711D7" w:rsidP="00F82BDC">
      <w:pPr>
        <w:pStyle w:val="ListParagraph"/>
        <w:numPr>
          <w:ilvl w:val="0"/>
          <w:numId w:val="8"/>
        </w:numPr>
        <w:ind w:left="0" w:right="-214"/>
        <w:rPr>
          <w:rFonts w:asciiTheme="majorBidi" w:hAnsiTheme="majorBidi" w:cstheme="majorBidi"/>
          <w:b/>
          <w:bCs/>
          <w:sz w:val="24"/>
          <w:szCs w:val="24"/>
          <w:u w:val="single"/>
        </w:rPr>
      </w:pPr>
      <w:r w:rsidRPr="00E84479">
        <w:rPr>
          <w:rFonts w:asciiTheme="majorBidi" w:hAnsiTheme="majorBidi" w:cstheme="majorBidi"/>
          <w:b/>
          <w:bCs/>
          <w:sz w:val="24"/>
          <w:szCs w:val="24"/>
          <w:u w:val="single"/>
        </w:rPr>
        <w:t>Duration of Mission:</w:t>
      </w:r>
    </w:p>
    <w:p w14:paraId="35E3B942" w14:textId="77777777" w:rsidR="00D711D7" w:rsidRPr="00E84479" w:rsidRDefault="00D711D7" w:rsidP="00D711D7">
      <w:pPr>
        <w:pStyle w:val="ListParagraph"/>
        <w:ind w:left="0" w:right="-214"/>
        <w:rPr>
          <w:rFonts w:asciiTheme="majorBidi" w:hAnsiTheme="majorBidi" w:cstheme="majorBidi"/>
          <w:sz w:val="24"/>
          <w:szCs w:val="24"/>
        </w:rPr>
      </w:pPr>
    </w:p>
    <w:p w14:paraId="7C46E613" w14:textId="77777777" w:rsidR="00D711D7" w:rsidRPr="00E84479" w:rsidRDefault="00D711D7" w:rsidP="00D711D7">
      <w:pPr>
        <w:pStyle w:val="ListParagraph"/>
        <w:ind w:left="0" w:right="-214"/>
        <w:rPr>
          <w:rFonts w:asciiTheme="majorBidi" w:hAnsiTheme="majorBidi" w:cstheme="majorBidi"/>
          <w:sz w:val="24"/>
          <w:szCs w:val="24"/>
        </w:rPr>
      </w:pPr>
      <w:r w:rsidRPr="00E84479">
        <w:rPr>
          <w:rFonts w:asciiTheme="majorBidi" w:hAnsiTheme="majorBidi" w:cstheme="majorBidi"/>
          <w:sz w:val="24"/>
          <w:szCs w:val="24"/>
        </w:rPr>
        <w:t>Duration: 15 working days.  10 on location in Saudi Arabia, 5 home-based</w:t>
      </w:r>
    </w:p>
    <w:p w14:paraId="46F56395" w14:textId="77777777" w:rsidR="00D711D7" w:rsidRPr="00E84479" w:rsidRDefault="00D711D7" w:rsidP="00D711D7">
      <w:pPr>
        <w:pStyle w:val="ListParagraph"/>
        <w:ind w:left="0" w:right="-214"/>
        <w:rPr>
          <w:rFonts w:asciiTheme="majorBidi" w:hAnsiTheme="majorBidi" w:cstheme="majorBidi"/>
          <w:sz w:val="24"/>
          <w:szCs w:val="24"/>
        </w:rPr>
      </w:pPr>
    </w:p>
    <w:p w14:paraId="4EFA2E8F" w14:textId="77777777" w:rsidR="00D711D7" w:rsidRPr="00E84479" w:rsidRDefault="00D711D7" w:rsidP="00F82BDC">
      <w:pPr>
        <w:pStyle w:val="ListParagraph"/>
        <w:numPr>
          <w:ilvl w:val="0"/>
          <w:numId w:val="8"/>
        </w:numPr>
        <w:ind w:left="0" w:right="-214"/>
        <w:rPr>
          <w:rFonts w:asciiTheme="majorBidi" w:hAnsiTheme="majorBidi" w:cstheme="majorBidi"/>
          <w:b/>
          <w:bCs/>
          <w:sz w:val="24"/>
          <w:szCs w:val="24"/>
          <w:u w:val="single"/>
        </w:rPr>
      </w:pPr>
      <w:r w:rsidRPr="00E84479">
        <w:rPr>
          <w:rFonts w:asciiTheme="majorBidi" w:hAnsiTheme="majorBidi" w:cstheme="majorBidi"/>
          <w:b/>
          <w:bCs/>
          <w:sz w:val="24"/>
          <w:szCs w:val="24"/>
          <w:u w:val="single"/>
        </w:rPr>
        <w:t>Methodology of Outcome Evaluation:</w:t>
      </w:r>
    </w:p>
    <w:p w14:paraId="6ED8FF36" w14:textId="77777777" w:rsidR="00D711D7" w:rsidRPr="00E84479" w:rsidRDefault="00D711D7" w:rsidP="00D711D7">
      <w:pPr>
        <w:pStyle w:val="ListParagraph"/>
        <w:ind w:left="0" w:right="-214"/>
        <w:jc w:val="both"/>
        <w:rPr>
          <w:rFonts w:asciiTheme="majorBidi" w:hAnsiTheme="majorBidi" w:cstheme="majorBidi"/>
          <w:sz w:val="24"/>
          <w:szCs w:val="24"/>
        </w:rPr>
      </w:pPr>
    </w:p>
    <w:p w14:paraId="15C39D9A" w14:textId="77777777" w:rsidR="00D711D7" w:rsidRPr="00E84479" w:rsidRDefault="00D711D7" w:rsidP="00D711D7">
      <w:pPr>
        <w:pStyle w:val="ListParagraph"/>
        <w:ind w:left="0" w:right="-214"/>
        <w:jc w:val="both"/>
        <w:rPr>
          <w:rFonts w:asciiTheme="majorBidi" w:hAnsiTheme="majorBidi" w:cstheme="majorBidi"/>
          <w:sz w:val="24"/>
          <w:szCs w:val="24"/>
        </w:rPr>
      </w:pPr>
      <w:r w:rsidRPr="00E84479">
        <w:rPr>
          <w:rFonts w:asciiTheme="majorBidi" w:hAnsiTheme="majorBidi" w:cstheme="majorBidi"/>
          <w:sz w:val="24"/>
          <w:szCs w:val="24"/>
        </w:rPr>
        <w:t>Outcome evaluations are shifted away from the old approach of assessing project results against project objectives towards an assessment of how these results contribute, together with the assistance of partners, to a change in development conditions.  Outcomes are influenced by a full range of UNDP activities (projects, programmes, non-project activities and “soft” assistance within and outside of projects) as well as the activities of other development actors.  Therefore, a number of variables beyond the projects need to be considered during the evaluation. The evaluation must provide evidence-based information that is credible, reliable and useful.  It must be easily understood by UNDP partners.</w:t>
      </w:r>
    </w:p>
    <w:p w14:paraId="0C81CE7A" w14:textId="77777777" w:rsidR="00D711D7" w:rsidRPr="00E84479" w:rsidRDefault="00D711D7" w:rsidP="00D711D7">
      <w:pPr>
        <w:pStyle w:val="ListParagraph"/>
        <w:ind w:left="0" w:right="-214"/>
        <w:jc w:val="both"/>
        <w:rPr>
          <w:rFonts w:asciiTheme="majorBidi" w:hAnsiTheme="majorBidi" w:cstheme="majorBidi"/>
          <w:sz w:val="24"/>
          <w:szCs w:val="24"/>
        </w:rPr>
      </w:pPr>
    </w:p>
    <w:p w14:paraId="6ADAD444" w14:textId="77777777" w:rsidR="00D711D7" w:rsidRPr="00E84479" w:rsidRDefault="00D711D7" w:rsidP="00D711D7">
      <w:pPr>
        <w:pStyle w:val="ListParagraph"/>
        <w:ind w:left="0" w:right="-214"/>
        <w:jc w:val="both"/>
        <w:rPr>
          <w:rFonts w:asciiTheme="majorBidi" w:hAnsiTheme="majorBidi" w:cstheme="majorBidi"/>
          <w:sz w:val="24"/>
          <w:szCs w:val="24"/>
        </w:rPr>
      </w:pPr>
      <w:r w:rsidRPr="00E84479">
        <w:rPr>
          <w:rFonts w:asciiTheme="majorBidi" w:hAnsiTheme="majorBidi" w:cstheme="majorBidi"/>
          <w:sz w:val="24"/>
          <w:szCs w:val="24"/>
        </w:rPr>
        <w:t>Information on the methodologies is given in Guidelines for Evaluators, issued by Evaluation Office, UNDP.  The evaluator is expected to use all relevant methods to obtain data and information for their analysis and drawing up of findings, conclusions, lessons learned and recommendations. An outline of an evaluation approach is provided below; however it should be made clear that the evaluation team is responsible for revising the approach as necessary.  Any changes should be in-line with international criteria and professional norms and standards (as adopted by the UN Evaluation Group).  They must be also cleared by UNDP before being applied by the evaluation team.</w:t>
      </w:r>
    </w:p>
    <w:p w14:paraId="680E2C83" w14:textId="77777777" w:rsidR="00D711D7" w:rsidRPr="00E84479" w:rsidRDefault="00D711D7" w:rsidP="00D711D7">
      <w:pPr>
        <w:pStyle w:val="ListParagraph"/>
        <w:ind w:left="0" w:right="-214"/>
        <w:jc w:val="both"/>
        <w:rPr>
          <w:rFonts w:asciiTheme="majorBidi" w:hAnsiTheme="majorBidi" w:cstheme="majorBidi"/>
          <w:sz w:val="24"/>
          <w:szCs w:val="24"/>
        </w:rPr>
      </w:pPr>
    </w:p>
    <w:p w14:paraId="02CE8884" w14:textId="77777777" w:rsidR="00D711D7" w:rsidRPr="00E84479" w:rsidRDefault="00D711D7" w:rsidP="00D711D7">
      <w:pPr>
        <w:pStyle w:val="ListParagraph"/>
        <w:ind w:left="0" w:right="-214"/>
        <w:jc w:val="both"/>
        <w:rPr>
          <w:rFonts w:asciiTheme="majorBidi" w:hAnsiTheme="majorBidi" w:cstheme="majorBidi"/>
          <w:b/>
          <w:bCs/>
          <w:sz w:val="24"/>
          <w:szCs w:val="24"/>
        </w:rPr>
      </w:pPr>
      <w:r w:rsidRPr="00E84479">
        <w:rPr>
          <w:rFonts w:asciiTheme="majorBidi" w:hAnsiTheme="majorBidi" w:cstheme="majorBidi"/>
          <w:b/>
          <w:bCs/>
          <w:sz w:val="24"/>
          <w:szCs w:val="24"/>
        </w:rPr>
        <w:t>These include:</w:t>
      </w:r>
    </w:p>
    <w:p w14:paraId="4857EB25" w14:textId="77777777" w:rsidR="00D711D7" w:rsidRPr="00E84479" w:rsidRDefault="00D711D7" w:rsidP="00F82BDC">
      <w:pPr>
        <w:pStyle w:val="ListParagraph"/>
        <w:numPr>
          <w:ilvl w:val="0"/>
          <w:numId w:val="11"/>
        </w:numPr>
        <w:spacing w:before="60" w:after="60"/>
        <w:ind w:left="0" w:right="-215" w:hanging="357"/>
        <w:contextualSpacing w:val="0"/>
        <w:jc w:val="both"/>
        <w:rPr>
          <w:rFonts w:asciiTheme="majorBidi" w:hAnsiTheme="majorBidi" w:cstheme="majorBidi"/>
          <w:sz w:val="24"/>
          <w:szCs w:val="24"/>
        </w:rPr>
      </w:pPr>
      <w:r w:rsidRPr="00E84479">
        <w:rPr>
          <w:rFonts w:asciiTheme="majorBidi" w:hAnsiTheme="majorBidi" w:cstheme="majorBidi"/>
          <w:sz w:val="24"/>
          <w:szCs w:val="24"/>
        </w:rPr>
        <w:t>Documentation review: Begin with the CPD for a description of the intended outcome, the baseline for the outcome and the indicators and benchmarks used. Examine contextual information and baselines contained in project documents and all relevant documents and, relevant evaluation reports.</w:t>
      </w:r>
    </w:p>
    <w:p w14:paraId="6FE4D750" w14:textId="77777777" w:rsidR="00D711D7" w:rsidRPr="00E84479" w:rsidRDefault="00D711D7" w:rsidP="00F82BDC">
      <w:pPr>
        <w:pStyle w:val="ListParagraph"/>
        <w:numPr>
          <w:ilvl w:val="0"/>
          <w:numId w:val="11"/>
        </w:numPr>
        <w:spacing w:before="60" w:after="60"/>
        <w:ind w:left="0" w:right="-215" w:hanging="357"/>
        <w:contextualSpacing w:val="0"/>
        <w:jc w:val="both"/>
        <w:rPr>
          <w:rFonts w:asciiTheme="majorBidi" w:hAnsiTheme="majorBidi" w:cstheme="majorBidi"/>
          <w:sz w:val="24"/>
          <w:szCs w:val="24"/>
        </w:rPr>
      </w:pPr>
      <w:r w:rsidRPr="00E84479">
        <w:rPr>
          <w:rFonts w:asciiTheme="majorBidi" w:hAnsiTheme="majorBidi" w:cstheme="majorBidi"/>
          <w:sz w:val="24"/>
          <w:szCs w:val="24"/>
        </w:rPr>
        <w:t>Use of interviews, field visits, questionnaires and meeting including participatory forums to validate information about the status of the outcome that is culled from contextual sources such as monitoring reports; also use to the extent possible the data collected and analysis undertaken by the country office prior to the outcome evaluation; and examine local sources of knowledge about factors influencing the outcome;</w:t>
      </w:r>
    </w:p>
    <w:p w14:paraId="392505FC" w14:textId="77777777" w:rsidR="00D711D7" w:rsidRPr="00E84479" w:rsidRDefault="00D711D7" w:rsidP="00F82BDC">
      <w:pPr>
        <w:pStyle w:val="ListParagraph"/>
        <w:numPr>
          <w:ilvl w:val="0"/>
          <w:numId w:val="11"/>
        </w:numPr>
        <w:spacing w:before="60" w:after="60"/>
        <w:ind w:left="0" w:right="-215" w:hanging="357"/>
        <w:contextualSpacing w:val="0"/>
        <w:jc w:val="both"/>
        <w:rPr>
          <w:rFonts w:asciiTheme="majorBidi" w:hAnsiTheme="majorBidi" w:cstheme="majorBidi"/>
          <w:sz w:val="24"/>
          <w:szCs w:val="24"/>
        </w:rPr>
      </w:pPr>
      <w:r w:rsidRPr="00E84479">
        <w:rPr>
          <w:rFonts w:asciiTheme="majorBidi" w:hAnsiTheme="majorBidi" w:cstheme="majorBidi"/>
          <w:sz w:val="24"/>
          <w:szCs w:val="24"/>
        </w:rPr>
        <w:t xml:space="preserve">Identification of the major contributing factors that “drive” change. </w:t>
      </w:r>
    </w:p>
    <w:p w14:paraId="5C635A01" w14:textId="77777777" w:rsidR="00D711D7" w:rsidRPr="00E84479" w:rsidRDefault="00D711D7" w:rsidP="00F82BDC">
      <w:pPr>
        <w:pStyle w:val="ListParagraph"/>
        <w:numPr>
          <w:ilvl w:val="0"/>
          <w:numId w:val="11"/>
        </w:numPr>
        <w:spacing w:before="60" w:after="60"/>
        <w:ind w:left="0" w:right="-215" w:hanging="357"/>
        <w:contextualSpacing w:val="0"/>
        <w:jc w:val="both"/>
        <w:rPr>
          <w:rFonts w:asciiTheme="majorBidi" w:hAnsiTheme="majorBidi" w:cstheme="majorBidi"/>
          <w:sz w:val="24"/>
          <w:szCs w:val="24"/>
        </w:rPr>
      </w:pPr>
      <w:r w:rsidRPr="00E84479">
        <w:rPr>
          <w:rFonts w:asciiTheme="majorBidi" w:hAnsiTheme="majorBidi" w:cstheme="majorBidi"/>
          <w:sz w:val="24"/>
          <w:szCs w:val="24"/>
        </w:rPr>
        <w:t>investigate the pre-selected outcome indicators, go beyond these to explore other possible outcome indicators, and determine whether the indicators have actually been continuously tracked;</w:t>
      </w:r>
    </w:p>
    <w:p w14:paraId="6A80C0D0" w14:textId="77777777" w:rsidR="00D711D7" w:rsidRPr="00E84479" w:rsidRDefault="00D711D7" w:rsidP="00F82BDC">
      <w:pPr>
        <w:pStyle w:val="ListParagraph"/>
        <w:numPr>
          <w:ilvl w:val="0"/>
          <w:numId w:val="11"/>
        </w:numPr>
        <w:spacing w:before="60" w:after="60"/>
        <w:ind w:left="0" w:right="-215" w:hanging="357"/>
        <w:contextualSpacing w:val="0"/>
        <w:jc w:val="both"/>
        <w:rPr>
          <w:rFonts w:asciiTheme="majorBidi" w:hAnsiTheme="majorBidi" w:cstheme="majorBidi"/>
          <w:sz w:val="24"/>
          <w:szCs w:val="24"/>
        </w:rPr>
      </w:pPr>
      <w:r w:rsidRPr="00E84479">
        <w:rPr>
          <w:rFonts w:asciiTheme="majorBidi" w:hAnsiTheme="majorBidi" w:cstheme="majorBidi"/>
          <w:sz w:val="24"/>
          <w:szCs w:val="24"/>
        </w:rPr>
        <w:t>Undertake a constructive critique of the outcome formulation itself; determine whether or not individual outputs are effective in contributing to outcomes, drawing the link between UNDP outputs and outcomes.</w:t>
      </w:r>
    </w:p>
    <w:p w14:paraId="6871CD57" w14:textId="77777777" w:rsidR="00D711D7" w:rsidRPr="00E84479" w:rsidRDefault="00D711D7" w:rsidP="00F82BDC">
      <w:pPr>
        <w:pStyle w:val="ListParagraph"/>
        <w:numPr>
          <w:ilvl w:val="0"/>
          <w:numId w:val="11"/>
        </w:numPr>
        <w:spacing w:before="60" w:after="60"/>
        <w:ind w:left="0" w:right="-215" w:hanging="357"/>
        <w:contextualSpacing w:val="0"/>
        <w:jc w:val="both"/>
        <w:rPr>
          <w:rFonts w:asciiTheme="majorBidi" w:hAnsiTheme="majorBidi" w:cstheme="majorBidi"/>
          <w:sz w:val="24"/>
          <w:szCs w:val="24"/>
        </w:rPr>
      </w:pPr>
      <w:r w:rsidRPr="00E84479">
        <w:rPr>
          <w:rFonts w:asciiTheme="majorBidi" w:hAnsiTheme="majorBidi" w:cstheme="majorBidi"/>
          <w:sz w:val="24"/>
          <w:szCs w:val="24"/>
        </w:rPr>
        <w:t>Determine whether individual outputs are effective in contributing to outcomes.</w:t>
      </w:r>
    </w:p>
    <w:p w14:paraId="70DF8461" w14:textId="77777777" w:rsidR="00D711D7" w:rsidRPr="00E84479" w:rsidRDefault="00D711D7" w:rsidP="00F82BDC">
      <w:pPr>
        <w:pStyle w:val="ListParagraph"/>
        <w:numPr>
          <w:ilvl w:val="0"/>
          <w:numId w:val="11"/>
        </w:numPr>
        <w:spacing w:before="60" w:after="60"/>
        <w:ind w:left="0" w:right="-215" w:hanging="357"/>
        <w:contextualSpacing w:val="0"/>
        <w:jc w:val="both"/>
        <w:rPr>
          <w:rFonts w:asciiTheme="majorBidi" w:hAnsiTheme="majorBidi" w:cstheme="majorBidi"/>
          <w:sz w:val="24"/>
          <w:szCs w:val="24"/>
        </w:rPr>
      </w:pPr>
      <w:r w:rsidRPr="00E84479">
        <w:rPr>
          <w:rFonts w:asciiTheme="majorBidi" w:hAnsiTheme="majorBidi" w:cstheme="majorBidi"/>
          <w:sz w:val="24"/>
          <w:szCs w:val="24"/>
        </w:rPr>
        <w:t>Determine whether or not the UNDP strategy and management of overall country operations appears to be coherently focused on change at the outcome level. Examine whether UNDP’s in-house planning and management of different interventions has been aligned to exploit synergies in contributing to outcomes.</w:t>
      </w:r>
    </w:p>
    <w:p w14:paraId="49E66E28" w14:textId="77777777" w:rsidR="00D711D7" w:rsidRPr="00E84479" w:rsidRDefault="00D711D7" w:rsidP="00F82BDC">
      <w:pPr>
        <w:pStyle w:val="ListParagraph"/>
        <w:numPr>
          <w:ilvl w:val="0"/>
          <w:numId w:val="11"/>
        </w:numPr>
        <w:spacing w:before="60" w:after="60"/>
        <w:ind w:left="0" w:right="-215" w:hanging="357"/>
        <w:contextualSpacing w:val="0"/>
        <w:jc w:val="both"/>
        <w:rPr>
          <w:rFonts w:asciiTheme="majorBidi" w:hAnsiTheme="majorBidi" w:cstheme="majorBidi"/>
          <w:sz w:val="24"/>
          <w:szCs w:val="24"/>
        </w:rPr>
      </w:pPr>
      <w:r w:rsidRPr="00E84479">
        <w:rPr>
          <w:rFonts w:asciiTheme="majorBidi" w:hAnsiTheme="majorBidi" w:cstheme="majorBidi"/>
          <w:sz w:val="24"/>
          <w:szCs w:val="24"/>
        </w:rPr>
        <w:t>Determine whether or not there is consensus among UNDP actors, stakeholders and partners that the partnership strategy designed was the best one to achieve the outcome; examine how the partnerships were formed and how they performed; examine how the partnership strategy affected the achievement of or progress towards the outcome.</w:t>
      </w:r>
    </w:p>
    <w:p w14:paraId="281CC42F" w14:textId="77777777" w:rsidR="00D711D7" w:rsidRPr="00E84479" w:rsidRDefault="00D711D7" w:rsidP="00D711D7">
      <w:pPr>
        <w:pStyle w:val="ListParagraph"/>
        <w:ind w:left="0" w:right="-214"/>
        <w:jc w:val="both"/>
        <w:rPr>
          <w:rFonts w:asciiTheme="majorBidi" w:hAnsiTheme="majorBidi" w:cstheme="majorBidi"/>
          <w:sz w:val="24"/>
          <w:szCs w:val="24"/>
        </w:rPr>
      </w:pPr>
    </w:p>
    <w:p w14:paraId="729EF5C5" w14:textId="77777777" w:rsidR="00D711D7" w:rsidRPr="00E84479" w:rsidRDefault="00D711D7" w:rsidP="00F82BDC">
      <w:pPr>
        <w:pStyle w:val="ListParagraph"/>
        <w:numPr>
          <w:ilvl w:val="0"/>
          <w:numId w:val="8"/>
        </w:numPr>
        <w:ind w:left="0" w:right="-214"/>
        <w:rPr>
          <w:rFonts w:asciiTheme="majorBidi" w:hAnsiTheme="majorBidi" w:cstheme="majorBidi"/>
          <w:sz w:val="24"/>
          <w:szCs w:val="24"/>
        </w:rPr>
      </w:pPr>
      <w:r w:rsidRPr="00E84479">
        <w:rPr>
          <w:rFonts w:asciiTheme="majorBidi" w:hAnsiTheme="majorBidi" w:cstheme="majorBidi"/>
          <w:b/>
          <w:bCs/>
          <w:sz w:val="24"/>
          <w:szCs w:val="24"/>
          <w:u w:val="single"/>
        </w:rPr>
        <w:t>Evaluation Consultant:</w:t>
      </w:r>
    </w:p>
    <w:p w14:paraId="57477755" w14:textId="77777777" w:rsidR="00D711D7" w:rsidRPr="00E84479" w:rsidRDefault="00D711D7" w:rsidP="00D711D7">
      <w:pPr>
        <w:ind w:right="-214" w:firstLine="720"/>
        <w:rPr>
          <w:rFonts w:asciiTheme="majorBidi" w:hAnsiTheme="majorBidi" w:cstheme="majorBidi"/>
          <w:sz w:val="24"/>
          <w:szCs w:val="24"/>
        </w:rPr>
      </w:pPr>
      <w:r w:rsidRPr="00E84479">
        <w:rPr>
          <w:rFonts w:asciiTheme="majorBidi" w:hAnsiTheme="majorBidi" w:cstheme="majorBidi"/>
          <w:sz w:val="24"/>
          <w:szCs w:val="24"/>
        </w:rPr>
        <w:t>Qualifications:</w:t>
      </w:r>
    </w:p>
    <w:p w14:paraId="6BB9DFF4" w14:textId="77777777" w:rsidR="00D711D7" w:rsidRPr="00E84479" w:rsidRDefault="00D711D7" w:rsidP="00F82BDC">
      <w:pPr>
        <w:pStyle w:val="ListParagraph"/>
        <w:numPr>
          <w:ilvl w:val="0"/>
          <w:numId w:val="12"/>
        </w:numPr>
        <w:ind w:left="0" w:right="-214"/>
        <w:rPr>
          <w:rFonts w:asciiTheme="majorBidi" w:hAnsiTheme="majorBidi" w:cstheme="majorBidi"/>
          <w:sz w:val="24"/>
          <w:szCs w:val="24"/>
        </w:rPr>
      </w:pPr>
      <w:r w:rsidRPr="00E84479">
        <w:rPr>
          <w:rFonts w:asciiTheme="majorBidi" w:hAnsiTheme="majorBidi" w:cstheme="majorBidi"/>
          <w:sz w:val="24"/>
          <w:szCs w:val="24"/>
        </w:rPr>
        <w:t>A senior level development expert with substantive knowledge of development theories and issues.</w:t>
      </w:r>
    </w:p>
    <w:p w14:paraId="54D178F1" w14:textId="77777777" w:rsidR="00D711D7" w:rsidRPr="00E84479" w:rsidRDefault="00D711D7" w:rsidP="00F82BDC">
      <w:pPr>
        <w:pStyle w:val="ListParagraph"/>
        <w:numPr>
          <w:ilvl w:val="0"/>
          <w:numId w:val="12"/>
        </w:numPr>
        <w:ind w:left="0" w:right="-214"/>
        <w:rPr>
          <w:rFonts w:asciiTheme="majorBidi" w:hAnsiTheme="majorBidi" w:cstheme="majorBidi"/>
          <w:sz w:val="24"/>
          <w:szCs w:val="24"/>
        </w:rPr>
      </w:pPr>
      <w:r w:rsidRPr="00E84479">
        <w:rPr>
          <w:rFonts w:asciiTheme="majorBidi" w:hAnsiTheme="majorBidi" w:cstheme="majorBidi"/>
          <w:sz w:val="24"/>
          <w:szCs w:val="24"/>
        </w:rPr>
        <w:t>Has a strong background in development research methodologies and evaluation with specific focus on the areas of poverty, advocacy and the MDGs</w:t>
      </w:r>
    </w:p>
    <w:p w14:paraId="0319A593" w14:textId="77777777" w:rsidR="00D711D7" w:rsidRPr="00E84479" w:rsidRDefault="00D711D7" w:rsidP="00F82BDC">
      <w:pPr>
        <w:pStyle w:val="ListParagraph"/>
        <w:numPr>
          <w:ilvl w:val="0"/>
          <w:numId w:val="12"/>
        </w:numPr>
        <w:ind w:left="0" w:right="-214"/>
        <w:rPr>
          <w:rFonts w:asciiTheme="majorBidi" w:hAnsiTheme="majorBidi" w:cstheme="majorBidi"/>
          <w:sz w:val="24"/>
          <w:szCs w:val="24"/>
        </w:rPr>
      </w:pPr>
      <w:r w:rsidRPr="00E84479">
        <w:rPr>
          <w:rFonts w:asciiTheme="majorBidi" w:hAnsiTheme="majorBidi" w:cstheme="majorBidi"/>
          <w:sz w:val="24"/>
          <w:szCs w:val="24"/>
        </w:rPr>
        <w:t>Has a good knowledge of the country's development issues and significant experience in working on poverty, human development, and gender and in evaluating complex multilateral aid programmes.</w:t>
      </w:r>
    </w:p>
    <w:p w14:paraId="09F19AB9" w14:textId="77777777" w:rsidR="00D711D7" w:rsidRPr="00E84479" w:rsidRDefault="00D711D7" w:rsidP="00F82BDC">
      <w:pPr>
        <w:pStyle w:val="ListParagraph"/>
        <w:numPr>
          <w:ilvl w:val="0"/>
          <w:numId w:val="12"/>
        </w:numPr>
        <w:ind w:left="0" w:right="-214"/>
        <w:rPr>
          <w:rFonts w:asciiTheme="majorBidi" w:hAnsiTheme="majorBidi" w:cstheme="majorBidi"/>
          <w:sz w:val="24"/>
          <w:szCs w:val="24"/>
        </w:rPr>
      </w:pPr>
      <w:r w:rsidRPr="00E84479">
        <w:rPr>
          <w:rFonts w:asciiTheme="majorBidi" w:hAnsiTheme="majorBidi" w:cstheme="majorBidi"/>
          <w:sz w:val="24"/>
          <w:szCs w:val="24"/>
        </w:rPr>
        <w:t>Has an advanced degree in the social sciences or related fields</w:t>
      </w:r>
    </w:p>
    <w:p w14:paraId="14C96608" w14:textId="77777777" w:rsidR="00D711D7" w:rsidRPr="00E84479" w:rsidRDefault="00D711D7" w:rsidP="00F82BDC">
      <w:pPr>
        <w:pStyle w:val="ListParagraph"/>
        <w:numPr>
          <w:ilvl w:val="0"/>
          <w:numId w:val="12"/>
        </w:numPr>
        <w:ind w:left="0" w:right="-214"/>
        <w:rPr>
          <w:rFonts w:asciiTheme="majorBidi" w:hAnsiTheme="majorBidi" w:cstheme="majorBidi"/>
          <w:sz w:val="24"/>
          <w:szCs w:val="24"/>
        </w:rPr>
      </w:pPr>
      <w:r w:rsidRPr="00E84479">
        <w:rPr>
          <w:rFonts w:asciiTheme="majorBidi" w:hAnsiTheme="majorBidi" w:cstheme="majorBidi"/>
          <w:sz w:val="24"/>
          <w:szCs w:val="24"/>
        </w:rPr>
        <w:t>10 or more years for experience in relevant field</w:t>
      </w:r>
    </w:p>
    <w:p w14:paraId="0D5BFB92" w14:textId="77777777" w:rsidR="00D711D7" w:rsidRPr="00E84479" w:rsidRDefault="00D711D7" w:rsidP="00F82BDC">
      <w:pPr>
        <w:pStyle w:val="ListParagraph"/>
        <w:numPr>
          <w:ilvl w:val="0"/>
          <w:numId w:val="12"/>
        </w:numPr>
        <w:ind w:left="0" w:right="-214"/>
        <w:rPr>
          <w:rFonts w:asciiTheme="majorBidi" w:hAnsiTheme="majorBidi" w:cstheme="majorBidi"/>
          <w:sz w:val="24"/>
          <w:szCs w:val="24"/>
        </w:rPr>
      </w:pPr>
      <w:r w:rsidRPr="00E84479">
        <w:rPr>
          <w:rFonts w:asciiTheme="majorBidi" w:hAnsiTheme="majorBidi" w:cstheme="majorBidi"/>
          <w:sz w:val="24"/>
          <w:szCs w:val="24"/>
        </w:rPr>
        <w:t>Familiarity with UNDP or UN operations will be a plus</w:t>
      </w:r>
    </w:p>
    <w:p w14:paraId="1CCEBCE3" w14:textId="77777777" w:rsidR="00D711D7" w:rsidRPr="00E84479" w:rsidRDefault="00D711D7" w:rsidP="00F82BDC">
      <w:pPr>
        <w:pStyle w:val="ListParagraph"/>
        <w:numPr>
          <w:ilvl w:val="0"/>
          <w:numId w:val="12"/>
        </w:numPr>
        <w:ind w:left="0" w:right="-214"/>
        <w:rPr>
          <w:rFonts w:asciiTheme="majorBidi" w:hAnsiTheme="majorBidi" w:cstheme="majorBidi"/>
          <w:sz w:val="24"/>
          <w:szCs w:val="24"/>
        </w:rPr>
      </w:pPr>
      <w:r w:rsidRPr="00E84479">
        <w:rPr>
          <w:rFonts w:asciiTheme="majorBidi" w:hAnsiTheme="majorBidi" w:cstheme="majorBidi"/>
          <w:sz w:val="24"/>
          <w:szCs w:val="24"/>
        </w:rPr>
        <w:t xml:space="preserve"> English is a must and Arabic an asset </w:t>
      </w:r>
    </w:p>
    <w:p w14:paraId="42310C12" w14:textId="77777777" w:rsidR="00D711D7" w:rsidRPr="00E84479" w:rsidRDefault="00D711D7" w:rsidP="00D711D7">
      <w:pPr>
        <w:pStyle w:val="ListParagraph"/>
        <w:ind w:left="0" w:right="-214"/>
        <w:rPr>
          <w:rFonts w:asciiTheme="majorBidi" w:hAnsiTheme="majorBidi" w:cstheme="majorBidi"/>
          <w:sz w:val="24"/>
          <w:szCs w:val="24"/>
        </w:rPr>
      </w:pPr>
    </w:p>
    <w:p w14:paraId="6EA8E830" w14:textId="77777777" w:rsidR="00D711D7" w:rsidRPr="00E84479" w:rsidRDefault="00D711D7" w:rsidP="00D711D7">
      <w:pPr>
        <w:ind w:right="-214"/>
        <w:rPr>
          <w:rFonts w:asciiTheme="majorBidi" w:hAnsiTheme="majorBidi" w:cstheme="majorBidi"/>
          <w:sz w:val="24"/>
          <w:szCs w:val="24"/>
        </w:rPr>
      </w:pPr>
      <w:r w:rsidRPr="00E84479">
        <w:rPr>
          <w:rFonts w:asciiTheme="majorBidi" w:hAnsiTheme="majorBidi" w:cstheme="majorBidi"/>
          <w:sz w:val="24"/>
          <w:szCs w:val="24"/>
        </w:rPr>
        <w:t>Competencies:</w:t>
      </w:r>
    </w:p>
    <w:p w14:paraId="60E07345" w14:textId="77777777" w:rsidR="00D711D7" w:rsidRPr="00E84479" w:rsidRDefault="00D711D7" w:rsidP="00F82BDC">
      <w:pPr>
        <w:pStyle w:val="ListParagraph"/>
        <w:numPr>
          <w:ilvl w:val="0"/>
          <w:numId w:val="14"/>
        </w:numPr>
        <w:ind w:left="0" w:right="-214" w:hanging="480"/>
        <w:rPr>
          <w:rFonts w:asciiTheme="majorBidi" w:hAnsiTheme="majorBidi" w:cstheme="majorBidi"/>
          <w:sz w:val="24"/>
          <w:szCs w:val="24"/>
        </w:rPr>
      </w:pPr>
      <w:r w:rsidRPr="00E84479">
        <w:rPr>
          <w:rFonts w:asciiTheme="majorBidi" w:hAnsiTheme="majorBidi" w:cstheme="majorBidi"/>
          <w:sz w:val="24"/>
          <w:szCs w:val="24"/>
        </w:rPr>
        <w:t>Professionalism: demonstrates professional competence in relevant work area;  conscientious and efficient in meeting commitments, observing deadlines and achieving results; motivated by professional rather than personal concerns; shows persistence when faced with difficult problems or challenges; remains calm in stressful situations.</w:t>
      </w:r>
    </w:p>
    <w:p w14:paraId="1DB30565" w14:textId="77777777" w:rsidR="00D711D7" w:rsidRPr="00E84479" w:rsidRDefault="00D711D7" w:rsidP="00F82BDC">
      <w:pPr>
        <w:pStyle w:val="ListParagraph"/>
        <w:numPr>
          <w:ilvl w:val="0"/>
          <w:numId w:val="14"/>
        </w:numPr>
        <w:ind w:left="0" w:right="-214"/>
        <w:rPr>
          <w:rFonts w:asciiTheme="majorBidi" w:hAnsiTheme="majorBidi" w:cstheme="majorBidi"/>
          <w:sz w:val="24"/>
          <w:szCs w:val="24"/>
        </w:rPr>
      </w:pPr>
      <w:r w:rsidRPr="00E84479">
        <w:rPr>
          <w:rFonts w:asciiTheme="majorBidi" w:hAnsiTheme="majorBidi" w:cstheme="majorBidi"/>
          <w:sz w:val="24"/>
          <w:szCs w:val="24"/>
        </w:rPr>
        <w:t>Planning&amp; Organizing: develops clear goals are consistent with agreed strategies; identifies priority activities and assignments; adjusts priorities as required; allocates appropriate amount of time and resources for completing work; foresees risks and allows for contingencies when planning; monitors and adjusts plans and actions as necessary; uses time efficiently.</w:t>
      </w:r>
    </w:p>
    <w:p w14:paraId="77E2B9AC" w14:textId="77777777" w:rsidR="00D711D7" w:rsidRPr="00E84479" w:rsidRDefault="00D711D7" w:rsidP="00F82BDC">
      <w:pPr>
        <w:pStyle w:val="ListParagraph"/>
        <w:numPr>
          <w:ilvl w:val="0"/>
          <w:numId w:val="14"/>
        </w:numPr>
        <w:ind w:left="0" w:right="-214" w:hanging="357"/>
        <w:contextualSpacing w:val="0"/>
        <w:rPr>
          <w:rFonts w:asciiTheme="majorBidi" w:hAnsiTheme="majorBidi" w:cstheme="majorBidi"/>
          <w:sz w:val="24"/>
          <w:szCs w:val="24"/>
        </w:rPr>
      </w:pPr>
      <w:r w:rsidRPr="00E84479">
        <w:rPr>
          <w:rFonts w:asciiTheme="majorBidi" w:hAnsiTheme="majorBidi" w:cstheme="majorBidi"/>
          <w:sz w:val="24"/>
          <w:szCs w:val="24"/>
        </w:rPr>
        <w:t>People Skills:  Communication: speaks and writes clearly and effectively including the drafting of documents and papers,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p>
    <w:p w14:paraId="4FF9EE59" w14:textId="77777777" w:rsidR="00D711D7" w:rsidRPr="00E84479" w:rsidRDefault="00D711D7" w:rsidP="00F82BDC">
      <w:pPr>
        <w:pStyle w:val="ListParagraph"/>
        <w:numPr>
          <w:ilvl w:val="0"/>
          <w:numId w:val="8"/>
        </w:numPr>
        <w:tabs>
          <w:tab w:val="left" w:pos="837"/>
        </w:tabs>
        <w:ind w:left="0" w:right="-214"/>
        <w:rPr>
          <w:rFonts w:asciiTheme="majorBidi" w:hAnsiTheme="majorBidi" w:cstheme="majorBidi"/>
          <w:b/>
          <w:bCs/>
          <w:sz w:val="24"/>
          <w:szCs w:val="24"/>
        </w:rPr>
      </w:pPr>
      <w:r w:rsidRPr="00E84479">
        <w:rPr>
          <w:rFonts w:asciiTheme="majorBidi" w:hAnsiTheme="majorBidi" w:cstheme="majorBidi"/>
          <w:b/>
          <w:bCs/>
          <w:sz w:val="24"/>
          <w:szCs w:val="24"/>
          <w:u w:val="single"/>
        </w:rPr>
        <w:t>Implementation Arrangements</w:t>
      </w:r>
    </w:p>
    <w:p w14:paraId="4239B7B4" w14:textId="77777777" w:rsidR="00D711D7" w:rsidRPr="00E84479" w:rsidRDefault="00D711D7" w:rsidP="00F82BDC">
      <w:pPr>
        <w:numPr>
          <w:ilvl w:val="0"/>
          <w:numId w:val="10"/>
        </w:numPr>
        <w:ind w:left="0" w:right="-214"/>
        <w:jc w:val="both"/>
        <w:rPr>
          <w:rFonts w:asciiTheme="majorBidi" w:hAnsiTheme="majorBidi" w:cstheme="majorBidi"/>
          <w:sz w:val="24"/>
          <w:szCs w:val="24"/>
        </w:rPr>
      </w:pPr>
      <w:r w:rsidRPr="00E84479">
        <w:rPr>
          <w:rFonts w:asciiTheme="majorBidi" w:hAnsiTheme="majorBidi" w:cstheme="majorBidi"/>
          <w:sz w:val="24"/>
          <w:szCs w:val="24"/>
        </w:rPr>
        <w:t>The UNDP Country Office will appoint an Evaluation Focal Person that will be responsible for the evaluation mission.</w:t>
      </w:r>
    </w:p>
    <w:p w14:paraId="3B495965" w14:textId="77777777" w:rsidR="00D711D7" w:rsidRPr="00E84479" w:rsidRDefault="00D711D7" w:rsidP="00F82BDC">
      <w:pPr>
        <w:numPr>
          <w:ilvl w:val="0"/>
          <w:numId w:val="10"/>
        </w:numPr>
        <w:ind w:left="0" w:right="-214"/>
        <w:jc w:val="both"/>
        <w:rPr>
          <w:rFonts w:asciiTheme="majorBidi" w:hAnsiTheme="majorBidi" w:cstheme="majorBidi"/>
          <w:sz w:val="24"/>
          <w:szCs w:val="24"/>
        </w:rPr>
      </w:pPr>
      <w:r w:rsidRPr="00E84479">
        <w:rPr>
          <w:rFonts w:asciiTheme="majorBidi" w:hAnsiTheme="majorBidi" w:cstheme="majorBidi"/>
          <w:sz w:val="24"/>
          <w:szCs w:val="24"/>
        </w:rPr>
        <w:t xml:space="preserve">The modalities of carrying out the evaluation will be agreed among the CO and the Evaluation consultant. It could include: </w:t>
      </w:r>
    </w:p>
    <w:p w14:paraId="07F74BD7" w14:textId="77777777" w:rsidR="00D711D7" w:rsidRPr="00E84479" w:rsidRDefault="00D711D7" w:rsidP="0024257F">
      <w:pPr>
        <w:ind w:left="91" w:right="-215" w:hanging="91"/>
        <w:contextualSpacing/>
        <w:rPr>
          <w:rFonts w:asciiTheme="majorBidi" w:hAnsiTheme="majorBidi" w:cstheme="majorBidi"/>
          <w:sz w:val="24"/>
          <w:szCs w:val="24"/>
        </w:rPr>
      </w:pPr>
      <w:r w:rsidRPr="00E84479">
        <w:rPr>
          <w:rFonts w:asciiTheme="majorBidi" w:hAnsiTheme="majorBidi" w:cstheme="majorBidi"/>
          <w:sz w:val="24"/>
          <w:szCs w:val="24"/>
        </w:rPr>
        <w:t xml:space="preserve">(i) Briefing of the evaluation consultant; </w:t>
      </w:r>
    </w:p>
    <w:p w14:paraId="352529E8" w14:textId="77777777" w:rsidR="00D711D7" w:rsidRPr="00E84479" w:rsidRDefault="0024257F" w:rsidP="0024257F">
      <w:pPr>
        <w:ind w:left="91" w:right="-215" w:hanging="91"/>
        <w:contextualSpacing/>
        <w:rPr>
          <w:rFonts w:asciiTheme="majorBidi" w:hAnsiTheme="majorBidi" w:cstheme="majorBidi"/>
          <w:sz w:val="24"/>
          <w:szCs w:val="24"/>
        </w:rPr>
      </w:pPr>
      <w:r>
        <w:rPr>
          <w:rFonts w:asciiTheme="majorBidi" w:hAnsiTheme="majorBidi" w:cstheme="majorBidi"/>
          <w:sz w:val="24"/>
          <w:szCs w:val="24"/>
        </w:rPr>
        <w:t xml:space="preserve">(ii) </w:t>
      </w:r>
      <w:r w:rsidR="00D711D7" w:rsidRPr="00E84479">
        <w:rPr>
          <w:rFonts w:asciiTheme="majorBidi" w:hAnsiTheme="majorBidi" w:cstheme="majorBidi"/>
          <w:sz w:val="24"/>
          <w:szCs w:val="24"/>
        </w:rPr>
        <w:t xml:space="preserve">Setting up of field work parameters and responsibilities for data and information gathering; </w:t>
      </w:r>
    </w:p>
    <w:p w14:paraId="6DC588F6" w14:textId="77777777" w:rsidR="00D711D7" w:rsidRPr="00E84479" w:rsidRDefault="00D711D7" w:rsidP="0024257F">
      <w:pPr>
        <w:ind w:left="91" w:right="-215" w:hanging="91"/>
        <w:contextualSpacing/>
        <w:rPr>
          <w:rFonts w:asciiTheme="majorBidi" w:hAnsiTheme="majorBidi" w:cstheme="majorBidi"/>
          <w:sz w:val="24"/>
          <w:szCs w:val="24"/>
        </w:rPr>
      </w:pPr>
      <w:r w:rsidRPr="00E84479">
        <w:rPr>
          <w:rFonts w:asciiTheme="majorBidi" w:hAnsiTheme="majorBidi" w:cstheme="majorBidi"/>
          <w:sz w:val="24"/>
          <w:szCs w:val="24"/>
        </w:rPr>
        <w:t xml:space="preserve">(iii) An analysis segment; </w:t>
      </w:r>
    </w:p>
    <w:p w14:paraId="4E2443D8" w14:textId="77777777" w:rsidR="00D711D7" w:rsidRPr="00E84479" w:rsidRDefault="00D711D7" w:rsidP="0024257F">
      <w:pPr>
        <w:ind w:left="91" w:right="-215" w:hanging="91"/>
        <w:contextualSpacing/>
        <w:rPr>
          <w:rFonts w:asciiTheme="majorBidi" w:hAnsiTheme="majorBidi" w:cstheme="majorBidi"/>
          <w:sz w:val="24"/>
          <w:szCs w:val="24"/>
        </w:rPr>
      </w:pPr>
      <w:r w:rsidRPr="00E84479">
        <w:rPr>
          <w:rFonts w:asciiTheme="majorBidi" w:hAnsiTheme="majorBidi" w:cstheme="majorBidi"/>
          <w:sz w:val="24"/>
          <w:szCs w:val="24"/>
        </w:rPr>
        <w:t xml:space="preserve">(iv) Plenary meeting with stakeholders and </w:t>
      </w:r>
    </w:p>
    <w:p w14:paraId="604BA6AF" w14:textId="77777777" w:rsidR="00D711D7" w:rsidRPr="00E84479" w:rsidRDefault="00D711D7" w:rsidP="0024257F">
      <w:pPr>
        <w:ind w:left="91" w:right="-215" w:hanging="91"/>
        <w:contextualSpacing/>
        <w:rPr>
          <w:rFonts w:asciiTheme="majorBidi" w:hAnsiTheme="majorBidi" w:cstheme="majorBidi"/>
          <w:sz w:val="24"/>
          <w:szCs w:val="24"/>
        </w:rPr>
      </w:pPr>
      <w:r w:rsidRPr="00E84479">
        <w:rPr>
          <w:rFonts w:asciiTheme="majorBidi" w:hAnsiTheme="majorBidi" w:cstheme="majorBidi"/>
          <w:sz w:val="24"/>
          <w:szCs w:val="24"/>
        </w:rPr>
        <w:t xml:space="preserve">(v) </w:t>
      </w:r>
      <w:r w:rsidRPr="00E84479">
        <w:rPr>
          <w:rFonts w:asciiTheme="majorBidi" w:hAnsiTheme="majorBidi" w:cstheme="majorBidi"/>
          <w:sz w:val="24"/>
          <w:szCs w:val="24"/>
        </w:rPr>
        <w:tab/>
        <w:t>Report writing.</w:t>
      </w:r>
    </w:p>
    <w:p w14:paraId="51467305" w14:textId="77777777" w:rsidR="00D711D7" w:rsidRPr="00E84479" w:rsidRDefault="00D711D7" w:rsidP="00F82BDC">
      <w:pPr>
        <w:numPr>
          <w:ilvl w:val="0"/>
          <w:numId w:val="10"/>
        </w:numPr>
        <w:ind w:left="0" w:right="-214"/>
        <w:jc w:val="both"/>
        <w:rPr>
          <w:rFonts w:asciiTheme="majorBidi" w:hAnsiTheme="majorBidi" w:cstheme="majorBidi"/>
          <w:sz w:val="24"/>
          <w:szCs w:val="24"/>
        </w:rPr>
      </w:pPr>
      <w:r w:rsidRPr="00E84479">
        <w:rPr>
          <w:rFonts w:asciiTheme="majorBidi" w:hAnsiTheme="majorBidi" w:cstheme="majorBidi"/>
          <w:sz w:val="24"/>
          <w:szCs w:val="24"/>
        </w:rPr>
        <w:t>An initial note (inception report) will be prepared and submitted by the Evaluation consultant within commencement of evaluation, reflecting in it all substantive and logistical issues that would have to be addressed in order to complete the evaluation successfully.</w:t>
      </w:r>
    </w:p>
    <w:p w14:paraId="16B772CA" w14:textId="77777777" w:rsidR="00D711D7" w:rsidRPr="00E84479" w:rsidRDefault="00D711D7" w:rsidP="00F82BDC">
      <w:pPr>
        <w:numPr>
          <w:ilvl w:val="0"/>
          <w:numId w:val="10"/>
        </w:numPr>
        <w:ind w:left="0" w:right="-214"/>
        <w:jc w:val="both"/>
        <w:rPr>
          <w:rFonts w:asciiTheme="majorBidi" w:hAnsiTheme="majorBidi" w:cstheme="majorBidi"/>
          <w:sz w:val="24"/>
          <w:szCs w:val="24"/>
        </w:rPr>
      </w:pPr>
      <w:r w:rsidRPr="00E84479">
        <w:rPr>
          <w:rFonts w:asciiTheme="majorBidi" w:hAnsiTheme="majorBidi" w:cstheme="majorBidi"/>
          <w:sz w:val="24"/>
          <w:szCs w:val="24"/>
        </w:rPr>
        <w:t>A draft report comprising especially the findings, outline lessons, conclusions and recommendations will be made available prior to the scheduled completion date of the evaluation mission.</w:t>
      </w:r>
    </w:p>
    <w:p w14:paraId="16BB7F69" w14:textId="77777777" w:rsidR="00D711D7" w:rsidRPr="00E84479" w:rsidRDefault="00D711D7" w:rsidP="00F82BDC">
      <w:pPr>
        <w:numPr>
          <w:ilvl w:val="0"/>
          <w:numId w:val="10"/>
        </w:numPr>
        <w:ind w:left="0" w:right="-214"/>
        <w:jc w:val="both"/>
        <w:rPr>
          <w:rFonts w:asciiTheme="majorBidi" w:hAnsiTheme="majorBidi" w:cstheme="majorBidi"/>
          <w:sz w:val="24"/>
          <w:szCs w:val="24"/>
        </w:rPr>
      </w:pPr>
      <w:r w:rsidRPr="00E84479">
        <w:rPr>
          <w:rFonts w:asciiTheme="majorBidi" w:hAnsiTheme="majorBidi" w:cstheme="majorBidi"/>
          <w:sz w:val="24"/>
          <w:szCs w:val="24"/>
        </w:rPr>
        <w:t>A wrap up meeting will be held in UNDP Saudi Arabia office prior to the scheduled completion date of the evaluation mission. The consultant will give a presentation of the evaluation findings and recommendations.</w:t>
      </w:r>
    </w:p>
    <w:p w14:paraId="32139252" w14:textId="77777777" w:rsidR="00D711D7" w:rsidRPr="00E84479" w:rsidRDefault="00D711D7" w:rsidP="00F82BDC">
      <w:pPr>
        <w:numPr>
          <w:ilvl w:val="0"/>
          <w:numId w:val="10"/>
        </w:numPr>
        <w:ind w:left="0" w:right="-214"/>
        <w:jc w:val="both"/>
        <w:rPr>
          <w:rFonts w:asciiTheme="majorBidi" w:hAnsiTheme="majorBidi" w:cstheme="majorBidi"/>
          <w:sz w:val="24"/>
          <w:szCs w:val="24"/>
        </w:rPr>
      </w:pPr>
      <w:r w:rsidRPr="00E84479">
        <w:rPr>
          <w:rFonts w:asciiTheme="majorBidi" w:hAnsiTheme="majorBidi" w:cstheme="majorBidi"/>
          <w:sz w:val="24"/>
          <w:szCs w:val="24"/>
        </w:rPr>
        <w:t xml:space="preserve">The Evaluation consultant will forward a Final Report of the Evaluation to the Resident Representative, UNDP Saudi Arabia within </w:t>
      </w:r>
      <w:r w:rsidRPr="00E84479">
        <w:rPr>
          <w:rFonts w:asciiTheme="majorBidi" w:hAnsiTheme="majorBidi" w:cstheme="majorBidi"/>
          <w:sz w:val="24"/>
          <w:szCs w:val="24"/>
          <w:u w:val="single"/>
        </w:rPr>
        <w:t>10 days</w:t>
      </w:r>
      <w:r w:rsidRPr="00E84479">
        <w:rPr>
          <w:rFonts w:asciiTheme="majorBidi" w:hAnsiTheme="majorBidi" w:cstheme="majorBidi"/>
          <w:sz w:val="24"/>
          <w:szCs w:val="24"/>
        </w:rPr>
        <w:t xml:space="preserve"> of completion of the evaluation mission.</w:t>
      </w:r>
    </w:p>
    <w:p w14:paraId="33E12FF4" w14:textId="77777777" w:rsidR="00D711D7" w:rsidRPr="00E84479" w:rsidRDefault="00D711D7" w:rsidP="00D711D7">
      <w:pPr>
        <w:pStyle w:val="ListParagraph"/>
        <w:ind w:left="0" w:right="-214"/>
        <w:rPr>
          <w:rFonts w:asciiTheme="majorBidi" w:hAnsiTheme="majorBidi" w:cstheme="majorBidi"/>
          <w:sz w:val="24"/>
          <w:szCs w:val="24"/>
        </w:rPr>
      </w:pPr>
    </w:p>
    <w:p w14:paraId="60F96726" w14:textId="77777777" w:rsidR="00D711D7" w:rsidRPr="00E84479" w:rsidRDefault="00D711D7" w:rsidP="00F82BDC">
      <w:pPr>
        <w:pStyle w:val="ListParagraph"/>
        <w:numPr>
          <w:ilvl w:val="0"/>
          <w:numId w:val="8"/>
        </w:numPr>
        <w:tabs>
          <w:tab w:val="left" w:pos="837"/>
        </w:tabs>
        <w:ind w:left="0" w:right="-214"/>
        <w:rPr>
          <w:rFonts w:asciiTheme="majorBidi" w:hAnsiTheme="majorBidi" w:cstheme="majorBidi"/>
          <w:b/>
          <w:bCs/>
          <w:sz w:val="24"/>
          <w:szCs w:val="24"/>
          <w:u w:val="single"/>
        </w:rPr>
      </w:pPr>
      <w:r w:rsidRPr="00E84479">
        <w:rPr>
          <w:rFonts w:asciiTheme="majorBidi" w:hAnsiTheme="majorBidi" w:cstheme="majorBidi"/>
          <w:b/>
          <w:bCs/>
          <w:sz w:val="24"/>
          <w:szCs w:val="24"/>
          <w:u w:val="single"/>
        </w:rPr>
        <w:t>DOCUMENTS TO BE INCLUDED WHEN SUBMITTING THE PROPOSALS</w:t>
      </w:r>
    </w:p>
    <w:p w14:paraId="5AF70FE5" w14:textId="77777777" w:rsidR="00D711D7" w:rsidRPr="00E84479" w:rsidRDefault="00D711D7" w:rsidP="00D711D7">
      <w:pPr>
        <w:ind w:right="-214"/>
        <w:rPr>
          <w:rFonts w:asciiTheme="majorBidi" w:hAnsiTheme="majorBidi" w:cstheme="majorBidi"/>
          <w:sz w:val="24"/>
          <w:szCs w:val="24"/>
        </w:rPr>
      </w:pPr>
      <w:r w:rsidRPr="00E84479">
        <w:rPr>
          <w:rFonts w:asciiTheme="majorBidi" w:hAnsiTheme="majorBidi" w:cstheme="majorBidi"/>
          <w:sz w:val="24"/>
          <w:szCs w:val="24"/>
        </w:rPr>
        <w:t>Interested individual consultants must submit the following documents/information to demonstrate their qualifications:</w:t>
      </w:r>
    </w:p>
    <w:p w14:paraId="53299E08" w14:textId="77777777" w:rsidR="00D711D7" w:rsidRPr="00E84479" w:rsidRDefault="00D711D7" w:rsidP="00D711D7">
      <w:pPr>
        <w:ind w:right="-214" w:firstLine="720"/>
        <w:rPr>
          <w:rFonts w:asciiTheme="majorBidi" w:hAnsiTheme="majorBidi" w:cstheme="majorBidi"/>
          <w:b/>
          <w:bCs/>
          <w:sz w:val="24"/>
          <w:szCs w:val="24"/>
          <w:u w:val="single"/>
        </w:rPr>
      </w:pPr>
      <w:r w:rsidRPr="00E84479">
        <w:rPr>
          <w:rFonts w:asciiTheme="majorBidi" w:hAnsiTheme="majorBidi" w:cstheme="majorBidi"/>
          <w:b/>
          <w:bCs/>
          <w:sz w:val="24"/>
          <w:szCs w:val="24"/>
        </w:rPr>
        <w:t xml:space="preserve">1. </w:t>
      </w:r>
      <w:r w:rsidRPr="00E84479">
        <w:rPr>
          <w:rFonts w:asciiTheme="majorBidi" w:hAnsiTheme="majorBidi" w:cstheme="majorBidi"/>
          <w:b/>
          <w:bCs/>
          <w:sz w:val="24"/>
          <w:szCs w:val="24"/>
          <w:u w:val="single"/>
        </w:rPr>
        <w:t>Proposal:</w:t>
      </w:r>
    </w:p>
    <w:p w14:paraId="7EA06A93" w14:textId="77777777" w:rsidR="00D711D7" w:rsidRPr="00E84479" w:rsidRDefault="00D711D7" w:rsidP="00D711D7">
      <w:pPr>
        <w:ind w:right="-214" w:firstLine="720"/>
        <w:rPr>
          <w:rFonts w:asciiTheme="majorBidi" w:hAnsiTheme="majorBidi" w:cstheme="majorBidi"/>
          <w:sz w:val="24"/>
          <w:szCs w:val="24"/>
        </w:rPr>
      </w:pPr>
      <w:r w:rsidRPr="00E84479">
        <w:rPr>
          <w:rFonts w:asciiTheme="majorBidi" w:hAnsiTheme="majorBidi" w:cstheme="majorBidi"/>
          <w:sz w:val="24"/>
          <w:szCs w:val="24"/>
        </w:rPr>
        <w:t>(i) Explaining why they are the most suitable for the work.</w:t>
      </w:r>
    </w:p>
    <w:p w14:paraId="6B258927" w14:textId="77777777" w:rsidR="00D711D7" w:rsidRPr="00E84479" w:rsidRDefault="00D711D7" w:rsidP="00D711D7">
      <w:pPr>
        <w:ind w:right="-214" w:firstLine="720"/>
        <w:rPr>
          <w:rFonts w:asciiTheme="majorBidi" w:hAnsiTheme="majorBidi" w:cstheme="majorBidi"/>
          <w:sz w:val="24"/>
          <w:szCs w:val="24"/>
        </w:rPr>
      </w:pPr>
      <w:r w:rsidRPr="00E84479">
        <w:rPr>
          <w:rFonts w:asciiTheme="majorBidi" w:hAnsiTheme="majorBidi" w:cstheme="majorBidi"/>
          <w:sz w:val="24"/>
          <w:szCs w:val="24"/>
        </w:rPr>
        <w:t>(ii) Provide a brief methodology on how they will approach and conduct the work.</w:t>
      </w:r>
    </w:p>
    <w:p w14:paraId="1A0B91D5" w14:textId="77777777" w:rsidR="00D711D7" w:rsidRPr="00E84479" w:rsidRDefault="00D711D7" w:rsidP="00F82BDC">
      <w:pPr>
        <w:pStyle w:val="ListParagraph"/>
        <w:numPr>
          <w:ilvl w:val="0"/>
          <w:numId w:val="13"/>
        </w:numPr>
        <w:ind w:left="0" w:right="-214"/>
        <w:rPr>
          <w:rFonts w:asciiTheme="majorBidi" w:hAnsiTheme="majorBidi" w:cstheme="majorBidi"/>
          <w:b/>
          <w:bCs/>
          <w:sz w:val="24"/>
          <w:szCs w:val="24"/>
          <w:u w:val="single"/>
        </w:rPr>
      </w:pPr>
      <w:r w:rsidRPr="00E84479">
        <w:rPr>
          <w:rFonts w:asciiTheme="majorBidi" w:hAnsiTheme="majorBidi" w:cstheme="majorBidi"/>
          <w:b/>
          <w:bCs/>
          <w:sz w:val="24"/>
          <w:szCs w:val="24"/>
          <w:u w:val="single"/>
        </w:rPr>
        <w:t>Financial proposal</w:t>
      </w:r>
    </w:p>
    <w:p w14:paraId="48E66B2D" w14:textId="77777777" w:rsidR="00D711D7" w:rsidRPr="00E84479" w:rsidRDefault="00D711D7" w:rsidP="00F82BDC">
      <w:pPr>
        <w:pStyle w:val="ListParagraph"/>
        <w:numPr>
          <w:ilvl w:val="0"/>
          <w:numId w:val="12"/>
        </w:numPr>
        <w:autoSpaceDE w:val="0"/>
        <w:autoSpaceDN w:val="0"/>
        <w:adjustRightInd w:val="0"/>
        <w:ind w:left="0" w:right="-214"/>
        <w:rPr>
          <w:rFonts w:asciiTheme="majorBidi" w:hAnsiTheme="majorBidi" w:cstheme="majorBidi"/>
          <w:bCs/>
          <w:sz w:val="24"/>
          <w:szCs w:val="24"/>
        </w:rPr>
      </w:pPr>
      <w:r w:rsidRPr="00E84479">
        <w:rPr>
          <w:rFonts w:asciiTheme="majorBidi" w:hAnsiTheme="majorBidi" w:cstheme="majorBidi"/>
          <w:bCs/>
          <w:sz w:val="24"/>
          <w:szCs w:val="24"/>
        </w:rPr>
        <w:t>Lump sum contracts</w:t>
      </w:r>
    </w:p>
    <w:p w14:paraId="4AAA6C2C" w14:textId="77777777" w:rsidR="00D711D7" w:rsidRPr="00E84479" w:rsidRDefault="00D711D7" w:rsidP="00D711D7">
      <w:pPr>
        <w:ind w:right="-214"/>
        <w:jc w:val="both"/>
        <w:rPr>
          <w:rFonts w:asciiTheme="majorBidi" w:hAnsiTheme="majorBidi" w:cstheme="majorBidi"/>
          <w:sz w:val="24"/>
          <w:szCs w:val="24"/>
        </w:rPr>
      </w:pPr>
      <w:r w:rsidRPr="00E84479">
        <w:rPr>
          <w:rFonts w:asciiTheme="majorBidi" w:hAnsiTheme="majorBidi" w:cstheme="majorBidi"/>
          <w:sz w:val="24"/>
          <w:szCs w:val="24"/>
        </w:rPr>
        <w:t xml:space="preserve">The financial proposal shall specify a total lump sum amount, and payment terms around specific and measurable (qualitative and quantitative) deliverables (i.e. whether payments fall in </w:t>
      </w:r>
      <w:r w:rsidR="0024257F" w:rsidRPr="00E84479">
        <w:rPr>
          <w:rFonts w:asciiTheme="majorBidi" w:hAnsiTheme="majorBidi" w:cstheme="majorBidi"/>
          <w:sz w:val="24"/>
          <w:szCs w:val="24"/>
        </w:rPr>
        <w:t>instalments</w:t>
      </w:r>
      <w:r w:rsidRPr="00E84479">
        <w:rPr>
          <w:rFonts w:asciiTheme="majorBidi" w:hAnsiTheme="majorBidi" w:cstheme="majorBidi"/>
          <w:sz w:val="24"/>
          <w:szCs w:val="24"/>
        </w:rPr>
        <w:t xml:space="preserve">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0704B120" w14:textId="77777777" w:rsidR="00D711D7" w:rsidRPr="00E84479" w:rsidRDefault="00D711D7" w:rsidP="00D711D7">
      <w:pPr>
        <w:ind w:right="-214"/>
        <w:jc w:val="both"/>
        <w:rPr>
          <w:rFonts w:asciiTheme="majorBidi" w:hAnsiTheme="majorBidi" w:cstheme="majorBidi"/>
          <w:b/>
          <w:bCs/>
          <w:sz w:val="24"/>
          <w:szCs w:val="24"/>
          <w:u w:val="single"/>
        </w:rPr>
      </w:pPr>
      <w:r w:rsidRPr="00E84479">
        <w:rPr>
          <w:rFonts w:asciiTheme="majorBidi" w:hAnsiTheme="majorBidi" w:cstheme="majorBidi"/>
          <w:b/>
          <w:bCs/>
          <w:sz w:val="24"/>
          <w:szCs w:val="24"/>
        </w:rPr>
        <w:t xml:space="preserve">Travel; </w:t>
      </w:r>
      <w:r w:rsidRPr="00E84479">
        <w:rPr>
          <w:rFonts w:asciiTheme="majorBidi" w:hAnsiTheme="majorBidi" w:cstheme="majorBidi"/>
          <w:sz w:val="24"/>
          <w:szCs w:val="24"/>
        </w:rPr>
        <w:t>All envisaged travel costs must be included</w:t>
      </w:r>
      <w:r w:rsidRPr="00E84479">
        <w:rPr>
          <w:rFonts w:asciiTheme="majorBidi" w:hAnsiTheme="majorBidi" w:cstheme="majorBidi"/>
          <w:sz w:val="24"/>
          <w:szCs w:val="24"/>
          <w:u w:val="single"/>
        </w:rPr>
        <w:t xml:space="preserve"> in the financial proposal</w:t>
      </w:r>
      <w:r w:rsidRPr="00E84479">
        <w:rPr>
          <w:rFonts w:asciiTheme="majorBidi" w:hAnsiTheme="majorBidi" w:cstheme="majorBidi"/>
          <w:sz w:val="24"/>
          <w:szCs w:val="24"/>
        </w:rPr>
        <w:t>. (Travel within Saudi Arabia).</w:t>
      </w:r>
    </w:p>
    <w:p w14:paraId="5A0BC3A2" w14:textId="77777777" w:rsidR="00D711D7" w:rsidRPr="00E84479" w:rsidRDefault="00D711D7" w:rsidP="00F82BDC">
      <w:pPr>
        <w:pStyle w:val="ListParagraph"/>
        <w:numPr>
          <w:ilvl w:val="0"/>
          <w:numId w:val="9"/>
        </w:numPr>
        <w:ind w:left="0" w:right="-214"/>
        <w:rPr>
          <w:rFonts w:asciiTheme="majorBidi" w:hAnsiTheme="majorBidi" w:cstheme="majorBidi"/>
          <w:b/>
          <w:bCs/>
          <w:sz w:val="24"/>
          <w:szCs w:val="24"/>
          <w:u w:val="single"/>
        </w:rPr>
      </w:pPr>
      <w:r w:rsidRPr="00E84479">
        <w:rPr>
          <w:rFonts w:asciiTheme="majorBidi" w:hAnsiTheme="majorBidi" w:cstheme="majorBidi"/>
          <w:b/>
          <w:bCs/>
          <w:sz w:val="24"/>
          <w:szCs w:val="24"/>
          <w:u w:val="single"/>
        </w:rPr>
        <w:t>P11 form and Personal CV including past experience in similar projects and at least 3 references</w:t>
      </w:r>
    </w:p>
    <w:p w14:paraId="105D01BC" w14:textId="77777777" w:rsidR="00D711D7" w:rsidRPr="00E84479" w:rsidRDefault="00D711D7" w:rsidP="00D711D7">
      <w:pPr>
        <w:pStyle w:val="ListParagraph"/>
        <w:ind w:left="0" w:right="-214"/>
        <w:rPr>
          <w:rFonts w:asciiTheme="majorBidi" w:hAnsiTheme="majorBidi" w:cstheme="majorBidi"/>
          <w:b/>
          <w:bCs/>
          <w:sz w:val="24"/>
          <w:szCs w:val="24"/>
          <w:u w:val="single"/>
        </w:rPr>
      </w:pPr>
    </w:p>
    <w:p w14:paraId="5B1841A4" w14:textId="77777777" w:rsidR="00D711D7" w:rsidRPr="00E84479" w:rsidRDefault="00D711D7" w:rsidP="00F82BDC">
      <w:pPr>
        <w:pStyle w:val="ListParagraph"/>
        <w:numPr>
          <w:ilvl w:val="0"/>
          <w:numId w:val="8"/>
        </w:numPr>
        <w:tabs>
          <w:tab w:val="left" w:pos="837"/>
        </w:tabs>
        <w:ind w:left="0" w:right="-214"/>
        <w:rPr>
          <w:rFonts w:asciiTheme="majorBidi" w:hAnsiTheme="majorBidi" w:cstheme="majorBidi"/>
          <w:b/>
          <w:bCs/>
          <w:sz w:val="24"/>
          <w:szCs w:val="24"/>
          <w:u w:val="single"/>
        </w:rPr>
      </w:pPr>
      <w:r w:rsidRPr="00E84479">
        <w:rPr>
          <w:rFonts w:asciiTheme="majorBidi" w:hAnsiTheme="majorBidi" w:cstheme="majorBidi"/>
          <w:b/>
          <w:bCs/>
          <w:sz w:val="24"/>
          <w:szCs w:val="24"/>
          <w:u w:val="single"/>
        </w:rPr>
        <w:t xml:space="preserve">PROPOSAL EVALUATION  </w:t>
      </w:r>
    </w:p>
    <w:p w14:paraId="4C9B2132" w14:textId="77777777" w:rsidR="00D711D7" w:rsidRPr="00E84479" w:rsidRDefault="00D711D7" w:rsidP="00D711D7">
      <w:pPr>
        <w:ind w:right="-214" w:firstLine="360"/>
        <w:rPr>
          <w:rFonts w:asciiTheme="majorBidi" w:hAnsiTheme="majorBidi" w:cstheme="majorBidi"/>
          <w:sz w:val="24"/>
          <w:szCs w:val="24"/>
        </w:rPr>
      </w:pPr>
      <w:r w:rsidRPr="00E84479">
        <w:rPr>
          <w:rFonts w:asciiTheme="majorBidi" w:hAnsiTheme="majorBidi" w:cstheme="majorBidi"/>
          <w:sz w:val="24"/>
          <w:szCs w:val="24"/>
        </w:rPr>
        <w:t>Individual consultants will be evaluated based on the following methodologies:</w:t>
      </w:r>
    </w:p>
    <w:p w14:paraId="7655553A" w14:textId="77777777" w:rsidR="00D711D7" w:rsidRPr="00E84479" w:rsidRDefault="00D711D7" w:rsidP="00F82BDC">
      <w:pPr>
        <w:pStyle w:val="ListParagraph"/>
        <w:numPr>
          <w:ilvl w:val="0"/>
          <w:numId w:val="12"/>
        </w:numPr>
        <w:ind w:left="0" w:right="-214"/>
        <w:rPr>
          <w:rFonts w:asciiTheme="majorBidi" w:hAnsiTheme="majorBidi" w:cstheme="majorBidi"/>
          <w:b/>
          <w:bCs/>
          <w:i/>
          <w:sz w:val="24"/>
          <w:szCs w:val="24"/>
          <w:u w:val="thick"/>
        </w:rPr>
      </w:pPr>
      <w:r w:rsidRPr="00E84479">
        <w:rPr>
          <w:rFonts w:asciiTheme="majorBidi" w:hAnsiTheme="majorBidi" w:cstheme="majorBidi"/>
          <w:b/>
          <w:bCs/>
          <w:i/>
          <w:sz w:val="24"/>
          <w:szCs w:val="24"/>
          <w:u w:val="thick"/>
        </w:rPr>
        <w:t>Lowest price and technically compliant offer</w:t>
      </w:r>
    </w:p>
    <w:p w14:paraId="42B378A6" w14:textId="77777777" w:rsidR="00D711D7" w:rsidRPr="00E84479" w:rsidRDefault="00D711D7" w:rsidP="00D711D7">
      <w:pPr>
        <w:ind w:right="-214"/>
        <w:rPr>
          <w:rFonts w:asciiTheme="majorBidi" w:hAnsiTheme="majorBidi" w:cstheme="majorBidi"/>
          <w:iCs/>
          <w:sz w:val="24"/>
          <w:szCs w:val="24"/>
        </w:rPr>
      </w:pPr>
      <w:r w:rsidRPr="00E84479">
        <w:rPr>
          <w:rFonts w:asciiTheme="majorBidi" w:hAnsiTheme="majorBidi" w:cstheme="majorBidi"/>
          <w:iCs/>
          <w:sz w:val="24"/>
          <w:szCs w:val="24"/>
        </w:rPr>
        <w:t>When using this method, the award of a contract should be made to the individual consultant whose offer has been evaluated and determined as both:</w:t>
      </w:r>
    </w:p>
    <w:p w14:paraId="7A284567" w14:textId="77777777" w:rsidR="00D711D7" w:rsidRPr="00E84479" w:rsidRDefault="00D711D7" w:rsidP="00D711D7">
      <w:pPr>
        <w:ind w:right="-214" w:firstLine="360"/>
        <w:rPr>
          <w:rFonts w:asciiTheme="majorBidi" w:hAnsiTheme="majorBidi" w:cstheme="majorBidi"/>
          <w:iCs/>
          <w:sz w:val="24"/>
          <w:szCs w:val="24"/>
        </w:rPr>
      </w:pPr>
      <w:r w:rsidRPr="00E84479">
        <w:rPr>
          <w:rFonts w:asciiTheme="majorBidi" w:hAnsiTheme="majorBidi" w:cstheme="majorBidi"/>
          <w:iCs/>
          <w:sz w:val="24"/>
          <w:szCs w:val="24"/>
        </w:rPr>
        <w:t>a) responsive/compliant/acceptable, and</w:t>
      </w:r>
    </w:p>
    <w:p w14:paraId="75FB7D18" w14:textId="77777777" w:rsidR="00D711D7" w:rsidRPr="00E84479" w:rsidRDefault="00D711D7" w:rsidP="00D711D7">
      <w:pPr>
        <w:ind w:right="-214" w:firstLine="360"/>
        <w:rPr>
          <w:rFonts w:asciiTheme="majorBidi" w:hAnsiTheme="majorBidi" w:cstheme="majorBidi"/>
          <w:iCs/>
          <w:sz w:val="24"/>
          <w:szCs w:val="24"/>
        </w:rPr>
      </w:pPr>
      <w:r w:rsidRPr="00E84479">
        <w:rPr>
          <w:rFonts w:asciiTheme="majorBidi" w:hAnsiTheme="majorBidi" w:cstheme="majorBidi"/>
          <w:iCs/>
          <w:sz w:val="24"/>
          <w:szCs w:val="24"/>
        </w:rPr>
        <w:t>b) offering the lowest price/cost</w:t>
      </w:r>
    </w:p>
    <w:p w14:paraId="4BFB0B83" w14:textId="77777777" w:rsidR="00D711D7" w:rsidRPr="00E84479" w:rsidRDefault="00D711D7" w:rsidP="00D711D7">
      <w:pPr>
        <w:ind w:right="-214"/>
        <w:rPr>
          <w:rFonts w:asciiTheme="majorBidi" w:hAnsiTheme="majorBidi" w:cstheme="majorBidi"/>
          <w:iCs/>
          <w:sz w:val="24"/>
          <w:szCs w:val="24"/>
        </w:rPr>
      </w:pPr>
      <w:r w:rsidRPr="00E84479">
        <w:rPr>
          <w:rFonts w:asciiTheme="majorBidi" w:hAnsiTheme="majorBidi" w:cstheme="majorBidi"/>
          <w:iCs/>
          <w:sz w:val="24"/>
          <w:szCs w:val="24"/>
        </w:rPr>
        <w:t xml:space="preserve">“responsive/compliant/acceptable” can be defined as fully meeting the TOR provided. </w:t>
      </w:r>
    </w:p>
    <w:p w14:paraId="78F57BED" w14:textId="77777777" w:rsidR="00D711D7" w:rsidRPr="00E84479" w:rsidRDefault="00D711D7" w:rsidP="00F82BDC">
      <w:pPr>
        <w:pStyle w:val="ListParagraph"/>
        <w:numPr>
          <w:ilvl w:val="0"/>
          <w:numId w:val="12"/>
        </w:numPr>
        <w:ind w:left="0" w:right="-214"/>
        <w:rPr>
          <w:rFonts w:asciiTheme="majorBidi" w:hAnsiTheme="majorBidi" w:cstheme="majorBidi"/>
          <w:b/>
          <w:bCs/>
          <w:i/>
          <w:sz w:val="24"/>
          <w:szCs w:val="24"/>
          <w:u w:val="thick"/>
        </w:rPr>
      </w:pPr>
      <w:r w:rsidRPr="00E84479">
        <w:rPr>
          <w:rFonts w:asciiTheme="majorBidi" w:hAnsiTheme="majorBidi" w:cstheme="majorBidi"/>
          <w:b/>
          <w:bCs/>
          <w:i/>
          <w:sz w:val="24"/>
          <w:szCs w:val="24"/>
          <w:u w:val="thick"/>
        </w:rPr>
        <w:t xml:space="preserve">Cumulative analysis </w:t>
      </w:r>
    </w:p>
    <w:p w14:paraId="7CA01D0B" w14:textId="77777777" w:rsidR="00D711D7" w:rsidRPr="00E84479" w:rsidRDefault="00D711D7" w:rsidP="00D711D7">
      <w:pPr>
        <w:ind w:right="-214"/>
        <w:rPr>
          <w:rFonts w:asciiTheme="majorBidi" w:hAnsiTheme="majorBidi" w:cstheme="majorBidi"/>
          <w:iCs/>
          <w:sz w:val="24"/>
          <w:szCs w:val="24"/>
        </w:rPr>
      </w:pPr>
      <w:r w:rsidRPr="00E84479">
        <w:rPr>
          <w:rFonts w:asciiTheme="majorBidi" w:hAnsiTheme="majorBidi" w:cstheme="majorBidi"/>
          <w:iCs/>
          <w:sz w:val="24"/>
          <w:szCs w:val="24"/>
        </w:rPr>
        <w:t>When using this weighted scoring method, the award of the contract should be made to the individual consultant whose offer has been evaluated and determined as:</w:t>
      </w:r>
    </w:p>
    <w:p w14:paraId="25872935" w14:textId="77777777" w:rsidR="00D711D7" w:rsidRPr="00E84479" w:rsidRDefault="00D711D7" w:rsidP="00D711D7">
      <w:pPr>
        <w:ind w:right="-214"/>
        <w:rPr>
          <w:rFonts w:asciiTheme="majorBidi" w:hAnsiTheme="majorBidi" w:cstheme="majorBidi"/>
          <w:iCs/>
          <w:sz w:val="24"/>
          <w:szCs w:val="24"/>
        </w:rPr>
      </w:pPr>
      <w:r w:rsidRPr="00E84479">
        <w:rPr>
          <w:rFonts w:asciiTheme="majorBidi" w:hAnsiTheme="majorBidi" w:cstheme="majorBidi"/>
          <w:iCs/>
          <w:sz w:val="24"/>
          <w:szCs w:val="24"/>
        </w:rPr>
        <w:t>a) responsive/compliant/acceptable, and</w:t>
      </w:r>
    </w:p>
    <w:p w14:paraId="4D44939F" w14:textId="77777777" w:rsidR="00D711D7" w:rsidRPr="00E84479" w:rsidRDefault="00D711D7" w:rsidP="00D711D7">
      <w:pPr>
        <w:ind w:right="-214"/>
        <w:rPr>
          <w:rFonts w:asciiTheme="majorBidi" w:hAnsiTheme="majorBidi" w:cstheme="majorBidi"/>
          <w:iCs/>
          <w:sz w:val="24"/>
          <w:szCs w:val="24"/>
        </w:rPr>
      </w:pPr>
      <w:r w:rsidRPr="00E84479">
        <w:rPr>
          <w:rFonts w:asciiTheme="majorBidi" w:hAnsiTheme="majorBidi" w:cstheme="majorBidi"/>
          <w:iCs/>
          <w:sz w:val="24"/>
          <w:szCs w:val="24"/>
        </w:rPr>
        <w:t xml:space="preserve">b) Having received the highest score out of a pre-determined set of weighted technical and financial criteria specific to the solicitation. </w:t>
      </w:r>
    </w:p>
    <w:p w14:paraId="5AE00B88" w14:textId="77777777" w:rsidR="00D711D7" w:rsidRPr="00E84479" w:rsidRDefault="00D711D7" w:rsidP="00F82BDC">
      <w:pPr>
        <w:pStyle w:val="ListParagraph"/>
        <w:numPr>
          <w:ilvl w:val="0"/>
          <w:numId w:val="12"/>
        </w:numPr>
        <w:ind w:left="0" w:right="-214"/>
        <w:rPr>
          <w:rFonts w:asciiTheme="majorBidi" w:hAnsiTheme="majorBidi" w:cstheme="majorBidi"/>
          <w:iCs/>
          <w:sz w:val="24"/>
          <w:szCs w:val="24"/>
        </w:rPr>
      </w:pPr>
      <w:r w:rsidRPr="00E84479">
        <w:rPr>
          <w:rFonts w:asciiTheme="majorBidi" w:hAnsiTheme="majorBidi" w:cstheme="majorBidi"/>
          <w:iCs/>
          <w:sz w:val="24"/>
          <w:szCs w:val="24"/>
        </w:rPr>
        <w:t>Technical Criteria weight; [70%]</w:t>
      </w:r>
    </w:p>
    <w:p w14:paraId="60275944" w14:textId="77777777" w:rsidR="00D711D7" w:rsidRPr="00E84479" w:rsidRDefault="00D711D7" w:rsidP="00F82BDC">
      <w:pPr>
        <w:pStyle w:val="ListParagraph"/>
        <w:numPr>
          <w:ilvl w:val="0"/>
          <w:numId w:val="12"/>
        </w:numPr>
        <w:ind w:left="0" w:right="-214"/>
        <w:rPr>
          <w:rFonts w:asciiTheme="majorBidi" w:hAnsiTheme="majorBidi" w:cstheme="majorBidi"/>
          <w:iCs/>
          <w:sz w:val="24"/>
          <w:szCs w:val="24"/>
        </w:rPr>
      </w:pPr>
      <w:r w:rsidRPr="00E84479">
        <w:rPr>
          <w:rFonts w:asciiTheme="majorBidi" w:hAnsiTheme="majorBidi" w:cstheme="majorBidi"/>
          <w:iCs/>
          <w:sz w:val="24"/>
          <w:szCs w:val="24"/>
        </w:rPr>
        <w:t>Financial Criteria weight; [30%]</w:t>
      </w:r>
    </w:p>
    <w:p w14:paraId="60985F04" w14:textId="77777777" w:rsidR="00D711D7" w:rsidRPr="00E84479" w:rsidRDefault="00D711D7" w:rsidP="00D711D7">
      <w:pPr>
        <w:ind w:right="-214"/>
        <w:jc w:val="both"/>
        <w:rPr>
          <w:rFonts w:asciiTheme="majorBidi" w:hAnsiTheme="majorBidi" w:cstheme="majorBidi"/>
          <w:sz w:val="24"/>
          <w:szCs w:val="24"/>
        </w:rPr>
      </w:pPr>
      <w:r w:rsidRPr="00E84479">
        <w:rPr>
          <w:rFonts w:asciiTheme="majorBidi" w:hAnsiTheme="majorBidi" w:cstheme="majorBidi"/>
          <w:sz w:val="24"/>
          <w:szCs w:val="24"/>
        </w:rPr>
        <w:t>Interested evaluators should send their CVs outlining their background experience and qualifications to:</w:t>
      </w:r>
    </w:p>
    <w:p w14:paraId="50820A13" w14:textId="77777777" w:rsidR="00D711D7" w:rsidRPr="00E84479" w:rsidRDefault="00D711D7" w:rsidP="00D711D7">
      <w:pPr>
        <w:pStyle w:val="ListParagraph"/>
        <w:ind w:left="0" w:right="-214"/>
        <w:rPr>
          <w:rFonts w:asciiTheme="majorBidi" w:hAnsiTheme="majorBidi" w:cstheme="majorBidi"/>
          <w:sz w:val="24"/>
          <w:szCs w:val="24"/>
        </w:rPr>
      </w:pPr>
      <w:r w:rsidRPr="00E84479">
        <w:rPr>
          <w:rFonts w:asciiTheme="majorBidi" w:hAnsiTheme="majorBidi" w:cstheme="majorBidi"/>
          <w:sz w:val="24"/>
          <w:szCs w:val="24"/>
        </w:rPr>
        <w:t>Nafea Hosah</w:t>
      </w:r>
      <w:r w:rsidRPr="00E84479">
        <w:rPr>
          <w:rFonts w:asciiTheme="majorBidi" w:hAnsiTheme="majorBidi" w:cstheme="majorBidi"/>
          <w:color w:val="000000"/>
          <w:sz w:val="24"/>
          <w:szCs w:val="24"/>
          <w:shd w:val="clear" w:color="auto" w:fill="FFFFFF"/>
        </w:rPr>
        <w:t xml:space="preserve"> at </w:t>
      </w:r>
      <w:hyperlink r:id="rId17" w:history="1">
        <w:r w:rsidRPr="00E84479">
          <w:rPr>
            <w:rStyle w:val="Hyperlink"/>
            <w:rFonts w:asciiTheme="majorBidi" w:hAnsiTheme="majorBidi"/>
            <w:sz w:val="24"/>
            <w:szCs w:val="24"/>
            <w:shd w:val="clear" w:color="auto" w:fill="FFFFFF"/>
          </w:rPr>
          <w:t>nafea.hosah@undp.org</w:t>
        </w:r>
      </w:hyperlink>
    </w:p>
    <w:p w14:paraId="27C94AC7" w14:textId="77777777" w:rsidR="00D711D7" w:rsidRPr="00D711D7" w:rsidRDefault="00D711D7" w:rsidP="00D711D7">
      <w:pPr>
        <w:pStyle w:val="ListParagraph"/>
        <w:ind w:left="0" w:right="-214"/>
        <w:rPr>
          <w:rFonts w:asciiTheme="majorBidi" w:hAnsiTheme="majorBidi" w:cstheme="majorBidi"/>
          <w:sz w:val="24"/>
          <w:szCs w:val="24"/>
        </w:rPr>
      </w:pPr>
      <w:r w:rsidRPr="00E84479">
        <w:rPr>
          <w:rFonts w:asciiTheme="majorBidi" w:hAnsiTheme="majorBidi" w:cstheme="majorBidi"/>
          <w:sz w:val="24"/>
          <w:szCs w:val="24"/>
        </w:rPr>
        <w:t xml:space="preserve">Deadline: </w:t>
      </w:r>
      <w:r w:rsidRPr="00D711D7">
        <w:rPr>
          <w:rFonts w:asciiTheme="majorBidi" w:hAnsiTheme="majorBidi" w:cstheme="majorBidi"/>
          <w:bCs/>
          <w:sz w:val="24"/>
          <w:szCs w:val="24"/>
          <w:u w:val="single"/>
        </w:rPr>
        <w:t>Thursday, 13 March 2014</w:t>
      </w:r>
      <w:r w:rsidRPr="00D711D7">
        <w:rPr>
          <w:rFonts w:asciiTheme="majorBidi" w:hAnsiTheme="majorBidi" w:cstheme="majorBidi"/>
          <w:sz w:val="24"/>
          <w:szCs w:val="24"/>
        </w:rPr>
        <w:t xml:space="preserve"> </w:t>
      </w:r>
    </w:p>
    <w:p w14:paraId="70467FE5" w14:textId="77777777" w:rsidR="00D711D7" w:rsidRPr="00CD3316" w:rsidRDefault="00D711D7" w:rsidP="00D711D7">
      <w:pPr>
        <w:ind w:right="-214"/>
        <w:rPr>
          <w:rFonts w:asciiTheme="majorBidi" w:hAnsiTheme="majorBidi" w:cstheme="majorBidi"/>
          <w:bCs/>
          <w:sz w:val="20"/>
          <w:szCs w:val="20"/>
        </w:rPr>
      </w:pPr>
      <w:r w:rsidRPr="00CD3316">
        <w:rPr>
          <w:rFonts w:asciiTheme="majorBidi" w:hAnsiTheme="majorBidi" w:cstheme="majorBidi"/>
          <w:bCs/>
          <w:sz w:val="20"/>
          <w:szCs w:val="20"/>
        </w:rPr>
        <w:t xml:space="preserve">Annex </w:t>
      </w:r>
      <w:r w:rsidR="0024257F" w:rsidRPr="00CD3316">
        <w:rPr>
          <w:rFonts w:asciiTheme="majorBidi" w:hAnsiTheme="majorBidi" w:cstheme="majorBidi"/>
          <w:bCs/>
          <w:sz w:val="20"/>
          <w:szCs w:val="20"/>
        </w:rPr>
        <w:t>1 P11</w:t>
      </w:r>
      <w:r w:rsidRPr="00CD3316">
        <w:rPr>
          <w:rFonts w:asciiTheme="majorBidi" w:hAnsiTheme="majorBidi" w:cstheme="majorBidi"/>
          <w:bCs/>
          <w:sz w:val="20"/>
          <w:szCs w:val="20"/>
        </w:rPr>
        <w:t xml:space="preserve"> for SCs and ICs</w:t>
      </w:r>
    </w:p>
    <w:p w14:paraId="5BA55898" w14:textId="77777777" w:rsidR="00D711D7" w:rsidRPr="00CD3316" w:rsidRDefault="00D711D7" w:rsidP="00D711D7">
      <w:pPr>
        <w:ind w:right="-214"/>
        <w:rPr>
          <w:rFonts w:asciiTheme="majorBidi" w:hAnsiTheme="majorBidi" w:cstheme="majorBidi"/>
          <w:bCs/>
          <w:sz w:val="20"/>
          <w:szCs w:val="20"/>
        </w:rPr>
      </w:pPr>
      <w:r w:rsidRPr="00CD3316">
        <w:rPr>
          <w:rFonts w:asciiTheme="majorBidi" w:hAnsiTheme="majorBidi" w:cstheme="majorBidi"/>
          <w:bCs/>
          <w:sz w:val="20"/>
          <w:szCs w:val="20"/>
        </w:rPr>
        <w:t xml:space="preserve">Annex </w:t>
      </w:r>
      <w:r w:rsidR="0024257F" w:rsidRPr="00CD3316">
        <w:rPr>
          <w:rFonts w:asciiTheme="majorBidi" w:hAnsiTheme="majorBidi" w:cstheme="majorBidi"/>
          <w:bCs/>
          <w:sz w:val="20"/>
          <w:szCs w:val="20"/>
        </w:rPr>
        <w:t>2 Individual</w:t>
      </w:r>
      <w:r w:rsidRPr="00CD3316">
        <w:rPr>
          <w:rFonts w:asciiTheme="majorBidi" w:hAnsiTheme="majorBidi" w:cstheme="majorBidi"/>
          <w:bCs/>
          <w:sz w:val="20"/>
          <w:szCs w:val="20"/>
        </w:rPr>
        <w:t xml:space="preserve"> Consultant General Terms and Conditions</w:t>
      </w:r>
    </w:p>
    <w:p w14:paraId="7144A857" w14:textId="77777777" w:rsidR="00D711D7" w:rsidRPr="00CD3316" w:rsidRDefault="00D711D7" w:rsidP="00D711D7">
      <w:pPr>
        <w:ind w:right="-214"/>
        <w:rPr>
          <w:rFonts w:asciiTheme="majorBidi" w:hAnsiTheme="majorBidi" w:cstheme="majorBidi"/>
          <w:bCs/>
          <w:sz w:val="20"/>
          <w:szCs w:val="20"/>
        </w:rPr>
      </w:pPr>
      <w:r w:rsidRPr="00CD3316">
        <w:rPr>
          <w:rFonts w:asciiTheme="majorBidi" w:hAnsiTheme="majorBidi" w:cstheme="majorBidi"/>
          <w:bCs/>
          <w:sz w:val="20"/>
          <w:szCs w:val="20"/>
        </w:rPr>
        <w:t xml:space="preserve">Annex </w:t>
      </w:r>
      <w:r w:rsidR="0024257F" w:rsidRPr="00CD3316">
        <w:rPr>
          <w:rFonts w:asciiTheme="majorBidi" w:hAnsiTheme="majorBidi" w:cstheme="majorBidi"/>
          <w:bCs/>
          <w:sz w:val="20"/>
          <w:szCs w:val="20"/>
        </w:rPr>
        <w:t>3 Proposal</w:t>
      </w:r>
      <w:r w:rsidRPr="00CD3316">
        <w:rPr>
          <w:rFonts w:asciiTheme="majorBidi" w:hAnsiTheme="majorBidi" w:cstheme="majorBidi"/>
          <w:bCs/>
          <w:sz w:val="20"/>
          <w:szCs w:val="20"/>
        </w:rPr>
        <w:t xml:space="preserve"> Submission Form</w:t>
      </w:r>
    </w:p>
    <w:p w14:paraId="71FB0BBC" w14:textId="77777777" w:rsidR="00620064" w:rsidRDefault="00D711D7" w:rsidP="00D711D7">
      <w:pPr>
        <w:ind w:right="-214"/>
        <w:rPr>
          <w:rFonts w:asciiTheme="majorBidi" w:hAnsiTheme="majorBidi" w:cstheme="majorBidi"/>
          <w:bCs/>
          <w:sz w:val="20"/>
          <w:szCs w:val="20"/>
        </w:rPr>
      </w:pPr>
      <w:r w:rsidRPr="00CD3316">
        <w:rPr>
          <w:rFonts w:asciiTheme="majorBidi" w:hAnsiTheme="majorBidi" w:cstheme="majorBidi"/>
          <w:bCs/>
          <w:sz w:val="20"/>
          <w:szCs w:val="20"/>
        </w:rPr>
        <w:t xml:space="preserve">Annex </w:t>
      </w:r>
      <w:r w:rsidR="0024257F" w:rsidRPr="00CD3316">
        <w:rPr>
          <w:rFonts w:asciiTheme="majorBidi" w:hAnsiTheme="majorBidi" w:cstheme="majorBidi"/>
          <w:bCs/>
          <w:sz w:val="20"/>
          <w:szCs w:val="20"/>
        </w:rPr>
        <w:t>4 Financial</w:t>
      </w:r>
      <w:r w:rsidRPr="00CD3316">
        <w:rPr>
          <w:rFonts w:asciiTheme="majorBidi" w:hAnsiTheme="majorBidi" w:cstheme="majorBidi"/>
          <w:bCs/>
          <w:sz w:val="20"/>
          <w:szCs w:val="20"/>
        </w:rPr>
        <w:t xml:space="preserve"> Proposal</w:t>
      </w:r>
    </w:p>
    <w:p w14:paraId="46FE2E7F" w14:textId="77777777" w:rsidR="00620064" w:rsidRDefault="00620064">
      <w:pPr>
        <w:rPr>
          <w:rFonts w:asciiTheme="majorBidi" w:hAnsiTheme="majorBidi" w:cstheme="majorBidi"/>
          <w:bCs/>
          <w:sz w:val="20"/>
          <w:szCs w:val="20"/>
        </w:rPr>
      </w:pPr>
      <w:r>
        <w:rPr>
          <w:rFonts w:asciiTheme="majorBidi" w:hAnsiTheme="majorBidi" w:cstheme="majorBidi"/>
          <w:bCs/>
          <w:sz w:val="20"/>
          <w:szCs w:val="20"/>
        </w:rPr>
        <w:br w:type="page"/>
      </w:r>
    </w:p>
    <w:p w14:paraId="204A9A13" w14:textId="77777777" w:rsidR="00FB2C95" w:rsidRPr="006A73BC" w:rsidRDefault="00FB2C95" w:rsidP="00FB2C95">
      <w:pPr>
        <w:pStyle w:val="Heading1"/>
      </w:pPr>
      <w:bookmarkStart w:id="58" w:name="_Toc399078787"/>
      <w:r w:rsidRPr="006A73BC">
        <w:t>Annex</w:t>
      </w:r>
      <w:r>
        <w:t xml:space="preserve"> 3.</w:t>
      </w:r>
      <w:r w:rsidRPr="006A73BC">
        <w:t xml:space="preserve"> UNDP </w:t>
      </w:r>
      <w:r w:rsidR="00A1449C" w:rsidRPr="006A73BC">
        <w:t xml:space="preserve">projects </w:t>
      </w:r>
      <w:r w:rsidRPr="006A73BC">
        <w:t>(2011-2016)</w:t>
      </w:r>
      <w:r w:rsidR="00A1449C">
        <w:t xml:space="preserve"> under Outcome 1</w:t>
      </w:r>
      <w:r w:rsidR="005D780C">
        <w:t>, annotated</w:t>
      </w:r>
      <w:bookmarkEnd w:id="58"/>
    </w:p>
    <w:p w14:paraId="69059FDE" w14:textId="77777777" w:rsidR="00FB2C95" w:rsidRPr="00FB2C95" w:rsidRDefault="00FB2C95" w:rsidP="00FB2C95">
      <w:pPr>
        <w:rPr>
          <w:sz w:val="18"/>
        </w:rPr>
      </w:pPr>
    </w:p>
    <w:tbl>
      <w:tblPr>
        <w:tblpPr w:leftFromText="180" w:rightFromText="180" w:vertAnchor="text" w:tblpY="1"/>
        <w:tblOverlap w:val="neve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7"/>
        <w:gridCol w:w="1584"/>
        <w:gridCol w:w="1493"/>
        <w:gridCol w:w="2834"/>
        <w:gridCol w:w="764"/>
      </w:tblGrid>
      <w:tr w:rsidR="00D73241" w:rsidRPr="00FB2C95" w14:paraId="73426AFD" w14:textId="77777777" w:rsidTr="00135391">
        <w:tc>
          <w:tcPr>
            <w:tcW w:w="1337" w:type="pct"/>
            <w:shd w:val="clear" w:color="auto" w:fill="D9D9D9" w:themeFill="background1" w:themeFillShade="D9"/>
          </w:tcPr>
          <w:p w14:paraId="17D3071B" w14:textId="77777777" w:rsidR="00D73241" w:rsidRPr="00FB2C95" w:rsidRDefault="00D73241" w:rsidP="00FB2C95">
            <w:pPr>
              <w:autoSpaceDE w:val="0"/>
              <w:autoSpaceDN w:val="0"/>
              <w:adjustRightInd w:val="0"/>
              <w:spacing w:before="60" w:after="60"/>
              <w:ind w:right="0"/>
              <w:rPr>
                <w:rFonts w:ascii="Arial Narrow" w:hAnsi="Arial Narrow" w:cs="Calibri"/>
                <w:b/>
                <w:sz w:val="18"/>
                <w:szCs w:val="18"/>
              </w:rPr>
            </w:pPr>
            <w:r w:rsidRPr="00FB2C95">
              <w:rPr>
                <w:rFonts w:ascii="Arial Narrow" w:hAnsi="Arial Narrow" w:cs="Calibri"/>
                <w:b/>
                <w:sz w:val="18"/>
                <w:szCs w:val="18"/>
              </w:rPr>
              <w:t>Programme Areas</w:t>
            </w:r>
          </w:p>
        </w:tc>
        <w:tc>
          <w:tcPr>
            <w:tcW w:w="869" w:type="pct"/>
            <w:shd w:val="clear" w:color="auto" w:fill="D9D9D9" w:themeFill="background1" w:themeFillShade="D9"/>
          </w:tcPr>
          <w:p w14:paraId="15C4492A" w14:textId="77777777" w:rsidR="00D73241" w:rsidRPr="00FB2C95" w:rsidRDefault="00D73241" w:rsidP="00FB2C95">
            <w:pPr>
              <w:autoSpaceDE w:val="0"/>
              <w:autoSpaceDN w:val="0"/>
              <w:adjustRightInd w:val="0"/>
              <w:spacing w:before="60" w:after="60"/>
              <w:ind w:right="225"/>
              <w:rPr>
                <w:rFonts w:ascii="Arial Narrow" w:hAnsi="Arial Narrow" w:cs="Calibri"/>
                <w:b/>
                <w:sz w:val="18"/>
                <w:szCs w:val="18"/>
              </w:rPr>
            </w:pPr>
            <w:r w:rsidRPr="00FB2C95">
              <w:rPr>
                <w:rFonts w:ascii="Arial Narrow" w:hAnsi="Arial Narrow" w:cs="Calibri"/>
                <w:b/>
                <w:sz w:val="18"/>
                <w:szCs w:val="18"/>
              </w:rPr>
              <w:t>UNDP Projects in Saudi Arabia</w:t>
            </w:r>
          </w:p>
        </w:tc>
        <w:tc>
          <w:tcPr>
            <w:tcW w:w="819" w:type="pct"/>
            <w:shd w:val="clear" w:color="auto" w:fill="D9D9D9" w:themeFill="background1" w:themeFillShade="D9"/>
          </w:tcPr>
          <w:p w14:paraId="26378622" w14:textId="77777777" w:rsidR="00D73241" w:rsidRPr="00FB2C95" w:rsidRDefault="00D73241" w:rsidP="00FB2C95">
            <w:pPr>
              <w:autoSpaceDE w:val="0"/>
              <w:autoSpaceDN w:val="0"/>
              <w:adjustRightInd w:val="0"/>
              <w:spacing w:before="60" w:after="60"/>
              <w:ind w:right="367"/>
              <w:rPr>
                <w:rFonts w:ascii="Arial Narrow" w:hAnsi="Arial Narrow" w:cs="Calibri"/>
                <w:b/>
                <w:sz w:val="18"/>
                <w:szCs w:val="18"/>
              </w:rPr>
            </w:pPr>
            <w:r w:rsidRPr="00FB2C95">
              <w:rPr>
                <w:rFonts w:ascii="Arial Narrow" w:hAnsi="Arial Narrow" w:cs="Calibri"/>
                <w:b/>
                <w:sz w:val="18"/>
                <w:szCs w:val="18"/>
              </w:rPr>
              <w:t xml:space="preserve">Projected Budget </w:t>
            </w:r>
          </w:p>
          <w:p w14:paraId="3B2190D5" w14:textId="77777777" w:rsidR="00D73241" w:rsidRPr="00FB2C95" w:rsidRDefault="00D73241" w:rsidP="00FB2C95">
            <w:pPr>
              <w:autoSpaceDE w:val="0"/>
              <w:autoSpaceDN w:val="0"/>
              <w:adjustRightInd w:val="0"/>
              <w:spacing w:before="60" w:after="60"/>
              <w:ind w:right="367"/>
              <w:rPr>
                <w:rFonts w:ascii="Arial Narrow" w:hAnsi="Arial Narrow" w:cs="Calibri"/>
                <w:b/>
                <w:sz w:val="18"/>
                <w:szCs w:val="18"/>
              </w:rPr>
            </w:pPr>
            <w:r w:rsidRPr="00FB2C95">
              <w:rPr>
                <w:rFonts w:ascii="Arial Narrow" w:hAnsi="Arial Narrow" w:cs="Calibri"/>
                <w:b/>
                <w:sz w:val="18"/>
                <w:szCs w:val="18"/>
              </w:rPr>
              <w:t>(2011-16)</w:t>
            </w:r>
          </w:p>
        </w:tc>
        <w:tc>
          <w:tcPr>
            <w:tcW w:w="1555" w:type="pct"/>
            <w:shd w:val="clear" w:color="auto" w:fill="D9D9D9" w:themeFill="background1" w:themeFillShade="D9"/>
          </w:tcPr>
          <w:p w14:paraId="11BE03FD" w14:textId="77777777" w:rsidR="00D73241" w:rsidRPr="00FB2C95" w:rsidRDefault="00D73241" w:rsidP="00FB2C95">
            <w:pPr>
              <w:autoSpaceDE w:val="0"/>
              <w:autoSpaceDN w:val="0"/>
              <w:adjustRightInd w:val="0"/>
              <w:spacing w:before="60" w:after="60"/>
              <w:ind w:right="88"/>
              <w:rPr>
                <w:rFonts w:ascii="Arial Narrow" w:hAnsi="Arial Narrow" w:cs="Calibri"/>
                <w:b/>
                <w:sz w:val="18"/>
                <w:szCs w:val="18"/>
              </w:rPr>
            </w:pPr>
            <w:r w:rsidRPr="00FB2C95">
              <w:rPr>
                <w:rFonts w:ascii="Arial Narrow" w:hAnsi="Arial Narrow" w:cs="Calibri"/>
                <w:b/>
                <w:sz w:val="18"/>
                <w:szCs w:val="18"/>
              </w:rPr>
              <w:t>Project Description</w:t>
            </w:r>
          </w:p>
        </w:tc>
        <w:tc>
          <w:tcPr>
            <w:tcW w:w="419" w:type="pct"/>
            <w:shd w:val="clear" w:color="auto" w:fill="D9D9D9" w:themeFill="background1" w:themeFillShade="D9"/>
            <w:vAlign w:val="center"/>
          </w:tcPr>
          <w:p w14:paraId="41ABB4C3" w14:textId="77777777" w:rsidR="00D73241" w:rsidRPr="00D73241" w:rsidRDefault="00D73241" w:rsidP="00D73241">
            <w:pPr>
              <w:autoSpaceDE w:val="0"/>
              <w:autoSpaceDN w:val="0"/>
              <w:adjustRightInd w:val="0"/>
              <w:spacing w:before="60" w:after="60"/>
              <w:ind w:right="88"/>
              <w:jc w:val="center"/>
              <w:rPr>
                <w:rFonts w:ascii="Arial Narrow" w:hAnsi="Arial Narrow" w:cs="Calibri"/>
                <w:sz w:val="26"/>
                <w:szCs w:val="18"/>
              </w:rPr>
            </w:pPr>
            <w:r w:rsidRPr="00D73241">
              <w:rPr>
                <w:rFonts w:ascii="Arial Narrow" w:hAnsi="Arial Narrow" w:cs="Calibri"/>
                <w:sz w:val="26"/>
                <w:szCs w:val="18"/>
              </w:rPr>
              <w:t>*</w:t>
            </w:r>
          </w:p>
        </w:tc>
      </w:tr>
      <w:tr w:rsidR="00D73241" w:rsidRPr="00FB2C95" w14:paraId="7451FFE7" w14:textId="77777777" w:rsidTr="008D4F2E">
        <w:tc>
          <w:tcPr>
            <w:tcW w:w="1337" w:type="pct"/>
            <w:shd w:val="clear" w:color="auto" w:fill="auto"/>
          </w:tcPr>
          <w:p w14:paraId="560F570E" w14:textId="77777777" w:rsidR="00D73241" w:rsidRPr="00FB2C95" w:rsidRDefault="00D73241" w:rsidP="00FB2C95">
            <w:pPr>
              <w:pStyle w:val="ListParagraph"/>
              <w:autoSpaceDE w:val="0"/>
              <w:autoSpaceDN w:val="0"/>
              <w:adjustRightInd w:val="0"/>
              <w:spacing w:before="60" w:after="60"/>
              <w:ind w:left="0"/>
              <w:rPr>
                <w:rFonts w:ascii="Arial Narrow" w:hAnsi="Arial Narrow" w:cs="Calibri"/>
                <w:b/>
                <w:i/>
                <w:sz w:val="18"/>
                <w:szCs w:val="18"/>
              </w:rPr>
            </w:pPr>
          </w:p>
          <w:p w14:paraId="258BAAB3" w14:textId="77777777" w:rsidR="00D73241" w:rsidRPr="00FB2C95" w:rsidRDefault="00D73241" w:rsidP="00FB2C95">
            <w:pPr>
              <w:pStyle w:val="ListParagraph"/>
              <w:autoSpaceDE w:val="0"/>
              <w:autoSpaceDN w:val="0"/>
              <w:adjustRightInd w:val="0"/>
              <w:spacing w:before="60" w:after="60"/>
              <w:ind w:left="0" w:right="-2"/>
              <w:rPr>
                <w:rFonts w:ascii="Arial Narrow" w:hAnsi="Arial Narrow" w:cs="Calibri"/>
                <w:b/>
                <w:i/>
                <w:sz w:val="18"/>
                <w:szCs w:val="18"/>
              </w:rPr>
            </w:pPr>
            <w:r w:rsidRPr="00FB2C95">
              <w:rPr>
                <w:rFonts w:ascii="Arial Narrow" w:hAnsi="Arial Narrow" w:cs="Calibri"/>
                <w:b/>
                <w:i/>
                <w:sz w:val="18"/>
                <w:szCs w:val="18"/>
              </w:rPr>
              <w:t>1: Social Empowerment with Focus on Youth</w:t>
            </w:r>
          </w:p>
          <w:p w14:paraId="7A205D1B" w14:textId="77777777" w:rsidR="00D73241" w:rsidRPr="00FB2C95" w:rsidRDefault="00D73241" w:rsidP="00FB2C95">
            <w:pPr>
              <w:pStyle w:val="ListParagraph"/>
              <w:autoSpaceDE w:val="0"/>
              <w:autoSpaceDN w:val="0"/>
              <w:adjustRightInd w:val="0"/>
              <w:spacing w:before="60" w:after="60"/>
              <w:ind w:left="360"/>
              <w:rPr>
                <w:rFonts w:ascii="Arial Narrow" w:hAnsi="Arial Narrow" w:cs="Calibri"/>
                <w:b/>
                <w:sz w:val="18"/>
                <w:szCs w:val="18"/>
              </w:rPr>
            </w:pPr>
          </w:p>
        </w:tc>
        <w:tc>
          <w:tcPr>
            <w:tcW w:w="869" w:type="pct"/>
            <w:shd w:val="clear" w:color="auto" w:fill="auto"/>
          </w:tcPr>
          <w:p w14:paraId="46A0CAF8" w14:textId="77777777" w:rsidR="00D73241" w:rsidRPr="00FB2C95" w:rsidRDefault="00D73241" w:rsidP="00FB2C95">
            <w:pPr>
              <w:autoSpaceDE w:val="0"/>
              <w:autoSpaceDN w:val="0"/>
              <w:adjustRightInd w:val="0"/>
              <w:spacing w:before="60" w:after="60"/>
              <w:ind w:right="225"/>
              <w:rPr>
                <w:rFonts w:ascii="Arial Narrow" w:hAnsi="Arial Narrow" w:cs="Calibri"/>
                <w:sz w:val="18"/>
                <w:szCs w:val="18"/>
              </w:rPr>
            </w:pPr>
          </w:p>
        </w:tc>
        <w:tc>
          <w:tcPr>
            <w:tcW w:w="819" w:type="pct"/>
            <w:shd w:val="clear" w:color="auto" w:fill="auto"/>
          </w:tcPr>
          <w:p w14:paraId="2197772B" w14:textId="77777777" w:rsidR="00D73241" w:rsidRPr="00FB2C95" w:rsidRDefault="00D73241" w:rsidP="00FB2C95">
            <w:pPr>
              <w:pStyle w:val="ListParagraph"/>
              <w:autoSpaceDE w:val="0"/>
              <w:autoSpaceDN w:val="0"/>
              <w:adjustRightInd w:val="0"/>
              <w:spacing w:before="60" w:after="60"/>
              <w:ind w:left="0" w:right="367"/>
              <w:rPr>
                <w:rFonts w:ascii="Arial Narrow" w:hAnsi="Arial Narrow" w:cs="Calibri"/>
                <w:bCs/>
                <w:iCs/>
                <w:sz w:val="18"/>
                <w:szCs w:val="18"/>
              </w:rPr>
            </w:pPr>
          </w:p>
        </w:tc>
        <w:tc>
          <w:tcPr>
            <w:tcW w:w="1555" w:type="pct"/>
          </w:tcPr>
          <w:p w14:paraId="4AC375C0"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p>
        </w:tc>
        <w:tc>
          <w:tcPr>
            <w:tcW w:w="419" w:type="pct"/>
            <w:vAlign w:val="center"/>
          </w:tcPr>
          <w:p w14:paraId="47892B61" w14:textId="77777777" w:rsidR="00D73241" w:rsidRPr="00FB2C95" w:rsidRDefault="00D73241" w:rsidP="00D73241">
            <w:pPr>
              <w:pStyle w:val="ListParagraph"/>
              <w:autoSpaceDE w:val="0"/>
              <w:autoSpaceDN w:val="0"/>
              <w:adjustRightInd w:val="0"/>
              <w:spacing w:before="60" w:after="60"/>
              <w:ind w:left="0" w:right="88"/>
              <w:jc w:val="center"/>
              <w:rPr>
                <w:rFonts w:ascii="Arial Narrow" w:hAnsi="Arial Narrow" w:cs="Calibri"/>
                <w:bCs/>
                <w:iCs/>
                <w:sz w:val="18"/>
                <w:szCs w:val="18"/>
              </w:rPr>
            </w:pPr>
          </w:p>
        </w:tc>
      </w:tr>
      <w:tr w:rsidR="00D73241" w:rsidRPr="00FB2C95" w14:paraId="43336F09" w14:textId="77777777" w:rsidTr="008D4F2E">
        <w:tc>
          <w:tcPr>
            <w:tcW w:w="1337" w:type="pct"/>
            <w:shd w:val="clear" w:color="auto" w:fill="auto"/>
          </w:tcPr>
          <w:p w14:paraId="08D32EB1" w14:textId="77777777" w:rsidR="00D73241" w:rsidRPr="00FB2C95" w:rsidRDefault="00D73241" w:rsidP="00F82BDC">
            <w:pPr>
              <w:pStyle w:val="ListParagraph"/>
              <w:numPr>
                <w:ilvl w:val="0"/>
                <w:numId w:val="7"/>
              </w:numPr>
              <w:autoSpaceDE w:val="0"/>
              <w:autoSpaceDN w:val="0"/>
              <w:adjustRightInd w:val="0"/>
              <w:spacing w:before="60" w:after="60"/>
              <w:ind w:left="360" w:right="0"/>
              <w:contextualSpacing w:val="0"/>
              <w:rPr>
                <w:rFonts w:ascii="Arial Narrow" w:hAnsi="Arial Narrow"/>
                <w:i/>
                <w:sz w:val="18"/>
                <w:szCs w:val="18"/>
              </w:rPr>
            </w:pPr>
            <w:r w:rsidRPr="00FB2C95">
              <w:rPr>
                <w:rFonts w:ascii="Arial Narrow" w:hAnsi="Arial Narrow"/>
                <w:i/>
                <w:sz w:val="18"/>
                <w:szCs w:val="18"/>
              </w:rPr>
              <w:t>Development of Manpower and Youth</w:t>
            </w:r>
          </w:p>
        </w:tc>
        <w:tc>
          <w:tcPr>
            <w:tcW w:w="869" w:type="pct"/>
            <w:shd w:val="clear" w:color="auto" w:fill="auto"/>
          </w:tcPr>
          <w:p w14:paraId="28B2F3D3" w14:textId="77777777" w:rsidR="00D73241" w:rsidRPr="00FB2C95" w:rsidRDefault="00D73241" w:rsidP="00FB2C95">
            <w:pPr>
              <w:autoSpaceDE w:val="0"/>
              <w:autoSpaceDN w:val="0"/>
              <w:adjustRightInd w:val="0"/>
              <w:spacing w:before="60" w:after="60"/>
              <w:ind w:right="225"/>
              <w:rPr>
                <w:rFonts w:ascii="Arial Narrow" w:hAnsi="Arial Narrow" w:cs="Calibri"/>
                <w:sz w:val="18"/>
                <w:szCs w:val="18"/>
              </w:rPr>
            </w:pPr>
            <w:r w:rsidRPr="00FB2C95">
              <w:rPr>
                <w:rFonts w:ascii="Arial Narrow" w:hAnsi="Arial Narrow" w:cs="Calibri"/>
                <w:sz w:val="18"/>
                <w:szCs w:val="18"/>
              </w:rPr>
              <w:t>National Youth Strategy</w:t>
            </w:r>
          </w:p>
        </w:tc>
        <w:tc>
          <w:tcPr>
            <w:tcW w:w="819" w:type="pct"/>
            <w:shd w:val="clear" w:color="auto" w:fill="auto"/>
          </w:tcPr>
          <w:p w14:paraId="7440AFFA" w14:textId="77777777" w:rsidR="00D73241" w:rsidRPr="00FB2C95" w:rsidRDefault="00D73241" w:rsidP="00FB2C95">
            <w:pPr>
              <w:pStyle w:val="ListParagraph"/>
              <w:autoSpaceDE w:val="0"/>
              <w:autoSpaceDN w:val="0"/>
              <w:adjustRightInd w:val="0"/>
              <w:spacing w:before="60" w:after="60"/>
              <w:ind w:left="0" w:right="367"/>
              <w:rPr>
                <w:rFonts w:ascii="Arial Narrow" w:hAnsi="Arial Narrow" w:cs="Calibri"/>
                <w:bCs/>
                <w:iCs/>
                <w:sz w:val="18"/>
                <w:szCs w:val="18"/>
              </w:rPr>
            </w:pPr>
            <w:r w:rsidRPr="008D4F2E">
              <w:rPr>
                <w:rFonts w:ascii="Arial Narrow" w:hAnsi="Arial Narrow" w:cs="Calibri"/>
                <w:bCs/>
                <w:iCs/>
                <w:sz w:val="18"/>
                <w:szCs w:val="18"/>
              </w:rPr>
              <w:t>$1,400,000</w:t>
            </w:r>
          </w:p>
        </w:tc>
        <w:tc>
          <w:tcPr>
            <w:tcW w:w="1555" w:type="pct"/>
          </w:tcPr>
          <w:p w14:paraId="70AC1137"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r w:rsidRPr="00FB2C95">
              <w:rPr>
                <w:rFonts w:ascii="Arial Narrow" w:hAnsi="Arial Narrow" w:cs="Calibri"/>
                <w:bCs/>
                <w:iCs/>
                <w:sz w:val="18"/>
                <w:szCs w:val="18"/>
              </w:rPr>
              <w:t xml:space="preserve">Support to Ministry of Economy and Planning for design of National Youth Strategy in Saudi Arabia </w:t>
            </w:r>
          </w:p>
        </w:tc>
        <w:tc>
          <w:tcPr>
            <w:tcW w:w="419" w:type="pct"/>
            <w:vAlign w:val="center"/>
          </w:tcPr>
          <w:p w14:paraId="141D4D84" w14:textId="77777777" w:rsidR="00D73241" w:rsidRPr="00FB2C95" w:rsidRDefault="00D73241" w:rsidP="00D73241">
            <w:pPr>
              <w:pStyle w:val="ListParagraph"/>
              <w:autoSpaceDE w:val="0"/>
              <w:autoSpaceDN w:val="0"/>
              <w:adjustRightInd w:val="0"/>
              <w:spacing w:before="60" w:after="60"/>
              <w:ind w:left="0" w:right="88"/>
              <w:jc w:val="center"/>
              <w:rPr>
                <w:rFonts w:ascii="Arial Narrow" w:hAnsi="Arial Narrow" w:cs="Calibri"/>
                <w:bCs/>
                <w:iCs/>
                <w:sz w:val="18"/>
                <w:szCs w:val="18"/>
              </w:rPr>
            </w:pPr>
            <w:r>
              <w:rPr>
                <w:rFonts w:ascii="Arial Narrow" w:hAnsi="Arial Narrow" w:cs="Calibri"/>
                <w:bCs/>
                <w:iCs/>
                <w:sz w:val="18"/>
                <w:szCs w:val="18"/>
              </w:rPr>
              <w:t>◄</w:t>
            </w:r>
          </w:p>
        </w:tc>
      </w:tr>
      <w:tr w:rsidR="00A1449C" w:rsidRPr="00FB2C95" w14:paraId="11C2BBDF" w14:textId="77777777" w:rsidTr="008D4F2E">
        <w:tc>
          <w:tcPr>
            <w:tcW w:w="1337" w:type="pct"/>
            <w:shd w:val="clear" w:color="auto" w:fill="auto"/>
          </w:tcPr>
          <w:p w14:paraId="27377AF2" w14:textId="77777777" w:rsidR="00A1449C" w:rsidRPr="00A1449C" w:rsidRDefault="00135391" w:rsidP="00135391">
            <w:pPr>
              <w:autoSpaceDE w:val="0"/>
              <w:autoSpaceDN w:val="0"/>
              <w:adjustRightInd w:val="0"/>
              <w:spacing w:before="60" w:after="60"/>
              <w:ind w:right="0"/>
              <w:rPr>
                <w:rFonts w:ascii="Arial Narrow" w:hAnsi="Arial Narrow"/>
                <w:i/>
                <w:sz w:val="18"/>
                <w:szCs w:val="18"/>
              </w:rPr>
            </w:pPr>
            <w:r>
              <w:rPr>
                <w:rFonts w:ascii="Arial Narrow" w:hAnsi="Arial Narrow"/>
                <w:i/>
                <w:sz w:val="18"/>
                <w:szCs w:val="18"/>
              </w:rPr>
              <w:t xml:space="preserve">* [Not </w:t>
            </w:r>
            <w:r w:rsidRPr="008D4F2E">
              <w:rPr>
                <w:rFonts w:ascii="Arial Narrow" w:hAnsi="Arial Narrow"/>
                <w:i/>
                <w:sz w:val="18"/>
                <w:szCs w:val="18"/>
              </w:rPr>
              <w:t>yet</w:t>
            </w:r>
            <w:r>
              <w:rPr>
                <w:rFonts w:ascii="Arial Narrow" w:hAnsi="Arial Narrow"/>
                <w:i/>
                <w:sz w:val="18"/>
                <w:szCs w:val="18"/>
              </w:rPr>
              <w:t xml:space="preserve"> identified in CPD 2012 – replaces following 2 projects]</w:t>
            </w:r>
          </w:p>
        </w:tc>
        <w:tc>
          <w:tcPr>
            <w:tcW w:w="869" w:type="pct"/>
            <w:shd w:val="clear" w:color="auto" w:fill="auto"/>
          </w:tcPr>
          <w:p w14:paraId="1674651E" w14:textId="77777777" w:rsidR="00A1449C" w:rsidRPr="00135391" w:rsidRDefault="00A1449C" w:rsidP="00A1449C">
            <w:pPr>
              <w:autoSpaceDE w:val="0"/>
              <w:autoSpaceDN w:val="0"/>
              <w:adjustRightInd w:val="0"/>
              <w:spacing w:before="60" w:after="60"/>
              <w:ind w:right="225"/>
              <w:rPr>
                <w:rFonts w:ascii="Arial Narrow" w:hAnsi="Arial Narrow" w:cs="Calibri"/>
                <w:i/>
                <w:sz w:val="18"/>
                <w:szCs w:val="18"/>
              </w:rPr>
            </w:pPr>
            <w:r w:rsidRPr="00135391">
              <w:rPr>
                <w:rFonts w:ascii="Arial Narrow" w:hAnsi="Arial Narrow" w:cs="Calibri"/>
                <w:i/>
                <w:sz w:val="18"/>
                <w:szCs w:val="18"/>
              </w:rPr>
              <w:t>* International youth dialogues</w:t>
            </w:r>
          </w:p>
        </w:tc>
        <w:tc>
          <w:tcPr>
            <w:tcW w:w="819" w:type="pct"/>
            <w:shd w:val="clear" w:color="auto" w:fill="auto"/>
          </w:tcPr>
          <w:p w14:paraId="0A57E327" w14:textId="77777777" w:rsidR="00A1449C" w:rsidRPr="00135391" w:rsidRDefault="00135391" w:rsidP="0024257F">
            <w:pPr>
              <w:pStyle w:val="ListParagraph"/>
              <w:autoSpaceDE w:val="0"/>
              <w:autoSpaceDN w:val="0"/>
              <w:adjustRightInd w:val="0"/>
              <w:spacing w:before="60" w:after="60"/>
              <w:ind w:left="0" w:right="367"/>
              <w:rPr>
                <w:rFonts w:ascii="Arial Narrow" w:hAnsi="Arial Narrow" w:cs="Calibri"/>
                <w:bCs/>
                <w:i/>
                <w:iCs/>
                <w:sz w:val="18"/>
                <w:szCs w:val="18"/>
              </w:rPr>
            </w:pPr>
            <w:r w:rsidRPr="008D4F2E">
              <w:rPr>
                <w:rFonts w:ascii="Arial Narrow" w:hAnsi="Arial Narrow" w:cs="Calibri"/>
                <w:bCs/>
                <w:i/>
                <w:iCs/>
                <w:sz w:val="18"/>
                <w:szCs w:val="18"/>
              </w:rPr>
              <w:t xml:space="preserve">* </w:t>
            </w:r>
            <w:r w:rsidR="00A1449C" w:rsidRPr="008D4F2E">
              <w:rPr>
                <w:rFonts w:ascii="Arial Narrow" w:hAnsi="Arial Narrow" w:cs="Calibri"/>
                <w:bCs/>
                <w:i/>
                <w:iCs/>
                <w:sz w:val="18"/>
                <w:szCs w:val="18"/>
              </w:rPr>
              <w:t>$3,825,000</w:t>
            </w:r>
            <w:r w:rsidR="0024257F">
              <w:rPr>
                <w:rFonts w:ascii="Arial Narrow" w:hAnsi="Arial Narrow" w:cs="Calibri"/>
                <w:bCs/>
                <w:i/>
                <w:iCs/>
                <w:sz w:val="18"/>
                <w:szCs w:val="18"/>
              </w:rPr>
              <w:t xml:space="preserve"> </w:t>
            </w:r>
          </w:p>
        </w:tc>
        <w:tc>
          <w:tcPr>
            <w:tcW w:w="1555" w:type="pct"/>
          </w:tcPr>
          <w:p w14:paraId="68B20BEF" w14:textId="77777777" w:rsidR="00A1449C" w:rsidRPr="00135391" w:rsidRDefault="00135391" w:rsidP="00FB2C95">
            <w:pPr>
              <w:pStyle w:val="ListParagraph"/>
              <w:autoSpaceDE w:val="0"/>
              <w:autoSpaceDN w:val="0"/>
              <w:adjustRightInd w:val="0"/>
              <w:spacing w:before="60" w:after="60"/>
              <w:ind w:left="0" w:right="88"/>
              <w:rPr>
                <w:rFonts w:ascii="Arial Narrow" w:hAnsi="Arial Narrow" w:cs="Calibri"/>
                <w:bCs/>
                <w:i/>
                <w:iCs/>
                <w:sz w:val="18"/>
                <w:szCs w:val="18"/>
              </w:rPr>
            </w:pPr>
            <w:r>
              <w:rPr>
                <w:rFonts w:ascii="Arial Narrow" w:hAnsi="Arial Narrow" w:cs="Calibri"/>
                <w:bCs/>
                <w:i/>
                <w:iCs/>
                <w:sz w:val="18"/>
                <w:szCs w:val="18"/>
              </w:rPr>
              <w:t xml:space="preserve">* </w:t>
            </w:r>
            <w:r w:rsidRPr="00135391">
              <w:rPr>
                <w:rFonts w:ascii="Arial Narrow" w:hAnsi="Arial Narrow" w:cs="Calibri"/>
                <w:bCs/>
                <w:i/>
                <w:iCs/>
                <w:sz w:val="18"/>
                <w:szCs w:val="18"/>
              </w:rPr>
              <w:t>Participation of Saudi youth in international youth forums and enhancement of their leadership skills</w:t>
            </w:r>
          </w:p>
        </w:tc>
        <w:tc>
          <w:tcPr>
            <w:tcW w:w="419" w:type="pct"/>
            <w:vAlign w:val="center"/>
          </w:tcPr>
          <w:p w14:paraId="1180B594" w14:textId="77777777" w:rsidR="00A1449C" w:rsidRDefault="00135391" w:rsidP="00D73241">
            <w:pPr>
              <w:pStyle w:val="ListParagraph"/>
              <w:autoSpaceDE w:val="0"/>
              <w:autoSpaceDN w:val="0"/>
              <w:adjustRightInd w:val="0"/>
              <w:spacing w:before="60" w:after="60"/>
              <w:ind w:left="0" w:right="88"/>
              <w:jc w:val="center"/>
              <w:rPr>
                <w:rFonts w:ascii="Arial Narrow" w:hAnsi="Arial Narrow" w:cs="Calibri"/>
                <w:bCs/>
                <w:iCs/>
                <w:sz w:val="18"/>
                <w:szCs w:val="18"/>
              </w:rPr>
            </w:pPr>
            <w:r>
              <w:rPr>
                <w:rFonts w:ascii="Arial Narrow" w:hAnsi="Arial Narrow" w:cs="Calibri"/>
                <w:bCs/>
                <w:iCs/>
                <w:sz w:val="18"/>
                <w:szCs w:val="18"/>
              </w:rPr>
              <w:t>◄</w:t>
            </w:r>
          </w:p>
        </w:tc>
      </w:tr>
      <w:tr w:rsidR="00D73241" w:rsidRPr="00FB2C95" w14:paraId="2EE24554" w14:textId="77777777" w:rsidTr="00135391">
        <w:tc>
          <w:tcPr>
            <w:tcW w:w="1337" w:type="pct"/>
            <w:vAlign w:val="center"/>
          </w:tcPr>
          <w:p w14:paraId="76AE09F6" w14:textId="77777777" w:rsidR="00D73241" w:rsidRPr="00135391" w:rsidRDefault="00135391" w:rsidP="00135391">
            <w:pPr>
              <w:pStyle w:val="ListParagraph"/>
              <w:autoSpaceDE w:val="0"/>
              <w:autoSpaceDN w:val="0"/>
              <w:adjustRightInd w:val="0"/>
              <w:spacing w:before="60" w:after="60"/>
              <w:ind w:left="0" w:right="-66"/>
              <w:jc w:val="center"/>
              <w:rPr>
                <w:rFonts w:ascii="Arial Narrow" w:hAnsi="Arial Narrow" w:cs="Calibri"/>
                <w:sz w:val="18"/>
                <w:szCs w:val="18"/>
              </w:rPr>
            </w:pPr>
            <w:r w:rsidRPr="00135391">
              <w:rPr>
                <w:rFonts w:ascii="Arial Narrow" w:hAnsi="Arial Narrow" w:cs="Calibri"/>
                <w:sz w:val="18"/>
                <w:szCs w:val="18"/>
              </w:rPr>
              <w:t>‡</w:t>
            </w:r>
          </w:p>
        </w:tc>
        <w:tc>
          <w:tcPr>
            <w:tcW w:w="869" w:type="pct"/>
          </w:tcPr>
          <w:p w14:paraId="0DC12C2A" w14:textId="77777777" w:rsidR="00D73241" w:rsidRPr="00FB2C95" w:rsidRDefault="00D73241" w:rsidP="00FB2C95">
            <w:pPr>
              <w:autoSpaceDE w:val="0"/>
              <w:autoSpaceDN w:val="0"/>
              <w:adjustRightInd w:val="0"/>
              <w:spacing w:before="60" w:after="60"/>
              <w:ind w:right="225"/>
              <w:rPr>
                <w:rFonts w:ascii="Arial Narrow" w:hAnsi="Arial Narrow" w:cs="Calibri"/>
                <w:sz w:val="18"/>
                <w:szCs w:val="18"/>
              </w:rPr>
            </w:pPr>
            <w:r w:rsidRPr="00FB2C95">
              <w:rPr>
                <w:rFonts w:ascii="Arial Narrow" w:hAnsi="Arial Narrow" w:cs="Calibri"/>
                <w:sz w:val="18"/>
                <w:szCs w:val="18"/>
              </w:rPr>
              <w:t>Youth Empowerment</w:t>
            </w:r>
          </w:p>
        </w:tc>
        <w:tc>
          <w:tcPr>
            <w:tcW w:w="819" w:type="pct"/>
          </w:tcPr>
          <w:p w14:paraId="46C7FC3B" w14:textId="77777777" w:rsidR="00D73241" w:rsidRPr="00FB2C95" w:rsidRDefault="0024257F" w:rsidP="00FB2C95">
            <w:pPr>
              <w:pStyle w:val="ListParagraph"/>
              <w:autoSpaceDE w:val="0"/>
              <w:autoSpaceDN w:val="0"/>
              <w:adjustRightInd w:val="0"/>
              <w:spacing w:before="60" w:after="60"/>
              <w:ind w:left="0" w:right="367"/>
              <w:rPr>
                <w:rFonts w:ascii="Arial Narrow" w:hAnsi="Arial Narrow" w:cs="Calibri"/>
                <w:bCs/>
                <w:iCs/>
                <w:sz w:val="18"/>
                <w:szCs w:val="18"/>
              </w:rPr>
            </w:pPr>
            <w:r>
              <w:rPr>
                <w:rFonts w:ascii="Arial Narrow" w:hAnsi="Arial Narrow" w:cs="Calibri"/>
                <w:bCs/>
                <w:iCs/>
                <w:sz w:val="18"/>
                <w:szCs w:val="18"/>
              </w:rPr>
              <w:t>(</w:t>
            </w:r>
            <w:r w:rsidR="00D73241" w:rsidRPr="00FB2C95">
              <w:rPr>
                <w:rFonts w:ascii="Arial Narrow" w:hAnsi="Arial Narrow" w:cs="Calibri"/>
                <w:bCs/>
                <w:iCs/>
                <w:sz w:val="18"/>
                <w:szCs w:val="18"/>
              </w:rPr>
              <w:t>$2,000,000</w:t>
            </w:r>
            <w:r>
              <w:rPr>
                <w:rFonts w:ascii="Arial Narrow" w:hAnsi="Arial Narrow" w:cs="Calibri"/>
                <w:bCs/>
                <w:iCs/>
                <w:sz w:val="18"/>
                <w:szCs w:val="18"/>
              </w:rPr>
              <w:t>)</w:t>
            </w:r>
          </w:p>
        </w:tc>
        <w:tc>
          <w:tcPr>
            <w:tcW w:w="1555" w:type="pct"/>
          </w:tcPr>
          <w:p w14:paraId="01244D63"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r w:rsidRPr="00FB2C95">
              <w:rPr>
                <w:rFonts w:ascii="Arial Narrow" w:hAnsi="Arial Narrow" w:cs="Calibri"/>
                <w:bCs/>
                <w:iCs/>
                <w:sz w:val="18"/>
                <w:szCs w:val="18"/>
              </w:rPr>
              <w:t xml:space="preserve">Support to Al Ghad Youth Forum to support youth training and job placement opportunities in public and private sectors </w:t>
            </w:r>
          </w:p>
        </w:tc>
        <w:tc>
          <w:tcPr>
            <w:tcW w:w="419" w:type="pct"/>
          </w:tcPr>
          <w:p w14:paraId="68B97C4B"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p>
        </w:tc>
      </w:tr>
      <w:tr w:rsidR="00D73241" w:rsidRPr="00FB2C95" w14:paraId="3C0158AB" w14:textId="77777777" w:rsidTr="00135391">
        <w:tc>
          <w:tcPr>
            <w:tcW w:w="1337" w:type="pct"/>
            <w:vAlign w:val="center"/>
          </w:tcPr>
          <w:p w14:paraId="398A8507" w14:textId="77777777" w:rsidR="00D73241" w:rsidRPr="00135391" w:rsidRDefault="00135391" w:rsidP="00135391">
            <w:pPr>
              <w:pStyle w:val="ListParagraph"/>
              <w:autoSpaceDE w:val="0"/>
              <w:autoSpaceDN w:val="0"/>
              <w:adjustRightInd w:val="0"/>
              <w:spacing w:before="60" w:after="60"/>
              <w:ind w:left="0" w:right="-66"/>
              <w:jc w:val="center"/>
              <w:rPr>
                <w:rFonts w:ascii="Arial Narrow" w:hAnsi="Arial Narrow" w:cs="Calibri"/>
                <w:i/>
                <w:sz w:val="18"/>
                <w:szCs w:val="18"/>
              </w:rPr>
            </w:pPr>
            <w:r w:rsidRPr="00135391">
              <w:rPr>
                <w:rFonts w:ascii="Arial Narrow" w:hAnsi="Arial Narrow" w:cs="Calibri"/>
                <w:sz w:val="18"/>
                <w:szCs w:val="18"/>
              </w:rPr>
              <w:t>‡</w:t>
            </w:r>
          </w:p>
        </w:tc>
        <w:tc>
          <w:tcPr>
            <w:tcW w:w="869" w:type="pct"/>
          </w:tcPr>
          <w:p w14:paraId="121E2B66" w14:textId="77777777" w:rsidR="00D73241" w:rsidRPr="00FB2C95" w:rsidRDefault="00D73241" w:rsidP="00FB2C95">
            <w:pPr>
              <w:autoSpaceDE w:val="0"/>
              <w:autoSpaceDN w:val="0"/>
              <w:adjustRightInd w:val="0"/>
              <w:spacing w:before="60" w:after="60"/>
              <w:ind w:right="225"/>
              <w:rPr>
                <w:rFonts w:ascii="Arial Narrow" w:hAnsi="Arial Narrow" w:cs="Calibri"/>
                <w:sz w:val="18"/>
                <w:szCs w:val="18"/>
              </w:rPr>
            </w:pPr>
            <w:r w:rsidRPr="00FB2C95">
              <w:rPr>
                <w:rFonts w:ascii="Arial Narrow" w:hAnsi="Arial Narrow" w:cs="Calibri"/>
                <w:sz w:val="18"/>
                <w:szCs w:val="18"/>
              </w:rPr>
              <w:t>Small &amp; Medium Enterprises</w:t>
            </w:r>
          </w:p>
        </w:tc>
        <w:tc>
          <w:tcPr>
            <w:tcW w:w="819" w:type="pct"/>
          </w:tcPr>
          <w:p w14:paraId="2A7390F8" w14:textId="77777777" w:rsidR="00D73241" w:rsidRPr="00FB2C95" w:rsidRDefault="0024257F" w:rsidP="00FB2C95">
            <w:pPr>
              <w:pStyle w:val="ListParagraph"/>
              <w:autoSpaceDE w:val="0"/>
              <w:autoSpaceDN w:val="0"/>
              <w:adjustRightInd w:val="0"/>
              <w:spacing w:before="60" w:after="60"/>
              <w:ind w:left="0" w:right="367"/>
              <w:rPr>
                <w:rFonts w:ascii="Arial Narrow" w:hAnsi="Arial Narrow" w:cs="Calibri"/>
                <w:bCs/>
                <w:iCs/>
                <w:sz w:val="18"/>
                <w:szCs w:val="18"/>
              </w:rPr>
            </w:pPr>
            <w:r>
              <w:rPr>
                <w:rFonts w:ascii="Arial Narrow" w:hAnsi="Arial Narrow" w:cs="Calibri"/>
                <w:bCs/>
                <w:iCs/>
                <w:sz w:val="18"/>
                <w:szCs w:val="18"/>
              </w:rPr>
              <w:t>(</w:t>
            </w:r>
            <w:r w:rsidR="00D73241" w:rsidRPr="00FB2C95">
              <w:rPr>
                <w:rFonts w:ascii="Arial Narrow" w:hAnsi="Arial Narrow" w:cs="Calibri"/>
                <w:bCs/>
                <w:iCs/>
                <w:sz w:val="18"/>
                <w:szCs w:val="18"/>
              </w:rPr>
              <w:t>$1,000,000</w:t>
            </w:r>
            <w:r>
              <w:rPr>
                <w:rFonts w:ascii="Arial Narrow" w:hAnsi="Arial Narrow" w:cs="Calibri"/>
                <w:bCs/>
                <w:iCs/>
                <w:sz w:val="18"/>
                <w:szCs w:val="18"/>
              </w:rPr>
              <w:t>)</w:t>
            </w:r>
          </w:p>
        </w:tc>
        <w:tc>
          <w:tcPr>
            <w:tcW w:w="1555" w:type="pct"/>
          </w:tcPr>
          <w:p w14:paraId="2E8D3450"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r w:rsidRPr="00FB2C95">
              <w:rPr>
                <w:rFonts w:ascii="Arial Narrow" w:hAnsi="Arial Narrow" w:cs="Calibri"/>
                <w:bCs/>
                <w:iCs/>
                <w:sz w:val="18"/>
                <w:szCs w:val="18"/>
              </w:rPr>
              <w:t xml:space="preserve">Support to Ministry of Labour for development of small and medium sized enterprises </w:t>
            </w:r>
          </w:p>
        </w:tc>
        <w:tc>
          <w:tcPr>
            <w:tcW w:w="419" w:type="pct"/>
          </w:tcPr>
          <w:p w14:paraId="7A1CC011"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p>
        </w:tc>
      </w:tr>
      <w:tr w:rsidR="00D73241" w:rsidRPr="00FB2C95" w14:paraId="205F13D9" w14:textId="77777777" w:rsidTr="00135391">
        <w:tc>
          <w:tcPr>
            <w:tcW w:w="1337" w:type="pct"/>
          </w:tcPr>
          <w:p w14:paraId="1AB361C7" w14:textId="77777777" w:rsidR="00D73241" w:rsidRPr="00FB2C95" w:rsidRDefault="00D73241" w:rsidP="00FB2C95">
            <w:pPr>
              <w:pStyle w:val="ListParagraph"/>
              <w:autoSpaceDE w:val="0"/>
              <w:autoSpaceDN w:val="0"/>
              <w:adjustRightInd w:val="0"/>
              <w:spacing w:before="60" w:after="60"/>
              <w:ind w:left="0"/>
              <w:rPr>
                <w:rFonts w:ascii="Arial Narrow" w:hAnsi="Arial Narrow" w:cs="Calibri"/>
                <w:b/>
                <w:i/>
                <w:sz w:val="18"/>
                <w:szCs w:val="18"/>
              </w:rPr>
            </w:pPr>
          </w:p>
        </w:tc>
        <w:tc>
          <w:tcPr>
            <w:tcW w:w="869" w:type="pct"/>
          </w:tcPr>
          <w:p w14:paraId="6EBAD7F9" w14:textId="77777777" w:rsidR="00D73241" w:rsidRPr="00FB2C95" w:rsidRDefault="00D73241" w:rsidP="00FB2C95">
            <w:pPr>
              <w:autoSpaceDE w:val="0"/>
              <w:autoSpaceDN w:val="0"/>
              <w:adjustRightInd w:val="0"/>
              <w:spacing w:before="60" w:after="60"/>
              <w:ind w:right="225"/>
              <w:rPr>
                <w:rFonts w:ascii="Arial Narrow" w:hAnsi="Arial Narrow" w:cs="Calibri"/>
                <w:sz w:val="18"/>
                <w:szCs w:val="18"/>
              </w:rPr>
            </w:pPr>
          </w:p>
        </w:tc>
        <w:tc>
          <w:tcPr>
            <w:tcW w:w="819" w:type="pct"/>
          </w:tcPr>
          <w:p w14:paraId="10FC4CA4" w14:textId="77777777" w:rsidR="00D73241" w:rsidRPr="00FB2C95" w:rsidRDefault="00D73241" w:rsidP="00FB2C95">
            <w:pPr>
              <w:pStyle w:val="ListParagraph"/>
              <w:autoSpaceDE w:val="0"/>
              <w:autoSpaceDN w:val="0"/>
              <w:adjustRightInd w:val="0"/>
              <w:spacing w:before="60" w:after="60"/>
              <w:ind w:left="0" w:right="367"/>
              <w:rPr>
                <w:rFonts w:ascii="Arial Narrow" w:hAnsi="Arial Narrow" w:cs="Calibri"/>
                <w:bCs/>
                <w:iCs/>
                <w:sz w:val="18"/>
                <w:szCs w:val="18"/>
              </w:rPr>
            </w:pPr>
          </w:p>
        </w:tc>
        <w:tc>
          <w:tcPr>
            <w:tcW w:w="1555" w:type="pct"/>
          </w:tcPr>
          <w:p w14:paraId="3A14F9AF"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p>
        </w:tc>
        <w:tc>
          <w:tcPr>
            <w:tcW w:w="419" w:type="pct"/>
          </w:tcPr>
          <w:p w14:paraId="51BB7AB3"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p>
        </w:tc>
      </w:tr>
      <w:tr w:rsidR="00D73241" w:rsidRPr="00FB2C95" w14:paraId="65C93144" w14:textId="77777777" w:rsidTr="00135391">
        <w:tc>
          <w:tcPr>
            <w:tcW w:w="1337" w:type="pct"/>
          </w:tcPr>
          <w:p w14:paraId="7A89381B" w14:textId="77777777" w:rsidR="00D73241" w:rsidRPr="00FB2C95" w:rsidRDefault="00D73241" w:rsidP="00F82BDC">
            <w:pPr>
              <w:pStyle w:val="ListParagraph"/>
              <w:numPr>
                <w:ilvl w:val="0"/>
                <w:numId w:val="7"/>
              </w:numPr>
              <w:autoSpaceDE w:val="0"/>
              <w:autoSpaceDN w:val="0"/>
              <w:adjustRightInd w:val="0"/>
              <w:spacing w:before="60" w:after="60"/>
              <w:ind w:left="360" w:right="0"/>
              <w:contextualSpacing w:val="0"/>
              <w:rPr>
                <w:rFonts w:ascii="Arial Narrow" w:hAnsi="Arial Narrow"/>
                <w:i/>
                <w:sz w:val="18"/>
                <w:szCs w:val="18"/>
              </w:rPr>
            </w:pPr>
            <w:r w:rsidRPr="00FB2C95">
              <w:rPr>
                <w:rFonts w:ascii="Arial Narrow" w:hAnsi="Arial Narrow"/>
                <w:i/>
                <w:sz w:val="18"/>
                <w:szCs w:val="18"/>
              </w:rPr>
              <w:t xml:space="preserve">Capacities of Charity and Social Institutions </w:t>
            </w:r>
          </w:p>
        </w:tc>
        <w:tc>
          <w:tcPr>
            <w:tcW w:w="869" w:type="pct"/>
          </w:tcPr>
          <w:p w14:paraId="7D3A6090" w14:textId="77777777" w:rsidR="00D73241" w:rsidRPr="00FB2C95" w:rsidRDefault="00D73241" w:rsidP="00FB2C95">
            <w:pPr>
              <w:autoSpaceDE w:val="0"/>
              <w:autoSpaceDN w:val="0"/>
              <w:adjustRightInd w:val="0"/>
              <w:spacing w:before="60" w:after="60"/>
              <w:ind w:right="225"/>
              <w:rPr>
                <w:rFonts w:ascii="Arial Narrow" w:hAnsi="Arial Narrow" w:cs="Calibri"/>
                <w:sz w:val="18"/>
                <w:szCs w:val="18"/>
              </w:rPr>
            </w:pPr>
            <w:r w:rsidRPr="00FB2C95">
              <w:rPr>
                <w:rFonts w:ascii="Arial Narrow" w:hAnsi="Arial Narrow" w:cs="Calibri"/>
                <w:sz w:val="18"/>
                <w:szCs w:val="18"/>
              </w:rPr>
              <w:t xml:space="preserve">Women Empowerment </w:t>
            </w:r>
          </w:p>
        </w:tc>
        <w:tc>
          <w:tcPr>
            <w:tcW w:w="819" w:type="pct"/>
          </w:tcPr>
          <w:p w14:paraId="43975EC9" w14:textId="77777777" w:rsidR="00D73241" w:rsidRPr="00FB2C95" w:rsidRDefault="00D73241" w:rsidP="00FB2C95">
            <w:pPr>
              <w:pStyle w:val="ListParagraph"/>
              <w:autoSpaceDE w:val="0"/>
              <w:autoSpaceDN w:val="0"/>
              <w:adjustRightInd w:val="0"/>
              <w:spacing w:before="60" w:after="60"/>
              <w:ind w:left="0" w:right="367"/>
              <w:rPr>
                <w:rFonts w:ascii="Arial Narrow" w:hAnsi="Arial Narrow" w:cs="Calibri"/>
                <w:bCs/>
                <w:iCs/>
                <w:sz w:val="18"/>
                <w:szCs w:val="18"/>
              </w:rPr>
            </w:pPr>
            <w:r w:rsidRPr="00FB2C95">
              <w:rPr>
                <w:rFonts w:ascii="Arial Narrow" w:hAnsi="Arial Narrow" w:cs="Calibri"/>
                <w:bCs/>
                <w:iCs/>
                <w:sz w:val="18"/>
                <w:szCs w:val="18"/>
              </w:rPr>
              <w:t>$</w:t>
            </w:r>
            <w:r w:rsidRPr="008D4F2E">
              <w:rPr>
                <w:rFonts w:ascii="Arial Narrow" w:hAnsi="Arial Narrow" w:cs="Calibri"/>
                <w:bCs/>
                <w:iCs/>
                <w:sz w:val="18"/>
                <w:szCs w:val="18"/>
              </w:rPr>
              <w:t>300,000</w:t>
            </w:r>
          </w:p>
        </w:tc>
        <w:tc>
          <w:tcPr>
            <w:tcW w:w="1555" w:type="pct"/>
          </w:tcPr>
          <w:p w14:paraId="211C2335"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r w:rsidRPr="00FB2C95">
              <w:rPr>
                <w:rFonts w:ascii="Arial Narrow" w:hAnsi="Arial Narrow" w:cs="Calibri"/>
                <w:bCs/>
                <w:iCs/>
                <w:sz w:val="18"/>
                <w:szCs w:val="18"/>
              </w:rPr>
              <w:t xml:space="preserve">Support to Prince Sultan Development Fund for Women Empowerment for grants to women entrepreneurs </w:t>
            </w:r>
          </w:p>
        </w:tc>
        <w:tc>
          <w:tcPr>
            <w:tcW w:w="419" w:type="pct"/>
          </w:tcPr>
          <w:p w14:paraId="4F7F6818"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r>
              <w:rPr>
                <w:rFonts w:ascii="Arial Narrow" w:hAnsi="Arial Narrow" w:cs="Calibri"/>
                <w:bCs/>
                <w:iCs/>
                <w:sz w:val="18"/>
                <w:szCs w:val="18"/>
              </w:rPr>
              <w:t>◄</w:t>
            </w:r>
          </w:p>
        </w:tc>
      </w:tr>
      <w:tr w:rsidR="00D73241" w:rsidRPr="00FB2C95" w14:paraId="61982D55" w14:textId="77777777" w:rsidTr="00135391">
        <w:tc>
          <w:tcPr>
            <w:tcW w:w="1337" w:type="pct"/>
          </w:tcPr>
          <w:p w14:paraId="7273E1A8" w14:textId="77777777" w:rsidR="00D73241" w:rsidRPr="00FB2C95" w:rsidRDefault="00D73241" w:rsidP="00FB2C95">
            <w:pPr>
              <w:pStyle w:val="ListParagraph"/>
              <w:autoSpaceDE w:val="0"/>
              <w:autoSpaceDN w:val="0"/>
              <w:adjustRightInd w:val="0"/>
              <w:spacing w:before="60" w:after="60"/>
              <w:ind w:left="0"/>
              <w:rPr>
                <w:rFonts w:ascii="Arial Narrow" w:hAnsi="Arial Narrow" w:cs="Calibri"/>
                <w:b/>
                <w:i/>
                <w:sz w:val="18"/>
                <w:szCs w:val="18"/>
              </w:rPr>
            </w:pPr>
          </w:p>
        </w:tc>
        <w:tc>
          <w:tcPr>
            <w:tcW w:w="869" w:type="pct"/>
          </w:tcPr>
          <w:p w14:paraId="62A4CFB5" w14:textId="77777777" w:rsidR="00D73241" w:rsidRPr="00FB2C95" w:rsidRDefault="00D73241" w:rsidP="00FB2C95">
            <w:pPr>
              <w:autoSpaceDE w:val="0"/>
              <w:autoSpaceDN w:val="0"/>
              <w:adjustRightInd w:val="0"/>
              <w:spacing w:before="60" w:after="60"/>
              <w:ind w:right="225"/>
              <w:rPr>
                <w:rFonts w:ascii="Arial Narrow" w:hAnsi="Arial Narrow" w:cs="Calibri"/>
                <w:sz w:val="18"/>
                <w:szCs w:val="18"/>
              </w:rPr>
            </w:pPr>
            <w:r w:rsidRPr="00FB2C95">
              <w:rPr>
                <w:rFonts w:ascii="Arial Narrow" w:hAnsi="Arial Narrow" w:cs="Calibri"/>
                <w:sz w:val="18"/>
                <w:szCs w:val="18"/>
              </w:rPr>
              <w:t>Volunteerism</w:t>
            </w:r>
          </w:p>
        </w:tc>
        <w:tc>
          <w:tcPr>
            <w:tcW w:w="819" w:type="pct"/>
          </w:tcPr>
          <w:p w14:paraId="67C13F53" w14:textId="77777777" w:rsidR="00D73241" w:rsidRPr="008D4F2E" w:rsidRDefault="00D73241" w:rsidP="00FB2C95">
            <w:pPr>
              <w:pStyle w:val="ListParagraph"/>
              <w:autoSpaceDE w:val="0"/>
              <w:autoSpaceDN w:val="0"/>
              <w:adjustRightInd w:val="0"/>
              <w:spacing w:before="60" w:after="60"/>
              <w:ind w:left="0" w:right="367"/>
              <w:rPr>
                <w:rFonts w:ascii="Arial Narrow" w:hAnsi="Arial Narrow" w:cs="Calibri"/>
                <w:bCs/>
                <w:iCs/>
                <w:sz w:val="18"/>
                <w:szCs w:val="18"/>
              </w:rPr>
            </w:pPr>
            <w:r w:rsidRPr="008D4F2E">
              <w:rPr>
                <w:rFonts w:ascii="Arial Narrow" w:hAnsi="Arial Narrow" w:cs="Calibri"/>
                <w:bCs/>
                <w:iCs/>
                <w:sz w:val="18"/>
                <w:szCs w:val="18"/>
              </w:rPr>
              <w:t>$200,000</w:t>
            </w:r>
          </w:p>
        </w:tc>
        <w:tc>
          <w:tcPr>
            <w:tcW w:w="1555" w:type="pct"/>
          </w:tcPr>
          <w:p w14:paraId="7BA7348E" w14:textId="77777777" w:rsidR="00D73241" w:rsidRPr="00955637" w:rsidRDefault="00D73241" w:rsidP="00FB2C95">
            <w:pPr>
              <w:pStyle w:val="ListParagraph"/>
              <w:autoSpaceDE w:val="0"/>
              <w:autoSpaceDN w:val="0"/>
              <w:adjustRightInd w:val="0"/>
              <w:spacing w:before="60" w:after="60"/>
              <w:ind w:left="0" w:right="88"/>
              <w:rPr>
                <w:rFonts w:ascii="Arial Narrow" w:hAnsi="Arial Narrow" w:cs="Calibri"/>
                <w:bCs/>
                <w:i/>
                <w:iCs/>
                <w:sz w:val="18"/>
                <w:szCs w:val="18"/>
              </w:rPr>
            </w:pPr>
            <w:r w:rsidRPr="00FB2C95">
              <w:rPr>
                <w:rFonts w:ascii="Arial Narrow" w:hAnsi="Arial Narrow" w:cs="Calibri"/>
                <w:bCs/>
                <w:iCs/>
                <w:sz w:val="18"/>
                <w:szCs w:val="18"/>
              </w:rPr>
              <w:t>Support to Princess Al Anoud Foundation for volunteerism initiatives</w:t>
            </w:r>
            <w:r>
              <w:rPr>
                <w:rFonts w:ascii="Arial Narrow" w:hAnsi="Arial Narrow" w:cs="Calibri"/>
                <w:bCs/>
                <w:iCs/>
                <w:sz w:val="18"/>
                <w:szCs w:val="18"/>
              </w:rPr>
              <w:t xml:space="preserve"> </w:t>
            </w:r>
            <w:r>
              <w:rPr>
                <w:rFonts w:ascii="Arial Narrow" w:hAnsi="Arial Narrow" w:cs="Calibri"/>
                <w:bCs/>
                <w:i/>
                <w:iCs/>
                <w:sz w:val="18"/>
                <w:szCs w:val="18"/>
              </w:rPr>
              <w:t>[Warif]*</w:t>
            </w:r>
          </w:p>
        </w:tc>
        <w:tc>
          <w:tcPr>
            <w:tcW w:w="419" w:type="pct"/>
          </w:tcPr>
          <w:p w14:paraId="589830E2"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r>
              <w:rPr>
                <w:rFonts w:ascii="Arial Narrow" w:hAnsi="Arial Narrow" w:cs="Calibri"/>
                <w:bCs/>
                <w:iCs/>
                <w:sz w:val="18"/>
                <w:szCs w:val="18"/>
              </w:rPr>
              <w:t>◄</w:t>
            </w:r>
          </w:p>
        </w:tc>
      </w:tr>
      <w:tr w:rsidR="00D73241" w:rsidRPr="00FB2C95" w14:paraId="3E2DCA0D" w14:textId="77777777" w:rsidTr="00135391">
        <w:tc>
          <w:tcPr>
            <w:tcW w:w="1337" w:type="pct"/>
          </w:tcPr>
          <w:p w14:paraId="261010EA" w14:textId="77777777" w:rsidR="00D73241" w:rsidRPr="00FB2C95" w:rsidRDefault="00D73241" w:rsidP="00FB2C95">
            <w:pPr>
              <w:pStyle w:val="ListParagraph"/>
              <w:autoSpaceDE w:val="0"/>
              <w:autoSpaceDN w:val="0"/>
              <w:adjustRightInd w:val="0"/>
              <w:spacing w:before="60" w:after="60"/>
              <w:ind w:left="0"/>
              <w:rPr>
                <w:rFonts w:ascii="Arial Narrow" w:hAnsi="Arial Narrow" w:cs="Calibri"/>
                <w:b/>
                <w:i/>
                <w:sz w:val="18"/>
                <w:szCs w:val="18"/>
              </w:rPr>
            </w:pPr>
          </w:p>
        </w:tc>
        <w:tc>
          <w:tcPr>
            <w:tcW w:w="869" w:type="pct"/>
          </w:tcPr>
          <w:p w14:paraId="51659E39" w14:textId="77777777" w:rsidR="00D73241" w:rsidRPr="00FB2C95" w:rsidRDefault="00D73241" w:rsidP="00FB2C95">
            <w:pPr>
              <w:autoSpaceDE w:val="0"/>
              <w:autoSpaceDN w:val="0"/>
              <w:adjustRightInd w:val="0"/>
              <w:spacing w:before="60" w:after="60"/>
              <w:ind w:right="225"/>
              <w:jc w:val="right"/>
              <w:rPr>
                <w:rFonts w:ascii="Arial Narrow" w:hAnsi="Arial Narrow" w:cs="Calibri"/>
                <w:i/>
                <w:iCs/>
                <w:sz w:val="18"/>
                <w:szCs w:val="18"/>
              </w:rPr>
            </w:pPr>
            <w:r w:rsidRPr="00FB2C95">
              <w:rPr>
                <w:rFonts w:ascii="Arial Narrow" w:hAnsi="Arial Narrow" w:cs="Calibri"/>
                <w:i/>
                <w:iCs/>
                <w:sz w:val="18"/>
                <w:szCs w:val="18"/>
              </w:rPr>
              <w:t xml:space="preserve"> </w:t>
            </w:r>
          </w:p>
        </w:tc>
        <w:tc>
          <w:tcPr>
            <w:tcW w:w="819" w:type="pct"/>
          </w:tcPr>
          <w:p w14:paraId="4273D9E8" w14:textId="77777777" w:rsidR="00D73241" w:rsidRPr="00FB2C95" w:rsidRDefault="00D73241" w:rsidP="00FB2C95">
            <w:pPr>
              <w:pStyle w:val="ListParagraph"/>
              <w:autoSpaceDE w:val="0"/>
              <w:autoSpaceDN w:val="0"/>
              <w:adjustRightInd w:val="0"/>
              <w:spacing w:before="60" w:after="60"/>
              <w:ind w:left="0" w:right="367"/>
              <w:rPr>
                <w:rFonts w:ascii="Arial Narrow" w:hAnsi="Arial Narrow" w:cs="Calibri"/>
                <w:bCs/>
                <w:iCs/>
                <w:sz w:val="18"/>
                <w:szCs w:val="18"/>
              </w:rPr>
            </w:pPr>
          </w:p>
        </w:tc>
        <w:tc>
          <w:tcPr>
            <w:tcW w:w="1555" w:type="pct"/>
          </w:tcPr>
          <w:p w14:paraId="717B7404"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p>
        </w:tc>
        <w:tc>
          <w:tcPr>
            <w:tcW w:w="419" w:type="pct"/>
          </w:tcPr>
          <w:p w14:paraId="281EBC62"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p>
        </w:tc>
      </w:tr>
      <w:tr w:rsidR="00D73241" w:rsidRPr="00FB2C95" w14:paraId="62AF09EF" w14:textId="77777777" w:rsidTr="00135391">
        <w:tc>
          <w:tcPr>
            <w:tcW w:w="1337" w:type="pct"/>
          </w:tcPr>
          <w:p w14:paraId="7DAD3560" w14:textId="77777777" w:rsidR="00D73241" w:rsidRPr="00FB2C95" w:rsidRDefault="00D73241" w:rsidP="00FB2C95">
            <w:pPr>
              <w:pStyle w:val="ListParagraph"/>
              <w:autoSpaceDE w:val="0"/>
              <w:autoSpaceDN w:val="0"/>
              <w:adjustRightInd w:val="0"/>
              <w:spacing w:before="60" w:after="60"/>
              <w:ind w:left="0"/>
              <w:rPr>
                <w:rFonts w:ascii="Arial Narrow" w:hAnsi="Arial Narrow" w:cs="Calibri"/>
                <w:b/>
                <w:i/>
                <w:sz w:val="18"/>
                <w:szCs w:val="18"/>
              </w:rPr>
            </w:pPr>
          </w:p>
        </w:tc>
        <w:tc>
          <w:tcPr>
            <w:tcW w:w="869" w:type="pct"/>
          </w:tcPr>
          <w:p w14:paraId="78E5B036" w14:textId="77777777" w:rsidR="00D73241" w:rsidRPr="00FB2C95" w:rsidRDefault="00D73241" w:rsidP="00FB2C95">
            <w:pPr>
              <w:autoSpaceDE w:val="0"/>
              <w:autoSpaceDN w:val="0"/>
              <w:adjustRightInd w:val="0"/>
              <w:spacing w:before="60" w:after="60"/>
              <w:ind w:right="225"/>
              <w:jc w:val="right"/>
              <w:rPr>
                <w:rFonts w:ascii="Arial Narrow" w:hAnsi="Arial Narrow" w:cs="Calibri"/>
                <w:b/>
                <w:bCs/>
                <w:i/>
                <w:iCs/>
                <w:sz w:val="18"/>
                <w:szCs w:val="18"/>
              </w:rPr>
            </w:pPr>
            <w:r w:rsidRPr="00FB2C95">
              <w:rPr>
                <w:rFonts w:ascii="Arial Narrow" w:hAnsi="Arial Narrow" w:cs="Calibri"/>
                <w:b/>
                <w:bCs/>
                <w:i/>
                <w:iCs/>
                <w:sz w:val="18"/>
                <w:szCs w:val="18"/>
              </w:rPr>
              <w:t>Social Empowerment</w:t>
            </w:r>
          </w:p>
          <w:p w14:paraId="1EA61010" w14:textId="77777777" w:rsidR="00D73241" w:rsidRPr="00FB2C95" w:rsidRDefault="00D73241" w:rsidP="00FB2C95">
            <w:pPr>
              <w:autoSpaceDE w:val="0"/>
              <w:autoSpaceDN w:val="0"/>
              <w:adjustRightInd w:val="0"/>
              <w:spacing w:before="60" w:after="60"/>
              <w:ind w:right="225"/>
              <w:jc w:val="right"/>
              <w:rPr>
                <w:rFonts w:ascii="Arial Narrow" w:hAnsi="Arial Narrow" w:cs="Calibri"/>
                <w:b/>
                <w:bCs/>
                <w:i/>
                <w:iCs/>
                <w:sz w:val="18"/>
                <w:szCs w:val="18"/>
              </w:rPr>
            </w:pPr>
            <w:r w:rsidRPr="00FB2C95">
              <w:rPr>
                <w:rFonts w:ascii="Arial Narrow" w:hAnsi="Arial Narrow" w:cs="Calibri"/>
                <w:b/>
                <w:bCs/>
                <w:i/>
                <w:iCs/>
                <w:sz w:val="18"/>
                <w:szCs w:val="18"/>
              </w:rPr>
              <w:t>Sub-Total</w:t>
            </w:r>
          </w:p>
        </w:tc>
        <w:tc>
          <w:tcPr>
            <w:tcW w:w="819" w:type="pct"/>
          </w:tcPr>
          <w:p w14:paraId="63C306CF" w14:textId="77777777" w:rsidR="00D73241" w:rsidRPr="00FB2C95" w:rsidRDefault="00D73241" w:rsidP="00FB2C95">
            <w:pPr>
              <w:pStyle w:val="ListParagraph"/>
              <w:autoSpaceDE w:val="0"/>
              <w:autoSpaceDN w:val="0"/>
              <w:adjustRightInd w:val="0"/>
              <w:spacing w:before="60" w:after="60"/>
              <w:ind w:left="0" w:right="367"/>
              <w:rPr>
                <w:rFonts w:ascii="Arial Narrow" w:hAnsi="Arial Narrow" w:cs="Calibri"/>
                <w:b/>
                <w:bCs/>
                <w:iCs/>
                <w:sz w:val="18"/>
                <w:szCs w:val="18"/>
              </w:rPr>
            </w:pPr>
            <w:r w:rsidRPr="00FB2C95">
              <w:rPr>
                <w:rFonts w:ascii="Arial Narrow" w:hAnsi="Arial Narrow" w:cs="Calibri"/>
                <w:b/>
                <w:bCs/>
                <w:iCs/>
                <w:sz w:val="18"/>
                <w:szCs w:val="18"/>
              </w:rPr>
              <w:t>$4,000,000</w:t>
            </w:r>
          </w:p>
        </w:tc>
        <w:tc>
          <w:tcPr>
            <w:tcW w:w="1555" w:type="pct"/>
          </w:tcPr>
          <w:p w14:paraId="4BE91A9A"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p>
        </w:tc>
        <w:tc>
          <w:tcPr>
            <w:tcW w:w="419" w:type="pct"/>
          </w:tcPr>
          <w:p w14:paraId="48AE52E5"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p>
        </w:tc>
      </w:tr>
      <w:tr w:rsidR="00D73241" w:rsidRPr="00FB2C95" w14:paraId="46C4E11F" w14:textId="77777777" w:rsidTr="00135391">
        <w:tc>
          <w:tcPr>
            <w:tcW w:w="1337" w:type="pct"/>
          </w:tcPr>
          <w:p w14:paraId="701D017E" w14:textId="77777777" w:rsidR="00D73241" w:rsidRPr="00FB2C95" w:rsidRDefault="00D73241" w:rsidP="00FB2C95">
            <w:pPr>
              <w:pStyle w:val="ListParagraph"/>
              <w:autoSpaceDE w:val="0"/>
              <w:autoSpaceDN w:val="0"/>
              <w:adjustRightInd w:val="0"/>
              <w:spacing w:before="60" w:after="60"/>
              <w:ind w:left="0"/>
              <w:rPr>
                <w:rFonts w:ascii="Arial Narrow" w:hAnsi="Arial Narrow" w:cs="Calibri"/>
                <w:b/>
                <w:i/>
                <w:sz w:val="18"/>
                <w:szCs w:val="18"/>
              </w:rPr>
            </w:pPr>
          </w:p>
        </w:tc>
        <w:tc>
          <w:tcPr>
            <w:tcW w:w="869" w:type="pct"/>
          </w:tcPr>
          <w:p w14:paraId="23CF3FA7" w14:textId="77777777" w:rsidR="00D73241" w:rsidRPr="00FB2C95" w:rsidRDefault="00D73241" w:rsidP="00FB2C95">
            <w:pPr>
              <w:autoSpaceDE w:val="0"/>
              <w:autoSpaceDN w:val="0"/>
              <w:adjustRightInd w:val="0"/>
              <w:spacing w:before="60" w:after="60"/>
              <w:ind w:right="225"/>
              <w:jc w:val="right"/>
              <w:rPr>
                <w:rFonts w:ascii="Arial Narrow" w:hAnsi="Arial Narrow" w:cs="Calibri"/>
                <w:i/>
                <w:iCs/>
                <w:sz w:val="18"/>
                <w:szCs w:val="18"/>
              </w:rPr>
            </w:pPr>
          </w:p>
        </w:tc>
        <w:tc>
          <w:tcPr>
            <w:tcW w:w="819" w:type="pct"/>
          </w:tcPr>
          <w:p w14:paraId="60C9AD54" w14:textId="77777777" w:rsidR="00D73241" w:rsidRPr="00FB2C95" w:rsidRDefault="00D73241" w:rsidP="00FB2C95">
            <w:pPr>
              <w:pStyle w:val="ListParagraph"/>
              <w:autoSpaceDE w:val="0"/>
              <w:autoSpaceDN w:val="0"/>
              <w:adjustRightInd w:val="0"/>
              <w:spacing w:before="60" w:after="60"/>
              <w:ind w:left="0" w:right="367"/>
              <w:rPr>
                <w:rFonts w:ascii="Arial Narrow" w:hAnsi="Arial Narrow" w:cs="Calibri"/>
                <w:bCs/>
                <w:iCs/>
                <w:sz w:val="18"/>
                <w:szCs w:val="18"/>
              </w:rPr>
            </w:pPr>
          </w:p>
        </w:tc>
        <w:tc>
          <w:tcPr>
            <w:tcW w:w="1555" w:type="pct"/>
          </w:tcPr>
          <w:p w14:paraId="340B4A2E"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p>
        </w:tc>
        <w:tc>
          <w:tcPr>
            <w:tcW w:w="419" w:type="pct"/>
          </w:tcPr>
          <w:p w14:paraId="3029984F" w14:textId="77777777" w:rsidR="00D73241" w:rsidRPr="00FB2C95" w:rsidRDefault="00D73241" w:rsidP="00FB2C95">
            <w:pPr>
              <w:pStyle w:val="ListParagraph"/>
              <w:autoSpaceDE w:val="0"/>
              <w:autoSpaceDN w:val="0"/>
              <w:adjustRightInd w:val="0"/>
              <w:spacing w:before="60" w:after="60"/>
              <w:ind w:left="0" w:right="88"/>
              <w:rPr>
                <w:rFonts w:ascii="Arial Narrow" w:hAnsi="Arial Narrow" w:cs="Calibri"/>
                <w:bCs/>
                <w:iCs/>
                <w:sz w:val="18"/>
                <w:szCs w:val="18"/>
              </w:rPr>
            </w:pPr>
          </w:p>
        </w:tc>
      </w:tr>
    </w:tbl>
    <w:p w14:paraId="09FD349D" w14:textId="77777777" w:rsidR="00D73241" w:rsidRDefault="00D73241" w:rsidP="00D73241">
      <w:pPr>
        <w:contextualSpacing/>
        <w:rPr>
          <w:sz w:val="18"/>
          <w:szCs w:val="18"/>
        </w:rPr>
      </w:pPr>
      <w:r w:rsidRPr="00FB2C95">
        <w:rPr>
          <w:sz w:val="18"/>
        </w:rPr>
        <w:t>Source:  UNDP 2012</w:t>
      </w:r>
    </w:p>
    <w:p w14:paraId="51D8100D" w14:textId="77777777" w:rsidR="00D73241" w:rsidRDefault="00D73241" w:rsidP="00D73241">
      <w:pPr>
        <w:contextualSpacing/>
        <w:rPr>
          <w:sz w:val="18"/>
          <w:szCs w:val="18"/>
        </w:rPr>
      </w:pPr>
      <w:r w:rsidRPr="00D73241">
        <w:rPr>
          <w:b/>
          <w:szCs w:val="18"/>
        </w:rPr>
        <w:t xml:space="preserve">* </w:t>
      </w:r>
      <w:r>
        <w:rPr>
          <w:sz w:val="18"/>
          <w:szCs w:val="18"/>
        </w:rPr>
        <w:t xml:space="preserve">     </w:t>
      </w:r>
      <w:r w:rsidRPr="00D73241">
        <w:rPr>
          <w:sz w:val="18"/>
          <w:szCs w:val="18"/>
        </w:rPr>
        <w:t xml:space="preserve">Author’s </w:t>
      </w:r>
      <w:r w:rsidR="00135391">
        <w:rPr>
          <w:sz w:val="18"/>
          <w:szCs w:val="18"/>
        </w:rPr>
        <w:t>insert</w:t>
      </w:r>
    </w:p>
    <w:p w14:paraId="68EC9238" w14:textId="77777777" w:rsidR="00135391" w:rsidRPr="00135391" w:rsidRDefault="00135391" w:rsidP="00D73241">
      <w:pPr>
        <w:contextualSpacing/>
        <w:rPr>
          <w:sz w:val="18"/>
          <w:szCs w:val="18"/>
        </w:rPr>
      </w:pPr>
      <w:r w:rsidRPr="00135391">
        <w:rPr>
          <w:rFonts w:cs="Calibri"/>
          <w:sz w:val="18"/>
          <w:szCs w:val="18"/>
        </w:rPr>
        <w:t>‡      Author’s notation</w:t>
      </w:r>
    </w:p>
    <w:p w14:paraId="56B263D5" w14:textId="77777777" w:rsidR="00FB2C95" w:rsidRDefault="00D73241" w:rsidP="00D73241">
      <w:pPr>
        <w:contextualSpacing/>
      </w:pPr>
      <w:r w:rsidRPr="00D73241">
        <w:rPr>
          <w:rFonts w:ascii="Times New Roman" w:hAnsi="Times New Roman" w:cs="Times New Roman"/>
          <w:bCs/>
          <w:iCs/>
          <w:sz w:val="18"/>
          <w:szCs w:val="18"/>
        </w:rPr>
        <w:t>◄</w:t>
      </w:r>
      <w:r w:rsidRPr="00D73241">
        <w:rPr>
          <w:rFonts w:cs="Calibri"/>
          <w:bCs/>
          <w:iCs/>
          <w:sz w:val="18"/>
          <w:szCs w:val="18"/>
        </w:rPr>
        <w:t>:  Project reviewed by Outcome Evaluation Mission</w:t>
      </w:r>
      <w:r w:rsidR="00FB2C95">
        <w:br w:type="page"/>
      </w:r>
    </w:p>
    <w:p w14:paraId="14ACB507" w14:textId="77777777" w:rsidR="0005305E" w:rsidRDefault="009E67CD" w:rsidP="00794230">
      <w:pPr>
        <w:pStyle w:val="Heading1"/>
      </w:pPr>
      <w:bookmarkStart w:id="59" w:name="_Toc399078788"/>
      <w:r>
        <w:t xml:space="preserve">Annex 4. </w:t>
      </w:r>
      <w:r w:rsidR="0005305E">
        <w:t>Persons met</w:t>
      </w:r>
      <w:r w:rsidR="008E30B6">
        <w:t>, selected key informants</w:t>
      </w:r>
      <w:bookmarkEnd w:id="59"/>
      <w:r w:rsidR="0005305E">
        <w:t xml:space="preserve"> </w:t>
      </w:r>
    </w:p>
    <w:p w14:paraId="40A98E6E" w14:textId="77777777" w:rsidR="007E2879" w:rsidRPr="007E2879" w:rsidRDefault="007E2879" w:rsidP="007E2879"/>
    <w:tbl>
      <w:tblPr>
        <w:tblStyle w:val="LightShading-Accent11"/>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5"/>
        <w:gridCol w:w="1657"/>
        <w:gridCol w:w="4531"/>
      </w:tblGrid>
      <w:tr w:rsidR="006F7CA7" w:rsidRPr="007E2879" w14:paraId="5B363DD4" w14:textId="77777777" w:rsidTr="009A59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5" w:type="dxa"/>
            <w:tcBorders>
              <w:top w:val="none" w:sz="0" w:space="0" w:color="auto"/>
              <w:left w:val="none" w:sz="0" w:space="0" w:color="auto"/>
              <w:bottom w:val="none" w:sz="0" w:space="0" w:color="auto"/>
              <w:right w:val="none" w:sz="0" w:space="0" w:color="auto"/>
            </w:tcBorders>
            <w:shd w:val="clear" w:color="auto" w:fill="auto"/>
          </w:tcPr>
          <w:p w14:paraId="43C9F757" w14:textId="77777777" w:rsidR="006F7CA7" w:rsidRPr="007E2879" w:rsidRDefault="006F7CA7" w:rsidP="00CE24BA">
            <w:pPr>
              <w:jc w:val="center"/>
            </w:pPr>
          </w:p>
        </w:tc>
        <w:tc>
          <w:tcPr>
            <w:tcW w:w="1657" w:type="dxa"/>
            <w:tcBorders>
              <w:top w:val="none" w:sz="0" w:space="0" w:color="auto"/>
              <w:left w:val="none" w:sz="0" w:space="0" w:color="auto"/>
              <w:bottom w:val="none" w:sz="0" w:space="0" w:color="auto"/>
              <w:right w:val="none" w:sz="0" w:space="0" w:color="auto"/>
            </w:tcBorders>
            <w:shd w:val="clear" w:color="auto" w:fill="auto"/>
          </w:tcPr>
          <w:p w14:paraId="3622953B" w14:textId="77777777" w:rsidR="006F7CA7" w:rsidRPr="007E2879" w:rsidRDefault="006F7CA7" w:rsidP="009A5945">
            <w:pPr>
              <w:ind w:right="-108"/>
              <w:jc w:val="center"/>
              <w:cnfStyle w:val="100000000000" w:firstRow="1" w:lastRow="0" w:firstColumn="0" w:lastColumn="0" w:oddVBand="0" w:evenVBand="0" w:oddHBand="0" w:evenHBand="0" w:firstRowFirstColumn="0" w:firstRowLastColumn="0" w:lastRowFirstColumn="0" w:lastRowLastColumn="0"/>
            </w:pPr>
            <w:r w:rsidRPr="007E2879">
              <w:t>Institution</w:t>
            </w:r>
          </w:p>
        </w:tc>
        <w:tc>
          <w:tcPr>
            <w:tcW w:w="4531" w:type="dxa"/>
            <w:tcBorders>
              <w:top w:val="none" w:sz="0" w:space="0" w:color="auto"/>
              <w:left w:val="none" w:sz="0" w:space="0" w:color="auto"/>
              <w:bottom w:val="none" w:sz="0" w:space="0" w:color="auto"/>
              <w:right w:val="none" w:sz="0" w:space="0" w:color="auto"/>
            </w:tcBorders>
            <w:shd w:val="clear" w:color="auto" w:fill="auto"/>
          </w:tcPr>
          <w:p w14:paraId="67C3BCFE" w14:textId="77777777" w:rsidR="006F7CA7" w:rsidRPr="007E2879" w:rsidRDefault="006F7CA7" w:rsidP="00695AAC">
            <w:pPr>
              <w:spacing w:before="60" w:after="60"/>
              <w:jc w:val="center"/>
              <w:cnfStyle w:val="100000000000" w:firstRow="1" w:lastRow="0" w:firstColumn="0" w:lastColumn="0" w:oddVBand="0" w:evenVBand="0" w:oddHBand="0" w:evenHBand="0" w:firstRowFirstColumn="0" w:firstRowLastColumn="0" w:lastRowFirstColumn="0" w:lastRowLastColumn="0"/>
            </w:pPr>
            <w:r w:rsidRPr="007E2879">
              <w:t>Persons met</w:t>
            </w:r>
          </w:p>
        </w:tc>
      </w:tr>
      <w:tr w:rsidR="0077690D" w:rsidRPr="009A5945" w14:paraId="33263DF4" w14:textId="77777777" w:rsidTr="00E20B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5" w:type="dxa"/>
            <w:tcBorders>
              <w:left w:val="none" w:sz="0" w:space="0" w:color="auto"/>
              <w:bottom w:val="single" w:sz="4" w:space="0" w:color="auto"/>
              <w:right w:val="none" w:sz="0" w:space="0" w:color="auto"/>
            </w:tcBorders>
            <w:shd w:val="clear" w:color="auto" w:fill="auto"/>
            <w:vAlign w:val="center"/>
          </w:tcPr>
          <w:p w14:paraId="4AEEDAE3" w14:textId="77777777" w:rsidR="0077690D" w:rsidRPr="00DA7619" w:rsidRDefault="0077690D" w:rsidP="008B25CB">
            <w:pPr>
              <w:jc w:val="center"/>
              <w:rPr>
                <w:b w:val="0"/>
                <w:color w:val="auto"/>
              </w:rPr>
            </w:pPr>
            <w:r w:rsidRPr="00DA7619">
              <w:rPr>
                <w:b w:val="0"/>
                <w:color w:val="auto"/>
              </w:rPr>
              <w:t>Mission hosted by:</w:t>
            </w:r>
          </w:p>
        </w:tc>
        <w:tc>
          <w:tcPr>
            <w:tcW w:w="1657" w:type="dxa"/>
            <w:tcBorders>
              <w:left w:val="none" w:sz="0" w:space="0" w:color="auto"/>
              <w:bottom w:val="single" w:sz="4" w:space="0" w:color="auto"/>
              <w:right w:val="none" w:sz="0" w:space="0" w:color="auto"/>
            </w:tcBorders>
            <w:shd w:val="clear" w:color="auto" w:fill="auto"/>
            <w:vAlign w:val="center"/>
          </w:tcPr>
          <w:p w14:paraId="48500D62" w14:textId="77777777" w:rsidR="0077690D" w:rsidRPr="00DA7619" w:rsidRDefault="0077690D" w:rsidP="00C50588">
            <w:pPr>
              <w:ind w:right="39"/>
              <w:jc w:val="center"/>
              <w:cnfStyle w:val="000000100000" w:firstRow="0" w:lastRow="0" w:firstColumn="0" w:lastColumn="0" w:oddVBand="0" w:evenVBand="0" w:oddHBand="1" w:evenHBand="0" w:firstRowFirstColumn="0" w:firstRowLastColumn="0" w:lastRowFirstColumn="0" w:lastRowLastColumn="0"/>
              <w:rPr>
                <w:color w:val="auto"/>
              </w:rPr>
            </w:pPr>
            <w:r w:rsidRPr="00DA7619">
              <w:rPr>
                <w:color w:val="auto"/>
              </w:rPr>
              <w:t>UNDP</w:t>
            </w:r>
          </w:p>
        </w:tc>
        <w:tc>
          <w:tcPr>
            <w:tcW w:w="4531" w:type="dxa"/>
            <w:tcBorders>
              <w:left w:val="none" w:sz="0" w:space="0" w:color="auto"/>
              <w:bottom w:val="single" w:sz="4" w:space="0" w:color="auto"/>
              <w:right w:val="none" w:sz="0" w:space="0" w:color="auto"/>
            </w:tcBorders>
            <w:shd w:val="clear" w:color="auto" w:fill="auto"/>
          </w:tcPr>
          <w:p w14:paraId="1C32CE62" w14:textId="77777777" w:rsidR="0077690D" w:rsidRDefault="00695AAC" w:rsidP="00695AAC">
            <w:pPr>
              <w:spacing w:before="60" w:after="60"/>
              <w:ind w:right="0"/>
              <w:cnfStyle w:val="000000100000" w:firstRow="0" w:lastRow="0" w:firstColumn="0" w:lastColumn="0" w:oddVBand="0" w:evenVBand="0" w:oddHBand="1" w:evenHBand="0" w:firstRowFirstColumn="0" w:firstRowLastColumn="0" w:lastRowFirstColumn="0" w:lastRowLastColumn="0"/>
              <w:rPr>
                <w:i/>
                <w:color w:val="auto"/>
              </w:rPr>
            </w:pPr>
            <w:r w:rsidRPr="00695AAC">
              <w:rPr>
                <w:b/>
                <w:color w:val="auto"/>
              </w:rPr>
              <w:t>Firas Gharaibeh</w:t>
            </w:r>
            <w:r w:rsidRPr="00695AAC">
              <w:rPr>
                <w:color w:val="auto"/>
              </w:rPr>
              <w:t>,</w:t>
            </w:r>
            <w:r w:rsidRPr="00DA7619">
              <w:rPr>
                <w:i/>
                <w:color w:val="auto"/>
              </w:rPr>
              <w:t xml:space="preserve"> </w:t>
            </w:r>
            <w:r w:rsidR="0077690D" w:rsidRPr="00DA7619">
              <w:rPr>
                <w:i/>
                <w:color w:val="auto"/>
              </w:rPr>
              <w:t xml:space="preserve">Deputy Resident Representative </w:t>
            </w:r>
          </w:p>
          <w:p w14:paraId="5E8030FC" w14:textId="77777777" w:rsidR="00C50588" w:rsidRDefault="0077690D" w:rsidP="00695AAC">
            <w:pPr>
              <w:spacing w:before="60" w:after="60"/>
              <w:ind w:right="0"/>
              <w:cnfStyle w:val="000000100000" w:firstRow="0" w:lastRow="0" w:firstColumn="0" w:lastColumn="0" w:oddVBand="0" w:evenVBand="0" w:oddHBand="1" w:evenHBand="0" w:firstRowFirstColumn="0" w:firstRowLastColumn="0" w:lastRowFirstColumn="0" w:lastRowLastColumn="0"/>
              <w:rPr>
                <w:color w:val="auto"/>
              </w:rPr>
            </w:pPr>
            <w:r w:rsidRPr="00695AAC">
              <w:rPr>
                <w:b/>
                <w:color w:val="auto"/>
              </w:rPr>
              <w:t>Mayssam Tamim</w:t>
            </w:r>
            <w:r w:rsidRPr="00DA7619">
              <w:rPr>
                <w:color w:val="auto"/>
              </w:rPr>
              <w:t xml:space="preserve">, </w:t>
            </w:r>
            <w:r w:rsidRPr="00DA7619">
              <w:rPr>
                <w:i/>
                <w:color w:val="auto"/>
              </w:rPr>
              <w:t>Assistant Resident Representative</w:t>
            </w:r>
            <w:r w:rsidRPr="00DA7619">
              <w:rPr>
                <w:color w:val="auto"/>
              </w:rPr>
              <w:t xml:space="preserve"> </w:t>
            </w:r>
          </w:p>
          <w:p w14:paraId="76E423DD" w14:textId="3732FAA0" w:rsidR="0077690D" w:rsidRPr="008E30B6" w:rsidRDefault="00C50588">
            <w:pPr>
              <w:spacing w:before="60" w:after="60"/>
              <w:ind w:right="0"/>
              <w:cnfStyle w:val="000000100000" w:firstRow="0" w:lastRow="0" w:firstColumn="0" w:lastColumn="0" w:oddVBand="0" w:evenVBand="0" w:oddHBand="1" w:evenHBand="0" w:firstRowFirstColumn="0" w:firstRowLastColumn="0" w:lastRowFirstColumn="0" w:lastRowLastColumn="0"/>
              <w:rPr>
                <w:color w:val="auto"/>
              </w:rPr>
            </w:pPr>
            <w:r w:rsidRPr="00695AAC">
              <w:rPr>
                <w:b/>
                <w:color w:val="auto"/>
              </w:rPr>
              <w:t>Haifa Al-Mogrin,</w:t>
            </w:r>
            <w:r w:rsidRPr="008E30B6">
              <w:rPr>
                <w:color w:val="auto"/>
              </w:rPr>
              <w:t xml:space="preserve"> </w:t>
            </w:r>
            <w:r w:rsidRPr="008E30B6">
              <w:rPr>
                <w:i/>
                <w:color w:val="auto"/>
              </w:rPr>
              <w:t xml:space="preserve">Programme </w:t>
            </w:r>
            <w:r w:rsidR="009A2E87">
              <w:rPr>
                <w:i/>
                <w:color w:val="auto"/>
              </w:rPr>
              <w:t>Analyst</w:t>
            </w:r>
          </w:p>
          <w:p w14:paraId="58940741" w14:textId="77777777" w:rsidR="0077690D" w:rsidRDefault="0077690D" w:rsidP="00620064">
            <w:pPr>
              <w:spacing w:before="60" w:after="60"/>
              <w:ind w:right="318"/>
              <w:cnfStyle w:val="000000100000" w:firstRow="0" w:lastRow="0" w:firstColumn="0" w:lastColumn="0" w:oddVBand="0" w:evenVBand="0" w:oddHBand="1" w:evenHBand="0" w:firstRowFirstColumn="0" w:firstRowLastColumn="0" w:lastRowFirstColumn="0" w:lastRowLastColumn="0"/>
              <w:rPr>
                <w:i/>
                <w:color w:val="auto"/>
              </w:rPr>
            </w:pPr>
            <w:r w:rsidRPr="00695AAC">
              <w:rPr>
                <w:b/>
                <w:color w:val="auto"/>
              </w:rPr>
              <w:t>Yassin Yassin</w:t>
            </w:r>
            <w:r w:rsidRPr="00DA7619">
              <w:rPr>
                <w:color w:val="auto"/>
              </w:rPr>
              <w:t xml:space="preserve">, </w:t>
            </w:r>
            <w:r w:rsidRPr="00DA7619">
              <w:rPr>
                <w:i/>
                <w:color w:val="auto"/>
              </w:rPr>
              <w:t>Senior Programme Associate</w:t>
            </w:r>
          </w:p>
          <w:p w14:paraId="2940B9D7" w14:textId="5A789EF3" w:rsidR="008068CB" w:rsidRPr="009A5945" w:rsidRDefault="008068CB" w:rsidP="00F62383">
            <w:pPr>
              <w:spacing w:before="60" w:after="60"/>
              <w:ind w:right="318"/>
              <w:cnfStyle w:val="000000100000" w:firstRow="0" w:lastRow="0" w:firstColumn="0" w:lastColumn="0" w:oddVBand="0" w:evenVBand="0" w:oddHBand="1" w:evenHBand="0" w:firstRowFirstColumn="0" w:firstRowLastColumn="0" w:lastRowFirstColumn="0" w:lastRowLastColumn="0"/>
              <w:rPr>
                <w:color w:val="auto"/>
              </w:rPr>
            </w:pPr>
            <w:r w:rsidRPr="00F62383">
              <w:rPr>
                <w:b/>
                <w:color w:val="auto"/>
              </w:rPr>
              <w:t>Laura</w:t>
            </w:r>
            <w:r w:rsidR="00F62383">
              <w:rPr>
                <w:b/>
                <w:color w:val="auto"/>
              </w:rPr>
              <w:t xml:space="preserve"> Bashraheel</w:t>
            </w:r>
            <w:r w:rsidR="00F62383">
              <w:rPr>
                <w:color w:val="auto"/>
              </w:rPr>
              <w:t>, Communications Associate</w:t>
            </w:r>
          </w:p>
        </w:tc>
      </w:tr>
      <w:tr w:rsidR="00EE10B9" w:rsidRPr="009A5945" w14:paraId="435A44EA" w14:textId="77777777" w:rsidTr="00E20B27">
        <w:trPr>
          <w:jc w:val="center"/>
        </w:trPr>
        <w:tc>
          <w:tcPr>
            <w:cnfStyle w:val="001000000000" w:firstRow="0" w:lastRow="0" w:firstColumn="1" w:lastColumn="0" w:oddVBand="0" w:evenVBand="0" w:oddHBand="0" w:evenHBand="0" w:firstRowFirstColumn="0" w:firstRowLastColumn="0" w:lastRowFirstColumn="0" w:lastRowLastColumn="0"/>
            <w:tcW w:w="3305" w:type="dxa"/>
            <w:vMerge w:val="restart"/>
            <w:shd w:val="clear" w:color="auto" w:fill="auto"/>
            <w:vAlign w:val="center"/>
          </w:tcPr>
          <w:p w14:paraId="553D88F2" w14:textId="77777777" w:rsidR="00EE10B9" w:rsidRDefault="00EE10B9" w:rsidP="00C50588">
            <w:pPr>
              <w:jc w:val="center"/>
              <w:rPr>
                <w:b w:val="0"/>
                <w:color w:val="auto"/>
              </w:rPr>
            </w:pPr>
            <w:r w:rsidRPr="009E67CD">
              <w:rPr>
                <w:b w:val="0"/>
                <w:color w:val="auto"/>
              </w:rPr>
              <w:t>Selected mission</w:t>
            </w:r>
          </w:p>
          <w:p w14:paraId="34BB7EA3" w14:textId="77777777" w:rsidR="00EE10B9" w:rsidRDefault="00EE10B9" w:rsidP="00C50588">
            <w:pPr>
              <w:jc w:val="center"/>
              <w:rPr>
                <w:b w:val="0"/>
                <w:color w:val="auto"/>
              </w:rPr>
            </w:pPr>
            <w:r w:rsidRPr="009E67CD">
              <w:rPr>
                <w:b w:val="0"/>
                <w:color w:val="auto"/>
              </w:rPr>
              <w:t>key informants</w:t>
            </w:r>
          </w:p>
          <w:p w14:paraId="17F5FB13" w14:textId="77777777" w:rsidR="00EE10B9" w:rsidRDefault="00EE10B9" w:rsidP="00C50588">
            <w:pPr>
              <w:jc w:val="center"/>
              <w:rPr>
                <w:color w:val="auto"/>
              </w:rPr>
            </w:pPr>
          </w:p>
          <w:p w14:paraId="5D861387" w14:textId="77777777" w:rsidR="00EE10B9" w:rsidRPr="00DA7619" w:rsidRDefault="00EE10B9" w:rsidP="00C50588">
            <w:pPr>
              <w:jc w:val="center"/>
            </w:pPr>
          </w:p>
        </w:tc>
        <w:tc>
          <w:tcPr>
            <w:tcW w:w="1657" w:type="dxa"/>
            <w:tcBorders>
              <w:bottom w:val="single" w:sz="4" w:space="0" w:color="auto"/>
            </w:tcBorders>
            <w:shd w:val="clear" w:color="auto" w:fill="auto"/>
            <w:vAlign w:val="center"/>
          </w:tcPr>
          <w:p w14:paraId="7BA7FD87" w14:textId="5B2D3C35" w:rsidR="00EE10B9" w:rsidRPr="00DA7619" w:rsidRDefault="00EE10B9" w:rsidP="00C50588">
            <w:pPr>
              <w:ind w:right="39"/>
              <w:jc w:val="center"/>
              <w:cnfStyle w:val="000000000000" w:firstRow="0" w:lastRow="0" w:firstColumn="0" w:lastColumn="0" w:oddVBand="0" w:evenVBand="0" w:oddHBand="0" w:evenHBand="0" w:firstRowFirstColumn="0" w:firstRowLastColumn="0" w:lastRowFirstColumn="0" w:lastRowLastColumn="0"/>
            </w:pPr>
            <w:r w:rsidRPr="00F62383">
              <w:rPr>
                <w:color w:val="auto"/>
              </w:rPr>
              <w:t xml:space="preserve">UNICEF </w:t>
            </w:r>
          </w:p>
        </w:tc>
        <w:tc>
          <w:tcPr>
            <w:tcW w:w="4531" w:type="dxa"/>
            <w:tcBorders>
              <w:bottom w:val="single" w:sz="4" w:space="0" w:color="auto"/>
            </w:tcBorders>
            <w:shd w:val="clear" w:color="auto" w:fill="auto"/>
          </w:tcPr>
          <w:p w14:paraId="768B5C6E" w14:textId="77777777" w:rsidR="00EE10B9" w:rsidRDefault="00EE10B9" w:rsidP="00EE10B9">
            <w:pPr>
              <w:spacing w:before="60" w:after="60"/>
              <w:ind w:right="0"/>
              <w:cnfStyle w:val="000000000000" w:firstRow="0" w:lastRow="0" w:firstColumn="0" w:lastColumn="0" w:oddVBand="0" w:evenVBand="0" w:oddHBand="0" w:evenHBand="0" w:firstRowFirstColumn="0" w:firstRowLastColumn="0" w:lastRowFirstColumn="0" w:lastRowLastColumn="0"/>
              <w:rPr>
                <w:i/>
                <w:color w:val="auto"/>
              </w:rPr>
            </w:pPr>
            <w:r w:rsidRPr="00695AAC">
              <w:rPr>
                <w:b/>
                <w:color w:val="auto"/>
              </w:rPr>
              <w:t>Dr. Ibrahim Al-Ziq</w:t>
            </w:r>
            <w:r w:rsidRPr="00DA7619">
              <w:rPr>
                <w:color w:val="auto"/>
              </w:rPr>
              <w:t xml:space="preserve">,  </w:t>
            </w:r>
            <w:r w:rsidRPr="00DA7619">
              <w:rPr>
                <w:i/>
                <w:color w:val="auto"/>
              </w:rPr>
              <w:t xml:space="preserve">Resident </w:t>
            </w:r>
            <w:r>
              <w:rPr>
                <w:i/>
                <w:color w:val="auto"/>
              </w:rPr>
              <w:t>Coordinator</w:t>
            </w:r>
            <w:r w:rsidRPr="00DA7619">
              <w:rPr>
                <w:color w:val="auto"/>
              </w:rPr>
              <w:t xml:space="preserve"> </w:t>
            </w:r>
            <w:r w:rsidRPr="008E30B6">
              <w:rPr>
                <w:i/>
                <w:color w:val="auto"/>
              </w:rPr>
              <w:t>a.i.,</w:t>
            </w:r>
            <w:r>
              <w:rPr>
                <w:color w:val="auto"/>
              </w:rPr>
              <w:t xml:space="preserve"> </w:t>
            </w:r>
            <w:r w:rsidRPr="008E30B6">
              <w:rPr>
                <w:i/>
                <w:color w:val="auto"/>
              </w:rPr>
              <w:t>Representative UNICEF Regional Office</w:t>
            </w:r>
          </w:p>
          <w:p w14:paraId="76B61BED" w14:textId="38CE67C9" w:rsidR="00EE10B9" w:rsidRPr="00F62383" w:rsidRDefault="00EE10B9">
            <w:pPr>
              <w:spacing w:before="60" w:after="60"/>
              <w:ind w:right="0"/>
              <w:cnfStyle w:val="000000000000" w:firstRow="0" w:lastRow="0" w:firstColumn="0" w:lastColumn="0" w:oddVBand="0" w:evenVBand="0" w:oddHBand="0" w:evenHBand="0" w:firstRowFirstColumn="0" w:firstRowLastColumn="0" w:lastRowFirstColumn="0" w:lastRowLastColumn="0"/>
              <w:rPr>
                <w:i/>
                <w:color w:val="auto"/>
              </w:rPr>
            </w:pPr>
            <w:r w:rsidRPr="00695AAC">
              <w:rPr>
                <w:b/>
                <w:color w:val="auto"/>
              </w:rPr>
              <w:t>Ms Maha El-Frangi,</w:t>
            </w:r>
            <w:r>
              <w:rPr>
                <w:i/>
                <w:color w:val="auto"/>
              </w:rPr>
              <w:t xml:space="preserve"> Programme Officer</w:t>
            </w:r>
          </w:p>
        </w:tc>
      </w:tr>
      <w:tr w:rsidR="00EE10B9" w:rsidRPr="007E2879" w14:paraId="3000D751" w14:textId="77777777" w:rsidTr="00E20B27">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3305" w:type="dxa"/>
            <w:vMerge/>
            <w:tcBorders>
              <w:left w:val="single" w:sz="4" w:space="0" w:color="auto"/>
              <w:right w:val="single" w:sz="4" w:space="0" w:color="auto"/>
            </w:tcBorders>
            <w:shd w:val="clear" w:color="auto" w:fill="auto"/>
            <w:vAlign w:val="center"/>
          </w:tcPr>
          <w:p w14:paraId="34FAA3FD" w14:textId="77777777" w:rsidR="00EE10B9" w:rsidRPr="009E67CD" w:rsidRDefault="00EE10B9" w:rsidP="00C50588">
            <w:pPr>
              <w:jc w:val="center"/>
              <w:rPr>
                <w:b w:val="0"/>
                <w:color w:val="auto"/>
              </w:rPr>
            </w:pPr>
          </w:p>
        </w:tc>
        <w:tc>
          <w:tcPr>
            <w:tcW w:w="1657" w:type="dxa"/>
            <w:tcBorders>
              <w:left w:val="single" w:sz="4" w:space="0" w:color="auto"/>
              <w:right w:val="single" w:sz="4" w:space="0" w:color="auto"/>
            </w:tcBorders>
            <w:shd w:val="clear" w:color="auto" w:fill="auto"/>
            <w:vAlign w:val="center"/>
          </w:tcPr>
          <w:p w14:paraId="0E71FE47" w14:textId="77777777" w:rsidR="00EE10B9" w:rsidRPr="009E67CD" w:rsidRDefault="00EE10B9" w:rsidP="00695AAC">
            <w:pPr>
              <w:ind w:right="39"/>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Minister of Foreign Affairs</w:t>
            </w:r>
          </w:p>
        </w:tc>
        <w:tc>
          <w:tcPr>
            <w:tcW w:w="4531" w:type="dxa"/>
            <w:tcBorders>
              <w:left w:val="single" w:sz="4" w:space="0" w:color="auto"/>
              <w:right w:val="single" w:sz="4" w:space="0" w:color="auto"/>
            </w:tcBorders>
            <w:shd w:val="clear" w:color="auto" w:fill="auto"/>
          </w:tcPr>
          <w:p w14:paraId="46349A59" w14:textId="77777777" w:rsidR="00EE10B9" w:rsidRPr="00CF1703" w:rsidRDefault="00EE10B9" w:rsidP="00695AAC">
            <w:pPr>
              <w:spacing w:before="60" w:after="60"/>
              <w:ind w:right="0"/>
              <w:cnfStyle w:val="000000100000" w:firstRow="0" w:lastRow="0" w:firstColumn="0" w:lastColumn="0" w:oddVBand="0" w:evenVBand="0" w:oddHBand="1" w:evenHBand="0" w:firstRowFirstColumn="0" w:firstRowLastColumn="0" w:lastRowFirstColumn="0" w:lastRowLastColumn="0"/>
              <w:rPr>
                <w:color w:val="auto"/>
              </w:rPr>
            </w:pPr>
            <w:r w:rsidRPr="00CF1703">
              <w:rPr>
                <w:color w:val="auto"/>
              </w:rPr>
              <w:t xml:space="preserve">Dr. Youssef Al-Saadon, </w:t>
            </w:r>
            <w:r w:rsidRPr="00CF1703">
              <w:rPr>
                <w:i/>
                <w:color w:val="auto"/>
              </w:rPr>
              <w:t>Deputy Minister for Economic and Cultural Relations</w:t>
            </w:r>
          </w:p>
          <w:p w14:paraId="6B1216C8" w14:textId="77777777" w:rsidR="00EE10B9" w:rsidRPr="00CF1703" w:rsidRDefault="00EE10B9" w:rsidP="00971E27">
            <w:pPr>
              <w:spacing w:before="60" w:after="60"/>
              <w:ind w:right="0"/>
              <w:cnfStyle w:val="000000100000" w:firstRow="0" w:lastRow="0" w:firstColumn="0" w:lastColumn="0" w:oddVBand="0" w:evenVBand="0" w:oddHBand="1" w:evenHBand="0" w:firstRowFirstColumn="0" w:firstRowLastColumn="0" w:lastRowFirstColumn="0" w:lastRowLastColumn="0"/>
              <w:rPr>
                <w:rFonts w:cs="Calibri"/>
                <w:i/>
                <w:color w:val="auto"/>
              </w:rPr>
            </w:pPr>
            <w:r w:rsidRPr="00CF1703">
              <w:rPr>
                <w:color w:val="auto"/>
              </w:rPr>
              <w:t>Dr. Eltigani Eltaher</w:t>
            </w:r>
            <w:r>
              <w:rPr>
                <w:color w:val="auto"/>
              </w:rPr>
              <w:t xml:space="preserve">, </w:t>
            </w:r>
            <w:r>
              <w:rPr>
                <w:i/>
                <w:color w:val="auto"/>
              </w:rPr>
              <w:t>Consultant</w:t>
            </w:r>
          </w:p>
        </w:tc>
      </w:tr>
      <w:tr w:rsidR="00EE10B9" w:rsidRPr="007E2879" w14:paraId="2627B5CE" w14:textId="77777777" w:rsidTr="00E20B27">
        <w:trPr>
          <w:trHeight w:val="369"/>
          <w:jc w:val="center"/>
        </w:trPr>
        <w:tc>
          <w:tcPr>
            <w:cnfStyle w:val="001000000000" w:firstRow="0" w:lastRow="0" w:firstColumn="1" w:lastColumn="0" w:oddVBand="0" w:evenVBand="0" w:oddHBand="0" w:evenHBand="0" w:firstRowFirstColumn="0" w:firstRowLastColumn="0" w:lastRowFirstColumn="0" w:lastRowLastColumn="0"/>
            <w:tcW w:w="3305" w:type="dxa"/>
            <w:vMerge/>
            <w:shd w:val="clear" w:color="auto" w:fill="auto"/>
          </w:tcPr>
          <w:p w14:paraId="2B50FE31" w14:textId="77777777" w:rsidR="00EE10B9" w:rsidRPr="009E67CD" w:rsidRDefault="00EE10B9" w:rsidP="00CE24BA"/>
        </w:tc>
        <w:tc>
          <w:tcPr>
            <w:tcW w:w="1657" w:type="dxa"/>
            <w:tcBorders>
              <w:bottom w:val="single" w:sz="4" w:space="0" w:color="auto"/>
              <w:right w:val="single" w:sz="4" w:space="0" w:color="auto"/>
            </w:tcBorders>
            <w:shd w:val="clear" w:color="auto" w:fill="auto"/>
          </w:tcPr>
          <w:p w14:paraId="5D346761" w14:textId="77777777" w:rsidR="00EE10B9" w:rsidRPr="00C50588" w:rsidRDefault="00EE10B9" w:rsidP="00C50588">
            <w:pPr>
              <w:ind w:right="39"/>
              <w:jc w:val="center"/>
              <w:cnfStyle w:val="000000000000" w:firstRow="0" w:lastRow="0" w:firstColumn="0" w:lastColumn="0" w:oddVBand="0" w:evenVBand="0" w:oddHBand="0" w:evenHBand="0" w:firstRowFirstColumn="0" w:firstRowLastColumn="0" w:lastRowFirstColumn="0" w:lastRowLastColumn="0"/>
              <w:rPr>
                <w:color w:val="auto"/>
              </w:rPr>
            </w:pPr>
            <w:r w:rsidRPr="00C50588">
              <w:rPr>
                <w:color w:val="auto"/>
              </w:rPr>
              <w:t>Minister of Economy and Planning</w:t>
            </w:r>
          </w:p>
        </w:tc>
        <w:tc>
          <w:tcPr>
            <w:tcW w:w="4531" w:type="dxa"/>
            <w:tcBorders>
              <w:left w:val="single" w:sz="4" w:space="0" w:color="auto"/>
              <w:bottom w:val="single" w:sz="4" w:space="0" w:color="auto"/>
              <w:right w:val="single" w:sz="4" w:space="0" w:color="auto"/>
            </w:tcBorders>
            <w:shd w:val="clear" w:color="auto" w:fill="auto"/>
          </w:tcPr>
          <w:p w14:paraId="3E6EDC50" w14:textId="77777777" w:rsidR="00EE10B9" w:rsidRPr="00CF1703" w:rsidRDefault="00EE10B9" w:rsidP="00695AAC">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CF1703">
              <w:rPr>
                <w:color w:val="auto"/>
              </w:rPr>
              <w:t>Salah Hadidi</w:t>
            </w:r>
            <w:r>
              <w:rPr>
                <w:color w:val="auto"/>
              </w:rPr>
              <w:t xml:space="preserve">, </w:t>
            </w:r>
            <w:r>
              <w:rPr>
                <w:i/>
                <w:color w:val="auto"/>
              </w:rPr>
              <w:t>Consultant</w:t>
            </w:r>
          </w:p>
          <w:p w14:paraId="3E06CE5E" w14:textId="77777777" w:rsidR="00EE10B9" w:rsidRPr="00CF1703" w:rsidRDefault="00EE10B9" w:rsidP="00695AAC">
            <w:pPr>
              <w:spacing w:before="60" w:after="60"/>
              <w:ind w:right="0"/>
              <w:cnfStyle w:val="000000000000" w:firstRow="0" w:lastRow="0" w:firstColumn="0" w:lastColumn="0" w:oddVBand="0" w:evenVBand="0" w:oddHBand="0" w:evenHBand="0" w:firstRowFirstColumn="0" w:firstRowLastColumn="0" w:lastRowFirstColumn="0" w:lastRowLastColumn="0"/>
              <w:rPr>
                <w:rFonts w:cs="Calibri"/>
                <w:i/>
                <w:color w:val="auto"/>
              </w:rPr>
            </w:pPr>
            <w:r w:rsidRPr="00CF1703">
              <w:rPr>
                <w:color w:val="auto"/>
              </w:rPr>
              <w:t xml:space="preserve">Dr. Saleh A. Alnassar, </w:t>
            </w:r>
            <w:r w:rsidRPr="00CF1703">
              <w:rPr>
                <w:i/>
                <w:color w:val="auto"/>
              </w:rPr>
              <w:t>Consultant</w:t>
            </w:r>
            <w:r>
              <w:rPr>
                <w:i/>
                <w:color w:val="auto"/>
              </w:rPr>
              <w:t>, NYS Manager</w:t>
            </w:r>
          </w:p>
        </w:tc>
      </w:tr>
      <w:tr w:rsidR="00EE10B9" w:rsidRPr="007E2879" w14:paraId="5584AC76" w14:textId="77777777" w:rsidTr="00E20B27">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3305" w:type="dxa"/>
            <w:vMerge/>
            <w:tcBorders>
              <w:left w:val="single" w:sz="4" w:space="0" w:color="auto"/>
              <w:right w:val="single" w:sz="4" w:space="0" w:color="auto"/>
            </w:tcBorders>
            <w:shd w:val="clear" w:color="auto" w:fill="auto"/>
          </w:tcPr>
          <w:p w14:paraId="5C766884" w14:textId="77777777" w:rsidR="00EE10B9" w:rsidRPr="007E2879" w:rsidRDefault="00EE10B9" w:rsidP="00CE24BA">
            <w:pPr>
              <w:rPr>
                <w:b w:val="0"/>
              </w:rPr>
            </w:pPr>
          </w:p>
        </w:tc>
        <w:tc>
          <w:tcPr>
            <w:tcW w:w="1657" w:type="dxa"/>
            <w:tcBorders>
              <w:left w:val="single" w:sz="4" w:space="0" w:color="auto"/>
              <w:right w:val="single" w:sz="4" w:space="0" w:color="auto"/>
            </w:tcBorders>
            <w:shd w:val="clear" w:color="auto" w:fill="auto"/>
            <w:vAlign w:val="center"/>
          </w:tcPr>
          <w:p w14:paraId="45947123" w14:textId="77777777" w:rsidR="00EE10B9" w:rsidRPr="00C50588" w:rsidRDefault="00EE10B9" w:rsidP="00695AAC">
            <w:pPr>
              <w:ind w:right="-103"/>
              <w:jc w:val="center"/>
              <w:cnfStyle w:val="000000100000" w:firstRow="0" w:lastRow="0" w:firstColumn="0" w:lastColumn="0" w:oddVBand="0" w:evenVBand="0" w:oddHBand="1" w:evenHBand="0" w:firstRowFirstColumn="0" w:firstRowLastColumn="0" w:lastRowFirstColumn="0" w:lastRowLastColumn="0"/>
              <w:rPr>
                <w:color w:val="auto"/>
              </w:rPr>
            </w:pPr>
            <w:r w:rsidRPr="00C50588">
              <w:rPr>
                <w:color w:val="auto"/>
              </w:rPr>
              <w:t>Warif</w:t>
            </w:r>
          </w:p>
        </w:tc>
        <w:tc>
          <w:tcPr>
            <w:tcW w:w="4531" w:type="dxa"/>
            <w:tcBorders>
              <w:left w:val="single" w:sz="4" w:space="0" w:color="auto"/>
              <w:right w:val="single" w:sz="4" w:space="0" w:color="auto"/>
            </w:tcBorders>
            <w:shd w:val="clear" w:color="auto" w:fill="auto"/>
          </w:tcPr>
          <w:p w14:paraId="6AC515BE" w14:textId="77777777" w:rsidR="00EE10B9" w:rsidRDefault="00EE10B9">
            <w:pPr>
              <w:spacing w:before="60" w:after="60"/>
              <w:ind w:right="0"/>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Hammam </w:t>
            </w:r>
            <w:r w:rsidRPr="009A2E87">
              <w:rPr>
                <w:color w:val="auto"/>
              </w:rPr>
              <w:t>Al Juraied</w:t>
            </w:r>
            <w:r>
              <w:rPr>
                <w:color w:val="auto"/>
              </w:rPr>
              <w:t xml:space="preserve">, </w:t>
            </w:r>
            <w:r w:rsidRPr="009A2E87">
              <w:rPr>
                <w:color w:val="auto"/>
              </w:rPr>
              <w:t>Executive Manager</w:t>
            </w:r>
          </w:p>
          <w:p w14:paraId="25E0058C" w14:textId="77777777" w:rsidR="00EE10B9" w:rsidRPr="00CF1703" w:rsidRDefault="00EE10B9" w:rsidP="00695AAC">
            <w:pPr>
              <w:spacing w:before="60" w:after="60"/>
              <w:ind w:right="0"/>
              <w:cnfStyle w:val="000000100000" w:firstRow="0" w:lastRow="0" w:firstColumn="0" w:lastColumn="0" w:oddVBand="0" w:evenVBand="0" w:oddHBand="1" w:evenHBand="0" w:firstRowFirstColumn="0" w:firstRowLastColumn="0" w:lastRowFirstColumn="0" w:lastRowLastColumn="0"/>
              <w:rPr>
                <w:color w:val="auto"/>
              </w:rPr>
            </w:pPr>
            <w:r w:rsidRPr="00CF1703">
              <w:rPr>
                <w:color w:val="auto"/>
              </w:rPr>
              <w:t>Amal A. Alhumaid</w:t>
            </w:r>
            <w:r>
              <w:rPr>
                <w:color w:val="auto"/>
              </w:rPr>
              <w:t xml:space="preserve">, </w:t>
            </w:r>
            <w:r w:rsidRPr="00695AAC">
              <w:rPr>
                <w:i/>
                <w:color w:val="auto"/>
              </w:rPr>
              <w:t>Programme Manager</w:t>
            </w:r>
            <w:r w:rsidRPr="00CF1703">
              <w:rPr>
                <w:color w:val="auto"/>
              </w:rPr>
              <w:t xml:space="preserve"> </w:t>
            </w:r>
          </w:p>
          <w:p w14:paraId="1E419883" w14:textId="77777777" w:rsidR="00EE10B9" w:rsidRPr="00CF1703" w:rsidRDefault="00EE10B9" w:rsidP="00695AAC">
            <w:pPr>
              <w:spacing w:before="60" w:after="60"/>
              <w:ind w:right="0"/>
              <w:cnfStyle w:val="000000100000" w:firstRow="0" w:lastRow="0" w:firstColumn="0" w:lastColumn="0" w:oddVBand="0" w:evenVBand="0" w:oddHBand="1" w:evenHBand="0" w:firstRowFirstColumn="0" w:firstRowLastColumn="0" w:lastRowFirstColumn="0" w:lastRowLastColumn="0"/>
              <w:rPr>
                <w:rFonts w:cs="Calibri"/>
                <w:color w:val="auto"/>
              </w:rPr>
            </w:pPr>
            <w:r w:rsidRPr="00CF1703">
              <w:rPr>
                <w:color w:val="auto"/>
              </w:rPr>
              <w:t xml:space="preserve">Meshail Fahad Almogbel, </w:t>
            </w:r>
            <w:r w:rsidRPr="00CF1703">
              <w:rPr>
                <w:i/>
                <w:color w:val="auto"/>
              </w:rPr>
              <w:t>International Affairs and Programs Officer</w:t>
            </w:r>
          </w:p>
        </w:tc>
      </w:tr>
      <w:tr w:rsidR="00EE10B9" w:rsidRPr="007E2879" w14:paraId="12988B8B" w14:textId="77777777" w:rsidTr="00135673">
        <w:trPr>
          <w:trHeight w:val="369"/>
          <w:jc w:val="center"/>
        </w:trPr>
        <w:tc>
          <w:tcPr>
            <w:cnfStyle w:val="001000000000" w:firstRow="0" w:lastRow="0" w:firstColumn="1" w:lastColumn="0" w:oddVBand="0" w:evenVBand="0" w:oddHBand="0" w:evenHBand="0" w:firstRowFirstColumn="0" w:firstRowLastColumn="0" w:lastRowFirstColumn="0" w:lastRowLastColumn="0"/>
            <w:tcW w:w="3305" w:type="dxa"/>
            <w:vMerge/>
            <w:shd w:val="clear" w:color="auto" w:fill="auto"/>
          </w:tcPr>
          <w:p w14:paraId="5DD900A9" w14:textId="77777777" w:rsidR="00EE10B9" w:rsidRPr="007E2879" w:rsidRDefault="00EE10B9" w:rsidP="00CE24BA">
            <w:pPr>
              <w:rPr>
                <w:b w:val="0"/>
              </w:rPr>
            </w:pPr>
          </w:p>
        </w:tc>
        <w:tc>
          <w:tcPr>
            <w:tcW w:w="1657" w:type="dxa"/>
            <w:tcBorders>
              <w:right w:val="single" w:sz="4" w:space="0" w:color="auto"/>
            </w:tcBorders>
            <w:shd w:val="clear" w:color="auto" w:fill="auto"/>
            <w:vAlign w:val="center"/>
          </w:tcPr>
          <w:p w14:paraId="68FB2C68" w14:textId="77777777" w:rsidR="00EE10B9" w:rsidRPr="00C50588" w:rsidRDefault="00EE10B9" w:rsidP="00695AAC">
            <w:pPr>
              <w:ind w:right="-103"/>
              <w:jc w:val="center"/>
              <w:cnfStyle w:val="000000000000" w:firstRow="0" w:lastRow="0" w:firstColumn="0" w:lastColumn="0" w:oddVBand="0" w:evenVBand="0" w:oddHBand="0" w:evenHBand="0" w:firstRowFirstColumn="0" w:firstRowLastColumn="0" w:lastRowFirstColumn="0" w:lastRowLastColumn="0"/>
              <w:rPr>
                <w:color w:val="auto"/>
              </w:rPr>
            </w:pPr>
            <w:r w:rsidRPr="00C50588">
              <w:rPr>
                <w:color w:val="auto"/>
              </w:rPr>
              <w:t>Prince Sultan Fund</w:t>
            </w:r>
          </w:p>
        </w:tc>
        <w:tc>
          <w:tcPr>
            <w:tcW w:w="4531" w:type="dxa"/>
            <w:tcBorders>
              <w:left w:val="single" w:sz="4" w:space="0" w:color="auto"/>
              <w:right w:val="single" w:sz="4" w:space="0" w:color="auto"/>
            </w:tcBorders>
            <w:shd w:val="clear" w:color="auto" w:fill="auto"/>
          </w:tcPr>
          <w:p w14:paraId="06E389E5" w14:textId="77777777" w:rsidR="00EE10B9" w:rsidRPr="00CF1703" w:rsidRDefault="00EE10B9" w:rsidP="00695AAC">
            <w:pPr>
              <w:spacing w:before="60" w:after="60"/>
              <w:ind w:right="0"/>
              <w:cnfStyle w:val="000000000000" w:firstRow="0" w:lastRow="0" w:firstColumn="0" w:lastColumn="0" w:oddVBand="0" w:evenVBand="0" w:oddHBand="0" w:evenHBand="0" w:firstRowFirstColumn="0" w:firstRowLastColumn="0" w:lastRowFirstColumn="0" w:lastRowLastColumn="0"/>
              <w:rPr>
                <w:color w:val="auto"/>
              </w:rPr>
            </w:pPr>
            <w:r w:rsidRPr="00CF1703">
              <w:rPr>
                <w:color w:val="auto"/>
              </w:rPr>
              <w:t xml:space="preserve">Ms Afnan Albabtain, </w:t>
            </w:r>
            <w:r>
              <w:rPr>
                <w:i/>
                <w:color w:val="auto"/>
              </w:rPr>
              <w:t>PSFW Ex</w:t>
            </w:r>
            <w:r w:rsidRPr="00CF1703">
              <w:rPr>
                <w:i/>
                <w:color w:val="auto"/>
              </w:rPr>
              <w:t>ecutive Manager</w:t>
            </w:r>
          </w:p>
          <w:p w14:paraId="622DD02F" w14:textId="77777777" w:rsidR="00EE10B9" w:rsidRPr="00695AAC" w:rsidRDefault="00EE10B9" w:rsidP="00695AAC">
            <w:pPr>
              <w:spacing w:before="60" w:after="60"/>
              <w:ind w:right="34"/>
              <w:cnfStyle w:val="000000000000" w:firstRow="0" w:lastRow="0" w:firstColumn="0" w:lastColumn="0" w:oddVBand="0" w:evenVBand="0" w:oddHBand="0" w:evenHBand="0" w:firstRowFirstColumn="0" w:firstRowLastColumn="0" w:lastRowFirstColumn="0" w:lastRowLastColumn="0"/>
              <w:rPr>
                <w:color w:val="auto"/>
              </w:rPr>
            </w:pPr>
            <w:r w:rsidRPr="00695AAC">
              <w:rPr>
                <w:color w:val="auto"/>
              </w:rPr>
              <w:t xml:space="preserve">Ms Marwa S. Abduljawad, </w:t>
            </w:r>
            <w:r w:rsidRPr="00695AAC">
              <w:rPr>
                <w:i/>
                <w:color w:val="auto"/>
              </w:rPr>
              <w:t>former PSFW Executive Manager</w:t>
            </w:r>
          </w:p>
        </w:tc>
      </w:tr>
    </w:tbl>
    <w:p w14:paraId="012E1FA1" w14:textId="77777777" w:rsidR="006F7CA7" w:rsidRPr="006F7CA7" w:rsidRDefault="006F7CA7" w:rsidP="006F7CA7"/>
    <w:p w14:paraId="61800594" w14:textId="77777777" w:rsidR="008D57ED" w:rsidRPr="00DA7619" w:rsidRDefault="008D57ED" w:rsidP="008D57ED">
      <w:pPr>
        <w:pStyle w:val="Heading1"/>
      </w:pPr>
      <w:bookmarkStart w:id="60" w:name="_Toc324762531"/>
      <w:bookmarkStart w:id="61" w:name="_Toc399078789"/>
      <w:r w:rsidRPr="00DA7619">
        <w:t xml:space="preserve">Annex </w:t>
      </w:r>
      <w:r w:rsidR="009E67CD">
        <w:t>5</w:t>
      </w:r>
      <w:r w:rsidRPr="00DA7619">
        <w:t>.  Selected documents reviewed</w:t>
      </w:r>
      <w:bookmarkEnd w:id="60"/>
      <w:bookmarkEnd w:id="61"/>
    </w:p>
    <w:p w14:paraId="0762F169" w14:textId="77777777" w:rsidR="008D57ED" w:rsidRPr="00DA7619" w:rsidRDefault="008D57ED" w:rsidP="008D57ED">
      <w:pPr>
        <w:pStyle w:val="Heading2"/>
      </w:pPr>
      <w:bookmarkStart w:id="62" w:name="_Toc324762532"/>
      <w:bookmarkStart w:id="63" w:name="_Toc399078790"/>
      <w:r w:rsidRPr="00DA7619">
        <w:t>Government Plans</w:t>
      </w:r>
      <w:bookmarkEnd w:id="62"/>
      <w:bookmarkEnd w:id="63"/>
    </w:p>
    <w:p w14:paraId="79D404A2" w14:textId="77777777" w:rsidR="008D57ED" w:rsidRPr="00DA7619" w:rsidRDefault="008D57ED" w:rsidP="008D57ED">
      <w:pPr>
        <w:ind w:left="720"/>
      </w:pPr>
      <w:r w:rsidRPr="00DA7619">
        <w:t>8</w:t>
      </w:r>
      <w:r w:rsidRPr="00DA7619">
        <w:rPr>
          <w:vertAlign w:val="superscript"/>
        </w:rPr>
        <w:t>th</w:t>
      </w:r>
      <w:r w:rsidRPr="00DA7619">
        <w:t xml:space="preserve"> Five-year Development Plan </w:t>
      </w:r>
      <w:r w:rsidRPr="00DA7619">
        <w:rPr>
          <w:sz w:val="23"/>
          <w:szCs w:val="23"/>
        </w:rPr>
        <w:t>(2005–2009)</w:t>
      </w:r>
    </w:p>
    <w:p w14:paraId="55C2C398" w14:textId="77777777" w:rsidR="008D57ED" w:rsidRPr="00DA7619" w:rsidRDefault="008D57ED" w:rsidP="008D57ED">
      <w:pPr>
        <w:ind w:left="720"/>
      </w:pPr>
      <w:r w:rsidRPr="00DA7619">
        <w:t>9</w:t>
      </w:r>
      <w:r w:rsidRPr="00DA7619">
        <w:rPr>
          <w:vertAlign w:val="superscript"/>
        </w:rPr>
        <w:t>th</w:t>
      </w:r>
      <w:r w:rsidRPr="00DA7619">
        <w:t xml:space="preserve"> Five-year Development Plan </w:t>
      </w:r>
      <w:r w:rsidRPr="00DA7619">
        <w:rPr>
          <w:sz w:val="23"/>
          <w:szCs w:val="23"/>
        </w:rPr>
        <w:t>(2009-2014)</w:t>
      </w:r>
    </w:p>
    <w:p w14:paraId="2BD68B17" w14:textId="77777777" w:rsidR="008D57ED" w:rsidRPr="00DA7619" w:rsidRDefault="008D57ED" w:rsidP="008D57ED">
      <w:pPr>
        <w:ind w:left="720"/>
      </w:pPr>
      <w:r w:rsidRPr="00DA7619">
        <w:t>The Long Term Strategy (LTS) and VISION 2025 (2005)</w:t>
      </w:r>
    </w:p>
    <w:p w14:paraId="60A2C845" w14:textId="77777777" w:rsidR="00135409" w:rsidRDefault="008D57ED" w:rsidP="008D57ED">
      <w:pPr>
        <w:pStyle w:val="Heading2"/>
      </w:pPr>
      <w:bookmarkStart w:id="64" w:name="_Toc399078791"/>
      <w:bookmarkStart w:id="65" w:name="_Toc324762533"/>
      <w:r w:rsidRPr="00DA7619">
        <w:t>UNDP programme materials</w:t>
      </w:r>
      <w:bookmarkEnd w:id="64"/>
      <w:r w:rsidRPr="00DA7619">
        <w:t xml:space="preserve"> </w:t>
      </w:r>
    </w:p>
    <w:bookmarkEnd w:id="65"/>
    <w:p w14:paraId="5FE9F3E1" w14:textId="77777777" w:rsidR="006C5B42" w:rsidRPr="00DA7619" w:rsidRDefault="006C5B42" w:rsidP="006C5B42">
      <w:pPr>
        <w:ind w:left="720"/>
      </w:pPr>
      <w:r w:rsidRPr="00DA7619">
        <w:t>(</w:t>
      </w:r>
      <w:r>
        <w:t xml:space="preserve">Note:  </w:t>
      </w:r>
      <w:r w:rsidRPr="00DA7619">
        <w:t>See References</w:t>
      </w:r>
      <w:r>
        <w:t xml:space="preserve"> </w:t>
      </w:r>
      <w:r w:rsidR="001E0FD7">
        <w:t>Chapter</w:t>
      </w:r>
      <w:r>
        <w:t xml:space="preserve"> for full citations</w:t>
      </w:r>
      <w:r w:rsidRPr="00DA7619">
        <w:t>)</w:t>
      </w:r>
    </w:p>
    <w:p w14:paraId="2D3DDF66" w14:textId="77777777" w:rsidR="008D57ED" w:rsidRPr="00DA7619" w:rsidRDefault="008D57ED" w:rsidP="00620064">
      <w:pPr>
        <w:ind w:left="720" w:right="70"/>
      </w:pPr>
      <w:r w:rsidRPr="00DA7619">
        <w:t xml:space="preserve">Country Programme Document (CPD) </w:t>
      </w:r>
      <w:r w:rsidR="00620064">
        <w:t>2012-2016 (indicative 2011 and final 2012)</w:t>
      </w:r>
    </w:p>
    <w:p w14:paraId="39B00BAB" w14:textId="77777777" w:rsidR="008D57ED" w:rsidRPr="00DA7619" w:rsidRDefault="00620064" w:rsidP="00620064">
      <w:pPr>
        <w:ind w:left="720" w:right="70"/>
      </w:pPr>
      <w:r>
        <w:t>UN Common Country Strategic Framework KSA 2012-2016</w:t>
      </w:r>
    </w:p>
    <w:p w14:paraId="31BC8121" w14:textId="77777777" w:rsidR="00E75878" w:rsidRDefault="004F2BF6" w:rsidP="00620064">
      <w:pPr>
        <w:ind w:left="720" w:right="70"/>
      </w:pPr>
      <w:r>
        <w:t xml:space="preserve">Project documents:  </w:t>
      </w:r>
    </w:p>
    <w:p w14:paraId="27B298F2" w14:textId="77777777" w:rsidR="00E75878" w:rsidRDefault="008D57ED" w:rsidP="00E75878">
      <w:pPr>
        <w:ind w:left="1440" w:right="70"/>
      </w:pPr>
      <w:r w:rsidRPr="00DA7619">
        <w:t>All available project documents for listed outputs, coveri</w:t>
      </w:r>
      <w:r w:rsidR="0077690D">
        <w:t xml:space="preserve">ng projects with </w:t>
      </w:r>
    </w:p>
    <w:p w14:paraId="09A23A1C" w14:textId="77777777" w:rsidR="00E75878" w:rsidRDefault="00620064" w:rsidP="00F82BDC">
      <w:pPr>
        <w:pStyle w:val="ListParagraph"/>
        <w:numPr>
          <w:ilvl w:val="0"/>
          <w:numId w:val="18"/>
        </w:numPr>
        <w:ind w:right="70"/>
      </w:pPr>
      <w:r>
        <w:t>Ministry</w:t>
      </w:r>
      <w:r w:rsidR="0077690D">
        <w:t xml:space="preserve"> of</w:t>
      </w:r>
      <w:r w:rsidR="008D57ED" w:rsidRPr="00DA7619">
        <w:t xml:space="preserve"> </w:t>
      </w:r>
      <w:r w:rsidR="00E75878">
        <w:t>Foreign Affairs</w:t>
      </w:r>
    </w:p>
    <w:p w14:paraId="2F9BEE82" w14:textId="77777777" w:rsidR="00E75878" w:rsidRDefault="00620064" w:rsidP="00F82BDC">
      <w:pPr>
        <w:pStyle w:val="ListParagraph"/>
        <w:numPr>
          <w:ilvl w:val="0"/>
          <w:numId w:val="18"/>
        </w:numPr>
        <w:ind w:right="70"/>
      </w:pPr>
      <w:r>
        <w:t xml:space="preserve">Ministry of Economy and Planning </w:t>
      </w:r>
    </w:p>
    <w:p w14:paraId="0C19BCC2" w14:textId="77777777" w:rsidR="00E75878" w:rsidRDefault="00620064" w:rsidP="00F82BDC">
      <w:pPr>
        <w:pStyle w:val="ListParagraph"/>
        <w:numPr>
          <w:ilvl w:val="0"/>
          <w:numId w:val="18"/>
        </w:numPr>
        <w:ind w:right="70"/>
      </w:pPr>
      <w:r>
        <w:t xml:space="preserve">CSOs:  </w:t>
      </w:r>
    </w:p>
    <w:p w14:paraId="526B158C" w14:textId="77777777" w:rsidR="00E75878" w:rsidRDefault="00620064" w:rsidP="00F82BDC">
      <w:pPr>
        <w:pStyle w:val="ListParagraph"/>
        <w:numPr>
          <w:ilvl w:val="1"/>
          <w:numId w:val="18"/>
        </w:numPr>
        <w:ind w:right="70"/>
      </w:pPr>
      <w:r>
        <w:t xml:space="preserve">Princess Al Anoud Foundation/ Warif; </w:t>
      </w:r>
    </w:p>
    <w:p w14:paraId="7126891A" w14:textId="77777777" w:rsidR="008D57ED" w:rsidRDefault="00620064" w:rsidP="00F82BDC">
      <w:pPr>
        <w:pStyle w:val="ListParagraph"/>
        <w:numPr>
          <w:ilvl w:val="1"/>
          <w:numId w:val="18"/>
        </w:numPr>
        <w:ind w:right="70"/>
      </w:pPr>
      <w:r>
        <w:t xml:space="preserve">Prince Sultan Development Fund/ </w:t>
      </w:r>
      <w:r w:rsidR="00E75878">
        <w:t>Princess Jawahir Center for Women Empowerment</w:t>
      </w:r>
    </w:p>
    <w:p w14:paraId="6E66A434" w14:textId="77777777" w:rsidR="00E75878" w:rsidRDefault="00E75878" w:rsidP="00E75878">
      <w:pPr>
        <w:ind w:left="1440" w:right="70"/>
      </w:pPr>
      <w:r>
        <w:t>Project documents included original ProDocs including budgets and RRFs, Annual Work Plans, Substantive Project Revisions, Consultant reports and numerous related project materials</w:t>
      </w:r>
    </w:p>
    <w:p w14:paraId="72B63F2C" w14:textId="77777777" w:rsidR="00E75878" w:rsidRDefault="00E75878" w:rsidP="00E75878">
      <w:pPr>
        <w:ind w:left="720" w:right="70"/>
      </w:pPr>
      <w:r w:rsidRPr="00E75878">
        <w:t xml:space="preserve">Analysis and findings of </w:t>
      </w:r>
      <w:r>
        <w:t>survey</w:t>
      </w:r>
      <w:r w:rsidRPr="00E75878">
        <w:t xml:space="preserve"> by Prince Sultan Fund for Women on the appointment of women </w:t>
      </w:r>
      <w:r>
        <w:t>to</w:t>
      </w:r>
      <w:r w:rsidRPr="00E75878">
        <w:t xml:space="preserve"> the Sh</w:t>
      </w:r>
      <w:r>
        <w:t>ura Council and participation of women in municipal elections</w:t>
      </w:r>
    </w:p>
    <w:p w14:paraId="54A2648F" w14:textId="77777777" w:rsidR="00E75878" w:rsidRDefault="00E75878" w:rsidP="00E75878">
      <w:pPr>
        <w:ind w:left="720" w:right="70"/>
      </w:pPr>
      <w:r>
        <w:t>S</w:t>
      </w:r>
      <w:r w:rsidRPr="00E75878">
        <w:t xml:space="preserve">trategic Plan for Princess </w:t>
      </w:r>
      <w:r>
        <w:t>Jawahir Center</w:t>
      </w:r>
      <w:r w:rsidRPr="00E75878">
        <w:t xml:space="preserve"> for Research and Studies</w:t>
      </w:r>
      <w:r w:rsidR="00B60B3A">
        <w:t xml:space="preserve"> </w:t>
      </w:r>
    </w:p>
    <w:p w14:paraId="74F8993D" w14:textId="77777777" w:rsidR="00B60B3A" w:rsidRPr="00E75878" w:rsidRDefault="00B60B3A" w:rsidP="00B60B3A">
      <w:pPr>
        <w:ind w:left="720" w:right="70"/>
      </w:pPr>
      <w:r>
        <w:t xml:space="preserve">Report of the </w:t>
      </w:r>
      <w:r w:rsidRPr="00B60B3A">
        <w:t xml:space="preserve">Institutional Capacity </w:t>
      </w:r>
      <w:r>
        <w:t xml:space="preserve">Building and Development Expert </w:t>
      </w:r>
      <w:r w:rsidRPr="00B60B3A">
        <w:t>Trainer</w:t>
      </w:r>
      <w:r>
        <w:t>, PSFW</w:t>
      </w:r>
    </w:p>
    <w:p w14:paraId="001BAA75" w14:textId="77777777" w:rsidR="00E75878" w:rsidRPr="00E75878" w:rsidRDefault="00E75878" w:rsidP="00E75878">
      <w:pPr>
        <w:ind w:left="1440" w:right="70"/>
        <w:rPr>
          <w:lang w:val="en-CA"/>
        </w:rPr>
      </w:pPr>
    </w:p>
    <w:p w14:paraId="4066F031" w14:textId="77777777" w:rsidR="00F710BB" w:rsidRDefault="00C552C9" w:rsidP="003E617F">
      <w:pPr>
        <w:pStyle w:val="Heading1"/>
      </w:pPr>
      <w:bookmarkStart w:id="66" w:name="_Toc399078792"/>
      <w:r>
        <w:t xml:space="preserve">Annex 6.  </w:t>
      </w:r>
      <w:r w:rsidR="009F6829">
        <w:t>Biography of the Evaluator</w:t>
      </w:r>
      <w:bookmarkEnd w:id="66"/>
    </w:p>
    <w:p w14:paraId="48196FA7" w14:textId="77777777" w:rsidR="000F08E0" w:rsidRPr="00D637CA" w:rsidRDefault="000F08E0" w:rsidP="00620064">
      <w:pPr>
        <w:ind w:right="70"/>
        <w:rPr>
          <w:rFonts w:ascii="Times New Roman" w:hAnsi="Times New Roman"/>
          <w:lang w:val="en-CA" w:eastAsia="en-CA"/>
        </w:rPr>
      </w:pPr>
      <w:r w:rsidRPr="00D637CA">
        <w:rPr>
          <w:lang w:eastAsia="en-CA"/>
        </w:rPr>
        <w:t xml:space="preserve">Patricia Alexander is an Independent Consultant, specialising in evaluation, macroeconomics, gender, and </w:t>
      </w:r>
      <w:r w:rsidR="00984886">
        <w:rPr>
          <w:lang w:eastAsia="en-CA"/>
        </w:rPr>
        <w:t xml:space="preserve">the analysis of </w:t>
      </w:r>
      <w:r w:rsidRPr="00D637CA">
        <w:rPr>
          <w:lang w:eastAsia="en-CA"/>
        </w:rPr>
        <w:t xml:space="preserve">large-scale sample surveys and population censuses. </w:t>
      </w:r>
      <w:r>
        <w:rPr>
          <w:lang w:eastAsia="en-CA"/>
        </w:rPr>
        <w:t xml:space="preserve"> </w:t>
      </w:r>
      <w:r w:rsidRPr="00D637CA">
        <w:rPr>
          <w:lang w:eastAsia="en-CA"/>
        </w:rPr>
        <w:t xml:space="preserve">She has served as Regional Adviser on Poverty Statistics for the UN Economic and Social Commission for Asia-Pacific (UNESCAP); Regional Programme Coordinator for </w:t>
      </w:r>
      <w:r w:rsidR="009A5945">
        <w:rPr>
          <w:lang w:eastAsia="en-CA"/>
        </w:rPr>
        <w:t xml:space="preserve">the Gender Programme, UNDP Asia </w:t>
      </w:r>
      <w:r w:rsidRPr="00D637CA">
        <w:rPr>
          <w:lang w:eastAsia="en-CA"/>
        </w:rPr>
        <w:t xml:space="preserve">Pacific Regional Centre; </w:t>
      </w:r>
      <w:r w:rsidR="003D74AF">
        <w:rPr>
          <w:lang w:eastAsia="en-CA"/>
        </w:rPr>
        <w:t xml:space="preserve">and </w:t>
      </w:r>
      <w:r w:rsidRPr="00D637CA">
        <w:rPr>
          <w:lang w:eastAsia="en-CA"/>
        </w:rPr>
        <w:t>Regional Adviser for Econom</w:t>
      </w:r>
      <w:r w:rsidR="00FD31D7">
        <w:rPr>
          <w:lang w:eastAsia="en-CA"/>
        </w:rPr>
        <w:t xml:space="preserve">ic Security and Rights, UNIFEM.  </w:t>
      </w:r>
      <w:r w:rsidR="0000680F">
        <w:rPr>
          <w:lang w:eastAsia="en-CA"/>
        </w:rPr>
        <w:t xml:space="preserve">Prior to this she served as </w:t>
      </w:r>
      <w:r w:rsidRPr="00D637CA">
        <w:rPr>
          <w:lang w:eastAsia="en-CA"/>
        </w:rPr>
        <w:t xml:space="preserve">Country Economist for the Asian Development Bank. </w:t>
      </w:r>
    </w:p>
    <w:p w14:paraId="12DD3875" w14:textId="77777777" w:rsidR="00620064" w:rsidRDefault="000F08E0" w:rsidP="00620064">
      <w:pPr>
        <w:ind w:right="70"/>
        <w:rPr>
          <w:rFonts w:ascii="Times New Roman" w:hAnsi="Times New Roman"/>
          <w:lang w:val="en-CA" w:eastAsia="en-CA"/>
        </w:rPr>
      </w:pPr>
      <w:r>
        <w:rPr>
          <w:lang w:eastAsia="en-CA"/>
        </w:rPr>
        <w:t>Ms Alexander</w:t>
      </w:r>
      <w:r w:rsidRPr="00D637CA">
        <w:rPr>
          <w:lang w:eastAsia="en-CA"/>
        </w:rPr>
        <w:t xml:space="preserve"> has </w:t>
      </w:r>
      <w:r w:rsidR="00FD31D7">
        <w:rPr>
          <w:lang w:eastAsia="en-CA"/>
        </w:rPr>
        <w:t xml:space="preserve">successfully </w:t>
      </w:r>
      <w:r w:rsidRPr="00D637CA">
        <w:rPr>
          <w:lang w:eastAsia="en-CA"/>
        </w:rPr>
        <w:t>provided consulting and technical advisory services in more than thirty countries in the Middle East</w:t>
      </w:r>
      <w:r w:rsidR="00971E27">
        <w:rPr>
          <w:lang w:eastAsia="en-CA"/>
        </w:rPr>
        <w:t xml:space="preserve">, Africa, Central Asia and Asia </w:t>
      </w:r>
      <w:r w:rsidRPr="00D637CA">
        <w:rPr>
          <w:lang w:eastAsia="en-CA"/>
        </w:rPr>
        <w:t xml:space="preserve">Pacific, Eastern Europe and Latin America. </w:t>
      </w:r>
      <w:r>
        <w:rPr>
          <w:lang w:eastAsia="en-CA"/>
        </w:rPr>
        <w:t xml:space="preserve"> </w:t>
      </w:r>
      <w:r w:rsidRPr="00D637CA">
        <w:rPr>
          <w:lang w:eastAsia="en-CA"/>
        </w:rPr>
        <w:t>She holds an MA in Economics from McGill University</w:t>
      </w:r>
      <w:r w:rsidR="009A5945">
        <w:rPr>
          <w:lang w:eastAsia="en-CA"/>
        </w:rPr>
        <w:t xml:space="preserve"> and a BA in Political Science from Carleton University (Canada).  S</w:t>
      </w:r>
      <w:r w:rsidRPr="00D637CA">
        <w:rPr>
          <w:lang w:eastAsia="en-CA"/>
        </w:rPr>
        <w:t xml:space="preserve">he did post-graduate </w:t>
      </w:r>
      <w:r w:rsidR="00C25559">
        <w:rPr>
          <w:lang w:eastAsia="en-CA"/>
        </w:rPr>
        <w:t>research</w:t>
      </w:r>
      <w:r w:rsidRPr="00D637CA">
        <w:rPr>
          <w:lang w:eastAsia="en-CA"/>
        </w:rPr>
        <w:t xml:space="preserve"> at the University of Manchester, School of Economics and the Centre for Cen</w:t>
      </w:r>
      <w:r w:rsidR="00FD31D7">
        <w:rPr>
          <w:lang w:eastAsia="en-CA"/>
        </w:rPr>
        <w:t xml:space="preserve">sus and Survey Research (U.K.).  She also did post-graduate research at </w:t>
      </w:r>
      <w:r w:rsidRPr="00D637CA">
        <w:rPr>
          <w:lang w:eastAsia="en-CA"/>
        </w:rPr>
        <w:t xml:space="preserve">the People’s University of China, Beijing. </w:t>
      </w:r>
    </w:p>
    <w:p w14:paraId="4BCB8B5D" w14:textId="77777777" w:rsidR="00620064" w:rsidRDefault="00620064">
      <w:pPr>
        <w:rPr>
          <w:rFonts w:ascii="Times New Roman" w:hAnsi="Times New Roman"/>
          <w:lang w:val="en-CA" w:eastAsia="en-CA"/>
        </w:rPr>
      </w:pPr>
      <w:r>
        <w:rPr>
          <w:rFonts w:ascii="Times New Roman" w:hAnsi="Times New Roman"/>
          <w:lang w:val="en-CA" w:eastAsia="en-CA"/>
        </w:rPr>
        <w:br w:type="page"/>
      </w:r>
    </w:p>
    <w:p w14:paraId="5AAE44BA" w14:textId="2A47E3F2" w:rsidR="00622F57" w:rsidRPr="00414304" w:rsidRDefault="00622F57" w:rsidP="00620064">
      <w:pPr>
        <w:pStyle w:val="Heading1"/>
        <w:ind w:right="-72"/>
        <w:rPr>
          <w:szCs w:val="36"/>
        </w:rPr>
      </w:pPr>
      <w:bookmarkStart w:id="67" w:name="_Toc399078793"/>
      <w:r w:rsidRPr="00414304">
        <w:t xml:space="preserve">Annex </w:t>
      </w:r>
      <w:r>
        <w:t>7</w:t>
      </w:r>
      <w:r w:rsidR="00372DE5">
        <w:t>.</w:t>
      </w:r>
      <w:r w:rsidRPr="00414304">
        <w:t xml:space="preserve">  United Nations Evaluation Group Code of Conduct</w:t>
      </w:r>
      <w:r w:rsidRPr="00414304">
        <w:rPr>
          <w:szCs w:val="36"/>
        </w:rPr>
        <w:t xml:space="preserve"> for Evaluation in the UN System</w:t>
      </w:r>
      <w:bookmarkEnd w:id="67"/>
      <w:r w:rsidRPr="00414304">
        <w:rPr>
          <w:szCs w:val="36"/>
        </w:rPr>
        <w:t xml:space="preserve"> </w:t>
      </w:r>
    </w:p>
    <w:p w14:paraId="6A8F7A85" w14:textId="77777777" w:rsidR="00622F57" w:rsidRPr="00BF7C53" w:rsidRDefault="00622F57" w:rsidP="00622F57">
      <w:pPr>
        <w:pStyle w:val="Default"/>
        <w:rPr>
          <w:sz w:val="36"/>
          <w:szCs w:val="36"/>
          <w:lang w:val="en-GB"/>
        </w:rPr>
      </w:pPr>
    </w:p>
    <w:p w14:paraId="1D5C3030" w14:textId="77777777" w:rsidR="00622F57" w:rsidRPr="00BF7C53" w:rsidRDefault="00622F57" w:rsidP="00104BAD">
      <w:pPr>
        <w:pStyle w:val="Default"/>
        <w:ind w:right="211"/>
        <w:rPr>
          <w:sz w:val="30"/>
          <w:szCs w:val="30"/>
          <w:lang w:val="en-GB"/>
        </w:rPr>
      </w:pPr>
      <w:r w:rsidRPr="00BF7C53">
        <w:rPr>
          <w:b/>
          <w:bCs/>
          <w:sz w:val="30"/>
          <w:szCs w:val="30"/>
          <w:lang w:val="en-GB"/>
        </w:rPr>
        <w:t xml:space="preserve">Evaluation Consultants Agreement </w:t>
      </w:r>
    </w:p>
    <w:p w14:paraId="74B15C2E" w14:textId="77777777" w:rsidR="00622F57" w:rsidRDefault="00622F57" w:rsidP="00104BAD">
      <w:pPr>
        <w:pStyle w:val="Default"/>
        <w:ind w:right="70"/>
        <w:rPr>
          <w:sz w:val="22"/>
          <w:szCs w:val="22"/>
          <w:lang w:val="en-GB"/>
        </w:rPr>
      </w:pPr>
      <w:r w:rsidRPr="00BF7C53">
        <w:rPr>
          <w:sz w:val="22"/>
          <w:szCs w:val="22"/>
          <w:lang w:val="en-GB"/>
        </w:rPr>
        <w:t xml:space="preserve">To be signed by all consultants as individuals (not by or on behalf of a consultancy company) before a contract can be issued. </w:t>
      </w:r>
    </w:p>
    <w:p w14:paraId="532A3A22" w14:textId="77777777" w:rsidR="00622F57" w:rsidRPr="00BF7C53" w:rsidRDefault="00622F57" w:rsidP="00622F57">
      <w:pPr>
        <w:pStyle w:val="Default"/>
        <w:rPr>
          <w:sz w:val="22"/>
          <w:szCs w:val="22"/>
          <w:lang w:val="en-GB"/>
        </w:rPr>
      </w:pPr>
    </w:p>
    <w:p w14:paraId="16051A13" w14:textId="77777777" w:rsidR="00622F57" w:rsidRDefault="00622F57" w:rsidP="00104BAD">
      <w:pPr>
        <w:pStyle w:val="Default"/>
        <w:ind w:right="70"/>
        <w:rPr>
          <w:b/>
          <w:bCs/>
          <w:sz w:val="30"/>
          <w:szCs w:val="30"/>
          <w:lang w:val="en-GB"/>
        </w:rPr>
      </w:pPr>
      <w:r w:rsidRPr="00BF7C53">
        <w:rPr>
          <w:b/>
          <w:bCs/>
          <w:sz w:val="30"/>
          <w:szCs w:val="30"/>
          <w:lang w:val="en-GB"/>
        </w:rPr>
        <w:t xml:space="preserve">Agreement to abide by the Code of Conduct for Evaluation in the UN System </w:t>
      </w:r>
    </w:p>
    <w:p w14:paraId="5CC5F7B5" w14:textId="77777777" w:rsidR="00622F57" w:rsidRDefault="00622F57" w:rsidP="00622F57">
      <w:pPr>
        <w:pStyle w:val="Default"/>
        <w:rPr>
          <w:b/>
          <w:bCs/>
          <w:sz w:val="22"/>
          <w:szCs w:val="22"/>
          <w:lang w:val="en-GB"/>
        </w:rPr>
      </w:pPr>
      <w:r w:rsidRPr="00BF7C53">
        <w:rPr>
          <w:b/>
          <w:bCs/>
          <w:sz w:val="22"/>
          <w:szCs w:val="22"/>
          <w:lang w:val="en-GB"/>
        </w:rPr>
        <w:t xml:space="preserve">Name of Consultant: </w:t>
      </w:r>
      <w:r>
        <w:rPr>
          <w:b/>
          <w:bCs/>
          <w:sz w:val="22"/>
          <w:szCs w:val="22"/>
          <w:lang w:val="en-GB"/>
        </w:rPr>
        <w:t xml:space="preserve">      Patricia Alexander </w:t>
      </w:r>
    </w:p>
    <w:p w14:paraId="31BCCC6C" w14:textId="77777777" w:rsidR="00622F57" w:rsidRDefault="00622F57" w:rsidP="00622F57">
      <w:pPr>
        <w:pStyle w:val="Default"/>
        <w:rPr>
          <w:b/>
          <w:bCs/>
          <w:sz w:val="22"/>
          <w:szCs w:val="22"/>
          <w:lang w:val="en-GB"/>
        </w:rPr>
      </w:pPr>
    </w:p>
    <w:p w14:paraId="32FB13C4" w14:textId="77777777" w:rsidR="00622F57" w:rsidRDefault="00622F57" w:rsidP="00622F57">
      <w:pPr>
        <w:pStyle w:val="Default"/>
        <w:rPr>
          <w:sz w:val="22"/>
          <w:szCs w:val="22"/>
          <w:lang w:val="en-GB"/>
        </w:rPr>
      </w:pPr>
      <w:r w:rsidRPr="00BF7C53">
        <w:rPr>
          <w:b/>
          <w:bCs/>
          <w:sz w:val="22"/>
          <w:szCs w:val="22"/>
          <w:lang w:val="en-GB"/>
        </w:rPr>
        <w:t xml:space="preserve">Name of Consultancy Organisation </w:t>
      </w:r>
      <w:r w:rsidRPr="00BF7C53">
        <w:rPr>
          <w:sz w:val="22"/>
          <w:szCs w:val="22"/>
          <w:lang w:val="en-GB"/>
        </w:rPr>
        <w:t>(where relevant)</w:t>
      </w:r>
      <w:r w:rsidRPr="00BF7C53">
        <w:rPr>
          <w:b/>
          <w:bCs/>
          <w:sz w:val="22"/>
          <w:szCs w:val="22"/>
          <w:lang w:val="en-GB"/>
        </w:rPr>
        <w:t xml:space="preserve">: </w:t>
      </w:r>
      <w:r w:rsidRPr="00BF7C53">
        <w:rPr>
          <w:sz w:val="22"/>
          <w:szCs w:val="22"/>
          <w:lang w:val="en-GB"/>
        </w:rPr>
        <w:t xml:space="preserve">________________________________________ </w:t>
      </w:r>
    </w:p>
    <w:p w14:paraId="65321972" w14:textId="77777777" w:rsidR="00622F57" w:rsidRPr="00BF7C53" w:rsidRDefault="00622F57" w:rsidP="00622F57">
      <w:pPr>
        <w:pStyle w:val="Default"/>
        <w:rPr>
          <w:sz w:val="22"/>
          <w:szCs w:val="22"/>
          <w:lang w:val="en-GB"/>
        </w:rPr>
      </w:pPr>
    </w:p>
    <w:p w14:paraId="4E07230C" w14:textId="77777777" w:rsidR="00622F57" w:rsidRDefault="00622F57" w:rsidP="00622F57">
      <w:pPr>
        <w:pStyle w:val="Default"/>
        <w:rPr>
          <w:b/>
          <w:bCs/>
          <w:sz w:val="22"/>
          <w:szCs w:val="22"/>
          <w:lang w:val="en-GB"/>
        </w:rPr>
      </w:pPr>
      <w:r w:rsidRPr="00BF7C53">
        <w:rPr>
          <w:b/>
          <w:bCs/>
          <w:sz w:val="22"/>
          <w:szCs w:val="22"/>
          <w:lang w:val="en-GB"/>
        </w:rPr>
        <w:t xml:space="preserve">I confirm that I have received and understood and will abide by the United Nations Code of Conduct for Evaluation. </w:t>
      </w:r>
    </w:p>
    <w:p w14:paraId="02D86E23" w14:textId="77777777" w:rsidR="00622F57" w:rsidRDefault="00622F57" w:rsidP="00622F57">
      <w:pPr>
        <w:rPr>
          <w:rFonts w:ascii="Times New Roman" w:hAnsi="Times New Roman" w:cs="Times New Roman"/>
        </w:rPr>
      </w:pPr>
      <w:r>
        <w:rPr>
          <w:rFonts w:ascii="Times New Roman" w:hAnsi="Times New Roman" w:cs="Times New Roman"/>
        </w:rPr>
        <w:t xml:space="preserve">Signed at </w:t>
      </w:r>
      <w:r w:rsidR="00104BAD">
        <w:rPr>
          <w:rFonts w:ascii="Times New Roman" w:hAnsi="Times New Roman" w:cs="Times New Roman"/>
        </w:rPr>
        <w:t>Montreal</w:t>
      </w:r>
      <w:r w:rsidR="00C25559">
        <w:rPr>
          <w:rFonts w:ascii="Times New Roman" w:hAnsi="Times New Roman" w:cs="Times New Roman"/>
        </w:rPr>
        <w:t xml:space="preserve">, </w:t>
      </w:r>
      <w:r w:rsidR="0024257F">
        <w:rPr>
          <w:rFonts w:ascii="Times New Roman" w:hAnsi="Times New Roman" w:cs="Times New Roman"/>
        </w:rPr>
        <w:t>Quebec on 23</w:t>
      </w:r>
      <w:r w:rsidR="00104BAD">
        <w:rPr>
          <w:rFonts w:ascii="Times New Roman" w:hAnsi="Times New Roman" w:cs="Times New Roman"/>
        </w:rPr>
        <w:t xml:space="preserve"> July</w:t>
      </w:r>
      <w:r>
        <w:rPr>
          <w:rFonts w:ascii="Times New Roman" w:hAnsi="Times New Roman" w:cs="Times New Roman"/>
        </w:rPr>
        <w:t xml:space="preserve"> 201</w:t>
      </w:r>
      <w:r w:rsidR="00C25559">
        <w:rPr>
          <w:rFonts w:ascii="Times New Roman" w:hAnsi="Times New Roman" w:cs="Times New Roman"/>
        </w:rPr>
        <w:t>4</w:t>
      </w:r>
    </w:p>
    <w:p w14:paraId="4405E1F9" w14:textId="77777777" w:rsidR="00622F57" w:rsidRDefault="00622F57" w:rsidP="00622F57">
      <w:pPr>
        <w:rPr>
          <w:rFonts w:ascii="Times New Roman" w:hAnsi="Times New Roman" w:cs="Times New Roman"/>
        </w:rPr>
      </w:pPr>
    </w:p>
    <w:p w14:paraId="30BADC36" w14:textId="77777777" w:rsidR="00622F57" w:rsidRDefault="00622F57" w:rsidP="00622F57">
      <w:pPr>
        <w:ind w:left="2160"/>
        <w:rPr>
          <w:rFonts w:ascii="Times New Roman" w:hAnsi="Times New Roman" w:cs="Times New Roman"/>
        </w:rPr>
      </w:pPr>
      <w:r>
        <w:rPr>
          <w:rFonts w:ascii="Arial" w:hAnsi="Arial" w:cs="Arial"/>
          <w:noProof/>
          <w:lang w:val="en-US"/>
        </w:rPr>
        <w:drawing>
          <wp:inline distT="0" distB="0" distL="0" distR="0" wp14:anchorId="4D74EB50" wp14:editId="19743B99">
            <wp:extent cx="1574165" cy="588645"/>
            <wp:effectExtent l="19050" t="0" r="6985" b="0"/>
            <wp:docPr id="5" name="Picture 1" descr="sign_p1_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_p1_f2"/>
                    <pic:cNvPicPr>
                      <a:picLocks noChangeAspect="1" noChangeArrowheads="1"/>
                    </pic:cNvPicPr>
                  </pic:nvPicPr>
                  <pic:blipFill>
                    <a:blip r:embed="rId18" cstate="print"/>
                    <a:srcRect/>
                    <a:stretch>
                      <a:fillRect/>
                    </a:stretch>
                  </pic:blipFill>
                  <pic:spPr bwMode="auto">
                    <a:xfrm>
                      <a:off x="0" y="0"/>
                      <a:ext cx="1574165" cy="588645"/>
                    </a:xfrm>
                    <a:prstGeom prst="rect">
                      <a:avLst/>
                    </a:prstGeom>
                    <a:noFill/>
                    <a:ln w="9525">
                      <a:noFill/>
                      <a:miter lim="800000"/>
                      <a:headEnd/>
                      <a:tailEnd/>
                    </a:ln>
                  </pic:spPr>
                </pic:pic>
              </a:graphicData>
            </a:graphic>
          </wp:inline>
        </w:drawing>
      </w:r>
    </w:p>
    <w:p w14:paraId="0B9ECA6E" w14:textId="77777777" w:rsidR="00622F57" w:rsidRDefault="00622F57" w:rsidP="00622F57">
      <w:r w:rsidRPr="00BF7C53">
        <w:t>Signature:</w:t>
      </w:r>
      <w:r w:rsidR="00D80FDC">
        <w:t xml:space="preserve"> ________________________</w:t>
      </w:r>
      <w:r w:rsidRPr="00BF7C53">
        <w:t>___________________________________________</w:t>
      </w:r>
    </w:p>
    <w:p w14:paraId="65C88406" w14:textId="77777777" w:rsidR="00622F57" w:rsidRPr="008C3963" w:rsidRDefault="00622F57" w:rsidP="00622F57">
      <w:pPr>
        <w:jc w:val="right"/>
        <w:rPr>
          <w:color w:val="365F91" w:themeColor="accent1" w:themeShade="BF"/>
        </w:rPr>
      </w:pPr>
      <w:r w:rsidRPr="008C3963">
        <w:rPr>
          <w:b/>
          <w:bCs/>
          <w:color w:val="365F91" w:themeColor="accent1" w:themeShade="BF"/>
          <w:sz w:val="20"/>
          <w:szCs w:val="20"/>
        </w:rPr>
        <w:t>UNEG Code of Conduct (2008)</w:t>
      </w:r>
    </w:p>
    <w:p w14:paraId="587DBE82" w14:textId="77777777" w:rsidR="009F6829" w:rsidRPr="009F6829" w:rsidRDefault="009F6829" w:rsidP="009F6829"/>
    <w:p w14:paraId="2C89C5BA" w14:textId="77777777" w:rsidR="00C109C8" w:rsidRDefault="00C109C8">
      <w:pPr>
        <w:sectPr w:rsidR="00C109C8" w:rsidSect="00C109C8">
          <w:footerReference w:type="default" r:id="rId19"/>
          <w:pgSz w:w="11907" w:h="16839" w:code="9"/>
          <w:pgMar w:top="993" w:right="1325" w:bottom="1440" w:left="1440" w:header="708" w:footer="708" w:gutter="0"/>
          <w:cols w:space="708"/>
          <w:titlePg/>
          <w:docGrid w:linePitch="360"/>
        </w:sectPr>
      </w:pPr>
      <w:r>
        <w:br w:type="page"/>
      </w:r>
    </w:p>
    <w:p w14:paraId="01E52839" w14:textId="63C58B9C" w:rsidR="00C109C8" w:rsidRDefault="00C109C8"/>
    <w:p w14:paraId="4F44C5F5" w14:textId="77777777" w:rsidR="00C109C8" w:rsidRPr="008363A5" w:rsidRDefault="00C109C8" w:rsidP="00C109C8">
      <w:pPr>
        <w:pStyle w:val="Heading1"/>
      </w:pPr>
      <w:bookmarkStart w:id="68" w:name="_Toc399078794"/>
      <w:r w:rsidRPr="008363A5">
        <w:t>Annex 8. Evaluation Matrix</w:t>
      </w:r>
      <w:bookmarkEnd w:id="68"/>
    </w:p>
    <w:p w14:paraId="1C6B2B24" w14:textId="77777777" w:rsidR="00C109C8" w:rsidRPr="008363A5" w:rsidRDefault="00C109C8" w:rsidP="00C109C8">
      <w:pPr>
        <w:rPr>
          <w:sz w:val="18"/>
        </w:rPr>
      </w:pPr>
      <w:r>
        <w:rPr>
          <w:sz w:val="18"/>
        </w:rPr>
        <w:t>(See Abbreviations, p. 6.)</w:t>
      </w:r>
    </w:p>
    <w:tbl>
      <w:tblPr>
        <w:tblStyle w:val="TableGrid"/>
        <w:tblW w:w="5000" w:type="pct"/>
        <w:jc w:val="center"/>
        <w:tblLook w:val="04A0" w:firstRow="1" w:lastRow="0" w:firstColumn="1" w:lastColumn="0" w:noHBand="0" w:noVBand="1"/>
      </w:tblPr>
      <w:tblGrid>
        <w:gridCol w:w="2709"/>
        <w:gridCol w:w="3723"/>
        <w:gridCol w:w="4129"/>
        <w:gridCol w:w="1900"/>
        <w:gridCol w:w="1935"/>
      </w:tblGrid>
      <w:tr w:rsidR="00C109C8" w:rsidRPr="008363A5" w14:paraId="23A45A35" w14:textId="77777777" w:rsidTr="000C417E">
        <w:trPr>
          <w:tblHeader/>
          <w:jc w:val="center"/>
        </w:trPr>
        <w:tc>
          <w:tcPr>
            <w:tcW w:w="5000" w:type="pct"/>
            <w:gridSpan w:val="5"/>
            <w:shd w:val="clear" w:color="auto" w:fill="DBE5F1" w:themeFill="accent1" w:themeFillTint="33"/>
          </w:tcPr>
          <w:p w14:paraId="5662B41B" w14:textId="77777777" w:rsidR="00C109C8" w:rsidRPr="00D57261" w:rsidRDefault="00C109C8" w:rsidP="000C417E">
            <w:pPr>
              <w:rPr>
                <w:b/>
                <w:sz w:val="28"/>
              </w:rPr>
            </w:pPr>
            <w:r w:rsidRPr="00D57261">
              <w:rPr>
                <w:b/>
                <w:sz w:val="28"/>
              </w:rPr>
              <w:t>Outcome 1: Social Empowerment and Institutional Strengthening with Emphasis on Youth</w:t>
            </w:r>
          </w:p>
        </w:tc>
      </w:tr>
      <w:tr w:rsidR="00C109C8" w:rsidRPr="008363A5" w14:paraId="4AD6E453" w14:textId="77777777" w:rsidTr="000C417E">
        <w:trPr>
          <w:trHeight w:val="844"/>
          <w:tblHeader/>
          <w:jc w:val="center"/>
        </w:trPr>
        <w:tc>
          <w:tcPr>
            <w:tcW w:w="941" w:type="pct"/>
            <w:shd w:val="clear" w:color="auto" w:fill="B8CCE4" w:themeFill="accent1" w:themeFillTint="66"/>
            <w:vAlign w:val="center"/>
          </w:tcPr>
          <w:p w14:paraId="73257A65" w14:textId="77777777" w:rsidR="00C109C8" w:rsidRPr="008363A5" w:rsidRDefault="00C109C8" w:rsidP="000C417E">
            <w:pPr>
              <w:ind w:right="33"/>
            </w:pPr>
            <w:r w:rsidRPr="008363A5">
              <w:t>Criteria</w:t>
            </w:r>
          </w:p>
        </w:tc>
        <w:tc>
          <w:tcPr>
            <w:tcW w:w="1293" w:type="pct"/>
            <w:shd w:val="clear" w:color="auto" w:fill="B8CCE4" w:themeFill="accent1" w:themeFillTint="66"/>
            <w:vAlign w:val="center"/>
          </w:tcPr>
          <w:p w14:paraId="7FD5580B" w14:textId="77777777" w:rsidR="00C109C8" w:rsidRPr="008363A5" w:rsidRDefault="00C109C8" w:rsidP="000C417E">
            <w:pPr>
              <w:ind w:right="-132"/>
              <w:jc w:val="center"/>
            </w:pPr>
            <w:r w:rsidRPr="008363A5">
              <w:t>Issues addressed by Outcome Evaluation</w:t>
            </w:r>
          </w:p>
        </w:tc>
        <w:tc>
          <w:tcPr>
            <w:tcW w:w="1434" w:type="pct"/>
            <w:shd w:val="clear" w:color="auto" w:fill="B8CCE4" w:themeFill="accent1" w:themeFillTint="66"/>
            <w:vAlign w:val="center"/>
          </w:tcPr>
          <w:p w14:paraId="369F98CE" w14:textId="77777777" w:rsidR="00C109C8" w:rsidRPr="008363A5" w:rsidRDefault="00C109C8" w:rsidP="000C417E">
            <w:pPr>
              <w:ind w:right="288"/>
              <w:jc w:val="center"/>
            </w:pPr>
            <w:r w:rsidRPr="008363A5">
              <w:t>Findings</w:t>
            </w:r>
          </w:p>
        </w:tc>
        <w:tc>
          <w:tcPr>
            <w:tcW w:w="660" w:type="pct"/>
            <w:shd w:val="clear" w:color="auto" w:fill="B8CCE4" w:themeFill="accent1" w:themeFillTint="66"/>
            <w:vAlign w:val="center"/>
          </w:tcPr>
          <w:p w14:paraId="23B5E596" w14:textId="77777777" w:rsidR="00C109C8" w:rsidRDefault="00C109C8" w:rsidP="000C417E">
            <w:pPr>
              <w:ind w:right="161"/>
              <w:jc w:val="center"/>
              <w:rPr>
                <w:sz w:val="20"/>
              </w:rPr>
            </w:pPr>
            <w:r w:rsidRPr="008363A5">
              <w:t>Data sources</w:t>
            </w:r>
            <w:r w:rsidRPr="00D57261">
              <w:rPr>
                <w:sz w:val="20"/>
              </w:rPr>
              <w:t xml:space="preserve"> </w:t>
            </w:r>
          </w:p>
          <w:p w14:paraId="143581AA" w14:textId="77777777" w:rsidR="00C109C8" w:rsidRPr="008363A5" w:rsidRDefault="00C109C8" w:rsidP="000C417E">
            <w:pPr>
              <w:ind w:right="161"/>
              <w:jc w:val="center"/>
            </w:pPr>
            <w:r w:rsidRPr="00D57261">
              <w:rPr>
                <w:sz w:val="14"/>
              </w:rPr>
              <w:t>(See References for full citations</w:t>
            </w:r>
            <w:r>
              <w:rPr>
                <w:sz w:val="14"/>
              </w:rPr>
              <w:t>)</w:t>
            </w:r>
          </w:p>
        </w:tc>
        <w:tc>
          <w:tcPr>
            <w:tcW w:w="672" w:type="pct"/>
            <w:shd w:val="clear" w:color="auto" w:fill="B8CCE4" w:themeFill="accent1" w:themeFillTint="66"/>
            <w:vAlign w:val="center"/>
          </w:tcPr>
          <w:p w14:paraId="63BC05E3" w14:textId="77777777" w:rsidR="00C109C8" w:rsidRPr="008363A5" w:rsidRDefault="00C109C8" w:rsidP="000C417E">
            <w:pPr>
              <w:ind w:right="-18"/>
              <w:jc w:val="center"/>
            </w:pPr>
            <w:r w:rsidRPr="008363A5">
              <w:t>Data collection</w:t>
            </w:r>
          </w:p>
          <w:p w14:paraId="3F3AB8F8" w14:textId="77777777" w:rsidR="00C109C8" w:rsidRPr="008363A5" w:rsidRDefault="00C109C8" w:rsidP="000C417E">
            <w:pPr>
              <w:ind w:right="-18"/>
              <w:jc w:val="center"/>
            </w:pPr>
            <w:r w:rsidRPr="008363A5">
              <w:t>methods</w:t>
            </w:r>
          </w:p>
        </w:tc>
      </w:tr>
      <w:tr w:rsidR="00C109C8" w:rsidRPr="008363A5" w14:paraId="1EF60B9E" w14:textId="77777777" w:rsidTr="000C417E">
        <w:trPr>
          <w:jc w:val="center"/>
        </w:trPr>
        <w:tc>
          <w:tcPr>
            <w:tcW w:w="941" w:type="pct"/>
            <w:vMerge w:val="restart"/>
            <w:shd w:val="clear" w:color="auto" w:fill="B8CCE4" w:themeFill="accent1" w:themeFillTint="66"/>
            <w:vAlign w:val="center"/>
          </w:tcPr>
          <w:p w14:paraId="31022303" w14:textId="77777777" w:rsidR="00C109C8" w:rsidRPr="008363A5" w:rsidRDefault="00C109C8" w:rsidP="000C417E">
            <w:pPr>
              <w:ind w:right="33"/>
            </w:pPr>
            <w:r w:rsidRPr="008363A5">
              <w:t>Relevance</w:t>
            </w:r>
          </w:p>
        </w:tc>
        <w:tc>
          <w:tcPr>
            <w:tcW w:w="1293" w:type="pct"/>
            <w:vAlign w:val="center"/>
          </w:tcPr>
          <w:p w14:paraId="3A060248" w14:textId="77777777" w:rsidR="00C109C8" w:rsidRPr="008363A5" w:rsidRDefault="00C109C8" w:rsidP="000C417E">
            <w:pPr>
              <w:tabs>
                <w:tab w:val="left" w:pos="455"/>
              </w:tabs>
              <w:spacing w:before="40" w:after="40"/>
              <w:ind w:right="156"/>
              <w:rPr>
                <w:rFonts w:ascii="Calibri" w:eastAsia="Calibri" w:hAnsi="Calibri" w:cs="Calibri"/>
                <w:sz w:val="18"/>
                <w:szCs w:val="18"/>
              </w:rPr>
            </w:pPr>
            <w:r w:rsidRPr="008363A5">
              <w:rPr>
                <w:rFonts w:ascii="Calibri"/>
                <w:color w:val="231F20"/>
                <w:sz w:val="18"/>
              </w:rPr>
              <w:t>Alignment</w:t>
            </w:r>
            <w:r w:rsidRPr="008363A5">
              <w:rPr>
                <w:rFonts w:ascii="Calibri"/>
                <w:color w:val="231F20"/>
                <w:spacing w:val="13"/>
                <w:sz w:val="18"/>
              </w:rPr>
              <w:t xml:space="preserve"> </w:t>
            </w:r>
            <w:r w:rsidRPr="008363A5">
              <w:rPr>
                <w:rFonts w:ascii="Calibri"/>
                <w:color w:val="231F20"/>
                <w:sz w:val="18"/>
              </w:rPr>
              <w:t>with</w:t>
            </w:r>
            <w:r w:rsidRPr="008363A5">
              <w:rPr>
                <w:rFonts w:ascii="Calibri"/>
                <w:color w:val="231F20"/>
                <w:w w:val="102"/>
                <w:sz w:val="18"/>
              </w:rPr>
              <w:t xml:space="preserve"> </w:t>
            </w:r>
            <w:r w:rsidRPr="008363A5">
              <w:rPr>
                <w:rFonts w:ascii="Calibri"/>
                <w:color w:val="231F20"/>
                <w:sz w:val="18"/>
              </w:rPr>
              <w:t>national</w:t>
            </w:r>
            <w:r w:rsidRPr="008363A5">
              <w:rPr>
                <w:rFonts w:ascii="Calibri"/>
                <w:color w:val="231F20"/>
                <w:spacing w:val="13"/>
                <w:sz w:val="18"/>
              </w:rPr>
              <w:t xml:space="preserve"> </w:t>
            </w:r>
            <w:r w:rsidRPr="008363A5">
              <w:rPr>
                <w:rFonts w:ascii="Calibri"/>
                <w:color w:val="231F20"/>
                <w:sz w:val="18"/>
              </w:rPr>
              <w:t>strategies</w:t>
            </w:r>
          </w:p>
          <w:p w14:paraId="139255FB" w14:textId="77777777" w:rsidR="00C109C8" w:rsidRPr="008363A5" w:rsidRDefault="00C109C8" w:rsidP="000C417E">
            <w:pPr>
              <w:tabs>
                <w:tab w:val="left" w:pos="455"/>
              </w:tabs>
              <w:spacing w:before="40" w:after="40"/>
              <w:ind w:right="156"/>
            </w:pPr>
            <w:r w:rsidRPr="008363A5">
              <w:rPr>
                <w:rFonts w:ascii="Calibri"/>
                <w:color w:val="231F20"/>
                <w:sz w:val="18"/>
              </w:rPr>
              <w:t>Harmony with</w:t>
            </w:r>
            <w:r w:rsidRPr="008363A5">
              <w:rPr>
                <w:rFonts w:ascii="Calibri"/>
                <w:color w:val="231F20"/>
                <w:spacing w:val="11"/>
                <w:sz w:val="18"/>
              </w:rPr>
              <w:t xml:space="preserve"> </w:t>
            </w:r>
            <w:r w:rsidRPr="008363A5">
              <w:rPr>
                <w:rFonts w:ascii="Calibri"/>
                <w:color w:val="231F20"/>
                <w:sz w:val="18"/>
              </w:rPr>
              <w:t>human</w:t>
            </w:r>
            <w:r w:rsidRPr="008363A5">
              <w:rPr>
                <w:rFonts w:ascii="Calibri"/>
                <w:color w:val="231F20"/>
                <w:w w:val="104"/>
                <w:sz w:val="18"/>
              </w:rPr>
              <w:t xml:space="preserve"> </w:t>
            </w:r>
            <w:r w:rsidRPr="008363A5">
              <w:rPr>
                <w:rFonts w:ascii="Calibri"/>
                <w:color w:val="231F20"/>
                <w:sz w:val="18"/>
              </w:rPr>
              <w:t>development</w:t>
            </w:r>
            <w:r w:rsidRPr="008363A5">
              <w:rPr>
                <w:rFonts w:ascii="Calibri"/>
                <w:color w:val="231F20"/>
                <w:spacing w:val="27"/>
                <w:sz w:val="18"/>
              </w:rPr>
              <w:t xml:space="preserve"> </w:t>
            </w:r>
            <w:r w:rsidRPr="008363A5">
              <w:rPr>
                <w:rFonts w:ascii="Calibri"/>
                <w:color w:val="231F20"/>
                <w:sz w:val="18"/>
              </w:rPr>
              <w:t>needs</w:t>
            </w:r>
            <w:r w:rsidRPr="008363A5">
              <w:rPr>
                <w:rFonts w:ascii="Calibri"/>
                <w:color w:val="231F20"/>
                <w:spacing w:val="28"/>
                <w:sz w:val="18"/>
              </w:rPr>
              <w:t xml:space="preserve"> </w:t>
            </w:r>
            <w:r w:rsidRPr="008363A5">
              <w:rPr>
                <w:rFonts w:ascii="Calibri"/>
                <w:color w:val="231F20"/>
                <w:sz w:val="18"/>
              </w:rPr>
              <w:t>and</w:t>
            </w:r>
            <w:r w:rsidRPr="008363A5">
              <w:rPr>
                <w:rFonts w:ascii="Calibri"/>
                <w:color w:val="231F20"/>
                <w:w w:val="104"/>
                <w:sz w:val="18"/>
              </w:rPr>
              <w:t xml:space="preserve"> </w:t>
            </w:r>
            <w:r w:rsidRPr="008363A5">
              <w:rPr>
                <w:rFonts w:ascii="Calibri"/>
                <w:color w:val="231F20"/>
                <w:sz w:val="18"/>
              </w:rPr>
              <w:t>the</w:t>
            </w:r>
            <w:r w:rsidRPr="008363A5">
              <w:rPr>
                <w:rFonts w:ascii="Calibri"/>
                <w:color w:val="231F20"/>
                <w:spacing w:val="26"/>
                <w:sz w:val="18"/>
              </w:rPr>
              <w:t xml:space="preserve"> </w:t>
            </w:r>
            <w:r w:rsidRPr="008363A5">
              <w:rPr>
                <w:rFonts w:ascii="Calibri"/>
                <w:color w:val="231F20"/>
                <w:sz w:val="18"/>
              </w:rPr>
              <w:t>specific</w:t>
            </w:r>
            <w:r w:rsidRPr="008363A5">
              <w:rPr>
                <w:rFonts w:ascii="Calibri"/>
                <w:color w:val="231F20"/>
                <w:spacing w:val="26"/>
                <w:sz w:val="18"/>
              </w:rPr>
              <w:t xml:space="preserve"> </w:t>
            </w:r>
            <w:r w:rsidRPr="008363A5">
              <w:rPr>
                <w:rFonts w:ascii="Calibri"/>
                <w:color w:val="231F20"/>
                <w:sz w:val="18"/>
              </w:rPr>
              <w:t>development</w:t>
            </w:r>
            <w:r w:rsidRPr="008363A5">
              <w:rPr>
                <w:rFonts w:ascii="Calibri"/>
                <w:color w:val="231F20"/>
                <w:w w:val="103"/>
                <w:sz w:val="18"/>
              </w:rPr>
              <w:t xml:space="preserve"> </w:t>
            </w:r>
            <w:r w:rsidRPr="008363A5">
              <w:rPr>
                <w:rFonts w:ascii="Calibri"/>
                <w:color w:val="231F20"/>
                <w:sz w:val="18"/>
              </w:rPr>
              <w:t>challenges</w:t>
            </w:r>
            <w:r w:rsidRPr="008363A5">
              <w:rPr>
                <w:rFonts w:ascii="Calibri"/>
                <w:color w:val="231F20"/>
                <w:spacing w:val="16"/>
                <w:sz w:val="18"/>
              </w:rPr>
              <w:t xml:space="preserve"> of KSA </w:t>
            </w:r>
          </w:p>
        </w:tc>
        <w:tc>
          <w:tcPr>
            <w:tcW w:w="1434" w:type="pct"/>
          </w:tcPr>
          <w:p w14:paraId="6FF93F25" w14:textId="77777777" w:rsidR="00C109C8" w:rsidRPr="000C7DFD" w:rsidRDefault="00C109C8" w:rsidP="000C417E">
            <w:pPr>
              <w:ind w:right="64"/>
              <w:rPr>
                <w:rFonts w:ascii="Calibri"/>
                <w:color w:val="231F20"/>
                <w:sz w:val="18"/>
                <w:szCs w:val="18"/>
              </w:rPr>
            </w:pPr>
            <w:r w:rsidRPr="000C7DFD">
              <w:rPr>
                <w:rFonts w:ascii="Calibri"/>
                <w:color w:val="231F20"/>
                <w:sz w:val="18"/>
                <w:szCs w:val="18"/>
              </w:rPr>
              <w:t>Outcome 1 is aligned with government</w:t>
            </w:r>
            <w:r w:rsidRPr="000C7DFD">
              <w:rPr>
                <w:rFonts w:ascii="Calibri"/>
                <w:color w:val="231F20"/>
                <w:sz w:val="18"/>
                <w:szCs w:val="18"/>
              </w:rPr>
              <w:t>’</w:t>
            </w:r>
            <w:r w:rsidRPr="000C7DFD">
              <w:rPr>
                <w:rFonts w:ascii="Calibri"/>
                <w:color w:val="231F20"/>
                <w:sz w:val="18"/>
                <w:szCs w:val="18"/>
              </w:rPr>
              <w:t xml:space="preserve">s 9th NDP; </w:t>
            </w:r>
            <w:r w:rsidRPr="000C7DFD">
              <w:rPr>
                <w:sz w:val="18"/>
                <w:szCs w:val="18"/>
              </w:rPr>
              <w:t>addressing education and employment needs for its youth will define the sustainability of development in KSA.</w:t>
            </w:r>
          </w:p>
        </w:tc>
        <w:tc>
          <w:tcPr>
            <w:tcW w:w="660" w:type="pct"/>
            <w:vMerge w:val="restart"/>
            <w:vAlign w:val="center"/>
          </w:tcPr>
          <w:p w14:paraId="47F85ACA" w14:textId="77777777" w:rsidR="00C109C8" w:rsidRPr="009B396C" w:rsidRDefault="00C109C8" w:rsidP="000C417E">
            <w:pPr>
              <w:spacing w:before="60" w:after="60"/>
              <w:ind w:right="0"/>
              <w:rPr>
                <w:sz w:val="18"/>
              </w:rPr>
            </w:pPr>
            <w:r w:rsidRPr="009B396C">
              <w:rPr>
                <w:sz w:val="18"/>
              </w:rPr>
              <w:t>NDP 2010-2014</w:t>
            </w:r>
          </w:p>
          <w:p w14:paraId="1DBFC409" w14:textId="77777777" w:rsidR="00C109C8" w:rsidRDefault="00C109C8" w:rsidP="000C417E">
            <w:pPr>
              <w:spacing w:before="60" w:after="60"/>
              <w:ind w:right="0"/>
              <w:rPr>
                <w:sz w:val="18"/>
              </w:rPr>
            </w:pPr>
            <w:r w:rsidRPr="009B396C">
              <w:rPr>
                <w:sz w:val="18"/>
              </w:rPr>
              <w:t>UNDP-KSA 2010</w:t>
            </w:r>
          </w:p>
          <w:p w14:paraId="60D06023" w14:textId="77777777" w:rsidR="00C109C8" w:rsidRPr="009B396C" w:rsidRDefault="00C109C8" w:rsidP="000C417E">
            <w:pPr>
              <w:spacing w:before="60" w:after="60"/>
              <w:ind w:right="0"/>
              <w:rPr>
                <w:sz w:val="18"/>
              </w:rPr>
            </w:pPr>
            <w:r>
              <w:rPr>
                <w:sz w:val="18"/>
              </w:rPr>
              <w:t>UNDP-KSA 2011a</w:t>
            </w:r>
          </w:p>
          <w:p w14:paraId="35051ADF" w14:textId="77777777" w:rsidR="00C109C8" w:rsidRPr="009B396C" w:rsidRDefault="00C109C8" w:rsidP="000C417E">
            <w:pPr>
              <w:spacing w:before="60" w:after="60"/>
              <w:ind w:right="0"/>
              <w:rPr>
                <w:sz w:val="18"/>
              </w:rPr>
            </w:pPr>
            <w:r w:rsidRPr="009B396C">
              <w:rPr>
                <w:sz w:val="18"/>
              </w:rPr>
              <w:t>UNDP-KSA 2012</w:t>
            </w:r>
          </w:p>
          <w:p w14:paraId="1FE4B607" w14:textId="77777777" w:rsidR="00C109C8" w:rsidRPr="009B396C" w:rsidRDefault="00C109C8" w:rsidP="000C417E">
            <w:pPr>
              <w:spacing w:before="60" w:after="60"/>
              <w:ind w:right="0"/>
              <w:rPr>
                <w:sz w:val="18"/>
              </w:rPr>
            </w:pPr>
            <w:r w:rsidRPr="009B396C">
              <w:rPr>
                <w:sz w:val="18"/>
              </w:rPr>
              <w:t>ProDocs:  YDF, NYS, Warif, WE</w:t>
            </w:r>
          </w:p>
        </w:tc>
        <w:tc>
          <w:tcPr>
            <w:tcW w:w="672" w:type="pct"/>
            <w:vAlign w:val="center"/>
          </w:tcPr>
          <w:p w14:paraId="2427FC4B" w14:textId="77777777" w:rsidR="00C109C8" w:rsidRDefault="00C109C8" w:rsidP="000C417E">
            <w:pPr>
              <w:spacing w:before="120" w:after="120"/>
              <w:ind w:right="0"/>
              <w:rPr>
                <w:sz w:val="18"/>
              </w:rPr>
            </w:pPr>
            <w:r w:rsidRPr="009B396C">
              <w:rPr>
                <w:sz w:val="18"/>
              </w:rPr>
              <w:t>Desk review</w:t>
            </w:r>
          </w:p>
          <w:p w14:paraId="2D06833E" w14:textId="77777777" w:rsidR="00C109C8" w:rsidRDefault="00C109C8" w:rsidP="000C417E">
            <w:pPr>
              <w:spacing w:before="120" w:after="120"/>
              <w:ind w:right="0"/>
              <w:rPr>
                <w:sz w:val="18"/>
              </w:rPr>
            </w:pPr>
            <w:r>
              <w:rPr>
                <w:sz w:val="18"/>
              </w:rPr>
              <w:t>Discussions with UNDP management team</w:t>
            </w:r>
          </w:p>
          <w:p w14:paraId="6DE5ABA0" w14:textId="77777777" w:rsidR="00C109C8" w:rsidRPr="009B396C" w:rsidRDefault="00C109C8" w:rsidP="000C417E">
            <w:pPr>
              <w:spacing w:before="120" w:after="120"/>
              <w:ind w:right="0"/>
              <w:rPr>
                <w:sz w:val="18"/>
              </w:rPr>
            </w:pPr>
            <w:r w:rsidRPr="009B396C">
              <w:rPr>
                <w:sz w:val="18"/>
              </w:rPr>
              <w:t>Key informant interviews</w:t>
            </w:r>
          </w:p>
        </w:tc>
      </w:tr>
      <w:tr w:rsidR="00C109C8" w:rsidRPr="008363A5" w14:paraId="39C9CA2B" w14:textId="77777777" w:rsidTr="000C417E">
        <w:trPr>
          <w:jc w:val="center"/>
        </w:trPr>
        <w:tc>
          <w:tcPr>
            <w:tcW w:w="941" w:type="pct"/>
            <w:vMerge/>
            <w:shd w:val="clear" w:color="auto" w:fill="B8CCE4" w:themeFill="accent1" w:themeFillTint="66"/>
          </w:tcPr>
          <w:p w14:paraId="602874DA" w14:textId="77777777" w:rsidR="00C109C8" w:rsidRPr="008363A5" w:rsidRDefault="00C109C8" w:rsidP="000C417E"/>
        </w:tc>
        <w:tc>
          <w:tcPr>
            <w:tcW w:w="1293" w:type="pct"/>
            <w:vAlign w:val="center"/>
          </w:tcPr>
          <w:p w14:paraId="0B17C1D7" w14:textId="77777777" w:rsidR="00C109C8" w:rsidRPr="008363A5" w:rsidRDefault="00C109C8" w:rsidP="000C417E">
            <w:pPr>
              <w:tabs>
                <w:tab w:val="left" w:pos="455"/>
              </w:tabs>
              <w:spacing w:before="40" w:after="40"/>
              <w:ind w:right="156"/>
              <w:rPr>
                <w:rFonts w:ascii="Calibri" w:eastAsia="Calibri" w:hAnsi="Calibri" w:cs="Calibri"/>
                <w:sz w:val="18"/>
                <w:szCs w:val="18"/>
              </w:rPr>
            </w:pPr>
            <w:r w:rsidRPr="008363A5">
              <w:rPr>
                <w:rFonts w:ascii="Calibri"/>
                <w:color w:val="231F20"/>
                <w:sz w:val="18"/>
              </w:rPr>
              <w:t>Relevance of</w:t>
            </w:r>
            <w:r w:rsidRPr="008363A5">
              <w:rPr>
                <w:rFonts w:ascii="Calibri"/>
                <w:color w:val="231F20"/>
                <w:spacing w:val="16"/>
                <w:sz w:val="18"/>
              </w:rPr>
              <w:t xml:space="preserve"> </w:t>
            </w:r>
            <w:r w:rsidRPr="008363A5">
              <w:rPr>
                <w:rFonts w:ascii="Calibri"/>
                <w:color w:val="231F20"/>
                <w:sz w:val="18"/>
              </w:rPr>
              <w:t xml:space="preserve">UNDP-KSA </w:t>
            </w:r>
            <w:r>
              <w:rPr>
                <w:rFonts w:ascii="Calibri"/>
                <w:color w:val="231F20"/>
                <w:sz w:val="18"/>
              </w:rPr>
              <w:t>CP</w:t>
            </w:r>
            <w:r w:rsidRPr="008363A5">
              <w:rPr>
                <w:rFonts w:ascii="Calibri"/>
                <w:color w:val="231F20"/>
                <w:sz w:val="18"/>
              </w:rPr>
              <w:t xml:space="preserve"> to</w:t>
            </w:r>
            <w:r w:rsidRPr="008363A5">
              <w:rPr>
                <w:rFonts w:ascii="Calibri"/>
                <w:color w:val="231F20"/>
                <w:spacing w:val="17"/>
                <w:sz w:val="18"/>
              </w:rPr>
              <w:t xml:space="preserve"> </w:t>
            </w:r>
            <w:r w:rsidRPr="008363A5">
              <w:rPr>
                <w:rFonts w:ascii="Calibri"/>
                <w:color w:val="231F20"/>
                <w:sz w:val="18"/>
              </w:rPr>
              <w:t>achieve</w:t>
            </w:r>
            <w:r w:rsidRPr="008363A5">
              <w:rPr>
                <w:rFonts w:ascii="Calibri"/>
                <w:color w:val="231F20"/>
                <w:spacing w:val="17"/>
                <w:sz w:val="18"/>
              </w:rPr>
              <w:t xml:space="preserve"> </w:t>
            </w:r>
            <w:r w:rsidRPr="008363A5">
              <w:rPr>
                <w:rFonts w:ascii="Calibri"/>
                <w:color w:val="231F20"/>
                <w:sz w:val="18"/>
              </w:rPr>
              <w:t>Outcome 1</w:t>
            </w:r>
          </w:p>
          <w:p w14:paraId="29740523" w14:textId="77777777" w:rsidR="00C109C8" w:rsidRPr="008363A5" w:rsidRDefault="00C109C8" w:rsidP="000C417E">
            <w:pPr>
              <w:tabs>
                <w:tab w:val="left" w:pos="455"/>
              </w:tabs>
              <w:spacing w:before="40" w:after="40"/>
              <w:ind w:right="234"/>
              <w:rPr>
                <w:rFonts w:ascii="Calibri" w:eastAsia="Calibri" w:hAnsi="Calibri" w:cs="Calibri"/>
                <w:sz w:val="18"/>
                <w:szCs w:val="18"/>
              </w:rPr>
            </w:pPr>
            <w:r w:rsidRPr="008363A5">
              <w:rPr>
                <w:rFonts w:ascii="Calibri"/>
                <w:color w:val="231F20"/>
                <w:sz w:val="18"/>
              </w:rPr>
              <w:t>Sensitivity</w:t>
            </w:r>
            <w:r w:rsidRPr="008363A5">
              <w:rPr>
                <w:rFonts w:ascii="Calibri"/>
                <w:color w:val="231F20"/>
                <w:spacing w:val="11"/>
                <w:sz w:val="18"/>
              </w:rPr>
              <w:t xml:space="preserve"> </w:t>
            </w:r>
            <w:r w:rsidRPr="008363A5">
              <w:rPr>
                <w:rFonts w:ascii="Calibri"/>
                <w:color w:val="231F20"/>
                <w:sz w:val="18"/>
              </w:rPr>
              <w:t>to</w:t>
            </w:r>
            <w:r w:rsidRPr="008363A5">
              <w:rPr>
                <w:rFonts w:ascii="Calibri"/>
                <w:color w:val="231F20"/>
                <w:spacing w:val="12"/>
                <w:sz w:val="18"/>
              </w:rPr>
              <w:t xml:space="preserve"> </w:t>
            </w:r>
            <w:r w:rsidRPr="008363A5">
              <w:rPr>
                <w:rFonts w:ascii="Calibri"/>
                <w:color w:val="231F20"/>
                <w:sz w:val="18"/>
              </w:rPr>
              <w:t>social environment</w:t>
            </w:r>
            <w:r w:rsidRPr="008363A5">
              <w:rPr>
                <w:rFonts w:ascii="Calibri"/>
                <w:color w:val="231F20"/>
                <w:w w:val="103"/>
                <w:sz w:val="18"/>
              </w:rPr>
              <w:t xml:space="preserve"> of KSA </w:t>
            </w:r>
          </w:p>
          <w:p w14:paraId="62F5D3BF" w14:textId="77777777" w:rsidR="00C109C8" w:rsidRPr="008363A5" w:rsidRDefault="00C109C8" w:rsidP="000C417E">
            <w:pPr>
              <w:tabs>
                <w:tab w:val="left" w:pos="455"/>
              </w:tabs>
              <w:spacing w:before="40" w:after="40"/>
              <w:ind w:right="115"/>
              <w:rPr>
                <w:rFonts w:ascii="Calibri"/>
                <w:color w:val="231F20"/>
                <w:sz w:val="18"/>
              </w:rPr>
            </w:pPr>
            <w:r w:rsidRPr="008363A5">
              <w:rPr>
                <w:rFonts w:ascii="Calibri"/>
                <w:color w:val="231F20"/>
                <w:w w:val="105"/>
                <w:sz w:val="18"/>
              </w:rPr>
              <w:t>Use of</w:t>
            </w:r>
            <w:r w:rsidRPr="008363A5">
              <w:rPr>
                <w:rFonts w:ascii="Calibri"/>
                <w:color w:val="231F20"/>
                <w:sz w:val="18"/>
              </w:rPr>
              <w:t xml:space="preserve"> participatory</w:t>
            </w:r>
            <w:r w:rsidRPr="008363A5">
              <w:rPr>
                <w:rFonts w:ascii="Calibri"/>
                <w:color w:val="231F20"/>
                <w:w w:val="102"/>
                <w:sz w:val="18"/>
              </w:rPr>
              <w:t xml:space="preserve"> </w:t>
            </w:r>
            <w:r w:rsidRPr="008363A5">
              <w:rPr>
                <w:rFonts w:ascii="Calibri"/>
                <w:color w:val="231F20"/>
                <w:w w:val="105"/>
                <w:sz w:val="18"/>
              </w:rPr>
              <w:t>approaches</w:t>
            </w:r>
            <w:r w:rsidRPr="008363A5">
              <w:rPr>
                <w:rFonts w:ascii="Calibri"/>
                <w:color w:val="231F20"/>
                <w:spacing w:val="-6"/>
                <w:w w:val="105"/>
                <w:sz w:val="18"/>
              </w:rPr>
              <w:t xml:space="preserve"> </w:t>
            </w:r>
            <w:r w:rsidRPr="008363A5">
              <w:rPr>
                <w:rFonts w:ascii="Calibri"/>
                <w:color w:val="231F20"/>
                <w:w w:val="105"/>
                <w:sz w:val="18"/>
              </w:rPr>
              <w:t>in</w:t>
            </w:r>
            <w:r w:rsidRPr="008363A5">
              <w:rPr>
                <w:rFonts w:ascii="Calibri"/>
                <w:color w:val="231F20"/>
                <w:spacing w:val="-6"/>
                <w:w w:val="105"/>
                <w:sz w:val="18"/>
              </w:rPr>
              <w:t xml:space="preserve"> </w:t>
            </w:r>
            <w:r w:rsidRPr="008363A5">
              <w:rPr>
                <w:rFonts w:ascii="Calibri"/>
                <w:color w:val="231F20"/>
                <w:w w:val="105"/>
                <w:sz w:val="18"/>
              </w:rPr>
              <w:t>planning</w:t>
            </w:r>
            <w:r w:rsidRPr="008363A5">
              <w:rPr>
                <w:rFonts w:ascii="Calibri"/>
                <w:color w:val="231F20"/>
                <w:spacing w:val="-6"/>
                <w:w w:val="105"/>
                <w:sz w:val="18"/>
              </w:rPr>
              <w:t xml:space="preserve"> </w:t>
            </w:r>
            <w:r w:rsidRPr="008363A5">
              <w:rPr>
                <w:rFonts w:ascii="Calibri"/>
                <w:color w:val="231F20"/>
                <w:w w:val="105"/>
                <w:sz w:val="18"/>
              </w:rPr>
              <w:t>and</w:t>
            </w:r>
            <w:r w:rsidRPr="008363A5">
              <w:rPr>
                <w:rFonts w:ascii="Calibri"/>
                <w:color w:val="231F20"/>
                <w:w w:val="104"/>
                <w:sz w:val="18"/>
              </w:rPr>
              <w:t xml:space="preserve"> </w:t>
            </w:r>
            <w:r w:rsidRPr="008363A5">
              <w:rPr>
                <w:rFonts w:ascii="Calibri"/>
                <w:color w:val="231F20"/>
                <w:w w:val="105"/>
                <w:sz w:val="18"/>
              </w:rPr>
              <w:t>delivery</w:t>
            </w:r>
            <w:r w:rsidRPr="008363A5">
              <w:rPr>
                <w:rFonts w:ascii="Calibri"/>
                <w:color w:val="231F20"/>
                <w:spacing w:val="-15"/>
                <w:w w:val="105"/>
                <w:sz w:val="18"/>
              </w:rPr>
              <w:t xml:space="preserve"> </w:t>
            </w:r>
          </w:p>
        </w:tc>
        <w:tc>
          <w:tcPr>
            <w:tcW w:w="1434" w:type="pct"/>
          </w:tcPr>
          <w:p w14:paraId="0BC943E5" w14:textId="77777777" w:rsidR="00C109C8" w:rsidRPr="000C7DFD" w:rsidRDefault="00C109C8" w:rsidP="000C417E">
            <w:pPr>
              <w:ind w:right="0"/>
              <w:rPr>
                <w:sz w:val="18"/>
                <w:szCs w:val="18"/>
              </w:rPr>
            </w:pPr>
            <w:r>
              <w:rPr>
                <w:sz w:val="18"/>
                <w:szCs w:val="18"/>
              </w:rPr>
              <w:t>All 4 outputs</w:t>
            </w:r>
            <w:r w:rsidRPr="000C7DFD">
              <w:rPr>
                <w:sz w:val="18"/>
                <w:szCs w:val="18"/>
              </w:rPr>
              <w:t xml:space="preserve"> </w:t>
            </w:r>
            <w:r>
              <w:rPr>
                <w:sz w:val="18"/>
                <w:szCs w:val="18"/>
              </w:rPr>
              <w:t>focus</w:t>
            </w:r>
            <w:r w:rsidRPr="000C7DFD">
              <w:rPr>
                <w:sz w:val="18"/>
                <w:szCs w:val="18"/>
              </w:rPr>
              <w:t xml:space="preserve"> </w:t>
            </w:r>
            <w:r>
              <w:rPr>
                <w:sz w:val="18"/>
                <w:szCs w:val="18"/>
              </w:rPr>
              <w:t>on institution building and capacity development; projects worked to achieve human development and gender equality goals through approaches that respected a conservative cultural setting; e.g. Warif young women volunteers began work with children to gain acceptance; WE advanced women professionals’ visibility using e-profile-building</w:t>
            </w:r>
          </w:p>
        </w:tc>
        <w:tc>
          <w:tcPr>
            <w:tcW w:w="660" w:type="pct"/>
            <w:vMerge/>
          </w:tcPr>
          <w:p w14:paraId="433E652F" w14:textId="77777777" w:rsidR="00C109C8" w:rsidRPr="009B396C" w:rsidRDefault="00C109C8" w:rsidP="000C417E">
            <w:pPr>
              <w:spacing w:before="60" w:after="60"/>
              <w:rPr>
                <w:sz w:val="18"/>
              </w:rPr>
            </w:pPr>
          </w:p>
        </w:tc>
        <w:tc>
          <w:tcPr>
            <w:tcW w:w="672" w:type="pct"/>
            <w:vMerge w:val="restart"/>
            <w:vAlign w:val="center"/>
          </w:tcPr>
          <w:p w14:paraId="4BBC905E" w14:textId="77777777" w:rsidR="00C109C8" w:rsidRPr="009B396C" w:rsidRDefault="00C109C8" w:rsidP="000C417E">
            <w:pPr>
              <w:spacing w:before="120" w:after="120"/>
              <w:ind w:right="0"/>
              <w:rPr>
                <w:sz w:val="18"/>
              </w:rPr>
            </w:pPr>
            <w:r w:rsidRPr="009B396C">
              <w:rPr>
                <w:sz w:val="18"/>
              </w:rPr>
              <w:t>Key informant interviews</w:t>
            </w:r>
            <w:r>
              <w:rPr>
                <w:sz w:val="18"/>
              </w:rPr>
              <w:t xml:space="preserve"> (staff, UNDP project management, government project implementation staff and consultants)</w:t>
            </w:r>
          </w:p>
          <w:p w14:paraId="1BFB4D41" w14:textId="77777777" w:rsidR="00C109C8" w:rsidRDefault="00C109C8" w:rsidP="000C417E">
            <w:pPr>
              <w:spacing w:before="120" w:after="120"/>
              <w:ind w:right="0"/>
              <w:rPr>
                <w:sz w:val="18"/>
              </w:rPr>
            </w:pPr>
            <w:r w:rsidRPr="009B396C">
              <w:rPr>
                <w:sz w:val="18"/>
              </w:rPr>
              <w:t>Project documents</w:t>
            </w:r>
          </w:p>
          <w:p w14:paraId="12CF67B2" w14:textId="77777777" w:rsidR="00C109C8" w:rsidRPr="009B396C" w:rsidRDefault="00C109C8" w:rsidP="000C417E">
            <w:pPr>
              <w:spacing w:before="120" w:after="120"/>
              <w:ind w:right="0"/>
              <w:rPr>
                <w:sz w:val="18"/>
              </w:rPr>
            </w:pPr>
            <w:r>
              <w:rPr>
                <w:sz w:val="18"/>
              </w:rPr>
              <w:t xml:space="preserve">Independent research </w:t>
            </w:r>
          </w:p>
        </w:tc>
      </w:tr>
      <w:tr w:rsidR="00C109C8" w:rsidRPr="008363A5" w14:paraId="1D35A26E" w14:textId="77777777" w:rsidTr="000C417E">
        <w:trPr>
          <w:jc w:val="center"/>
        </w:trPr>
        <w:tc>
          <w:tcPr>
            <w:tcW w:w="941" w:type="pct"/>
            <w:vMerge w:val="restart"/>
            <w:shd w:val="clear" w:color="auto" w:fill="B8CCE4" w:themeFill="accent1" w:themeFillTint="66"/>
            <w:vAlign w:val="center"/>
          </w:tcPr>
          <w:p w14:paraId="0D5D976F" w14:textId="77777777" w:rsidR="00C109C8" w:rsidRPr="008363A5" w:rsidRDefault="00C109C8" w:rsidP="000C417E">
            <w:pPr>
              <w:ind w:right="0"/>
            </w:pPr>
            <w:r w:rsidRPr="008363A5">
              <w:t>Effectiveness</w:t>
            </w:r>
          </w:p>
        </w:tc>
        <w:tc>
          <w:tcPr>
            <w:tcW w:w="1293" w:type="pct"/>
            <w:vAlign w:val="center"/>
          </w:tcPr>
          <w:p w14:paraId="5A873F8F" w14:textId="77777777" w:rsidR="00C109C8" w:rsidRPr="00A02034" w:rsidRDefault="00C109C8" w:rsidP="00C109C8">
            <w:pPr>
              <w:pStyle w:val="ListParagraph"/>
              <w:widowControl w:val="0"/>
              <w:numPr>
                <w:ilvl w:val="0"/>
                <w:numId w:val="40"/>
              </w:numPr>
              <w:tabs>
                <w:tab w:val="left" w:pos="48"/>
              </w:tabs>
              <w:spacing w:before="65" w:line="194" w:lineRule="auto"/>
              <w:ind w:left="0" w:right="73" w:hanging="548"/>
              <w:contextualSpacing w:val="0"/>
              <w:rPr>
                <w:rFonts w:asciiTheme="minorHAnsi" w:hAnsiTheme="minorHAnsi"/>
                <w:sz w:val="18"/>
              </w:rPr>
            </w:pPr>
            <w:r w:rsidRPr="00A02034">
              <w:rPr>
                <w:rFonts w:asciiTheme="minorHAnsi"/>
                <w:sz w:val="18"/>
              </w:rPr>
              <w:t>UNDP contribution towards the CP outcome and to processes that move towards KSA long-term outcomes</w:t>
            </w:r>
          </w:p>
        </w:tc>
        <w:tc>
          <w:tcPr>
            <w:tcW w:w="1434" w:type="pct"/>
          </w:tcPr>
          <w:p w14:paraId="119E40AC" w14:textId="77777777" w:rsidR="00C109C8" w:rsidRDefault="00C109C8" w:rsidP="000C417E">
            <w:pPr>
              <w:spacing w:before="60" w:after="60"/>
              <w:ind w:right="0"/>
              <w:rPr>
                <w:sz w:val="18"/>
              </w:rPr>
            </w:pPr>
            <w:r>
              <w:rPr>
                <w:sz w:val="18"/>
              </w:rPr>
              <w:t>NYS – Strategy successfully drafted, based on effective consultation; designed implementation in near term</w:t>
            </w:r>
          </w:p>
          <w:p w14:paraId="7F23B34A" w14:textId="77777777" w:rsidR="00C109C8" w:rsidRPr="009B396C" w:rsidRDefault="00C109C8" w:rsidP="000C417E">
            <w:pPr>
              <w:spacing w:before="60" w:after="60"/>
              <w:ind w:right="0"/>
              <w:rPr>
                <w:sz w:val="18"/>
              </w:rPr>
            </w:pPr>
            <w:r>
              <w:rPr>
                <w:sz w:val="18"/>
              </w:rPr>
              <w:t>YDF – Developed pool of youth leadership; revealed need for redesign to continue to expand participation and to extend scope and goals</w:t>
            </w:r>
          </w:p>
          <w:p w14:paraId="17A20F8D" w14:textId="77777777" w:rsidR="00C109C8" w:rsidRPr="009B396C" w:rsidRDefault="00C109C8" w:rsidP="000C417E">
            <w:pPr>
              <w:spacing w:before="60" w:after="60"/>
              <w:ind w:right="0"/>
              <w:rPr>
                <w:sz w:val="18"/>
              </w:rPr>
            </w:pPr>
            <w:r w:rsidRPr="009B396C">
              <w:rPr>
                <w:sz w:val="18"/>
              </w:rPr>
              <w:t xml:space="preserve">Warif </w:t>
            </w:r>
            <w:r>
              <w:rPr>
                <w:sz w:val="18"/>
              </w:rPr>
              <w:t>– Expansion of volunteer fields and leadership (geographic and especially socioeconomic groups reached)</w:t>
            </w:r>
          </w:p>
          <w:p w14:paraId="3F3B5CD4" w14:textId="77777777" w:rsidR="00C109C8" w:rsidRPr="009B396C" w:rsidRDefault="00C109C8" w:rsidP="000C417E">
            <w:pPr>
              <w:spacing w:before="60" w:after="60"/>
              <w:ind w:right="0"/>
              <w:rPr>
                <w:sz w:val="18"/>
              </w:rPr>
            </w:pPr>
            <w:r w:rsidRPr="009B396C">
              <w:rPr>
                <w:sz w:val="18"/>
              </w:rPr>
              <w:t xml:space="preserve">WE </w:t>
            </w:r>
            <w:r>
              <w:rPr>
                <w:sz w:val="18"/>
              </w:rPr>
              <w:t>– Very effective within severe limitations of funding; project is therefore not yet able to achieve institutional capacity development targets</w:t>
            </w:r>
          </w:p>
          <w:p w14:paraId="63650B3A" w14:textId="77777777" w:rsidR="00C109C8" w:rsidRPr="000C7DFD" w:rsidRDefault="00C109C8" w:rsidP="000C417E">
            <w:pPr>
              <w:rPr>
                <w:sz w:val="18"/>
                <w:szCs w:val="18"/>
              </w:rPr>
            </w:pPr>
          </w:p>
        </w:tc>
        <w:tc>
          <w:tcPr>
            <w:tcW w:w="660" w:type="pct"/>
            <w:vMerge w:val="restart"/>
            <w:vAlign w:val="center"/>
          </w:tcPr>
          <w:p w14:paraId="366CA496" w14:textId="77777777" w:rsidR="00C109C8" w:rsidRDefault="00C109C8" w:rsidP="000C417E">
            <w:pPr>
              <w:spacing w:before="120" w:after="120"/>
              <w:ind w:right="0"/>
              <w:rPr>
                <w:sz w:val="18"/>
              </w:rPr>
            </w:pPr>
          </w:p>
          <w:p w14:paraId="00F2D348" w14:textId="77777777" w:rsidR="00C109C8" w:rsidRDefault="00C109C8" w:rsidP="000C417E">
            <w:pPr>
              <w:spacing w:before="120" w:after="120"/>
              <w:ind w:right="0"/>
              <w:rPr>
                <w:sz w:val="18"/>
              </w:rPr>
            </w:pPr>
          </w:p>
          <w:p w14:paraId="7EA01AE3" w14:textId="77777777" w:rsidR="00C109C8" w:rsidRDefault="00C109C8" w:rsidP="000C417E">
            <w:pPr>
              <w:spacing w:before="120" w:after="120"/>
              <w:ind w:right="0"/>
              <w:rPr>
                <w:sz w:val="18"/>
              </w:rPr>
            </w:pPr>
          </w:p>
          <w:p w14:paraId="5F347D56" w14:textId="77777777" w:rsidR="00C109C8" w:rsidRPr="00A02034" w:rsidRDefault="00C109C8" w:rsidP="000C417E">
            <w:pPr>
              <w:spacing w:before="120" w:after="120"/>
              <w:ind w:right="0"/>
              <w:rPr>
                <w:sz w:val="18"/>
              </w:rPr>
            </w:pPr>
            <w:r>
              <w:rPr>
                <w:sz w:val="18"/>
              </w:rPr>
              <w:t>Current media and research sources; e.g.</w:t>
            </w:r>
            <w:r w:rsidRPr="00A02034">
              <w:rPr>
                <w:sz w:val="18"/>
              </w:rPr>
              <w:t xml:space="preserve"> Curley N. 2013, DeLong-Bas NJ. 2011, Economist. 2014, ILO. 2014, KSA-MEP 2010, MixMarket. 2014, Raghu MR. 2012, Vishwanath T. 2012</w:t>
            </w:r>
            <w:r>
              <w:rPr>
                <w:sz w:val="18"/>
              </w:rPr>
              <w:t>.</w:t>
            </w:r>
          </w:p>
          <w:p w14:paraId="7BB92FD2" w14:textId="77777777" w:rsidR="00C109C8" w:rsidRDefault="00C109C8" w:rsidP="000C417E">
            <w:pPr>
              <w:spacing w:before="120" w:after="120"/>
              <w:ind w:right="0"/>
              <w:rPr>
                <w:sz w:val="18"/>
              </w:rPr>
            </w:pPr>
            <w:r w:rsidRPr="009B396C">
              <w:rPr>
                <w:sz w:val="18"/>
              </w:rPr>
              <w:t>ProDocs:  YDF, NYS, Warif, WE</w:t>
            </w:r>
          </w:p>
          <w:p w14:paraId="0A6C747E" w14:textId="77777777" w:rsidR="00C109C8" w:rsidRDefault="00C109C8" w:rsidP="000C417E">
            <w:pPr>
              <w:spacing w:before="60" w:after="60"/>
              <w:ind w:right="0"/>
              <w:rPr>
                <w:sz w:val="18"/>
              </w:rPr>
            </w:pPr>
          </w:p>
          <w:p w14:paraId="7DBDBA25" w14:textId="77777777" w:rsidR="00C109C8" w:rsidRDefault="00C109C8" w:rsidP="000C417E">
            <w:pPr>
              <w:spacing w:before="60" w:after="60"/>
              <w:ind w:right="0"/>
              <w:rPr>
                <w:sz w:val="18"/>
              </w:rPr>
            </w:pPr>
          </w:p>
          <w:p w14:paraId="729B1C5E" w14:textId="77777777" w:rsidR="00C109C8" w:rsidRDefault="00C109C8" w:rsidP="000C417E">
            <w:pPr>
              <w:spacing w:before="60" w:after="60"/>
              <w:ind w:right="0"/>
              <w:rPr>
                <w:sz w:val="18"/>
              </w:rPr>
            </w:pPr>
          </w:p>
          <w:p w14:paraId="439C36F6" w14:textId="77777777" w:rsidR="00C109C8" w:rsidRDefault="00C109C8" w:rsidP="000C417E">
            <w:pPr>
              <w:spacing w:before="60" w:after="60"/>
              <w:ind w:right="0"/>
              <w:rPr>
                <w:sz w:val="18"/>
              </w:rPr>
            </w:pPr>
          </w:p>
          <w:p w14:paraId="5AF55C19" w14:textId="77777777" w:rsidR="00C109C8" w:rsidRPr="009B396C" w:rsidRDefault="00C109C8" w:rsidP="000C417E">
            <w:pPr>
              <w:spacing w:before="60" w:after="60"/>
              <w:ind w:right="0"/>
              <w:rPr>
                <w:sz w:val="18"/>
              </w:rPr>
            </w:pPr>
          </w:p>
        </w:tc>
        <w:tc>
          <w:tcPr>
            <w:tcW w:w="672" w:type="pct"/>
            <w:vMerge/>
            <w:vAlign w:val="center"/>
          </w:tcPr>
          <w:p w14:paraId="11DB1808" w14:textId="77777777" w:rsidR="00C109C8" w:rsidRPr="008363A5" w:rsidRDefault="00C109C8" w:rsidP="000C417E">
            <w:pPr>
              <w:ind w:right="0"/>
            </w:pPr>
          </w:p>
        </w:tc>
      </w:tr>
      <w:tr w:rsidR="00C109C8" w:rsidRPr="008363A5" w14:paraId="7689E124" w14:textId="77777777" w:rsidTr="000C417E">
        <w:trPr>
          <w:trHeight w:val="2427"/>
          <w:jc w:val="center"/>
        </w:trPr>
        <w:tc>
          <w:tcPr>
            <w:tcW w:w="941" w:type="pct"/>
            <w:vMerge/>
            <w:shd w:val="clear" w:color="auto" w:fill="B8CCE4" w:themeFill="accent1" w:themeFillTint="66"/>
          </w:tcPr>
          <w:p w14:paraId="2DA5204B" w14:textId="77777777" w:rsidR="00C109C8" w:rsidRPr="008363A5" w:rsidRDefault="00C109C8" w:rsidP="000C417E"/>
        </w:tc>
        <w:tc>
          <w:tcPr>
            <w:tcW w:w="1293" w:type="pct"/>
            <w:vAlign w:val="center"/>
          </w:tcPr>
          <w:p w14:paraId="32D497EB" w14:textId="77777777" w:rsidR="00C109C8" w:rsidRPr="0069396F" w:rsidRDefault="00C109C8" w:rsidP="000C417E">
            <w:pPr>
              <w:tabs>
                <w:tab w:val="left" w:pos="455"/>
              </w:tabs>
              <w:spacing w:before="67" w:line="192" w:lineRule="auto"/>
              <w:ind w:right="271"/>
              <w:rPr>
                <w:rFonts w:ascii="Calibri" w:eastAsia="Calibri" w:hAnsi="Calibri" w:cs="Calibri"/>
                <w:sz w:val="18"/>
                <w:szCs w:val="18"/>
              </w:rPr>
            </w:pPr>
            <w:r w:rsidRPr="0069396F">
              <w:rPr>
                <w:rFonts w:ascii="Calibri"/>
                <w:color w:val="231F20"/>
                <w:sz w:val="18"/>
              </w:rPr>
              <w:t>Outcomes</w:t>
            </w:r>
            <w:r>
              <w:rPr>
                <w:rFonts w:ascii="Calibri"/>
                <w:color w:val="231F20"/>
                <w:sz w:val="18"/>
              </w:rPr>
              <w:t>:  links to</w:t>
            </w:r>
            <w:r w:rsidRPr="0069396F">
              <w:rPr>
                <w:rFonts w:ascii="Calibri"/>
                <w:color w:val="231F20"/>
                <w:spacing w:val="10"/>
                <w:sz w:val="18"/>
              </w:rPr>
              <w:t xml:space="preserve"> </w:t>
            </w:r>
            <w:r w:rsidRPr="0069396F">
              <w:rPr>
                <w:rFonts w:ascii="Calibri"/>
                <w:color w:val="231F20"/>
                <w:sz w:val="18"/>
              </w:rPr>
              <w:t>local</w:t>
            </w:r>
            <w:r w:rsidRPr="0069396F">
              <w:rPr>
                <w:rFonts w:ascii="Calibri"/>
                <w:color w:val="231F20"/>
                <w:w w:val="103"/>
                <w:sz w:val="18"/>
              </w:rPr>
              <w:t xml:space="preserve"> </w:t>
            </w:r>
            <w:r w:rsidRPr="0069396F">
              <w:rPr>
                <w:rFonts w:ascii="Calibri"/>
                <w:color w:val="231F20"/>
                <w:sz w:val="18"/>
              </w:rPr>
              <w:t>community,</w:t>
            </w:r>
            <w:r w:rsidRPr="0069396F">
              <w:rPr>
                <w:rFonts w:ascii="Calibri"/>
                <w:color w:val="231F20"/>
                <w:spacing w:val="27"/>
                <w:sz w:val="18"/>
              </w:rPr>
              <w:t xml:space="preserve"> </w:t>
            </w:r>
            <w:r w:rsidRPr="0069396F">
              <w:rPr>
                <w:rFonts w:ascii="Calibri"/>
                <w:color w:val="231F20"/>
                <w:sz w:val="18"/>
              </w:rPr>
              <w:t>district, regional,</w:t>
            </w:r>
            <w:r w:rsidRPr="0069396F">
              <w:rPr>
                <w:rFonts w:ascii="Calibri"/>
                <w:color w:val="231F20"/>
                <w:spacing w:val="13"/>
                <w:sz w:val="18"/>
              </w:rPr>
              <w:t xml:space="preserve"> </w:t>
            </w:r>
            <w:r>
              <w:rPr>
                <w:rFonts w:ascii="Calibri"/>
                <w:color w:val="231F20"/>
                <w:sz w:val="18"/>
              </w:rPr>
              <w:t>national)</w:t>
            </w:r>
          </w:p>
          <w:p w14:paraId="20D4CE77" w14:textId="77777777" w:rsidR="00C109C8" w:rsidRPr="009C09E5" w:rsidRDefault="00C109C8" w:rsidP="000C417E">
            <w:pPr>
              <w:tabs>
                <w:tab w:val="left" w:pos="48"/>
              </w:tabs>
              <w:spacing w:before="65" w:line="194" w:lineRule="auto"/>
              <w:ind w:right="73"/>
              <w:rPr>
                <w:rFonts w:ascii="Calibri" w:eastAsia="Calibri" w:hAnsi="Calibri" w:cs="Calibri"/>
                <w:sz w:val="18"/>
                <w:szCs w:val="18"/>
              </w:rPr>
            </w:pPr>
            <w:r>
              <w:rPr>
                <w:rFonts w:ascii="Calibri" w:eastAsia="Calibri" w:hAnsi="Calibri" w:cs="Calibri"/>
                <w:color w:val="231F20"/>
                <w:sz w:val="18"/>
                <w:szCs w:val="18"/>
              </w:rPr>
              <w:t>Emphasis on</w:t>
            </w:r>
            <w:r w:rsidRPr="0069396F">
              <w:rPr>
                <w:rFonts w:ascii="Calibri" w:eastAsia="Calibri" w:hAnsi="Calibri" w:cs="Calibri"/>
                <w:color w:val="231F20"/>
                <w:w w:val="104"/>
                <w:sz w:val="18"/>
                <w:szCs w:val="18"/>
              </w:rPr>
              <w:t xml:space="preserve"> </w:t>
            </w:r>
            <w:r w:rsidRPr="0069396F">
              <w:rPr>
                <w:rFonts w:ascii="Calibri" w:eastAsia="Calibri" w:hAnsi="Calibri" w:cs="Calibri"/>
                <w:color w:val="231F20"/>
                <w:sz w:val="18"/>
                <w:szCs w:val="18"/>
              </w:rPr>
              <w:t>regions/districts</w:t>
            </w:r>
            <w:r w:rsidRPr="0069396F">
              <w:rPr>
                <w:rFonts w:ascii="Calibri" w:eastAsia="Calibri" w:hAnsi="Calibri" w:cs="Calibri"/>
                <w:color w:val="231F20"/>
                <w:spacing w:val="26"/>
                <w:sz w:val="18"/>
                <w:szCs w:val="18"/>
              </w:rPr>
              <w:t xml:space="preserve"> </w:t>
            </w:r>
            <w:r w:rsidRPr="0069396F">
              <w:rPr>
                <w:rFonts w:ascii="Calibri" w:eastAsia="Calibri" w:hAnsi="Calibri" w:cs="Calibri"/>
                <w:color w:val="231F20"/>
                <w:sz w:val="18"/>
                <w:szCs w:val="18"/>
              </w:rPr>
              <w:t>of</w:t>
            </w:r>
            <w:r w:rsidRPr="0069396F">
              <w:rPr>
                <w:rFonts w:ascii="Calibri" w:eastAsia="Calibri" w:hAnsi="Calibri" w:cs="Calibri"/>
                <w:color w:val="231F20"/>
                <w:w w:val="101"/>
                <w:sz w:val="18"/>
                <w:szCs w:val="18"/>
              </w:rPr>
              <w:t xml:space="preserve"> </w:t>
            </w:r>
            <w:r w:rsidRPr="0069396F">
              <w:rPr>
                <w:rFonts w:ascii="Calibri" w:eastAsia="Calibri" w:hAnsi="Calibri" w:cs="Calibri"/>
                <w:color w:val="231F20"/>
                <w:sz w:val="18"/>
                <w:szCs w:val="18"/>
              </w:rPr>
              <w:t>greatest</w:t>
            </w:r>
            <w:r w:rsidRPr="0069396F">
              <w:rPr>
                <w:rFonts w:ascii="Calibri" w:eastAsia="Calibri" w:hAnsi="Calibri" w:cs="Calibri"/>
                <w:color w:val="231F20"/>
                <w:spacing w:val="13"/>
                <w:sz w:val="18"/>
                <w:szCs w:val="18"/>
              </w:rPr>
              <w:t xml:space="preserve"> </w:t>
            </w:r>
            <w:r>
              <w:rPr>
                <w:rFonts w:ascii="Calibri" w:eastAsia="Calibri" w:hAnsi="Calibri" w:cs="Calibri"/>
                <w:color w:val="231F20"/>
                <w:sz w:val="18"/>
                <w:szCs w:val="18"/>
              </w:rPr>
              <w:t>need; m</w:t>
            </w:r>
            <w:r w:rsidRPr="009C09E5">
              <w:rPr>
                <w:rFonts w:ascii="Calibri"/>
                <w:color w:val="231F20"/>
                <w:sz w:val="18"/>
              </w:rPr>
              <w:t>ain</w:t>
            </w:r>
            <w:r w:rsidRPr="009C09E5">
              <w:rPr>
                <w:rFonts w:ascii="Calibri"/>
                <w:color w:val="231F20"/>
                <w:w w:val="103"/>
                <w:sz w:val="18"/>
              </w:rPr>
              <w:t xml:space="preserve"> </w:t>
            </w:r>
            <w:r>
              <w:rPr>
                <w:rFonts w:ascii="Calibri"/>
                <w:color w:val="231F20"/>
                <w:sz w:val="18"/>
              </w:rPr>
              <w:t>beneficiaries.</w:t>
            </w:r>
          </w:p>
          <w:p w14:paraId="1F0178A2" w14:textId="77777777" w:rsidR="00C109C8" w:rsidRPr="0069396F" w:rsidRDefault="00C109C8" w:rsidP="000C417E">
            <w:pPr>
              <w:tabs>
                <w:tab w:val="left" w:pos="455"/>
              </w:tabs>
              <w:spacing w:before="67" w:line="192" w:lineRule="auto"/>
              <w:ind w:right="271"/>
              <w:rPr>
                <w:rFonts w:ascii="Calibri"/>
                <w:color w:val="231F20"/>
                <w:sz w:val="18"/>
              </w:rPr>
            </w:pPr>
            <w:r>
              <w:rPr>
                <w:rFonts w:ascii="Calibri"/>
                <w:color w:val="231F20"/>
                <w:w w:val="105"/>
                <w:sz w:val="18"/>
              </w:rPr>
              <w:t>E</w:t>
            </w:r>
            <w:r w:rsidRPr="009C09E5">
              <w:rPr>
                <w:rFonts w:ascii="Calibri"/>
                <w:color w:val="231F20"/>
                <w:w w:val="105"/>
                <w:sz w:val="18"/>
              </w:rPr>
              <w:t>xtent</w:t>
            </w:r>
            <w:r w:rsidRPr="009C09E5">
              <w:rPr>
                <w:rFonts w:ascii="Calibri"/>
                <w:color w:val="231F20"/>
                <w:spacing w:val="-10"/>
                <w:w w:val="105"/>
                <w:sz w:val="18"/>
              </w:rPr>
              <w:t xml:space="preserve"> </w:t>
            </w:r>
            <w:r>
              <w:rPr>
                <w:rFonts w:ascii="Calibri"/>
                <w:color w:val="231F20"/>
                <w:spacing w:val="-10"/>
                <w:w w:val="105"/>
                <w:sz w:val="18"/>
              </w:rPr>
              <w:t xml:space="preserve">to which outputs </w:t>
            </w:r>
            <w:r>
              <w:rPr>
                <w:rFonts w:ascii="Calibri"/>
                <w:color w:val="231F20"/>
                <w:w w:val="105"/>
                <w:sz w:val="18"/>
              </w:rPr>
              <w:t>benefit</w:t>
            </w:r>
            <w:r w:rsidRPr="009C09E5">
              <w:rPr>
                <w:rFonts w:ascii="Calibri"/>
                <w:color w:val="231F20"/>
                <w:w w:val="105"/>
                <w:sz w:val="18"/>
              </w:rPr>
              <w:t xml:space="preserve"> the</w:t>
            </w:r>
            <w:r w:rsidRPr="009C09E5">
              <w:rPr>
                <w:rFonts w:ascii="Calibri"/>
                <w:color w:val="231F20"/>
                <w:spacing w:val="-13"/>
                <w:w w:val="105"/>
                <w:sz w:val="18"/>
              </w:rPr>
              <w:t xml:space="preserve"> </w:t>
            </w:r>
            <w:r w:rsidRPr="009C09E5">
              <w:rPr>
                <w:rFonts w:ascii="Calibri"/>
                <w:color w:val="231F20"/>
                <w:w w:val="105"/>
                <w:sz w:val="18"/>
              </w:rPr>
              <w:t>poor,</w:t>
            </w:r>
            <w:r w:rsidRPr="009C09E5">
              <w:rPr>
                <w:rFonts w:ascii="Calibri"/>
                <w:color w:val="231F20"/>
                <w:spacing w:val="-13"/>
                <w:w w:val="105"/>
                <w:sz w:val="18"/>
              </w:rPr>
              <w:t xml:space="preserve"> </w:t>
            </w:r>
            <w:r w:rsidRPr="009C09E5">
              <w:rPr>
                <w:rFonts w:ascii="Calibri"/>
                <w:color w:val="231F20"/>
                <w:sz w:val="18"/>
              </w:rPr>
              <w:t>women,</w:t>
            </w:r>
            <w:r w:rsidRPr="009C09E5">
              <w:rPr>
                <w:rFonts w:ascii="Calibri"/>
                <w:color w:val="231F20"/>
                <w:w w:val="102"/>
                <w:sz w:val="18"/>
              </w:rPr>
              <w:t xml:space="preserve"> </w:t>
            </w:r>
            <w:r>
              <w:rPr>
                <w:rFonts w:ascii="Calibri"/>
                <w:color w:val="231F20"/>
                <w:w w:val="102"/>
                <w:sz w:val="18"/>
              </w:rPr>
              <w:t>migrant workers</w:t>
            </w:r>
            <w:r w:rsidRPr="009C09E5">
              <w:rPr>
                <w:rFonts w:ascii="Calibri"/>
                <w:color w:val="231F20"/>
                <w:w w:val="105"/>
                <w:sz w:val="18"/>
              </w:rPr>
              <w:t>,</w:t>
            </w:r>
            <w:r w:rsidRPr="009C09E5">
              <w:rPr>
                <w:rFonts w:ascii="Calibri"/>
                <w:color w:val="231F20"/>
                <w:spacing w:val="-22"/>
                <w:w w:val="105"/>
                <w:sz w:val="18"/>
              </w:rPr>
              <w:t xml:space="preserve"> </w:t>
            </w:r>
            <w:r w:rsidRPr="009C09E5">
              <w:rPr>
                <w:rFonts w:ascii="Calibri"/>
                <w:color w:val="231F20"/>
                <w:w w:val="105"/>
                <w:sz w:val="18"/>
              </w:rPr>
              <w:t>and</w:t>
            </w:r>
            <w:r w:rsidRPr="009C09E5">
              <w:rPr>
                <w:rFonts w:ascii="Calibri"/>
                <w:color w:val="231F20"/>
                <w:spacing w:val="-22"/>
                <w:w w:val="105"/>
                <w:sz w:val="18"/>
              </w:rPr>
              <w:t xml:space="preserve"> </w:t>
            </w:r>
            <w:r w:rsidRPr="009C09E5">
              <w:rPr>
                <w:rFonts w:ascii="Calibri"/>
                <w:color w:val="231F20"/>
                <w:w w:val="105"/>
                <w:sz w:val="18"/>
              </w:rPr>
              <w:t>other</w:t>
            </w:r>
            <w:r w:rsidRPr="009C09E5">
              <w:rPr>
                <w:rFonts w:ascii="Calibri"/>
                <w:color w:val="231F20"/>
                <w:w w:val="101"/>
                <w:sz w:val="18"/>
              </w:rPr>
              <w:t xml:space="preserve"> </w:t>
            </w:r>
            <w:r w:rsidRPr="009C09E5">
              <w:rPr>
                <w:rFonts w:ascii="Calibri"/>
                <w:color w:val="231F20"/>
                <w:w w:val="105"/>
                <w:sz w:val="18"/>
              </w:rPr>
              <w:t>disadvantaged</w:t>
            </w:r>
            <w:r w:rsidRPr="009C09E5">
              <w:rPr>
                <w:rFonts w:ascii="Calibri"/>
                <w:color w:val="231F20"/>
                <w:spacing w:val="-15"/>
                <w:w w:val="105"/>
                <w:sz w:val="18"/>
              </w:rPr>
              <w:t xml:space="preserve"> </w:t>
            </w:r>
            <w:r w:rsidRPr="009C09E5">
              <w:rPr>
                <w:rFonts w:ascii="Calibri"/>
                <w:color w:val="231F20"/>
                <w:w w:val="105"/>
                <w:sz w:val="18"/>
              </w:rPr>
              <w:t>and</w:t>
            </w:r>
            <w:r w:rsidRPr="009C09E5">
              <w:rPr>
                <w:rFonts w:ascii="Calibri"/>
                <w:color w:val="231F20"/>
                <w:w w:val="104"/>
                <w:sz w:val="18"/>
              </w:rPr>
              <w:t xml:space="preserve"> </w:t>
            </w:r>
            <w:r w:rsidRPr="009C09E5">
              <w:rPr>
                <w:rFonts w:ascii="Calibri"/>
                <w:color w:val="231F20"/>
                <w:w w:val="105"/>
                <w:sz w:val="18"/>
              </w:rPr>
              <w:t>marginalized</w:t>
            </w:r>
            <w:r w:rsidRPr="009C09E5">
              <w:rPr>
                <w:rFonts w:ascii="Calibri"/>
                <w:color w:val="231F20"/>
                <w:spacing w:val="-11"/>
                <w:w w:val="105"/>
                <w:sz w:val="18"/>
              </w:rPr>
              <w:t xml:space="preserve"> </w:t>
            </w:r>
            <w:r>
              <w:rPr>
                <w:rFonts w:ascii="Calibri"/>
                <w:color w:val="231F20"/>
                <w:w w:val="105"/>
                <w:sz w:val="18"/>
              </w:rPr>
              <w:t>groups.</w:t>
            </w:r>
          </w:p>
        </w:tc>
        <w:tc>
          <w:tcPr>
            <w:tcW w:w="1434" w:type="pct"/>
            <w:vAlign w:val="center"/>
          </w:tcPr>
          <w:p w14:paraId="167DAAAF" w14:textId="77777777" w:rsidR="00C109C8" w:rsidRDefault="00C109C8" w:rsidP="000C417E">
            <w:pPr>
              <w:spacing w:before="120" w:after="120"/>
              <w:ind w:right="-79"/>
              <w:rPr>
                <w:sz w:val="18"/>
                <w:szCs w:val="18"/>
              </w:rPr>
            </w:pPr>
            <w:r>
              <w:rPr>
                <w:sz w:val="18"/>
                <w:szCs w:val="18"/>
              </w:rPr>
              <w:t xml:space="preserve">Outputs NDS and YDF are directed to youth across the country.  </w:t>
            </w:r>
          </w:p>
          <w:p w14:paraId="6E09A827" w14:textId="77777777" w:rsidR="00C109C8" w:rsidRDefault="00C109C8" w:rsidP="000C417E">
            <w:pPr>
              <w:spacing w:before="120" w:after="120"/>
              <w:ind w:right="-79"/>
              <w:rPr>
                <w:sz w:val="18"/>
                <w:szCs w:val="18"/>
              </w:rPr>
            </w:pPr>
            <w:r>
              <w:rPr>
                <w:sz w:val="18"/>
                <w:szCs w:val="18"/>
              </w:rPr>
              <w:t xml:space="preserve">Warif and WE focus on youth and women in local communities; WE has worked only in Eastern Province and has been unable to expand to other provinces (as originally planned in project).  </w:t>
            </w:r>
          </w:p>
          <w:p w14:paraId="0384E34C" w14:textId="77777777" w:rsidR="00C109C8" w:rsidRPr="000C7DFD" w:rsidRDefault="00C109C8" w:rsidP="000C417E">
            <w:pPr>
              <w:spacing w:before="120" w:after="120"/>
              <w:ind w:right="-79"/>
              <w:rPr>
                <w:sz w:val="18"/>
                <w:szCs w:val="18"/>
              </w:rPr>
            </w:pPr>
            <w:r>
              <w:rPr>
                <w:sz w:val="18"/>
                <w:szCs w:val="18"/>
              </w:rPr>
              <w:t xml:space="preserve">Warif and WE receive only 3% of CP [Outcome 1] funding; they will be unable to greatly expand activities in local communities with greatest need if funding is not stepped up significantly. </w:t>
            </w:r>
          </w:p>
        </w:tc>
        <w:tc>
          <w:tcPr>
            <w:tcW w:w="660" w:type="pct"/>
            <w:vMerge/>
          </w:tcPr>
          <w:p w14:paraId="1C10894B" w14:textId="77777777" w:rsidR="00C109C8" w:rsidRPr="009B396C" w:rsidRDefault="00C109C8" w:rsidP="000C417E">
            <w:pPr>
              <w:rPr>
                <w:sz w:val="18"/>
              </w:rPr>
            </w:pPr>
          </w:p>
        </w:tc>
        <w:tc>
          <w:tcPr>
            <w:tcW w:w="672" w:type="pct"/>
            <w:vMerge/>
          </w:tcPr>
          <w:p w14:paraId="416FBBF1" w14:textId="77777777" w:rsidR="00C109C8" w:rsidRPr="008363A5" w:rsidRDefault="00C109C8" w:rsidP="000C417E"/>
        </w:tc>
      </w:tr>
      <w:tr w:rsidR="00C109C8" w:rsidRPr="008363A5" w14:paraId="408957E5" w14:textId="77777777" w:rsidTr="000C417E">
        <w:trPr>
          <w:jc w:val="center"/>
        </w:trPr>
        <w:tc>
          <w:tcPr>
            <w:tcW w:w="941" w:type="pct"/>
            <w:vMerge w:val="restart"/>
            <w:shd w:val="clear" w:color="auto" w:fill="B8CCE4" w:themeFill="accent1" w:themeFillTint="66"/>
            <w:vAlign w:val="center"/>
          </w:tcPr>
          <w:p w14:paraId="228F250E" w14:textId="77777777" w:rsidR="00C109C8" w:rsidRPr="008363A5" w:rsidRDefault="00C109C8" w:rsidP="000C417E">
            <w:pPr>
              <w:ind w:right="0"/>
            </w:pPr>
            <w:r w:rsidRPr="008363A5">
              <w:t>Efficiency</w:t>
            </w:r>
          </w:p>
        </w:tc>
        <w:tc>
          <w:tcPr>
            <w:tcW w:w="1293" w:type="pct"/>
          </w:tcPr>
          <w:p w14:paraId="688D510A" w14:textId="77777777" w:rsidR="00C109C8" w:rsidRPr="009C09E5" w:rsidRDefault="00C109C8" w:rsidP="000C417E">
            <w:pPr>
              <w:tabs>
                <w:tab w:val="left" w:pos="455"/>
              </w:tabs>
              <w:spacing w:before="120" w:after="120"/>
              <w:ind w:right="89"/>
              <w:rPr>
                <w:rFonts w:ascii="Calibri" w:eastAsia="Calibri" w:hAnsi="Calibri" w:cs="Calibri"/>
                <w:sz w:val="18"/>
                <w:szCs w:val="18"/>
              </w:rPr>
            </w:pPr>
            <w:r>
              <w:rPr>
                <w:rFonts w:ascii="Calibri"/>
                <w:color w:val="231F20"/>
                <w:sz w:val="18"/>
              </w:rPr>
              <w:t xml:space="preserve">Implementation in relation to </w:t>
            </w:r>
            <w:r w:rsidRPr="009C09E5">
              <w:rPr>
                <w:rFonts w:ascii="Calibri"/>
                <w:color w:val="231F20"/>
                <w:sz w:val="18"/>
              </w:rPr>
              <w:t>deadline</w:t>
            </w:r>
            <w:r w:rsidRPr="009C09E5">
              <w:rPr>
                <w:rFonts w:ascii="Calibri"/>
                <w:color w:val="231F20"/>
                <w:spacing w:val="18"/>
                <w:sz w:val="18"/>
              </w:rPr>
              <w:t xml:space="preserve"> </w:t>
            </w:r>
            <w:r w:rsidRPr="009C09E5">
              <w:rPr>
                <w:rFonts w:ascii="Calibri"/>
                <w:color w:val="231F20"/>
                <w:sz w:val="18"/>
              </w:rPr>
              <w:t>and</w:t>
            </w:r>
            <w:r w:rsidRPr="009C09E5">
              <w:rPr>
                <w:rFonts w:ascii="Calibri"/>
                <w:color w:val="231F20"/>
                <w:spacing w:val="17"/>
                <w:sz w:val="18"/>
              </w:rPr>
              <w:t xml:space="preserve"> </w:t>
            </w:r>
            <w:r w:rsidRPr="009C09E5">
              <w:rPr>
                <w:rFonts w:ascii="Calibri"/>
                <w:color w:val="231F20"/>
                <w:sz w:val="18"/>
              </w:rPr>
              <w:t>cost</w:t>
            </w:r>
            <w:r w:rsidRPr="009C09E5">
              <w:rPr>
                <w:rFonts w:ascii="Calibri"/>
                <w:color w:val="231F20"/>
                <w:w w:val="102"/>
                <w:sz w:val="18"/>
              </w:rPr>
              <w:t xml:space="preserve"> </w:t>
            </w:r>
            <w:r>
              <w:rPr>
                <w:rFonts w:ascii="Calibri"/>
                <w:color w:val="231F20"/>
                <w:sz w:val="18"/>
              </w:rPr>
              <w:t>estimates.</w:t>
            </w:r>
          </w:p>
          <w:p w14:paraId="106AED5D" w14:textId="77777777" w:rsidR="00C109C8" w:rsidRPr="009C09E5" w:rsidRDefault="00C109C8" w:rsidP="000C417E">
            <w:pPr>
              <w:tabs>
                <w:tab w:val="left" w:pos="455"/>
              </w:tabs>
              <w:spacing w:before="120" w:after="120"/>
              <w:ind w:right="123"/>
              <w:rPr>
                <w:rFonts w:ascii="Calibri" w:eastAsia="Calibri" w:hAnsi="Calibri" w:cs="Calibri"/>
                <w:sz w:val="18"/>
                <w:szCs w:val="18"/>
              </w:rPr>
            </w:pPr>
            <w:r>
              <w:rPr>
                <w:rFonts w:ascii="Calibri"/>
                <w:color w:val="231F20"/>
                <w:sz w:val="18"/>
              </w:rPr>
              <w:t>A</w:t>
            </w:r>
            <w:r w:rsidRPr="009C09E5">
              <w:rPr>
                <w:rFonts w:ascii="Calibri"/>
                <w:color w:val="231F20"/>
                <w:sz w:val="18"/>
              </w:rPr>
              <w:t>ctions</w:t>
            </w:r>
            <w:r>
              <w:rPr>
                <w:rFonts w:ascii="Calibri"/>
                <w:color w:val="231F20"/>
                <w:sz w:val="18"/>
              </w:rPr>
              <w:t xml:space="preserve"> by UNDP and partners</w:t>
            </w:r>
            <w:r w:rsidRPr="009C09E5">
              <w:rPr>
                <w:rFonts w:ascii="Calibri"/>
                <w:color w:val="231F20"/>
                <w:spacing w:val="14"/>
                <w:sz w:val="18"/>
              </w:rPr>
              <w:t xml:space="preserve"> </w:t>
            </w:r>
            <w:r w:rsidRPr="009C09E5">
              <w:rPr>
                <w:rFonts w:ascii="Calibri"/>
                <w:color w:val="231F20"/>
                <w:sz w:val="18"/>
              </w:rPr>
              <w:t>to</w:t>
            </w:r>
            <w:r w:rsidRPr="009C09E5">
              <w:rPr>
                <w:rFonts w:ascii="Calibri"/>
                <w:color w:val="231F20"/>
                <w:w w:val="102"/>
                <w:sz w:val="18"/>
              </w:rPr>
              <w:t xml:space="preserve"> </w:t>
            </w:r>
            <w:r w:rsidRPr="009C09E5">
              <w:rPr>
                <w:rFonts w:ascii="Calibri"/>
                <w:color w:val="231F20"/>
                <w:sz w:val="18"/>
              </w:rPr>
              <w:t xml:space="preserve">solve </w:t>
            </w:r>
            <w:r w:rsidRPr="009C09E5">
              <w:rPr>
                <w:rFonts w:ascii="Calibri"/>
                <w:color w:val="231F20"/>
                <w:spacing w:val="6"/>
                <w:sz w:val="18"/>
              </w:rPr>
              <w:t>implementation</w:t>
            </w:r>
            <w:r w:rsidRPr="009C09E5">
              <w:rPr>
                <w:rFonts w:ascii="Calibri"/>
                <w:color w:val="231F20"/>
                <w:w w:val="103"/>
                <w:sz w:val="18"/>
              </w:rPr>
              <w:t xml:space="preserve"> </w:t>
            </w:r>
            <w:r>
              <w:rPr>
                <w:rFonts w:ascii="Calibri"/>
                <w:color w:val="231F20"/>
                <w:sz w:val="18"/>
              </w:rPr>
              <w:t>issues</w:t>
            </w:r>
          </w:p>
        </w:tc>
        <w:tc>
          <w:tcPr>
            <w:tcW w:w="1434" w:type="pct"/>
            <w:vAlign w:val="center"/>
          </w:tcPr>
          <w:p w14:paraId="7120BE82" w14:textId="77777777" w:rsidR="00C109C8" w:rsidRPr="000C7DFD" w:rsidRDefault="00C109C8" w:rsidP="000C417E">
            <w:pPr>
              <w:ind w:right="-77"/>
              <w:rPr>
                <w:sz w:val="18"/>
                <w:szCs w:val="18"/>
              </w:rPr>
            </w:pPr>
            <w:r>
              <w:rPr>
                <w:sz w:val="18"/>
                <w:szCs w:val="18"/>
              </w:rPr>
              <w:t>Normal delays related to government processes, competing priorities of partner ministries or departments:  project members felt UNDP responded with great flexibility to adjust timelines and disbursements.</w:t>
            </w:r>
          </w:p>
        </w:tc>
        <w:tc>
          <w:tcPr>
            <w:tcW w:w="660" w:type="pct"/>
            <w:vMerge w:val="restart"/>
            <w:vAlign w:val="center"/>
          </w:tcPr>
          <w:p w14:paraId="10396423" w14:textId="77777777" w:rsidR="00C109C8" w:rsidRDefault="00C109C8" w:rsidP="000C417E">
            <w:pPr>
              <w:spacing w:before="60" w:after="60"/>
              <w:ind w:right="0"/>
              <w:rPr>
                <w:sz w:val="18"/>
              </w:rPr>
            </w:pPr>
          </w:p>
          <w:p w14:paraId="04C33D34" w14:textId="77777777" w:rsidR="00C109C8" w:rsidRDefault="00C109C8" w:rsidP="000C417E">
            <w:pPr>
              <w:spacing w:before="60" w:after="60"/>
              <w:ind w:right="0"/>
              <w:rPr>
                <w:sz w:val="18"/>
              </w:rPr>
            </w:pPr>
          </w:p>
          <w:p w14:paraId="510FA6FE" w14:textId="77777777" w:rsidR="00C109C8" w:rsidRDefault="00C109C8" w:rsidP="000C417E">
            <w:pPr>
              <w:spacing w:before="60" w:after="60"/>
              <w:ind w:right="0"/>
              <w:rPr>
                <w:sz w:val="18"/>
              </w:rPr>
            </w:pPr>
          </w:p>
          <w:p w14:paraId="60863377" w14:textId="77777777" w:rsidR="00C109C8" w:rsidRDefault="00C109C8" w:rsidP="000C417E">
            <w:pPr>
              <w:spacing w:before="60" w:after="60"/>
              <w:ind w:right="0"/>
              <w:rPr>
                <w:sz w:val="18"/>
              </w:rPr>
            </w:pPr>
          </w:p>
          <w:p w14:paraId="17714A3A" w14:textId="77777777" w:rsidR="00C109C8" w:rsidRDefault="00C109C8" w:rsidP="000C417E">
            <w:pPr>
              <w:spacing w:before="60" w:after="60"/>
              <w:ind w:right="0"/>
              <w:rPr>
                <w:sz w:val="18"/>
              </w:rPr>
            </w:pPr>
          </w:p>
          <w:p w14:paraId="70395F6B" w14:textId="77777777" w:rsidR="00C109C8" w:rsidRDefault="00C109C8" w:rsidP="000C417E">
            <w:pPr>
              <w:spacing w:before="60" w:after="60"/>
              <w:ind w:right="0"/>
              <w:rPr>
                <w:sz w:val="18"/>
              </w:rPr>
            </w:pPr>
          </w:p>
          <w:p w14:paraId="640E8F98" w14:textId="77777777" w:rsidR="00C109C8" w:rsidRPr="009B396C" w:rsidRDefault="00C109C8" w:rsidP="000C417E">
            <w:pPr>
              <w:spacing w:before="60" w:after="60"/>
              <w:ind w:right="0"/>
              <w:rPr>
                <w:sz w:val="18"/>
              </w:rPr>
            </w:pPr>
            <w:r w:rsidRPr="009B396C">
              <w:rPr>
                <w:sz w:val="18"/>
              </w:rPr>
              <w:t>UNDP-KSA 2010</w:t>
            </w:r>
          </w:p>
          <w:p w14:paraId="1DA7A0A6" w14:textId="77777777" w:rsidR="00C109C8" w:rsidRDefault="00C109C8" w:rsidP="000C417E">
            <w:pPr>
              <w:spacing w:before="60" w:after="60"/>
              <w:ind w:right="0"/>
              <w:rPr>
                <w:sz w:val="18"/>
              </w:rPr>
            </w:pPr>
            <w:r>
              <w:rPr>
                <w:sz w:val="18"/>
              </w:rPr>
              <w:t>UNDP-KSA 2011</w:t>
            </w:r>
          </w:p>
          <w:p w14:paraId="42CABF65" w14:textId="77777777" w:rsidR="00C109C8" w:rsidRPr="009B396C" w:rsidRDefault="00C109C8" w:rsidP="000C417E">
            <w:pPr>
              <w:spacing w:before="60" w:after="60"/>
              <w:ind w:right="0"/>
              <w:rPr>
                <w:sz w:val="18"/>
              </w:rPr>
            </w:pPr>
            <w:r w:rsidRPr="009B396C">
              <w:rPr>
                <w:sz w:val="18"/>
              </w:rPr>
              <w:t>UNDP-KSA 2012</w:t>
            </w:r>
          </w:p>
          <w:p w14:paraId="771D5D48" w14:textId="77777777" w:rsidR="00C109C8" w:rsidRDefault="00C109C8" w:rsidP="000C417E">
            <w:pPr>
              <w:spacing w:before="60" w:after="60"/>
              <w:ind w:right="0"/>
              <w:rPr>
                <w:sz w:val="18"/>
              </w:rPr>
            </w:pPr>
            <w:r w:rsidRPr="009B396C">
              <w:rPr>
                <w:sz w:val="18"/>
              </w:rPr>
              <w:t>ProDocs:  YDF, NYS, Warif, WE</w:t>
            </w:r>
          </w:p>
          <w:p w14:paraId="3C9079F5" w14:textId="77777777" w:rsidR="00C109C8" w:rsidRPr="008363A5" w:rsidRDefault="00C109C8" w:rsidP="000C417E"/>
        </w:tc>
        <w:tc>
          <w:tcPr>
            <w:tcW w:w="672" w:type="pct"/>
            <w:vMerge w:val="restart"/>
            <w:vAlign w:val="center"/>
          </w:tcPr>
          <w:p w14:paraId="0DA38DF0" w14:textId="77777777" w:rsidR="00C109C8" w:rsidRDefault="00C109C8" w:rsidP="000C417E">
            <w:pPr>
              <w:spacing w:before="120" w:after="120"/>
              <w:ind w:right="0"/>
              <w:rPr>
                <w:sz w:val="18"/>
              </w:rPr>
            </w:pPr>
            <w:r w:rsidRPr="009B396C">
              <w:rPr>
                <w:sz w:val="18"/>
              </w:rPr>
              <w:t xml:space="preserve">Project documents </w:t>
            </w:r>
            <w:r>
              <w:rPr>
                <w:sz w:val="18"/>
              </w:rPr>
              <w:t>and supplementary materials (annexes, documentary supplements to project materials)</w:t>
            </w:r>
          </w:p>
          <w:p w14:paraId="5688F32C" w14:textId="77777777" w:rsidR="00C109C8" w:rsidRDefault="00C109C8" w:rsidP="000C417E">
            <w:pPr>
              <w:spacing w:before="120" w:after="120"/>
              <w:ind w:right="0"/>
              <w:rPr>
                <w:sz w:val="18"/>
              </w:rPr>
            </w:pPr>
            <w:r>
              <w:rPr>
                <w:sz w:val="18"/>
              </w:rPr>
              <w:t xml:space="preserve">Project knowledge products e.g. </w:t>
            </w:r>
            <w:r w:rsidRPr="002867C5">
              <w:rPr>
                <w:sz w:val="18"/>
              </w:rPr>
              <w:t>Osman G. 2013</w:t>
            </w:r>
          </w:p>
          <w:p w14:paraId="5EE5C7A8" w14:textId="77777777" w:rsidR="00C109C8" w:rsidRPr="009B396C" w:rsidRDefault="00C109C8" w:rsidP="000C417E">
            <w:pPr>
              <w:spacing w:before="120" w:after="120"/>
              <w:ind w:right="0"/>
              <w:rPr>
                <w:sz w:val="18"/>
              </w:rPr>
            </w:pPr>
            <w:r w:rsidRPr="009B396C">
              <w:rPr>
                <w:sz w:val="18"/>
              </w:rPr>
              <w:t>Key informant interviews</w:t>
            </w:r>
            <w:r>
              <w:rPr>
                <w:sz w:val="18"/>
              </w:rPr>
              <w:t>:  project officers, government, project staff</w:t>
            </w:r>
          </w:p>
          <w:p w14:paraId="30296EB8" w14:textId="77777777" w:rsidR="00C109C8" w:rsidRPr="00E33329" w:rsidRDefault="00C109C8" w:rsidP="000C417E">
            <w:pPr>
              <w:spacing w:before="120" w:after="120"/>
              <w:ind w:right="0"/>
              <w:rPr>
                <w:sz w:val="18"/>
              </w:rPr>
            </w:pPr>
          </w:p>
        </w:tc>
      </w:tr>
      <w:tr w:rsidR="00C109C8" w:rsidRPr="008363A5" w14:paraId="6E6CDA19" w14:textId="77777777" w:rsidTr="000C417E">
        <w:trPr>
          <w:jc w:val="center"/>
        </w:trPr>
        <w:tc>
          <w:tcPr>
            <w:tcW w:w="941" w:type="pct"/>
            <w:vMerge/>
            <w:shd w:val="clear" w:color="auto" w:fill="B8CCE4" w:themeFill="accent1" w:themeFillTint="66"/>
          </w:tcPr>
          <w:p w14:paraId="6FFDB7DE" w14:textId="77777777" w:rsidR="00C109C8" w:rsidRPr="008363A5" w:rsidRDefault="00C109C8" w:rsidP="000C417E"/>
        </w:tc>
        <w:tc>
          <w:tcPr>
            <w:tcW w:w="1293" w:type="pct"/>
            <w:vAlign w:val="center"/>
          </w:tcPr>
          <w:p w14:paraId="7383AB05" w14:textId="77777777" w:rsidR="00C109C8" w:rsidRDefault="00C109C8" w:rsidP="000C417E">
            <w:pPr>
              <w:tabs>
                <w:tab w:val="left" w:pos="455"/>
              </w:tabs>
              <w:spacing w:before="120" w:after="120"/>
              <w:ind w:right="152"/>
              <w:rPr>
                <w:rFonts w:ascii="Calibri"/>
                <w:color w:val="231F20"/>
                <w:sz w:val="18"/>
              </w:rPr>
            </w:pPr>
            <w:r>
              <w:rPr>
                <w:rFonts w:ascii="Calibri"/>
                <w:color w:val="231F20"/>
                <w:sz w:val="18"/>
              </w:rPr>
              <w:t xml:space="preserve">Adequacy of </w:t>
            </w:r>
            <w:r w:rsidRPr="001360CE">
              <w:rPr>
                <w:rFonts w:ascii="Calibri"/>
                <w:color w:val="231F20"/>
                <w:sz w:val="18"/>
              </w:rPr>
              <w:t>UNDP</w:t>
            </w:r>
            <w:r w:rsidRPr="001360CE">
              <w:rPr>
                <w:rFonts w:ascii="Calibri"/>
                <w:color w:val="231F20"/>
                <w:spacing w:val="5"/>
                <w:sz w:val="18"/>
              </w:rPr>
              <w:t xml:space="preserve"> </w:t>
            </w:r>
            <w:r>
              <w:rPr>
                <w:rFonts w:ascii="Calibri"/>
                <w:color w:val="231F20"/>
                <w:sz w:val="18"/>
              </w:rPr>
              <w:t>resource</w:t>
            </w:r>
            <w:r w:rsidRPr="001360CE">
              <w:rPr>
                <w:rFonts w:ascii="Calibri"/>
                <w:color w:val="231F20"/>
                <w:w w:val="101"/>
                <w:sz w:val="18"/>
              </w:rPr>
              <w:t xml:space="preserve"> </w:t>
            </w:r>
            <w:r>
              <w:rPr>
                <w:rFonts w:ascii="Calibri"/>
                <w:color w:val="231F20"/>
                <w:sz w:val="18"/>
              </w:rPr>
              <w:t>focus</w:t>
            </w:r>
            <w:r w:rsidRPr="001360CE">
              <w:rPr>
                <w:rFonts w:ascii="Calibri"/>
                <w:color w:val="231F20"/>
                <w:spacing w:val="9"/>
                <w:sz w:val="18"/>
              </w:rPr>
              <w:t xml:space="preserve"> </w:t>
            </w:r>
            <w:r w:rsidRPr="001360CE">
              <w:rPr>
                <w:rFonts w:ascii="Calibri"/>
                <w:color w:val="231F20"/>
                <w:sz w:val="18"/>
              </w:rPr>
              <w:t>on</w:t>
            </w:r>
            <w:r w:rsidRPr="001360CE">
              <w:rPr>
                <w:rFonts w:ascii="Calibri"/>
                <w:color w:val="231F20"/>
                <w:spacing w:val="9"/>
                <w:sz w:val="18"/>
              </w:rPr>
              <w:t xml:space="preserve"> </w:t>
            </w:r>
            <w:r>
              <w:rPr>
                <w:rFonts w:ascii="Calibri"/>
                <w:color w:val="231F20"/>
                <w:sz w:val="18"/>
              </w:rPr>
              <w:t>planned</w:t>
            </w:r>
            <w:r w:rsidRPr="001360CE">
              <w:rPr>
                <w:rFonts w:ascii="Calibri"/>
                <w:color w:val="231F20"/>
                <w:spacing w:val="9"/>
                <w:sz w:val="18"/>
              </w:rPr>
              <w:t xml:space="preserve"> </w:t>
            </w:r>
            <w:r w:rsidRPr="001360CE">
              <w:rPr>
                <w:rFonts w:ascii="Calibri"/>
                <w:color w:val="231F20"/>
                <w:sz w:val="18"/>
              </w:rPr>
              <w:t>activities</w:t>
            </w:r>
            <w:r w:rsidRPr="001360CE">
              <w:rPr>
                <w:rFonts w:ascii="Calibri"/>
                <w:color w:val="231F20"/>
                <w:spacing w:val="7"/>
                <w:sz w:val="18"/>
              </w:rPr>
              <w:t xml:space="preserve"> </w:t>
            </w:r>
            <w:r w:rsidRPr="001360CE">
              <w:rPr>
                <w:rFonts w:ascii="Calibri"/>
                <w:color w:val="231F20"/>
                <w:sz w:val="18"/>
              </w:rPr>
              <w:t>to</w:t>
            </w:r>
            <w:r w:rsidRPr="001360CE">
              <w:rPr>
                <w:rFonts w:ascii="Calibri"/>
                <w:color w:val="231F20"/>
                <w:w w:val="102"/>
                <w:sz w:val="18"/>
              </w:rPr>
              <w:t xml:space="preserve"> </w:t>
            </w:r>
            <w:r w:rsidRPr="001360CE">
              <w:rPr>
                <w:rFonts w:ascii="Calibri"/>
                <w:color w:val="231F20"/>
                <w:sz w:val="18"/>
              </w:rPr>
              <w:t>produce</w:t>
            </w:r>
            <w:r w:rsidRPr="001360CE">
              <w:rPr>
                <w:rFonts w:ascii="Calibri"/>
                <w:color w:val="231F20"/>
                <w:spacing w:val="22"/>
                <w:sz w:val="18"/>
              </w:rPr>
              <w:t xml:space="preserve"> </w:t>
            </w:r>
            <w:r w:rsidRPr="001360CE">
              <w:rPr>
                <w:rFonts w:ascii="Calibri"/>
                <w:color w:val="231F20"/>
                <w:sz w:val="18"/>
              </w:rPr>
              <w:t>significant</w:t>
            </w:r>
            <w:r w:rsidRPr="001360CE">
              <w:rPr>
                <w:rFonts w:ascii="Calibri"/>
                <w:color w:val="231F20"/>
                <w:spacing w:val="22"/>
                <w:sz w:val="18"/>
              </w:rPr>
              <w:t xml:space="preserve"> </w:t>
            </w:r>
            <w:r>
              <w:rPr>
                <w:rFonts w:ascii="Calibri"/>
                <w:color w:val="231F20"/>
                <w:sz w:val="18"/>
              </w:rPr>
              <w:t xml:space="preserve">results </w:t>
            </w:r>
          </w:p>
          <w:p w14:paraId="1D44C3E6" w14:textId="77777777" w:rsidR="00C109C8" w:rsidRDefault="00C109C8" w:rsidP="000C417E">
            <w:pPr>
              <w:tabs>
                <w:tab w:val="left" w:pos="455"/>
              </w:tabs>
              <w:spacing w:before="120" w:after="120"/>
              <w:ind w:right="152"/>
              <w:rPr>
                <w:rFonts w:ascii="Calibri"/>
                <w:color w:val="231F20"/>
                <w:sz w:val="18"/>
              </w:rPr>
            </w:pPr>
            <w:r>
              <w:rPr>
                <w:rFonts w:ascii="Calibri"/>
                <w:color w:val="231F20"/>
                <w:sz w:val="18"/>
              </w:rPr>
              <w:t xml:space="preserve">Assistance of UNDP project staff to </w:t>
            </w:r>
            <w:r w:rsidRPr="001360CE">
              <w:rPr>
                <w:rFonts w:ascii="Calibri"/>
                <w:color w:val="231F20"/>
                <w:sz w:val="18"/>
              </w:rPr>
              <w:t>the</w:t>
            </w:r>
            <w:r w:rsidRPr="001360CE">
              <w:rPr>
                <w:rFonts w:ascii="Calibri"/>
                <w:color w:val="231F20"/>
                <w:w w:val="102"/>
                <w:sz w:val="18"/>
              </w:rPr>
              <w:t xml:space="preserve"> </w:t>
            </w:r>
            <w:r w:rsidRPr="001360CE">
              <w:rPr>
                <w:rFonts w:ascii="Calibri"/>
                <w:color w:val="231F20"/>
                <w:sz w:val="18"/>
              </w:rPr>
              <w:t>efficiency</w:t>
            </w:r>
            <w:r w:rsidRPr="001360CE">
              <w:rPr>
                <w:rFonts w:ascii="Calibri"/>
                <w:color w:val="231F20"/>
                <w:spacing w:val="21"/>
                <w:sz w:val="18"/>
              </w:rPr>
              <w:t xml:space="preserve"> </w:t>
            </w:r>
            <w:r w:rsidRPr="001360CE">
              <w:rPr>
                <w:rFonts w:ascii="Calibri"/>
                <w:color w:val="231F20"/>
                <w:sz w:val="18"/>
              </w:rPr>
              <w:t>of</w:t>
            </w:r>
            <w:r w:rsidRPr="001360CE">
              <w:rPr>
                <w:rFonts w:ascii="Calibri"/>
                <w:color w:val="231F20"/>
                <w:spacing w:val="22"/>
                <w:sz w:val="18"/>
              </w:rPr>
              <w:t xml:space="preserve"> </w:t>
            </w:r>
            <w:r w:rsidRPr="001360CE">
              <w:rPr>
                <w:rFonts w:ascii="Calibri"/>
                <w:color w:val="231F20"/>
                <w:sz w:val="18"/>
              </w:rPr>
              <w:t>programme</w:t>
            </w:r>
            <w:r w:rsidRPr="001360CE">
              <w:rPr>
                <w:rFonts w:ascii="Calibri"/>
                <w:color w:val="231F20"/>
                <w:w w:val="103"/>
                <w:sz w:val="18"/>
              </w:rPr>
              <w:t xml:space="preserve"> </w:t>
            </w:r>
            <w:r w:rsidRPr="001360CE">
              <w:rPr>
                <w:rFonts w:ascii="Calibri"/>
                <w:color w:val="231F20"/>
                <w:sz w:val="18"/>
              </w:rPr>
              <w:t>delivery</w:t>
            </w:r>
          </w:p>
          <w:p w14:paraId="721C0360" w14:textId="77777777" w:rsidR="00C109C8" w:rsidRDefault="00C109C8" w:rsidP="000C417E">
            <w:pPr>
              <w:tabs>
                <w:tab w:val="left" w:pos="455"/>
              </w:tabs>
              <w:spacing w:before="120" w:after="120"/>
              <w:ind w:right="152"/>
              <w:rPr>
                <w:rFonts w:ascii="Calibri"/>
                <w:color w:val="231F20"/>
                <w:sz w:val="18"/>
              </w:rPr>
            </w:pPr>
          </w:p>
          <w:p w14:paraId="37BA7C40" w14:textId="77777777" w:rsidR="00C109C8" w:rsidRDefault="00C109C8" w:rsidP="000C417E">
            <w:pPr>
              <w:tabs>
                <w:tab w:val="left" w:pos="455"/>
              </w:tabs>
              <w:spacing w:before="120" w:after="120"/>
              <w:ind w:right="152"/>
              <w:rPr>
                <w:rFonts w:ascii="Calibri"/>
                <w:color w:val="231F20"/>
                <w:sz w:val="18"/>
              </w:rPr>
            </w:pPr>
          </w:p>
          <w:p w14:paraId="083D7F31" w14:textId="77777777" w:rsidR="00C109C8" w:rsidRPr="001360CE" w:rsidRDefault="00C109C8" w:rsidP="000C417E">
            <w:pPr>
              <w:tabs>
                <w:tab w:val="left" w:pos="455"/>
              </w:tabs>
              <w:spacing w:before="120" w:after="120"/>
              <w:ind w:right="152"/>
              <w:rPr>
                <w:rFonts w:ascii="Calibri" w:eastAsia="Calibri" w:hAnsi="Calibri" w:cs="Calibri"/>
                <w:sz w:val="18"/>
                <w:szCs w:val="18"/>
              </w:rPr>
            </w:pPr>
          </w:p>
          <w:p w14:paraId="3A452968" w14:textId="77777777" w:rsidR="00C109C8" w:rsidRPr="001360CE" w:rsidRDefault="00C109C8" w:rsidP="000C417E">
            <w:pPr>
              <w:tabs>
                <w:tab w:val="left" w:pos="455"/>
              </w:tabs>
              <w:spacing w:before="120" w:after="120"/>
              <w:ind w:right="95"/>
              <w:rPr>
                <w:rFonts w:ascii="Calibri"/>
                <w:color w:val="231F20"/>
                <w:sz w:val="18"/>
              </w:rPr>
            </w:pPr>
            <w:r>
              <w:rPr>
                <w:rFonts w:ascii="Calibri"/>
                <w:color w:val="231F20"/>
                <w:sz w:val="18"/>
              </w:rPr>
              <w:t xml:space="preserve">Degree of </w:t>
            </w:r>
            <w:r w:rsidRPr="001360CE">
              <w:rPr>
                <w:rFonts w:ascii="Calibri"/>
                <w:color w:val="231F20"/>
                <w:sz w:val="18"/>
              </w:rPr>
              <w:t>synergy</w:t>
            </w:r>
            <w:r w:rsidRPr="001360CE">
              <w:rPr>
                <w:rFonts w:ascii="Calibri"/>
                <w:color w:val="231F20"/>
                <w:spacing w:val="25"/>
                <w:sz w:val="18"/>
              </w:rPr>
              <w:t xml:space="preserve"> </w:t>
            </w:r>
            <w:r w:rsidRPr="001360CE">
              <w:rPr>
                <w:rFonts w:ascii="Calibri"/>
                <w:color w:val="231F20"/>
                <w:sz w:val="18"/>
              </w:rPr>
              <w:t>between</w:t>
            </w:r>
            <w:r w:rsidRPr="001360CE">
              <w:rPr>
                <w:rFonts w:ascii="Calibri"/>
                <w:color w:val="231F20"/>
                <w:spacing w:val="25"/>
                <w:sz w:val="18"/>
              </w:rPr>
              <w:t xml:space="preserve"> </w:t>
            </w:r>
            <w:r w:rsidRPr="001360CE">
              <w:rPr>
                <w:rFonts w:ascii="Calibri"/>
                <w:color w:val="231F20"/>
                <w:sz w:val="18"/>
              </w:rPr>
              <w:t>UNDP</w:t>
            </w:r>
            <w:r w:rsidRPr="001360CE">
              <w:rPr>
                <w:rFonts w:ascii="Calibri"/>
                <w:color w:val="231F20"/>
                <w:w w:val="103"/>
                <w:sz w:val="18"/>
              </w:rPr>
              <w:t xml:space="preserve"> </w:t>
            </w:r>
            <w:r w:rsidRPr="001360CE">
              <w:rPr>
                <w:rFonts w:ascii="Calibri"/>
                <w:color w:val="231F20"/>
                <w:sz w:val="18"/>
              </w:rPr>
              <w:t>initiatives</w:t>
            </w:r>
            <w:r w:rsidRPr="001360CE">
              <w:rPr>
                <w:rFonts w:ascii="Calibri"/>
                <w:color w:val="231F20"/>
                <w:spacing w:val="22"/>
                <w:sz w:val="18"/>
              </w:rPr>
              <w:t xml:space="preserve"> </w:t>
            </w:r>
            <w:r w:rsidRPr="001360CE">
              <w:rPr>
                <w:rFonts w:ascii="Calibri"/>
                <w:color w:val="231F20"/>
                <w:sz w:val="18"/>
              </w:rPr>
              <w:t>that</w:t>
            </w:r>
            <w:r w:rsidRPr="001360CE">
              <w:rPr>
                <w:rFonts w:ascii="Calibri"/>
                <w:color w:val="231F20"/>
                <w:spacing w:val="23"/>
                <w:sz w:val="18"/>
              </w:rPr>
              <w:t xml:space="preserve"> </w:t>
            </w:r>
            <w:r w:rsidRPr="001360CE">
              <w:rPr>
                <w:rFonts w:ascii="Calibri"/>
                <w:color w:val="231F20"/>
                <w:sz w:val="18"/>
              </w:rPr>
              <w:t>contributed</w:t>
            </w:r>
            <w:r w:rsidRPr="001360CE">
              <w:rPr>
                <w:rFonts w:ascii="Calibri"/>
                <w:color w:val="231F20"/>
                <w:w w:val="103"/>
                <w:sz w:val="18"/>
              </w:rPr>
              <w:t xml:space="preserve"> </w:t>
            </w:r>
            <w:r w:rsidRPr="001360CE">
              <w:rPr>
                <w:rFonts w:ascii="Calibri"/>
                <w:color w:val="231F20"/>
                <w:sz w:val="18"/>
              </w:rPr>
              <w:t>to</w:t>
            </w:r>
            <w:r w:rsidRPr="001360CE">
              <w:rPr>
                <w:rFonts w:ascii="Calibri"/>
                <w:color w:val="231F20"/>
                <w:spacing w:val="16"/>
                <w:sz w:val="18"/>
              </w:rPr>
              <w:t xml:space="preserve"> </w:t>
            </w:r>
            <w:r w:rsidRPr="001360CE">
              <w:rPr>
                <w:rFonts w:ascii="Calibri"/>
                <w:color w:val="231F20"/>
                <w:sz w:val="18"/>
              </w:rPr>
              <w:t>reducing</w:t>
            </w:r>
            <w:r w:rsidRPr="001360CE">
              <w:rPr>
                <w:rFonts w:ascii="Calibri"/>
                <w:color w:val="231F20"/>
                <w:spacing w:val="17"/>
                <w:sz w:val="18"/>
              </w:rPr>
              <w:t xml:space="preserve"> </w:t>
            </w:r>
            <w:r w:rsidRPr="001360CE">
              <w:rPr>
                <w:rFonts w:ascii="Calibri"/>
                <w:color w:val="231F20"/>
                <w:sz w:val="18"/>
              </w:rPr>
              <w:t>costs</w:t>
            </w:r>
            <w:r w:rsidRPr="001360CE">
              <w:rPr>
                <w:rFonts w:ascii="Calibri"/>
                <w:color w:val="231F20"/>
                <w:spacing w:val="17"/>
                <w:sz w:val="18"/>
              </w:rPr>
              <w:t xml:space="preserve"> </w:t>
            </w:r>
            <w:r w:rsidRPr="001360CE">
              <w:rPr>
                <w:rFonts w:ascii="Calibri"/>
                <w:color w:val="231F20"/>
                <w:sz w:val="18"/>
              </w:rPr>
              <w:t>while</w:t>
            </w:r>
            <w:r w:rsidRPr="001360CE">
              <w:rPr>
                <w:rFonts w:ascii="Calibri"/>
                <w:color w:val="231F20"/>
                <w:spacing w:val="17"/>
                <w:sz w:val="18"/>
              </w:rPr>
              <w:t xml:space="preserve"> </w:t>
            </w:r>
            <w:r>
              <w:rPr>
                <w:rFonts w:ascii="Calibri"/>
                <w:color w:val="231F20"/>
                <w:sz w:val="18"/>
              </w:rPr>
              <w:t>sup</w:t>
            </w:r>
            <w:r w:rsidRPr="001360CE">
              <w:rPr>
                <w:rFonts w:ascii="Calibri"/>
                <w:color w:val="231F20"/>
                <w:sz w:val="18"/>
              </w:rPr>
              <w:t>porting</w:t>
            </w:r>
            <w:r w:rsidRPr="001360CE">
              <w:rPr>
                <w:rFonts w:ascii="Calibri"/>
                <w:color w:val="231F20"/>
                <w:spacing w:val="16"/>
                <w:sz w:val="18"/>
              </w:rPr>
              <w:t xml:space="preserve"> </w:t>
            </w:r>
            <w:r>
              <w:rPr>
                <w:rFonts w:ascii="Calibri"/>
                <w:color w:val="231F20"/>
                <w:sz w:val="18"/>
              </w:rPr>
              <w:t>results</w:t>
            </w:r>
          </w:p>
        </w:tc>
        <w:tc>
          <w:tcPr>
            <w:tcW w:w="1434" w:type="pct"/>
          </w:tcPr>
          <w:p w14:paraId="0A5253E0" w14:textId="77777777" w:rsidR="00C109C8" w:rsidRDefault="00C109C8" w:rsidP="000C417E">
            <w:pPr>
              <w:spacing w:before="120" w:after="120"/>
              <w:ind w:right="-79"/>
              <w:rPr>
                <w:sz w:val="18"/>
              </w:rPr>
            </w:pPr>
            <w:r w:rsidRPr="001360CE">
              <w:rPr>
                <w:sz w:val="18"/>
              </w:rPr>
              <w:t xml:space="preserve">UNDP resources </w:t>
            </w:r>
            <w:r>
              <w:rPr>
                <w:sz w:val="18"/>
              </w:rPr>
              <w:t>(</w:t>
            </w:r>
            <w:r w:rsidRPr="001360CE">
              <w:rPr>
                <w:sz w:val="18"/>
              </w:rPr>
              <w:t>97%</w:t>
            </w:r>
            <w:r>
              <w:rPr>
                <w:sz w:val="18"/>
              </w:rPr>
              <w:t>) arise</w:t>
            </w:r>
            <w:r w:rsidRPr="001360CE">
              <w:rPr>
                <w:sz w:val="18"/>
              </w:rPr>
              <w:t xml:space="preserve"> from government funds; these are well focused on planned activities (i.e. YDF and NDS)</w:t>
            </w:r>
          </w:p>
          <w:p w14:paraId="13686ABB" w14:textId="77777777" w:rsidR="00C109C8" w:rsidRDefault="00C109C8" w:rsidP="000C417E">
            <w:pPr>
              <w:spacing w:before="120" w:after="120"/>
              <w:ind w:right="-79"/>
              <w:rPr>
                <w:sz w:val="18"/>
              </w:rPr>
            </w:pPr>
            <w:r>
              <w:rPr>
                <w:sz w:val="18"/>
              </w:rPr>
              <w:t xml:space="preserve">NGO and UNDP Trust Fund (DGTTF) used efficiently to fund planned activities:  cooperation with NGOs constitutes an important innovation for UNDP-KSA </w:t>
            </w:r>
          </w:p>
          <w:p w14:paraId="27D33DCF" w14:textId="77777777" w:rsidR="00C109C8" w:rsidRDefault="00C109C8" w:rsidP="000C417E">
            <w:pPr>
              <w:spacing w:before="120" w:after="120"/>
              <w:ind w:right="-79"/>
              <w:rPr>
                <w:sz w:val="18"/>
              </w:rPr>
            </w:pPr>
            <w:r>
              <w:rPr>
                <w:sz w:val="18"/>
              </w:rPr>
              <w:t>UNDP project staff extremely highly commended and appreciated by government and NGO counterparts</w:t>
            </w:r>
          </w:p>
          <w:p w14:paraId="6DF6F8AD" w14:textId="77777777" w:rsidR="00C109C8" w:rsidRPr="008363A5" w:rsidRDefault="00C109C8" w:rsidP="000C417E">
            <w:pPr>
              <w:spacing w:before="120" w:after="120"/>
              <w:ind w:right="-79"/>
            </w:pPr>
            <w:r>
              <w:rPr>
                <w:sz w:val="18"/>
              </w:rPr>
              <w:t xml:space="preserve">Within Outcome 1, UNDP management integrated, fully conversant with issues:  high degree of synergy  </w:t>
            </w:r>
          </w:p>
        </w:tc>
        <w:tc>
          <w:tcPr>
            <w:tcW w:w="660" w:type="pct"/>
            <w:vMerge/>
          </w:tcPr>
          <w:p w14:paraId="36AEF3D1" w14:textId="77777777" w:rsidR="00C109C8" w:rsidRPr="008363A5" w:rsidRDefault="00C109C8" w:rsidP="000C417E"/>
        </w:tc>
        <w:tc>
          <w:tcPr>
            <w:tcW w:w="672" w:type="pct"/>
            <w:vMerge/>
          </w:tcPr>
          <w:p w14:paraId="70CC7336" w14:textId="77777777" w:rsidR="00C109C8" w:rsidRPr="008363A5" w:rsidRDefault="00C109C8" w:rsidP="000C417E"/>
        </w:tc>
      </w:tr>
      <w:tr w:rsidR="00C109C8" w:rsidRPr="008363A5" w14:paraId="13B0B571" w14:textId="77777777" w:rsidTr="000C417E">
        <w:trPr>
          <w:jc w:val="center"/>
        </w:trPr>
        <w:tc>
          <w:tcPr>
            <w:tcW w:w="941" w:type="pct"/>
            <w:vMerge w:val="restart"/>
            <w:shd w:val="clear" w:color="auto" w:fill="B8CCE4" w:themeFill="accent1" w:themeFillTint="66"/>
            <w:vAlign w:val="center"/>
          </w:tcPr>
          <w:p w14:paraId="60F7D81B" w14:textId="77777777" w:rsidR="00C109C8" w:rsidRPr="008363A5" w:rsidRDefault="00C109C8" w:rsidP="000C417E">
            <w:pPr>
              <w:ind w:right="175"/>
            </w:pPr>
            <w:r w:rsidRPr="008363A5">
              <w:t>Sustainability</w:t>
            </w:r>
          </w:p>
        </w:tc>
        <w:tc>
          <w:tcPr>
            <w:tcW w:w="1293" w:type="pct"/>
            <w:vAlign w:val="center"/>
          </w:tcPr>
          <w:p w14:paraId="1F2A7AB9" w14:textId="77777777" w:rsidR="00C109C8" w:rsidRDefault="00C109C8" w:rsidP="000C417E">
            <w:pPr>
              <w:tabs>
                <w:tab w:val="left" w:pos="455"/>
              </w:tabs>
              <w:spacing w:before="120" w:after="120"/>
              <w:ind w:right="163"/>
              <w:rPr>
                <w:rFonts w:ascii="Calibri"/>
                <w:color w:val="231F20"/>
                <w:sz w:val="18"/>
              </w:rPr>
            </w:pPr>
            <w:r>
              <w:rPr>
                <w:rFonts w:ascii="Calibri"/>
                <w:color w:val="231F20"/>
                <w:sz w:val="18"/>
              </w:rPr>
              <w:t>CP [Outcome 1] attention to sustainability of results in project design given</w:t>
            </w:r>
            <w:r w:rsidRPr="00ED6F16">
              <w:rPr>
                <w:rFonts w:ascii="Calibri"/>
                <w:color w:val="231F20"/>
                <w:spacing w:val="13"/>
                <w:sz w:val="18"/>
              </w:rPr>
              <w:t xml:space="preserve"> </w:t>
            </w:r>
            <w:r w:rsidRPr="00ED6F16">
              <w:rPr>
                <w:rFonts w:ascii="Calibri"/>
                <w:color w:val="231F20"/>
                <w:sz w:val="18"/>
              </w:rPr>
              <w:t>identifiable</w:t>
            </w:r>
            <w:r w:rsidRPr="00ED6F16">
              <w:rPr>
                <w:rFonts w:ascii="Calibri"/>
                <w:color w:val="231F20"/>
                <w:spacing w:val="13"/>
                <w:sz w:val="18"/>
              </w:rPr>
              <w:t xml:space="preserve"> </w:t>
            </w:r>
            <w:r>
              <w:rPr>
                <w:rFonts w:ascii="Calibri"/>
                <w:color w:val="231F20"/>
                <w:sz w:val="18"/>
              </w:rPr>
              <w:t>risks.</w:t>
            </w:r>
          </w:p>
          <w:p w14:paraId="3BB2C8CC" w14:textId="77777777" w:rsidR="00C109C8" w:rsidRDefault="00C109C8" w:rsidP="000C417E">
            <w:pPr>
              <w:tabs>
                <w:tab w:val="left" w:pos="455"/>
              </w:tabs>
              <w:spacing w:before="120" w:after="120"/>
              <w:ind w:right="163"/>
              <w:rPr>
                <w:rFonts w:ascii="Calibri"/>
                <w:color w:val="231F20"/>
                <w:sz w:val="18"/>
              </w:rPr>
            </w:pPr>
          </w:p>
          <w:p w14:paraId="54CE1FC9" w14:textId="77777777" w:rsidR="00C109C8" w:rsidRPr="00ED6F16" w:rsidRDefault="00C109C8" w:rsidP="000C417E">
            <w:pPr>
              <w:tabs>
                <w:tab w:val="left" w:pos="455"/>
              </w:tabs>
              <w:spacing w:before="120" w:after="120"/>
              <w:ind w:right="163"/>
              <w:rPr>
                <w:rFonts w:ascii="Calibri" w:eastAsia="Calibri" w:hAnsi="Calibri" w:cs="Calibri"/>
                <w:sz w:val="18"/>
                <w:szCs w:val="18"/>
              </w:rPr>
            </w:pPr>
          </w:p>
          <w:p w14:paraId="02A64E85" w14:textId="77777777" w:rsidR="00C109C8" w:rsidRPr="00ED6F16" w:rsidRDefault="00C109C8" w:rsidP="000C417E">
            <w:pPr>
              <w:tabs>
                <w:tab w:val="left" w:pos="455"/>
              </w:tabs>
              <w:spacing w:before="120" w:after="120"/>
              <w:ind w:right="428"/>
              <w:rPr>
                <w:rFonts w:ascii="Calibri" w:eastAsia="Calibri" w:hAnsi="Calibri" w:cs="Calibri"/>
                <w:sz w:val="18"/>
                <w:szCs w:val="18"/>
              </w:rPr>
            </w:pPr>
            <w:r>
              <w:rPr>
                <w:rFonts w:ascii="Calibri"/>
                <w:color w:val="231F20"/>
                <w:w w:val="105"/>
                <w:sz w:val="18"/>
              </w:rPr>
              <w:t>E</w:t>
            </w:r>
            <w:r w:rsidRPr="00ED6F16">
              <w:rPr>
                <w:rFonts w:ascii="Calibri"/>
                <w:color w:val="231F20"/>
                <w:w w:val="105"/>
                <w:sz w:val="18"/>
              </w:rPr>
              <w:t>xit</w:t>
            </w:r>
            <w:r w:rsidRPr="00ED6F16">
              <w:rPr>
                <w:rFonts w:ascii="Calibri"/>
                <w:color w:val="231F20"/>
                <w:w w:val="102"/>
                <w:sz w:val="18"/>
              </w:rPr>
              <w:t xml:space="preserve"> </w:t>
            </w:r>
            <w:r>
              <w:rPr>
                <w:rFonts w:ascii="Calibri"/>
                <w:color w:val="231F20"/>
                <w:w w:val="105"/>
                <w:sz w:val="18"/>
              </w:rPr>
              <w:t>strategy of UNDP and government.</w:t>
            </w:r>
          </w:p>
          <w:p w14:paraId="411EF864" w14:textId="77777777" w:rsidR="00C109C8" w:rsidRPr="008363A5" w:rsidRDefault="00C109C8" w:rsidP="000C417E"/>
        </w:tc>
        <w:tc>
          <w:tcPr>
            <w:tcW w:w="1434" w:type="pct"/>
          </w:tcPr>
          <w:p w14:paraId="5C2BF762" w14:textId="77777777" w:rsidR="00C109C8" w:rsidRDefault="00C109C8" w:rsidP="000C417E">
            <w:pPr>
              <w:spacing w:before="120" w:after="120"/>
              <w:ind w:right="-79"/>
              <w:rPr>
                <w:rFonts w:ascii="Calibri"/>
                <w:color w:val="231F20"/>
                <w:sz w:val="18"/>
              </w:rPr>
            </w:pPr>
            <w:r w:rsidRPr="00024326">
              <w:rPr>
                <w:rFonts w:ascii="Calibri"/>
                <w:color w:val="231F20"/>
                <w:sz w:val="18"/>
              </w:rPr>
              <w:t>Projects are dependent on government allocations; realignment of funds and partnerships will enhance sustainability of Warif and WE; assignment of stable government staff will enable YDF to reach higher level of achievements and impact on youth leadership goals.</w:t>
            </w:r>
          </w:p>
          <w:p w14:paraId="1DBE6064" w14:textId="77777777" w:rsidR="00C109C8" w:rsidRPr="00024326" w:rsidRDefault="00C109C8" w:rsidP="000C417E">
            <w:pPr>
              <w:spacing w:before="120" w:after="120"/>
              <w:ind w:right="-79"/>
              <w:rPr>
                <w:rFonts w:ascii="Calibri"/>
                <w:color w:val="231F20"/>
                <w:sz w:val="18"/>
              </w:rPr>
            </w:pPr>
            <w:r>
              <w:rPr>
                <w:rFonts w:ascii="Calibri"/>
                <w:color w:val="231F20"/>
                <w:sz w:val="18"/>
              </w:rPr>
              <w:t>Support to better information flows in SME finance and services (e.g. forum of participants in the sector) will provide potential for exit and co-sharing route for government, and thereby for UNDP.</w:t>
            </w:r>
          </w:p>
        </w:tc>
        <w:tc>
          <w:tcPr>
            <w:tcW w:w="660" w:type="pct"/>
            <w:vMerge/>
          </w:tcPr>
          <w:p w14:paraId="2B84A47C" w14:textId="77777777" w:rsidR="00C109C8" w:rsidRPr="008363A5" w:rsidRDefault="00C109C8" w:rsidP="000C417E"/>
        </w:tc>
        <w:tc>
          <w:tcPr>
            <w:tcW w:w="672" w:type="pct"/>
          </w:tcPr>
          <w:p w14:paraId="1AA6FFD1" w14:textId="77777777" w:rsidR="00C109C8" w:rsidRPr="008363A5" w:rsidRDefault="00C109C8" w:rsidP="000C417E"/>
        </w:tc>
      </w:tr>
      <w:tr w:rsidR="00C109C8" w:rsidRPr="008363A5" w14:paraId="74E0F6E3" w14:textId="77777777" w:rsidTr="000C417E">
        <w:trPr>
          <w:jc w:val="center"/>
        </w:trPr>
        <w:tc>
          <w:tcPr>
            <w:tcW w:w="941" w:type="pct"/>
            <w:vMerge/>
            <w:shd w:val="clear" w:color="auto" w:fill="B8CCE4" w:themeFill="accent1" w:themeFillTint="66"/>
          </w:tcPr>
          <w:p w14:paraId="7D2D7295" w14:textId="77777777" w:rsidR="00C109C8" w:rsidRPr="008363A5" w:rsidRDefault="00C109C8" w:rsidP="000C417E"/>
        </w:tc>
        <w:tc>
          <w:tcPr>
            <w:tcW w:w="1293" w:type="pct"/>
          </w:tcPr>
          <w:p w14:paraId="5391C9B8" w14:textId="77777777" w:rsidR="00C109C8" w:rsidRDefault="00C109C8" w:rsidP="000C417E">
            <w:pPr>
              <w:tabs>
                <w:tab w:val="left" w:pos="455"/>
              </w:tabs>
              <w:spacing w:before="120" w:after="120"/>
              <w:ind w:right="124"/>
              <w:rPr>
                <w:rFonts w:ascii="Calibri"/>
                <w:color w:val="231F20"/>
                <w:sz w:val="18"/>
              </w:rPr>
            </w:pPr>
            <w:r>
              <w:rPr>
                <w:rFonts w:ascii="Calibri"/>
                <w:color w:val="231F20"/>
                <w:sz w:val="18"/>
              </w:rPr>
              <w:t>I</w:t>
            </w:r>
            <w:r w:rsidRPr="00ED6F16">
              <w:rPr>
                <w:rFonts w:ascii="Calibri"/>
                <w:color w:val="231F20"/>
                <w:sz w:val="18"/>
              </w:rPr>
              <w:t>ssues</w:t>
            </w:r>
            <w:r w:rsidRPr="00ED6F16">
              <w:rPr>
                <w:rFonts w:ascii="Calibri"/>
                <w:color w:val="231F20"/>
                <w:spacing w:val="16"/>
                <w:sz w:val="18"/>
              </w:rPr>
              <w:t xml:space="preserve"> </w:t>
            </w:r>
            <w:r>
              <w:rPr>
                <w:rFonts w:ascii="Calibri"/>
                <w:color w:val="231F20"/>
                <w:sz w:val="18"/>
              </w:rPr>
              <w:t>emerging</w:t>
            </w:r>
            <w:r w:rsidRPr="00ED6F16">
              <w:rPr>
                <w:rFonts w:ascii="Calibri"/>
                <w:color w:val="231F20"/>
                <w:w w:val="104"/>
                <w:sz w:val="18"/>
              </w:rPr>
              <w:t xml:space="preserve"> </w:t>
            </w:r>
            <w:r w:rsidRPr="00ED6F16">
              <w:rPr>
                <w:rFonts w:ascii="Calibri"/>
                <w:color w:val="231F20"/>
                <w:sz w:val="18"/>
              </w:rPr>
              <w:t>during</w:t>
            </w:r>
            <w:r w:rsidRPr="00ED6F16">
              <w:rPr>
                <w:rFonts w:ascii="Calibri"/>
                <w:color w:val="231F20"/>
                <w:spacing w:val="22"/>
                <w:sz w:val="18"/>
              </w:rPr>
              <w:t xml:space="preserve"> </w:t>
            </w:r>
            <w:r w:rsidRPr="00ED6F16">
              <w:rPr>
                <w:rFonts w:ascii="Calibri"/>
                <w:color w:val="231F20"/>
                <w:sz w:val="18"/>
              </w:rPr>
              <w:t>implementation</w:t>
            </w:r>
            <w:r w:rsidRPr="00ED6F16">
              <w:rPr>
                <w:rFonts w:ascii="Calibri"/>
                <w:color w:val="231F20"/>
                <w:spacing w:val="22"/>
                <w:sz w:val="18"/>
              </w:rPr>
              <w:t xml:space="preserve"> </w:t>
            </w:r>
            <w:r w:rsidRPr="00ED6F16">
              <w:rPr>
                <w:rFonts w:ascii="Calibri"/>
                <w:color w:val="231F20"/>
                <w:sz w:val="18"/>
              </w:rPr>
              <w:t>as</w:t>
            </w:r>
            <w:r w:rsidRPr="00ED6F16">
              <w:rPr>
                <w:rFonts w:ascii="Calibri"/>
                <w:color w:val="231F20"/>
                <w:spacing w:val="22"/>
                <w:sz w:val="18"/>
              </w:rPr>
              <w:t xml:space="preserve"> </w:t>
            </w:r>
            <w:r>
              <w:rPr>
                <w:rFonts w:ascii="Calibri"/>
                <w:color w:val="231F20"/>
                <w:sz w:val="18"/>
              </w:rPr>
              <w:t>potential</w:t>
            </w:r>
            <w:r w:rsidRPr="00ED6F16">
              <w:rPr>
                <w:rFonts w:ascii="Calibri"/>
                <w:color w:val="231F20"/>
                <w:sz w:val="18"/>
              </w:rPr>
              <w:t xml:space="preserve"> threat</w:t>
            </w:r>
            <w:r w:rsidRPr="00ED6F16">
              <w:rPr>
                <w:rFonts w:ascii="Calibri"/>
                <w:color w:val="231F20"/>
                <w:spacing w:val="7"/>
                <w:sz w:val="18"/>
              </w:rPr>
              <w:t xml:space="preserve"> </w:t>
            </w:r>
            <w:r w:rsidRPr="00ED6F16">
              <w:rPr>
                <w:rFonts w:ascii="Calibri"/>
                <w:color w:val="231F20"/>
                <w:sz w:val="18"/>
              </w:rPr>
              <w:t>to</w:t>
            </w:r>
            <w:r w:rsidRPr="00ED6F16">
              <w:rPr>
                <w:rFonts w:ascii="Calibri"/>
                <w:color w:val="231F20"/>
                <w:spacing w:val="8"/>
                <w:sz w:val="18"/>
              </w:rPr>
              <w:t xml:space="preserve"> </w:t>
            </w:r>
            <w:r>
              <w:rPr>
                <w:rFonts w:ascii="Calibri"/>
                <w:color w:val="231F20"/>
                <w:sz w:val="18"/>
              </w:rPr>
              <w:t>sustainability</w:t>
            </w:r>
          </w:p>
          <w:p w14:paraId="1AF480F9" w14:textId="77777777" w:rsidR="00C109C8" w:rsidRDefault="00C109C8" w:rsidP="000C417E">
            <w:pPr>
              <w:tabs>
                <w:tab w:val="left" w:pos="455"/>
              </w:tabs>
              <w:spacing w:before="120" w:after="120"/>
              <w:ind w:right="124"/>
              <w:rPr>
                <w:rFonts w:ascii="Calibri"/>
                <w:color w:val="231F20"/>
                <w:sz w:val="18"/>
              </w:rPr>
            </w:pPr>
          </w:p>
          <w:p w14:paraId="31047DDD" w14:textId="77777777" w:rsidR="00C109C8" w:rsidRPr="00ED6F16" w:rsidRDefault="00C109C8" w:rsidP="000C417E">
            <w:pPr>
              <w:tabs>
                <w:tab w:val="left" w:pos="455"/>
              </w:tabs>
              <w:spacing w:before="120" w:after="120"/>
              <w:ind w:right="124"/>
              <w:rPr>
                <w:rFonts w:ascii="Calibri" w:eastAsia="Calibri" w:hAnsi="Calibri" w:cs="Calibri"/>
                <w:sz w:val="18"/>
                <w:szCs w:val="18"/>
              </w:rPr>
            </w:pPr>
          </w:p>
          <w:p w14:paraId="145D63F9" w14:textId="77777777" w:rsidR="00C109C8" w:rsidRDefault="00C109C8" w:rsidP="000C417E">
            <w:pPr>
              <w:tabs>
                <w:tab w:val="left" w:pos="455"/>
              </w:tabs>
              <w:spacing w:before="120" w:after="120"/>
              <w:ind w:right="264"/>
              <w:rPr>
                <w:rFonts w:ascii="Calibri"/>
                <w:color w:val="231F20"/>
                <w:sz w:val="18"/>
              </w:rPr>
            </w:pPr>
            <w:r>
              <w:rPr>
                <w:rFonts w:ascii="Calibri"/>
                <w:color w:val="231F20"/>
                <w:sz w:val="18"/>
              </w:rPr>
              <w:t>C</w:t>
            </w:r>
            <w:r w:rsidRPr="00ED6F16">
              <w:rPr>
                <w:rFonts w:ascii="Calibri"/>
                <w:color w:val="231F20"/>
                <w:sz w:val="18"/>
              </w:rPr>
              <w:t>orrective</w:t>
            </w:r>
            <w:r w:rsidRPr="00ED6F16">
              <w:rPr>
                <w:rFonts w:ascii="Calibri"/>
                <w:color w:val="231F20"/>
                <w:spacing w:val="6"/>
                <w:sz w:val="18"/>
              </w:rPr>
              <w:t xml:space="preserve"> </w:t>
            </w:r>
            <w:r w:rsidRPr="00ED6F16">
              <w:rPr>
                <w:rFonts w:ascii="Calibri"/>
                <w:color w:val="231F20"/>
                <w:sz w:val="18"/>
              </w:rPr>
              <w:t>measures</w:t>
            </w:r>
            <w:r w:rsidRPr="00ED6F16">
              <w:rPr>
                <w:rFonts w:ascii="Calibri"/>
                <w:color w:val="231F20"/>
                <w:w w:val="101"/>
                <w:sz w:val="18"/>
              </w:rPr>
              <w:t xml:space="preserve"> </w:t>
            </w:r>
            <w:r>
              <w:rPr>
                <w:rFonts w:ascii="Calibri"/>
                <w:color w:val="231F20"/>
                <w:sz w:val="18"/>
              </w:rPr>
              <w:t>adopted</w:t>
            </w:r>
          </w:p>
          <w:p w14:paraId="5DD11562" w14:textId="77777777" w:rsidR="00C109C8" w:rsidRDefault="00C109C8" w:rsidP="000C417E">
            <w:pPr>
              <w:tabs>
                <w:tab w:val="left" w:pos="455"/>
              </w:tabs>
              <w:spacing w:before="120" w:after="120"/>
              <w:ind w:right="264"/>
              <w:rPr>
                <w:rFonts w:ascii="Calibri"/>
                <w:color w:val="231F20"/>
                <w:sz w:val="18"/>
              </w:rPr>
            </w:pPr>
          </w:p>
          <w:p w14:paraId="392E26D8" w14:textId="77777777" w:rsidR="00C109C8" w:rsidRDefault="00C109C8" w:rsidP="000C417E">
            <w:pPr>
              <w:tabs>
                <w:tab w:val="left" w:pos="455"/>
              </w:tabs>
              <w:spacing w:before="120" w:after="120"/>
              <w:ind w:right="264"/>
              <w:rPr>
                <w:rFonts w:ascii="Calibri" w:eastAsia="Calibri" w:hAnsi="Calibri" w:cs="Calibri"/>
                <w:sz w:val="18"/>
                <w:szCs w:val="18"/>
              </w:rPr>
            </w:pPr>
          </w:p>
          <w:p w14:paraId="3A9508EE" w14:textId="77777777" w:rsidR="00C109C8" w:rsidRDefault="00C109C8" w:rsidP="000C417E">
            <w:pPr>
              <w:tabs>
                <w:tab w:val="left" w:pos="455"/>
              </w:tabs>
              <w:spacing w:before="120" w:after="120"/>
              <w:ind w:right="264"/>
              <w:rPr>
                <w:rFonts w:ascii="Calibri" w:eastAsia="Calibri" w:hAnsi="Calibri" w:cs="Calibri"/>
                <w:sz w:val="18"/>
                <w:szCs w:val="18"/>
              </w:rPr>
            </w:pPr>
          </w:p>
          <w:p w14:paraId="028471D9" w14:textId="77777777" w:rsidR="00C109C8" w:rsidRPr="00ED6F16" w:rsidRDefault="00C109C8" w:rsidP="000C417E">
            <w:pPr>
              <w:tabs>
                <w:tab w:val="left" w:pos="455"/>
              </w:tabs>
              <w:spacing w:before="120" w:after="120"/>
              <w:ind w:right="163"/>
              <w:rPr>
                <w:rFonts w:ascii="Calibri"/>
                <w:color w:val="231F20"/>
                <w:sz w:val="18"/>
              </w:rPr>
            </w:pPr>
            <w:r w:rsidRPr="00ED6F16">
              <w:rPr>
                <w:rFonts w:ascii="Calibri"/>
                <w:color w:val="231F20"/>
                <w:w w:val="105"/>
                <w:sz w:val="18"/>
              </w:rPr>
              <w:t>UNDP</w:t>
            </w:r>
            <w:r w:rsidRPr="00ED6F16">
              <w:rPr>
                <w:rFonts w:ascii="Calibri"/>
                <w:color w:val="231F20"/>
                <w:spacing w:val="-16"/>
                <w:w w:val="105"/>
                <w:sz w:val="18"/>
              </w:rPr>
              <w:t xml:space="preserve"> </w:t>
            </w:r>
            <w:r>
              <w:rPr>
                <w:rFonts w:ascii="Calibri"/>
                <w:color w:val="231F20"/>
                <w:w w:val="105"/>
                <w:sz w:val="18"/>
              </w:rPr>
              <w:t>handling of</w:t>
            </w:r>
            <w:r w:rsidRPr="00ED6F16">
              <w:rPr>
                <w:rFonts w:ascii="Calibri"/>
                <w:color w:val="231F20"/>
                <w:w w:val="102"/>
                <w:sz w:val="18"/>
              </w:rPr>
              <w:t xml:space="preserve"> </w:t>
            </w:r>
            <w:r w:rsidRPr="00ED6F16">
              <w:rPr>
                <w:rFonts w:ascii="Calibri"/>
                <w:color w:val="231F20"/>
                <w:w w:val="105"/>
                <w:sz w:val="18"/>
              </w:rPr>
              <w:t>the</w:t>
            </w:r>
            <w:r w:rsidRPr="00ED6F16">
              <w:rPr>
                <w:rFonts w:ascii="Calibri"/>
                <w:color w:val="231F20"/>
                <w:spacing w:val="-4"/>
                <w:w w:val="105"/>
                <w:sz w:val="18"/>
              </w:rPr>
              <w:t xml:space="preserve"> </w:t>
            </w:r>
            <w:r w:rsidRPr="00ED6F16">
              <w:rPr>
                <w:rFonts w:ascii="Calibri"/>
                <w:color w:val="231F20"/>
                <w:w w:val="105"/>
                <w:sz w:val="18"/>
              </w:rPr>
              <w:t>challenge</w:t>
            </w:r>
            <w:r w:rsidRPr="00ED6F16">
              <w:rPr>
                <w:rFonts w:ascii="Calibri"/>
                <w:color w:val="231F20"/>
                <w:spacing w:val="-4"/>
                <w:w w:val="105"/>
                <w:sz w:val="18"/>
              </w:rPr>
              <w:t xml:space="preserve"> </w:t>
            </w:r>
            <w:r w:rsidRPr="00ED6F16">
              <w:rPr>
                <w:rFonts w:ascii="Calibri"/>
                <w:color w:val="231F20"/>
                <w:w w:val="105"/>
                <w:sz w:val="18"/>
              </w:rPr>
              <w:t>of</w:t>
            </w:r>
            <w:r w:rsidRPr="00ED6F16">
              <w:rPr>
                <w:rFonts w:ascii="Calibri"/>
                <w:color w:val="231F20"/>
                <w:spacing w:val="-4"/>
                <w:w w:val="105"/>
                <w:sz w:val="18"/>
              </w:rPr>
              <w:t xml:space="preserve"> </w:t>
            </w:r>
            <w:r w:rsidRPr="00ED6F16">
              <w:rPr>
                <w:rFonts w:ascii="Calibri"/>
                <w:color w:val="231F20"/>
                <w:w w:val="105"/>
                <w:sz w:val="18"/>
              </w:rPr>
              <w:t>building</w:t>
            </w:r>
            <w:r w:rsidRPr="00ED6F16">
              <w:rPr>
                <w:rFonts w:ascii="Calibri"/>
                <w:color w:val="231F20"/>
                <w:w w:val="107"/>
                <w:sz w:val="18"/>
              </w:rPr>
              <w:t xml:space="preserve"> </w:t>
            </w:r>
            <w:r w:rsidRPr="00ED6F16">
              <w:rPr>
                <w:rFonts w:ascii="Calibri"/>
                <w:color w:val="231F20"/>
                <w:w w:val="105"/>
                <w:sz w:val="18"/>
              </w:rPr>
              <w:t>national</w:t>
            </w:r>
            <w:r w:rsidRPr="00ED6F16">
              <w:rPr>
                <w:rFonts w:ascii="Calibri"/>
                <w:color w:val="231F20"/>
                <w:spacing w:val="-14"/>
                <w:w w:val="105"/>
                <w:sz w:val="18"/>
              </w:rPr>
              <w:t xml:space="preserve"> </w:t>
            </w:r>
            <w:r w:rsidRPr="00ED6F16">
              <w:rPr>
                <w:rFonts w:ascii="Calibri"/>
                <w:color w:val="231F20"/>
                <w:w w:val="105"/>
                <w:sz w:val="18"/>
              </w:rPr>
              <w:t>capacity</w:t>
            </w:r>
            <w:r w:rsidRPr="00ED6F16">
              <w:rPr>
                <w:rFonts w:ascii="Calibri"/>
                <w:color w:val="231F20"/>
                <w:spacing w:val="-14"/>
                <w:w w:val="105"/>
                <w:sz w:val="18"/>
              </w:rPr>
              <w:t xml:space="preserve"> </w:t>
            </w:r>
            <w:r w:rsidRPr="00ED6F16">
              <w:rPr>
                <w:rFonts w:ascii="Calibri"/>
                <w:color w:val="231F20"/>
                <w:w w:val="105"/>
                <w:sz w:val="18"/>
              </w:rPr>
              <w:t>in</w:t>
            </w:r>
            <w:r w:rsidRPr="00ED6F16">
              <w:rPr>
                <w:rFonts w:ascii="Calibri"/>
                <w:color w:val="231F20"/>
                <w:spacing w:val="-14"/>
                <w:w w:val="105"/>
                <w:sz w:val="18"/>
              </w:rPr>
              <w:t xml:space="preserve"> </w:t>
            </w:r>
            <w:r w:rsidRPr="00ED6F16">
              <w:rPr>
                <w:rFonts w:ascii="Calibri"/>
                <w:color w:val="231F20"/>
                <w:w w:val="105"/>
                <w:sz w:val="18"/>
              </w:rPr>
              <w:t>the</w:t>
            </w:r>
            <w:r w:rsidRPr="00ED6F16">
              <w:rPr>
                <w:rFonts w:ascii="Calibri"/>
                <w:color w:val="231F20"/>
                <w:spacing w:val="-14"/>
                <w:w w:val="105"/>
                <w:sz w:val="18"/>
              </w:rPr>
              <w:t xml:space="preserve"> </w:t>
            </w:r>
            <w:r w:rsidRPr="00ED6F16">
              <w:rPr>
                <w:rFonts w:ascii="Calibri"/>
                <w:color w:val="231F20"/>
                <w:w w:val="105"/>
                <w:sz w:val="18"/>
              </w:rPr>
              <w:t>face</w:t>
            </w:r>
            <w:r w:rsidRPr="00ED6F16">
              <w:rPr>
                <w:rFonts w:ascii="Calibri"/>
                <w:color w:val="231F20"/>
                <w:w w:val="101"/>
                <w:sz w:val="18"/>
              </w:rPr>
              <w:t xml:space="preserve"> </w:t>
            </w:r>
            <w:r w:rsidRPr="00ED6F16">
              <w:rPr>
                <w:rFonts w:ascii="Calibri"/>
                <w:color w:val="231F20"/>
                <w:w w:val="105"/>
                <w:sz w:val="18"/>
              </w:rPr>
              <w:t>of</w:t>
            </w:r>
            <w:r w:rsidRPr="00ED6F16">
              <w:rPr>
                <w:rFonts w:ascii="Calibri"/>
                <w:color w:val="231F20"/>
                <w:spacing w:val="-9"/>
                <w:w w:val="105"/>
                <w:sz w:val="18"/>
              </w:rPr>
              <w:t xml:space="preserve"> </w:t>
            </w:r>
            <w:r>
              <w:rPr>
                <w:rFonts w:ascii="Calibri"/>
                <w:color w:val="231F20"/>
                <w:w w:val="105"/>
                <w:sz w:val="18"/>
              </w:rPr>
              <w:t>normal</w:t>
            </w:r>
            <w:r w:rsidRPr="00ED6F16">
              <w:rPr>
                <w:rFonts w:ascii="Calibri"/>
                <w:color w:val="231F20"/>
                <w:spacing w:val="-9"/>
                <w:w w:val="105"/>
                <w:sz w:val="18"/>
              </w:rPr>
              <w:t xml:space="preserve"> </w:t>
            </w:r>
            <w:r w:rsidRPr="00ED6F16">
              <w:rPr>
                <w:rFonts w:ascii="Calibri"/>
                <w:color w:val="231F20"/>
                <w:w w:val="105"/>
                <w:sz w:val="18"/>
              </w:rPr>
              <w:t>turnover</w:t>
            </w:r>
            <w:r w:rsidRPr="00ED6F16">
              <w:rPr>
                <w:rFonts w:ascii="Calibri"/>
                <w:color w:val="231F20"/>
                <w:spacing w:val="-9"/>
                <w:w w:val="105"/>
                <w:sz w:val="18"/>
              </w:rPr>
              <w:t xml:space="preserve"> </w:t>
            </w:r>
            <w:r w:rsidRPr="00ED6F16">
              <w:rPr>
                <w:rFonts w:ascii="Calibri"/>
                <w:color w:val="231F20"/>
                <w:w w:val="105"/>
                <w:sz w:val="18"/>
              </w:rPr>
              <w:t>of</w:t>
            </w:r>
            <w:r w:rsidRPr="00ED6F16">
              <w:rPr>
                <w:rFonts w:ascii="Calibri"/>
                <w:color w:val="231F20"/>
                <w:spacing w:val="-9"/>
                <w:w w:val="105"/>
                <w:sz w:val="18"/>
              </w:rPr>
              <w:t xml:space="preserve"> </w:t>
            </w:r>
            <w:r>
              <w:rPr>
                <w:rFonts w:ascii="Calibri"/>
                <w:color w:val="231F20"/>
                <w:w w:val="105"/>
                <w:sz w:val="18"/>
              </w:rPr>
              <w:t>govern</w:t>
            </w:r>
            <w:r w:rsidRPr="00ED6F16">
              <w:rPr>
                <w:rFonts w:ascii="Calibri"/>
                <w:color w:val="231F20"/>
                <w:sz w:val="18"/>
              </w:rPr>
              <w:t>ment</w:t>
            </w:r>
            <w:r w:rsidRPr="00ED6F16">
              <w:rPr>
                <w:rFonts w:ascii="Calibri"/>
                <w:color w:val="231F20"/>
                <w:spacing w:val="2"/>
                <w:sz w:val="18"/>
              </w:rPr>
              <w:t xml:space="preserve"> </w:t>
            </w:r>
            <w:r>
              <w:rPr>
                <w:rFonts w:ascii="Calibri"/>
                <w:color w:val="231F20"/>
                <w:sz w:val="18"/>
              </w:rPr>
              <w:t>officials</w:t>
            </w:r>
          </w:p>
        </w:tc>
        <w:tc>
          <w:tcPr>
            <w:tcW w:w="1434" w:type="pct"/>
          </w:tcPr>
          <w:p w14:paraId="2E104E13" w14:textId="77777777" w:rsidR="00C109C8" w:rsidRDefault="00C109C8" w:rsidP="000C417E">
            <w:pPr>
              <w:spacing w:before="120" w:after="120"/>
              <w:ind w:right="-79"/>
              <w:rPr>
                <w:sz w:val="18"/>
              </w:rPr>
            </w:pPr>
            <w:r w:rsidRPr="00E6030F">
              <w:rPr>
                <w:sz w:val="18"/>
              </w:rPr>
              <w:t>Concomitant with net donor country status, KSA funds greatest part of CP outputs; UNDP maintains active dialogue with government on adjustments to projects</w:t>
            </w:r>
            <w:r>
              <w:rPr>
                <w:sz w:val="18"/>
              </w:rPr>
              <w:t>.</w:t>
            </w:r>
          </w:p>
          <w:p w14:paraId="42900A3E" w14:textId="77777777" w:rsidR="00C109C8" w:rsidRDefault="00C109C8" w:rsidP="000C417E">
            <w:pPr>
              <w:spacing w:before="120" w:after="120"/>
              <w:ind w:right="-79"/>
              <w:rPr>
                <w:sz w:val="18"/>
              </w:rPr>
            </w:pPr>
            <w:r>
              <w:rPr>
                <w:sz w:val="18"/>
              </w:rPr>
              <w:t>Mid-term Outcome Evaluation commissioned to identify needed revisions as well as results.</w:t>
            </w:r>
          </w:p>
          <w:p w14:paraId="2AE5C71D" w14:textId="77777777" w:rsidR="00C109C8" w:rsidRDefault="00C109C8" w:rsidP="000C417E">
            <w:pPr>
              <w:spacing w:before="120" w:after="120"/>
              <w:ind w:right="-79"/>
              <w:rPr>
                <w:sz w:val="18"/>
              </w:rPr>
            </w:pPr>
            <w:r>
              <w:rPr>
                <w:sz w:val="18"/>
              </w:rPr>
              <w:t>Mid-term Outcome Evaluation calls for realignment of capacity development funds and review of partnership strategy to expand cooperation with NGOs, CSO, private sector (potentially via public-private partnerships)</w:t>
            </w:r>
          </w:p>
          <w:p w14:paraId="4C146E2A" w14:textId="77777777" w:rsidR="00C109C8" w:rsidRPr="008363A5" w:rsidRDefault="00C109C8" w:rsidP="000C417E">
            <w:pPr>
              <w:spacing w:before="120" w:after="120"/>
              <w:ind w:right="-79"/>
            </w:pPr>
            <w:r>
              <w:rPr>
                <w:sz w:val="18"/>
              </w:rPr>
              <w:t>YDF continuation depends on regularizing government-supported staff assignments to project implementation (with reduction of load on UNDP project management staff)</w:t>
            </w:r>
          </w:p>
        </w:tc>
        <w:tc>
          <w:tcPr>
            <w:tcW w:w="660" w:type="pct"/>
            <w:vMerge w:val="restart"/>
            <w:vAlign w:val="center"/>
          </w:tcPr>
          <w:p w14:paraId="46D317CD" w14:textId="77777777" w:rsidR="00C109C8" w:rsidRPr="009B396C" w:rsidRDefault="00C109C8" w:rsidP="000C417E">
            <w:pPr>
              <w:spacing w:before="60" w:after="60"/>
              <w:ind w:right="0"/>
              <w:rPr>
                <w:sz w:val="18"/>
              </w:rPr>
            </w:pPr>
            <w:r w:rsidRPr="009B396C">
              <w:rPr>
                <w:sz w:val="18"/>
              </w:rPr>
              <w:t>UNDP-KSA 2010</w:t>
            </w:r>
          </w:p>
          <w:p w14:paraId="2B44E572" w14:textId="77777777" w:rsidR="00C109C8" w:rsidRPr="009B396C" w:rsidRDefault="00C109C8" w:rsidP="000C417E">
            <w:pPr>
              <w:spacing w:before="60" w:after="60"/>
              <w:ind w:right="0"/>
              <w:rPr>
                <w:sz w:val="18"/>
              </w:rPr>
            </w:pPr>
            <w:r w:rsidRPr="009B396C">
              <w:rPr>
                <w:sz w:val="18"/>
              </w:rPr>
              <w:t>UNDP-KSA 2012</w:t>
            </w:r>
          </w:p>
          <w:p w14:paraId="0D231551" w14:textId="77777777" w:rsidR="00C109C8" w:rsidRDefault="00C109C8" w:rsidP="000C417E">
            <w:pPr>
              <w:spacing w:before="60" w:after="60"/>
              <w:ind w:right="0"/>
              <w:rPr>
                <w:sz w:val="18"/>
              </w:rPr>
            </w:pPr>
            <w:r w:rsidRPr="009B396C">
              <w:rPr>
                <w:sz w:val="18"/>
              </w:rPr>
              <w:t>ProDocs:  YDF, NYS, Warif, WE</w:t>
            </w:r>
          </w:p>
          <w:p w14:paraId="15F5822B" w14:textId="77777777" w:rsidR="00C109C8" w:rsidRPr="008363A5" w:rsidRDefault="00C109C8" w:rsidP="000C417E">
            <w:pPr>
              <w:ind w:right="-5"/>
            </w:pPr>
            <w:r w:rsidRPr="00E6030F">
              <w:rPr>
                <w:sz w:val="18"/>
              </w:rPr>
              <w:t xml:space="preserve">(includes </w:t>
            </w:r>
            <w:r>
              <w:rPr>
                <w:sz w:val="18"/>
              </w:rPr>
              <w:t>detailed review of budgets)</w:t>
            </w:r>
          </w:p>
        </w:tc>
        <w:tc>
          <w:tcPr>
            <w:tcW w:w="672" w:type="pct"/>
            <w:vMerge w:val="restart"/>
            <w:vAlign w:val="center"/>
          </w:tcPr>
          <w:p w14:paraId="068F78E0" w14:textId="77777777" w:rsidR="00C109C8" w:rsidRPr="009B396C" w:rsidRDefault="00C109C8" w:rsidP="000C417E">
            <w:pPr>
              <w:spacing w:before="120" w:after="120"/>
              <w:ind w:right="0"/>
              <w:rPr>
                <w:sz w:val="18"/>
              </w:rPr>
            </w:pPr>
            <w:r w:rsidRPr="009B396C">
              <w:rPr>
                <w:sz w:val="18"/>
              </w:rPr>
              <w:t>Key informant interviews</w:t>
            </w:r>
            <w:r>
              <w:rPr>
                <w:sz w:val="18"/>
              </w:rPr>
              <w:t>:  project officers, government, project staff</w:t>
            </w:r>
          </w:p>
          <w:p w14:paraId="491CE744" w14:textId="77777777" w:rsidR="00C109C8" w:rsidRPr="008363A5" w:rsidRDefault="00C109C8" w:rsidP="000C417E">
            <w:pPr>
              <w:ind w:right="0"/>
            </w:pPr>
            <w:r>
              <w:rPr>
                <w:sz w:val="18"/>
              </w:rPr>
              <w:t>Review of p</w:t>
            </w:r>
            <w:r w:rsidRPr="00E6030F">
              <w:rPr>
                <w:sz w:val="18"/>
              </w:rPr>
              <w:t>roject</w:t>
            </w:r>
            <w:r>
              <w:t xml:space="preserve"> </w:t>
            </w:r>
            <w:r w:rsidRPr="00E6030F">
              <w:rPr>
                <w:sz w:val="18"/>
              </w:rPr>
              <w:t>documents</w:t>
            </w:r>
          </w:p>
        </w:tc>
      </w:tr>
      <w:tr w:rsidR="00C109C8" w:rsidRPr="008363A5" w14:paraId="5D4A858B" w14:textId="77777777" w:rsidTr="000C417E">
        <w:trPr>
          <w:jc w:val="center"/>
        </w:trPr>
        <w:tc>
          <w:tcPr>
            <w:tcW w:w="941" w:type="pct"/>
            <w:vMerge/>
            <w:shd w:val="clear" w:color="auto" w:fill="B8CCE4" w:themeFill="accent1" w:themeFillTint="66"/>
          </w:tcPr>
          <w:p w14:paraId="756C64D6" w14:textId="77777777" w:rsidR="00C109C8" w:rsidRPr="008363A5" w:rsidRDefault="00C109C8" w:rsidP="000C417E"/>
        </w:tc>
        <w:tc>
          <w:tcPr>
            <w:tcW w:w="1293" w:type="pct"/>
            <w:vAlign w:val="center"/>
          </w:tcPr>
          <w:p w14:paraId="5A65680B" w14:textId="77777777" w:rsidR="00C109C8" w:rsidRPr="00ED6F16" w:rsidRDefault="00C109C8" w:rsidP="000C417E">
            <w:pPr>
              <w:tabs>
                <w:tab w:val="left" w:pos="455"/>
              </w:tabs>
              <w:spacing w:before="120" w:after="120"/>
              <w:ind w:right="163"/>
              <w:rPr>
                <w:rFonts w:ascii="Calibri"/>
                <w:color w:val="231F20"/>
                <w:sz w:val="18"/>
              </w:rPr>
            </w:pPr>
            <w:r w:rsidRPr="00ED6F16">
              <w:rPr>
                <w:rFonts w:ascii="Calibri"/>
                <w:color w:val="231F20"/>
                <w:w w:val="105"/>
                <w:sz w:val="18"/>
              </w:rPr>
              <w:t>UNDP</w:t>
            </w:r>
            <w:r w:rsidRPr="00ED6F16">
              <w:rPr>
                <w:rFonts w:ascii="Calibri"/>
                <w:color w:val="231F20"/>
                <w:spacing w:val="-14"/>
                <w:w w:val="105"/>
                <w:sz w:val="18"/>
              </w:rPr>
              <w:t xml:space="preserve"> </w:t>
            </w:r>
            <w:r>
              <w:rPr>
                <w:rFonts w:ascii="Calibri"/>
                <w:color w:val="231F20"/>
                <w:w w:val="105"/>
                <w:sz w:val="18"/>
              </w:rPr>
              <w:t>approach to</w:t>
            </w:r>
            <w:r w:rsidRPr="00ED6F16">
              <w:rPr>
                <w:rFonts w:ascii="Calibri"/>
                <w:color w:val="231F20"/>
                <w:spacing w:val="-6"/>
                <w:w w:val="105"/>
                <w:sz w:val="18"/>
              </w:rPr>
              <w:t xml:space="preserve"> </w:t>
            </w:r>
            <w:r w:rsidRPr="00ED6F16">
              <w:rPr>
                <w:rFonts w:ascii="Calibri"/>
                <w:color w:val="231F20"/>
                <w:w w:val="105"/>
                <w:sz w:val="18"/>
              </w:rPr>
              <w:t>scaling</w:t>
            </w:r>
            <w:r w:rsidRPr="00ED6F16">
              <w:rPr>
                <w:rFonts w:ascii="Calibri"/>
                <w:color w:val="231F20"/>
                <w:spacing w:val="-5"/>
                <w:w w:val="105"/>
                <w:sz w:val="18"/>
              </w:rPr>
              <w:t xml:space="preserve"> </w:t>
            </w:r>
            <w:r w:rsidRPr="00ED6F16">
              <w:rPr>
                <w:rFonts w:ascii="Calibri"/>
                <w:color w:val="231F20"/>
                <w:w w:val="105"/>
                <w:sz w:val="18"/>
              </w:rPr>
              <w:t>up</w:t>
            </w:r>
            <w:r w:rsidRPr="00ED6F16">
              <w:rPr>
                <w:rFonts w:ascii="Calibri"/>
                <w:color w:val="231F20"/>
                <w:spacing w:val="-5"/>
                <w:w w:val="105"/>
                <w:sz w:val="18"/>
              </w:rPr>
              <w:t xml:space="preserve"> </w:t>
            </w:r>
            <w:r>
              <w:rPr>
                <w:rFonts w:ascii="Calibri"/>
                <w:color w:val="231F20"/>
                <w:w w:val="105"/>
                <w:sz w:val="18"/>
              </w:rPr>
              <w:t>suc</w:t>
            </w:r>
            <w:r w:rsidRPr="00ED6F16">
              <w:rPr>
                <w:rFonts w:ascii="Calibri"/>
                <w:color w:val="231F20"/>
                <w:w w:val="105"/>
                <w:sz w:val="18"/>
              </w:rPr>
              <w:t>cessful</w:t>
            </w:r>
            <w:r w:rsidRPr="00ED6F16">
              <w:rPr>
                <w:rFonts w:ascii="Calibri"/>
                <w:color w:val="231F20"/>
                <w:spacing w:val="-17"/>
                <w:w w:val="105"/>
                <w:sz w:val="18"/>
              </w:rPr>
              <w:t xml:space="preserve"> </w:t>
            </w:r>
            <w:r w:rsidRPr="00ED6F16">
              <w:rPr>
                <w:rFonts w:ascii="Calibri"/>
                <w:color w:val="231F20"/>
                <w:w w:val="105"/>
                <w:sz w:val="18"/>
              </w:rPr>
              <w:t>pilot</w:t>
            </w:r>
            <w:r w:rsidRPr="00ED6F16">
              <w:rPr>
                <w:rFonts w:ascii="Calibri"/>
                <w:color w:val="231F20"/>
                <w:spacing w:val="-16"/>
                <w:w w:val="105"/>
                <w:sz w:val="18"/>
              </w:rPr>
              <w:t xml:space="preserve"> </w:t>
            </w:r>
            <w:r w:rsidRPr="00ED6F16">
              <w:rPr>
                <w:rFonts w:ascii="Calibri"/>
                <w:color w:val="231F20"/>
                <w:w w:val="105"/>
                <w:sz w:val="18"/>
              </w:rPr>
              <w:t>initiatives</w:t>
            </w:r>
            <w:r w:rsidRPr="00ED6F16">
              <w:rPr>
                <w:rFonts w:ascii="Calibri"/>
                <w:color w:val="231F20"/>
                <w:spacing w:val="-16"/>
                <w:w w:val="105"/>
                <w:sz w:val="18"/>
              </w:rPr>
              <w:t xml:space="preserve"> </w:t>
            </w:r>
            <w:r w:rsidRPr="00ED6F16">
              <w:rPr>
                <w:rFonts w:ascii="Calibri"/>
                <w:color w:val="231F20"/>
                <w:w w:val="105"/>
                <w:sz w:val="18"/>
              </w:rPr>
              <w:t>and</w:t>
            </w:r>
            <w:r w:rsidRPr="00ED6F16">
              <w:rPr>
                <w:rFonts w:ascii="Calibri"/>
                <w:color w:val="231F20"/>
                <w:w w:val="104"/>
                <w:sz w:val="18"/>
              </w:rPr>
              <w:t xml:space="preserve"> </w:t>
            </w:r>
            <w:r w:rsidRPr="00ED6F16">
              <w:rPr>
                <w:rFonts w:ascii="Calibri"/>
                <w:color w:val="231F20"/>
                <w:w w:val="105"/>
                <w:sz w:val="18"/>
              </w:rPr>
              <w:t>catalytic</w:t>
            </w:r>
            <w:r w:rsidRPr="00ED6F16">
              <w:rPr>
                <w:rFonts w:ascii="Calibri"/>
                <w:color w:val="231F20"/>
                <w:spacing w:val="-24"/>
                <w:w w:val="105"/>
                <w:sz w:val="18"/>
              </w:rPr>
              <w:t xml:space="preserve"> </w:t>
            </w:r>
            <w:r>
              <w:rPr>
                <w:rFonts w:ascii="Calibri"/>
                <w:color w:val="231F20"/>
                <w:w w:val="105"/>
                <w:sz w:val="18"/>
              </w:rPr>
              <w:t xml:space="preserve">projects; </w:t>
            </w:r>
            <w:r w:rsidRPr="00ED6F16">
              <w:rPr>
                <w:rFonts w:ascii="Calibri"/>
                <w:color w:val="231F20"/>
                <w:w w:val="105"/>
                <w:sz w:val="18"/>
              </w:rPr>
              <w:t>government</w:t>
            </w:r>
            <w:r w:rsidRPr="00ED6F16">
              <w:rPr>
                <w:rFonts w:ascii="Calibri"/>
                <w:color w:val="231F20"/>
                <w:spacing w:val="-15"/>
                <w:w w:val="105"/>
                <w:sz w:val="18"/>
              </w:rPr>
              <w:t xml:space="preserve"> </w:t>
            </w:r>
            <w:r>
              <w:rPr>
                <w:rFonts w:ascii="Calibri"/>
                <w:color w:val="231F20"/>
                <w:w w:val="105"/>
                <w:sz w:val="18"/>
              </w:rPr>
              <w:t xml:space="preserve">take-up of such </w:t>
            </w:r>
            <w:r w:rsidRPr="00ED6F16">
              <w:rPr>
                <w:rFonts w:ascii="Calibri"/>
                <w:color w:val="231F20"/>
                <w:sz w:val="18"/>
              </w:rPr>
              <w:t>initiatives</w:t>
            </w:r>
            <w:r>
              <w:rPr>
                <w:rFonts w:ascii="Calibri"/>
                <w:color w:val="231F20"/>
                <w:sz w:val="18"/>
              </w:rPr>
              <w:t>.</w:t>
            </w:r>
            <w:r w:rsidRPr="00ED6F16">
              <w:rPr>
                <w:rFonts w:ascii="Calibri"/>
                <w:color w:val="231F20"/>
                <w:spacing w:val="14"/>
                <w:sz w:val="18"/>
              </w:rPr>
              <w:t xml:space="preserve"> </w:t>
            </w:r>
          </w:p>
        </w:tc>
        <w:tc>
          <w:tcPr>
            <w:tcW w:w="1434" w:type="pct"/>
          </w:tcPr>
          <w:p w14:paraId="7F554309" w14:textId="77777777" w:rsidR="00C109C8" w:rsidRPr="00E6030F" w:rsidRDefault="00C109C8" w:rsidP="000C417E">
            <w:pPr>
              <w:spacing w:before="120" w:after="120"/>
              <w:ind w:right="-79"/>
              <w:rPr>
                <w:sz w:val="18"/>
                <w:szCs w:val="18"/>
              </w:rPr>
            </w:pPr>
            <w:r>
              <w:rPr>
                <w:sz w:val="18"/>
                <w:szCs w:val="18"/>
              </w:rPr>
              <w:t xml:space="preserve">UNDP is prepared to scale up outputs particularly with NDS, Warif and WE projects; given that Outcome Evaluation comes in mid-term of CP, government is asked to direct efforts to realignments proposed in order to expand pilots to wider geographic areas and socioeconomic groups, and in order to enhance job-creation potential of CSO projects (Warif and WE). </w:t>
            </w:r>
          </w:p>
        </w:tc>
        <w:tc>
          <w:tcPr>
            <w:tcW w:w="660" w:type="pct"/>
            <w:vMerge/>
          </w:tcPr>
          <w:p w14:paraId="04F9B6B2" w14:textId="77777777" w:rsidR="00C109C8" w:rsidRPr="008363A5" w:rsidRDefault="00C109C8" w:rsidP="000C417E"/>
        </w:tc>
        <w:tc>
          <w:tcPr>
            <w:tcW w:w="672" w:type="pct"/>
            <w:vMerge/>
          </w:tcPr>
          <w:p w14:paraId="7AE2790B" w14:textId="77777777" w:rsidR="00C109C8" w:rsidRPr="008363A5" w:rsidRDefault="00C109C8" w:rsidP="000C417E"/>
        </w:tc>
      </w:tr>
      <w:tr w:rsidR="00C109C8" w:rsidRPr="008363A5" w14:paraId="76924441" w14:textId="77777777" w:rsidTr="000C417E">
        <w:trPr>
          <w:jc w:val="center"/>
        </w:trPr>
        <w:tc>
          <w:tcPr>
            <w:tcW w:w="5000" w:type="pct"/>
            <w:gridSpan w:val="5"/>
            <w:shd w:val="clear" w:color="auto" w:fill="B8CCE4" w:themeFill="accent1" w:themeFillTint="66"/>
          </w:tcPr>
          <w:p w14:paraId="0EF20ABA" w14:textId="77777777" w:rsidR="00C109C8" w:rsidRPr="008363A5" w:rsidRDefault="00C109C8" w:rsidP="000C417E">
            <w:pPr>
              <w:ind w:right="0"/>
            </w:pPr>
            <w:r w:rsidRPr="008363A5">
              <w:t>QUESTIONS RELATING TO THE PROMOTION OF UN VALUES FROM A HUMAN DEVELOPMENT PERSPECTIVE</w:t>
            </w:r>
          </w:p>
        </w:tc>
      </w:tr>
      <w:tr w:rsidR="00C109C8" w:rsidRPr="008363A5" w14:paraId="39040B39" w14:textId="77777777" w:rsidTr="000C417E">
        <w:trPr>
          <w:jc w:val="center"/>
        </w:trPr>
        <w:tc>
          <w:tcPr>
            <w:tcW w:w="941" w:type="pct"/>
            <w:shd w:val="clear" w:color="auto" w:fill="B8CCE4" w:themeFill="accent1" w:themeFillTint="66"/>
            <w:vAlign w:val="center"/>
          </w:tcPr>
          <w:p w14:paraId="645164C7" w14:textId="77777777" w:rsidR="00C109C8" w:rsidRPr="008363A5" w:rsidRDefault="00C109C8" w:rsidP="000C417E">
            <w:pPr>
              <w:ind w:right="-122"/>
            </w:pPr>
            <w:r w:rsidRPr="008363A5">
              <w:t xml:space="preserve">Supporting policy dialogue </w:t>
            </w:r>
          </w:p>
          <w:p w14:paraId="2194072D" w14:textId="77777777" w:rsidR="00C109C8" w:rsidRPr="008363A5" w:rsidRDefault="00C109C8" w:rsidP="000C417E">
            <w:pPr>
              <w:ind w:right="0"/>
            </w:pPr>
            <w:r w:rsidRPr="008363A5">
              <w:t xml:space="preserve">on human development </w:t>
            </w:r>
          </w:p>
          <w:p w14:paraId="46E41DDE" w14:textId="77777777" w:rsidR="00C109C8" w:rsidRPr="008363A5" w:rsidRDefault="00C109C8" w:rsidP="000C417E">
            <w:pPr>
              <w:ind w:right="-122"/>
            </w:pPr>
            <w:r w:rsidRPr="008363A5">
              <w:t>issues</w:t>
            </w:r>
          </w:p>
        </w:tc>
        <w:tc>
          <w:tcPr>
            <w:tcW w:w="1293" w:type="pct"/>
            <w:vAlign w:val="center"/>
          </w:tcPr>
          <w:p w14:paraId="385AA34B" w14:textId="77777777" w:rsidR="00C109C8" w:rsidRPr="008363A5" w:rsidRDefault="00C109C8" w:rsidP="000C417E">
            <w:pPr>
              <w:spacing w:before="120" w:after="120"/>
              <w:ind w:right="0"/>
            </w:pPr>
            <w:r>
              <w:rPr>
                <w:rFonts w:ascii="Calibri"/>
                <w:color w:val="231F20"/>
                <w:w w:val="105"/>
                <w:sz w:val="18"/>
              </w:rPr>
              <w:t>E</w:t>
            </w:r>
            <w:r w:rsidRPr="008363A5">
              <w:rPr>
                <w:rFonts w:ascii="Calibri"/>
                <w:color w:val="231F20"/>
                <w:w w:val="105"/>
                <w:sz w:val="18"/>
              </w:rPr>
              <w:t>xtent</w:t>
            </w:r>
            <w:r w:rsidRPr="008363A5">
              <w:rPr>
                <w:rFonts w:ascii="Calibri"/>
                <w:color w:val="231F20"/>
                <w:spacing w:val="-9"/>
                <w:w w:val="105"/>
                <w:sz w:val="18"/>
              </w:rPr>
              <w:t xml:space="preserve"> </w:t>
            </w:r>
            <w:r>
              <w:rPr>
                <w:rFonts w:ascii="Calibri"/>
                <w:color w:val="231F20"/>
                <w:w w:val="105"/>
                <w:sz w:val="18"/>
              </w:rPr>
              <w:t>to which</w:t>
            </w:r>
            <w:r w:rsidRPr="008363A5">
              <w:rPr>
                <w:rFonts w:ascii="Calibri"/>
                <w:color w:val="231F20"/>
                <w:spacing w:val="-10"/>
                <w:w w:val="105"/>
                <w:sz w:val="18"/>
              </w:rPr>
              <w:t xml:space="preserve"> </w:t>
            </w:r>
            <w:r>
              <w:rPr>
                <w:rFonts w:ascii="Calibri"/>
                <w:color w:val="231F20"/>
                <w:w w:val="105"/>
                <w:sz w:val="18"/>
              </w:rPr>
              <w:t xml:space="preserve">CP (Outcome 1 outputs) </w:t>
            </w:r>
            <w:r w:rsidRPr="008363A5">
              <w:rPr>
                <w:rFonts w:ascii="Calibri"/>
                <w:color w:val="231F20"/>
                <w:w w:val="105"/>
                <w:sz w:val="18"/>
              </w:rPr>
              <w:t>support</w:t>
            </w:r>
            <w:r>
              <w:rPr>
                <w:rFonts w:ascii="Calibri"/>
                <w:color w:val="231F20"/>
                <w:w w:val="105"/>
                <w:sz w:val="18"/>
              </w:rPr>
              <w:t xml:space="preserve">ed </w:t>
            </w:r>
            <w:r w:rsidRPr="008363A5">
              <w:rPr>
                <w:rFonts w:ascii="Calibri"/>
                <w:color w:val="231F20"/>
                <w:spacing w:val="-20"/>
                <w:w w:val="105"/>
                <w:sz w:val="18"/>
              </w:rPr>
              <w:t>the</w:t>
            </w:r>
            <w:r w:rsidRPr="008363A5">
              <w:rPr>
                <w:rFonts w:ascii="Calibri"/>
                <w:color w:val="231F20"/>
                <w:w w:val="102"/>
                <w:sz w:val="18"/>
              </w:rPr>
              <w:t xml:space="preserve"> </w:t>
            </w:r>
            <w:r w:rsidRPr="008363A5">
              <w:rPr>
                <w:rFonts w:ascii="Calibri"/>
                <w:color w:val="231F20"/>
                <w:w w:val="105"/>
                <w:sz w:val="18"/>
              </w:rPr>
              <w:t>government</w:t>
            </w:r>
            <w:r w:rsidRPr="008363A5">
              <w:rPr>
                <w:rFonts w:ascii="Calibri"/>
                <w:color w:val="231F20"/>
                <w:spacing w:val="-11"/>
                <w:w w:val="105"/>
                <w:sz w:val="18"/>
              </w:rPr>
              <w:t xml:space="preserve"> </w:t>
            </w:r>
            <w:r w:rsidRPr="0053680B">
              <w:rPr>
                <w:rFonts w:ascii="Calibri"/>
                <w:i/>
                <w:color w:val="231F20"/>
                <w:w w:val="105"/>
                <w:sz w:val="18"/>
                <w:u w:val="single"/>
              </w:rPr>
              <w:t>in</w:t>
            </w:r>
            <w:r w:rsidRPr="0053680B">
              <w:rPr>
                <w:rFonts w:ascii="Calibri"/>
                <w:i/>
                <w:color w:val="231F20"/>
                <w:spacing w:val="-10"/>
                <w:w w:val="105"/>
                <w:sz w:val="18"/>
                <w:u w:val="single"/>
              </w:rPr>
              <w:t xml:space="preserve"> </w:t>
            </w:r>
            <w:r w:rsidRPr="0053680B">
              <w:rPr>
                <w:rFonts w:ascii="Calibri"/>
                <w:i/>
                <w:color w:val="231F20"/>
                <w:w w:val="105"/>
                <w:sz w:val="18"/>
                <w:u w:val="single"/>
              </w:rPr>
              <w:t>monitoring</w:t>
            </w:r>
            <w:r w:rsidRPr="008363A5">
              <w:rPr>
                <w:rFonts w:ascii="Calibri"/>
                <w:color w:val="231F20"/>
                <w:w w:val="104"/>
                <w:sz w:val="18"/>
              </w:rPr>
              <w:t xml:space="preserve"> </w:t>
            </w:r>
            <w:r w:rsidRPr="008363A5">
              <w:rPr>
                <w:rFonts w:ascii="Calibri"/>
                <w:color w:val="231F20"/>
                <w:sz w:val="18"/>
              </w:rPr>
              <w:t>achievement</w:t>
            </w:r>
            <w:r w:rsidRPr="008363A5">
              <w:rPr>
                <w:rFonts w:ascii="Calibri"/>
                <w:color w:val="231F20"/>
                <w:spacing w:val="10"/>
                <w:sz w:val="18"/>
              </w:rPr>
              <w:t xml:space="preserve"> </w:t>
            </w:r>
            <w:r w:rsidRPr="008363A5">
              <w:rPr>
                <w:rFonts w:ascii="Calibri"/>
                <w:color w:val="231F20"/>
                <w:sz w:val="18"/>
              </w:rPr>
              <w:t>of</w:t>
            </w:r>
            <w:r w:rsidRPr="008363A5">
              <w:rPr>
                <w:rFonts w:ascii="Calibri"/>
                <w:color w:val="231F20"/>
                <w:spacing w:val="11"/>
                <w:sz w:val="18"/>
              </w:rPr>
              <w:t xml:space="preserve"> </w:t>
            </w:r>
            <w:r>
              <w:rPr>
                <w:rFonts w:ascii="Calibri"/>
                <w:color w:val="231F20"/>
                <w:sz w:val="18"/>
              </w:rPr>
              <w:t>MDGs, other human development (HD) targets</w:t>
            </w:r>
          </w:p>
        </w:tc>
        <w:tc>
          <w:tcPr>
            <w:tcW w:w="1434" w:type="pct"/>
          </w:tcPr>
          <w:p w14:paraId="08373F54" w14:textId="77777777" w:rsidR="00C109C8" w:rsidRDefault="00C109C8" w:rsidP="000C417E">
            <w:pPr>
              <w:spacing w:before="120" w:after="120"/>
              <w:ind w:right="-79"/>
              <w:rPr>
                <w:sz w:val="18"/>
              </w:rPr>
            </w:pPr>
            <w:r>
              <w:rPr>
                <w:sz w:val="18"/>
              </w:rPr>
              <w:t>HD targets are explicit (re increasing youth and women’s employment; inclusive discussion on youth policy; expanding volunteering; building capacity of women entrepreneurs); however, not always quantified/measurable.</w:t>
            </w:r>
          </w:p>
          <w:p w14:paraId="4A852D24" w14:textId="77777777" w:rsidR="00C109C8" w:rsidRPr="009B396C" w:rsidRDefault="00C109C8" w:rsidP="000C417E">
            <w:pPr>
              <w:spacing w:before="120" w:after="120"/>
              <w:ind w:right="-79"/>
              <w:rPr>
                <w:sz w:val="18"/>
              </w:rPr>
            </w:pPr>
            <w:r>
              <w:rPr>
                <w:sz w:val="18"/>
              </w:rPr>
              <w:t>Project monitoring targets and indicators not always shown; e.g. gender balance in mixed projects is not indicated as a target; therefore, achievement of this important indicator is not highlighted.</w:t>
            </w:r>
          </w:p>
        </w:tc>
        <w:tc>
          <w:tcPr>
            <w:tcW w:w="660" w:type="pct"/>
            <w:vAlign w:val="center"/>
          </w:tcPr>
          <w:p w14:paraId="72219DAF" w14:textId="77777777" w:rsidR="00C109C8" w:rsidRDefault="00C109C8" w:rsidP="000C417E">
            <w:pPr>
              <w:spacing w:before="60" w:after="60"/>
              <w:ind w:right="0"/>
              <w:rPr>
                <w:sz w:val="18"/>
              </w:rPr>
            </w:pPr>
            <w:r w:rsidRPr="009B396C">
              <w:rPr>
                <w:sz w:val="18"/>
              </w:rPr>
              <w:t>UNDP-KSA 2010</w:t>
            </w:r>
          </w:p>
          <w:p w14:paraId="0EAB3A17" w14:textId="77777777" w:rsidR="00C109C8" w:rsidRPr="009B396C" w:rsidRDefault="00C109C8" w:rsidP="000C417E">
            <w:pPr>
              <w:spacing w:before="60" w:after="60"/>
              <w:ind w:right="0"/>
              <w:rPr>
                <w:sz w:val="18"/>
              </w:rPr>
            </w:pPr>
            <w:r>
              <w:rPr>
                <w:sz w:val="18"/>
              </w:rPr>
              <w:t>UNDP-KSA 2011a, b</w:t>
            </w:r>
          </w:p>
          <w:p w14:paraId="59E02D0A" w14:textId="77777777" w:rsidR="00C109C8" w:rsidRPr="009B396C" w:rsidRDefault="00C109C8" w:rsidP="000C417E">
            <w:pPr>
              <w:spacing w:before="60" w:after="60"/>
              <w:ind w:right="0"/>
              <w:rPr>
                <w:sz w:val="18"/>
              </w:rPr>
            </w:pPr>
            <w:r w:rsidRPr="009B396C">
              <w:rPr>
                <w:sz w:val="18"/>
              </w:rPr>
              <w:t>UNDP-KSA 2012</w:t>
            </w:r>
          </w:p>
          <w:p w14:paraId="082CCAAD" w14:textId="77777777" w:rsidR="00C109C8" w:rsidRDefault="00C109C8" w:rsidP="000C417E">
            <w:pPr>
              <w:spacing w:before="120" w:after="120"/>
              <w:ind w:right="0"/>
              <w:rPr>
                <w:sz w:val="18"/>
              </w:rPr>
            </w:pPr>
            <w:r>
              <w:rPr>
                <w:sz w:val="18"/>
              </w:rPr>
              <w:t>ProDocs including RRFs</w:t>
            </w:r>
          </w:p>
          <w:p w14:paraId="396813DB" w14:textId="77777777" w:rsidR="00C109C8" w:rsidRDefault="00C109C8" w:rsidP="000C417E">
            <w:pPr>
              <w:spacing w:before="120" w:after="120"/>
              <w:ind w:right="0"/>
              <w:rPr>
                <w:sz w:val="18"/>
              </w:rPr>
            </w:pPr>
            <w:r>
              <w:rPr>
                <w:sz w:val="18"/>
              </w:rPr>
              <w:t>WB 2014</w:t>
            </w:r>
          </w:p>
          <w:p w14:paraId="68CE9D8F" w14:textId="77777777" w:rsidR="00C109C8" w:rsidRDefault="00C109C8" w:rsidP="000C417E">
            <w:pPr>
              <w:spacing w:before="120" w:after="120"/>
              <w:ind w:right="0"/>
              <w:rPr>
                <w:sz w:val="18"/>
              </w:rPr>
            </w:pPr>
            <w:r w:rsidRPr="00A02034">
              <w:rPr>
                <w:sz w:val="18"/>
              </w:rPr>
              <w:t>Chaoul</w:t>
            </w:r>
            <w:r w:rsidRPr="00EB16D2">
              <w:t xml:space="preserve"> </w:t>
            </w:r>
            <w:r w:rsidRPr="00A02034">
              <w:rPr>
                <w:sz w:val="18"/>
              </w:rPr>
              <w:t>HJ</w:t>
            </w:r>
            <w:r w:rsidRPr="00EB16D2">
              <w:t xml:space="preserve">. </w:t>
            </w:r>
            <w:r w:rsidRPr="00A02034">
              <w:rPr>
                <w:sz w:val="18"/>
              </w:rPr>
              <w:t>2013</w:t>
            </w:r>
          </w:p>
          <w:p w14:paraId="597F7175" w14:textId="77777777" w:rsidR="00C109C8" w:rsidRDefault="00C109C8" w:rsidP="000C417E">
            <w:pPr>
              <w:spacing w:before="120" w:after="120"/>
              <w:ind w:right="0"/>
              <w:rPr>
                <w:sz w:val="18"/>
              </w:rPr>
            </w:pPr>
            <w:r w:rsidRPr="002867C5">
              <w:rPr>
                <w:sz w:val="18"/>
              </w:rPr>
              <w:t>Osman G. 2013</w:t>
            </w:r>
          </w:p>
          <w:p w14:paraId="09306EAC" w14:textId="77777777" w:rsidR="00C109C8" w:rsidRPr="008363A5" w:rsidRDefault="00C109C8" w:rsidP="000C417E"/>
        </w:tc>
        <w:tc>
          <w:tcPr>
            <w:tcW w:w="672" w:type="pct"/>
            <w:vMerge w:val="restart"/>
            <w:vAlign w:val="center"/>
          </w:tcPr>
          <w:p w14:paraId="221275CF" w14:textId="77777777" w:rsidR="00C109C8" w:rsidRPr="009B396C" w:rsidRDefault="00C109C8" w:rsidP="000C417E">
            <w:pPr>
              <w:spacing w:before="120" w:after="120"/>
              <w:ind w:right="0"/>
              <w:rPr>
                <w:sz w:val="18"/>
              </w:rPr>
            </w:pPr>
            <w:r w:rsidRPr="009B396C">
              <w:rPr>
                <w:sz w:val="18"/>
              </w:rPr>
              <w:t>Key informant interviews</w:t>
            </w:r>
            <w:r>
              <w:rPr>
                <w:sz w:val="18"/>
              </w:rPr>
              <w:t>:  project officers, government, project staff</w:t>
            </w:r>
          </w:p>
          <w:p w14:paraId="393E37F4" w14:textId="77777777" w:rsidR="00C109C8" w:rsidRDefault="00C109C8" w:rsidP="000C417E">
            <w:pPr>
              <w:spacing w:before="120" w:after="120"/>
              <w:ind w:right="0"/>
              <w:rPr>
                <w:sz w:val="18"/>
              </w:rPr>
            </w:pPr>
            <w:r>
              <w:rPr>
                <w:sz w:val="18"/>
              </w:rPr>
              <w:t>Review of p</w:t>
            </w:r>
            <w:r w:rsidRPr="00E6030F">
              <w:rPr>
                <w:sz w:val="18"/>
              </w:rPr>
              <w:t>roject</w:t>
            </w:r>
            <w:r>
              <w:t xml:space="preserve"> </w:t>
            </w:r>
            <w:r w:rsidRPr="00E6030F">
              <w:rPr>
                <w:sz w:val="18"/>
              </w:rPr>
              <w:t>documents</w:t>
            </w:r>
            <w:r>
              <w:rPr>
                <w:sz w:val="18"/>
              </w:rPr>
              <w:t xml:space="preserve">, knowledge products,  including survey conducted by WE project </w:t>
            </w:r>
          </w:p>
          <w:p w14:paraId="22F5567F" w14:textId="77777777" w:rsidR="00C109C8" w:rsidRPr="008363A5" w:rsidRDefault="00C109C8" w:rsidP="000C417E">
            <w:pPr>
              <w:spacing w:before="120" w:after="120"/>
              <w:ind w:right="0"/>
            </w:pPr>
            <w:r>
              <w:rPr>
                <w:sz w:val="18"/>
              </w:rPr>
              <w:t xml:space="preserve">Independent research </w:t>
            </w:r>
          </w:p>
        </w:tc>
      </w:tr>
      <w:tr w:rsidR="00C109C8" w:rsidRPr="008363A5" w14:paraId="4431084D" w14:textId="77777777" w:rsidTr="000C417E">
        <w:trPr>
          <w:trHeight w:val="2358"/>
          <w:jc w:val="center"/>
        </w:trPr>
        <w:tc>
          <w:tcPr>
            <w:tcW w:w="941" w:type="pct"/>
            <w:shd w:val="clear" w:color="auto" w:fill="B8CCE4" w:themeFill="accent1" w:themeFillTint="66"/>
            <w:vAlign w:val="center"/>
          </w:tcPr>
          <w:p w14:paraId="6B2F4F50" w14:textId="77777777" w:rsidR="00C109C8" w:rsidRPr="008363A5" w:rsidRDefault="00C109C8" w:rsidP="000C417E">
            <w:pPr>
              <w:ind w:right="0"/>
            </w:pPr>
            <w:r w:rsidRPr="008363A5">
              <w:t>Contribution to gender equality</w:t>
            </w:r>
          </w:p>
          <w:p w14:paraId="1102A674" w14:textId="77777777" w:rsidR="00C109C8" w:rsidRPr="008363A5" w:rsidRDefault="00C109C8" w:rsidP="000C417E">
            <w:pPr>
              <w:ind w:right="-122"/>
            </w:pPr>
            <w:r w:rsidRPr="008363A5">
              <w:t xml:space="preserve">Addressing equity issues </w:t>
            </w:r>
          </w:p>
          <w:p w14:paraId="2DB86351" w14:textId="77777777" w:rsidR="00C109C8" w:rsidRPr="008363A5" w:rsidRDefault="00C109C8" w:rsidP="000C417E">
            <w:pPr>
              <w:ind w:right="-122"/>
            </w:pPr>
            <w:r w:rsidRPr="008363A5">
              <w:t>(social inclusion)</w:t>
            </w:r>
          </w:p>
        </w:tc>
        <w:tc>
          <w:tcPr>
            <w:tcW w:w="1293" w:type="pct"/>
            <w:vAlign w:val="center"/>
          </w:tcPr>
          <w:p w14:paraId="15C6F697" w14:textId="77777777" w:rsidR="00C109C8" w:rsidRPr="008363A5" w:rsidRDefault="00C109C8" w:rsidP="000C417E">
            <w:pPr>
              <w:tabs>
                <w:tab w:val="left" w:pos="455"/>
              </w:tabs>
              <w:spacing w:before="120" w:after="120"/>
              <w:ind w:right="121"/>
              <w:rPr>
                <w:rFonts w:ascii="Calibri" w:eastAsia="Calibri" w:hAnsi="Calibri" w:cs="Calibri"/>
                <w:sz w:val="18"/>
                <w:szCs w:val="18"/>
              </w:rPr>
            </w:pPr>
            <w:r w:rsidRPr="008363A5">
              <w:rPr>
                <w:rFonts w:ascii="Calibri"/>
                <w:color w:val="231F20"/>
                <w:sz w:val="18"/>
              </w:rPr>
              <w:t>Contributions</w:t>
            </w:r>
            <w:r w:rsidRPr="008363A5">
              <w:rPr>
                <w:rFonts w:ascii="Calibri"/>
                <w:color w:val="231F20"/>
                <w:spacing w:val="15"/>
                <w:sz w:val="18"/>
              </w:rPr>
              <w:t xml:space="preserve"> </w:t>
            </w:r>
            <w:r w:rsidRPr="008363A5">
              <w:rPr>
                <w:rFonts w:ascii="Calibri"/>
                <w:color w:val="231F20"/>
                <w:sz w:val="18"/>
              </w:rPr>
              <w:t>to</w:t>
            </w:r>
            <w:r w:rsidRPr="008363A5">
              <w:rPr>
                <w:rFonts w:ascii="Calibri"/>
                <w:color w:val="231F20"/>
                <w:spacing w:val="15"/>
                <w:sz w:val="18"/>
              </w:rPr>
              <w:t xml:space="preserve"> </w:t>
            </w:r>
            <w:r w:rsidRPr="008363A5">
              <w:rPr>
                <w:rFonts w:ascii="Calibri"/>
                <w:color w:val="231F20"/>
                <w:sz w:val="18"/>
              </w:rPr>
              <w:t>attainment</w:t>
            </w:r>
            <w:r w:rsidRPr="008363A5">
              <w:rPr>
                <w:rFonts w:ascii="Calibri"/>
                <w:color w:val="231F20"/>
                <w:spacing w:val="15"/>
                <w:sz w:val="18"/>
              </w:rPr>
              <w:t xml:space="preserve"> </w:t>
            </w:r>
            <w:r w:rsidRPr="008363A5">
              <w:rPr>
                <w:rFonts w:ascii="Calibri"/>
                <w:color w:val="231F20"/>
                <w:sz w:val="18"/>
              </w:rPr>
              <w:t>of</w:t>
            </w:r>
            <w:r w:rsidRPr="008363A5">
              <w:rPr>
                <w:rFonts w:ascii="Calibri"/>
                <w:color w:val="231F20"/>
                <w:w w:val="101"/>
                <w:sz w:val="18"/>
              </w:rPr>
              <w:t xml:space="preserve"> </w:t>
            </w:r>
            <w:r w:rsidRPr="008363A5">
              <w:rPr>
                <w:rFonts w:ascii="Calibri"/>
                <w:color w:val="231F20"/>
                <w:sz w:val="18"/>
              </w:rPr>
              <w:t>gender</w:t>
            </w:r>
            <w:r w:rsidRPr="008363A5">
              <w:rPr>
                <w:rFonts w:ascii="Calibri"/>
                <w:color w:val="231F20"/>
                <w:spacing w:val="21"/>
                <w:sz w:val="18"/>
              </w:rPr>
              <w:t xml:space="preserve"> </w:t>
            </w:r>
            <w:r>
              <w:rPr>
                <w:rFonts w:ascii="Calibri"/>
                <w:color w:val="231F20"/>
                <w:sz w:val="18"/>
              </w:rPr>
              <w:t xml:space="preserve">equality </w:t>
            </w:r>
          </w:p>
          <w:p w14:paraId="0CEEC25F" w14:textId="77777777" w:rsidR="00C109C8" w:rsidRDefault="00C109C8" w:rsidP="000C417E">
            <w:pPr>
              <w:spacing w:before="120" w:after="120"/>
              <w:ind w:right="174"/>
              <w:rPr>
                <w:rFonts w:ascii="Calibri"/>
                <w:color w:val="231F20"/>
                <w:w w:val="105"/>
                <w:sz w:val="18"/>
              </w:rPr>
            </w:pPr>
            <w:r>
              <w:rPr>
                <w:rFonts w:ascii="Calibri"/>
                <w:color w:val="231F20"/>
                <w:w w:val="105"/>
                <w:sz w:val="18"/>
              </w:rPr>
              <w:t>Outputs</w:t>
            </w:r>
            <w:r>
              <w:rPr>
                <w:rFonts w:ascii="Calibri"/>
                <w:color w:val="231F20"/>
                <w:w w:val="105"/>
                <w:sz w:val="18"/>
              </w:rPr>
              <w:t>’</w:t>
            </w:r>
            <w:r>
              <w:rPr>
                <w:rFonts w:ascii="Calibri"/>
                <w:color w:val="231F20"/>
                <w:w w:val="105"/>
                <w:sz w:val="18"/>
              </w:rPr>
              <w:t xml:space="preserve"> </w:t>
            </w:r>
            <w:r w:rsidRPr="008363A5">
              <w:rPr>
                <w:rFonts w:ascii="Calibri"/>
                <w:color w:val="231F20"/>
                <w:w w:val="105"/>
                <w:sz w:val="18"/>
              </w:rPr>
              <w:t>support</w:t>
            </w:r>
            <w:r w:rsidRPr="008363A5">
              <w:rPr>
                <w:rFonts w:ascii="Calibri"/>
                <w:color w:val="231F20"/>
                <w:spacing w:val="-13"/>
                <w:w w:val="105"/>
                <w:sz w:val="18"/>
              </w:rPr>
              <w:t xml:space="preserve"> </w:t>
            </w:r>
            <w:r>
              <w:rPr>
                <w:rFonts w:ascii="Calibri"/>
                <w:color w:val="231F20"/>
                <w:w w:val="105"/>
                <w:sz w:val="18"/>
              </w:rPr>
              <w:t xml:space="preserve">to </w:t>
            </w:r>
            <w:r w:rsidRPr="008363A5">
              <w:rPr>
                <w:rFonts w:ascii="Calibri"/>
                <w:color w:val="231F20"/>
                <w:w w:val="105"/>
                <w:sz w:val="18"/>
              </w:rPr>
              <w:t>gender</w:t>
            </w:r>
            <w:r w:rsidRPr="008363A5">
              <w:rPr>
                <w:rFonts w:ascii="Calibri"/>
                <w:color w:val="231F20"/>
                <w:spacing w:val="-14"/>
                <w:w w:val="105"/>
                <w:sz w:val="18"/>
              </w:rPr>
              <w:t xml:space="preserve"> </w:t>
            </w:r>
            <w:r w:rsidRPr="008363A5">
              <w:rPr>
                <w:rFonts w:ascii="Calibri"/>
                <w:color w:val="231F20"/>
                <w:w w:val="105"/>
                <w:sz w:val="18"/>
              </w:rPr>
              <w:t>equality</w:t>
            </w:r>
          </w:p>
          <w:p w14:paraId="3EA35CE0" w14:textId="77777777" w:rsidR="00C109C8" w:rsidRPr="008363A5" w:rsidRDefault="00C109C8" w:rsidP="000C417E">
            <w:pPr>
              <w:spacing w:before="120" w:after="120"/>
              <w:ind w:right="174"/>
            </w:pPr>
            <w:r w:rsidRPr="008363A5">
              <w:rPr>
                <w:rFonts w:ascii="Calibri"/>
                <w:color w:val="231F20"/>
                <w:w w:val="102"/>
                <w:sz w:val="18"/>
              </w:rPr>
              <w:t xml:space="preserve"> </w:t>
            </w:r>
            <w:r>
              <w:rPr>
                <w:rFonts w:ascii="Calibri"/>
                <w:color w:val="231F20"/>
                <w:w w:val="102"/>
                <w:sz w:val="18"/>
              </w:rPr>
              <w:t>U</w:t>
            </w:r>
            <w:r w:rsidRPr="008363A5">
              <w:rPr>
                <w:rFonts w:ascii="Calibri"/>
                <w:color w:val="231F20"/>
                <w:sz w:val="18"/>
              </w:rPr>
              <w:t>nintended</w:t>
            </w:r>
            <w:r w:rsidRPr="008363A5">
              <w:rPr>
                <w:rFonts w:ascii="Calibri"/>
                <w:color w:val="231F20"/>
                <w:spacing w:val="23"/>
                <w:sz w:val="18"/>
              </w:rPr>
              <w:t xml:space="preserve"> </w:t>
            </w:r>
            <w:r>
              <w:rPr>
                <w:rFonts w:ascii="Calibri"/>
                <w:color w:val="231F20"/>
                <w:sz w:val="18"/>
              </w:rPr>
              <w:t>effects</w:t>
            </w:r>
          </w:p>
          <w:p w14:paraId="1C2ED737" w14:textId="77777777" w:rsidR="00C109C8" w:rsidRPr="008363A5" w:rsidRDefault="00C109C8" w:rsidP="000C417E">
            <w:pPr>
              <w:spacing w:before="120" w:after="120"/>
              <w:ind w:right="-76"/>
            </w:pPr>
            <w:r w:rsidRPr="008363A5">
              <w:rPr>
                <w:rFonts w:ascii="Calibri"/>
                <w:color w:val="231F20"/>
                <w:w w:val="105"/>
                <w:sz w:val="18"/>
              </w:rPr>
              <w:t>How</w:t>
            </w:r>
            <w:r w:rsidRPr="008363A5">
              <w:rPr>
                <w:rFonts w:ascii="Calibri"/>
                <w:color w:val="231F20"/>
                <w:spacing w:val="-11"/>
                <w:w w:val="105"/>
                <w:sz w:val="18"/>
              </w:rPr>
              <w:t xml:space="preserve"> </w:t>
            </w:r>
            <w:r w:rsidRPr="008363A5">
              <w:rPr>
                <w:rFonts w:ascii="Calibri"/>
                <w:color w:val="231F20"/>
                <w:w w:val="105"/>
                <w:sz w:val="18"/>
              </w:rPr>
              <w:t>did</w:t>
            </w:r>
            <w:r w:rsidRPr="008363A5">
              <w:rPr>
                <w:rFonts w:ascii="Calibri"/>
                <w:color w:val="231F20"/>
                <w:spacing w:val="-11"/>
                <w:w w:val="105"/>
                <w:sz w:val="18"/>
              </w:rPr>
              <w:t xml:space="preserve"> </w:t>
            </w:r>
            <w:r w:rsidRPr="008363A5">
              <w:rPr>
                <w:rFonts w:ascii="Calibri"/>
                <w:color w:val="231F20"/>
                <w:w w:val="105"/>
                <w:sz w:val="18"/>
              </w:rPr>
              <w:t>the</w:t>
            </w:r>
            <w:r w:rsidRPr="008363A5">
              <w:rPr>
                <w:rFonts w:ascii="Calibri"/>
                <w:color w:val="231F20"/>
                <w:spacing w:val="-11"/>
                <w:w w:val="105"/>
                <w:sz w:val="18"/>
              </w:rPr>
              <w:t xml:space="preserve"> </w:t>
            </w:r>
            <w:r w:rsidRPr="008363A5">
              <w:rPr>
                <w:rFonts w:ascii="Calibri"/>
                <w:color w:val="231F20"/>
                <w:w w:val="105"/>
                <w:sz w:val="18"/>
              </w:rPr>
              <w:t>UNDP</w:t>
            </w:r>
            <w:r w:rsidRPr="008363A5">
              <w:rPr>
                <w:rFonts w:ascii="Calibri"/>
                <w:color w:val="231F20"/>
                <w:spacing w:val="-11"/>
                <w:w w:val="105"/>
                <w:sz w:val="18"/>
              </w:rPr>
              <w:t xml:space="preserve"> </w:t>
            </w:r>
            <w:r w:rsidRPr="008363A5">
              <w:rPr>
                <w:rFonts w:ascii="Calibri"/>
                <w:color w:val="231F20"/>
                <w:w w:val="105"/>
                <w:sz w:val="18"/>
              </w:rPr>
              <w:t>initiative</w:t>
            </w:r>
            <w:r w:rsidRPr="008363A5">
              <w:rPr>
                <w:rFonts w:ascii="Calibri"/>
                <w:color w:val="231F20"/>
                <w:w w:val="102"/>
                <w:sz w:val="18"/>
              </w:rPr>
              <w:t xml:space="preserve"> </w:t>
            </w:r>
            <w:r w:rsidRPr="008363A5">
              <w:rPr>
                <w:rFonts w:ascii="Calibri"/>
                <w:color w:val="231F20"/>
                <w:w w:val="105"/>
                <w:sz w:val="18"/>
              </w:rPr>
              <w:t>take</w:t>
            </w:r>
            <w:r w:rsidRPr="008363A5">
              <w:rPr>
                <w:rFonts w:ascii="Calibri"/>
                <w:color w:val="231F20"/>
                <w:spacing w:val="-10"/>
                <w:w w:val="105"/>
                <w:sz w:val="18"/>
              </w:rPr>
              <w:t xml:space="preserve"> </w:t>
            </w:r>
            <w:r w:rsidRPr="008363A5">
              <w:rPr>
                <w:rFonts w:ascii="Calibri"/>
                <w:color w:val="231F20"/>
                <w:w w:val="105"/>
                <w:sz w:val="18"/>
              </w:rPr>
              <w:t>into</w:t>
            </w:r>
            <w:r w:rsidRPr="008363A5">
              <w:rPr>
                <w:rFonts w:ascii="Calibri"/>
                <w:color w:val="231F20"/>
                <w:spacing w:val="-9"/>
                <w:w w:val="105"/>
                <w:sz w:val="18"/>
              </w:rPr>
              <w:t xml:space="preserve"> </w:t>
            </w:r>
            <w:r w:rsidRPr="008363A5">
              <w:rPr>
                <w:rFonts w:ascii="Calibri"/>
                <w:color w:val="231F20"/>
                <w:w w:val="105"/>
                <w:sz w:val="18"/>
              </w:rPr>
              <w:t>account</w:t>
            </w:r>
            <w:r w:rsidRPr="008363A5">
              <w:rPr>
                <w:rFonts w:ascii="Calibri"/>
                <w:color w:val="231F20"/>
                <w:spacing w:val="-9"/>
                <w:w w:val="105"/>
                <w:sz w:val="18"/>
              </w:rPr>
              <w:t xml:space="preserve"> </w:t>
            </w:r>
            <w:r w:rsidRPr="008363A5">
              <w:rPr>
                <w:rFonts w:ascii="Calibri"/>
                <w:color w:val="231F20"/>
                <w:w w:val="105"/>
                <w:sz w:val="18"/>
              </w:rPr>
              <w:t>the</w:t>
            </w:r>
            <w:r w:rsidRPr="008363A5">
              <w:rPr>
                <w:rFonts w:ascii="Calibri"/>
                <w:color w:val="231F20"/>
                <w:spacing w:val="-9"/>
                <w:w w:val="105"/>
                <w:sz w:val="18"/>
              </w:rPr>
              <w:t xml:space="preserve"> </w:t>
            </w:r>
            <w:r w:rsidRPr="008363A5">
              <w:rPr>
                <w:rFonts w:ascii="Calibri"/>
                <w:color w:val="231F20"/>
                <w:w w:val="105"/>
                <w:sz w:val="18"/>
              </w:rPr>
              <w:t>plight</w:t>
            </w:r>
            <w:r w:rsidRPr="008363A5">
              <w:rPr>
                <w:rFonts w:ascii="Calibri"/>
                <w:color w:val="231F20"/>
                <w:w w:val="107"/>
                <w:sz w:val="18"/>
              </w:rPr>
              <w:t xml:space="preserve"> </w:t>
            </w:r>
            <w:r w:rsidRPr="008363A5">
              <w:rPr>
                <w:rFonts w:ascii="Calibri"/>
                <w:color w:val="231F20"/>
                <w:w w:val="105"/>
                <w:sz w:val="18"/>
              </w:rPr>
              <w:t>and</w:t>
            </w:r>
            <w:r w:rsidRPr="008363A5">
              <w:rPr>
                <w:rFonts w:ascii="Calibri"/>
                <w:color w:val="231F20"/>
                <w:spacing w:val="-12"/>
                <w:w w:val="105"/>
                <w:sz w:val="18"/>
              </w:rPr>
              <w:t xml:space="preserve"> </w:t>
            </w:r>
            <w:r w:rsidRPr="008363A5">
              <w:rPr>
                <w:rFonts w:ascii="Calibri"/>
                <w:color w:val="231F20"/>
                <w:w w:val="105"/>
                <w:sz w:val="18"/>
              </w:rPr>
              <w:t>needs</w:t>
            </w:r>
            <w:r w:rsidRPr="008363A5">
              <w:rPr>
                <w:rFonts w:ascii="Calibri"/>
                <w:color w:val="231F20"/>
                <w:spacing w:val="-12"/>
                <w:w w:val="105"/>
                <w:sz w:val="18"/>
              </w:rPr>
              <w:t xml:space="preserve"> </w:t>
            </w:r>
            <w:r w:rsidRPr="008363A5">
              <w:rPr>
                <w:rFonts w:ascii="Calibri"/>
                <w:color w:val="231F20"/>
                <w:w w:val="105"/>
                <w:sz w:val="18"/>
              </w:rPr>
              <w:t>of</w:t>
            </w:r>
            <w:r w:rsidRPr="008363A5">
              <w:rPr>
                <w:rFonts w:ascii="Calibri"/>
                <w:color w:val="231F20"/>
                <w:spacing w:val="-12"/>
                <w:w w:val="105"/>
                <w:sz w:val="18"/>
              </w:rPr>
              <w:t xml:space="preserve"> </w:t>
            </w:r>
            <w:r w:rsidRPr="008363A5">
              <w:rPr>
                <w:rFonts w:ascii="Calibri"/>
                <w:color w:val="231F20"/>
                <w:w w:val="105"/>
                <w:sz w:val="18"/>
              </w:rPr>
              <w:t>vulnerable</w:t>
            </w:r>
            <w:r w:rsidRPr="008363A5">
              <w:rPr>
                <w:rFonts w:ascii="Calibri"/>
                <w:color w:val="231F20"/>
                <w:spacing w:val="-12"/>
                <w:w w:val="105"/>
                <w:sz w:val="18"/>
              </w:rPr>
              <w:t xml:space="preserve"> </w:t>
            </w:r>
            <w:r w:rsidRPr="008363A5">
              <w:rPr>
                <w:rFonts w:ascii="Calibri"/>
                <w:color w:val="231F20"/>
                <w:w w:val="105"/>
                <w:sz w:val="18"/>
              </w:rPr>
              <w:t>and</w:t>
            </w:r>
            <w:r w:rsidRPr="008363A5">
              <w:rPr>
                <w:rFonts w:ascii="Calibri"/>
                <w:color w:val="231F20"/>
                <w:w w:val="104"/>
                <w:sz w:val="18"/>
              </w:rPr>
              <w:t xml:space="preserve"> </w:t>
            </w:r>
            <w:r w:rsidRPr="008363A5">
              <w:rPr>
                <w:rFonts w:ascii="Calibri"/>
                <w:color w:val="231F20"/>
                <w:w w:val="105"/>
                <w:sz w:val="18"/>
              </w:rPr>
              <w:t>disadvantaged</w:t>
            </w:r>
            <w:r w:rsidRPr="008363A5">
              <w:rPr>
                <w:rFonts w:ascii="Calibri"/>
                <w:color w:val="231F20"/>
                <w:spacing w:val="-19"/>
                <w:w w:val="105"/>
                <w:sz w:val="18"/>
              </w:rPr>
              <w:t xml:space="preserve"> </w:t>
            </w:r>
            <w:r w:rsidRPr="008363A5">
              <w:rPr>
                <w:rFonts w:ascii="Calibri"/>
                <w:color w:val="231F20"/>
                <w:w w:val="105"/>
                <w:sz w:val="18"/>
              </w:rPr>
              <w:t>to</w:t>
            </w:r>
            <w:r w:rsidRPr="008363A5">
              <w:rPr>
                <w:rFonts w:ascii="Calibri"/>
                <w:color w:val="231F20"/>
                <w:spacing w:val="-18"/>
                <w:w w:val="105"/>
                <w:sz w:val="18"/>
              </w:rPr>
              <w:t xml:space="preserve"> </w:t>
            </w:r>
            <w:r w:rsidRPr="008363A5">
              <w:rPr>
                <w:rFonts w:ascii="Calibri"/>
                <w:color w:val="231F20"/>
                <w:w w:val="105"/>
                <w:sz w:val="18"/>
              </w:rPr>
              <w:t>promote</w:t>
            </w:r>
            <w:r w:rsidRPr="008363A5">
              <w:rPr>
                <w:rFonts w:ascii="Calibri"/>
                <w:color w:val="231F20"/>
                <w:w w:val="102"/>
                <w:sz w:val="18"/>
              </w:rPr>
              <w:t xml:space="preserve"> </w:t>
            </w:r>
            <w:r w:rsidRPr="008363A5">
              <w:rPr>
                <w:rFonts w:ascii="Calibri"/>
                <w:color w:val="231F20"/>
                <w:w w:val="105"/>
                <w:sz w:val="18"/>
              </w:rPr>
              <w:t>social</w:t>
            </w:r>
            <w:r w:rsidRPr="008363A5">
              <w:rPr>
                <w:rFonts w:ascii="Calibri"/>
                <w:color w:val="231F20"/>
                <w:spacing w:val="-24"/>
                <w:w w:val="105"/>
                <w:sz w:val="18"/>
              </w:rPr>
              <w:t xml:space="preserve"> </w:t>
            </w:r>
            <w:r w:rsidRPr="008363A5">
              <w:rPr>
                <w:rFonts w:ascii="Calibri"/>
                <w:color w:val="231F20"/>
                <w:w w:val="105"/>
                <w:sz w:val="18"/>
              </w:rPr>
              <w:t>equity,</w:t>
            </w:r>
            <w:r w:rsidRPr="008363A5">
              <w:rPr>
                <w:rFonts w:ascii="Calibri"/>
                <w:color w:val="231F20"/>
                <w:spacing w:val="-24"/>
                <w:w w:val="105"/>
                <w:sz w:val="18"/>
              </w:rPr>
              <w:t xml:space="preserve"> </w:t>
            </w:r>
            <w:r w:rsidRPr="008363A5">
              <w:rPr>
                <w:rFonts w:ascii="Calibri"/>
                <w:color w:val="231F20"/>
                <w:w w:val="105"/>
                <w:sz w:val="18"/>
              </w:rPr>
              <w:t>for</w:t>
            </w:r>
            <w:r w:rsidRPr="008363A5">
              <w:rPr>
                <w:rFonts w:ascii="Calibri"/>
                <w:color w:val="231F20"/>
                <w:spacing w:val="-23"/>
                <w:w w:val="105"/>
                <w:sz w:val="18"/>
              </w:rPr>
              <w:t xml:space="preserve"> </w:t>
            </w:r>
            <w:r w:rsidRPr="008363A5">
              <w:rPr>
                <w:rFonts w:ascii="Calibri"/>
                <w:color w:val="231F20"/>
                <w:w w:val="105"/>
                <w:sz w:val="18"/>
              </w:rPr>
              <w:t>example,</w:t>
            </w:r>
            <w:r w:rsidRPr="008363A5">
              <w:rPr>
                <w:rFonts w:ascii="Calibri"/>
                <w:color w:val="231F20"/>
                <w:w w:val="102"/>
                <w:sz w:val="18"/>
              </w:rPr>
              <w:t xml:space="preserve"> </w:t>
            </w:r>
            <w:r w:rsidRPr="008363A5">
              <w:rPr>
                <w:rFonts w:ascii="Calibri"/>
                <w:color w:val="231F20"/>
                <w:w w:val="105"/>
                <w:sz w:val="18"/>
              </w:rPr>
              <w:t>women,</w:t>
            </w:r>
            <w:r w:rsidRPr="008363A5">
              <w:rPr>
                <w:rFonts w:ascii="Calibri"/>
                <w:color w:val="231F20"/>
                <w:spacing w:val="-23"/>
                <w:w w:val="105"/>
                <w:sz w:val="18"/>
              </w:rPr>
              <w:t xml:space="preserve"> </w:t>
            </w:r>
            <w:r w:rsidRPr="008363A5">
              <w:rPr>
                <w:rFonts w:ascii="Calibri"/>
                <w:color w:val="231F20"/>
                <w:w w:val="105"/>
                <w:sz w:val="18"/>
              </w:rPr>
              <w:t>youth,</w:t>
            </w:r>
            <w:r w:rsidRPr="008363A5">
              <w:rPr>
                <w:rFonts w:ascii="Calibri"/>
                <w:color w:val="231F20"/>
                <w:spacing w:val="-22"/>
                <w:w w:val="105"/>
                <w:sz w:val="18"/>
              </w:rPr>
              <w:t xml:space="preserve"> </w:t>
            </w:r>
            <w:r w:rsidRPr="008363A5">
              <w:rPr>
                <w:rFonts w:ascii="Calibri"/>
                <w:color w:val="231F20"/>
                <w:w w:val="105"/>
                <w:sz w:val="18"/>
              </w:rPr>
              <w:t>disabled</w:t>
            </w:r>
            <w:r w:rsidRPr="008363A5">
              <w:rPr>
                <w:rFonts w:ascii="Calibri"/>
                <w:color w:val="231F20"/>
                <w:w w:val="104"/>
                <w:sz w:val="18"/>
              </w:rPr>
              <w:t xml:space="preserve"> </w:t>
            </w:r>
            <w:r w:rsidRPr="008363A5">
              <w:rPr>
                <w:rFonts w:ascii="Calibri"/>
                <w:color w:val="231F20"/>
                <w:w w:val="105"/>
                <w:sz w:val="18"/>
              </w:rPr>
              <w:t>persons?</w:t>
            </w:r>
          </w:p>
        </w:tc>
        <w:tc>
          <w:tcPr>
            <w:tcW w:w="1434" w:type="pct"/>
            <w:vAlign w:val="center"/>
          </w:tcPr>
          <w:p w14:paraId="4C032AA7" w14:textId="77777777" w:rsidR="00C109C8" w:rsidRPr="001360CE" w:rsidRDefault="00C109C8" w:rsidP="000C417E">
            <w:pPr>
              <w:spacing w:before="120" w:after="120"/>
              <w:ind w:right="-79"/>
              <w:rPr>
                <w:sz w:val="18"/>
                <w:szCs w:val="18"/>
              </w:rPr>
            </w:pPr>
            <w:r w:rsidRPr="001360CE">
              <w:rPr>
                <w:sz w:val="18"/>
                <w:szCs w:val="18"/>
              </w:rPr>
              <w:t>All 3 mixed projects achieved gender equality in participation and leadership.</w:t>
            </w:r>
          </w:p>
          <w:p w14:paraId="3088220F" w14:textId="77777777" w:rsidR="00C109C8" w:rsidRDefault="00C109C8" w:rsidP="000C417E">
            <w:pPr>
              <w:spacing w:before="120" w:after="120"/>
              <w:ind w:right="-79"/>
              <w:rPr>
                <w:sz w:val="18"/>
              </w:rPr>
            </w:pPr>
            <w:r>
              <w:rPr>
                <w:sz w:val="18"/>
              </w:rPr>
              <w:t>Achievements in gender balance were implicit:  did not appear in ProDoc Result Frameworks.</w:t>
            </w:r>
          </w:p>
          <w:p w14:paraId="718F67AC" w14:textId="77777777" w:rsidR="00C109C8" w:rsidRPr="009B396C" w:rsidRDefault="00C109C8" w:rsidP="000C417E">
            <w:pPr>
              <w:spacing w:before="120" w:after="120"/>
              <w:ind w:right="-79"/>
              <w:rPr>
                <w:sz w:val="18"/>
              </w:rPr>
            </w:pPr>
            <w:r>
              <w:rPr>
                <w:sz w:val="18"/>
              </w:rPr>
              <w:t xml:space="preserve">WE project </w:t>
            </w:r>
            <w:r w:rsidRPr="001360CE">
              <w:rPr>
                <w:sz w:val="18"/>
                <w:szCs w:val="18"/>
              </w:rPr>
              <w:t>did</w:t>
            </w:r>
            <w:r>
              <w:rPr>
                <w:sz w:val="18"/>
              </w:rPr>
              <w:t xml:space="preserve"> not receive expected resources </w:t>
            </w:r>
          </w:p>
        </w:tc>
        <w:tc>
          <w:tcPr>
            <w:tcW w:w="660" w:type="pct"/>
            <w:vAlign w:val="center"/>
          </w:tcPr>
          <w:p w14:paraId="2589239A" w14:textId="77777777" w:rsidR="00C109C8" w:rsidRPr="009B396C" w:rsidRDefault="00C109C8" w:rsidP="000C417E">
            <w:pPr>
              <w:spacing w:before="60" w:after="60"/>
              <w:ind w:right="0"/>
              <w:rPr>
                <w:sz w:val="18"/>
              </w:rPr>
            </w:pPr>
            <w:r w:rsidRPr="009B396C">
              <w:rPr>
                <w:sz w:val="18"/>
              </w:rPr>
              <w:t>UNDP-KSA 2010</w:t>
            </w:r>
          </w:p>
          <w:p w14:paraId="19279700" w14:textId="77777777" w:rsidR="00C109C8" w:rsidRDefault="00C109C8" w:rsidP="000C417E">
            <w:pPr>
              <w:spacing w:before="60" w:after="60"/>
              <w:ind w:right="0"/>
              <w:rPr>
                <w:sz w:val="18"/>
              </w:rPr>
            </w:pPr>
            <w:r>
              <w:rPr>
                <w:sz w:val="18"/>
              </w:rPr>
              <w:t>UNDP-KSA 2011a, b</w:t>
            </w:r>
          </w:p>
          <w:p w14:paraId="1ED89C7D" w14:textId="77777777" w:rsidR="00C109C8" w:rsidRDefault="00C109C8" w:rsidP="000C417E">
            <w:pPr>
              <w:spacing w:before="60" w:after="60"/>
              <w:ind w:right="0"/>
              <w:rPr>
                <w:sz w:val="18"/>
              </w:rPr>
            </w:pPr>
            <w:r w:rsidRPr="009B396C">
              <w:rPr>
                <w:sz w:val="18"/>
              </w:rPr>
              <w:t>UNDP-KSA 2012</w:t>
            </w:r>
          </w:p>
          <w:p w14:paraId="76F837CE" w14:textId="77777777" w:rsidR="00C109C8" w:rsidRPr="00A02034" w:rsidRDefault="00C109C8" w:rsidP="000C417E">
            <w:pPr>
              <w:spacing w:before="120" w:after="120"/>
              <w:ind w:right="0"/>
              <w:rPr>
                <w:sz w:val="18"/>
              </w:rPr>
            </w:pPr>
            <w:r w:rsidRPr="00A02034">
              <w:rPr>
                <w:sz w:val="18"/>
              </w:rPr>
              <w:t>Vishwanath T. 2012</w:t>
            </w:r>
          </w:p>
          <w:p w14:paraId="2B81D638" w14:textId="77777777" w:rsidR="00C109C8" w:rsidRPr="008363A5" w:rsidRDefault="00C109C8" w:rsidP="000C417E">
            <w:pPr>
              <w:ind w:right="101"/>
            </w:pPr>
            <w:r w:rsidRPr="002867C5">
              <w:rPr>
                <w:sz w:val="18"/>
              </w:rPr>
              <w:t>Osman G. 2013</w:t>
            </w:r>
          </w:p>
        </w:tc>
        <w:tc>
          <w:tcPr>
            <w:tcW w:w="672" w:type="pct"/>
            <w:vMerge/>
            <w:vAlign w:val="center"/>
          </w:tcPr>
          <w:p w14:paraId="2F03E9E7" w14:textId="77777777" w:rsidR="00C109C8" w:rsidRPr="002867C5" w:rsidRDefault="00C109C8" w:rsidP="000C417E">
            <w:pPr>
              <w:spacing w:before="120" w:after="120"/>
              <w:ind w:right="0"/>
              <w:rPr>
                <w:sz w:val="18"/>
              </w:rPr>
            </w:pPr>
          </w:p>
        </w:tc>
      </w:tr>
    </w:tbl>
    <w:p w14:paraId="28185375" w14:textId="77777777" w:rsidR="00C109C8" w:rsidRPr="005D78F1" w:rsidRDefault="00C109C8" w:rsidP="00C109C8">
      <w:pPr>
        <w:rPr>
          <w:sz w:val="18"/>
          <w:szCs w:val="20"/>
        </w:rPr>
      </w:pPr>
      <w:r w:rsidRPr="005D78F1">
        <w:rPr>
          <w:sz w:val="18"/>
          <w:szCs w:val="20"/>
        </w:rPr>
        <w:t xml:space="preserve">Note:  abbreviations in the matrix for the 4 projects reviewed for Outcome 1 attainment are – </w:t>
      </w:r>
    </w:p>
    <w:p w14:paraId="48466F0B" w14:textId="77777777" w:rsidR="00C109C8" w:rsidRPr="005D78F1" w:rsidRDefault="00C109C8" w:rsidP="00C109C8">
      <w:pPr>
        <w:pStyle w:val="ListParagraph"/>
        <w:widowControl w:val="0"/>
        <w:numPr>
          <w:ilvl w:val="0"/>
          <w:numId w:val="41"/>
        </w:numPr>
        <w:spacing w:before="0" w:after="0"/>
        <w:ind w:right="0"/>
        <w:contextualSpacing w:val="0"/>
        <w:rPr>
          <w:sz w:val="18"/>
          <w:szCs w:val="20"/>
        </w:rPr>
      </w:pPr>
      <w:r w:rsidRPr="005D78F1">
        <w:rPr>
          <w:sz w:val="18"/>
          <w:szCs w:val="20"/>
        </w:rPr>
        <w:t>YDF (Youth Dialogue Forums)</w:t>
      </w:r>
    </w:p>
    <w:p w14:paraId="511ED409" w14:textId="77777777" w:rsidR="00C109C8" w:rsidRPr="005D78F1" w:rsidRDefault="00C109C8" w:rsidP="00C109C8">
      <w:pPr>
        <w:pStyle w:val="ListParagraph"/>
        <w:widowControl w:val="0"/>
        <w:numPr>
          <w:ilvl w:val="0"/>
          <w:numId w:val="41"/>
        </w:numPr>
        <w:spacing w:before="0" w:after="0"/>
        <w:ind w:right="0"/>
        <w:contextualSpacing w:val="0"/>
        <w:rPr>
          <w:sz w:val="18"/>
          <w:szCs w:val="20"/>
        </w:rPr>
      </w:pPr>
      <w:r w:rsidRPr="005D78F1">
        <w:rPr>
          <w:sz w:val="18"/>
          <w:szCs w:val="20"/>
        </w:rPr>
        <w:t>NYS (National Youth Strategy)</w:t>
      </w:r>
    </w:p>
    <w:p w14:paraId="26B92B59" w14:textId="77777777" w:rsidR="00C109C8" w:rsidRPr="005D78F1" w:rsidRDefault="00C109C8" w:rsidP="00C109C8">
      <w:pPr>
        <w:pStyle w:val="ListParagraph"/>
        <w:widowControl w:val="0"/>
        <w:numPr>
          <w:ilvl w:val="0"/>
          <w:numId w:val="41"/>
        </w:numPr>
        <w:spacing w:before="0" w:after="0"/>
        <w:ind w:right="0"/>
        <w:contextualSpacing w:val="0"/>
        <w:rPr>
          <w:sz w:val="18"/>
          <w:szCs w:val="20"/>
        </w:rPr>
      </w:pPr>
      <w:r w:rsidRPr="005D78F1">
        <w:rPr>
          <w:sz w:val="18"/>
          <w:szCs w:val="20"/>
        </w:rPr>
        <w:t>Warif (Youth volunteer programme)</w:t>
      </w:r>
    </w:p>
    <w:p w14:paraId="28C0B326" w14:textId="77777777" w:rsidR="00C109C8" w:rsidRPr="005D78F1" w:rsidRDefault="00C109C8" w:rsidP="00C109C8">
      <w:pPr>
        <w:pStyle w:val="ListParagraph"/>
        <w:widowControl w:val="0"/>
        <w:numPr>
          <w:ilvl w:val="0"/>
          <w:numId w:val="41"/>
        </w:numPr>
        <w:spacing w:before="0" w:after="0"/>
        <w:ind w:right="0"/>
        <w:contextualSpacing w:val="0"/>
        <w:rPr>
          <w:sz w:val="18"/>
          <w:szCs w:val="20"/>
        </w:rPr>
      </w:pPr>
      <w:r w:rsidRPr="005D78F1">
        <w:rPr>
          <w:sz w:val="18"/>
          <w:szCs w:val="20"/>
        </w:rPr>
        <w:t>WE (Women’s Empowerment)</w:t>
      </w:r>
    </w:p>
    <w:p w14:paraId="2A7F57E9" w14:textId="725C4435" w:rsidR="00C109C8" w:rsidRDefault="00622F57">
      <w:pPr>
        <w:sectPr w:rsidR="00C109C8" w:rsidSect="00C109C8">
          <w:pgSz w:w="16839" w:h="11907" w:orient="landscape" w:code="9"/>
          <w:pgMar w:top="1325" w:right="1440" w:bottom="1440" w:left="993" w:header="708" w:footer="708" w:gutter="0"/>
          <w:cols w:space="708"/>
          <w:titlePg/>
          <w:docGrid w:linePitch="360"/>
        </w:sectPr>
      </w:pPr>
      <w:r>
        <w:br w:type="page"/>
      </w:r>
    </w:p>
    <w:p w14:paraId="104391A7" w14:textId="3C73332F" w:rsidR="00C109C8" w:rsidRDefault="00C109C8">
      <w:pPr>
        <w:rPr>
          <w:rFonts w:asciiTheme="majorHAnsi" w:eastAsiaTheme="majorEastAsia" w:hAnsiTheme="majorHAnsi" w:cstheme="majorBidi"/>
          <w:b/>
          <w:bCs/>
          <w:color w:val="365F91" w:themeColor="accent1" w:themeShade="BF"/>
          <w:sz w:val="28"/>
          <w:szCs w:val="28"/>
        </w:rPr>
      </w:pPr>
    </w:p>
    <w:p w14:paraId="6B026361" w14:textId="05B1C79D" w:rsidR="003E617F" w:rsidRPr="005C55C3" w:rsidRDefault="003E617F" w:rsidP="006F5851">
      <w:pPr>
        <w:pStyle w:val="Heading1"/>
        <w:ind w:right="-72"/>
      </w:pPr>
      <w:bookmarkStart w:id="69" w:name="_Toc399078795"/>
      <w:r>
        <w:t>References</w:t>
      </w:r>
      <w:bookmarkEnd w:id="69"/>
    </w:p>
    <w:p w14:paraId="55AB7E7E" w14:textId="77777777" w:rsidR="003B614C" w:rsidRPr="005C55C3" w:rsidRDefault="003B614C" w:rsidP="006F5851">
      <w:pPr>
        <w:ind w:right="70"/>
      </w:pPr>
    </w:p>
    <w:p w14:paraId="2F208429" w14:textId="7AE140F6" w:rsidR="00EB16D2" w:rsidRPr="00EB16D2" w:rsidRDefault="00D209A5" w:rsidP="00EB16D2">
      <w:pPr>
        <w:pStyle w:val="EndNoteBibliography"/>
        <w:spacing w:after="240"/>
        <w:ind w:left="720" w:hanging="720"/>
      </w:pPr>
      <w:r w:rsidRPr="005C55C3">
        <w:fldChar w:fldCharType="begin"/>
      </w:r>
      <w:r w:rsidR="003B614C" w:rsidRPr="005C55C3">
        <w:instrText xml:space="preserve"> ADDIN EN.REFLIST </w:instrText>
      </w:r>
      <w:r w:rsidRPr="005C55C3">
        <w:fldChar w:fldCharType="separate"/>
      </w:r>
      <w:bookmarkStart w:id="70" w:name="_ENREF_1"/>
      <w:r w:rsidR="00EB16D2" w:rsidRPr="00EB16D2">
        <w:t xml:space="preserve">Alexander P. 2012a. Outcome Evaluation of UNDP support for Economic Diversification for Tourism, International Trade and FDI.  Country Programme 2007-2011, Riyadh. </w:t>
      </w:r>
      <w:hyperlink r:id="rId20" w:history="1">
        <w:r w:rsidR="00EB16D2" w:rsidRPr="00EB16D2">
          <w:rPr>
            <w:rStyle w:val="Hyperlink"/>
          </w:rPr>
          <w:t>http://erc.undp.org/evaluationadmin/manageevaluation/viewevaluationdetail.html?evalid=5750</w:t>
        </w:r>
        <w:bookmarkEnd w:id="70"/>
      </w:hyperlink>
    </w:p>
    <w:p w14:paraId="0D7AF150" w14:textId="77777777" w:rsidR="00EB16D2" w:rsidRPr="00EB16D2" w:rsidRDefault="00EB16D2" w:rsidP="00EB16D2">
      <w:pPr>
        <w:pStyle w:val="EndNoteBibliography"/>
        <w:spacing w:after="240"/>
        <w:ind w:left="720" w:hanging="720"/>
      </w:pPr>
      <w:bookmarkStart w:id="71" w:name="_ENREF_2"/>
      <w:r w:rsidRPr="00EB16D2">
        <w:t xml:space="preserve">Alexander P. 2012b. Outcome evaluation of UNDP support for public sector performance, Country Programme 2007-2011, Riyadh. </w:t>
      </w:r>
      <w:hyperlink r:id="rId21" w:history="1">
        <w:r w:rsidRPr="00EB16D2">
          <w:rPr>
            <w:rStyle w:val="Hyperlink"/>
          </w:rPr>
          <w:t>http://erc.undp.org/evaluationadmin/manageevaluation/viewevaluationdetail.html?evalid=5752</w:t>
        </w:r>
        <w:bookmarkEnd w:id="71"/>
      </w:hyperlink>
    </w:p>
    <w:p w14:paraId="40884A6D" w14:textId="77777777" w:rsidR="00EB16D2" w:rsidRPr="00EB16D2" w:rsidRDefault="00EB16D2" w:rsidP="00EB16D2">
      <w:pPr>
        <w:pStyle w:val="EndNoteBibliography"/>
        <w:spacing w:after="240"/>
        <w:ind w:left="720" w:hanging="720"/>
      </w:pPr>
      <w:bookmarkStart w:id="72" w:name="_ENREF_3"/>
      <w:r w:rsidRPr="00EB16D2">
        <w:rPr>
          <w:lang w:val="fr-CA"/>
        </w:rPr>
        <w:t xml:space="preserve">Assaad R, Parlapiano A, Stanton L. 2011. </w:t>
      </w:r>
      <w:r w:rsidRPr="00EB16D2">
        <w:t xml:space="preserve">Youth movement, Washington DC. </w:t>
      </w:r>
      <w:hyperlink r:id="rId22" w:history="1">
        <w:r w:rsidRPr="00EB16D2">
          <w:rPr>
            <w:rStyle w:val="Hyperlink"/>
          </w:rPr>
          <w:t>http://www.washingtonpost.com/wp-srv/special/world/middle-east-youth-population/</w:t>
        </w:r>
        <w:bookmarkEnd w:id="72"/>
      </w:hyperlink>
    </w:p>
    <w:p w14:paraId="479C128F" w14:textId="77777777" w:rsidR="00EB16D2" w:rsidRPr="00EB16D2" w:rsidRDefault="00EB16D2" w:rsidP="00EB16D2">
      <w:pPr>
        <w:pStyle w:val="EndNoteBibliography"/>
        <w:spacing w:after="240"/>
        <w:ind w:left="720" w:hanging="720"/>
      </w:pPr>
      <w:bookmarkStart w:id="73" w:name="_ENREF_4"/>
      <w:r w:rsidRPr="00EB16D2">
        <w:t xml:space="preserve">Chaoul HJ. 2013. Arab Youth Unemployment, Jeddah. </w:t>
      </w:r>
      <w:hyperlink r:id="rId23" w:history="1">
        <w:r w:rsidRPr="00EB16D2">
          <w:rPr>
            <w:rStyle w:val="Hyperlink"/>
          </w:rPr>
          <w:t>http://www.alkhabeer.com/sites/default/files/Arab%20Youth%20Unemployment%20-%20English.pdf</w:t>
        </w:r>
        <w:bookmarkEnd w:id="73"/>
      </w:hyperlink>
    </w:p>
    <w:p w14:paraId="4980E56B" w14:textId="77777777" w:rsidR="00EB16D2" w:rsidRPr="00EB16D2" w:rsidRDefault="00EB16D2" w:rsidP="00EB16D2">
      <w:pPr>
        <w:pStyle w:val="EndNoteBibliography"/>
        <w:spacing w:after="240"/>
        <w:ind w:left="720" w:hanging="720"/>
      </w:pPr>
      <w:bookmarkStart w:id="74" w:name="_ENREF_5"/>
      <w:r w:rsidRPr="00EB16D2">
        <w:t xml:space="preserve">Curley N. 2013. Why last year's rise in unemployment for Saudi women might be a positive trend. Electronic article Wamda </w:t>
      </w:r>
      <w:hyperlink r:id="rId24" w:history="1">
        <w:r w:rsidRPr="00EB16D2">
          <w:rPr>
            <w:rStyle w:val="Hyperlink"/>
          </w:rPr>
          <w:t>http://www.wamda.com/2013/05/unemployment-rises-for-saudi-women</w:t>
        </w:r>
        <w:bookmarkEnd w:id="74"/>
      </w:hyperlink>
    </w:p>
    <w:p w14:paraId="70EE222B" w14:textId="77777777" w:rsidR="00EB16D2" w:rsidRPr="00EB16D2" w:rsidRDefault="00EB16D2" w:rsidP="00EB16D2">
      <w:pPr>
        <w:pStyle w:val="EndNoteBibliography"/>
        <w:spacing w:after="240"/>
        <w:ind w:left="720" w:hanging="720"/>
      </w:pPr>
      <w:bookmarkStart w:id="75" w:name="_ENREF_6"/>
      <w:r w:rsidRPr="00EB16D2">
        <w:t xml:space="preserve">DeLong-Bas NJ. 2011. Saudi Arabia: Challenges for the 21st Century. Oxford Islamic Studies Online </w:t>
      </w:r>
      <w:hyperlink r:id="rId25" w:history="1">
        <w:r w:rsidRPr="00EB16D2">
          <w:rPr>
            <w:rStyle w:val="Hyperlink"/>
          </w:rPr>
          <w:t>http://www.oxfordislamicstudies.com/Public/focus/essay1009_saudi_arabia.html</w:t>
        </w:r>
        <w:bookmarkEnd w:id="75"/>
      </w:hyperlink>
    </w:p>
    <w:p w14:paraId="7AA1C5D3" w14:textId="77777777" w:rsidR="00EB16D2" w:rsidRPr="00EB16D2" w:rsidRDefault="00EB16D2" w:rsidP="00EB16D2">
      <w:pPr>
        <w:pStyle w:val="EndNoteBibliography"/>
        <w:spacing w:after="240"/>
        <w:ind w:left="720" w:hanging="720"/>
      </w:pPr>
      <w:bookmarkStart w:id="76" w:name="_ENREF_7"/>
      <w:r w:rsidRPr="00EB16D2">
        <w:t xml:space="preserve">Economist. 2014. Women in Saudi Arabia Unshackling themselves:  Saudi women are gaining ground, slowly. </w:t>
      </w:r>
      <w:r w:rsidRPr="00EB16D2">
        <w:rPr>
          <w:i/>
        </w:rPr>
        <w:t>The Economist</w:t>
      </w:r>
      <w:r w:rsidRPr="00EB16D2">
        <w:t xml:space="preserve">, 17 May 2014: </w:t>
      </w:r>
      <w:hyperlink r:id="rId26" w:history="1">
        <w:r w:rsidRPr="00EB16D2">
          <w:rPr>
            <w:rStyle w:val="Hyperlink"/>
          </w:rPr>
          <w:t>http://www.economist.com/news/middle-east-and-africa/21602249-saudi-women-are-gaining-ground-slowly-unshackling-themselves</w:t>
        </w:r>
      </w:hyperlink>
      <w:r w:rsidRPr="00EB16D2">
        <w:t xml:space="preserve"> </w:t>
      </w:r>
      <w:bookmarkEnd w:id="76"/>
    </w:p>
    <w:p w14:paraId="2B2F39BF" w14:textId="77777777" w:rsidR="00EB16D2" w:rsidRPr="00EB16D2" w:rsidRDefault="00EB16D2" w:rsidP="00EB16D2">
      <w:pPr>
        <w:pStyle w:val="EndNoteBibliography"/>
        <w:spacing w:after="240"/>
        <w:ind w:left="720" w:hanging="720"/>
      </w:pPr>
      <w:bookmarkStart w:id="77" w:name="_ENREF_8"/>
      <w:r w:rsidRPr="00EB16D2">
        <w:t xml:space="preserve">ECOSOC. 2014. ECOSOC Forum on Youth 2014:  "#Youth2015: Realizing the Future They Want” 2-3 June 2014 ed. ECOSOC. New York: United Nations Economic and Social Council </w:t>
      </w:r>
      <w:hyperlink r:id="rId27" w:history="1">
        <w:r w:rsidRPr="00EB16D2">
          <w:rPr>
            <w:rStyle w:val="Hyperlink"/>
          </w:rPr>
          <w:t>http://www.un.org/en/ecosoc/youth2014/pdf/background_note.pdf</w:t>
        </w:r>
      </w:hyperlink>
      <w:r w:rsidRPr="00EB16D2">
        <w:t xml:space="preserve"> </w:t>
      </w:r>
      <w:bookmarkEnd w:id="77"/>
    </w:p>
    <w:p w14:paraId="4DC7253C" w14:textId="77777777" w:rsidR="00EB16D2" w:rsidRPr="00EB16D2" w:rsidRDefault="00EB16D2" w:rsidP="00EB16D2">
      <w:pPr>
        <w:pStyle w:val="EndNoteBibliography"/>
        <w:spacing w:after="240"/>
        <w:ind w:left="720" w:hanging="720"/>
      </w:pPr>
      <w:bookmarkStart w:id="78" w:name="_ENREF_9"/>
      <w:r w:rsidRPr="00EB16D2">
        <w:t xml:space="preserve">ILO. 2014. ILO Statistics and databases, International Labour Organization, Geneva </w:t>
      </w:r>
      <w:hyperlink r:id="rId28" w:history="1">
        <w:r w:rsidRPr="00EB16D2">
          <w:rPr>
            <w:rStyle w:val="Hyperlink"/>
          </w:rPr>
          <w:t>http://www.ilo.org/global/statistics-and-databases/lang--en/index.htm</w:t>
        </w:r>
        <w:bookmarkEnd w:id="78"/>
      </w:hyperlink>
    </w:p>
    <w:p w14:paraId="6BEC4842" w14:textId="77777777" w:rsidR="00EB16D2" w:rsidRPr="00EB16D2" w:rsidRDefault="00EB16D2" w:rsidP="00EB16D2">
      <w:pPr>
        <w:pStyle w:val="EndNoteBibliography"/>
        <w:spacing w:after="240"/>
        <w:ind w:left="720" w:hanging="720"/>
      </w:pPr>
      <w:bookmarkStart w:id="79" w:name="_ENREF_10"/>
      <w:r w:rsidRPr="00EB16D2">
        <w:t xml:space="preserve">Ministry of Economy and Planning. 2010. Ninth Development Plan. ed. MEP: Kingdom of Saudi Arabia </w:t>
      </w:r>
      <w:hyperlink r:id="rId29" w:history="1">
        <w:r w:rsidRPr="00EB16D2">
          <w:rPr>
            <w:rStyle w:val="Hyperlink"/>
          </w:rPr>
          <w:t>http://www.mep.gov.sa/index.jsp;jsessionid=45651251380A82882E2B3433D5376123.alfa?event=ArticleView&amp;Article.ObjectID=79</w:t>
        </w:r>
      </w:hyperlink>
      <w:r w:rsidRPr="00EB16D2">
        <w:t xml:space="preserve"> </w:t>
      </w:r>
      <w:bookmarkEnd w:id="79"/>
    </w:p>
    <w:p w14:paraId="629D0788" w14:textId="77777777" w:rsidR="00EB16D2" w:rsidRPr="00EB16D2" w:rsidRDefault="00EB16D2" w:rsidP="00EB16D2">
      <w:pPr>
        <w:pStyle w:val="EndNoteBibliography"/>
        <w:spacing w:after="240"/>
        <w:ind w:left="720" w:hanging="720"/>
      </w:pPr>
      <w:bookmarkStart w:id="80" w:name="_ENREF_11"/>
      <w:r w:rsidRPr="00EB16D2">
        <w:t>Mixmarket. 2014. MFI Report, Bab Rizq Jameel - KSA, MIX Publications</w:t>
      </w:r>
      <w:hyperlink r:id="rId30" w:history="1">
        <w:r w:rsidRPr="00EB16D2">
          <w:rPr>
            <w:rStyle w:val="Hyperlink"/>
          </w:rPr>
          <w:t>http://www.mixmarket.org/mfi/country/Saudi%20Arabia</w:t>
        </w:r>
        <w:bookmarkEnd w:id="80"/>
      </w:hyperlink>
    </w:p>
    <w:p w14:paraId="3D36DA7A" w14:textId="77777777" w:rsidR="00EB16D2" w:rsidRPr="00EB16D2" w:rsidRDefault="00EB16D2" w:rsidP="009056E5">
      <w:pPr>
        <w:pStyle w:val="EndNoteBibliography"/>
        <w:spacing w:after="240"/>
        <w:ind w:left="720" w:right="-72" w:hanging="720"/>
      </w:pPr>
      <w:bookmarkStart w:id="81" w:name="_ENREF_12"/>
      <w:r w:rsidRPr="00EB16D2">
        <w:t xml:space="preserve">Osman G. 2013. Analysis and findings of Questionnaire designed by Prince Sultan fund for Women on the appointment of Women in the Shura Council and municipalities, Riyadh. </w:t>
      </w:r>
      <w:bookmarkEnd w:id="81"/>
    </w:p>
    <w:p w14:paraId="7C684DA3" w14:textId="77777777" w:rsidR="00EB16D2" w:rsidRPr="00EB16D2" w:rsidRDefault="00EB16D2" w:rsidP="009056E5">
      <w:pPr>
        <w:pStyle w:val="EndNoteBibliography"/>
        <w:spacing w:after="240"/>
        <w:ind w:left="720" w:right="-72" w:hanging="720"/>
      </w:pPr>
      <w:bookmarkStart w:id="82" w:name="_ENREF_13"/>
      <w:r w:rsidRPr="00EB16D2">
        <w:t xml:space="preserve">Raghu MR. 2012. GCC Demographic Shift:  Intergenerational risk-transfer at play, Safat, Kuwait. </w:t>
      </w:r>
      <w:hyperlink r:id="rId31" w:history="1">
        <w:r w:rsidRPr="00EB16D2">
          <w:rPr>
            <w:rStyle w:val="Hyperlink"/>
          </w:rPr>
          <w:t>http://www.markaz.com/DesktopModules/CRD/Attachments/DemographicsResearch-MarkazResearch-June%202012.pdf</w:t>
        </w:r>
        <w:bookmarkEnd w:id="82"/>
      </w:hyperlink>
    </w:p>
    <w:p w14:paraId="487765D1" w14:textId="77777777" w:rsidR="00EB16D2" w:rsidRPr="00EB16D2" w:rsidRDefault="00EB16D2" w:rsidP="009056E5">
      <w:pPr>
        <w:pStyle w:val="EndNoteBibliography"/>
        <w:spacing w:after="240"/>
        <w:ind w:left="720" w:right="-72" w:hanging="720"/>
      </w:pPr>
      <w:bookmarkStart w:id="83" w:name="_ENREF_14"/>
      <w:r w:rsidRPr="00EB16D2">
        <w:t xml:space="preserve">UN Development Programme (UNDP). 2013. Human Development Report 2013 - The Rise of the South: Human Progress in a Diverse World, New York. </w:t>
      </w:r>
      <w:hyperlink r:id="rId32" w:history="1">
        <w:r w:rsidRPr="00EB16D2">
          <w:rPr>
            <w:rStyle w:val="Hyperlink"/>
          </w:rPr>
          <w:t>http://hdr.undp.org/sites/default/files/reports/14/hdr2013_en_complete.pdf</w:t>
        </w:r>
        <w:bookmarkEnd w:id="83"/>
      </w:hyperlink>
    </w:p>
    <w:p w14:paraId="2789E9A7" w14:textId="77777777" w:rsidR="00EB16D2" w:rsidRPr="00EB16D2" w:rsidRDefault="00EB16D2" w:rsidP="009056E5">
      <w:pPr>
        <w:pStyle w:val="EndNoteBibliography"/>
        <w:spacing w:after="240"/>
        <w:ind w:left="720" w:right="-72" w:hanging="720"/>
      </w:pPr>
      <w:bookmarkStart w:id="84" w:name="_ENREF_15"/>
      <w:r w:rsidRPr="00EB16D2">
        <w:t xml:space="preserve">UN Development Programme (UNDP). 2014. Human Development Report 2014 - Sustaining Human Progress:  Reducing Vulnerabilities and Building Resilience, New York: United Nations Development Programme. </w:t>
      </w:r>
      <w:hyperlink r:id="rId33" w:history="1">
        <w:r w:rsidRPr="00EB16D2">
          <w:rPr>
            <w:rStyle w:val="Hyperlink"/>
          </w:rPr>
          <w:t>http://hdr.undp.org/sites/default/files/hdr14-report-en-1.pdf</w:t>
        </w:r>
        <w:bookmarkEnd w:id="84"/>
      </w:hyperlink>
    </w:p>
    <w:p w14:paraId="70D586A1" w14:textId="77777777" w:rsidR="00EB16D2" w:rsidRPr="00EB16D2" w:rsidRDefault="00EB16D2" w:rsidP="009056E5">
      <w:pPr>
        <w:pStyle w:val="EndNoteBibliography"/>
        <w:spacing w:after="240"/>
        <w:ind w:left="720" w:right="-72" w:hanging="720"/>
      </w:pPr>
      <w:bookmarkStart w:id="85" w:name="_ENREF_16"/>
      <w:r w:rsidRPr="00EB16D2">
        <w:t xml:space="preserve">UNDP-KSA. 2010. Outcome Evaluation of UNDP Support for National Strategies Reflecting Vision 2025 in Terms of Pro-poor and Sustainable Development policies, enhancing the Labour Sector and the Cost Effective Delivery of Public Services Riyadh. </w:t>
      </w:r>
      <w:hyperlink r:id="rId34" w:history="1">
        <w:r w:rsidRPr="00EB16D2">
          <w:rPr>
            <w:rStyle w:val="Hyperlink"/>
          </w:rPr>
          <w:t>http://erc.undp.org/evaluationadmin/manageevaluation/viewevaluationdetail.html?evalid=4051</w:t>
        </w:r>
        <w:bookmarkEnd w:id="85"/>
      </w:hyperlink>
    </w:p>
    <w:p w14:paraId="4A9ABBF5" w14:textId="77777777" w:rsidR="00EB16D2" w:rsidRPr="00EB16D2" w:rsidRDefault="00EB16D2" w:rsidP="009056E5">
      <w:pPr>
        <w:pStyle w:val="EndNoteBibliography"/>
        <w:spacing w:after="240"/>
        <w:ind w:left="720" w:right="-72" w:hanging="720"/>
      </w:pPr>
      <w:bookmarkStart w:id="86" w:name="_ENREF_17"/>
      <w:r w:rsidRPr="00EB16D2">
        <w:t xml:space="preserve">UNDP-KSA. 2012. United Nations Common Country Strategic Framework (UNCCSF) Kingdom of Saudi Arabia 2012-2016, Riyadh. </w:t>
      </w:r>
      <w:hyperlink r:id="rId35" w:history="1">
        <w:r w:rsidRPr="00EB16D2">
          <w:rPr>
            <w:rStyle w:val="Hyperlink"/>
          </w:rPr>
          <w:t>http://www.undg.org/docs/12689/Saudia-Arabia---CCSF.pdf</w:t>
        </w:r>
        <w:bookmarkEnd w:id="86"/>
      </w:hyperlink>
    </w:p>
    <w:p w14:paraId="2D298E61" w14:textId="77777777" w:rsidR="00EB16D2" w:rsidRPr="00EB16D2" w:rsidRDefault="00EB16D2" w:rsidP="009056E5">
      <w:pPr>
        <w:pStyle w:val="EndNoteBibliography"/>
        <w:spacing w:after="240"/>
        <w:ind w:left="720" w:right="-72" w:hanging="720"/>
      </w:pPr>
      <w:bookmarkStart w:id="87" w:name="_ENREF_18"/>
      <w:r w:rsidRPr="00EB16D2">
        <w:t xml:space="preserve">UNDP. 2009. Handbook on Planning, Monitoring and Evaluating for Development Results, New York. </w:t>
      </w:r>
      <w:hyperlink r:id="rId36" w:history="1">
        <w:r w:rsidRPr="00EB16D2">
          <w:rPr>
            <w:rStyle w:val="Hyperlink"/>
          </w:rPr>
          <w:t>http://web.undp.org/evaluation/handbook/documents/english/pme-handbook.pdf</w:t>
        </w:r>
        <w:bookmarkEnd w:id="87"/>
      </w:hyperlink>
    </w:p>
    <w:p w14:paraId="2E47FA0E" w14:textId="77777777" w:rsidR="00EB16D2" w:rsidRPr="00EB16D2" w:rsidRDefault="00EB16D2" w:rsidP="009056E5">
      <w:pPr>
        <w:pStyle w:val="EndNoteBibliography"/>
        <w:spacing w:after="240"/>
        <w:ind w:left="720" w:right="-72" w:hanging="720"/>
      </w:pPr>
      <w:bookmarkStart w:id="88" w:name="_ENREF_19"/>
      <w:r w:rsidRPr="00EB16D2">
        <w:t xml:space="preserve">UNDP. 2012. Country programme: Saudi Arabia (2012-16), New York. </w:t>
      </w:r>
      <w:hyperlink r:id="rId37" w:history="1">
        <w:r w:rsidRPr="00EB16D2">
          <w:rPr>
            <w:rStyle w:val="Hyperlink"/>
          </w:rPr>
          <w:t>http://www.undp.org.sa/sa/documents/home/newsletter22011.pdf</w:t>
        </w:r>
        <w:bookmarkEnd w:id="88"/>
      </w:hyperlink>
    </w:p>
    <w:p w14:paraId="1A50A442" w14:textId="77777777" w:rsidR="00EB16D2" w:rsidRPr="00EB16D2" w:rsidRDefault="00EB16D2" w:rsidP="009056E5">
      <w:pPr>
        <w:pStyle w:val="EndNoteBibliography"/>
        <w:spacing w:after="240"/>
        <w:ind w:left="720" w:right="-72" w:hanging="720"/>
      </w:pPr>
      <w:bookmarkStart w:id="89" w:name="_ENREF_20"/>
      <w:r w:rsidRPr="00EB16D2">
        <w:t xml:space="preserve">UNDP Consultant. 2010. Outcome Evaluation of UNDP Support for National Strategies Reflecting Vision 2025 in terms of Pro-poor and Sustainable Development policies, enhancing the Labour Sector and the Cost Effective Delivery of Public Services, Riyadh. </w:t>
      </w:r>
      <w:hyperlink r:id="rId38" w:history="1">
        <w:r w:rsidRPr="00EB16D2">
          <w:rPr>
            <w:rStyle w:val="Hyperlink"/>
          </w:rPr>
          <w:t>http://erc.undp.org/evaluationadmin/manageevaluation/viewevaluationdetail.html?evalid=4051</w:t>
        </w:r>
        <w:bookmarkEnd w:id="89"/>
      </w:hyperlink>
    </w:p>
    <w:p w14:paraId="22BA4228" w14:textId="77777777" w:rsidR="00EB16D2" w:rsidRPr="00EB16D2" w:rsidRDefault="00EB16D2" w:rsidP="009056E5">
      <w:pPr>
        <w:pStyle w:val="EndNoteBibliography"/>
        <w:spacing w:after="240"/>
        <w:ind w:left="720" w:right="-72" w:hanging="720"/>
      </w:pPr>
      <w:bookmarkStart w:id="90" w:name="_ENREF_21"/>
      <w:r w:rsidRPr="00EB16D2">
        <w:t xml:space="preserve">UNDP Evaluation Office. 2008. Evaluation of the Role of UNDP in the Net Contributor Countries of the Arab Region </w:t>
      </w:r>
      <w:r w:rsidRPr="00EB16D2">
        <w:rPr>
          <w:i/>
        </w:rPr>
        <w:t>DP/2008/26</w:t>
      </w:r>
      <w:r w:rsidRPr="00EB16D2">
        <w:t xml:space="preserve">, New York: United Nations Development Programme. </w:t>
      </w:r>
      <w:hyperlink r:id="rId39" w:history="1">
        <w:r w:rsidRPr="00EB16D2">
          <w:rPr>
            <w:rStyle w:val="Hyperlink"/>
          </w:rPr>
          <w:t>http://web.undp.org/evaluation/documents/thematic/ncc/NCC.pdf</w:t>
        </w:r>
        <w:bookmarkEnd w:id="90"/>
      </w:hyperlink>
    </w:p>
    <w:p w14:paraId="5E88CBA0" w14:textId="77777777" w:rsidR="00EB16D2" w:rsidRPr="00EB16D2" w:rsidRDefault="00EB16D2" w:rsidP="009056E5">
      <w:pPr>
        <w:pStyle w:val="EndNoteBibliography"/>
        <w:spacing w:after="240"/>
        <w:ind w:left="720" w:right="-72" w:hanging="720"/>
      </w:pPr>
      <w:bookmarkStart w:id="91" w:name="_ENREF_22"/>
      <w:r w:rsidRPr="00EB16D2">
        <w:t xml:space="preserve">UNDP Saudi Arabia. 2011a. Country Programme Document for Saudi Arabia (2012-2016), Riyadh. </w:t>
      </w:r>
      <w:bookmarkEnd w:id="91"/>
    </w:p>
    <w:p w14:paraId="40F8A3D3" w14:textId="77777777" w:rsidR="00EB16D2" w:rsidRPr="00EB16D2" w:rsidRDefault="00EB16D2" w:rsidP="009056E5">
      <w:pPr>
        <w:pStyle w:val="EndNoteBibliography"/>
        <w:spacing w:after="240"/>
        <w:ind w:left="720" w:right="-72" w:hanging="720"/>
      </w:pPr>
      <w:bookmarkStart w:id="92" w:name="_ENREF_23"/>
      <w:r w:rsidRPr="00EB16D2">
        <w:t xml:space="preserve">UNDP Saudi Arabia. 2011b. Project Document:  Women Empowerment in Saudi Arabia, Riyadh. </w:t>
      </w:r>
      <w:bookmarkEnd w:id="92"/>
    </w:p>
    <w:p w14:paraId="1DB1A24E" w14:textId="77777777" w:rsidR="00EB16D2" w:rsidRPr="00EB16D2" w:rsidRDefault="00EB16D2" w:rsidP="009056E5">
      <w:pPr>
        <w:pStyle w:val="EndNoteBibliography"/>
        <w:spacing w:after="240"/>
        <w:ind w:left="720" w:right="-72" w:hanging="720"/>
      </w:pPr>
      <w:bookmarkStart w:id="93" w:name="_ENREF_24"/>
      <w:r w:rsidRPr="00EB16D2">
        <w:t xml:space="preserve">Vishwanath T. 2012. Alert! Arab world women at bottom of global workforce participation. Washington DC: The World Bank </w:t>
      </w:r>
      <w:hyperlink r:id="rId40" w:history="1">
        <w:r w:rsidRPr="00EB16D2">
          <w:rPr>
            <w:rStyle w:val="Hyperlink"/>
          </w:rPr>
          <w:t>http://blogs.worldbank.org/arabvoices/alert-arab-world-women-bottom-global-workforce-participation</w:t>
        </w:r>
        <w:bookmarkEnd w:id="93"/>
      </w:hyperlink>
    </w:p>
    <w:p w14:paraId="42AC5D35" w14:textId="77777777" w:rsidR="00EB16D2" w:rsidRPr="00EB16D2" w:rsidRDefault="00EB16D2" w:rsidP="009056E5">
      <w:pPr>
        <w:pStyle w:val="EndNoteBibliography"/>
        <w:spacing w:after="240"/>
        <w:ind w:left="720" w:right="70" w:hanging="720"/>
      </w:pPr>
      <w:bookmarkStart w:id="94" w:name="_ENREF_25"/>
      <w:r w:rsidRPr="00EB16D2">
        <w:t xml:space="preserve">World Bank. 2013. Opening Doors:  Gender Equality and Development in the Middle East and North Africa, Washington DC. </w:t>
      </w:r>
      <w:hyperlink r:id="rId41" w:history="1">
        <w:r w:rsidRPr="00EB16D2">
          <w:rPr>
            <w:rStyle w:val="Hyperlink"/>
          </w:rPr>
          <w:t>http://www-wds.worldbank.org/external/default/WDSContentServer/WDSP/IB/2013/02/07/000356161_20130207123902/Rendered/PDF/751810PUB0EPI002060130Opening0doors.pdf</w:t>
        </w:r>
        <w:bookmarkEnd w:id="94"/>
      </w:hyperlink>
    </w:p>
    <w:p w14:paraId="6980900B" w14:textId="77777777" w:rsidR="00EB16D2" w:rsidRPr="00EB16D2" w:rsidRDefault="00EB16D2" w:rsidP="009056E5">
      <w:pPr>
        <w:pStyle w:val="EndNoteBibliography"/>
        <w:spacing w:after="240"/>
        <w:ind w:left="720" w:right="70" w:hanging="720"/>
      </w:pPr>
      <w:bookmarkStart w:id="95" w:name="_ENREF_26"/>
      <w:r w:rsidRPr="00EB16D2">
        <w:t xml:space="preserve">World Bank. 2014. World Development Indicators, Saudi Arabia, The World Bank, Washington DC </w:t>
      </w:r>
      <w:hyperlink r:id="rId42" w:history="1">
        <w:r w:rsidRPr="00EB16D2">
          <w:rPr>
            <w:rStyle w:val="Hyperlink"/>
          </w:rPr>
          <w:t>http://data.worldbank.org/country/saudi-arabia</w:t>
        </w:r>
        <w:bookmarkEnd w:id="95"/>
      </w:hyperlink>
    </w:p>
    <w:p w14:paraId="0422F561" w14:textId="77777777" w:rsidR="00EB16D2" w:rsidRPr="00EB16D2" w:rsidRDefault="00EB16D2" w:rsidP="009056E5">
      <w:pPr>
        <w:pStyle w:val="EndNoteBibliography"/>
        <w:ind w:left="720" w:right="70" w:hanging="720"/>
      </w:pPr>
      <w:bookmarkStart w:id="96" w:name="_ENREF_27"/>
      <w:r w:rsidRPr="00EB16D2">
        <w:t xml:space="preserve">World Bank staff. 2004. Gender and Development in the Middle East and North Africa: Women in the Public Sphere, Washington, DC. </w:t>
      </w:r>
      <w:hyperlink r:id="rId43" w:history="1">
        <w:r w:rsidRPr="00EB16D2">
          <w:rPr>
            <w:rStyle w:val="Hyperlink"/>
          </w:rPr>
          <w:t>http://web.worldbank.org/WBSITE/EXTERNAL/COUNTRIES/MENAEXT/0,,contentMDK:20261828~pagePK:146736~piPK:146830~theSitePK:256299,00.html</w:t>
        </w:r>
        <w:bookmarkEnd w:id="96"/>
      </w:hyperlink>
    </w:p>
    <w:p w14:paraId="4C2C359F" w14:textId="07B8E4AE" w:rsidR="0064757E" w:rsidRPr="005C55C3" w:rsidRDefault="00D209A5" w:rsidP="003C2DE3">
      <w:pPr>
        <w:spacing w:after="0"/>
        <w:ind w:right="70"/>
      </w:pPr>
      <w:r w:rsidRPr="005C55C3">
        <w:fldChar w:fldCharType="end"/>
      </w:r>
    </w:p>
    <w:sectPr w:rsidR="0064757E" w:rsidRPr="005C55C3" w:rsidSect="00C109C8">
      <w:pgSz w:w="11907" w:h="16839" w:code="9"/>
      <w:pgMar w:top="993" w:right="1325"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97290" w14:textId="77777777" w:rsidR="00415406" w:rsidRDefault="00415406" w:rsidP="009C1C1C">
      <w:pPr>
        <w:spacing w:before="0" w:after="0"/>
      </w:pPr>
      <w:r>
        <w:separator/>
      </w:r>
    </w:p>
  </w:endnote>
  <w:endnote w:type="continuationSeparator" w:id="0">
    <w:p w14:paraId="2DCBF952" w14:textId="77777777" w:rsidR="00415406" w:rsidRDefault="00415406" w:rsidP="009C1C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139859"/>
      <w:docPartObj>
        <w:docPartGallery w:val="Page Numbers (Bottom of Page)"/>
        <w:docPartUnique/>
      </w:docPartObj>
    </w:sdtPr>
    <w:sdtEndPr/>
    <w:sdtContent>
      <w:p w14:paraId="0892A600" w14:textId="77777777" w:rsidR="006429BF" w:rsidRDefault="006429BF">
        <w:pPr>
          <w:pStyle w:val="Footer"/>
          <w:jc w:val="center"/>
        </w:pPr>
        <w:r>
          <w:fldChar w:fldCharType="begin"/>
        </w:r>
        <w:r>
          <w:instrText xml:space="preserve"> PAGE   \* MERGEFORMAT </w:instrText>
        </w:r>
        <w:r>
          <w:fldChar w:fldCharType="separate"/>
        </w:r>
        <w:r w:rsidR="00111A09">
          <w:rPr>
            <w:noProof/>
          </w:rPr>
          <w:t>62</w:t>
        </w:r>
        <w:r>
          <w:rPr>
            <w:noProof/>
          </w:rPr>
          <w:fldChar w:fldCharType="end"/>
        </w:r>
      </w:p>
    </w:sdtContent>
  </w:sdt>
  <w:p w14:paraId="7CF70E5C" w14:textId="77777777" w:rsidR="006429BF" w:rsidRDefault="00642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0359C" w14:textId="77777777" w:rsidR="00415406" w:rsidRDefault="00415406" w:rsidP="009C1C1C">
      <w:pPr>
        <w:spacing w:before="0" w:after="0"/>
      </w:pPr>
      <w:r>
        <w:separator/>
      </w:r>
    </w:p>
  </w:footnote>
  <w:footnote w:type="continuationSeparator" w:id="0">
    <w:p w14:paraId="273167A4" w14:textId="77777777" w:rsidR="00415406" w:rsidRDefault="00415406" w:rsidP="009C1C1C">
      <w:pPr>
        <w:spacing w:before="0" w:after="0"/>
      </w:pPr>
      <w:r>
        <w:continuationSeparator/>
      </w:r>
    </w:p>
  </w:footnote>
  <w:footnote w:id="1">
    <w:p w14:paraId="67013599" w14:textId="77777777" w:rsidR="006429BF" w:rsidRDefault="006429BF">
      <w:pPr>
        <w:pStyle w:val="FootnoteText"/>
      </w:pPr>
      <w:r>
        <w:rPr>
          <w:rStyle w:val="FootnoteReference"/>
        </w:rPr>
        <w:footnoteRef/>
      </w:r>
      <w:r>
        <w:t xml:space="preserve"> This report uses NGO and CSO, at times interchangeably. </w:t>
      </w:r>
    </w:p>
  </w:footnote>
  <w:footnote w:id="2">
    <w:p w14:paraId="3472208D" w14:textId="77777777" w:rsidR="006429BF" w:rsidRDefault="006429BF" w:rsidP="00E878BB">
      <w:pPr>
        <w:pStyle w:val="FootnoteText"/>
        <w:ind w:right="70"/>
      </w:pPr>
      <w:r>
        <w:rPr>
          <w:rStyle w:val="FootnoteReference"/>
        </w:rPr>
        <w:footnoteRef/>
      </w:r>
      <w:r>
        <w:t xml:space="preserve"> Population profiles for eight countries in the region, and the US, can be seen for comparison at the URL for the source:  </w:t>
      </w:r>
      <w:hyperlink r:id="rId1" w:history="1">
        <w:r w:rsidRPr="00E878BB">
          <w:rPr>
            <w:rStyle w:val="Hyperlink"/>
            <w:rFonts w:ascii="Segoe UI" w:hAnsi="Segoe UI" w:cs="Segoe UI"/>
            <w:sz w:val="18"/>
            <w:szCs w:val="18"/>
          </w:rPr>
          <w:t>http://www.washingtonpost.com/wp-srv/special/world/middle-east-youth-population/</w:t>
        </w:r>
      </w:hyperlink>
      <w:r w:rsidRPr="00E878BB">
        <w:rPr>
          <w:rFonts w:ascii="Segoe UI" w:hAnsi="Segoe UI" w:cs="Segoe UI"/>
          <w:sz w:val="18"/>
          <w:szCs w:val="18"/>
        </w:rPr>
        <w:t xml:space="preserve"> </w:t>
      </w:r>
    </w:p>
  </w:footnote>
  <w:footnote w:id="3">
    <w:p w14:paraId="19577F44" w14:textId="77777777" w:rsidR="006429BF" w:rsidRDefault="006429BF" w:rsidP="002826D9">
      <w:pPr>
        <w:pStyle w:val="FootnoteText"/>
        <w:ind w:right="70"/>
      </w:pPr>
      <w:r>
        <w:rPr>
          <w:rStyle w:val="FootnoteReference"/>
        </w:rPr>
        <w:footnoteRef/>
      </w:r>
      <w:r>
        <w:t xml:space="preserve"> </w:t>
      </w:r>
      <w:r w:rsidRPr="002826D9">
        <w:rPr>
          <w:rFonts w:cs="Arial"/>
          <w:szCs w:val="22"/>
        </w:rPr>
        <w:t>The dependency ratio is the ratio of the economically dependent population (</w:t>
      </w:r>
      <w:r>
        <w:rPr>
          <w:rFonts w:cs="Arial"/>
          <w:szCs w:val="22"/>
        </w:rPr>
        <w:t xml:space="preserve">ages </w:t>
      </w:r>
      <w:r w:rsidRPr="002826D9">
        <w:rPr>
          <w:rFonts w:cs="Arial"/>
          <w:szCs w:val="22"/>
        </w:rPr>
        <w:t>0 -14 and over 65) to t</w:t>
      </w:r>
      <w:r>
        <w:rPr>
          <w:rFonts w:cs="Arial"/>
          <w:szCs w:val="22"/>
        </w:rPr>
        <w:t>hose who are (potentially) productive –15-64.</w:t>
      </w:r>
    </w:p>
  </w:footnote>
  <w:footnote w:id="4">
    <w:p w14:paraId="4CBA1677" w14:textId="77777777" w:rsidR="006429BF" w:rsidRDefault="006429BF" w:rsidP="00BD5CD8">
      <w:pPr>
        <w:pStyle w:val="FootnoteText"/>
        <w:ind w:right="70"/>
      </w:pPr>
      <w:r>
        <w:rPr>
          <w:rStyle w:val="FootnoteReference"/>
        </w:rPr>
        <w:footnoteRef/>
      </w:r>
      <w:r>
        <w:t xml:space="preserve"> </w:t>
      </w:r>
      <w:r>
        <w:rPr>
          <w:sz w:val="18"/>
        </w:rPr>
        <w:t>18.6%</w:t>
      </w:r>
      <w:r w:rsidRPr="00BD5CD8">
        <w:rPr>
          <w:sz w:val="18"/>
        </w:rPr>
        <w:t xml:space="preserve"> was the labour force participation rate (LFPR) for women in 2008, which was the latest information at the time of drafting of the CPD, in 2011.  </w:t>
      </w:r>
    </w:p>
  </w:footnote>
  <w:footnote w:id="5">
    <w:p w14:paraId="19FCA701" w14:textId="77777777" w:rsidR="006429BF" w:rsidRDefault="006429BF" w:rsidP="005D2A9D">
      <w:pPr>
        <w:pStyle w:val="FootnoteText"/>
        <w:ind w:right="-72"/>
      </w:pPr>
      <w:r>
        <w:rPr>
          <w:rStyle w:val="FootnoteReference"/>
        </w:rPr>
        <w:footnoteRef/>
      </w:r>
      <w:r>
        <w:t xml:space="preserve"> The remaining two Outcomes in the CPD are:  (2) Policies and Strategies for Sustainable Use of Natural Resources and the Environment, and (3) Sustainable Development Mainstreamed across the Economy.  </w:t>
      </w:r>
    </w:p>
  </w:footnote>
  <w:footnote w:id="6">
    <w:p w14:paraId="0C9F87B1" w14:textId="77777777" w:rsidR="006429BF" w:rsidRPr="00E449FD" w:rsidRDefault="006429BF" w:rsidP="007D6A5F">
      <w:pPr>
        <w:spacing w:before="0" w:after="0"/>
        <w:ind w:right="261"/>
        <w:rPr>
          <w:lang w:val="en-CA"/>
        </w:rPr>
      </w:pPr>
      <w:r>
        <w:rPr>
          <w:rStyle w:val="FootnoteReference"/>
        </w:rPr>
        <w:footnoteRef/>
      </w:r>
      <w:r>
        <w:t xml:space="preserve"> </w:t>
      </w:r>
      <w:r w:rsidRPr="00E449FD">
        <w:rPr>
          <w:rStyle w:val="FootnoteTextChar"/>
          <w:lang w:val="en-CA"/>
        </w:rPr>
        <w:t>G</w:t>
      </w:r>
      <w:r>
        <w:rPr>
          <w:rStyle w:val="FootnoteTextChar"/>
          <w:lang w:val="en-CA"/>
        </w:rPr>
        <w:t>ross enrolment ratio, tertiary:</w:t>
      </w:r>
      <w:r w:rsidRPr="00E449FD">
        <w:rPr>
          <w:rStyle w:val="FootnoteTextChar"/>
          <w:lang w:val="en-CA"/>
        </w:rPr>
        <w:t xml:space="preserve"> total enrollment in tertiary education, regardless of age, expressed as a percentage of the total population of the five-year age group following on from secondary school leaving.</w:t>
      </w:r>
      <w:r>
        <w:rPr>
          <w:rStyle w:val="FootnoteTextChar"/>
          <w:lang w:val="en-CA"/>
        </w:rPr>
        <w:t xml:space="preserve">  This number therefore includes persons above and below the age group.</w:t>
      </w:r>
    </w:p>
  </w:footnote>
  <w:footnote w:id="7">
    <w:p w14:paraId="5F2538DD" w14:textId="77777777" w:rsidR="006429BF" w:rsidRDefault="006429BF" w:rsidP="00347356">
      <w:pPr>
        <w:pStyle w:val="FootnoteText"/>
        <w:ind w:right="70"/>
      </w:pPr>
      <w:r>
        <w:rPr>
          <w:rStyle w:val="FootnoteReference"/>
        </w:rPr>
        <w:footnoteRef/>
      </w:r>
      <w:r>
        <w:t xml:space="preserve"> [A]lthough one could argue that even outputs are achieved with the help of at least one partner, UNDP should feel confident that it has a high degree of control over the achievement or non-achievement of the output.</w:t>
      </w:r>
    </w:p>
  </w:footnote>
  <w:footnote w:id="8">
    <w:p w14:paraId="32034C87" w14:textId="77777777" w:rsidR="006429BF" w:rsidRDefault="006429BF" w:rsidP="00FB4159">
      <w:pPr>
        <w:pStyle w:val="NormalWeb"/>
        <w:shd w:val="clear" w:color="auto" w:fill="FFFFFF"/>
        <w:spacing w:before="0" w:beforeAutospacing="0" w:after="0" w:afterAutospacing="0"/>
      </w:pPr>
      <w:r>
        <w:rPr>
          <w:rStyle w:val="FootnoteReference"/>
        </w:rPr>
        <w:footnoteRef/>
      </w:r>
      <w:r>
        <w:t xml:space="preserve"> </w:t>
      </w:r>
      <w:r w:rsidRPr="00FB4159">
        <w:rPr>
          <w:rFonts w:ascii="Sylfaen" w:hAnsi="Sylfaen" w:cs="Helvetica"/>
          <w:sz w:val="20"/>
          <w:szCs w:val="18"/>
        </w:rPr>
        <w:t>The five BRIDGE partners are the United Natio</w:t>
      </w:r>
      <w:r>
        <w:rPr>
          <w:rFonts w:ascii="Sylfaen" w:hAnsi="Sylfaen" w:cs="Helvetica"/>
          <w:sz w:val="20"/>
          <w:szCs w:val="18"/>
        </w:rPr>
        <w:t xml:space="preserve">ns Development Programme (UNDP), </w:t>
      </w:r>
      <w:r w:rsidRPr="00FB4159">
        <w:rPr>
          <w:rFonts w:ascii="Sylfaen" w:hAnsi="Sylfaen" w:cs="Helvetica"/>
          <w:sz w:val="20"/>
          <w:szCs w:val="18"/>
        </w:rPr>
        <w:t>the United Nations Electo</w:t>
      </w:r>
      <w:r>
        <w:rPr>
          <w:rFonts w:ascii="Sylfaen" w:hAnsi="Sylfaen" w:cs="Helvetica"/>
          <w:sz w:val="20"/>
          <w:szCs w:val="18"/>
        </w:rPr>
        <w:t>ral Assistance Division (UNEAD), the</w:t>
      </w:r>
      <w:r w:rsidRPr="00FB4159">
        <w:rPr>
          <w:rFonts w:ascii="Helvetica" w:hAnsi="Helvetica" w:cs="Helvetica"/>
          <w:sz w:val="20"/>
          <w:szCs w:val="18"/>
        </w:rPr>
        <w:t xml:space="preserve"> </w:t>
      </w:r>
      <w:r w:rsidRPr="00FB4159">
        <w:rPr>
          <w:rFonts w:ascii="Sylfaen" w:hAnsi="Sylfaen" w:cs="Helvetica"/>
          <w:sz w:val="20"/>
          <w:szCs w:val="18"/>
        </w:rPr>
        <w:t xml:space="preserve">Australian Electoral Commission (AEC), International IDEA, and </w:t>
      </w:r>
      <w:r>
        <w:rPr>
          <w:rFonts w:ascii="Sylfaen" w:hAnsi="Sylfaen" w:cs="Helvetica"/>
          <w:sz w:val="20"/>
          <w:szCs w:val="18"/>
        </w:rPr>
        <w:t xml:space="preserve">the </w:t>
      </w:r>
      <w:r w:rsidRPr="00FB4159">
        <w:rPr>
          <w:rFonts w:ascii="Sylfaen" w:hAnsi="Sylfaen" w:cs="Helvetica"/>
          <w:sz w:val="20"/>
          <w:szCs w:val="18"/>
        </w:rPr>
        <w:t>International Foundatio</w:t>
      </w:r>
      <w:r>
        <w:rPr>
          <w:rFonts w:ascii="Sylfaen" w:hAnsi="Sylfaen" w:cs="Helvetica"/>
          <w:sz w:val="20"/>
          <w:szCs w:val="18"/>
        </w:rPr>
        <w:t xml:space="preserve">n for Electoral Systems (IFES).  The partnership was founded in 1999 and has worked in more than 100 countries.  </w:t>
      </w:r>
      <w:hyperlink r:id="rId2" w:history="1">
        <w:r w:rsidRPr="00FB4159">
          <w:rPr>
            <w:rStyle w:val="Hyperlink"/>
            <w:sz w:val="20"/>
          </w:rPr>
          <w:t>http://www.bridge-project.org/about-bridge/overview.html</w:t>
        </w:r>
      </w:hyperlink>
      <w:r w:rsidRPr="00FB4159">
        <w:rPr>
          <w:sz w:val="20"/>
        </w:rPr>
        <w:t xml:space="preserve"> </w:t>
      </w:r>
    </w:p>
  </w:footnote>
  <w:footnote w:id="9">
    <w:p w14:paraId="439BB381" w14:textId="77777777" w:rsidR="006429BF" w:rsidRDefault="006429BF" w:rsidP="00653FF8">
      <w:pPr>
        <w:pStyle w:val="FootnoteText"/>
        <w:ind w:right="70"/>
      </w:pPr>
      <w:r>
        <w:rPr>
          <w:rStyle w:val="FootnoteReference"/>
        </w:rPr>
        <w:footnoteRef/>
      </w:r>
      <w:r>
        <w:t xml:space="preserve"> 2014 is the first year in which the HDR has ranked Saudi Arabia within the “Very high human development” group.  Previous to this year the country ranked in the “High human development group”.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6613"/>
    <w:multiLevelType w:val="hybridMultilevel"/>
    <w:tmpl w:val="90CA4004"/>
    <w:lvl w:ilvl="0" w:tplc="CDEE9A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23054"/>
    <w:multiLevelType w:val="hybridMultilevel"/>
    <w:tmpl w:val="6A82639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87D2C"/>
    <w:multiLevelType w:val="hybridMultilevel"/>
    <w:tmpl w:val="8CB6C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9B24DD"/>
    <w:multiLevelType w:val="hybridMultilevel"/>
    <w:tmpl w:val="81228E7C"/>
    <w:lvl w:ilvl="0" w:tplc="9D985A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A0BE1"/>
    <w:multiLevelType w:val="hybridMultilevel"/>
    <w:tmpl w:val="C360B3A0"/>
    <w:lvl w:ilvl="0" w:tplc="C09CBF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79085C"/>
    <w:multiLevelType w:val="hybridMultilevel"/>
    <w:tmpl w:val="D1DC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B210B"/>
    <w:multiLevelType w:val="hybridMultilevel"/>
    <w:tmpl w:val="9B62AFC4"/>
    <w:lvl w:ilvl="0" w:tplc="73BA4910">
      <w:start w:val="1"/>
      <w:numFmt w:val="bullet"/>
      <w:lvlText w:val=""/>
      <w:lvlJc w:val="left"/>
      <w:pPr>
        <w:ind w:left="455" w:hanging="141"/>
      </w:pPr>
      <w:rPr>
        <w:rFonts w:ascii="Wingdings" w:eastAsia="Wingdings" w:hAnsi="Wingdings" w:hint="default"/>
        <w:color w:val="808285"/>
        <w:position w:val="-1"/>
        <w:sz w:val="22"/>
        <w:szCs w:val="22"/>
      </w:rPr>
    </w:lvl>
    <w:lvl w:ilvl="1" w:tplc="672A21F2">
      <w:start w:val="1"/>
      <w:numFmt w:val="bullet"/>
      <w:lvlText w:val="•"/>
      <w:lvlJc w:val="left"/>
      <w:pPr>
        <w:ind w:left="636" w:hanging="141"/>
      </w:pPr>
      <w:rPr>
        <w:rFonts w:hint="default"/>
      </w:rPr>
    </w:lvl>
    <w:lvl w:ilvl="2" w:tplc="9DF2D082">
      <w:start w:val="1"/>
      <w:numFmt w:val="bullet"/>
      <w:lvlText w:val="•"/>
      <w:lvlJc w:val="left"/>
      <w:pPr>
        <w:ind w:left="817" w:hanging="141"/>
      </w:pPr>
      <w:rPr>
        <w:rFonts w:hint="default"/>
      </w:rPr>
    </w:lvl>
    <w:lvl w:ilvl="3" w:tplc="A0100580">
      <w:start w:val="1"/>
      <w:numFmt w:val="bullet"/>
      <w:lvlText w:val="•"/>
      <w:lvlJc w:val="left"/>
      <w:pPr>
        <w:ind w:left="998" w:hanging="141"/>
      </w:pPr>
      <w:rPr>
        <w:rFonts w:hint="default"/>
      </w:rPr>
    </w:lvl>
    <w:lvl w:ilvl="4" w:tplc="4BB82210">
      <w:start w:val="1"/>
      <w:numFmt w:val="bullet"/>
      <w:lvlText w:val="•"/>
      <w:lvlJc w:val="left"/>
      <w:pPr>
        <w:ind w:left="1179" w:hanging="141"/>
      </w:pPr>
      <w:rPr>
        <w:rFonts w:hint="default"/>
      </w:rPr>
    </w:lvl>
    <w:lvl w:ilvl="5" w:tplc="07C2F418">
      <w:start w:val="1"/>
      <w:numFmt w:val="bullet"/>
      <w:lvlText w:val="•"/>
      <w:lvlJc w:val="left"/>
      <w:pPr>
        <w:ind w:left="1360" w:hanging="141"/>
      </w:pPr>
      <w:rPr>
        <w:rFonts w:hint="default"/>
      </w:rPr>
    </w:lvl>
    <w:lvl w:ilvl="6" w:tplc="EC4238EC">
      <w:start w:val="1"/>
      <w:numFmt w:val="bullet"/>
      <w:lvlText w:val="•"/>
      <w:lvlJc w:val="left"/>
      <w:pPr>
        <w:ind w:left="1541" w:hanging="141"/>
      </w:pPr>
      <w:rPr>
        <w:rFonts w:hint="default"/>
      </w:rPr>
    </w:lvl>
    <w:lvl w:ilvl="7" w:tplc="4392AF18">
      <w:start w:val="1"/>
      <w:numFmt w:val="bullet"/>
      <w:lvlText w:val="•"/>
      <w:lvlJc w:val="left"/>
      <w:pPr>
        <w:ind w:left="1722" w:hanging="141"/>
      </w:pPr>
      <w:rPr>
        <w:rFonts w:hint="default"/>
      </w:rPr>
    </w:lvl>
    <w:lvl w:ilvl="8" w:tplc="BFBC2176">
      <w:start w:val="1"/>
      <w:numFmt w:val="bullet"/>
      <w:lvlText w:val="•"/>
      <w:lvlJc w:val="left"/>
      <w:pPr>
        <w:ind w:left="1903" w:hanging="141"/>
      </w:pPr>
      <w:rPr>
        <w:rFonts w:hint="default"/>
      </w:rPr>
    </w:lvl>
  </w:abstractNum>
  <w:abstractNum w:abstractNumId="7">
    <w:nsid w:val="1540762E"/>
    <w:multiLevelType w:val="hybridMultilevel"/>
    <w:tmpl w:val="DBA02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418B5"/>
    <w:multiLevelType w:val="hybridMultilevel"/>
    <w:tmpl w:val="DEC60224"/>
    <w:lvl w:ilvl="0" w:tplc="DBE8E24A">
      <w:numFmt w:val="bullet"/>
      <w:lvlText w:val="-"/>
      <w:lvlJc w:val="left"/>
      <w:pPr>
        <w:ind w:left="720" w:hanging="360"/>
      </w:pPr>
      <w:rPr>
        <w:rFonts w:ascii="Sylfaen" w:eastAsiaTheme="minorHAnsi" w:hAnsi="Sylfae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98408B"/>
    <w:multiLevelType w:val="hybridMultilevel"/>
    <w:tmpl w:val="C324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767B5A"/>
    <w:multiLevelType w:val="hybridMultilevel"/>
    <w:tmpl w:val="530A2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812CA1"/>
    <w:multiLevelType w:val="hybridMultilevel"/>
    <w:tmpl w:val="148CA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6531D6"/>
    <w:multiLevelType w:val="hybridMultilevel"/>
    <w:tmpl w:val="4D7A91DE"/>
    <w:lvl w:ilvl="0" w:tplc="DBE8E24A">
      <w:numFmt w:val="bullet"/>
      <w:lvlText w:val="-"/>
      <w:lvlJc w:val="left"/>
      <w:pPr>
        <w:ind w:left="1080" w:hanging="360"/>
      </w:pPr>
      <w:rPr>
        <w:rFonts w:ascii="Sylfaen" w:eastAsiaTheme="minorHAnsi" w:hAnsi="Sylfae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8874B6"/>
    <w:multiLevelType w:val="multilevel"/>
    <w:tmpl w:val="55F4F2F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AD4339D"/>
    <w:multiLevelType w:val="hybridMultilevel"/>
    <w:tmpl w:val="B298E29A"/>
    <w:lvl w:ilvl="0" w:tplc="DBE8E24A">
      <w:numFmt w:val="bullet"/>
      <w:lvlText w:val="-"/>
      <w:lvlJc w:val="left"/>
      <w:pPr>
        <w:ind w:left="1080" w:hanging="360"/>
      </w:pPr>
      <w:rPr>
        <w:rFonts w:ascii="Sylfaen" w:eastAsiaTheme="minorHAnsi" w:hAnsi="Sylfae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3B020C"/>
    <w:multiLevelType w:val="multilevel"/>
    <w:tmpl w:val="EFEE412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DE737B8"/>
    <w:multiLevelType w:val="hybridMultilevel"/>
    <w:tmpl w:val="8918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701F9A"/>
    <w:multiLevelType w:val="multilevel"/>
    <w:tmpl w:val="01BAA01C"/>
    <w:lvl w:ilvl="0">
      <w:start w:val="7"/>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2D960DD"/>
    <w:multiLevelType w:val="hybridMultilevel"/>
    <w:tmpl w:val="94309612"/>
    <w:lvl w:ilvl="0" w:tplc="DBE8E24A">
      <w:numFmt w:val="bullet"/>
      <w:lvlText w:val="-"/>
      <w:lvlJc w:val="left"/>
      <w:pPr>
        <w:ind w:left="1080" w:hanging="360"/>
      </w:pPr>
      <w:rPr>
        <w:rFonts w:ascii="Sylfaen" w:eastAsiaTheme="minorHAnsi" w:hAnsi="Sylfae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3614ECD"/>
    <w:multiLevelType w:val="hybridMultilevel"/>
    <w:tmpl w:val="06AE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0467F"/>
    <w:multiLevelType w:val="hybridMultilevel"/>
    <w:tmpl w:val="7A686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FA4EDB"/>
    <w:multiLevelType w:val="multilevel"/>
    <w:tmpl w:val="EFEE412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7835835"/>
    <w:multiLevelType w:val="hybridMultilevel"/>
    <w:tmpl w:val="6664A5CA"/>
    <w:lvl w:ilvl="0" w:tplc="45542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674697"/>
    <w:multiLevelType w:val="multilevel"/>
    <w:tmpl w:val="97B6BDE2"/>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E341E25"/>
    <w:multiLevelType w:val="hybridMultilevel"/>
    <w:tmpl w:val="5DB2F4AA"/>
    <w:lvl w:ilvl="0" w:tplc="472EFC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341611F"/>
    <w:multiLevelType w:val="multilevel"/>
    <w:tmpl w:val="5C7A3DA6"/>
    <w:lvl w:ilvl="0">
      <w:start w:val="3"/>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43FC67A1"/>
    <w:multiLevelType w:val="hybridMultilevel"/>
    <w:tmpl w:val="9B0C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04523D"/>
    <w:multiLevelType w:val="hybridMultilevel"/>
    <w:tmpl w:val="2F18059C"/>
    <w:lvl w:ilvl="0" w:tplc="40CE82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237080"/>
    <w:multiLevelType w:val="hybridMultilevel"/>
    <w:tmpl w:val="72AA7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AA1DEC"/>
    <w:multiLevelType w:val="hybridMultilevel"/>
    <w:tmpl w:val="39D295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0">
    <w:nsid w:val="55E33EAE"/>
    <w:multiLevelType w:val="hybridMultilevel"/>
    <w:tmpl w:val="7B68D8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366A39"/>
    <w:multiLevelType w:val="hybridMultilevel"/>
    <w:tmpl w:val="C5EC852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01358D"/>
    <w:multiLevelType w:val="multilevel"/>
    <w:tmpl w:val="B0A4F95C"/>
    <w:lvl w:ilvl="0">
      <w:start w:val="1"/>
      <w:numFmt w:val="decimal"/>
      <w:lvlText w:val="%1."/>
      <w:lvlJc w:val="center"/>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6836CBF"/>
    <w:multiLevelType w:val="hybridMultilevel"/>
    <w:tmpl w:val="51BE8022"/>
    <w:lvl w:ilvl="0" w:tplc="DBE8E24A">
      <w:numFmt w:val="bullet"/>
      <w:lvlText w:val="-"/>
      <w:lvlJc w:val="left"/>
      <w:pPr>
        <w:ind w:left="1080" w:hanging="360"/>
      </w:pPr>
      <w:rPr>
        <w:rFonts w:ascii="Sylfaen" w:eastAsiaTheme="minorHAnsi" w:hAnsi="Sylfae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A74945"/>
    <w:multiLevelType w:val="multilevel"/>
    <w:tmpl w:val="A24EF66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B683B9D"/>
    <w:multiLevelType w:val="hybridMultilevel"/>
    <w:tmpl w:val="86E0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41492"/>
    <w:multiLevelType w:val="hybridMultilevel"/>
    <w:tmpl w:val="CCD21504"/>
    <w:lvl w:ilvl="0" w:tplc="DBE8E24A">
      <w:numFmt w:val="bullet"/>
      <w:lvlText w:val="-"/>
      <w:lvlJc w:val="left"/>
      <w:pPr>
        <w:ind w:left="2520" w:hanging="360"/>
      </w:pPr>
      <w:rPr>
        <w:rFonts w:ascii="Sylfaen" w:eastAsiaTheme="minorHAnsi" w:hAnsi="Sylfae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6CCB63BB"/>
    <w:multiLevelType w:val="hybridMultilevel"/>
    <w:tmpl w:val="6C3E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D5604D"/>
    <w:multiLevelType w:val="hybridMultilevel"/>
    <w:tmpl w:val="90CA4004"/>
    <w:lvl w:ilvl="0" w:tplc="CDEE9A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7D3766"/>
    <w:multiLevelType w:val="hybridMultilevel"/>
    <w:tmpl w:val="EF2C1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622BC3"/>
    <w:multiLevelType w:val="hybridMultilevel"/>
    <w:tmpl w:val="43CC33EA"/>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39"/>
  </w:num>
  <w:num w:numId="3">
    <w:abstractNumId w:val="35"/>
  </w:num>
  <w:num w:numId="4">
    <w:abstractNumId w:val="8"/>
  </w:num>
  <w:num w:numId="5">
    <w:abstractNumId w:val="18"/>
  </w:num>
  <w:num w:numId="6">
    <w:abstractNumId w:val="29"/>
  </w:num>
  <w:num w:numId="7">
    <w:abstractNumId w:val="7"/>
  </w:num>
  <w:num w:numId="8">
    <w:abstractNumId w:val="19"/>
  </w:num>
  <w:num w:numId="9">
    <w:abstractNumId w:val="3"/>
  </w:num>
  <w:num w:numId="10">
    <w:abstractNumId w:val="24"/>
  </w:num>
  <w:num w:numId="11">
    <w:abstractNumId w:val="2"/>
  </w:num>
  <w:num w:numId="12">
    <w:abstractNumId w:val="11"/>
  </w:num>
  <w:num w:numId="13">
    <w:abstractNumId w:val="4"/>
  </w:num>
  <w:num w:numId="14">
    <w:abstractNumId w:val="30"/>
  </w:num>
  <w:num w:numId="15">
    <w:abstractNumId w:val="40"/>
  </w:num>
  <w:num w:numId="16">
    <w:abstractNumId w:val="31"/>
  </w:num>
  <w:num w:numId="17">
    <w:abstractNumId w:val="14"/>
  </w:num>
  <w:num w:numId="18">
    <w:abstractNumId w:val="36"/>
  </w:num>
  <w:num w:numId="19">
    <w:abstractNumId w:val="33"/>
  </w:num>
  <w:num w:numId="20">
    <w:abstractNumId w:val="12"/>
  </w:num>
  <w:num w:numId="21">
    <w:abstractNumId w:val="5"/>
  </w:num>
  <w:num w:numId="22">
    <w:abstractNumId w:val="37"/>
  </w:num>
  <w:num w:numId="23">
    <w:abstractNumId w:val="21"/>
  </w:num>
  <w:num w:numId="24">
    <w:abstractNumId w:val="22"/>
  </w:num>
  <w:num w:numId="25">
    <w:abstractNumId w:val="0"/>
  </w:num>
  <w:num w:numId="26">
    <w:abstractNumId w:val="38"/>
  </w:num>
  <w:num w:numId="27">
    <w:abstractNumId w:val="17"/>
  </w:num>
  <w:num w:numId="28">
    <w:abstractNumId w:val="25"/>
  </w:num>
  <w:num w:numId="29">
    <w:abstractNumId w:val="23"/>
  </w:num>
  <w:num w:numId="30">
    <w:abstractNumId w:val="34"/>
  </w:num>
  <w:num w:numId="31">
    <w:abstractNumId w:val="13"/>
  </w:num>
  <w:num w:numId="32">
    <w:abstractNumId w:val="32"/>
  </w:num>
  <w:num w:numId="33">
    <w:abstractNumId w:val="26"/>
  </w:num>
  <w:num w:numId="34">
    <w:abstractNumId w:val="9"/>
  </w:num>
  <w:num w:numId="35">
    <w:abstractNumId w:val="20"/>
  </w:num>
  <w:num w:numId="36">
    <w:abstractNumId w:val="16"/>
  </w:num>
  <w:num w:numId="37">
    <w:abstractNumId w:val="1"/>
  </w:num>
  <w:num w:numId="38">
    <w:abstractNumId w:val="27"/>
  </w:num>
  <w:num w:numId="39">
    <w:abstractNumId w:val="10"/>
  </w:num>
  <w:num w:numId="40">
    <w:abstractNumId w:val="6"/>
  </w:num>
  <w:num w:numId="4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 Rev Psychology Copy&lt;/Style&gt;&lt;LeftDelim&gt;{&lt;/LeftDelim&gt;&lt;RightDelim&gt;}&lt;/RightDelim&gt;&lt;FontName&gt;Sylfaen&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5a0wsfarrxszvze9rr65r5a3vr95ffwx90f9&quot;&gt;PA Library&lt;record-ids&gt;&lt;item&gt;7&lt;/item&gt;&lt;item&gt;10&lt;/item&gt;&lt;item&gt;23&lt;/item&gt;&lt;item&gt;26&lt;/item&gt;&lt;item&gt;27&lt;/item&gt;&lt;item&gt;34&lt;/item&gt;&lt;item&gt;35&lt;/item&gt;&lt;item&gt;37&lt;/item&gt;&lt;item&gt;213&lt;/item&gt;&lt;item&gt;217&lt;/item&gt;&lt;item&gt;221&lt;/item&gt;&lt;item&gt;222&lt;/item&gt;&lt;item&gt;236&lt;/item&gt;&lt;item&gt;237&lt;/item&gt;&lt;item&gt;238&lt;/item&gt;&lt;item&gt;241&lt;/item&gt;&lt;item&gt;242&lt;/item&gt;&lt;item&gt;243&lt;/item&gt;&lt;item&gt;244&lt;/item&gt;&lt;item&gt;245&lt;/item&gt;&lt;item&gt;246&lt;/item&gt;&lt;item&gt;248&lt;/item&gt;&lt;item&gt;249&lt;/item&gt;&lt;item&gt;250&lt;/item&gt;&lt;item&gt;251&lt;/item&gt;&lt;item&gt;255&lt;/item&gt;&lt;item&gt;256&lt;/item&gt;&lt;/record-ids&gt;&lt;/item&gt;&lt;/Libraries&gt;"/>
  </w:docVars>
  <w:rsids>
    <w:rsidRoot w:val="00DC5A10"/>
    <w:rsid w:val="00001B60"/>
    <w:rsid w:val="00002A22"/>
    <w:rsid w:val="0000441D"/>
    <w:rsid w:val="000056B7"/>
    <w:rsid w:val="00005976"/>
    <w:rsid w:val="0000680F"/>
    <w:rsid w:val="000120E0"/>
    <w:rsid w:val="00013FAF"/>
    <w:rsid w:val="00015E37"/>
    <w:rsid w:val="00016413"/>
    <w:rsid w:val="0002124E"/>
    <w:rsid w:val="00024DF2"/>
    <w:rsid w:val="00025089"/>
    <w:rsid w:val="00025563"/>
    <w:rsid w:val="00025B76"/>
    <w:rsid w:val="00026DEB"/>
    <w:rsid w:val="000279A0"/>
    <w:rsid w:val="00033193"/>
    <w:rsid w:val="00033736"/>
    <w:rsid w:val="00033769"/>
    <w:rsid w:val="00033D91"/>
    <w:rsid w:val="00033F01"/>
    <w:rsid w:val="0003799A"/>
    <w:rsid w:val="00041B03"/>
    <w:rsid w:val="00043F2C"/>
    <w:rsid w:val="0004505C"/>
    <w:rsid w:val="000508EA"/>
    <w:rsid w:val="0005305E"/>
    <w:rsid w:val="0005557F"/>
    <w:rsid w:val="000558F7"/>
    <w:rsid w:val="000561B9"/>
    <w:rsid w:val="00060F52"/>
    <w:rsid w:val="00060FEB"/>
    <w:rsid w:val="00061C72"/>
    <w:rsid w:val="00062DEC"/>
    <w:rsid w:val="00067794"/>
    <w:rsid w:val="000717B4"/>
    <w:rsid w:val="000725F1"/>
    <w:rsid w:val="00073AE3"/>
    <w:rsid w:val="000748F8"/>
    <w:rsid w:val="00076B36"/>
    <w:rsid w:val="00077C70"/>
    <w:rsid w:val="0008088E"/>
    <w:rsid w:val="0008385C"/>
    <w:rsid w:val="00084101"/>
    <w:rsid w:val="0008508C"/>
    <w:rsid w:val="00085C47"/>
    <w:rsid w:val="00086122"/>
    <w:rsid w:val="00093945"/>
    <w:rsid w:val="000950CF"/>
    <w:rsid w:val="0009632D"/>
    <w:rsid w:val="0009688B"/>
    <w:rsid w:val="000971D5"/>
    <w:rsid w:val="000A2052"/>
    <w:rsid w:val="000A2532"/>
    <w:rsid w:val="000A2735"/>
    <w:rsid w:val="000A2E17"/>
    <w:rsid w:val="000A37FC"/>
    <w:rsid w:val="000A3F4B"/>
    <w:rsid w:val="000A527A"/>
    <w:rsid w:val="000B184E"/>
    <w:rsid w:val="000B1CA6"/>
    <w:rsid w:val="000B1F07"/>
    <w:rsid w:val="000B4A66"/>
    <w:rsid w:val="000B51E9"/>
    <w:rsid w:val="000C05D2"/>
    <w:rsid w:val="000C2818"/>
    <w:rsid w:val="000C2D76"/>
    <w:rsid w:val="000C4A78"/>
    <w:rsid w:val="000C651E"/>
    <w:rsid w:val="000C7615"/>
    <w:rsid w:val="000D03B2"/>
    <w:rsid w:val="000D0529"/>
    <w:rsid w:val="000D1389"/>
    <w:rsid w:val="000D214A"/>
    <w:rsid w:val="000D223C"/>
    <w:rsid w:val="000D2DF2"/>
    <w:rsid w:val="000D2F98"/>
    <w:rsid w:val="000D3867"/>
    <w:rsid w:val="000E2470"/>
    <w:rsid w:val="000E4FA2"/>
    <w:rsid w:val="000E5662"/>
    <w:rsid w:val="000E7611"/>
    <w:rsid w:val="000F05C1"/>
    <w:rsid w:val="000F063D"/>
    <w:rsid w:val="000F08E0"/>
    <w:rsid w:val="000F2EAB"/>
    <w:rsid w:val="000F41BE"/>
    <w:rsid w:val="001007F2"/>
    <w:rsid w:val="00104413"/>
    <w:rsid w:val="00104BAD"/>
    <w:rsid w:val="00107431"/>
    <w:rsid w:val="001100BC"/>
    <w:rsid w:val="0011171D"/>
    <w:rsid w:val="00111A09"/>
    <w:rsid w:val="00112952"/>
    <w:rsid w:val="00112AF3"/>
    <w:rsid w:val="00114FC9"/>
    <w:rsid w:val="0011543F"/>
    <w:rsid w:val="00115EC2"/>
    <w:rsid w:val="00122360"/>
    <w:rsid w:val="0012292B"/>
    <w:rsid w:val="00123157"/>
    <w:rsid w:val="001236A9"/>
    <w:rsid w:val="00124802"/>
    <w:rsid w:val="00126806"/>
    <w:rsid w:val="00135391"/>
    <w:rsid w:val="00135409"/>
    <w:rsid w:val="00135673"/>
    <w:rsid w:val="00137F71"/>
    <w:rsid w:val="0014465B"/>
    <w:rsid w:val="001456F9"/>
    <w:rsid w:val="00152A81"/>
    <w:rsid w:val="00153E38"/>
    <w:rsid w:val="0015761F"/>
    <w:rsid w:val="00163EE5"/>
    <w:rsid w:val="00165DF2"/>
    <w:rsid w:val="0016600D"/>
    <w:rsid w:val="00167A4C"/>
    <w:rsid w:val="0017080F"/>
    <w:rsid w:val="00171F43"/>
    <w:rsid w:val="0017285E"/>
    <w:rsid w:val="0017474C"/>
    <w:rsid w:val="001749AD"/>
    <w:rsid w:val="00176183"/>
    <w:rsid w:val="001761ED"/>
    <w:rsid w:val="001802C6"/>
    <w:rsid w:val="00181986"/>
    <w:rsid w:val="0018539E"/>
    <w:rsid w:val="001861FA"/>
    <w:rsid w:val="00187691"/>
    <w:rsid w:val="00191174"/>
    <w:rsid w:val="00195DAE"/>
    <w:rsid w:val="001A03A7"/>
    <w:rsid w:val="001A0D29"/>
    <w:rsid w:val="001A44B8"/>
    <w:rsid w:val="001A4662"/>
    <w:rsid w:val="001A55F3"/>
    <w:rsid w:val="001A7C6C"/>
    <w:rsid w:val="001B000F"/>
    <w:rsid w:val="001B3180"/>
    <w:rsid w:val="001B4C4E"/>
    <w:rsid w:val="001B660D"/>
    <w:rsid w:val="001B786B"/>
    <w:rsid w:val="001C1138"/>
    <w:rsid w:val="001C2AF9"/>
    <w:rsid w:val="001C7660"/>
    <w:rsid w:val="001D01B7"/>
    <w:rsid w:val="001D1093"/>
    <w:rsid w:val="001D1D10"/>
    <w:rsid w:val="001D1E48"/>
    <w:rsid w:val="001D48AB"/>
    <w:rsid w:val="001D55FF"/>
    <w:rsid w:val="001D59E9"/>
    <w:rsid w:val="001D7EB0"/>
    <w:rsid w:val="001E00B4"/>
    <w:rsid w:val="001E0FD7"/>
    <w:rsid w:val="001E12FC"/>
    <w:rsid w:val="001E16F1"/>
    <w:rsid w:val="001E50C9"/>
    <w:rsid w:val="001E633B"/>
    <w:rsid w:val="001F0CD5"/>
    <w:rsid w:val="001F43ED"/>
    <w:rsid w:val="001F4830"/>
    <w:rsid w:val="001F4EF8"/>
    <w:rsid w:val="001F7327"/>
    <w:rsid w:val="001F7AEE"/>
    <w:rsid w:val="002009FA"/>
    <w:rsid w:val="00203967"/>
    <w:rsid w:val="0020429D"/>
    <w:rsid w:val="0020548A"/>
    <w:rsid w:val="002065D3"/>
    <w:rsid w:val="00213859"/>
    <w:rsid w:val="00214870"/>
    <w:rsid w:val="00217D9A"/>
    <w:rsid w:val="002230D1"/>
    <w:rsid w:val="0022332D"/>
    <w:rsid w:val="002242A0"/>
    <w:rsid w:val="00224568"/>
    <w:rsid w:val="002258F2"/>
    <w:rsid w:val="00225DE0"/>
    <w:rsid w:val="00227AB0"/>
    <w:rsid w:val="002332C4"/>
    <w:rsid w:val="002347AE"/>
    <w:rsid w:val="00234EC3"/>
    <w:rsid w:val="00236BC2"/>
    <w:rsid w:val="00236DDF"/>
    <w:rsid w:val="00237C0B"/>
    <w:rsid w:val="0024257F"/>
    <w:rsid w:val="00243808"/>
    <w:rsid w:val="0024530B"/>
    <w:rsid w:val="00245B61"/>
    <w:rsid w:val="00247380"/>
    <w:rsid w:val="00251F2F"/>
    <w:rsid w:val="00252C78"/>
    <w:rsid w:val="0026018F"/>
    <w:rsid w:val="00260BDA"/>
    <w:rsid w:val="00262AA3"/>
    <w:rsid w:val="00262EDD"/>
    <w:rsid w:val="002646B2"/>
    <w:rsid w:val="00266790"/>
    <w:rsid w:val="00270B9C"/>
    <w:rsid w:val="00271DE0"/>
    <w:rsid w:val="00272420"/>
    <w:rsid w:val="00273A2F"/>
    <w:rsid w:val="00275FFD"/>
    <w:rsid w:val="0027699B"/>
    <w:rsid w:val="002826D9"/>
    <w:rsid w:val="00282A09"/>
    <w:rsid w:val="00284B4D"/>
    <w:rsid w:val="00290115"/>
    <w:rsid w:val="00293577"/>
    <w:rsid w:val="002A4439"/>
    <w:rsid w:val="002A48DD"/>
    <w:rsid w:val="002A7094"/>
    <w:rsid w:val="002B0595"/>
    <w:rsid w:val="002B0BED"/>
    <w:rsid w:val="002B1675"/>
    <w:rsid w:val="002B1820"/>
    <w:rsid w:val="002B2768"/>
    <w:rsid w:val="002B3DEF"/>
    <w:rsid w:val="002C0C6C"/>
    <w:rsid w:val="002C2562"/>
    <w:rsid w:val="002C2C12"/>
    <w:rsid w:val="002C2F4A"/>
    <w:rsid w:val="002C443A"/>
    <w:rsid w:val="002C557A"/>
    <w:rsid w:val="002D21E4"/>
    <w:rsid w:val="002D3FB3"/>
    <w:rsid w:val="002D79E1"/>
    <w:rsid w:val="002E012F"/>
    <w:rsid w:val="002E0D48"/>
    <w:rsid w:val="002E0D81"/>
    <w:rsid w:val="002E3A8A"/>
    <w:rsid w:val="002E47B4"/>
    <w:rsid w:val="002E4FD7"/>
    <w:rsid w:val="002F1F7C"/>
    <w:rsid w:val="002F2715"/>
    <w:rsid w:val="002F276F"/>
    <w:rsid w:val="002F2FDD"/>
    <w:rsid w:val="002F3529"/>
    <w:rsid w:val="002F497F"/>
    <w:rsid w:val="002F771E"/>
    <w:rsid w:val="002F7C71"/>
    <w:rsid w:val="0030034B"/>
    <w:rsid w:val="00304D0B"/>
    <w:rsid w:val="003051DB"/>
    <w:rsid w:val="0030684F"/>
    <w:rsid w:val="00310B01"/>
    <w:rsid w:val="0031101A"/>
    <w:rsid w:val="00311582"/>
    <w:rsid w:val="00312510"/>
    <w:rsid w:val="00314E41"/>
    <w:rsid w:val="00315426"/>
    <w:rsid w:val="003206A3"/>
    <w:rsid w:val="00322490"/>
    <w:rsid w:val="00322A6E"/>
    <w:rsid w:val="00327A55"/>
    <w:rsid w:val="00327E41"/>
    <w:rsid w:val="00332152"/>
    <w:rsid w:val="003322D7"/>
    <w:rsid w:val="0033627D"/>
    <w:rsid w:val="003363D8"/>
    <w:rsid w:val="00336408"/>
    <w:rsid w:val="003373AC"/>
    <w:rsid w:val="0033761C"/>
    <w:rsid w:val="003417EF"/>
    <w:rsid w:val="003441AA"/>
    <w:rsid w:val="00344AB1"/>
    <w:rsid w:val="003469DC"/>
    <w:rsid w:val="00347356"/>
    <w:rsid w:val="003513F1"/>
    <w:rsid w:val="00352D92"/>
    <w:rsid w:val="003532E7"/>
    <w:rsid w:val="0035349E"/>
    <w:rsid w:val="003558DF"/>
    <w:rsid w:val="00361154"/>
    <w:rsid w:val="00361E69"/>
    <w:rsid w:val="00367992"/>
    <w:rsid w:val="00370E70"/>
    <w:rsid w:val="0037155A"/>
    <w:rsid w:val="00371EB3"/>
    <w:rsid w:val="00371F0A"/>
    <w:rsid w:val="00372663"/>
    <w:rsid w:val="00372DE5"/>
    <w:rsid w:val="00374816"/>
    <w:rsid w:val="0037591D"/>
    <w:rsid w:val="00381636"/>
    <w:rsid w:val="003831C5"/>
    <w:rsid w:val="00384A01"/>
    <w:rsid w:val="00385B63"/>
    <w:rsid w:val="00387A34"/>
    <w:rsid w:val="00391055"/>
    <w:rsid w:val="00391BD7"/>
    <w:rsid w:val="0039223B"/>
    <w:rsid w:val="00393159"/>
    <w:rsid w:val="0039362A"/>
    <w:rsid w:val="00395492"/>
    <w:rsid w:val="003A2740"/>
    <w:rsid w:val="003A322E"/>
    <w:rsid w:val="003A570B"/>
    <w:rsid w:val="003A5D1E"/>
    <w:rsid w:val="003A77E4"/>
    <w:rsid w:val="003B3B54"/>
    <w:rsid w:val="003B3C78"/>
    <w:rsid w:val="003B5DA5"/>
    <w:rsid w:val="003B614C"/>
    <w:rsid w:val="003B630C"/>
    <w:rsid w:val="003B74FA"/>
    <w:rsid w:val="003C2DE3"/>
    <w:rsid w:val="003C74AA"/>
    <w:rsid w:val="003C79EB"/>
    <w:rsid w:val="003D050C"/>
    <w:rsid w:val="003D3919"/>
    <w:rsid w:val="003D3DA5"/>
    <w:rsid w:val="003D74AF"/>
    <w:rsid w:val="003E0833"/>
    <w:rsid w:val="003E617F"/>
    <w:rsid w:val="003E6CFC"/>
    <w:rsid w:val="003E703F"/>
    <w:rsid w:val="003E7C78"/>
    <w:rsid w:val="003F0C51"/>
    <w:rsid w:val="003F1775"/>
    <w:rsid w:val="003F269E"/>
    <w:rsid w:val="003F28DF"/>
    <w:rsid w:val="003F3931"/>
    <w:rsid w:val="003F58FA"/>
    <w:rsid w:val="004000D8"/>
    <w:rsid w:val="00400D5C"/>
    <w:rsid w:val="004058F4"/>
    <w:rsid w:val="004122D3"/>
    <w:rsid w:val="00412B1C"/>
    <w:rsid w:val="00412D75"/>
    <w:rsid w:val="00412F4B"/>
    <w:rsid w:val="00414933"/>
    <w:rsid w:val="00414F5D"/>
    <w:rsid w:val="00415406"/>
    <w:rsid w:val="004162B4"/>
    <w:rsid w:val="00416673"/>
    <w:rsid w:val="004173CE"/>
    <w:rsid w:val="00420393"/>
    <w:rsid w:val="00422F02"/>
    <w:rsid w:val="00424539"/>
    <w:rsid w:val="00427117"/>
    <w:rsid w:val="00432A18"/>
    <w:rsid w:val="00433EA9"/>
    <w:rsid w:val="004346E8"/>
    <w:rsid w:val="00434FB3"/>
    <w:rsid w:val="004355EC"/>
    <w:rsid w:val="0043652B"/>
    <w:rsid w:val="00437951"/>
    <w:rsid w:val="00437DD7"/>
    <w:rsid w:val="0044138C"/>
    <w:rsid w:val="004431F8"/>
    <w:rsid w:val="0044353C"/>
    <w:rsid w:val="00444E43"/>
    <w:rsid w:val="00445C85"/>
    <w:rsid w:val="00446E34"/>
    <w:rsid w:val="0044747A"/>
    <w:rsid w:val="00450C8C"/>
    <w:rsid w:val="00450EDB"/>
    <w:rsid w:val="0045322E"/>
    <w:rsid w:val="00455E76"/>
    <w:rsid w:val="004566D0"/>
    <w:rsid w:val="00456EC8"/>
    <w:rsid w:val="004628F0"/>
    <w:rsid w:val="00464502"/>
    <w:rsid w:val="00465D6E"/>
    <w:rsid w:val="00467839"/>
    <w:rsid w:val="00472892"/>
    <w:rsid w:val="00472B1D"/>
    <w:rsid w:val="004734CD"/>
    <w:rsid w:val="00473D92"/>
    <w:rsid w:val="0047460E"/>
    <w:rsid w:val="00474BE5"/>
    <w:rsid w:val="00477547"/>
    <w:rsid w:val="004801D4"/>
    <w:rsid w:val="0048377A"/>
    <w:rsid w:val="0048465E"/>
    <w:rsid w:val="00486EBC"/>
    <w:rsid w:val="00487460"/>
    <w:rsid w:val="0049128E"/>
    <w:rsid w:val="0049362B"/>
    <w:rsid w:val="004943D2"/>
    <w:rsid w:val="00494F95"/>
    <w:rsid w:val="00496F68"/>
    <w:rsid w:val="00496FF9"/>
    <w:rsid w:val="00497DAC"/>
    <w:rsid w:val="004A08CE"/>
    <w:rsid w:val="004A0A24"/>
    <w:rsid w:val="004A1B0E"/>
    <w:rsid w:val="004A2BEC"/>
    <w:rsid w:val="004A341E"/>
    <w:rsid w:val="004A4AE8"/>
    <w:rsid w:val="004A6417"/>
    <w:rsid w:val="004A6B7D"/>
    <w:rsid w:val="004A7C27"/>
    <w:rsid w:val="004A7C5C"/>
    <w:rsid w:val="004B3728"/>
    <w:rsid w:val="004B764D"/>
    <w:rsid w:val="004B7BEA"/>
    <w:rsid w:val="004C4B0C"/>
    <w:rsid w:val="004C682C"/>
    <w:rsid w:val="004C70E7"/>
    <w:rsid w:val="004D05BD"/>
    <w:rsid w:val="004D06D9"/>
    <w:rsid w:val="004D0940"/>
    <w:rsid w:val="004D0DB1"/>
    <w:rsid w:val="004D0F1A"/>
    <w:rsid w:val="004D37F1"/>
    <w:rsid w:val="004D3E2F"/>
    <w:rsid w:val="004D463D"/>
    <w:rsid w:val="004D70F4"/>
    <w:rsid w:val="004E13B4"/>
    <w:rsid w:val="004E2C04"/>
    <w:rsid w:val="004E3D56"/>
    <w:rsid w:val="004E45E4"/>
    <w:rsid w:val="004E58B9"/>
    <w:rsid w:val="004F0975"/>
    <w:rsid w:val="004F248F"/>
    <w:rsid w:val="004F2BF6"/>
    <w:rsid w:val="004F3FE9"/>
    <w:rsid w:val="004F6F5B"/>
    <w:rsid w:val="004F746F"/>
    <w:rsid w:val="0050021E"/>
    <w:rsid w:val="005004CF"/>
    <w:rsid w:val="00502C37"/>
    <w:rsid w:val="005036BF"/>
    <w:rsid w:val="005051AA"/>
    <w:rsid w:val="00506274"/>
    <w:rsid w:val="00510911"/>
    <w:rsid w:val="0051315B"/>
    <w:rsid w:val="00513705"/>
    <w:rsid w:val="00513756"/>
    <w:rsid w:val="00515C0E"/>
    <w:rsid w:val="005200F9"/>
    <w:rsid w:val="00522837"/>
    <w:rsid w:val="00526242"/>
    <w:rsid w:val="00526518"/>
    <w:rsid w:val="005276C8"/>
    <w:rsid w:val="00532207"/>
    <w:rsid w:val="005326BC"/>
    <w:rsid w:val="00536B20"/>
    <w:rsid w:val="00536CE9"/>
    <w:rsid w:val="00540683"/>
    <w:rsid w:val="00540FEE"/>
    <w:rsid w:val="00541B0B"/>
    <w:rsid w:val="00541D41"/>
    <w:rsid w:val="005424AD"/>
    <w:rsid w:val="00542863"/>
    <w:rsid w:val="005445E1"/>
    <w:rsid w:val="00545C23"/>
    <w:rsid w:val="00545F6A"/>
    <w:rsid w:val="00551791"/>
    <w:rsid w:val="00553DF3"/>
    <w:rsid w:val="0055450E"/>
    <w:rsid w:val="00556903"/>
    <w:rsid w:val="005622A0"/>
    <w:rsid w:val="005629E9"/>
    <w:rsid w:val="00563898"/>
    <w:rsid w:val="00564341"/>
    <w:rsid w:val="005658D1"/>
    <w:rsid w:val="005679B7"/>
    <w:rsid w:val="00572B7D"/>
    <w:rsid w:val="005738FE"/>
    <w:rsid w:val="005758D8"/>
    <w:rsid w:val="0057599E"/>
    <w:rsid w:val="00581BDA"/>
    <w:rsid w:val="00582D41"/>
    <w:rsid w:val="005866E5"/>
    <w:rsid w:val="00586DD2"/>
    <w:rsid w:val="00587CEA"/>
    <w:rsid w:val="005906AB"/>
    <w:rsid w:val="005928F4"/>
    <w:rsid w:val="00593076"/>
    <w:rsid w:val="005974EB"/>
    <w:rsid w:val="005A13CA"/>
    <w:rsid w:val="005A1E6B"/>
    <w:rsid w:val="005A2B79"/>
    <w:rsid w:val="005A34A2"/>
    <w:rsid w:val="005A3C2A"/>
    <w:rsid w:val="005A5C35"/>
    <w:rsid w:val="005A5D23"/>
    <w:rsid w:val="005B27AD"/>
    <w:rsid w:val="005B3980"/>
    <w:rsid w:val="005B7626"/>
    <w:rsid w:val="005B7DB9"/>
    <w:rsid w:val="005C3B5C"/>
    <w:rsid w:val="005C4180"/>
    <w:rsid w:val="005C55C3"/>
    <w:rsid w:val="005C73E7"/>
    <w:rsid w:val="005C7FDF"/>
    <w:rsid w:val="005D15DB"/>
    <w:rsid w:val="005D21BF"/>
    <w:rsid w:val="005D2A9D"/>
    <w:rsid w:val="005D4A81"/>
    <w:rsid w:val="005D4C20"/>
    <w:rsid w:val="005D4CF2"/>
    <w:rsid w:val="005D4E92"/>
    <w:rsid w:val="005D5784"/>
    <w:rsid w:val="005D5EFF"/>
    <w:rsid w:val="005D5F07"/>
    <w:rsid w:val="005D6C88"/>
    <w:rsid w:val="005D76D1"/>
    <w:rsid w:val="005D780C"/>
    <w:rsid w:val="005E22E3"/>
    <w:rsid w:val="005E31DB"/>
    <w:rsid w:val="005E345A"/>
    <w:rsid w:val="005E40C4"/>
    <w:rsid w:val="005E4165"/>
    <w:rsid w:val="005E4792"/>
    <w:rsid w:val="005E6284"/>
    <w:rsid w:val="005E6D9C"/>
    <w:rsid w:val="005F0A41"/>
    <w:rsid w:val="005F0AAA"/>
    <w:rsid w:val="005F0D3D"/>
    <w:rsid w:val="005F160E"/>
    <w:rsid w:val="005F2DE4"/>
    <w:rsid w:val="005F3F02"/>
    <w:rsid w:val="005F53E2"/>
    <w:rsid w:val="005F6CE3"/>
    <w:rsid w:val="005F7169"/>
    <w:rsid w:val="006001BB"/>
    <w:rsid w:val="00601756"/>
    <w:rsid w:val="00602FEA"/>
    <w:rsid w:val="006031B7"/>
    <w:rsid w:val="00603573"/>
    <w:rsid w:val="006041AA"/>
    <w:rsid w:val="006047E7"/>
    <w:rsid w:val="00606FBC"/>
    <w:rsid w:val="0060782B"/>
    <w:rsid w:val="00610721"/>
    <w:rsid w:val="00612623"/>
    <w:rsid w:val="00615F63"/>
    <w:rsid w:val="00617352"/>
    <w:rsid w:val="00620064"/>
    <w:rsid w:val="00622F57"/>
    <w:rsid w:val="00625759"/>
    <w:rsid w:val="006267F7"/>
    <w:rsid w:val="00626F5C"/>
    <w:rsid w:val="006335F3"/>
    <w:rsid w:val="00634691"/>
    <w:rsid w:val="00635902"/>
    <w:rsid w:val="006429BF"/>
    <w:rsid w:val="00642C17"/>
    <w:rsid w:val="0064757E"/>
    <w:rsid w:val="006530BB"/>
    <w:rsid w:val="00653FBD"/>
    <w:rsid w:val="00653FF8"/>
    <w:rsid w:val="00654258"/>
    <w:rsid w:val="006557A3"/>
    <w:rsid w:val="00655D95"/>
    <w:rsid w:val="00656B5A"/>
    <w:rsid w:val="00665781"/>
    <w:rsid w:val="006672C6"/>
    <w:rsid w:val="0067188D"/>
    <w:rsid w:val="0067260C"/>
    <w:rsid w:val="00677E51"/>
    <w:rsid w:val="0068189B"/>
    <w:rsid w:val="00682A69"/>
    <w:rsid w:val="00685615"/>
    <w:rsid w:val="006875B7"/>
    <w:rsid w:val="0069037D"/>
    <w:rsid w:val="0069083A"/>
    <w:rsid w:val="006910FA"/>
    <w:rsid w:val="0069117F"/>
    <w:rsid w:val="00694AF7"/>
    <w:rsid w:val="00695460"/>
    <w:rsid w:val="00695AAC"/>
    <w:rsid w:val="0069743F"/>
    <w:rsid w:val="006A1CD8"/>
    <w:rsid w:val="006A35B9"/>
    <w:rsid w:val="006B2692"/>
    <w:rsid w:val="006B54EE"/>
    <w:rsid w:val="006B5B54"/>
    <w:rsid w:val="006C09E8"/>
    <w:rsid w:val="006C2157"/>
    <w:rsid w:val="006C4D0E"/>
    <w:rsid w:val="006C52CA"/>
    <w:rsid w:val="006C5B42"/>
    <w:rsid w:val="006C6485"/>
    <w:rsid w:val="006C6863"/>
    <w:rsid w:val="006C7084"/>
    <w:rsid w:val="006C7962"/>
    <w:rsid w:val="006D0968"/>
    <w:rsid w:val="006D1AB9"/>
    <w:rsid w:val="006D21A0"/>
    <w:rsid w:val="006D2DEE"/>
    <w:rsid w:val="006D42A3"/>
    <w:rsid w:val="006D51CB"/>
    <w:rsid w:val="006D7093"/>
    <w:rsid w:val="006D7727"/>
    <w:rsid w:val="006E0517"/>
    <w:rsid w:val="006E2A72"/>
    <w:rsid w:val="006E35A7"/>
    <w:rsid w:val="006E6A1F"/>
    <w:rsid w:val="006E7CD3"/>
    <w:rsid w:val="006F0B21"/>
    <w:rsid w:val="006F3D90"/>
    <w:rsid w:val="006F3F6A"/>
    <w:rsid w:val="006F4002"/>
    <w:rsid w:val="006F449D"/>
    <w:rsid w:val="006F5851"/>
    <w:rsid w:val="006F7CA7"/>
    <w:rsid w:val="007021EA"/>
    <w:rsid w:val="00702464"/>
    <w:rsid w:val="007036CE"/>
    <w:rsid w:val="00705086"/>
    <w:rsid w:val="00705196"/>
    <w:rsid w:val="0070575C"/>
    <w:rsid w:val="00706CFB"/>
    <w:rsid w:val="0071232B"/>
    <w:rsid w:val="007145B1"/>
    <w:rsid w:val="00720FF7"/>
    <w:rsid w:val="00722B80"/>
    <w:rsid w:val="00723D75"/>
    <w:rsid w:val="00723E0A"/>
    <w:rsid w:val="00725264"/>
    <w:rsid w:val="00725BBA"/>
    <w:rsid w:val="00727B15"/>
    <w:rsid w:val="00730420"/>
    <w:rsid w:val="0073387D"/>
    <w:rsid w:val="00733B3B"/>
    <w:rsid w:val="0073515B"/>
    <w:rsid w:val="00740AE2"/>
    <w:rsid w:val="00747782"/>
    <w:rsid w:val="007506A7"/>
    <w:rsid w:val="00750B25"/>
    <w:rsid w:val="0075449D"/>
    <w:rsid w:val="0075473B"/>
    <w:rsid w:val="00757D97"/>
    <w:rsid w:val="0076057B"/>
    <w:rsid w:val="00760B7F"/>
    <w:rsid w:val="00762852"/>
    <w:rsid w:val="00764F0E"/>
    <w:rsid w:val="00764F56"/>
    <w:rsid w:val="007656CB"/>
    <w:rsid w:val="0076617B"/>
    <w:rsid w:val="00770977"/>
    <w:rsid w:val="00772AFB"/>
    <w:rsid w:val="00773430"/>
    <w:rsid w:val="007739FB"/>
    <w:rsid w:val="007755E1"/>
    <w:rsid w:val="0077690D"/>
    <w:rsid w:val="007776BE"/>
    <w:rsid w:val="00777D06"/>
    <w:rsid w:val="00780749"/>
    <w:rsid w:val="007822A6"/>
    <w:rsid w:val="0078340B"/>
    <w:rsid w:val="007836DE"/>
    <w:rsid w:val="00784D9A"/>
    <w:rsid w:val="00793367"/>
    <w:rsid w:val="0079412D"/>
    <w:rsid w:val="00794230"/>
    <w:rsid w:val="00794737"/>
    <w:rsid w:val="00795F16"/>
    <w:rsid w:val="007A12D1"/>
    <w:rsid w:val="007A18FA"/>
    <w:rsid w:val="007A2B95"/>
    <w:rsid w:val="007A4501"/>
    <w:rsid w:val="007A4A43"/>
    <w:rsid w:val="007A5328"/>
    <w:rsid w:val="007A5B0C"/>
    <w:rsid w:val="007A6658"/>
    <w:rsid w:val="007A735C"/>
    <w:rsid w:val="007B27A5"/>
    <w:rsid w:val="007B2EF4"/>
    <w:rsid w:val="007B4340"/>
    <w:rsid w:val="007C1F6F"/>
    <w:rsid w:val="007C295D"/>
    <w:rsid w:val="007C4B40"/>
    <w:rsid w:val="007C4CBA"/>
    <w:rsid w:val="007C7BC6"/>
    <w:rsid w:val="007D0638"/>
    <w:rsid w:val="007D08EE"/>
    <w:rsid w:val="007D1B7F"/>
    <w:rsid w:val="007D2B61"/>
    <w:rsid w:val="007D5296"/>
    <w:rsid w:val="007D57DB"/>
    <w:rsid w:val="007D6420"/>
    <w:rsid w:val="007D6A5F"/>
    <w:rsid w:val="007E1508"/>
    <w:rsid w:val="007E278E"/>
    <w:rsid w:val="007E2879"/>
    <w:rsid w:val="007E3A8C"/>
    <w:rsid w:val="007E411A"/>
    <w:rsid w:val="007E4324"/>
    <w:rsid w:val="007E7230"/>
    <w:rsid w:val="007F09C6"/>
    <w:rsid w:val="007F2648"/>
    <w:rsid w:val="007F4C3E"/>
    <w:rsid w:val="007F5E5C"/>
    <w:rsid w:val="007F60D5"/>
    <w:rsid w:val="007F74FF"/>
    <w:rsid w:val="007F7A82"/>
    <w:rsid w:val="007F7D73"/>
    <w:rsid w:val="00800F24"/>
    <w:rsid w:val="008036DE"/>
    <w:rsid w:val="008036E7"/>
    <w:rsid w:val="00803939"/>
    <w:rsid w:val="00803CD5"/>
    <w:rsid w:val="00804041"/>
    <w:rsid w:val="00806048"/>
    <w:rsid w:val="0080610C"/>
    <w:rsid w:val="008068CB"/>
    <w:rsid w:val="00806F57"/>
    <w:rsid w:val="0080784E"/>
    <w:rsid w:val="00810DC2"/>
    <w:rsid w:val="00814F82"/>
    <w:rsid w:val="008151E7"/>
    <w:rsid w:val="008167FE"/>
    <w:rsid w:val="00820899"/>
    <w:rsid w:val="008208D4"/>
    <w:rsid w:val="00821003"/>
    <w:rsid w:val="008214AE"/>
    <w:rsid w:val="008221B3"/>
    <w:rsid w:val="0082395C"/>
    <w:rsid w:val="00824FA3"/>
    <w:rsid w:val="00830CB3"/>
    <w:rsid w:val="00832EFA"/>
    <w:rsid w:val="008334AE"/>
    <w:rsid w:val="00836516"/>
    <w:rsid w:val="00837276"/>
    <w:rsid w:val="00840701"/>
    <w:rsid w:val="00840DED"/>
    <w:rsid w:val="0084111D"/>
    <w:rsid w:val="00841A65"/>
    <w:rsid w:val="00842222"/>
    <w:rsid w:val="0084223F"/>
    <w:rsid w:val="008426A1"/>
    <w:rsid w:val="008461F6"/>
    <w:rsid w:val="00847922"/>
    <w:rsid w:val="00852323"/>
    <w:rsid w:val="0085337D"/>
    <w:rsid w:val="00853381"/>
    <w:rsid w:val="008600B1"/>
    <w:rsid w:val="00861694"/>
    <w:rsid w:val="0086179C"/>
    <w:rsid w:val="00865574"/>
    <w:rsid w:val="00865992"/>
    <w:rsid w:val="00866A57"/>
    <w:rsid w:val="00867E49"/>
    <w:rsid w:val="0087030B"/>
    <w:rsid w:val="00871F0B"/>
    <w:rsid w:val="0087448D"/>
    <w:rsid w:val="00876471"/>
    <w:rsid w:val="00876980"/>
    <w:rsid w:val="00880653"/>
    <w:rsid w:val="00882812"/>
    <w:rsid w:val="00882F51"/>
    <w:rsid w:val="008854A0"/>
    <w:rsid w:val="00885F9C"/>
    <w:rsid w:val="00892ED0"/>
    <w:rsid w:val="0089370F"/>
    <w:rsid w:val="008937D0"/>
    <w:rsid w:val="008947CC"/>
    <w:rsid w:val="00896D5C"/>
    <w:rsid w:val="008A0301"/>
    <w:rsid w:val="008A1C2C"/>
    <w:rsid w:val="008B25CB"/>
    <w:rsid w:val="008B4F24"/>
    <w:rsid w:val="008B5708"/>
    <w:rsid w:val="008B6754"/>
    <w:rsid w:val="008B6D1F"/>
    <w:rsid w:val="008B703A"/>
    <w:rsid w:val="008C027E"/>
    <w:rsid w:val="008C12B4"/>
    <w:rsid w:val="008C1AB9"/>
    <w:rsid w:val="008C1F91"/>
    <w:rsid w:val="008C3549"/>
    <w:rsid w:val="008C4174"/>
    <w:rsid w:val="008C6994"/>
    <w:rsid w:val="008C7137"/>
    <w:rsid w:val="008D0464"/>
    <w:rsid w:val="008D0961"/>
    <w:rsid w:val="008D3EF8"/>
    <w:rsid w:val="008D4F2E"/>
    <w:rsid w:val="008D57ED"/>
    <w:rsid w:val="008E07C7"/>
    <w:rsid w:val="008E2DAC"/>
    <w:rsid w:val="008E30B6"/>
    <w:rsid w:val="008E3586"/>
    <w:rsid w:val="008E3FD9"/>
    <w:rsid w:val="008F06FF"/>
    <w:rsid w:val="008F138D"/>
    <w:rsid w:val="008F1822"/>
    <w:rsid w:val="008F302D"/>
    <w:rsid w:val="008F3422"/>
    <w:rsid w:val="008F3E7B"/>
    <w:rsid w:val="008F6CA6"/>
    <w:rsid w:val="00904E0E"/>
    <w:rsid w:val="009056E5"/>
    <w:rsid w:val="00913F65"/>
    <w:rsid w:val="00916F13"/>
    <w:rsid w:val="0092091F"/>
    <w:rsid w:val="0092249E"/>
    <w:rsid w:val="00930677"/>
    <w:rsid w:val="00932B85"/>
    <w:rsid w:val="00932F01"/>
    <w:rsid w:val="00933904"/>
    <w:rsid w:val="00933906"/>
    <w:rsid w:val="00933CA3"/>
    <w:rsid w:val="009353CB"/>
    <w:rsid w:val="00935AAE"/>
    <w:rsid w:val="00935B27"/>
    <w:rsid w:val="00940407"/>
    <w:rsid w:val="00941331"/>
    <w:rsid w:val="0094243D"/>
    <w:rsid w:val="009424D2"/>
    <w:rsid w:val="009458D0"/>
    <w:rsid w:val="009502A6"/>
    <w:rsid w:val="009515D1"/>
    <w:rsid w:val="009550B9"/>
    <w:rsid w:val="00955637"/>
    <w:rsid w:val="00955B86"/>
    <w:rsid w:val="00956A36"/>
    <w:rsid w:val="00957CE0"/>
    <w:rsid w:val="009650AA"/>
    <w:rsid w:val="00965B91"/>
    <w:rsid w:val="00965C7D"/>
    <w:rsid w:val="00966577"/>
    <w:rsid w:val="00971E27"/>
    <w:rsid w:val="009754A9"/>
    <w:rsid w:val="00976006"/>
    <w:rsid w:val="00977E68"/>
    <w:rsid w:val="00980442"/>
    <w:rsid w:val="00981EE8"/>
    <w:rsid w:val="0098418A"/>
    <w:rsid w:val="00984886"/>
    <w:rsid w:val="00987BFD"/>
    <w:rsid w:val="00987D9D"/>
    <w:rsid w:val="0099175C"/>
    <w:rsid w:val="0099227F"/>
    <w:rsid w:val="00992962"/>
    <w:rsid w:val="00995B50"/>
    <w:rsid w:val="00995D8B"/>
    <w:rsid w:val="00995E75"/>
    <w:rsid w:val="009961A0"/>
    <w:rsid w:val="009964DC"/>
    <w:rsid w:val="00996B08"/>
    <w:rsid w:val="009A12DA"/>
    <w:rsid w:val="009A2E87"/>
    <w:rsid w:val="009A3138"/>
    <w:rsid w:val="009A3CDC"/>
    <w:rsid w:val="009A507C"/>
    <w:rsid w:val="009A5945"/>
    <w:rsid w:val="009A5E49"/>
    <w:rsid w:val="009A699B"/>
    <w:rsid w:val="009A76C3"/>
    <w:rsid w:val="009B0048"/>
    <w:rsid w:val="009B22F4"/>
    <w:rsid w:val="009B3805"/>
    <w:rsid w:val="009B4467"/>
    <w:rsid w:val="009B5485"/>
    <w:rsid w:val="009B5ACD"/>
    <w:rsid w:val="009B748B"/>
    <w:rsid w:val="009B7743"/>
    <w:rsid w:val="009C0D26"/>
    <w:rsid w:val="009C1C1C"/>
    <w:rsid w:val="009C4E28"/>
    <w:rsid w:val="009C5885"/>
    <w:rsid w:val="009C6E35"/>
    <w:rsid w:val="009C74A4"/>
    <w:rsid w:val="009D0E0C"/>
    <w:rsid w:val="009D13CA"/>
    <w:rsid w:val="009D15A9"/>
    <w:rsid w:val="009D19C7"/>
    <w:rsid w:val="009D505C"/>
    <w:rsid w:val="009E3458"/>
    <w:rsid w:val="009E5509"/>
    <w:rsid w:val="009E67CD"/>
    <w:rsid w:val="009F0AC4"/>
    <w:rsid w:val="009F244C"/>
    <w:rsid w:val="009F3790"/>
    <w:rsid w:val="009F4227"/>
    <w:rsid w:val="009F54C3"/>
    <w:rsid w:val="009F57C0"/>
    <w:rsid w:val="009F6829"/>
    <w:rsid w:val="009F6E77"/>
    <w:rsid w:val="009F7154"/>
    <w:rsid w:val="00A00D90"/>
    <w:rsid w:val="00A038FC"/>
    <w:rsid w:val="00A1449C"/>
    <w:rsid w:val="00A147F2"/>
    <w:rsid w:val="00A15272"/>
    <w:rsid w:val="00A16C29"/>
    <w:rsid w:val="00A2125A"/>
    <w:rsid w:val="00A22281"/>
    <w:rsid w:val="00A244B1"/>
    <w:rsid w:val="00A25236"/>
    <w:rsid w:val="00A25E56"/>
    <w:rsid w:val="00A27564"/>
    <w:rsid w:val="00A302C5"/>
    <w:rsid w:val="00A30B78"/>
    <w:rsid w:val="00A33048"/>
    <w:rsid w:val="00A351AA"/>
    <w:rsid w:val="00A359B3"/>
    <w:rsid w:val="00A37C30"/>
    <w:rsid w:val="00A40AF3"/>
    <w:rsid w:val="00A41EEF"/>
    <w:rsid w:val="00A41FFF"/>
    <w:rsid w:val="00A438B6"/>
    <w:rsid w:val="00A46DA3"/>
    <w:rsid w:val="00A516FE"/>
    <w:rsid w:val="00A52E6F"/>
    <w:rsid w:val="00A5377A"/>
    <w:rsid w:val="00A53F06"/>
    <w:rsid w:val="00A543D6"/>
    <w:rsid w:val="00A54892"/>
    <w:rsid w:val="00A54CA1"/>
    <w:rsid w:val="00A5707B"/>
    <w:rsid w:val="00A60A44"/>
    <w:rsid w:val="00A60B88"/>
    <w:rsid w:val="00A6178E"/>
    <w:rsid w:val="00A625DC"/>
    <w:rsid w:val="00A65EA1"/>
    <w:rsid w:val="00A67C48"/>
    <w:rsid w:val="00A70B22"/>
    <w:rsid w:val="00A7306F"/>
    <w:rsid w:val="00A7342C"/>
    <w:rsid w:val="00A73596"/>
    <w:rsid w:val="00A7375C"/>
    <w:rsid w:val="00A74D0E"/>
    <w:rsid w:val="00A76753"/>
    <w:rsid w:val="00A807D6"/>
    <w:rsid w:val="00A85BDF"/>
    <w:rsid w:val="00A8632F"/>
    <w:rsid w:val="00A90213"/>
    <w:rsid w:val="00A907E2"/>
    <w:rsid w:val="00A90AB5"/>
    <w:rsid w:val="00A90AC4"/>
    <w:rsid w:val="00A90DF5"/>
    <w:rsid w:val="00A91074"/>
    <w:rsid w:val="00A92638"/>
    <w:rsid w:val="00A9312C"/>
    <w:rsid w:val="00A93ADC"/>
    <w:rsid w:val="00A95153"/>
    <w:rsid w:val="00A95AE7"/>
    <w:rsid w:val="00AA0E26"/>
    <w:rsid w:val="00AA122A"/>
    <w:rsid w:val="00AA4EDC"/>
    <w:rsid w:val="00AA52EB"/>
    <w:rsid w:val="00AA5345"/>
    <w:rsid w:val="00AA6711"/>
    <w:rsid w:val="00AB209E"/>
    <w:rsid w:val="00AB24F0"/>
    <w:rsid w:val="00AB3228"/>
    <w:rsid w:val="00AB3969"/>
    <w:rsid w:val="00AB6329"/>
    <w:rsid w:val="00AB6682"/>
    <w:rsid w:val="00AB6772"/>
    <w:rsid w:val="00AB6C8A"/>
    <w:rsid w:val="00AB6E33"/>
    <w:rsid w:val="00AC31FA"/>
    <w:rsid w:val="00AC3D74"/>
    <w:rsid w:val="00AC4974"/>
    <w:rsid w:val="00AC59CF"/>
    <w:rsid w:val="00AC686E"/>
    <w:rsid w:val="00AC6BC7"/>
    <w:rsid w:val="00AD11CB"/>
    <w:rsid w:val="00AD1348"/>
    <w:rsid w:val="00AD3487"/>
    <w:rsid w:val="00AD467E"/>
    <w:rsid w:val="00AD64A1"/>
    <w:rsid w:val="00AE7626"/>
    <w:rsid w:val="00AF0438"/>
    <w:rsid w:val="00AF24B1"/>
    <w:rsid w:val="00AF2B9F"/>
    <w:rsid w:val="00AF584E"/>
    <w:rsid w:val="00AF6C21"/>
    <w:rsid w:val="00B0199D"/>
    <w:rsid w:val="00B02C67"/>
    <w:rsid w:val="00B040CC"/>
    <w:rsid w:val="00B0744B"/>
    <w:rsid w:val="00B10BA9"/>
    <w:rsid w:val="00B1147D"/>
    <w:rsid w:val="00B14AA6"/>
    <w:rsid w:val="00B15CFB"/>
    <w:rsid w:val="00B16181"/>
    <w:rsid w:val="00B1783B"/>
    <w:rsid w:val="00B178FA"/>
    <w:rsid w:val="00B21D3E"/>
    <w:rsid w:val="00B22E3B"/>
    <w:rsid w:val="00B23AC2"/>
    <w:rsid w:val="00B30C6F"/>
    <w:rsid w:val="00B31EDA"/>
    <w:rsid w:val="00B3477A"/>
    <w:rsid w:val="00B36EEF"/>
    <w:rsid w:val="00B40CF1"/>
    <w:rsid w:val="00B41460"/>
    <w:rsid w:val="00B4207A"/>
    <w:rsid w:val="00B43B33"/>
    <w:rsid w:val="00B442F1"/>
    <w:rsid w:val="00B45350"/>
    <w:rsid w:val="00B50709"/>
    <w:rsid w:val="00B51316"/>
    <w:rsid w:val="00B5397E"/>
    <w:rsid w:val="00B54FA9"/>
    <w:rsid w:val="00B551AF"/>
    <w:rsid w:val="00B56415"/>
    <w:rsid w:val="00B56AAB"/>
    <w:rsid w:val="00B56FC7"/>
    <w:rsid w:val="00B57DF8"/>
    <w:rsid w:val="00B60A08"/>
    <w:rsid w:val="00B60B3A"/>
    <w:rsid w:val="00B635D5"/>
    <w:rsid w:val="00B63C20"/>
    <w:rsid w:val="00B6582D"/>
    <w:rsid w:val="00B6670D"/>
    <w:rsid w:val="00B70024"/>
    <w:rsid w:val="00B732DC"/>
    <w:rsid w:val="00B73AB2"/>
    <w:rsid w:val="00B740F9"/>
    <w:rsid w:val="00B74776"/>
    <w:rsid w:val="00B75A21"/>
    <w:rsid w:val="00B77E83"/>
    <w:rsid w:val="00B8272C"/>
    <w:rsid w:val="00B8278E"/>
    <w:rsid w:val="00B8283A"/>
    <w:rsid w:val="00B82A60"/>
    <w:rsid w:val="00B82EF7"/>
    <w:rsid w:val="00B86313"/>
    <w:rsid w:val="00B8692B"/>
    <w:rsid w:val="00B905D2"/>
    <w:rsid w:val="00B915DA"/>
    <w:rsid w:val="00B9213B"/>
    <w:rsid w:val="00B92243"/>
    <w:rsid w:val="00B949DD"/>
    <w:rsid w:val="00B95A7A"/>
    <w:rsid w:val="00B95E2D"/>
    <w:rsid w:val="00B978E2"/>
    <w:rsid w:val="00BA0A8C"/>
    <w:rsid w:val="00BA2613"/>
    <w:rsid w:val="00BA311D"/>
    <w:rsid w:val="00BA35BC"/>
    <w:rsid w:val="00BA3EAF"/>
    <w:rsid w:val="00BA401F"/>
    <w:rsid w:val="00BA660F"/>
    <w:rsid w:val="00BB1132"/>
    <w:rsid w:val="00BB581A"/>
    <w:rsid w:val="00BC1135"/>
    <w:rsid w:val="00BC211B"/>
    <w:rsid w:val="00BC2588"/>
    <w:rsid w:val="00BC39B0"/>
    <w:rsid w:val="00BC3B6A"/>
    <w:rsid w:val="00BC4194"/>
    <w:rsid w:val="00BC481C"/>
    <w:rsid w:val="00BD1142"/>
    <w:rsid w:val="00BD205A"/>
    <w:rsid w:val="00BD26C1"/>
    <w:rsid w:val="00BD3D9E"/>
    <w:rsid w:val="00BD4390"/>
    <w:rsid w:val="00BD5CD8"/>
    <w:rsid w:val="00BD60FF"/>
    <w:rsid w:val="00BD61A6"/>
    <w:rsid w:val="00BE08DF"/>
    <w:rsid w:val="00BE11B1"/>
    <w:rsid w:val="00BE12AC"/>
    <w:rsid w:val="00BE30FA"/>
    <w:rsid w:val="00BE4103"/>
    <w:rsid w:val="00BE5E3E"/>
    <w:rsid w:val="00BE6280"/>
    <w:rsid w:val="00BE6510"/>
    <w:rsid w:val="00BE7956"/>
    <w:rsid w:val="00BF0674"/>
    <w:rsid w:val="00BF12FB"/>
    <w:rsid w:val="00BF33E6"/>
    <w:rsid w:val="00BF40D7"/>
    <w:rsid w:val="00BF4FA9"/>
    <w:rsid w:val="00BF7E4D"/>
    <w:rsid w:val="00BF7F36"/>
    <w:rsid w:val="00C038D2"/>
    <w:rsid w:val="00C03DAE"/>
    <w:rsid w:val="00C04801"/>
    <w:rsid w:val="00C05D54"/>
    <w:rsid w:val="00C109C8"/>
    <w:rsid w:val="00C11D3D"/>
    <w:rsid w:val="00C13C0E"/>
    <w:rsid w:val="00C156D6"/>
    <w:rsid w:val="00C17F2D"/>
    <w:rsid w:val="00C201DE"/>
    <w:rsid w:val="00C20AC9"/>
    <w:rsid w:val="00C21F26"/>
    <w:rsid w:val="00C22B34"/>
    <w:rsid w:val="00C25559"/>
    <w:rsid w:val="00C2749E"/>
    <w:rsid w:val="00C309E3"/>
    <w:rsid w:val="00C3413D"/>
    <w:rsid w:val="00C3683A"/>
    <w:rsid w:val="00C370D8"/>
    <w:rsid w:val="00C37F84"/>
    <w:rsid w:val="00C41810"/>
    <w:rsid w:val="00C41BF8"/>
    <w:rsid w:val="00C42C97"/>
    <w:rsid w:val="00C441E0"/>
    <w:rsid w:val="00C449D3"/>
    <w:rsid w:val="00C4537C"/>
    <w:rsid w:val="00C454CE"/>
    <w:rsid w:val="00C46214"/>
    <w:rsid w:val="00C46F57"/>
    <w:rsid w:val="00C50147"/>
    <w:rsid w:val="00C50588"/>
    <w:rsid w:val="00C536BE"/>
    <w:rsid w:val="00C546DE"/>
    <w:rsid w:val="00C552C9"/>
    <w:rsid w:val="00C56EE7"/>
    <w:rsid w:val="00C61A0E"/>
    <w:rsid w:val="00C61D27"/>
    <w:rsid w:val="00C6287B"/>
    <w:rsid w:val="00C63E33"/>
    <w:rsid w:val="00C640D0"/>
    <w:rsid w:val="00C65830"/>
    <w:rsid w:val="00C6655C"/>
    <w:rsid w:val="00C7081E"/>
    <w:rsid w:val="00C7159B"/>
    <w:rsid w:val="00C72037"/>
    <w:rsid w:val="00C730FB"/>
    <w:rsid w:val="00C73965"/>
    <w:rsid w:val="00C73AF9"/>
    <w:rsid w:val="00C74BF1"/>
    <w:rsid w:val="00C75AE4"/>
    <w:rsid w:val="00C77685"/>
    <w:rsid w:val="00C81E0B"/>
    <w:rsid w:val="00C82123"/>
    <w:rsid w:val="00C825E4"/>
    <w:rsid w:val="00C8326D"/>
    <w:rsid w:val="00C84773"/>
    <w:rsid w:val="00C85D72"/>
    <w:rsid w:val="00C86C35"/>
    <w:rsid w:val="00C9153E"/>
    <w:rsid w:val="00C91A48"/>
    <w:rsid w:val="00C92079"/>
    <w:rsid w:val="00C92921"/>
    <w:rsid w:val="00C93D8B"/>
    <w:rsid w:val="00C9465C"/>
    <w:rsid w:val="00C95693"/>
    <w:rsid w:val="00C9720B"/>
    <w:rsid w:val="00C9729D"/>
    <w:rsid w:val="00C97424"/>
    <w:rsid w:val="00CA0FE1"/>
    <w:rsid w:val="00CA2036"/>
    <w:rsid w:val="00CA2D6E"/>
    <w:rsid w:val="00CA4C81"/>
    <w:rsid w:val="00CA59BE"/>
    <w:rsid w:val="00CB33AE"/>
    <w:rsid w:val="00CB393F"/>
    <w:rsid w:val="00CB52E5"/>
    <w:rsid w:val="00CC03A2"/>
    <w:rsid w:val="00CC0F57"/>
    <w:rsid w:val="00CC26F2"/>
    <w:rsid w:val="00CC3C1A"/>
    <w:rsid w:val="00CC4285"/>
    <w:rsid w:val="00CC6921"/>
    <w:rsid w:val="00CD0D1C"/>
    <w:rsid w:val="00CD0F2E"/>
    <w:rsid w:val="00CD120C"/>
    <w:rsid w:val="00CD2FDD"/>
    <w:rsid w:val="00CD6753"/>
    <w:rsid w:val="00CD67F8"/>
    <w:rsid w:val="00CD6BFF"/>
    <w:rsid w:val="00CD7387"/>
    <w:rsid w:val="00CD7403"/>
    <w:rsid w:val="00CE1E8C"/>
    <w:rsid w:val="00CE24BA"/>
    <w:rsid w:val="00CE3592"/>
    <w:rsid w:val="00CE45DD"/>
    <w:rsid w:val="00CE59BC"/>
    <w:rsid w:val="00CF1703"/>
    <w:rsid w:val="00CF2D9C"/>
    <w:rsid w:val="00CF2F7C"/>
    <w:rsid w:val="00CF41AA"/>
    <w:rsid w:val="00CF42E2"/>
    <w:rsid w:val="00CF5029"/>
    <w:rsid w:val="00CF5573"/>
    <w:rsid w:val="00D04791"/>
    <w:rsid w:val="00D06612"/>
    <w:rsid w:val="00D070C9"/>
    <w:rsid w:val="00D079E4"/>
    <w:rsid w:val="00D10167"/>
    <w:rsid w:val="00D11F84"/>
    <w:rsid w:val="00D15D78"/>
    <w:rsid w:val="00D16B18"/>
    <w:rsid w:val="00D204FB"/>
    <w:rsid w:val="00D209A5"/>
    <w:rsid w:val="00D209AF"/>
    <w:rsid w:val="00D20AFA"/>
    <w:rsid w:val="00D21228"/>
    <w:rsid w:val="00D21E6F"/>
    <w:rsid w:val="00D22007"/>
    <w:rsid w:val="00D22470"/>
    <w:rsid w:val="00D22D42"/>
    <w:rsid w:val="00D24B69"/>
    <w:rsid w:val="00D25B91"/>
    <w:rsid w:val="00D25D56"/>
    <w:rsid w:val="00D260CE"/>
    <w:rsid w:val="00D27119"/>
    <w:rsid w:val="00D30B8F"/>
    <w:rsid w:val="00D32F0E"/>
    <w:rsid w:val="00D33C15"/>
    <w:rsid w:val="00D34862"/>
    <w:rsid w:val="00D354CA"/>
    <w:rsid w:val="00D36C70"/>
    <w:rsid w:val="00D373CC"/>
    <w:rsid w:val="00D37430"/>
    <w:rsid w:val="00D41B8B"/>
    <w:rsid w:val="00D45CC6"/>
    <w:rsid w:val="00D47BAD"/>
    <w:rsid w:val="00D47C0C"/>
    <w:rsid w:val="00D47FE6"/>
    <w:rsid w:val="00D52D2C"/>
    <w:rsid w:val="00D5346A"/>
    <w:rsid w:val="00D54EB7"/>
    <w:rsid w:val="00D55252"/>
    <w:rsid w:val="00D5693E"/>
    <w:rsid w:val="00D5724F"/>
    <w:rsid w:val="00D57EF4"/>
    <w:rsid w:val="00D57EF8"/>
    <w:rsid w:val="00D6075D"/>
    <w:rsid w:val="00D607E7"/>
    <w:rsid w:val="00D61B5E"/>
    <w:rsid w:val="00D62696"/>
    <w:rsid w:val="00D711D7"/>
    <w:rsid w:val="00D723C7"/>
    <w:rsid w:val="00D724F4"/>
    <w:rsid w:val="00D730B9"/>
    <w:rsid w:val="00D73241"/>
    <w:rsid w:val="00D74AB3"/>
    <w:rsid w:val="00D8061F"/>
    <w:rsid w:val="00D80FDC"/>
    <w:rsid w:val="00D81FEF"/>
    <w:rsid w:val="00D82BE9"/>
    <w:rsid w:val="00D841C2"/>
    <w:rsid w:val="00D84875"/>
    <w:rsid w:val="00D86923"/>
    <w:rsid w:val="00D92DE3"/>
    <w:rsid w:val="00D96198"/>
    <w:rsid w:val="00D97C51"/>
    <w:rsid w:val="00DA3EDE"/>
    <w:rsid w:val="00DA701F"/>
    <w:rsid w:val="00DA7738"/>
    <w:rsid w:val="00DB0027"/>
    <w:rsid w:val="00DB132A"/>
    <w:rsid w:val="00DB3342"/>
    <w:rsid w:val="00DB5C92"/>
    <w:rsid w:val="00DB6328"/>
    <w:rsid w:val="00DC0E71"/>
    <w:rsid w:val="00DC37BE"/>
    <w:rsid w:val="00DC48D0"/>
    <w:rsid w:val="00DC5A10"/>
    <w:rsid w:val="00DC7EAF"/>
    <w:rsid w:val="00DD1340"/>
    <w:rsid w:val="00DD2FCF"/>
    <w:rsid w:val="00DD3D6B"/>
    <w:rsid w:val="00DD5459"/>
    <w:rsid w:val="00DD5F77"/>
    <w:rsid w:val="00DD5FF5"/>
    <w:rsid w:val="00DD726F"/>
    <w:rsid w:val="00DE1B6E"/>
    <w:rsid w:val="00DE1B76"/>
    <w:rsid w:val="00DE3356"/>
    <w:rsid w:val="00DE688C"/>
    <w:rsid w:val="00DE71F5"/>
    <w:rsid w:val="00DF1BE4"/>
    <w:rsid w:val="00DF36DC"/>
    <w:rsid w:val="00DF3858"/>
    <w:rsid w:val="00DF47FB"/>
    <w:rsid w:val="00DF62B0"/>
    <w:rsid w:val="00DF6448"/>
    <w:rsid w:val="00DF6914"/>
    <w:rsid w:val="00DF73DD"/>
    <w:rsid w:val="00E00FB9"/>
    <w:rsid w:val="00E02115"/>
    <w:rsid w:val="00E04941"/>
    <w:rsid w:val="00E05510"/>
    <w:rsid w:val="00E10806"/>
    <w:rsid w:val="00E11C58"/>
    <w:rsid w:val="00E11C89"/>
    <w:rsid w:val="00E13A3B"/>
    <w:rsid w:val="00E13B3C"/>
    <w:rsid w:val="00E151F5"/>
    <w:rsid w:val="00E177E1"/>
    <w:rsid w:val="00E20B27"/>
    <w:rsid w:val="00E21DCE"/>
    <w:rsid w:val="00E23D98"/>
    <w:rsid w:val="00E31499"/>
    <w:rsid w:val="00E31985"/>
    <w:rsid w:val="00E321C9"/>
    <w:rsid w:val="00E322E1"/>
    <w:rsid w:val="00E32345"/>
    <w:rsid w:val="00E324FE"/>
    <w:rsid w:val="00E33409"/>
    <w:rsid w:val="00E335CB"/>
    <w:rsid w:val="00E3413B"/>
    <w:rsid w:val="00E35511"/>
    <w:rsid w:val="00E36013"/>
    <w:rsid w:val="00E36AFD"/>
    <w:rsid w:val="00E4126C"/>
    <w:rsid w:val="00E41BFC"/>
    <w:rsid w:val="00E43347"/>
    <w:rsid w:val="00E43876"/>
    <w:rsid w:val="00E449FD"/>
    <w:rsid w:val="00E47716"/>
    <w:rsid w:val="00E57FCB"/>
    <w:rsid w:val="00E60D19"/>
    <w:rsid w:val="00E61729"/>
    <w:rsid w:val="00E66130"/>
    <w:rsid w:val="00E67679"/>
    <w:rsid w:val="00E67858"/>
    <w:rsid w:val="00E75011"/>
    <w:rsid w:val="00E75878"/>
    <w:rsid w:val="00E80597"/>
    <w:rsid w:val="00E80CA0"/>
    <w:rsid w:val="00E81AE5"/>
    <w:rsid w:val="00E83AF2"/>
    <w:rsid w:val="00E83C6B"/>
    <w:rsid w:val="00E8413A"/>
    <w:rsid w:val="00E84A5D"/>
    <w:rsid w:val="00E86BF2"/>
    <w:rsid w:val="00E878BB"/>
    <w:rsid w:val="00E917AD"/>
    <w:rsid w:val="00E91800"/>
    <w:rsid w:val="00E92109"/>
    <w:rsid w:val="00E92F13"/>
    <w:rsid w:val="00E9436D"/>
    <w:rsid w:val="00E949F1"/>
    <w:rsid w:val="00E9552C"/>
    <w:rsid w:val="00E9707F"/>
    <w:rsid w:val="00EA1E5A"/>
    <w:rsid w:val="00EA261F"/>
    <w:rsid w:val="00EA52CA"/>
    <w:rsid w:val="00EB07B2"/>
    <w:rsid w:val="00EB16D2"/>
    <w:rsid w:val="00EB274B"/>
    <w:rsid w:val="00EB274C"/>
    <w:rsid w:val="00EB2D4F"/>
    <w:rsid w:val="00EB324E"/>
    <w:rsid w:val="00EB40F1"/>
    <w:rsid w:val="00EB4424"/>
    <w:rsid w:val="00EB4719"/>
    <w:rsid w:val="00EB5E09"/>
    <w:rsid w:val="00EC0DF7"/>
    <w:rsid w:val="00EC3654"/>
    <w:rsid w:val="00EC3C5F"/>
    <w:rsid w:val="00EC46A0"/>
    <w:rsid w:val="00EC5087"/>
    <w:rsid w:val="00ED1389"/>
    <w:rsid w:val="00ED2538"/>
    <w:rsid w:val="00ED325C"/>
    <w:rsid w:val="00ED5E1E"/>
    <w:rsid w:val="00ED5E41"/>
    <w:rsid w:val="00ED6313"/>
    <w:rsid w:val="00ED7D31"/>
    <w:rsid w:val="00ED7F16"/>
    <w:rsid w:val="00EE09AC"/>
    <w:rsid w:val="00EE0F3E"/>
    <w:rsid w:val="00EE10B9"/>
    <w:rsid w:val="00EE1774"/>
    <w:rsid w:val="00EE5B7D"/>
    <w:rsid w:val="00EF0512"/>
    <w:rsid w:val="00EF0ADA"/>
    <w:rsid w:val="00EF7010"/>
    <w:rsid w:val="00F00082"/>
    <w:rsid w:val="00F06AC7"/>
    <w:rsid w:val="00F07C1C"/>
    <w:rsid w:val="00F11500"/>
    <w:rsid w:val="00F13D49"/>
    <w:rsid w:val="00F16CE5"/>
    <w:rsid w:val="00F16EFA"/>
    <w:rsid w:val="00F177E6"/>
    <w:rsid w:val="00F20485"/>
    <w:rsid w:val="00F22D76"/>
    <w:rsid w:val="00F24C54"/>
    <w:rsid w:val="00F26E71"/>
    <w:rsid w:val="00F274AE"/>
    <w:rsid w:val="00F31561"/>
    <w:rsid w:val="00F35208"/>
    <w:rsid w:val="00F35A3F"/>
    <w:rsid w:val="00F3612F"/>
    <w:rsid w:val="00F36527"/>
    <w:rsid w:val="00F367ED"/>
    <w:rsid w:val="00F37D20"/>
    <w:rsid w:val="00F46593"/>
    <w:rsid w:val="00F500E9"/>
    <w:rsid w:val="00F5233B"/>
    <w:rsid w:val="00F53CDF"/>
    <w:rsid w:val="00F55D05"/>
    <w:rsid w:val="00F57861"/>
    <w:rsid w:val="00F61A8D"/>
    <w:rsid w:val="00F62383"/>
    <w:rsid w:val="00F63863"/>
    <w:rsid w:val="00F662AA"/>
    <w:rsid w:val="00F66BFC"/>
    <w:rsid w:val="00F710BB"/>
    <w:rsid w:val="00F71362"/>
    <w:rsid w:val="00F719C4"/>
    <w:rsid w:val="00F7219F"/>
    <w:rsid w:val="00F75A50"/>
    <w:rsid w:val="00F7692D"/>
    <w:rsid w:val="00F804E4"/>
    <w:rsid w:val="00F80B3F"/>
    <w:rsid w:val="00F81563"/>
    <w:rsid w:val="00F81700"/>
    <w:rsid w:val="00F81EF9"/>
    <w:rsid w:val="00F82BDC"/>
    <w:rsid w:val="00F84335"/>
    <w:rsid w:val="00F86EB9"/>
    <w:rsid w:val="00F87B07"/>
    <w:rsid w:val="00F92327"/>
    <w:rsid w:val="00F9318B"/>
    <w:rsid w:val="00F96F36"/>
    <w:rsid w:val="00FA0069"/>
    <w:rsid w:val="00FA0D26"/>
    <w:rsid w:val="00FA13FB"/>
    <w:rsid w:val="00FA2EF5"/>
    <w:rsid w:val="00FA69BB"/>
    <w:rsid w:val="00FA6EBA"/>
    <w:rsid w:val="00FA7081"/>
    <w:rsid w:val="00FB03D1"/>
    <w:rsid w:val="00FB25B5"/>
    <w:rsid w:val="00FB2C95"/>
    <w:rsid w:val="00FB4159"/>
    <w:rsid w:val="00FB6775"/>
    <w:rsid w:val="00FB7219"/>
    <w:rsid w:val="00FC1714"/>
    <w:rsid w:val="00FC3818"/>
    <w:rsid w:val="00FC3E74"/>
    <w:rsid w:val="00FC4034"/>
    <w:rsid w:val="00FC5FF9"/>
    <w:rsid w:val="00FC6E4D"/>
    <w:rsid w:val="00FC7507"/>
    <w:rsid w:val="00FD2A97"/>
    <w:rsid w:val="00FD31D7"/>
    <w:rsid w:val="00FD565D"/>
    <w:rsid w:val="00FE0894"/>
    <w:rsid w:val="00FE08B5"/>
    <w:rsid w:val="00FE2148"/>
    <w:rsid w:val="00FE2FAD"/>
    <w:rsid w:val="00FE6E21"/>
    <w:rsid w:val="00FF1944"/>
    <w:rsid w:val="00FF2B01"/>
    <w:rsid w:val="00FF3BF5"/>
    <w:rsid w:val="00FF4D66"/>
    <w:rsid w:val="00FF57BE"/>
    <w:rsid w:val="00FF584B"/>
    <w:rsid w:val="00FF5BEA"/>
    <w:rsid w:val="00FF7EC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F39F"/>
  <w15:docId w15:val="{BFF96432-77A9-4118-863E-73FF5D27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120" w:after="120"/>
        <w:ind w:right="126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9FD"/>
    <w:rPr>
      <w:rFonts w:ascii="Sylfaen" w:hAnsi="Sylfaen"/>
      <w:lang w:val="en-GB"/>
    </w:rPr>
  </w:style>
  <w:style w:type="paragraph" w:styleId="Heading1">
    <w:name w:val="heading 1"/>
    <w:basedOn w:val="Normal"/>
    <w:next w:val="Normal"/>
    <w:link w:val="Heading1Char"/>
    <w:uiPriority w:val="9"/>
    <w:qFormat/>
    <w:rsid w:val="003B6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3"/>
    <w:link w:val="Heading2Char"/>
    <w:uiPriority w:val="9"/>
    <w:unhideWhenUsed/>
    <w:qFormat/>
    <w:rsid w:val="00C17F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0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3E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113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171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71D"/>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DefaultParagraphFont"/>
    <w:uiPriority w:val="99"/>
    <w:unhideWhenUsed/>
    <w:rsid w:val="003B614C"/>
    <w:rPr>
      <w:color w:val="0000FF" w:themeColor="hyperlink"/>
      <w:u w:val="single"/>
    </w:rPr>
  </w:style>
  <w:style w:type="character" w:customStyle="1" w:styleId="Heading1Char">
    <w:name w:val="Heading 1 Char"/>
    <w:basedOn w:val="DefaultParagraphFont"/>
    <w:link w:val="Heading1"/>
    <w:uiPriority w:val="9"/>
    <w:rsid w:val="003B614C"/>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39"/>
    <w:rsid w:val="003B614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17F2D"/>
    <w:rPr>
      <w:rFonts w:asciiTheme="majorHAnsi" w:eastAsiaTheme="majorEastAsia" w:hAnsiTheme="majorHAnsi" w:cstheme="majorBidi"/>
      <w:b/>
      <w:bCs/>
      <w:color w:val="4F81BD" w:themeColor="accent1"/>
      <w:sz w:val="26"/>
      <w:szCs w:val="26"/>
      <w:lang w:val="en-GB"/>
    </w:rPr>
  </w:style>
  <w:style w:type="paragraph" w:styleId="Caption">
    <w:name w:val="caption"/>
    <w:basedOn w:val="Normal"/>
    <w:next w:val="Normal"/>
    <w:uiPriority w:val="35"/>
    <w:unhideWhenUsed/>
    <w:qFormat/>
    <w:rsid w:val="00E11C89"/>
    <w:pPr>
      <w:spacing w:before="0" w:after="200"/>
    </w:pPr>
    <w:rPr>
      <w:b/>
      <w:bCs/>
      <w:color w:val="4F81BD" w:themeColor="accent1"/>
      <w:sz w:val="18"/>
      <w:szCs w:val="18"/>
    </w:rPr>
  </w:style>
  <w:style w:type="paragraph" w:styleId="ListParagraph">
    <w:name w:val="List Paragraph"/>
    <w:basedOn w:val="Normal"/>
    <w:uiPriority w:val="1"/>
    <w:qFormat/>
    <w:rsid w:val="005F0AAA"/>
    <w:pPr>
      <w:ind w:left="720"/>
      <w:contextualSpacing/>
    </w:pPr>
  </w:style>
  <w:style w:type="character" w:customStyle="1" w:styleId="Heading3Char">
    <w:name w:val="Heading 3 Char"/>
    <w:basedOn w:val="DefaultParagraphFont"/>
    <w:link w:val="Heading3"/>
    <w:uiPriority w:val="9"/>
    <w:rsid w:val="006C7084"/>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uiPriority w:val="99"/>
    <w:semiHidden/>
    <w:unhideWhenUsed/>
    <w:rsid w:val="009C1C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1C"/>
    <w:rPr>
      <w:rFonts w:ascii="Tahoma" w:hAnsi="Tahoma" w:cs="Tahoma"/>
      <w:sz w:val="16"/>
      <w:szCs w:val="16"/>
      <w:lang w:val="en-GB"/>
    </w:rPr>
  </w:style>
  <w:style w:type="paragraph" w:styleId="FootnoteText">
    <w:name w:val="footnote text"/>
    <w:basedOn w:val="Normal"/>
    <w:link w:val="FootnoteTextChar"/>
    <w:uiPriority w:val="99"/>
    <w:unhideWhenUsed/>
    <w:rsid w:val="009C1C1C"/>
    <w:pPr>
      <w:spacing w:before="0" w:after="0"/>
    </w:pPr>
    <w:rPr>
      <w:sz w:val="20"/>
      <w:szCs w:val="20"/>
    </w:rPr>
  </w:style>
  <w:style w:type="character" w:customStyle="1" w:styleId="FootnoteTextChar">
    <w:name w:val="Footnote Text Char"/>
    <w:basedOn w:val="DefaultParagraphFont"/>
    <w:link w:val="FootnoteText"/>
    <w:uiPriority w:val="99"/>
    <w:rsid w:val="009C1C1C"/>
    <w:rPr>
      <w:rFonts w:ascii="Sylfaen" w:hAnsi="Sylfaen"/>
      <w:sz w:val="20"/>
      <w:szCs w:val="20"/>
      <w:lang w:val="en-GB"/>
    </w:rPr>
  </w:style>
  <w:style w:type="character" w:styleId="FootnoteReference">
    <w:name w:val="footnote reference"/>
    <w:basedOn w:val="DefaultParagraphFont"/>
    <w:uiPriority w:val="99"/>
    <w:semiHidden/>
    <w:unhideWhenUsed/>
    <w:rsid w:val="009C1C1C"/>
    <w:rPr>
      <w:vertAlign w:val="superscript"/>
    </w:rPr>
  </w:style>
  <w:style w:type="paragraph" w:styleId="TOCHeading">
    <w:name w:val="TOC Heading"/>
    <w:basedOn w:val="Heading1"/>
    <w:next w:val="Normal"/>
    <w:uiPriority w:val="39"/>
    <w:semiHidden/>
    <w:unhideWhenUsed/>
    <w:qFormat/>
    <w:rsid w:val="00A351AA"/>
    <w:pPr>
      <w:spacing w:line="276" w:lineRule="auto"/>
      <w:outlineLvl w:val="9"/>
    </w:pPr>
    <w:rPr>
      <w:lang w:val="en-US"/>
    </w:rPr>
  </w:style>
  <w:style w:type="paragraph" w:styleId="TOC1">
    <w:name w:val="toc 1"/>
    <w:basedOn w:val="Normal"/>
    <w:next w:val="Normal"/>
    <w:autoRedefine/>
    <w:uiPriority w:val="39"/>
    <w:unhideWhenUsed/>
    <w:rsid w:val="00A351AA"/>
    <w:pPr>
      <w:spacing w:after="100"/>
    </w:pPr>
  </w:style>
  <w:style w:type="paragraph" w:styleId="TOC2">
    <w:name w:val="toc 2"/>
    <w:basedOn w:val="Normal"/>
    <w:next w:val="Normal"/>
    <w:autoRedefine/>
    <w:uiPriority w:val="39"/>
    <w:unhideWhenUsed/>
    <w:rsid w:val="00A351AA"/>
    <w:pPr>
      <w:spacing w:after="100"/>
      <w:ind w:left="220"/>
    </w:pPr>
  </w:style>
  <w:style w:type="paragraph" w:styleId="TOC3">
    <w:name w:val="toc 3"/>
    <w:basedOn w:val="Normal"/>
    <w:next w:val="Normal"/>
    <w:autoRedefine/>
    <w:uiPriority w:val="39"/>
    <w:unhideWhenUsed/>
    <w:rsid w:val="00A351AA"/>
    <w:pPr>
      <w:spacing w:after="100"/>
      <w:ind w:left="440"/>
    </w:pPr>
  </w:style>
  <w:style w:type="character" w:styleId="FollowedHyperlink">
    <w:name w:val="FollowedHyperlink"/>
    <w:basedOn w:val="DefaultParagraphFont"/>
    <w:uiPriority w:val="99"/>
    <w:semiHidden/>
    <w:unhideWhenUsed/>
    <w:rsid w:val="0076617B"/>
    <w:rPr>
      <w:color w:val="800080" w:themeColor="followedHyperlink"/>
      <w:u w:val="single"/>
    </w:rPr>
  </w:style>
  <w:style w:type="paragraph" w:styleId="Header">
    <w:name w:val="header"/>
    <w:basedOn w:val="Normal"/>
    <w:link w:val="HeaderChar"/>
    <w:uiPriority w:val="99"/>
    <w:semiHidden/>
    <w:unhideWhenUsed/>
    <w:rsid w:val="00FC3818"/>
    <w:pPr>
      <w:tabs>
        <w:tab w:val="center" w:pos="4680"/>
        <w:tab w:val="right" w:pos="9360"/>
      </w:tabs>
      <w:spacing w:before="0" w:after="0"/>
    </w:pPr>
  </w:style>
  <w:style w:type="character" w:customStyle="1" w:styleId="HeaderChar">
    <w:name w:val="Header Char"/>
    <w:basedOn w:val="DefaultParagraphFont"/>
    <w:link w:val="Header"/>
    <w:uiPriority w:val="99"/>
    <w:semiHidden/>
    <w:rsid w:val="00FC3818"/>
    <w:rPr>
      <w:rFonts w:ascii="Sylfaen" w:hAnsi="Sylfaen"/>
      <w:lang w:val="en-GB"/>
    </w:rPr>
  </w:style>
  <w:style w:type="paragraph" w:styleId="Footer">
    <w:name w:val="footer"/>
    <w:basedOn w:val="Normal"/>
    <w:link w:val="FooterChar"/>
    <w:uiPriority w:val="99"/>
    <w:unhideWhenUsed/>
    <w:rsid w:val="00FC3818"/>
    <w:pPr>
      <w:tabs>
        <w:tab w:val="center" w:pos="4680"/>
        <w:tab w:val="right" w:pos="9360"/>
      </w:tabs>
      <w:spacing w:before="0" w:after="0"/>
    </w:pPr>
  </w:style>
  <w:style w:type="character" w:customStyle="1" w:styleId="FooterChar">
    <w:name w:val="Footer Char"/>
    <w:basedOn w:val="DefaultParagraphFont"/>
    <w:link w:val="Footer"/>
    <w:uiPriority w:val="99"/>
    <w:rsid w:val="00FC3818"/>
    <w:rPr>
      <w:rFonts w:ascii="Sylfaen" w:hAnsi="Sylfaen"/>
      <w:lang w:val="en-GB"/>
    </w:rPr>
  </w:style>
  <w:style w:type="character" w:customStyle="1" w:styleId="Heading4Char">
    <w:name w:val="Heading 4 Char"/>
    <w:basedOn w:val="DefaultParagraphFont"/>
    <w:link w:val="Heading4"/>
    <w:uiPriority w:val="9"/>
    <w:rsid w:val="00C63E33"/>
    <w:rPr>
      <w:rFonts w:asciiTheme="majorHAnsi" w:eastAsiaTheme="majorEastAsia" w:hAnsiTheme="majorHAnsi" w:cstheme="majorBidi"/>
      <w:b/>
      <w:bCs/>
      <w:i/>
      <w:iCs/>
      <w:color w:val="4F81BD" w:themeColor="accent1"/>
      <w:lang w:val="en-GB"/>
    </w:rPr>
  </w:style>
  <w:style w:type="paragraph" w:styleId="TOC4">
    <w:name w:val="toc 4"/>
    <w:basedOn w:val="Normal"/>
    <w:next w:val="Normal"/>
    <w:autoRedefine/>
    <w:uiPriority w:val="39"/>
    <w:unhideWhenUsed/>
    <w:rsid w:val="003E617F"/>
    <w:pPr>
      <w:spacing w:after="100"/>
      <w:ind w:left="660"/>
    </w:pPr>
  </w:style>
  <w:style w:type="paragraph" w:styleId="Subtitle">
    <w:name w:val="Subtitle"/>
    <w:basedOn w:val="Normal"/>
    <w:next w:val="Normal"/>
    <w:link w:val="SubtitleChar"/>
    <w:uiPriority w:val="11"/>
    <w:qFormat/>
    <w:rsid w:val="004A0A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0A24"/>
    <w:rPr>
      <w:rFonts w:asciiTheme="majorHAnsi" w:eastAsiaTheme="majorEastAsia" w:hAnsiTheme="majorHAnsi" w:cstheme="majorBidi"/>
      <w:i/>
      <w:iCs/>
      <w:color w:val="4F81BD" w:themeColor="accent1"/>
      <w:spacing w:val="15"/>
      <w:sz w:val="24"/>
      <w:szCs w:val="24"/>
      <w:lang w:val="en-GB"/>
    </w:rPr>
  </w:style>
  <w:style w:type="character" w:styleId="BookTitle">
    <w:name w:val="Book Title"/>
    <w:basedOn w:val="DefaultParagraphFont"/>
    <w:uiPriority w:val="33"/>
    <w:qFormat/>
    <w:rsid w:val="006D51CB"/>
    <w:rPr>
      <w:b/>
      <w:bCs/>
      <w:smallCaps/>
      <w:spacing w:val="5"/>
    </w:rPr>
  </w:style>
  <w:style w:type="character" w:styleId="IntenseEmphasis">
    <w:name w:val="Intense Emphasis"/>
    <w:basedOn w:val="DefaultParagraphFont"/>
    <w:uiPriority w:val="21"/>
    <w:qFormat/>
    <w:rsid w:val="00654258"/>
    <w:rPr>
      <w:b/>
      <w:bCs/>
      <w:i/>
      <w:iCs/>
      <w:color w:val="4F81BD" w:themeColor="accent1"/>
    </w:rPr>
  </w:style>
  <w:style w:type="paragraph" w:customStyle="1" w:styleId="Default">
    <w:name w:val="Default"/>
    <w:rsid w:val="0024530B"/>
    <w:pPr>
      <w:autoSpaceDE w:val="0"/>
      <w:autoSpaceDN w:val="0"/>
      <w:adjustRightInd w:val="0"/>
      <w:spacing w:before="0" w:after="0"/>
    </w:pPr>
    <w:rPr>
      <w:rFonts w:ascii="Times New Roman" w:hAnsi="Times New Roman" w:cs="Times New Roman"/>
      <w:color w:val="000000"/>
      <w:sz w:val="24"/>
      <w:szCs w:val="24"/>
    </w:rPr>
  </w:style>
  <w:style w:type="character" w:styleId="Strong">
    <w:name w:val="Strong"/>
    <w:basedOn w:val="DefaultParagraphFont"/>
    <w:uiPriority w:val="22"/>
    <w:qFormat/>
    <w:rsid w:val="00CA59BE"/>
    <w:rPr>
      <w:b/>
      <w:bCs/>
    </w:rPr>
  </w:style>
  <w:style w:type="table" w:customStyle="1" w:styleId="LightShading-Accent11">
    <w:name w:val="Light Shading - Accent 11"/>
    <w:basedOn w:val="TableNormal"/>
    <w:uiPriority w:val="60"/>
    <w:rsid w:val="006F7CA7"/>
    <w:pPr>
      <w:spacing w:before="0" w:after="0"/>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eofFigures">
    <w:name w:val="table of figures"/>
    <w:basedOn w:val="Normal"/>
    <w:next w:val="Normal"/>
    <w:uiPriority w:val="99"/>
    <w:unhideWhenUsed/>
    <w:rsid w:val="00CE24BA"/>
    <w:pPr>
      <w:spacing w:after="0"/>
    </w:pPr>
  </w:style>
  <w:style w:type="paragraph" w:customStyle="1" w:styleId="ecxmsonormal">
    <w:name w:val="ecxmsonormal"/>
    <w:basedOn w:val="Normal"/>
    <w:rsid w:val="00DF73DD"/>
    <w:pPr>
      <w:spacing w:before="0" w:after="324"/>
    </w:pPr>
    <w:rPr>
      <w:rFonts w:ascii="Times New Roman" w:eastAsia="Times New Roman" w:hAnsi="Times New Roman" w:cs="Times New Roman"/>
      <w:sz w:val="24"/>
      <w:szCs w:val="24"/>
      <w:lang w:val="en-CA" w:eastAsia="en-CA"/>
    </w:rPr>
  </w:style>
  <w:style w:type="paragraph" w:customStyle="1" w:styleId="ecxmsolistparagraph">
    <w:name w:val="ecxmsolistparagraph"/>
    <w:basedOn w:val="Normal"/>
    <w:rsid w:val="00DF73DD"/>
    <w:pPr>
      <w:spacing w:before="0" w:after="324"/>
    </w:pPr>
    <w:rPr>
      <w:rFonts w:ascii="Times New Roman" w:eastAsia="Times New Roman" w:hAnsi="Times New Roman" w:cs="Times New Roman"/>
      <w:sz w:val="24"/>
      <w:szCs w:val="24"/>
      <w:lang w:val="en-CA" w:eastAsia="en-CA"/>
    </w:rPr>
  </w:style>
  <w:style w:type="paragraph" w:customStyle="1" w:styleId="EndNoteBibliographyTitle">
    <w:name w:val="EndNote Bibliography Title"/>
    <w:basedOn w:val="Normal"/>
    <w:link w:val="EndNoteBibliographyTitleChar"/>
    <w:rsid w:val="000E247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E2470"/>
    <w:rPr>
      <w:rFonts w:ascii="Sylfaen" w:hAnsi="Sylfaen"/>
      <w:noProof/>
      <w:lang w:val="en-US"/>
    </w:rPr>
  </w:style>
  <w:style w:type="paragraph" w:customStyle="1" w:styleId="EndNoteBibliography">
    <w:name w:val="EndNote Bibliography"/>
    <w:basedOn w:val="Normal"/>
    <w:link w:val="EndNoteBibliographyChar"/>
    <w:rsid w:val="000E2470"/>
    <w:rPr>
      <w:noProof/>
      <w:lang w:val="en-US"/>
    </w:rPr>
  </w:style>
  <w:style w:type="character" w:customStyle="1" w:styleId="EndNoteBibliographyChar">
    <w:name w:val="EndNote Bibliography Char"/>
    <w:basedOn w:val="DefaultParagraphFont"/>
    <w:link w:val="EndNoteBibliography"/>
    <w:rsid w:val="000E2470"/>
    <w:rPr>
      <w:rFonts w:ascii="Sylfaen" w:hAnsi="Sylfaen"/>
      <w:noProof/>
      <w:lang w:val="en-US"/>
    </w:rPr>
  </w:style>
  <w:style w:type="character" w:customStyle="1" w:styleId="apple-converted-space">
    <w:name w:val="apple-converted-space"/>
    <w:basedOn w:val="DefaultParagraphFont"/>
    <w:rsid w:val="00DD5F77"/>
  </w:style>
  <w:style w:type="paragraph" w:styleId="IntenseQuote">
    <w:name w:val="Intense Quote"/>
    <w:basedOn w:val="Normal"/>
    <w:next w:val="Normal"/>
    <w:link w:val="IntenseQuoteChar"/>
    <w:uiPriority w:val="30"/>
    <w:qFormat/>
    <w:rsid w:val="005622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622A0"/>
    <w:rPr>
      <w:rFonts w:ascii="Sylfaen" w:hAnsi="Sylfaen"/>
      <w:i/>
      <w:iCs/>
      <w:color w:val="4F81BD" w:themeColor="accent1"/>
      <w:lang w:val="en-GB"/>
    </w:rPr>
  </w:style>
  <w:style w:type="paragraph" w:styleId="NormalWeb">
    <w:name w:val="Normal (Web)"/>
    <w:basedOn w:val="Normal"/>
    <w:uiPriority w:val="99"/>
    <w:unhideWhenUsed/>
    <w:rsid w:val="002009FA"/>
    <w:pPr>
      <w:spacing w:before="100" w:beforeAutospacing="1" w:after="100" w:afterAutospacing="1"/>
      <w:ind w:right="0"/>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BB1132"/>
    <w:rPr>
      <w:rFonts w:asciiTheme="majorHAnsi" w:eastAsiaTheme="majorEastAsia" w:hAnsiTheme="majorHAnsi" w:cstheme="majorBidi"/>
      <w:color w:val="365F91" w:themeColor="accent1" w:themeShade="BF"/>
      <w:lang w:val="en-GB"/>
    </w:rPr>
  </w:style>
  <w:style w:type="character" w:customStyle="1" w:styleId="CommentSubjectChar1">
    <w:name w:val="Comment Subject Char1"/>
    <w:basedOn w:val="DefaultParagraphFont"/>
    <w:uiPriority w:val="99"/>
    <w:rsid w:val="00540FEE"/>
    <w:rPr>
      <w:rFonts w:ascii="Arial" w:eastAsia="Times New Roman" w:hAnsi="Arial" w:cs="Times New Roman"/>
      <w:b/>
      <w:bCs/>
      <w:sz w:val="20"/>
      <w:szCs w:val="20"/>
      <w:lang w:val="en-GB"/>
    </w:rPr>
  </w:style>
  <w:style w:type="character" w:styleId="CommentReference">
    <w:name w:val="annotation reference"/>
    <w:basedOn w:val="DefaultParagraphFont"/>
    <w:uiPriority w:val="99"/>
    <w:semiHidden/>
    <w:unhideWhenUsed/>
    <w:rsid w:val="00AA4EDC"/>
    <w:rPr>
      <w:sz w:val="16"/>
      <w:szCs w:val="16"/>
    </w:rPr>
  </w:style>
  <w:style w:type="paragraph" w:styleId="CommentText">
    <w:name w:val="annotation text"/>
    <w:basedOn w:val="Normal"/>
    <w:link w:val="CommentTextChar"/>
    <w:uiPriority w:val="99"/>
    <w:unhideWhenUsed/>
    <w:rsid w:val="00AA4EDC"/>
    <w:rPr>
      <w:sz w:val="20"/>
      <w:szCs w:val="20"/>
    </w:rPr>
  </w:style>
  <w:style w:type="character" w:customStyle="1" w:styleId="CommentTextChar">
    <w:name w:val="Comment Text Char"/>
    <w:basedOn w:val="DefaultParagraphFont"/>
    <w:link w:val="CommentText"/>
    <w:uiPriority w:val="99"/>
    <w:rsid w:val="00AA4EDC"/>
    <w:rPr>
      <w:rFonts w:ascii="Sylfaen" w:hAnsi="Sylfaen"/>
      <w:sz w:val="20"/>
      <w:szCs w:val="20"/>
      <w:lang w:val="en-GB"/>
    </w:rPr>
  </w:style>
  <w:style w:type="paragraph" w:styleId="CommentSubject">
    <w:name w:val="annotation subject"/>
    <w:basedOn w:val="CommentText"/>
    <w:next w:val="CommentText"/>
    <w:link w:val="CommentSubjectChar"/>
    <w:uiPriority w:val="99"/>
    <w:semiHidden/>
    <w:unhideWhenUsed/>
    <w:rsid w:val="00AA4EDC"/>
    <w:rPr>
      <w:b/>
      <w:bCs/>
    </w:rPr>
  </w:style>
  <w:style w:type="character" w:customStyle="1" w:styleId="CommentSubjectChar">
    <w:name w:val="Comment Subject Char"/>
    <w:basedOn w:val="CommentTextChar"/>
    <w:link w:val="CommentSubject"/>
    <w:uiPriority w:val="99"/>
    <w:semiHidden/>
    <w:rsid w:val="00AA4EDC"/>
    <w:rPr>
      <w:rFonts w:ascii="Sylfaen" w:hAnsi="Sylfaen"/>
      <w:b/>
      <w:bCs/>
      <w:sz w:val="20"/>
      <w:szCs w:val="20"/>
      <w:lang w:val="en-GB"/>
    </w:rPr>
  </w:style>
  <w:style w:type="paragraph" w:styleId="Revision">
    <w:name w:val="Revision"/>
    <w:hidden/>
    <w:uiPriority w:val="99"/>
    <w:semiHidden/>
    <w:rsid w:val="00536CE9"/>
    <w:pPr>
      <w:spacing w:before="0" w:after="0"/>
      <w:ind w:right="0"/>
    </w:pPr>
    <w:rPr>
      <w:rFonts w:ascii="Sylfaen" w:hAnsi="Sylfaen"/>
      <w:lang w:val="en-GB"/>
    </w:rPr>
  </w:style>
  <w:style w:type="paragraph" w:styleId="BodyTextIndent">
    <w:name w:val="Body Text Indent"/>
    <w:basedOn w:val="Normal"/>
    <w:link w:val="BodyTextIndentChar"/>
    <w:semiHidden/>
    <w:rsid w:val="00EE10B9"/>
    <w:pPr>
      <w:spacing w:before="0" w:after="0"/>
      <w:ind w:right="0" w:firstLine="720"/>
      <w:jc w:val="both"/>
    </w:pPr>
    <w:rPr>
      <w:rFonts w:ascii="Times New" w:eastAsia="Times New Roman" w:hAnsi="Times New" w:cs="Times New Roman"/>
      <w:noProof/>
      <w:sz w:val="24"/>
      <w:szCs w:val="20"/>
      <w:lang w:val="en-US"/>
    </w:rPr>
  </w:style>
  <w:style w:type="character" w:customStyle="1" w:styleId="BodyTextIndentChar">
    <w:name w:val="Body Text Indent Char"/>
    <w:basedOn w:val="DefaultParagraphFont"/>
    <w:link w:val="BodyTextIndent"/>
    <w:semiHidden/>
    <w:rsid w:val="00EE10B9"/>
    <w:rPr>
      <w:rFonts w:ascii="Times New" w:eastAsia="Times New Roman" w:hAnsi="Times New" w:cs="Times New Roman"/>
      <w:noProof/>
      <w:sz w:val="24"/>
      <w:szCs w:val="20"/>
      <w:lang w:val="en-US"/>
    </w:rPr>
  </w:style>
  <w:style w:type="paragraph" w:customStyle="1" w:styleId="Word4095Null">
    <w:name w:val="Word4095Null"/>
    <w:rsid w:val="00EE10B9"/>
    <w:pPr>
      <w:widowControl w:val="0"/>
      <w:autoSpaceDE w:val="0"/>
      <w:autoSpaceDN w:val="0"/>
      <w:adjustRightInd w:val="0"/>
      <w:spacing w:before="0" w:after="0" w:line="240" w:lineRule="atLeast"/>
      <w:ind w:right="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927">
      <w:bodyDiv w:val="1"/>
      <w:marLeft w:val="0"/>
      <w:marRight w:val="0"/>
      <w:marTop w:val="0"/>
      <w:marBottom w:val="0"/>
      <w:divBdr>
        <w:top w:val="none" w:sz="0" w:space="0" w:color="auto"/>
        <w:left w:val="none" w:sz="0" w:space="0" w:color="auto"/>
        <w:bottom w:val="none" w:sz="0" w:space="0" w:color="auto"/>
        <w:right w:val="none" w:sz="0" w:space="0" w:color="auto"/>
      </w:divBdr>
    </w:div>
    <w:div w:id="61293508">
      <w:bodyDiv w:val="1"/>
      <w:marLeft w:val="0"/>
      <w:marRight w:val="0"/>
      <w:marTop w:val="0"/>
      <w:marBottom w:val="0"/>
      <w:divBdr>
        <w:top w:val="none" w:sz="0" w:space="0" w:color="auto"/>
        <w:left w:val="none" w:sz="0" w:space="0" w:color="auto"/>
        <w:bottom w:val="none" w:sz="0" w:space="0" w:color="auto"/>
        <w:right w:val="none" w:sz="0" w:space="0" w:color="auto"/>
      </w:divBdr>
    </w:div>
    <w:div w:id="100925744">
      <w:bodyDiv w:val="1"/>
      <w:marLeft w:val="0"/>
      <w:marRight w:val="0"/>
      <w:marTop w:val="0"/>
      <w:marBottom w:val="0"/>
      <w:divBdr>
        <w:top w:val="none" w:sz="0" w:space="0" w:color="auto"/>
        <w:left w:val="none" w:sz="0" w:space="0" w:color="auto"/>
        <w:bottom w:val="none" w:sz="0" w:space="0" w:color="auto"/>
        <w:right w:val="none" w:sz="0" w:space="0" w:color="auto"/>
      </w:divBdr>
    </w:div>
    <w:div w:id="130025783">
      <w:bodyDiv w:val="1"/>
      <w:marLeft w:val="0"/>
      <w:marRight w:val="0"/>
      <w:marTop w:val="0"/>
      <w:marBottom w:val="0"/>
      <w:divBdr>
        <w:top w:val="none" w:sz="0" w:space="0" w:color="auto"/>
        <w:left w:val="none" w:sz="0" w:space="0" w:color="auto"/>
        <w:bottom w:val="none" w:sz="0" w:space="0" w:color="auto"/>
        <w:right w:val="none" w:sz="0" w:space="0" w:color="auto"/>
      </w:divBdr>
    </w:div>
    <w:div w:id="161043426">
      <w:bodyDiv w:val="1"/>
      <w:marLeft w:val="0"/>
      <w:marRight w:val="0"/>
      <w:marTop w:val="0"/>
      <w:marBottom w:val="0"/>
      <w:divBdr>
        <w:top w:val="none" w:sz="0" w:space="0" w:color="auto"/>
        <w:left w:val="none" w:sz="0" w:space="0" w:color="auto"/>
        <w:bottom w:val="none" w:sz="0" w:space="0" w:color="auto"/>
        <w:right w:val="none" w:sz="0" w:space="0" w:color="auto"/>
      </w:divBdr>
    </w:div>
    <w:div w:id="261300289">
      <w:bodyDiv w:val="1"/>
      <w:marLeft w:val="0"/>
      <w:marRight w:val="0"/>
      <w:marTop w:val="0"/>
      <w:marBottom w:val="0"/>
      <w:divBdr>
        <w:top w:val="none" w:sz="0" w:space="0" w:color="auto"/>
        <w:left w:val="none" w:sz="0" w:space="0" w:color="auto"/>
        <w:bottom w:val="none" w:sz="0" w:space="0" w:color="auto"/>
        <w:right w:val="none" w:sz="0" w:space="0" w:color="auto"/>
      </w:divBdr>
      <w:divsChild>
        <w:div w:id="2137751327">
          <w:marLeft w:val="720"/>
          <w:marRight w:val="0"/>
          <w:marTop w:val="200"/>
          <w:marBottom w:val="0"/>
          <w:divBdr>
            <w:top w:val="none" w:sz="0" w:space="0" w:color="auto"/>
            <w:left w:val="none" w:sz="0" w:space="0" w:color="auto"/>
            <w:bottom w:val="none" w:sz="0" w:space="0" w:color="auto"/>
            <w:right w:val="none" w:sz="0" w:space="0" w:color="auto"/>
          </w:divBdr>
        </w:div>
        <w:div w:id="989669742">
          <w:marLeft w:val="720"/>
          <w:marRight w:val="0"/>
          <w:marTop w:val="200"/>
          <w:marBottom w:val="0"/>
          <w:divBdr>
            <w:top w:val="none" w:sz="0" w:space="0" w:color="auto"/>
            <w:left w:val="none" w:sz="0" w:space="0" w:color="auto"/>
            <w:bottom w:val="none" w:sz="0" w:space="0" w:color="auto"/>
            <w:right w:val="none" w:sz="0" w:space="0" w:color="auto"/>
          </w:divBdr>
        </w:div>
        <w:div w:id="1271085524">
          <w:marLeft w:val="1166"/>
          <w:marRight w:val="0"/>
          <w:marTop w:val="200"/>
          <w:marBottom w:val="0"/>
          <w:divBdr>
            <w:top w:val="none" w:sz="0" w:space="0" w:color="auto"/>
            <w:left w:val="none" w:sz="0" w:space="0" w:color="auto"/>
            <w:bottom w:val="none" w:sz="0" w:space="0" w:color="auto"/>
            <w:right w:val="none" w:sz="0" w:space="0" w:color="auto"/>
          </w:divBdr>
        </w:div>
        <w:div w:id="1832060491">
          <w:marLeft w:val="1166"/>
          <w:marRight w:val="0"/>
          <w:marTop w:val="200"/>
          <w:marBottom w:val="0"/>
          <w:divBdr>
            <w:top w:val="none" w:sz="0" w:space="0" w:color="auto"/>
            <w:left w:val="none" w:sz="0" w:space="0" w:color="auto"/>
            <w:bottom w:val="none" w:sz="0" w:space="0" w:color="auto"/>
            <w:right w:val="none" w:sz="0" w:space="0" w:color="auto"/>
          </w:divBdr>
        </w:div>
        <w:div w:id="1519659498">
          <w:marLeft w:val="720"/>
          <w:marRight w:val="0"/>
          <w:marTop w:val="200"/>
          <w:marBottom w:val="0"/>
          <w:divBdr>
            <w:top w:val="none" w:sz="0" w:space="0" w:color="auto"/>
            <w:left w:val="none" w:sz="0" w:space="0" w:color="auto"/>
            <w:bottom w:val="none" w:sz="0" w:space="0" w:color="auto"/>
            <w:right w:val="none" w:sz="0" w:space="0" w:color="auto"/>
          </w:divBdr>
        </w:div>
        <w:div w:id="1508445825">
          <w:marLeft w:val="1166"/>
          <w:marRight w:val="0"/>
          <w:marTop w:val="200"/>
          <w:marBottom w:val="0"/>
          <w:divBdr>
            <w:top w:val="none" w:sz="0" w:space="0" w:color="auto"/>
            <w:left w:val="none" w:sz="0" w:space="0" w:color="auto"/>
            <w:bottom w:val="none" w:sz="0" w:space="0" w:color="auto"/>
            <w:right w:val="none" w:sz="0" w:space="0" w:color="auto"/>
          </w:divBdr>
        </w:div>
        <w:div w:id="1855413725">
          <w:marLeft w:val="1800"/>
          <w:marRight w:val="0"/>
          <w:marTop w:val="200"/>
          <w:marBottom w:val="0"/>
          <w:divBdr>
            <w:top w:val="none" w:sz="0" w:space="0" w:color="auto"/>
            <w:left w:val="none" w:sz="0" w:space="0" w:color="auto"/>
            <w:bottom w:val="none" w:sz="0" w:space="0" w:color="auto"/>
            <w:right w:val="none" w:sz="0" w:space="0" w:color="auto"/>
          </w:divBdr>
        </w:div>
        <w:div w:id="1305742468">
          <w:marLeft w:val="1166"/>
          <w:marRight w:val="0"/>
          <w:marTop w:val="200"/>
          <w:marBottom w:val="0"/>
          <w:divBdr>
            <w:top w:val="none" w:sz="0" w:space="0" w:color="auto"/>
            <w:left w:val="none" w:sz="0" w:space="0" w:color="auto"/>
            <w:bottom w:val="none" w:sz="0" w:space="0" w:color="auto"/>
            <w:right w:val="none" w:sz="0" w:space="0" w:color="auto"/>
          </w:divBdr>
        </w:div>
        <w:div w:id="447162163">
          <w:marLeft w:val="1800"/>
          <w:marRight w:val="0"/>
          <w:marTop w:val="200"/>
          <w:marBottom w:val="0"/>
          <w:divBdr>
            <w:top w:val="none" w:sz="0" w:space="0" w:color="auto"/>
            <w:left w:val="none" w:sz="0" w:space="0" w:color="auto"/>
            <w:bottom w:val="none" w:sz="0" w:space="0" w:color="auto"/>
            <w:right w:val="none" w:sz="0" w:space="0" w:color="auto"/>
          </w:divBdr>
        </w:div>
        <w:div w:id="1658418972">
          <w:marLeft w:val="1800"/>
          <w:marRight w:val="0"/>
          <w:marTop w:val="200"/>
          <w:marBottom w:val="0"/>
          <w:divBdr>
            <w:top w:val="none" w:sz="0" w:space="0" w:color="auto"/>
            <w:left w:val="none" w:sz="0" w:space="0" w:color="auto"/>
            <w:bottom w:val="none" w:sz="0" w:space="0" w:color="auto"/>
            <w:right w:val="none" w:sz="0" w:space="0" w:color="auto"/>
          </w:divBdr>
        </w:div>
      </w:divsChild>
    </w:div>
    <w:div w:id="271326673">
      <w:bodyDiv w:val="1"/>
      <w:marLeft w:val="0"/>
      <w:marRight w:val="0"/>
      <w:marTop w:val="0"/>
      <w:marBottom w:val="0"/>
      <w:divBdr>
        <w:top w:val="none" w:sz="0" w:space="0" w:color="auto"/>
        <w:left w:val="none" w:sz="0" w:space="0" w:color="auto"/>
        <w:bottom w:val="none" w:sz="0" w:space="0" w:color="auto"/>
        <w:right w:val="none" w:sz="0" w:space="0" w:color="auto"/>
      </w:divBdr>
    </w:div>
    <w:div w:id="354621891">
      <w:bodyDiv w:val="1"/>
      <w:marLeft w:val="0"/>
      <w:marRight w:val="0"/>
      <w:marTop w:val="0"/>
      <w:marBottom w:val="0"/>
      <w:divBdr>
        <w:top w:val="none" w:sz="0" w:space="0" w:color="auto"/>
        <w:left w:val="none" w:sz="0" w:space="0" w:color="auto"/>
        <w:bottom w:val="none" w:sz="0" w:space="0" w:color="auto"/>
        <w:right w:val="none" w:sz="0" w:space="0" w:color="auto"/>
      </w:divBdr>
    </w:div>
    <w:div w:id="444882305">
      <w:bodyDiv w:val="1"/>
      <w:marLeft w:val="0"/>
      <w:marRight w:val="0"/>
      <w:marTop w:val="0"/>
      <w:marBottom w:val="0"/>
      <w:divBdr>
        <w:top w:val="none" w:sz="0" w:space="0" w:color="auto"/>
        <w:left w:val="none" w:sz="0" w:space="0" w:color="auto"/>
        <w:bottom w:val="none" w:sz="0" w:space="0" w:color="auto"/>
        <w:right w:val="none" w:sz="0" w:space="0" w:color="auto"/>
      </w:divBdr>
    </w:div>
    <w:div w:id="496650171">
      <w:bodyDiv w:val="1"/>
      <w:marLeft w:val="0"/>
      <w:marRight w:val="0"/>
      <w:marTop w:val="0"/>
      <w:marBottom w:val="0"/>
      <w:divBdr>
        <w:top w:val="none" w:sz="0" w:space="0" w:color="auto"/>
        <w:left w:val="none" w:sz="0" w:space="0" w:color="auto"/>
        <w:bottom w:val="none" w:sz="0" w:space="0" w:color="auto"/>
        <w:right w:val="none" w:sz="0" w:space="0" w:color="auto"/>
      </w:divBdr>
      <w:divsChild>
        <w:div w:id="1813056430">
          <w:marLeft w:val="0"/>
          <w:marRight w:val="0"/>
          <w:marTop w:val="0"/>
          <w:marBottom w:val="0"/>
          <w:divBdr>
            <w:top w:val="none" w:sz="0" w:space="0" w:color="auto"/>
            <w:left w:val="none" w:sz="0" w:space="0" w:color="auto"/>
            <w:bottom w:val="none" w:sz="0" w:space="0" w:color="auto"/>
            <w:right w:val="none" w:sz="0" w:space="0" w:color="auto"/>
          </w:divBdr>
          <w:divsChild>
            <w:div w:id="737288007">
              <w:marLeft w:val="0"/>
              <w:marRight w:val="0"/>
              <w:marTop w:val="0"/>
              <w:marBottom w:val="0"/>
              <w:divBdr>
                <w:top w:val="none" w:sz="0" w:space="0" w:color="auto"/>
                <w:left w:val="none" w:sz="0" w:space="0" w:color="auto"/>
                <w:bottom w:val="none" w:sz="0" w:space="0" w:color="auto"/>
                <w:right w:val="none" w:sz="0" w:space="0" w:color="auto"/>
              </w:divBdr>
              <w:divsChild>
                <w:div w:id="509570113">
                  <w:marLeft w:val="0"/>
                  <w:marRight w:val="0"/>
                  <w:marTop w:val="136"/>
                  <w:marBottom w:val="0"/>
                  <w:divBdr>
                    <w:top w:val="none" w:sz="0" w:space="0" w:color="auto"/>
                    <w:left w:val="none" w:sz="0" w:space="0" w:color="auto"/>
                    <w:bottom w:val="none" w:sz="0" w:space="0" w:color="auto"/>
                    <w:right w:val="none" w:sz="0" w:space="0" w:color="auto"/>
                  </w:divBdr>
                  <w:divsChild>
                    <w:div w:id="139010783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07225">
      <w:bodyDiv w:val="1"/>
      <w:marLeft w:val="0"/>
      <w:marRight w:val="0"/>
      <w:marTop w:val="0"/>
      <w:marBottom w:val="0"/>
      <w:divBdr>
        <w:top w:val="none" w:sz="0" w:space="0" w:color="auto"/>
        <w:left w:val="none" w:sz="0" w:space="0" w:color="auto"/>
        <w:bottom w:val="none" w:sz="0" w:space="0" w:color="auto"/>
        <w:right w:val="none" w:sz="0" w:space="0" w:color="auto"/>
      </w:divBdr>
    </w:div>
    <w:div w:id="705838224">
      <w:bodyDiv w:val="1"/>
      <w:marLeft w:val="0"/>
      <w:marRight w:val="0"/>
      <w:marTop w:val="0"/>
      <w:marBottom w:val="0"/>
      <w:divBdr>
        <w:top w:val="none" w:sz="0" w:space="0" w:color="auto"/>
        <w:left w:val="none" w:sz="0" w:space="0" w:color="auto"/>
        <w:bottom w:val="none" w:sz="0" w:space="0" w:color="auto"/>
        <w:right w:val="none" w:sz="0" w:space="0" w:color="auto"/>
      </w:divBdr>
      <w:divsChild>
        <w:div w:id="1798447076">
          <w:marLeft w:val="547"/>
          <w:marRight w:val="0"/>
          <w:marTop w:val="200"/>
          <w:marBottom w:val="0"/>
          <w:divBdr>
            <w:top w:val="none" w:sz="0" w:space="0" w:color="auto"/>
            <w:left w:val="none" w:sz="0" w:space="0" w:color="auto"/>
            <w:bottom w:val="none" w:sz="0" w:space="0" w:color="auto"/>
            <w:right w:val="none" w:sz="0" w:space="0" w:color="auto"/>
          </w:divBdr>
        </w:div>
        <w:div w:id="901599297">
          <w:marLeft w:val="547"/>
          <w:marRight w:val="0"/>
          <w:marTop w:val="200"/>
          <w:marBottom w:val="0"/>
          <w:divBdr>
            <w:top w:val="none" w:sz="0" w:space="0" w:color="auto"/>
            <w:left w:val="none" w:sz="0" w:space="0" w:color="auto"/>
            <w:bottom w:val="none" w:sz="0" w:space="0" w:color="auto"/>
            <w:right w:val="none" w:sz="0" w:space="0" w:color="auto"/>
          </w:divBdr>
        </w:div>
        <w:div w:id="1169055954">
          <w:marLeft w:val="547"/>
          <w:marRight w:val="0"/>
          <w:marTop w:val="200"/>
          <w:marBottom w:val="0"/>
          <w:divBdr>
            <w:top w:val="none" w:sz="0" w:space="0" w:color="auto"/>
            <w:left w:val="none" w:sz="0" w:space="0" w:color="auto"/>
            <w:bottom w:val="none" w:sz="0" w:space="0" w:color="auto"/>
            <w:right w:val="none" w:sz="0" w:space="0" w:color="auto"/>
          </w:divBdr>
        </w:div>
        <w:div w:id="1592347007">
          <w:marLeft w:val="1166"/>
          <w:marRight w:val="0"/>
          <w:marTop w:val="200"/>
          <w:marBottom w:val="0"/>
          <w:divBdr>
            <w:top w:val="none" w:sz="0" w:space="0" w:color="auto"/>
            <w:left w:val="none" w:sz="0" w:space="0" w:color="auto"/>
            <w:bottom w:val="none" w:sz="0" w:space="0" w:color="auto"/>
            <w:right w:val="none" w:sz="0" w:space="0" w:color="auto"/>
          </w:divBdr>
        </w:div>
        <w:div w:id="1041712589">
          <w:marLeft w:val="1166"/>
          <w:marRight w:val="0"/>
          <w:marTop w:val="200"/>
          <w:marBottom w:val="0"/>
          <w:divBdr>
            <w:top w:val="none" w:sz="0" w:space="0" w:color="auto"/>
            <w:left w:val="none" w:sz="0" w:space="0" w:color="auto"/>
            <w:bottom w:val="none" w:sz="0" w:space="0" w:color="auto"/>
            <w:right w:val="none" w:sz="0" w:space="0" w:color="auto"/>
          </w:divBdr>
        </w:div>
        <w:div w:id="1799453078">
          <w:marLeft w:val="1166"/>
          <w:marRight w:val="0"/>
          <w:marTop w:val="200"/>
          <w:marBottom w:val="0"/>
          <w:divBdr>
            <w:top w:val="none" w:sz="0" w:space="0" w:color="auto"/>
            <w:left w:val="none" w:sz="0" w:space="0" w:color="auto"/>
            <w:bottom w:val="none" w:sz="0" w:space="0" w:color="auto"/>
            <w:right w:val="none" w:sz="0" w:space="0" w:color="auto"/>
          </w:divBdr>
        </w:div>
      </w:divsChild>
    </w:div>
    <w:div w:id="849563385">
      <w:bodyDiv w:val="1"/>
      <w:marLeft w:val="0"/>
      <w:marRight w:val="0"/>
      <w:marTop w:val="0"/>
      <w:marBottom w:val="0"/>
      <w:divBdr>
        <w:top w:val="none" w:sz="0" w:space="0" w:color="auto"/>
        <w:left w:val="none" w:sz="0" w:space="0" w:color="auto"/>
        <w:bottom w:val="none" w:sz="0" w:space="0" w:color="auto"/>
        <w:right w:val="none" w:sz="0" w:space="0" w:color="auto"/>
      </w:divBdr>
    </w:div>
    <w:div w:id="926352079">
      <w:bodyDiv w:val="1"/>
      <w:marLeft w:val="0"/>
      <w:marRight w:val="0"/>
      <w:marTop w:val="0"/>
      <w:marBottom w:val="0"/>
      <w:divBdr>
        <w:top w:val="none" w:sz="0" w:space="0" w:color="auto"/>
        <w:left w:val="none" w:sz="0" w:space="0" w:color="auto"/>
        <w:bottom w:val="none" w:sz="0" w:space="0" w:color="auto"/>
        <w:right w:val="none" w:sz="0" w:space="0" w:color="auto"/>
      </w:divBdr>
    </w:div>
    <w:div w:id="1018700443">
      <w:bodyDiv w:val="1"/>
      <w:marLeft w:val="0"/>
      <w:marRight w:val="0"/>
      <w:marTop w:val="0"/>
      <w:marBottom w:val="0"/>
      <w:divBdr>
        <w:top w:val="none" w:sz="0" w:space="0" w:color="auto"/>
        <w:left w:val="none" w:sz="0" w:space="0" w:color="auto"/>
        <w:bottom w:val="none" w:sz="0" w:space="0" w:color="auto"/>
        <w:right w:val="none" w:sz="0" w:space="0" w:color="auto"/>
      </w:divBdr>
    </w:div>
    <w:div w:id="1022054671">
      <w:bodyDiv w:val="1"/>
      <w:marLeft w:val="0"/>
      <w:marRight w:val="0"/>
      <w:marTop w:val="0"/>
      <w:marBottom w:val="0"/>
      <w:divBdr>
        <w:top w:val="none" w:sz="0" w:space="0" w:color="auto"/>
        <w:left w:val="none" w:sz="0" w:space="0" w:color="auto"/>
        <w:bottom w:val="none" w:sz="0" w:space="0" w:color="auto"/>
        <w:right w:val="none" w:sz="0" w:space="0" w:color="auto"/>
      </w:divBdr>
    </w:div>
    <w:div w:id="1042364978">
      <w:bodyDiv w:val="1"/>
      <w:marLeft w:val="0"/>
      <w:marRight w:val="0"/>
      <w:marTop w:val="0"/>
      <w:marBottom w:val="0"/>
      <w:divBdr>
        <w:top w:val="none" w:sz="0" w:space="0" w:color="auto"/>
        <w:left w:val="none" w:sz="0" w:space="0" w:color="auto"/>
        <w:bottom w:val="none" w:sz="0" w:space="0" w:color="auto"/>
        <w:right w:val="none" w:sz="0" w:space="0" w:color="auto"/>
      </w:divBdr>
      <w:divsChild>
        <w:div w:id="1720201408">
          <w:marLeft w:val="0"/>
          <w:marRight w:val="0"/>
          <w:marTop w:val="0"/>
          <w:marBottom w:val="0"/>
          <w:divBdr>
            <w:top w:val="none" w:sz="0" w:space="0" w:color="auto"/>
            <w:left w:val="none" w:sz="0" w:space="0" w:color="auto"/>
            <w:bottom w:val="none" w:sz="0" w:space="0" w:color="auto"/>
            <w:right w:val="none" w:sz="0" w:space="0" w:color="auto"/>
          </w:divBdr>
          <w:divsChild>
            <w:div w:id="1224830005">
              <w:marLeft w:val="0"/>
              <w:marRight w:val="0"/>
              <w:marTop w:val="0"/>
              <w:marBottom w:val="0"/>
              <w:divBdr>
                <w:top w:val="none" w:sz="0" w:space="0" w:color="auto"/>
                <w:left w:val="none" w:sz="0" w:space="0" w:color="auto"/>
                <w:bottom w:val="none" w:sz="0" w:space="0" w:color="auto"/>
                <w:right w:val="none" w:sz="0" w:space="0" w:color="auto"/>
              </w:divBdr>
              <w:divsChild>
                <w:div w:id="1006594664">
                  <w:marLeft w:val="0"/>
                  <w:marRight w:val="0"/>
                  <w:marTop w:val="0"/>
                  <w:marBottom w:val="0"/>
                  <w:divBdr>
                    <w:top w:val="none" w:sz="0" w:space="0" w:color="auto"/>
                    <w:left w:val="none" w:sz="0" w:space="0" w:color="auto"/>
                    <w:bottom w:val="none" w:sz="0" w:space="0" w:color="auto"/>
                    <w:right w:val="none" w:sz="0" w:space="0" w:color="auto"/>
                  </w:divBdr>
                  <w:divsChild>
                    <w:div w:id="1828744214">
                      <w:marLeft w:val="0"/>
                      <w:marRight w:val="0"/>
                      <w:marTop w:val="0"/>
                      <w:marBottom w:val="0"/>
                      <w:divBdr>
                        <w:top w:val="none" w:sz="0" w:space="0" w:color="auto"/>
                        <w:left w:val="none" w:sz="0" w:space="0" w:color="auto"/>
                        <w:bottom w:val="none" w:sz="0" w:space="0" w:color="auto"/>
                        <w:right w:val="none" w:sz="0" w:space="0" w:color="auto"/>
                      </w:divBdr>
                      <w:divsChild>
                        <w:div w:id="832721021">
                          <w:marLeft w:val="0"/>
                          <w:marRight w:val="0"/>
                          <w:marTop w:val="0"/>
                          <w:marBottom w:val="0"/>
                          <w:divBdr>
                            <w:top w:val="none" w:sz="0" w:space="0" w:color="auto"/>
                            <w:left w:val="none" w:sz="0" w:space="0" w:color="auto"/>
                            <w:bottom w:val="none" w:sz="0" w:space="0" w:color="auto"/>
                            <w:right w:val="none" w:sz="0" w:space="0" w:color="auto"/>
                          </w:divBdr>
                          <w:divsChild>
                            <w:div w:id="677271699">
                              <w:marLeft w:val="0"/>
                              <w:marRight w:val="0"/>
                              <w:marTop w:val="0"/>
                              <w:marBottom w:val="0"/>
                              <w:divBdr>
                                <w:top w:val="none" w:sz="0" w:space="0" w:color="auto"/>
                                <w:left w:val="none" w:sz="0" w:space="0" w:color="auto"/>
                                <w:bottom w:val="none" w:sz="0" w:space="0" w:color="auto"/>
                                <w:right w:val="none" w:sz="0" w:space="0" w:color="auto"/>
                              </w:divBdr>
                              <w:divsChild>
                                <w:div w:id="854005879">
                                  <w:marLeft w:val="0"/>
                                  <w:marRight w:val="0"/>
                                  <w:marTop w:val="0"/>
                                  <w:marBottom w:val="0"/>
                                  <w:divBdr>
                                    <w:top w:val="none" w:sz="0" w:space="0" w:color="auto"/>
                                    <w:left w:val="none" w:sz="0" w:space="0" w:color="auto"/>
                                    <w:bottom w:val="none" w:sz="0" w:space="0" w:color="auto"/>
                                    <w:right w:val="none" w:sz="0" w:space="0" w:color="auto"/>
                                  </w:divBdr>
                                  <w:divsChild>
                                    <w:div w:id="464126430">
                                      <w:marLeft w:val="0"/>
                                      <w:marRight w:val="0"/>
                                      <w:marTop w:val="0"/>
                                      <w:marBottom w:val="0"/>
                                      <w:divBdr>
                                        <w:top w:val="none" w:sz="0" w:space="0" w:color="auto"/>
                                        <w:left w:val="none" w:sz="0" w:space="0" w:color="auto"/>
                                        <w:bottom w:val="none" w:sz="0" w:space="0" w:color="auto"/>
                                        <w:right w:val="none" w:sz="0" w:space="0" w:color="auto"/>
                                      </w:divBdr>
                                      <w:divsChild>
                                        <w:div w:id="1745100326">
                                          <w:marLeft w:val="0"/>
                                          <w:marRight w:val="0"/>
                                          <w:marTop w:val="0"/>
                                          <w:marBottom w:val="0"/>
                                          <w:divBdr>
                                            <w:top w:val="none" w:sz="0" w:space="0" w:color="auto"/>
                                            <w:left w:val="none" w:sz="0" w:space="0" w:color="auto"/>
                                            <w:bottom w:val="none" w:sz="0" w:space="0" w:color="auto"/>
                                            <w:right w:val="none" w:sz="0" w:space="0" w:color="auto"/>
                                          </w:divBdr>
                                          <w:divsChild>
                                            <w:div w:id="2082292683">
                                              <w:marLeft w:val="0"/>
                                              <w:marRight w:val="0"/>
                                              <w:marTop w:val="0"/>
                                              <w:marBottom w:val="0"/>
                                              <w:divBdr>
                                                <w:top w:val="none" w:sz="0" w:space="0" w:color="auto"/>
                                                <w:left w:val="none" w:sz="0" w:space="0" w:color="auto"/>
                                                <w:bottom w:val="none" w:sz="0" w:space="0" w:color="auto"/>
                                                <w:right w:val="none" w:sz="0" w:space="0" w:color="auto"/>
                                              </w:divBdr>
                                              <w:divsChild>
                                                <w:div w:id="114296582">
                                                  <w:marLeft w:val="0"/>
                                                  <w:marRight w:val="69"/>
                                                  <w:marTop w:val="0"/>
                                                  <w:marBottom w:val="0"/>
                                                  <w:divBdr>
                                                    <w:top w:val="none" w:sz="0" w:space="0" w:color="auto"/>
                                                    <w:left w:val="none" w:sz="0" w:space="0" w:color="auto"/>
                                                    <w:bottom w:val="none" w:sz="0" w:space="0" w:color="auto"/>
                                                    <w:right w:val="none" w:sz="0" w:space="0" w:color="auto"/>
                                                  </w:divBdr>
                                                  <w:divsChild>
                                                    <w:div w:id="315424828">
                                                      <w:marLeft w:val="0"/>
                                                      <w:marRight w:val="0"/>
                                                      <w:marTop w:val="0"/>
                                                      <w:marBottom w:val="0"/>
                                                      <w:divBdr>
                                                        <w:top w:val="none" w:sz="0" w:space="0" w:color="auto"/>
                                                        <w:left w:val="none" w:sz="0" w:space="0" w:color="auto"/>
                                                        <w:bottom w:val="none" w:sz="0" w:space="0" w:color="auto"/>
                                                        <w:right w:val="none" w:sz="0" w:space="0" w:color="auto"/>
                                                      </w:divBdr>
                                                      <w:divsChild>
                                                        <w:div w:id="508372805">
                                                          <w:marLeft w:val="0"/>
                                                          <w:marRight w:val="0"/>
                                                          <w:marTop w:val="0"/>
                                                          <w:marBottom w:val="0"/>
                                                          <w:divBdr>
                                                            <w:top w:val="none" w:sz="0" w:space="0" w:color="auto"/>
                                                            <w:left w:val="none" w:sz="0" w:space="0" w:color="auto"/>
                                                            <w:bottom w:val="none" w:sz="0" w:space="0" w:color="auto"/>
                                                            <w:right w:val="none" w:sz="0" w:space="0" w:color="auto"/>
                                                          </w:divBdr>
                                                          <w:divsChild>
                                                            <w:div w:id="953636938">
                                                              <w:marLeft w:val="0"/>
                                                              <w:marRight w:val="0"/>
                                                              <w:marTop w:val="0"/>
                                                              <w:marBottom w:val="0"/>
                                                              <w:divBdr>
                                                                <w:top w:val="none" w:sz="0" w:space="0" w:color="auto"/>
                                                                <w:left w:val="none" w:sz="0" w:space="0" w:color="auto"/>
                                                                <w:bottom w:val="none" w:sz="0" w:space="0" w:color="auto"/>
                                                                <w:right w:val="none" w:sz="0" w:space="0" w:color="auto"/>
                                                              </w:divBdr>
                                                              <w:divsChild>
                                                                <w:div w:id="900991151">
                                                                  <w:marLeft w:val="0"/>
                                                                  <w:marRight w:val="0"/>
                                                                  <w:marTop w:val="0"/>
                                                                  <w:marBottom w:val="81"/>
                                                                  <w:divBdr>
                                                                    <w:top w:val="single" w:sz="4" w:space="0" w:color="EDEDED"/>
                                                                    <w:left w:val="single" w:sz="4" w:space="0" w:color="EDEDED"/>
                                                                    <w:bottom w:val="single" w:sz="4" w:space="0" w:color="EDEDED"/>
                                                                    <w:right w:val="single" w:sz="4" w:space="0" w:color="EDEDED"/>
                                                                  </w:divBdr>
                                                                  <w:divsChild>
                                                                    <w:div w:id="1011109771">
                                                                      <w:marLeft w:val="0"/>
                                                                      <w:marRight w:val="0"/>
                                                                      <w:marTop w:val="0"/>
                                                                      <w:marBottom w:val="0"/>
                                                                      <w:divBdr>
                                                                        <w:top w:val="none" w:sz="0" w:space="0" w:color="auto"/>
                                                                        <w:left w:val="none" w:sz="0" w:space="0" w:color="auto"/>
                                                                        <w:bottom w:val="none" w:sz="0" w:space="0" w:color="auto"/>
                                                                        <w:right w:val="none" w:sz="0" w:space="0" w:color="auto"/>
                                                                      </w:divBdr>
                                                                      <w:divsChild>
                                                                        <w:div w:id="1332834957">
                                                                          <w:marLeft w:val="0"/>
                                                                          <w:marRight w:val="0"/>
                                                                          <w:marTop w:val="0"/>
                                                                          <w:marBottom w:val="0"/>
                                                                          <w:divBdr>
                                                                            <w:top w:val="none" w:sz="0" w:space="0" w:color="auto"/>
                                                                            <w:left w:val="none" w:sz="0" w:space="0" w:color="auto"/>
                                                                            <w:bottom w:val="none" w:sz="0" w:space="0" w:color="auto"/>
                                                                            <w:right w:val="none" w:sz="0" w:space="0" w:color="auto"/>
                                                                          </w:divBdr>
                                                                          <w:divsChild>
                                                                            <w:div w:id="1073897114">
                                                                              <w:marLeft w:val="0"/>
                                                                              <w:marRight w:val="0"/>
                                                                              <w:marTop w:val="0"/>
                                                                              <w:marBottom w:val="0"/>
                                                                              <w:divBdr>
                                                                                <w:top w:val="none" w:sz="0" w:space="0" w:color="auto"/>
                                                                                <w:left w:val="none" w:sz="0" w:space="0" w:color="auto"/>
                                                                                <w:bottom w:val="none" w:sz="0" w:space="0" w:color="auto"/>
                                                                                <w:right w:val="none" w:sz="0" w:space="0" w:color="auto"/>
                                                                              </w:divBdr>
                                                                              <w:divsChild>
                                                                                <w:div w:id="1946375839">
                                                                                  <w:marLeft w:val="138"/>
                                                                                  <w:marRight w:val="138"/>
                                                                                  <w:marTop w:val="0"/>
                                                                                  <w:marBottom w:val="0"/>
                                                                                  <w:divBdr>
                                                                                    <w:top w:val="none" w:sz="0" w:space="0" w:color="auto"/>
                                                                                    <w:left w:val="none" w:sz="0" w:space="0" w:color="auto"/>
                                                                                    <w:bottom w:val="none" w:sz="0" w:space="0" w:color="auto"/>
                                                                                    <w:right w:val="none" w:sz="0" w:space="0" w:color="auto"/>
                                                                                  </w:divBdr>
                                                                                  <w:divsChild>
                                                                                    <w:div w:id="327098423">
                                                                                      <w:marLeft w:val="0"/>
                                                                                      <w:marRight w:val="0"/>
                                                                                      <w:marTop w:val="0"/>
                                                                                      <w:marBottom w:val="0"/>
                                                                                      <w:divBdr>
                                                                                        <w:top w:val="none" w:sz="0" w:space="0" w:color="auto"/>
                                                                                        <w:left w:val="none" w:sz="0" w:space="0" w:color="auto"/>
                                                                                        <w:bottom w:val="none" w:sz="0" w:space="0" w:color="auto"/>
                                                                                        <w:right w:val="none" w:sz="0" w:space="0" w:color="auto"/>
                                                                                      </w:divBdr>
                                                                                      <w:divsChild>
                                                                                        <w:div w:id="3489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941121">
      <w:bodyDiv w:val="1"/>
      <w:marLeft w:val="0"/>
      <w:marRight w:val="0"/>
      <w:marTop w:val="0"/>
      <w:marBottom w:val="0"/>
      <w:divBdr>
        <w:top w:val="none" w:sz="0" w:space="0" w:color="auto"/>
        <w:left w:val="none" w:sz="0" w:space="0" w:color="auto"/>
        <w:bottom w:val="none" w:sz="0" w:space="0" w:color="auto"/>
        <w:right w:val="none" w:sz="0" w:space="0" w:color="auto"/>
      </w:divBdr>
    </w:div>
    <w:div w:id="1151560095">
      <w:bodyDiv w:val="1"/>
      <w:marLeft w:val="0"/>
      <w:marRight w:val="0"/>
      <w:marTop w:val="0"/>
      <w:marBottom w:val="0"/>
      <w:divBdr>
        <w:top w:val="none" w:sz="0" w:space="0" w:color="auto"/>
        <w:left w:val="none" w:sz="0" w:space="0" w:color="auto"/>
        <w:bottom w:val="none" w:sz="0" w:space="0" w:color="auto"/>
        <w:right w:val="none" w:sz="0" w:space="0" w:color="auto"/>
      </w:divBdr>
    </w:div>
    <w:div w:id="1154301208">
      <w:bodyDiv w:val="1"/>
      <w:marLeft w:val="0"/>
      <w:marRight w:val="0"/>
      <w:marTop w:val="0"/>
      <w:marBottom w:val="0"/>
      <w:divBdr>
        <w:top w:val="none" w:sz="0" w:space="0" w:color="auto"/>
        <w:left w:val="none" w:sz="0" w:space="0" w:color="auto"/>
        <w:bottom w:val="none" w:sz="0" w:space="0" w:color="auto"/>
        <w:right w:val="none" w:sz="0" w:space="0" w:color="auto"/>
      </w:divBdr>
    </w:div>
    <w:div w:id="1205556823">
      <w:bodyDiv w:val="1"/>
      <w:marLeft w:val="0"/>
      <w:marRight w:val="0"/>
      <w:marTop w:val="0"/>
      <w:marBottom w:val="0"/>
      <w:divBdr>
        <w:top w:val="none" w:sz="0" w:space="0" w:color="auto"/>
        <w:left w:val="none" w:sz="0" w:space="0" w:color="auto"/>
        <w:bottom w:val="none" w:sz="0" w:space="0" w:color="auto"/>
        <w:right w:val="none" w:sz="0" w:space="0" w:color="auto"/>
      </w:divBdr>
    </w:div>
    <w:div w:id="1239287874">
      <w:bodyDiv w:val="1"/>
      <w:marLeft w:val="0"/>
      <w:marRight w:val="0"/>
      <w:marTop w:val="0"/>
      <w:marBottom w:val="0"/>
      <w:divBdr>
        <w:top w:val="none" w:sz="0" w:space="0" w:color="auto"/>
        <w:left w:val="none" w:sz="0" w:space="0" w:color="auto"/>
        <w:bottom w:val="none" w:sz="0" w:space="0" w:color="auto"/>
        <w:right w:val="none" w:sz="0" w:space="0" w:color="auto"/>
      </w:divBdr>
    </w:div>
    <w:div w:id="1242518684">
      <w:bodyDiv w:val="1"/>
      <w:marLeft w:val="0"/>
      <w:marRight w:val="0"/>
      <w:marTop w:val="0"/>
      <w:marBottom w:val="0"/>
      <w:divBdr>
        <w:top w:val="none" w:sz="0" w:space="0" w:color="auto"/>
        <w:left w:val="none" w:sz="0" w:space="0" w:color="auto"/>
        <w:bottom w:val="none" w:sz="0" w:space="0" w:color="auto"/>
        <w:right w:val="none" w:sz="0" w:space="0" w:color="auto"/>
      </w:divBdr>
    </w:div>
    <w:div w:id="1245067630">
      <w:bodyDiv w:val="1"/>
      <w:marLeft w:val="0"/>
      <w:marRight w:val="0"/>
      <w:marTop w:val="0"/>
      <w:marBottom w:val="0"/>
      <w:divBdr>
        <w:top w:val="none" w:sz="0" w:space="0" w:color="auto"/>
        <w:left w:val="none" w:sz="0" w:space="0" w:color="auto"/>
        <w:bottom w:val="none" w:sz="0" w:space="0" w:color="auto"/>
        <w:right w:val="none" w:sz="0" w:space="0" w:color="auto"/>
      </w:divBdr>
      <w:divsChild>
        <w:div w:id="2078237870">
          <w:marLeft w:val="1166"/>
          <w:marRight w:val="0"/>
          <w:marTop w:val="200"/>
          <w:marBottom w:val="0"/>
          <w:divBdr>
            <w:top w:val="none" w:sz="0" w:space="0" w:color="auto"/>
            <w:left w:val="none" w:sz="0" w:space="0" w:color="auto"/>
            <w:bottom w:val="none" w:sz="0" w:space="0" w:color="auto"/>
            <w:right w:val="none" w:sz="0" w:space="0" w:color="auto"/>
          </w:divBdr>
        </w:div>
        <w:div w:id="36586982">
          <w:marLeft w:val="1166"/>
          <w:marRight w:val="0"/>
          <w:marTop w:val="200"/>
          <w:marBottom w:val="0"/>
          <w:divBdr>
            <w:top w:val="none" w:sz="0" w:space="0" w:color="auto"/>
            <w:left w:val="none" w:sz="0" w:space="0" w:color="auto"/>
            <w:bottom w:val="none" w:sz="0" w:space="0" w:color="auto"/>
            <w:right w:val="none" w:sz="0" w:space="0" w:color="auto"/>
          </w:divBdr>
        </w:div>
        <w:div w:id="1173110864">
          <w:marLeft w:val="1166"/>
          <w:marRight w:val="0"/>
          <w:marTop w:val="200"/>
          <w:marBottom w:val="0"/>
          <w:divBdr>
            <w:top w:val="none" w:sz="0" w:space="0" w:color="auto"/>
            <w:left w:val="none" w:sz="0" w:space="0" w:color="auto"/>
            <w:bottom w:val="none" w:sz="0" w:space="0" w:color="auto"/>
            <w:right w:val="none" w:sz="0" w:space="0" w:color="auto"/>
          </w:divBdr>
        </w:div>
        <w:div w:id="1048147929">
          <w:marLeft w:val="1166"/>
          <w:marRight w:val="0"/>
          <w:marTop w:val="200"/>
          <w:marBottom w:val="0"/>
          <w:divBdr>
            <w:top w:val="none" w:sz="0" w:space="0" w:color="auto"/>
            <w:left w:val="none" w:sz="0" w:space="0" w:color="auto"/>
            <w:bottom w:val="none" w:sz="0" w:space="0" w:color="auto"/>
            <w:right w:val="none" w:sz="0" w:space="0" w:color="auto"/>
          </w:divBdr>
        </w:div>
        <w:div w:id="1282495779">
          <w:marLeft w:val="1166"/>
          <w:marRight w:val="0"/>
          <w:marTop w:val="200"/>
          <w:marBottom w:val="0"/>
          <w:divBdr>
            <w:top w:val="none" w:sz="0" w:space="0" w:color="auto"/>
            <w:left w:val="none" w:sz="0" w:space="0" w:color="auto"/>
            <w:bottom w:val="none" w:sz="0" w:space="0" w:color="auto"/>
            <w:right w:val="none" w:sz="0" w:space="0" w:color="auto"/>
          </w:divBdr>
        </w:div>
      </w:divsChild>
    </w:div>
    <w:div w:id="1328902457">
      <w:bodyDiv w:val="1"/>
      <w:marLeft w:val="0"/>
      <w:marRight w:val="0"/>
      <w:marTop w:val="0"/>
      <w:marBottom w:val="0"/>
      <w:divBdr>
        <w:top w:val="none" w:sz="0" w:space="0" w:color="auto"/>
        <w:left w:val="none" w:sz="0" w:space="0" w:color="auto"/>
        <w:bottom w:val="none" w:sz="0" w:space="0" w:color="auto"/>
        <w:right w:val="none" w:sz="0" w:space="0" w:color="auto"/>
      </w:divBdr>
      <w:divsChild>
        <w:div w:id="653996564">
          <w:marLeft w:val="0"/>
          <w:marRight w:val="0"/>
          <w:marTop w:val="0"/>
          <w:marBottom w:val="0"/>
          <w:divBdr>
            <w:top w:val="none" w:sz="0" w:space="0" w:color="auto"/>
            <w:left w:val="none" w:sz="0" w:space="0" w:color="auto"/>
            <w:bottom w:val="none" w:sz="0" w:space="0" w:color="auto"/>
            <w:right w:val="none" w:sz="0" w:space="0" w:color="auto"/>
          </w:divBdr>
        </w:div>
      </w:divsChild>
    </w:div>
    <w:div w:id="1388915837">
      <w:bodyDiv w:val="1"/>
      <w:marLeft w:val="0"/>
      <w:marRight w:val="0"/>
      <w:marTop w:val="0"/>
      <w:marBottom w:val="0"/>
      <w:divBdr>
        <w:top w:val="none" w:sz="0" w:space="0" w:color="auto"/>
        <w:left w:val="none" w:sz="0" w:space="0" w:color="auto"/>
        <w:bottom w:val="none" w:sz="0" w:space="0" w:color="auto"/>
        <w:right w:val="none" w:sz="0" w:space="0" w:color="auto"/>
      </w:divBdr>
    </w:div>
    <w:div w:id="1483037618">
      <w:bodyDiv w:val="1"/>
      <w:marLeft w:val="0"/>
      <w:marRight w:val="0"/>
      <w:marTop w:val="0"/>
      <w:marBottom w:val="0"/>
      <w:divBdr>
        <w:top w:val="none" w:sz="0" w:space="0" w:color="auto"/>
        <w:left w:val="none" w:sz="0" w:space="0" w:color="auto"/>
        <w:bottom w:val="none" w:sz="0" w:space="0" w:color="auto"/>
        <w:right w:val="none" w:sz="0" w:space="0" w:color="auto"/>
      </w:divBdr>
    </w:div>
    <w:div w:id="1582449530">
      <w:bodyDiv w:val="1"/>
      <w:marLeft w:val="0"/>
      <w:marRight w:val="0"/>
      <w:marTop w:val="0"/>
      <w:marBottom w:val="0"/>
      <w:divBdr>
        <w:top w:val="none" w:sz="0" w:space="0" w:color="auto"/>
        <w:left w:val="none" w:sz="0" w:space="0" w:color="auto"/>
        <w:bottom w:val="none" w:sz="0" w:space="0" w:color="auto"/>
        <w:right w:val="none" w:sz="0" w:space="0" w:color="auto"/>
      </w:divBdr>
    </w:div>
    <w:div w:id="1609501995">
      <w:bodyDiv w:val="1"/>
      <w:marLeft w:val="0"/>
      <w:marRight w:val="0"/>
      <w:marTop w:val="0"/>
      <w:marBottom w:val="0"/>
      <w:divBdr>
        <w:top w:val="none" w:sz="0" w:space="0" w:color="auto"/>
        <w:left w:val="none" w:sz="0" w:space="0" w:color="auto"/>
        <w:bottom w:val="none" w:sz="0" w:space="0" w:color="auto"/>
        <w:right w:val="none" w:sz="0" w:space="0" w:color="auto"/>
      </w:divBdr>
    </w:div>
    <w:div w:id="1624538367">
      <w:bodyDiv w:val="1"/>
      <w:marLeft w:val="0"/>
      <w:marRight w:val="0"/>
      <w:marTop w:val="0"/>
      <w:marBottom w:val="0"/>
      <w:divBdr>
        <w:top w:val="none" w:sz="0" w:space="0" w:color="auto"/>
        <w:left w:val="none" w:sz="0" w:space="0" w:color="auto"/>
        <w:bottom w:val="none" w:sz="0" w:space="0" w:color="auto"/>
        <w:right w:val="none" w:sz="0" w:space="0" w:color="auto"/>
      </w:divBdr>
      <w:divsChild>
        <w:div w:id="1633511264">
          <w:marLeft w:val="547"/>
          <w:marRight w:val="0"/>
          <w:marTop w:val="200"/>
          <w:marBottom w:val="0"/>
          <w:divBdr>
            <w:top w:val="none" w:sz="0" w:space="0" w:color="auto"/>
            <w:left w:val="none" w:sz="0" w:space="0" w:color="auto"/>
            <w:bottom w:val="none" w:sz="0" w:space="0" w:color="auto"/>
            <w:right w:val="none" w:sz="0" w:space="0" w:color="auto"/>
          </w:divBdr>
        </w:div>
        <w:div w:id="1265843674">
          <w:marLeft w:val="547"/>
          <w:marRight w:val="0"/>
          <w:marTop w:val="200"/>
          <w:marBottom w:val="0"/>
          <w:divBdr>
            <w:top w:val="none" w:sz="0" w:space="0" w:color="auto"/>
            <w:left w:val="none" w:sz="0" w:space="0" w:color="auto"/>
            <w:bottom w:val="none" w:sz="0" w:space="0" w:color="auto"/>
            <w:right w:val="none" w:sz="0" w:space="0" w:color="auto"/>
          </w:divBdr>
        </w:div>
      </w:divsChild>
    </w:div>
    <w:div w:id="1650942819">
      <w:bodyDiv w:val="1"/>
      <w:marLeft w:val="0"/>
      <w:marRight w:val="0"/>
      <w:marTop w:val="0"/>
      <w:marBottom w:val="0"/>
      <w:divBdr>
        <w:top w:val="none" w:sz="0" w:space="0" w:color="auto"/>
        <w:left w:val="none" w:sz="0" w:space="0" w:color="auto"/>
        <w:bottom w:val="none" w:sz="0" w:space="0" w:color="auto"/>
        <w:right w:val="none" w:sz="0" w:space="0" w:color="auto"/>
      </w:divBdr>
    </w:div>
    <w:div w:id="1702168904">
      <w:bodyDiv w:val="1"/>
      <w:marLeft w:val="0"/>
      <w:marRight w:val="0"/>
      <w:marTop w:val="0"/>
      <w:marBottom w:val="0"/>
      <w:divBdr>
        <w:top w:val="none" w:sz="0" w:space="0" w:color="auto"/>
        <w:left w:val="none" w:sz="0" w:space="0" w:color="auto"/>
        <w:bottom w:val="none" w:sz="0" w:space="0" w:color="auto"/>
        <w:right w:val="none" w:sz="0" w:space="0" w:color="auto"/>
      </w:divBdr>
    </w:div>
    <w:div w:id="1849562030">
      <w:bodyDiv w:val="1"/>
      <w:marLeft w:val="0"/>
      <w:marRight w:val="0"/>
      <w:marTop w:val="0"/>
      <w:marBottom w:val="0"/>
      <w:divBdr>
        <w:top w:val="none" w:sz="0" w:space="0" w:color="auto"/>
        <w:left w:val="none" w:sz="0" w:space="0" w:color="auto"/>
        <w:bottom w:val="none" w:sz="0" w:space="0" w:color="auto"/>
        <w:right w:val="none" w:sz="0" w:space="0" w:color="auto"/>
      </w:divBdr>
    </w:div>
    <w:div w:id="1929733586">
      <w:bodyDiv w:val="1"/>
      <w:marLeft w:val="0"/>
      <w:marRight w:val="0"/>
      <w:marTop w:val="0"/>
      <w:marBottom w:val="0"/>
      <w:divBdr>
        <w:top w:val="none" w:sz="0" w:space="0" w:color="auto"/>
        <w:left w:val="none" w:sz="0" w:space="0" w:color="auto"/>
        <w:bottom w:val="none" w:sz="0" w:space="0" w:color="auto"/>
        <w:right w:val="none" w:sz="0" w:space="0" w:color="auto"/>
      </w:divBdr>
      <w:divsChild>
        <w:div w:id="348878134">
          <w:marLeft w:val="547"/>
          <w:marRight w:val="0"/>
          <w:marTop w:val="0"/>
          <w:marBottom w:val="0"/>
          <w:divBdr>
            <w:top w:val="none" w:sz="0" w:space="0" w:color="auto"/>
            <w:left w:val="none" w:sz="0" w:space="0" w:color="auto"/>
            <w:bottom w:val="none" w:sz="0" w:space="0" w:color="auto"/>
            <w:right w:val="none" w:sz="0" w:space="0" w:color="auto"/>
          </w:divBdr>
        </w:div>
        <w:div w:id="1049183804">
          <w:marLeft w:val="547"/>
          <w:marRight w:val="0"/>
          <w:marTop w:val="0"/>
          <w:marBottom w:val="0"/>
          <w:divBdr>
            <w:top w:val="none" w:sz="0" w:space="0" w:color="auto"/>
            <w:left w:val="none" w:sz="0" w:space="0" w:color="auto"/>
            <w:bottom w:val="none" w:sz="0" w:space="0" w:color="auto"/>
            <w:right w:val="none" w:sz="0" w:space="0" w:color="auto"/>
          </w:divBdr>
        </w:div>
        <w:div w:id="20667558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image" Target="media/image5.jpeg"/><Relationship Id="rId26" Type="http://schemas.openxmlformats.org/officeDocument/2006/relationships/hyperlink" Target="http://www.economist.com/news/middle-east-and-africa/21602249-saudi-women-are-gaining-ground-slowly-unshackling-themselves" TargetMode="External"/><Relationship Id="rId39" Type="http://schemas.openxmlformats.org/officeDocument/2006/relationships/hyperlink" Target="http://web.undp.org/evaluation/documents/thematic/ncc/NCC.pdf" TargetMode="External"/><Relationship Id="rId3" Type="http://schemas.openxmlformats.org/officeDocument/2006/relationships/styles" Target="styles.xml"/><Relationship Id="rId21" Type="http://schemas.openxmlformats.org/officeDocument/2006/relationships/hyperlink" Target="http://erc.undp.org/evaluationadmin/manageevaluation/viewevaluationdetail.html?evalid=5752" TargetMode="External"/><Relationship Id="rId34" Type="http://schemas.openxmlformats.org/officeDocument/2006/relationships/hyperlink" Target="http://erc.undp.org/evaluationadmin/manageevaluation/viewevaluationdetail.html?evalid=4051" TargetMode="External"/><Relationship Id="rId42" Type="http://schemas.openxmlformats.org/officeDocument/2006/relationships/hyperlink" Target="http://data.worldbank.org/country/saudi-arabia"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mailto:nafea.hosah@undp.org" TargetMode="External"/><Relationship Id="rId25" Type="http://schemas.openxmlformats.org/officeDocument/2006/relationships/hyperlink" Target="http://www.oxfordislamicstudies.com/Public/focus/essay1009_saudi_arabia.html" TargetMode="External"/><Relationship Id="rId33" Type="http://schemas.openxmlformats.org/officeDocument/2006/relationships/hyperlink" Target="http://hdr.undp.org/sites/default/files/hdr14-report-en-1.pdf" TargetMode="External"/><Relationship Id="rId38" Type="http://schemas.openxmlformats.org/officeDocument/2006/relationships/hyperlink" Target="http://erc.undp.org/evaluationadmin/manageevaluation/viewevaluationdetail.html?evalid=4051" TargetMode="External"/><Relationship Id="rId2" Type="http://schemas.openxmlformats.org/officeDocument/2006/relationships/numbering" Target="numbering.xml"/><Relationship Id="rId16" Type="http://schemas.openxmlformats.org/officeDocument/2006/relationships/hyperlink" Target="http://www.mixmarket.org/" TargetMode="External"/><Relationship Id="rId20" Type="http://schemas.openxmlformats.org/officeDocument/2006/relationships/hyperlink" Target="http://erc.undp.org/evaluationadmin/manageevaluation/viewevaluationdetail.html?evalid=5750" TargetMode="External"/><Relationship Id="rId29" Type="http://schemas.openxmlformats.org/officeDocument/2006/relationships/hyperlink" Target="http://www.mep.gov.sa/index.jsp;jsessionid=45651251380A82882E2B3433D5376123.alfa?event=ArticleView&amp;Article.ObjectID=79" TargetMode="External"/><Relationship Id="rId41" Type="http://schemas.openxmlformats.org/officeDocument/2006/relationships/hyperlink" Target="http://www-wds.worldbank.org/external/default/WDSContentServer/WDSP/IB/2013/02/07/000356161_20130207123902/Rendered/PDF/751810PUB0EPI002060130Opening0doo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wamda.com/2013/05/unemployment-rises-for-saudi-women" TargetMode="External"/><Relationship Id="rId32" Type="http://schemas.openxmlformats.org/officeDocument/2006/relationships/hyperlink" Target="http://hdr.undp.org/sites/default/files/reports/14/hdr2013_en_complete.pdf" TargetMode="External"/><Relationship Id="rId37" Type="http://schemas.openxmlformats.org/officeDocument/2006/relationships/hyperlink" Target="http://www.undp.org.sa/sa/documents/home/newsletter22011.pdf" TargetMode="External"/><Relationship Id="rId40" Type="http://schemas.openxmlformats.org/officeDocument/2006/relationships/hyperlink" Target="http://blogs.worldbank.org/arabvoices/alert-arab-world-women-bottom-global-workforce-participatio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alkhabeer.com/sites/default/files/Arab%20Youth%20Unemployment%20-%20English.pdf" TargetMode="External"/><Relationship Id="rId28" Type="http://schemas.openxmlformats.org/officeDocument/2006/relationships/hyperlink" Target="http://www.ilo.org/global/statistics-and-databases/lang--en/index.htm" TargetMode="External"/><Relationship Id="rId36" Type="http://schemas.openxmlformats.org/officeDocument/2006/relationships/hyperlink" Target="http://web.undp.org/evaluation/handbook/documents/english/pme-handbook.pdf" TargetMode="Externa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hyperlink" Target="http://www.markaz.com/DesktopModules/CRD/Attachments/DemographicsResearch-MarkazResearch-June%202012.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hyperlink" Target="http://www.washingtonpost.com/wp-srv/special/world/middle-east-youth-population/" TargetMode="External"/><Relationship Id="rId27" Type="http://schemas.openxmlformats.org/officeDocument/2006/relationships/hyperlink" Target="http://www.un.org/en/ecosoc/youth2014/pdf/background_note.pdf" TargetMode="External"/><Relationship Id="rId30" Type="http://schemas.openxmlformats.org/officeDocument/2006/relationships/hyperlink" Target="http://www.mixmarket.org/mfi/country/Saudi%20Arabia" TargetMode="External"/><Relationship Id="rId35" Type="http://schemas.openxmlformats.org/officeDocument/2006/relationships/hyperlink" Target="http://www.undg.org/docs/12689/Saudia-Arabia---CCSF.pdf" TargetMode="External"/><Relationship Id="rId43" Type="http://schemas.openxmlformats.org/officeDocument/2006/relationships/hyperlink" Target="http://web.worldbank.org/WBSITE/EXTERNAL/COUNTRIES/MENAEXT/0,,contentMDK:20261828~pagePK:146736~piPK:146830~theSitePK:256299,00.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ridge-project.org/about-bridge/overview.html" TargetMode="External"/><Relationship Id="rId1" Type="http://schemas.openxmlformats.org/officeDocument/2006/relationships/hyperlink" Target="http://www.washingtonpost.com/wp-srv/special/world/middle-east-youth-populat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atricia\Documents\Countries\Saudi%20Arabia\Data\WB%20devt%20inds%202014.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tricia\Documents\Countries\Saudi%20Arabia\Data\WB%20devt%20inds%202014.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atricia\Documents\Countries\Saudi%20Arabia\Data\ILOSTAT%20Unempt%20rate%20sex%20age.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atricia\Documents\Countries\Saudi%20Arabia\Outcome%20evaluations%202014\Survey%20findings%20PA%20material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rPr>
              <a:t>LFPR, by sex (% 2008-2012)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LFPR!$P$19</c:f>
              <c:strCache>
                <c:ptCount val="1"/>
                <c:pt idx="0">
                  <c:v>Female</c:v>
                </c:pt>
              </c:strCache>
            </c:strRef>
          </c:tx>
          <c:spPr>
            <a:solidFill>
              <a:srgbClr val="D7457D"/>
            </a:solidFill>
            <a:ln>
              <a:noFill/>
            </a:ln>
            <a:effectLst/>
          </c:spPr>
          <c:invertIfNegative val="0"/>
          <c:cat>
            <c:numRef>
              <c:f>LFPR!$Q$18:$U$18</c:f>
              <c:numCache>
                <c:formatCode>General</c:formatCode>
                <c:ptCount val="5"/>
                <c:pt idx="0">
                  <c:v>2008</c:v>
                </c:pt>
                <c:pt idx="1">
                  <c:v>2009</c:v>
                </c:pt>
                <c:pt idx="2">
                  <c:v>2010</c:v>
                </c:pt>
                <c:pt idx="3">
                  <c:v>2011</c:v>
                </c:pt>
                <c:pt idx="4">
                  <c:v>2012</c:v>
                </c:pt>
              </c:numCache>
            </c:numRef>
          </c:cat>
          <c:val>
            <c:numRef>
              <c:f>LFPR!$Q$19:$U$19</c:f>
              <c:numCache>
                <c:formatCode>0.0</c:formatCode>
                <c:ptCount val="5"/>
                <c:pt idx="0">
                  <c:v>18.600000381469702</c:v>
                </c:pt>
                <c:pt idx="1">
                  <c:v>18.299999237060501</c:v>
                </c:pt>
                <c:pt idx="2">
                  <c:v>18.600000381469702</c:v>
                </c:pt>
                <c:pt idx="3">
                  <c:v>18.899999618530298</c:v>
                </c:pt>
                <c:pt idx="4">
                  <c:v>19.100000381469702</c:v>
                </c:pt>
              </c:numCache>
            </c:numRef>
          </c:val>
        </c:ser>
        <c:ser>
          <c:idx val="1"/>
          <c:order val="1"/>
          <c:tx>
            <c:strRef>
              <c:f>LFPR!$P$20</c:f>
              <c:strCache>
                <c:ptCount val="1"/>
                <c:pt idx="0">
                  <c:v>Male</c:v>
                </c:pt>
              </c:strCache>
            </c:strRef>
          </c:tx>
          <c:spPr>
            <a:solidFill>
              <a:schemeClr val="accent1"/>
            </a:solidFill>
            <a:ln>
              <a:noFill/>
            </a:ln>
            <a:effectLst/>
          </c:spPr>
          <c:invertIfNegative val="0"/>
          <c:cat>
            <c:numRef>
              <c:f>LFPR!$Q$18:$U$18</c:f>
              <c:numCache>
                <c:formatCode>General</c:formatCode>
                <c:ptCount val="5"/>
                <c:pt idx="0">
                  <c:v>2008</c:v>
                </c:pt>
                <c:pt idx="1">
                  <c:v>2009</c:v>
                </c:pt>
                <c:pt idx="2">
                  <c:v>2010</c:v>
                </c:pt>
                <c:pt idx="3">
                  <c:v>2011</c:v>
                </c:pt>
                <c:pt idx="4">
                  <c:v>2012</c:v>
                </c:pt>
              </c:numCache>
            </c:numRef>
          </c:cat>
          <c:val>
            <c:numRef>
              <c:f>LFPR!$Q$20:$U$20</c:f>
              <c:numCache>
                <c:formatCode>0.0</c:formatCode>
                <c:ptCount val="5"/>
                <c:pt idx="0">
                  <c:v>76.800003051757798</c:v>
                </c:pt>
                <c:pt idx="1">
                  <c:v>76.800003051757798</c:v>
                </c:pt>
                <c:pt idx="2">
                  <c:v>77.099998474121094</c:v>
                </c:pt>
                <c:pt idx="3">
                  <c:v>77.300003051757798</c:v>
                </c:pt>
                <c:pt idx="4">
                  <c:v>77.300003051757798</c:v>
                </c:pt>
              </c:numCache>
            </c:numRef>
          </c:val>
        </c:ser>
        <c:dLbls>
          <c:showLegendKey val="0"/>
          <c:showVal val="0"/>
          <c:showCatName val="0"/>
          <c:showSerName val="0"/>
          <c:showPercent val="0"/>
          <c:showBubbleSize val="0"/>
        </c:dLbls>
        <c:gapWidth val="219"/>
        <c:overlap val="-27"/>
        <c:axId val="243553216"/>
        <c:axId val="243553608"/>
      </c:barChart>
      <c:catAx>
        <c:axId val="24355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553608"/>
        <c:crosses val="autoZero"/>
        <c:auto val="1"/>
        <c:lblAlgn val="ctr"/>
        <c:lblOffset val="100"/>
        <c:noMultiLvlLbl val="0"/>
      </c:catAx>
      <c:valAx>
        <c:axId val="2435536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5532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GB" sz="900"/>
              <a:t>Tertiary GER (%)</a:t>
            </a:r>
          </a:p>
        </c:rich>
      </c:tx>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GER3y!$A$3</c:f>
              <c:strCache>
                <c:ptCount val="1"/>
                <c:pt idx="0">
                  <c:v>Total</c:v>
                </c:pt>
              </c:strCache>
            </c:strRef>
          </c:tx>
          <c:spPr>
            <a:ln w="28575" cap="rnd">
              <a:solidFill>
                <a:schemeClr val="accent1"/>
              </a:solidFill>
              <a:round/>
            </a:ln>
            <a:effectLst/>
          </c:spPr>
          <c:marker>
            <c:symbol val="none"/>
          </c:marker>
          <c:cat>
            <c:numRef>
              <c:f>GER3y!$B$2:$E$2</c:f>
              <c:numCache>
                <c:formatCode>General</c:formatCode>
                <c:ptCount val="4"/>
                <c:pt idx="0">
                  <c:v>2009</c:v>
                </c:pt>
                <c:pt idx="1">
                  <c:v>2010</c:v>
                </c:pt>
                <c:pt idx="2">
                  <c:v>2011</c:v>
                </c:pt>
                <c:pt idx="3">
                  <c:v>2012</c:v>
                </c:pt>
              </c:numCache>
            </c:numRef>
          </c:cat>
          <c:val>
            <c:numRef>
              <c:f>GER3y!$B$3:$E$3</c:f>
              <c:numCache>
                <c:formatCode>0.0</c:formatCode>
                <c:ptCount val="4"/>
                <c:pt idx="0">
                  <c:v>31.290600000000001</c:v>
                </c:pt>
                <c:pt idx="1">
                  <c:v>37.338790000000003</c:v>
                </c:pt>
                <c:pt idx="2">
                  <c:v>43.181870000000004</c:v>
                </c:pt>
                <c:pt idx="3">
                  <c:v>50.936079999999997</c:v>
                </c:pt>
              </c:numCache>
            </c:numRef>
          </c:val>
          <c:smooth val="0"/>
        </c:ser>
        <c:ser>
          <c:idx val="1"/>
          <c:order val="1"/>
          <c:tx>
            <c:strRef>
              <c:f>GER3y!$A$4</c:f>
              <c:strCache>
                <c:ptCount val="1"/>
                <c:pt idx="0">
                  <c:v>Female</c:v>
                </c:pt>
              </c:strCache>
            </c:strRef>
          </c:tx>
          <c:spPr>
            <a:ln w="28575" cap="rnd">
              <a:solidFill>
                <a:schemeClr val="accent2"/>
              </a:solidFill>
              <a:round/>
            </a:ln>
            <a:effectLst/>
          </c:spPr>
          <c:marker>
            <c:symbol val="none"/>
          </c:marker>
          <c:cat>
            <c:numRef>
              <c:f>GER3y!$B$2:$E$2</c:f>
              <c:numCache>
                <c:formatCode>General</c:formatCode>
                <c:ptCount val="4"/>
                <c:pt idx="0">
                  <c:v>2009</c:v>
                </c:pt>
                <c:pt idx="1">
                  <c:v>2010</c:v>
                </c:pt>
                <c:pt idx="2">
                  <c:v>2011</c:v>
                </c:pt>
                <c:pt idx="3">
                  <c:v>2012</c:v>
                </c:pt>
              </c:numCache>
            </c:numRef>
          </c:cat>
          <c:val>
            <c:numRef>
              <c:f>GER3y!$B$4:$E$4</c:f>
              <c:numCache>
                <c:formatCode>0.0</c:formatCode>
                <c:ptCount val="4"/>
                <c:pt idx="0">
                  <c:v>35.125729999999997</c:v>
                </c:pt>
                <c:pt idx="1">
                  <c:v>40.282020000000003</c:v>
                </c:pt>
                <c:pt idx="2">
                  <c:v>45.67512</c:v>
                </c:pt>
                <c:pt idx="3">
                  <c:v>52.525979999999997</c:v>
                </c:pt>
              </c:numCache>
            </c:numRef>
          </c:val>
          <c:smooth val="0"/>
        </c:ser>
        <c:ser>
          <c:idx val="2"/>
          <c:order val="2"/>
          <c:tx>
            <c:strRef>
              <c:f>GER3y!$A$5</c:f>
              <c:strCache>
                <c:ptCount val="1"/>
                <c:pt idx="0">
                  <c:v>Male</c:v>
                </c:pt>
              </c:strCache>
            </c:strRef>
          </c:tx>
          <c:spPr>
            <a:ln w="28575" cap="rnd">
              <a:solidFill>
                <a:schemeClr val="accent3"/>
              </a:solidFill>
              <a:round/>
            </a:ln>
            <a:effectLst/>
          </c:spPr>
          <c:marker>
            <c:symbol val="none"/>
          </c:marker>
          <c:cat>
            <c:numRef>
              <c:f>GER3y!$B$2:$E$2</c:f>
              <c:numCache>
                <c:formatCode>General</c:formatCode>
                <c:ptCount val="4"/>
                <c:pt idx="0">
                  <c:v>2009</c:v>
                </c:pt>
                <c:pt idx="1">
                  <c:v>2010</c:v>
                </c:pt>
                <c:pt idx="2">
                  <c:v>2011</c:v>
                </c:pt>
                <c:pt idx="3">
                  <c:v>2012</c:v>
                </c:pt>
              </c:numCache>
            </c:numRef>
          </c:cat>
          <c:val>
            <c:numRef>
              <c:f>GER3y!$B$5:$E$5</c:f>
              <c:numCache>
                <c:formatCode>0.0</c:formatCode>
                <c:ptCount val="4"/>
                <c:pt idx="0">
                  <c:v>27.64695</c:v>
                </c:pt>
                <c:pt idx="1">
                  <c:v>34.556159999999998</c:v>
                </c:pt>
                <c:pt idx="2">
                  <c:v>40.836829999999999</c:v>
                </c:pt>
                <c:pt idx="3">
                  <c:v>49.481699999999996</c:v>
                </c:pt>
              </c:numCache>
            </c:numRef>
          </c:val>
          <c:smooth val="0"/>
        </c:ser>
        <c:dLbls>
          <c:showLegendKey val="0"/>
          <c:showVal val="0"/>
          <c:showCatName val="0"/>
          <c:showSerName val="0"/>
          <c:showPercent val="0"/>
          <c:showBubbleSize val="0"/>
        </c:dLbls>
        <c:smooth val="0"/>
        <c:axId val="243552824"/>
        <c:axId val="243554784"/>
      </c:lineChart>
      <c:catAx>
        <c:axId val="243552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554784"/>
        <c:crosses val="autoZero"/>
        <c:auto val="1"/>
        <c:lblAlgn val="ctr"/>
        <c:lblOffset val="100"/>
        <c:noMultiLvlLbl val="0"/>
      </c:catAx>
      <c:valAx>
        <c:axId val="2435547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5528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900" b="1"/>
              <a:t>Youth unemployment rate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UnempRtSexAge!$A$31</c:f>
              <c:strCache>
                <c:ptCount val="1"/>
                <c:pt idx="0">
                  <c:v>Total</c:v>
                </c:pt>
              </c:strCache>
            </c:strRef>
          </c:tx>
          <c:spPr>
            <a:ln w="28575" cap="rnd">
              <a:solidFill>
                <a:schemeClr val="accent1"/>
              </a:solidFill>
              <a:round/>
            </a:ln>
            <a:effectLst/>
          </c:spPr>
          <c:marker>
            <c:symbol val="none"/>
          </c:marker>
          <c:cat>
            <c:strRef>
              <c:f>UnempRtSexAge!$B$30:$I$30</c:f>
              <c:strCache>
                <c:ptCount val="8"/>
                <c:pt idx="0">
                  <c:v>2006</c:v>
                </c:pt>
                <c:pt idx="1">
                  <c:v>2007</c:v>
                </c:pt>
                <c:pt idx="2">
                  <c:v>2008</c:v>
                </c:pt>
                <c:pt idx="3">
                  <c:v>2009</c:v>
                </c:pt>
                <c:pt idx="4">
                  <c:v>2010e</c:v>
                </c:pt>
                <c:pt idx="5">
                  <c:v>2011</c:v>
                </c:pt>
                <c:pt idx="6">
                  <c:v>2012</c:v>
                </c:pt>
                <c:pt idx="7">
                  <c:v>2013</c:v>
                </c:pt>
              </c:strCache>
            </c:strRef>
          </c:cat>
          <c:val>
            <c:numRef>
              <c:f>UnempRtSexAge!$B$31:$I$31</c:f>
              <c:numCache>
                <c:formatCode>0.0</c:formatCode>
                <c:ptCount val="8"/>
                <c:pt idx="0">
                  <c:v>34</c:v>
                </c:pt>
                <c:pt idx="1">
                  <c:v>29.9</c:v>
                </c:pt>
                <c:pt idx="2">
                  <c:v>29.3</c:v>
                </c:pt>
                <c:pt idx="3">
                  <c:v>30</c:v>
                </c:pt>
                <c:pt idx="4">
                  <c:v>30</c:v>
                </c:pt>
                <c:pt idx="5">
                  <c:v>29.9</c:v>
                </c:pt>
                <c:pt idx="6">
                  <c:v>28.7</c:v>
                </c:pt>
                <c:pt idx="7">
                  <c:v>29.4</c:v>
                </c:pt>
              </c:numCache>
            </c:numRef>
          </c:val>
          <c:smooth val="0"/>
        </c:ser>
        <c:ser>
          <c:idx val="1"/>
          <c:order val="1"/>
          <c:tx>
            <c:strRef>
              <c:f>UnempRtSexAge!$A$32</c:f>
              <c:strCache>
                <c:ptCount val="1"/>
                <c:pt idx="0">
                  <c:v>Female</c:v>
                </c:pt>
              </c:strCache>
            </c:strRef>
          </c:tx>
          <c:spPr>
            <a:ln w="28575" cap="rnd">
              <a:solidFill>
                <a:schemeClr val="accent2"/>
              </a:solidFill>
              <a:round/>
            </a:ln>
            <a:effectLst/>
          </c:spPr>
          <c:marker>
            <c:symbol val="none"/>
          </c:marker>
          <c:cat>
            <c:strRef>
              <c:f>UnempRtSexAge!$B$30:$I$30</c:f>
              <c:strCache>
                <c:ptCount val="8"/>
                <c:pt idx="0">
                  <c:v>2006</c:v>
                </c:pt>
                <c:pt idx="1">
                  <c:v>2007</c:v>
                </c:pt>
                <c:pt idx="2">
                  <c:v>2008</c:v>
                </c:pt>
                <c:pt idx="3">
                  <c:v>2009</c:v>
                </c:pt>
                <c:pt idx="4">
                  <c:v>2010e</c:v>
                </c:pt>
                <c:pt idx="5">
                  <c:v>2011</c:v>
                </c:pt>
                <c:pt idx="6">
                  <c:v>2012</c:v>
                </c:pt>
                <c:pt idx="7">
                  <c:v>2013</c:v>
                </c:pt>
              </c:strCache>
            </c:strRef>
          </c:cat>
          <c:val>
            <c:numRef>
              <c:f>UnempRtSexAge!$B$32:$I$32</c:f>
              <c:numCache>
                <c:formatCode>0.0</c:formatCode>
                <c:ptCount val="8"/>
                <c:pt idx="0">
                  <c:v>49.4</c:v>
                </c:pt>
                <c:pt idx="1">
                  <c:v>47</c:v>
                </c:pt>
                <c:pt idx="2">
                  <c:v>50</c:v>
                </c:pt>
                <c:pt idx="3">
                  <c:v>54.8</c:v>
                </c:pt>
                <c:pt idx="4">
                  <c:v>53</c:v>
                </c:pt>
                <c:pt idx="5">
                  <c:v>51.4</c:v>
                </c:pt>
                <c:pt idx="6">
                  <c:v>56.5</c:v>
                </c:pt>
                <c:pt idx="7">
                  <c:v>54.8</c:v>
                </c:pt>
              </c:numCache>
            </c:numRef>
          </c:val>
          <c:smooth val="0"/>
        </c:ser>
        <c:ser>
          <c:idx val="2"/>
          <c:order val="2"/>
          <c:tx>
            <c:strRef>
              <c:f>UnempRtSexAge!$A$33</c:f>
              <c:strCache>
                <c:ptCount val="1"/>
                <c:pt idx="0">
                  <c:v>Male</c:v>
                </c:pt>
              </c:strCache>
            </c:strRef>
          </c:tx>
          <c:spPr>
            <a:ln w="28575" cap="rnd">
              <a:solidFill>
                <a:schemeClr val="accent3"/>
              </a:solidFill>
              <a:round/>
            </a:ln>
            <a:effectLst/>
          </c:spPr>
          <c:marker>
            <c:symbol val="none"/>
          </c:marker>
          <c:cat>
            <c:strRef>
              <c:f>UnempRtSexAge!$B$30:$I$30</c:f>
              <c:strCache>
                <c:ptCount val="8"/>
                <c:pt idx="0">
                  <c:v>2006</c:v>
                </c:pt>
                <c:pt idx="1">
                  <c:v>2007</c:v>
                </c:pt>
                <c:pt idx="2">
                  <c:v>2008</c:v>
                </c:pt>
                <c:pt idx="3">
                  <c:v>2009</c:v>
                </c:pt>
                <c:pt idx="4">
                  <c:v>2010e</c:v>
                </c:pt>
                <c:pt idx="5">
                  <c:v>2011</c:v>
                </c:pt>
                <c:pt idx="6">
                  <c:v>2012</c:v>
                </c:pt>
                <c:pt idx="7">
                  <c:v>2013</c:v>
                </c:pt>
              </c:strCache>
            </c:strRef>
          </c:cat>
          <c:val>
            <c:numRef>
              <c:f>UnempRtSexAge!$B$33:$I$33</c:f>
              <c:numCache>
                <c:formatCode>0.0</c:formatCode>
                <c:ptCount val="8"/>
                <c:pt idx="0">
                  <c:v>29.7</c:v>
                </c:pt>
                <c:pt idx="1">
                  <c:v>25.5</c:v>
                </c:pt>
                <c:pt idx="2">
                  <c:v>24.1</c:v>
                </c:pt>
                <c:pt idx="3">
                  <c:v>23.5</c:v>
                </c:pt>
                <c:pt idx="4">
                  <c:v>23.75</c:v>
                </c:pt>
                <c:pt idx="5">
                  <c:v>24</c:v>
                </c:pt>
                <c:pt idx="6">
                  <c:v>20</c:v>
                </c:pt>
                <c:pt idx="7">
                  <c:v>21</c:v>
                </c:pt>
              </c:numCache>
            </c:numRef>
          </c:val>
          <c:smooth val="0"/>
        </c:ser>
        <c:dLbls>
          <c:showLegendKey val="0"/>
          <c:showVal val="0"/>
          <c:showCatName val="0"/>
          <c:showSerName val="0"/>
          <c:showPercent val="0"/>
          <c:showBubbleSize val="0"/>
        </c:dLbls>
        <c:smooth val="0"/>
        <c:axId val="243185208"/>
        <c:axId val="244745720"/>
      </c:lineChart>
      <c:catAx>
        <c:axId val="243185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745720"/>
        <c:crosses val="autoZero"/>
        <c:auto val="1"/>
        <c:lblAlgn val="ctr"/>
        <c:lblOffset val="100"/>
        <c:noMultiLvlLbl val="0"/>
      </c:catAx>
      <c:valAx>
        <c:axId val="2447457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185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Will women's participation enrich positively the Shura Council?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Sheet1!$L$9:$L$10</c:f>
              <c:strCache>
                <c:ptCount val="2"/>
                <c:pt idx="0">
                  <c:v>%</c:v>
                </c:pt>
                <c:pt idx="1">
                  <c:v>Women</c:v>
                </c:pt>
              </c:strCache>
            </c:strRef>
          </c:tx>
          <c:spPr>
            <a:solidFill>
              <a:srgbClr val="E626A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Sheet1!$K$11:$K$13</c:f>
              <c:strCache>
                <c:ptCount val="3"/>
                <c:pt idx="0">
                  <c:v>Agree</c:v>
                </c:pt>
                <c:pt idx="1">
                  <c:v>Disagree</c:v>
                </c:pt>
                <c:pt idx="2">
                  <c:v>Don’t know</c:v>
                </c:pt>
              </c:strCache>
            </c:strRef>
          </c:cat>
          <c:val>
            <c:numRef>
              <c:f>Sheet1!$L$11:$L$13</c:f>
              <c:numCache>
                <c:formatCode>0</c:formatCode>
                <c:ptCount val="3"/>
                <c:pt idx="0">
                  <c:v>51.6</c:v>
                </c:pt>
                <c:pt idx="1">
                  <c:v>22.4</c:v>
                </c:pt>
                <c:pt idx="2">
                  <c:v>26</c:v>
                </c:pt>
              </c:numCache>
            </c:numRef>
          </c:val>
        </c:ser>
        <c:ser>
          <c:idx val="1"/>
          <c:order val="1"/>
          <c:tx>
            <c:strRef>
              <c:f>Sheet1!$M$9:$M$10</c:f>
              <c:strCache>
                <c:ptCount val="2"/>
                <c:pt idx="0">
                  <c:v>%</c:v>
                </c:pt>
                <c:pt idx="1">
                  <c:v>Men</c:v>
                </c:pt>
              </c:strCache>
            </c:strRef>
          </c:tx>
          <c:spPr>
            <a:solidFill>
              <a:srgbClr val="259EE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Sheet1!$K$11:$K$13</c:f>
              <c:strCache>
                <c:ptCount val="3"/>
                <c:pt idx="0">
                  <c:v>Agree</c:v>
                </c:pt>
                <c:pt idx="1">
                  <c:v>Disagree</c:v>
                </c:pt>
                <c:pt idx="2">
                  <c:v>Don’t know</c:v>
                </c:pt>
              </c:strCache>
            </c:strRef>
          </c:cat>
          <c:val>
            <c:numRef>
              <c:f>Sheet1!$M$11:$M$13</c:f>
              <c:numCache>
                <c:formatCode>0</c:formatCode>
                <c:ptCount val="3"/>
                <c:pt idx="0">
                  <c:v>45.2</c:v>
                </c:pt>
                <c:pt idx="1">
                  <c:v>25.1</c:v>
                </c:pt>
                <c:pt idx="2">
                  <c:v>29.7</c:v>
                </c:pt>
              </c:numCache>
            </c:numRef>
          </c:val>
        </c:ser>
        <c:dLbls>
          <c:showLegendKey val="0"/>
          <c:showVal val="0"/>
          <c:showCatName val="0"/>
          <c:showSerName val="0"/>
          <c:showPercent val="0"/>
          <c:showBubbleSize val="0"/>
        </c:dLbls>
        <c:gapWidth val="219"/>
        <c:overlap val="-27"/>
        <c:axId val="244744544"/>
        <c:axId val="244744936"/>
      </c:barChart>
      <c:catAx>
        <c:axId val="24474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744936"/>
        <c:crosses val="autoZero"/>
        <c:auto val="1"/>
        <c:lblAlgn val="ctr"/>
        <c:lblOffset val="100"/>
        <c:noMultiLvlLbl val="0"/>
      </c:catAx>
      <c:valAx>
        <c:axId val="244744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744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20AAA-A501-4897-A9A4-9F4C8591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31117</Words>
  <Characters>177371</Characters>
  <Application>Microsoft Office Word</Application>
  <DocSecurity>4</DocSecurity>
  <Lines>1478</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Mayssam Tamim</cp:lastModifiedBy>
  <cp:revision>2</cp:revision>
  <cp:lastPrinted>2014-07-26T18:58:00Z</cp:lastPrinted>
  <dcterms:created xsi:type="dcterms:W3CDTF">2014-09-22T05:40:00Z</dcterms:created>
  <dcterms:modified xsi:type="dcterms:W3CDTF">2014-09-22T05:40:00Z</dcterms:modified>
</cp:coreProperties>
</file>